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B4D8472" w14:textId="77777777" w:rsidTr="00EB4E9C">
        <w:tc>
          <w:tcPr>
            <w:tcW w:w="6522" w:type="dxa"/>
          </w:tcPr>
          <w:p w14:paraId="6910CA8F" w14:textId="77777777" w:rsidR="00DC3802" w:rsidRPr="00AC2883" w:rsidRDefault="00DC3802" w:rsidP="00AC2883">
            <w:r w:rsidRPr="00D250C5">
              <w:rPr>
                <w:noProof/>
                <w:lang w:val="en-US"/>
              </w:rPr>
              <w:drawing>
                <wp:inline distT="0" distB="0" distL="0" distR="0" wp14:anchorId="003D2C10" wp14:editId="45D01C0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437CA02" w14:textId="77777777" w:rsidR="00DC3802" w:rsidRPr="007C1D92" w:rsidRDefault="00A706D3" w:rsidP="00AC2883">
            <w:pPr>
              <w:pStyle w:val="Lettrine"/>
            </w:pPr>
            <w:r>
              <w:t>F</w:t>
            </w:r>
          </w:p>
        </w:tc>
      </w:tr>
      <w:tr w:rsidR="00DC3802" w:rsidRPr="00DA4973" w14:paraId="677FF347" w14:textId="77777777" w:rsidTr="00645CA8">
        <w:trPr>
          <w:trHeight w:val="219"/>
        </w:trPr>
        <w:tc>
          <w:tcPr>
            <w:tcW w:w="6522" w:type="dxa"/>
          </w:tcPr>
          <w:p w14:paraId="57DEDB76" w14:textId="77777777"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14:paraId="1B9613BD" w14:textId="77777777" w:rsidR="00DC3802" w:rsidRPr="00DA4973" w:rsidRDefault="00DC3802" w:rsidP="00DA4973"/>
        </w:tc>
      </w:tr>
    </w:tbl>
    <w:p w14:paraId="32A4DEC8" w14:textId="77777777" w:rsidR="00DC3802" w:rsidRDefault="00DC3802" w:rsidP="00DC3802"/>
    <w:p w14:paraId="7A037F63"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15F7C2EF" w14:textId="77777777" w:rsidTr="00EB4E9C">
        <w:tc>
          <w:tcPr>
            <w:tcW w:w="6512" w:type="dxa"/>
          </w:tcPr>
          <w:p w14:paraId="733AE5E8" w14:textId="77777777" w:rsidR="00EB4E9C" w:rsidRPr="00D817CE" w:rsidRDefault="00AB5931" w:rsidP="00AC2883">
            <w:pPr>
              <w:pStyle w:val="Sessiontc"/>
              <w:spacing w:line="240" w:lineRule="auto"/>
            </w:pPr>
            <w:r w:rsidRPr="00D817CE">
              <w:t>Conseil</w:t>
            </w:r>
          </w:p>
          <w:p w14:paraId="3592F9AE" w14:textId="77777777" w:rsidR="007924B4" w:rsidRPr="00D817CE" w:rsidRDefault="00AB5931" w:rsidP="00EE6E70">
            <w:pPr>
              <w:pStyle w:val="Sessiontcplacedate"/>
            </w:pPr>
            <w:r w:rsidRPr="00D817CE">
              <w:t>Cinquante</w:t>
            </w:r>
            <w:r w:rsidR="005E7EA6" w:rsidRPr="00D817CE">
              <w:t>-</w:t>
            </w:r>
            <w:r w:rsidR="00EE6E70" w:rsidRPr="00D817CE">
              <w:t>s</w:t>
            </w:r>
            <w:r w:rsidR="00DE20C8" w:rsidRPr="00D817CE">
              <w:t>ept</w:t>
            </w:r>
            <w:r w:rsidR="005E7EA6" w:rsidRPr="00D817CE">
              <w:t>ième</w:t>
            </w:r>
            <w:r w:rsidRPr="00D817CE">
              <w:t xml:space="preserve"> </w:t>
            </w:r>
            <w:r w:rsidR="00A706D3" w:rsidRPr="00D817CE">
              <w:t>s</w:t>
            </w:r>
            <w:r w:rsidR="00EB4E9C" w:rsidRPr="00D817CE">
              <w:t>ession</w:t>
            </w:r>
            <w:r w:rsidRPr="00D817CE">
              <w:t xml:space="preserve"> ordinaire</w:t>
            </w:r>
          </w:p>
          <w:p w14:paraId="6281608D" w14:textId="77777777" w:rsidR="00EB4E9C" w:rsidRPr="00D817CE" w:rsidRDefault="00EB4E9C" w:rsidP="00DE20C8">
            <w:pPr>
              <w:pStyle w:val="Sessiontcplacedate"/>
              <w:rPr>
                <w:sz w:val="22"/>
              </w:rPr>
            </w:pPr>
            <w:r w:rsidRPr="00D817CE">
              <w:t>Gen</w:t>
            </w:r>
            <w:r w:rsidR="00A706D3" w:rsidRPr="00D817CE">
              <w:t>è</w:t>
            </w:r>
            <w:r w:rsidRPr="00D817CE">
              <w:t>v</w:t>
            </w:r>
            <w:r w:rsidR="00A706D3" w:rsidRPr="00D817CE">
              <w:t>e</w:t>
            </w:r>
            <w:r w:rsidRPr="00D817CE">
              <w:t xml:space="preserve">, </w:t>
            </w:r>
            <w:r w:rsidR="00EE6E70" w:rsidRPr="00D817CE">
              <w:t>2</w:t>
            </w:r>
            <w:r w:rsidR="00DE20C8" w:rsidRPr="00D817CE">
              <w:t>7</w:t>
            </w:r>
            <w:r w:rsidR="003A028E" w:rsidRPr="00D817CE">
              <w:t xml:space="preserve"> octobre </w:t>
            </w:r>
            <w:r w:rsidR="00EE6E70" w:rsidRPr="00D817CE">
              <w:t>202</w:t>
            </w:r>
            <w:r w:rsidR="00DE20C8" w:rsidRPr="00D817CE">
              <w:t>3</w:t>
            </w:r>
          </w:p>
        </w:tc>
        <w:tc>
          <w:tcPr>
            <w:tcW w:w="3127" w:type="dxa"/>
          </w:tcPr>
          <w:p w14:paraId="1861E0FC" w14:textId="67905938" w:rsidR="00EB4E9C" w:rsidRPr="00D817CE" w:rsidRDefault="00DF48CB" w:rsidP="003C7FBE">
            <w:pPr>
              <w:pStyle w:val="Doccode"/>
              <w:rPr>
                <w:lang w:val="fr-FR"/>
              </w:rPr>
            </w:pPr>
            <w:r>
              <w:rPr>
                <w:lang w:val="fr-FR"/>
              </w:rPr>
              <w:t xml:space="preserve">C/57/4 </w:t>
            </w:r>
            <w:proofErr w:type="spellStart"/>
            <w:r>
              <w:rPr>
                <w:lang w:val="fr-FR"/>
              </w:rPr>
              <w:t>Rev</w:t>
            </w:r>
            <w:proofErr w:type="spellEnd"/>
            <w:r>
              <w:rPr>
                <w:lang w:val="fr-FR"/>
              </w:rPr>
              <w:t>.</w:t>
            </w:r>
          </w:p>
          <w:p w14:paraId="7E00DC44" w14:textId="77777777" w:rsidR="00EB4E9C" w:rsidRPr="00D817CE" w:rsidRDefault="00EB4E9C" w:rsidP="003C7FBE">
            <w:pPr>
              <w:pStyle w:val="Docoriginal"/>
            </w:pPr>
            <w:r w:rsidRPr="00D817CE">
              <w:t>Original:</w:t>
            </w:r>
            <w:r w:rsidRPr="00D817CE">
              <w:rPr>
                <w:b w:val="0"/>
                <w:spacing w:val="0"/>
              </w:rPr>
              <w:t xml:space="preserve">  </w:t>
            </w:r>
            <w:r w:rsidR="00A706D3" w:rsidRPr="00D817CE">
              <w:rPr>
                <w:b w:val="0"/>
                <w:spacing w:val="0"/>
              </w:rPr>
              <w:t>anglais</w:t>
            </w:r>
          </w:p>
          <w:p w14:paraId="020F09CE" w14:textId="13B3485C" w:rsidR="00EB4E9C" w:rsidRPr="007C1D92" w:rsidRDefault="00EB4E9C" w:rsidP="00515DF6">
            <w:pPr>
              <w:pStyle w:val="Docoriginal"/>
            </w:pPr>
            <w:r w:rsidRPr="00D817CE">
              <w:t>Date:</w:t>
            </w:r>
            <w:r w:rsidRPr="00D817CE">
              <w:rPr>
                <w:b w:val="0"/>
                <w:spacing w:val="0"/>
              </w:rPr>
              <w:t xml:space="preserve">  </w:t>
            </w:r>
            <w:r w:rsidR="0000207E">
              <w:rPr>
                <w:b w:val="0"/>
                <w:spacing w:val="0"/>
              </w:rPr>
              <w:t xml:space="preserve">27 octobre </w:t>
            </w:r>
            <w:r w:rsidRPr="00D817CE">
              <w:rPr>
                <w:b w:val="0"/>
                <w:spacing w:val="0"/>
              </w:rPr>
              <w:t>20</w:t>
            </w:r>
            <w:r w:rsidR="00235CD2" w:rsidRPr="00D817CE">
              <w:rPr>
                <w:b w:val="0"/>
                <w:spacing w:val="0"/>
              </w:rPr>
              <w:t>2</w:t>
            </w:r>
            <w:r w:rsidR="007D29F8" w:rsidRPr="00D817CE">
              <w:rPr>
                <w:b w:val="0"/>
                <w:spacing w:val="0"/>
              </w:rPr>
              <w:t>3</w:t>
            </w:r>
          </w:p>
        </w:tc>
      </w:tr>
    </w:tbl>
    <w:p w14:paraId="5CFE0CE9" w14:textId="57832A35" w:rsidR="007D29F8" w:rsidRPr="00B80F3E" w:rsidRDefault="007D29F8" w:rsidP="007D29F8">
      <w:pPr>
        <w:pStyle w:val="Titleofdoc0"/>
      </w:pPr>
      <w:r w:rsidRPr="00B80F3E">
        <w:t>programme et budget pour l’exercice biennal </w:t>
      </w:r>
      <w:r>
        <w:t>2024-2025</w:t>
      </w:r>
    </w:p>
    <w:p w14:paraId="17B5FCFF" w14:textId="77777777" w:rsidR="00DF48CB" w:rsidRDefault="00DF48CB" w:rsidP="00DF48CB">
      <w:pPr>
        <w:pStyle w:val="preparedby1"/>
        <w:jc w:val="left"/>
      </w:pPr>
      <w:proofErr w:type="gramStart"/>
      <w:r>
        <w:t>adopté</w:t>
      </w:r>
      <w:proofErr w:type="gramEnd"/>
      <w:r>
        <w:t xml:space="preserve"> par le Conseil</w:t>
      </w:r>
    </w:p>
    <w:p w14:paraId="3BB780E7" w14:textId="77777777" w:rsidR="00DF48CB" w:rsidRPr="00D74BE0" w:rsidRDefault="00DF48CB" w:rsidP="00DF48CB">
      <w:pPr>
        <w:pStyle w:val="preparedby1"/>
        <w:jc w:val="left"/>
      </w:pPr>
    </w:p>
    <w:p w14:paraId="09D8F596" w14:textId="559DD077" w:rsidR="00DF48CB" w:rsidRPr="004147AE" w:rsidRDefault="00DF48CB" w:rsidP="00DF48CB">
      <w:r w:rsidRPr="004147AE">
        <w:fldChar w:fldCharType="begin"/>
      </w:r>
      <w:r w:rsidRPr="004147AE">
        <w:instrText xml:space="preserve"> AUTONUM  </w:instrText>
      </w:r>
      <w:r w:rsidRPr="004147AE">
        <w:fldChar w:fldCharType="end"/>
      </w:r>
      <w:r w:rsidRPr="004147AE">
        <w:tab/>
      </w:r>
      <w:r w:rsidRPr="004147AE">
        <w:rPr>
          <w:spacing w:val="-2"/>
        </w:rPr>
        <w:t>À sa cinquante</w:t>
      </w:r>
      <w:r>
        <w:rPr>
          <w:spacing w:val="-2"/>
        </w:rPr>
        <w:t>-</w:t>
      </w:r>
      <w:r>
        <w:rPr>
          <w:spacing w:val="-2"/>
        </w:rPr>
        <w:t>sept</w:t>
      </w:r>
      <w:r>
        <w:rPr>
          <w:spacing w:val="-2"/>
        </w:rPr>
        <w:t>ième</w:t>
      </w:r>
      <w:r w:rsidRPr="004147AE">
        <w:rPr>
          <w:spacing w:val="-2"/>
        </w:rPr>
        <w:t xml:space="preserve"> session ordinaire, tenue à Genève le </w:t>
      </w:r>
      <w:r>
        <w:rPr>
          <w:spacing w:val="-2"/>
        </w:rPr>
        <w:t>27 octobre 2023</w:t>
      </w:r>
      <w:r w:rsidRPr="004147AE">
        <w:rPr>
          <w:spacing w:val="-2"/>
        </w:rPr>
        <w:t xml:space="preserve">, le Conseil a approuvé </w:t>
      </w:r>
      <w:r w:rsidRPr="004147AE">
        <w:t>les propositions contenues dans le projet de programme et budget pour l’exercice biennal 20</w:t>
      </w:r>
      <w:r>
        <w:t>2</w:t>
      </w:r>
      <w:r>
        <w:t>4</w:t>
      </w:r>
      <w:r w:rsidRPr="004147AE">
        <w:t>-20</w:t>
      </w:r>
      <w:r>
        <w:t>2</w:t>
      </w:r>
      <w:r>
        <w:t>5</w:t>
      </w:r>
      <w:r w:rsidRPr="004147AE">
        <w:t>, figurant dans le document C/</w:t>
      </w:r>
      <w:r>
        <w:t>57</w:t>
      </w:r>
      <w:r w:rsidRPr="004147AE">
        <w:t>/4, y compris le montant des contributions des membres de l’Union, le plafond proposé pour les dépenses inscrites au budget ordinaire et le nombre total de postes pour le Bureau de l’Union.</w:t>
      </w:r>
    </w:p>
    <w:p w14:paraId="635242E6" w14:textId="77777777" w:rsidR="00DF48CB" w:rsidRPr="004147AE" w:rsidRDefault="00DF48CB" w:rsidP="00DF48CB"/>
    <w:p w14:paraId="65DD4F5D" w14:textId="6EC6E021" w:rsidR="00DF48CB" w:rsidRPr="004147AE" w:rsidRDefault="00DF48CB" w:rsidP="00DF48CB">
      <w:r w:rsidRPr="004147AE">
        <w:fldChar w:fldCharType="begin"/>
      </w:r>
      <w:r w:rsidRPr="004147AE">
        <w:instrText xml:space="preserve"> AUTONUM  </w:instrText>
      </w:r>
      <w:r w:rsidRPr="004147AE">
        <w:fldChar w:fldCharType="end"/>
      </w:r>
      <w:r w:rsidRPr="004147AE">
        <w:tab/>
      </w:r>
      <w:r w:rsidRPr="004147AE">
        <w:rPr>
          <w:spacing w:val="-2"/>
        </w:rPr>
        <w:t>L’annexe de ce document contient le programme et budget de l’Union pour l’exercice biennal 202</w:t>
      </w:r>
      <w:r>
        <w:rPr>
          <w:spacing w:val="-2"/>
        </w:rPr>
        <w:t>4</w:t>
      </w:r>
      <w:r w:rsidRPr="004147AE">
        <w:rPr>
          <w:spacing w:val="-2"/>
        </w:rPr>
        <w:noBreakHyphen/>
        <w:t>202</w:t>
      </w:r>
      <w:r>
        <w:rPr>
          <w:spacing w:val="-2"/>
        </w:rPr>
        <w:t>5</w:t>
      </w:r>
      <w:r w:rsidRPr="004147AE">
        <w:rPr>
          <w:spacing w:val="-2"/>
        </w:rPr>
        <w:t>,</w:t>
      </w:r>
      <w:r w:rsidRPr="004147AE">
        <w:t xml:space="preserve"> tel qu’adopté par le Conseil.</w:t>
      </w:r>
    </w:p>
    <w:p w14:paraId="52FC9272" w14:textId="77777777" w:rsidR="007D29F8" w:rsidRPr="00B80F3E" w:rsidRDefault="007D29F8" w:rsidP="007D29F8">
      <w:pPr>
        <w:autoSpaceDE w:val="0"/>
        <w:autoSpaceDN w:val="0"/>
        <w:adjustRightInd w:val="0"/>
        <w:rPr>
          <w:rFonts w:cs="Arial"/>
          <w:szCs w:val="19"/>
        </w:rPr>
      </w:pPr>
    </w:p>
    <w:p w14:paraId="3E8AFD26" w14:textId="77777777" w:rsidR="007D29F8" w:rsidRPr="00B80F3E" w:rsidRDefault="007D29F8" w:rsidP="007D29F8">
      <w:pPr>
        <w:autoSpaceDE w:val="0"/>
        <w:autoSpaceDN w:val="0"/>
        <w:adjustRightInd w:val="0"/>
        <w:rPr>
          <w:rFonts w:cs="Arial"/>
          <w:szCs w:val="19"/>
        </w:rPr>
      </w:pPr>
    </w:p>
    <w:p w14:paraId="751E7D8F" w14:textId="77777777" w:rsidR="007D29F8" w:rsidRPr="00B80F3E" w:rsidRDefault="007D29F8" w:rsidP="007D29F8">
      <w:pPr>
        <w:autoSpaceDE w:val="0"/>
        <w:autoSpaceDN w:val="0"/>
        <w:adjustRightInd w:val="0"/>
        <w:rPr>
          <w:rFonts w:cs="Arial"/>
          <w:szCs w:val="19"/>
        </w:rPr>
      </w:pPr>
    </w:p>
    <w:p w14:paraId="2DC3C03A" w14:textId="77777777" w:rsidR="007D29F8" w:rsidRPr="00B80F3E" w:rsidRDefault="007D29F8" w:rsidP="007D29F8">
      <w:pPr>
        <w:autoSpaceDE w:val="0"/>
        <w:autoSpaceDN w:val="0"/>
        <w:adjustRightInd w:val="0"/>
        <w:jc w:val="right"/>
        <w:rPr>
          <w:rFonts w:cs="Arial"/>
          <w:szCs w:val="19"/>
        </w:rPr>
      </w:pPr>
      <w:r w:rsidRPr="00B80F3E">
        <w:rPr>
          <w:rFonts w:cs="Arial"/>
          <w:szCs w:val="19"/>
        </w:rPr>
        <w:t>[L’annexe suit]</w:t>
      </w:r>
    </w:p>
    <w:p w14:paraId="49B22C7D" w14:textId="77777777" w:rsidR="0035084F" w:rsidRDefault="0035084F">
      <w:pPr>
        <w:jc w:val="left"/>
      </w:pPr>
    </w:p>
    <w:p w14:paraId="536192D2" w14:textId="77777777" w:rsidR="007D29F8" w:rsidRDefault="007D29F8" w:rsidP="009B440E">
      <w:pPr>
        <w:jc w:val="left"/>
        <w:sectPr w:rsidR="007D29F8" w:rsidSect="00906DDC">
          <w:headerReference w:type="default" r:id="rId8"/>
          <w:pgSz w:w="11907" w:h="16840" w:code="9"/>
          <w:pgMar w:top="510" w:right="1134" w:bottom="1134" w:left="1134" w:header="510" w:footer="680" w:gutter="0"/>
          <w:cols w:space="720"/>
          <w:titlePg/>
        </w:sectPr>
      </w:pPr>
    </w:p>
    <w:p w14:paraId="614A7334" w14:textId="14E665FB" w:rsidR="007D29F8" w:rsidRPr="00E12BB9" w:rsidRDefault="008C017E" w:rsidP="007D29F8">
      <w:pPr>
        <w:pStyle w:val="Titleofdoc0"/>
        <w:tabs>
          <w:tab w:val="left" w:pos="2835"/>
        </w:tabs>
        <w:spacing w:before="0" w:after="0"/>
        <w:ind w:left="2835" w:hanging="2835"/>
        <w:jc w:val="center"/>
        <w:rPr>
          <w:caps w:val="0"/>
          <w:color w:val="194C33" w:themeColor="accent1" w:themeShade="80"/>
          <w:sz w:val="32"/>
          <w:szCs w:val="32"/>
        </w:rPr>
      </w:pPr>
      <w:r w:rsidRPr="00E12BB9">
        <w:rPr>
          <w:caps w:val="0"/>
          <w:color w:val="194C33" w:themeColor="accent1" w:themeShade="80"/>
          <w:sz w:val="32"/>
          <w:szCs w:val="32"/>
        </w:rPr>
        <w:lastRenderedPageBreak/>
        <w:t xml:space="preserve">Programme </w:t>
      </w:r>
      <w:r w:rsidR="007D29F8" w:rsidRPr="00E12BB9">
        <w:rPr>
          <w:caps w:val="0"/>
          <w:color w:val="194C33" w:themeColor="accent1" w:themeShade="80"/>
          <w:sz w:val="32"/>
          <w:szCs w:val="32"/>
        </w:rPr>
        <w:t>et budget pour 2024-2025</w:t>
      </w:r>
    </w:p>
    <w:p w14:paraId="003287D5" w14:textId="77777777" w:rsidR="007D29F8" w:rsidRPr="00E12BB9" w:rsidRDefault="007D29F8" w:rsidP="007D29F8">
      <w:pPr>
        <w:jc w:val="left"/>
      </w:pPr>
    </w:p>
    <w:sdt>
      <w:sdtPr>
        <w:rPr>
          <w:b/>
          <w:bCs/>
        </w:rPr>
        <w:id w:val="-1719118402"/>
        <w:docPartObj>
          <w:docPartGallery w:val="Table of Contents"/>
          <w:docPartUnique/>
        </w:docPartObj>
      </w:sdtPr>
      <w:sdtEndPr>
        <w:rPr>
          <w:b w:val="0"/>
          <w:bCs w:val="0"/>
          <w:noProof/>
        </w:rPr>
      </w:sdtEndPr>
      <w:sdtContent>
        <w:p w14:paraId="2D91A61C" w14:textId="77777777" w:rsidR="007D29F8" w:rsidRPr="00E12BB9" w:rsidRDefault="007D29F8" w:rsidP="007D29F8">
          <w:pPr>
            <w:rPr>
              <w:b/>
              <w:color w:val="26724C" w:themeColor="accent1" w:themeShade="BF"/>
            </w:rPr>
          </w:pPr>
          <w:r>
            <w:rPr>
              <w:b/>
              <w:color w:val="26724C" w:themeColor="accent1" w:themeShade="BF"/>
            </w:rPr>
            <w:t>Table des matièr</w:t>
          </w:r>
          <w:r w:rsidRPr="00E12BB9">
            <w:rPr>
              <w:b/>
              <w:color w:val="26724C" w:themeColor="accent1" w:themeShade="BF"/>
            </w:rPr>
            <w:t>es</w:t>
          </w:r>
        </w:p>
        <w:p w14:paraId="479E4EB3" w14:textId="77777777" w:rsidR="007D29F8" w:rsidRDefault="007D29F8">
          <w:pPr>
            <w:pStyle w:val="TOC1"/>
            <w:rPr>
              <w:rFonts w:asciiTheme="minorHAnsi" w:eastAsiaTheme="minorEastAsia" w:hAnsiTheme="minorHAnsi" w:cstheme="minorBidi"/>
              <w:bCs w:val="0"/>
              <w:caps w:val="0"/>
              <w:sz w:val="22"/>
              <w:szCs w:val="22"/>
              <w:lang w:eastAsia="zh-CN"/>
            </w:rPr>
          </w:pPr>
          <w:r>
            <w:rPr>
              <w:bCs w:val="0"/>
              <w:lang w:val="fr-FR"/>
            </w:rPr>
            <w:fldChar w:fldCharType="begin"/>
          </w:r>
          <w:r>
            <w:rPr>
              <w:bCs w:val="0"/>
              <w:lang w:val="fr-FR"/>
            </w:rPr>
            <w:instrText xml:space="preserve"> TOC \o "1-3" \h \z \t "Heading 9,4" </w:instrText>
          </w:r>
          <w:r>
            <w:rPr>
              <w:bCs w:val="0"/>
              <w:lang w:val="fr-FR"/>
            </w:rPr>
            <w:fldChar w:fldCharType="separate"/>
          </w:r>
          <w:hyperlink w:anchor="_Toc132208443" w:history="1">
            <w:r w:rsidRPr="00FD1852">
              <w:rPr>
                <w:rStyle w:val="Hyperlink"/>
                <w:lang w:val="fr-FR"/>
              </w:rPr>
              <w:t>I.</w:t>
            </w:r>
            <w:r>
              <w:rPr>
                <w:rFonts w:asciiTheme="minorHAnsi" w:eastAsiaTheme="minorEastAsia" w:hAnsiTheme="minorHAnsi" w:cstheme="minorBidi"/>
                <w:bCs w:val="0"/>
                <w:caps w:val="0"/>
                <w:sz w:val="22"/>
                <w:szCs w:val="22"/>
                <w:lang w:eastAsia="zh-CN"/>
              </w:rPr>
              <w:tab/>
            </w:r>
            <w:r w:rsidRPr="00FD1852">
              <w:rPr>
                <w:rStyle w:val="Hyperlink"/>
                <w:lang w:val="fr-FR"/>
              </w:rPr>
              <w:t>Contexte général</w:t>
            </w:r>
            <w:r>
              <w:rPr>
                <w:webHidden/>
              </w:rPr>
              <w:tab/>
            </w:r>
            <w:r>
              <w:rPr>
                <w:webHidden/>
              </w:rPr>
              <w:fldChar w:fldCharType="begin"/>
            </w:r>
            <w:r>
              <w:rPr>
                <w:webHidden/>
              </w:rPr>
              <w:instrText xml:space="preserve"> PAGEREF _Toc132208443 \h </w:instrText>
            </w:r>
            <w:r>
              <w:rPr>
                <w:webHidden/>
              </w:rPr>
            </w:r>
            <w:r>
              <w:rPr>
                <w:webHidden/>
              </w:rPr>
              <w:fldChar w:fldCharType="separate"/>
            </w:r>
            <w:r w:rsidR="002F643C">
              <w:rPr>
                <w:webHidden/>
              </w:rPr>
              <w:t>2</w:t>
            </w:r>
            <w:r>
              <w:rPr>
                <w:webHidden/>
              </w:rPr>
              <w:fldChar w:fldCharType="end"/>
            </w:r>
          </w:hyperlink>
        </w:p>
        <w:p w14:paraId="1F3DF8AE" w14:textId="77777777" w:rsidR="007D29F8" w:rsidRDefault="0000207E">
          <w:pPr>
            <w:pStyle w:val="TOC1"/>
            <w:rPr>
              <w:rFonts w:asciiTheme="minorHAnsi" w:eastAsiaTheme="minorEastAsia" w:hAnsiTheme="minorHAnsi" w:cstheme="minorBidi"/>
              <w:bCs w:val="0"/>
              <w:caps w:val="0"/>
              <w:sz w:val="22"/>
              <w:szCs w:val="22"/>
              <w:lang w:eastAsia="zh-CN"/>
            </w:rPr>
          </w:pPr>
          <w:hyperlink w:anchor="_Toc132208444" w:history="1">
            <w:r w:rsidR="007D29F8" w:rsidRPr="00FD1852">
              <w:rPr>
                <w:rStyle w:val="Hyperlink"/>
                <w:lang w:val="fr-FR"/>
              </w:rPr>
              <w:t>II.</w:t>
            </w:r>
            <w:r w:rsidR="007D29F8">
              <w:rPr>
                <w:rFonts w:asciiTheme="minorHAnsi" w:eastAsiaTheme="minorEastAsia" w:hAnsiTheme="minorHAnsi" w:cstheme="minorBidi"/>
                <w:bCs w:val="0"/>
                <w:caps w:val="0"/>
                <w:sz w:val="22"/>
                <w:szCs w:val="22"/>
                <w:lang w:eastAsia="zh-CN"/>
              </w:rPr>
              <w:tab/>
            </w:r>
            <w:r w:rsidR="007D29F8" w:rsidRPr="00FD1852">
              <w:rPr>
                <w:rStyle w:val="Hyperlink"/>
                <w:lang w:val="fr-FR"/>
              </w:rPr>
              <w:t>Présentation du programme et budget</w:t>
            </w:r>
            <w:r w:rsidR="007D29F8">
              <w:rPr>
                <w:webHidden/>
              </w:rPr>
              <w:tab/>
            </w:r>
            <w:r w:rsidR="007D29F8">
              <w:rPr>
                <w:webHidden/>
              </w:rPr>
              <w:fldChar w:fldCharType="begin"/>
            </w:r>
            <w:r w:rsidR="007D29F8">
              <w:rPr>
                <w:webHidden/>
              </w:rPr>
              <w:instrText xml:space="preserve"> PAGEREF _Toc132208444 \h </w:instrText>
            </w:r>
            <w:r w:rsidR="007D29F8">
              <w:rPr>
                <w:webHidden/>
              </w:rPr>
            </w:r>
            <w:r w:rsidR="007D29F8">
              <w:rPr>
                <w:webHidden/>
              </w:rPr>
              <w:fldChar w:fldCharType="separate"/>
            </w:r>
            <w:r w:rsidR="002F643C">
              <w:rPr>
                <w:webHidden/>
              </w:rPr>
              <w:t>4</w:t>
            </w:r>
            <w:r w:rsidR="007D29F8">
              <w:rPr>
                <w:webHidden/>
              </w:rPr>
              <w:fldChar w:fldCharType="end"/>
            </w:r>
          </w:hyperlink>
        </w:p>
        <w:p w14:paraId="2779E1E9" w14:textId="77777777" w:rsidR="007D29F8" w:rsidRDefault="0000207E">
          <w:pPr>
            <w:pStyle w:val="TOC2"/>
            <w:rPr>
              <w:rFonts w:asciiTheme="minorHAnsi" w:eastAsiaTheme="minorEastAsia" w:hAnsiTheme="minorHAnsi" w:cstheme="minorBidi"/>
              <w:iCs w:val="0"/>
              <w:sz w:val="22"/>
              <w:szCs w:val="22"/>
              <w:lang w:eastAsia="zh-CN"/>
            </w:rPr>
          </w:pPr>
          <w:hyperlink w:anchor="_Toc132208445" w:history="1">
            <w:r w:rsidR="007D29F8" w:rsidRPr="00FD1852">
              <w:rPr>
                <w:rStyle w:val="Hyperlink"/>
                <w:lang w:val="fr-FR"/>
              </w:rPr>
              <w:t>Synthèse financière</w:t>
            </w:r>
            <w:r w:rsidR="007D29F8">
              <w:rPr>
                <w:webHidden/>
              </w:rPr>
              <w:tab/>
            </w:r>
            <w:r w:rsidR="007D29F8">
              <w:rPr>
                <w:webHidden/>
              </w:rPr>
              <w:fldChar w:fldCharType="begin"/>
            </w:r>
            <w:r w:rsidR="007D29F8">
              <w:rPr>
                <w:webHidden/>
              </w:rPr>
              <w:instrText xml:space="preserve"> PAGEREF _Toc132208445 \h </w:instrText>
            </w:r>
            <w:r w:rsidR="007D29F8">
              <w:rPr>
                <w:webHidden/>
              </w:rPr>
            </w:r>
            <w:r w:rsidR="007D29F8">
              <w:rPr>
                <w:webHidden/>
              </w:rPr>
              <w:fldChar w:fldCharType="separate"/>
            </w:r>
            <w:r w:rsidR="002F643C">
              <w:rPr>
                <w:webHidden/>
              </w:rPr>
              <w:t>4</w:t>
            </w:r>
            <w:r w:rsidR="007D29F8">
              <w:rPr>
                <w:webHidden/>
              </w:rPr>
              <w:fldChar w:fldCharType="end"/>
            </w:r>
          </w:hyperlink>
        </w:p>
        <w:p w14:paraId="09DC720D" w14:textId="77777777" w:rsidR="007D29F8" w:rsidRDefault="0000207E">
          <w:pPr>
            <w:pStyle w:val="TOC3"/>
            <w:rPr>
              <w:rFonts w:asciiTheme="minorHAnsi" w:eastAsiaTheme="minorEastAsia" w:hAnsiTheme="minorHAnsi" w:cstheme="minorBidi"/>
              <w:i w:val="0"/>
              <w:sz w:val="22"/>
              <w:szCs w:val="22"/>
              <w:lang w:eastAsia="zh-CN"/>
            </w:rPr>
          </w:pPr>
          <w:hyperlink w:anchor="_Toc132208446" w:history="1">
            <w:r w:rsidR="007D29F8" w:rsidRPr="00FD1852">
              <w:rPr>
                <w:rStyle w:val="Hyperlink"/>
                <w:lang w:val="fr-FR"/>
              </w:rPr>
              <w:t>Recettes</w:t>
            </w:r>
            <w:r w:rsidR="007D29F8">
              <w:rPr>
                <w:webHidden/>
              </w:rPr>
              <w:tab/>
            </w:r>
            <w:r w:rsidR="007D29F8">
              <w:rPr>
                <w:webHidden/>
              </w:rPr>
              <w:fldChar w:fldCharType="begin"/>
            </w:r>
            <w:r w:rsidR="007D29F8">
              <w:rPr>
                <w:webHidden/>
              </w:rPr>
              <w:instrText xml:space="preserve"> PAGEREF _Toc132208446 \h </w:instrText>
            </w:r>
            <w:r w:rsidR="007D29F8">
              <w:rPr>
                <w:webHidden/>
              </w:rPr>
            </w:r>
            <w:r w:rsidR="007D29F8">
              <w:rPr>
                <w:webHidden/>
              </w:rPr>
              <w:fldChar w:fldCharType="separate"/>
            </w:r>
            <w:r w:rsidR="002F643C">
              <w:rPr>
                <w:webHidden/>
              </w:rPr>
              <w:t>4</w:t>
            </w:r>
            <w:r w:rsidR="007D29F8">
              <w:rPr>
                <w:webHidden/>
              </w:rPr>
              <w:fldChar w:fldCharType="end"/>
            </w:r>
          </w:hyperlink>
        </w:p>
        <w:p w14:paraId="69101E5C" w14:textId="77777777" w:rsidR="007D29F8" w:rsidRDefault="0000207E">
          <w:pPr>
            <w:pStyle w:val="TOC3"/>
            <w:rPr>
              <w:rFonts w:asciiTheme="minorHAnsi" w:eastAsiaTheme="minorEastAsia" w:hAnsiTheme="minorHAnsi" w:cstheme="minorBidi"/>
              <w:i w:val="0"/>
              <w:sz w:val="22"/>
              <w:szCs w:val="22"/>
              <w:lang w:eastAsia="zh-CN"/>
            </w:rPr>
          </w:pPr>
          <w:hyperlink w:anchor="_Toc132208447" w:history="1">
            <w:r w:rsidR="007D29F8" w:rsidRPr="00FD1852">
              <w:rPr>
                <w:rStyle w:val="Hyperlink"/>
                <w:lang w:val="fr-FR"/>
              </w:rPr>
              <w:t>Plan en matière de ressources</w:t>
            </w:r>
            <w:r w:rsidR="007D29F8">
              <w:rPr>
                <w:webHidden/>
              </w:rPr>
              <w:tab/>
            </w:r>
            <w:r w:rsidR="007D29F8">
              <w:rPr>
                <w:webHidden/>
              </w:rPr>
              <w:fldChar w:fldCharType="begin"/>
            </w:r>
            <w:r w:rsidR="007D29F8">
              <w:rPr>
                <w:webHidden/>
              </w:rPr>
              <w:instrText xml:space="preserve"> PAGEREF _Toc132208447 \h </w:instrText>
            </w:r>
            <w:r w:rsidR="007D29F8">
              <w:rPr>
                <w:webHidden/>
              </w:rPr>
            </w:r>
            <w:r w:rsidR="007D29F8">
              <w:rPr>
                <w:webHidden/>
              </w:rPr>
              <w:fldChar w:fldCharType="separate"/>
            </w:r>
            <w:r w:rsidR="002F643C">
              <w:rPr>
                <w:webHidden/>
              </w:rPr>
              <w:t>5</w:t>
            </w:r>
            <w:r w:rsidR="007D29F8">
              <w:rPr>
                <w:webHidden/>
              </w:rPr>
              <w:fldChar w:fldCharType="end"/>
            </w:r>
          </w:hyperlink>
        </w:p>
        <w:p w14:paraId="2A698DC2" w14:textId="77777777" w:rsidR="007D29F8" w:rsidRDefault="0000207E">
          <w:pPr>
            <w:pStyle w:val="TOC3"/>
            <w:rPr>
              <w:rFonts w:asciiTheme="minorHAnsi" w:eastAsiaTheme="minorEastAsia" w:hAnsiTheme="minorHAnsi" w:cstheme="minorBidi"/>
              <w:i w:val="0"/>
              <w:sz w:val="22"/>
              <w:szCs w:val="22"/>
              <w:lang w:eastAsia="zh-CN"/>
            </w:rPr>
          </w:pPr>
          <w:hyperlink w:anchor="_Toc132208448" w:history="1">
            <w:r w:rsidR="007D29F8" w:rsidRPr="00FD1852">
              <w:rPr>
                <w:rStyle w:val="Hyperlink"/>
                <w:lang w:val="fr-FR"/>
              </w:rPr>
              <w:t>Dépenses</w:t>
            </w:r>
            <w:r w:rsidR="007D29F8">
              <w:rPr>
                <w:webHidden/>
              </w:rPr>
              <w:tab/>
            </w:r>
            <w:r w:rsidR="007D29F8">
              <w:rPr>
                <w:webHidden/>
              </w:rPr>
              <w:fldChar w:fldCharType="begin"/>
            </w:r>
            <w:r w:rsidR="007D29F8">
              <w:rPr>
                <w:webHidden/>
              </w:rPr>
              <w:instrText xml:space="preserve"> PAGEREF _Toc132208448 \h </w:instrText>
            </w:r>
            <w:r w:rsidR="007D29F8">
              <w:rPr>
                <w:webHidden/>
              </w:rPr>
            </w:r>
            <w:r w:rsidR="007D29F8">
              <w:rPr>
                <w:webHidden/>
              </w:rPr>
              <w:fldChar w:fldCharType="separate"/>
            </w:r>
            <w:r w:rsidR="002F643C">
              <w:rPr>
                <w:webHidden/>
              </w:rPr>
              <w:t>6</w:t>
            </w:r>
            <w:r w:rsidR="007D29F8">
              <w:rPr>
                <w:webHidden/>
              </w:rPr>
              <w:fldChar w:fldCharType="end"/>
            </w:r>
          </w:hyperlink>
        </w:p>
        <w:p w14:paraId="2E701941" w14:textId="77777777" w:rsidR="007D29F8" w:rsidRDefault="0000207E">
          <w:pPr>
            <w:pStyle w:val="TOC3"/>
            <w:rPr>
              <w:rFonts w:asciiTheme="minorHAnsi" w:eastAsiaTheme="minorEastAsia" w:hAnsiTheme="minorHAnsi" w:cstheme="minorBidi"/>
              <w:i w:val="0"/>
              <w:sz w:val="22"/>
              <w:szCs w:val="22"/>
              <w:lang w:eastAsia="zh-CN"/>
            </w:rPr>
          </w:pPr>
          <w:hyperlink w:anchor="_Toc132208449" w:history="1">
            <w:r w:rsidR="007D29F8" w:rsidRPr="00FD1852">
              <w:rPr>
                <w:rStyle w:val="Hyperlink"/>
                <w:lang w:val="fr-FR"/>
              </w:rPr>
              <w:t>Ressources en personnel</w:t>
            </w:r>
            <w:r w:rsidR="007D29F8">
              <w:rPr>
                <w:webHidden/>
              </w:rPr>
              <w:tab/>
            </w:r>
            <w:r w:rsidR="007D29F8">
              <w:rPr>
                <w:webHidden/>
              </w:rPr>
              <w:fldChar w:fldCharType="begin"/>
            </w:r>
            <w:r w:rsidR="007D29F8">
              <w:rPr>
                <w:webHidden/>
              </w:rPr>
              <w:instrText xml:space="preserve"> PAGEREF _Toc132208449 \h </w:instrText>
            </w:r>
            <w:r w:rsidR="007D29F8">
              <w:rPr>
                <w:webHidden/>
              </w:rPr>
            </w:r>
            <w:r w:rsidR="007D29F8">
              <w:rPr>
                <w:webHidden/>
              </w:rPr>
              <w:fldChar w:fldCharType="separate"/>
            </w:r>
            <w:r w:rsidR="002F643C">
              <w:rPr>
                <w:webHidden/>
              </w:rPr>
              <w:t>8</w:t>
            </w:r>
            <w:r w:rsidR="007D29F8">
              <w:rPr>
                <w:webHidden/>
              </w:rPr>
              <w:fldChar w:fldCharType="end"/>
            </w:r>
          </w:hyperlink>
        </w:p>
        <w:p w14:paraId="1D859AEC" w14:textId="77777777" w:rsidR="007D29F8" w:rsidRDefault="0000207E">
          <w:pPr>
            <w:pStyle w:val="TOC1"/>
            <w:rPr>
              <w:rFonts w:asciiTheme="minorHAnsi" w:eastAsiaTheme="minorEastAsia" w:hAnsiTheme="minorHAnsi" w:cstheme="minorBidi"/>
              <w:bCs w:val="0"/>
              <w:caps w:val="0"/>
              <w:sz w:val="22"/>
              <w:szCs w:val="22"/>
              <w:lang w:eastAsia="zh-CN"/>
            </w:rPr>
          </w:pPr>
          <w:hyperlink w:anchor="_Toc132208450" w:history="1">
            <w:r w:rsidR="007D29F8" w:rsidRPr="00FD1852">
              <w:rPr>
                <w:rStyle w:val="Hyperlink"/>
                <w:lang w:val="fr-FR"/>
              </w:rPr>
              <w:t>III.</w:t>
            </w:r>
            <w:r w:rsidR="007D29F8">
              <w:rPr>
                <w:rFonts w:asciiTheme="minorHAnsi" w:eastAsiaTheme="minorEastAsia" w:hAnsiTheme="minorHAnsi" w:cstheme="minorBidi"/>
                <w:bCs w:val="0"/>
                <w:caps w:val="0"/>
                <w:sz w:val="22"/>
                <w:szCs w:val="22"/>
                <w:lang w:eastAsia="zh-CN"/>
              </w:rPr>
              <w:tab/>
            </w:r>
            <w:r w:rsidR="007D29F8" w:rsidRPr="00FD1852">
              <w:rPr>
                <w:rStyle w:val="Hyperlink"/>
                <w:lang w:val="fr-FR"/>
              </w:rPr>
              <w:t>Objectifs et résultats escomptés</w:t>
            </w:r>
            <w:r w:rsidR="007D29F8">
              <w:rPr>
                <w:webHidden/>
              </w:rPr>
              <w:tab/>
            </w:r>
            <w:r w:rsidR="007D29F8">
              <w:rPr>
                <w:webHidden/>
              </w:rPr>
              <w:fldChar w:fldCharType="begin"/>
            </w:r>
            <w:r w:rsidR="007D29F8">
              <w:rPr>
                <w:webHidden/>
              </w:rPr>
              <w:instrText xml:space="preserve"> PAGEREF _Toc132208450 \h </w:instrText>
            </w:r>
            <w:r w:rsidR="007D29F8">
              <w:rPr>
                <w:webHidden/>
              </w:rPr>
            </w:r>
            <w:r w:rsidR="007D29F8">
              <w:rPr>
                <w:webHidden/>
              </w:rPr>
              <w:fldChar w:fldCharType="separate"/>
            </w:r>
            <w:r w:rsidR="002F643C">
              <w:rPr>
                <w:webHidden/>
              </w:rPr>
              <w:t>9</w:t>
            </w:r>
            <w:r w:rsidR="007D29F8">
              <w:rPr>
                <w:webHidden/>
              </w:rPr>
              <w:fldChar w:fldCharType="end"/>
            </w:r>
          </w:hyperlink>
        </w:p>
        <w:p w14:paraId="29950E14" w14:textId="77777777" w:rsidR="007D29F8" w:rsidRDefault="0000207E">
          <w:pPr>
            <w:pStyle w:val="TOC2"/>
            <w:rPr>
              <w:rFonts w:asciiTheme="minorHAnsi" w:eastAsiaTheme="minorEastAsia" w:hAnsiTheme="minorHAnsi" w:cstheme="minorBidi"/>
              <w:iCs w:val="0"/>
              <w:sz w:val="22"/>
              <w:szCs w:val="22"/>
              <w:lang w:eastAsia="zh-CN"/>
            </w:rPr>
          </w:pPr>
          <w:hyperlink w:anchor="_Toc132208451" w:history="1">
            <w:r w:rsidR="007D29F8" w:rsidRPr="00FD1852">
              <w:rPr>
                <w:rStyle w:val="Hyperlink"/>
                <w:lang w:val="fr-FR"/>
              </w:rPr>
              <w:t>Introduction</w:t>
            </w:r>
            <w:r w:rsidR="007D29F8">
              <w:rPr>
                <w:webHidden/>
              </w:rPr>
              <w:tab/>
            </w:r>
            <w:r w:rsidR="007D29F8">
              <w:rPr>
                <w:webHidden/>
              </w:rPr>
              <w:fldChar w:fldCharType="begin"/>
            </w:r>
            <w:r w:rsidR="007D29F8">
              <w:rPr>
                <w:webHidden/>
              </w:rPr>
              <w:instrText xml:space="preserve"> PAGEREF _Toc132208451 \h </w:instrText>
            </w:r>
            <w:r w:rsidR="007D29F8">
              <w:rPr>
                <w:webHidden/>
              </w:rPr>
            </w:r>
            <w:r w:rsidR="007D29F8">
              <w:rPr>
                <w:webHidden/>
              </w:rPr>
              <w:fldChar w:fldCharType="separate"/>
            </w:r>
            <w:r w:rsidR="002F643C">
              <w:rPr>
                <w:webHidden/>
              </w:rPr>
              <w:t>9</w:t>
            </w:r>
            <w:r w:rsidR="007D29F8">
              <w:rPr>
                <w:webHidden/>
              </w:rPr>
              <w:fldChar w:fldCharType="end"/>
            </w:r>
          </w:hyperlink>
        </w:p>
        <w:p w14:paraId="5649CD89" w14:textId="77777777" w:rsidR="007D29F8" w:rsidRDefault="0000207E">
          <w:pPr>
            <w:pStyle w:val="TOC2"/>
            <w:rPr>
              <w:rFonts w:asciiTheme="minorHAnsi" w:eastAsiaTheme="minorEastAsia" w:hAnsiTheme="minorHAnsi" w:cstheme="minorBidi"/>
              <w:iCs w:val="0"/>
              <w:sz w:val="22"/>
              <w:szCs w:val="22"/>
              <w:lang w:eastAsia="zh-CN"/>
            </w:rPr>
          </w:pPr>
          <w:hyperlink w:anchor="_Toc132208452" w:history="1">
            <w:r w:rsidR="007D29F8" w:rsidRPr="00FD1852">
              <w:rPr>
                <w:rStyle w:val="Hyperlink"/>
                <w:lang w:val="fr-FR"/>
              </w:rPr>
              <w:t>Pilier n° 1 : Réunir les parties prenantes pour aider à façonner le système de l’UPOV</w:t>
            </w:r>
            <w:r w:rsidR="007D29F8">
              <w:rPr>
                <w:webHidden/>
              </w:rPr>
              <w:tab/>
            </w:r>
            <w:r w:rsidR="007D29F8">
              <w:rPr>
                <w:webHidden/>
              </w:rPr>
              <w:fldChar w:fldCharType="begin"/>
            </w:r>
            <w:r w:rsidR="007D29F8">
              <w:rPr>
                <w:webHidden/>
              </w:rPr>
              <w:instrText xml:space="preserve"> PAGEREF _Toc132208452 \h </w:instrText>
            </w:r>
            <w:r w:rsidR="007D29F8">
              <w:rPr>
                <w:webHidden/>
              </w:rPr>
            </w:r>
            <w:r w:rsidR="007D29F8">
              <w:rPr>
                <w:webHidden/>
              </w:rPr>
              <w:fldChar w:fldCharType="separate"/>
            </w:r>
            <w:r w:rsidR="002F643C">
              <w:rPr>
                <w:webHidden/>
              </w:rPr>
              <w:t>10</w:t>
            </w:r>
            <w:r w:rsidR="007D29F8">
              <w:rPr>
                <w:webHidden/>
              </w:rPr>
              <w:fldChar w:fldCharType="end"/>
            </w:r>
          </w:hyperlink>
        </w:p>
        <w:p w14:paraId="685EEA6B" w14:textId="77777777" w:rsidR="007D29F8" w:rsidRDefault="0000207E">
          <w:pPr>
            <w:pStyle w:val="TOC3"/>
            <w:rPr>
              <w:rFonts w:asciiTheme="minorHAnsi" w:eastAsiaTheme="minorEastAsia" w:hAnsiTheme="minorHAnsi" w:cstheme="minorBidi"/>
              <w:i w:val="0"/>
              <w:sz w:val="22"/>
              <w:szCs w:val="22"/>
              <w:lang w:eastAsia="zh-CN"/>
            </w:rPr>
          </w:pPr>
          <w:hyperlink w:anchor="_Toc132208453" w:history="1">
            <w:r w:rsidR="007D29F8" w:rsidRPr="00FD1852">
              <w:rPr>
                <w:rStyle w:val="Hyperlink"/>
                <w:lang w:val="fr-FR"/>
              </w:rPr>
              <w:t>Stratégie de mise en œuvre pour parvenir aux résultats escomptés</w:t>
            </w:r>
            <w:r w:rsidR="007D29F8">
              <w:rPr>
                <w:webHidden/>
              </w:rPr>
              <w:tab/>
            </w:r>
            <w:r w:rsidR="007D29F8">
              <w:rPr>
                <w:webHidden/>
              </w:rPr>
              <w:fldChar w:fldCharType="begin"/>
            </w:r>
            <w:r w:rsidR="007D29F8">
              <w:rPr>
                <w:webHidden/>
              </w:rPr>
              <w:instrText xml:space="preserve"> PAGEREF _Toc132208453 \h </w:instrText>
            </w:r>
            <w:r w:rsidR="007D29F8">
              <w:rPr>
                <w:webHidden/>
              </w:rPr>
            </w:r>
            <w:r w:rsidR="007D29F8">
              <w:rPr>
                <w:webHidden/>
              </w:rPr>
              <w:fldChar w:fldCharType="separate"/>
            </w:r>
            <w:r w:rsidR="002F643C">
              <w:rPr>
                <w:webHidden/>
              </w:rPr>
              <w:t>10</w:t>
            </w:r>
            <w:r w:rsidR="007D29F8">
              <w:rPr>
                <w:webHidden/>
              </w:rPr>
              <w:fldChar w:fldCharType="end"/>
            </w:r>
          </w:hyperlink>
        </w:p>
        <w:p w14:paraId="1C53E90F" w14:textId="77777777" w:rsidR="007D29F8" w:rsidRDefault="0000207E">
          <w:pPr>
            <w:pStyle w:val="TOC3"/>
            <w:rPr>
              <w:rFonts w:asciiTheme="minorHAnsi" w:eastAsiaTheme="minorEastAsia" w:hAnsiTheme="minorHAnsi" w:cstheme="minorBidi"/>
              <w:i w:val="0"/>
              <w:sz w:val="22"/>
              <w:szCs w:val="22"/>
              <w:lang w:eastAsia="zh-CN"/>
            </w:rPr>
          </w:pPr>
          <w:hyperlink w:anchor="_Toc132208454" w:history="1">
            <w:r w:rsidR="007D29F8" w:rsidRPr="00FD1852">
              <w:rPr>
                <w:rStyle w:val="Hyperlink"/>
                <w:lang w:val="fr-FR"/>
              </w:rPr>
              <w:t>Résultats escomptés et indicateurs d’exécution</w:t>
            </w:r>
            <w:r w:rsidR="007D29F8">
              <w:rPr>
                <w:webHidden/>
              </w:rPr>
              <w:tab/>
            </w:r>
            <w:r w:rsidR="007D29F8">
              <w:rPr>
                <w:webHidden/>
              </w:rPr>
              <w:fldChar w:fldCharType="begin"/>
            </w:r>
            <w:r w:rsidR="007D29F8">
              <w:rPr>
                <w:webHidden/>
              </w:rPr>
              <w:instrText xml:space="preserve"> PAGEREF _Toc132208454 \h </w:instrText>
            </w:r>
            <w:r w:rsidR="007D29F8">
              <w:rPr>
                <w:webHidden/>
              </w:rPr>
            </w:r>
            <w:r w:rsidR="007D29F8">
              <w:rPr>
                <w:webHidden/>
              </w:rPr>
              <w:fldChar w:fldCharType="separate"/>
            </w:r>
            <w:r w:rsidR="002F643C">
              <w:rPr>
                <w:webHidden/>
              </w:rPr>
              <w:t>10</w:t>
            </w:r>
            <w:r w:rsidR="007D29F8">
              <w:rPr>
                <w:webHidden/>
              </w:rPr>
              <w:fldChar w:fldCharType="end"/>
            </w:r>
          </w:hyperlink>
        </w:p>
        <w:p w14:paraId="5A20A449" w14:textId="77777777" w:rsidR="007D29F8" w:rsidRDefault="0000207E">
          <w:pPr>
            <w:pStyle w:val="TOC2"/>
            <w:rPr>
              <w:rFonts w:asciiTheme="minorHAnsi" w:eastAsiaTheme="minorEastAsia" w:hAnsiTheme="minorHAnsi" w:cstheme="minorBidi"/>
              <w:iCs w:val="0"/>
              <w:sz w:val="22"/>
              <w:szCs w:val="22"/>
              <w:lang w:eastAsia="zh-CN"/>
            </w:rPr>
          </w:pPr>
          <w:hyperlink w:anchor="_Toc132208455" w:history="1">
            <w:r w:rsidR="007D29F8" w:rsidRPr="00FD1852">
              <w:rPr>
                <w:rStyle w:val="Hyperlink"/>
                <w:lang w:val="fr-FR"/>
              </w:rPr>
              <w:t>Pilier n° 2 : Fournir des orientations et une assistance et faciliter la coopération pour la mise en place du système de l’UPOV</w:t>
            </w:r>
            <w:r w:rsidR="007D29F8">
              <w:rPr>
                <w:webHidden/>
              </w:rPr>
              <w:tab/>
            </w:r>
            <w:r w:rsidR="007D29F8">
              <w:rPr>
                <w:webHidden/>
              </w:rPr>
              <w:fldChar w:fldCharType="begin"/>
            </w:r>
            <w:r w:rsidR="007D29F8">
              <w:rPr>
                <w:webHidden/>
              </w:rPr>
              <w:instrText xml:space="preserve"> PAGEREF _Toc132208455 \h </w:instrText>
            </w:r>
            <w:r w:rsidR="007D29F8">
              <w:rPr>
                <w:webHidden/>
              </w:rPr>
            </w:r>
            <w:r w:rsidR="007D29F8">
              <w:rPr>
                <w:webHidden/>
              </w:rPr>
              <w:fldChar w:fldCharType="separate"/>
            </w:r>
            <w:r w:rsidR="002F643C">
              <w:rPr>
                <w:webHidden/>
              </w:rPr>
              <w:t>11</w:t>
            </w:r>
            <w:r w:rsidR="007D29F8">
              <w:rPr>
                <w:webHidden/>
              </w:rPr>
              <w:fldChar w:fldCharType="end"/>
            </w:r>
          </w:hyperlink>
        </w:p>
        <w:p w14:paraId="314B7B6F" w14:textId="77777777" w:rsidR="007D29F8" w:rsidRDefault="0000207E">
          <w:pPr>
            <w:pStyle w:val="TOC3"/>
            <w:rPr>
              <w:rFonts w:asciiTheme="minorHAnsi" w:eastAsiaTheme="minorEastAsia" w:hAnsiTheme="minorHAnsi" w:cstheme="minorBidi"/>
              <w:i w:val="0"/>
              <w:sz w:val="22"/>
              <w:szCs w:val="22"/>
              <w:lang w:eastAsia="zh-CN"/>
            </w:rPr>
          </w:pPr>
          <w:hyperlink w:anchor="_Toc132208456" w:history="1">
            <w:r w:rsidR="007D29F8" w:rsidRPr="00FD1852">
              <w:rPr>
                <w:rStyle w:val="Hyperlink"/>
                <w:lang w:val="fr-FR"/>
              </w:rPr>
              <w:t>Stratégie de mise en œuvre pour parvenir aux résultats escomptés</w:t>
            </w:r>
            <w:r w:rsidR="007D29F8">
              <w:rPr>
                <w:webHidden/>
              </w:rPr>
              <w:tab/>
            </w:r>
            <w:r w:rsidR="007D29F8">
              <w:rPr>
                <w:webHidden/>
              </w:rPr>
              <w:fldChar w:fldCharType="begin"/>
            </w:r>
            <w:r w:rsidR="007D29F8">
              <w:rPr>
                <w:webHidden/>
              </w:rPr>
              <w:instrText xml:space="preserve"> PAGEREF _Toc132208456 \h </w:instrText>
            </w:r>
            <w:r w:rsidR="007D29F8">
              <w:rPr>
                <w:webHidden/>
              </w:rPr>
            </w:r>
            <w:r w:rsidR="007D29F8">
              <w:rPr>
                <w:webHidden/>
              </w:rPr>
              <w:fldChar w:fldCharType="separate"/>
            </w:r>
            <w:r w:rsidR="002F643C">
              <w:rPr>
                <w:webHidden/>
              </w:rPr>
              <w:t>11</w:t>
            </w:r>
            <w:r w:rsidR="007D29F8">
              <w:rPr>
                <w:webHidden/>
              </w:rPr>
              <w:fldChar w:fldCharType="end"/>
            </w:r>
          </w:hyperlink>
        </w:p>
        <w:p w14:paraId="37CB0EEB" w14:textId="77777777" w:rsidR="007D29F8" w:rsidRDefault="0000207E">
          <w:pPr>
            <w:pStyle w:val="TOC3"/>
            <w:rPr>
              <w:rFonts w:asciiTheme="minorHAnsi" w:eastAsiaTheme="minorEastAsia" w:hAnsiTheme="minorHAnsi" w:cstheme="minorBidi"/>
              <w:i w:val="0"/>
              <w:sz w:val="22"/>
              <w:szCs w:val="22"/>
              <w:lang w:eastAsia="zh-CN"/>
            </w:rPr>
          </w:pPr>
          <w:hyperlink w:anchor="_Toc132208457" w:history="1">
            <w:r w:rsidR="007D29F8" w:rsidRPr="00FD1852">
              <w:rPr>
                <w:rStyle w:val="Hyperlink"/>
                <w:lang w:val="fr-FR"/>
              </w:rPr>
              <w:t>Résultats escomptés et indicateurs d’exécution</w:t>
            </w:r>
            <w:r w:rsidR="007D29F8">
              <w:rPr>
                <w:webHidden/>
              </w:rPr>
              <w:tab/>
            </w:r>
            <w:r w:rsidR="007D29F8">
              <w:rPr>
                <w:webHidden/>
              </w:rPr>
              <w:fldChar w:fldCharType="begin"/>
            </w:r>
            <w:r w:rsidR="007D29F8">
              <w:rPr>
                <w:webHidden/>
              </w:rPr>
              <w:instrText xml:space="preserve"> PAGEREF _Toc132208457 \h </w:instrText>
            </w:r>
            <w:r w:rsidR="007D29F8">
              <w:rPr>
                <w:webHidden/>
              </w:rPr>
            </w:r>
            <w:r w:rsidR="007D29F8">
              <w:rPr>
                <w:webHidden/>
              </w:rPr>
              <w:fldChar w:fldCharType="separate"/>
            </w:r>
            <w:r w:rsidR="002F643C">
              <w:rPr>
                <w:webHidden/>
              </w:rPr>
              <w:t>13</w:t>
            </w:r>
            <w:r w:rsidR="007D29F8">
              <w:rPr>
                <w:webHidden/>
              </w:rPr>
              <w:fldChar w:fldCharType="end"/>
            </w:r>
          </w:hyperlink>
        </w:p>
        <w:p w14:paraId="04080CB1" w14:textId="77777777" w:rsidR="007D29F8" w:rsidRDefault="0000207E">
          <w:pPr>
            <w:pStyle w:val="TOC2"/>
            <w:rPr>
              <w:rFonts w:asciiTheme="minorHAnsi" w:eastAsiaTheme="minorEastAsia" w:hAnsiTheme="minorHAnsi" w:cstheme="minorBidi"/>
              <w:iCs w:val="0"/>
              <w:sz w:val="22"/>
              <w:szCs w:val="22"/>
              <w:lang w:eastAsia="zh-CN"/>
            </w:rPr>
          </w:pPr>
          <w:hyperlink w:anchor="_Toc132208458" w:history="1">
            <w:r w:rsidR="007D29F8" w:rsidRPr="00FD1852">
              <w:rPr>
                <w:rStyle w:val="Hyperlink"/>
                <w:lang w:val="fr-FR"/>
              </w:rPr>
              <w:t>Pilier n° 3 : Fournir des services de haute qualité aux membres et aux utilisateurs du système de l’UPOV</w:t>
            </w:r>
            <w:r w:rsidR="007D29F8">
              <w:rPr>
                <w:webHidden/>
              </w:rPr>
              <w:tab/>
            </w:r>
            <w:r w:rsidR="007D29F8">
              <w:rPr>
                <w:webHidden/>
              </w:rPr>
              <w:fldChar w:fldCharType="begin"/>
            </w:r>
            <w:r w:rsidR="007D29F8">
              <w:rPr>
                <w:webHidden/>
              </w:rPr>
              <w:instrText xml:space="preserve"> PAGEREF _Toc132208458 \h </w:instrText>
            </w:r>
            <w:r w:rsidR="007D29F8">
              <w:rPr>
                <w:webHidden/>
              </w:rPr>
            </w:r>
            <w:r w:rsidR="007D29F8">
              <w:rPr>
                <w:webHidden/>
              </w:rPr>
              <w:fldChar w:fldCharType="separate"/>
            </w:r>
            <w:r w:rsidR="002F643C">
              <w:rPr>
                <w:webHidden/>
              </w:rPr>
              <w:t>14</w:t>
            </w:r>
            <w:r w:rsidR="007D29F8">
              <w:rPr>
                <w:webHidden/>
              </w:rPr>
              <w:fldChar w:fldCharType="end"/>
            </w:r>
          </w:hyperlink>
        </w:p>
        <w:p w14:paraId="43DB8212" w14:textId="77777777" w:rsidR="007D29F8" w:rsidRDefault="0000207E">
          <w:pPr>
            <w:pStyle w:val="TOC3"/>
            <w:rPr>
              <w:rFonts w:asciiTheme="minorHAnsi" w:eastAsiaTheme="minorEastAsia" w:hAnsiTheme="minorHAnsi" w:cstheme="minorBidi"/>
              <w:i w:val="0"/>
              <w:sz w:val="22"/>
              <w:szCs w:val="22"/>
              <w:lang w:eastAsia="zh-CN"/>
            </w:rPr>
          </w:pPr>
          <w:hyperlink w:anchor="_Toc132208459" w:history="1">
            <w:r w:rsidR="007D29F8" w:rsidRPr="00FD1852">
              <w:rPr>
                <w:rStyle w:val="Hyperlink"/>
                <w:lang w:val="fr-FR"/>
              </w:rPr>
              <w:t>Stratégie de mise en œuvre pour parvenir aux résultats escomptés</w:t>
            </w:r>
            <w:r w:rsidR="007D29F8">
              <w:rPr>
                <w:webHidden/>
              </w:rPr>
              <w:tab/>
            </w:r>
            <w:r w:rsidR="007D29F8">
              <w:rPr>
                <w:webHidden/>
              </w:rPr>
              <w:fldChar w:fldCharType="begin"/>
            </w:r>
            <w:r w:rsidR="007D29F8">
              <w:rPr>
                <w:webHidden/>
              </w:rPr>
              <w:instrText xml:space="preserve"> PAGEREF _Toc132208459 \h </w:instrText>
            </w:r>
            <w:r w:rsidR="007D29F8">
              <w:rPr>
                <w:webHidden/>
              </w:rPr>
            </w:r>
            <w:r w:rsidR="007D29F8">
              <w:rPr>
                <w:webHidden/>
              </w:rPr>
              <w:fldChar w:fldCharType="separate"/>
            </w:r>
            <w:r w:rsidR="002F643C">
              <w:rPr>
                <w:webHidden/>
              </w:rPr>
              <w:t>14</w:t>
            </w:r>
            <w:r w:rsidR="007D29F8">
              <w:rPr>
                <w:webHidden/>
              </w:rPr>
              <w:fldChar w:fldCharType="end"/>
            </w:r>
          </w:hyperlink>
        </w:p>
        <w:p w14:paraId="5719C6FA" w14:textId="77777777" w:rsidR="007D29F8" w:rsidRDefault="0000207E">
          <w:pPr>
            <w:pStyle w:val="TOC3"/>
            <w:rPr>
              <w:rFonts w:asciiTheme="minorHAnsi" w:eastAsiaTheme="minorEastAsia" w:hAnsiTheme="minorHAnsi" w:cstheme="minorBidi"/>
              <w:i w:val="0"/>
              <w:sz w:val="22"/>
              <w:szCs w:val="22"/>
              <w:lang w:eastAsia="zh-CN"/>
            </w:rPr>
          </w:pPr>
          <w:hyperlink w:anchor="_Toc132208460" w:history="1">
            <w:r w:rsidR="007D29F8" w:rsidRPr="00FD1852">
              <w:rPr>
                <w:rStyle w:val="Hyperlink"/>
                <w:lang w:val="fr-FR"/>
              </w:rPr>
              <w:t>Résultats escomptés et indicateurs d’exécution</w:t>
            </w:r>
            <w:r w:rsidR="007D29F8">
              <w:rPr>
                <w:webHidden/>
              </w:rPr>
              <w:tab/>
            </w:r>
            <w:r w:rsidR="007D29F8">
              <w:rPr>
                <w:webHidden/>
              </w:rPr>
              <w:fldChar w:fldCharType="begin"/>
            </w:r>
            <w:r w:rsidR="007D29F8">
              <w:rPr>
                <w:webHidden/>
              </w:rPr>
              <w:instrText xml:space="preserve"> PAGEREF _Toc132208460 \h </w:instrText>
            </w:r>
            <w:r w:rsidR="007D29F8">
              <w:rPr>
                <w:webHidden/>
              </w:rPr>
            </w:r>
            <w:r w:rsidR="007D29F8">
              <w:rPr>
                <w:webHidden/>
              </w:rPr>
              <w:fldChar w:fldCharType="separate"/>
            </w:r>
            <w:r w:rsidR="002F643C">
              <w:rPr>
                <w:webHidden/>
              </w:rPr>
              <w:t>15</w:t>
            </w:r>
            <w:r w:rsidR="007D29F8">
              <w:rPr>
                <w:webHidden/>
              </w:rPr>
              <w:fldChar w:fldCharType="end"/>
            </w:r>
          </w:hyperlink>
        </w:p>
        <w:p w14:paraId="12F347E1" w14:textId="77777777" w:rsidR="007D29F8" w:rsidRDefault="0000207E">
          <w:pPr>
            <w:pStyle w:val="TOC2"/>
            <w:rPr>
              <w:rFonts w:asciiTheme="minorHAnsi" w:eastAsiaTheme="minorEastAsia" w:hAnsiTheme="minorHAnsi" w:cstheme="minorBidi"/>
              <w:iCs w:val="0"/>
              <w:sz w:val="22"/>
              <w:szCs w:val="22"/>
              <w:lang w:eastAsia="zh-CN"/>
            </w:rPr>
          </w:pPr>
          <w:hyperlink w:anchor="_Toc132208461" w:history="1">
            <w:r w:rsidR="007D29F8" w:rsidRPr="00FD1852">
              <w:rPr>
                <w:rStyle w:val="Hyperlink"/>
                <w:lang w:val="fr-FR"/>
              </w:rPr>
              <w:t>Fondation : Donner à notre personnel les moyens de travailler de manière efficace, collaborative et innovante en mettant à sa disposition les ressources, la formation et l’environnement appropriés</w:t>
            </w:r>
            <w:r w:rsidR="007D29F8">
              <w:rPr>
                <w:webHidden/>
              </w:rPr>
              <w:tab/>
            </w:r>
            <w:r w:rsidR="007D29F8">
              <w:rPr>
                <w:webHidden/>
              </w:rPr>
              <w:fldChar w:fldCharType="begin"/>
            </w:r>
            <w:r w:rsidR="007D29F8">
              <w:rPr>
                <w:webHidden/>
              </w:rPr>
              <w:instrText xml:space="preserve"> PAGEREF _Toc132208461 \h </w:instrText>
            </w:r>
            <w:r w:rsidR="007D29F8">
              <w:rPr>
                <w:webHidden/>
              </w:rPr>
            </w:r>
            <w:r w:rsidR="007D29F8">
              <w:rPr>
                <w:webHidden/>
              </w:rPr>
              <w:fldChar w:fldCharType="separate"/>
            </w:r>
            <w:r w:rsidR="002F643C">
              <w:rPr>
                <w:webHidden/>
              </w:rPr>
              <w:t>15</w:t>
            </w:r>
            <w:r w:rsidR="007D29F8">
              <w:rPr>
                <w:webHidden/>
              </w:rPr>
              <w:fldChar w:fldCharType="end"/>
            </w:r>
          </w:hyperlink>
        </w:p>
        <w:p w14:paraId="1A193B29" w14:textId="77777777" w:rsidR="007D29F8" w:rsidRDefault="0000207E">
          <w:pPr>
            <w:pStyle w:val="TOC3"/>
            <w:rPr>
              <w:rFonts w:asciiTheme="minorHAnsi" w:eastAsiaTheme="minorEastAsia" w:hAnsiTheme="minorHAnsi" w:cstheme="minorBidi"/>
              <w:i w:val="0"/>
              <w:sz w:val="22"/>
              <w:szCs w:val="22"/>
              <w:lang w:eastAsia="zh-CN"/>
            </w:rPr>
          </w:pPr>
          <w:hyperlink w:anchor="_Toc132208462" w:history="1">
            <w:r w:rsidR="007D29F8" w:rsidRPr="00FD1852">
              <w:rPr>
                <w:rStyle w:val="Hyperlink"/>
                <w:lang w:val="fr-FR"/>
              </w:rPr>
              <w:t>Stratégie de mise en œuvre pour parvenir aux résultats escomptés</w:t>
            </w:r>
            <w:r w:rsidR="007D29F8">
              <w:rPr>
                <w:webHidden/>
              </w:rPr>
              <w:tab/>
            </w:r>
            <w:r w:rsidR="007D29F8">
              <w:rPr>
                <w:webHidden/>
              </w:rPr>
              <w:fldChar w:fldCharType="begin"/>
            </w:r>
            <w:r w:rsidR="007D29F8">
              <w:rPr>
                <w:webHidden/>
              </w:rPr>
              <w:instrText xml:space="preserve"> PAGEREF _Toc132208462 \h </w:instrText>
            </w:r>
            <w:r w:rsidR="007D29F8">
              <w:rPr>
                <w:webHidden/>
              </w:rPr>
            </w:r>
            <w:r w:rsidR="007D29F8">
              <w:rPr>
                <w:webHidden/>
              </w:rPr>
              <w:fldChar w:fldCharType="separate"/>
            </w:r>
            <w:r w:rsidR="002F643C">
              <w:rPr>
                <w:webHidden/>
              </w:rPr>
              <w:t>15</w:t>
            </w:r>
            <w:r w:rsidR="007D29F8">
              <w:rPr>
                <w:webHidden/>
              </w:rPr>
              <w:fldChar w:fldCharType="end"/>
            </w:r>
          </w:hyperlink>
        </w:p>
        <w:p w14:paraId="54FF651E" w14:textId="77777777" w:rsidR="007D29F8" w:rsidRDefault="0000207E">
          <w:pPr>
            <w:pStyle w:val="TOC3"/>
            <w:rPr>
              <w:rFonts w:asciiTheme="minorHAnsi" w:eastAsiaTheme="minorEastAsia" w:hAnsiTheme="minorHAnsi" w:cstheme="minorBidi"/>
              <w:i w:val="0"/>
              <w:sz w:val="22"/>
              <w:szCs w:val="22"/>
              <w:lang w:eastAsia="zh-CN"/>
            </w:rPr>
          </w:pPr>
          <w:hyperlink w:anchor="_Toc132208463" w:history="1">
            <w:r w:rsidR="007D29F8" w:rsidRPr="00FD1852">
              <w:rPr>
                <w:rStyle w:val="Hyperlink"/>
                <w:lang w:val="fr-FR"/>
              </w:rPr>
              <w:t>Résultats escomptés et indicateurs d’exécution</w:t>
            </w:r>
            <w:r w:rsidR="007D29F8">
              <w:rPr>
                <w:webHidden/>
              </w:rPr>
              <w:tab/>
            </w:r>
            <w:r w:rsidR="007D29F8">
              <w:rPr>
                <w:webHidden/>
              </w:rPr>
              <w:fldChar w:fldCharType="begin"/>
            </w:r>
            <w:r w:rsidR="007D29F8">
              <w:rPr>
                <w:webHidden/>
              </w:rPr>
              <w:instrText xml:space="preserve"> PAGEREF _Toc132208463 \h </w:instrText>
            </w:r>
            <w:r w:rsidR="007D29F8">
              <w:rPr>
                <w:webHidden/>
              </w:rPr>
            </w:r>
            <w:r w:rsidR="007D29F8">
              <w:rPr>
                <w:webHidden/>
              </w:rPr>
              <w:fldChar w:fldCharType="separate"/>
            </w:r>
            <w:r w:rsidR="002F643C">
              <w:rPr>
                <w:webHidden/>
              </w:rPr>
              <w:t>17</w:t>
            </w:r>
            <w:r w:rsidR="007D29F8">
              <w:rPr>
                <w:webHidden/>
              </w:rPr>
              <w:fldChar w:fldCharType="end"/>
            </w:r>
          </w:hyperlink>
        </w:p>
        <w:p w14:paraId="64D705D7" w14:textId="77777777" w:rsidR="007D29F8" w:rsidRDefault="0000207E">
          <w:pPr>
            <w:pStyle w:val="TOC1"/>
            <w:rPr>
              <w:rFonts w:asciiTheme="minorHAnsi" w:eastAsiaTheme="minorEastAsia" w:hAnsiTheme="minorHAnsi" w:cstheme="minorBidi"/>
              <w:bCs w:val="0"/>
              <w:caps w:val="0"/>
              <w:sz w:val="22"/>
              <w:szCs w:val="22"/>
              <w:lang w:eastAsia="zh-CN"/>
            </w:rPr>
          </w:pPr>
          <w:hyperlink w:anchor="_Toc132208464" w:history="1">
            <w:r w:rsidR="007D29F8" w:rsidRPr="00FD1852">
              <w:rPr>
                <w:rStyle w:val="Hyperlink"/>
                <w:lang w:val="fr-FR"/>
              </w:rPr>
              <w:t>IV.</w:t>
            </w:r>
            <w:r w:rsidR="007D29F8">
              <w:rPr>
                <w:rFonts w:asciiTheme="minorHAnsi" w:eastAsiaTheme="minorEastAsia" w:hAnsiTheme="minorHAnsi" w:cstheme="minorBidi"/>
                <w:bCs w:val="0"/>
                <w:caps w:val="0"/>
                <w:sz w:val="22"/>
                <w:szCs w:val="22"/>
                <w:lang w:eastAsia="zh-CN"/>
              </w:rPr>
              <w:tab/>
            </w:r>
            <w:r w:rsidR="007D29F8" w:rsidRPr="00FD1852">
              <w:rPr>
                <w:rStyle w:val="Hyperlink"/>
                <w:lang w:val="fr-FR"/>
              </w:rPr>
              <w:t>Indicateurs financiers pour la période 2017-2026</w:t>
            </w:r>
            <w:r w:rsidR="007D29F8">
              <w:rPr>
                <w:webHidden/>
              </w:rPr>
              <w:tab/>
            </w:r>
            <w:r w:rsidR="007D29F8">
              <w:rPr>
                <w:webHidden/>
              </w:rPr>
              <w:fldChar w:fldCharType="begin"/>
            </w:r>
            <w:r w:rsidR="007D29F8">
              <w:rPr>
                <w:webHidden/>
              </w:rPr>
              <w:instrText xml:space="preserve"> PAGEREF _Toc132208464 \h </w:instrText>
            </w:r>
            <w:r w:rsidR="007D29F8">
              <w:rPr>
                <w:webHidden/>
              </w:rPr>
            </w:r>
            <w:r w:rsidR="007D29F8">
              <w:rPr>
                <w:webHidden/>
              </w:rPr>
              <w:fldChar w:fldCharType="separate"/>
            </w:r>
            <w:r w:rsidR="002F643C">
              <w:rPr>
                <w:webHidden/>
              </w:rPr>
              <w:t>19</w:t>
            </w:r>
            <w:r w:rsidR="007D29F8">
              <w:rPr>
                <w:webHidden/>
              </w:rPr>
              <w:fldChar w:fldCharType="end"/>
            </w:r>
          </w:hyperlink>
        </w:p>
        <w:p w14:paraId="2807F00F" w14:textId="77777777" w:rsidR="007D29F8" w:rsidRDefault="0000207E">
          <w:pPr>
            <w:pStyle w:val="TOC1"/>
            <w:rPr>
              <w:rFonts w:asciiTheme="minorHAnsi" w:eastAsiaTheme="minorEastAsia" w:hAnsiTheme="minorHAnsi" w:cstheme="minorBidi"/>
              <w:bCs w:val="0"/>
              <w:caps w:val="0"/>
              <w:sz w:val="22"/>
              <w:szCs w:val="22"/>
              <w:lang w:eastAsia="zh-CN"/>
            </w:rPr>
          </w:pPr>
          <w:hyperlink w:anchor="_Toc132208465" w:history="1">
            <w:r w:rsidR="007D29F8" w:rsidRPr="00FD1852">
              <w:rPr>
                <w:rStyle w:val="Hyperlink"/>
                <w:lang w:val="fr-FR"/>
              </w:rPr>
              <w:t>V.</w:t>
            </w:r>
            <w:r w:rsidR="007D29F8">
              <w:rPr>
                <w:rFonts w:asciiTheme="minorHAnsi" w:eastAsiaTheme="minorEastAsia" w:hAnsiTheme="minorHAnsi" w:cstheme="minorBidi"/>
                <w:bCs w:val="0"/>
                <w:caps w:val="0"/>
                <w:sz w:val="22"/>
                <w:szCs w:val="22"/>
                <w:lang w:eastAsia="zh-CN"/>
              </w:rPr>
              <w:tab/>
            </w:r>
            <w:r w:rsidR="007D29F8" w:rsidRPr="00FD1852">
              <w:rPr>
                <w:rStyle w:val="Hyperlink"/>
                <w:lang w:val="fr-FR"/>
              </w:rPr>
              <w:t>Appendices</w:t>
            </w:r>
            <w:r w:rsidR="007D29F8">
              <w:rPr>
                <w:webHidden/>
              </w:rPr>
              <w:tab/>
            </w:r>
            <w:r w:rsidR="007D29F8">
              <w:rPr>
                <w:webHidden/>
              </w:rPr>
              <w:fldChar w:fldCharType="begin"/>
            </w:r>
            <w:r w:rsidR="007D29F8">
              <w:rPr>
                <w:webHidden/>
              </w:rPr>
              <w:instrText xml:space="preserve"> PAGEREF _Toc132208465 \h </w:instrText>
            </w:r>
            <w:r w:rsidR="007D29F8">
              <w:rPr>
                <w:webHidden/>
              </w:rPr>
            </w:r>
            <w:r w:rsidR="007D29F8">
              <w:rPr>
                <w:webHidden/>
              </w:rPr>
              <w:fldChar w:fldCharType="separate"/>
            </w:r>
            <w:r w:rsidR="002F643C">
              <w:rPr>
                <w:webHidden/>
              </w:rPr>
              <w:t>20</w:t>
            </w:r>
            <w:r w:rsidR="007D29F8">
              <w:rPr>
                <w:webHidden/>
              </w:rPr>
              <w:fldChar w:fldCharType="end"/>
            </w:r>
          </w:hyperlink>
        </w:p>
        <w:p w14:paraId="539138F4" w14:textId="77777777" w:rsidR="007D29F8" w:rsidRDefault="0000207E" w:rsidP="007D29F8">
          <w:pPr>
            <w:pStyle w:val="TOC4"/>
            <w:rPr>
              <w:rFonts w:eastAsiaTheme="minorEastAsia" w:cstheme="minorBidi"/>
              <w:sz w:val="22"/>
              <w:szCs w:val="22"/>
              <w:lang w:val="en-US" w:eastAsia="zh-CN"/>
            </w:rPr>
          </w:pPr>
          <w:hyperlink w:anchor="_Toc132208466" w:history="1">
            <w:r w:rsidR="007D29F8" w:rsidRPr="00FD1852">
              <w:rPr>
                <w:rStyle w:val="Hyperlink"/>
              </w:rPr>
              <w:t>APPENDICE I</w:t>
            </w:r>
            <w:r w:rsidR="007D29F8">
              <w:rPr>
                <w:rFonts w:eastAsiaTheme="minorEastAsia" w:cstheme="minorBidi"/>
                <w:sz w:val="22"/>
                <w:szCs w:val="22"/>
                <w:lang w:val="en-US" w:eastAsia="zh-CN"/>
              </w:rPr>
              <w:tab/>
            </w:r>
            <w:r w:rsidR="007D29F8" w:rsidRPr="00FD1852">
              <w:rPr>
                <w:rStyle w:val="Hyperlink"/>
              </w:rPr>
              <w:t>Situation en ce qui concerne l’Union internationale pour la protection des obtentions végétales (UPOV) au 1</w:t>
            </w:r>
            <w:r w:rsidR="007D29F8" w:rsidRPr="00FD1852">
              <w:rPr>
                <w:rStyle w:val="Hyperlink"/>
                <w:vertAlign w:val="superscript"/>
              </w:rPr>
              <w:t>er</w:t>
            </w:r>
            <w:r w:rsidR="007D29F8" w:rsidRPr="00FD1852">
              <w:rPr>
                <w:rStyle w:val="Hyperlink"/>
              </w:rPr>
              <w:t> janvier 2023</w:t>
            </w:r>
            <w:r w:rsidR="007D29F8">
              <w:rPr>
                <w:webHidden/>
              </w:rPr>
              <w:tab/>
            </w:r>
            <w:r w:rsidR="007D29F8">
              <w:rPr>
                <w:webHidden/>
              </w:rPr>
              <w:fldChar w:fldCharType="begin"/>
            </w:r>
            <w:r w:rsidR="007D29F8">
              <w:rPr>
                <w:webHidden/>
              </w:rPr>
              <w:instrText xml:space="preserve"> PAGEREF _Toc132208466 \h </w:instrText>
            </w:r>
            <w:r w:rsidR="007D29F8">
              <w:rPr>
                <w:webHidden/>
              </w:rPr>
            </w:r>
            <w:r w:rsidR="007D29F8">
              <w:rPr>
                <w:webHidden/>
              </w:rPr>
              <w:fldChar w:fldCharType="separate"/>
            </w:r>
            <w:r w:rsidR="002F643C">
              <w:rPr>
                <w:webHidden/>
              </w:rPr>
              <w:t>20</w:t>
            </w:r>
            <w:r w:rsidR="007D29F8">
              <w:rPr>
                <w:webHidden/>
              </w:rPr>
              <w:fldChar w:fldCharType="end"/>
            </w:r>
          </w:hyperlink>
        </w:p>
        <w:p w14:paraId="0542C9C0" w14:textId="77777777" w:rsidR="007D29F8" w:rsidRDefault="0000207E" w:rsidP="007D29F8">
          <w:pPr>
            <w:pStyle w:val="TOC4"/>
            <w:rPr>
              <w:rFonts w:eastAsiaTheme="minorEastAsia" w:cstheme="minorBidi"/>
              <w:sz w:val="22"/>
              <w:szCs w:val="22"/>
              <w:lang w:val="en-US" w:eastAsia="zh-CN"/>
            </w:rPr>
          </w:pPr>
          <w:hyperlink w:anchor="_Toc132208467" w:history="1">
            <w:r w:rsidR="007D29F8" w:rsidRPr="00FD1852">
              <w:rPr>
                <w:rStyle w:val="Hyperlink"/>
              </w:rPr>
              <w:t>APPENDICE II</w:t>
            </w:r>
            <w:r w:rsidR="007D29F8">
              <w:rPr>
                <w:rFonts w:eastAsiaTheme="minorEastAsia" w:cstheme="minorBidi"/>
                <w:sz w:val="22"/>
                <w:szCs w:val="22"/>
                <w:lang w:val="en-US" w:eastAsia="zh-CN"/>
              </w:rPr>
              <w:tab/>
            </w:r>
            <w:r w:rsidR="007D29F8" w:rsidRPr="00FD1852">
              <w:rPr>
                <w:rStyle w:val="Hyperlink"/>
              </w:rPr>
              <w:t>Contributions des membres au 31 décembre 2022</w:t>
            </w:r>
            <w:r w:rsidR="007D29F8">
              <w:rPr>
                <w:webHidden/>
              </w:rPr>
              <w:tab/>
            </w:r>
            <w:r w:rsidR="007D29F8">
              <w:rPr>
                <w:webHidden/>
              </w:rPr>
              <w:fldChar w:fldCharType="begin"/>
            </w:r>
            <w:r w:rsidR="007D29F8">
              <w:rPr>
                <w:webHidden/>
              </w:rPr>
              <w:instrText xml:space="preserve"> PAGEREF _Toc132208467 \h </w:instrText>
            </w:r>
            <w:r w:rsidR="007D29F8">
              <w:rPr>
                <w:webHidden/>
              </w:rPr>
            </w:r>
            <w:r w:rsidR="007D29F8">
              <w:rPr>
                <w:webHidden/>
              </w:rPr>
              <w:fldChar w:fldCharType="separate"/>
            </w:r>
            <w:r w:rsidR="002F643C">
              <w:rPr>
                <w:webHidden/>
              </w:rPr>
              <w:t>21</w:t>
            </w:r>
            <w:r w:rsidR="007D29F8">
              <w:rPr>
                <w:webHidden/>
              </w:rPr>
              <w:fldChar w:fldCharType="end"/>
            </w:r>
          </w:hyperlink>
        </w:p>
        <w:p w14:paraId="6E428DCF" w14:textId="77777777" w:rsidR="007D29F8" w:rsidRDefault="0000207E" w:rsidP="007D29F8">
          <w:pPr>
            <w:pStyle w:val="TOC4"/>
            <w:rPr>
              <w:rFonts w:eastAsiaTheme="minorEastAsia" w:cstheme="minorBidi"/>
              <w:sz w:val="22"/>
              <w:szCs w:val="22"/>
              <w:lang w:val="en-US" w:eastAsia="zh-CN"/>
            </w:rPr>
          </w:pPr>
          <w:hyperlink w:anchor="_Toc132208468" w:history="1">
            <w:r w:rsidR="007D29F8" w:rsidRPr="00FD1852">
              <w:rPr>
                <w:rStyle w:val="Hyperlink"/>
              </w:rPr>
              <w:t>APPENDICE III</w:t>
            </w:r>
            <w:r w:rsidR="007D29F8">
              <w:rPr>
                <w:rFonts w:eastAsiaTheme="minorEastAsia" w:cstheme="minorBidi"/>
                <w:sz w:val="22"/>
                <w:szCs w:val="22"/>
                <w:lang w:val="en-US" w:eastAsia="zh-CN"/>
              </w:rPr>
              <w:tab/>
            </w:r>
            <w:r w:rsidR="007D29F8" w:rsidRPr="00FD1852">
              <w:rPr>
                <w:rStyle w:val="Hyperlink"/>
              </w:rPr>
              <w:t>Définition des recettes par provenance et des objets de dépenses</w:t>
            </w:r>
            <w:r w:rsidR="007D29F8">
              <w:rPr>
                <w:webHidden/>
              </w:rPr>
              <w:tab/>
            </w:r>
            <w:r w:rsidR="007D29F8">
              <w:rPr>
                <w:webHidden/>
              </w:rPr>
              <w:fldChar w:fldCharType="begin"/>
            </w:r>
            <w:r w:rsidR="007D29F8">
              <w:rPr>
                <w:webHidden/>
              </w:rPr>
              <w:instrText xml:space="preserve"> PAGEREF _Toc132208468 \h </w:instrText>
            </w:r>
            <w:r w:rsidR="007D29F8">
              <w:rPr>
                <w:webHidden/>
              </w:rPr>
            </w:r>
            <w:r w:rsidR="007D29F8">
              <w:rPr>
                <w:webHidden/>
              </w:rPr>
              <w:fldChar w:fldCharType="separate"/>
            </w:r>
            <w:r w:rsidR="002F643C">
              <w:rPr>
                <w:webHidden/>
              </w:rPr>
              <w:t>23</w:t>
            </w:r>
            <w:r w:rsidR="007D29F8">
              <w:rPr>
                <w:webHidden/>
              </w:rPr>
              <w:fldChar w:fldCharType="end"/>
            </w:r>
          </w:hyperlink>
        </w:p>
        <w:p w14:paraId="0A472DD9" w14:textId="77777777" w:rsidR="007D29F8" w:rsidRPr="00E12BB9" w:rsidRDefault="007D29F8" w:rsidP="007D29F8">
          <w:r>
            <w:rPr>
              <w:rFonts w:cstheme="minorHAnsi"/>
              <w:bCs/>
              <w:noProof/>
            </w:rPr>
            <w:fldChar w:fldCharType="end"/>
          </w:r>
        </w:p>
      </w:sdtContent>
    </w:sdt>
    <w:p w14:paraId="67B683D2" w14:textId="77777777" w:rsidR="007D29F8" w:rsidRPr="00E12BB9" w:rsidRDefault="007D29F8" w:rsidP="007D29F8">
      <w:pPr>
        <w:pStyle w:val="Heading1"/>
        <w:pageBreakBefore/>
        <w:numPr>
          <w:ilvl w:val="0"/>
          <w:numId w:val="1"/>
        </w:numPr>
        <w:ind w:left="567" w:hanging="567"/>
        <w:rPr>
          <w:lang w:val="fr-FR"/>
        </w:rPr>
      </w:pPr>
      <w:bookmarkStart w:id="0" w:name="_Toc63091087"/>
      <w:bookmarkStart w:id="1" w:name="_Toc63091284"/>
      <w:bookmarkStart w:id="2" w:name="_Toc63091814"/>
      <w:bookmarkStart w:id="3" w:name="_Toc63177676"/>
      <w:bookmarkStart w:id="4" w:name="_Toc63177802"/>
      <w:bookmarkStart w:id="5" w:name="_Toc63178431"/>
      <w:bookmarkStart w:id="6" w:name="_Toc63182523"/>
      <w:bookmarkStart w:id="7" w:name="_Toc63091088"/>
      <w:bookmarkStart w:id="8" w:name="_Toc63091285"/>
      <w:bookmarkStart w:id="9" w:name="_Toc63091815"/>
      <w:bookmarkStart w:id="10" w:name="_Toc63177677"/>
      <w:bookmarkStart w:id="11" w:name="_Toc63177803"/>
      <w:bookmarkStart w:id="12" w:name="_Toc63178432"/>
      <w:bookmarkStart w:id="13" w:name="_Toc63182524"/>
      <w:bookmarkStart w:id="14" w:name="_Toc63177678"/>
      <w:bookmarkStart w:id="15" w:name="_Toc63177804"/>
      <w:bookmarkStart w:id="16" w:name="_Toc63178433"/>
      <w:bookmarkStart w:id="17" w:name="_Toc63182525"/>
      <w:bookmarkStart w:id="18" w:name="_Toc63177679"/>
      <w:bookmarkStart w:id="19" w:name="_Toc63177805"/>
      <w:bookmarkStart w:id="20" w:name="_Toc63178434"/>
      <w:bookmarkStart w:id="21" w:name="_Toc63182526"/>
      <w:bookmarkStart w:id="22" w:name="_Toc63177680"/>
      <w:bookmarkStart w:id="23" w:name="_Toc63177806"/>
      <w:bookmarkStart w:id="24" w:name="_Toc63178435"/>
      <w:bookmarkStart w:id="25" w:name="_Toc63182527"/>
      <w:bookmarkStart w:id="26" w:name="_Toc63177681"/>
      <w:bookmarkStart w:id="27" w:name="_Toc63177807"/>
      <w:bookmarkStart w:id="28" w:name="_Toc63178436"/>
      <w:bookmarkStart w:id="29" w:name="_Toc63182528"/>
      <w:bookmarkStart w:id="30" w:name="_Toc63177682"/>
      <w:bookmarkStart w:id="31" w:name="_Toc63177808"/>
      <w:bookmarkStart w:id="32" w:name="_Toc63178437"/>
      <w:bookmarkStart w:id="33" w:name="_Toc63182529"/>
      <w:bookmarkStart w:id="34" w:name="_Toc63177683"/>
      <w:bookmarkStart w:id="35" w:name="_Toc63177809"/>
      <w:bookmarkStart w:id="36" w:name="_Toc63178438"/>
      <w:bookmarkStart w:id="37" w:name="_Toc63182530"/>
      <w:bookmarkStart w:id="38" w:name="_Toc63177684"/>
      <w:bookmarkStart w:id="39" w:name="_Toc63177810"/>
      <w:bookmarkStart w:id="40" w:name="_Toc63178439"/>
      <w:bookmarkStart w:id="41" w:name="_Toc63182531"/>
      <w:bookmarkStart w:id="42" w:name="_Toc63177685"/>
      <w:bookmarkStart w:id="43" w:name="_Toc63177811"/>
      <w:bookmarkStart w:id="44" w:name="_Toc63178440"/>
      <w:bookmarkStart w:id="45" w:name="_Toc63182532"/>
      <w:bookmarkStart w:id="46" w:name="_Toc63177686"/>
      <w:bookmarkStart w:id="47" w:name="_Toc63177812"/>
      <w:bookmarkStart w:id="48" w:name="_Toc63178441"/>
      <w:bookmarkStart w:id="49" w:name="_Toc63182533"/>
      <w:bookmarkStart w:id="50" w:name="_Toc63177687"/>
      <w:bookmarkStart w:id="51" w:name="_Toc63177813"/>
      <w:bookmarkStart w:id="52" w:name="_Toc63178442"/>
      <w:bookmarkStart w:id="53" w:name="_Toc63182534"/>
      <w:bookmarkStart w:id="54" w:name="_Toc63177688"/>
      <w:bookmarkStart w:id="55" w:name="_Toc63177814"/>
      <w:bookmarkStart w:id="56" w:name="_Toc63178443"/>
      <w:bookmarkStart w:id="57" w:name="_Toc63182535"/>
      <w:bookmarkStart w:id="58" w:name="_Toc63177689"/>
      <w:bookmarkStart w:id="59" w:name="_Toc63177815"/>
      <w:bookmarkStart w:id="60" w:name="_Toc63178444"/>
      <w:bookmarkStart w:id="61" w:name="_Toc63182536"/>
      <w:bookmarkStart w:id="62" w:name="_Toc63177690"/>
      <w:bookmarkStart w:id="63" w:name="_Toc63177816"/>
      <w:bookmarkStart w:id="64" w:name="_Toc63178445"/>
      <w:bookmarkStart w:id="65" w:name="_Toc63182537"/>
      <w:bookmarkStart w:id="66" w:name="_Toc63177691"/>
      <w:bookmarkStart w:id="67" w:name="_Toc63177817"/>
      <w:bookmarkStart w:id="68" w:name="_Toc63178446"/>
      <w:bookmarkStart w:id="69" w:name="_Toc63182538"/>
      <w:bookmarkStart w:id="70" w:name="_Toc63177692"/>
      <w:bookmarkStart w:id="71" w:name="_Toc63177818"/>
      <w:bookmarkStart w:id="72" w:name="_Toc63178447"/>
      <w:bookmarkStart w:id="73" w:name="_Toc63182539"/>
      <w:bookmarkStart w:id="74" w:name="_Toc63177693"/>
      <w:bookmarkStart w:id="75" w:name="_Toc63177819"/>
      <w:bookmarkStart w:id="76" w:name="_Toc63178448"/>
      <w:bookmarkStart w:id="77" w:name="_Toc63182540"/>
      <w:bookmarkStart w:id="78" w:name="_Toc63177694"/>
      <w:bookmarkStart w:id="79" w:name="_Toc63177820"/>
      <w:bookmarkStart w:id="80" w:name="_Toc63178449"/>
      <w:bookmarkStart w:id="81" w:name="_Toc63182541"/>
      <w:bookmarkStart w:id="82" w:name="_Toc63177695"/>
      <w:bookmarkStart w:id="83" w:name="_Toc63177821"/>
      <w:bookmarkStart w:id="84" w:name="_Toc63178450"/>
      <w:bookmarkStart w:id="85" w:name="_Toc63182542"/>
      <w:bookmarkStart w:id="86" w:name="_Toc63177696"/>
      <w:bookmarkStart w:id="87" w:name="_Toc63177822"/>
      <w:bookmarkStart w:id="88" w:name="_Toc63178451"/>
      <w:bookmarkStart w:id="89" w:name="_Toc63182543"/>
      <w:bookmarkStart w:id="90" w:name="_Toc63177697"/>
      <w:bookmarkStart w:id="91" w:name="_Toc63177823"/>
      <w:bookmarkStart w:id="92" w:name="_Toc63178452"/>
      <w:bookmarkStart w:id="93" w:name="_Toc63182544"/>
      <w:bookmarkStart w:id="94" w:name="_Toc63177698"/>
      <w:bookmarkStart w:id="95" w:name="_Toc63177824"/>
      <w:bookmarkStart w:id="96" w:name="_Toc63178453"/>
      <w:bookmarkStart w:id="97" w:name="_Toc63182545"/>
      <w:bookmarkStart w:id="98" w:name="_Toc63177699"/>
      <w:bookmarkStart w:id="99" w:name="_Toc63177825"/>
      <w:bookmarkStart w:id="100" w:name="_Toc63178454"/>
      <w:bookmarkStart w:id="101" w:name="_Toc63182546"/>
      <w:bookmarkStart w:id="102" w:name="_Toc63177700"/>
      <w:bookmarkStart w:id="103" w:name="_Toc63177826"/>
      <w:bookmarkStart w:id="104" w:name="_Toc63178455"/>
      <w:bookmarkStart w:id="105" w:name="_Toc63182547"/>
      <w:bookmarkStart w:id="106" w:name="_Toc63177701"/>
      <w:bookmarkStart w:id="107" w:name="_Toc63177827"/>
      <w:bookmarkStart w:id="108" w:name="_Toc63178456"/>
      <w:bookmarkStart w:id="109" w:name="_Toc63182548"/>
      <w:bookmarkStart w:id="110" w:name="_Toc63177702"/>
      <w:bookmarkStart w:id="111" w:name="_Toc63177828"/>
      <w:bookmarkStart w:id="112" w:name="_Toc63178457"/>
      <w:bookmarkStart w:id="113" w:name="_Toc63182549"/>
      <w:bookmarkStart w:id="114" w:name="_Toc63177703"/>
      <w:bookmarkStart w:id="115" w:name="_Toc63177829"/>
      <w:bookmarkStart w:id="116" w:name="_Toc63178458"/>
      <w:bookmarkStart w:id="117" w:name="_Toc63182550"/>
      <w:bookmarkStart w:id="118" w:name="_Toc63177704"/>
      <w:bookmarkStart w:id="119" w:name="_Toc63177830"/>
      <w:bookmarkStart w:id="120" w:name="_Toc63178459"/>
      <w:bookmarkStart w:id="121" w:name="_Toc63182551"/>
      <w:bookmarkStart w:id="122" w:name="_Toc63177705"/>
      <w:bookmarkStart w:id="123" w:name="_Toc63177831"/>
      <w:bookmarkStart w:id="124" w:name="_Toc63178460"/>
      <w:bookmarkStart w:id="125" w:name="_Toc63182552"/>
      <w:bookmarkStart w:id="126" w:name="_Toc63177706"/>
      <w:bookmarkStart w:id="127" w:name="_Toc63177832"/>
      <w:bookmarkStart w:id="128" w:name="_Toc63178461"/>
      <w:bookmarkStart w:id="129" w:name="_Toc63182553"/>
      <w:bookmarkStart w:id="130" w:name="_Toc63177707"/>
      <w:bookmarkStart w:id="131" w:name="_Toc63177833"/>
      <w:bookmarkStart w:id="132" w:name="_Toc63178462"/>
      <w:bookmarkStart w:id="133" w:name="_Toc63182554"/>
      <w:bookmarkStart w:id="134" w:name="_Toc63177708"/>
      <w:bookmarkStart w:id="135" w:name="_Toc63177834"/>
      <w:bookmarkStart w:id="136" w:name="_Toc63178463"/>
      <w:bookmarkStart w:id="137" w:name="_Toc63182555"/>
      <w:bookmarkStart w:id="138" w:name="_Toc63177709"/>
      <w:bookmarkStart w:id="139" w:name="_Toc63177835"/>
      <w:bookmarkStart w:id="140" w:name="_Toc63178464"/>
      <w:bookmarkStart w:id="141" w:name="_Toc63182556"/>
      <w:bookmarkStart w:id="142" w:name="_Toc63177710"/>
      <w:bookmarkStart w:id="143" w:name="_Toc63177836"/>
      <w:bookmarkStart w:id="144" w:name="_Toc63178465"/>
      <w:bookmarkStart w:id="145" w:name="_Toc63182557"/>
      <w:bookmarkStart w:id="146" w:name="_Toc63177711"/>
      <w:bookmarkStart w:id="147" w:name="_Toc63177837"/>
      <w:bookmarkStart w:id="148" w:name="_Toc63178466"/>
      <w:bookmarkStart w:id="149" w:name="_Toc63182558"/>
      <w:bookmarkStart w:id="150" w:name="_Toc63177712"/>
      <w:bookmarkStart w:id="151" w:name="_Toc63177838"/>
      <w:bookmarkStart w:id="152" w:name="_Toc63178467"/>
      <w:bookmarkStart w:id="153" w:name="_Toc63182559"/>
      <w:bookmarkStart w:id="154" w:name="_Toc63177713"/>
      <w:bookmarkStart w:id="155" w:name="_Toc63177839"/>
      <w:bookmarkStart w:id="156" w:name="_Toc63178468"/>
      <w:bookmarkStart w:id="157" w:name="_Toc63182560"/>
      <w:bookmarkStart w:id="158" w:name="_Toc63177714"/>
      <w:bookmarkStart w:id="159" w:name="_Toc63177840"/>
      <w:bookmarkStart w:id="160" w:name="_Toc63178469"/>
      <w:bookmarkStart w:id="161" w:name="_Toc63182561"/>
      <w:bookmarkStart w:id="162" w:name="_Toc63177715"/>
      <w:bookmarkStart w:id="163" w:name="_Toc63177841"/>
      <w:bookmarkStart w:id="164" w:name="_Toc63178470"/>
      <w:bookmarkStart w:id="165" w:name="_Toc63182562"/>
      <w:bookmarkStart w:id="166" w:name="_Toc63177716"/>
      <w:bookmarkStart w:id="167" w:name="_Toc63177842"/>
      <w:bookmarkStart w:id="168" w:name="_Toc63178471"/>
      <w:bookmarkStart w:id="169" w:name="_Toc63182563"/>
      <w:bookmarkStart w:id="170" w:name="_Toc63177717"/>
      <w:bookmarkStart w:id="171" w:name="_Toc63177843"/>
      <w:bookmarkStart w:id="172" w:name="_Toc63178472"/>
      <w:bookmarkStart w:id="173" w:name="_Toc63182564"/>
      <w:bookmarkStart w:id="174" w:name="_Toc63177718"/>
      <w:bookmarkStart w:id="175" w:name="_Toc63177844"/>
      <w:bookmarkStart w:id="176" w:name="_Toc63178473"/>
      <w:bookmarkStart w:id="177" w:name="_Toc63182565"/>
      <w:bookmarkStart w:id="178" w:name="_Toc63177719"/>
      <w:bookmarkStart w:id="179" w:name="_Toc63177845"/>
      <w:bookmarkStart w:id="180" w:name="_Toc63178474"/>
      <w:bookmarkStart w:id="181" w:name="_Toc63182566"/>
      <w:bookmarkStart w:id="182" w:name="_Toc63177720"/>
      <w:bookmarkStart w:id="183" w:name="_Toc63177846"/>
      <w:bookmarkStart w:id="184" w:name="_Toc63178475"/>
      <w:bookmarkStart w:id="185" w:name="_Toc63182567"/>
      <w:bookmarkStart w:id="186" w:name="_Toc63177721"/>
      <w:bookmarkStart w:id="187" w:name="_Toc63177847"/>
      <w:bookmarkStart w:id="188" w:name="_Toc63178476"/>
      <w:bookmarkStart w:id="189" w:name="_Toc63182568"/>
      <w:bookmarkStart w:id="190" w:name="_Toc63177722"/>
      <w:bookmarkStart w:id="191" w:name="_Toc63177848"/>
      <w:bookmarkStart w:id="192" w:name="_Toc63178477"/>
      <w:bookmarkStart w:id="193" w:name="_Toc63182569"/>
      <w:bookmarkStart w:id="194" w:name="_Toc63177723"/>
      <w:bookmarkStart w:id="195" w:name="_Toc63177849"/>
      <w:bookmarkStart w:id="196" w:name="_Toc63178478"/>
      <w:bookmarkStart w:id="197" w:name="_Toc63182570"/>
      <w:bookmarkStart w:id="198" w:name="_Toc63177724"/>
      <w:bookmarkStart w:id="199" w:name="_Toc63177850"/>
      <w:bookmarkStart w:id="200" w:name="_Toc63178479"/>
      <w:bookmarkStart w:id="201" w:name="_Toc63182571"/>
      <w:bookmarkStart w:id="202" w:name="_Toc63177725"/>
      <w:bookmarkStart w:id="203" w:name="_Toc63177851"/>
      <w:bookmarkStart w:id="204" w:name="_Toc63178480"/>
      <w:bookmarkStart w:id="205" w:name="_Toc63182572"/>
      <w:bookmarkStart w:id="206" w:name="_Toc63177726"/>
      <w:bookmarkStart w:id="207" w:name="_Toc63177852"/>
      <w:bookmarkStart w:id="208" w:name="_Toc63178481"/>
      <w:bookmarkStart w:id="209" w:name="_Toc63182573"/>
      <w:bookmarkStart w:id="210" w:name="_Toc63177727"/>
      <w:bookmarkStart w:id="211" w:name="_Toc63177853"/>
      <w:bookmarkStart w:id="212" w:name="_Toc63178482"/>
      <w:bookmarkStart w:id="213" w:name="_Toc63182574"/>
      <w:bookmarkStart w:id="214" w:name="_Toc63177728"/>
      <w:bookmarkStart w:id="215" w:name="_Toc63177854"/>
      <w:bookmarkStart w:id="216" w:name="_Toc63178483"/>
      <w:bookmarkStart w:id="217" w:name="_Toc63182575"/>
      <w:bookmarkStart w:id="218" w:name="_Toc63177729"/>
      <w:bookmarkStart w:id="219" w:name="_Toc63177855"/>
      <w:bookmarkStart w:id="220" w:name="_Toc63178484"/>
      <w:bookmarkStart w:id="221" w:name="_Toc63182576"/>
      <w:bookmarkStart w:id="222" w:name="_Toc63177730"/>
      <w:bookmarkStart w:id="223" w:name="_Toc63177856"/>
      <w:bookmarkStart w:id="224" w:name="_Toc63178485"/>
      <w:bookmarkStart w:id="225" w:name="_Toc63182577"/>
      <w:bookmarkStart w:id="226" w:name="_Toc63177731"/>
      <w:bookmarkStart w:id="227" w:name="_Toc63177857"/>
      <w:bookmarkStart w:id="228" w:name="_Toc63178486"/>
      <w:bookmarkStart w:id="229" w:name="_Toc63182578"/>
      <w:bookmarkStart w:id="230" w:name="_Toc63177732"/>
      <w:bookmarkStart w:id="231" w:name="_Toc63177858"/>
      <w:bookmarkStart w:id="232" w:name="_Toc63178487"/>
      <w:bookmarkStart w:id="233" w:name="_Toc63182579"/>
      <w:bookmarkStart w:id="234" w:name="_Toc63177733"/>
      <w:bookmarkStart w:id="235" w:name="_Toc63177859"/>
      <w:bookmarkStart w:id="236" w:name="_Toc63178488"/>
      <w:bookmarkStart w:id="237" w:name="_Toc63182580"/>
      <w:bookmarkStart w:id="238" w:name="_Toc63177734"/>
      <w:bookmarkStart w:id="239" w:name="_Toc63177860"/>
      <w:bookmarkStart w:id="240" w:name="_Toc63178489"/>
      <w:bookmarkStart w:id="241" w:name="_Toc63182581"/>
      <w:bookmarkStart w:id="242" w:name="_Toc63177735"/>
      <w:bookmarkStart w:id="243" w:name="_Toc63177861"/>
      <w:bookmarkStart w:id="244" w:name="_Toc63178490"/>
      <w:bookmarkStart w:id="245" w:name="_Toc63182582"/>
      <w:bookmarkStart w:id="246" w:name="_Toc63177736"/>
      <w:bookmarkStart w:id="247" w:name="_Toc63177862"/>
      <w:bookmarkStart w:id="248" w:name="_Toc63178491"/>
      <w:bookmarkStart w:id="249" w:name="_Toc63182583"/>
      <w:bookmarkStart w:id="250" w:name="_Toc63177737"/>
      <w:bookmarkStart w:id="251" w:name="_Toc63177863"/>
      <w:bookmarkStart w:id="252" w:name="_Toc63178492"/>
      <w:bookmarkStart w:id="253" w:name="_Toc63182584"/>
      <w:bookmarkStart w:id="254" w:name="_Toc63177738"/>
      <w:bookmarkStart w:id="255" w:name="_Toc63177864"/>
      <w:bookmarkStart w:id="256" w:name="_Toc63178493"/>
      <w:bookmarkStart w:id="257" w:name="_Toc63182585"/>
      <w:bookmarkStart w:id="258" w:name="_Toc63177739"/>
      <w:bookmarkStart w:id="259" w:name="_Toc63177865"/>
      <w:bookmarkStart w:id="260" w:name="_Toc63178494"/>
      <w:bookmarkStart w:id="261" w:name="_Toc63182586"/>
      <w:bookmarkStart w:id="262" w:name="_Toc63177740"/>
      <w:bookmarkStart w:id="263" w:name="_Toc63177866"/>
      <w:bookmarkStart w:id="264" w:name="_Toc63178495"/>
      <w:bookmarkStart w:id="265" w:name="_Toc63182587"/>
      <w:bookmarkStart w:id="266" w:name="_Toc63177741"/>
      <w:bookmarkStart w:id="267" w:name="_Toc63177867"/>
      <w:bookmarkStart w:id="268" w:name="_Toc63178496"/>
      <w:bookmarkStart w:id="269" w:name="_Toc63182588"/>
      <w:bookmarkStart w:id="270" w:name="_Toc63177742"/>
      <w:bookmarkStart w:id="271" w:name="_Toc63177868"/>
      <w:bookmarkStart w:id="272" w:name="_Toc63178497"/>
      <w:bookmarkStart w:id="273" w:name="_Toc63182589"/>
      <w:bookmarkStart w:id="274" w:name="_Toc63177743"/>
      <w:bookmarkStart w:id="275" w:name="_Toc63177869"/>
      <w:bookmarkStart w:id="276" w:name="_Toc63178498"/>
      <w:bookmarkStart w:id="277" w:name="_Toc63182590"/>
      <w:bookmarkStart w:id="278" w:name="_Toc63177744"/>
      <w:bookmarkStart w:id="279" w:name="_Toc63177870"/>
      <w:bookmarkStart w:id="280" w:name="_Toc63178499"/>
      <w:bookmarkStart w:id="281" w:name="_Toc63182591"/>
      <w:bookmarkStart w:id="282" w:name="_Toc63177745"/>
      <w:bookmarkStart w:id="283" w:name="_Toc63177871"/>
      <w:bookmarkStart w:id="284" w:name="_Toc63178500"/>
      <w:bookmarkStart w:id="285" w:name="_Toc63182592"/>
      <w:bookmarkStart w:id="286" w:name="_Toc63177746"/>
      <w:bookmarkStart w:id="287" w:name="_Toc63177872"/>
      <w:bookmarkStart w:id="288" w:name="_Toc63178501"/>
      <w:bookmarkStart w:id="289" w:name="_Toc63182593"/>
      <w:bookmarkStart w:id="290" w:name="_Toc63177747"/>
      <w:bookmarkStart w:id="291" w:name="_Toc63177873"/>
      <w:bookmarkStart w:id="292" w:name="_Toc63178502"/>
      <w:bookmarkStart w:id="293" w:name="_Toc63182594"/>
      <w:bookmarkStart w:id="294" w:name="_Toc63177748"/>
      <w:bookmarkStart w:id="295" w:name="_Toc63177874"/>
      <w:bookmarkStart w:id="296" w:name="_Toc63178503"/>
      <w:bookmarkStart w:id="297" w:name="_Toc63182595"/>
      <w:bookmarkStart w:id="298" w:name="_Toc63177749"/>
      <w:bookmarkStart w:id="299" w:name="_Toc63177875"/>
      <w:bookmarkStart w:id="300" w:name="_Toc63178504"/>
      <w:bookmarkStart w:id="301" w:name="_Toc63182596"/>
      <w:bookmarkStart w:id="302" w:name="_Toc63177750"/>
      <w:bookmarkStart w:id="303" w:name="_Toc63177876"/>
      <w:bookmarkStart w:id="304" w:name="_Toc63178505"/>
      <w:bookmarkStart w:id="305" w:name="_Toc63182597"/>
      <w:bookmarkStart w:id="306" w:name="_Toc63177751"/>
      <w:bookmarkStart w:id="307" w:name="_Toc63177877"/>
      <w:bookmarkStart w:id="308" w:name="_Toc63178506"/>
      <w:bookmarkStart w:id="309" w:name="_Toc63182598"/>
      <w:bookmarkStart w:id="310" w:name="_Toc63177752"/>
      <w:bookmarkStart w:id="311" w:name="_Toc63177878"/>
      <w:bookmarkStart w:id="312" w:name="_Toc63178507"/>
      <w:bookmarkStart w:id="313" w:name="_Toc63182599"/>
      <w:bookmarkStart w:id="314" w:name="_Toc63177753"/>
      <w:bookmarkStart w:id="315" w:name="_Toc63177879"/>
      <w:bookmarkStart w:id="316" w:name="_Toc63178508"/>
      <w:bookmarkStart w:id="317" w:name="_Toc63182600"/>
      <w:bookmarkStart w:id="318" w:name="_Toc63177754"/>
      <w:bookmarkStart w:id="319" w:name="_Toc63177880"/>
      <w:bookmarkStart w:id="320" w:name="_Toc63178509"/>
      <w:bookmarkStart w:id="321" w:name="_Toc63182601"/>
      <w:bookmarkStart w:id="322" w:name="_Toc63177755"/>
      <w:bookmarkStart w:id="323" w:name="_Toc63177881"/>
      <w:bookmarkStart w:id="324" w:name="_Toc63178510"/>
      <w:bookmarkStart w:id="325" w:name="_Toc63182602"/>
      <w:bookmarkStart w:id="326" w:name="_Toc63177756"/>
      <w:bookmarkStart w:id="327" w:name="_Toc63177882"/>
      <w:bookmarkStart w:id="328" w:name="_Toc63178511"/>
      <w:bookmarkStart w:id="329" w:name="_Toc63182603"/>
      <w:bookmarkStart w:id="330" w:name="_Toc63177757"/>
      <w:bookmarkStart w:id="331" w:name="_Toc63177883"/>
      <w:bookmarkStart w:id="332" w:name="_Toc63178512"/>
      <w:bookmarkStart w:id="333" w:name="_Toc63182604"/>
      <w:bookmarkStart w:id="334" w:name="_Toc63177758"/>
      <w:bookmarkStart w:id="335" w:name="_Toc63177884"/>
      <w:bookmarkStart w:id="336" w:name="_Toc63178513"/>
      <w:bookmarkStart w:id="337" w:name="_Toc63182605"/>
      <w:bookmarkStart w:id="338" w:name="_Toc63177759"/>
      <w:bookmarkStart w:id="339" w:name="_Toc63177885"/>
      <w:bookmarkStart w:id="340" w:name="_Toc63178514"/>
      <w:bookmarkStart w:id="341" w:name="_Toc63182606"/>
      <w:bookmarkStart w:id="342" w:name="_Toc63177760"/>
      <w:bookmarkStart w:id="343" w:name="_Toc63177886"/>
      <w:bookmarkStart w:id="344" w:name="_Toc63178515"/>
      <w:bookmarkStart w:id="345" w:name="_Toc63182607"/>
      <w:bookmarkStart w:id="346" w:name="_Toc63177761"/>
      <w:bookmarkStart w:id="347" w:name="_Toc63177887"/>
      <w:bookmarkStart w:id="348" w:name="_Toc63178516"/>
      <w:bookmarkStart w:id="349" w:name="_Toc63182608"/>
      <w:bookmarkStart w:id="350" w:name="_Toc63177762"/>
      <w:bookmarkStart w:id="351" w:name="_Toc63177888"/>
      <w:bookmarkStart w:id="352" w:name="_Toc63178517"/>
      <w:bookmarkStart w:id="353" w:name="_Toc63182609"/>
      <w:bookmarkStart w:id="354" w:name="_Toc63177763"/>
      <w:bookmarkStart w:id="355" w:name="_Toc63177889"/>
      <w:bookmarkStart w:id="356" w:name="_Toc63178518"/>
      <w:bookmarkStart w:id="357" w:name="_Toc63182610"/>
      <w:bookmarkStart w:id="358" w:name="_Toc63177764"/>
      <w:bookmarkStart w:id="359" w:name="_Toc63177890"/>
      <w:bookmarkStart w:id="360" w:name="_Toc63178519"/>
      <w:bookmarkStart w:id="361" w:name="_Toc63182611"/>
      <w:bookmarkStart w:id="362" w:name="_Toc63177765"/>
      <w:bookmarkStart w:id="363" w:name="_Toc63177891"/>
      <w:bookmarkStart w:id="364" w:name="_Toc63178520"/>
      <w:bookmarkStart w:id="365" w:name="_Toc63182612"/>
      <w:bookmarkStart w:id="366" w:name="_Toc63177766"/>
      <w:bookmarkStart w:id="367" w:name="_Toc63177892"/>
      <w:bookmarkStart w:id="368" w:name="_Toc63178521"/>
      <w:bookmarkStart w:id="369" w:name="_Toc63182613"/>
      <w:bookmarkStart w:id="370" w:name="_Toc63177767"/>
      <w:bookmarkStart w:id="371" w:name="_Toc63177893"/>
      <w:bookmarkStart w:id="372" w:name="_Toc63178522"/>
      <w:bookmarkStart w:id="373" w:name="_Toc63182614"/>
      <w:bookmarkStart w:id="374" w:name="_Toc63177768"/>
      <w:bookmarkStart w:id="375" w:name="_Toc63177894"/>
      <w:bookmarkStart w:id="376" w:name="_Toc63178523"/>
      <w:bookmarkStart w:id="377" w:name="_Toc63182615"/>
      <w:bookmarkStart w:id="378" w:name="_Toc63177769"/>
      <w:bookmarkStart w:id="379" w:name="_Toc63177895"/>
      <w:bookmarkStart w:id="380" w:name="_Toc63178524"/>
      <w:bookmarkStart w:id="381" w:name="_Toc63182616"/>
      <w:bookmarkStart w:id="382" w:name="_Toc63177770"/>
      <w:bookmarkStart w:id="383" w:name="_Toc63177896"/>
      <w:bookmarkStart w:id="384" w:name="_Toc63178525"/>
      <w:bookmarkStart w:id="385" w:name="_Toc63182617"/>
      <w:bookmarkStart w:id="386" w:name="_Toc63177771"/>
      <w:bookmarkStart w:id="387" w:name="_Toc63177897"/>
      <w:bookmarkStart w:id="388" w:name="_Toc63178526"/>
      <w:bookmarkStart w:id="389" w:name="_Toc63182618"/>
      <w:bookmarkStart w:id="390" w:name="_Toc63177772"/>
      <w:bookmarkStart w:id="391" w:name="_Toc63177898"/>
      <w:bookmarkStart w:id="392" w:name="_Toc63178527"/>
      <w:bookmarkStart w:id="393" w:name="_Toc63182619"/>
      <w:bookmarkStart w:id="394" w:name="_Toc63177773"/>
      <w:bookmarkStart w:id="395" w:name="_Toc63177899"/>
      <w:bookmarkStart w:id="396" w:name="_Toc63178528"/>
      <w:bookmarkStart w:id="397" w:name="_Toc63182620"/>
      <w:bookmarkStart w:id="398" w:name="_Toc63177774"/>
      <w:bookmarkStart w:id="399" w:name="_Toc63177900"/>
      <w:bookmarkStart w:id="400" w:name="_Toc63178529"/>
      <w:bookmarkStart w:id="401" w:name="_Toc63182621"/>
      <w:bookmarkStart w:id="402" w:name="_Toc63177775"/>
      <w:bookmarkStart w:id="403" w:name="_Toc63177901"/>
      <w:bookmarkStart w:id="404" w:name="_Toc63178530"/>
      <w:bookmarkStart w:id="405" w:name="_Toc63182622"/>
      <w:bookmarkStart w:id="406" w:name="_Toc63177776"/>
      <w:bookmarkStart w:id="407" w:name="_Toc63177902"/>
      <w:bookmarkStart w:id="408" w:name="_Toc63178531"/>
      <w:bookmarkStart w:id="409" w:name="_Toc63182623"/>
      <w:bookmarkStart w:id="410" w:name="_Toc63177777"/>
      <w:bookmarkStart w:id="411" w:name="_Toc63177903"/>
      <w:bookmarkStart w:id="412" w:name="_Toc63178532"/>
      <w:bookmarkStart w:id="413" w:name="_Toc63182624"/>
      <w:bookmarkStart w:id="414" w:name="_Toc63177778"/>
      <w:bookmarkStart w:id="415" w:name="_Toc63177904"/>
      <w:bookmarkStart w:id="416" w:name="_Toc63178533"/>
      <w:bookmarkStart w:id="417" w:name="_Toc63182625"/>
      <w:bookmarkStart w:id="418" w:name="_Toc1322084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E12BB9">
        <w:rPr>
          <w:lang w:val="fr-FR"/>
        </w:rPr>
        <w:lastRenderedPageBreak/>
        <w:t>Contexte général</w:t>
      </w:r>
      <w:bookmarkEnd w:id="418"/>
    </w:p>
    <w:p w14:paraId="5FEBECA6" w14:textId="77777777" w:rsidR="007D29F8" w:rsidRPr="00E12BB9" w:rsidRDefault="007D29F8" w:rsidP="007D29F8">
      <w:pPr>
        <w:rPr>
          <w:b/>
          <w:color w:val="26724C" w:themeColor="accent1" w:themeShade="BF"/>
        </w:rPr>
      </w:pPr>
    </w:p>
    <w:p w14:paraId="78E28294" w14:textId="77777777" w:rsidR="007D29F8" w:rsidRPr="00E12BB9" w:rsidRDefault="007D29F8" w:rsidP="007D29F8">
      <w:pPr>
        <w:rPr>
          <w:bCs/>
          <w:color w:val="000000" w:themeColor="text1"/>
        </w:rPr>
      </w:pPr>
      <w:r w:rsidRPr="00E12BB9">
        <w:rPr>
          <w:bCs/>
          <w:color w:val="000000" w:themeColor="text1"/>
        </w:rPr>
        <w:fldChar w:fldCharType="begin"/>
      </w:r>
      <w:r w:rsidRPr="00E12BB9">
        <w:rPr>
          <w:bCs/>
          <w:color w:val="000000" w:themeColor="text1"/>
        </w:rPr>
        <w:instrText xml:space="preserve"> AUTONUM  </w:instrText>
      </w:r>
      <w:r w:rsidRPr="00E12BB9">
        <w:rPr>
          <w:bCs/>
          <w:color w:val="000000" w:themeColor="text1"/>
        </w:rPr>
        <w:fldChar w:fldCharType="end"/>
      </w:r>
      <w:r w:rsidRPr="00E12BB9">
        <w:rPr>
          <w:bCs/>
          <w:color w:val="000000" w:themeColor="text1"/>
        </w:rPr>
        <w:tab/>
      </w:r>
      <w:r w:rsidRPr="00E12BB9">
        <w:t>L’UPOV a pour mission de mettre en place et promouvoir un système efficace de protection des variétés végétales afin d’encourager l’obtention de variétés dans l’intérêt de tous</w:t>
      </w:r>
      <w:r w:rsidRPr="00E12BB9">
        <w:rPr>
          <w:bCs/>
          <w:color w:val="000000" w:themeColor="text1"/>
        </w:rPr>
        <w:t>.</w:t>
      </w:r>
    </w:p>
    <w:p w14:paraId="24B865A6" w14:textId="77777777" w:rsidR="007D29F8" w:rsidRPr="00E12BB9" w:rsidRDefault="007D29F8" w:rsidP="007D29F8">
      <w:pPr>
        <w:rPr>
          <w:bCs/>
          <w:color w:val="000000" w:themeColor="text1"/>
        </w:rPr>
      </w:pPr>
    </w:p>
    <w:p w14:paraId="51204AC6" w14:textId="77777777" w:rsidR="007D29F8" w:rsidRPr="00E12BB9" w:rsidRDefault="007D29F8" w:rsidP="007D29F8">
      <w:pPr>
        <w:rPr>
          <w:bCs/>
          <w:color w:val="000000" w:themeColor="text1"/>
        </w:rPr>
      </w:pPr>
      <w:r w:rsidRPr="00E12BB9">
        <w:rPr>
          <w:bCs/>
          <w:color w:val="000000" w:themeColor="text1"/>
        </w:rPr>
        <w:fldChar w:fldCharType="begin"/>
      </w:r>
      <w:r w:rsidRPr="00E12BB9">
        <w:rPr>
          <w:bCs/>
          <w:color w:val="000000" w:themeColor="text1"/>
        </w:rPr>
        <w:instrText xml:space="preserve"> AUTONUM  </w:instrText>
      </w:r>
      <w:r w:rsidRPr="00E12BB9">
        <w:rPr>
          <w:bCs/>
          <w:color w:val="000000" w:themeColor="text1"/>
        </w:rPr>
        <w:fldChar w:fldCharType="end"/>
      </w:r>
      <w:r w:rsidRPr="00E12BB9">
        <w:rPr>
          <w:bCs/>
          <w:color w:val="000000" w:themeColor="text1"/>
        </w:rPr>
        <w:tab/>
      </w:r>
      <w:r w:rsidRPr="00E12BB9">
        <w:t>Le système UPOV de protection des variétés végétales soutient l’investissement à long terme en faveur de la création de nouvelles variétés et fournit un cadre propice à l’investissement dans la fourniture de semences et d’autres types de matériel de reproduction de variétés qui répondent aux besoins des agriculteurs.  Fondée en 1961, l’UPOV</w:t>
      </w:r>
      <w:r w:rsidRPr="00E12BB9">
        <w:rPr>
          <w:bCs/>
          <w:color w:val="000000" w:themeColor="text1"/>
        </w:rPr>
        <w:t xml:space="preserve"> </w:t>
      </w:r>
      <w:r w:rsidRPr="00E12BB9">
        <w:t xml:space="preserve">a montré son efficacité pour aider tous les types d’obtenteurs : obtenteurs individuels, agriculteurs, petites et moyennes entreprises et instituts ou entreprises de sélection végétale plus importantes, du secteur public comme privé.  </w:t>
      </w:r>
      <w:r w:rsidRPr="00E12BB9">
        <w:rPr>
          <w:bCs/>
          <w:color w:val="000000" w:themeColor="text1"/>
        </w:rPr>
        <w:t xml:space="preserve">Elle a également servi de base à la collaboration, notamment aux partenariats public-privé.  Le système de l’UPOV a été conçu dès le départ pour faire progresser le plus possible la sélection végétale et, partant, l’agriculture de manière durable, dans l’intérêt des agriculteurs et de la société dans son ensemble.  Cette notion est consacrée par l’“exception en faveur de l’obtenteur”, l’une des principales caractéristiques du système de l’UPOV et une caractéristique unique de la propriété intellectuelle qui applique un concept “en libre accès”.  </w:t>
      </w:r>
      <w:r w:rsidRPr="00E12BB9">
        <w:t>Cette exception permet de tirer parti des variétés végétales protégées à des fins de création d’autres variétés par tous obtenteurs, reconnaissant ainsi que l’accès aux ressources génétiques est une condition préalable à tout type de création variétale (voir la question fréquemment posée</w:t>
      </w:r>
      <w:r w:rsidRPr="00E12BB9">
        <w:rPr>
          <w:bCs/>
          <w:color w:val="000000" w:themeColor="text1"/>
        </w:rPr>
        <w:t xml:space="preserve"> “</w:t>
      </w:r>
      <w:hyperlink r:id="rId9" w:anchor="QS11" w:history="1">
        <w:r w:rsidRPr="00E12BB9">
          <w:rPr>
            <w:rStyle w:val="Hyperlink"/>
            <w:bCs/>
          </w:rPr>
          <w:t>Comment le système de l’UPOV favorise-t-il le développement durable?</w:t>
        </w:r>
      </w:hyperlink>
      <w:r w:rsidRPr="00E12BB9">
        <w:rPr>
          <w:bCs/>
          <w:color w:val="000000" w:themeColor="text1"/>
        </w:rPr>
        <w:t>“)</w:t>
      </w:r>
    </w:p>
    <w:p w14:paraId="5EE173FB" w14:textId="77777777" w:rsidR="007D29F8" w:rsidRPr="00E12BB9" w:rsidRDefault="007D29F8" w:rsidP="007D29F8">
      <w:pPr>
        <w:rPr>
          <w:bCs/>
          <w:color w:val="000000" w:themeColor="text1"/>
        </w:rPr>
      </w:pPr>
    </w:p>
    <w:p w14:paraId="0A2B4D29" w14:textId="77777777" w:rsidR="007D29F8" w:rsidRPr="00E12BB9" w:rsidRDefault="007D29F8" w:rsidP="007D29F8">
      <w:pPr>
        <w:rPr>
          <w:bCs/>
          <w:color w:val="000000" w:themeColor="text1"/>
        </w:rPr>
      </w:pPr>
      <w:r w:rsidRPr="00E12BB9">
        <w:rPr>
          <w:bCs/>
          <w:color w:val="000000" w:themeColor="text1"/>
        </w:rPr>
        <w:fldChar w:fldCharType="begin"/>
      </w:r>
      <w:r w:rsidRPr="00E12BB9">
        <w:rPr>
          <w:bCs/>
          <w:color w:val="000000" w:themeColor="text1"/>
        </w:rPr>
        <w:instrText xml:space="preserve"> AUTONUM  </w:instrText>
      </w:r>
      <w:r w:rsidRPr="00E12BB9">
        <w:rPr>
          <w:bCs/>
          <w:color w:val="000000" w:themeColor="text1"/>
        </w:rPr>
        <w:fldChar w:fldCharType="end"/>
      </w:r>
      <w:r w:rsidRPr="00E12BB9">
        <w:rPr>
          <w:bCs/>
          <w:color w:val="000000" w:themeColor="text1"/>
        </w:rPr>
        <w:tab/>
      </w:r>
      <w:r w:rsidRPr="00E12BB9">
        <w:t xml:space="preserve">La prise de conscience de l’importance de la mission de l’UPOV et de ses avantages pour la société au regard de la situation mondiale est de plus en plus vive.  </w:t>
      </w:r>
      <w:r w:rsidRPr="00E12BB9">
        <w:rPr>
          <w:bCs/>
          <w:color w:val="000000" w:themeColor="text1"/>
        </w:rPr>
        <w:t>La question fréquemment posée intitulée “Quels sont les avantages des obtentions végétales pour la société?” résume ce point :</w:t>
      </w:r>
    </w:p>
    <w:p w14:paraId="3A3BE3BA" w14:textId="77777777" w:rsidR="007D29F8" w:rsidRPr="00E12BB9" w:rsidRDefault="007D29F8" w:rsidP="007D29F8">
      <w:pPr>
        <w:rPr>
          <w:bCs/>
          <w:color w:val="000000" w:themeColor="text1"/>
        </w:rPr>
      </w:pPr>
    </w:p>
    <w:p w14:paraId="269C3B80" w14:textId="77777777" w:rsidR="007D29F8" w:rsidRPr="00E12BB9" w:rsidRDefault="007D29F8" w:rsidP="007D29F8">
      <w:pPr>
        <w:ind w:left="567" w:right="567"/>
        <w:rPr>
          <w:bCs/>
          <w:i/>
          <w:color w:val="000000" w:themeColor="text1"/>
          <w:sz w:val="18"/>
        </w:rPr>
      </w:pPr>
      <w:r w:rsidRPr="00E12BB9">
        <w:rPr>
          <w:bCs/>
          <w:i/>
          <w:color w:val="000000" w:themeColor="text1"/>
          <w:sz w:val="18"/>
        </w:rPr>
        <w:t>“Nourrir le monde</w:t>
      </w:r>
    </w:p>
    <w:p w14:paraId="52A36AAD" w14:textId="77777777" w:rsidR="007D29F8" w:rsidRPr="00E12BB9" w:rsidRDefault="007D29F8" w:rsidP="007D29F8">
      <w:pPr>
        <w:ind w:left="567" w:right="567"/>
        <w:rPr>
          <w:bCs/>
          <w:i/>
          <w:color w:val="000000" w:themeColor="text1"/>
          <w:sz w:val="18"/>
        </w:rPr>
      </w:pPr>
    </w:p>
    <w:p w14:paraId="62404C22" w14:textId="77777777" w:rsidR="007D29F8" w:rsidRPr="00E12BB9" w:rsidRDefault="007D29F8" w:rsidP="007D29F8">
      <w:pPr>
        <w:ind w:left="567" w:right="567"/>
        <w:rPr>
          <w:bCs/>
          <w:i/>
          <w:color w:val="000000" w:themeColor="text1"/>
          <w:sz w:val="18"/>
        </w:rPr>
      </w:pPr>
      <w:r w:rsidRPr="00E12BB9">
        <w:rPr>
          <w:bCs/>
          <w:i/>
          <w:color w:val="000000" w:themeColor="text1"/>
          <w:sz w:val="18"/>
        </w:rPr>
        <w:t>“</w:t>
      </w:r>
      <w:r w:rsidRPr="00E12BB9">
        <w:rPr>
          <w:i/>
          <w:color w:val="000000" w:themeColor="text1"/>
          <w:sz w:val="18"/>
        </w:rPr>
        <w:t>Les obtentions végétales améliorées sont un moyen important et durable d’assurer la sécurité alimentaire dans un contexte de croissance démographique et de changement climatique.  L’obtention de variétés adaptées à l’environnement dans lequel elles sont cultivées élargit le choix d’aliments sains, savoureux et nutritifs disponibles tout en fournissant aux agriculteurs un revenu suffisant.</w:t>
      </w:r>
    </w:p>
    <w:p w14:paraId="57B593A9" w14:textId="77777777" w:rsidR="007D29F8" w:rsidRPr="00E12BB9" w:rsidRDefault="007D29F8" w:rsidP="007D29F8">
      <w:pPr>
        <w:ind w:left="567" w:right="567"/>
        <w:rPr>
          <w:bCs/>
          <w:i/>
          <w:color w:val="000000" w:themeColor="text1"/>
          <w:sz w:val="18"/>
        </w:rPr>
      </w:pPr>
    </w:p>
    <w:p w14:paraId="6BEE9608" w14:textId="77777777" w:rsidR="007D29F8" w:rsidRPr="00E12BB9" w:rsidRDefault="007D29F8" w:rsidP="007D29F8">
      <w:pPr>
        <w:ind w:left="567" w:right="567"/>
        <w:rPr>
          <w:bCs/>
          <w:i/>
          <w:color w:val="000000" w:themeColor="text1"/>
          <w:sz w:val="18"/>
        </w:rPr>
      </w:pPr>
      <w:r w:rsidRPr="00E12BB9">
        <w:rPr>
          <w:i/>
          <w:color w:val="000000" w:themeColor="text1"/>
          <w:sz w:val="18"/>
        </w:rPr>
        <w:t>“Améliorer les conditions de vie en milieu rural et urbain et assurer le développement économique</w:t>
      </w:r>
    </w:p>
    <w:p w14:paraId="3AFE905E" w14:textId="77777777" w:rsidR="007D29F8" w:rsidRPr="00E12BB9" w:rsidRDefault="007D29F8" w:rsidP="007D29F8">
      <w:pPr>
        <w:ind w:left="567" w:right="567"/>
        <w:rPr>
          <w:bCs/>
          <w:i/>
          <w:color w:val="000000" w:themeColor="text1"/>
          <w:sz w:val="18"/>
        </w:rPr>
      </w:pPr>
    </w:p>
    <w:p w14:paraId="52F52982" w14:textId="77777777" w:rsidR="007D29F8" w:rsidRPr="00E12BB9" w:rsidRDefault="007D29F8" w:rsidP="007D29F8">
      <w:pPr>
        <w:ind w:left="567" w:right="567"/>
        <w:rPr>
          <w:bCs/>
          <w:i/>
          <w:color w:val="000000" w:themeColor="text1"/>
          <w:sz w:val="18"/>
        </w:rPr>
      </w:pPr>
      <w:r w:rsidRPr="00E12BB9">
        <w:rPr>
          <w:i/>
          <w:color w:val="000000" w:themeColor="text1"/>
          <w:sz w:val="18"/>
        </w:rPr>
        <w:t>“L’innovation dans l’agriculture et l’horticulture est importante pour le développement économique.  La production de variétés diverses et de qualité de fruits, de légumes, et de plantes ornementales et agricoles permet d’assurer des revenus plus élevés aux agriculteurs et de créer des emplois pour des millions de personnes dans le monde.  Les obtentions végétales peuvent être la clé qui permettra aux pays en développement d’accéder aux marchés mondiaux et de commercer davantage à l’échelle internationale.  Parallèlement, elles peuvent favoriser le développement d’une agriculture urbaine et la culture de plantes ornementales, d’arbustes et d’arbres qui contribuent à améliorer la vie des individus dans un environnement urbain en expansion.</w:t>
      </w:r>
    </w:p>
    <w:p w14:paraId="22464562" w14:textId="77777777" w:rsidR="007D29F8" w:rsidRPr="00E12BB9" w:rsidRDefault="007D29F8" w:rsidP="007D29F8">
      <w:pPr>
        <w:ind w:left="567" w:right="567"/>
        <w:rPr>
          <w:bCs/>
          <w:i/>
          <w:color w:val="000000" w:themeColor="text1"/>
          <w:sz w:val="18"/>
        </w:rPr>
      </w:pPr>
    </w:p>
    <w:p w14:paraId="7CE07C51" w14:textId="77777777" w:rsidR="007D29F8" w:rsidRPr="00E12BB9" w:rsidRDefault="007D29F8" w:rsidP="007D29F8">
      <w:pPr>
        <w:keepNext/>
        <w:ind w:left="567" w:right="567"/>
        <w:rPr>
          <w:bCs/>
          <w:i/>
          <w:color w:val="000000" w:themeColor="text1"/>
          <w:sz w:val="18"/>
        </w:rPr>
      </w:pPr>
      <w:r w:rsidRPr="00E12BB9">
        <w:rPr>
          <w:i/>
          <w:color w:val="000000" w:themeColor="text1"/>
          <w:sz w:val="18"/>
        </w:rPr>
        <w:t>“Respecter l’environnement naturel</w:t>
      </w:r>
    </w:p>
    <w:p w14:paraId="4B0E26B6" w14:textId="77777777" w:rsidR="007D29F8" w:rsidRPr="00E12BB9" w:rsidRDefault="007D29F8" w:rsidP="007D29F8">
      <w:pPr>
        <w:keepNext/>
        <w:ind w:left="567" w:right="567"/>
        <w:rPr>
          <w:bCs/>
          <w:i/>
          <w:color w:val="000000" w:themeColor="text1"/>
          <w:sz w:val="18"/>
        </w:rPr>
      </w:pPr>
    </w:p>
    <w:p w14:paraId="78EFF48C" w14:textId="77777777" w:rsidR="007D29F8" w:rsidRPr="00E12BB9" w:rsidRDefault="007D29F8" w:rsidP="007D29F8">
      <w:pPr>
        <w:ind w:left="567" w:right="567"/>
        <w:rPr>
          <w:bCs/>
          <w:i/>
          <w:color w:val="000000" w:themeColor="text1"/>
          <w:sz w:val="18"/>
        </w:rPr>
      </w:pPr>
      <w:r w:rsidRPr="00E12BB9">
        <w:rPr>
          <w:i/>
          <w:color w:val="000000" w:themeColor="text1"/>
          <w:sz w:val="18"/>
        </w:rPr>
        <w:t>“Accroître la productivité tout en respectant l’environnement naturel constitue un défi majeur dans un contexte de croissance démographique et de changement climatique.  La sélection de variétés végétales au rendement plus élevé, une utilisation plus efficace des nutriments, une plus grande résistance aux parasites et aux maladies, une meilleure tolérance au sel et à la sécheresse et une meilleure capacité d’adaptation au stress climatique peuvent augmenter la productivité et la qualité des produits de manière durable en agriculture, en horticulture et en sylviculture et réduire la pression qui s’exerce sur l’environnement naturel</w:t>
      </w:r>
      <w:r w:rsidRPr="00E12BB9">
        <w:rPr>
          <w:bCs/>
          <w:i/>
          <w:color w:val="000000" w:themeColor="text1"/>
          <w:sz w:val="18"/>
        </w:rPr>
        <w:t>.”</w:t>
      </w:r>
    </w:p>
    <w:p w14:paraId="2885964C" w14:textId="77777777" w:rsidR="007D29F8" w:rsidRPr="00E12BB9" w:rsidRDefault="007D29F8" w:rsidP="007D29F8">
      <w:pPr>
        <w:jc w:val="left"/>
        <w:rPr>
          <w:bCs/>
          <w:color w:val="000000" w:themeColor="text1"/>
        </w:rPr>
      </w:pPr>
    </w:p>
    <w:p w14:paraId="27E3A9C4" w14:textId="77777777" w:rsidR="007D29F8" w:rsidRPr="00E12BB9" w:rsidRDefault="007D29F8" w:rsidP="007D29F8">
      <w:pPr>
        <w:rPr>
          <w:bCs/>
          <w:color w:val="000000" w:themeColor="text1"/>
        </w:rPr>
      </w:pPr>
      <w:r w:rsidRPr="00E12BB9">
        <w:rPr>
          <w:bCs/>
          <w:color w:val="000000" w:themeColor="text1"/>
        </w:rPr>
        <w:fldChar w:fldCharType="begin"/>
      </w:r>
      <w:r w:rsidRPr="00E12BB9">
        <w:rPr>
          <w:bCs/>
          <w:color w:val="000000" w:themeColor="text1"/>
        </w:rPr>
        <w:instrText xml:space="preserve"> AUTONUM  </w:instrText>
      </w:r>
      <w:r w:rsidRPr="00E12BB9">
        <w:rPr>
          <w:bCs/>
          <w:color w:val="000000" w:themeColor="text1"/>
        </w:rPr>
        <w:fldChar w:fldCharType="end"/>
      </w:r>
      <w:r w:rsidRPr="00E12BB9">
        <w:rPr>
          <w:bCs/>
          <w:color w:val="000000" w:themeColor="text1"/>
        </w:rPr>
        <w:tab/>
        <w:t>La pertinence de cette question a été soulignée lors du “Séminaire relatif aux stratégies en matière de politiques concernant la sélection végétale et la protection des variétés végétales”, qui s’est tenu le 20 octobre 2021.  Le séminaire a mis en évidence le rôle clé que la protection des variétés végétales doit jouer dans la sécurité alimentaire, la transformation de la production alimentaire dans une époque marquée par le changement climatique, le renforcement du développement économique et l’apport d’innovations et le transfert de technologies aux agriculteurs.</w:t>
      </w:r>
    </w:p>
    <w:p w14:paraId="63F49AF8" w14:textId="77777777" w:rsidR="007D29F8" w:rsidRPr="00E12BB9" w:rsidRDefault="007D29F8" w:rsidP="007D29F8">
      <w:pPr>
        <w:rPr>
          <w:bCs/>
          <w:color w:val="000000" w:themeColor="text1"/>
        </w:rPr>
      </w:pPr>
    </w:p>
    <w:p w14:paraId="39EA02F9" w14:textId="77777777" w:rsidR="007D29F8" w:rsidRPr="00E12BB9" w:rsidRDefault="007D29F8" w:rsidP="007D29F8">
      <w:pPr>
        <w:keepNext/>
        <w:rPr>
          <w:bCs/>
          <w:color w:val="000000" w:themeColor="text1"/>
        </w:rPr>
      </w:pPr>
      <w:r w:rsidRPr="00E12BB9">
        <w:rPr>
          <w:bCs/>
          <w:color w:val="000000" w:themeColor="text1"/>
        </w:rPr>
        <w:fldChar w:fldCharType="begin"/>
      </w:r>
      <w:r w:rsidRPr="00E12BB9">
        <w:rPr>
          <w:bCs/>
          <w:color w:val="000000" w:themeColor="text1"/>
        </w:rPr>
        <w:instrText xml:space="preserve"> AUTONUM  </w:instrText>
      </w:r>
      <w:r w:rsidRPr="00E12BB9">
        <w:rPr>
          <w:bCs/>
          <w:color w:val="000000" w:themeColor="text1"/>
        </w:rPr>
        <w:fldChar w:fldCharType="end"/>
      </w:r>
      <w:r w:rsidRPr="00E12BB9">
        <w:rPr>
          <w:bCs/>
          <w:color w:val="000000" w:themeColor="text1"/>
        </w:rPr>
        <w:tab/>
        <w:t xml:space="preserve">L’intérêt du système de l’UPOV de protection des obtentions végétales dans le cadre du changement climatique a été mis en lumière lors du “Séminaire pour étudier l’importance de la sélection végétale et de la protection des variétés végétales pour permettre à l’agriculture de s’adapter au changement climatique et d’en </w:t>
      </w:r>
      <w:r w:rsidRPr="00E12BB9">
        <w:rPr>
          <w:bCs/>
          <w:color w:val="000000" w:themeColor="text1"/>
        </w:rPr>
        <w:lastRenderedPageBreak/>
        <w:t xml:space="preserve">atténuer les effets”, organisé par l’UPOV en octobre 2022.  M. Marien Valstar, président du Conseil, a </w:t>
      </w:r>
      <w:r>
        <w:rPr>
          <w:bCs/>
          <w:color w:val="000000" w:themeColor="text1"/>
        </w:rPr>
        <w:t>formulé</w:t>
      </w:r>
      <w:r w:rsidRPr="00E12BB9">
        <w:rPr>
          <w:bCs/>
          <w:color w:val="000000" w:themeColor="text1"/>
        </w:rPr>
        <w:t xml:space="preserve"> les conclusions suivantes :</w:t>
      </w:r>
    </w:p>
    <w:p w14:paraId="6180CCFE" w14:textId="77777777" w:rsidR="007D29F8" w:rsidRPr="00E12BB9" w:rsidRDefault="007D29F8" w:rsidP="007D29F8">
      <w:pPr>
        <w:rPr>
          <w:bCs/>
          <w:color w:val="000000" w:themeColor="text1"/>
        </w:rPr>
      </w:pPr>
    </w:p>
    <w:p w14:paraId="25451181" w14:textId="77777777" w:rsidR="007D29F8" w:rsidRPr="00E12BB9" w:rsidRDefault="007D29F8" w:rsidP="007D29F8">
      <w:pPr>
        <w:pStyle w:val="Default"/>
        <w:keepNext/>
        <w:numPr>
          <w:ilvl w:val="0"/>
          <w:numId w:val="2"/>
        </w:numPr>
        <w:spacing w:after="120"/>
        <w:ind w:left="714" w:hanging="357"/>
        <w:rPr>
          <w:rFonts w:asciiTheme="minorHAnsi" w:hAnsiTheme="minorHAnsi" w:cstheme="minorHAnsi"/>
          <w:color w:val="auto"/>
          <w:sz w:val="20"/>
          <w:szCs w:val="20"/>
          <w:lang w:val="fr-FR"/>
        </w:rPr>
      </w:pPr>
      <w:r w:rsidRPr="00E12BB9">
        <w:rPr>
          <w:rFonts w:asciiTheme="minorHAnsi" w:hAnsiTheme="minorHAnsi" w:cstheme="minorHAnsi"/>
          <w:color w:val="auto"/>
          <w:sz w:val="20"/>
          <w:szCs w:val="20"/>
          <w:lang w:val="fr-FR"/>
        </w:rPr>
        <w:t>Le changement climatique est une urgence mondiale qui nous concerne tous : agriculteurs, obtenteurs et consommateurs.  Ses effets sont biotiques (apparition de nouveaux parasites et maladies) et abiotiques (chaleur, sécheresse, pluie, perturbation des saisons).</w:t>
      </w:r>
    </w:p>
    <w:p w14:paraId="65BD448C" w14:textId="77777777" w:rsidR="007D29F8" w:rsidRPr="00E12BB9" w:rsidRDefault="007D29F8" w:rsidP="007D29F8">
      <w:pPr>
        <w:pStyle w:val="Default"/>
        <w:keepNext/>
        <w:numPr>
          <w:ilvl w:val="0"/>
          <w:numId w:val="2"/>
        </w:numPr>
        <w:spacing w:after="120"/>
        <w:ind w:left="714" w:hanging="357"/>
        <w:rPr>
          <w:rFonts w:asciiTheme="minorHAnsi" w:hAnsiTheme="minorHAnsi" w:cstheme="minorHAnsi"/>
          <w:color w:val="auto"/>
          <w:sz w:val="20"/>
          <w:szCs w:val="20"/>
          <w:lang w:val="fr-FR"/>
        </w:rPr>
      </w:pPr>
      <w:r w:rsidRPr="00E12BB9">
        <w:rPr>
          <w:rFonts w:asciiTheme="minorHAnsi" w:hAnsiTheme="minorHAnsi" w:cstheme="minorHAnsi"/>
          <w:color w:val="auto"/>
          <w:sz w:val="20"/>
          <w:szCs w:val="20"/>
          <w:lang w:val="fr-FR"/>
        </w:rPr>
        <w:t>Il convient d’agir en mettant en place un éventail de stratégies pour relever les défis posés par le changement climatique.  La sélection végétale est au cœur de ces stratégies;  les agriculteurs ont besoin de nouvelles variétés végétales pour s’adapter au changement climatique, mais également pour accroître la productivité de manière durable afin d’en atténuer les effets.</w:t>
      </w:r>
    </w:p>
    <w:p w14:paraId="28FBA207" w14:textId="77777777" w:rsidR="007D29F8" w:rsidRPr="00E12BB9" w:rsidRDefault="007D29F8" w:rsidP="007D29F8">
      <w:pPr>
        <w:pStyle w:val="Default"/>
        <w:keepNext/>
        <w:numPr>
          <w:ilvl w:val="0"/>
          <w:numId w:val="2"/>
        </w:numPr>
        <w:spacing w:after="120"/>
        <w:ind w:left="714" w:hanging="357"/>
        <w:rPr>
          <w:rFonts w:asciiTheme="minorHAnsi" w:hAnsiTheme="minorHAnsi" w:cstheme="minorHAnsi"/>
          <w:color w:val="auto"/>
          <w:sz w:val="20"/>
          <w:szCs w:val="20"/>
          <w:lang w:val="fr-FR"/>
        </w:rPr>
      </w:pPr>
      <w:r w:rsidRPr="00E12BB9">
        <w:rPr>
          <w:rFonts w:asciiTheme="minorHAnsi" w:hAnsiTheme="minorHAnsi" w:cstheme="minorHAnsi"/>
          <w:color w:val="auto"/>
          <w:sz w:val="20"/>
          <w:szCs w:val="20"/>
          <w:lang w:val="fr-FR"/>
        </w:rPr>
        <w:t>La sélection végétale est un processus à long terme qui nécessite des financements à long terme de la part d’institutions et d’entreprises privées.  Les sélectionneurs professionnels ont besoin d’un environnement réglementaire favorable à l’innovation, à la con</w:t>
      </w:r>
      <w:r>
        <w:rPr>
          <w:rFonts w:asciiTheme="minorHAnsi" w:hAnsiTheme="minorHAnsi" w:cstheme="minorHAnsi"/>
          <w:color w:val="auto"/>
          <w:sz w:val="20"/>
          <w:szCs w:val="20"/>
          <w:lang w:val="fr-FR"/>
        </w:rPr>
        <w:t>s</w:t>
      </w:r>
      <w:r w:rsidRPr="00E12BB9">
        <w:rPr>
          <w:rFonts w:asciiTheme="minorHAnsi" w:hAnsiTheme="minorHAnsi" w:cstheme="minorHAnsi"/>
          <w:color w:val="auto"/>
          <w:sz w:val="20"/>
          <w:szCs w:val="20"/>
          <w:lang w:val="fr-FR"/>
        </w:rPr>
        <w:t>er</w:t>
      </w:r>
      <w:r>
        <w:rPr>
          <w:rFonts w:asciiTheme="minorHAnsi" w:hAnsiTheme="minorHAnsi" w:cstheme="minorHAnsi"/>
          <w:color w:val="auto"/>
          <w:sz w:val="20"/>
          <w:szCs w:val="20"/>
          <w:lang w:val="fr-FR"/>
        </w:rPr>
        <w:t>v</w:t>
      </w:r>
      <w:r w:rsidRPr="00E12BB9">
        <w:rPr>
          <w:rFonts w:asciiTheme="minorHAnsi" w:hAnsiTheme="minorHAnsi" w:cstheme="minorHAnsi"/>
          <w:color w:val="auto"/>
          <w:sz w:val="20"/>
          <w:szCs w:val="20"/>
          <w:lang w:val="fr-FR"/>
        </w:rPr>
        <w:t>ation et à l’utilisation des ressources génétiques.</w:t>
      </w:r>
    </w:p>
    <w:p w14:paraId="5883A0FC" w14:textId="77777777" w:rsidR="007D29F8" w:rsidRPr="00E12BB9" w:rsidRDefault="007D29F8" w:rsidP="007D29F8">
      <w:pPr>
        <w:pStyle w:val="Default"/>
        <w:numPr>
          <w:ilvl w:val="0"/>
          <w:numId w:val="2"/>
        </w:numPr>
        <w:rPr>
          <w:rFonts w:asciiTheme="minorHAnsi" w:hAnsiTheme="minorHAnsi" w:cstheme="minorHAnsi"/>
          <w:color w:val="auto"/>
          <w:sz w:val="20"/>
          <w:szCs w:val="20"/>
          <w:lang w:val="fr-FR"/>
        </w:rPr>
      </w:pPr>
      <w:r w:rsidRPr="00E12BB9">
        <w:rPr>
          <w:rFonts w:asciiTheme="minorHAnsi" w:hAnsiTheme="minorHAnsi" w:cstheme="minorHAnsi"/>
          <w:color w:val="auto"/>
          <w:sz w:val="20"/>
          <w:szCs w:val="20"/>
          <w:lang w:val="fr-FR"/>
        </w:rPr>
        <w:t>Le système de l’UPOV permet aux sélectionneurs professionnels de mettre à la disposition des agriculteurs des variétés dont ils auront besoin pour subvenir aux besoins en nourriture du monde dans le contexte du changement climatique.</w:t>
      </w:r>
    </w:p>
    <w:p w14:paraId="4CC3D776" w14:textId="77777777" w:rsidR="007D29F8" w:rsidRPr="00E12BB9" w:rsidRDefault="007D29F8" w:rsidP="007D29F8">
      <w:pPr>
        <w:rPr>
          <w:bCs/>
          <w:color w:val="000000" w:themeColor="text1"/>
        </w:rPr>
      </w:pPr>
    </w:p>
    <w:p w14:paraId="102DA3A2" w14:textId="77777777" w:rsidR="007D29F8" w:rsidRPr="00E12BB9" w:rsidRDefault="007D29F8" w:rsidP="007D29F8">
      <w:pPr>
        <w:rPr>
          <w:bCs/>
          <w:color w:val="000000" w:themeColor="text1"/>
        </w:rPr>
      </w:pPr>
    </w:p>
    <w:p w14:paraId="41EB488E" w14:textId="77777777" w:rsidR="007D29F8" w:rsidRPr="00E12BB9" w:rsidRDefault="007D29F8" w:rsidP="007D29F8">
      <w:pPr>
        <w:pStyle w:val="Heading1"/>
        <w:pageBreakBefore/>
        <w:numPr>
          <w:ilvl w:val="0"/>
          <w:numId w:val="1"/>
        </w:numPr>
        <w:ind w:left="567" w:hanging="567"/>
        <w:rPr>
          <w:lang w:val="fr-FR"/>
        </w:rPr>
      </w:pPr>
      <w:bookmarkStart w:id="419" w:name="_Toc132208444"/>
      <w:r w:rsidRPr="00E12BB9">
        <w:rPr>
          <w:lang w:val="fr-FR"/>
        </w:rPr>
        <w:lastRenderedPageBreak/>
        <w:t>Présentation du programme et budget</w:t>
      </w:r>
      <w:bookmarkEnd w:id="419"/>
    </w:p>
    <w:p w14:paraId="7A4B4D18" w14:textId="77777777" w:rsidR="007D29F8" w:rsidRPr="00E12BB9" w:rsidRDefault="007D29F8" w:rsidP="007D29F8"/>
    <w:p w14:paraId="35D985EF" w14:textId="77777777" w:rsidR="007D29F8" w:rsidRPr="00E12BB9" w:rsidRDefault="007D29F8" w:rsidP="007D29F8">
      <w:pPr>
        <w:pStyle w:val="Heading2"/>
        <w:rPr>
          <w:lang w:val="fr-FR"/>
        </w:rPr>
      </w:pPr>
      <w:bookmarkStart w:id="420" w:name="_Toc132208445"/>
      <w:r w:rsidRPr="00E12BB9">
        <w:rPr>
          <w:lang w:val="fr-FR"/>
        </w:rPr>
        <w:t>Synthèse financière</w:t>
      </w:r>
      <w:bookmarkEnd w:id="420"/>
    </w:p>
    <w:p w14:paraId="74F3F12C" w14:textId="77777777" w:rsidR="007D29F8" w:rsidRPr="00E12BB9" w:rsidRDefault="007D29F8" w:rsidP="007D29F8"/>
    <w:p w14:paraId="4D780C89" w14:textId="77777777" w:rsidR="007D29F8" w:rsidRPr="00E12BB9" w:rsidRDefault="007D29F8" w:rsidP="007D29F8">
      <w:pPr>
        <w:rPr>
          <w:spacing w:val="-2"/>
          <w:szCs w:val="24"/>
        </w:rPr>
      </w:pPr>
      <w:r w:rsidRPr="00E12BB9">
        <w:t>Le budget proposé</w:t>
      </w:r>
      <w:r w:rsidRPr="00E12BB9">
        <w:rPr>
          <w:rStyle w:val="FootnoteReference"/>
        </w:rPr>
        <w:footnoteReference w:id="2"/>
      </w:r>
      <w:r w:rsidRPr="00E12BB9">
        <w:t xml:space="preserve"> pour l’exercice</w:t>
      </w:r>
      <w:r>
        <w:t> </w:t>
      </w:r>
      <w:r w:rsidRPr="00E12BB9">
        <w:rPr>
          <w:snapToGrid w:val="0"/>
        </w:rPr>
        <w:t>2024-2025</w:t>
      </w:r>
      <w:r w:rsidRPr="00E12BB9">
        <w:t xml:space="preserve"> prévoit des recettes s’élevant à 7 901 307 francs suisses par rapport au budget de l’exercice</w:t>
      </w:r>
      <w:r>
        <w:t> </w:t>
      </w:r>
      <w:r w:rsidRPr="00E12BB9">
        <w:t xml:space="preserve">2022­2023, dans lequel elles s’établissaient à 7 634 500 francs suisses.  </w:t>
      </w:r>
      <w:r w:rsidRPr="00E12BB9">
        <w:rPr>
          <w:spacing w:val="-2"/>
          <w:szCs w:val="24"/>
        </w:rPr>
        <w:t>Le</w:t>
      </w:r>
      <w:r>
        <w:rPr>
          <w:spacing w:val="-2"/>
          <w:szCs w:val="24"/>
        </w:rPr>
        <w:t> </w:t>
      </w:r>
      <w:r w:rsidRPr="00E12BB9">
        <w:rPr>
          <w:spacing w:val="-2"/>
          <w:szCs w:val="24"/>
        </w:rPr>
        <w:t xml:space="preserve">montant des dépenses est estimé au même niveau que les recettes prévues </w:t>
      </w:r>
      <w:r w:rsidRPr="00E12BB9">
        <w:t>(voir le tableau 1)</w:t>
      </w:r>
      <w:r w:rsidRPr="00E12BB9">
        <w:rPr>
          <w:spacing w:val="-2"/>
          <w:szCs w:val="24"/>
        </w:rPr>
        <w:t>.</w:t>
      </w:r>
    </w:p>
    <w:p w14:paraId="1185BED0" w14:textId="77777777" w:rsidR="007D29F8" w:rsidRPr="00E12BB9" w:rsidRDefault="007D29F8" w:rsidP="007D29F8"/>
    <w:p w14:paraId="52F5D946" w14:textId="77777777" w:rsidR="007D29F8" w:rsidRPr="00E12BB9" w:rsidRDefault="007D29F8" w:rsidP="007D29F8">
      <w:pPr>
        <w:jc w:val="center"/>
      </w:pPr>
    </w:p>
    <w:p w14:paraId="3C9D369C" w14:textId="77777777" w:rsidR="007D29F8" w:rsidRPr="00E12BB9" w:rsidRDefault="007D29F8" w:rsidP="007D29F8">
      <w:pPr>
        <w:jc w:val="center"/>
        <w:rPr>
          <w:b/>
          <w:color w:val="26724C" w:themeColor="accent1" w:themeShade="BF"/>
        </w:rPr>
      </w:pPr>
      <w:r w:rsidRPr="00E12BB9">
        <w:rPr>
          <w:b/>
          <w:color w:val="26724C" w:themeColor="accent1" w:themeShade="BF"/>
        </w:rPr>
        <w:t>Tableau 1</w:t>
      </w:r>
      <w:r>
        <w:rPr>
          <w:b/>
          <w:color w:val="26724C" w:themeColor="accent1" w:themeShade="BF"/>
        </w:rPr>
        <w:t xml:space="preserve"> : </w:t>
      </w:r>
      <w:r w:rsidRPr="00E12BB9">
        <w:rPr>
          <w:b/>
          <w:color w:val="26724C" w:themeColor="accent1" w:themeShade="BF"/>
        </w:rPr>
        <w:t xml:space="preserve"> Recettes et dépenses</w:t>
      </w:r>
      <w:r>
        <w:rPr>
          <w:b/>
          <w:color w:val="26724C" w:themeColor="accent1" w:themeShade="BF"/>
        </w:rPr>
        <w:t> </w:t>
      </w:r>
      <w:r w:rsidRPr="00E12BB9">
        <w:rPr>
          <w:b/>
          <w:color w:val="26724C" w:themeColor="accent1" w:themeShade="BF"/>
        </w:rPr>
        <w:t>2020-2021, 2022-2023 et 2024-2025</w:t>
      </w:r>
    </w:p>
    <w:p w14:paraId="7644D2E3" w14:textId="77777777" w:rsidR="007D29F8" w:rsidRPr="00E12BB9" w:rsidRDefault="007D29F8" w:rsidP="007D29F8">
      <w:pPr>
        <w:jc w:val="center"/>
        <w:rPr>
          <w:i/>
          <w:sz w:val="18"/>
        </w:rPr>
      </w:pPr>
      <w:r w:rsidRPr="00E12BB9">
        <w:rPr>
          <w:i/>
          <w:sz w:val="18"/>
        </w:rPr>
        <w:t>(</w:t>
      </w:r>
      <w:proofErr w:type="gramStart"/>
      <w:r w:rsidRPr="00E12BB9">
        <w:rPr>
          <w:i/>
          <w:sz w:val="18"/>
        </w:rPr>
        <w:t>en</w:t>
      </w:r>
      <w:proofErr w:type="gramEnd"/>
      <w:r w:rsidRPr="00E12BB9">
        <w:rPr>
          <w:i/>
          <w:sz w:val="18"/>
        </w:rPr>
        <w:t xml:space="preserve"> milliers de francs suisses)</w:t>
      </w:r>
    </w:p>
    <w:p w14:paraId="495B54F6" w14:textId="77777777" w:rsidR="007D29F8" w:rsidRPr="00E12BB9" w:rsidRDefault="007D29F8" w:rsidP="007D29F8">
      <w:pPr>
        <w:rPr>
          <w:spacing w:val="-2"/>
          <w:szCs w:val="24"/>
        </w:rPr>
      </w:pPr>
    </w:p>
    <w:tbl>
      <w:tblPr>
        <w:tblW w:w="9560" w:type="dxa"/>
        <w:tblLook w:val="04A0" w:firstRow="1" w:lastRow="0" w:firstColumn="1" w:lastColumn="0" w:noHBand="0" w:noVBand="1"/>
      </w:tblPr>
      <w:tblGrid>
        <w:gridCol w:w="3800"/>
        <w:gridCol w:w="1180"/>
        <w:gridCol w:w="1180"/>
        <w:gridCol w:w="720"/>
        <w:gridCol w:w="1020"/>
        <w:gridCol w:w="1660"/>
      </w:tblGrid>
      <w:tr w:rsidR="007D29F8" w:rsidRPr="00E12BB9" w14:paraId="53B4F6D3" w14:textId="77777777" w:rsidTr="00DB6666">
        <w:trPr>
          <w:trHeight w:val="255"/>
        </w:trPr>
        <w:tc>
          <w:tcPr>
            <w:tcW w:w="3800" w:type="dxa"/>
            <w:tcBorders>
              <w:top w:val="nil"/>
              <w:left w:val="nil"/>
              <w:bottom w:val="nil"/>
              <w:right w:val="nil"/>
            </w:tcBorders>
            <w:shd w:val="clear" w:color="000000" w:fill="C7CFD8"/>
            <w:hideMark/>
          </w:tcPr>
          <w:p w14:paraId="4FD73D01" w14:textId="77777777" w:rsidR="007D29F8" w:rsidRPr="00E12BB9" w:rsidRDefault="007D29F8" w:rsidP="00DB6666">
            <w:pPr>
              <w:ind w:firstLineChars="100" w:firstLine="201"/>
              <w:jc w:val="left"/>
              <w:rPr>
                <w:rFonts w:cs="Arial"/>
                <w:b/>
                <w:bCs/>
                <w:i/>
                <w:iCs/>
              </w:rPr>
            </w:pPr>
            <w:r w:rsidRPr="00E12BB9">
              <w:rPr>
                <w:rFonts w:cs="Arial"/>
                <w:b/>
                <w:bCs/>
                <w:i/>
                <w:iCs/>
              </w:rPr>
              <w:t> </w:t>
            </w:r>
          </w:p>
        </w:tc>
        <w:tc>
          <w:tcPr>
            <w:tcW w:w="1180" w:type="dxa"/>
            <w:tcBorders>
              <w:top w:val="nil"/>
              <w:left w:val="nil"/>
              <w:bottom w:val="nil"/>
              <w:right w:val="nil"/>
            </w:tcBorders>
            <w:shd w:val="clear" w:color="000000" w:fill="C7CFD8"/>
            <w:vAlign w:val="center"/>
            <w:hideMark/>
          </w:tcPr>
          <w:p w14:paraId="0F4C2ED3" w14:textId="77777777" w:rsidR="007D29F8" w:rsidRPr="00E12BB9" w:rsidRDefault="007D29F8" w:rsidP="00DB6666">
            <w:pPr>
              <w:jc w:val="center"/>
              <w:rPr>
                <w:rFonts w:ascii="Arial Narrow" w:hAnsi="Arial Narrow" w:cs="Arial"/>
                <w:b/>
                <w:bCs/>
                <w:sz w:val="18"/>
                <w:szCs w:val="18"/>
              </w:rPr>
            </w:pPr>
            <w:r w:rsidRPr="00E12BB9">
              <w:rPr>
                <w:rFonts w:ascii="Arial Narrow" w:hAnsi="Arial Narrow" w:cs="Arial"/>
                <w:b/>
                <w:bCs/>
                <w:sz w:val="18"/>
                <w:szCs w:val="18"/>
              </w:rPr>
              <w:t>Montant effectif</w:t>
            </w:r>
          </w:p>
        </w:tc>
        <w:tc>
          <w:tcPr>
            <w:tcW w:w="1180" w:type="dxa"/>
            <w:tcBorders>
              <w:top w:val="nil"/>
              <w:left w:val="nil"/>
              <w:bottom w:val="nil"/>
              <w:right w:val="nil"/>
            </w:tcBorders>
            <w:shd w:val="clear" w:color="000000" w:fill="C7CFD8"/>
            <w:vAlign w:val="center"/>
            <w:hideMark/>
          </w:tcPr>
          <w:p w14:paraId="78AD17DC" w14:textId="77777777" w:rsidR="007D29F8" w:rsidRPr="00E12BB9" w:rsidRDefault="007D29F8" w:rsidP="00DB6666">
            <w:pPr>
              <w:jc w:val="center"/>
              <w:rPr>
                <w:rFonts w:ascii="Arial Narrow" w:hAnsi="Arial Narrow" w:cs="Arial"/>
                <w:b/>
                <w:bCs/>
                <w:sz w:val="18"/>
                <w:szCs w:val="18"/>
              </w:rPr>
            </w:pPr>
            <w:r w:rsidRPr="00E12BB9">
              <w:rPr>
                <w:rFonts w:ascii="Arial Narrow" w:hAnsi="Arial Narrow" w:cs="Arial"/>
                <w:b/>
                <w:bCs/>
                <w:sz w:val="18"/>
                <w:szCs w:val="18"/>
              </w:rPr>
              <w:t xml:space="preserve">Budget </w:t>
            </w:r>
          </w:p>
        </w:tc>
        <w:tc>
          <w:tcPr>
            <w:tcW w:w="1740" w:type="dxa"/>
            <w:gridSpan w:val="2"/>
            <w:vMerge w:val="restart"/>
            <w:tcBorders>
              <w:top w:val="nil"/>
              <w:left w:val="nil"/>
              <w:bottom w:val="single" w:sz="4" w:space="0" w:color="748B9E"/>
              <w:right w:val="nil"/>
            </w:tcBorders>
            <w:shd w:val="clear" w:color="000000" w:fill="C7CFD8"/>
            <w:vAlign w:val="center"/>
            <w:hideMark/>
          </w:tcPr>
          <w:p w14:paraId="23795081" w14:textId="77777777" w:rsidR="007D29F8" w:rsidRPr="00E12BB9" w:rsidRDefault="007D29F8" w:rsidP="00DB6666">
            <w:pPr>
              <w:jc w:val="center"/>
              <w:rPr>
                <w:rFonts w:ascii="Arial Narrow" w:hAnsi="Arial Narrow" w:cs="Arial"/>
                <w:b/>
                <w:bCs/>
                <w:sz w:val="18"/>
                <w:szCs w:val="18"/>
              </w:rPr>
            </w:pPr>
            <w:r w:rsidRPr="00E12BB9">
              <w:rPr>
                <w:rFonts w:ascii="Arial Narrow" w:hAnsi="Arial Narrow" w:cs="Arial"/>
                <w:b/>
                <w:bCs/>
                <w:sz w:val="18"/>
                <w:szCs w:val="18"/>
              </w:rPr>
              <w:t>Variation</w:t>
            </w:r>
          </w:p>
        </w:tc>
        <w:tc>
          <w:tcPr>
            <w:tcW w:w="1660" w:type="dxa"/>
            <w:tcBorders>
              <w:top w:val="nil"/>
              <w:left w:val="nil"/>
              <w:bottom w:val="nil"/>
              <w:right w:val="nil"/>
            </w:tcBorders>
            <w:shd w:val="clear" w:color="000000" w:fill="C7CFD8"/>
            <w:vAlign w:val="center"/>
            <w:hideMark/>
          </w:tcPr>
          <w:p w14:paraId="001228D4" w14:textId="77777777" w:rsidR="007D29F8" w:rsidRPr="00E12BB9" w:rsidRDefault="007D29F8" w:rsidP="00DB6666">
            <w:pPr>
              <w:jc w:val="center"/>
              <w:rPr>
                <w:rFonts w:ascii="Arial Narrow" w:hAnsi="Arial Narrow" w:cs="Arial"/>
                <w:b/>
                <w:bCs/>
                <w:sz w:val="18"/>
                <w:szCs w:val="18"/>
              </w:rPr>
            </w:pPr>
            <w:r w:rsidRPr="00E12BB9">
              <w:rPr>
                <w:rFonts w:ascii="Arial Narrow" w:hAnsi="Arial Narrow" w:cs="Arial"/>
                <w:b/>
                <w:bCs/>
                <w:sz w:val="18"/>
                <w:szCs w:val="18"/>
              </w:rPr>
              <w:t>Budget propos</w:t>
            </w:r>
            <w:r>
              <w:rPr>
                <w:rFonts w:ascii="Arial Narrow" w:hAnsi="Arial Narrow" w:cs="Arial"/>
                <w:b/>
                <w:bCs/>
                <w:sz w:val="18"/>
                <w:szCs w:val="18"/>
              </w:rPr>
              <w:t>é</w:t>
            </w:r>
            <w:r w:rsidRPr="00E12BB9">
              <w:rPr>
                <w:rFonts w:ascii="Arial Narrow" w:hAnsi="Arial Narrow" w:cs="Arial"/>
                <w:b/>
                <w:bCs/>
                <w:sz w:val="18"/>
                <w:szCs w:val="18"/>
              </w:rPr>
              <w:t xml:space="preserve"> pour</w:t>
            </w:r>
          </w:p>
        </w:tc>
      </w:tr>
      <w:tr w:rsidR="007D29F8" w:rsidRPr="00E12BB9" w14:paraId="318727AD" w14:textId="77777777" w:rsidTr="00DB6666">
        <w:trPr>
          <w:trHeight w:val="260"/>
        </w:trPr>
        <w:tc>
          <w:tcPr>
            <w:tcW w:w="3800" w:type="dxa"/>
            <w:tcBorders>
              <w:top w:val="nil"/>
              <w:left w:val="nil"/>
              <w:bottom w:val="nil"/>
              <w:right w:val="nil"/>
            </w:tcBorders>
            <w:shd w:val="clear" w:color="000000" w:fill="C7CFD8"/>
            <w:hideMark/>
          </w:tcPr>
          <w:p w14:paraId="606DE421" w14:textId="77777777" w:rsidR="007D29F8" w:rsidRPr="00E12BB9" w:rsidRDefault="007D29F8" w:rsidP="00DB6666">
            <w:pPr>
              <w:ind w:firstLineChars="100" w:firstLine="201"/>
              <w:jc w:val="left"/>
              <w:rPr>
                <w:rFonts w:cs="Arial"/>
                <w:b/>
                <w:bCs/>
                <w:i/>
                <w:iCs/>
              </w:rPr>
            </w:pPr>
            <w:r w:rsidRPr="00E12BB9">
              <w:rPr>
                <w:rFonts w:cs="Arial"/>
                <w:b/>
                <w:bCs/>
                <w:i/>
                <w:iCs/>
              </w:rPr>
              <w:t> </w:t>
            </w:r>
          </w:p>
        </w:tc>
        <w:tc>
          <w:tcPr>
            <w:tcW w:w="1180" w:type="dxa"/>
            <w:tcBorders>
              <w:top w:val="nil"/>
              <w:left w:val="nil"/>
              <w:bottom w:val="nil"/>
              <w:right w:val="nil"/>
            </w:tcBorders>
            <w:shd w:val="clear" w:color="000000" w:fill="C7CFD8"/>
            <w:vAlign w:val="center"/>
            <w:hideMark/>
          </w:tcPr>
          <w:p w14:paraId="72D5A78B" w14:textId="77777777" w:rsidR="007D29F8" w:rsidRPr="00E12BB9" w:rsidRDefault="007D29F8" w:rsidP="00DB6666">
            <w:pPr>
              <w:jc w:val="center"/>
              <w:rPr>
                <w:rFonts w:ascii="Arial Narrow" w:hAnsi="Arial Narrow" w:cs="Arial"/>
                <w:b/>
                <w:bCs/>
                <w:sz w:val="18"/>
                <w:szCs w:val="18"/>
              </w:rPr>
            </w:pPr>
            <w:r w:rsidRPr="00E12BB9">
              <w:rPr>
                <w:rFonts w:ascii="Arial Narrow" w:hAnsi="Arial Narrow" w:cs="Arial"/>
                <w:b/>
                <w:bCs/>
                <w:sz w:val="18"/>
                <w:szCs w:val="18"/>
              </w:rPr>
              <w:t>2020-</w:t>
            </w:r>
            <w:r>
              <w:rPr>
                <w:rFonts w:ascii="Arial Narrow" w:hAnsi="Arial Narrow" w:cs="Arial"/>
                <w:b/>
                <w:bCs/>
                <w:sz w:val="18"/>
                <w:szCs w:val="18"/>
              </w:rPr>
              <w:t>2021</w:t>
            </w:r>
          </w:p>
        </w:tc>
        <w:tc>
          <w:tcPr>
            <w:tcW w:w="1180" w:type="dxa"/>
            <w:tcBorders>
              <w:top w:val="nil"/>
              <w:left w:val="nil"/>
              <w:bottom w:val="nil"/>
              <w:right w:val="nil"/>
            </w:tcBorders>
            <w:shd w:val="clear" w:color="000000" w:fill="C7CFD8"/>
            <w:vAlign w:val="center"/>
            <w:hideMark/>
          </w:tcPr>
          <w:p w14:paraId="09896C5F" w14:textId="77777777" w:rsidR="007D29F8" w:rsidRPr="00E12BB9" w:rsidRDefault="007D29F8" w:rsidP="00DB6666">
            <w:pPr>
              <w:jc w:val="center"/>
              <w:rPr>
                <w:rFonts w:ascii="Arial Narrow" w:hAnsi="Arial Narrow" w:cs="Arial"/>
                <w:b/>
                <w:bCs/>
                <w:sz w:val="18"/>
                <w:szCs w:val="18"/>
              </w:rPr>
            </w:pPr>
            <w:r w:rsidRPr="00E12BB9">
              <w:rPr>
                <w:rFonts w:ascii="Arial Narrow" w:hAnsi="Arial Narrow" w:cs="Arial"/>
                <w:b/>
                <w:bCs/>
                <w:sz w:val="18"/>
                <w:szCs w:val="18"/>
              </w:rPr>
              <w:t>2022-</w:t>
            </w:r>
            <w:r>
              <w:rPr>
                <w:rFonts w:ascii="Arial Narrow" w:hAnsi="Arial Narrow" w:cs="Arial"/>
                <w:b/>
                <w:bCs/>
                <w:sz w:val="18"/>
                <w:szCs w:val="18"/>
              </w:rPr>
              <w:t>2023</w:t>
            </w:r>
          </w:p>
        </w:tc>
        <w:tc>
          <w:tcPr>
            <w:tcW w:w="1740" w:type="dxa"/>
            <w:gridSpan w:val="2"/>
            <w:vMerge/>
            <w:tcBorders>
              <w:top w:val="nil"/>
              <w:left w:val="nil"/>
              <w:bottom w:val="nil"/>
              <w:right w:val="nil"/>
            </w:tcBorders>
            <w:vAlign w:val="center"/>
            <w:hideMark/>
          </w:tcPr>
          <w:p w14:paraId="780F2923" w14:textId="77777777" w:rsidR="007D29F8" w:rsidRPr="00E12BB9" w:rsidRDefault="007D29F8" w:rsidP="00DB6666">
            <w:pPr>
              <w:jc w:val="left"/>
              <w:rPr>
                <w:rFonts w:ascii="Arial Narrow" w:hAnsi="Arial Narrow" w:cs="Arial"/>
                <w:b/>
                <w:bCs/>
                <w:sz w:val="18"/>
                <w:szCs w:val="18"/>
              </w:rPr>
            </w:pPr>
          </w:p>
        </w:tc>
        <w:tc>
          <w:tcPr>
            <w:tcW w:w="1660" w:type="dxa"/>
            <w:tcBorders>
              <w:top w:val="nil"/>
              <w:left w:val="nil"/>
              <w:bottom w:val="nil"/>
              <w:right w:val="nil"/>
            </w:tcBorders>
            <w:shd w:val="clear" w:color="000000" w:fill="C7CFD8"/>
            <w:vAlign w:val="center"/>
            <w:hideMark/>
          </w:tcPr>
          <w:p w14:paraId="78AA1F7E" w14:textId="77777777" w:rsidR="007D29F8" w:rsidRPr="00E12BB9" w:rsidRDefault="007D29F8" w:rsidP="00DB6666">
            <w:pPr>
              <w:jc w:val="center"/>
              <w:rPr>
                <w:rFonts w:ascii="Arial Narrow" w:hAnsi="Arial Narrow" w:cs="Arial"/>
                <w:b/>
                <w:bCs/>
                <w:sz w:val="18"/>
                <w:szCs w:val="18"/>
              </w:rPr>
            </w:pPr>
            <w:r w:rsidRPr="00E12BB9">
              <w:rPr>
                <w:rFonts w:ascii="Arial Narrow" w:hAnsi="Arial Narrow" w:cs="Arial"/>
                <w:b/>
                <w:bCs/>
                <w:sz w:val="18"/>
                <w:szCs w:val="18"/>
              </w:rPr>
              <w:t>2024-2025</w:t>
            </w:r>
          </w:p>
        </w:tc>
      </w:tr>
      <w:tr w:rsidR="007D29F8" w:rsidRPr="00E12BB9" w14:paraId="204E0744" w14:textId="77777777" w:rsidTr="00DB6666">
        <w:trPr>
          <w:trHeight w:val="260"/>
        </w:trPr>
        <w:tc>
          <w:tcPr>
            <w:tcW w:w="3800" w:type="dxa"/>
            <w:tcBorders>
              <w:top w:val="nil"/>
              <w:left w:val="nil"/>
              <w:bottom w:val="nil"/>
              <w:right w:val="nil"/>
            </w:tcBorders>
            <w:shd w:val="clear" w:color="000000" w:fill="C7CFD8"/>
            <w:vAlign w:val="bottom"/>
            <w:hideMark/>
          </w:tcPr>
          <w:p w14:paraId="2909D7EA" w14:textId="77777777" w:rsidR="007D29F8" w:rsidRPr="00E12BB9" w:rsidRDefault="007D29F8" w:rsidP="00DB6666">
            <w:pPr>
              <w:ind w:firstLineChars="100" w:firstLine="201"/>
              <w:jc w:val="left"/>
              <w:rPr>
                <w:rFonts w:cs="Arial"/>
                <w:b/>
                <w:bCs/>
                <w:i/>
                <w:iCs/>
              </w:rPr>
            </w:pPr>
            <w:r w:rsidRPr="00E12BB9">
              <w:rPr>
                <w:rFonts w:cs="Arial"/>
                <w:b/>
                <w:bCs/>
                <w:i/>
                <w:iCs/>
              </w:rPr>
              <w:t> </w:t>
            </w:r>
          </w:p>
        </w:tc>
        <w:tc>
          <w:tcPr>
            <w:tcW w:w="1180" w:type="dxa"/>
            <w:tcBorders>
              <w:top w:val="nil"/>
              <w:left w:val="nil"/>
              <w:bottom w:val="nil"/>
              <w:right w:val="nil"/>
            </w:tcBorders>
            <w:shd w:val="clear" w:color="000000" w:fill="C7CFD8"/>
            <w:vAlign w:val="center"/>
            <w:hideMark/>
          </w:tcPr>
          <w:p w14:paraId="79ACEB18" w14:textId="77777777" w:rsidR="007D29F8" w:rsidRPr="00E12BB9" w:rsidRDefault="007D29F8" w:rsidP="00DB6666">
            <w:pPr>
              <w:jc w:val="center"/>
              <w:rPr>
                <w:rFonts w:ascii="Arial Narrow" w:hAnsi="Arial Narrow" w:cs="Arial"/>
                <w:b/>
                <w:bCs/>
                <w:sz w:val="18"/>
                <w:szCs w:val="18"/>
              </w:rPr>
            </w:pPr>
            <w:r w:rsidRPr="00E12BB9">
              <w:rPr>
                <w:rFonts w:ascii="Arial Narrow" w:hAnsi="Arial Narrow" w:cs="Arial"/>
                <w:b/>
                <w:bCs/>
                <w:sz w:val="18"/>
                <w:szCs w:val="18"/>
              </w:rPr>
              <w:t>A</w:t>
            </w:r>
          </w:p>
        </w:tc>
        <w:tc>
          <w:tcPr>
            <w:tcW w:w="1180" w:type="dxa"/>
            <w:tcBorders>
              <w:top w:val="nil"/>
              <w:left w:val="nil"/>
              <w:bottom w:val="nil"/>
              <w:right w:val="nil"/>
            </w:tcBorders>
            <w:shd w:val="clear" w:color="000000" w:fill="C7CFD8"/>
            <w:noWrap/>
            <w:vAlign w:val="center"/>
            <w:hideMark/>
          </w:tcPr>
          <w:p w14:paraId="79C3F5AC" w14:textId="77777777" w:rsidR="007D29F8" w:rsidRPr="00E12BB9" w:rsidRDefault="007D29F8" w:rsidP="00DB6666">
            <w:pPr>
              <w:jc w:val="center"/>
              <w:rPr>
                <w:rFonts w:ascii="Arial Narrow" w:hAnsi="Arial Narrow" w:cs="Arial"/>
                <w:b/>
                <w:bCs/>
                <w:sz w:val="18"/>
                <w:szCs w:val="18"/>
              </w:rPr>
            </w:pPr>
            <w:r>
              <w:rPr>
                <w:rFonts w:ascii="Arial Narrow" w:hAnsi="Arial Narrow" w:cs="Arial"/>
                <w:b/>
                <w:bCs/>
                <w:sz w:val="18"/>
                <w:szCs w:val="18"/>
              </w:rPr>
              <w:t>B</w:t>
            </w:r>
          </w:p>
        </w:tc>
        <w:tc>
          <w:tcPr>
            <w:tcW w:w="720" w:type="dxa"/>
            <w:tcBorders>
              <w:top w:val="nil"/>
              <w:left w:val="nil"/>
              <w:bottom w:val="nil"/>
              <w:right w:val="nil"/>
            </w:tcBorders>
            <w:shd w:val="clear" w:color="000000" w:fill="C7CFD8"/>
            <w:vAlign w:val="center"/>
            <w:hideMark/>
          </w:tcPr>
          <w:p w14:paraId="6DB4AE5C" w14:textId="77777777" w:rsidR="007D29F8" w:rsidRPr="00E12BB9" w:rsidRDefault="007D29F8" w:rsidP="00DB6666">
            <w:pPr>
              <w:jc w:val="center"/>
              <w:rPr>
                <w:rFonts w:ascii="Arial Narrow" w:hAnsi="Arial Narrow" w:cs="Arial"/>
                <w:b/>
                <w:bCs/>
                <w:sz w:val="18"/>
                <w:szCs w:val="18"/>
              </w:rPr>
            </w:pPr>
            <w:r>
              <w:rPr>
                <w:rFonts w:ascii="Arial Narrow" w:hAnsi="Arial Narrow" w:cs="Arial"/>
                <w:b/>
                <w:bCs/>
                <w:sz w:val="18"/>
                <w:szCs w:val="18"/>
              </w:rPr>
              <w:t>C</w:t>
            </w:r>
          </w:p>
        </w:tc>
        <w:tc>
          <w:tcPr>
            <w:tcW w:w="1020" w:type="dxa"/>
            <w:tcBorders>
              <w:top w:val="nil"/>
              <w:left w:val="nil"/>
              <w:bottom w:val="nil"/>
              <w:right w:val="nil"/>
            </w:tcBorders>
            <w:shd w:val="clear" w:color="000000" w:fill="C7CFD8"/>
            <w:vAlign w:val="center"/>
            <w:hideMark/>
          </w:tcPr>
          <w:p w14:paraId="4791E865" w14:textId="77777777" w:rsidR="007D29F8" w:rsidRPr="00E12BB9" w:rsidRDefault="007D29F8" w:rsidP="00DB6666">
            <w:pPr>
              <w:jc w:val="center"/>
              <w:rPr>
                <w:rFonts w:ascii="Arial Narrow" w:hAnsi="Arial Narrow" w:cs="Arial"/>
                <w:b/>
                <w:bCs/>
                <w:sz w:val="18"/>
                <w:szCs w:val="18"/>
              </w:rPr>
            </w:pPr>
            <w:r w:rsidRPr="00E12BB9">
              <w:rPr>
                <w:rFonts w:ascii="Arial Narrow" w:hAnsi="Arial Narrow" w:cs="Arial"/>
                <w:b/>
                <w:bCs/>
                <w:sz w:val="18"/>
                <w:szCs w:val="18"/>
              </w:rPr>
              <w:t>C/B</w:t>
            </w:r>
          </w:p>
        </w:tc>
        <w:tc>
          <w:tcPr>
            <w:tcW w:w="1660" w:type="dxa"/>
            <w:tcBorders>
              <w:top w:val="nil"/>
              <w:left w:val="nil"/>
              <w:bottom w:val="nil"/>
              <w:right w:val="nil"/>
            </w:tcBorders>
            <w:shd w:val="clear" w:color="000000" w:fill="C7CFD8"/>
            <w:noWrap/>
            <w:vAlign w:val="center"/>
            <w:hideMark/>
          </w:tcPr>
          <w:p w14:paraId="438D56F7" w14:textId="77777777" w:rsidR="007D29F8" w:rsidRPr="00E12BB9" w:rsidRDefault="007D29F8" w:rsidP="00DB6666">
            <w:pPr>
              <w:jc w:val="center"/>
              <w:rPr>
                <w:rFonts w:ascii="Arial Narrow" w:hAnsi="Arial Narrow" w:cs="Arial"/>
                <w:b/>
                <w:bCs/>
                <w:sz w:val="18"/>
                <w:szCs w:val="18"/>
              </w:rPr>
            </w:pPr>
            <w:r>
              <w:rPr>
                <w:rFonts w:ascii="Arial Narrow" w:hAnsi="Arial Narrow" w:cs="Arial"/>
                <w:b/>
                <w:bCs/>
                <w:sz w:val="18"/>
                <w:szCs w:val="18"/>
              </w:rPr>
              <w:t>D=B+C</w:t>
            </w:r>
          </w:p>
        </w:tc>
      </w:tr>
      <w:tr w:rsidR="007D29F8" w:rsidRPr="00597B8C" w14:paraId="5D841EF5" w14:textId="77777777" w:rsidTr="00DB6666">
        <w:trPr>
          <w:trHeight w:val="330"/>
        </w:trPr>
        <w:tc>
          <w:tcPr>
            <w:tcW w:w="3800" w:type="dxa"/>
            <w:tcBorders>
              <w:top w:val="nil"/>
              <w:left w:val="nil"/>
              <w:bottom w:val="nil"/>
              <w:right w:val="nil"/>
            </w:tcBorders>
            <w:shd w:val="clear" w:color="auto" w:fill="auto"/>
            <w:vAlign w:val="center"/>
            <w:hideMark/>
          </w:tcPr>
          <w:p w14:paraId="6C7984C1" w14:textId="77777777" w:rsidR="007D29F8" w:rsidRPr="00597B8C" w:rsidRDefault="007D29F8" w:rsidP="00DB6666">
            <w:pPr>
              <w:jc w:val="left"/>
              <w:rPr>
                <w:rFonts w:ascii="Arial Narrow" w:hAnsi="Arial Narrow" w:cs="Arial"/>
                <w:b/>
                <w:bCs/>
                <w:sz w:val="18"/>
              </w:rPr>
            </w:pPr>
            <w:r w:rsidRPr="00597B8C">
              <w:rPr>
                <w:rFonts w:ascii="Arial Narrow" w:hAnsi="Arial Narrow" w:cs="Arial"/>
                <w:b/>
                <w:bCs/>
                <w:sz w:val="18"/>
              </w:rPr>
              <w:t>1.  Recettes</w:t>
            </w:r>
          </w:p>
        </w:tc>
        <w:tc>
          <w:tcPr>
            <w:tcW w:w="1180" w:type="dxa"/>
            <w:tcBorders>
              <w:top w:val="nil"/>
              <w:left w:val="nil"/>
              <w:bottom w:val="nil"/>
              <w:right w:val="nil"/>
            </w:tcBorders>
            <w:shd w:val="clear" w:color="auto" w:fill="auto"/>
            <w:vAlign w:val="center"/>
            <w:hideMark/>
          </w:tcPr>
          <w:p w14:paraId="0CE6E424" w14:textId="77777777" w:rsidR="007D29F8" w:rsidRPr="00597B8C" w:rsidRDefault="007D29F8" w:rsidP="00DB6666">
            <w:pPr>
              <w:jc w:val="right"/>
              <w:rPr>
                <w:rFonts w:ascii="Arial Narrow" w:hAnsi="Arial Narrow" w:cs="Arial"/>
                <w:b/>
                <w:bCs/>
                <w:color w:val="000000"/>
                <w:sz w:val="18"/>
              </w:rPr>
            </w:pPr>
            <w:r w:rsidRPr="00597B8C">
              <w:rPr>
                <w:rFonts w:ascii="Arial Narrow" w:hAnsi="Arial Narrow" w:cs="Arial"/>
                <w:b/>
                <w:bCs/>
                <w:color w:val="000000"/>
                <w:sz w:val="18"/>
              </w:rPr>
              <w:t>7 404</w:t>
            </w:r>
          </w:p>
        </w:tc>
        <w:tc>
          <w:tcPr>
            <w:tcW w:w="1180" w:type="dxa"/>
            <w:tcBorders>
              <w:top w:val="nil"/>
              <w:left w:val="nil"/>
              <w:bottom w:val="nil"/>
              <w:right w:val="nil"/>
            </w:tcBorders>
            <w:shd w:val="clear" w:color="auto" w:fill="auto"/>
            <w:vAlign w:val="center"/>
            <w:hideMark/>
          </w:tcPr>
          <w:p w14:paraId="10CAEEA8" w14:textId="77777777" w:rsidR="007D29F8" w:rsidRPr="00597B8C" w:rsidRDefault="007D29F8" w:rsidP="00DB6666">
            <w:pPr>
              <w:jc w:val="right"/>
              <w:rPr>
                <w:rFonts w:ascii="Arial Narrow" w:hAnsi="Arial Narrow" w:cs="Arial"/>
                <w:b/>
                <w:bCs/>
                <w:color w:val="000000"/>
                <w:sz w:val="18"/>
              </w:rPr>
            </w:pPr>
            <w:r w:rsidRPr="00597B8C">
              <w:rPr>
                <w:rFonts w:ascii="Arial Narrow" w:hAnsi="Arial Narrow" w:cs="Arial"/>
                <w:b/>
                <w:bCs/>
                <w:color w:val="000000"/>
                <w:sz w:val="18"/>
              </w:rPr>
              <w:t>7 635</w:t>
            </w:r>
          </w:p>
        </w:tc>
        <w:tc>
          <w:tcPr>
            <w:tcW w:w="720" w:type="dxa"/>
            <w:tcBorders>
              <w:top w:val="nil"/>
              <w:left w:val="nil"/>
              <w:bottom w:val="nil"/>
              <w:right w:val="nil"/>
            </w:tcBorders>
            <w:shd w:val="clear" w:color="auto" w:fill="auto"/>
            <w:vAlign w:val="center"/>
            <w:hideMark/>
          </w:tcPr>
          <w:p w14:paraId="543251A3" w14:textId="77777777" w:rsidR="007D29F8" w:rsidRPr="00597B8C" w:rsidRDefault="007D29F8" w:rsidP="00DB6666">
            <w:pPr>
              <w:jc w:val="right"/>
              <w:rPr>
                <w:rFonts w:ascii="Arial Narrow" w:hAnsi="Arial Narrow" w:cs="Arial"/>
                <w:b/>
                <w:bCs/>
                <w:color w:val="000000"/>
                <w:sz w:val="18"/>
              </w:rPr>
            </w:pPr>
            <w:r w:rsidRPr="00597B8C">
              <w:rPr>
                <w:rFonts w:ascii="Arial Narrow" w:hAnsi="Arial Narrow" w:cs="Arial"/>
                <w:b/>
                <w:bCs/>
                <w:color w:val="000000"/>
                <w:sz w:val="18"/>
              </w:rPr>
              <w:t>267</w:t>
            </w:r>
          </w:p>
        </w:tc>
        <w:tc>
          <w:tcPr>
            <w:tcW w:w="1020" w:type="dxa"/>
            <w:tcBorders>
              <w:top w:val="nil"/>
              <w:left w:val="nil"/>
              <w:bottom w:val="nil"/>
              <w:right w:val="nil"/>
            </w:tcBorders>
            <w:shd w:val="clear" w:color="auto" w:fill="auto"/>
            <w:vAlign w:val="center"/>
            <w:hideMark/>
          </w:tcPr>
          <w:p w14:paraId="2972B34E" w14:textId="77777777" w:rsidR="007D29F8" w:rsidRPr="00597B8C" w:rsidRDefault="007D29F8" w:rsidP="00DB6666">
            <w:pPr>
              <w:jc w:val="right"/>
              <w:rPr>
                <w:rFonts w:ascii="Arial Narrow" w:hAnsi="Arial Narrow" w:cs="Arial"/>
                <w:b/>
                <w:bCs/>
                <w:sz w:val="18"/>
              </w:rPr>
            </w:pPr>
            <w:r w:rsidRPr="00597B8C">
              <w:rPr>
                <w:rFonts w:ascii="Arial Narrow" w:hAnsi="Arial Narrow" w:cs="Arial"/>
                <w:b/>
                <w:bCs/>
                <w:sz w:val="18"/>
              </w:rPr>
              <w:t>3,5%</w:t>
            </w:r>
          </w:p>
        </w:tc>
        <w:tc>
          <w:tcPr>
            <w:tcW w:w="1660" w:type="dxa"/>
            <w:tcBorders>
              <w:top w:val="nil"/>
              <w:left w:val="nil"/>
              <w:bottom w:val="nil"/>
              <w:right w:val="nil"/>
            </w:tcBorders>
            <w:shd w:val="clear" w:color="auto" w:fill="auto"/>
            <w:vAlign w:val="center"/>
            <w:hideMark/>
          </w:tcPr>
          <w:p w14:paraId="3055900D" w14:textId="77777777" w:rsidR="007D29F8" w:rsidRPr="00597B8C" w:rsidRDefault="007D29F8" w:rsidP="00DB6666">
            <w:pPr>
              <w:jc w:val="right"/>
              <w:rPr>
                <w:rFonts w:ascii="Arial Narrow" w:hAnsi="Arial Narrow" w:cs="Arial"/>
                <w:b/>
                <w:bCs/>
                <w:color w:val="000000"/>
                <w:sz w:val="18"/>
              </w:rPr>
            </w:pPr>
            <w:r w:rsidRPr="00597B8C">
              <w:rPr>
                <w:rFonts w:ascii="Arial Narrow" w:hAnsi="Arial Narrow" w:cs="Arial"/>
                <w:b/>
                <w:bCs/>
                <w:color w:val="000000"/>
                <w:sz w:val="18"/>
              </w:rPr>
              <w:t>7 901</w:t>
            </w:r>
          </w:p>
        </w:tc>
      </w:tr>
      <w:tr w:rsidR="007D29F8" w:rsidRPr="00597B8C" w14:paraId="048C92D6" w14:textId="77777777" w:rsidTr="00DB6666">
        <w:trPr>
          <w:trHeight w:val="330"/>
        </w:trPr>
        <w:tc>
          <w:tcPr>
            <w:tcW w:w="3800" w:type="dxa"/>
            <w:tcBorders>
              <w:top w:val="nil"/>
              <w:left w:val="nil"/>
              <w:bottom w:val="single" w:sz="4" w:space="0" w:color="AAB8C4"/>
              <w:right w:val="nil"/>
            </w:tcBorders>
            <w:shd w:val="clear" w:color="auto" w:fill="auto"/>
            <w:noWrap/>
            <w:vAlign w:val="center"/>
            <w:hideMark/>
          </w:tcPr>
          <w:p w14:paraId="30A48DD9" w14:textId="77777777" w:rsidR="007D29F8" w:rsidRPr="00597B8C" w:rsidRDefault="007D29F8" w:rsidP="00DB6666">
            <w:pPr>
              <w:jc w:val="left"/>
              <w:rPr>
                <w:rFonts w:ascii="Arial Narrow" w:hAnsi="Arial Narrow" w:cs="Arial"/>
                <w:b/>
                <w:bCs/>
                <w:sz w:val="18"/>
              </w:rPr>
            </w:pPr>
            <w:r w:rsidRPr="00597B8C">
              <w:rPr>
                <w:rFonts w:ascii="Arial Narrow" w:hAnsi="Arial Narrow" w:cs="Arial"/>
                <w:b/>
                <w:bCs/>
                <w:sz w:val="18"/>
              </w:rPr>
              <w:t>2.  Dépenses</w:t>
            </w:r>
          </w:p>
        </w:tc>
        <w:tc>
          <w:tcPr>
            <w:tcW w:w="1180" w:type="dxa"/>
            <w:tcBorders>
              <w:top w:val="nil"/>
              <w:left w:val="nil"/>
              <w:bottom w:val="single" w:sz="4" w:space="0" w:color="BFBFBF"/>
              <w:right w:val="nil"/>
            </w:tcBorders>
            <w:shd w:val="clear" w:color="auto" w:fill="auto"/>
            <w:vAlign w:val="center"/>
            <w:hideMark/>
          </w:tcPr>
          <w:p w14:paraId="33E28670" w14:textId="77777777" w:rsidR="007D29F8" w:rsidRPr="00597B8C" w:rsidRDefault="007D29F8" w:rsidP="00DB6666">
            <w:pPr>
              <w:jc w:val="right"/>
              <w:rPr>
                <w:rFonts w:ascii="Arial Narrow" w:hAnsi="Arial Narrow" w:cs="Arial"/>
                <w:b/>
                <w:bCs/>
                <w:color w:val="000000"/>
                <w:sz w:val="18"/>
              </w:rPr>
            </w:pPr>
            <w:r w:rsidRPr="00597B8C">
              <w:rPr>
                <w:rFonts w:ascii="Arial Narrow" w:hAnsi="Arial Narrow" w:cs="Arial"/>
                <w:b/>
                <w:bCs/>
                <w:color w:val="000000"/>
                <w:sz w:val="18"/>
              </w:rPr>
              <w:t>7 071</w:t>
            </w:r>
          </w:p>
        </w:tc>
        <w:tc>
          <w:tcPr>
            <w:tcW w:w="1180" w:type="dxa"/>
            <w:tcBorders>
              <w:top w:val="nil"/>
              <w:left w:val="nil"/>
              <w:bottom w:val="single" w:sz="4" w:space="0" w:color="AAB8C4"/>
              <w:right w:val="nil"/>
            </w:tcBorders>
            <w:shd w:val="clear" w:color="auto" w:fill="auto"/>
            <w:vAlign w:val="center"/>
            <w:hideMark/>
          </w:tcPr>
          <w:p w14:paraId="144C50E7" w14:textId="77777777" w:rsidR="007D29F8" w:rsidRPr="00597B8C" w:rsidRDefault="007D29F8" w:rsidP="00DB6666">
            <w:pPr>
              <w:jc w:val="right"/>
              <w:rPr>
                <w:rFonts w:ascii="Arial Narrow" w:hAnsi="Arial Narrow" w:cs="Arial"/>
                <w:b/>
                <w:bCs/>
                <w:color w:val="000000"/>
                <w:sz w:val="18"/>
              </w:rPr>
            </w:pPr>
            <w:r w:rsidRPr="00597B8C">
              <w:rPr>
                <w:rFonts w:ascii="Arial Narrow" w:hAnsi="Arial Narrow" w:cs="Arial"/>
                <w:b/>
                <w:bCs/>
                <w:color w:val="000000"/>
                <w:sz w:val="18"/>
              </w:rPr>
              <w:t>7 635</w:t>
            </w:r>
          </w:p>
        </w:tc>
        <w:tc>
          <w:tcPr>
            <w:tcW w:w="720" w:type="dxa"/>
            <w:tcBorders>
              <w:top w:val="nil"/>
              <w:left w:val="nil"/>
              <w:bottom w:val="single" w:sz="4" w:space="0" w:color="AAB8C4"/>
              <w:right w:val="nil"/>
            </w:tcBorders>
            <w:shd w:val="clear" w:color="auto" w:fill="auto"/>
            <w:vAlign w:val="center"/>
            <w:hideMark/>
          </w:tcPr>
          <w:p w14:paraId="4EC87C11" w14:textId="77777777" w:rsidR="007D29F8" w:rsidRPr="00597B8C" w:rsidRDefault="007D29F8" w:rsidP="00DB6666">
            <w:pPr>
              <w:jc w:val="right"/>
              <w:rPr>
                <w:rFonts w:ascii="Arial Narrow" w:hAnsi="Arial Narrow" w:cs="Arial"/>
                <w:b/>
                <w:bCs/>
                <w:color w:val="000000"/>
                <w:sz w:val="18"/>
              </w:rPr>
            </w:pPr>
            <w:r w:rsidRPr="00597B8C">
              <w:rPr>
                <w:rFonts w:ascii="Arial Narrow" w:hAnsi="Arial Narrow" w:cs="Arial"/>
                <w:b/>
                <w:bCs/>
                <w:color w:val="000000"/>
                <w:sz w:val="18"/>
              </w:rPr>
              <w:t>267</w:t>
            </w:r>
          </w:p>
        </w:tc>
        <w:tc>
          <w:tcPr>
            <w:tcW w:w="1020" w:type="dxa"/>
            <w:tcBorders>
              <w:top w:val="nil"/>
              <w:left w:val="nil"/>
              <w:bottom w:val="single" w:sz="4" w:space="0" w:color="BFBFBF"/>
              <w:right w:val="nil"/>
            </w:tcBorders>
            <w:shd w:val="clear" w:color="auto" w:fill="auto"/>
            <w:vAlign w:val="center"/>
            <w:hideMark/>
          </w:tcPr>
          <w:p w14:paraId="7C4C8352" w14:textId="77777777" w:rsidR="007D29F8" w:rsidRPr="00597B8C" w:rsidRDefault="007D29F8" w:rsidP="00DB6666">
            <w:pPr>
              <w:jc w:val="right"/>
              <w:rPr>
                <w:rFonts w:ascii="Arial Narrow" w:hAnsi="Arial Narrow" w:cs="Arial"/>
                <w:b/>
                <w:bCs/>
                <w:sz w:val="18"/>
              </w:rPr>
            </w:pPr>
            <w:r w:rsidRPr="00597B8C">
              <w:rPr>
                <w:rFonts w:ascii="Arial Narrow" w:hAnsi="Arial Narrow" w:cs="Arial"/>
                <w:b/>
                <w:bCs/>
                <w:sz w:val="18"/>
              </w:rPr>
              <w:t>3,5%</w:t>
            </w:r>
          </w:p>
        </w:tc>
        <w:tc>
          <w:tcPr>
            <w:tcW w:w="1660" w:type="dxa"/>
            <w:tcBorders>
              <w:top w:val="nil"/>
              <w:left w:val="nil"/>
              <w:bottom w:val="single" w:sz="4" w:space="0" w:color="AAB8C4"/>
              <w:right w:val="nil"/>
            </w:tcBorders>
            <w:shd w:val="clear" w:color="auto" w:fill="auto"/>
            <w:vAlign w:val="center"/>
            <w:hideMark/>
          </w:tcPr>
          <w:p w14:paraId="1E56D741" w14:textId="77777777" w:rsidR="007D29F8" w:rsidRPr="00597B8C" w:rsidRDefault="007D29F8" w:rsidP="00DB6666">
            <w:pPr>
              <w:jc w:val="right"/>
              <w:rPr>
                <w:rFonts w:ascii="Arial Narrow" w:hAnsi="Arial Narrow" w:cs="Arial"/>
                <w:b/>
                <w:bCs/>
                <w:color w:val="000000"/>
                <w:sz w:val="18"/>
              </w:rPr>
            </w:pPr>
            <w:r w:rsidRPr="00597B8C">
              <w:rPr>
                <w:rFonts w:ascii="Arial Narrow" w:hAnsi="Arial Narrow" w:cs="Arial"/>
                <w:b/>
                <w:bCs/>
                <w:color w:val="000000"/>
                <w:sz w:val="18"/>
              </w:rPr>
              <w:t>7 901</w:t>
            </w:r>
          </w:p>
        </w:tc>
      </w:tr>
      <w:tr w:rsidR="007D29F8" w:rsidRPr="00597B8C" w14:paraId="24FED923" w14:textId="77777777" w:rsidTr="00DB6666">
        <w:trPr>
          <w:trHeight w:val="330"/>
        </w:trPr>
        <w:tc>
          <w:tcPr>
            <w:tcW w:w="3800" w:type="dxa"/>
            <w:tcBorders>
              <w:top w:val="nil"/>
              <w:left w:val="nil"/>
              <w:bottom w:val="nil"/>
              <w:right w:val="nil"/>
            </w:tcBorders>
            <w:shd w:val="clear" w:color="auto" w:fill="auto"/>
            <w:vAlign w:val="bottom"/>
            <w:hideMark/>
          </w:tcPr>
          <w:p w14:paraId="1FE9D464" w14:textId="77777777" w:rsidR="007D29F8" w:rsidRPr="00597B8C" w:rsidRDefault="007D29F8" w:rsidP="00DB6666">
            <w:pPr>
              <w:ind w:firstLineChars="100" w:firstLine="180"/>
              <w:jc w:val="left"/>
              <w:rPr>
                <w:rFonts w:ascii="Arial Narrow" w:hAnsi="Arial Narrow" w:cs="Arial"/>
                <w:i/>
                <w:iCs/>
                <w:sz w:val="18"/>
              </w:rPr>
            </w:pPr>
            <w:r w:rsidRPr="00597B8C">
              <w:rPr>
                <w:rFonts w:ascii="Arial Narrow" w:hAnsi="Arial Narrow" w:cs="Arial"/>
                <w:i/>
                <w:iCs/>
                <w:sz w:val="18"/>
              </w:rPr>
              <w:t xml:space="preserve">Différence </w:t>
            </w:r>
          </w:p>
        </w:tc>
        <w:tc>
          <w:tcPr>
            <w:tcW w:w="1180" w:type="dxa"/>
            <w:tcBorders>
              <w:top w:val="nil"/>
              <w:left w:val="nil"/>
              <w:bottom w:val="nil"/>
              <w:right w:val="nil"/>
            </w:tcBorders>
            <w:shd w:val="clear" w:color="auto" w:fill="auto"/>
            <w:vAlign w:val="bottom"/>
            <w:hideMark/>
          </w:tcPr>
          <w:p w14:paraId="6885C017" w14:textId="77777777" w:rsidR="007D29F8" w:rsidRPr="00597B8C" w:rsidRDefault="007D29F8" w:rsidP="00DB6666">
            <w:pPr>
              <w:jc w:val="right"/>
              <w:rPr>
                <w:rFonts w:ascii="Arial Narrow" w:hAnsi="Arial Narrow" w:cs="Arial"/>
                <w:i/>
                <w:iCs/>
                <w:color w:val="000000"/>
                <w:sz w:val="18"/>
              </w:rPr>
            </w:pPr>
            <w:r w:rsidRPr="00597B8C">
              <w:rPr>
                <w:rFonts w:ascii="Arial Narrow" w:hAnsi="Arial Narrow" w:cs="Arial"/>
                <w:i/>
                <w:iCs/>
                <w:color w:val="000000"/>
                <w:sz w:val="18"/>
              </w:rPr>
              <w:t>334</w:t>
            </w:r>
          </w:p>
        </w:tc>
        <w:tc>
          <w:tcPr>
            <w:tcW w:w="1180" w:type="dxa"/>
            <w:tcBorders>
              <w:top w:val="nil"/>
              <w:left w:val="nil"/>
              <w:bottom w:val="nil"/>
              <w:right w:val="nil"/>
            </w:tcBorders>
            <w:shd w:val="clear" w:color="auto" w:fill="auto"/>
            <w:vAlign w:val="bottom"/>
            <w:hideMark/>
          </w:tcPr>
          <w:p w14:paraId="6E27224C" w14:textId="77777777" w:rsidR="007D29F8" w:rsidRPr="00597B8C" w:rsidRDefault="007D29F8" w:rsidP="00DB6666">
            <w:pPr>
              <w:jc w:val="right"/>
              <w:rPr>
                <w:rFonts w:ascii="Arial Narrow" w:hAnsi="Arial Narrow" w:cs="Arial"/>
                <w:i/>
                <w:iCs/>
                <w:color w:val="000000"/>
                <w:sz w:val="18"/>
              </w:rPr>
            </w:pPr>
            <w:r w:rsidRPr="00597B8C">
              <w:rPr>
                <w:rFonts w:ascii="Arial Narrow" w:hAnsi="Arial Narrow" w:cs="Arial"/>
                <w:i/>
                <w:iCs/>
                <w:color w:val="000000"/>
                <w:sz w:val="18"/>
              </w:rPr>
              <w:t>-</w:t>
            </w:r>
          </w:p>
        </w:tc>
        <w:tc>
          <w:tcPr>
            <w:tcW w:w="720" w:type="dxa"/>
            <w:tcBorders>
              <w:top w:val="nil"/>
              <w:left w:val="nil"/>
              <w:bottom w:val="nil"/>
              <w:right w:val="nil"/>
            </w:tcBorders>
            <w:shd w:val="clear" w:color="auto" w:fill="auto"/>
            <w:vAlign w:val="bottom"/>
          </w:tcPr>
          <w:p w14:paraId="6E5BA5AF" w14:textId="77777777" w:rsidR="007D29F8" w:rsidRPr="00597B8C" w:rsidRDefault="007D29F8" w:rsidP="00DB6666">
            <w:pPr>
              <w:jc w:val="right"/>
              <w:rPr>
                <w:rFonts w:ascii="Arial Narrow" w:hAnsi="Arial Narrow" w:cs="Arial"/>
                <w:i/>
                <w:iCs/>
                <w:color w:val="000000"/>
                <w:sz w:val="18"/>
              </w:rPr>
            </w:pPr>
            <w:r w:rsidRPr="00597B8C">
              <w:rPr>
                <w:rFonts w:ascii="Arial Narrow" w:hAnsi="Arial Narrow" w:cs="Arial"/>
                <w:i/>
                <w:iCs/>
                <w:color w:val="000000"/>
                <w:sz w:val="18"/>
              </w:rPr>
              <w:t>-</w:t>
            </w:r>
          </w:p>
        </w:tc>
        <w:tc>
          <w:tcPr>
            <w:tcW w:w="1020" w:type="dxa"/>
            <w:tcBorders>
              <w:top w:val="nil"/>
              <w:left w:val="nil"/>
              <w:bottom w:val="nil"/>
              <w:right w:val="nil"/>
            </w:tcBorders>
            <w:shd w:val="clear" w:color="auto" w:fill="auto"/>
            <w:vAlign w:val="bottom"/>
          </w:tcPr>
          <w:p w14:paraId="4CF00FF4" w14:textId="77777777" w:rsidR="007D29F8" w:rsidRPr="00597B8C" w:rsidRDefault="007D29F8" w:rsidP="00DB6666">
            <w:pPr>
              <w:jc w:val="right"/>
              <w:rPr>
                <w:rFonts w:ascii="Arial Narrow" w:hAnsi="Arial Narrow" w:cs="Arial"/>
                <w:i/>
                <w:iCs/>
                <w:color w:val="000000"/>
                <w:sz w:val="18"/>
              </w:rPr>
            </w:pPr>
            <w:r w:rsidRPr="00597B8C">
              <w:rPr>
                <w:rFonts w:ascii="Arial Narrow" w:hAnsi="Arial Narrow" w:cs="Arial"/>
                <w:i/>
                <w:iCs/>
                <w:color w:val="000000"/>
                <w:sz w:val="18"/>
              </w:rPr>
              <w:t>-</w:t>
            </w:r>
          </w:p>
        </w:tc>
        <w:tc>
          <w:tcPr>
            <w:tcW w:w="1660" w:type="dxa"/>
            <w:tcBorders>
              <w:top w:val="nil"/>
              <w:left w:val="nil"/>
              <w:bottom w:val="nil"/>
              <w:right w:val="nil"/>
            </w:tcBorders>
            <w:shd w:val="clear" w:color="auto" w:fill="auto"/>
            <w:vAlign w:val="bottom"/>
          </w:tcPr>
          <w:p w14:paraId="30A0D457" w14:textId="77777777" w:rsidR="007D29F8" w:rsidRPr="00597B8C" w:rsidRDefault="007D29F8" w:rsidP="00DB6666">
            <w:pPr>
              <w:jc w:val="right"/>
              <w:rPr>
                <w:rFonts w:ascii="Arial Narrow" w:hAnsi="Arial Narrow" w:cs="Arial"/>
                <w:i/>
                <w:iCs/>
                <w:color w:val="000000"/>
                <w:sz w:val="18"/>
              </w:rPr>
            </w:pPr>
            <w:r w:rsidRPr="00597B8C">
              <w:rPr>
                <w:rFonts w:ascii="Arial Narrow" w:hAnsi="Arial Narrow" w:cs="Arial"/>
                <w:i/>
                <w:iCs/>
                <w:color w:val="000000"/>
                <w:sz w:val="18"/>
              </w:rPr>
              <w:t>-</w:t>
            </w:r>
          </w:p>
        </w:tc>
      </w:tr>
      <w:tr w:rsidR="007D29F8" w:rsidRPr="00597B8C" w14:paraId="06935373" w14:textId="77777777" w:rsidTr="00DB6666">
        <w:trPr>
          <w:trHeight w:val="260"/>
        </w:trPr>
        <w:tc>
          <w:tcPr>
            <w:tcW w:w="3800" w:type="dxa"/>
            <w:tcBorders>
              <w:top w:val="nil"/>
              <w:left w:val="nil"/>
              <w:bottom w:val="nil"/>
              <w:right w:val="nil"/>
            </w:tcBorders>
            <w:shd w:val="clear" w:color="auto" w:fill="auto"/>
            <w:vAlign w:val="bottom"/>
            <w:hideMark/>
          </w:tcPr>
          <w:p w14:paraId="5FDCCAC9" w14:textId="77777777" w:rsidR="007D29F8" w:rsidRPr="00597B8C" w:rsidRDefault="007D29F8" w:rsidP="00DB6666">
            <w:pPr>
              <w:jc w:val="left"/>
              <w:rPr>
                <w:rFonts w:ascii="Arial Narrow" w:hAnsi="Arial Narrow" w:cs="Arial"/>
                <w:i/>
                <w:iCs/>
                <w:color w:val="000000"/>
                <w:sz w:val="18"/>
              </w:rPr>
            </w:pPr>
          </w:p>
        </w:tc>
        <w:tc>
          <w:tcPr>
            <w:tcW w:w="1180" w:type="dxa"/>
            <w:tcBorders>
              <w:top w:val="nil"/>
              <w:left w:val="nil"/>
              <w:bottom w:val="nil"/>
              <w:right w:val="nil"/>
            </w:tcBorders>
            <w:shd w:val="clear" w:color="auto" w:fill="auto"/>
            <w:vAlign w:val="bottom"/>
            <w:hideMark/>
          </w:tcPr>
          <w:p w14:paraId="345C6E44" w14:textId="77777777" w:rsidR="007D29F8" w:rsidRPr="00597B8C" w:rsidRDefault="007D29F8" w:rsidP="00DB6666">
            <w:pPr>
              <w:jc w:val="right"/>
              <w:rPr>
                <w:rFonts w:ascii="Times New Roman" w:hAnsi="Times New Roman"/>
                <w:sz w:val="18"/>
              </w:rPr>
            </w:pPr>
          </w:p>
        </w:tc>
        <w:tc>
          <w:tcPr>
            <w:tcW w:w="1180" w:type="dxa"/>
            <w:tcBorders>
              <w:top w:val="nil"/>
              <w:left w:val="nil"/>
              <w:bottom w:val="nil"/>
              <w:right w:val="nil"/>
            </w:tcBorders>
            <w:shd w:val="clear" w:color="auto" w:fill="auto"/>
            <w:vAlign w:val="bottom"/>
            <w:hideMark/>
          </w:tcPr>
          <w:p w14:paraId="58FEFA19" w14:textId="77777777" w:rsidR="007D29F8" w:rsidRPr="00597B8C" w:rsidRDefault="007D29F8" w:rsidP="00DB6666">
            <w:pPr>
              <w:jc w:val="right"/>
              <w:rPr>
                <w:rFonts w:ascii="Times New Roman" w:hAnsi="Times New Roman"/>
                <w:sz w:val="18"/>
              </w:rPr>
            </w:pPr>
          </w:p>
        </w:tc>
        <w:tc>
          <w:tcPr>
            <w:tcW w:w="720" w:type="dxa"/>
            <w:tcBorders>
              <w:top w:val="nil"/>
              <w:left w:val="nil"/>
              <w:bottom w:val="nil"/>
              <w:right w:val="nil"/>
            </w:tcBorders>
            <w:shd w:val="clear" w:color="auto" w:fill="auto"/>
            <w:vAlign w:val="bottom"/>
            <w:hideMark/>
          </w:tcPr>
          <w:p w14:paraId="48CD714A" w14:textId="77777777" w:rsidR="007D29F8" w:rsidRPr="00597B8C" w:rsidRDefault="007D29F8" w:rsidP="00DB6666">
            <w:pPr>
              <w:jc w:val="right"/>
              <w:rPr>
                <w:rFonts w:ascii="Times New Roman" w:hAnsi="Times New Roman"/>
                <w:sz w:val="18"/>
              </w:rPr>
            </w:pPr>
          </w:p>
        </w:tc>
        <w:tc>
          <w:tcPr>
            <w:tcW w:w="1020" w:type="dxa"/>
            <w:tcBorders>
              <w:top w:val="nil"/>
              <w:left w:val="nil"/>
              <w:bottom w:val="nil"/>
              <w:right w:val="nil"/>
            </w:tcBorders>
            <w:shd w:val="clear" w:color="auto" w:fill="auto"/>
            <w:vAlign w:val="bottom"/>
            <w:hideMark/>
          </w:tcPr>
          <w:p w14:paraId="0C80066B" w14:textId="77777777" w:rsidR="007D29F8" w:rsidRPr="00597B8C" w:rsidRDefault="007D29F8" w:rsidP="00DB6666">
            <w:pPr>
              <w:jc w:val="right"/>
              <w:rPr>
                <w:rFonts w:ascii="Times New Roman" w:hAnsi="Times New Roman"/>
                <w:sz w:val="18"/>
              </w:rPr>
            </w:pPr>
          </w:p>
        </w:tc>
        <w:tc>
          <w:tcPr>
            <w:tcW w:w="1660" w:type="dxa"/>
            <w:tcBorders>
              <w:top w:val="nil"/>
              <w:left w:val="nil"/>
              <w:bottom w:val="nil"/>
              <w:right w:val="nil"/>
            </w:tcBorders>
            <w:shd w:val="clear" w:color="auto" w:fill="auto"/>
            <w:vAlign w:val="bottom"/>
            <w:hideMark/>
          </w:tcPr>
          <w:p w14:paraId="2682E4E1" w14:textId="77777777" w:rsidR="007D29F8" w:rsidRPr="00597B8C" w:rsidRDefault="007D29F8" w:rsidP="00DB6666">
            <w:pPr>
              <w:jc w:val="right"/>
              <w:rPr>
                <w:rFonts w:ascii="Times New Roman" w:hAnsi="Times New Roman"/>
                <w:sz w:val="18"/>
              </w:rPr>
            </w:pPr>
          </w:p>
        </w:tc>
      </w:tr>
      <w:tr w:rsidR="007D29F8" w:rsidRPr="00597B8C" w14:paraId="698EB727" w14:textId="77777777" w:rsidTr="00DB6666">
        <w:trPr>
          <w:trHeight w:val="330"/>
        </w:trPr>
        <w:tc>
          <w:tcPr>
            <w:tcW w:w="3800" w:type="dxa"/>
            <w:tcBorders>
              <w:top w:val="single" w:sz="4" w:space="0" w:color="AAB8C4"/>
              <w:left w:val="nil"/>
              <w:bottom w:val="single" w:sz="8" w:space="0" w:color="AAB8C4"/>
              <w:right w:val="nil"/>
            </w:tcBorders>
            <w:shd w:val="clear" w:color="auto" w:fill="auto"/>
            <w:vAlign w:val="bottom"/>
            <w:hideMark/>
          </w:tcPr>
          <w:p w14:paraId="5CF50FBC" w14:textId="77777777" w:rsidR="007D29F8" w:rsidRPr="00597B8C" w:rsidRDefault="007D29F8" w:rsidP="00DB6666">
            <w:pPr>
              <w:jc w:val="left"/>
              <w:rPr>
                <w:rFonts w:ascii="Arial Narrow" w:hAnsi="Arial Narrow" w:cs="Arial"/>
                <w:b/>
                <w:bCs/>
                <w:sz w:val="18"/>
              </w:rPr>
            </w:pPr>
            <w:r w:rsidRPr="00597B8C">
              <w:rPr>
                <w:rFonts w:ascii="Arial Narrow" w:hAnsi="Arial Narrow" w:cs="Arial"/>
                <w:b/>
                <w:bCs/>
                <w:sz w:val="18"/>
              </w:rPr>
              <w:t>3.  Fonds de roulement</w:t>
            </w:r>
          </w:p>
        </w:tc>
        <w:tc>
          <w:tcPr>
            <w:tcW w:w="1180" w:type="dxa"/>
            <w:tcBorders>
              <w:top w:val="single" w:sz="4" w:space="0" w:color="AAB8C4"/>
              <w:left w:val="nil"/>
              <w:bottom w:val="single" w:sz="8" w:space="0" w:color="AAB8C4"/>
              <w:right w:val="nil"/>
            </w:tcBorders>
            <w:shd w:val="clear" w:color="auto" w:fill="auto"/>
            <w:vAlign w:val="bottom"/>
            <w:hideMark/>
          </w:tcPr>
          <w:p w14:paraId="40697889" w14:textId="77777777" w:rsidR="007D29F8" w:rsidRPr="00597B8C" w:rsidRDefault="007D29F8" w:rsidP="00DB6666">
            <w:pPr>
              <w:jc w:val="right"/>
              <w:rPr>
                <w:rFonts w:ascii="Arial Narrow" w:hAnsi="Arial Narrow" w:cs="Arial"/>
                <w:b/>
                <w:bCs/>
                <w:color w:val="000000"/>
                <w:sz w:val="18"/>
              </w:rPr>
            </w:pPr>
            <w:r w:rsidRPr="00597B8C">
              <w:rPr>
                <w:rFonts w:ascii="Arial Narrow" w:hAnsi="Arial Narrow" w:cs="Arial"/>
                <w:b/>
                <w:bCs/>
                <w:color w:val="000000"/>
                <w:sz w:val="18"/>
              </w:rPr>
              <w:t>575</w:t>
            </w:r>
          </w:p>
        </w:tc>
        <w:tc>
          <w:tcPr>
            <w:tcW w:w="1180" w:type="dxa"/>
            <w:tcBorders>
              <w:top w:val="single" w:sz="4" w:space="0" w:color="AAB8C4"/>
              <w:left w:val="nil"/>
              <w:bottom w:val="single" w:sz="8" w:space="0" w:color="AAB8C4"/>
              <w:right w:val="nil"/>
            </w:tcBorders>
            <w:shd w:val="clear" w:color="auto" w:fill="auto"/>
            <w:vAlign w:val="bottom"/>
            <w:hideMark/>
          </w:tcPr>
          <w:p w14:paraId="2942066C" w14:textId="77777777" w:rsidR="007D29F8" w:rsidRPr="00597B8C" w:rsidRDefault="007D29F8" w:rsidP="00DB6666">
            <w:pPr>
              <w:jc w:val="right"/>
              <w:rPr>
                <w:rFonts w:ascii="Arial Narrow" w:hAnsi="Arial Narrow" w:cs="Arial"/>
                <w:b/>
                <w:bCs/>
                <w:color w:val="000000"/>
                <w:sz w:val="18"/>
              </w:rPr>
            </w:pPr>
            <w:r w:rsidRPr="00597B8C">
              <w:rPr>
                <w:rFonts w:ascii="Arial Narrow" w:hAnsi="Arial Narrow" w:cs="Arial"/>
                <w:b/>
                <w:bCs/>
                <w:color w:val="000000"/>
                <w:sz w:val="18"/>
              </w:rPr>
              <w:t>578</w:t>
            </w:r>
          </w:p>
        </w:tc>
        <w:tc>
          <w:tcPr>
            <w:tcW w:w="720" w:type="dxa"/>
            <w:tcBorders>
              <w:top w:val="single" w:sz="4" w:space="0" w:color="AAB8C4"/>
              <w:left w:val="nil"/>
              <w:bottom w:val="single" w:sz="8" w:space="0" w:color="AAB8C4"/>
              <w:right w:val="nil"/>
            </w:tcBorders>
            <w:shd w:val="clear" w:color="auto" w:fill="auto"/>
            <w:vAlign w:val="bottom"/>
            <w:hideMark/>
          </w:tcPr>
          <w:p w14:paraId="64FD313A" w14:textId="77777777" w:rsidR="007D29F8" w:rsidRPr="00597B8C" w:rsidRDefault="007D29F8" w:rsidP="00DB6666">
            <w:pPr>
              <w:jc w:val="right"/>
              <w:rPr>
                <w:rFonts w:ascii="Arial Narrow" w:hAnsi="Arial Narrow" w:cs="Arial"/>
                <w:b/>
                <w:bCs/>
                <w:color w:val="000000"/>
                <w:sz w:val="18"/>
              </w:rPr>
            </w:pPr>
            <w:r w:rsidRPr="00597B8C">
              <w:rPr>
                <w:rFonts w:ascii="Arial Narrow" w:hAnsi="Arial Narrow" w:cs="Arial"/>
                <w:b/>
                <w:bCs/>
                <w:color w:val="000000"/>
                <w:sz w:val="18"/>
              </w:rPr>
              <w:t>5</w:t>
            </w:r>
          </w:p>
        </w:tc>
        <w:tc>
          <w:tcPr>
            <w:tcW w:w="1020" w:type="dxa"/>
            <w:tcBorders>
              <w:top w:val="single" w:sz="4" w:space="0" w:color="BFBFBF"/>
              <w:left w:val="nil"/>
              <w:bottom w:val="single" w:sz="8" w:space="0" w:color="BFBFBF"/>
              <w:right w:val="nil"/>
            </w:tcBorders>
            <w:shd w:val="clear" w:color="auto" w:fill="auto"/>
            <w:vAlign w:val="bottom"/>
            <w:hideMark/>
          </w:tcPr>
          <w:p w14:paraId="60566FA9" w14:textId="77777777" w:rsidR="007D29F8" w:rsidRPr="00597B8C" w:rsidRDefault="007D29F8" w:rsidP="00DB6666">
            <w:pPr>
              <w:jc w:val="right"/>
              <w:rPr>
                <w:rFonts w:ascii="Arial Narrow" w:hAnsi="Arial Narrow" w:cs="Arial"/>
                <w:b/>
                <w:bCs/>
                <w:sz w:val="18"/>
              </w:rPr>
            </w:pPr>
            <w:r w:rsidRPr="00597B8C">
              <w:rPr>
                <w:rFonts w:ascii="Arial Narrow" w:hAnsi="Arial Narrow" w:cs="Arial"/>
                <w:b/>
                <w:bCs/>
                <w:sz w:val="18"/>
              </w:rPr>
              <w:t>0,9%</w:t>
            </w:r>
          </w:p>
        </w:tc>
        <w:tc>
          <w:tcPr>
            <w:tcW w:w="1660" w:type="dxa"/>
            <w:tcBorders>
              <w:top w:val="single" w:sz="4" w:space="0" w:color="AAB8C4"/>
              <w:left w:val="nil"/>
              <w:bottom w:val="single" w:sz="8" w:space="0" w:color="AAB8C4"/>
              <w:right w:val="nil"/>
            </w:tcBorders>
            <w:shd w:val="clear" w:color="auto" w:fill="auto"/>
            <w:vAlign w:val="bottom"/>
            <w:hideMark/>
          </w:tcPr>
          <w:p w14:paraId="6F068E51" w14:textId="77777777" w:rsidR="007D29F8" w:rsidRPr="00597B8C" w:rsidRDefault="007D29F8" w:rsidP="00DB6666">
            <w:pPr>
              <w:jc w:val="right"/>
              <w:rPr>
                <w:rFonts w:ascii="Arial Narrow" w:hAnsi="Arial Narrow" w:cs="Arial"/>
                <w:b/>
                <w:bCs/>
                <w:sz w:val="18"/>
              </w:rPr>
            </w:pPr>
            <w:r w:rsidRPr="00597B8C">
              <w:rPr>
                <w:rFonts w:ascii="Arial Narrow" w:hAnsi="Arial Narrow" w:cs="Arial"/>
                <w:b/>
                <w:bCs/>
                <w:sz w:val="18"/>
              </w:rPr>
              <w:t>583</w:t>
            </w:r>
          </w:p>
        </w:tc>
      </w:tr>
    </w:tbl>
    <w:p w14:paraId="23154B94" w14:textId="77777777" w:rsidR="007D29F8" w:rsidRPr="00E12BB9" w:rsidRDefault="007D29F8" w:rsidP="007D29F8">
      <w:pPr>
        <w:rPr>
          <w:spacing w:val="-2"/>
          <w:szCs w:val="24"/>
        </w:rPr>
      </w:pPr>
    </w:p>
    <w:p w14:paraId="030142A3" w14:textId="77777777" w:rsidR="007D29F8" w:rsidRPr="00E12BB9" w:rsidRDefault="007D29F8" w:rsidP="007D29F8">
      <w:pPr>
        <w:rPr>
          <w:spacing w:val="-2"/>
          <w:szCs w:val="24"/>
        </w:rPr>
      </w:pPr>
    </w:p>
    <w:p w14:paraId="626620D5" w14:textId="77777777" w:rsidR="007D29F8" w:rsidRPr="00E12BB9" w:rsidRDefault="007D29F8" w:rsidP="007D29F8">
      <w:pPr>
        <w:rPr>
          <w:spacing w:val="-2"/>
          <w:szCs w:val="24"/>
        </w:rPr>
      </w:pPr>
      <w:r w:rsidRPr="00E12BB9">
        <w:rPr>
          <w:spacing w:val="-2"/>
          <w:szCs w:val="24"/>
        </w:rPr>
        <w:t>En ce qui concerne le fonds de réserve, il convient de rappeler que l’article 4.6 du document UPOV/INF/4/6 “Règlement financier et règlement d’exécution du Règlement financier de l’UPOV”, énonce que : “[…] Si, après la clôture de l’exercice financier, le montant du fonds de réserve dépasse 15% des recettes totales pour l’exercice financier, le Conseil décide de l’utilisation de l’excédent de recettes par rapport aux dépenses pour l’exercice financier”.  Les dispositions nécessaires seront prises pour examen par le Comité consultatif et le Conseil si une telle situation devait se présenter à la clôture de l’exercice</w:t>
      </w:r>
      <w:r>
        <w:rPr>
          <w:snapToGrid w:val="0"/>
          <w:spacing w:val="-2"/>
          <w:szCs w:val="24"/>
        </w:rPr>
        <w:t> </w:t>
      </w:r>
      <w:r w:rsidRPr="00E12BB9">
        <w:rPr>
          <w:snapToGrid w:val="0"/>
          <w:spacing w:val="-2"/>
          <w:szCs w:val="24"/>
        </w:rPr>
        <w:t>2024-2025</w:t>
      </w:r>
      <w:r w:rsidRPr="00E12BB9">
        <w:rPr>
          <w:spacing w:val="-2"/>
          <w:szCs w:val="24"/>
        </w:rPr>
        <w:t>.</w:t>
      </w:r>
    </w:p>
    <w:p w14:paraId="03067F60" w14:textId="77777777" w:rsidR="007D29F8" w:rsidRPr="00E12BB9" w:rsidRDefault="007D29F8" w:rsidP="007D29F8">
      <w:pPr>
        <w:rPr>
          <w:spacing w:val="-2"/>
          <w:szCs w:val="24"/>
        </w:rPr>
      </w:pPr>
    </w:p>
    <w:p w14:paraId="2B5130E3" w14:textId="77777777" w:rsidR="007D29F8" w:rsidRPr="00E12BB9" w:rsidRDefault="007D29F8" w:rsidP="007D29F8">
      <w:pPr>
        <w:rPr>
          <w:spacing w:val="-2"/>
          <w:szCs w:val="24"/>
        </w:rPr>
      </w:pPr>
    </w:p>
    <w:p w14:paraId="64CD31FB" w14:textId="77777777" w:rsidR="007D29F8" w:rsidRPr="00E12BB9" w:rsidRDefault="007D29F8" w:rsidP="007D29F8">
      <w:pPr>
        <w:pStyle w:val="Heading3"/>
        <w:rPr>
          <w:lang w:val="fr-FR"/>
        </w:rPr>
      </w:pPr>
      <w:bookmarkStart w:id="421" w:name="_Toc132208446"/>
      <w:r w:rsidRPr="00E12BB9">
        <w:rPr>
          <w:lang w:val="fr-FR"/>
        </w:rPr>
        <w:t>Recettes</w:t>
      </w:r>
      <w:bookmarkEnd w:id="421"/>
    </w:p>
    <w:p w14:paraId="2F035FE6" w14:textId="77777777" w:rsidR="007D29F8" w:rsidRPr="00E12BB9" w:rsidRDefault="007D29F8" w:rsidP="007D29F8">
      <w:pPr>
        <w:rPr>
          <w:spacing w:val="-2"/>
          <w:szCs w:val="24"/>
        </w:rPr>
      </w:pPr>
    </w:p>
    <w:p w14:paraId="2F82BBBE" w14:textId="77777777" w:rsidR="007D29F8" w:rsidRPr="00E12BB9" w:rsidRDefault="007D29F8" w:rsidP="007D29F8">
      <w:r w:rsidRPr="00E12BB9">
        <w:t>Le montant total des recettes inscrites au budget ordinaire pour l’exercice biennal </w:t>
      </w:r>
      <w:r w:rsidRPr="00E12BB9">
        <w:rPr>
          <w:snapToGrid w:val="0"/>
        </w:rPr>
        <w:t>2024-2025</w:t>
      </w:r>
      <w:r w:rsidRPr="00E12BB9">
        <w:t xml:space="preserve"> est estimé à 7 901 307</w:t>
      </w:r>
      <w:r w:rsidRPr="00E12BB9">
        <w:rPr>
          <w:spacing w:val="-2"/>
          <w:szCs w:val="24"/>
        </w:rPr>
        <w:t> francs suisses, soit 266 807 francs suisses (</w:t>
      </w:r>
      <w:r w:rsidRPr="00E12BB9">
        <w:t>ou 3,5%) de plus que le montant estimé des recettes pour l’exercice biennal </w:t>
      </w:r>
      <w:r w:rsidRPr="00E12BB9">
        <w:rPr>
          <w:snapToGrid w:val="0"/>
        </w:rPr>
        <w:t>2022-2023</w:t>
      </w:r>
      <w:r w:rsidRPr="00E12BB9">
        <w:t xml:space="preserve"> (7 634 500 </w:t>
      </w:r>
      <w:r w:rsidRPr="00E12BB9">
        <w:rPr>
          <w:spacing w:val="-2"/>
          <w:szCs w:val="24"/>
        </w:rPr>
        <w:t>francs suisses) (voir le tableau 2)</w:t>
      </w:r>
      <w:r w:rsidRPr="00E12BB9">
        <w:t>.  L’estimation des recettes pour </w:t>
      </w:r>
      <w:r w:rsidRPr="00E12BB9">
        <w:rPr>
          <w:snapToGrid w:val="0"/>
        </w:rPr>
        <w:t>2024-2025</w:t>
      </w:r>
      <w:r w:rsidRPr="00E12BB9">
        <w:t xml:space="preserve"> repose sur 66,95</w:t>
      </w:r>
      <w:r>
        <w:t> </w:t>
      </w:r>
      <w:r w:rsidRPr="00E12BB9">
        <w:t>unités de contribution en 2024 et 67,15</w:t>
      </w:r>
      <w:r>
        <w:rPr>
          <w:spacing w:val="-2"/>
          <w:szCs w:val="24"/>
        </w:rPr>
        <w:t> </w:t>
      </w:r>
      <w:r w:rsidRPr="00E12BB9">
        <w:rPr>
          <w:spacing w:val="-2"/>
          <w:szCs w:val="24"/>
        </w:rPr>
        <w:t xml:space="preserve">unités de </w:t>
      </w:r>
      <w:r w:rsidRPr="00E12BB9">
        <w:t>contribution en 2025 et sur la proposition de maintenir la valeur de l’unité de contribution à 53 641 francs suisses au cours de l’exercice biennal </w:t>
      </w:r>
      <w:r w:rsidRPr="00E12BB9">
        <w:rPr>
          <w:snapToGrid w:val="0"/>
        </w:rPr>
        <w:t>2024-2025</w:t>
      </w:r>
      <w:r w:rsidRPr="00E12BB9">
        <w:t>.</w:t>
      </w:r>
    </w:p>
    <w:p w14:paraId="456942E9" w14:textId="77777777" w:rsidR="007D29F8" w:rsidRPr="00E12BB9" w:rsidRDefault="007D29F8" w:rsidP="007D29F8"/>
    <w:p w14:paraId="7238CB25" w14:textId="77777777" w:rsidR="007D29F8" w:rsidRPr="00E12BB9" w:rsidRDefault="007D29F8" w:rsidP="007D29F8">
      <w:r w:rsidRPr="00E12BB9">
        <w:t>Les recettes provenant des contributions ont été estimées sur la base d’un nouveau membre de l’</w:t>
      </w:r>
      <w:r>
        <w:t>Union par </w:t>
      </w:r>
      <w:r w:rsidRPr="00E12BB9">
        <w:t>an contribuant pour 0,2 unité</w:t>
      </w:r>
      <w:r w:rsidR="00597B8C">
        <w:t>s</w:t>
      </w:r>
      <w:r w:rsidRPr="00E12BB9">
        <w:t xml:space="preserve"> de contribution au budget (et 1667 francs suisses au fonds de roulement).  À sa vingt-troisième session extraordinaire tenue à Genève le 7 avril 2006, le Conseil a décidé que “les membres de l’Union ne devraient pas revoir à la baisse leur nombre d’unités de contribution sans tenir compte des incidences pour l’UPOV et de la manière dont une telle réduction serait compensée par d’autres membres de l’Union.  En particulier, les membres de l’Union ne devraient pas réduire le nombre d’unités de contribution qui leur est applicable au cours d’un exercice budgétaire approuvé par le Conseil, sauf circonstances exceptionnelles et inévitables” (voir l’annexe III du document C(Extr.)/23/5).  Sur cette base, aucune réduction du nombre d’unités de contribution n’est prévue pour l’exercice biennal </w:t>
      </w:r>
      <w:r w:rsidRPr="00E12BB9">
        <w:rPr>
          <w:snapToGrid w:val="0"/>
          <w:spacing w:val="-2"/>
          <w:szCs w:val="24"/>
        </w:rPr>
        <w:t>2024-2025</w:t>
      </w:r>
      <w:r w:rsidRPr="00E12BB9">
        <w:t>.</w:t>
      </w:r>
    </w:p>
    <w:p w14:paraId="07D636DE" w14:textId="77777777" w:rsidR="007D29F8" w:rsidRPr="00E12BB9" w:rsidRDefault="007D29F8" w:rsidP="007D29F8"/>
    <w:p w14:paraId="40038FD5" w14:textId="77777777" w:rsidR="007D29F8" w:rsidRPr="00E12BB9" w:rsidRDefault="007D29F8" w:rsidP="007D29F8">
      <w:pPr>
        <w:tabs>
          <w:tab w:val="left" w:pos="567"/>
        </w:tabs>
      </w:pPr>
      <w:r w:rsidRPr="00E12BB9">
        <w:rPr>
          <w:spacing w:val="-2"/>
          <w:szCs w:val="24"/>
        </w:rPr>
        <w:t xml:space="preserve">Outre les contributions des membres de l’Union, des recettes sont attendues au titre des taxes relatives aux outils informatiques et services de l’UPOV </w:t>
      </w:r>
      <w:r w:rsidRPr="00E12BB9">
        <w:t>(508 425 francs suisses) et des recettes accessoires</w:t>
      </w:r>
      <w:r w:rsidR="0064214B">
        <w:t>.  Les recettes accessoires sont estimées à</w:t>
      </w:r>
      <w:r w:rsidRPr="00E12BB9">
        <w:t xml:space="preserve"> 199 646 francs suisses comprenant : i) </w:t>
      </w:r>
      <w:r w:rsidRPr="00E12BB9">
        <w:rPr>
          <w:spacing w:val="-2"/>
          <w:szCs w:val="24"/>
        </w:rPr>
        <w:t xml:space="preserve">les coûts d’appui administratif au titre des fonds fiduciaires </w:t>
      </w:r>
      <w:r w:rsidRPr="00E12BB9">
        <w:t>(119 646 francs suisses); et ii) </w:t>
      </w:r>
      <w:r w:rsidRPr="00E12BB9">
        <w:rPr>
          <w:spacing w:val="-2"/>
          <w:szCs w:val="24"/>
        </w:rPr>
        <w:t xml:space="preserve">les droits d’inscription au programme d’enseignement à distance </w:t>
      </w:r>
      <w:r w:rsidRPr="00E12BB9">
        <w:t xml:space="preserve">(80 000 francs suisses).  </w:t>
      </w:r>
      <w:r w:rsidRPr="00E12BB9">
        <w:rPr>
          <w:spacing w:val="-2"/>
          <w:szCs w:val="24"/>
        </w:rPr>
        <w:t>Les sources de recettes autres que les contributions représentent 9% des recettes totales estimées pour l’exercice</w:t>
      </w:r>
      <w:r w:rsidRPr="00E12BB9">
        <w:t> </w:t>
      </w:r>
      <w:r w:rsidRPr="00E12BB9">
        <w:rPr>
          <w:snapToGrid w:val="0"/>
        </w:rPr>
        <w:t>2024-2025</w:t>
      </w:r>
      <w:r w:rsidRPr="00E12BB9">
        <w:t>.</w:t>
      </w:r>
    </w:p>
    <w:p w14:paraId="63B1A629" w14:textId="77777777" w:rsidR="007D29F8" w:rsidRPr="00E12BB9" w:rsidRDefault="007D29F8" w:rsidP="007D29F8">
      <w:pPr>
        <w:rPr>
          <w:spacing w:val="-2"/>
          <w:szCs w:val="24"/>
        </w:rPr>
      </w:pPr>
    </w:p>
    <w:p w14:paraId="31404D2F" w14:textId="77777777" w:rsidR="007D29F8" w:rsidRPr="00E12BB9" w:rsidRDefault="007D29F8" w:rsidP="007D29F8">
      <w:pPr>
        <w:rPr>
          <w:spacing w:val="-2"/>
          <w:szCs w:val="24"/>
        </w:rPr>
      </w:pPr>
    </w:p>
    <w:p w14:paraId="0ADDD932" w14:textId="77777777" w:rsidR="007D29F8" w:rsidRPr="00E12BB9" w:rsidRDefault="007D29F8" w:rsidP="007D29F8">
      <w:pPr>
        <w:keepNext/>
        <w:jc w:val="center"/>
        <w:rPr>
          <w:rFonts w:cs="Arial"/>
          <w:i/>
          <w:iCs/>
        </w:rPr>
      </w:pPr>
      <w:r w:rsidRPr="00E12BB9">
        <w:rPr>
          <w:rFonts w:cs="Arial"/>
          <w:b/>
          <w:bCs/>
          <w:color w:val="26724C" w:themeColor="accent1" w:themeShade="BF"/>
        </w:rPr>
        <w:t>Tableau 2</w:t>
      </w:r>
      <w:r>
        <w:rPr>
          <w:rFonts w:cs="Arial"/>
          <w:b/>
          <w:bCs/>
          <w:color w:val="26724C" w:themeColor="accent1" w:themeShade="BF"/>
        </w:rPr>
        <w:t xml:space="preserve"> : </w:t>
      </w:r>
      <w:r w:rsidRPr="00E12BB9">
        <w:rPr>
          <w:rFonts w:cs="Arial"/>
          <w:b/>
          <w:bCs/>
          <w:color w:val="26724C" w:themeColor="accent1" w:themeShade="BF"/>
        </w:rPr>
        <w:t xml:space="preserve"> Recettes pour 2022-2023 et 2024-2025</w:t>
      </w:r>
      <w:r w:rsidRPr="00E12BB9">
        <w:rPr>
          <w:rFonts w:cs="Arial"/>
          <w:b/>
          <w:bCs/>
        </w:rPr>
        <w:br/>
      </w:r>
      <w:r w:rsidRPr="00E12BB9">
        <w:rPr>
          <w:rFonts w:cs="Arial"/>
          <w:i/>
          <w:iCs/>
          <w:sz w:val="18"/>
          <w:szCs w:val="18"/>
        </w:rPr>
        <w:t>(en milliers de francs suisses)</w:t>
      </w:r>
    </w:p>
    <w:p w14:paraId="7BE213D3" w14:textId="77777777" w:rsidR="007D29F8" w:rsidRPr="00E12BB9" w:rsidRDefault="007D29F8" w:rsidP="007D29F8">
      <w:pPr>
        <w:keepNext/>
        <w:rPr>
          <w:rFonts w:cs="Arial"/>
          <w:i/>
          <w:iCs/>
        </w:rPr>
      </w:pPr>
    </w:p>
    <w:tbl>
      <w:tblPr>
        <w:tblW w:w="9587" w:type="dxa"/>
        <w:tblLook w:val="04A0" w:firstRow="1" w:lastRow="0" w:firstColumn="1" w:lastColumn="0" w:noHBand="0" w:noVBand="1"/>
      </w:tblPr>
      <w:tblGrid>
        <w:gridCol w:w="3402"/>
        <w:gridCol w:w="1276"/>
        <w:gridCol w:w="1418"/>
        <w:gridCol w:w="1134"/>
        <w:gridCol w:w="1114"/>
        <w:gridCol w:w="1243"/>
      </w:tblGrid>
      <w:tr w:rsidR="007D29F8" w:rsidRPr="00E12BB9" w14:paraId="15918BF8" w14:textId="77777777" w:rsidTr="00DB6666">
        <w:trPr>
          <w:trHeight w:val="317"/>
        </w:trPr>
        <w:tc>
          <w:tcPr>
            <w:tcW w:w="3402" w:type="dxa"/>
            <w:tcBorders>
              <w:top w:val="nil"/>
              <w:left w:val="nil"/>
              <w:bottom w:val="nil"/>
              <w:right w:val="nil"/>
            </w:tcBorders>
            <w:shd w:val="clear" w:color="000000" w:fill="C7CFD8"/>
            <w:hideMark/>
          </w:tcPr>
          <w:p w14:paraId="2B1F7C7D" w14:textId="77777777" w:rsidR="007D29F8" w:rsidRPr="00E12BB9" w:rsidRDefault="007D29F8" w:rsidP="00DB6666">
            <w:pPr>
              <w:ind w:firstLineChars="100" w:firstLine="181"/>
              <w:jc w:val="left"/>
              <w:rPr>
                <w:rFonts w:cs="Arial"/>
                <w:b/>
                <w:bCs/>
                <w:i/>
                <w:iCs/>
                <w:sz w:val="18"/>
                <w:szCs w:val="18"/>
              </w:rPr>
            </w:pPr>
          </w:p>
        </w:tc>
        <w:tc>
          <w:tcPr>
            <w:tcW w:w="1276" w:type="dxa"/>
            <w:tcBorders>
              <w:top w:val="nil"/>
              <w:left w:val="nil"/>
              <w:bottom w:val="nil"/>
              <w:right w:val="nil"/>
            </w:tcBorders>
            <w:shd w:val="clear" w:color="000000" w:fill="C7CFD8"/>
            <w:vAlign w:val="center"/>
            <w:hideMark/>
          </w:tcPr>
          <w:p w14:paraId="71F7A48B" w14:textId="77777777" w:rsidR="007D29F8" w:rsidRPr="00E12BB9" w:rsidRDefault="007D29F8" w:rsidP="00DB6666">
            <w:pPr>
              <w:jc w:val="center"/>
              <w:rPr>
                <w:rFonts w:ascii="Arial Narrow" w:hAnsi="Arial Narrow" w:cs="Arial"/>
                <w:b/>
                <w:bCs/>
                <w:sz w:val="18"/>
                <w:szCs w:val="18"/>
              </w:rPr>
            </w:pPr>
            <w:r w:rsidRPr="00E12BB9">
              <w:rPr>
                <w:rFonts w:ascii="Arial Narrow" w:hAnsi="Arial Narrow" w:cs="Arial"/>
                <w:b/>
                <w:bCs/>
                <w:sz w:val="18"/>
                <w:szCs w:val="18"/>
              </w:rPr>
              <w:t>Montant effectif</w:t>
            </w:r>
            <w:r w:rsidRPr="00E12BB9">
              <w:rPr>
                <w:rFonts w:cs="Arial"/>
                <w:b/>
                <w:bCs/>
                <w:i/>
                <w:iCs/>
                <w:color w:val="000000"/>
                <w:sz w:val="18"/>
                <w:szCs w:val="18"/>
                <w:vertAlign w:val="superscript"/>
              </w:rPr>
              <w:t>1</w:t>
            </w:r>
          </w:p>
        </w:tc>
        <w:tc>
          <w:tcPr>
            <w:tcW w:w="1418" w:type="dxa"/>
            <w:tcBorders>
              <w:top w:val="nil"/>
              <w:left w:val="nil"/>
              <w:bottom w:val="nil"/>
              <w:right w:val="nil"/>
            </w:tcBorders>
            <w:shd w:val="clear" w:color="000000" w:fill="C7CFD8"/>
            <w:vAlign w:val="center"/>
            <w:hideMark/>
          </w:tcPr>
          <w:p w14:paraId="4470603B" w14:textId="77777777" w:rsidR="007D29F8" w:rsidRPr="00E12BB9" w:rsidRDefault="007D29F8" w:rsidP="00DB6666">
            <w:pPr>
              <w:jc w:val="center"/>
              <w:rPr>
                <w:rFonts w:ascii="Arial Narrow" w:hAnsi="Arial Narrow" w:cs="Arial"/>
                <w:b/>
                <w:bCs/>
                <w:sz w:val="18"/>
                <w:szCs w:val="18"/>
              </w:rPr>
            </w:pPr>
            <w:r w:rsidRPr="00E12BB9">
              <w:rPr>
                <w:rFonts w:ascii="Arial Narrow" w:hAnsi="Arial Narrow" w:cs="Arial"/>
                <w:b/>
                <w:bCs/>
                <w:sz w:val="18"/>
                <w:szCs w:val="18"/>
              </w:rPr>
              <w:t>Budget approuvé</w:t>
            </w:r>
          </w:p>
        </w:tc>
        <w:tc>
          <w:tcPr>
            <w:tcW w:w="2248" w:type="dxa"/>
            <w:gridSpan w:val="2"/>
            <w:vMerge w:val="restart"/>
            <w:tcBorders>
              <w:top w:val="nil"/>
              <w:left w:val="nil"/>
              <w:bottom w:val="single" w:sz="4" w:space="0" w:color="748B9E"/>
              <w:right w:val="nil"/>
            </w:tcBorders>
            <w:shd w:val="clear" w:color="000000" w:fill="C7CFD8"/>
            <w:vAlign w:val="center"/>
            <w:hideMark/>
          </w:tcPr>
          <w:p w14:paraId="26289B77" w14:textId="77777777" w:rsidR="007D29F8" w:rsidRPr="00E12BB9" w:rsidRDefault="007D29F8" w:rsidP="00DB6666">
            <w:pPr>
              <w:jc w:val="center"/>
              <w:rPr>
                <w:rFonts w:ascii="Arial Narrow" w:hAnsi="Arial Narrow" w:cs="Arial"/>
                <w:b/>
                <w:bCs/>
                <w:sz w:val="18"/>
                <w:szCs w:val="18"/>
              </w:rPr>
            </w:pPr>
            <w:r w:rsidRPr="00E12BB9">
              <w:rPr>
                <w:rFonts w:ascii="Arial Narrow" w:hAnsi="Arial Narrow" w:cs="Arial"/>
                <w:b/>
                <w:bCs/>
                <w:sz w:val="18"/>
                <w:szCs w:val="18"/>
              </w:rPr>
              <w:t>Variation</w:t>
            </w:r>
          </w:p>
        </w:tc>
        <w:tc>
          <w:tcPr>
            <w:tcW w:w="1243" w:type="dxa"/>
            <w:tcBorders>
              <w:top w:val="nil"/>
              <w:left w:val="nil"/>
              <w:bottom w:val="nil"/>
              <w:right w:val="nil"/>
            </w:tcBorders>
            <w:shd w:val="clear" w:color="000000" w:fill="C7CFD8"/>
            <w:vAlign w:val="center"/>
            <w:hideMark/>
          </w:tcPr>
          <w:p w14:paraId="7EE0EA82" w14:textId="77777777" w:rsidR="007D29F8" w:rsidRPr="00E12BB9" w:rsidRDefault="007D29F8" w:rsidP="00DB6666">
            <w:pPr>
              <w:jc w:val="center"/>
              <w:rPr>
                <w:rFonts w:ascii="Arial Narrow" w:hAnsi="Arial Narrow" w:cs="Arial"/>
                <w:b/>
                <w:bCs/>
                <w:sz w:val="18"/>
                <w:szCs w:val="18"/>
              </w:rPr>
            </w:pPr>
            <w:r w:rsidRPr="00E12BB9">
              <w:rPr>
                <w:rFonts w:ascii="Arial Narrow" w:hAnsi="Arial Narrow" w:cs="Arial"/>
                <w:b/>
                <w:bCs/>
                <w:sz w:val="18"/>
                <w:szCs w:val="18"/>
              </w:rPr>
              <w:t>Budget proposé pour</w:t>
            </w:r>
          </w:p>
        </w:tc>
      </w:tr>
      <w:tr w:rsidR="007D29F8" w:rsidRPr="00E12BB9" w14:paraId="4B7DF2C0" w14:textId="77777777" w:rsidTr="00DB6666">
        <w:trPr>
          <w:trHeight w:val="272"/>
        </w:trPr>
        <w:tc>
          <w:tcPr>
            <w:tcW w:w="3402" w:type="dxa"/>
            <w:tcBorders>
              <w:top w:val="nil"/>
              <w:left w:val="nil"/>
              <w:bottom w:val="nil"/>
              <w:right w:val="nil"/>
            </w:tcBorders>
            <w:shd w:val="clear" w:color="000000" w:fill="C7CFD8"/>
            <w:hideMark/>
          </w:tcPr>
          <w:p w14:paraId="0BB35D9F" w14:textId="77777777" w:rsidR="007D29F8" w:rsidRPr="00E12BB9" w:rsidRDefault="007D29F8" w:rsidP="00DB6666">
            <w:pPr>
              <w:ind w:firstLineChars="100" w:firstLine="181"/>
              <w:jc w:val="left"/>
              <w:rPr>
                <w:rFonts w:ascii="Arial Narrow" w:hAnsi="Arial Narrow" w:cs="Arial"/>
                <w:b/>
                <w:bCs/>
                <w:sz w:val="18"/>
                <w:szCs w:val="18"/>
              </w:rPr>
            </w:pPr>
            <w:r w:rsidRPr="00E12BB9">
              <w:rPr>
                <w:rFonts w:ascii="Arial Narrow" w:hAnsi="Arial Narrow" w:cs="Arial"/>
                <w:b/>
                <w:bCs/>
                <w:sz w:val="18"/>
                <w:szCs w:val="18"/>
              </w:rPr>
              <w:t>Source</w:t>
            </w:r>
          </w:p>
        </w:tc>
        <w:tc>
          <w:tcPr>
            <w:tcW w:w="1276" w:type="dxa"/>
            <w:tcBorders>
              <w:top w:val="nil"/>
              <w:left w:val="nil"/>
              <w:bottom w:val="nil"/>
              <w:right w:val="nil"/>
            </w:tcBorders>
            <w:shd w:val="clear" w:color="000000" w:fill="C7CFD8"/>
            <w:vAlign w:val="center"/>
            <w:hideMark/>
          </w:tcPr>
          <w:p w14:paraId="7B1B5CE6" w14:textId="77777777" w:rsidR="007D29F8" w:rsidRPr="00E12BB9" w:rsidRDefault="007D29F8" w:rsidP="00DB6666">
            <w:pPr>
              <w:jc w:val="center"/>
              <w:rPr>
                <w:rFonts w:ascii="Arial Narrow" w:hAnsi="Arial Narrow" w:cs="Arial"/>
                <w:b/>
                <w:bCs/>
                <w:sz w:val="18"/>
                <w:szCs w:val="18"/>
              </w:rPr>
            </w:pPr>
            <w:r w:rsidRPr="00E12BB9">
              <w:rPr>
                <w:rFonts w:ascii="Arial Narrow" w:hAnsi="Arial Narrow" w:cs="Arial"/>
                <w:b/>
                <w:bCs/>
                <w:sz w:val="18"/>
                <w:szCs w:val="18"/>
              </w:rPr>
              <w:t>2020-2021</w:t>
            </w:r>
          </w:p>
        </w:tc>
        <w:tc>
          <w:tcPr>
            <w:tcW w:w="1418" w:type="dxa"/>
            <w:tcBorders>
              <w:top w:val="nil"/>
              <w:left w:val="nil"/>
              <w:bottom w:val="nil"/>
              <w:right w:val="nil"/>
            </w:tcBorders>
            <w:shd w:val="clear" w:color="000000" w:fill="C7CFD8"/>
            <w:vAlign w:val="center"/>
            <w:hideMark/>
          </w:tcPr>
          <w:p w14:paraId="63C7CFF9" w14:textId="77777777" w:rsidR="007D29F8" w:rsidRPr="00E12BB9" w:rsidRDefault="007D29F8" w:rsidP="00DB6666">
            <w:pPr>
              <w:jc w:val="center"/>
              <w:rPr>
                <w:rFonts w:ascii="Arial Narrow" w:hAnsi="Arial Narrow" w:cs="Arial"/>
                <w:b/>
                <w:bCs/>
                <w:sz w:val="18"/>
                <w:szCs w:val="18"/>
              </w:rPr>
            </w:pPr>
            <w:r w:rsidRPr="00E12BB9">
              <w:rPr>
                <w:rFonts w:ascii="Arial Narrow" w:hAnsi="Arial Narrow" w:cs="Arial"/>
                <w:b/>
                <w:bCs/>
                <w:sz w:val="18"/>
                <w:szCs w:val="18"/>
              </w:rPr>
              <w:t>2022-2023</w:t>
            </w:r>
          </w:p>
        </w:tc>
        <w:tc>
          <w:tcPr>
            <w:tcW w:w="2248" w:type="dxa"/>
            <w:gridSpan w:val="2"/>
            <w:vMerge/>
            <w:tcBorders>
              <w:top w:val="nil"/>
              <w:left w:val="nil"/>
              <w:bottom w:val="nil"/>
              <w:right w:val="nil"/>
            </w:tcBorders>
            <w:vAlign w:val="center"/>
            <w:hideMark/>
          </w:tcPr>
          <w:p w14:paraId="03827D5F" w14:textId="77777777" w:rsidR="007D29F8" w:rsidRPr="00E12BB9" w:rsidRDefault="007D29F8" w:rsidP="00DB6666">
            <w:pPr>
              <w:jc w:val="left"/>
              <w:rPr>
                <w:rFonts w:ascii="Arial Narrow" w:hAnsi="Arial Narrow" w:cs="Arial"/>
                <w:b/>
                <w:bCs/>
                <w:sz w:val="18"/>
                <w:szCs w:val="18"/>
              </w:rPr>
            </w:pPr>
          </w:p>
        </w:tc>
        <w:tc>
          <w:tcPr>
            <w:tcW w:w="1243" w:type="dxa"/>
            <w:tcBorders>
              <w:top w:val="nil"/>
              <w:left w:val="nil"/>
              <w:bottom w:val="nil"/>
              <w:right w:val="nil"/>
            </w:tcBorders>
            <w:shd w:val="clear" w:color="000000" w:fill="C7CFD8"/>
            <w:vAlign w:val="center"/>
            <w:hideMark/>
          </w:tcPr>
          <w:p w14:paraId="401046EE" w14:textId="77777777" w:rsidR="007D29F8" w:rsidRPr="00E12BB9" w:rsidRDefault="007D29F8" w:rsidP="00DB6666">
            <w:pPr>
              <w:jc w:val="center"/>
              <w:rPr>
                <w:rFonts w:ascii="Arial Narrow" w:hAnsi="Arial Narrow" w:cs="Arial"/>
                <w:b/>
                <w:bCs/>
                <w:sz w:val="18"/>
                <w:szCs w:val="18"/>
              </w:rPr>
            </w:pPr>
            <w:r w:rsidRPr="00E12BB9">
              <w:rPr>
                <w:rFonts w:ascii="Arial Narrow" w:hAnsi="Arial Narrow" w:cs="Arial"/>
                <w:b/>
                <w:bCs/>
                <w:sz w:val="18"/>
                <w:szCs w:val="18"/>
              </w:rPr>
              <w:t>2024-2025</w:t>
            </w:r>
          </w:p>
        </w:tc>
      </w:tr>
      <w:tr w:rsidR="007D29F8" w:rsidRPr="00E12BB9" w14:paraId="2D817EAB" w14:textId="77777777" w:rsidTr="00DB6666">
        <w:trPr>
          <w:trHeight w:val="287"/>
        </w:trPr>
        <w:tc>
          <w:tcPr>
            <w:tcW w:w="3402" w:type="dxa"/>
            <w:tcBorders>
              <w:top w:val="nil"/>
              <w:left w:val="nil"/>
              <w:bottom w:val="nil"/>
              <w:right w:val="nil"/>
            </w:tcBorders>
            <w:shd w:val="clear" w:color="000000" w:fill="C7CFD8"/>
            <w:vAlign w:val="bottom"/>
            <w:hideMark/>
          </w:tcPr>
          <w:p w14:paraId="39D684DF" w14:textId="77777777" w:rsidR="007D29F8" w:rsidRPr="00E12BB9" w:rsidRDefault="007D29F8" w:rsidP="00DB6666">
            <w:pPr>
              <w:ind w:firstLineChars="100" w:firstLine="181"/>
              <w:jc w:val="left"/>
              <w:rPr>
                <w:rFonts w:cs="Arial"/>
                <w:b/>
                <w:bCs/>
                <w:i/>
                <w:iCs/>
                <w:sz w:val="18"/>
                <w:szCs w:val="18"/>
              </w:rPr>
            </w:pPr>
          </w:p>
        </w:tc>
        <w:tc>
          <w:tcPr>
            <w:tcW w:w="1276" w:type="dxa"/>
            <w:tcBorders>
              <w:top w:val="nil"/>
              <w:left w:val="nil"/>
              <w:bottom w:val="nil"/>
              <w:right w:val="nil"/>
            </w:tcBorders>
            <w:shd w:val="clear" w:color="000000" w:fill="C7CFD8"/>
            <w:vAlign w:val="center"/>
            <w:hideMark/>
          </w:tcPr>
          <w:p w14:paraId="75B41FAC" w14:textId="77777777" w:rsidR="007D29F8" w:rsidRPr="00E12BB9" w:rsidRDefault="007D29F8" w:rsidP="00DB6666">
            <w:pPr>
              <w:jc w:val="center"/>
              <w:rPr>
                <w:rFonts w:ascii="Arial Narrow" w:hAnsi="Arial Narrow" w:cs="Arial"/>
                <w:b/>
                <w:bCs/>
                <w:sz w:val="18"/>
                <w:szCs w:val="18"/>
              </w:rPr>
            </w:pPr>
            <w:r w:rsidRPr="00E12BB9">
              <w:rPr>
                <w:rFonts w:ascii="Arial Narrow" w:hAnsi="Arial Narrow" w:cs="Arial"/>
                <w:b/>
                <w:bCs/>
                <w:sz w:val="18"/>
                <w:szCs w:val="18"/>
              </w:rPr>
              <w:t>A</w:t>
            </w:r>
          </w:p>
        </w:tc>
        <w:tc>
          <w:tcPr>
            <w:tcW w:w="1418" w:type="dxa"/>
            <w:tcBorders>
              <w:top w:val="nil"/>
              <w:left w:val="nil"/>
              <w:bottom w:val="nil"/>
              <w:right w:val="nil"/>
            </w:tcBorders>
            <w:shd w:val="clear" w:color="000000" w:fill="C7CFD8"/>
            <w:noWrap/>
            <w:vAlign w:val="center"/>
            <w:hideMark/>
          </w:tcPr>
          <w:p w14:paraId="1A300053" w14:textId="77777777" w:rsidR="007D29F8" w:rsidRPr="00E12BB9" w:rsidRDefault="007D29F8" w:rsidP="00DB6666">
            <w:pPr>
              <w:jc w:val="center"/>
              <w:rPr>
                <w:rFonts w:ascii="Arial Narrow" w:hAnsi="Arial Narrow" w:cs="Arial"/>
                <w:b/>
                <w:bCs/>
                <w:sz w:val="18"/>
                <w:szCs w:val="18"/>
              </w:rPr>
            </w:pPr>
            <w:r w:rsidRPr="00E12BB9">
              <w:rPr>
                <w:rFonts w:ascii="Arial Narrow" w:hAnsi="Arial Narrow" w:cs="Arial"/>
                <w:b/>
                <w:bCs/>
                <w:sz w:val="18"/>
                <w:szCs w:val="18"/>
              </w:rPr>
              <w:t>B</w:t>
            </w:r>
          </w:p>
        </w:tc>
        <w:tc>
          <w:tcPr>
            <w:tcW w:w="1134" w:type="dxa"/>
            <w:tcBorders>
              <w:top w:val="nil"/>
              <w:left w:val="nil"/>
              <w:bottom w:val="nil"/>
              <w:right w:val="nil"/>
            </w:tcBorders>
            <w:shd w:val="clear" w:color="000000" w:fill="C7CFD8"/>
            <w:vAlign w:val="center"/>
            <w:hideMark/>
          </w:tcPr>
          <w:p w14:paraId="3E8926ED" w14:textId="77777777" w:rsidR="007D29F8" w:rsidRPr="00E12BB9" w:rsidRDefault="007D29F8" w:rsidP="00DB6666">
            <w:pPr>
              <w:jc w:val="center"/>
              <w:rPr>
                <w:rFonts w:ascii="Arial Narrow" w:hAnsi="Arial Narrow" w:cs="Arial"/>
                <w:b/>
                <w:bCs/>
                <w:sz w:val="18"/>
                <w:szCs w:val="18"/>
              </w:rPr>
            </w:pPr>
            <w:r w:rsidRPr="00E12BB9">
              <w:rPr>
                <w:rFonts w:ascii="Arial Narrow" w:hAnsi="Arial Narrow" w:cs="Arial"/>
                <w:b/>
                <w:bCs/>
                <w:sz w:val="18"/>
                <w:szCs w:val="18"/>
              </w:rPr>
              <w:t>C</w:t>
            </w:r>
          </w:p>
        </w:tc>
        <w:tc>
          <w:tcPr>
            <w:tcW w:w="1114" w:type="dxa"/>
            <w:tcBorders>
              <w:top w:val="nil"/>
              <w:left w:val="nil"/>
              <w:bottom w:val="nil"/>
              <w:right w:val="nil"/>
            </w:tcBorders>
            <w:shd w:val="clear" w:color="000000" w:fill="C7CFD8"/>
            <w:vAlign w:val="center"/>
            <w:hideMark/>
          </w:tcPr>
          <w:p w14:paraId="2EA72379" w14:textId="77777777" w:rsidR="007D29F8" w:rsidRPr="00E12BB9" w:rsidRDefault="007D29F8" w:rsidP="00DB6666">
            <w:pPr>
              <w:jc w:val="center"/>
              <w:rPr>
                <w:rFonts w:ascii="Arial Narrow" w:hAnsi="Arial Narrow" w:cs="Arial"/>
                <w:b/>
                <w:bCs/>
                <w:sz w:val="18"/>
                <w:szCs w:val="18"/>
              </w:rPr>
            </w:pPr>
            <w:r w:rsidRPr="00E12BB9">
              <w:rPr>
                <w:rFonts w:ascii="Arial Narrow" w:hAnsi="Arial Narrow" w:cs="Arial"/>
                <w:b/>
                <w:bCs/>
                <w:sz w:val="18"/>
                <w:szCs w:val="18"/>
              </w:rPr>
              <w:t>C/B</w:t>
            </w:r>
            <w:r>
              <w:rPr>
                <w:rFonts w:ascii="Arial Narrow" w:hAnsi="Arial Narrow" w:cs="Arial"/>
                <w:b/>
                <w:bCs/>
                <w:sz w:val="18"/>
                <w:szCs w:val="18"/>
              </w:rPr>
              <w:t xml:space="preserve"> </w:t>
            </w:r>
            <w:r w:rsidRPr="00E12BB9">
              <w:rPr>
                <w:rFonts w:ascii="Arial Narrow" w:hAnsi="Arial Narrow" w:cs="Arial"/>
                <w:b/>
                <w:bCs/>
                <w:sz w:val="18"/>
                <w:szCs w:val="18"/>
              </w:rPr>
              <w:t>(%)</w:t>
            </w:r>
          </w:p>
        </w:tc>
        <w:tc>
          <w:tcPr>
            <w:tcW w:w="1243" w:type="dxa"/>
            <w:tcBorders>
              <w:top w:val="nil"/>
              <w:left w:val="nil"/>
              <w:bottom w:val="nil"/>
              <w:right w:val="nil"/>
            </w:tcBorders>
            <w:shd w:val="clear" w:color="000000" w:fill="C7CFD8"/>
            <w:noWrap/>
            <w:vAlign w:val="center"/>
            <w:hideMark/>
          </w:tcPr>
          <w:p w14:paraId="5D089679" w14:textId="77777777" w:rsidR="007D29F8" w:rsidRPr="00E12BB9" w:rsidRDefault="007D29F8" w:rsidP="00DB6666">
            <w:pPr>
              <w:jc w:val="center"/>
              <w:rPr>
                <w:rFonts w:ascii="Arial Narrow" w:hAnsi="Arial Narrow" w:cs="Arial"/>
                <w:b/>
                <w:bCs/>
                <w:sz w:val="18"/>
                <w:szCs w:val="18"/>
              </w:rPr>
            </w:pPr>
            <w:r w:rsidRPr="00E12BB9">
              <w:rPr>
                <w:rFonts w:ascii="Arial Narrow" w:hAnsi="Arial Narrow" w:cs="Arial"/>
                <w:b/>
                <w:bCs/>
                <w:sz w:val="18"/>
                <w:szCs w:val="18"/>
              </w:rPr>
              <w:t xml:space="preserve">D=B+C </w:t>
            </w:r>
          </w:p>
        </w:tc>
      </w:tr>
      <w:tr w:rsidR="007D29F8" w:rsidRPr="0064214B" w14:paraId="69910393" w14:textId="77777777" w:rsidTr="00DB6666">
        <w:trPr>
          <w:trHeight w:val="362"/>
        </w:trPr>
        <w:tc>
          <w:tcPr>
            <w:tcW w:w="3402" w:type="dxa"/>
            <w:tcBorders>
              <w:top w:val="nil"/>
              <w:left w:val="nil"/>
              <w:bottom w:val="nil"/>
              <w:right w:val="nil"/>
            </w:tcBorders>
            <w:shd w:val="clear" w:color="auto" w:fill="auto"/>
            <w:vAlign w:val="bottom"/>
            <w:hideMark/>
          </w:tcPr>
          <w:p w14:paraId="5BE53060" w14:textId="77777777" w:rsidR="007D29F8" w:rsidRPr="0064214B" w:rsidRDefault="007D29F8" w:rsidP="00DB6666">
            <w:pPr>
              <w:jc w:val="left"/>
              <w:rPr>
                <w:rFonts w:ascii="Arial Narrow" w:hAnsi="Arial Narrow" w:cs="Arial"/>
                <w:b/>
                <w:bCs/>
                <w:color w:val="000000"/>
                <w:sz w:val="18"/>
                <w:szCs w:val="18"/>
              </w:rPr>
            </w:pPr>
            <w:r w:rsidRPr="0064214B">
              <w:rPr>
                <w:rFonts w:ascii="Arial Narrow" w:hAnsi="Arial Narrow" w:cs="Arial"/>
                <w:b/>
                <w:bCs/>
                <w:color w:val="000000"/>
                <w:sz w:val="18"/>
                <w:szCs w:val="18"/>
              </w:rPr>
              <w:t>Contributions</w:t>
            </w:r>
          </w:p>
        </w:tc>
        <w:tc>
          <w:tcPr>
            <w:tcW w:w="1276" w:type="dxa"/>
            <w:tcBorders>
              <w:top w:val="nil"/>
              <w:left w:val="nil"/>
              <w:bottom w:val="nil"/>
              <w:right w:val="nil"/>
            </w:tcBorders>
            <w:shd w:val="clear" w:color="auto" w:fill="auto"/>
            <w:vAlign w:val="bottom"/>
            <w:hideMark/>
          </w:tcPr>
          <w:p w14:paraId="027DACF1"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7 097</w:t>
            </w:r>
          </w:p>
        </w:tc>
        <w:tc>
          <w:tcPr>
            <w:tcW w:w="1418" w:type="dxa"/>
            <w:tcBorders>
              <w:top w:val="nil"/>
              <w:left w:val="nil"/>
              <w:bottom w:val="nil"/>
              <w:right w:val="nil"/>
            </w:tcBorders>
            <w:shd w:val="clear" w:color="auto" w:fill="auto"/>
            <w:vAlign w:val="bottom"/>
            <w:hideMark/>
          </w:tcPr>
          <w:p w14:paraId="2A6059C4"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7 129</w:t>
            </w:r>
          </w:p>
        </w:tc>
        <w:tc>
          <w:tcPr>
            <w:tcW w:w="1134" w:type="dxa"/>
            <w:tcBorders>
              <w:top w:val="nil"/>
              <w:left w:val="nil"/>
              <w:bottom w:val="nil"/>
              <w:right w:val="nil"/>
            </w:tcBorders>
            <w:shd w:val="clear" w:color="auto" w:fill="auto"/>
            <w:vAlign w:val="bottom"/>
            <w:hideMark/>
          </w:tcPr>
          <w:p w14:paraId="4D60813B"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64</w:t>
            </w:r>
          </w:p>
        </w:tc>
        <w:tc>
          <w:tcPr>
            <w:tcW w:w="1114" w:type="dxa"/>
            <w:tcBorders>
              <w:top w:val="nil"/>
              <w:left w:val="nil"/>
              <w:bottom w:val="nil"/>
              <w:right w:val="nil"/>
            </w:tcBorders>
            <w:shd w:val="clear" w:color="auto" w:fill="auto"/>
            <w:vAlign w:val="bottom"/>
            <w:hideMark/>
          </w:tcPr>
          <w:p w14:paraId="0A4A9ACA"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0,9%</w:t>
            </w:r>
          </w:p>
        </w:tc>
        <w:tc>
          <w:tcPr>
            <w:tcW w:w="1243" w:type="dxa"/>
            <w:tcBorders>
              <w:top w:val="nil"/>
              <w:left w:val="nil"/>
              <w:bottom w:val="nil"/>
              <w:right w:val="nil"/>
            </w:tcBorders>
            <w:shd w:val="clear" w:color="auto" w:fill="auto"/>
            <w:vAlign w:val="bottom"/>
            <w:hideMark/>
          </w:tcPr>
          <w:p w14:paraId="6B20EF80"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7 193</w:t>
            </w:r>
          </w:p>
        </w:tc>
      </w:tr>
      <w:tr w:rsidR="007D29F8" w:rsidRPr="0064214B" w14:paraId="52256EFC" w14:textId="77777777" w:rsidTr="0064214B">
        <w:trPr>
          <w:trHeight w:val="506"/>
        </w:trPr>
        <w:tc>
          <w:tcPr>
            <w:tcW w:w="3402" w:type="dxa"/>
            <w:tcBorders>
              <w:top w:val="nil"/>
              <w:left w:val="nil"/>
              <w:bottom w:val="nil"/>
              <w:right w:val="nil"/>
            </w:tcBorders>
            <w:shd w:val="clear" w:color="auto" w:fill="auto"/>
            <w:vAlign w:val="bottom"/>
            <w:hideMark/>
          </w:tcPr>
          <w:p w14:paraId="7B4304D3" w14:textId="77777777" w:rsidR="007D29F8" w:rsidRPr="0064214B" w:rsidRDefault="007D29F8" w:rsidP="00DB6666">
            <w:pPr>
              <w:jc w:val="left"/>
              <w:rPr>
                <w:rFonts w:ascii="Arial Narrow" w:hAnsi="Arial Narrow" w:cs="Arial"/>
                <w:b/>
                <w:bCs/>
                <w:color w:val="000000"/>
                <w:sz w:val="18"/>
                <w:szCs w:val="18"/>
              </w:rPr>
            </w:pPr>
            <w:r w:rsidRPr="0064214B">
              <w:rPr>
                <w:rFonts w:ascii="Arial Narrow" w:hAnsi="Arial Narrow" w:cs="Arial"/>
                <w:b/>
                <w:bCs/>
                <w:color w:val="000000"/>
                <w:sz w:val="18"/>
                <w:szCs w:val="18"/>
              </w:rPr>
              <w:t>Taxes perçues au titre des outils informatiques et services de l’UPOV</w:t>
            </w:r>
          </w:p>
        </w:tc>
        <w:tc>
          <w:tcPr>
            <w:tcW w:w="1276" w:type="dxa"/>
            <w:tcBorders>
              <w:top w:val="nil"/>
              <w:left w:val="nil"/>
              <w:bottom w:val="nil"/>
              <w:right w:val="nil"/>
            </w:tcBorders>
            <w:shd w:val="clear" w:color="auto" w:fill="auto"/>
            <w:vAlign w:val="bottom"/>
            <w:hideMark/>
          </w:tcPr>
          <w:p w14:paraId="551D1E78"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209</w:t>
            </w:r>
          </w:p>
        </w:tc>
        <w:tc>
          <w:tcPr>
            <w:tcW w:w="1418" w:type="dxa"/>
            <w:tcBorders>
              <w:top w:val="nil"/>
              <w:left w:val="nil"/>
              <w:bottom w:val="nil"/>
              <w:right w:val="nil"/>
            </w:tcBorders>
            <w:shd w:val="clear" w:color="auto" w:fill="auto"/>
            <w:vAlign w:val="bottom"/>
            <w:hideMark/>
          </w:tcPr>
          <w:p w14:paraId="5926B955"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331</w:t>
            </w:r>
          </w:p>
        </w:tc>
        <w:tc>
          <w:tcPr>
            <w:tcW w:w="1134" w:type="dxa"/>
            <w:tcBorders>
              <w:top w:val="nil"/>
              <w:left w:val="nil"/>
              <w:bottom w:val="nil"/>
              <w:right w:val="nil"/>
            </w:tcBorders>
            <w:shd w:val="clear" w:color="auto" w:fill="auto"/>
            <w:vAlign w:val="bottom"/>
            <w:hideMark/>
          </w:tcPr>
          <w:p w14:paraId="3DA0E69E"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177</w:t>
            </w:r>
          </w:p>
        </w:tc>
        <w:tc>
          <w:tcPr>
            <w:tcW w:w="1114" w:type="dxa"/>
            <w:tcBorders>
              <w:top w:val="nil"/>
              <w:left w:val="nil"/>
              <w:bottom w:val="nil"/>
              <w:right w:val="nil"/>
            </w:tcBorders>
            <w:shd w:val="clear" w:color="auto" w:fill="auto"/>
            <w:vAlign w:val="bottom"/>
            <w:hideMark/>
          </w:tcPr>
          <w:p w14:paraId="60BC1516"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53,5%</w:t>
            </w:r>
          </w:p>
        </w:tc>
        <w:tc>
          <w:tcPr>
            <w:tcW w:w="1243" w:type="dxa"/>
            <w:tcBorders>
              <w:top w:val="nil"/>
              <w:left w:val="nil"/>
              <w:bottom w:val="nil"/>
              <w:right w:val="nil"/>
            </w:tcBorders>
            <w:shd w:val="clear" w:color="auto" w:fill="auto"/>
            <w:vAlign w:val="bottom"/>
            <w:hideMark/>
          </w:tcPr>
          <w:p w14:paraId="2A81D718"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508</w:t>
            </w:r>
          </w:p>
        </w:tc>
      </w:tr>
      <w:tr w:rsidR="007D29F8" w:rsidRPr="0064214B" w14:paraId="33D44189" w14:textId="77777777" w:rsidTr="00DB6666">
        <w:trPr>
          <w:trHeight w:val="347"/>
        </w:trPr>
        <w:tc>
          <w:tcPr>
            <w:tcW w:w="3402" w:type="dxa"/>
            <w:tcBorders>
              <w:top w:val="nil"/>
              <w:left w:val="nil"/>
              <w:bottom w:val="nil"/>
              <w:right w:val="nil"/>
            </w:tcBorders>
            <w:shd w:val="clear" w:color="auto" w:fill="auto"/>
            <w:vAlign w:val="bottom"/>
            <w:hideMark/>
          </w:tcPr>
          <w:p w14:paraId="011FAD64" w14:textId="77777777" w:rsidR="007D29F8" w:rsidRPr="0064214B" w:rsidRDefault="007D29F8" w:rsidP="00DB6666">
            <w:pPr>
              <w:jc w:val="left"/>
              <w:rPr>
                <w:rFonts w:ascii="Arial Narrow" w:hAnsi="Arial Narrow" w:cs="Arial"/>
                <w:b/>
                <w:bCs/>
                <w:color w:val="000000"/>
                <w:sz w:val="18"/>
                <w:szCs w:val="18"/>
              </w:rPr>
            </w:pPr>
            <w:r w:rsidRPr="0064214B">
              <w:rPr>
                <w:rFonts w:ascii="Arial Narrow" w:hAnsi="Arial Narrow" w:cs="Arial"/>
                <w:b/>
                <w:bCs/>
                <w:color w:val="000000"/>
                <w:sz w:val="18"/>
                <w:szCs w:val="18"/>
              </w:rPr>
              <w:t>Recettes accessoires</w:t>
            </w:r>
          </w:p>
        </w:tc>
        <w:tc>
          <w:tcPr>
            <w:tcW w:w="1276" w:type="dxa"/>
            <w:tcBorders>
              <w:top w:val="nil"/>
              <w:left w:val="nil"/>
              <w:bottom w:val="nil"/>
              <w:right w:val="nil"/>
            </w:tcBorders>
            <w:shd w:val="clear" w:color="auto" w:fill="auto"/>
            <w:vAlign w:val="bottom"/>
            <w:hideMark/>
          </w:tcPr>
          <w:p w14:paraId="374B81C3"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99</w:t>
            </w:r>
          </w:p>
        </w:tc>
        <w:tc>
          <w:tcPr>
            <w:tcW w:w="1418" w:type="dxa"/>
            <w:tcBorders>
              <w:top w:val="nil"/>
              <w:left w:val="nil"/>
              <w:bottom w:val="nil"/>
              <w:right w:val="nil"/>
            </w:tcBorders>
            <w:shd w:val="clear" w:color="auto" w:fill="auto"/>
            <w:vAlign w:val="bottom"/>
            <w:hideMark/>
          </w:tcPr>
          <w:p w14:paraId="66BDE4AA"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174</w:t>
            </w:r>
          </w:p>
        </w:tc>
        <w:tc>
          <w:tcPr>
            <w:tcW w:w="1134" w:type="dxa"/>
            <w:tcBorders>
              <w:top w:val="nil"/>
              <w:left w:val="nil"/>
              <w:bottom w:val="nil"/>
              <w:right w:val="nil"/>
            </w:tcBorders>
            <w:shd w:val="clear" w:color="auto" w:fill="auto"/>
            <w:vAlign w:val="bottom"/>
            <w:hideMark/>
          </w:tcPr>
          <w:p w14:paraId="1DFA365C"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25</w:t>
            </w:r>
          </w:p>
        </w:tc>
        <w:tc>
          <w:tcPr>
            <w:tcW w:w="1114" w:type="dxa"/>
            <w:tcBorders>
              <w:top w:val="nil"/>
              <w:left w:val="nil"/>
              <w:bottom w:val="nil"/>
              <w:right w:val="nil"/>
            </w:tcBorders>
            <w:shd w:val="clear" w:color="auto" w:fill="auto"/>
            <w:vAlign w:val="bottom"/>
            <w:hideMark/>
          </w:tcPr>
          <w:p w14:paraId="230430C7"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14,5%</w:t>
            </w:r>
          </w:p>
        </w:tc>
        <w:tc>
          <w:tcPr>
            <w:tcW w:w="1243" w:type="dxa"/>
            <w:tcBorders>
              <w:top w:val="nil"/>
              <w:left w:val="nil"/>
              <w:bottom w:val="nil"/>
              <w:right w:val="nil"/>
            </w:tcBorders>
            <w:shd w:val="clear" w:color="auto" w:fill="auto"/>
            <w:vAlign w:val="bottom"/>
            <w:hideMark/>
          </w:tcPr>
          <w:p w14:paraId="72D01576" w14:textId="77777777" w:rsidR="007D29F8" w:rsidRPr="0064214B" w:rsidRDefault="007D29F8" w:rsidP="00DB6666">
            <w:pPr>
              <w:jc w:val="right"/>
              <w:rPr>
                <w:rFonts w:ascii="Arial Narrow" w:hAnsi="Arial Narrow" w:cs="Arial"/>
                <w:b/>
                <w:bCs/>
                <w:sz w:val="18"/>
                <w:szCs w:val="18"/>
              </w:rPr>
            </w:pPr>
            <w:r w:rsidRPr="0064214B">
              <w:rPr>
                <w:rFonts w:ascii="Arial Narrow" w:hAnsi="Arial Narrow" w:cs="Arial"/>
                <w:b/>
                <w:bCs/>
                <w:sz w:val="18"/>
                <w:szCs w:val="18"/>
              </w:rPr>
              <w:t>200</w:t>
            </w:r>
          </w:p>
        </w:tc>
      </w:tr>
      <w:tr w:rsidR="007D29F8" w:rsidRPr="0064214B" w14:paraId="09AA380A" w14:textId="77777777" w:rsidTr="00DB6666">
        <w:trPr>
          <w:trHeight w:val="347"/>
        </w:trPr>
        <w:tc>
          <w:tcPr>
            <w:tcW w:w="3402" w:type="dxa"/>
            <w:tcBorders>
              <w:top w:val="nil"/>
              <w:left w:val="nil"/>
              <w:bottom w:val="nil"/>
              <w:right w:val="nil"/>
            </w:tcBorders>
            <w:shd w:val="clear" w:color="auto" w:fill="auto"/>
            <w:vAlign w:val="bottom"/>
            <w:hideMark/>
          </w:tcPr>
          <w:p w14:paraId="70E2ED5F" w14:textId="77777777" w:rsidR="007D29F8" w:rsidRPr="0064214B" w:rsidRDefault="007D29F8" w:rsidP="00DB6666">
            <w:pPr>
              <w:ind w:firstLineChars="157" w:firstLine="283"/>
              <w:jc w:val="left"/>
              <w:rPr>
                <w:rFonts w:ascii="Arial Narrow" w:hAnsi="Arial Narrow" w:cs="Arial"/>
                <w:i/>
                <w:iCs/>
                <w:color w:val="000000"/>
                <w:sz w:val="18"/>
                <w:szCs w:val="18"/>
              </w:rPr>
            </w:pPr>
            <w:r w:rsidRPr="0064214B">
              <w:rPr>
                <w:rFonts w:ascii="Arial Narrow" w:hAnsi="Arial Narrow" w:cs="Arial"/>
                <w:i/>
                <w:iCs/>
                <w:color w:val="000000"/>
                <w:sz w:val="18"/>
                <w:szCs w:val="18"/>
              </w:rPr>
              <w:t>Coûts d’appui administratif –</w:t>
            </w:r>
          </w:p>
          <w:p w14:paraId="4CB95617" w14:textId="77777777" w:rsidR="007D29F8" w:rsidRPr="0064214B" w:rsidRDefault="007D29F8" w:rsidP="00DB6666">
            <w:pPr>
              <w:ind w:firstLineChars="157" w:firstLine="283"/>
              <w:jc w:val="left"/>
              <w:rPr>
                <w:rFonts w:ascii="Arial Narrow" w:hAnsi="Arial Narrow" w:cs="Arial"/>
                <w:i/>
                <w:iCs/>
                <w:color w:val="000000"/>
                <w:sz w:val="18"/>
                <w:szCs w:val="18"/>
              </w:rPr>
            </w:pPr>
            <w:r w:rsidRPr="0064214B">
              <w:rPr>
                <w:rFonts w:ascii="Arial Narrow" w:hAnsi="Arial Narrow" w:cs="Arial"/>
                <w:i/>
                <w:iCs/>
                <w:color w:val="000000"/>
                <w:sz w:val="18"/>
                <w:szCs w:val="18"/>
              </w:rPr>
              <w:t>Fonds fiduciaires</w:t>
            </w:r>
          </w:p>
        </w:tc>
        <w:tc>
          <w:tcPr>
            <w:tcW w:w="1276" w:type="dxa"/>
            <w:tcBorders>
              <w:top w:val="nil"/>
              <w:left w:val="nil"/>
              <w:bottom w:val="nil"/>
              <w:right w:val="nil"/>
            </w:tcBorders>
            <w:shd w:val="clear" w:color="auto" w:fill="auto"/>
            <w:vAlign w:val="bottom"/>
            <w:hideMark/>
          </w:tcPr>
          <w:p w14:paraId="7D287E81" w14:textId="77777777" w:rsidR="007D29F8" w:rsidRPr="0064214B" w:rsidRDefault="007D29F8" w:rsidP="00DB6666">
            <w:pPr>
              <w:jc w:val="right"/>
              <w:rPr>
                <w:rFonts w:ascii="Arial Narrow" w:hAnsi="Arial Narrow" w:cs="Arial"/>
                <w:i/>
                <w:iCs/>
                <w:color w:val="000000"/>
                <w:sz w:val="18"/>
                <w:szCs w:val="18"/>
              </w:rPr>
            </w:pPr>
            <w:r w:rsidRPr="0064214B">
              <w:rPr>
                <w:rFonts w:ascii="Arial Narrow" w:hAnsi="Arial Narrow" w:cs="Arial"/>
                <w:i/>
                <w:iCs/>
                <w:color w:val="000000"/>
                <w:sz w:val="18"/>
                <w:szCs w:val="18"/>
              </w:rPr>
              <w:t>74</w:t>
            </w:r>
          </w:p>
        </w:tc>
        <w:tc>
          <w:tcPr>
            <w:tcW w:w="1418" w:type="dxa"/>
            <w:tcBorders>
              <w:top w:val="nil"/>
              <w:left w:val="nil"/>
              <w:bottom w:val="nil"/>
              <w:right w:val="nil"/>
            </w:tcBorders>
            <w:shd w:val="clear" w:color="auto" w:fill="auto"/>
            <w:vAlign w:val="bottom"/>
            <w:hideMark/>
          </w:tcPr>
          <w:p w14:paraId="158A0603" w14:textId="77777777" w:rsidR="007D29F8" w:rsidRPr="0064214B" w:rsidRDefault="007D29F8" w:rsidP="00DB6666">
            <w:pPr>
              <w:jc w:val="right"/>
              <w:rPr>
                <w:rFonts w:ascii="Arial Narrow" w:hAnsi="Arial Narrow" w:cs="Arial"/>
                <w:i/>
                <w:iCs/>
                <w:color w:val="000000"/>
                <w:sz w:val="18"/>
                <w:szCs w:val="18"/>
              </w:rPr>
            </w:pPr>
            <w:r w:rsidRPr="0064214B">
              <w:rPr>
                <w:rFonts w:ascii="Arial Narrow" w:hAnsi="Arial Narrow" w:cs="Arial"/>
                <w:i/>
                <w:iCs/>
                <w:color w:val="000000"/>
                <w:sz w:val="18"/>
                <w:szCs w:val="18"/>
              </w:rPr>
              <w:t>125</w:t>
            </w:r>
          </w:p>
        </w:tc>
        <w:tc>
          <w:tcPr>
            <w:tcW w:w="1134" w:type="dxa"/>
            <w:tcBorders>
              <w:top w:val="nil"/>
              <w:left w:val="nil"/>
              <w:bottom w:val="nil"/>
              <w:right w:val="nil"/>
            </w:tcBorders>
            <w:shd w:val="clear" w:color="auto" w:fill="auto"/>
            <w:vAlign w:val="bottom"/>
            <w:hideMark/>
          </w:tcPr>
          <w:p w14:paraId="6B157156" w14:textId="77777777" w:rsidR="007D29F8" w:rsidRPr="0064214B" w:rsidRDefault="007D29F8" w:rsidP="00DB6666">
            <w:pPr>
              <w:jc w:val="right"/>
              <w:rPr>
                <w:rFonts w:ascii="Arial Narrow" w:hAnsi="Arial Narrow" w:cs="Arial"/>
                <w:i/>
                <w:iCs/>
                <w:color w:val="000000"/>
                <w:sz w:val="18"/>
                <w:szCs w:val="18"/>
              </w:rPr>
            </w:pPr>
            <w:r w:rsidRPr="0064214B">
              <w:rPr>
                <w:rFonts w:ascii="Arial Narrow" w:hAnsi="Arial Narrow" w:cs="Arial"/>
                <w:i/>
                <w:iCs/>
                <w:color w:val="000000"/>
                <w:sz w:val="18"/>
                <w:szCs w:val="18"/>
              </w:rPr>
              <w:t>(6)</w:t>
            </w:r>
          </w:p>
        </w:tc>
        <w:tc>
          <w:tcPr>
            <w:tcW w:w="1114" w:type="dxa"/>
            <w:tcBorders>
              <w:top w:val="nil"/>
              <w:left w:val="nil"/>
              <w:bottom w:val="nil"/>
              <w:right w:val="nil"/>
            </w:tcBorders>
            <w:shd w:val="clear" w:color="auto" w:fill="auto"/>
            <w:vAlign w:val="bottom"/>
            <w:hideMark/>
          </w:tcPr>
          <w:p w14:paraId="30A9DEB0" w14:textId="77777777" w:rsidR="007D29F8" w:rsidRPr="0064214B" w:rsidRDefault="007D29F8" w:rsidP="00DB6666">
            <w:pPr>
              <w:jc w:val="right"/>
              <w:rPr>
                <w:rFonts w:ascii="Arial Narrow" w:hAnsi="Arial Narrow" w:cs="Arial"/>
                <w:i/>
                <w:iCs/>
                <w:color w:val="000000"/>
                <w:sz w:val="18"/>
                <w:szCs w:val="18"/>
              </w:rPr>
            </w:pPr>
            <w:r w:rsidRPr="0064214B">
              <w:rPr>
                <w:rFonts w:ascii="Arial Narrow" w:hAnsi="Arial Narrow" w:cs="Arial"/>
                <w:i/>
                <w:iCs/>
                <w:color w:val="000000"/>
                <w:sz w:val="18"/>
                <w:szCs w:val="18"/>
              </w:rPr>
              <w:t>-4,7%</w:t>
            </w:r>
          </w:p>
        </w:tc>
        <w:tc>
          <w:tcPr>
            <w:tcW w:w="1243" w:type="dxa"/>
            <w:tcBorders>
              <w:top w:val="nil"/>
              <w:left w:val="nil"/>
              <w:bottom w:val="nil"/>
              <w:right w:val="nil"/>
            </w:tcBorders>
            <w:shd w:val="clear" w:color="auto" w:fill="auto"/>
            <w:vAlign w:val="bottom"/>
            <w:hideMark/>
          </w:tcPr>
          <w:p w14:paraId="7FD0D5E2"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120</w:t>
            </w:r>
          </w:p>
        </w:tc>
      </w:tr>
      <w:tr w:rsidR="007D29F8" w:rsidRPr="0064214B" w14:paraId="58A96B92" w14:textId="77777777" w:rsidTr="00DB6666">
        <w:trPr>
          <w:trHeight w:val="347"/>
        </w:trPr>
        <w:tc>
          <w:tcPr>
            <w:tcW w:w="3402" w:type="dxa"/>
            <w:tcBorders>
              <w:top w:val="nil"/>
              <w:left w:val="nil"/>
              <w:bottom w:val="nil"/>
              <w:right w:val="nil"/>
            </w:tcBorders>
            <w:shd w:val="clear" w:color="auto" w:fill="auto"/>
            <w:vAlign w:val="center"/>
            <w:hideMark/>
          </w:tcPr>
          <w:p w14:paraId="623491B3" w14:textId="77777777" w:rsidR="007D29F8" w:rsidRPr="0064214B" w:rsidRDefault="007D29F8" w:rsidP="00DB6666">
            <w:pPr>
              <w:ind w:left="315"/>
              <w:jc w:val="left"/>
              <w:rPr>
                <w:rFonts w:ascii="Arial Narrow" w:hAnsi="Arial Narrow" w:cs="Arial"/>
                <w:i/>
                <w:iCs/>
                <w:color w:val="000000"/>
                <w:sz w:val="18"/>
                <w:szCs w:val="18"/>
              </w:rPr>
            </w:pPr>
            <w:r w:rsidRPr="0064214B">
              <w:rPr>
                <w:rFonts w:ascii="Arial Narrow" w:hAnsi="Arial Narrow" w:cs="Arial"/>
                <w:i/>
                <w:iCs/>
                <w:color w:val="000000"/>
                <w:sz w:val="18"/>
                <w:szCs w:val="18"/>
              </w:rPr>
              <w:t>Programme d’enseignement à distance</w:t>
            </w:r>
          </w:p>
        </w:tc>
        <w:tc>
          <w:tcPr>
            <w:tcW w:w="1276" w:type="dxa"/>
            <w:tcBorders>
              <w:top w:val="nil"/>
              <w:left w:val="nil"/>
              <w:bottom w:val="nil"/>
              <w:right w:val="nil"/>
            </w:tcBorders>
            <w:shd w:val="clear" w:color="auto" w:fill="auto"/>
            <w:vAlign w:val="bottom"/>
            <w:hideMark/>
          </w:tcPr>
          <w:p w14:paraId="15C67777" w14:textId="77777777" w:rsidR="007D29F8" w:rsidRPr="0064214B" w:rsidRDefault="007D29F8" w:rsidP="00DB6666">
            <w:pPr>
              <w:jc w:val="right"/>
              <w:rPr>
                <w:rFonts w:ascii="Arial Narrow" w:hAnsi="Arial Narrow" w:cs="Arial"/>
                <w:i/>
                <w:iCs/>
                <w:color w:val="000000"/>
                <w:sz w:val="18"/>
                <w:szCs w:val="18"/>
              </w:rPr>
            </w:pPr>
            <w:r w:rsidRPr="0064214B">
              <w:rPr>
                <w:rFonts w:ascii="Arial Narrow" w:hAnsi="Arial Narrow" w:cs="Arial"/>
                <w:i/>
                <w:iCs/>
                <w:color w:val="000000"/>
                <w:sz w:val="18"/>
                <w:szCs w:val="18"/>
              </w:rPr>
              <w:t>41</w:t>
            </w:r>
          </w:p>
        </w:tc>
        <w:tc>
          <w:tcPr>
            <w:tcW w:w="1418" w:type="dxa"/>
            <w:tcBorders>
              <w:top w:val="nil"/>
              <w:left w:val="nil"/>
              <w:bottom w:val="nil"/>
              <w:right w:val="nil"/>
            </w:tcBorders>
            <w:shd w:val="clear" w:color="auto" w:fill="auto"/>
            <w:vAlign w:val="bottom"/>
            <w:hideMark/>
          </w:tcPr>
          <w:p w14:paraId="79E1D83C" w14:textId="77777777" w:rsidR="007D29F8" w:rsidRPr="0064214B" w:rsidRDefault="007D29F8" w:rsidP="00DB6666">
            <w:pPr>
              <w:jc w:val="right"/>
              <w:rPr>
                <w:rFonts w:ascii="Arial Narrow" w:hAnsi="Arial Narrow" w:cs="Arial"/>
                <w:i/>
                <w:iCs/>
                <w:color w:val="000000"/>
                <w:sz w:val="18"/>
                <w:szCs w:val="18"/>
              </w:rPr>
            </w:pPr>
            <w:r w:rsidRPr="0064214B">
              <w:rPr>
                <w:rFonts w:ascii="Arial Narrow" w:hAnsi="Arial Narrow" w:cs="Arial"/>
                <w:i/>
                <w:iCs/>
                <w:color w:val="000000"/>
                <w:sz w:val="18"/>
                <w:szCs w:val="18"/>
              </w:rPr>
              <w:t>49</w:t>
            </w:r>
          </w:p>
        </w:tc>
        <w:tc>
          <w:tcPr>
            <w:tcW w:w="1134" w:type="dxa"/>
            <w:tcBorders>
              <w:top w:val="nil"/>
              <w:left w:val="nil"/>
              <w:bottom w:val="nil"/>
              <w:right w:val="nil"/>
            </w:tcBorders>
            <w:shd w:val="clear" w:color="auto" w:fill="auto"/>
            <w:vAlign w:val="bottom"/>
            <w:hideMark/>
          </w:tcPr>
          <w:p w14:paraId="683164FD" w14:textId="77777777" w:rsidR="007D29F8" w:rsidRPr="0064214B" w:rsidRDefault="007D29F8" w:rsidP="00DB6666">
            <w:pPr>
              <w:jc w:val="right"/>
              <w:rPr>
                <w:rFonts w:ascii="Arial Narrow" w:hAnsi="Arial Narrow" w:cs="Arial"/>
                <w:i/>
                <w:iCs/>
                <w:color w:val="000000"/>
                <w:sz w:val="18"/>
                <w:szCs w:val="18"/>
              </w:rPr>
            </w:pPr>
            <w:r w:rsidRPr="0064214B">
              <w:rPr>
                <w:rFonts w:ascii="Arial Narrow" w:hAnsi="Arial Narrow" w:cs="Arial"/>
                <w:i/>
                <w:iCs/>
                <w:color w:val="000000"/>
                <w:sz w:val="18"/>
                <w:szCs w:val="18"/>
              </w:rPr>
              <w:t>31</w:t>
            </w:r>
          </w:p>
        </w:tc>
        <w:tc>
          <w:tcPr>
            <w:tcW w:w="1114" w:type="dxa"/>
            <w:tcBorders>
              <w:top w:val="nil"/>
              <w:left w:val="nil"/>
              <w:bottom w:val="nil"/>
              <w:right w:val="nil"/>
            </w:tcBorders>
            <w:shd w:val="clear" w:color="auto" w:fill="auto"/>
            <w:vAlign w:val="bottom"/>
            <w:hideMark/>
          </w:tcPr>
          <w:p w14:paraId="49FC2D07" w14:textId="77777777" w:rsidR="007D29F8" w:rsidRPr="0064214B" w:rsidRDefault="007D29F8" w:rsidP="00DB6666">
            <w:pPr>
              <w:jc w:val="right"/>
              <w:rPr>
                <w:rFonts w:ascii="Arial Narrow" w:hAnsi="Arial Narrow" w:cs="Arial"/>
                <w:i/>
                <w:iCs/>
                <w:color w:val="000000"/>
                <w:sz w:val="18"/>
                <w:szCs w:val="18"/>
              </w:rPr>
            </w:pPr>
            <w:r w:rsidRPr="0064214B">
              <w:rPr>
                <w:rFonts w:ascii="Arial Narrow" w:hAnsi="Arial Narrow" w:cs="Arial"/>
                <w:i/>
                <w:iCs/>
                <w:color w:val="000000"/>
                <w:sz w:val="18"/>
                <w:szCs w:val="18"/>
              </w:rPr>
              <w:t>63,4%</w:t>
            </w:r>
          </w:p>
        </w:tc>
        <w:tc>
          <w:tcPr>
            <w:tcW w:w="1243" w:type="dxa"/>
            <w:tcBorders>
              <w:top w:val="nil"/>
              <w:left w:val="nil"/>
              <w:bottom w:val="nil"/>
              <w:right w:val="nil"/>
            </w:tcBorders>
            <w:shd w:val="clear" w:color="auto" w:fill="auto"/>
            <w:vAlign w:val="bottom"/>
            <w:hideMark/>
          </w:tcPr>
          <w:p w14:paraId="6A584DB1"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80</w:t>
            </w:r>
          </w:p>
        </w:tc>
      </w:tr>
      <w:tr w:rsidR="007D29F8" w:rsidRPr="0064214B" w14:paraId="60079BCF" w14:textId="77777777" w:rsidTr="00DB6666">
        <w:trPr>
          <w:trHeight w:val="347"/>
        </w:trPr>
        <w:tc>
          <w:tcPr>
            <w:tcW w:w="3402" w:type="dxa"/>
            <w:tcBorders>
              <w:top w:val="nil"/>
              <w:left w:val="nil"/>
              <w:bottom w:val="nil"/>
              <w:right w:val="nil"/>
            </w:tcBorders>
            <w:shd w:val="clear" w:color="auto" w:fill="auto"/>
            <w:vAlign w:val="bottom"/>
            <w:hideMark/>
          </w:tcPr>
          <w:p w14:paraId="7690ABEF" w14:textId="77777777" w:rsidR="007D29F8" w:rsidRPr="0064214B" w:rsidRDefault="007D29F8" w:rsidP="00DB6666">
            <w:pPr>
              <w:ind w:firstLineChars="157" w:firstLine="283"/>
              <w:jc w:val="left"/>
              <w:rPr>
                <w:rFonts w:ascii="Arial Narrow" w:hAnsi="Arial Narrow" w:cs="Arial"/>
                <w:i/>
                <w:iCs/>
                <w:color w:val="000000"/>
                <w:sz w:val="18"/>
                <w:szCs w:val="18"/>
              </w:rPr>
            </w:pPr>
            <w:r w:rsidRPr="0064214B">
              <w:rPr>
                <w:rFonts w:ascii="Arial Narrow" w:hAnsi="Arial Narrow" w:cs="Arial"/>
                <w:i/>
                <w:iCs/>
                <w:color w:val="000000"/>
                <w:sz w:val="18"/>
                <w:szCs w:val="18"/>
              </w:rPr>
              <w:t xml:space="preserve">Autres </w:t>
            </w:r>
          </w:p>
        </w:tc>
        <w:tc>
          <w:tcPr>
            <w:tcW w:w="1276" w:type="dxa"/>
            <w:tcBorders>
              <w:top w:val="nil"/>
              <w:left w:val="nil"/>
              <w:bottom w:val="nil"/>
              <w:right w:val="nil"/>
            </w:tcBorders>
            <w:shd w:val="clear" w:color="auto" w:fill="auto"/>
            <w:vAlign w:val="bottom"/>
            <w:hideMark/>
          </w:tcPr>
          <w:p w14:paraId="2720DF3F" w14:textId="77777777" w:rsidR="007D29F8" w:rsidRPr="0064214B" w:rsidRDefault="007D29F8" w:rsidP="00DB6666">
            <w:pPr>
              <w:jc w:val="right"/>
              <w:rPr>
                <w:rFonts w:ascii="Arial Narrow" w:hAnsi="Arial Narrow" w:cs="Arial"/>
                <w:i/>
                <w:iCs/>
                <w:color w:val="000000"/>
                <w:sz w:val="18"/>
                <w:szCs w:val="18"/>
              </w:rPr>
            </w:pPr>
            <w:r w:rsidRPr="0064214B">
              <w:rPr>
                <w:rFonts w:ascii="Arial Narrow" w:hAnsi="Arial Narrow" w:cs="Arial"/>
                <w:i/>
                <w:iCs/>
                <w:color w:val="000000"/>
                <w:sz w:val="18"/>
                <w:szCs w:val="18"/>
              </w:rPr>
              <w:t>-16</w:t>
            </w:r>
          </w:p>
        </w:tc>
        <w:tc>
          <w:tcPr>
            <w:tcW w:w="1418" w:type="dxa"/>
            <w:tcBorders>
              <w:top w:val="nil"/>
              <w:left w:val="nil"/>
              <w:bottom w:val="nil"/>
              <w:right w:val="nil"/>
            </w:tcBorders>
            <w:shd w:val="clear" w:color="auto" w:fill="auto"/>
            <w:vAlign w:val="bottom"/>
            <w:hideMark/>
          </w:tcPr>
          <w:p w14:paraId="33212B43" w14:textId="77777777" w:rsidR="007D29F8" w:rsidRPr="0064214B" w:rsidRDefault="007D29F8" w:rsidP="00DB6666">
            <w:pPr>
              <w:jc w:val="right"/>
              <w:rPr>
                <w:rFonts w:ascii="Arial Narrow" w:hAnsi="Arial Narrow" w:cs="Arial"/>
                <w:i/>
                <w:iCs/>
                <w:color w:val="000000"/>
                <w:sz w:val="18"/>
                <w:szCs w:val="18"/>
              </w:rPr>
            </w:pPr>
            <w:r w:rsidRPr="0064214B">
              <w:rPr>
                <w:rFonts w:ascii="Arial Narrow" w:hAnsi="Arial Narrow" w:cs="Arial"/>
                <w:i/>
                <w:iCs/>
                <w:color w:val="000000"/>
                <w:sz w:val="18"/>
                <w:szCs w:val="18"/>
              </w:rPr>
              <w:t>-</w:t>
            </w:r>
          </w:p>
        </w:tc>
        <w:tc>
          <w:tcPr>
            <w:tcW w:w="1134" w:type="dxa"/>
            <w:tcBorders>
              <w:top w:val="nil"/>
              <w:left w:val="nil"/>
              <w:bottom w:val="nil"/>
              <w:right w:val="nil"/>
            </w:tcBorders>
            <w:shd w:val="clear" w:color="auto" w:fill="auto"/>
            <w:vAlign w:val="bottom"/>
            <w:hideMark/>
          </w:tcPr>
          <w:p w14:paraId="1A8565BC" w14:textId="77777777" w:rsidR="007D29F8" w:rsidRPr="0064214B" w:rsidRDefault="007D29F8" w:rsidP="00DB6666">
            <w:pPr>
              <w:jc w:val="right"/>
              <w:rPr>
                <w:rFonts w:ascii="Arial Narrow" w:hAnsi="Arial Narrow" w:cs="Arial"/>
                <w:i/>
                <w:iCs/>
                <w:color w:val="000000"/>
                <w:sz w:val="18"/>
                <w:szCs w:val="18"/>
              </w:rPr>
            </w:pPr>
            <w:r w:rsidRPr="0064214B">
              <w:rPr>
                <w:rFonts w:ascii="Arial Narrow" w:hAnsi="Arial Narrow" w:cs="Arial"/>
                <w:i/>
                <w:iCs/>
                <w:color w:val="000000"/>
                <w:sz w:val="18"/>
                <w:szCs w:val="18"/>
              </w:rPr>
              <w:t>-</w:t>
            </w:r>
          </w:p>
        </w:tc>
        <w:tc>
          <w:tcPr>
            <w:tcW w:w="1114" w:type="dxa"/>
            <w:tcBorders>
              <w:top w:val="nil"/>
              <w:left w:val="nil"/>
              <w:bottom w:val="nil"/>
              <w:right w:val="nil"/>
            </w:tcBorders>
            <w:shd w:val="clear" w:color="auto" w:fill="auto"/>
            <w:vAlign w:val="bottom"/>
            <w:hideMark/>
          </w:tcPr>
          <w:p w14:paraId="0A9CA036" w14:textId="77777777" w:rsidR="007D29F8" w:rsidRPr="0064214B" w:rsidRDefault="007D29F8" w:rsidP="00DB6666">
            <w:pPr>
              <w:jc w:val="right"/>
              <w:rPr>
                <w:rFonts w:ascii="Arial Narrow" w:hAnsi="Arial Narrow" w:cs="Arial"/>
                <w:i/>
                <w:iCs/>
                <w:color w:val="000000"/>
                <w:sz w:val="18"/>
                <w:szCs w:val="18"/>
              </w:rPr>
            </w:pPr>
            <w:r w:rsidRPr="0064214B">
              <w:rPr>
                <w:rFonts w:ascii="Arial Narrow" w:hAnsi="Arial Narrow" w:cs="Arial"/>
                <w:i/>
                <w:iCs/>
                <w:color w:val="000000"/>
                <w:sz w:val="18"/>
                <w:szCs w:val="18"/>
              </w:rPr>
              <w:t>-</w:t>
            </w:r>
          </w:p>
        </w:tc>
        <w:tc>
          <w:tcPr>
            <w:tcW w:w="1243" w:type="dxa"/>
            <w:tcBorders>
              <w:top w:val="nil"/>
              <w:left w:val="nil"/>
              <w:bottom w:val="nil"/>
              <w:right w:val="nil"/>
            </w:tcBorders>
            <w:shd w:val="clear" w:color="auto" w:fill="auto"/>
            <w:vAlign w:val="bottom"/>
            <w:hideMark/>
          </w:tcPr>
          <w:p w14:paraId="35BAF2F6"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w:t>
            </w:r>
          </w:p>
        </w:tc>
      </w:tr>
      <w:tr w:rsidR="007D29F8" w:rsidRPr="0064214B" w14:paraId="106CDF09" w14:textId="77777777" w:rsidTr="00DB6666">
        <w:trPr>
          <w:trHeight w:val="181"/>
        </w:trPr>
        <w:tc>
          <w:tcPr>
            <w:tcW w:w="3402" w:type="dxa"/>
            <w:tcBorders>
              <w:top w:val="nil"/>
              <w:left w:val="nil"/>
              <w:bottom w:val="nil"/>
              <w:right w:val="nil"/>
            </w:tcBorders>
            <w:shd w:val="clear" w:color="auto" w:fill="auto"/>
            <w:vAlign w:val="bottom"/>
            <w:hideMark/>
          </w:tcPr>
          <w:p w14:paraId="1EF1493D" w14:textId="77777777" w:rsidR="007D29F8" w:rsidRPr="0064214B" w:rsidRDefault="007D29F8" w:rsidP="00DB6666">
            <w:pPr>
              <w:jc w:val="right"/>
              <w:rPr>
                <w:rFonts w:ascii="Arial Narrow" w:hAnsi="Arial Narrow" w:cs="Arial"/>
                <w:b/>
                <w:bCs/>
                <w:color w:val="000000"/>
                <w:sz w:val="18"/>
                <w:szCs w:val="18"/>
              </w:rPr>
            </w:pPr>
          </w:p>
        </w:tc>
        <w:tc>
          <w:tcPr>
            <w:tcW w:w="1276" w:type="dxa"/>
            <w:tcBorders>
              <w:top w:val="nil"/>
              <w:left w:val="nil"/>
              <w:bottom w:val="nil"/>
              <w:right w:val="nil"/>
            </w:tcBorders>
            <w:shd w:val="clear" w:color="auto" w:fill="auto"/>
            <w:vAlign w:val="bottom"/>
            <w:hideMark/>
          </w:tcPr>
          <w:p w14:paraId="2993785C" w14:textId="77777777" w:rsidR="007D29F8" w:rsidRPr="0064214B" w:rsidRDefault="007D29F8" w:rsidP="00DB6666">
            <w:pPr>
              <w:ind w:firstLineChars="200" w:firstLine="360"/>
              <w:jc w:val="left"/>
              <w:rPr>
                <w:rFonts w:ascii="Arial Narrow" w:hAnsi="Arial Narrow"/>
                <w:sz w:val="18"/>
                <w:szCs w:val="18"/>
              </w:rPr>
            </w:pPr>
          </w:p>
        </w:tc>
        <w:tc>
          <w:tcPr>
            <w:tcW w:w="1418" w:type="dxa"/>
            <w:tcBorders>
              <w:top w:val="nil"/>
              <w:left w:val="nil"/>
              <w:bottom w:val="nil"/>
              <w:right w:val="nil"/>
            </w:tcBorders>
            <w:shd w:val="clear" w:color="auto" w:fill="auto"/>
            <w:vAlign w:val="bottom"/>
            <w:hideMark/>
          </w:tcPr>
          <w:p w14:paraId="197D3B0A" w14:textId="77777777" w:rsidR="007D29F8" w:rsidRPr="0064214B" w:rsidRDefault="007D29F8" w:rsidP="00DB6666">
            <w:pPr>
              <w:jc w:val="right"/>
              <w:rPr>
                <w:rFonts w:ascii="Arial Narrow" w:hAnsi="Arial Narrow"/>
                <w:sz w:val="18"/>
                <w:szCs w:val="18"/>
              </w:rPr>
            </w:pPr>
          </w:p>
        </w:tc>
        <w:tc>
          <w:tcPr>
            <w:tcW w:w="1134" w:type="dxa"/>
            <w:tcBorders>
              <w:top w:val="nil"/>
              <w:left w:val="nil"/>
              <w:bottom w:val="nil"/>
              <w:right w:val="nil"/>
            </w:tcBorders>
            <w:shd w:val="clear" w:color="auto" w:fill="auto"/>
            <w:vAlign w:val="bottom"/>
            <w:hideMark/>
          </w:tcPr>
          <w:p w14:paraId="744EAB66" w14:textId="77777777" w:rsidR="007D29F8" w:rsidRPr="0064214B" w:rsidRDefault="007D29F8" w:rsidP="00DB6666">
            <w:pPr>
              <w:jc w:val="right"/>
              <w:rPr>
                <w:rFonts w:ascii="Arial Narrow" w:hAnsi="Arial Narrow"/>
                <w:sz w:val="18"/>
                <w:szCs w:val="18"/>
              </w:rPr>
            </w:pPr>
          </w:p>
        </w:tc>
        <w:tc>
          <w:tcPr>
            <w:tcW w:w="1114" w:type="dxa"/>
            <w:tcBorders>
              <w:top w:val="nil"/>
              <w:left w:val="nil"/>
              <w:bottom w:val="nil"/>
              <w:right w:val="nil"/>
            </w:tcBorders>
            <w:shd w:val="clear" w:color="auto" w:fill="auto"/>
            <w:vAlign w:val="bottom"/>
            <w:hideMark/>
          </w:tcPr>
          <w:p w14:paraId="09124DD0" w14:textId="77777777" w:rsidR="007D29F8" w:rsidRPr="0064214B" w:rsidRDefault="007D29F8" w:rsidP="00DB6666">
            <w:pPr>
              <w:jc w:val="right"/>
              <w:rPr>
                <w:rFonts w:ascii="Arial Narrow" w:hAnsi="Arial Narrow"/>
                <w:sz w:val="18"/>
                <w:szCs w:val="18"/>
              </w:rPr>
            </w:pPr>
          </w:p>
        </w:tc>
        <w:tc>
          <w:tcPr>
            <w:tcW w:w="1243" w:type="dxa"/>
            <w:tcBorders>
              <w:top w:val="nil"/>
              <w:left w:val="nil"/>
              <w:bottom w:val="nil"/>
              <w:right w:val="nil"/>
            </w:tcBorders>
            <w:shd w:val="clear" w:color="auto" w:fill="auto"/>
            <w:vAlign w:val="bottom"/>
            <w:hideMark/>
          </w:tcPr>
          <w:p w14:paraId="1E3FCB74" w14:textId="77777777" w:rsidR="007D29F8" w:rsidRPr="0064214B" w:rsidRDefault="007D29F8" w:rsidP="00DB6666">
            <w:pPr>
              <w:jc w:val="right"/>
              <w:rPr>
                <w:rFonts w:ascii="Arial Narrow" w:hAnsi="Arial Narrow"/>
                <w:sz w:val="18"/>
                <w:szCs w:val="18"/>
              </w:rPr>
            </w:pPr>
          </w:p>
        </w:tc>
      </w:tr>
      <w:tr w:rsidR="007D29F8" w:rsidRPr="0064214B" w14:paraId="26FD44AE" w14:textId="77777777" w:rsidTr="00DB6666">
        <w:trPr>
          <w:trHeight w:val="423"/>
        </w:trPr>
        <w:tc>
          <w:tcPr>
            <w:tcW w:w="3402" w:type="dxa"/>
            <w:tcBorders>
              <w:top w:val="single" w:sz="4" w:space="0" w:color="AAB8C4"/>
              <w:left w:val="nil"/>
              <w:bottom w:val="single" w:sz="8" w:space="0" w:color="AAB8C4"/>
              <w:right w:val="nil"/>
            </w:tcBorders>
            <w:shd w:val="clear" w:color="auto" w:fill="auto"/>
            <w:vAlign w:val="center"/>
            <w:hideMark/>
          </w:tcPr>
          <w:p w14:paraId="3BB51118" w14:textId="77777777" w:rsidR="007D29F8" w:rsidRPr="0064214B" w:rsidRDefault="007D29F8" w:rsidP="00DB6666">
            <w:pPr>
              <w:rPr>
                <w:rFonts w:ascii="Arial Narrow" w:hAnsi="Arial Narrow" w:cs="Arial"/>
                <w:b/>
                <w:bCs/>
                <w:color w:val="000000"/>
                <w:sz w:val="18"/>
                <w:szCs w:val="18"/>
              </w:rPr>
            </w:pPr>
            <w:r w:rsidRPr="0064214B">
              <w:rPr>
                <w:rFonts w:ascii="Arial Narrow" w:hAnsi="Arial Narrow" w:cs="Arial"/>
                <w:b/>
                <w:bCs/>
                <w:color w:val="000000"/>
                <w:sz w:val="18"/>
                <w:szCs w:val="18"/>
              </w:rPr>
              <w:t>Total</w:t>
            </w:r>
          </w:p>
        </w:tc>
        <w:tc>
          <w:tcPr>
            <w:tcW w:w="1276" w:type="dxa"/>
            <w:tcBorders>
              <w:top w:val="single" w:sz="4" w:space="0" w:color="AAB8C4"/>
              <w:left w:val="nil"/>
              <w:bottom w:val="single" w:sz="8" w:space="0" w:color="AAB8C4"/>
              <w:right w:val="nil"/>
            </w:tcBorders>
            <w:shd w:val="clear" w:color="auto" w:fill="auto"/>
            <w:vAlign w:val="center"/>
            <w:hideMark/>
          </w:tcPr>
          <w:p w14:paraId="2C5DA1BB"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7 404</w:t>
            </w:r>
          </w:p>
        </w:tc>
        <w:tc>
          <w:tcPr>
            <w:tcW w:w="1418" w:type="dxa"/>
            <w:tcBorders>
              <w:top w:val="single" w:sz="4" w:space="0" w:color="AAB8C4"/>
              <w:left w:val="nil"/>
              <w:bottom w:val="single" w:sz="8" w:space="0" w:color="AAB8C4"/>
              <w:right w:val="nil"/>
            </w:tcBorders>
            <w:shd w:val="clear" w:color="auto" w:fill="auto"/>
            <w:vAlign w:val="center"/>
            <w:hideMark/>
          </w:tcPr>
          <w:p w14:paraId="1F125EDF"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7 635</w:t>
            </w:r>
          </w:p>
        </w:tc>
        <w:tc>
          <w:tcPr>
            <w:tcW w:w="1134" w:type="dxa"/>
            <w:tcBorders>
              <w:top w:val="single" w:sz="4" w:space="0" w:color="AAB8C4"/>
              <w:left w:val="nil"/>
              <w:bottom w:val="single" w:sz="8" w:space="0" w:color="AAB8C4"/>
              <w:right w:val="nil"/>
            </w:tcBorders>
            <w:shd w:val="clear" w:color="auto" w:fill="auto"/>
            <w:vAlign w:val="center"/>
            <w:hideMark/>
          </w:tcPr>
          <w:p w14:paraId="1ECE65FC"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267</w:t>
            </w:r>
          </w:p>
        </w:tc>
        <w:tc>
          <w:tcPr>
            <w:tcW w:w="1114" w:type="dxa"/>
            <w:tcBorders>
              <w:top w:val="single" w:sz="4" w:space="0" w:color="AAB8C4"/>
              <w:left w:val="nil"/>
              <w:bottom w:val="single" w:sz="8" w:space="0" w:color="AAB8C4"/>
              <w:right w:val="nil"/>
            </w:tcBorders>
            <w:shd w:val="clear" w:color="auto" w:fill="auto"/>
            <w:vAlign w:val="center"/>
            <w:hideMark/>
          </w:tcPr>
          <w:p w14:paraId="6F2B2745"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3,5%</w:t>
            </w:r>
          </w:p>
        </w:tc>
        <w:tc>
          <w:tcPr>
            <w:tcW w:w="1243" w:type="dxa"/>
            <w:tcBorders>
              <w:top w:val="single" w:sz="4" w:space="0" w:color="AAB8C4"/>
              <w:left w:val="nil"/>
              <w:bottom w:val="single" w:sz="8" w:space="0" w:color="AAB8C4"/>
              <w:right w:val="nil"/>
            </w:tcBorders>
            <w:shd w:val="clear" w:color="auto" w:fill="auto"/>
            <w:vAlign w:val="center"/>
            <w:hideMark/>
          </w:tcPr>
          <w:p w14:paraId="658E8125" w14:textId="77777777" w:rsidR="007D29F8" w:rsidRPr="0064214B" w:rsidRDefault="007D29F8" w:rsidP="00DB6666">
            <w:pPr>
              <w:jc w:val="right"/>
              <w:rPr>
                <w:rFonts w:ascii="Arial Narrow" w:hAnsi="Arial Narrow" w:cs="Arial"/>
                <w:b/>
                <w:bCs/>
                <w:color w:val="000000"/>
                <w:sz w:val="18"/>
                <w:szCs w:val="18"/>
              </w:rPr>
            </w:pPr>
            <w:r w:rsidRPr="0064214B">
              <w:rPr>
                <w:rFonts w:ascii="Arial Narrow" w:hAnsi="Arial Narrow" w:cs="Arial"/>
                <w:b/>
                <w:bCs/>
                <w:color w:val="000000"/>
                <w:sz w:val="18"/>
                <w:szCs w:val="18"/>
              </w:rPr>
              <w:t>7 901</w:t>
            </w:r>
          </w:p>
        </w:tc>
      </w:tr>
    </w:tbl>
    <w:p w14:paraId="5D4091B0" w14:textId="77777777" w:rsidR="007D29F8" w:rsidRPr="00E12BB9" w:rsidRDefault="007D29F8" w:rsidP="007D29F8">
      <w:pPr>
        <w:keepNext/>
        <w:spacing w:before="120"/>
        <w:rPr>
          <w:rFonts w:cs="Arial"/>
          <w:i/>
          <w:iCs/>
          <w:sz w:val="16"/>
          <w:szCs w:val="16"/>
        </w:rPr>
      </w:pPr>
      <w:r w:rsidRPr="00E12BB9">
        <w:rPr>
          <w:rFonts w:cs="Arial"/>
          <w:i/>
          <w:iCs/>
          <w:sz w:val="16"/>
          <w:szCs w:val="16"/>
          <w:vertAlign w:val="superscript"/>
        </w:rPr>
        <w:t xml:space="preserve">1 </w:t>
      </w:r>
      <w:r w:rsidRPr="00E12BB9">
        <w:rPr>
          <w:rFonts w:cs="Arial"/>
          <w:i/>
          <w:iCs/>
          <w:sz w:val="16"/>
          <w:szCs w:val="16"/>
        </w:rPr>
        <w:t>Au cours de l’exercice biennal 2020-2021, les recettes accessoires (autres) concernent principalement l</w:t>
      </w:r>
      <w:r>
        <w:rPr>
          <w:rFonts w:cs="Arial"/>
          <w:i/>
          <w:iCs/>
          <w:sz w:val="16"/>
          <w:szCs w:val="16"/>
        </w:rPr>
        <w:t>es gains/(pertes) de change non </w:t>
      </w:r>
      <w:r w:rsidRPr="00E12BB9">
        <w:rPr>
          <w:rFonts w:cs="Arial"/>
          <w:i/>
          <w:iCs/>
          <w:sz w:val="16"/>
          <w:szCs w:val="16"/>
        </w:rPr>
        <w:t>réalisés résultant du processus de réévaluation des comptes de trésorerie et des autres actifs et passi</w:t>
      </w:r>
      <w:r>
        <w:rPr>
          <w:rFonts w:cs="Arial"/>
          <w:i/>
          <w:iCs/>
          <w:sz w:val="16"/>
          <w:szCs w:val="16"/>
        </w:rPr>
        <w:t>fs (devises autres que le franc </w:t>
      </w:r>
      <w:r w:rsidRPr="00E12BB9">
        <w:rPr>
          <w:rFonts w:cs="Arial"/>
          <w:i/>
          <w:iCs/>
          <w:sz w:val="16"/>
          <w:szCs w:val="16"/>
        </w:rPr>
        <w:t>suisse).</w:t>
      </w:r>
    </w:p>
    <w:p w14:paraId="1121FBE9" w14:textId="77777777" w:rsidR="007D29F8" w:rsidRPr="00E12BB9" w:rsidRDefault="007D29F8" w:rsidP="007D29F8"/>
    <w:p w14:paraId="5FC9CD7E" w14:textId="77777777" w:rsidR="007D29F8" w:rsidRPr="00E12BB9" w:rsidRDefault="007D29F8" w:rsidP="007D29F8">
      <w:pPr>
        <w:jc w:val="left"/>
        <w:rPr>
          <w:sz w:val="18"/>
          <w:szCs w:val="16"/>
        </w:rPr>
      </w:pPr>
    </w:p>
    <w:p w14:paraId="5BDD4F49" w14:textId="77777777" w:rsidR="007D29F8" w:rsidRPr="00E12BB9" w:rsidRDefault="007D29F8" w:rsidP="007D29F8">
      <w:r w:rsidRPr="00E12BB9">
        <w:t>Les recettes inscrites au budget pour les taxes perçues au titre des outils informatiques et services de l’UPOV sont les suivantes :</w:t>
      </w:r>
    </w:p>
    <w:p w14:paraId="54378EAB" w14:textId="77777777" w:rsidR="007D29F8" w:rsidRPr="00E12BB9" w:rsidRDefault="007D29F8" w:rsidP="007D29F8"/>
    <w:tbl>
      <w:tblPr>
        <w:tblW w:w="9733" w:type="dxa"/>
        <w:jc w:val="center"/>
        <w:tblLayout w:type="fixed"/>
        <w:tblLook w:val="04A0" w:firstRow="1" w:lastRow="0" w:firstColumn="1" w:lastColumn="0" w:noHBand="0" w:noVBand="1"/>
      </w:tblPr>
      <w:tblGrid>
        <w:gridCol w:w="2570"/>
        <w:gridCol w:w="1399"/>
        <w:gridCol w:w="993"/>
        <w:gridCol w:w="992"/>
        <w:gridCol w:w="992"/>
        <w:gridCol w:w="834"/>
        <w:gridCol w:w="976"/>
        <w:gridCol w:w="977"/>
      </w:tblGrid>
      <w:tr w:rsidR="007D29F8" w:rsidRPr="00B45A63" w14:paraId="7998F2B6" w14:textId="77777777" w:rsidTr="00DB6666">
        <w:trPr>
          <w:cantSplit/>
          <w:trHeight w:val="240"/>
          <w:jc w:val="center"/>
        </w:trPr>
        <w:tc>
          <w:tcPr>
            <w:tcW w:w="2570" w:type="dxa"/>
            <w:vMerge w:val="restart"/>
            <w:tcBorders>
              <w:top w:val="nil"/>
              <w:left w:val="nil"/>
              <w:bottom w:val="nil"/>
              <w:right w:val="nil"/>
            </w:tcBorders>
            <w:shd w:val="clear" w:color="000000" w:fill="C7CFD8"/>
            <w:vAlign w:val="bottom"/>
          </w:tcPr>
          <w:p w14:paraId="72690637" w14:textId="77777777" w:rsidR="007D29F8" w:rsidRPr="00B45A63" w:rsidRDefault="007D29F8" w:rsidP="00DB6666">
            <w:pPr>
              <w:rPr>
                <w:rFonts w:ascii="Arial Narrow" w:hAnsi="Arial Narrow"/>
                <w:sz w:val="18"/>
                <w:szCs w:val="18"/>
              </w:rPr>
            </w:pPr>
          </w:p>
        </w:tc>
        <w:tc>
          <w:tcPr>
            <w:tcW w:w="1399" w:type="dxa"/>
            <w:vMerge w:val="restart"/>
            <w:tcBorders>
              <w:top w:val="nil"/>
              <w:left w:val="nil"/>
              <w:bottom w:val="nil"/>
              <w:right w:val="nil"/>
            </w:tcBorders>
            <w:shd w:val="clear" w:color="000000" w:fill="C7CFD8"/>
            <w:vAlign w:val="center"/>
            <w:hideMark/>
          </w:tcPr>
          <w:p w14:paraId="422072DA" w14:textId="77777777" w:rsidR="007D29F8" w:rsidRPr="00B45A63" w:rsidRDefault="007D29F8" w:rsidP="00DB6666">
            <w:pPr>
              <w:jc w:val="center"/>
              <w:rPr>
                <w:rFonts w:ascii="Arial Narrow" w:hAnsi="Arial Narrow" w:cs="Arial"/>
                <w:b/>
                <w:bCs/>
                <w:sz w:val="18"/>
                <w:szCs w:val="18"/>
              </w:rPr>
            </w:pPr>
            <w:r w:rsidRPr="00B45A63">
              <w:rPr>
                <w:rFonts w:ascii="Arial Narrow" w:hAnsi="Arial Narrow" w:cs="Arial"/>
                <w:b/>
                <w:bCs/>
                <w:sz w:val="18"/>
                <w:szCs w:val="18"/>
              </w:rPr>
              <w:t>Taxe par demande déposée / Cotisation</w:t>
            </w:r>
          </w:p>
        </w:tc>
        <w:tc>
          <w:tcPr>
            <w:tcW w:w="2977" w:type="dxa"/>
            <w:gridSpan w:val="3"/>
            <w:tcBorders>
              <w:top w:val="nil"/>
              <w:left w:val="nil"/>
              <w:bottom w:val="single" w:sz="4" w:space="0" w:color="BFBFBF"/>
              <w:right w:val="nil"/>
            </w:tcBorders>
            <w:shd w:val="clear" w:color="000000" w:fill="C7CFD8"/>
            <w:vAlign w:val="center"/>
            <w:hideMark/>
          </w:tcPr>
          <w:p w14:paraId="71E2ED3C" w14:textId="77777777" w:rsidR="007D29F8" w:rsidRPr="00B45A63" w:rsidRDefault="007D29F8" w:rsidP="00DB6666">
            <w:pPr>
              <w:jc w:val="center"/>
              <w:rPr>
                <w:rFonts w:ascii="Arial Narrow" w:hAnsi="Arial Narrow" w:cs="Arial"/>
                <w:b/>
                <w:bCs/>
                <w:sz w:val="18"/>
                <w:szCs w:val="18"/>
              </w:rPr>
            </w:pPr>
            <w:r w:rsidRPr="00B45A63">
              <w:rPr>
                <w:rFonts w:ascii="Arial Narrow" w:hAnsi="Arial Narrow" w:cs="Arial"/>
                <w:b/>
                <w:bCs/>
                <w:sz w:val="18"/>
                <w:szCs w:val="18"/>
              </w:rPr>
              <w:t>Projections concernant les dépôts de demande / cotisations</w:t>
            </w:r>
          </w:p>
        </w:tc>
        <w:tc>
          <w:tcPr>
            <w:tcW w:w="2787" w:type="dxa"/>
            <w:gridSpan w:val="3"/>
            <w:tcBorders>
              <w:top w:val="nil"/>
              <w:left w:val="nil"/>
              <w:bottom w:val="single" w:sz="4" w:space="0" w:color="BFBFBF"/>
              <w:right w:val="nil"/>
            </w:tcBorders>
            <w:shd w:val="clear" w:color="000000" w:fill="C7CFD8"/>
            <w:vAlign w:val="center"/>
            <w:hideMark/>
          </w:tcPr>
          <w:p w14:paraId="29B4010C" w14:textId="77777777" w:rsidR="007D29F8" w:rsidRPr="00B45A63" w:rsidRDefault="007D29F8" w:rsidP="00DB6666">
            <w:pPr>
              <w:jc w:val="center"/>
              <w:rPr>
                <w:rFonts w:ascii="Arial Narrow" w:hAnsi="Arial Narrow" w:cs="Arial"/>
                <w:b/>
                <w:bCs/>
                <w:sz w:val="18"/>
                <w:szCs w:val="18"/>
              </w:rPr>
            </w:pPr>
            <w:r w:rsidRPr="00B45A63">
              <w:rPr>
                <w:rFonts w:ascii="Arial Narrow" w:hAnsi="Arial Narrow" w:cs="Arial"/>
                <w:b/>
                <w:bCs/>
                <w:sz w:val="18"/>
                <w:szCs w:val="18"/>
              </w:rPr>
              <w:t>Recettes provenant des demandes déposées / cotisations</w:t>
            </w:r>
          </w:p>
        </w:tc>
      </w:tr>
      <w:tr w:rsidR="007D29F8" w:rsidRPr="00B45A63" w14:paraId="19C11C9A" w14:textId="77777777" w:rsidTr="00DB6666">
        <w:trPr>
          <w:cantSplit/>
          <w:trHeight w:val="358"/>
          <w:jc w:val="center"/>
        </w:trPr>
        <w:tc>
          <w:tcPr>
            <w:tcW w:w="2570" w:type="dxa"/>
            <w:vMerge/>
            <w:tcBorders>
              <w:top w:val="nil"/>
              <w:left w:val="nil"/>
              <w:bottom w:val="nil"/>
              <w:right w:val="nil"/>
            </w:tcBorders>
            <w:vAlign w:val="center"/>
            <w:hideMark/>
          </w:tcPr>
          <w:p w14:paraId="7BA429A6" w14:textId="77777777" w:rsidR="007D29F8" w:rsidRPr="00B45A63" w:rsidRDefault="007D29F8" w:rsidP="00DB6666">
            <w:pPr>
              <w:jc w:val="left"/>
              <w:rPr>
                <w:rFonts w:ascii="Arial Narrow" w:hAnsi="Arial Narrow" w:cs="Arial"/>
                <w:b/>
                <w:bCs/>
                <w:color w:val="00B050"/>
                <w:sz w:val="18"/>
                <w:szCs w:val="18"/>
              </w:rPr>
            </w:pPr>
          </w:p>
        </w:tc>
        <w:tc>
          <w:tcPr>
            <w:tcW w:w="1399" w:type="dxa"/>
            <w:vMerge/>
            <w:tcBorders>
              <w:top w:val="nil"/>
              <w:left w:val="nil"/>
              <w:bottom w:val="nil"/>
              <w:right w:val="nil"/>
            </w:tcBorders>
            <w:vAlign w:val="center"/>
            <w:hideMark/>
          </w:tcPr>
          <w:p w14:paraId="63DEB71E" w14:textId="77777777" w:rsidR="007D29F8" w:rsidRPr="00B45A63" w:rsidRDefault="007D29F8" w:rsidP="00DB6666">
            <w:pPr>
              <w:jc w:val="left"/>
              <w:rPr>
                <w:rFonts w:ascii="Arial Narrow" w:hAnsi="Arial Narrow" w:cs="Arial"/>
                <w:b/>
                <w:bCs/>
                <w:sz w:val="18"/>
                <w:szCs w:val="18"/>
              </w:rPr>
            </w:pPr>
          </w:p>
        </w:tc>
        <w:tc>
          <w:tcPr>
            <w:tcW w:w="993" w:type="dxa"/>
            <w:tcBorders>
              <w:top w:val="nil"/>
              <w:left w:val="nil"/>
              <w:bottom w:val="nil"/>
              <w:right w:val="nil"/>
            </w:tcBorders>
            <w:shd w:val="clear" w:color="000000" w:fill="C7CFD8"/>
            <w:vAlign w:val="center"/>
            <w:hideMark/>
          </w:tcPr>
          <w:p w14:paraId="7223F6CD" w14:textId="77777777" w:rsidR="007D29F8" w:rsidRPr="00B45A63" w:rsidRDefault="007D29F8" w:rsidP="00DB6666">
            <w:pPr>
              <w:jc w:val="center"/>
              <w:rPr>
                <w:rFonts w:ascii="Arial Narrow" w:hAnsi="Arial Narrow" w:cs="Arial"/>
                <w:b/>
                <w:bCs/>
                <w:sz w:val="18"/>
                <w:szCs w:val="18"/>
              </w:rPr>
            </w:pPr>
            <w:r w:rsidRPr="00B45A63">
              <w:rPr>
                <w:rFonts w:ascii="Arial Narrow" w:hAnsi="Arial Narrow" w:cs="Arial"/>
                <w:b/>
                <w:bCs/>
                <w:sz w:val="18"/>
                <w:szCs w:val="18"/>
              </w:rPr>
              <w:t>2024</w:t>
            </w:r>
          </w:p>
        </w:tc>
        <w:tc>
          <w:tcPr>
            <w:tcW w:w="992" w:type="dxa"/>
            <w:tcBorders>
              <w:top w:val="nil"/>
              <w:left w:val="nil"/>
              <w:bottom w:val="nil"/>
              <w:right w:val="nil"/>
            </w:tcBorders>
            <w:shd w:val="clear" w:color="000000" w:fill="C7CFD8"/>
            <w:vAlign w:val="center"/>
            <w:hideMark/>
          </w:tcPr>
          <w:p w14:paraId="68C00ECE" w14:textId="77777777" w:rsidR="007D29F8" w:rsidRPr="00B45A63" w:rsidRDefault="007D29F8" w:rsidP="00DB6666">
            <w:pPr>
              <w:jc w:val="center"/>
              <w:rPr>
                <w:rFonts w:ascii="Arial Narrow" w:hAnsi="Arial Narrow" w:cs="Arial"/>
                <w:b/>
                <w:bCs/>
                <w:sz w:val="18"/>
                <w:szCs w:val="18"/>
              </w:rPr>
            </w:pPr>
            <w:r w:rsidRPr="00B45A63">
              <w:rPr>
                <w:rFonts w:ascii="Arial Narrow" w:hAnsi="Arial Narrow" w:cs="Arial"/>
                <w:b/>
                <w:bCs/>
                <w:sz w:val="18"/>
                <w:szCs w:val="18"/>
              </w:rPr>
              <w:t>2025</w:t>
            </w:r>
          </w:p>
        </w:tc>
        <w:tc>
          <w:tcPr>
            <w:tcW w:w="992" w:type="dxa"/>
            <w:tcBorders>
              <w:top w:val="nil"/>
              <w:left w:val="nil"/>
              <w:bottom w:val="nil"/>
              <w:right w:val="nil"/>
            </w:tcBorders>
            <w:shd w:val="clear" w:color="000000" w:fill="C7CFD8"/>
            <w:vAlign w:val="center"/>
            <w:hideMark/>
          </w:tcPr>
          <w:p w14:paraId="2B04EA40" w14:textId="77777777" w:rsidR="007D29F8" w:rsidRPr="00B45A63" w:rsidRDefault="007D29F8" w:rsidP="00DB6666">
            <w:pPr>
              <w:jc w:val="center"/>
              <w:rPr>
                <w:rFonts w:ascii="Arial Narrow" w:hAnsi="Arial Narrow" w:cs="Arial"/>
                <w:b/>
                <w:bCs/>
                <w:sz w:val="18"/>
                <w:szCs w:val="18"/>
              </w:rPr>
            </w:pPr>
            <w:r w:rsidRPr="00B45A63">
              <w:rPr>
                <w:rFonts w:ascii="Arial Narrow" w:hAnsi="Arial Narrow" w:cs="Arial"/>
                <w:b/>
                <w:bCs/>
                <w:sz w:val="18"/>
                <w:szCs w:val="18"/>
              </w:rPr>
              <w:t>Total</w:t>
            </w:r>
          </w:p>
        </w:tc>
        <w:tc>
          <w:tcPr>
            <w:tcW w:w="834" w:type="dxa"/>
            <w:tcBorders>
              <w:top w:val="nil"/>
              <w:left w:val="single" w:sz="4" w:space="0" w:color="BFBFBF"/>
              <w:bottom w:val="nil"/>
              <w:right w:val="nil"/>
            </w:tcBorders>
            <w:shd w:val="clear" w:color="000000" w:fill="C7CFD8"/>
            <w:vAlign w:val="center"/>
            <w:hideMark/>
          </w:tcPr>
          <w:p w14:paraId="769B64ED" w14:textId="77777777" w:rsidR="007D29F8" w:rsidRPr="00B45A63" w:rsidRDefault="007D29F8" w:rsidP="00DB6666">
            <w:pPr>
              <w:jc w:val="center"/>
              <w:rPr>
                <w:rFonts w:ascii="Arial Narrow" w:hAnsi="Arial Narrow" w:cs="Arial"/>
                <w:b/>
                <w:bCs/>
                <w:sz w:val="18"/>
                <w:szCs w:val="18"/>
              </w:rPr>
            </w:pPr>
            <w:r w:rsidRPr="00B45A63">
              <w:rPr>
                <w:rFonts w:ascii="Arial Narrow" w:hAnsi="Arial Narrow" w:cs="Arial"/>
                <w:b/>
                <w:bCs/>
                <w:sz w:val="18"/>
                <w:szCs w:val="18"/>
              </w:rPr>
              <w:t>2024</w:t>
            </w:r>
          </w:p>
        </w:tc>
        <w:tc>
          <w:tcPr>
            <w:tcW w:w="976" w:type="dxa"/>
            <w:tcBorders>
              <w:top w:val="nil"/>
              <w:left w:val="nil"/>
              <w:bottom w:val="nil"/>
              <w:right w:val="nil"/>
            </w:tcBorders>
            <w:shd w:val="clear" w:color="000000" w:fill="C7CFD8"/>
            <w:vAlign w:val="center"/>
            <w:hideMark/>
          </w:tcPr>
          <w:p w14:paraId="427BC378" w14:textId="77777777" w:rsidR="007D29F8" w:rsidRPr="00B45A63" w:rsidRDefault="007D29F8" w:rsidP="00DB6666">
            <w:pPr>
              <w:jc w:val="center"/>
              <w:rPr>
                <w:rFonts w:ascii="Arial Narrow" w:hAnsi="Arial Narrow" w:cs="Arial"/>
                <w:b/>
                <w:bCs/>
                <w:sz w:val="18"/>
                <w:szCs w:val="18"/>
              </w:rPr>
            </w:pPr>
            <w:r w:rsidRPr="00B45A63">
              <w:rPr>
                <w:rFonts w:ascii="Arial Narrow" w:hAnsi="Arial Narrow" w:cs="Arial"/>
                <w:b/>
                <w:bCs/>
                <w:sz w:val="18"/>
                <w:szCs w:val="18"/>
              </w:rPr>
              <w:t>2025</w:t>
            </w:r>
          </w:p>
        </w:tc>
        <w:tc>
          <w:tcPr>
            <w:tcW w:w="977" w:type="dxa"/>
            <w:tcBorders>
              <w:top w:val="nil"/>
              <w:left w:val="nil"/>
              <w:bottom w:val="nil"/>
              <w:right w:val="nil"/>
            </w:tcBorders>
            <w:shd w:val="clear" w:color="000000" w:fill="C7CFD8"/>
            <w:vAlign w:val="center"/>
            <w:hideMark/>
          </w:tcPr>
          <w:p w14:paraId="2106B7AD" w14:textId="77777777" w:rsidR="007D29F8" w:rsidRPr="00B45A63" w:rsidRDefault="007D29F8" w:rsidP="00DB6666">
            <w:pPr>
              <w:jc w:val="center"/>
              <w:rPr>
                <w:rFonts w:ascii="Arial Narrow" w:hAnsi="Arial Narrow" w:cs="Arial"/>
                <w:b/>
                <w:bCs/>
                <w:sz w:val="18"/>
                <w:szCs w:val="18"/>
              </w:rPr>
            </w:pPr>
            <w:r w:rsidRPr="00B45A63">
              <w:rPr>
                <w:rFonts w:ascii="Arial Narrow" w:hAnsi="Arial Narrow" w:cs="Arial"/>
                <w:b/>
                <w:bCs/>
                <w:sz w:val="18"/>
                <w:szCs w:val="18"/>
              </w:rPr>
              <w:t>Total</w:t>
            </w:r>
          </w:p>
        </w:tc>
      </w:tr>
      <w:tr w:rsidR="007D29F8" w:rsidRPr="00B45A63" w14:paraId="27B83516" w14:textId="77777777" w:rsidTr="00DB6666">
        <w:trPr>
          <w:cantSplit/>
          <w:trHeight w:val="362"/>
          <w:jc w:val="center"/>
        </w:trPr>
        <w:tc>
          <w:tcPr>
            <w:tcW w:w="2570" w:type="dxa"/>
            <w:tcBorders>
              <w:top w:val="nil"/>
              <w:left w:val="nil"/>
              <w:bottom w:val="nil"/>
              <w:right w:val="nil"/>
            </w:tcBorders>
            <w:shd w:val="clear" w:color="auto" w:fill="auto"/>
            <w:vAlign w:val="center"/>
            <w:hideMark/>
          </w:tcPr>
          <w:p w14:paraId="2072EEA1" w14:textId="77777777" w:rsidR="007D29F8" w:rsidRPr="00B45A63" w:rsidRDefault="007D29F8" w:rsidP="00DB6666">
            <w:pPr>
              <w:jc w:val="left"/>
              <w:rPr>
                <w:rFonts w:ascii="Arial Narrow" w:hAnsi="Arial Narrow" w:cs="Arial"/>
                <w:sz w:val="18"/>
                <w:szCs w:val="18"/>
              </w:rPr>
            </w:pPr>
            <w:r w:rsidRPr="00B45A63">
              <w:rPr>
                <w:rFonts w:ascii="Arial Narrow" w:hAnsi="Arial Narrow" w:cs="Arial"/>
                <w:sz w:val="18"/>
                <w:szCs w:val="18"/>
              </w:rPr>
              <w:t>UPOV PRISMA</w:t>
            </w:r>
          </w:p>
        </w:tc>
        <w:tc>
          <w:tcPr>
            <w:tcW w:w="1399" w:type="dxa"/>
            <w:tcBorders>
              <w:top w:val="nil"/>
              <w:left w:val="nil"/>
              <w:bottom w:val="nil"/>
              <w:right w:val="nil"/>
            </w:tcBorders>
            <w:shd w:val="clear" w:color="auto" w:fill="auto"/>
            <w:noWrap/>
            <w:vAlign w:val="center"/>
            <w:hideMark/>
          </w:tcPr>
          <w:p w14:paraId="7439502E" w14:textId="77777777" w:rsidR="007D29F8" w:rsidRPr="00B45A63" w:rsidRDefault="007D29F8" w:rsidP="00DB6666">
            <w:pPr>
              <w:jc w:val="right"/>
              <w:rPr>
                <w:rFonts w:ascii="Arial Narrow" w:hAnsi="Arial Narrow" w:cs="Arial"/>
                <w:sz w:val="18"/>
                <w:szCs w:val="18"/>
              </w:rPr>
            </w:pPr>
            <w:r w:rsidRPr="00B45A63">
              <w:rPr>
                <w:rFonts w:ascii="Arial Narrow" w:hAnsi="Arial Narrow" w:cs="Arial"/>
                <w:sz w:val="18"/>
                <w:szCs w:val="18"/>
              </w:rPr>
              <w:t>90</w:t>
            </w:r>
          </w:p>
        </w:tc>
        <w:tc>
          <w:tcPr>
            <w:tcW w:w="993" w:type="dxa"/>
            <w:tcBorders>
              <w:top w:val="nil"/>
              <w:left w:val="nil"/>
              <w:bottom w:val="nil"/>
              <w:right w:val="nil"/>
            </w:tcBorders>
            <w:shd w:val="clear" w:color="auto" w:fill="auto"/>
            <w:noWrap/>
            <w:vAlign w:val="center"/>
            <w:hideMark/>
          </w:tcPr>
          <w:p w14:paraId="55C5EFAB" w14:textId="77777777" w:rsidR="007D29F8" w:rsidRPr="00B45A63" w:rsidRDefault="007D29F8" w:rsidP="00DB6666">
            <w:pPr>
              <w:jc w:val="right"/>
              <w:rPr>
                <w:rFonts w:ascii="Arial Narrow" w:hAnsi="Arial Narrow" w:cs="Arial"/>
                <w:sz w:val="18"/>
                <w:szCs w:val="18"/>
                <w:highlight w:val="cyan"/>
              </w:rPr>
            </w:pPr>
            <w:r w:rsidRPr="00B45A63">
              <w:rPr>
                <w:rFonts w:ascii="Arial Narrow" w:hAnsi="Arial Narrow" w:cs="Arial"/>
                <w:sz w:val="18"/>
                <w:szCs w:val="18"/>
              </w:rPr>
              <w:t>2 000</w:t>
            </w:r>
          </w:p>
        </w:tc>
        <w:tc>
          <w:tcPr>
            <w:tcW w:w="992" w:type="dxa"/>
            <w:tcBorders>
              <w:top w:val="nil"/>
              <w:left w:val="nil"/>
              <w:bottom w:val="nil"/>
              <w:right w:val="nil"/>
            </w:tcBorders>
            <w:shd w:val="clear" w:color="auto" w:fill="auto"/>
            <w:noWrap/>
            <w:vAlign w:val="center"/>
            <w:hideMark/>
          </w:tcPr>
          <w:p w14:paraId="25884FCF" w14:textId="77777777" w:rsidR="007D29F8" w:rsidRPr="00B45A63" w:rsidRDefault="007D29F8" w:rsidP="00DB6666">
            <w:pPr>
              <w:jc w:val="right"/>
              <w:rPr>
                <w:rFonts w:ascii="Arial Narrow" w:hAnsi="Arial Narrow" w:cs="Arial"/>
                <w:sz w:val="18"/>
                <w:szCs w:val="18"/>
                <w:highlight w:val="cyan"/>
              </w:rPr>
            </w:pPr>
            <w:r w:rsidRPr="00B45A63">
              <w:rPr>
                <w:rFonts w:ascii="Arial Narrow" w:hAnsi="Arial Narrow" w:cs="Arial"/>
                <w:sz w:val="18"/>
                <w:szCs w:val="18"/>
              </w:rPr>
              <w:t>2 400</w:t>
            </w:r>
          </w:p>
        </w:tc>
        <w:tc>
          <w:tcPr>
            <w:tcW w:w="992" w:type="dxa"/>
            <w:tcBorders>
              <w:top w:val="nil"/>
              <w:left w:val="nil"/>
              <w:bottom w:val="nil"/>
              <w:right w:val="nil"/>
            </w:tcBorders>
            <w:shd w:val="clear" w:color="auto" w:fill="auto"/>
            <w:noWrap/>
            <w:vAlign w:val="center"/>
            <w:hideMark/>
          </w:tcPr>
          <w:p w14:paraId="796A861F" w14:textId="77777777" w:rsidR="007D29F8" w:rsidRPr="00B45A63" w:rsidRDefault="007D29F8" w:rsidP="00DB6666">
            <w:pPr>
              <w:jc w:val="right"/>
              <w:rPr>
                <w:rFonts w:ascii="Arial Narrow" w:hAnsi="Arial Narrow" w:cs="Arial"/>
                <w:sz w:val="18"/>
                <w:szCs w:val="18"/>
                <w:highlight w:val="cyan"/>
              </w:rPr>
            </w:pPr>
            <w:r w:rsidRPr="00B45A63">
              <w:rPr>
                <w:rFonts w:ascii="Arial Narrow" w:hAnsi="Arial Narrow" w:cs="Arial"/>
                <w:sz w:val="18"/>
                <w:szCs w:val="18"/>
              </w:rPr>
              <w:t>4 399</w:t>
            </w:r>
          </w:p>
        </w:tc>
        <w:tc>
          <w:tcPr>
            <w:tcW w:w="834" w:type="dxa"/>
            <w:tcBorders>
              <w:top w:val="nil"/>
              <w:left w:val="single" w:sz="4" w:space="0" w:color="BFBFBF"/>
              <w:bottom w:val="nil"/>
              <w:right w:val="nil"/>
            </w:tcBorders>
            <w:shd w:val="clear" w:color="auto" w:fill="auto"/>
            <w:noWrap/>
            <w:vAlign w:val="center"/>
            <w:hideMark/>
          </w:tcPr>
          <w:p w14:paraId="06A84FDF" w14:textId="77777777" w:rsidR="007D29F8" w:rsidRPr="00B45A63" w:rsidRDefault="007D29F8" w:rsidP="00DB6666">
            <w:pPr>
              <w:jc w:val="right"/>
              <w:rPr>
                <w:rFonts w:ascii="Arial Narrow" w:hAnsi="Arial Narrow" w:cs="Arial"/>
                <w:sz w:val="18"/>
                <w:szCs w:val="18"/>
                <w:highlight w:val="cyan"/>
              </w:rPr>
            </w:pPr>
            <w:r w:rsidRPr="00B45A63">
              <w:rPr>
                <w:rFonts w:ascii="Arial Narrow" w:hAnsi="Arial Narrow" w:cs="Arial"/>
                <w:sz w:val="18"/>
                <w:szCs w:val="18"/>
              </w:rPr>
              <w:t>179 966</w:t>
            </w:r>
          </w:p>
        </w:tc>
        <w:tc>
          <w:tcPr>
            <w:tcW w:w="976" w:type="dxa"/>
            <w:tcBorders>
              <w:top w:val="nil"/>
              <w:left w:val="nil"/>
              <w:bottom w:val="nil"/>
              <w:right w:val="nil"/>
            </w:tcBorders>
            <w:shd w:val="clear" w:color="auto" w:fill="auto"/>
            <w:noWrap/>
            <w:vAlign w:val="center"/>
            <w:hideMark/>
          </w:tcPr>
          <w:p w14:paraId="020CD430" w14:textId="77777777" w:rsidR="007D29F8" w:rsidRPr="00B45A63" w:rsidRDefault="007D29F8" w:rsidP="00DB6666">
            <w:pPr>
              <w:jc w:val="right"/>
              <w:rPr>
                <w:rFonts w:ascii="Arial Narrow" w:hAnsi="Arial Narrow" w:cs="Arial"/>
                <w:sz w:val="18"/>
                <w:szCs w:val="18"/>
                <w:highlight w:val="cyan"/>
              </w:rPr>
            </w:pPr>
            <w:r w:rsidRPr="00B45A63">
              <w:rPr>
                <w:rFonts w:ascii="Arial Narrow" w:hAnsi="Arial Narrow" w:cs="Arial"/>
                <w:sz w:val="18"/>
                <w:szCs w:val="18"/>
              </w:rPr>
              <w:t>215 959</w:t>
            </w:r>
          </w:p>
        </w:tc>
        <w:tc>
          <w:tcPr>
            <w:tcW w:w="977" w:type="dxa"/>
            <w:tcBorders>
              <w:top w:val="nil"/>
              <w:left w:val="nil"/>
              <w:bottom w:val="nil"/>
              <w:right w:val="nil"/>
            </w:tcBorders>
            <w:shd w:val="clear" w:color="auto" w:fill="auto"/>
            <w:noWrap/>
            <w:vAlign w:val="center"/>
            <w:hideMark/>
          </w:tcPr>
          <w:p w14:paraId="4134F56D" w14:textId="77777777" w:rsidR="007D29F8" w:rsidRPr="00B45A63" w:rsidRDefault="007D29F8" w:rsidP="00DB6666">
            <w:pPr>
              <w:jc w:val="right"/>
              <w:rPr>
                <w:rFonts w:ascii="Arial Narrow" w:hAnsi="Arial Narrow" w:cs="Arial"/>
                <w:sz w:val="18"/>
                <w:szCs w:val="18"/>
                <w:highlight w:val="cyan"/>
              </w:rPr>
            </w:pPr>
            <w:r w:rsidRPr="00B45A63">
              <w:rPr>
                <w:rFonts w:ascii="Arial Narrow" w:hAnsi="Arial Narrow" w:cs="Arial"/>
                <w:sz w:val="18"/>
                <w:szCs w:val="18"/>
              </w:rPr>
              <w:t>395 925</w:t>
            </w:r>
          </w:p>
        </w:tc>
      </w:tr>
      <w:tr w:rsidR="007D29F8" w:rsidRPr="00B45A63" w14:paraId="328FE4FA" w14:textId="77777777" w:rsidTr="00DB6666">
        <w:trPr>
          <w:cantSplit/>
          <w:trHeight w:val="362"/>
          <w:jc w:val="center"/>
        </w:trPr>
        <w:tc>
          <w:tcPr>
            <w:tcW w:w="2570" w:type="dxa"/>
            <w:tcBorders>
              <w:top w:val="nil"/>
              <w:left w:val="nil"/>
              <w:bottom w:val="nil"/>
              <w:right w:val="nil"/>
            </w:tcBorders>
            <w:shd w:val="clear" w:color="auto" w:fill="auto"/>
            <w:vAlign w:val="center"/>
            <w:hideMark/>
          </w:tcPr>
          <w:p w14:paraId="60D95958" w14:textId="77777777" w:rsidR="007D29F8" w:rsidRPr="00B45A63" w:rsidRDefault="007D29F8" w:rsidP="00DB6666">
            <w:pPr>
              <w:jc w:val="left"/>
              <w:rPr>
                <w:rFonts w:ascii="Arial Narrow" w:hAnsi="Arial Narrow" w:cs="Arial"/>
                <w:sz w:val="18"/>
                <w:szCs w:val="18"/>
              </w:rPr>
            </w:pPr>
            <w:r w:rsidRPr="00B45A63">
              <w:rPr>
                <w:rFonts w:ascii="Arial Narrow" w:hAnsi="Arial Narrow" w:cs="Arial"/>
                <w:sz w:val="18"/>
                <w:szCs w:val="18"/>
              </w:rPr>
              <w:t>PLUTO</w:t>
            </w:r>
          </w:p>
        </w:tc>
        <w:tc>
          <w:tcPr>
            <w:tcW w:w="1399" w:type="dxa"/>
            <w:tcBorders>
              <w:top w:val="nil"/>
              <w:left w:val="nil"/>
              <w:bottom w:val="nil"/>
              <w:right w:val="nil"/>
            </w:tcBorders>
            <w:shd w:val="clear" w:color="auto" w:fill="auto"/>
            <w:noWrap/>
            <w:vAlign w:val="center"/>
            <w:hideMark/>
          </w:tcPr>
          <w:p w14:paraId="0D456255" w14:textId="77777777" w:rsidR="007D29F8" w:rsidRPr="00B45A63" w:rsidRDefault="007D29F8" w:rsidP="00DB6666">
            <w:pPr>
              <w:jc w:val="right"/>
              <w:rPr>
                <w:rFonts w:ascii="Arial Narrow" w:hAnsi="Arial Narrow" w:cs="Arial"/>
                <w:sz w:val="18"/>
                <w:szCs w:val="18"/>
              </w:rPr>
            </w:pPr>
            <w:r w:rsidRPr="00B45A63">
              <w:rPr>
                <w:rFonts w:ascii="Arial Narrow" w:hAnsi="Arial Narrow" w:cs="Arial"/>
                <w:sz w:val="18"/>
                <w:szCs w:val="18"/>
              </w:rPr>
              <w:t>750</w:t>
            </w:r>
          </w:p>
        </w:tc>
        <w:tc>
          <w:tcPr>
            <w:tcW w:w="993" w:type="dxa"/>
            <w:tcBorders>
              <w:top w:val="nil"/>
              <w:left w:val="nil"/>
              <w:bottom w:val="nil"/>
              <w:right w:val="nil"/>
            </w:tcBorders>
            <w:shd w:val="clear" w:color="auto" w:fill="auto"/>
            <w:noWrap/>
            <w:vAlign w:val="center"/>
            <w:hideMark/>
          </w:tcPr>
          <w:p w14:paraId="39DA16CB" w14:textId="77777777" w:rsidR="007D29F8" w:rsidRPr="00B45A63" w:rsidRDefault="007D29F8" w:rsidP="00DB6666">
            <w:pPr>
              <w:jc w:val="right"/>
              <w:rPr>
                <w:rFonts w:ascii="Arial Narrow" w:hAnsi="Arial Narrow" w:cs="Arial"/>
                <w:sz w:val="18"/>
                <w:szCs w:val="18"/>
                <w:highlight w:val="cyan"/>
              </w:rPr>
            </w:pPr>
            <w:r w:rsidRPr="00B45A63">
              <w:rPr>
                <w:rFonts w:ascii="Arial Narrow" w:hAnsi="Arial Narrow" w:cs="Arial"/>
                <w:sz w:val="18"/>
                <w:szCs w:val="18"/>
              </w:rPr>
              <w:t>70</w:t>
            </w:r>
          </w:p>
        </w:tc>
        <w:tc>
          <w:tcPr>
            <w:tcW w:w="992" w:type="dxa"/>
            <w:tcBorders>
              <w:top w:val="nil"/>
              <w:left w:val="nil"/>
              <w:bottom w:val="nil"/>
              <w:right w:val="nil"/>
            </w:tcBorders>
            <w:shd w:val="clear" w:color="auto" w:fill="auto"/>
            <w:noWrap/>
            <w:vAlign w:val="center"/>
            <w:hideMark/>
          </w:tcPr>
          <w:p w14:paraId="7EA94142" w14:textId="77777777" w:rsidR="007D29F8" w:rsidRPr="00B45A63" w:rsidRDefault="007D29F8" w:rsidP="00DB6666">
            <w:pPr>
              <w:jc w:val="right"/>
              <w:rPr>
                <w:rFonts w:ascii="Arial Narrow" w:hAnsi="Arial Narrow" w:cs="Arial"/>
                <w:sz w:val="18"/>
                <w:szCs w:val="18"/>
                <w:highlight w:val="cyan"/>
              </w:rPr>
            </w:pPr>
            <w:r w:rsidRPr="00B45A63">
              <w:rPr>
                <w:rFonts w:ascii="Arial Narrow" w:hAnsi="Arial Narrow" w:cs="Arial"/>
                <w:sz w:val="18"/>
                <w:szCs w:val="18"/>
              </w:rPr>
              <w:t>80</w:t>
            </w:r>
          </w:p>
        </w:tc>
        <w:tc>
          <w:tcPr>
            <w:tcW w:w="992" w:type="dxa"/>
            <w:tcBorders>
              <w:top w:val="nil"/>
              <w:left w:val="nil"/>
              <w:bottom w:val="nil"/>
              <w:right w:val="nil"/>
            </w:tcBorders>
            <w:shd w:val="clear" w:color="auto" w:fill="auto"/>
            <w:noWrap/>
            <w:vAlign w:val="center"/>
            <w:hideMark/>
          </w:tcPr>
          <w:p w14:paraId="3E39872C" w14:textId="77777777" w:rsidR="007D29F8" w:rsidRPr="00B45A63" w:rsidRDefault="007D29F8" w:rsidP="00DB6666">
            <w:pPr>
              <w:jc w:val="right"/>
              <w:rPr>
                <w:rFonts w:ascii="Arial Narrow" w:hAnsi="Arial Narrow" w:cs="Arial"/>
                <w:sz w:val="18"/>
                <w:szCs w:val="18"/>
                <w:highlight w:val="cyan"/>
              </w:rPr>
            </w:pPr>
            <w:r w:rsidRPr="00B45A63">
              <w:rPr>
                <w:rFonts w:ascii="Arial Narrow" w:hAnsi="Arial Narrow" w:cs="Arial"/>
                <w:sz w:val="18"/>
                <w:szCs w:val="18"/>
              </w:rPr>
              <w:t>150</w:t>
            </w:r>
          </w:p>
        </w:tc>
        <w:tc>
          <w:tcPr>
            <w:tcW w:w="834" w:type="dxa"/>
            <w:tcBorders>
              <w:top w:val="nil"/>
              <w:left w:val="single" w:sz="4" w:space="0" w:color="BFBFBF"/>
              <w:bottom w:val="single" w:sz="4" w:space="0" w:color="BFBFBF"/>
              <w:right w:val="nil"/>
            </w:tcBorders>
            <w:shd w:val="clear" w:color="auto" w:fill="auto"/>
            <w:noWrap/>
            <w:vAlign w:val="center"/>
            <w:hideMark/>
          </w:tcPr>
          <w:p w14:paraId="4003891D" w14:textId="77777777" w:rsidR="007D29F8" w:rsidRPr="00B45A63" w:rsidRDefault="007D29F8" w:rsidP="00DB6666">
            <w:pPr>
              <w:jc w:val="right"/>
              <w:rPr>
                <w:rFonts w:ascii="Arial Narrow" w:hAnsi="Arial Narrow" w:cs="Arial"/>
                <w:sz w:val="18"/>
                <w:szCs w:val="18"/>
                <w:highlight w:val="cyan"/>
              </w:rPr>
            </w:pPr>
            <w:r w:rsidRPr="00B45A63">
              <w:rPr>
                <w:rFonts w:ascii="Arial Narrow" w:hAnsi="Arial Narrow" w:cs="Arial"/>
                <w:sz w:val="18"/>
                <w:szCs w:val="18"/>
              </w:rPr>
              <w:t>52 500</w:t>
            </w:r>
          </w:p>
        </w:tc>
        <w:tc>
          <w:tcPr>
            <w:tcW w:w="976" w:type="dxa"/>
            <w:tcBorders>
              <w:top w:val="nil"/>
              <w:left w:val="nil"/>
              <w:bottom w:val="nil"/>
              <w:right w:val="nil"/>
            </w:tcBorders>
            <w:shd w:val="clear" w:color="auto" w:fill="auto"/>
            <w:noWrap/>
            <w:vAlign w:val="center"/>
            <w:hideMark/>
          </w:tcPr>
          <w:p w14:paraId="62AFE71D" w14:textId="77777777" w:rsidR="007D29F8" w:rsidRPr="00B45A63" w:rsidRDefault="007D29F8" w:rsidP="00DB6666">
            <w:pPr>
              <w:jc w:val="right"/>
              <w:rPr>
                <w:rFonts w:ascii="Arial Narrow" w:hAnsi="Arial Narrow" w:cs="Arial"/>
                <w:sz w:val="18"/>
                <w:szCs w:val="18"/>
                <w:highlight w:val="cyan"/>
              </w:rPr>
            </w:pPr>
            <w:r w:rsidRPr="00B45A63">
              <w:rPr>
                <w:rFonts w:ascii="Arial Narrow" w:hAnsi="Arial Narrow" w:cs="Arial"/>
                <w:sz w:val="18"/>
                <w:szCs w:val="18"/>
              </w:rPr>
              <w:t>60 000</w:t>
            </w:r>
          </w:p>
        </w:tc>
        <w:tc>
          <w:tcPr>
            <w:tcW w:w="977" w:type="dxa"/>
            <w:tcBorders>
              <w:top w:val="nil"/>
              <w:left w:val="nil"/>
              <w:bottom w:val="nil"/>
              <w:right w:val="nil"/>
            </w:tcBorders>
            <w:shd w:val="clear" w:color="auto" w:fill="auto"/>
            <w:noWrap/>
            <w:vAlign w:val="center"/>
            <w:hideMark/>
          </w:tcPr>
          <w:p w14:paraId="11422B9D" w14:textId="77777777" w:rsidR="007D29F8" w:rsidRPr="00B45A63" w:rsidRDefault="007D29F8" w:rsidP="00DB6666">
            <w:pPr>
              <w:jc w:val="right"/>
              <w:rPr>
                <w:rFonts w:ascii="Arial Narrow" w:hAnsi="Arial Narrow" w:cs="Arial"/>
                <w:sz w:val="18"/>
                <w:szCs w:val="18"/>
                <w:highlight w:val="cyan"/>
              </w:rPr>
            </w:pPr>
            <w:r w:rsidRPr="00B45A63">
              <w:rPr>
                <w:rFonts w:ascii="Arial Narrow" w:hAnsi="Arial Narrow" w:cs="Arial"/>
                <w:sz w:val="18"/>
                <w:szCs w:val="18"/>
              </w:rPr>
              <w:t>112 500</w:t>
            </w:r>
          </w:p>
        </w:tc>
      </w:tr>
      <w:tr w:rsidR="007D29F8" w:rsidRPr="00B45A63" w14:paraId="2425C94A" w14:textId="77777777" w:rsidTr="00DB6666">
        <w:trPr>
          <w:cantSplit/>
          <w:trHeight w:val="384"/>
          <w:jc w:val="center"/>
        </w:trPr>
        <w:tc>
          <w:tcPr>
            <w:tcW w:w="2570" w:type="dxa"/>
            <w:tcBorders>
              <w:top w:val="single" w:sz="4" w:space="0" w:color="BFBFBF"/>
              <w:left w:val="nil"/>
              <w:bottom w:val="single" w:sz="8" w:space="0" w:color="BFBFBF"/>
              <w:right w:val="nil"/>
            </w:tcBorders>
            <w:shd w:val="clear" w:color="auto" w:fill="auto"/>
            <w:vAlign w:val="center"/>
            <w:hideMark/>
          </w:tcPr>
          <w:p w14:paraId="55501479" w14:textId="77777777" w:rsidR="007D29F8" w:rsidRPr="00B45A63" w:rsidRDefault="00B45A63" w:rsidP="00B45A63">
            <w:pPr>
              <w:jc w:val="left"/>
              <w:rPr>
                <w:rFonts w:ascii="Arial Narrow" w:hAnsi="Arial Narrow" w:cs="Arial"/>
                <w:b/>
                <w:bCs/>
                <w:sz w:val="18"/>
                <w:szCs w:val="18"/>
              </w:rPr>
            </w:pPr>
            <w:r>
              <w:rPr>
                <w:rFonts w:ascii="Arial Narrow" w:hAnsi="Arial Narrow" w:cs="Arial"/>
                <w:b/>
                <w:bCs/>
                <w:sz w:val="18"/>
                <w:szCs w:val="18"/>
              </w:rPr>
              <w:t>Total</w:t>
            </w:r>
          </w:p>
        </w:tc>
        <w:tc>
          <w:tcPr>
            <w:tcW w:w="1399" w:type="dxa"/>
            <w:tcBorders>
              <w:top w:val="single" w:sz="4" w:space="0" w:color="BFBFBF"/>
              <w:left w:val="nil"/>
              <w:bottom w:val="single" w:sz="8" w:space="0" w:color="BFBFBF"/>
              <w:right w:val="nil"/>
            </w:tcBorders>
            <w:shd w:val="clear" w:color="auto" w:fill="auto"/>
            <w:vAlign w:val="center"/>
            <w:hideMark/>
          </w:tcPr>
          <w:p w14:paraId="7C2E54FF" w14:textId="77777777" w:rsidR="007D29F8" w:rsidRPr="00B45A63" w:rsidRDefault="007D29F8" w:rsidP="00DB6666">
            <w:pPr>
              <w:jc w:val="right"/>
              <w:rPr>
                <w:rFonts w:ascii="Arial Narrow" w:hAnsi="Arial Narrow" w:cs="Arial"/>
                <w:b/>
                <w:bCs/>
                <w:sz w:val="18"/>
                <w:szCs w:val="18"/>
              </w:rPr>
            </w:pPr>
          </w:p>
        </w:tc>
        <w:tc>
          <w:tcPr>
            <w:tcW w:w="993" w:type="dxa"/>
            <w:tcBorders>
              <w:top w:val="single" w:sz="4" w:space="0" w:color="BFBFBF"/>
              <w:left w:val="nil"/>
              <w:bottom w:val="single" w:sz="8" w:space="0" w:color="BFBFBF"/>
              <w:right w:val="nil"/>
            </w:tcBorders>
            <w:shd w:val="clear" w:color="auto" w:fill="auto"/>
            <w:noWrap/>
            <w:vAlign w:val="center"/>
            <w:hideMark/>
          </w:tcPr>
          <w:p w14:paraId="187FC22F" w14:textId="77777777" w:rsidR="007D29F8" w:rsidRPr="00B45A63" w:rsidRDefault="007D29F8" w:rsidP="00DB6666">
            <w:pPr>
              <w:jc w:val="right"/>
              <w:rPr>
                <w:rFonts w:ascii="Arial Narrow" w:hAnsi="Arial Narrow" w:cs="Arial"/>
                <w:b/>
                <w:bCs/>
                <w:sz w:val="18"/>
                <w:szCs w:val="18"/>
              </w:rPr>
            </w:pPr>
          </w:p>
        </w:tc>
        <w:tc>
          <w:tcPr>
            <w:tcW w:w="992" w:type="dxa"/>
            <w:tcBorders>
              <w:top w:val="single" w:sz="4" w:space="0" w:color="BFBFBF"/>
              <w:left w:val="nil"/>
              <w:bottom w:val="single" w:sz="8" w:space="0" w:color="BFBFBF"/>
              <w:right w:val="nil"/>
            </w:tcBorders>
            <w:shd w:val="clear" w:color="auto" w:fill="auto"/>
            <w:noWrap/>
            <w:vAlign w:val="center"/>
            <w:hideMark/>
          </w:tcPr>
          <w:p w14:paraId="78494F2D" w14:textId="77777777" w:rsidR="007D29F8" w:rsidRPr="00B45A63" w:rsidRDefault="007D29F8" w:rsidP="00DB6666">
            <w:pPr>
              <w:jc w:val="right"/>
              <w:rPr>
                <w:rFonts w:ascii="Arial Narrow" w:hAnsi="Arial Narrow" w:cs="Arial"/>
                <w:b/>
                <w:bCs/>
                <w:sz w:val="18"/>
                <w:szCs w:val="18"/>
              </w:rPr>
            </w:pPr>
          </w:p>
        </w:tc>
        <w:tc>
          <w:tcPr>
            <w:tcW w:w="992" w:type="dxa"/>
            <w:tcBorders>
              <w:top w:val="single" w:sz="4" w:space="0" w:color="BFBFBF"/>
              <w:left w:val="nil"/>
              <w:bottom w:val="single" w:sz="8" w:space="0" w:color="BFBFBF"/>
              <w:right w:val="nil"/>
            </w:tcBorders>
            <w:shd w:val="clear" w:color="auto" w:fill="auto"/>
            <w:noWrap/>
            <w:vAlign w:val="center"/>
            <w:hideMark/>
          </w:tcPr>
          <w:p w14:paraId="2F6F63D7" w14:textId="77777777" w:rsidR="007D29F8" w:rsidRPr="00B45A63" w:rsidRDefault="007D29F8" w:rsidP="00DB6666">
            <w:pPr>
              <w:jc w:val="right"/>
              <w:rPr>
                <w:rFonts w:ascii="Arial Narrow" w:hAnsi="Arial Narrow" w:cs="Arial"/>
                <w:b/>
                <w:bCs/>
                <w:sz w:val="18"/>
                <w:szCs w:val="18"/>
              </w:rPr>
            </w:pPr>
          </w:p>
        </w:tc>
        <w:tc>
          <w:tcPr>
            <w:tcW w:w="834" w:type="dxa"/>
            <w:tcBorders>
              <w:top w:val="single" w:sz="4" w:space="0" w:color="BFBFBF"/>
              <w:left w:val="nil"/>
              <w:bottom w:val="single" w:sz="8" w:space="0" w:color="BFBFBF"/>
              <w:right w:val="nil"/>
            </w:tcBorders>
            <w:shd w:val="clear" w:color="auto" w:fill="auto"/>
            <w:noWrap/>
            <w:vAlign w:val="center"/>
            <w:hideMark/>
          </w:tcPr>
          <w:p w14:paraId="5F55F78F" w14:textId="77777777" w:rsidR="007D29F8" w:rsidRPr="00B45A63" w:rsidRDefault="007D29F8" w:rsidP="00DB6666">
            <w:pPr>
              <w:jc w:val="right"/>
              <w:rPr>
                <w:rFonts w:ascii="Arial Narrow" w:hAnsi="Arial Narrow" w:cs="Arial"/>
                <w:b/>
                <w:bCs/>
                <w:sz w:val="18"/>
                <w:szCs w:val="18"/>
              </w:rPr>
            </w:pPr>
            <w:r w:rsidRPr="00B45A63">
              <w:rPr>
                <w:rFonts w:ascii="Arial Narrow" w:hAnsi="Arial Narrow" w:cs="Arial"/>
                <w:b/>
                <w:bCs/>
                <w:sz w:val="18"/>
                <w:szCs w:val="18"/>
              </w:rPr>
              <w:t>232 466</w:t>
            </w:r>
          </w:p>
        </w:tc>
        <w:tc>
          <w:tcPr>
            <w:tcW w:w="976" w:type="dxa"/>
            <w:tcBorders>
              <w:top w:val="single" w:sz="4" w:space="0" w:color="BFBFBF"/>
              <w:left w:val="nil"/>
              <w:bottom w:val="single" w:sz="8" w:space="0" w:color="BFBFBF"/>
              <w:right w:val="nil"/>
            </w:tcBorders>
            <w:shd w:val="clear" w:color="auto" w:fill="auto"/>
            <w:noWrap/>
            <w:vAlign w:val="center"/>
            <w:hideMark/>
          </w:tcPr>
          <w:p w14:paraId="00071B98" w14:textId="77777777" w:rsidR="007D29F8" w:rsidRPr="00B45A63" w:rsidRDefault="007D29F8" w:rsidP="00DB6666">
            <w:pPr>
              <w:jc w:val="right"/>
              <w:rPr>
                <w:rFonts w:ascii="Arial Narrow" w:hAnsi="Arial Narrow" w:cs="Arial"/>
                <w:b/>
                <w:bCs/>
                <w:sz w:val="18"/>
                <w:szCs w:val="18"/>
              </w:rPr>
            </w:pPr>
            <w:r w:rsidRPr="00B45A63">
              <w:rPr>
                <w:rFonts w:ascii="Arial Narrow" w:hAnsi="Arial Narrow" w:cs="Arial"/>
                <w:b/>
                <w:bCs/>
                <w:sz w:val="18"/>
                <w:szCs w:val="18"/>
              </w:rPr>
              <w:t>275 959</w:t>
            </w:r>
          </w:p>
        </w:tc>
        <w:tc>
          <w:tcPr>
            <w:tcW w:w="977" w:type="dxa"/>
            <w:tcBorders>
              <w:top w:val="single" w:sz="4" w:space="0" w:color="BFBFBF"/>
              <w:left w:val="nil"/>
              <w:bottom w:val="single" w:sz="8" w:space="0" w:color="BFBFBF"/>
              <w:right w:val="nil"/>
            </w:tcBorders>
            <w:shd w:val="clear" w:color="auto" w:fill="auto"/>
            <w:noWrap/>
            <w:vAlign w:val="center"/>
            <w:hideMark/>
          </w:tcPr>
          <w:p w14:paraId="2BBA4640" w14:textId="77777777" w:rsidR="007D29F8" w:rsidRPr="00B45A63" w:rsidRDefault="007D29F8" w:rsidP="00DB6666">
            <w:pPr>
              <w:jc w:val="right"/>
              <w:rPr>
                <w:rFonts w:ascii="Arial Narrow" w:hAnsi="Arial Narrow" w:cs="Arial"/>
                <w:b/>
                <w:bCs/>
                <w:sz w:val="18"/>
                <w:szCs w:val="18"/>
              </w:rPr>
            </w:pPr>
            <w:r w:rsidRPr="00B45A63">
              <w:rPr>
                <w:rFonts w:ascii="Arial Narrow" w:hAnsi="Arial Narrow" w:cs="Arial"/>
                <w:b/>
                <w:bCs/>
                <w:sz w:val="18"/>
                <w:szCs w:val="18"/>
              </w:rPr>
              <w:t>508 425</w:t>
            </w:r>
          </w:p>
        </w:tc>
      </w:tr>
    </w:tbl>
    <w:p w14:paraId="58A7DA4C" w14:textId="77777777" w:rsidR="007D29F8" w:rsidRPr="00E12BB9" w:rsidRDefault="007D29F8" w:rsidP="007D29F8">
      <w:pPr>
        <w:spacing w:after="120"/>
        <w:ind w:left="426" w:hanging="426"/>
        <w:jc w:val="left"/>
        <w:rPr>
          <w:i/>
          <w:sz w:val="18"/>
          <w:szCs w:val="16"/>
        </w:rPr>
      </w:pPr>
    </w:p>
    <w:p w14:paraId="3A6E7B36" w14:textId="77777777" w:rsidR="007D29F8" w:rsidRPr="00E12BB9" w:rsidRDefault="007D29F8" w:rsidP="007D29F8">
      <w:r w:rsidRPr="00E12BB9">
        <w:t>Les montants relatifs à UPOV PRISMA sont fondés sur les estimations figurant dans le document</w:t>
      </w:r>
      <w:r>
        <w:t> </w:t>
      </w:r>
      <w:r w:rsidRPr="00E12BB9">
        <w:t xml:space="preserve">CC/99/4 “Financement d’UPOV PRISMA”, actualisées en fonction des montants effectifs </w:t>
      </w:r>
      <w:r w:rsidR="00B45A63">
        <w:t>en</w:t>
      </w:r>
      <w:r w:rsidRPr="00E12BB9">
        <w:t> 2022.</w:t>
      </w:r>
    </w:p>
    <w:p w14:paraId="3B79AC25" w14:textId="77777777" w:rsidR="007D29F8" w:rsidRPr="00E12BB9" w:rsidRDefault="007D29F8" w:rsidP="007D29F8"/>
    <w:p w14:paraId="45CDE600" w14:textId="77777777" w:rsidR="007D29F8" w:rsidRPr="00E12BB9" w:rsidRDefault="007D29F8" w:rsidP="007D29F8"/>
    <w:p w14:paraId="06FD70AF" w14:textId="77777777" w:rsidR="007D29F8" w:rsidRPr="00E12BB9" w:rsidRDefault="007D29F8" w:rsidP="007D29F8">
      <w:pPr>
        <w:pStyle w:val="Heading3"/>
        <w:rPr>
          <w:lang w:val="fr-FR"/>
        </w:rPr>
      </w:pPr>
      <w:bookmarkStart w:id="422" w:name="_Toc132208447"/>
      <w:r w:rsidRPr="00E12BB9">
        <w:rPr>
          <w:lang w:val="fr-FR"/>
        </w:rPr>
        <w:t>Plan en matière de ressources</w:t>
      </w:r>
      <w:bookmarkEnd w:id="422"/>
    </w:p>
    <w:p w14:paraId="43D8A584" w14:textId="77777777" w:rsidR="007D29F8" w:rsidRPr="00E12BB9" w:rsidRDefault="007D29F8" w:rsidP="007D29F8">
      <w:pPr>
        <w:rPr>
          <w:sz w:val="18"/>
          <w:szCs w:val="16"/>
        </w:rPr>
      </w:pPr>
    </w:p>
    <w:p w14:paraId="69529EC7" w14:textId="77777777" w:rsidR="007D29F8" w:rsidRPr="00E12BB9" w:rsidRDefault="007D29F8" w:rsidP="007D29F8">
      <w:r w:rsidRPr="00E12BB9">
        <w:t>Le montant des ressources correspondant à l’ensemble du programme d’activités à mener par l’UPOV au cours de l’exercice biennal </w:t>
      </w:r>
      <w:r w:rsidRPr="00E12BB9">
        <w:rPr>
          <w:snapToGrid w:val="0"/>
        </w:rPr>
        <w:t>2024-2025</w:t>
      </w:r>
      <w:r w:rsidRPr="00E12BB9">
        <w:t xml:space="preserve"> s’élève à 8 821 661</w:t>
      </w:r>
      <w:r w:rsidRPr="00E12BB9">
        <w:rPr>
          <w:szCs w:val="24"/>
        </w:rPr>
        <w:t> francs suisses (voir le tableau 3)</w:t>
      </w:r>
      <w:r w:rsidRPr="00E12BB9">
        <w:t>.  Ce montant comprend 7 901 307</w:t>
      </w:r>
      <w:r w:rsidRPr="00E12BB9">
        <w:rPr>
          <w:szCs w:val="24"/>
        </w:rPr>
        <w:t> </w:t>
      </w:r>
      <w:r w:rsidRPr="00E12BB9">
        <w:t>francs suisses inscrits au budget ordinaire (voir le tableau 1) et un montant estimé à 920 354</w:t>
      </w:r>
      <w:r w:rsidRPr="00E12BB9">
        <w:rPr>
          <w:szCs w:val="24"/>
        </w:rPr>
        <w:t> francs suisses au titre des fonds fiduciaires</w:t>
      </w:r>
      <w:r w:rsidRPr="00E12BB9">
        <w:t>.</w:t>
      </w:r>
    </w:p>
    <w:p w14:paraId="21A232BA" w14:textId="77777777" w:rsidR="007D29F8" w:rsidRPr="00E12BB9" w:rsidRDefault="007D29F8" w:rsidP="007D29F8">
      <w:pPr>
        <w:tabs>
          <w:tab w:val="left" w:pos="567"/>
        </w:tabs>
      </w:pPr>
    </w:p>
    <w:p w14:paraId="6680DBC4" w14:textId="77777777" w:rsidR="007D29F8" w:rsidRPr="00E12BB9" w:rsidRDefault="007D29F8" w:rsidP="007D29F8">
      <w:pPr>
        <w:keepLines/>
        <w:tabs>
          <w:tab w:val="left" w:pos="567"/>
        </w:tabs>
      </w:pPr>
      <w:r w:rsidRPr="00E12BB9">
        <w:t>Pour l’exercice biennal </w:t>
      </w:r>
      <w:r w:rsidRPr="00E12BB9">
        <w:rPr>
          <w:snapToGrid w:val="0"/>
          <w:spacing w:val="-2"/>
          <w:szCs w:val="24"/>
        </w:rPr>
        <w:t>2024-2025</w:t>
      </w:r>
      <w:r w:rsidRPr="00E12BB9">
        <w:t>, les montants des recettes et des dépenses devraient s’équilibrer.</w:t>
      </w:r>
    </w:p>
    <w:p w14:paraId="787BD201" w14:textId="77777777" w:rsidR="007D29F8" w:rsidRPr="00E12BB9" w:rsidRDefault="007D29F8" w:rsidP="007D29F8">
      <w:pPr>
        <w:tabs>
          <w:tab w:val="left" w:pos="567"/>
        </w:tabs>
      </w:pPr>
    </w:p>
    <w:p w14:paraId="41346E78" w14:textId="77777777" w:rsidR="007D29F8" w:rsidRPr="00E12BB9" w:rsidRDefault="007D29F8" w:rsidP="007D29F8">
      <w:pPr>
        <w:tabs>
          <w:tab w:val="left" w:pos="567"/>
        </w:tabs>
        <w:rPr>
          <w:spacing w:val="-2"/>
          <w:szCs w:val="24"/>
        </w:rPr>
      </w:pPr>
      <w:r w:rsidRPr="00E12BB9">
        <w:rPr>
          <w:spacing w:val="-2"/>
          <w:szCs w:val="24"/>
        </w:rPr>
        <w:t>Les fonds fiduciaires sont des contributions financières volontaires versées à l’UPOV, généralement par un membre de l’Union pour financer un programme d’activités précis établi d’un commun accord entre le Bureau de l’Union et le membre concerné.  Sans préjuger des décisions souveraines des donateurs, le montant global de ces fonds pour l’exercice biennal </w:t>
      </w:r>
      <w:r w:rsidRPr="00E12BB9">
        <w:rPr>
          <w:snapToGrid w:val="0"/>
          <w:spacing w:val="-2"/>
          <w:szCs w:val="24"/>
        </w:rPr>
        <w:t xml:space="preserve">2024-2025 </w:t>
      </w:r>
      <w:r w:rsidRPr="00E12BB9">
        <w:rPr>
          <w:spacing w:val="-2"/>
          <w:szCs w:val="24"/>
        </w:rPr>
        <w:t xml:space="preserve">devrait s’établir à 920 354 francs suisses.  Il convient de noter que les contributions financières (par exemple les fonds fiduciaires) et les contributions non financières (aide en nature), en particulier dans le domaine de l’assistance technique et des activités de formation, ne sont pas inscrites au budget </w:t>
      </w:r>
      <w:r w:rsidR="00B45A63">
        <w:rPr>
          <w:spacing w:val="-2"/>
          <w:szCs w:val="24"/>
        </w:rPr>
        <w:t xml:space="preserve">régulier </w:t>
      </w:r>
      <w:r w:rsidRPr="00E12BB9">
        <w:rPr>
          <w:spacing w:val="-2"/>
          <w:szCs w:val="24"/>
        </w:rPr>
        <w:t>de l’UPOV</w:t>
      </w:r>
      <w:r w:rsidRPr="00E12BB9">
        <w:t>.</w:t>
      </w:r>
    </w:p>
    <w:p w14:paraId="137EC00C" w14:textId="77777777" w:rsidR="007D29F8" w:rsidRPr="00E12BB9" w:rsidRDefault="007D29F8" w:rsidP="007D29F8">
      <w:pPr>
        <w:rPr>
          <w:spacing w:val="-2"/>
          <w:szCs w:val="24"/>
        </w:rPr>
      </w:pPr>
    </w:p>
    <w:p w14:paraId="009A46A8" w14:textId="77777777" w:rsidR="007D29F8" w:rsidRDefault="007D29F8">
      <w:pPr>
        <w:jc w:val="left"/>
        <w:rPr>
          <w:rFonts w:cs="Arial"/>
          <w:b/>
          <w:bCs/>
          <w:color w:val="26724C" w:themeColor="accent1" w:themeShade="BF"/>
        </w:rPr>
      </w:pPr>
      <w:r>
        <w:rPr>
          <w:rFonts w:cs="Arial"/>
          <w:b/>
          <w:bCs/>
          <w:color w:val="26724C" w:themeColor="accent1" w:themeShade="BF"/>
        </w:rPr>
        <w:br w:type="page"/>
      </w:r>
    </w:p>
    <w:p w14:paraId="39955AA5" w14:textId="77777777" w:rsidR="007D29F8" w:rsidRPr="00E12BB9" w:rsidRDefault="007D29F8" w:rsidP="007D29F8">
      <w:pPr>
        <w:jc w:val="center"/>
        <w:rPr>
          <w:color w:val="26724C" w:themeColor="accent1" w:themeShade="BF"/>
          <w:spacing w:val="-2"/>
          <w:szCs w:val="24"/>
        </w:rPr>
      </w:pPr>
      <w:r w:rsidRPr="00E12BB9">
        <w:rPr>
          <w:rFonts w:cs="Arial"/>
          <w:b/>
          <w:bCs/>
          <w:color w:val="26724C" w:themeColor="accent1" w:themeShade="BF"/>
        </w:rPr>
        <w:lastRenderedPageBreak/>
        <w:t>Tableau 3</w:t>
      </w:r>
      <w:r>
        <w:rPr>
          <w:rFonts w:cs="Arial"/>
          <w:b/>
          <w:bCs/>
          <w:color w:val="26724C" w:themeColor="accent1" w:themeShade="BF"/>
        </w:rPr>
        <w:t xml:space="preserve"> : </w:t>
      </w:r>
      <w:r w:rsidRPr="00E12BB9">
        <w:rPr>
          <w:rFonts w:cs="Arial"/>
          <w:b/>
          <w:bCs/>
          <w:color w:val="26724C" w:themeColor="accent1" w:themeShade="BF"/>
        </w:rPr>
        <w:t xml:space="preserve"> Plan en matière de ressources pour 2022-2023 et 2024-2025</w:t>
      </w:r>
    </w:p>
    <w:p w14:paraId="31C34DF3" w14:textId="77777777" w:rsidR="007D29F8" w:rsidRPr="00E12BB9" w:rsidRDefault="007D29F8" w:rsidP="007D29F8">
      <w:pPr>
        <w:jc w:val="center"/>
        <w:rPr>
          <w:rFonts w:cs="Arial"/>
          <w:i/>
          <w:iCs/>
          <w:sz w:val="18"/>
        </w:rPr>
      </w:pPr>
      <w:r w:rsidRPr="00E12BB9">
        <w:rPr>
          <w:rFonts w:cs="Arial"/>
          <w:i/>
          <w:iCs/>
          <w:sz w:val="18"/>
        </w:rPr>
        <w:t>(</w:t>
      </w:r>
      <w:proofErr w:type="gramStart"/>
      <w:r w:rsidRPr="00E12BB9">
        <w:rPr>
          <w:rFonts w:cs="Arial"/>
          <w:i/>
          <w:iCs/>
          <w:sz w:val="18"/>
        </w:rPr>
        <w:t>en</w:t>
      </w:r>
      <w:proofErr w:type="gramEnd"/>
      <w:r w:rsidRPr="00E12BB9">
        <w:rPr>
          <w:rFonts w:cs="Arial"/>
          <w:i/>
          <w:iCs/>
          <w:sz w:val="18"/>
        </w:rPr>
        <w:t xml:space="preserve"> milliers de francs suisses)</w:t>
      </w:r>
    </w:p>
    <w:p w14:paraId="2C9238B2" w14:textId="77777777" w:rsidR="007D29F8" w:rsidRPr="00E12BB9" w:rsidRDefault="007D29F8" w:rsidP="007D29F8">
      <w:pPr>
        <w:jc w:val="center"/>
        <w:rPr>
          <w:spacing w:val="-2"/>
          <w:szCs w:val="24"/>
        </w:rPr>
      </w:pPr>
    </w:p>
    <w:tbl>
      <w:tblPr>
        <w:tblW w:w="9729" w:type="dxa"/>
        <w:tblLook w:val="04A0" w:firstRow="1" w:lastRow="0" w:firstColumn="1" w:lastColumn="0" w:noHBand="0" w:noVBand="1"/>
      </w:tblPr>
      <w:tblGrid>
        <w:gridCol w:w="482"/>
        <w:gridCol w:w="3837"/>
        <w:gridCol w:w="1727"/>
        <w:gridCol w:w="1778"/>
        <w:gridCol w:w="1905"/>
      </w:tblGrid>
      <w:tr w:rsidR="007D29F8" w:rsidRPr="00152C64" w14:paraId="002C627D" w14:textId="77777777" w:rsidTr="00DB6666">
        <w:trPr>
          <w:trHeight w:val="431"/>
        </w:trPr>
        <w:tc>
          <w:tcPr>
            <w:tcW w:w="4319" w:type="dxa"/>
            <w:gridSpan w:val="2"/>
            <w:vMerge w:val="restart"/>
            <w:tcBorders>
              <w:top w:val="nil"/>
              <w:left w:val="nil"/>
              <w:bottom w:val="nil"/>
              <w:right w:val="nil"/>
            </w:tcBorders>
            <w:shd w:val="clear" w:color="000000" w:fill="C7CFD8"/>
            <w:vAlign w:val="center"/>
            <w:hideMark/>
          </w:tcPr>
          <w:p w14:paraId="0095E134" w14:textId="77777777" w:rsidR="007D29F8" w:rsidRPr="00152C64" w:rsidRDefault="007D29F8" w:rsidP="00DB6666">
            <w:pPr>
              <w:jc w:val="left"/>
              <w:rPr>
                <w:rFonts w:ascii="Arial Narrow" w:hAnsi="Arial Narrow" w:cs="Arial"/>
                <w:b/>
                <w:bCs/>
                <w:sz w:val="18"/>
                <w:szCs w:val="18"/>
              </w:rPr>
            </w:pPr>
            <w:r w:rsidRPr="00152C64">
              <w:rPr>
                <w:rFonts w:ascii="Arial Narrow" w:hAnsi="Arial Narrow" w:cs="Arial"/>
                <w:b/>
                <w:bCs/>
                <w:sz w:val="18"/>
                <w:szCs w:val="18"/>
              </w:rPr>
              <w:t>Budget et ressources disponibles</w:t>
            </w:r>
          </w:p>
        </w:tc>
        <w:tc>
          <w:tcPr>
            <w:tcW w:w="1727" w:type="dxa"/>
            <w:tcBorders>
              <w:top w:val="nil"/>
              <w:left w:val="nil"/>
              <w:bottom w:val="nil"/>
              <w:right w:val="nil"/>
            </w:tcBorders>
            <w:shd w:val="clear" w:color="000000" w:fill="C7CFD8"/>
            <w:vAlign w:val="center"/>
            <w:hideMark/>
          </w:tcPr>
          <w:p w14:paraId="10ED47E2" w14:textId="77777777" w:rsidR="007D29F8" w:rsidRPr="00152C64" w:rsidRDefault="007D29F8" w:rsidP="00DB6666">
            <w:pPr>
              <w:jc w:val="center"/>
              <w:rPr>
                <w:rFonts w:ascii="Arial Narrow" w:hAnsi="Arial Narrow" w:cs="Arial"/>
                <w:b/>
                <w:bCs/>
                <w:sz w:val="18"/>
                <w:szCs w:val="18"/>
              </w:rPr>
            </w:pPr>
            <w:r w:rsidRPr="00152C64">
              <w:rPr>
                <w:rFonts w:ascii="Arial Narrow" w:hAnsi="Arial Narrow" w:cs="Arial"/>
                <w:b/>
                <w:bCs/>
                <w:sz w:val="18"/>
                <w:szCs w:val="18"/>
              </w:rPr>
              <w:t>Budget ordinaire</w:t>
            </w:r>
          </w:p>
        </w:tc>
        <w:tc>
          <w:tcPr>
            <w:tcW w:w="1778" w:type="dxa"/>
            <w:tcBorders>
              <w:top w:val="nil"/>
              <w:left w:val="nil"/>
              <w:bottom w:val="nil"/>
              <w:right w:val="nil"/>
            </w:tcBorders>
            <w:shd w:val="clear" w:color="000000" w:fill="C7CFD8"/>
            <w:vAlign w:val="center"/>
            <w:hideMark/>
          </w:tcPr>
          <w:p w14:paraId="79EB6139" w14:textId="77777777" w:rsidR="007D29F8" w:rsidRPr="00152C64" w:rsidRDefault="007D29F8" w:rsidP="00DB6666">
            <w:pPr>
              <w:jc w:val="center"/>
              <w:rPr>
                <w:rFonts w:ascii="Arial Narrow" w:hAnsi="Arial Narrow" w:cs="Arial"/>
                <w:b/>
                <w:bCs/>
                <w:sz w:val="18"/>
                <w:szCs w:val="18"/>
              </w:rPr>
            </w:pPr>
            <w:r w:rsidRPr="00152C64">
              <w:rPr>
                <w:rFonts w:ascii="Arial Narrow" w:hAnsi="Arial Narrow" w:cs="Arial"/>
                <w:b/>
                <w:bCs/>
                <w:sz w:val="18"/>
                <w:szCs w:val="18"/>
              </w:rPr>
              <w:t xml:space="preserve">Fonds fiduciaires* </w:t>
            </w:r>
          </w:p>
        </w:tc>
        <w:tc>
          <w:tcPr>
            <w:tcW w:w="1905" w:type="dxa"/>
            <w:tcBorders>
              <w:top w:val="nil"/>
              <w:left w:val="nil"/>
              <w:bottom w:val="nil"/>
              <w:right w:val="nil"/>
            </w:tcBorders>
            <w:shd w:val="clear" w:color="000000" w:fill="C7CFD8"/>
            <w:vAlign w:val="center"/>
            <w:hideMark/>
          </w:tcPr>
          <w:p w14:paraId="55FDAEEB" w14:textId="77777777" w:rsidR="007D29F8" w:rsidRPr="00152C64" w:rsidRDefault="007D29F8" w:rsidP="00DB6666">
            <w:pPr>
              <w:jc w:val="center"/>
              <w:rPr>
                <w:rFonts w:ascii="Arial Narrow" w:hAnsi="Arial Narrow" w:cs="Arial"/>
                <w:b/>
                <w:bCs/>
                <w:sz w:val="18"/>
                <w:szCs w:val="18"/>
              </w:rPr>
            </w:pPr>
            <w:r w:rsidRPr="00152C64">
              <w:rPr>
                <w:rFonts w:ascii="Arial Narrow" w:hAnsi="Arial Narrow" w:cs="Arial"/>
                <w:b/>
                <w:bCs/>
                <w:sz w:val="18"/>
                <w:szCs w:val="18"/>
              </w:rPr>
              <w:t xml:space="preserve">Total des ressources </w:t>
            </w:r>
          </w:p>
        </w:tc>
      </w:tr>
      <w:tr w:rsidR="007D29F8" w:rsidRPr="00152C64" w14:paraId="4D9016F3" w14:textId="77777777" w:rsidTr="00DB6666">
        <w:trPr>
          <w:trHeight w:val="70"/>
        </w:trPr>
        <w:tc>
          <w:tcPr>
            <w:tcW w:w="4319" w:type="dxa"/>
            <w:gridSpan w:val="2"/>
            <w:vMerge/>
            <w:tcBorders>
              <w:top w:val="nil"/>
              <w:left w:val="nil"/>
              <w:bottom w:val="nil"/>
              <w:right w:val="nil"/>
            </w:tcBorders>
            <w:vAlign w:val="center"/>
            <w:hideMark/>
          </w:tcPr>
          <w:p w14:paraId="41CB0537" w14:textId="77777777" w:rsidR="007D29F8" w:rsidRPr="00152C64" w:rsidRDefault="007D29F8" w:rsidP="00DB6666">
            <w:pPr>
              <w:jc w:val="left"/>
              <w:rPr>
                <w:rFonts w:ascii="Arial Narrow" w:hAnsi="Arial Narrow" w:cs="Arial"/>
                <w:b/>
                <w:bCs/>
                <w:sz w:val="18"/>
                <w:szCs w:val="18"/>
              </w:rPr>
            </w:pPr>
          </w:p>
        </w:tc>
        <w:tc>
          <w:tcPr>
            <w:tcW w:w="1727" w:type="dxa"/>
            <w:tcBorders>
              <w:top w:val="nil"/>
              <w:left w:val="nil"/>
              <w:bottom w:val="nil"/>
              <w:right w:val="nil"/>
            </w:tcBorders>
            <w:shd w:val="clear" w:color="000000" w:fill="C7CFD8"/>
            <w:noWrap/>
            <w:vAlign w:val="center"/>
            <w:hideMark/>
          </w:tcPr>
          <w:p w14:paraId="2493E47A" w14:textId="77777777" w:rsidR="007D29F8" w:rsidRPr="00152C64" w:rsidRDefault="007D29F8" w:rsidP="00DB6666">
            <w:pPr>
              <w:jc w:val="center"/>
              <w:rPr>
                <w:rFonts w:ascii="Arial Narrow" w:hAnsi="Arial Narrow" w:cs="Arial"/>
                <w:b/>
                <w:bCs/>
                <w:sz w:val="18"/>
                <w:szCs w:val="18"/>
              </w:rPr>
            </w:pPr>
            <w:r w:rsidRPr="00152C64">
              <w:rPr>
                <w:rFonts w:ascii="Arial Narrow" w:hAnsi="Arial Narrow" w:cs="Arial"/>
                <w:b/>
                <w:bCs/>
                <w:sz w:val="18"/>
                <w:szCs w:val="18"/>
              </w:rPr>
              <w:t>A</w:t>
            </w:r>
          </w:p>
        </w:tc>
        <w:tc>
          <w:tcPr>
            <w:tcW w:w="1778" w:type="dxa"/>
            <w:tcBorders>
              <w:top w:val="nil"/>
              <w:left w:val="nil"/>
              <w:bottom w:val="nil"/>
              <w:right w:val="nil"/>
            </w:tcBorders>
            <w:shd w:val="clear" w:color="000000" w:fill="C7CFD8"/>
            <w:vAlign w:val="center"/>
            <w:hideMark/>
          </w:tcPr>
          <w:p w14:paraId="58B0E7D9" w14:textId="77777777" w:rsidR="007D29F8" w:rsidRPr="00152C64" w:rsidRDefault="007D29F8" w:rsidP="00DB6666">
            <w:pPr>
              <w:jc w:val="center"/>
              <w:rPr>
                <w:rFonts w:ascii="Arial Narrow" w:hAnsi="Arial Narrow" w:cs="Arial"/>
                <w:b/>
                <w:bCs/>
                <w:i/>
                <w:iCs/>
                <w:sz w:val="18"/>
                <w:szCs w:val="18"/>
              </w:rPr>
            </w:pPr>
            <w:r w:rsidRPr="00152C64">
              <w:rPr>
                <w:rFonts w:ascii="Arial Narrow" w:hAnsi="Arial Narrow" w:cs="Arial"/>
                <w:b/>
                <w:bCs/>
                <w:i/>
                <w:iCs/>
                <w:sz w:val="18"/>
                <w:szCs w:val="18"/>
              </w:rPr>
              <w:t>B</w:t>
            </w:r>
          </w:p>
        </w:tc>
        <w:tc>
          <w:tcPr>
            <w:tcW w:w="1905" w:type="dxa"/>
            <w:tcBorders>
              <w:top w:val="nil"/>
              <w:left w:val="nil"/>
              <w:bottom w:val="nil"/>
              <w:right w:val="nil"/>
            </w:tcBorders>
            <w:shd w:val="clear" w:color="000000" w:fill="C7CFD8"/>
            <w:vAlign w:val="center"/>
            <w:hideMark/>
          </w:tcPr>
          <w:p w14:paraId="15BB4D45" w14:textId="77777777" w:rsidR="007D29F8" w:rsidRPr="00152C64" w:rsidRDefault="007D29F8" w:rsidP="00DB6666">
            <w:pPr>
              <w:jc w:val="center"/>
              <w:rPr>
                <w:rFonts w:ascii="Arial Narrow" w:hAnsi="Arial Narrow" w:cs="Arial"/>
                <w:b/>
                <w:bCs/>
                <w:i/>
                <w:iCs/>
                <w:sz w:val="18"/>
                <w:szCs w:val="18"/>
              </w:rPr>
            </w:pPr>
            <w:r w:rsidRPr="00152C64">
              <w:rPr>
                <w:rFonts w:ascii="Arial Narrow" w:hAnsi="Arial Narrow" w:cs="Arial"/>
                <w:b/>
                <w:bCs/>
                <w:i/>
                <w:iCs/>
                <w:sz w:val="18"/>
                <w:szCs w:val="18"/>
              </w:rPr>
              <w:t>C = A+B</w:t>
            </w:r>
          </w:p>
        </w:tc>
      </w:tr>
      <w:tr w:rsidR="007D29F8" w:rsidRPr="00152C64" w14:paraId="613BE153" w14:textId="77777777" w:rsidTr="00DB6666">
        <w:trPr>
          <w:trHeight w:val="263"/>
        </w:trPr>
        <w:tc>
          <w:tcPr>
            <w:tcW w:w="4319" w:type="dxa"/>
            <w:gridSpan w:val="2"/>
            <w:tcBorders>
              <w:top w:val="nil"/>
              <w:left w:val="nil"/>
              <w:bottom w:val="nil"/>
              <w:right w:val="nil"/>
            </w:tcBorders>
            <w:shd w:val="clear" w:color="auto" w:fill="auto"/>
            <w:hideMark/>
          </w:tcPr>
          <w:p w14:paraId="2BCD3BAD" w14:textId="77777777" w:rsidR="007D29F8" w:rsidRPr="00152C64" w:rsidRDefault="007D29F8" w:rsidP="00DB6666">
            <w:pPr>
              <w:jc w:val="center"/>
              <w:rPr>
                <w:rFonts w:ascii="Arial Narrow" w:hAnsi="Arial Narrow" w:cs="Arial"/>
                <w:b/>
                <w:bCs/>
                <w:i/>
                <w:iCs/>
                <w:sz w:val="18"/>
                <w:szCs w:val="18"/>
              </w:rPr>
            </w:pPr>
          </w:p>
        </w:tc>
        <w:tc>
          <w:tcPr>
            <w:tcW w:w="1727" w:type="dxa"/>
            <w:tcBorders>
              <w:top w:val="nil"/>
              <w:left w:val="nil"/>
              <w:bottom w:val="nil"/>
              <w:right w:val="nil"/>
            </w:tcBorders>
            <w:shd w:val="clear" w:color="auto" w:fill="auto"/>
            <w:hideMark/>
          </w:tcPr>
          <w:p w14:paraId="7B7715B0" w14:textId="77777777" w:rsidR="007D29F8" w:rsidRPr="00152C64" w:rsidRDefault="007D29F8" w:rsidP="00DB6666">
            <w:pPr>
              <w:rPr>
                <w:rFonts w:ascii="Arial Narrow" w:hAnsi="Arial Narrow"/>
                <w:sz w:val="18"/>
                <w:szCs w:val="18"/>
              </w:rPr>
            </w:pPr>
          </w:p>
        </w:tc>
        <w:tc>
          <w:tcPr>
            <w:tcW w:w="1778" w:type="dxa"/>
            <w:tcBorders>
              <w:top w:val="nil"/>
              <w:left w:val="nil"/>
              <w:bottom w:val="nil"/>
              <w:right w:val="nil"/>
            </w:tcBorders>
            <w:shd w:val="clear" w:color="auto" w:fill="auto"/>
            <w:hideMark/>
          </w:tcPr>
          <w:p w14:paraId="228809D5" w14:textId="77777777" w:rsidR="007D29F8" w:rsidRPr="00152C64" w:rsidRDefault="007D29F8" w:rsidP="00DB6666">
            <w:pPr>
              <w:rPr>
                <w:rFonts w:ascii="Arial Narrow" w:hAnsi="Arial Narrow"/>
                <w:sz w:val="18"/>
                <w:szCs w:val="18"/>
              </w:rPr>
            </w:pPr>
          </w:p>
        </w:tc>
        <w:tc>
          <w:tcPr>
            <w:tcW w:w="1905" w:type="dxa"/>
            <w:tcBorders>
              <w:top w:val="nil"/>
              <w:left w:val="nil"/>
              <w:bottom w:val="nil"/>
              <w:right w:val="nil"/>
            </w:tcBorders>
            <w:shd w:val="clear" w:color="auto" w:fill="auto"/>
            <w:hideMark/>
          </w:tcPr>
          <w:p w14:paraId="57EE04D2" w14:textId="77777777" w:rsidR="007D29F8" w:rsidRPr="00152C64" w:rsidRDefault="007D29F8" w:rsidP="00DB6666">
            <w:pPr>
              <w:jc w:val="left"/>
              <w:rPr>
                <w:rFonts w:ascii="Arial Narrow" w:hAnsi="Arial Narrow"/>
                <w:sz w:val="18"/>
                <w:szCs w:val="18"/>
              </w:rPr>
            </w:pPr>
          </w:p>
        </w:tc>
      </w:tr>
      <w:tr w:rsidR="007D29F8" w:rsidRPr="00152C64" w14:paraId="7BA17CBD" w14:textId="77777777" w:rsidTr="00DB6666">
        <w:trPr>
          <w:trHeight w:val="318"/>
        </w:trPr>
        <w:tc>
          <w:tcPr>
            <w:tcW w:w="4319" w:type="dxa"/>
            <w:gridSpan w:val="2"/>
            <w:tcBorders>
              <w:top w:val="nil"/>
              <w:left w:val="nil"/>
              <w:bottom w:val="nil"/>
              <w:right w:val="nil"/>
            </w:tcBorders>
            <w:shd w:val="clear" w:color="auto" w:fill="auto"/>
            <w:hideMark/>
          </w:tcPr>
          <w:p w14:paraId="514022B7" w14:textId="77777777" w:rsidR="007D29F8" w:rsidRPr="00152C64" w:rsidRDefault="007D29F8" w:rsidP="00DB6666">
            <w:pPr>
              <w:rPr>
                <w:rFonts w:ascii="Arial Narrow" w:hAnsi="Arial Narrow" w:cs="Arial"/>
                <w:b/>
                <w:bCs/>
                <w:color w:val="000000"/>
                <w:sz w:val="18"/>
                <w:szCs w:val="18"/>
              </w:rPr>
            </w:pPr>
            <w:r w:rsidRPr="00152C64">
              <w:rPr>
                <w:rFonts w:ascii="Arial Narrow" w:hAnsi="Arial Narrow" w:cs="Arial"/>
                <w:b/>
                <w:bCs/>
                <w:color w:val="000000"/>
                <w:sz w:val="18"/>
                <w:szCs w:val="18"/>
              </w:rPr>
              <w:t>Ressources disponibles 2022-2023</w:t>
            </w:r>
          </w:p>
        </w:tc>
        <w:tc>
          <w:tcPr>
            <w:tcW w:w="1727" w:type="dxa"/>
            <w:tcBorders>
              <w:top w:val="nil"/>
              <w:left w:val="nil"/>
              <w:bottom w:val="nil"/>
              <w:right w:val="nil"/>
            </w:tcBorders>
            <w:shd w:val="clear" w:color="auto" w:fill="auto"/>
            <w:noWrap/>
            <w:vAlign w:val="bottom"/>
            <w:hideMark/>
          </w:tcPr>
          <w:p w14:paraId="2480A019" w14:textId="77777777" w:rsidR="007D29F8" w:rsidRPr="00152C64" w:rsidRDefault="007D29F8" w:rsidP="00DB6666">
            <w:pPr>
              <w:jc w:val="right"/>
              <w:rPr>
                <w:rFonts w:ascii="Arial Narrow" w:hAnsi="Arial Narrow" w:cs="Arial"/>
                <w:b/>
                <w:bCs/>
                <w:color w:val="000000"/>
                <w:sz w:val="18"/>
                <w:szCs w:val="18"/>
              </w:rPr>
            </w:pPr>
          </w:p>
        </w:tc>
        <w:tc>
          <w:tcPr>
            <w:tcW w:w="1778" w:type="dxa"/>
            <w:tcBorders>
              <w:top w:val="nil"/>
              <w:left w:val="nil"/>
              <w:bottom w:val="nil"/>
              <w:right w:val="nil"/>
            </w:tcBorders>
            <w:shd w:val="clear" w:color="auto" w:fill="auto"/>
            <w:hideMark/>
          </w:tcPr>
          <w:p w14:paraId="758A9BD9" w14:textId="77777777" w:rsidR="007D29F8" w:rsidRPr="00152C64" w:rsidRDefault="007D29F8" w:rsidP="00DB6666">
            <w:pPr>
              <w:jc w:val="right"/>
              <w:rPr>
                <w:rFonts w:ascii="Arial Narrow" w:hAnsi="Arial Narrow"/>
                <w:sz w:val="18"/>
                <w:szCs w:val="18"/>
              </w:rPr>
            </w:pPr>
          </w:p>
        </w:tc>
        <w:tc>
          <w:tcPr>
            <w:tcW w:w="1905" w:type="dxa"/>
            <w:tcBorders>
              <w:top w:val="nil"/>
              <w:left w:val="nil"/>
              <w:bottom w:val="nil"/>
              <w:right w:val="nil"/>
            </w:tcBorders>
            <w:shd w:val="clear" w:color="auto" w:fill="auto"/>
            <w:hideMark/>
          </w:tcPr>
          <w:p w14:paraId="6189B995" w14:textId="77777777" w:rsidR="007D29F8" w:rsidRPr="00152C64" w:rsidRDefault="007D29F8" w:rsidP="00DB6666">
            <w:pPr>
              <w:jc w:val="right"/>
              <w:rPr>
                <w:rFonts w:ascii="Arial Narrow" w:hAnsi="Arial Narrow"/>
                <w:sz w:val="18"/>
                <w:szCs w:val="18"/>
              </w:rPr>
            </w:pPr>
          </w:p>
        </w:tc>
      </w:tr>
      <w:tr w:rsidR="007D29F8" w:rsidRPr="00152C64" w14:paraId="4C90B04D" w14:textId="77777777" w:rsidTr="00DB6666">
        <w:trPr>
          <w:trHeight w:val="349"/>
        </w:trPr>
        <w:tc>
          <w:tcPr>
            <w:tcW w:w="482" w:type="dxa"/>
            <w:tcBorders>
              <w:top w:val="nil"/>
              <w:left w:val="nil"/>
              <w:bottom w:val="nil"/>
              <w:right w:val="nil"/>
            </w:tcBorders>
            <w:shd w:val="clear" w:color="auto" w:fill="auto"/>
            <w:vAlign w:val="center"/>
            <w:hideMark/>
          </w:tcPr>
          <w:p w14:paraId="7D3B6946" w14:textId="77777777" w:rsidR="007D29F8" w:rsidRPr="00152C64" w:rsidRDefault="007D29F8" w:rsidP="00DB6666">
            <w:pPr>
              <w:jc w:val="right"/>
              <w:rPr>
                <w:rFonts w:ascii="Arial Narrow" w:hAnsi="Arial Narrow" w:cs="Arial"/>
                <w:color w:val="000000"/>
                <w:sz w:val="18"/>
                <w:szCs w:val="18"/>
              </w:rPr>
            </w:pPr>
            <w:r w:rsidRPr="00152C64">
              <w:rPr>
                <w:rFonts w:ascii="Arial Narrow" w:hAnsi="Arial Narrow" w:cs="Arial"/>
                <w:color w:val="000000"/>
                <w:sz w:val="18"/>
                <w:szCs w:val="18"/>
              </w:rPr>
              <w:t>1</w:t>
            </w:r>
          </w:p>
        </w:tc>
        <w:tc>
          <w:tcPr>
            <w:tcW w:w="3837" w:type="dxa"/>
            <w:tcBorders>
              <w:top w:val="nil"/>
              <w:left w:val="nil"/>
              <w:bottom w:val="nil"/>
              <w:right w:val="nil"/>
            </w:tcBorders>
            <w:shd w:val="clear" w:color="auto" w:fill="auto"/>
            <w:vAlign w:val="center"/>
            <w:hideMark/>
          </w:tcPr>
          <w:p w14:paraId="6B42A421" w14:textId="77777777" w:rsidR="007D29F8" w:rsidRPr="00152C64" w:rsidRDefault="007D29F8" w:rsidP="00DB6666">
            <w:pPr>
              <w:rPr>
                <w:rFonts w:ascii="Arial Narrow" w:hAnsi="Arial Narrow" w:cs="Arial"/>
                <w:color w:val="000000"/>
                <w:sz w:val="18"/>
                <w:szCs w:val="18"/>
              </w:rPr>
            </w:pPr>
            <w:r w:rsidRPr="00152C64">
              <w:rPr>
                <w:rFonts w:ascii="Arial Narrow" w:hAnsi="Arial Narrow" w:cs="Arial"/>
                <w:color w:val="000000"/>
                <w:sz w:val="18"/>
                <w:szCs w:val="18"/>
              </w:rPr>
              <w:t>Recettes</w:t>
            </w:r>
          </w:p>
        </w:tc>
        <w:tc>
          <w:tcPr>
            <w:tcW w:w="1727" w:type="dxa"/>
            <w:tcBorders>
              <w:top w:val="nil"/>
              <w:left w:val="nil"/>
              <w:bottom w:val="nil"/>
              <w:right w:val="nil"/>
            </w:tcBorders>
            <w:shd w:val="clear" w:color="auto" w:fill="auto"/>
            <w:vAlign w:val="center"/>
            <w:hideMark/>
          </w:tcPr>
          <w:p w14:paraId="769F7002" w14:textId="77777777" w:rsidR="007D29F8" w:rsidRPr="00152C64" w:rsidRDefault="007D29F8" w:rsidP="00DB6666">
            <w:pPr>
              <w:jc w:val="right"/>
              <w:rPr>
                <w:rFonts w:ascii="Arial Narrow" w:hAnsi="Arial Narrow" w:cs="Arial"/>
                <w:color w:val="000000"/>
                <w:sz w:val="18"/>
                <w:szCs w:val="18"/>
              </w:rPr>
            </w:pPr>
            <w:r w:rsidRPr="00152C64">
              <w:rPr>
                <w:rFonts w:ascii="Arial Narrow" w:hAnsi="Arial Narrow" w:cs="Arial"/>
                <w:color w:val="000000"/>
                <w:sz w:val="18"/>
                <w:szCs w:val="18"/>
              </w:rPr>
              <w:t>7 635</w:t>
            </w:r>
          </w:p>
        </w:tc>
        <w:tc>
          <w:tcPr>
            <w:tcW w:w="1778" w:type="dxa"/>
            <w:tcBorders>
              <w:top w:val="nil"/>
              <w:left w:val="nil"/>
              <w:bottom w:val="nil"/>
              <w:right w:val="nil"/>
            </w:tcBorders>
            <w:shd w:val="clear" w:color="auto" w:fill="auto"/>
            <w:vAlign w:val="center"/>
            <w:hideMark/>
          </w:tcPr>
          <w:p w14:paraId="5D98FDD4" w14:textId="77777777" w:rsidR="007D29F8" w:rsidRPr="00152C64" w:rsidRDefault="007D29F8" w:rsidP="00DB6666">
            <w:pPr>
              <w:jc w:val="right"/>
              <w:rPr>
                <w:rFonts w:ascii="Arial Narrow" w:hAnsi="Arial Narrow" w:cs="Arial"/>
                <w:color w:val="000000"/>
                <w:sz w:val="18"/>
                <w:szCs w:val="18"/>
              </w:rPr>
            </w:pPr>
            <w:r w:rsidRPr="00152C64">
              <w:rPr>
                <w:rFonts w:ascii="Arial Narrow" w:hAnsi="Arial Narrow" w:cs="Arial"/>
                <w:color w:val="000000"/>
                <w:sz w:val="18"/>
                <w:szCs w:val="18"/>
              </w:rPr>
              <w:t>965</w:t>
            </w:r>
          </w:p>
        </w:tc>
        <w:tc>
          <w:tcPr>
            <w:tcW w:w="1905" w:type="dxa"/>
            <w:tcBorders>
              <w:top w:val="nil"/>
              <w:left w:val="nil"/>
              <w:bottom w:val="nil"/>
              <w:right w:val="nil"/>
            </w:tcBorders>
            <w:shd w:val="clear" w:color="auto" w:fill="auto"/>
            <w:vAlign w:val="center"/>
            <w:hideMark/>
          </w:tcPr>
          <w:p w14:paraId="514E86A8" w14:textId="77777777" w:rsidR="007D29F8" w:rsidRPr="00152C64" w:rsidRDefault="007D29F8" w:rsidP="00DB6666">
            <w:pPr>
              <w:jc w:val="right"/>
              <w:rPr>
                <w:rFonts w:ascii="Arial Narrow" w:hAnsi="Arial Narrow" w:cs="Arial"/>
                <w:color w:val="000000"/>
                <w:sz w:val="18"/>
                <w:szCs w:val="18"/>
              </w:rPr>
            </w:pPr>
            <w:r w:rsidRPr="00152C64">
              <w:rPr>
                <w:rFonts w:ascii="Arial Narrow" w:hAnsi="Arial Narrow" w:cs="Arial"/>
                <w:color w:val="000000"/>
                <w:sz w:val="18"/>
                <w:szCs w:val="18"/>
              </w:rPr>
              <w:t>8 600</w:t>
            </w:r>
          </w:p>
        </w:tc>
      </w:tr>
      <w:tr w:rsidR="007D29F8" w:rsidRPr="00152C64" w14:paraId="10D3189B" w14:textId="77777777" w:rsidTr="00DB6666">
        <w:trPr>
          <w:trHeight w:val="349"/>
        </w:trPr>
        <w:tc>
          <w:tcPr>
            <w:tcW w:w="482" w:type="dxa"/>
            <w:tcBorders>
              <w:top w:val="nil"/>
              <w:left w:val="nil"/>
              <w:bottom w:val="nil"/>
              <w:right w:val="nil"/>
            </w:tcBorders>
            <w:shd w:val="clear" w:color="auto" w:fill="auto"/>
            <w:vAlign w:val="center"/>
            <w:hideMark/>
          </w:tcPr>
          <w:p w14:paraId="65C84892" w14:textId="77777777" w:rsidR="007D29F8" w:rsidRPr="00152C64" w:rsidRDefault="007D29F8" w:rsidP="00DB6666">
            <w:pPr>
              <w:jc w:val="right"/>
              <w:rPr>
                <w:rFonts w:ascii="Arial Narrow" w:hAnsi="Arial Narrow" w:cs="Arial"/>
                <w:color w:val="000000"/>
                <w:sz w:val="18"/>
                <w:szCs w:val="18"/>
              </w:rPr>
            </w:pPr>
            <w:r w:rsidRPr="00152C64">
              <w:rPr>
                <w:rFonts w:ascii="Arial Narrow" w:hAnsi="Arial Narrow" w:cs="Arial"/>
                <w:color w:val="000000"/>
                <w:sz w:val="18"/>
                <w:szCs w:val="18"/>
              </w:rPr>
              <w:t>2</w:t>
            </w:r>
          </w:p>
        </w:tc>
        <w:tc>
          <w:tcPr>
            <w:tcW w:w="3837" w:type="dxa"/>
            <w:tcBorders>
              <w:top w:val="nil"/>
              <w:left w:val="nil"/>
              <w:bottom w:val="nil"/>
              <w:right w:val="nil"/>
            </w:tcBorders>
            <w:shd w:val="clear" w:color="auto" w:fill="auto"/>
            <w:vAlign w:val="center"/>
            <w:hideMark/>
          </w:tcPr>
          <w:p w14:paraId="4F94F7A2" w14:textId="77777777" w:rsidR="007D29F8" w:rsidRPr="00152C64" w:rsidRDefault="007D29F8" w:rsidP="00DB6666">
            <w:pPr>
              <w:rPr>
                <w:rFonts w:ascii="Arial Narrow" w:hAnsi="Arial Narrow" w:cs="Arial"/>
                <w:color w:val="000000"/>
                <w:sz w:val="18"/>
                <w:szCs w:val="18"/>
              </w:rPr>
            </w:pPr>
            <w:r w:rsidRPr="00152C64">
              <w:rPr>
                <w:rFonts w:ascii="Arial Narrow" w:hAnsi="Arial Narrow" w:cs="Arial"/>
                <w:color w:val="000000"/>
                <w:sz w:val="18"/>
                <w:szCs w:val="18"/>
              </w:rPr>
              <w:t>+/(-) Transfert du/vers solde fonds</w:t>
            </w:r>
          </w:p>
        </w:tc>
        <w:tc>
          <w:tcPr>
            <w:tcW w:w="1727" w:type="dxa"/>
            <w:tcBorders>
              <w:top w:val="nil"/>
              <w:left w:val="nil"/>
              <w:bottom w:val="nil"/>
              <w:right w:val="nil"/>
            </w:tcBorders>
            <w:shd w:val="clear" w:color="auto" w:fill="auto"/>
            <w:vAlign w:val="center"/>
            <w:hideMark/>
          </w:tcPr>
          <w:p w14:paraId="20ECDF97" w14:textId="77777777" w:rsidR="007D29F8" w:rsidRPr="00152C64" w:rsidRDefault="007D29F8" w:rsidP="00DB6666">
            <w:pPr>
              <w:jc w:val="right"/>
              <w:rPr>
                <w:rFonts w:ascii="Arial Narrow" w:hAnsi="Arial Narrow" w:cs="Arial"/>
                <w:color w:val="000000"/>
                <w:sz w:val="18"/>
                <w:szCs w:val="18"/>
              </w:rPr>
            </w:pPr>
            <w:r w:rsidRPr="00152C64">
              <w:rPr>
                <w:rFonts w:ascii="Arial Narrow" w:hAnsi="Arial Narrow" w:cs="Arial"/>
                <w:color w:val="000000"/>
                <w:sz w:val="18"/>
                <w:szCs w:val="18"/>
              </w:rPr>
              <w:t>-</w:t>
            </w:r>
          </w:p>
        </w:tc>
        <w:tc>
          <w:tcPr>
            <w:tcW w:w="1778" w:type="dxa"/>
            <w:tcBorders>
              <w:top w:val="nil"/>
              <w:left w:val="nil"/>
              <w:bottom w:val="nil"/>
              <w:right w:val="nil"/>
            </w:tcBorders>
            <w:shd w:val="clear" w:color="auto" w:fill="auto"/>
            <w:vAlign w:val="center"/>
            <w:hideMark/>
          </w:tcPr>
          <w:p w14:paraId="3A4A6040" w14:textId="77777777" w:rsidR="007D29F8" w:rsidRPr="00152C64" w:rsidRDefault="007D29F8" w:rsidP="00DB6666">
            <w:pPr>
              <w:jc w:val="right"/>
              <w:rPr>
                <w:rFonts w:ascii="Arial Narrow" w:hAnsi="Arial Narrow" w:cs="Arial"/>
                <w:color w:val="000000"/>
                <w:sz w:val="18"/>
                <w:szCs w:val="18"/>
              </w:rPr>
            </w:pPr>
            <w:r w:rsidRPr="00152C64">
              <w:rPr>
                <w:rFonts w:ascii="Arial Narrow" w:hAnsi="Arial Narrow" w:cs="Arial"/>
                <w:color w:val="000000"/>
                <w:sz w:val="18"/>
                <w:szCs w:val="18"/>
              </w:rPr>
              <w:t>-</w:t>
            </w:r>
          </w:p>
        </w:tc>
        <w:tc>
          <w:tcPr>
            <w:tcW w:w="1905" w:type="dxa"/>
            <w:tcBorders>
              <w:top w:val="nil"/>
              <w:left w:val="nil"/>
              <w:bottom w:val="nil"/>
              <w:right w:val="nil"/>
            </w:tcBorders>
            <w:shd w:val="clear" w:color="auto" w:fill="auto"/>
            <w:vAlign w:val="center"/>
            <w:hideMark/>
          </w:tcPr>
          <w:p w14:paraId="525B3A29" w14:textId="77777777" w:rsidR="007D29F8" w:rsidRPr="00152C64" w:rsidRDefault="007D29F8" w:rsidP="00DB6666">
            <w:pPr>
              <w:jc w:val="right"/>
              <w:rPr>
                <w:rFonts w:ascii="Arial Narrow" w:hAnsi="Arial Narrow" w:cs="Arial"/>
                <w:color w:val="000000"/>
                <w:sz w:val="18"/>
                <w:szCs w:val="18"/>
              </w:rPr>
            </w:pPr>
            <w:r w:rsidRPr="00152C64">
              <w:rPr>
                <w:rFonts w:ascii="Arial Narrow" w:hAnsi="Arial Narrow" w:cs="Arial"/>
                <w:color w:val="000000"/>
                <w:sz w:val="18"/>
                <w:szCs w:val="18"/>
              </w:rPr>
              <w:t>-</w:t>
            </w:r>
          </w:p>
        </w:tc>
      </w:tr>
      <w:tr w:rsidR="007D29F8" w:rsidRPr="00152C64" w14:paraId="4B373AD3" w14:textId="77777777" w:rsidTr="00DB6666">
        <w:trPr>
          <w:trHeight w:val="349"/>
        </w:trPr>
        <w:tc>
          <w:tcPr>
            <w:tcW w:w="482" w:type="dxa"/>
            <w:tcBorders>
              <w:top w:val="single" w:sz="4" w:space="0" w:color="AAB8C4"/>
              <w:left w:val="nil"/>
              <w:bottom w:val="single" w:sz="8" w:space="0" w:color="AAB8C4"/>
              <w:right w:val="nil"/>
            </w:tcBorders>
            <w:shd w:val="clear" w:color="auto" w:fill="auto"/>
            <w:vAlign w:val="center"/>
            <w:hideMark/>
          </w:tcPr>
          <w:p w14:paraId="0D63A065" w14:textId="77777777" w:rsidR="007D29F8" w:rsidRPr="00152C64" w:rsidRDefault="007D29F8" w:rsidP="00DB6666">
            <w:pPr>
              <w:jc w:val="right"/>
              <w:rPr>
                <w:rFonts w:ascii="Arial Narrow" w:hAnsi="Arial Narrow" w:cs="Arial"/>
                <w:color w:val="000000"/>
                <w:sz w:val="18"/>
                <w:szCs w:val="18"/>
              </w:rPr>
            </w:pPr>
            <w:r w:rsidRPr="00152C64">
              <w:rPr>
                <w:rFonts w:ascii="Arial Narrow" w:hAnsi="Arial Narrow" w:cs="Arial"/>
                <w:color w:val="000000"/>
                <w:sz w:val="18"/>
                <w:szCs w:val="18"/>
              </w:rPr>
              <w:t>3</w:t>
            </w:r>
          </w:p>
        </w:tc>
        <w:tc>
          <w:tcPr>
            <w:tcW w:w="3837" w:type="dxa"/>
            <w:tcBorders>
              <w:top w:val="single" w:sz="4" w:space="0" w:color="AAB8C4"/>
              <w:left w:val="nil"/>
              <w:bottom w:val="single" w:sz="8" w:space="0" w:color="AAB8C4"/>
              <w:right w:val="nil"/>
            </w:tcBorders>
            <w:shd w:val="clear" w:color="auto" w:fill="auto"/>
            <w:vAlign w:val="center"/>
            <w:hideMark/>
          </w:tcPr>
          <w:p w14:paraId="420CEB01" w14:textId="77777777" w:rsidR="007D29F8" w:rsidRPr="00152C64" w:rsidRDefault="007D29F8" w:rsidP="00DB6666">
            <w:pPr>
              <w:rPr>
                <w:rFonts w:ascii="Arial Narrow" w:hAnsi="Arial Narrow" w:cs="Arial"/>
                <w:color w:val="000000"/>
                <w:sz w:val="18"/>
                <w:szCs w:val="18"/>
              </w:rPr>
            </w:pPr>
            <w:r w:rsidRPr="00152C64">
              <w:rPr>
                <w:rFonts w:ascii="Arial Narrow" w:hAnsi="Arial Narrow" w:cs="Arial"/>
                <w:color w:val="000000"/>
                <w:sz w:val="18"/>
                <w:szCs w:val="18"/>
              </w:rPr>
              <w:t>Montant total des ressources</w:t>
            </w:r>
          </w:p>
        </w:tc>
        <w:tc>
          <w:tcPr>
            <w:tcW w:w="1727" w:type="dxa"/>
            <w:tcBorders>
              <w:top w:val="single" w:sz="4" w:space="0" w:color="AAB8C4"/>
              <w:left w:val="nil"/>
              <w:bottom w:val="single" w:sz="8" w:space="0" w:color="AAB8C4"/>
              <w:right w:val="nil"/>
            </w:tcBorders>
            <w:shd w:val="clear" w:color="auto" w:fill="auto"/>
            <w:vAlign w:val="center"/>
            <w:hideMark/>
          </w:tcPr>
          <w:p w14:paraId="04A05491" w14:textId="77777777" w:rsidR="007D29F8" w:rsidRPr="00152C64" w:rsidRDefault="007D29F8" w:rsidP="00DB6666">
            <w:pPr>
              <w:jc w:val="right"/>
              <w:rPr>
                <w:rFonts w:ascii="Arial Narrow" w:hAnsi="Arial Narrow" w:cs="Arial"/>
                <w:color w:val="000000"/>
                <w:sz w:val="18"/>
                <w:szCs w:val="18"/>
              </w:rPr>
            </w:pPr>
            <w:r w:rsidRPr="00152C64">
              <w:rPr>
                <w:rFonts w:ascii="Arial Narrow" w:hAnsi="Arial Narrow" w:cs="Arial"/>
                <w:color w:val="000000"/>
                <w:sz w:val="18"/>
                <w:szCs w:val="18"/>
              </w:rPr>
              <w:t>7 635</w:t>
            </w:r>
          </w:p>
        </w:tc>
        <w:tc>
          <w:tcPr>
            <w:tcW w:w="1778" w:type="dxa"/>
            <w:tcBorders>
              <w:top w:val="single" w:sz="4" w:space="0" w:color="AAB8C4"/>
              <w:left w:val="nil"/>
              <w:bottom w:val="single" w:sz="8" w:space="0" w:color="AAB8C4"/>
              <w:right w:val="nil"/>
            </w:tcBorders>
            <w:shd w:val="clear" w:color="auto" w:fill="auto"/>
            <w:vAlign w:val="center"/>
            <w:hideMark/>
          </w:tcPr>
          <w:p w14:paraId="15D8F1EE" w14:textId="77777777" w:rsidR="007D29F8" w:rsidRPr="00152C64" w:rsidRDefault="007D29F8" w:rsidP="00DB6666">
            <w:pPr>
              <w:jc w:val="right"/>
              <w:rPr>
                <w:rFonts w:ascii="Arial Narrow" w:hAnsi="Arial Narrow" w:cs="Arial"/>
                <w:color w:val="000000"/>
                <w:sz w:val="18"/>
                <w:szCs w:val="18"/>
              </w:rPr>
            </w:pPr>
            <w:r w:rsidRPr="00152C64">
              <w:rPr>
                <w:rFonts w:ascii="Arial Narrow" w:hAnsi="Arial Narrow" w:cs="Arial"/>
                <w:color w:val="000000"/>
                <w:sz w:val="18"/>
                <w:szCs w:val="18"/>
              </w:rPr>
              <w:t>965</w:t>
            </w:r>
          </w:p>
        </w:tc>
        <w:tc>
          <w:tcPr>
            <w:tcW w:w="1905" w:type="dxa"/>
            <w:tcBorders>
              <w:top w:val="single" w:sz="4" w:space="0" w:color="AAB8C4"/>
              <w:left w:val="nil"/>
              <w:bottom w:val="single" w:sz="8" w:space="0" w:color="AAB8C4"/>
              <w:right w:val="nil"/>
            </w:tcBorders>
            <w:shd w:val="clear" w:color="auto" w:fill="auto"/>
            <w:vAlign w:val="center"/>
            <w:hideMark/>
          </w:tcPr>
          <w:p w14:paraId="3EC5F43A" w14:textId="77777777" w:rsidR="007D29F8" w:rsidRPr="00152C64" w:rsidRDefault="007D29F8" w:rsidP="00DB6666">
            <w:pPr>
              <w:jc w:val="right"/>
              <w:rPr>
                <w:rFonts w:ascii="Arial Narrow" w:hAnsi="Arial Narrow" w:cs="Arial"/>
                <w:color w:val="000000"/>
                <w:sz w:val="18"/>
                <w:szCs w:val="18"/>
              </w:rPr>
            </w:pPr>
            <w:r w:rsidRPr="00152C64">
              <w:rPr>
                <w:rFonts w:ascii="Arial Narrow" w:hAnsi="Arial Narrow" w:cs="Arial"/>
                <w:color w:val="000000"/>
                <w:sz w:val="18"/>
                <w:szCs w:val="18"/>
              </w:rPr>
              <w:t>8 600</w:t>
            </w:r>
          </w:p>
        </w:tc>
      </w:tr>
      <w:tr w:rsidR="007D29F8" w:rsidRPr="00152C64" w14:paraId="5744458F" w14:textId="77777777" w:rsidTr="00DB6666">
        <w:trPr>
          <w:trHeight w:val="263"/>
        </w:trPr>
        <w:tc>
          <w:tcPr>
            <w:tcW w:w="482" w:type="dxa"/>
            <w:tcBorders>
              <w:top w:val="nil"/>
              <w:left w:val="nil"/>
              <w:bottom w:val="nil"/>
              <w:right w:val="nil"/>
            </w:tcBorders>
            <w:shd w:val="clear" w:color="auto" w:fill="auto"/>
            <w:vAlign w:val="center"/>
            <w:hideMark/>
          </w:tcPr>
          <w:p w14:paraId="20D87DC1" w14:textId="77777777" w:rsidR="007D29F8" w:rsidRPr="00152C64" w:rsidRDefault="007D29F8" w:rsidP="00DB6666">
            <w:pPr>
              <w:jc w:val="right"/>
              <w:rPr>
                <w:rFonts w:ascii="Arial Narrow" w:hAnsi="Arial Narrow" w:cs="Arial"/>
                <w:color w:val="000000"/>
                <w:sz w:val="18"/>
                <w:szCs w:val="18"/>
              </w:rPr>
            </w:pPr>
          </w:p>
        </w:tc>
        <w:tc>
          <w:tcPr>
            <w:tcW w:w="3837" w:type="dxa"/>
            <w:tcBorders>
              <w:top w:val="nil"/>
              <w:left w:val="nil"/>
              <w:bottom w:val="nil"/>
              <w:right w:val="nil"/>
            </w:tcBorders>
            <w:shd w:val="clear" w:color="auto" w:fill="auto"/>
            <w:vAlign w:val="center"/>
            <w:hideMark/>
          </w:tcPr>
          <w:p w14:paraId="2C5D2B6F" w14:textId="77777777" w:rsidR="007D29F8" w:rsidRPr="00152C64" w:rsidRDefault="007D29F8" w:rsidP="00DB6666">
            <w:pPr>
              <w:jc w:val="right"/>
              <w:rPr>
                <w:rFonts w:ascii="Arial Narrow" w:hAnsi="Arial Narrow"/>
                <w:sz w:val="18"/>
                <w:szCs w:val="18"/>
              </w:rPr>
            </w:pPr>
          </w:p>
        </w:tc>
        <w:tc>
          <w:tcPr>
            <w:tcW w:w="1727" w:type="dxa"/>
            <w:tcBorders>
              <w:top w:val="nil"/>
              <w:left w:val="nil"/>
              <w:bottom w:val="nil"/>
              <w:right w:val="nil"/>
            </w:tcBorders>
            <w:shd w:val="clear" w:color="auto" w:fill="auto"/>
            <w:vAlign w:val="center"/>
            <w:hideMark/>
          </w:tcPr>
          <w:p w14:paraId="0D57FE65" w14:textId="77777777" w:rsidR="007D29F8" w:rsidRPr="00152C64" w:rsidRDefault="007D29F8" w:rsidP="00DB6666">
            <w:pPr>
              <w:jc w:val="right"/>
              <w:rPr>
                <w:rFonts w:ascii="Arial Narrow" w:hAnsi="Arial Narrow"/>
                <w:sz w:val="18"/>
                <w:szCs w:val="18"/>
              </w:rPr>
            </w:pPr>
          </w:p>
        </w:tc>
        <w:tc>
          <w:tcPr>
            <w:tcW w:w="1778" w:type="dxa"/>
            <w:tcBorders>
              <w:top w:val="nil"/>
              <w:left w:val="nil"/>
              <w:bottom w:val="nil"/>
              <w:right w:val="nil"/>
            </w:tcBorders>
            <w:shd w:val="clear" w:color="auto" w:fill="auto"/>
            <w:vAlign w:val="center"/>
            <w:hideMark/>
          </w:tcPr>
          <w:p w14:paraId="03C71D98" w14:textId="77777777" w:rsidR="007D29F8" w:rsidRPr="00152C64" w:rsidRDefault="007D29F8" w:rsidP="00DB6666">
            <w:pPr>
              <w:jc w:val="right"/>
              <w:rPr>
                <w:rFonts w:ascii="Arial Narrow" w:hAnsi="Arial Narrow"/>
                <w:sz w:val="18"/>
                <w:szCs w:val="18"/>
              </w:rPr>
            </w:pPr>
          </w:p>
        </w:tc>
        <w:tc>
          <w:tcPr>
            <w:tcW w:w="1905" w:type="dxa"/>
            <w:tcBorders>
              <w:top w:val="nil"/>
              <w:left w:val="nil"/>
              <w:bottom w:val="nil"/>
              <w:right w:val="nil"/>
            </w:tcBorders>
            <w:shd w:val="clear" w:color="auto" w:fill="auto"/>
            <w:vAlign w:val="center"/>
            <w:hideMark/>
          </w:tcPr>
          <w:p w14:paraId="08C70CD7" w14:textId="77777777" w:rsidR="007D29F8" w:rsidRPr="00152C64" w:rsidRDefault="007D29F8" w:rsidP="00DB6666">
            <w:pPr>
              <w:jc w:val="right"/>
              <w:rPr>
                <w:rFonts w:ascii="Arial Narrow" w:hAnsi="Arial Narrow"/>
                <w:sz w:val="18"/>
                <w:szCs w:val="18"/>
              </w:rPr>
            </w:pPr>
          </w:p>
        </w:tc>
      </w:tr>
      <w:tr w:rsidR="007D29F8" w:rsidRPr="00152C64" w14:paraId="02304B21" w14:textId="77777777" w:rsidTr="00DB6666">
        <w:trPr>
          <w:trHeight w:val="349"/>
        </w:trPr>
        <w:tc>
          <w:tcPr>
            <w:tcW w:w="4319" w:type="dxa"/>
            <w:gridSpan w:val="2"/>
            <w:tcBorders>
              <w:top w:val="nil"/>
              <w:left w:val="nil"/>
              <w:bottom w:val="nil"/>
              <w:right w:val="nil"/>
            </w:tcBorders>
            <w:shd w:val="clear" w:color="auto" w:fill="auto"/>
            <w:vAlign w:val="center"/>
            <w:hideMark/>
          </w:tcPr>
          <w:p w14:paraId="712D544A" w14:textId="77777777" w:rsidR="007D29F8" w:rsidRPr="00152C64" w:rsidRDefault="007D29F8" w:rsidP="00DB6666">
            <w:pPr>
              <w:rPr>
                <w:rFonts w:ascii="Arial Narrow" w:hAnsi="Arial Narrow" w:cs="Arial"/>
                <w:b/>
                <w:bCs/>
                <w:color w:val="000000"/>
                <w:sz w:val="18"/>
                <w:szCs w:val="18"/>
              </w:rPr>
            </w:pPr>
            <w:r w:rsidRPr="00152C64">
              <w:rPr>
                <w:rFonts w:ascii="Arial Narrow" w:hAnsi="Arial Narrow" w:cs="Arial"/>
                <w:b/>
                <w:bCs/>
                <w:color w:val="000000"/>
                <w:sz w:val="18"/>
                <w:szCs w:val="18"/>
              </w:rPr>
              <w:t>Ressources disponibles 2024-2025</w:t>
            </w:r>
          </w:p>
        </w:tc>
        <w:tc>
          <w:tcPr>
            <w:tcW w:w="1727" w:type="dxa"/>
            <w:tcBorders>
              <w:top w:val="nil"/>
              <w:left w:val="nil"/>
              <w:bottom w:val="nil"/>
              <w:right w:val="nil"/>
            </w:tcBorders>
            <w:shd w:val="clear" w:color="auto" w:fill="auto"/>
            <w:vAlign w:val="center"/>
            <w:hideMark/>
          </w:tcPr>
          <w:p w14:paraId="730796D0" w14:textId="77777777" w:rsidR="007D29F8" w:rsidRPr="00152C64" w:rsidRDefault="007D29F8" w:rsidP="00DB6666">
            <w:pPr>
              <w:jc w:val="right"/>
              <w:rPr>
                <w:rFonts w:ascii="Arial Narrow" w:hAnsi="Arial Narrow" w:cs="Arial"/>
                <w:b/>
                <w:bCs/>
                <w:color w:val="000000"/>
                <w:sz w:val="18"/>
                <w:szCs w:val="18"/>
              </w:rPr>
            </w:pPr>
          </w:p>
        </w:tc>
        <w:tc>
          <w:tcPr>
            <w:tcW w:w="1778" w:type="dxa"/>
            <w:tcBorders>
              <w:top w:val="nil"/>
              <w:left w:val="nil"/>
              <w:bottom w:val="nil"/>
              <w:right w:val="nil"/>
            </w:tcBorders>
            <w:shd w:val="clear" w:color="auto" w:fill="auto"/>
            <w:vAlign w:val="center"/>
            <w:hideMark/>
          </w:tcPr>
          <w:p w14:paraId="05319430" w14:textId="77777777" w:rsidR="007D29F8" w:rsidRPr="00152C64" w:rsidRDefault="007D29F8" w:rsidP="00DB6666">
            <w:pPr>
              <w:jc w:val="right"/>
              <w:rPr>
                <w:rFonts w:ascii="Arial Narrow" w:hAnsi="Arial Narrow"/>
                <w:sz w:val="18"/>
                <w:szCs w:val="18"/>
              </w:rPr>
            </w:pPr>
          </w:p>
        </w:tc>
        <w:tc>
          <w:tcPr>
            <w:tcW w:w="1905" w:type="dxa"/>
            <w:tcBorders>
              <w:top w:val="nil"/>
              <w:left w:val="nil"/>
              <w:bottom w:val="nil"/>
              <w:right w:val="nil"/>
            </w:tcBorders>
            <w:shd w:val="clear" w:color="auto" w:fill="auto"/>
            <w:vAlign w:val="center"/>
            <w:hideMark/>
          </w:tcPr>
          <w:p w14:paraId="5A0EBB32" w14:textId="77777777" w:rsidR="007D29F8" w:rsidRPr="00152C64" w:rsidRDefault="007D29F8" w:rsidP="00DB6666">
            <w:pPr>
              <w:jc w:val="right"/>
              <w:rPr>
                <w:rFonts w:ascii="Arial Narrow" w:hAnsi="Arial Narrow"/>
                <w:sz w:val="18"/>
                <w:szCs w:val="18"/>
              </w:rPr>
            </w:pPr>
          </w:p>
        </w:tc>
      </w:tr>
      <w:tr w:rsidR="007D29F8" w:rsidRPr="00152C64" w14:paraId="31B93E17" w14:textId="77777777" w:rsidTr="00DB6666">
        <w:trPr>
          <w:trHeight w:val="349"/>
        </w:trPr>
        <w:tc>
          <w:tcPr>
            <w:tcW w:w="482" w:type="dxa"/>
            <w:tcBorders>
              <w:top w:val="nil"/>
              <w:left w:val="nil"/>
              <w:bottom w:val="nil"/>
              <w:right w:val="nil"/>
            </w:tcBorders>
            <w:shd w:val="clear" w:color="auto" w:fill="auto"/>
            <w:vAlign w:val="center"/>
            <w:hideMark/>
          </w:tcPr>
          <w:p w14:paraId="11BEDBED" w14:textId="77777777" w:rsidR="007D29F8" w:rsidRPr="00152C64" w:rsidRDefault="007D29F8" w:rsidP="00DB6666">
            <w:pPr>
              <w:jc w:val="right"/>
              <w:rPr>
                <w:rFonts w:ascii="Arial Narrow" w:hAnsi="Arial Narrow" w:cs="Arial"/>
                <w:color w:val="000000"/>
                <w:sz w:val="18"/>
                <w:szCs w:val="18"/>
              </w:rPr>
            </w:pPr>
            <w:r w:rsidRPr="00152C64">
              <w:rPr>
                <w:rFonts w:ascii="Arial Narrow" w:hAnsi="Arial Narrow" w:cs="Arial"/>
                <w:color w:val="000000"/>
                <w:sz w:val="18"/>
                <w:szCs w:val="18"/>
              </w:rPr>
              <w:t>4</w:t>
            </w:r>
          </w:p>
        </w:tc>
        <w:tc>
          <w:tcPr>
            <w:tcW w:w="3837" w:type="dxa"/>
            <w:tcBorders>
              <w:top w:val="nil"/>
              <w:left w:val="nil"/>
              <w:bottom w:val="nil"/>
              <w:right w:val="nil"/>
            </w:tcBorders>
            <w:shd w:val="clear" w:color="auto" w:fill="auto"/>
            <w:vAlign w:val="center"/>
            <w:hideMark/>
          </w:tcPr>
          <w:p w14:paraId="6207C9A5" w14:textId="77777777" w:rsidR="007D29F8" w:rsidRPr="00152C64" w:rsidRDefault="007D29F8" w:rsidP="00DB6666">
            <w:pPr>
              <w:rPr>
                <w:rFonts w:ascii="Arial Narrow" w:hAnsi="Arial Narrow" w:cs="Arial"/>
                <w:color w:val="000000"/>
                <w:sz w:val="18"/>
                <w:szCs w:val="18"/>
              </w:rPr>
            </w:pPr>
            <w:r w:rsidRPr="00152C64">
              <w:rPr>
                <w:rFonts w:ascii="Arial Narrow" w:hAnsi="Arial Narrow" w:cs="Arial"/>
                <w:color w:val="000000"/>
                <w:sz w:val="18"/>
                <w:szCs w:val="18"/>
              </w:rPr>
              <w:t>Recettes</w:t>
            </w:r>
          </w:p>
        </w:tc>
        <w:tc>
          <w:tcPr>
            <w:tcW w:w="1727" w:type="dxa"/>
            <w:tcBorders>
              <w:top w:val="nil"/>
              <w:left w:val="nil"/>
              <w:bottom w:val="nil"/>
              <w:right w:val="nil"/>
            </w:tcBorders>
            <w:shd w:val="clear" w:color="auto" w:fill="auto"/>
            <w:vAlign w:val="center"/>
            <w:hideMark/>
          </w:tcPr>
          <w:p w14:paraId="5FCFB8C6" w14:textId="77777777" w:rsidR="007D29F8" w:rsidRPr="00152C64" w:rsidRDefault="007D29F8" w:rsidP="00DB6666">
            <w:pPr>
              <w:jc w:val="right"/>
              <w:rPr>
                <w:rFonts w:ascii="Arial Narrow" w:hAnsi="Arial Narrow" w:cs="Arial"/>
                <w:color w:val="000000"/>
                <w:sz w:val="18"/>
                <w:szCs w:val="18"/>
              </w:rPr>
            </w:pPr>
            <w:r w:rsidRPr="00152C64">
              <w:rPr>
                <w:rFonts w:ascii="Arial Narrow" w:hAnsi="Arial Narrow" w:cs="Arial"/>
                <w:color w:val="000000"/>
                <w:sz w:val="18"/>
                <w:szCs w:val="18"/>
              </w:rPr>
              <w:t>7 901</w:t>
            </w:r>
          </w:p>
        </w:tc>
        <w:tc>
          <w:tcPr>
            <w:tcW w:w="1778" w:type="dxa"/>
            <w:tcBorders>
              <w:top w:val="nil"/>
              <w:left w:val="nil"/>
              <w:bottom w:val="nil"/>
              <w:right w:val="nil"/>
            </w:tcBorders>
            <w:shd w:val="clear" w:color="auto" w:fill="auto"/>
            <w:vAlign w:val="center"/>
            <w:hideMark/>
          </w:tcPr>
          <w:p w14:paraId="3EF06B1B" w14:textId="77777777" w:rsidR="007D29F8" w:rsidRPr="00152C64" w:rsidRDefault="007D29F8" w:rsidP="00DB6666">
            <w:pPr>
              <w:jc w:val="right"/>
              <w:rPr>
                <w:rFonts w:ascii="Arial Narrow" w:hAnsi="Arial Narrow" w:cs="Arial"/>
                <w:color w:val="000000"/>
                <w:sz w:val="18"/>
                <w:szCs w:val="18"/>
              </w:rPr>
            </w:pPr>
            <w:r w:rsidRPr="00152C64">
              <w:rPr>
                <w:rFonts w:ascii="Arial Narrow" w:hAnsi="Arial Narrow" w:cs="Arial"/>
                <w:color w:val="000000"/>
                <w:sz w:val="18"/>
                <w:szCs w:val="18"/>
              </w:rPr>
              <w:t>920</w:t>
            </w:r>
          </w:p>
        </w:tc>
        <w:tc>
          <w:tcPr>
            <w:tcW w:w="1905" w:type="dxa"/>
            <w:tcBorders>
              <w:top w:val="nil"/>
              <w:left w:val="nil"/>
              <w:bottom w:val="nil"/>
              <w:right w:val="nil"/>
            </w:tcBorders>
            <w:shd w:val="clear" w:color="auto" w:fill="auto"/>
            <w:vAlign w:val="center"/>
            <w:hideMark/>
          </w:tcPr>
          <w:p w14:paraId="2849C938" w14:textId="77777777" w:rsidR="007D29F8" w:rsidRPr="00152C64" w:rsidRDefault="007D29F8" w:rsidP="00DB6666">
            <w:pPr>
              <w:jc w:val="right"/>
              <w:rPr>
                <w:rFonts w:ascii="Arial Narrow" w:hAnsi="Arial Narrow" w:cs="Arial"/>
                <w:color w:val="000000"/>
                <w:sz w:val="18"/>
                <w:szCs w:val="18"/>
              </w:rPr>
            </w:pPr>
            <w:r w:rsidRPr="00152C64">
              <w:rPr>
                <w:rFonts w:ascii="Arial Narrow" w:hAnsi="Arial Narrow" w:cs="Arial"/>
                <w:color w:val="000000"/>
                <w:sz w:val="18"/>
                <w:szCs w:val="18"/>
              </w:rPr>
              <w:t>8 822</w:t>
            </w:r>
          </w:p>
        </w:tc>
      </w:tr>
      <w:tr w:rsidR="007D29F8" w:rsidRPr="00152C64" w14:paraId="3768BD55" w14:textId="77777777" w:rsidTr="00DB6666">
        <w:trPr>
          <w:trHeight w:val="349"/>
        </w:trPr>
        <w:tc>
          <w:tcPr>
            <w:tcW w:w="482" w:type="dxa"/>
            <w:tcBorders>
              <w:top w:val="nil"/>
              <w:left w:val="nil"/>
              <w:bottom w:val="nil"/>
              <w:right w:val="nil"/>
            </w:tcBorders>
            <w:shd w:val="clear" w:color="auto" w:fill="auto"/>
            <w:vAlign w:val="center"/>
            <w:hideMark/>
          </w:tcPr>
          <w:p w14:paraId="2A8FBC8B" w14:textId="77777777" w:rsidR="007D29F8" w:rsidRPr="00152C64" w:rsidRDefault="007D29F8" w:rsidP="00DB6666">
            <w:pPr>
              <w:jc w:val="right"/>
              <w:rPr>
                <w:rFonts w:ascii="Arial Narrow" w:hAnsi="Arial Narrow" w:cs="Arial"/>
                <w:color w:val="000000"/>
                <w:sz w:val="18"/>
                <w:szCs w:val="18"/>
              </w:rPr>
            </w:pPr>
            <w:r w:rsidRPr="00152C64">
              <w:rPr>
                <w:rFonts w:ascii="Arial Narrow" w:hAnsi="Arial Narrow" w:cs="Arial"/>
                <w:color w:val="000000"/>
                <w:sz w:val="18"/>
                <w:szCs w:val="18"/>
              </w:rPr>
              <w:t>5</w:t>
            </w:r>
          </w:p>
        </w:tc>
        <w:tc>
          <w:tcPr>
            <w:tcW w:w="3837" w:type="dxa"/>
            <w:tcBorders>
              <w:top w:val="nil"/>
              <w:left w:val="nil"/>
              <w:bottom w:val="nil"/>
              <w:right w:val="nil"/>
            </w:tcBorders>
            <w:shd w:val="clear" w:color="auto" w:fill="auto"/>
            <w:vAlign w:val="center"/>
            <w:hideMark/>
          </w:tcPr>
          <w:p w14:paraId="6740DF36" w14:textId="77777777" w:rsidR="007D29F8" w:rsidRPr="00152C64" w:rsidRDefault="007D29F8" w:rsidP="00DB6666">
            <w:pPr>
              <w:rPr>
                <w:rFonts w:ascii="Arial Narrow" w:hAnsi="Arial Narrow" w:cs="Arial"/>
                <w:color w:val="000000"/>
                <w:sz w:val="18"/>
                <w:szCs w:val="18"/>
              </w:rPr>
            </w:pPr>
            <w:r w:rsidRPr="00152C64">
              <w:rPr>
                <w:rFonts w:ascii="Arial Narrow" w:hAnsi="Arial Narrow" w:cs="Arial"/>
                <w:color w:val="000000"/>
                <w:sz w:val="18"/>
                <w:szCs w:val="18"/>
              </w:rPr>
              <w:t>+/(-) Transfert du/vers solde fonds</w:t>
            </w:r>
          </w:p>
        </w:tc>
        <w:tc>
          <w:tcPr>
            <w:tcW w:w="1727" w:type="dxa"/>
            <w:tcBorders>
              <w:top w:val="nil"/>
              <w:left w:val="nil"/>
              <w:bottom w:val="nil"/>
              <w:right w:val="nil"/>
            </w:tcBorders>
            <w:shd w:val="clear" w:color="auto" w:fill="auto"/>
            <w:vAlign w:val="center"/>
            <w:hideMark/>
          </w:tcPr>
          <w:p w14:paraId="3EBFF5BB" w14:textId="77777777" w:rsidR="007D29F8" w:rsidRPr="00152C64" w:rsidRDefault="007D29F8" w:rsidP="00DB6666">
            <w:pPr>
              <w:jc w:val="right"/>
              <w:rPr>
                <w:rFonts w:ascii="Arial Narrow" w:hAnsi="Arial Narrow" w:cs="Arial"/>
                <w:color w:val="000000"/>
                <w:sz w:val="18"/>
                <w:szCs w:val="18"/>
              </w:rPr>
            </w:pPr>
            <w:r w:rsidRPr="00152C64">
              <w:rPr>
                <w:rFonts w:ascii="Arial Narrow" w:hAnsi="Arial Narrow" w:cs="Arial"/>
                <w:color w:val="000000"/>
                <w:sz w:val="18"/>
                <w:szCs w:val="18"/>
              </w:rPr>
              <w:t>-</w:t>
            </w:r>
          </w:p>
        </w:tc>
        <w:tc>
          <w:tcPr>
            <w:tcW w:w="1778" w:type="dxa"/>
            <w:tcBorders>
              <w:top w:val="nil"/>
              <w:left w:val="nil"/>
              <w:bottom w:val="nil"/>
              <w:right w:val="nil"/>
            </w:tcBorders>
            <w:shd w:val="clear" w:color="auto" w:fill="auto"/>
            <w:vAlign w:val="center"/>
            <w:hideMark/>
          </w:tcPr>
          <w:p w14:paraId="6542DBFA" w14:textId="77777777" w:rsidR="007D29F8" w:rsidRPr="00152C64" w:rsidRDefault="007D29F8" w:rsidP="00DB6666">
            <w:pPr>
              <w:jc w:val="right"/>
              <w:rPr>
                <w:rFonts w:ascii="Arial Narrow" w:hAnsi="Arial Narrow" w:cs="Arial"/>
                <w:color w:val="000000"/>
                <w:sz w:val="18"/>
                <w:szCs w:val="18"/>
              </w:rPr>
            </w:pPr>
            <w:r w:rsidRPr="00152C64">
              <w:rPr>
                <w:rFonts w:ascii="Arial Narrow" w:hAnsi="Arial Narrow" w:cs="Arial"/>
                <w:color w:val="000000"/>
                <w:sz w:val="18"/>
                <w:szCs w:val="18"/>
              </w:rPr>
              <w:t>-</w:t>
            </w:r>
          </w:p>
        </w:tc>
        <w:tc>
          <w:tcPr>
            <w:tcW w:w="1905" w:type="dxa"/>
            <w:tcBorders>
              <w:top w:val="nil"/>
              <w:left w:val="nil"/>
              <w:bottom w:val="nil"/>
              <w:right w:val="nil"/>
            </w:tcBorders>
            <w:shd w:val="clear" w:color="auto" w:fill="auto"/>
            <w:vAlign w:val="center"/>
            <w:hideMark/>
          </w:tcPr>
          <w:p w14:paraId="50FDE5E1" w14:textId="77777777" w:rsidR="007D29F8" w:rsidRPr="00152C64" w:rsidRDefault="007D29F8" w:rsidP="00DB6666">
            <w:pPr>
              <w:jc w:val="right"/>
              <w:rPr>
                <w:rFonts w:ascii="Arial Narrow" w:hAnsi="Arial Narrow" w:cs="Arial"/>
                <w:color w:val="000000"/>
                <w:sz w:val="18"/>
                <w:szCs w:val="18"/>
              </w:rPr>
            </w:pPr>
            <w:r w:rsidRPr="00152C64">
              <w:rPr>
                <w:rFonts w:ascii="Arial Narrow" w:hAnsi="Arial Narrow" w:cs="Arial"/>
                <w:color w:val="000000"/>
                <w:sz w:val="18"/>
                <w:szCs w:val="18"/>
              </w:rPr>
              <w:t>-</w:t>
            </w:r>
          </w:p>
        </w:tc>
      </w:tr>
      <w:tr w:rsidR="007D29F8" w:rsidRPr="00152C64" w14:paraId="125DBDE4" w14:textId="77777777" w:rsidTr="00DB6666">
        <w:trPr>
          <w:trHeight w:val="379"/>
        </w:trPr>
        <w:tc>
          <w:tcPr>
            <w:tcW w:w="482" w:type="dxa"/>
            <w:tcBorders>
              <w:top w:val="single" w:sz="4" w:space="0" w:color="AAB8C4"/>
              <w:left w:val="nil"/>
              <w:bottom w:val="single" w:sz="8" w:space="0" w:color="AAB8C4"/>
              <w:right w:val="nil"/>
            </w:tcBorders>
            <w:shd w:val="clear" w:color="auto" w:fill="auto"/>
            <w:vAlign w:val="center"/>
            <w:hideMark/>
          </w:tcPr>
          <w:p w14:paraId="4834427D" w14:textId="77777777" w:rsidR="007D29F8" w:rsidRPr="00152C64" w:rsidRDefault="007D29F8" w:rsidP="00DB6666">
            <w:pPr>
              <w:jc w:val="right"/>
              <w:rPr>
                <w:rFonts w:ascii="Arial Narrow" w:hAnsi="Arial Narrow" w:cs="Arial"/>
                <w:b/>
                <w:bCs/>
                <w:color w:val="000000"/>
                <w:sz w:val="18"/>
                <w:szCs w:val="18"/>
              </w:rPr>
            </w:pPr>
            <w:r w:rsidRPr="00152C64">
              <w:rPr>
                <w:rFonts w:ascii="Arial Narrow" w:hAnsi="Arial Narrow" w:cs="Arial"/>
                <w:b/>
                <w:bCs/>
                <w:color w:val="000000"/>
                <w:sz w:val="18"/>
                <w:szCs w:val="18"/>
              </w:rPr>
              <w:t>6</w:t>
            </w:r>
          </w:p>
        </w:tc>
        <w:tc>
          <w:tcPr>
            <w:tcW w:w="3837" w:type="dxa"/>
            <w:tcBorders>
              <w:top w:val="single" w:sz="4" w:space="0" w:color="AAB8C4"/>
              <w:left w:val="nil"/>
              <w:bottom w:val="single" w:sz="8" w:space="0" w:color="AAB8C4"/>
              <w:right w:val="nil"/>
            </w:tcBorders>
            <w:shd w:val="clear" w:color="auto" w:fill="auto"/>
            <w:vAlign w:val="center"/>
            <w:hideMark/>
          </w:tcPr>
          <w:p w14:paraId="17E7A2BC" w14:textId="77777777" w:rsidR="007D29F8" w:rsidRPr="00152C64" w:rsidRDefault="007D29F8" w:rsidP="00DB6666">
            <w:pPr>
              <w:rPr>
                <w:rFonts w:ascii="Arial Narrow" w:hAnsi="Arial Narrow" w:cs="Arial"/>
                <w:b/>
                <w:bCs/>
                <w:color w:val="000000"/>
                <w:sz w:val="18"/>
                <w:szCs w:val="18"/>
              </w:rPr>
            </w:pPr>
            <w:r w:rsidRPr="00152C64">
              <w:rPr>
                <w:rFonts w:ascii="Arial Narrow" w:hAnsi="Arial Narrow" w:cs="Arial"/>
                <w:b/>
                <w:bCs/>
                <w:color w:val="000000"/>
                <w:sz w:val="18"/>
                <w:szCs w:val="18"/>
              </w:rPr>
              <w:t>Montant total des ressources</w:t>
            </w:r>
          </w:p>
        </w:tc>
        <w:tc>
          <w:tcPr>
            <w:tcW w:w="1727" w:type="dxa"/>
            <w:tcBorders>
              <w:top w:val="single" w:sz="4" w:space="0" w:color="AAB8C4"/>
              <w:left w:val="nil"/>
              <w:bottom w:val="single" w:sz="8" w:space="0" w:color="AAB8C4"/>
              <w:right w:val="nil"/>
            </w:tcBorders>
            <w:shd w:val="clear" w:color="auto" w:fill="auto"/>
            <w:vAlign w:val="center"/>
            <w:hideMark/>
          </w:tcPr>
          <w:p w14:paraId="2C5ABA4C" w14:textId="77777777" w:rsidR="007D29F8" w:rsidRPr="00152C64" w:rsidRDefault="007D29F8" w:rsidP="00DB6666">
            <w:pPr>
              <w:jc w:val="right"/>
              <w:rPr>
                <w:rFonts w:ascii="Arial Narrow" w:hAnsi="Arial Narrow" w:cs="Arial"/>
                <w:b/>
                <w:bCs/>
                <w:color w:val="000000"/>
                <w:sz w:val="18"/>
                <w:szCs w:val="18"/>
              </w:rPr>
            </w:pPr>
            <w:r w:rsidRPr="00152C64">
              <w:rPr>
                <w:rFonts w:ascii="Arial Narrow" w:hAnsi="Arial Narrow" w:cs="Arial"/>
                <w:b/>
                <w:bCs/>
                <w:color w:val="000000"/>
                <w:sz w:val="18"/>
                <w:szCs w:val="18"/>
              </w:rPr>
              <w:t>7 901</w:t>
            </w:r>
          </w:p>
        </w:tc>
        <w:tc>
          <w:tcPr>
            <w:tcW w:w="1778" w:type="dxa"/>
            <w:tcBorders>
              <w:top w:val="single" w:sz="4" w:space="0" w:color="AAB8C4"/>
              <w:left w:val="nil"/>
              <w:bottom w:val="single" w:sz="8" w:space="0" w:color="AAB8C4"/>
              <w:right w:val="nil"/>
            </w:tcBorders>
            <w:shd w:val="clear" w:color="auto" w:fill="auto"/>
            <w:vAlign w:val="center"/>
            <w:hideMark/>
          </w:tcPr>
          <w:p w14:paraId="2FA9D1B3" w14:textId="77777777" w:rsidR="007D29F8" w:rsidRPr="00152C64" w:rsidRDefault="007D29F8" w:rsidP="00DB6666">
            <w:pPr>
              <w:jc w:val="right"/>
              <w:rPr>
                <w:rFonts w:ascii="Arial Narrow" w:hAnsi="Arial Narrow" w:cs="Arial"/>
                <w:b/>
                <w:bCs/>
                <w:color w:val="000000"/>
                <w:sz w:val="18"/>
                <w:szCs w:val="18"/>
              </w:rPr>
            </w:pPr>
            <w:r w:rsidRPr="00152C64">
              <w:rPr>
                <w:rFonts w:ascii="Arial Narrow" w:hAnsi="Arial Narrow" w:cs="Arial"/>
                <w:b/>
                <w:bCs/>
                <w:color w:val="000000"/>
                <w:sz w:val="18"/>
                <w:szCs w:val="18"/>
              </w:rPr>
              <w:t>920</w:t>
            </w:r>
          </w:p>
        </w:tc>
        <w:tc>
          <w:tcPr>
            <w:tcW w:w="1905" w:type="dxa"/>
            <w:tcBorders>
              <w:top w:val="single" w:sz="4" w:space="0" w:color="AAB8C4"/>
              <w:left w:val="nil"/>
              <w:bottom w:val="single" w:sz="8" w:space="0" w:color="AAB8C4"/>
              <w:right w:val="nil"/>
            </w:tcBorders>
            <w:shd w:val="clear" w:color="auto" w:fill="auto"/>
            <w:vAlign w:val="center"/>
            <w:hideMark/>
          </w:tcPr>
          <w:p w14:paraId="20DE7C92" w14:textId="77777777" w:rsidR="007D29F8" w:rsidRPr="00152C64" w:rsidRDefault="007D29F8" w:rsidP="00DB6666">
            <w:pPr>
              <w:jc w:val="right"/>
              <w:rPr>
                <w:rFonts w:ascii="Arial Narrow" w:hAnsi="Arial Narrow" w:cs="Arial"/>
                <w:b/>
                <w:bCs/>
                <w:color w:val="000000"/>
                <w:sz w:val="18"/>
                <w:szCs w:val="18"/>
              </w:rPr>
            </w:pPr>
            <w:r w:rsidRPr="00152C64">
              <w:rPr>
                <w:rFonts w:ascii="Arial Narrow" w:hAnsi="Arial Narrow" w:cs="Arial"/>
                <w:b/>
                <w:bCs/>
                <w:color w:val="000000"/>
                <w:sz w:val="18"/>
                <w:szCs w:val="18"/>
              </w:rPr>
              <w:t>8 822</w:t>
            </w:r>
          </w:p>
        </w:tc>
      </w:tr>
      <w:tr w:rsidR="007D29F8" w:rsidRPr="00152C64" w14:paraId="15BD31B0" w14:textId="77777777" w:rsidTr="00DB6666">
        <w:trPr>
          <w:trHeight w:val="334"/>
        </w:trPr>
        <w:tc>
          <w:tcPr>
            <w:tcW w:w="482" w:type="dxa"/>
            <w:tcBorders>
              <w:top w:val="nil"/>
              <w:left w:val="nil"/>
              <w:bottom w:val="nil"/>
              <w:right w:val="nil"/>
            </w:tcBorders>
            <w:shd w:val="clear" w:color="auto" w:fill="auto"/>
            <w:hideMark/>
          </w:tcPr>
          <w:p w14:paraId="314A86EE" w14:textId="77777777" w:rsidR="007D29F8" w:rsidRPr="00152C64" w:rsidRDefault="007D29F8" w:rsidP="00DB6666">
            <w:pPr>
              <w:jc w:val="right"/>
              <w:rPr>
                <w:rFonts w:ascii="Arial Narrow" w:hAnsi="Arial Narrow" w:cs="Arial"/>
                <w:b/>
                <w:bCs/>
                <w:color w:val="000000"/>
                <w:sz w:val="18"/>
                <w:szCs w:val="18"/>
              </w:rPr>
            </w:pPr>
          </w:p>
        </w:tc>
        <w:tc>
          <w:tcPr>
            <w:tcW w:w="3837" w:type="dxa"/>
            <w:tcBorders>
              <w:top w:val="nil"/>
              <w:left w:val="nil"/>
              <w:bottom w:val="nil"/>
              <w:right w:val="nil"/>
            </w:tcBorders>
            <w:shd w:val="clear" w:color="auto" w:fill="auto"/>
            <w:vAlign w:val="center"/>
            <w:hideMark/>
          </w:tcPr>
          <w:p w14:paraId="13272DA8" w14:textId="77777777" w:rsidR="007D29F8" w:rsidRPr="00152C64" w:rsidRDefault="007D29F8" w:rsidP="00DB6666">
            <w:pPr>
              <w:rPr>
                <w:rFonts w:ascii="Arial Narrow" w:hAnsi="Arial Narrow" w:cs="Arial"/>
                <w:i/>
                <w:iCs/>
                <w:color w:val="000000"/>
                <w:sz w:val="18"/>
                <w:szCs w:val="18"/>
              </w:rPr>
            </w:pPr>
            <w:r w:rsidRPr="00152C64">
              <w:rPr>
                <w:rFonts w:ascii="Arial Narrow" w:hAnsi="Arial Narrow" w:cs="Arial"/>
                <w:i/>
                <w:iCs/>
                <w:color w:val="000000"/>
                <w:sz w:val="18"/>
                <w:szCs w:val="18"/>
              </w:rPr>
              <w:t>Variation</w:t>
            </w:r>
          </w:p>
        </w:tc>
        <w:tc>
          <w:tcPr>
            <w:tcW w:w="1727" w:type="dxa"/>
            <w:tcBorders>
              <w:top w:val="nil"/>
              <w:left w:val="nil"/>
              <w:bottom w:val="nil"/>
              <w:right w:val="nil"/>
            </w:tcBorders>
            <w:shd w:val="clear" w:color="auto" w:fill="auto"/>
            <w:vAlign w:val="center"/>
            <w:hideMark/>
          </w:tcPr>
          <w:p w14:paraId="610F4DA9" w14:textId="77777777" w:rsidR="007D29F8" w:rsidRPr="00152C64" w:rsidRDefault="007D29F8" w:rsidP="00DB6666">
            <w:pPr>
              <w:jc w:val="right"/>
              <w:rPr>
                <w:rFonts w:ascii="Arial Narrow" w:hAnsi="Arial Narrow" w:cs="Arial"/>
                <w:i/>
                <w:iCs/>
                <w:color w:val="000000"/>
                <w:sz w:val="18"/>
                <w:szCs w:val="18"/>
              </w:rPr>
            </w:pPr>
            <w:r w:rsidRPr="00152C64">
              <w:rPr>
                <w:rFonts w:ascii="Arial Narrow" w:hAnsi="Arial Narrow" w:cs="Arial"/>
                <w:i/>
                <w:iCs/>
                <w:color w:val="000000"/>
                <w:sz w:val="18"/>
                <w:szCs w:val="18"/>
              </w:rPr>
              <w:t>3,5%</w:t>
            </w:r>
          </w:p>
        </w:tc>
        <w:tc>
          <w:tcPr>
            <w:tcW w:w="1778" w:type="dxa"/>
            <w:tcBorders>
              <w:top w:val="nil"/>
              <w:left w:val="nil"/>
              <w:bottom w:val="nil"/>
              <w:right w:val="nil"/>
            </w:tcBorders>
            <w:shd w:val="clear" w:color="auto" w:fill="auto"/>
            <w:vAlign w:val="center"/>
            <w:hideMark/>
          </w:tcPr>
          <w:p w14:paraId="23233F1D" w14:textId="77777777" w:rsidR="007D29F8" w:rsidRPr="00152C64" w:rsidRDefault="007D29F8" w:rsidP="00DB6666">
            <w:pPr>
              <w:jc w:val="right"/>
              <w:rPr>
                <w:rFonts w:ascii="Arial Narrow" w:hAnsi="Arial Narrow" w:cs="Arial"/>
                <w:i/>
                <w:iCs/>
                <w:color w:val="000000"/>
                <w:sz w:val="18"/>
                <w:szCs w:val="18"/>
              </w:rPr>
            </w:pPr>
          </w:p>
        </w:tc>
        <w:tc>
          <w:tcPr>
            <w:tcW w:w="1905" w:type="dxa"/>
            <w:tcBorders>
              <w:top w:val="nil"/>
              <w:left w:val="nil"/>
              <w:bottom w:val="nil"/>
              <w:right w:val="nil"/>
            </w:tcBorders>
            <w:shd w:val="clear" w:color="auto" w:fill="auto"/>
            <w:vAlign w:val="center"/>
            <w:hideMark/>
          </w:tcPr>
          <w:p w14:paraId="1A38F289" w14:textId="77777777" w:rsidR="007D29F8" w:rsidRPr="00152C64" w:rsidRDefault="007D29F8" w:rsidP="00DB6666">
            <w:pPr>
              <w:jc w:val="right"/>
              <w:rPr>
                <w:rFonts w:ascii="Arial Narrow" w:hAnsi="Arial Narrow" w:cs="Arial"/>
                <w:i/>
                <w:iCs/>
                <w:color w:val="000000"/>
                <w:sz w:val="18"/>
                <w:szCs w:val="18"/>
              </w:rPr>
            </w:pPr>
            <w:r w:rsidRPr="00152C64">
              <w:rPr>
                <w:rFonts w:ascii="Arial Narrow" w:hAnsi="Arial Narrow" w:cs="Arial"/>
                <w:i/>
                <w:iCs/>
                <w:color w:val="000000"/>
                <w:sz w:val="18"/>
                <w:szCs w:val="18"/>
              </w:rPr>
              <w:t>2,6%</w:t>
            </w:r>
          </w:p>
        </w:tc>
      </w:tr>
    </w:tbl>
    <w:p w14:paraId="1627DE18" w14:textId="77777777" w:rsidR="007D29F8" w:rsidRPr="00E12BB9" w:rsidRDefault="007D29F8" w:rsidP="007D29F8">
      <w:pPr>
        <w:tabs>
          <w:tab w:val="left" w:pos="284"/>
        </w:tabs>
        <w:spacing w:before="120"/>
        <w:rPr>
          <w:sz w:val="16"/>
        </w:rPr>
      </w:pPr>
      <w:r w:rsidRPr="00E12BB9">
        <w:rPr>
          <w:sz w:val="16"/>
        </w:rPr>
        <w:t>* À l’exclusion des coûts d’appui administratif de 13% au titre des fonds fiduciaires.</w:t>
      </w:r>
    </w:p>
    <w:p w14:paraId="127FF831" w14:textId="77777777" w:rsidR="007D29F8" w:rsidRPr="00E12BB9" w:rsidRDefault="007D29F8" w:rsidP="007D29F8"/>
    <w:p w14:paraId="52612F7D" w14:textId="77777777" w:rsidR="007D29F8" w:rsidRPr="00E12BB9" w:rsidRDefault="007D29F8" w:rsidP="007D29F8"/>
    <w:p w14:paraId="7567B762" w14:textId="77777777" w:rsidR="007D29F8" w:rsidRPr="00E12BB9" w:rsidRDefault="007D29F8" w:rsidP="007D29F8">
      <w:pPr>
        <w:pStyle w:val="Heading3"/>
        <w:rPr>
          <w:lang w:val="fr-FR"/>
        </w:rPr>
      </w:pPr>
      <w:bookmarkStart w:id="423" w:name="_Toc132208448"/>
      <w:r w:rsidRPr="00E12BB9">
        <w:rPr>
          <w:lang w:val="fr-FR"/>
        </w:rPr>
        <w:t>Dépenses</w:t>
      </w:r>
      <w:bookmarkEnd w:id="423"/>
    </w:p>
    <w:p w14:paraId="26F316CD" w14:textId="77777777" w:rsidR="007D29F8" w:rsidRPr="00E12BB9" w:rsidRDefault="007D29F8" w:rsidP="007D29F8">
      <w:pPr>
        <w:tabs>
          <w:tab w:val="left" w:pos="567"/>
        </w:tabs>
        <w:rPr>
          <w:b/>
        </w:rPr>
      </w:pPr>
    </w:p>
    <w:p w14:paraId="56BE7509" w14:textId="77777777" w:rsidR="007D29F8" w:rsidRPr="00E12BB9" w:rsidRDefault="007D29F8" w:rsidP="007D29F8">
      <w:pPr>
        <w:tabs>
          <w:tab w:val="left" w:pos="567"/>
        </w:tabs>
      </w:pPr>
      <w:r w:rsidRPr="00E12BB9">
        <w:t>Le budget proposé pour l’exercice</w:t>
      </w:r>
      <w:r>
        <w:t> </w:t>
      </w:r>
      <w:r w:rsidRPr="00E12BB9">
        <w:rPr>
          <w:snapToGrid w:val="0"/>
          <w:spacing w:val="-2"/>
          <w:szCs w:val="24"/>
        </w:rPr>
        <w:t xml:space="preserve">2024-2025 </w:t>
      </w:r>
      <w:r w:rsidRPr="00E12BB9">
        <w:t>s’élève à 7 901 307</w:t>
      </w:r>
      <w:r w:rsidRPr="00E12BB9">
        <w:rPr>
          <w:spacing w:val="-2"/>
          <w:szCs w:val="24"/>
        </w:rPr>
        <w:t> francs suisses</w:t>
      </w:r>
      <w:r w:rsidRPr="00E12BB9">
        <w:t>, soit 266 807</w:t>
      </w:r>
      <w:r w:rsidRPr="00E12BB9">
        <w:rPr>
          <w:spacing w:val="-2"/>
          <w:szCs w:val="24"/>
        </w:rPr>
        <w:t> francs suisses</w:t>
      </w:r>
      <w:r w:rsidRPr="00E12BB9">
        <w:t xml:space="preserve"> (ou 3,5%) de plus que le montant estimé des recettes pour l’exercice biennal </w:t>
      </w:r>
      <w:r w:rsidRPr="00E12BB9">
        <w:rPr>
          <w:snapToGrid w:val="0"/>
          <w:spacing w:val="-2"/>
          <w:szCs w:val="24"/>
        </w:rPr>
        <w:t>2022­2023</w:t>
      </w:r>
      <w:r w:rsidRPr="00E12BB9">
        <w:t xml:space="preserve"> (voir le tableau 4).</w:t>
      </w:r>
    </w:p>
    <w:p w14:paraId="639CCDCF" w14:textId="77777777" w:rsidR="007D29F8" w:rsidRPr="00E12BB9" w:rsidRDefault="007D29F8" w:rsidP="007D29F8">
      <w:pPr>
        <w:tabs>
          <w:tab w:val="left" w:pos="567"/>
        </w:tabs>
      </w:pPr>
    </w:p>
    <w:p w14:paraId="11905B7D" w14:textId="77777777" w:rsidR="007D29F8" w:rsidRPr="00E12BB9" w:rsidRDefault="007D29F8" w:rsidP="007D29F8">
      <w:pPr>
        <w:tabs>
          <w:tab w:val="left" w:pos="567"/>
        </w:tabs>
      </w:pPr>
      <w:r w:rsidRPr="00E12BB9">
        <w:t>Le retour à une “nouvelle normalité” après la pandémie de COVID-19 a été intégré au budget, notamment par l’utilisation accrue d’outils virtuels/hybrides pour les réunion</w:t>
      </w:r>
      <w:r>
        <w:t>s</w:t>
      </w:r>
      <w:r w:rsidRPr="00E12BB9">
        <w:t>, entraînant ainsi une diminution des délais et des frais de voyage par rapport aux programmes en place avant la pandémie.</w:t>
      </w:r>
    </w:p>
    <w:p w14:paraId="6A12835A" w14:textId="77777777" w:rsidR="007D29F8" w:rsidRPr="00E12BB9" w:rsidRDefault="007D29F8" w:rsidP="007D29F8">
      <w:pPr>
        <w:pStyle w:val="ListParagraph"/>
        <w:tabs>
          <w:tab w:val="left" w:pos="851"/>
        </w:tabs>
        <w:ind w:left="0"/>
        <w:contextualSpacing w:val="0"/>
      </w:pPr>
    </w:p>
    <w:p w14:paraId="634615B2" w14:textId="77777777" w:rsidR="007D29F8" w:rsidRPr="00E12BB9" w:rsidRDefault="007D29F8" w:rsidP="007D29F8">
      <w:pPr>
        <w:pStyle w:val="ListParagraph"/>
        <w:tabs>
          <w:tab w:val="left" w:pos="851"/>
        </w:tabs>
        <w:ind w:left="0"/>
        <w:contextualSpacing w:val="0"/>
      </w:pPr>
      <w:r w:rsidRPr="00E12BB9">
        <w:t>Le recours systématique aux outils de traduction automatique dans le cadre de la traduction des documents ainsi que d’autres mesures d’économie permettront de maintenir les dépenses de fonctionnement au niveau des précédents exercices biennaux.</w:t>
      </w:r>
    </w:p>
    <w:p w14:paraId="12BB2D20" w14:textId="77777777" w:rsidR="007D29F8" w:rsidRPr="00E12BB9" w:rsidRDefault="007D29F8" w:rsidP="007D29F8">
      <w:pPr>
        <w:pStyle w:val="ListParagraph"/>
        <w:tabs>
          <w:tab w:val="left" w:pos="851"/>
        </w:tabs>
        <w:ind w:left="0"/>
        <w:contextualSpacing w:val="0"/>
      </w:pPr>
    </w:p>
    <w:p w14:paraId="31BEE7D6" w14:textId="77777777" w:rsidR="007D29F8" w:rsidRPr="00E12BB9" w:rsidRDefault="007D29F8" w:rsidP="007D29F8">
      <w:pPr>
        <w:pStyle w:val="ListParagraph"/>
        <w:tabs>
          <w:tab w:val="left" w:pos="851"/>
        </w:tabs>
        <w:ind w:left="0"/>
        <w:contextualSpacing w:val="0"/>
      </w:pPr>
    </w:p>
    <w:p w14:paraId="03D0D3F6" w14:textId="77777777" w:rsidR="007D29F8" w:rsidRPr="00E12BB9" w:rsidRDefault="007D29F8" w:rsidP="007D29F8">
      <w:pPr>
        <w:jc w:val="left"/>
        <w:rPr>
          <w:rFonts w:cs="Arial"/>
          <w:b/>
          <w:bCs/>
          <w:color w:val="26724C" w:themeColor="accent1" w:themeShade="BF"/>
        </w:rPr>
      </w:pPr>
      <w:r w:rsidRPr="00E12BB9">
        <w:rPr>
          <w:rFonts w:cs="Arial"/>
          <w:b/>
          <w:bCs/>
          <w:color w:val="26724C" w:themeColor="accent1" w:themeShade="BF"/>
        </w:rPr>
        <w:br w:type="page"/>
      </w:r>
    </w:p>
    <w:p w14:paraId="7D604853" w14:textId="77777777" w:rsidR="007D29F8" w:rsidRPr="00E12BB9" w:rsidRDefault="007D29F8" w:rsidP="007D29F8">
      <w:pPr>
        <w:keepNext/>
        <w:jc w:val="center"/>
        <w:rPr>
          <w:rFonts w:cs="Arial"/>
          <w:b/>
          <w:bCs/>
          <w:color w:val="26724C" w:themeColor="accent1" w:themeShade="BF"/>
        </w:rPr>
      </w:pPr>
      <w:r w:rsidRPr="00E12BB9">
        <w:rPr>
          <w:rFonts w:cs="Arial"/>
          <w:b/>
          <w:bCs/>
          <w:color w:val="26724C" w:themeColor="accent1" w:themeShade="BF"/>
        </w:rPr>
        <w:lastRenderedPageBreak/>
        <w:t>Tableau 4</w:t>
      </w:r>
      <w:r>
        <w:rPr>
          <w:rFonts w:cs="Arial"/>
          <w:b/>
          <w:bCs/>
          <w:color w:val="26724C" w:themeColor="accent1" w:themeShade="BF"/>
        </w:rPr>
        <w:t xml:space="preserve"> : </w:t>
      </w:r>
      <w:r w:rsidRPr="00E12BB9">
        <w:rPr>
          <w:rFonts w:cs="Arial"/>
          <w:b/>
          <w:bCs/>
          <w:color w:val="26724C" w:themeColor="accent1" w:themeShade="BF"/>
        </w:rPr>
        <w:t xml:space="preserve"> Budget proposé pour l’exercice</w:t>
      </w:r>
      <w:r>
        <w:rPr>
          <w:rFonts w:cs="Arial"/>
          <w:b/>
          <w:bCs/>
          <w:color w:val="26724C" w:themeColor="accent1" w:themeShade="BF"/>
        </w:rPr>
        <w:t> </w:t>
      </w:r>
      <w:r w:rsidRPr="00E12BB9">
        <w:rPr>
          <w:rFonts w:cs="Arial"/>
          <w:b/>
          <w:bCs/>
          <w:color w:val="26724C" w:themeColor="accent1" w:themeShade="BF"/>
        </w:rPr>
        <w:t>2024-2025 : budget par poste de dépense</w:t>
      </w:r>
    </w:p>
    <w:p w14:paraId="71C38EB0" w14:textId="77777777" w:rsidR="007D29F8" w:rsidRPr="00E12BB9" w:rsidRDefault="007D29F8" w:rsidP="007D29F8">
      <w:pPr>
        <w:keepNext/>
        <w:jc w:val="center"/>
        <w:rPr>
          <w:rFonts w:cs="Arial"/>
          <w:i/>
          <w:iCs/>
          <w:sz w:val="18"/>
          <w:szCs w:val="18"/>
        </w:rPr>
      </w:pPr>
      <w:r w:rsidRPr="00E12BB9">
        <w:rPr>
          <w:rFonts w:cs="Arial"/>
          <w:i/>
          <w:iCs/>
          <w:sz w:val="18"/>
          <w:szCs w:val="18"/>
        </w:rPr>
        <w:t>(</w:t>
      </w:r>
      <w:proofErr w:type="gramStart"/>
      <w:r w:rsidRPr="00E12BB9">
        <w:rPr>
          <w:rFonts w:cs="Arial"/>
          <w:i/>
          <w:iCs/>
          <w:sz w:val="18"/>
          <w:szCs w:val="18"/>
        </w:rPr>
        <w:t>en</w:t>
      </w:r>
      <w:proofErr w:type="gramEnd"/>
      <w:r w:rsidRPr="00E12BB9">
        <w:rPr>
          <w:rFonts w:cs="Arial"/>
          <w:i/>
          <w:iCs/>
          <w:sz w:val="18"/>
          <w:szCs w:val="18"/>
        </w:rPr>
        <w:t xml:space="preserve"> milliers de francs suisses)</w:t>
      </w:r>
    </w:p>
    <w:p w14:paraId="7645DD8F" w14:textId="77777777" w:rsidR="007D29F8" w:rsidRPr="00E12BB9" w:rsidRDefault="007D29F8" w:rsidP="007D29F8">
      <w:pPr>
        <w:keepNext/>
        <w:rPr>
          <w:rFonts w:cs="Arial"/>
          <w:i/>
          <w:iCs/>
        </w:rPr>
      </w:pPr>
    </w:p>
    <w:tbl>
      <w:tblPr>
        <w:tblW w:w="9063" w:type="dxa"/>
        <w:jc w:val="center"/>
        <w:tblLook w:val="04A0" w:firstRow="1" w:lastRow="0" w:firstColumn="1" w:lastColumn="0" w:noHBand="0" w:noVBand="1"/>
      </w:tblPr>
      <w:tblGrid>
        <w:gridCol w:w="320"/>
        <w:gridCol w:w="3224"/>
        <w:gridCol w:w="1169"/>
        <w:gridCol w:w="1169"/>
        <w:gridCol w:w="970"/>
        <w:gridCol w:w="992"/>
        <w:gridCol w:w="1219"/>
      </w:tblGrid>
      <w:tr w:rsidR="007D29F8" w:rsidRPr="00152C64" w14:paraId="18ABA5E2" w14:textId="77777777" w:rsidTr="00DB6666">
        <w:trPr>
          <w:trHeight w:val="488"/>
          <w:jc w:val="center"/>
        </w:trPr>
        <w:tc>
          <w:tcPr>
            <w:tcW w:w="320" w:type="dxa"/>
            <w:vMerge w:val="restart"/>
            <w:tcBorders>
              <w:top w:val="nil"/>
              <w:left w:val="nil"/>
              <w:bottom w:val="single" w:sz="4" w:space="0" w:color="BFBFBF"/>
              <w:right w:val="nil"/>
            </w:tcBorders>
            <w:shd w:val="clear" w:color="000000" w:fill="C7CFD8"/>
            <w:vAlign w:val="bottom"/>
            <w:hideMark/>
          </w:tcPr>
          <w:p w14:paraId="7151BF3E" w14:textId="77777777" w:rsidR="007D29F8" w:rsidRPr="00152C64" w:rsidRDefault="007D29F8" w:rsidP="00DB6666">
            <w:pPr>
              <w:keepNext/>
              <w:jc w:val="center"/>
              <w:rPr>
                <w:rFonts w:ascii="Arial Narrow" w:hAnsi="Arial Narrow" w:cs="Arial"/>
                <w:b/>
                <w:bCs/>
                <w:sz w:val="18"/>
                <w:szCs w:val="18"/>
              </w:rPr>
            </w:pPr>
          </w:p>
        </w:tc>
        <w:tc>
          <w:tcPr>
            <w:tcW w:w="3224" w:type="dxa"/>
            <w:vMerge w:val="restart"/>
            <w:tcBorders>
              <w:top w:val="nil"/>
              <w:left w:val="nil"/>
              <w:bottom w:val="single" w:sz="4" w:space="0" w:color="BFBFBF"/>
              <w:right w:val="nil"/>
            </w:tcBorders>
            <w:shd w:val="clear" w:color="000000" w:fill="C7CFD8"/>
            <w:vAlign w:val="bottom"/>
            <w:hideMark/>
          </w:tcPr>
          <w:p w14:paraId="682296F2" w14:textId="77777777" w:rsidR="007D29F8" w:rsidRPr="00152C64" w:rsidRDefault="007D29F8" w:rsidP="00DB6666">
            <w:pPr>
              <w:keepNext/>
              <w:jc w:val="center"/>
              <w:rPr>
                <w:rFonts w:ascii="Arial Narrow" w:hAnsi="Arial Narrow" w:cs="Arial"/>
                <w:b/>
                <w:bCs/>
                <w:sz w:val="18"/>
                <w:szCs w:val="18"/>
              </w:rPr>
            </w:pPr>
            <w:r w:rsidRPr="00152C64">
              <w:rPr>
                <w:rFonts w:ascii="Arial Narrow" w:hAnsi="Arial Narrow" w:cs="Arial"/>
                <w:b/>
                <w:bCs/>
                <w:sz w:val="18"/>
                <w:szCs w:val="18"/>
              </w:rPr>
              <w:t xml:space="preserve"> </w:t>
            </w:r>
          </w:p>
        </w:tc>
        <w:tc>
          <w:tcPr>
            <w:tcW w:w="1169" w:type="dxa"/>
            <w:vMerge w:val="restart"/>
            <w:tcBorders>
              <w:top w:val="single" w:sz="4" w:space="0" w:color="BFBFBF"/>
              <w:left w:val="nil"/>
              <w:bottom w:val="nil"/>
              <w:right w:val="nil"/>
            </w:tcBorders>
            <w:shd w:val="clear" w:color="000000" w:fill="C7CFD8"/>
            <w:vAlign w:val="center"/>
            <w:hideMark/>
          </w:tcPr>
          <w:p w14:paraId="1205B1A3" w14:textId="77777777" w:rsidR="007D29F8" w:rsidRPr="00152C64" w:rsidRDefault="007D29F8" w:rsidP="00DB6666">
            <w:pPr>
              <w:keepNext/>
              <w:jc w:val="center"/>
              <w:rPr>
                <w:rFonts w:ascii="Arial Narrow" w:hAnsi="Arial Narrow" w:cs="Arial"/>
                <w:b/>
                <w:bCs/>
                <w:sz w:val="18"/>
                <w:szCs w:val="18"/>
              </w:rPr>
            </w:pPr>
            <w:r w:rsidRPr="00152C64">
              <w:rPr>
                <w:rFonts w:ascii="Arial Narrow" w:hAnsi="Arial Narrow" w:cs="Arial"/>
                <w:b/>
                <w:bCs/>
                <w:sz w:val="18"/>
                <w:szCs w:val="18"/>
              </w:rPr>
              <w:t>Montant effectif</w:t>
            </w:r>
            <w:r w:rsidRPr="00152C64">
              <w:rPr>
                <w:rFonts w:ascii="Arial Narrow" w:hAnsi="Arial Narrow" w:cs="Arial"/>
                <w:b/>
                <w:bCs/>
                <w:sz w:val="18"/>
                <w:szCs w:val="18"/>
              </w:rPr>
              <w:br/>
              <w:t>2020-2021</w:t>
            </w:r>
          </w:p>
        </w:tc>
        <w:tc>
          <w:tcPr>
            <w:tcW w:w="1169" w:type="dxa"/>
            <w:vMerge w:val="restart"/>
            <w:tcBorders>
              <w:top w:val="single" w:sz="4" w:space="0" w:color="BFBFBF"/>
              <w:left w:val="nil"/>
              <w:bottom w:val="nil"/>
              <w:right w:val="nil"/>
            </w:tcBorders>
            <w:shd w:val="clear" w:color="000000" w:fill="C7CFD8"/>
            <w:vAlign w:val="center"/>
            <w:hideMark/>
          </w:tcPr>
          <w:p w14:paraId="7F7C6705" w14:textId="77777777" w:rsidR="007D29F8" w:rsidRPr="00152C64" w:rsidRDefault="007D29F8" w:rsidP="00DB6666">
            <w:pPr>
              <w:keepNext/>
              <w:jc w:val="center"/>
              <w:rPr>
                <w:rFonts w:ascii="Arial Narrow" w:hAnsi="Arial Narrow" w:cs="Arial"/>
                <w:b/>
                <w:bCs/>
                <w:sz w:val="18"/>
                <w:szCs w:val="18"/>
              </w:rPr>
            </w:pPr>
            <w:r w:rsidRPr="00152C64">
              <w:rPr>
                <w:rFonts w:ascii="Arial Narrow" w:hAnsi="Arial Narrow" w:cs="Arial"/>
                <w:b/>
                <w:bCs/>
                <w:sz w:val="18"/>
                <w:szCs w:val="18"/>
              </w:rPr>
              <w:t>Budget</w:t>
            </w:r>
            <w:r w:rsidRPr="00152C64">
              <w:rPr>
                <w:rFonts w:ascii="Arial Narrow" w:hAnsi="Arial Narrow" w:cs="Arial"/>
                <w:b/>
                <w:bCs/>
                <w:sz w:val="18"/>
                <w:szCs w:val="18"/>
              </w:rPr>
              <w:br/>
              <w:t xml:space="preserve">2022-2023 </w:t>
            </w:r>
          </w:p>
        </w:tc>
        <w:tc>
          <w:tcPr>
            <w:tcW w:w="1962" w:type="dxa"/>
            <w:gridSpan w:val="2"/>
            <w:tcBorders>
              <w:top w:val="single" w:sz="4" w:space="0" w:color="BFBFBF"/>
              <w:left w:val="nil"/>
              <w:bottom w:val="nil"/>
              <w:right w:val="nil"/>
            </w:tcBorders>
            <w:shd w:val="clear" w:color="000000" w:fill="C7CFD8"/>
            <w:vAlign w:val="center"/>
            <w:hideMark/>
          </w:tcPr>
          <w:p w14:paraId="62891C7B" w14:textId="77777777" w:rsidR="007D29F8" w:rsidRPr="00152C64" w:rsidRDefault="007D29F8" w:rsidP="00DB6666">
            <w:pPr>
              <w:keepNext/>
              <w:jc w:val="center"/>
              <w:rPr>
                <w:rFonts w:ascii="Arial Narrow" w:hAnsi="Arial Narrow" w:cs="Arial"/>
                <w:b/>
                <w:bCs/>
                <w:sz w:val="18"/>
                <w:szCs w:val="18"/>
              </w:rPr>
            </w:pPr>
            <w:r w:rsidRPr="00152C64">
              <w:rPr>
                <w:rFonts w:ascii="Arial Narrow" w:hAnsi="Arial Narrow" w:cs="Arial"/>
                <w:b/>
                <w:bCs/>
                <w:sz w:val="18"/>
                <w:szCs w:val="18"/>
              </w:rPr>
              <w:t xml:space="preserve">Variation </w:t>
            </w:r>
          </w:p>
        </w:tc>
        <w:tc>
          <w:tcPr>
            <w:tcW w:w="1219" w:type="dxa"/>
            <w:tcBorders>
              <w:top w:val="single" w:sz="4" w:space="0" w:color="BFBFBF"/>
              <w:left w:val="nil"/>
              <w:bottom w:val="single" w:sz="4" w:space="0" w:color="BFBFBF"/>
              <w:right w:val="nil"/>
            </w:tcBorders>
            <w:shd w:val="clear" w:color="000000" w:fill="C7CFD8"/>
            <w:vAlign w:val="center"/>
            <w:hideMark/>
          </w:tcPr>
          <w:p w14:paraId="411689A7" w14:textId="77777777" w:rsidR="007D29F8" w:rsidRPr="00152C64" w:rsidRDefault="007D29F8" w:rsidP="00DB6666">
            <w:pPr>
              <w:keepNext/>
              <w:jc w:val="center"/>
              <w:rPr>
                <w:rFonts w:ascii="Arial Narrow" w:hAnsi="Arial Narrow" w:cs="Arial"/>
                <w:b/>
                <w:bCs/>
                <w:sz w:val="18"/>
                <w:szCs w:val="18"/>
              </w:rPr>
            </w:pPr>
            <w:r w:rsidRPr="00152C64">
              <w:rPr>
                <w:rFonts w:ascii="Arial Narrow" w:hAnsi="Arial Narrow" w:cs="Arial"/>
                <w:b/>
                <w:bCs/>
                <w:sz w:val="18"/>
                <w:szCs w:val="18"/>
              </w:rPr>
              <w:t>Budget proposé pour 2024-2025</w:t>
            </w:r>
          </w:p>
        </w:tc>
      </w:tr>
      <w:tr w:rsidR="007D29F8" w:rsidRPr="00152C64" w14:paraId="07A6082D" w14:textId="77777777" w:rsidTr="00DB6666">
        <w:trPr>
          <w:trHeight w:val="301"/>
          <w:jc w:val="center"/>
        </w:trPr>
        <w:tc>
          <w:tcPr>
            <w:tcW w:w="320" w:type="dxa"/>
            <w:vMerge/>
            <w:tcBorders>
              <w:top w:val="nil"/>
              <w:left w:val="nil"/>
              <w:bottom w:val="single" w:sz="4" w:space="0" w:color="BFBFBF"/>
              <w:right w:val="nil"/>
            </w:tcBorders>
            <w:vAlign w:val="center"/>
            <w:hideMark/>
          </w:tcPr>
          <w:p w14:paraId="0C079D41" w14:textId="77777777" w:rsidR="007D29F8" w:rsidRPr="00152C64" w:rsidRDefault="007D29F8" w:rsidP="00DB6666">
            <w:pPr>
              <w:jc w:val="left"/>
              <w:rPr>
                <w:rFonts w:ascii="Arial Narrow" w:hAnsi="Arial Narrow" w:cs="Arial"/>
                <w:b/>
                <w:bCs/>
                <w:sz w:val="18"/>
                <w:szCs w:val="18"/>
              </w:rPr>
            </w:pPr>
          </w:p>
        </w:tc>
        <w:tc>
          <w:tcPr>
            <w:tcW w:w="3224" w:type="dxa"/>
            <w:vMerge/>
            <w:tcBorders>
              <w:top w:val="nil"/>
              <w:left w:val="nil"/>
              <w:bottom w:val="single" w:sz="4" w:space="0" w:color="BFBFBF"/>
              <w:right w:val="nil"/>
            </w:tcBorders>
            <w:vAlign w:val="center"/>
            <w:hideMark/>
          </w:tcPr>
          <w:p w14:paraId="1B288B66" w14:textId="77777777" w:rsidR="007D29F8" w:rsidRPr="00152C64" w:rsidRDefault="007D29F8" w:rsidP="00DB6666">
            <w:pPr>
              <w:jc w:val="left"/>
              <w:rPr>
                <w:rFonts w:ascii="Arial Narrow" w:hAnsi="Arial Narrow" w:cs="Arial"/>
                <w:b/>
                <w:bCs/>
                <w:sz w:val="18"/>
                <w:szCs w:val="18"/>
              </w:rPr>
            </w:pPr>
          </w:p>
        </w:tc>
        <w:tc>
          <w:tcPr>
            <w:tcW w:w="1169" w:type="dxa"/>
            <w:vMerge/>
            <w:tcBorders>
              <w:top w:val="single" w:sz="4" w:space="0" w:color="BFBFBF"/>
              <w:left w:val="nil"/>
              <w:bottom w:val="nil"/>
              <w:right w:val="nil"/>
            </w:tcBorders>
            <w:vAlign w:val="center"/>
            <w:hideMark/>
          </w:tcPr>
          <w:p w14:paraId="7D789826" w14:textId="77777777" w:rsidR="007D29F8" w:rsidRPr="00152C64" w:rsidRDefault="007D29F8" w:rsidP="00DB6666">
            <w:pPr>
              <w:jc w:val="left"/>
              <w:rPr>
                <w:rFonts w:ascii="Arial Narrow" w:hAnsi="Arial Narrow" w:cs="Arial"/>
                <w:b/>
                <w:bCs/>
                <w:sz w:val="18"/>
                <w:szCs w:val="18"/>
              </w:rPr>
            </w:pPr>
          </w:p>
        </w:tc>
        <w:tc>
          <w:tcPr>
            <w:tcW w:w="1169" w:type="dxa"/>
            <w:vMerge/>
            <w:tcBorders>
              <w:top w:val="single" w:sz="4" w:space="0" w:color="BFBFBF"/>
              <w:left w:val="nil"/>
              <w:bottom w:val="nil"/>
              <w:right w:val="nil"/>
            </w:tcBorders>
            <w:vAlign w:val="center"/>
            <w:hideMark/>
          </w:tcPr>
          <w:p w14:paraId="1671F0AE" w14:textId="77777777" w:rsidR="007D29F8" w:rsidRPr="00152C64" w:rsidRDefault="007D29F8" w:rsidP="00DB6666">
            <w:pPr>
              <w:jc w:val="left"/>
              <w:rPr>
                <w:rFonts w:ascii="Arial Narrow" w:hAnsi="Arial Narrow" w:cs="Arial"/>
                <w:b/>
                <w:bCs/>
                <w:sz w:val="18"/>
                <w:szCs w:val="18"/>
              </w:rPr>
            </w:pPr>
          </w:p>
        </w:tc>
        <w:tc>
          <w:tcPr>
            <w:tcW w:w="970" w:type="dxa"/>
            <w:tcBorders>
              <w:top w:val="single" w:sz="4" w:space="0" w:color="748B9E"/>
              <w:left w:val="nil"/>
              <w:bottom w:val="nil"/>
              <w:right w:val="nil"/>
            </w:tcBorders>
            <w:shd w:val="clear" w:color="000000" w:fill="C7CFD8"/>
            <w:vAlign w:val="center"/>
            <w:hideMark/>
          </w:tcPr>
          <w:p w14:paraId="2C2AF4E4" w14:textId="77777777" w:rsidR="007D29F8" w:rsidRPr="00152C64" w:rsidRDefault="007D29F8" w:rsidP="00DB6666">
            <w:pPr>
              <w:jc w:val="center"/>
              <w:rPr>
                <w:rFonts w:ascii="Arial Narrow" w:hAnsi="Arial Narrow" w:cs="Arial"/>
                <w:b/>
                <w:bCs/>
                <w:sz w:val="18"/>
                <w:szCs w:val="18"/>
              </w:rPr>
            </w:pPr>
            <w:r w:rsidRPr="00152C64">
              <w:rPr>
                <w:rFonts w:ascii="Arial Narrow" w:hAnsi="Arial Narrow" w:cs="Arial"/>
                <w:b/>
                <w:bCs/>
                <w:sz w:val="18"/>
                <w:szCs w:val="18"/>
              </w:rPr>
              <w:t xml:space="preserve">Montant </w:t>
            </w:r>
          </w:p>
        </w:tc>
        <w:tc>
          <w:tcPr>
            <w:tcW w:w="992" w:type="dxa"/>
            <w:tcBorders>
              <w:top w:val="single" w:sz="4" w:space="0" w:color="748B9E"/>
              <w:left w:val="nil"/>
              <w:bottom w:val="nil"/>
              <w:right w:val="nil"/>
            </w:tcBorders>
            <w:shd w:val="clear" w:color="000000" w:fill="C7CFD8"/>
            <w:vAlign w:val="center"/>
            <w:hideMark/>
          </w:tcPr>
          <w:p w14:paraId="070192B8" w14:textId="77777777" w:rsidR="007D29F8" w:rsidRPr="00152C64" w:rsidRDefault="007D29F8" w:rsidP="00DB6666">
            <w:pPr>
              <w:jc w:val="center"/>
              <w:rPr>
                <w:rFonts w:ascii="Arial Narrow" w:hAnsi="Arial Narrow" w:cs="Arial"/>
                <w:b/>
                <w:bCs/>
                <w:sz w:val="18"/>
                <w:szCs w:val="18"/>
              </w:rPr>
            </w:pPr>
            <w:r w:rsidRPr="00152C64">
              <w:rPr>
                <w:rFonts w:ascii="Arial Narrow" w:hAnsi="Arial Narrow" w:cs="Arial"/>
                <w:b/>
                <w:bCs/>
                <w:sz w:val="18"/>
                <w:szCs w:val="18"/>
              </w:rPr>
              <w:t xml:space="preserve">% </w:t>
            </w:r>
          </w:p>
        </w:tc>
        <w:tc>
          <w:tcPr>
            <w:tcW w:w="1219" w:type="dxa"/>
            <w:tcBorders>
              <w:top w:val="single" w:sz="4" w:space="0" w:color="BFBFBF"/>
              <w:left w:val="nil"/>
              <w:bottom w:val="nil"/>
              <w:right w:val="nil"/>
            </w:tcBorders>
            <w:shd w:val="clear" w:color="auto" w:fill="C7CFD8"/>
            <w:vAlign w:val="center"/>
            <w:hideMark/>
          </w:tcPr>
          <w:p w14:paraId="62663FAF" w14:textId="77777777" w:rsidR="007D29F8" w:rsidRPr="00152C64" w:rsidRDefault="007D29F8" w:rsidP="00DB6666">
            <w:pPr>
              <w:jc w:val="left"/>
              <w:rPr>
                <w:rFonts w:ascii="Arial Narrow" w:hAnsi="Arial Narrow" w:cs="Arial"/>
                <w:b/>
                <w:bCs/>
                <w:sz w:val="18"/>
                <w:szCs w:val="18"/>
              </w:rPr>
            </w:pPr>
          </w:p>
        </w:tc>
      </w:tr>
      <w:tr w:rsidR="007D29F8" w:rsidRPr="00152C64" w14:paraId="542EEB2C" w14:textId="77777777" w:rsidTr="00DB6666">
        <w:trPr>
          <w:trHeight w:val="227"/>
          <w:jc w:val="center"/>
        </w:trPr>
        <w:tc>
          <w:tcPr>
            <w:tcW w:w="320" w:type="dxa"/>
            <w:vMerge/>
            <w:tcBorders>
              <w:top w:val="nil"/>
              <w:left w:val="nil"/>
              <w:bottom w:val="single" w:sz="4" w:space="0" w:color="BFBFBF"/>
              <w:right w:val="nil"/>
            </w:tcBorders>
            <w:vAlign w:val="center"/>
            <w:hideMark/>
          </w:tcPr>
          <w:p w14:paraId="07945388" w14:textId="77777777" w:rsidR="007D29F8" w:rsidRPr="00152C64" w:rsidRDefault="007D29F8" w:rsidP="00DB6666">
            <w:pPr>
              <w:jc w:val="left"/>
              <w:rPr>
                <w:rFonts w:ascii="Arial Narrow" w:hAnsi="Arial Narrow" w:cs="Arial"/>
                <w:b/>
                <w:bCs/>
                <w:sz w:val="18"/>
                <w:szCs w:val="18"/>
              </w:rPr>
            </w:pPr>
          </w:p>
        </w:tc>
        <w:tc>
          <w:tcPr>
            <w:tcW w:w="3224" w:type="dxa"/>
            <w:vMerge/>
            <w:tcBorders>
              <w:top w:val="nil"/>
              <w:left w:val="nil"/>
              <w:bottom w:val="single" w:sz="4" w:space="0" w:color="BFBFBF"/>
              <w:right w:val="nil"/>
            </w:tcBorders>
            <w:vAlign w:val="center"/>
            <w:hideMark/>
          </w:tcPr>
          <w:p w14:paraId="60555030" w14:textId="77777777" w:rsidR="007D29F8" w:rsidRPr="00152C64" w:rsidRDefault="007D29F8" w:rsidP="00DB6666">
            <w:pPr>
              <w:jc w:val="left"/>
              <w:rPr>
                <w:rFonts w:ascii="Arial Narrow" w:hAnsi="Arial Narrow" w:cs="Arial"/>
                <w:b/>
                <w:bCs/>
                <w:sz w:val="18"/>
                <w:szCs w:val="18"/>
              </w:rPr>
            </w:pPr>
          </w:p>
        </w:tc>
        <w:tc>
          <w:tcPr>
            <w:tcW w:w="1169" w:type="dxa"/>
            <w:tcBorders>
              <w:top w:val="nil"/>
              <w:left w:val="nil"/>
              <w:bottom w:val="nil"/>
              <w:right w:val="nil"/>
            </w:tcBorders>
            <w:shd w:val="clear" w:color="000000" w:fill="C7CFD8"/>
            <w:vAlign w:val="center"/>
            <w:hideMark/>
          </w:tcPr>
          <w:p w14:paraId="43F21BBA" w14:textId="77777777" w:rsidR="007D29F8" w:rsidRPr="00152C64" w:rsidRDefault="007D29F8" w:rsidP="00DB6666">
            <w:pPr>
              <w:jc w:val="center"/>
              <w:rPr>
                <w:rFonts w:ascii="Arial Narrow" w:hAnsi="Arial Narrow" w:cs="Arial"/>
                <w:b/>
                <w:bCs/>
                <w:sz w:val="18"/>
                <w:szCs w:val="18"/>
              </w:rPr>
            </w:pPr>
            <w:r w:rsidRPr="00152C64">
              <w:rPr>
                <w:rFonts w:ascii="Arial Narrow" w:hAnsi="Arial Narrow" w:cs="Arial"/>
                <w:b/>
                <w:bCs/>
                <w:sz w:val="18"/>
                <w:szCs w:val="18"/>
              </w:rPr>
              <w:t>A</w:t>
            </w:r>
          </w:p>
        </w:tc>
        <w:tc>
          <w:tcPr>
            <w:tcW w:w="1169" w:type="dxa"/>
            <w:tcBorders>
              <w:top w:val="nil"/>
              <w:left w:val="nil"/>
              <w:bottom w:val="nil"/>
              <w:right w:val="nil"/>
            </w:tcBorders>
            <w:shd w:val="clear" w:color="000000" w:fill="C7CFD8"/>
            <w:noWrap/>
            <w:vAlign w:val="center"/>
            <w:hideMark/>
          </w:tcPr>
          <w:p w14:paraId="3A1E83B1" w14:textId="77777777" w:rsidR="007D29F8" w:rsidRPr="00152C64" w:rsidRDefault="007D29F8" w:rsidP="00DB6666">
            <w:pPr>
              <w:jc w:val="center"/>
              <w:rPr>
                <w:rFonts w:ascii="Arial Narrow" w:hAnsi="Arial Narrow" w:cs="Arial"/>
                <w:b/>
                <w:bCs/>
                <w:sz w:val="18"/>
                <w:szCs w:val="18"/>
              </w:rPr>
            </w:pPr>
            <w:r w:rsidRPr="00152C64">
              <w:rPr>
                <w:rFonts w:ascii="Arial Narrow" w:hAnsi="Arial Narrow" w:cs="Arial"/>
                <w:b/>
                <w:bCs/>
                <w:sz w:val="18"/>
                <w:szCs w:val="18"/>
              </w:rPr>
              <w:t>B</w:t>
            </w:r>
          </w:p>
        </w:tc>
        <w:tc>
          <w:tcPr>
            <w:tcW w:w="970" w:type="dxa"/>
            <w:tcBorders>
              <w:top w:val="nil"/>
              <w:left w:val="nil"/>
              <w:bottom w:val="nil"/>
              <w:right w:val="nil"/>
            </w:tcBorders>
            <w:shd w:val="clear" w:color="000000" w:fill="C7CFD8"/>
            <w:vAlign w:val="center"/>
            <w:hideMark/>
          </w:tcPr>
          <w:p w14:paraId="3FAEDDF7" w14:textId="77777777" w:rsidR="007D29F8" w:rsidRPr="00152C64" w:rsidRDefault="007D29F8" w:rsidP="00DB6666">
            <w:pPr>
              <w:jc w:val="center"/>
              <w:rPr>
                <w:rFonts w:ascii="Arial Narrow" w:hAnsi="Arial Narrow" w:cs="Arial"/>
                <w:b/>
                <w:bCs/>
                <w:sz w:val="18"/>
                <w:szCs w:val="18"/>
              </w:rPr>
            </w:pPr>
            <w:r w:rsidRPr="00152C64">
              <w:rPr>
                <w:rFonts w:ascii="Arial Narrow" w:hAnsi="Arial Narrow" w:cs="Arial"/>
                <w:b/>
                <w:bCs/>
                <w:sz w:val="18"/>
                <w:szCs w:val="18"/>
              </w:rPr>
              <w:t>C</w:t>
            </w:r>
          </w:p>
        </w:tc>
        <w:tc>
          <w:tcPr>
            <w:tcW w:w="992" w:type="dxa"/>
            <w:tcBorders>
              <w:top w:val="nil"/>
              <w:left w:val="nil"/>
              <w:bottom w:val="nil"/>
              <w:right w:val="nil"/>
            </w:tcBorders>
            <w:shd w:val="clear" w:color="000000" w:fill="C7CFD8"/>
            <w:vAlign w:val="center"/>
            <w:hideMark/>
          </w:tcPr>
          <w:p w14:paraId="32861D34" w14:textId="77777777" w:rsidR="007D29F8" w:rsidRPr="00152C64" w:rsidRDefault="007D29F8" w:rsidP="00DB6666">
            <w:pPr>
              <w:jc w:val="center"/>
              <w:rPr>
                <w:rFonts w:ascii="Arial Narrow" w:hAnsi="Arial Narrow" w:cs="Arial"/>
                <w:b/>
                <w:bCs/>
                <w:sz w:val="18"/>
                <w:szCs w:val="18"/>
              </w:rPr>
            </w:pPr>
            <w:r w:rsidRPr="00152C64">
              <w:rPr>
                <w:rFonts w:ascii="Arial Narrow" w:hAnsi="Arial Narrow" w:cs="Arial"/>
                <w:b/>
                <w:bCs/>
                <w:sz w:val="18"/>
                <w:szCs w:val="18"/>
              </w:rPr>
              <w:t>C/B</w:t>
            </w:r>
          </w:p>
        </w:tc>
        <w:tc>
          <w:tcPr>
            <w:tcW w:w="1219" w:type="dxa"/>
            <w:tcBorders>
              <w:top w:val="nil"/>
              <w:left w:val="nil"/>
              <w:bottom w:val="nil"/>
              <w:right w:val="nil"/>
            </w:tcBorders>
            <w:shd w:val="clear" w:color="000000" w:fill="C7CFD8"/>
            <w:noWrap/>
            <w:vAlign w:val="center"/>
            <w:hideMark/>
          </w:tcPr>
          <w:p w14:paraId="5E1B30E0" w14:textId="77777777" w:rsidR="007D29F8" w:rsidRPr="00152C64" w:rsidRDefault="007D29F8" w:rsidP="00DB6666">
            <w:pPr>
              <w:jc w:val="center"/>
              <w:rPr>
                <w:rFonts w:ascii="Arial Narrow" w:hAnsi="Arial Narrow" w:cs="Arial"/>
                <w:b/>
                <w:bCs/>
                <w:sz w:val="18"/>
                <w:szCs w:val="18"/>
              </w:rPr>
            </w:pPr>
            <w:r w:rsidRPr="00152C64">
              <w:rPr>
                <w:rFonts w:ascii="Arial Narrow" w:hAnsi="Arial Narrow" w:cs="Arial"/>
                <w:b/>
                <w:bCs/>
                <w:sz w:val="18"/>
                <w:szCs w:val="18"/>
              </w:rPr>
              <w:t>D=B+C</w:t>
            </w:r>
          </w:p>
        </w:tc>
      </w:tr>
      <w:tr w:rsidR="007D29F8" w:rsidRPr="00152C64" w14:paraId="0CE33CF5" w14:textId="77777777" w:rsidTr="00DB6666">
        <w:trPr>
          <w:trHeight w:val="192"/>
          <w:jc w:val="center"/>
        </w:trPr>
        <w:tc>
          <w:tcPr>
            <w:tcW w:w="320" w:type="dxa"/>
            <w:tcBorders>
              <w:top w:val="nil"/>
              <w:left w:val="nil"/>
              <w:bottom w:val="nil"/>
              <w:right w:val="nil"/>
            </w:tcBorders>
            <w:shd w:val="clear" w:color="auto" w:fill="auto"/>
            <w:noWrap/>
            <w:vAlign w:val="bottom"/>
            <w:hideMark/>
          </w:tcPr>
          <w:p w14:paraId="2700E31C" w14:textId="77777777" w:rsidR="007D29F8" w:rsidRPr="00152C64" w:rsidRDefault="007D29F8" w:rsidP="00DB6666">
            <w:pPr>
              <w:jc w:val="center"/>
              <w:rPr>
                <w:rFonts w:ascii="Arial Narrow" w:hAnsi="Arial Narrow" w:cs="Arial"/>
                <w:b/>
                <w:bCs/>
                <w:sz w:val="18"/>
                <w:szCs w:val="18"/>
              </w:rPr>
            </w:pPr>
          </w:p>
        </w:tc>
        <w:tc>
          <w:tcPr>
            <w:tcW w:w="3224" w:type="dxa"/>
            <w:tcBorders>
              <w:top w:val="nil"/>
              <w:left w:val="nil"/>
              <w:bottom w:val="nil"/>
              <w:right w:val="nil"/>
            </w:tcBorders>
            <w:shd w:val="clear" w:color="auto" w:fill="auto"/>
            <w:vAlign w:val="bottom"/>
            <w:hideMark/>
          </w:tcPr>
          <w:p w14:paraId="681560C4" w14:textId="77777777" w:rsidR="007D29F8" w:rsidRPr="00152C64" w:rsidRDefault="007D29F8" w:rsidP="00DB6666">
            <w:pPr>
              <w:jc w:val="left"/>
              <w:rPr>
                <w:rFonts w:ascii="Arial Narrow" w:hAnsi="Arial Narrow"/>
                <w:sz w:val="18"/>
                <w:szCs w:val="18"/>
              </w:rPr>
            </w:pPr>
          </w:p>
        </w:tc>
        <w:tc>
          <w:tcPr>
            <w:tcW w:w="1169" w:type="dxa"/>
            <w:tcBorders>
              <w:top w:val="single" w:sz="4" w:space="0" w:color="BFBFBF"/>
              <w:left w:val="nil"/>
              <w:bottom w:val="nil"/>
              <w:right w:val="nil"/>
            </w:tcBorders>
            <w:shd w:val="clear" w:color="auto" w:fill="auto"/>
            <w:vAlign w:val="bottom"/>
            <w:hideMark/>
          </w:tcPr>
          <w:p w14:paraId="172E36DE" w14:textId="77777777" w:rsidR="007D29F8" w:rsidRPr="00152C64" w:rsidRDefault="007D29F8" w:rsidP="00DB6666">
            <w:pPr>
              <w:jc w:val="center"/>
              <w:rPr>
                <w:rFonts w:ascii="Arial Narrow" w:hAnsi="Arial Narrow" w:cs="Arial"/>
                <w:b/>
                <w:bCs/>
                <w:sz w:val="18"/>
                <w:szCs w:val="18"/>
              </w:rPr>
            </w:pPr>
            <w:r w:rsidRPr="00152C64">
              <w:rPr>
                <w:rFonts w:ascii="Arial Narrow" w:hAnsi="Arial Narrow" w:cs="Arial"/>
                <w:b/>
                <w:bCs/>
                <w:sz w:val="18"/>
                <w:szCs w:val="18"/>
              </w:rPr>
              <w:t> </w:t>
            </w:r>
          </w:p>
        </w:tc>
        <w:tc>
          <w:tcPr>
            <w:tcW w:w="1169" w:type="dxa"/>
            <w:tcBorders>
              <w:top w:val="single" w:sz="4" w:space="0" w:color="BFBFBF"/>
              <w:left w:val="nil"/>
              <w:bottom w:val="nil"/>
              <w:right w:val="nil"/>
            </w:tcBorders>
            <w:shd w:val="clear" w:color="auto" w:fill="auto"/>
            <w:vAlign w:val="bottom"/>
            <w:hideMark/>
          </w:tcPr>
          <w:p w14:paraId="62FB9932" w14:textId="77777777" w:rsidR="007D29F8" w:rsidRPr="00152C64" w:rsidRDefault="007D29F8" w:rsidP="00DB6666">
            <w:pPr>
              <w:jc w:val="center"/>
              <w:rPr>
                <w:rFonts w:ascii="Arial Narrow" w:hAnsi="Arial Narrow" w:cs="Arial"/>
                <w:b/>
                <w:bCs/>
                <w:sz w:val="18"/>
                <w:szCs w:val="18"/>
              </w:rPr>
            </w:pPr>
            <w:r w:rsidRPr="00152C64">
              <w:rPr>
                <w:rFonts w:ascii="Arial Narrow" w:hAnsi="Arial Narrow" w:cs="Arial"/>
                <w:b/>
                <w:bCs/>
                <w:sz w:val="18"/>
                <w:szCs w:val="18"/>
              </w:rPr>
              <w:t> </w:t>
            </w:r>
          </w:p>
        </w:tc>
        <w:tc>
          <w:tcPr>
            <w:tcW w:w="970" w:type="dxa"/>
            <w:tcBorders>
              <w:top w:val="single" w:sz="4" w:space="0" w:color="BFBFBF"/>
              <w:left w:val="nil"/>
              <w:bottom w:val="nil"/>
              <w:right w:val="nil"/>
            </w:tcBorders>
            <w:shd w:val="clear" w:color="auto" w:fill="auto"/>
            <w:vAlign w:val="bottom"/>
            <w:hideMark/>
          </w:tcPr>
          <w:p w14:paraId="6930F5FE" w14:textId="77777777" w:rsidR="007D29F8" w:rsidRPr="00152C64" w:rsidRDefault="007D29F8" w:rsidP="00DB6666">
            <w:pPr>
              <w:jc w:val="center"/>
              <w:rPr>
                <w:rFonts w:ascii="Arial Narrow" w:hAnsi="Arial Narrow" w:cs="Arial"/>
                <w:b/>
                <w:bCs/>
                <w:sz w:val="18"/>
                <w:szCs w:val="18"/>
              </w:rPr>
            </w:pPr>
            <w:r w:rsidRPr="00152C64">
              <w:rPr>
                <w:rFonts w:ascii="Arial Narrow" w:hAnsi="Arial Narrow" w:cs="Arial"/>
                <w:b/>
                <w:bCs/>
                <w:sz w:val="18"/>
                <w:szCs w:val="18"/>
              </w:rPr>
              <w:t> </w:t>
            </w:r>
          </w:p>
        </w:tc>
        <w:tc>
          <w:tcPr>
            <w:tcW w:w="992" w:type="dxa"/>
            <w:tcBorders>
              <w:top w:val="single" w:sz="4" w:space="0" w:color="BFBFBF"/>
              <w:left w:val="nil"/>
              <w:bottom w:val="nil"/>
              <w:right w:val="nil"/>
            </w:tcBorders>
            <w:shd w:val="clear" w:color="auto" w:fill="auto"/>
            <w:vAlign w:val="bottom"/>
            <w:hideMark/>
          </w:tcPr>
          <w:p w14:paraId="165A0185" w14:textId="77777777" w:rsidR="007D29F8" w:rsidRPr="00152C64" w:rsidRDefault="007D29F8" w:rsidP="00DB6666">
            <w:pPr>
              <w:jc w:val="center"/>
              <w:rPr>
                <w:rFonts w:ascii="Arial Narrow" w:hAnsi="Arial Narrow" w:cs="Arial"/>
                <w:b/>
                <w:bCs/>
                <w:sz w:val="18"/>
                <w:szCs w:val="18"/>
              </w:rPr>
            </w:pPr>
            <w:r w:rsidRPr="00152C64">
              <w:rPr>
                <w:rFonts w:ascii="Arial Narrow" w:hAnsi="Arial Narrow" w:cs="Arial"/>
                <w:b/>
                <w:bCs/>
                <w:sz w:val="18"/>
                <w:szCs w:val="18"/>
              </w:rPr>
              <w:t> </w:t>
            </w:r>
          </w:p>
        </w:tc>
        <w:tc>
          <w:tcPr>
            <w:tcW w:w="1219" w:type="dxa"/>
            <w:tcBorders>
              <w:top w:val="single" w:sz="4" w:space="0" w:color="BFBFBF"/>
              <w:left w:val="nil"/>
              <w:bottom w:val="nil"/>
              <w:right w:val="nil"/>
            </w:tcBorders>
            <w:shd w:val="clear" w:color="auto" w:fill="auto"/>
            <w:vAlign w:val="bottom"/>
            <w:hideMark/>
          </w:tcPr>
          <w:p w14:paraId="15F9028B" w14:textId="77777777" w:rsidR="007D29F8" w:rsidRPr="00152C64" w:rsidRDefault="007D29F8" w:rsidP="00DB6666">
            <w:pPr>
              <w:jc w:val="center"/>
              <w:rPr>
                <w:rFonts w:ascii="Arial Narrow" w:hAnsi="Arial Narrow" w:cs="Arial"/>
                <w:b/>
                <w:bCs/>
                <w:sz w:val="18"/>
                <w:szCs w:val="18"/>
              </w:rPr>
            </w:pPr>
            <w:r w:rsidRPr="00152C64">
              <w:rPr>
                <w:rFonts w:ascii="Arial Narrow" w:hAnsi="Arial Narrow" w:cs="Arial"/>
                <w:b/>
                <w:bCs/>
                <w:sz w:val="18"/>
                <w:szCs w:val="18"/>
              </w:rPr>
              <w:t> </w:t>
            </w:r>
          </w:p>
        </w:tc>
      </w:tr>
      <w:tr w:rsidR="007D29F8" w:rsidRPr="00152C64" w14:paraId="45A27C30" w14:textId="77777777" w:rsidTr="00DB6666">
        <w:trPr>
          <w:trHeight w:val="301"/>
          <w:jc w:val="center"/>
        </w:trPr>
        <w:tc>
          <w:tcPr>
            <w:tcW w:w="3544" w:type="dxa"/>
            <w:gridSpan w:val="2"/>
            <w:tcBorders>
              <w:top w:val="nil"/>
              <w:left w:val="nil"/>
              <w:bottom w:val="nil"/>
              <w:right w:val="nil"/>
            </w:tcBorders>
            <w:shd w:val="clear" w:color="auto" w:fill="auto"/>
            <w:noWrap/>
            <w:vAlign w:val="center"/>
            <w:hideMark/>
          </w:tcPr>
          <w:p w14:paraId="04A627CC" w14:textId="77777777" w:rsidR="007D29F8" w:rsidRPr="00152C64" w:rsidRDefault="007D29F8" w:rsidP="00DB6666">
            <w:pPr>
              <w:jc w:val="left"/>
              <w:rPr>
                <w:rFonts w:ascii="Arial Narrow" w:hAnsi="Arial Narrow" w:cs="Arial"/>
                <w:b/>
                <w:bCs/>
                <w:sz w:val="18"/>
                <w:szCs w:val="18"/>
              </w:rPr>
            </w:pPr>
            <w:r w:rsidRPr="00152C64">
              <w:rPr>
                <w:rFonts w:ascii="Arial Narrow" w:hAnsi="Arial Narrow" w:cs="Arial"/>
                <w:b/>
                <w:bCs/>
                <w:sz w:val="18"/>
                <w:szCs w:val="18"/>
              </w:rPr>
              <w:t>A.  Ressources en personnel</w:t>
            </w:r>
          </w:p>
        </w:tc>
        <w:tc>
          <w:tcPr>
            <w:tcW w:w="1169" w:type="dxa"/>
            <w:tcBorders>
              <w:top w:val="nil"/>
              <w:left w:val="nil"/>
              <w:bottom w:val="nil"/>
              <w:right w:val="nil"/>
            </w:tcBorders>
            <w:shd w:val="clear" w:color="auto" w:fill="auto"/>
            <w:vAlign w:val="center"/>
            <w:hideMark/>
          </w:tcPr>
          <w:p w14:paraId="755177B3" w14:textId="77777777" w:rsidR="007D29F8" w:rsidRPr="00152C64" w:rsidRDefault="007D29F8" w:rsidP="00DB6666">
            <w:pPr>
              <w:jc w:val="right"/>
              <w:rPr>
                <w:rFonts w:ascii="Arial Narrow" w:hAnsi="Arial Narrow" w:cs="Arial"/>
                <w:b/>
                <w:bCs/>
                <w:sz w:val="18"/>
                <w:szCs w:val="18"/>
              </w:rPr>
            </w:pPr>
          </w:p>
        </w:tc>
        <w:tc>
          <w:tcPr>
            <w:tcW w:w="1169" w:type="dxa"/>
            <w:tcBorders>
              <w:top w:val="nil"/>
              <w:left w:val="nil"/>
              <w:bottom w:val="nil"/>
              <w:right w:val="nil"/>
            </w:tcBorders>
            <w:shd w:val="clear" w:color="auto" w:fill="auto"/>
            <w:vAlign w:val="center"/>
            <w:hideMark/>
          </w:tcPr>
          <w:p w14:paraId="516A0FE1" w14:textId="77777777" w:rsidR="007D29F8" w:rsidRPr="00152C64" w:rsidRDefault="007D29F8" w:rsidP="00DB6666">
            <w:pPr>
              <w:jc w:val="right"/>
              <w:rPr>
                <w:rFonts w:ascii="Arial Narrow" w:hAnsi="Arial Narrow"/>
                <w:sz w:val="18"/>
                <w:szCs w:val="18"/>
              </w:rPr>
            </w:pPr>
          </w:p>
        </w:tc>
        <w:tc>
          <w:tcPr>
            <w:tcW w:w="970" w:type="dxa"/>
            <w:tcBorders>
              <w:top w:val="nil"/>
              <w:left w:val="nil"/>
              <w:bottom w:val="nil"/>
              <w:right w:val="nil"/>
            </w:tcBorders>
            <w:shd w:val="clear" w:color="auto" w:fill="auto"/>
            <w:vAlign w:val="center"/>
            <w:hideMark/>
          </w:tcPr>
          <w:p w14:paraId="6CEFFC55" w14:textId="77777777" w:rsidR="007D29F8" w:rsidRPr="00152C64" w:rsidRDefault="007D29F8"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center"/>
            <w:hideMark/>
          </w:tcPr>
          <w:p w14:paraId="4DB041AA" w14:textId="77777777" w:rsidR="007D29F8" w:rsidRPr="00152C64" w:rsidRDefault="007D29F8" w:rsidP="00DB6666">
            <w:pPr>
              <w:jc w:val="right"/>
              <w:rPr>
                <w:rFonts w:ascii="Arial Narrow" w:hAnsi="Arial Narrow"/>
                <w:sz w:val="18"/>
                <w:szCs w:val="18"/>
              </w:rPr>
            </w:pPr>
          </w:p>
        </w:tc>
        <w:tc>
          <w:tcPr>
            <w:tcW w:w="1219" w:type="dxa"/>
            <w:tcBorders>
              <w:top w:val="nil"/>
              <w:left w:val="nil"/>
              <w:bottom w:val="nil"/>
              <w:right w:val="nil"/>
            </w:tcBorders>
            <w:shd w:val="clear" w:color="auto" w:fill="auto"/>
            <w:vAlign w:val="center"/>
            <w:hideMark/>
          </w:tcPr>
          <w:p w14:paraId="7DD3E91A" w14:textId="77777777" w:rsidR="007D29F8" w:rsidRPr="00152C64" w:rsidRDefault="007D29F8" w:rsidP="00DB6666">
            <w:pPr>
              <w:jc w:val="right"/>
              <w:rPr>
                <w:rFonts w:ascii="Arial Narrow" w:hAnsi="Arial Narrow"/>
                <w:sz w:val="18"/>
                <w:szCs w:val="18"/>
              </w:rPr>
            </w:pPr>
          </w:p>
        </w:tc>
      </w:tr>
      <w:tr w:rsidR="007D29F8" w:rsidRPr="00152C64" w14:paraId="640C21B0" w14:textId="77777777" w:rsidTr="00DB6666">
        <w:trPr>
          <w:trHeight w:val="355"/>
          <w:jc w:val="center"/>
        </w:trPr>
        <w:tc>
          <w:tcPr>
            <w:tcW w:w="320" w:type="dxa"/>
            <w:tcBorders>
              <w:top w:val="nil"/>
              <w:left w:val="nil"/>
              <w:bottom w:val="nil"/>
              <w:right w:val="nil"/>
            </w:tcBorders>
            <w:shd w:val="clear" w:color="auto" w:fill="auto"/>
            <w:noWrap/>
            <w:vAlign w:val="bottom"/>
            <w:hideMark/>
          </w:tcPr>
          <w:p w14:paraId="05830D17" w14:textId="77777777" w:rsidR="007D29F8" w:rsidRPr="00152C64" w:rsidRDefault="007D29F8" w:rsidP="00DB6666">
            <w:pPr>
              <w:jc w:val="left"/>
              <w:rPr>
                <w:rFonts w:ascii="Arial Narrow" w:hAnsi="Arial Narrow"/>
                <w:sz w:val="18"/>
                <w:szCs w:val="18"/>
              </w:rPr>
            </w:pPr>
          </w:p>
        </w:tc>
        <w:tc>
          <w:tcPr>
            <w:tcW w:w="3224" w:type="dxa"/>
            <w:tcBorders>
              <w:top w:val="nil"/>
              <w:left w:val="nil"/>
              <w:bottom w:val="nil"/>
              <w:right w:val="nil"/>
            </w:tcBorders>
            <w:shd w:val="clear" w:color="auto" w:fill="auto"/>
            <w:vAlign w:val="center"/>
            <w:hideMark/>
          </w:tcPr>
          <w:p w14:paraId="0F99E20E" w14:textId="77777777" w:rsidR="007D29F8" w:rsidRPr="00152C64" w:rsidRDefault="007D29F8" w:rsidP="00DB6666">
            <w:pPr>
              <w:ind w:firstLineChars="200" w:firstLine="360"/>
              <w:jc w:val="left"/>
              <w:rPr>
                <w:rFonts w:ascii="Arial Narrow" w:hAnsi="Arial Narrow" w:cs="Arial"/>
                <w:i/>
                <w:iCs/>
                <w:color w:val="000000"/>
                <w:sz w:val="18"/>
                <w:szCs w:val="18"/>
              </w:rPr>
            </w:pPr>
            <w:r w:rsidRPr="00152C64">
              <w:rPr>
                <w:rFonts w:ascii="Arial Narrow" w:hAnsi="Arial Narrow" w:cs="Arial"/>
                <w:i/>
                <w:iCs/>
                <w:color w:val="000000"/>
                <w:sz w:val="18"/>
                <w:szCs w:val="18"/>
              </w:rPr>
              <w:t>Postes</w:t>
            </w:r>
          </w:p>
        </w:tc>
        <w:tc>
          <w:tcPr>
            <w:tcW w:w="1169" w:type="dxa"/>
            <w:tcBorders>
              <w:top w:val="nil"/>
              <w:left w:val="nil"/>
              <w:bottom w:val="nil"/>
              <w:right w:val="nil"/>
            </w:tcBorders>
            <w:shd w:val="clear" w:color="auto" w:fill="auto"/>
            <w:vAlign w:val="center"/>
            <w:hideMark/>
          </w:tcPr>
          <w:p w14:paraId="1D81FD7E"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4 363</w:t>
            </w:r>
          </w:p>
        </w:tc>
        <w:tc>
          <w:tcPr>
            <w:tcW w:w="1169" w:type="dxa"/>
            <w:tcBorders>
              <w:top w:val="nil"/>
              <w:left w:val="nil"/>
              <w:bottom w:val="nil"/>
              <w:right w:val="nil"/>
            </w:tcBorders>
            <w:shd w:val="clear" w:color="auto" w:fill="auto"/>
            <w:vAlign w:val="center"/>
            <w:hideMark/>
          </w:tcPr>
          <w:p w14:paraId="1EE68C6A"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4 792</w:t>
            </w:r>
          </w:p>
        </w:tc>
        <w:tc>
          <w:tcPr>
            <w:tcW w:w="970" w:type="dxa"/>
            <w:tcBorders>
              <w:top w:val="nil"/>
              <w:left w:val="nil"/>
              <w:bottom w:val="nil"/>
              <w:right w:val="nil"/>
            </w:tcBorders>
            <w:shd w:val="clear" w:color="auto" w:fill="auto"/>
            <w:vAlign w:val="center"/>
            <w:hideMark/>
          </w:tcPr>
          <w:p w14:paraId="0DA5767C"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393</w:t>
            </w:r>
          </w:p>
        </w:tc>
        <w:tc>
          <w:tcPr>
            <w:tcW w:w="992" w:type="dxa"/>
            <w:tcBorders>
              <w:top w:val="nil"/>
              <w:left w:val="nil"/>
              <w:bottom w:val="nil"/>
              <w:right w:val="nil"/>
            </w:tcBorders>
            <w:shd w:val="clear" w:color="auto" w:fill="auto"/>
            <w:vAlign w:val="center"/>
            <w:hideMark/>
          </w:tcPr>
          <w:p w14:paraId="1FBF1A76"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8%</w:t>
            </w:r>
          </w:p>
        </w:tc>
        <w:tc>
          <w:tcPr>
            <w:tcW w:w="1219" w:type="dxa"/>
            <w:tcBorders>
              <w:top w:val="nil"/>
              <w:left w:val="nil"/>
              <w:bottom w:val="nil"/>
              <w:right w:val="nil"/>
            </w:tcBorders>
            <w:shd w:val="clear" w:color="auto" w:fill="auto"/>
            <w:vAlign w:val="center"/>
            <w:hideMark/>
          </w:tcPr>
          <w:p w14:paraId="0166E92D"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5 186</w:t>
            </w:r>
          </w:p>
        </w:tc>
      </w:tr>
      <w:tr w:rsidR="007D29F8" w:rsidRPr="00152C64" w14:paraId="728BB60C" w14:textId="77777777" w:rsidTr="00DB6666">
        <w:trPr>
          <w:trHeight w:val="342"/>
          <w:jc w:val="center"/>
        </w:trPr>
        <w:tc>
          <w:tcPr>
            <w:tcW w:w="320" w:type="dxa"/>
            <w:tcBorders>
              <w:top w:val="nil"/>
              <w:left w:val="nil"/>
              <w:bottom w:val="nil"/>
              <w:right w:val="nil"/>
            </w:tcBorders>
            <w:shd w:val="clear" w:color="auto" w:fill="auto"/>
            <w:noWrap/>
            <w:vAlign w:val="bottom"/>
            <w:hideMark/>
          </w:tcPr>
          <w:p w14:paraId="40753B93" w14:textId="77777777" w:rsidR="007D29F8" w:rsidRPr="00152C64" w:rsidRDefault="007D29F8" w:rsidP="00DB6666">
            <w:pPr>
              <w:jc w:val="right"/>
              <w:rPr>
                <w:rFonts w:ascii="Arial Narrow" w:hAnsi="Arial Narrow" w:cs="Arial"/>
                <w:sz w:val="18"/>
                <w:szCs w:val="18"/>
              </w:rPr>
            </w:pPr>
          </w:p>
        </w:tc>
        <w:tc>
          <w:tcPr>
            <w:tcW w:w="3224" w:type="dxa"/>
            <w:tcBorders>
              <w:top w:val="nil"/>
              <w:left w:val="nil"/>
              <w:bottom w:val="nil"/>
              <w:right w:val="nil"/>
            </w:tcBorders>
            <w:shd w:val="clear" w:color="auto" w:fill="auto"/>
            <w:vAlign w:val="center"/>
            <w:hideMark/>
          </w:tcPr>
          <w:p w14:paraId="6C7B4526" w14:textId="77777777" w:rsidR="007D29F8" w:rsidRPr="00152C64" w:rsidRDefault="007D29F8" w:rsidP="00DB6666">
            <w:pPr>
              <w:ind w:firstLineChars="200" w:firstLine="360"/>
              <w:jc w:val="left"/>
              <w:rPr>
                <w:rFonts w:ascii="Arial Narrow" w:hAnsi="Arial Narrow" w:cs="Arial"/>
                <w:i/>
                <w:iCs/>
                <w:color w:val="000000"/>
                <w:sz w:val="18"/>
                <w:szCs w:val="18"/>
              </w:rPr>
            </w:pPr>
            <w:r w:rsidRPr="00152C64">
              <w:rPr>
                <w:rFonts w:ascii="Arial Narrow" w:hAnsi="Arial Narrow" w:cs="Arial"/>
                <w:i/>
                <w:iCs/>
                <w:color w:val="000000"/>
                <w:sz w:val="18"/>
                <w:szCs w:val="18"/>
              </w:rPr>
              <w:t>Fonctionnaires temporaires</w:t>
            </w:r>
          </w:p>
        </w:tc>
        <w:tc>
          <w:tcPr>
            <w:tcW w:w="1169" w:type="dxa"/>
            <w:tcBorders>
              <w:top w:val="nil"/>
              <w:left w:val="nil"/>
              <w:bottom w:val="nil"/>
              <w:right w:val="nil"/>
            </w:tcBorders>
            <w:shd w:val="clear" w:color="auto" w:fill="auto"/>
            <w:vAlign w:val="center"/>
            <w:hideMark/>
          </w:tcPr>
          <w:p w14:paraId="5018BF56"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188</w:t>
            </w:r>
          </w:p>
        </w:tc>
        <w:tc>
          <w:tcPr>
            <w:tcW w:w="1169" w:type="dxa"/>
            <w:tcBorders>
              <w:top w:val="nil"/>
              <w:left w:val="nil"/>
              <w:bottom w:val="nil"/>
              <w:right w:val="nil"/>
            </w:tcBorders>
            <w:shd w:val="clear" w:color="auto" w:fill="auto"/>
            <w:vAlign w:val="center"/>
            <w:hideMark/>
          </w:tcPr>
          <w:p w14:paraId="60711BE2"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526</w:t>
            </w:r>
          </w:p>
        </w:tc>
        <w:tc>
          <w:tcPr>
            <w:tcW w:w="970" w:type="dxa"/>
            <w:tcBorders>
              <w:top w:val="nil"/>
              <w:left w:val="nil"/>
              <w:bottom w:val="nil"/>
              <w:right w:val="nil"/>
            </w:tcBorders>
            <w:shd w:val="clear" w:color="auto" w:fill="auto"/>
            <w:vAlign w:val="center"/>
            <w:hideMark/>
          </w:tcPr>
          <w:p w14:paraId="6E479E8A"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43</w:t>
            </w:r>
          </w:p>
        </w:tc>
        <w:tc>
          <w:tcPr>
            <w:tcW w:w="992" w:type="dxa"/>
            <w:tcBorders>
              <w:top w:val="nil"/>
              <w:left w:val="nil"/>
              <w:bottom w:val="nil"/>
              <w:right w:val="nil"/>
            </w:tcBorders>
            <w:shd w:val="clear" w:color="auto" w:fill="auto"/>
            <w:vAlign w:val="center"/>
            <w:hideMark/>
          </w:tcPr>
          <w:p w14:paraId="4C9A147C"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8%</w:t>
            </w:r>
          </w:p>
        </w:tc>
        <w:tc>
          <w:tcPr>
            <w:tcW w:w="1219" w:type="dxa"/>
            <w:tcBorders>
              <w:top w:val="nil"/>
              <w:left w:val="nil"/>
              <w:bottom w:val="nil"/>
              <w:right w:val="nil"/>
            </w:tcBorders>
            <w:shd w:val="clear" w:color="auto" w:fill="auto"/>
            <w:vAlign w:val="center"/>
            <w:hideMark/>
          </w:tcPr>
          <w:p w14:paraId="4E10B8BB"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569</w:t>
            </w:r>
          </w:p>
        </w:tc>
      </w:tr>
      <w:tr w:rsidR="007D29F8" w:rsidRPr="00152C64" w14:paraId="52919D07" w14:textId="77777777" w:rsidTr="00DB6666">
        <w:trPr>
          <w:trHeight w:val="342"/>
          <w:jc w:val="center"/>
        </w:trPr>
        <w:tc>
          <w:tcPr>
            <w:tcW w:w="320" w:type="dxa"/>
            <w:tcBorders>
              <w:top w:val="nil"/>
              <w:left w:val="nil"/>
              <w:bottom w:val="nil"/>
              <w:right w:val="nil"/>
            </w:tcBorders>
            <w:shd w:val="clear" w:color="auto" w:fill="auto"/>
            <w:noWrap/>
            <w:vAlign w:val="bottom"/>
            <w:hideMark/>
          </w:tcPr>
          <w:p w14:paraId="74D3DB93" w14:textId="77777777" w:rsidR="007D29F8" w:rsidRPr="00152C64" w:rsidRDefault="007D29F8" w:rsidP="00DB6666">
            <w:pPr>
              <w:jc w:val="right"/>
              <w:rPr>
                <w:rFonts w:ascii="Arial Narrow" w:hAnsi="Arial Narrow" w:cs="Arial"/>
                <w:sz w:val="18"/>
                <w:szCs w:val="18"/>
              </w:rPr>
            </w:pPr>
          </w:p>
        </w:tc>
        <w:tc>
          <w:tcPr>
            <w:tcW w:w="3224" w:type="dxa"/>
            <w:tcBorders>
              <w:top w:val="nil"/>
              <w:left w:val="nil"/>
              <w:bottom w:val="nil"/>
              <w:right w:val="nil"/>
            </w:tcBorders>
            <w:shd w:val="clear" w:color="auto" w:fill="auto"/>
            <w:vAlign w:val="center"/>
            <w:hideMark/>
          </w:tcPr>
          <w:p w14:paraId="7E9B81EC" w14:textId="77777777" w:rsidR="007D29F8" w:rsidRPr="00152C64" w:rsidRDefault="007D29F8" w:rsidP="00DB6666">
            <w:pPr>
              <w:ind w:firstLineChars="200" w:firstLine="360"/>
              <w:jc w:val="left"/>
              <w:rPr>
                <w:rFonts w:ascii="Arial Narrow" w:hAnsi="Arial Narrow" w:cs="Arial"/>
                <w:i/>
                <w:iCs/>
                <w:color w:val="000000"/>
                <w:sz w:val="18"/>
                <w:szCs w:val="18"/>
              </w:rPr>
            </w:pPr>
            <w:r w:rsidRPr="00152C64">
              <w:rPr>
                <w:rFonts w:ascii="Arial Narrow" w:hAnsi="Arial Narrow" w:cs="Arial"/>
                <w:i/>
                <w:iCs/>
                <w:color w:val="000000"/>
                <w:sz w:val="18"/>
                <w:szCs w:val="18"/>
              </w:rPr>
              <w:t>Autres dépenses de personnel</w:t>
            </w:r>
          </w:p>
        </w:tc>
        <w:tc>
          <w:tcPr>
            <w:tcW w:w="1169" w:type="dxa"/>
            <w:tcBorders>
              <w:top w:val="nil"/>
              <w:left w:val="nil"/>
              <w:bottom w:val="nil"/>
              <w:right w:val="nil"/>
            </w:tcBorders>
            <w:shd w:val="clear" w:color="auto" w:fill="auto"/>
            <w:vAlign w:val="center"/>
            <w:hideMark/>
          </w:tcPr>
          <w:p w14:paraId="2ED42DC0"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1</w:t>
            </w:r>
          </w:p>
        </w:tc>
        <w:tc>
          <w:tcPr>
            <w:tcW w:w="1169" w:type="dxa"/>
            <w:tcBorders>
              <w:top w:val="nil"/>
              <w:left w:val="nil"/>
              <w:bottom w:val="nil"/>
              <w:right w:val="nil"/>
            </w:tcBorders>
            <w:shd w:val="clear" w:color="auto" w:fill="auto"/>
            <w:vAlign w:val="center"/>
            <w:hideMark/>
          </w:tcPr>
          <w:p w14:paraId="1CEBF1B3"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w:t>
            </w:r>
          </w:p>
        </w:tc>
        <w:tc>
          <w:tcPr>
            <w:tcW w:w="970" w:type="dxa"/>
            <w:tcBorders>
              <w:top w:val="nil"/>
              <w:left w:val="nil"/>
              <w:bottom w:val="nil"/>
              <w:right w:val="nil"/>
            </w:tcBorders>
            <w:shd w:val="clear" w:color="auto" w:fill="auto"/>
            <w:vAlign w:val="center"/>
            <w:hideMark/>
          </w:tcPr>
          <w:p w14:paraId="22A4166D"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w:t>
            </w:r>
          </w:p>
        </w:tc>
        <w:tc>
          <w:tcPr>
            <w:tcW w:w="992" w:type="dxa"/>
            <w:tcBorders>
              <w:top w:val="nil"/>
              <w:left w:val="nil"/>
              <w:bottom w:val="single" w:sz="4" w:space="0" w:color="BFBFBF"/>
              <w:right w:val="nil"/>
            </w:tcBorders>
            <w:shd w:val="clear" w:color="auto" w:fill="auto"/>
            <w:vAlign w:val="center"/>
            <w:hideMark/>
          </w:tcPr>
          <w:p w14:paraId="0BFD287F"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w:t>
            </w:r>
          </w:p>
        </w:tc>
        <w:tc>
          <w:tcPr>
            <w:tcW w:w="1219" w:type="dxa"/>
            <w:tcBorders>
              <w:top w:val="nil"/>
              <w:left w:val="nil"/>
              <w:bottom w:val="nil"/>
              <w:right w:val="nil"/>
            </w:tcBorders>
            <w:shd w:val="clear" w:color="auto" w:fill="auto"/>
            <w:vAlign w:val="center"/>
            <w:hideMark/>
          </w:tcPr>
          <w:p w14:paraId="0A073BE6"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w:t>
            </w:r>
          </w:p>
        </w:tc>
      </w:tr>
      <w:tr w:rsidR="007D29F8" w:rsidRPr="00152C64" w14:paraId="08DF4B5F" w14:textId="77777777" w:rsidTr="00DB6666">
        <w:trPr>
          <w:trHeight w:val="314"/>
          <w:jc w:val="center"/>
        </w:trPr>
        <w:tc>
          <w:tcPr>
            <w:tcW w:w="320" w:type="dxa"/>
            <w:tcBorders>
              <w:top w:val="single" w:sz="4" w:space="0" w:color="AAB8C4"/>
              <w:left w:val="nil"/>
              <w:bottom w:val="single" w:sz="8" w:space="0" w:color="AAB8C4"/>
              <w:right w:val="nil"/>
            </w:tcBorders>
            <w:shd w:val="clear" w:color="auto" w:fill="auto"/>
            <w:noWrap/>
            <w:vAlign w:val="bottom"/>
            <w:hideMark/>
          </w:tcPr>
          <w:p w14:paraId="3741F168" w14:textId="77777777" w:rsidR="007D29F8" w:rsidRPr="00152C64" w:rsidRDefault="007D29F8" w:rsidP="00DB6666">
            <w:pPr>
              <w:jc w:val="left"/>
              <w:rPr>
                <w:rFonts w:ascii="Arial Narrow" w:hAnsi="Arial Narrow" w:cs="Arial"/>
                <w:b/>
                <w:bCs/>
                <w:sz w:val="18"/>
                <w:szCs w:val="18"/>
              </w:rPr>
            </w:pPr>
            <w:r w:rsidRPr="00152C64">
              <w:rPr>
                <w:rFonts w:ascii="Arial Narrow" w:hAnsi="Arial Narrow" w:cs="Arial"/>
                <w:b/>
                <w:bCs/>
                <w:sz w:val="18"/>
                <w:szCs w:val="18"/>
              </w:rPr>
              <w:t> </w:t>
            </w:r>
          </w:p>
        </w:tc>
        <w:tc>
          <w:tcPr>
            <w:tcW w:w="3224" w:type="dxa"/>
            <w:tcBorders>
              <w:top w:val="single" w:sz="4" w:space="0" w:color="AAB8C4"/>
              <w:left w:val="nil"/>
              <w:bottom w:val="single" w:sz="8" w:space="0" w:color="AAB8C4"/>
              <w:right w:val="nil"/>
            </w:tcBorders>
            <w:shd w:val="clear" w:color="auto" w:fill="auto"/>
            <w:vAlign w:val="center"/>
            <w:hideMark/>
          </w:tcPr>
          <w:p w14:paraId="77D6F0C7" w14:textId="77777777" w:rsidR="007D29F8" w:rsidRPr="00152C64" w:rsidRDefault="007D29F8" w:rsidP="00DB6666">
            <w:pPr>
              <w:jc w:val="left"/>
              <w:rPr>
                <w:rFonts w:ascii="Arial Narrow" w:hAnsi="Arial Narrow" w:cs="Arial"/>
                <w:b/>
                <w:bCs/>
                <w:color w:val="000000"/>
                <w:sz w:val="18"/>
                <w:szCs w:val="18"/>
              </w:rPr>
            </w:pPr>
            <w:r w:rsidRPr="00152C64">
              <w:rPr>
                <w:rFonts w:ascii="Arial Narrow" w:hAnsi="Arial Narrow" w:cs="Arial"/>
                <w:b/>
                <w:bCs/>
                <w:color w:val="000000"/>
                <w:sz w:val="18"/>
                <w:szCs w:val="18"/>
              </w:rPr>
              <w:t>Total, A</w:t>
            </w:r>
          </w:p>
        </w:tc>
        <w:tc>
          <w:tcPr>
            <w:tcW w:w="1169" w:type="dxa"/>
            <w:tcBorders>
              <w:top w:val="single" w:sz="4" w:space="0" w:color="AAB8C4"/>
              <w:left w:val="nil"/>
              <w:bottom w:val="single" w:sz="8" w:space="0" w:color="AAB8C4"/>
              <w:right w:val="nil"/>
            </w:tcBorders>
            <w:shd w:val="clear" w:color="auto" w:fill="auto"/>
            <w:vAlign w:val="center"/>
            <w:hideMark/>
          </w:tcPr>
          <w:p w14:paraId="0BE005DF"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4 552</w:t>
            </w:r>
          </w:p>
        </w:tc>
        <w:tc>
          <w:tcPr>
            <w:tcW w:w="1169" w:type="dxa"/>
            <w:tcBorders>
              <w:top w:val="single" w:sz="4" w:space="0" w:color="AAB8C4"/>
              <w:left w:val="nil"/>
              <w:bottom w:val="single" w:sz="8" w:space="0" w:color="AAB8C4"/>
              <w:right w:val="nil"/>
            </w:tcBorders>
            <w:shd w:val="clear" w:color="auto" w:fill="auto"/>
            <w:vAlign w:val="center"/>
            <w:hideMark/>
          </w:tcPr>
          <w:p w14:paraId="2C4DEDFE"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5 319</w:t>
            </w:r>
          </w:p>
        </w:tc>
        <w:tc>
          <w:tcPr>
            <w:tcW w:w="970" w:type="dxa"/>
            <w:tcBorders>
              <w:top w:val="single" w:sz="4" w:space="0" w:color="BFBFBF"/>
              <w:left w:val="nil"/>
              <w:bottom w:val="single" w:sz="8" w:space="0" w:color="BFBFBF"/>
              <w:right w:val="nil"/>
            </w:tcBorders>
            <w:shd w:val="clear" w:color="auto" w:fill="auto"/>
            <w:vAlign w:val="center"/>
            <w:hideMark/>
          </w:tcPr>
          <w:p w14:paraId="44AFE2AB"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436</w:t>
            </w:r>
          </w:p>
        </w:tc>
        <w:tc>
          <w:tcPr>
            <w:tcW w:w="992" w:type="dxa"/>
            <w:tcBorders>
              <w:top w:val="nil"/>
              <w:left w:val="nil"/>
              <w:bottom w:val="single" w:sz="8" w:space="0" w:color="BFBFBF"/>
              <w:right w:val="nil"/>
            </w:tcBorders>
            <w:shd w:val="clear" w:color="auto" w:fill="auto"/>
            <w:vAlign w:val="center"/>
            <w:hideMark/>
          </w:tcPr>
          <w:p w14:paraId="2A979935"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8%</w:t>
            </w:r>
          </w:p>
        </w:tc>
        <w:tc>
          <w:tcPr>
            <w:tcW w:w="1219" w:type="dxa"/>
            <w:tcBorders>
              <w:top w:val="single" w:sz="4" w:space="0" w:color="AAB8C4"/>
              <w:left w:val="nil"/>
              <w:bottom w:val="single" w:sz="8" w:space="0" w:color="AAB8C4"/>
              <w:right w:val="nil"/>
            </w:tcBorders>
            <w:shd w:val="clear" w:color="auto" w:fill="auto"/>
            <w:vAlign w:val="center"/>
            <w:hideMark/>
          </w:tcPr>
          <w:p w14:paraId="14DD4CFD"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5 755</w:t>
            </w:r>
          </w:p>
        </w:tc>
      </w:tr>
      <w:tr w:rsidR="007D29F8" w:rsidRPr="00152C64" w14:paraId="6AC7D5CF" w14:textId="77777777" w:rsidTr="00DB6666">
        <w:trPr>
          <w:trHeight w:val="141"/>
          <w:jc w:val="center"/>
        </w:trPr>
        <w:tc>
          <w:tcPr>
            <w:tcW w:w="320" w:type="dxa"/>
            <w:tcBorders>
              <w:top w:val="nil"/>
              <w:left w:val="nil"/>
              <w:bottom w:val="nil"/>
              <w:right w:val="nil"/>
            </w:tcBorders>
            <w:shd w:val="clear" w:color="auto" w:fill="auto"/>
            <w:noWrap/>
            <w:vAlign w:val="bottom"/>
            <w:hideMark/>
          </w:tcPr>
          <w:p w14:paraId="795B3D98" w14:textId="77777777" w:rsidR="007D29F8" w:rsidRPr="00152C64" w:rsidRDefault="007D29F8" w:rsidP="00DB6666">
            <w:pPr>
              <w:jc w:val="left"/>
              <w:rPr>
                <w:rFonts w:ascii="Arial Narrow" w:hAnsi="Arial Narrow" w:cs="Arial"/>
                <w:b/>
                <w:bCs/>
                <w:sz w:val="18"/>
                <w:szCs w:val="18"/>
              </w:rPr>
            </w:pPr>
          </w:p>
        </w:tc>
        <w:tc>
          <w:tcPr>
            <w:tcW w:w="3224" w:type="dxa"/>
            <w:tcBorders>
              <w:top w:val="nil"/>
              <w:left w:val="nil"/>
              <w:bottom w:val="nil"/>
              <w:right w:val="nil"/>
            </w:tcBorders>
            <w:shd w:val="clear" w:color="auto" w:fill="auto"/>
            <w:vAlign w:val="bottom"/>
            <w:hideMark/>
          </w:tcPr>
          <w:p w14:paraId="3C56F85D" w14:textId="77777777" w:rsidR="007D29F8" w:rsidRPr="00152C64" w:rsidRDefault="007D29F8" w:rsidP="00DB6666">
            <w:pPr>
              <w:jc w:val="left"/>
              <w:rPr>
                <w:rFonts w:ascii="Arial Narrow" w:hAnsi="Arial Narrow"/>
                <w:sz w:val="18"/>
                <w:szCs w:val="18"/>
              </w:rPr>
            </w:pPr>
          </w:p>
        </w:tc>
        <w:tc>
          <w:tcPr>
            <w:tcW w:w="1169" w:type="dxa"/>
            <w:tcBorders>
              <w:top w:val="nil"/>
              <w:left w:val="nil"/>
              <w:bottom w:val="nil"/>
              <w:right w:val="nil"/>
            </w:tcBorders>
            <w:shd w:val="clear" w:color="auto" w:fill="auto"/>
            <w:vAlign w:val="bottom"/>
            <w:hideMark/>
          </w:tcPr>
          <w:p w14:paraId="6F82E345" w14:textId="77777777" w:rsidR="007D29F8" w:rsidRPr="00152C64" w:rsidRDefault="007D29F8" w:rsidP="00DB6666">
            <w:pPr>
              <w:jc w:val="right"/>
              <w:rPr>
                <w:rFonts w:ascii="Arial Narrow" w:hAnsi="Arial Narrow"/>
                <w:sz w:val="18"/>
                <w:szCs w:val="18"/>
              </w:rPr>
            </w:pPr>
          </w:p>
        </w:tc>
        <w:tc>
          <w:tcPr>
            <w:tcW w:w="1169" w:type="dxa"/>
            <w:tcBorders>
              <w:top w:val="nil"/>
              <w:left w:val="nil"/>
              <w:bottom w:val="nil"/>
              <w:right w:val="nil"/>
            </w:tcBorders>
            <w:shd w:val="clear" w:color="auto" w:fill="auto"/>
            <w:vAlign w:val="bottom"/>
            <w:hideMark/>
          </w:tcPr>
          <w:p w14:paraId="0B55C5F5" w14:textId="77777777" w:rsidR="007D29F8" w:rsidRPr="00152C64" w:rsidRDefault="007D29F8" w:rsidP="00DB6666">
            <w:pPr>
              <w:jc w:val="right"/>
              <w:rPr>
                <w:rFonts w:ascii="Arial Narrow" w:hAnsi="Arial Narrow"/>
                <w:sz w:val="18"/>
                <w:szCs w:val="18"/>
              </w:rPr>
            </w:pPr>
          </w:p>
        </w:tc>
        <w:tc>
          <w:tcPr>
            <w:tcW w:w="970" w:type="dxa"/>
            <w:tcBorders>
              <w:top w:val="nil"/>
              <w:left w:val="nil"/>
              <w:bottom w:val="nil"/>
              <w:right w:val="nil"/>
            </w:tcBorders>
            <w:shd w:val="clear" w:color="auto" w:fill="auto"/>
            <w:vAlign w:val="bottom"/>
            <w:hideMark/>
          </w:tcPr>
          <w:p w14:paraId="7497ED17" w14:textId="77777777" w:rsidR="007D29F8" w:rsidRPr="00152C64" w:rsidRDefault="007D29F8"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bottom"/>
            <w:hideMark/>
          </w:tcPr>
          <w:p w14:paraId="036F8831" w14:textId="77777777" w:rsidR="007D29F8" w:rsidRPr="00152C64" w:rsidRDefault="007D29F8" w:rsidP="00DB6666">
            <w:pPr>
              <w:jc w:val="right"/>
              <w:rPr>
                <w:rFonts w:ascii="Arial Narrow" w:hAnsi="Arial Narrow"/>
                <w:sz w:val="18"/>
                <w:szCs w:val="18"/>
              </w:rPr>
            </w:pPr>
          </w:p>
        </w:tc>
        <w:tc>
          <w:tcPr>
            <w:tcW w:w="1219" w:type="dxa"/>
            <w:tcBorders>
              <w:top w:val="nil"/>
              <w:left w:val="nil"/>
              <w:bottom w:val="nil"/>
              <w:right w:val="nil"/>
            </w:tcBorders>
            <w:shd w:val="clear" w:color="auto" w:fill="auto"/>
            <w:vAlign w:val="bottom"/>
            <w:hideMark/>
          </w:tcPr>
          <w:p w14:paraId="68C86497" w14:textId="77777777" w:rsidR="007D29F8" w:rsidRPr="00152C64" w:rsidRDefault="007D29F8" w:rsidP="00DB6666">
            <w:pPr>
              <w:jc w:val="right"/>
              <w:rPr>
                <w:rFonts w:ascii="Arial Narrow" w:hAnsi="Arial Narrow"/>
                <w:sz w:val="18"/>
                <w:szCs w:val="18"/>
              </w:rPr>
            </w:pPr>
          </w:p>
        </w:tc>
      </w:tr>
      <w:tr w:rsidR="007D29F8" w:rsidRPr="00152C64" w14:paraId="319DC85F" w14:textId="77777777" w:rsidTr="00DB6666">
        <w:trPr>
          <w:trHeight w:val="342"/>
          <w:jc w:val="center"/>
        </w:trPr>
        <w:tc>
          <w:tcPr>
            <w:tcW w:w="3544" w:type="dxa"/>
            <w:gridSpan w:val="2"/>
            <w:tcBorders>
              <w:top w:val="nil"/>
              <w:left w:val="nil"/>
              <w:bottom w:val="nil"/>
              <w:right w:val="nil"/>
            </w:tcBorders>
            <w:shd w:val="clear" w:color="auto" w:fill="auto"/>
            <w:noWrap/>
            <w:vAlign w:val="center"/>
            <w:hideMark/>
          </w:tcPr>
          <w:p w14:paraId="0F62680E" w14:textId="77777777" w:rsidR="007D29F8" w:rsidRPr="00152C64" w:rsidRDefault="007D29F8" w:rsidP="00DB6666">
            <w:pPr>
              <w:jc w:val="left"/>
              <w:rPr>
                <w:rFonts w:ascii="Arial Narrow" w:hAnsi="Arial Narrow" w:cs="Arial"/>
                <w:b/>
                <w:bCs/>
                <w:sz w:val="18"/>
                <w:szCs w:val="18"/>
              </w:rPr>
            </w:pPr>
            <w:r w:rsidRPr="00152C64">
              <w:rPr>
                <w:rFonts w:ascii="Arial Narrow" w:hAnsi="Arial Narrow" w:cs="Arial"/>
                <w:b/>
                <w:bCs/>
                <w:sz w:val="18"/>
                <w:szCs w:val="18"/>
              </w:rPr>
              <w:t>B.  Autres ressources</w:t>
            </w:r>
          </w:p>
        </w:tc>
        <w:tc>
          <w:tcPr>
            <w:tcW w:w="1169" w:type="dxa"/>
            <w:tcBorders>
              <w:top w:val="nil"/>
              <w:left w:val="nil"/>
              <w:bottom w:val="nil"/>
              <w:right w:val="nil"/>
            </w:tcBorders>
            <w:shd w:val="clear" w:color="auto" w:fill="auto"/>
            <w:vAlign w:val="center"/>
            <w:hideMark/>
          </w:tcPr>
          <w:p w14:paraId="4D3E8C52" w14:textId="77777777" w:rsidR="007D29F8" w:rsidRPr="00152C64" w:rsidRDefault="007D29F8" w:rsidP="00DB6666">
            <w:pPr>
              <w:jc w:val="right"/>
              <w:rPr>
                <w:rFonts w:ascii="Arial Narrow" w:hAnsi="Arial Narrow" w:cs="Arial"/>
                <w:b/>
                <w:bCs/>
                <w:sz w:val="18"/>
                <w:szCs w:val="18"/>
              </w:rPr>
            </w:pPr>
          </w:p>
        </w:tc>
        <w:tc>
          <w:tcPr>
            <w:tcW w:w="1169" w:type="dxa"/>
            <w:tcBorders>
              <w:top w:val="nil"/>
              <w:left w:val="nil"/>
              <w:bottom w:val="nil"/>
              <w:right w:val="nil"/>
            </w:tcBorders>
            <w:shd w:val="clear" w:color="auto" w:fill="auto"/>
            <w:vAlign w:val="center"/>
            <w:hideMark/>
          </w:tcPr>
          <w:p w14:paraId="7399F835" w14:textId="77777777" w:rsidR="007D29F8" w:rsidRPr="00152C64" w:rsidRDefault="007D29F8" w:rsidP="00DB6666">
            <w:pPr>
              <w:jc w:val="right"/>
              <w:rPr>
                <w:rFonts w:ascii="Arial Narrow" w:hAnsi="Arial Narrow"/>
                <w:sz w:val="18"/>
                <w:szCs w:val="18"/>
              </w:rPr>
            </w:pPr>
          </w:p>
        </w:tc>
        <w:tc>
          <w:tcPr>
            <w:tcW w:w="970" w:type="dxa"/>
            <w:tcBorders>
              <w:top w:val="nil"/>
              <w:left w:val="nil"/>
              <w:bottom w:val="nil"/>
              <w:right w:val="nil"/>
            </w:tcBorders>
            <w:shd w:val="clear" w:color="auto" w:fill="auto"/>
            <w:vAlign w:val="center"/>
            <w:hideMark/>
          </w:tcPr>
          <w:p w14:paraId="74D401F6" w14:textId="77777777" w:rsidR="007D29F8" w:rsidRPr="00152C64" w:rsidRDefault="007D29F8"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center"/>
            <w:hideMark/>
          </w:tcPr>
          <w:p w14:paraId="045C2C30" w14:textId="77777777" w:rsidR="007D29F8" w:rsidRPr="00152C64" w:rsidRDefault="007D29F8" w:rsidP="00DB6666">
            <w:pPr>
              <w:jc w:val="right"/>
              <w:rPr>
                <w:rFonts w:ascii="Arial Narrow" w:hAnsi="Arial Narrow"/>
                <w:sz w:val="18"/>
                <w:szCs w:val="18"/>
              </w:rPr>
            </w:pPr>
          </w:p>
        </w:tc>
        <w:tc>
          <w:tcPr>
            <w:tcW w:w="1219" w:type="dxa"/>
            <w:tcBorders>
              <w:top w:val="nil"/>
              <w:left w:val="nil"/>
              <w:bottom w:val="nil"/>
              <w:right w:val="nil"/>
            </w:tcBorders>
            <w:shd w:val="clear" w:color="auto" w:fill="auto"/>
            <w:vAlign w:val="center"/>
            <w:hideMark/>
          </w:tcPr>
          <w:p w14:paraId="5F17DD9D" w14:textId="77777777" w:rsidR="007D29F8" w:rsidRPr="00152C64" w:rsidRDefault="007D29F8" w:rsidP="00DB6666">
            <w:pPr>
              <w:jc w:val="right"/>
              <w:rPr>
                <w:rFonts w:ascii="Arial Narrow" w:hAnsi="Arial Narrow"/>
                <w:sz w:val="18"/>
                <w:szCs w:val="18"/>
              </w:rPr>
            </w:pPr>
          </w:p>
        </w:tc>
      </w:tr>
      <w:tr w:rsidR="007D29F8" w:rsidRPr="00152C64" w14:paraId="1418F205"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0D1CB36A" w14:textId="77777777" w:rsidR="007D29F8" w:rsidRPr="00152C64" w:rsidRDefault="007D29F8" w:rsidP="00DB6666">
            <w:pPr>
              <w:jc w:val="left"/>
              <w:rPr>
                <w:rFonts w:ascii="Arial Narrow" w:hAnsi="Arial Narrow"/>
                <w:sz w:val="18"/>
                <w:szCs w:val="18"/>
              </w:rPr>
            </w:pPr>
          </w:p>
        </w:tc>
        <w:tc>
          <w:tcPr>
            <w:tcW w:w="3224" w:type="dxa"/>
            <w:tcBorders>
              <w:top w:val="nil"/>
              <w:left w:val="nil"/>
              <w:bottom w:val="nil"/>
              <w:right w:val="nil"/>
            </w:tcBorders>
            <w:shd w:val="clear" w:color="auto" w:fill="auto"/>
            <w:vAlign w:val="bottom"/>
            <w:hideMark/>
          </w:tcPr>
          <w:p w14:paraId="211BA740" w14:textId="77777777" w:rsidR="007D29F8" w:rsidRPr="00152C64" w:rsidRDefault="007D29F8" w:rsidP="00DB6666">
            <w:pPr>
              <w:jc w:val="left"/>
              <w:rPr>
                <w:rFonts w:ascii="Arial Narrow" w:hAnsi="Arial Narrow" w:cs="Arial"/>
                <w:b/>
                <w:bCs/>
                <w:sz w:val="18"/>
                <w:szCs w:val="18"/>
              </w:rPr>
            </w:pPr>
            <w:r w:rsidRPr="00152C64">
              <w:rPr>
                <w:rFonts w:ascii="Arial Narrow" w:hAnsi="Arial Narrow" w:cs="Arial"/>
                <w:b/>
                <w:bCs/>
                <w:sz w:val="18"/>
                <w:szCs w:val="18"/>
              </w:rPr>
              <w:t>Stages et bourses</w:t>
            </w:r>
          </w:p>
        </w:tc>
        <w:tc>
          <w:tcPr>
            <w:tcW w:w="1169" w:type="dxa"/>
            <w:tcBorders>
              <w:top w:val="nil"/>
              <w:left w:val="nil"/>
              <w:bottom w:val="nil"/>
              <w:right w:val="nil"/>
            </w:tcBorders>
            <w:shd w:val="clear" w:color="auto" w:fill="auto"/>
            <w:vAlign w:val="bottom"/>
            <w:hideMark/>
          </w:tcPr>
          <w:p w14:paraId="3CEC0F80" w14:textId="77777777" w:rsidR="007D29F8" w:rsidRPr="00152C64" w:rsidRDefault="007D29F8" w:rsidP="00DB6666">
            <w:pPr>
              <w:jc w:val="right"/>
              <w:rPr>
                <w:rFonts w:ascii="Arial Narrow" w:hAnsi="Arial Narrow" w:cs="Arial"/>
                <w:b/>
                <w:bCs/>
                <w:sz w:val="18"/>
                <w:szCs w:val="18"/>
              </w:rPr>
            </w:pPr>
          </w:p>
        </w:tc>
        <w:tc>
          <w:tcPr>
            <w:tcW w:w="1169" w:type="dxa"/>
            <w:tcBorders>
              <w:top w:val="nil"/>
              <w:left w:val="nil"/>
              <w:bottom w:val="nil"/>
              <w:right w:val="nil"/>
            </w:tcBorders>
            <w:shd w:val="clear" w:color="auto" w:fill="auto"/>
            <w:vAlign w:val="bottom"/>
            <w:hideMark/>
          </w:tcPr>
          <w:p w14:paraId="471B85C1" w14:textId="77777777" w:rsidR="007D29F8" w:rsidRPr="00152C64" w:rsidRDefault="007D29F8" w:rsidP="00DB6666">
            <w:pPr>
              <w:jc w:val="right"/>
              <w:rPr>
                <w:rFonts w:ascii="Arial Narrow" w:hAnsi="Arial Narrow"/>
                <w:sz w:val="18"/>
                <w:szCs w:val="18"/>
              </w:rPr>
            </w:pPr>
          </w:p>
        </w:tc>
        <w:tc>
          <w:tcPr>
            <w:tcW w:w="970" w:type="dxa"/>
            <w:tcBorders>
              <w:top w:val="nil"/>
              <w:left w:val="nil"/>
              <w:bottom w:val="nil"/>
              <w:right w:val="nil"/>
            </w:tcBorders>
            <w:shd w:val="clear" w:color="auto" w:fill="auto"/>
            <w:vAlign w:val="bottom"/>
            <w:hideMark/>
          </w:tcPr>
          <w:p w14:paraId="05E7184E" w14:textId="77777777" w:rsidR="007D29F8" w:rsidRPr="00152C64" w:rsidRDefault="007D29F8"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bottom"/>
            <w:hideMark/>
          </w:tcPr>
          <w:p w14:paraId="0D9C1DFD" w14:textId="77777777" w:rsidR="007D29F8" w:rsidRPr="00152C64" w:rsidRDefault="007D29F8" w:rsidP="00DB6666">
            <w:pPr>
              <w:jc w:val="right"/>
              <w:rPr>
                <w:rFonts w:ascii="Arial Narrow" w:hAnsi="Arial Narrow"/>
                <w:sz w:val="18"/>
                <w:szCs w:val="18"/>
              </w:rPr>
            </w:pPr>
          </w:p>
        </w:tc>
        <w:tc>
          <w:tcPr>
            <w:tcW w:w="1219" w:type="dxa"/>
            <w:tcBorders>
              <w:top w:val="nil"/>
              <w:left w:val="nil"/>
              <w:bottom w:val="nil"/>
              <w:right w:val="nil"/>
            </w:tcBorders>
            <w:shd w:val="clear" w:color="auto" w:fill="auto"/>
            <w:vAlign w:val="bottom"/>
            <w:hideMark/>
          </w:tcPr>
          <w:p w14:paraId="3937287C" w14:textId="77777777" w:rsidR="007D29F8" w:rsidRPr="00152C64" w:rsidRDefault="007D29F8" w:rsidP="00DB6666">
            <w:pPr>
              <w:jc w:val="right"/>
              <w:rPr>
                <w:rFonts w:ascii="Arial Narrow" w:hAnsi="Arial Narrow"/>
                <w:sz w:val="18"/>
                <w:szCs w:val="18"/>
              </w:rPr>
            </w:pPr>
          </w:p>
        </w:tc>
      </w:tr>
      <w:tr w:rsidR="007D29F8" w:rsidRPr="00152C64" w14:paraId="32A8A238"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1C095C8C" w14:textId="77777777" w:rsidR="007D29F8" w:rsidRPr="00152C64" w:rsidRDefault="007D29F8" w:rsidP="00DB6666">
            <w:pPr>
              <w:jc w:val="left"/>
              <w:rPr>
                <w:rFonts w:ascii="Arial Narrow" w:hAnsi="Arial Narrow"/>
                <w:sz w:val="18"/>
                <w:szCs w:val="18"/>
              </w:rPr>
            </w:pPr>
          </w:p>
        </w:tc>
        <w:tc>
          <w:tcPr>
            <w:tcW w:w="3224" w:type="dxa"/>
            <w:tcBorders>
              <w:top w:val="nil"/>
              <w:left w:val="nil"/>
              <w:bottom w:val="nil"/>
              <w:right w:val="nil"/>
            </w:tcBorders>
            <w:shd w:val="clear" w:color="auto" w:fill="auto"/>
            <w:vAlign w:val="bottom"/>
            <w:hideMark/>
          </w:tcPr>
          <w:p w14:paraId="2E301936" w14:textId="77777777" w:rsidR="007D29F8" w:rsidRPr="00152C64" w:rsidRDefault="007D29F8" w:rsidP="00DB6666">
            <w:pPr>
              <w:ind w:firstLineChars="200" w:firstLine="360"/>
              <w:jc w:val="left"/>
              <w:rPr>
                <w:rFonts w:ascii="Arial Narrow" w:hAnsi="Arial Narrow" w:cs="Arial"/>
                <w:i/>
                <w:iCs/>
                <w:sz w:val="18"/>
                <w:szCs w:val="18"/>
              </w:rPr>
            </w:pPr>
            <w:r w:rsidRPr="00152C64">
              <w:rPr>
                <w:rFonts w:ascii="Arial Narrow" w:hAnsi="Arial Narrow" w:cs="Arial"/>
                <w:i/>
                <w:iCs/>
                <w:sz w:val="18"/>
                <w:szCs w:val="18"/>
              </w:rPr>
              <w:t>Stages</w:t>
            </w:r>
          </w:p>
        </w:tc>
        <w:tc>
          <w:tcPr>
            <w:tcW w:w="1169" w:type="dxa"/>
            <w:tcBorders>
              <w:top w:val="nil"/>
              <w:left w:val="nil"/>
              <w:bottom w:val="nil"/>
              <w:right w:val="nil"/>
            </w:tcBorders>
            <w:shd w:val="clear" w:color="auto" w:fill="auto"/>
            <w:vAlign w:val="center"/>
            <w:hideMark/>
          </w:tcPr>
          <w:p w14:paraId="064408DC"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0</w:t>
            </w:r>
          </w:p>
        </w:tc>
        <w:tc>
          <w:tcPr>
            <w:tcW w:w="1169" w:type="dxa"/>
            <w:tcBorders>
              <w:top w:val="nil"/>
              <w:left w:val="nil"/>
              <w:bottom w:val="nil"/>
              <w:right w:val="nil"/>
            </w:tcBorders>
            <w:shd w:val="clear" w:color="auto" w:fill="auto"/>
            <w:vAlign w:val="center"/>
            <w:hideMark/>
          </w:tcPr>
          <w:p w14:paraId="7B148409"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5</w:t>
            </w:r>
          </w:p>
        </w:tc>
        <w:tc>
          <w:tcPr>
            <w:tcW w:w="970" w:type="dxa"/>
            <w:tcBorders>
              <w:top w:val="nil"/>
              <w:left w:val="nil"/>
              <w:bottom w:val="nil"/>
              <w:right w:val="nil"/>
            </w:tcBorders>
            <w:shd w:val="clear" w:color="auto" w:fill="auto"/>
            <w:vAlign w:val="center"/>
            <w:hideMark/>
          </w:tcPr>
          <w:p w14:paraId="5D1A3C3D"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10</w:t>
            </w:r>
          </w:p>
        </w:tc>
        <w:tc>
          <w:tcPr>
            <w:tcW w:w="992" w:type="dxa"/>
            <w:tcBorders>
              <w:top w:val="nil"/>
              <w:left w:val="nil"/>
              <w:bottom w:val="nil"/>
              <w:right w:val="nil"/>
            </w:tcBorders>
            <w:shd w:val="clear" w:color="auto" w:fill="auto"/>
            <w:vAlign w:val="center"/>
            <w:hideMark/>
          </w:tcPr>
          <w:p w14:paraId="5285CA73" w14:textId="77777777" w:rsidR="007D29F8" w:rsidRPr="00152C64" w:rsidRDefault="00152C64" w:rsidP="00DB6666">
            <w:pPr>
              <w:jc w:val="right"/>
              <w:rPr>
                <w:rFonts w:ascii="Arial Narrow" w:hAnsi="Arial Narrow" w:cs="Arial"/>
                <w:sz w:val="18"/>
                <w:szCs w:val="18"/>
              </w:rPr>
            </w:pPr>
            <w:r>
              <w:rPr>
                <w:rFonts w:ascii="Arial Narrow" w:hAnsi="Arial Narrow" w:cs="Arial"/>
                <w:sz w:val="18"/>
                <w:szCs w:val="18"/>
              </w:rPr>
              <w:t>+1</w:t>
            </w:r>
            <w:r w:rsidR="007D29F8" w:rsidRPr="00152C64">
              <w:rPr>
                <w:rFonts w:ascii="Arial Narrow" w:hAnsi="Arial Narrow" w:cs="Arial"/>
                <w:sz w:val="18"/>
                <w:szCs w:val="18"/>
              </w:rPr>
              <w:t>00%</w:t>
            </w:r>
          </w:p>
        </w:tc>
        <w:tc>
          <w:tcPr>
            <w:tcW w:w="1219" w:type="dxa"/>
            <w:tcBorders>
              <w:top w:val="nil"/>
              <w:left w:val="nil"/>
              <w:bottom w:val="nil"/>
              <w:right w:val="nil"/>
            </w:tcBorders>
            <w:shd w:val="clear" w:color="auto" w:fill="auto"/>
            <w:vAlign w:val="center"/>
            <w:hideMark/>
          </w:tcPr>
          <w:p w14:paraId="71B472E5"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15</w:t>
            </w:r>
          </w:p>
        </w:tc>
      </w:tr>
      <w:tr w:rsidR="007D29F8" w:rsidRPr="00152C64" w14:paraId="5A84E7CC"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0A640EE5" w14:textId="77777777" w:rsidR="007D29F8" w:rsidRPr="00152C64" w:rsidRDefault="007D29F8" w:rsidP="00DB6666">
            <w:pPr>
              <w:jc w:val="right"/>
              <w:rPr>
                <w:rFonts w:ascii="Arial Narrow" w:hAnsi="Arial Narrow" w:cs="Arial"/>
                <w:sz w:val="18"/>
                <w:szCs w:val="18"/>
              </w:rPr>
            </w:pPr>
          </w:p>
        </w:tc>
        <w:tc>
          <w:tcPr>
            <w:tcW w:w="3224" w:type="dxa"/>
            <w:tcBorders>
              <w:top w:val="nil"/>
              <w:left w:val="nil"/>
              <w:bottom w:val="nil"/>
              <w:right w:val="nil"/>
            </w:tcBorders>
            <w:shd w:val="clear" w:color="auto" w:fill="auto"/>
            <w:vAlign w:val="bottom"/>
            <w:hideMark/>
          </w:tcPr>
          <w:p w14:paraId="3B9C24C8" w14:textId="77777777" w:rsidR="007D29F8" w:rsidRPr="00152C64" w:rsidRDefault="007D29F8" w:rsidP="00DB6666">
            <w:pPr>
              <w:ind w:firstLineChars="200" w:firstLine="360"/>
              <w:jc w:val="left"/>
              <w:rPr>
                <w:rFonts w:ascii="Arial Narrow" w:hAnsi="Arial Narrow" w:cs="Arial"/>
                <w:i/>
                <w:iCs/>
                <w:sz w:val="18"/>
                <w:szCs w:val="18"/>
              </w:rPr>
            </w:pPr>
            <w:r w:rsidRPr="00152C64">
              <w:rPr>
                <w:rFonts w:ascii="Arial Narrow" w:hAnsi="Arial Narrow" w:cs="Arial"/>
                <w:i/>
                <w:iCs/>
                <w:sz w:val="18"/>
                <w:szCs w:val="18"/>
              </w:rPr>
              <w:t>Bourses</w:t>
            </w:r>
          </w:p>
        </w:tc>
        <w:tc>
          <w:tcPr>
            <w:tcW w:w="1169" w:type="dxa"/>
            <w:tcBorders>
              <w:top w:val="nil"/>
              <w:left w:val="nil"/>
              <w:bottom w:val="nil"/>
              <w:right w:val="nil"/>
            </w:tcBorders>
            <w:shd w:val="clear" w:color="auto" w:fill="auto"/>
            <w:vAlign w:val="center"/>
            <w:hideMark/>
          </w:tcPr>
          <w:p w14:paraId="703BF255"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24</w:t>
            </w:r>
          </w:p>
        </w:tc>
        <w:tc>
          <w:tcPr>
            <w:tcW w:w="1169" w:type="dxa"/>
            <w:tcBorders>
              <w:top w:val="nil"/>
              <w:left w:val="nil"/>
              <w:bottom w:val="nil"/>
              <w:right w:val="nil"/>
            </w:tcBorders>
            <w:shd w:val="clear" w:color="auto" w:fill="auto"/>
            <w:vAlign w:val="center"/>
            <w:hideMark/>
          </w:tcPr>
          <w:p w14:paraId="46CC9360"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65</w:t>
            </w:r>
          </w:p>
        </w:tc>
        <w:tc>
          <w:tcPr>
            <w:tcW w:w="970" w:type="dxa"/>
            <w:tcBorders>
              <w:top w:val="nil"/>
              <w:left w:val="nil"/>
              <w:bottom w:val="nil"/>
              <w:right w:val="nil"/>
            </w:tcBorders>
            <w:shd w:val="clear" w:color="auto" w:fill="auto"/>
            <w:vAlign w:val="center"/>
            <w:hideMark/>
          </w:tcPr>
          <w:p w14:paraId="313EA451"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(50)</w:t>
            </w:r>
          </w:p>
        </w:tc>
        <w:tc>
          <w:tcPr>
            <w:tcW w:w="992" w:type="dxa"/>
            <w:tcBorders>
              <w:top w:val="nil"/>
              <w:left w:val="nil"/>
              <w:bottom w:val="nil"/>
              <w:right w:val="nil"/>
            </w:tcBorders>
            <w:shd w:val="clear" w:color="auto" w:fill="auto"/>
            <w:vAlign w:val="center"/>
            <w:hideMark/>
          </w:tcPr>
          <w:p w14:paraId="4B32741E"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-77%</w:t>
            </w:r>
          </w:p>
        </w:tc>
        <w:tc>
          <w:tcPr>
            <w:tcW w:w="1219" w:type="dxa"/>
            <w:tcBorders>
              <w:top w:val="nil"/>
              <w:left w:val="nil"/>
              <w:bottom w:val="nil"/>
              <w:right w:val="nil"/>
            </w:tcBorders>
            <w:shd w:val="clear" w:color="auto" w:fill="auto"/>
            <w:vAlign w:val="center"/>
            <w:hideMark/>
          </w:tcPr>
          <w:p w14:paraId="699D81AE"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15</w:t>
            </w:r>
          </w:p>
        </w:tc>
      </w:tr>
      <w:tr w:rsidR="007D29F8" w:rsidRPr="00152C64" w14:paraId="063F03B6" w14:textId="77777777" w:rsidTr="00DB6666">
        <w:trPr>
          <w:trHeight w:val="314"/>
          <w:jc w:val="center"/>
        </w:trPr>
        <w:tc>
          <w:tcPr>
            <w:tcW w:w="320" w:type="dxa"/>
            <w:tcBorders>
              <w:top w:val="nil"/>
              <w:left w:val="nil"/>
              <w:bottom w:val="single" w:sz="4" w:space="0" w:color="AAB8C4"/>
              <w:right w:val="nil"/>
            </w:tcBorders>
            <w:shd w:val="clear" w:color="auto" w:fill="auto"/>
            <w:noWrap/>
            <w:vAlign w:val="bottom"/>
            <w:hideMark/>
          </w:tcPr>
          <w:p w14:paraId="37BD530E" w14:textId="77777777" w:rsidR="007D29F8" w:rsidRPr="00152C64" w:rsidRDefault="007D29F8" w:rsidP="00DB6666">
            <w:pPr>
              <w:jc w:val="left"/>
              <w:rPr>
                <w:rFonts w:ascii="Arial Narrow" w:hAnsi="Arial Narrow" w:cs="Arial"/>
                <w:sz w:val="18"/>
                <w:szCs w:val="18"/>
              </w:rPr>
            </w:pPr>
            <w:r w:rsidRPr="00152C64">
              <w:rPr>
                <w:rFonts w:ascii="Arial Narrow" w:hAnsi="Arial Narrow" w:cs="Arial"/>
                <w:sz w:val="18"/>
                <w:szCs w:val="18"/>
              </w:rPr>
              <w:t> </w:t>
            </w:r>
          </w:p>
        </w:tc>
        <w:tc>
          <w:tcPr>
            <w:tcW w:w="3224" w:type="dxa"/>
            <w:tcBorders>
              <w:top w:val="nil"/>
              <w:left w:val="nil"/>
              <w:bottom w:val="single" w:sz="4" w:space="0" w:color="AAB8C4"/>
              <w:right w:val="nil"/>
            </w:tcBorders>
            <w:shd w:val="clear" w:color="auto" w:fill="auto"/>
            <w:vAlign w:val="bottom"/>
            <w:hideMark/>
          </w:tcPr>
          <w:p w14:paraId="752800AC" w14:textId="77777777" w:rsidR="007D29F8" w:rsidRPr="00152C64" w:rsidRDefault="007D29F8" w:rsidP="00DB6666">
            <w:pPr>
              <w:jc w:val="left"/>
              <w:rPr>
                <w:rFonts w:ascii="Arial Narrow" w:hAnsi="Arial Narrow" w:cs="Arial"/>
                <w:b/>
                <w:bCs/>
                <w:sz w:val="18"/>
                <w:szCs w:val="18"/>
              </w:rPr>
            </w:pPr>
            <w:r w:rsidRPr="00152C64">
              <w:rPr>
                <w:rFonts w:ascii="Arial Narrow" w:hAnsi="Arial Narrow" w:cs="Arial"/>
                <w:b/>
                <w:bCs/>
                <w:sz w:val="18"/>
                <w:szCs w:val="18"/>
              </w:rPr>
              <w:t>Sous-total</w:t>
            </w:r>
          </w:p>
        </w:tc>
        <w:tc>
          <w:tcPr>
            <w:tcW w:w="1169" w:type="dxa"/>
            <w:tcBorders>
              <w:top w:val="nil"/>
              <w:left w:val="nil"/>
              <w:bottom w:val="single" w:sz="4" w:space="0" w:color="AAB8C4"/>
              <w:right w:val="nil"/>
            </w:tcBorders>
            <w:shd w:val="clear" w:color="auto" w:fill="auto"/>
            <w:vAlign w:val="center"/>
            <w:hideMark/>
          </w:tcPr>
          <w:p w14:paraId="1AAEB65B"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24</w:t>
            </w:r>
          </w:p>
        </w:tc>
        <w:tc>
          <w:tcPr>
            <w:tcW w:w="1169" w:type="dxa"/>
            <w:tcBorders>
              <w:top w:val="nil"/>
              <w:left w:val="nil"/>
              <w:bottom w:val="single" w:sz="4" w:space="0" w:color="AAB8C4"/>
              <w:right w:val="nil"/>
            </w:tcBorders>
            <w:shd w:val="clear" w:color="auto" w:fill="auto"/>
            <w:vAlign w:val="center"/>
            <w:hideMark/>
          </w:tcPr>
          <w:p w14:paraId="3B967BE1"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70</w:t>
            </w:r>
          </w:p>
        </w:tc>
        <w:tc>
          <w:tcPr>
            <w:tcW w:w="970" w:type="dxa"/>
            <w:tcBorders>
              <w:top w:val="nil"/>
              <w:left w:val="nil"/>
              <w:bottom w:val="single" w:sz="4" w:space="0" w:color="BFBFBF"/>
              <w:right w:val="nil"/>
            </w:tcBorders>
            <w:shd w:val="clear" w:color="auto" w:fill="auto"/>
            <w:vAlign w:val="center"/>
            <w:hideMark/>
          </w:tcPr>
          <w:p w14:paraId="171B30C5"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(40)</w:t>
            </w:r>
          </w:p>
        </w:tc>
        <w:tc>
          <w:tcPr>
            <w:tcW w:w="992" w:type="dxa"/>
            <w:tcBorders>
              <w:top w:val="nil"/>
              <w:left w:val="nil"/>
              <w:bottom w:val="single" w:sz="4" w:space="0" w:color="BFBFBF"/>
              <w:right w:val="nil"/>
            </w:tcBorders>
            <w:shd w:val="clear" w:color="auto" w:fill="auto"/>
            <w:vAlign w:val="center"/>
            <w:hideMark/>
          </w:tcPr>
          <w:p w14:paraId="092ABABB"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-57%</w:t>
            </w:r>
          </w:p>
        </w:tc>
        <w:tc>
          <w:tcPr>
            <w:tcW w:w="1219" w:type="dxa"/>
            <w:tcBorders>
              <w:top w:val="nil"/>
              <w:left w:val="nil"/>
              <w:bottom w:val="single" w:sz="4" w:space="0" w:color="AAB8C4"/>
              <w:right w:val="nil"/>
            </w:tcBorders>
            <w:shd w:val="clear" w:color="auto" w:fill="auto"/>
            <w:vAlign w:val="center"/>
            <w:hideMark/>
          </w:tcPr>
          <w:p w14:paraId="474A3E26"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30</w:t>
            </w:r>
          </w:p>
        </w:tc>
      </w:tr>
      <w:tr w:rsidR="007D29F8" w:rsidRPr="00152C64" w14:paraId="7C761ECB" w14:textId="77777777" w:rsidTr="00DB6666">
        <w:trPr>
          <w:trHeight w:val="407"/>
          <w:jc w:val="center"/>
        </w:trPr>
        <w:tc>
          <w:tcPr>
            <w:tcW w:w="320" w:type="dxa"/>
            <w:tcBorders>
              <w:top w:val="nil"/>
              <w:left w:val="nil"/>
              <w:bottom w:val="nil"/>
              <w:right w:val="nil"/>
            </w:tcBorders>
            <w:shd w:val="clear" w:color="auto" w:fill="auto"/>
            <w:noWrap/>
            <w:vAlign w:val="bottom"/>
            <w:hideMark/>
          </w:tcPr>
          <w:p w14:paraId="3A7E10AB" w14:textId="77777777" w:rsidR="007D29F8" w:rsidRPr="00152C64" w:rsidRDefault="007D29F8" w:rsidP="00DB6666">
            <w:pPr>
              <w:jc w:val="right"/>
              <w:rPr>
                <w:rFonts w:ascii="Arial Narrow" w:hAnsi="Arial Narrow" w:cs="Arial"/>
                <w:b/>
                <w:bCs/>
                <w:sz w:val="18"/>
                <w:szCs w:val="18"/>
              </w:rPr>
            </w:pPr>
          </w:p>
        </w:tc>
        <w:tc>
          <w:tcPr>
            <w:tcW w:w="3224" w:type="dxa"/>
            <w:tcBorders>
              <w:top w:val="nil"/>
              <w:left w:val="nil"/>
              <w:bottom w:val="nil"/>
              <w:right w:val="nil"/>
            </w:tcBorders>
            <w:shd w:val="clear" w:color="auto" w:fill="auto"/>
            <w:vAlign w:val="bottom"/>
            <w:hideMark/>
          </w:tcPr>
          <w:p w14:paraId="115248C4" w14:textId="77777777" w:rsidR="007D29F8" w:rsidRPr="00152C64" w:rsidRDefault="007D29F8" w:rsidP="00DB6666">
            <w:pPr>
              <w:jc w:val="left"/>
              <w:rPr>
                <w:rFonts w:ascii="Arial Narrow" w:hAnsi="Arial Narrow" w:cs="Arial"/>
                <w:b/>
                <w:bCs/>
                <w:sz w:val="18"/>
                <w:szCs w:val="18"/>
              </w:rPr>
            </w:pPr>
            <w:r w:rsidRPr="00152C64">
              <w:rPr>
                <w:rFonts w:ascii="Arial Narrow" w:hAnsi="Arial Narrow" w:cs="Arial"/>
                <w:b/>
                <w:bCs/>
                <w:sz w:val="18"/>
                <w:szCs w:val="18"/>
              </w:rPr>
              <w:t>Voyages, formations et subventions</w:t>
            </w:r>
          </w:p>
        </w:tc>
        <w:tc>
          <w:tcPr>
            <w:tcW w:w="1169" w:type="dxa"/>
            <w:tcBorders>
              <w:top w:val="nil"/>
              <w:left w:val="nil"/>
              <w:bottom w:val="nil"/>
              <w:right w:val="nil"/>
            </w:tcBorders>
            <w:shd w:val="clear" w:color="auto" w:fill="auto"/>
            <w:vAlign w:val="center"/>
            <w:hideMark/>
          </w:tcPr>
          <w:p w14:paraId="1CBE361C" w14:textId="77777777" w:rsidR="007D29F8" w:rsidRPr="00152C64" w:rsidRDefault="007D29F8" w:rsidP="00DB6666">
            <w:pPr>
              <w:jc w:val="right"/>
              <w:rPr>
                <w:rFonts w:ascii="Arial Narrow" w:hAnsi="Arial Narrow" w:cs="Arial"/>
                <w:b/>
                <w:bCs/>
                <w:sz w:val="18"/>
                <w:szCs w:val="18"/>
              </w:rPr>
            </w:pPr>
          </w:p>
        </w:tc>
        <w:tc>
          <w:tcPr>
            <w:tcW w:w="1169" w:type="dxa"/>
            <w:tcBorders>
              <w:top w:val="nil"/>
              <w:left w:val="nil"/>
              <w:bottom w:val="nil"/>
              <w:right w:val="nil"/>
            </w:tcBorders>
            <w:shd w:val="clear" w:color="auto" w:fill="auto"/>
            <w:vAlign w:val="center"/>
            <w:hideMark/>
          </w:tcPr>
          <w:p w14:paraId="482E9EC5" w14:textId="77777777" w:rsidR="007D29F8" w:rsidRPr="00152C64" w:rsidRDefault="007D29F8" w:rsidP="00DB6666">
            <w:pPr>
              <w:jc w:val="right"/>
              <w:rPr>
                <w:rFonts w:ascii="Arial Narrow" w:hAnsi="Arial Narrow"/>
                <w:sz w:val="18"/>
                <w:szCs w:val="18"/>
              </w:rPr>
            </w:pPr>
          </w:p>
        </w:tc>
        <w:tc>
          <w:tcPr>
            <w:tcW w:w="970" w:type="dxa"/>
            <w:tcBorders>
              <w:top w:val="nil"/>
              <w:left w:val="nil"/>
              <w:bottom w:val="nil"/>
              <w:right w:val="nil"/>
            </w:tcBorders>
            <w:shd w:val="clear" w:color="auto" w:fill="auto"/>
            <w:vAlign w:val="center"/>
            <w:hideMark/>
          </w:tcPr>
          <w:p w14:paraId="3F8DDA29" w14:textId="77777777" w:rsidR="007D29F8" w:rsidRPr="00152C64" w:rsidRDefault="007D29F8"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center"/>
            <w:hideMark/>
          </w:tcPr>
          <w:p w14:paraId="3FF734A1" w14:textId="77777777" w:rsidR="007D29F8" w:rsidRPr="00152C64" w:rsidRDefault="007D29F8" w:rsidP="00DB6666">
            <w:pPr>
              <w:jc w:val="right"/>
              <w:rPr>
                <w:rFonts w:ascii="Arial Narrow" w:hAnsi="Arial Narrow"/>
                <w:sz w:val="18"/>
                <w:szCs w:val="18"/>
              </w:rPr>
            </w:pPr>
          </w:p>
        </w:tc>
        <w:tc>
          <w:tcPr>
            <w:tcW w:w="1219" w:type="dxa"/>
            <w:tcBorders>
              <w:top w:val="nil"/>
              <w:left w:val="nil"/>
              <w:bottom w:val="nil"/>
              <w:right w:val="nil"/>
            </w:tcBorders>
            <w:shd w:val="clear" w:color="auto" w:fill="auto"/>
            <w:vAlign w:val="center"/>
            <w:hideMark/>
          </w:tcPr>
          <w:p w14:paraId="09AAE73F" w14:textId="77777777" w:rsidR="007D29F8" w:rsidRPr="00152C64" w:rsidRDefault="007D29F8" w:rsidP="00DB6666">
            <w:pPr>
              <w:jc w:val="right"/>
              <w:rPr>
                <w:rFonts w:ascii="Arial Narrow" w:hAnsi="Arial Narrow"/>
                <w:sz w:val="18"/>
                <w:szCs w:val="18"/>
              </w:rPr>
            </w:pPr>
          </w:p>
        </w:tc>
      </w:tr>
      <w:tr w:rsidR="007D29F8" w:rsidRPr="00152C64" w14:paraId="0656D045"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5A8859D1" w14:textId="77777777" w:rsidR="007D29F8" w:rsidRPr="00152C64" w:rsidRDefault="007D29F8" w:rsidP="00DB6666">
            <w:pPr>
              <w:jc w:val="left"/>
              <w:rPr>
                <w:rFonts w:ascii="Arial Narrow" w:hAnsi="Arial Narrow"/>
                <w:sz w:val="18"/>
                <w:szCs w:val="18"/>
              </w:rPr>
            </w:pPr>
          </w:p>
        </w:tc>
        <w:tc>
          <w:tcPr>
            <w:tcW w:w="3224" w:type="dxa"/>
            <w:tcBorders>
              <w:top w:val="nil"/>
              <w:left w:val="nil"/>
              <w:bottom w:val="nil"/>
              <w:right w:val="nil"/>
            </w:tcBorders>
            <w:shd w:val="clear" w:color="auto" w:fill="auto"/>
            <w:vAlign w:val="bottom"/>
            <w:hideMark/>
          </w:tcPr>
          <w:p w14:paraId="3BEA7B5F" w14:textId="77777777" w:rsidR="007D29F8" w:rsidRPr="00152C64" w:rsidRDefault="007D29F8" w:rsidP="00DB6666">
            <w:pPr>
              <w:ind w:firstLineChars="200" w:firstLine="360"/>
              <w:jc w:val="left"/>
              <w:rPr>
                <w:rFonts w:ascii="Arial Narrow" w:hAnsi="Arial Narrow" w:cs="Arial"/>
                <w:i/>
                <w:iCs/>
                <w:color w:val="000000"/>
                <w:sz w:val="18"/>
                <w:szCs w:val="18"/>
              </w:rPr>
            </w:pPr>
            <w:r w:rsidRPr="00152C64">
              <w:rPr>
                <w:rFonts w:ascii="Arial Narrow" w:hAnsi="Arial Narrow" w:cs="Arial"/>
                <w:i/>
                <w:iCs/>
                <w:color w:val="000000"/>
                <w:sz w:val="18"/>
                <w:szCs w:val="18"/>
              </w:rPr>
              <w:t>Missions de fonctionnaires</w:t>
            </w:r>
          </w:p>
        </w:tc>
        <w:tc>
          <w:tcPr>
            <w:tcW w:w="1169" w:type="dxa"/>
            <w:tcBorders>
              <w:top w:val="nil"/>
              <w:left w:val="nil"/>
              <w:bottom w:val="nil"/>
              <w:right w:val="nil"/>
            </w:tcBorders>
            <w:shd w:val="clear" w:color="auto" w:fill="auto"/>
            <w:vAlign w:val="center"/>
            <w:hideMark/>
          </w:tcPr>
          <w:p w14:paraId="2D8BBA30"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29</w:t>
            </w:r>
          </w:p>
        </w:tc>
        <w:tc>
          <w:tcPr>
            <w:tcW w:w="1169" w:type="dxa"/>
            <w:tcBorders>
              <w:top w:val="nil"/>
              <w:left w:val="nil"/>
              <w:bottom w:val="nil"/>
              <w:right w:val="nil"/>
            </w:tcBorders>
            <w:shd w:val="clear" w:color="auto" w:fill="auto"/>
            <w:vAlign w:val="center"/>
            <w:hideMark/>
          </w:tcPr>
          <w:p w14:paraId="647292A3"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349</w:t>
            </w:r>
          </w:p>
        </w:tc>
        <w:tc>
          <w:tcPr>
            <w:tcW w:w="970" w:type="dxa"/>
            <w:tcBorders>
              <w:top w:val="nil"/>
              <w:left w:val="nil"/>
              <w:bottom w:val="nil"/>
              <w:right w:val="nil"/>
            </w:tcBorders>
            <w:shd w:val="clear" w:color="auto" w:fill="auto"/>
            <w:vAlign w:val="center"/>
            <w:hideMark/>
          </w:tcPr>
          <w:p w14:paraId="1A7050D5"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(204)</w:t>
            </w:r>
          </w:p>
        </w:tc>
        <w:tc>
          <w:tcPr>
            <w:tcW w:w="992" w:type="dxa"/>
            <w:tcBorders>
              <w:top w:val="nil"/>
              <w:left w:val="nil"/>
              <w:bottom w:val="nil"/>
              <w:right w:val="nil"/>
            </w:tcBorders>
            <w:shd w:val="clear" w:color="auto" w:fill="auto"/>
            <w:vAlign w:val="center"/>
            <w:hideMark/>
          </w:tcPr>
          <w:p w14:paraId="61D9B825"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-58%</w:t>
            </w:r>
          </w:p>
        </w:tc>
        <w:tc>
          <w:tcPr>
            <w:tcW w:w="1219" w:type="dxa"/>
            <w:tcBorders>
              <w:top w:val="nil"/>
              <w:left w:val="nil"/>
              <w:bottom w:val="nil"/>
              <w:right w:val="nil"/>
            </w:tcBorders>
            <w:shd w:val="clear" w:color="auto" w:fill="auto"/>
            <w:vAlign w:val="center"/>
            <w:hideMark/>
          </w:tcPr>
          <w:p w14:paraId="787A4931"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145</w:t>
            </w:r>
          </w:p>
        </w:tc>
      </w:tr>
      <w:tr w:rsidR="007D29F8" w:rsidRPr="00152C64" w14:paraId="46DCAD58"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4B809718" w14:textId="77777777" w:rsidR="007D29F8" w:rsidRPr="00152C64" w:rsidRDefault="007D29F8" w:rsidP="00DB6666">
            <w:pPr>
              <w:jc w:val="right"/>
              <w:rPr>
                <w:rFonts w:ascii="Arial Narrow" w:hAnsi="Arial Narrow" w:cs="Arial"/>
                <w:sz w:val="18"/>
                <w:szCs w:val="18"/>
              </w:rPr>
            </w:pPr>
          </w:p>
        </w:tc>
        <w:tc>
          <w:tcPr>
            <w:tcW w:w="3224" w:type="dxa"/>
            <w:tcBorders>
              <w:top w:val="nil"/>
              <w:left w:val="nil"/>
              <w:bottom w:val="nil"/>
              <w:right w:val="nil"/>
            </w:tcBorders>
            <w:shd w:val="clear" w:color="auto" w:fill="auto"/>
            <w:vAlign w:val="bottom"/>
            <w:hideMark/>
          </w:tcPr>
          <w:p w14:paraId="1F315E1F" w14:textId="77777777" w:rsidR="007D29F8" w:rsidRPr="00152C64" w:rsidRDefault="007D29F8" w:rsidP="00DB6666">
            <w:pPr>
              <w:ind w:firstLineChars="200" w:firstLine="360"/>
              <w:jc w:val="left"/>
              <w:rPr>
                <w:rFonts w:ascii="Arial Narrow" w:hAnsi="Arial Narrow" w:cs="Arial"/>
                <w:i/>
                <w:iCs/>
                <w:color w:val="000000"/>
                <w:sz w:val="18"/>
                <w:szCs w:val="18"/>
              </w:rPr>
            </w:pPr>
            <w:r w:rsidRPr="00152C64">
              <w:rPr>
                <w:rFonts w:ascii="Arial Narrow" w:hAnsi="Arial Narrow" w:cs="Arial"/>
                <w:i/>
                <w:iCs/>
                <w:color w:val="000000"/>
                <w:sz w:val="18"/>
                <w:szCs w:val="18"/>
              </w:rPr>
              <w:t>Voyages de tiers</w:t>
            </w:r>
          </w:p>
        </w:tc>
        <w:tc>
          <w:tcPr>
            <w:tcW w:w="1169" w:type="dxa"/>
            <w:tcBorders>
              <w:top w:val="nil"/>
              <w:left w:val="nil"/>
              <w:bottom w:val="nil"/>
              <w:right w:val="nil"/>
            </w:tcBorders>
            <w:shd w:val="clear" w:color="auto" w:fill="auto"/>
            <w:vAlign w:val="center"/>
            <w:hideMark/>
          </w:tcPr>
          <w:p w14:paraId="43F47C0A"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2</w:t>
            </w:r>
          </w:p>
        </w:tc>
        <w:tc>
          <w:tcPr>
            <w:tcW w:w="1169" w:type="dxa"/>
            <w:tcBorders>
              <w:top w:val="nil"/>
              <w:left w:val="nil"/>
              <w:bottom w:val="nil"/>
              <w:right w:val="nil"/>
            </w:tcBorders>
            <w:shd w:val="clear" w:color="auto" w:fill="auto"/>
            <w:vAlign w:val="center"/>
            <w:hideMark/>
          </w:tcPr>
          <w:p w14:paraId="15476EFE"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12</w:t>
            </w:r>
          </w:p>
        </w:tc>
        <w:tc>
          <w:tcPr>
            <w:tcW w:w="970" w:type="dxa"/>
            <w:tcBorders>
              <w:top w:val="nil"/>
              <w:left w:val="nil"/>
              <w:bottom w:val="nil"/>
              <w:right w:val="nil"/>
            </w:tcBorders>
            <w:shd w:val="clear" w:color="auto" w:fill="auto"/>
            <w:vAlign w:val="center"/>
            <w:hideMark/>
          </w:tcPr>
          <w:p w14:paraId="7079B434"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(7)</w:t>
            </w:r>
          </w:p>
        </w:tc>
        <w:tc>
          <w:tcPr>
            <w:tcW w:w="992" w:type="dxa"/>
            <w:tcBorders>
              <w:top w:val="nil"/>
              <w:left w:val="nil"/>
              <w:bottom w:val="nil"/>
              <w:right w:val="nil"/>
            </w:tcBorders>
            <w:shd w:val="clear" w:color="auto" w:fill="auto"/>
            <w:vAlign w:val="center"/>
            <w:hideMark/>
          </w:tcPr>
          <w:p w14:paraId="080315FF"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-58%</w:t>
            </w:r>
          </w:p>
        </w:tc>
        <w:tc>
          <w:tcPr>
            <w:tcW w:w="1219" w:type="dxa"/>
            <w:tcBorders>
              <w:top w:val="nil"/>
              <w:left w:val="nil"/>
              <w:bottom w:val="nil"/>
              <w:right w:val="nil"/>
            </w:tcBorders>
            <w:shd w:val="clear" w:color="auto" w:fill="auto"/>
            <w:vAlign w:val="center"/>
            <w:hideMark/>
          </w:tcPr>
          <w:p w14:paraId="796F88B6"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5</w:t>
            </w:r>
          </w:p>
        </w:tc>
      </w:tr>
      <w:tr w:rsidR="007D29F8" w:rsidRPr="00152C64" w14:paraId="1A741BD7" w14:textId="77777777" w:rsidTr="00DB6666">
        <w:trPr>
          <w:trHeight w:val="314"/>
          <w:jc w:val="center"/>
        </w:trPr>
        <w:tc>
          <w:tcPr>
            <w:tcW w:w="320" w:type="dxa"/>
            <w:tcBorders>
              <w:top w:val="nil"/>
              <w:left w:val="nil"/>
              <w:bottom w:val="single" w:sz="4" w:space="0" w:color="AAB8C4"/>
              <w:right w:val="nil"/>
            </w:tcBorders>
            <w:shd w:val="clear" w:color="auto" w:fill="auto"/>
            <w:noWrap/>
            <w:vAlign w:val="bottom"/>
            <w:hideMark/>
          </w:tcPr>
          <w:p w14:paraId="1AF2F34B" w14:textId="77777777" w:rsidR="007D29F8" w:rsidRPr="00152C64" w:rsidRDefault="007D29F8" w:rsidP="00DB6666">
            <w:pPr>
              <w:jc w:val="left"/>
              <w:rPr>
                <w:rFonts w:ascii="Arial Narrow" w:hAnsi="Arial Narrow" w:cs="Arial"/>
                <w:sz w:val="18"/>
                <w:szCs w:val="18"/>
              </w:rPr>
            </w:pPr>
            <w:r w:rsidRPr="00152C64">
              <w:rPr>
                <w:rFonts w:ascii="Arial Narrow" w:hAnsi="Arial Narrow" w:cs="Arial"/>
                <w:sz w:val="18"/>
                <w:szCs w:val="18"/>
              </w:rPr>
              <w:t> </w:t>
            </w:r>
          </w:p>
        </w:tc>
        <w:tc>
          <w:tcPr>
            <w:tcW w:w="3224" w:type="dxa"/>
            <w:tcBorders>
              <w:top w:val="nil"/>
              <w:left w:val="nil"/>
              <w:bottom w:val="single" w:sz="4" w:space="0" w:color="AAB8C4"/>
              <w:right w:val="nil"/>
            </w:tcBorders>
            <w:shd w:val="clear" w:color="auto" w:fill="auto"/>
            <w:vAlign w:val="bottom"/>
            <w:hideMark/>
          </w:tcPr>
          <w:p w14:paraId="756C546B" w14:textId="77777777" w:rsidR="007D29F8" w:rsidRPr="00152C64" w:rsidRDefault="007D29F8" w:rsidP="00DB6666">
            <w:pPr>
              <w:jc w:val="left"/>
              <w:rPr>
                <w:rFonts w:ascii="Arial Narrow" w:hAnsi="Arial Narrow" w:cs="Arial"/>
                <w:b/>
                <w:bCs/>
                <w:sz w:val="18"/>
                <w:szCs w:val="18"/>
              </w:rPr>
            </w:pPr>
            <w:r w:rsidRPr="00152C64">
              <w:rPr>
                <w:rFonts w:ascii="Arial Narrow" w:hAnsi="Arial Narrow" w:cs="Arial"/>
                <w:b/>
                <w:bCs/>
                <w:sz w:val="18"/>
                <w:szCs w:val="18"/>
              </w:rPr>
              <w:t>Sous-total</w:t>
            </w:r>
          </w:p>
        </w:tc>
        <w:tc>
          <w:tcPr>
            <w:tcW w:w="1169" w:type="dxa"/>
            <w:tcBorders>
              <w:top w:val="nil"/>
              <w:left w:val="nil"/>
              <w:bottom w:val="single" w:sz="4" w:space="0" w:color="AAB8C4"/>
              <w:right w:val="nil"/>
            </w:tcBorders>
            <w:shd w:val="clear" w:color="auto" w:fill="auto"/>
            <w:vAlign w:val="center"/>
            <w:hideMark/>
          </w:tcPr>
          <w:p w14:paraId="57EF7459"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31</w:t>
            </w:r>
          </w:p>
        </w:tc>
        <w:tc>
          <w:tcPr>
            <w:tcW w:w="1169" w:type="dxa"/>
            <w:tcBorders>
              <w:top w:val="nil"/>
              <w:left w:val="nil"/>
              <w:bottom w:val="single" w:sz="4" w:space="0" w:color="AAB8C4"/>
              <w:right w:val="nil"/>
            </w:tcBorders>
            <w:shd w:val="clear" w:color="auto" w:fill="auto"/>
            <w:vAlign w:val="center"/>
            <w:hideMark/>
          </w:tcPr>
          <w:p w14:paraId="184F4E54"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361</w:t>
            </w:r>
          </w:p>
        </w:tc>
        <w:tc>
          <w:tcPr>
            <w:tcW w:w="970" w:type="dxa"/>
            <w:tcBorders>
              <w:top w:val="nil"/>
              <w:left w:val="nil"/>
              <w:bottom w:val="single" w:sz="4" w:space="0" w:color="BFBFBF"/>
              <w:right w:val="nil"/>
            </w:tcBorders>
            <w:shd w:val="clear" w:color="auto" w:fill="auto"/>
            <w:vAlign w:val="center"/>
            <w:hideMark/>
          </w:tcPr>
          <w:p w14:paraId="357CB7BF"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(211)</w:t>
            </w:r>
          </w:p>
        </w:tc>
        <w:tc>
          <w:tcPr>
            <w:tcW w:w="992" w:type="dxa"/>
            <w:tcBorders>
              <w:top w:val="nil"/>
              <w:left w:val="nil"/>
              <w:bottom w:val="single" w:sz="4" w:space="0" w:color="BFBFBF"/>
              <w:right w:val="nil"/>
            </w:tcBorders>
            <w:shd w:val="clear" w:color="auto" w:fill="auto"/>
            <w:vAlign w:val="center"/>
            <w:hideMark/>
          </w:tcPr>
          <w:p w14:paraId="0CA1DBF4"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-58%</w:t>
            </w:r>
          </w:p>
        </w:tc>
        <w:tc>
          <w:tcPr>
            <w:tcW w:w="1219" w:type="dxa"/>
            <w:tcBorders>
              <w:top w:val="nil"/>
              <w:left w:val="nil"/>
              <w:bottom w:val="single" w:sz="4" w:space="0" w:color="AAB8C4"/>
              <w:right w:val="nil"/>
            </w:tcBorders>
            <w:shd w:val="clear" w:color="auto" w:fill="auto"/>
            <w:vAlign w:val="center"/>
            <w:hideMark/>
          </w:tcPr>
          <w:p w14:paraId="387FD0A5"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150</w:t>
            </w:r>
          </w:p>
        </w:tc>
      </w:tr>
      <w:tr w:rsidR="007D29F8" w:rsidRPr="00152C64" w14:paraId="69BD218A" w14:textId="77777777" w:rsidTr="00DB6666">
        <w:trPr>
          <w:trHeight w:val="407"/>
          <w:jc w:val="center"/>
        </w:trPr>
        <w:tc>
          <w:tcPr>
            <w:tcW w:w="320" w:type="dxa"/>
            <w:tcBorders>
              <w:top w:val="nil"/>
              <w:left w:val="nil"/>
              <w:bottom w:val="nil"/>
              <w:right w:val="nil"/>
            </w:tcBorders>
            <w:shd w:val="clear" w:color="auto" w:fill="auto"/>
            <w:noWrap/>
            <w:vAlign w:val="bottom"/>
            <w:hideMark/>
          </w:tcPr>
          <w:p w14:paraId="735CCF09" w14:textId="77777777" w:rsidR="007D29F8" w:rsidRPr="00152C64" w:rsidRDefault="007D29F8" w:rsidP="00DB6666">
            <w:pPr>
              <w:jc w:val="right"/>
              <w:rPr>
                <w:rFonts w:ascii="Arial Narrow" w:hAnsi="Arial Narrow" w:cs="Arial"/>
                <w:b/>
                <w:bCs/>
                <w:sz w:val="18"/>
                <w:szCs w:val="18"/>
              </w:rPr>
            </w:pPr>
          </w:p>
        </w:tc>
        <w:tc>
          <w:tcPr>
            <w:tcW w:w="3224" w:type="dxa"/>
            <w:tcBorders>
              <w:top w:val="nil"/>
              <w:left w:val="nil"/>
              <w:bottom w:val="nil"/>
              <w:right w:val="nil"/>
            </w:tcBorders>
            <w:shd w:val="clear" w:color="auto" w:fill="auto"/>
            <w:vAlign w:val="bottom"/>
            <w:hideMark/>
          </w:tcPr>
          <w:p w14:paraId="4A7F747F" w14:textId="77777777" w:rsidR="007D29F8" w:rsidRPr="00152C64" w:rsidRDefault="007D29F8" w:rsidP="00DB6666">
            <w:pPr>
              <w:jc w:val="left"/>
              <w:rPr>
                <w:rFonts w:ascii="Arial Narrow" w:hAnsi="Arial Narrow" w:cs="Arial"/>
                <w:b/>
                <w:bCs/>
                <w:sz w:val="18"/>
                <w:szCs w:val="18"/>
              </w:rPr>
            </w:pPr>
            <w:r w:rsidRPr="00152C64">
              <w:rPr>
                <w:rFonts w:ascii="Arial Narrow" w:hAnsi="Arial Narrow" w:cs="Arial"/>
                <w:b/>
                <w:bCs/>
                <w:sz w:val="18"/>
                <w:szCs w:val="18"/>
              </w:rPr>
              <w:t>Services contractuels</w:t>
            </w:r>
          </w:p>
        </w:tc>
        <w:tc>
          <w:tcPr>
            <w:tcW w:w="1169" w:type="dxa"/>
            <w:tcBorders>
              <w:top w:val="nil"/>
              <w:left w:val="nil"/>
              <w:bottom w:val="nil"/>
              <w:right w:val="nil"/>
            </w:tcBorders>
            <w:shd w:val="clear" w:color="auto" w:fill="auto"/>
            <w:vAlign w:val="center"/>
            <w:hideMark/>
          </w:tcPr>
          <w:p w14:paraId="16A4F917" w14:textId="77777777" w:rsidR="007D29F8" w:rsidRPr="00152C64" w:rsidRDefault="007D29F8" w:rsidP="00DB6666">
            <w:pPr>
              <w:jc w:val="right"/>
              <w:rPr>
                <w:rFonts w:ascii="Arial Narrow" w:hAnsi="Arial Narrow" w:cs="Arial"/>
                <w:b/>
                <w:bCs/>
                <w:sz w:val="18"/>
                <w:szCs w:val="18"/>
              </w:rPr>
            </w:pPr>
          </w:p>
        </w:tc>
        <w:tc>
          <w:tcPr>
            <w:tcW w:w="1169" w:type="dxa"/>
            <w:tcBorders>
              <w:top w:val="nil"/>
              <w:left w:val="nil"/>
              <w:bottom w:val="nil"/>
              <w:right w:val="nil"/>
            </w:tcBorders>
            <w:shd w:val="clear" w:color="auto" w:fill="auto"/>
            <w:vAlign w:val="center"/>
            <w:hideMark/>
          </w:tcPr>
          <w:p w14:paraId="51F4AFBC" w14:textId="77777777" w:rsidR="007D29F8" w:rsidRPr="00152C64" w:rsidRDefault="007D29F8" w:rsidP="00DB6666">
            <w:pPr>
              <w:jc w:val="right"/>
              <w:rPr>
                <w:rFonts w:ascii="Arial Narrow" w:hAnsi="Arial Narrow"/>
                <w:sz w:val="18"/>
                <w:szCs w:val="18"/>
              </w:rPr>
            </w:pPr>
          </w:p>
        </w:tc>
        <w:tc>
          <w:tcPr>
            <w:tcW w:w="970" w:type="dxa"/>
            <w:tcBorders>
              <w:top w:val="nil"/>
              <w:left w:val="nil"/>
              <w:bottom w:val="nil"/>
              <w:right w:val="nil"/>
            </w:tcBorders>
            <w:shd w:val="clear" w:color="auto" w:fill="auto"/>
            <w:vAlign w:val="center"/>
            <w:hideMark/>
          </w:tcPr>
          <w:p w14:paraId="3306AAF8" w14:textId="77777777" w:rsidR="007D29F8" w:rsidRPr="00152C64" w:rsidRDefault="007D29F8"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center"/>
            <w:hideMark/>
          </w:tcPr>
          <w:p w14:paraId="21D9C69C" w14:textId="77777777" w:rsidR="007D29F8" w:rsidRPr="00152C64" w:rsidRDefault="007D29F8" w:rsidP="00DB6666">
            <w:pPr>
              <w:jc w:val="right"/>
              <w:rPr>
                <w:rFonts w:ascii="Arial Narrow" w:hAnsi="Arial Narrow"/>
                <w:sz w:val="18"/>
                <w:szCs w:val="18"/>
              </w:rPr>
            </w:pPr>
          </w:p>
        </w:tc>
        <w:tc>
          <w:tcPr>
            <w:tcW w:w="1219" w:type="dxa"/>
            <w:tcBorders>
              <w:top w:val="nil"/>
              <w:left w:val="nil"/>
              <w:bottom w:val="nil"/>
              <w:right w:val="nil"/>
            </w:tcBorders>
            <w:shd w:val="clear" w:color="auto" w:fill="auto"/>
            <w:vAlign w:val="center"/>
            <w:hideMark/>
          </w:tcPr>
          <w:p w14:paraId="3AA51255" w14:textId="77777777" w:rsidR="007D29F8" w:rsidRPr="00152C64" w:rsidRDefault="007D29F8" w:rsidP="00DB6666">
            <w:pPr>
              <w:jc w:val="right"/>
              <w:rPr>
                <w:rFonts w:ascii="Arial Narrow" w:hAnsi="Arial Narrow"/>
                <w:sz w:val="18"/>
                <w:szCs w:val="18"/>
              </w:rPr>
            </w:pPr>
          </w:p>
        </w:tc>
      </w:tr>
      <w:tr w:rsidR="007D29F8" w:rsidRPr="00152C64" w14:paraId="358D77EC"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17BCA319" w14:textId="77777777" w:rsidR="007D29F8" w:rsidRPr="00152C64" w:rsidRDefault="007D29F8" w:rsidP="00DB6666">
            <w:pPr>
              <w:jc w:val="left"/>
              <w:rPr>
                <w:rFonts w:ascii="Arial Narrow" w:hAnsi="Arial Narrow"/>
                <w:sz w:val="18"/>
                <w:szCs w:val="18"/>
              </w:rPr>
            </w:pPr>
          </w:p>
        </w:tc>
        <w:tc>
          <w:tcPr>
            <w:tcW w:w="3224" w:type="dxa"/>
            <w:tcBorders>
              <w:top w:val="nil"/>
              <w:left w:val="nil"/>
              <w:bottom w:val="nil"/>
              <w:right w:val="nil"/>
            </w:tcBorders>
            <w:shd w:val="clear" w:color="auto" w:fill="auto"/>
            <w:vAlign w:val="bottom"/>
            <w:hideMark/>
          </w:tcPr>
          <w:p w14:paraId="3AC9A224" w14:textId="77777777" w:rsidR="007D29F8" w:rsidRPr="00152C64" w:rsidRDefault="007D29F8" w:rsidP="00DB6666">
            <w:pPr>
              <w:ind w:firstLineChars="200" w:firstLine="360"/>
              <w:jc w:val="left"/>
              <w:rPr>
                <w:rFonts w:ascii="Arial Narrow" w:hAnsi="Arial Narrow" w:cs="Arial"/>
                <w:i/>
                <w:iCs/>
                <w:color w:val="000000"/>
                <w:sz w:val="18"/>
                <w:szCs w:val="18"/>
              </w:rPr>
            </w:pPr>
            <w:r w:rsidRPr="00152C64">
              <w:rPr>
                <w:rFonts w:ascii="Arial Narrow" w:hAnsi="Arial Narrow" w:cs="Arial"/>
                <w:i/>
                <w:iCs/>
                <w:color w:val="000000"/>
                <w:sz w:val="18"/>
                <w:szCs w:val="18"/>
              </w:rPr>
              <w:t>Conférences</w:t>
            </w:r>
          </w:p>
        </w:tc>
        <w:tc>
          <w:tcPr>
            <w:tcW w:w="1169" w:type="dxa"/>
            <w:tcBorders>
              <w:top w:val="nil"/>
              <w:left w:val="nil"/>
              <w:bottom w:val="nil"/>
              <w:right w:val="nil"/>
            </w:tcBorders>
            <w:shd w:val="clear" w:color="auto" w:fill="auto"/>
            <w:vAlign w:val="center"/>
            <w:hideMark/>
          </w:tcPr>
          <w:p w14:paraId="645E116C"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158</w:t>
            </w:r>
          </w:p>
        </w:tc>
        <w:tc>
          <w:tcPr>
            <w:tcW w:w="1169" w:type="dxa"/>
            <w:tcBorders>
              <w:top w:val="nil"/>
              <w:left w:val="nil"/>
              <w:bottom w:val="nil"/>
              <w:right w:val="nil"/>
            </w:tcBorders>
            <w:shd w:val="clear" w:color="auto" w:fill="auto"/>
            <w:vAlign w:val="center"/>
            <w:hideMark/>
          </w:tcPr>
          <w:p w14:paraId="07CF4DFB"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180</w:t>
            </w:r>
          </w:p>
        </w:tc>
        <w:tc>
          <w:tcPr>
            <w:tcW w:w="970" w:type="dxa"/>
            <w:tcBorders>
              <w:top w:val="nil"/>
              <w:left w:val="nil"/>
              <w:bottom w:val="nil"/>
              <w:right w:val="nil"/>
            </w:tcBorders>
            <w:shd w:val="clear" w:color="auto" w:fill="auto"/>
            <w:vAlign w:val="center"/>
            <w:hideMark/>
          </w:tcPr>
          <w:p w14:paraId="36EF3F52"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20</w:t>
            </w:r>
          </w:p>
        </w:tc>
        <w:tc>
          <w:tcPr>
            <w:tcW w:w="992" w:type="dxa"/>
            <w:tcBorders>
              <w:top w:val="nil"/>
              <w:left w:val="nil"/>
              <w:bottom w:val="nil"/>
              <w:right w:val="nil"/>
            </w:tcBorders>
            <w:shd w:val="clear" w:color="auto" w:fill="auto"/>
            <w:vAlign w:val="center"/>
            <w:hideMark/>
          </w:tcPr>
          <w:p w14:paraId="135CFBEB"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11%</w:t>
            </w:r>
          </w:p>
        </w:tc>
        <w:tc>
          <w:tcPr>
            <w:tcW w:w="1219" w:type="dxa"/>
            <w:tcBorders>
              <w:top w:val="nil"/>
              <w:left w:val="nil"/>
              <w:bottom w:val="nil"/>
              <w:right w:val="nil"/>
            </w:tcBorders>
            <w:shd w:val="clear" w:color="auto" w:fill="auto"/>
            <w:vAlign w:val="center"/>
            <w:hideMark/>
          </w:tcPr>
          <w:p w14:paraId="713912A7"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200</w:t>
            </w:r>
          </w:p>
        </w:tc>
      </w:tr>
      <w:tr w:rsidR="007D29F8" w:rsidRPr="00152C64" w14:paraId="521E77D7"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0F3E57E7" w14:textId="77777777" w:rsidR="007D29F8" w:rsidRPr="00152C64" w:rsidRDefault="007D29F8" w:rsidP="00DB6666">
            <w:pPr>
              <w:jc w:val="right"/>
              <w:rPr>
                <w:rFonts w:ascii="Arial Narrow" w:hAnsi="Arial Narrow" w:cs="Arial"/>
                <w:sz w:val="18"/>
                <w:szCs w:val="18"/>
              </w:rPr>
            </w:pPr>
          </w:p>
        </w:tc>
        <w:tc>
          <w:tcPr>
            <w:tcW w:w="3224" w:type="dxa"/>
            <w:tcBorders>
              <w:top w:val="nil"/>
              <w:left w:val="nil"/>
              <w:bottom w:val="nil"/>
              <w:right w:val="nil"/>
            </w:tcBorders>
            <w:shd w:val="clear" w:color="auto" w:fill="auto"/>
            <w:vAlign w:val="bottom"/>
            <w:hideMark/>
          </w:tcPr>
          <w:p w14:paraId="65BEF11D" w14:textId="77777777" w:rsidR="007D29F8" w:rsidRPr="00152C64" w:rsidRDefault="007D29F8" w:rsidP="00DB6666">
            <w:pPr>
              <w:ind w:firstLineChars="200" w:firstLine="360"/>
              <w:jc w:val="left"/>
              <w:rPr>
                <w:rFonts w:ascii="Arial Narrow" w:hAnsi="Arial Narrow" w:cs="Arial"/>
                <w:i/>
                <w:iCs/>
                <w:color w:val="000000"/>
                <w:sz w:val="18"/>
                <w:szCs w:val="18"/>
              </w:rPr>
            </w:pPr>
            <w:r w:rsidRPr="00152C64">
              <w:rPr>
                <w:rFonts w:ascii="Arial Narrow" w:hAnsi="Arial Narrow" w:cs="Arial"/>
                <w:i/>
                <w:iCs/>
                <w:color w:val="000000"/>
                <w:sz w:val="18"/>
                <w:szCs w:val="18"/>
              </w:rPr>
              <w:t>Publications</w:t>
            </w:r>
          </w:p>
        </w:tc>
        <w:tc>
          <w:tcPr>
            <w:tcW w:w="1169" w:type="dxa"/>
            <w:tcBorders>
              <w:top w:val="nil"/>
              <w:left w:val="nil"/>
              <w:bottom w:val="nil"/>
              <w:right w:val="nil"/>
            </w:tcBorders>
            <w:shd w:val="clear" w:color="auto" w:fill="auto"/>
            <w:vAlign w:val="center"/>
            <w:hideMark/>
          </w:tcPr>
          <w:p w14:paraId="6934C837"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0</w:t>
            </w:r>
          </w:p>
        </w:tc>
        <w:tc>
          <w:tcPr>
            <w:tcW w:w="1169" w:type="dxa"/>
            <w:tcBorders>
              <w:top w:val="nil"/>
              <w:left w:val="nil"/>
              <w:bottom w:val="nil"/>
              <w:right w:val="nil"/>
            </w:tcBorders>
            <w:shd w:val="clear" w:color="auto" w:fill="auto"/>
            <w:vAlign w:val="center"/>
            <w:hideMark/>
          </w:tcPr>
          <w:p w14:paraId="28F1C84A"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0</w:t>
            </w:r>
          </w:p>
        </w:tc>
        <w:tc>
          <w:tcPr>
            <w:tcW w:w="970" w:type="dxa"/>
            <w:tcBorders>
              <w:top w:val="nil"/>
              <w:left w:val="nil"/>
              <w:bottom w:val="nil"/>
              <w:right w:val="nil"/>
            </w:tcBorders>
            <w:shd w:val="clear" w:color="auto" w:fill="auto"/>
            <w:vAlign w:val="center"/>
            <w:hideMark/>
          </w:tcPr>
          <w:p w14:paraId="5E9D7E58"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w:t>
            </w:r>
          </w:p>
        </w:tc>
        <w:tc>
          <w:tcPr>
            <w:tcW w:w="992" w:type="dxa"/>
            <w:tcBorders>
              <w:top w:val="nil"/>
              <w:left w:val="nil"/>
              <w:bottom w:val="nil"/>
              <w:right w:val="nil"/>
            </w:tcBorders>
            <w:shd w:val="clear" w:color="auto" w:fill="auto"/>
            <w:vAlign w:val="center"/>
            <w:hideMark/>
          </w:tcPr>
          <w:p w14:paraId="5B04F066"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w:t>
            </w:r>
          </w:p>
        </w:tc>
        <w:tc>
          <w:tcPr>
            <w:tcW w:w="1219" w:type="dxa"/>
            <w:tcBorders>
              <w:top w:val="nil"/>
              <w:left w:val="nil"/>
              <w:bottom w:val="nil"/>
              <w:right w:val="nil"/>
            </w:tcBorders>
            <w:shd w:val="clear" w:color="auto" w:fill="auto"/>
            <w:vAlign w:val="center"/>
            <w:hideMark/>
          </w:tcPr>
          <w:p w14:paraId="6787719D"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0</w:t>
            </w:r>
          </w:p>
        </w:tc>
      </w:tr>
      <w:tr w:rsidR="007D29F8" w:rsidRPr="00152C64" w14:paraId="55BFEECB"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75E84AD8" w14:textId="77777777" w:rsidR="007D29F8" w:rsidRPr="00152C64" w:rsidRDefault="007D29F8" w:rsidP="00DB6666">
            <w:pPr>
              <w:jc w:val="right"/>
              <w:rPr>
                <w:rFonts w:ascii="Arial Narrow" w:hAnsi="Arial Narrow" w:cs="Arial"/>
                <w:sz w:val="18"/>
                <w:szCs w:val="18"/>
              </w:rPr>
            </w:pPr>
          </w:p>
        </w:tc>
        <w:tc>
          <w:tcPr>
            <w:tcW w:w="3224" w:type="dxa"/>
            <w:tcBorders>
              <w:top w:val="nil"/>
              <w:left w:val="nil"/>
              <w:bottom w:val="nil"/>
              <w:right w:val="nil"/>
            </w:tcBorders>
            <w:shd w:val="clear" w:color="auto" w:fill="auto"/>
            <w:vAlign w:val="bottom"/>
            <w:hideMark/>
          </w:tcPr>
          <w:p w14:paraId="6B8C3534" w14:textId="77777777" w:rsidR="007D29F8" w:rsidRPr="00152C64" w:rsidRDefault="007D29F8" w:rsidP="00DB6666">
            <w:pPr>
              <w:ind w:firstLineChars="200" w:firstLine="360"/>
              <w:jc w:val="left"/>
              <w:rPr>
                <w:rFonts w:ascii="Arial Narrow" w:hAnsi="Arial Narrow" w:cs="Arial"/>
                <w:i/>
                <w:iCs/>
                <w:color w:val="000000"/>
                <w:sz w:val="18"/>
                <w:szCs w:val="18"/>
              </w:rPr>
            </w:pPr>
            <w:r w:rsidRPr="00152C64">
              <w:rPr>
                <w:rFonts w:ascii="Arial Narrow" w:hAnsi="Arial Narrow" w:cs="Arial"/>
                <w:i/>
                <w:iCs/>
                <w:color w:val="000000"/>
                <w:sz w:val="18"/>
                <w:szCs w:val="18"/>
              </w:rPr>
              <w:t>Services contractuels de personnes</w:t>
            </w:r>
          </w:p>
        </w:tc>
        <w:tc>
          <w:tcPr>
            <w:tcW w:w="1169" w:type="dxa"/>
            <w:tcBorders>
              <w:top w:val="nil"/>
              <w:left w:val="nil"/>
              <w:bottom w:val="nil"/>
              <w:right w:val="nil"/>
            </w:tcBorders>
            <w:shd w:val="clear" w:color="auto" w:fill="auto"/>
            <w:vAlign w:val="center"/>
            <w:hideMark/>
          </w:tcPr>
          <w:p w14:paraId="7CE20C17"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32</w:t>
            </w:r>
          </w:p>
        </w:tc>
        <w:tc>
          <w:tcPr>
            <w:tcW w:w="1169" w:type="dxa"/>
            <w:tcBorders>
              <w:top w:val="nil"/>
              <w:left w:val="nil"/>
              <w:bottom w:val="nil"/>
              <w:right w:val="nil"/>
            </w:tcBorders>
            <w:shd w:val="clear" w:color="auto" w:fill="auto"/>
            <w:vAlign w:val="center"/>
            <w:hideMark/>
          </w:tcPr>
          <w:p w14:paraId="06F6C678"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5</w:t>
            </w:r>
          </w:p>
        </w:tc>
        <w:tc>
          <w:tcPr>
            <w:tcW w:w="970" w:type="dxa"/>
            <w:tcBorders>
              <w:top w:val="nil"/>
              <w:left w:val="nil"/>
              <w:bottom w:val="nil"/>
              <w:right w:val="nil"/>
            </w:tcBorders>
            <w:shd w:val="clear" w:color="auto" w:fill="auto"/>
            <w:vAlign w:val="center"/>
            <w:hideMark/>
          </w:tcPr>
          <w:p w14:paraId="4428A3AA"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95</w:t>
            </w:r>
          </w:p>
        </w:tc>
        <w:tc>
          <w:tcPr>
            <w:tcW w:w="992" w:type="dxa"/>
            <w:tcBorders>
              <w:top w:val="nil"/>
              <w:left w:val="nil"/>
              <w:bottom w:val="nil"/>
              <w:right w:val="nil"/>
            </w:tcBorders>
            <w:shd w:val="clear" w:color="auto" w:fill="auto"/>
            <w:vAlign w:val="center"/>
            <w:hideMark/>
          </w:tcPr>
          <w:p w14:paraId="661B81D4"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+100%</w:t>
            </w:r>
          </w:p>
        </w:tc>
        <w:tc>
          <w:tcPr>
            <w:tcW w:w="1219" w:type="dxa"/>
            <w:tcBorders>
              <w:top w:val="nil"/>
              <w:left w:val="nil"/>
              <w:bottom w:val="nil"/>
              <w:right w:val="nil"/>
            </w:tcBorders>
            <w:shd w:val="clear" w:color="auto" w:fill="auto"/>
            <w:vAlign w:val="center"/>
            <w:hideMark/>
          </w:tcPr>
          <w:p w14:paraId="48509063"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100</w:t>
            </w:r>
          </w:p>
        </w:tc>
      </w:tr>
      <w:tr w:rsidR="007D29F8" w:rsidRPr="00152C64" w14:paraId="1662DF20"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3F38D0DD" w14:textId="77777777" w:rsidR="007D29F8" w:rsidRPr="00152C64" w:rsidRDefault="007D29F8" w:rsidP="00DB6666">
            <w:pPr>
              <w:jc w:val="right"/>
              <w:rPr>
                <w:rFonts w:ascii="Arial Narrow" w:hAnsi="Arial Narrow" w:cs="Arial"/>
                <w:sz w:val="18"/>
                <w:szCs w:val="18"/>
              </w:rPr>
            </w:pPr>
          </w:p>
        </w:tc>
        <w:tc>
          <w:tcPr>
            <w:tcW w:w="3224" w:type="dxa"/>
            <w:tcBorders>
              <w:top w:val="nil"/>
              <w:left w:val="nil"/>
              <w:bottom w:val="nil"/>
              <w:right w:val="nil"/>
            </w:tcBorders>
            <w:shd w:val="clear" w:color="auto" w:fill="auto"/>
            <w:vAlign w:val="bottom"/>
            <w:hideMark/>
          </w:tcPr>
          <w:p w14:paraId="01B19671" w14:textId="77777777" w:rsidR="007D29F8" w:rsidRPr="00152C64" w:rsidRDefault="007D29F8" w:rsidP="00DB6666">
            <w:pPr>
              <w:ind w:firstLineChars="200" w:firstLine="360"/>
              <w:jc w:val="left"/>
              <w:rPr>
                <w:rFonts w:ascii="Arial Narrow" w:hAnsi="Arial Narrow" w:cs="Arial"/>
                <w:i/>
                <w:iCs/>
                <w:color w:val="000000"/>
                <w:sz w:val="18"/>
                <w:szCs w:val="18"/>
              </w:rPr>
            </w:pPr>
            <w:r w:rsidRPr="00152C64">
              <w:rPr>
                <w:rFonts w:ascii="Arial Narrow" w:hAnsi="Arial Narrow" w:cs="Arial"/>
                <w:i/>
                <w:iCs/>
                <w:color w:val="000000"/>
                <w:sz w:val="18"/>
                <w:szCs w:val="18"/>
              </w:rPr>
              <w:t>Autres services contractuels</w:t>
            </w:r>
          </w:p>
        </w:tc>
        <w:tc>
          <w:tcPr>
            <w:tcW w:w="1169" w:type="dxa"/>
            <w:tcBorders>
              <w:top w:val="nil"/>
              <w:left w:val="nil"/>
              <w:bottom w:val="nil"/>
              <w:right w:val="nil"/>
            </w:tcBorders>
            <w:shd w:val="clear" w:color="auto" w:fill="auto"/>
            <w:vAlign w:val="center"/>
            <w:hideMark/>
          </w:tcPr>
          <w:p w14:paraId="14E50C99"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997</w:t>
            </w:r>
          </w:p>
        </w:tc>
        <w:tc>
          <w:tcPr>
            <w:tcW w:w="1169" w:type="dxa"/>
            <w:tcBorders>
              <w:top w:val="nil"/>
              <w:left w:val="nil"/>
              <w:bottom w:val="nil"/>
              <w:right w:val="nil"/>
            </w:tcBorders>
            <w:shd w:val="clear" w:color="auto" w:fill="auto"/>
            <w:vAlign w:val="center"/>
            <w:hideMark/>
          </w:tcPr>
          <w:p w14:paraId="32210F1E"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405</w:t>
            </w:r>
          </w:p>
        </w:tc>
        <w:tc>
          <w:tcPr>
            <w:tcW w:w="970" w:type="dxa"/>
            <w:tcBorders>
              <w:top w:val="nil"/>
              <w:left w:val="nil"/>
              <w:bottom w:val="nil"/>
              <w:right w:val="nil"/>
            </w:tcBorders>
            <w:shd w:val="clear" w:color="auto" w:fill="auto"/>
            <w:vAlign w:val="center"/>
            <w:hideMark/>
          </w:tcPr>
          <w:p w14:paraId="394DD1F5"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10</w:t>
            </w:r>
          </w:p>
        </w:tc>
        <w:tc>
          <w:tcPr>
            <w:tcW w:w="992" w:type="dxa"/>
            <w:tcBorders>
              <w:top w:val="nil"/>
              <w:left w:val="nil"/>
              <w:bottom w:val="nil"/>
              <w:right w:val="nil"/>
            </w:tcBorders>
            <w:shd w:val="clear" w:color="auto" w:fill="auto"/>
            <w:vAlign w:val="center"/>
            <w:hideMark/>
          </w:tcPr>
          <w:p w14:paraId="797C7898"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2%</w:t>
            </w:r>
          </w:p>
        </w:tc>
        <w:tc>
          <w:tcPr>
            <w:tcW w:w="1219" w:type="dxa"/>
            <w:tcBorders>
              <w:top w:val="nil"/>
              <w:left w:val="nil"/>
              <w:bottom w:val="nil"/>
              <w:right w:val="nil"/>
            </w:tcBorders>
            <w:shd w:val="clear" w:color="auto" w:fill="auto"/>
            <w:vAlign w:val="center"/>
            <w:hideMark/>
          </w:tcPr>
          <w:p w14:paraId="372B6232"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415</w:t>
            </w:r>
          </w:p>
        </w:tc>
      </w:tr>
      <w:tr w:rsidR="007D29F8" w:rsidRPr="00152C64" w14:paraId="445C9A00" w14:textId="77777777" w:rsidTr="00DB6666">
        <w:trPr>
          <w:trHeight w:val="314"/>
          <w:jc w:val="center"/>
        </w:trPr>
        <w:tc>
          <w:tcPr>
            <w:tcW w:w="320" w:type="dxa"/>
            <w:tcBorders>
              <w:top w:val="nil"/>
              <w:left w:val="nil"/>
              <w:bottom w:val="single" w:sz="4" w:space="0" w:color="AAB8C4"/>
              <w:right w:val="nil"/>
            </w:tcBorders>
            <w:shd w:val="clear" w:color="auto" w:fill="auto"/>
            <w:noWrap/>
            <w:vAlign w:val="bottom"/>
            <w:hideMark/>
          </w:tcPr>
          <w:p w14:paraId="6A16829F" w14:textId="77777777" w:rsidR="007D29F8" w:rsidRPr="00152C64" w:rsidRDefault="007D29F8" w:rsidP="00DB6666">
            <w:pPr>
              <w:jc w:val="left"/>
              <w:rPr>
                <w:rFonts w:ascii="Arial Narrow" w:hAnsi="Arial Narrow" w:cs="Arial"/>
                <w:sz w:val="18"/>
                <w:szCs w:val="18"/>
              </w:rPr>
            </w:pPr>
            <w:r w:rsidRPr="00152C64">
              <w:rPr>
                <w:rFonts w:ascii="Arial Narrow" w:hAnsi="Arial Narrow" w:cs="Arial"/>
                <w:sz w:val="18"/>
                <w:szCs w:val="18"/>
              </w:rPr>
              <w:t> </w:t>
            </w:r>
          </w:p>
        </w:tc>
        <w:tc>
          <w:tcPr>
            <w:tcW w:w="3224" w:type="dxa"/>
            <w:tcBorders>
              <w:top w:val="nil"/>
              <w:left w:val="nil"/>
              <w:bottom w:val="single" w:sz="4" w:space="0" w:color="AAB8C4"/>
              <w:right w:val="nil"/>
            </w:tcBorders>
            <w:shd w:val="clear" w:color="auto" w:fill="auto"/>
            <w:vAlign w:val="bottom"/>
            <w:hideMark/>
          </w:tcPr>
          <w:p w14:paraId="7C9E1035" w14:textId="77777777" w:rsidR="007D29F8" w:rsidRPr="00152C64" w:rsidRDefault="007D29F8" w:rsidP="00DB6666">
            <w:pPr>
              <w:jc w:val="left"/>
              <w:rPr>
                <w:rFonts w:ascii="Arial Narrow" w:hAnsi="Arial Narrow" w:cs="Arial"/>
                <w:b/>
                <w:bCs/>
                <w:sz w:val="18"/>
                <w:szCs w:val="18"/>
              </w:rPr>
            </w:pPr>
            <w:r w:rsidRPr="00152C64">
              <w:rPr>
                <w:rFonts w:ascii="Arial Narrow" w:hAnsi="Arial Narrow" w:cs="Arial"/>
                <w:b/>
                <w:bCs/>
                <w:sz w:val="18"/>
                <w:szCs w:val="18"/>
              </w:rPr>
              <w:t>Sous-total</w:t>
            </w:r>
          </w:p>
        </w:tc>
        <w:tc>
          <w:tcPr>
            <w:tcW w:w="1169" w:type="dxa"/>
            <w:tcBorders>
              <w:top w:val="nil"/>
              <w:left w:val="nil"/>
              <w:bottom w:val="single" w:sz="4" w:space="0" w:color="AAB8C4"/>
              <w:right w:val="nil"/>
            </w:tcBorders>
            <w:shd w:val="clear" w:color="auto" w:fill="auto"/>
            <w:vAlign w:val="center"/>
            <w:hideMark/>
          </w:tcPr>
          <w:p w14:paraId="56E0CA85"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1 187</w:t>
            </w:r>
          </w:p>
        </w:tc>
        <w:tc>
          <w:tcPr>
            <w:tcW w:w="1169" w:type="dxa"/>
            <w:tcBorders>
              <w:top w:val="nil"/>
              <w:left w:val="nil"/>
              <w:bottom w:val="single" w:sz="4" w:space="0" w:color="AAB8C4"/>
              <w:right w:val="nil"/>
            </w:tcBorders>
            <w:shd w:val="clear" w:color="auto" w:fill="auto"/>
            <w:vAlign w:val="center"/>
            <w:hideMark/>
          </w:tcPr>
          <w:p w14:paraId="08C64788"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590</w:t>
            </w:r>
          </w:p>
        </w:tc>
        <w:tc>
          <w:tcPr>
            <w:tcW w:w="970" w:type="dxa"/>
            <w:tcBorders>
              <w:top w:val="nil"/>
              <w:left w:val="nil"/>
              <w:bottom w:val="single" w:sz="4" w:space="0" w:color="BFBFBF"/>
              <w:right w:val="nil"/>
            </w:tcBorders>
            <w:shd w:val="clear" w:color="auto" w:fill="auto"/>
            <w:vAlign w:val="center"/>
            <w:hideMark/>
          </w:tcPr>
          <w:p w14:paraId="39B2DF82"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125</w:t>
            </w:r>
          </w:p>
        </w:tc>
        <w:tc>
          <w:tcPr>
            <w:tcW w:w="992" w:type="dxa"/>
            <w:tcBorders>
              <w:top w:val="nil"/>
              <w:left w:val="nil"/>
              <w:bottom w:val="single" w:sz="4" w:space="0" w:color="BFBFBF"/>
              <w:right w:val="nil"/>
            </w:tcBorders>
            <w:shd w:val="clear" w:color="auto" w:fill="auto"/>
            <w:vAlign w:val="center"/>
            <w:hideMark/>
          </w:tcPr>
          <w:p w14:paraId="1E35536C"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21%</w:t>
            </w:r>
          </w:p>
        </w:tc>
        <w:tc>
          <w:tcPr>
            <w:tcW w:w="1219" w:type="dxa"/>
            <w:tcBorders>
              <w:top w:val="nil"/>
              <w:left w:val="nil"/>
              <w:bottom w:val="single" w:sz="4" w:space="0" w:color="AAB8C4"/>
              <w:right w:val="nil"/>
            </w:tcBorders>
            <w:shd w:val="clear" w:color="auto" w:fill="auto"/>
            <w:vAlign w:val="center"/>
            <w:hideMark/>
          </w:tcPr>
          <w:p w14:paraId="7ECE1DDD"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715</w:t>
            </w:r>
          </w:p>
        </w:tc>
      </w:tr>
      <w:tr w:rsidR="007D29F8" w:rsidRPr="00152C64" w14:paraId="0F1B1565"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2F8CCF70" w14:textId="77777777" w:rsidR="007D29F8" w:rsidRPr="00152C64" w:rsidRDefault="007D29F8" w:rsidP="00DB6666">
            <w:pPr>
              <w:jc w:val="right"/>
              <w:rPr>
                <w:rFonts w:ascii="Arial Narrow" w:hAnsi="Arial Narrow" w:cs="Arial"/>
                <w:b/>
                <w:bCs/>
                <w:sz w:val="18"/>
                <w:szCs w:val="18"/>
              </w:rPr>
            </w:pPr>
          </w:p>
        </w:tc>
        <w:tc>
          <w:tcPr>
            <w:tcW w:w="3224" w:type="dxa"/>
            <w:tcBorders>
              <w:top w:val="nil"/>
              <w:left w:val="nil"/>
              <w:bottom w:val="nil"/>
              <w:right w:val="nil"/>
            </w:tcBorders>
            <w:shd w:val="clear" w:color="auto" w:fill="auto"/>
            <w:vAlign w:val="bottom"/>
            <w:hideMark/>
          </w:tcPr>
          <w:p w14:paraId="47FEC292" w14:textId="77777777" w:rsidR="007D29F8" w:rsidRPr="00152C64" w:rsidRDefault="007D29F8" w:rsidP="00DB6666">
            <w:pPr>
              <w:jc w:val="left"/>
              <w:rPr>
                <w:rFonts w:ascii="Arial Narrow" w:hAnsi="Arial Narrow" w:cs="Arial"/>
                <w:b/>
                <w:bCs/>
                <w:sz w:val="18"/>
                <w:szCs w:val="18"/>
              </w:rPr>
            </w:pPr>
            <w:r w:rsidRPr="00152C64">
              <w:rPr>
                <w:rFonts w:ascii="Arial Narrow" w:hAnsi="Arial Narrow" w:cs="Arial"/>
                <w:b/>
                <w:bCs/>
                <w:sz w:val="18"/>
                <w:szCs w:val="18"/>
              </w:rPr>
              <w:t>Dépenses de fonctionnement</w:t>
            </w:r>
          </w:p>
        </w:tc>
        <w:tc>
          <w:tcPr>
            <w:tcW w:w="1169" w:type="dxa"/>
            <w:tcBorders>
              <w:top w:val="nil"/>
              <w:left w:val="nil"/>
              <w:bottom w:val="nil"/>
              <w:right w:val="nil"/>
            </w:tcBorders>
            <w:shd w:val="clear" w:color="auto" w:fill="auto"/>
            <w:vAlign w:val="center"/>
            <w:hideMark/>
          </w:tcPr>
          <w:p w14:paraId="137B2E70" w14:textId="77777777" w:rsidR="007D29F8" w:rsidRPr="00152C64" w:rsidRDefault="007D29F8" w:rsidP="00DB6666">
            <w:pPr>
              <w:jc w:val="right"/>
              <w:rPr>
                <w:rFonts w:ascii="Arial Narrow" w:hAnsi="Arial Narrow" w:cs="Arial"/>
                <w:b/>
                <w:bCs/>
                <w:sz w:val="18"/>
                <w:szCs w:val="18"/>
              </w:rPr>
            </w:pPr>
          </w:p>
        </w:tc>
        <w:tc>
          <w:tcPr>
            <w:tcW w:w="1169" w:type="dxa"/>
            <w:tcBorders>
              <w:top w:val="nil"/>
              <w:left w:val="nil"/>
              <w:bottom w:val="nil"/>
              <w:right w:val="nil"/>
            </w:tcBorders>
            <w:shd w:val="clear" w:color="auto" w:fill="auto"/>
            <w:vAlign w:val="center"/>
            <w:hideMark/>
          </w:tcPr>
          <w:p w14:paraId="77B13887" w14:textId="77777777" w:rsidR="007D29F8" w:rsidRPr="00152C64" w:rsidRDefault="007D29F8" w:rsidP="00DB6666">
            <w:pPr>
              <w:jc w:val="right"/>
              <w:rPr>
                <w:rFonts w:ascii="Arial Narrow" w:hAnsi="Arial Narrow"/>
                <w:sz w:val="18"/>
                <w:szCs w:val="18"/>
              </w:rPr>
            </w:pPr>
          </w:p>
        </w:tc>
        <w:tc>
          <w:tcPr>
            <w:tcW w:w="970" w:type="dxa"/>
            <w:tcBorders>
              <w:top w:val="nil"/>
              <w:left w:val="nil"/>
              <w:bottom w:val="nil"/>
              <w:right w:val="nil"/>
            </w:tcBorders>
            <w:shd w:val="clear" w:color="auto" w:fill="auto"/>
            <w:vAlign w:val="center"/>
            <w:hideMark/>
          </w:tcPr>
          <w:p w14:paraId="64D29BEF" w14:textId="77777777" w:rsidR="007D29F8" w:rsidRPr="00152C64" w:rsidRDefault="007D29F8"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center"/>
            <w:hideMark/>
          </w:tcPr>
          <w:p w14:paraId="7EB51AA1" w14:textId="77777777" w:rsidR="007D29F8" w:rsidRPr="00152C64" w:rsidRDefault="007D29F8" w:rsidP="00DB6666">
            <w:pPr>
              <w:jc w:val="right"/>
              <w:rPr>
                <w:rFonts w:ascii="Arial Narrow" w:hAnsi="Arial Narrow"/>
                <w:sz w:val="18"/>
                <w:szCs w:val="18"/>
              </w:rPr>
            </w:pPr>
          </w:p>
        </w:tc>
        <w:tc>
          <w:tcPr>
            <w:tcW w:w="1219" w:type="dxa"/>
            <w:tcBorders>
              <w:top w:val="nil"/>
              <w:left w:val="nil"/>
              <w:bottom w:val="nil"/>
              <w:right w:val="nil"/>
            </w:tcBorders>
            <w:shd w:val="clear" w:color="auto" w:fill="auto"/>
            <w:vAlign w:val="center"/>
            <w:hideMark/>
          </w:tcPr>
          <w:p w14:paraId="04CB8788" w14:textId="77777777" w:rsidR="007D29F8" w:rsidRPr="00152C64" w:rsidRDefault="007D29F8" w:rsidP="00DB6666">
            <w:pPr>
              <w:jc w:val="right"/>
              <w:rPr>
                <w:rFonts w:ascii="Arial Narrow" w:hAnsi="Arial Narrow"/>
                <w:sz w:val="18"/>
                <w:szCs w:val="18"/>
              </w:rPr>
            </w:pPr>
          </w:p>
        </w:tc>
      </w:tr>
      <w:tr w:rsidR="007D29F8" w:rsidRPr="00152C64" w14:paraId="71C4D5DC" w14:textId="77777777" w:rsidTr="00DB6666">
        <w:trPr>
          <w:trHeight w:val="314"/>
          <w:jc w:val="center"/>
        </w:trPr>
        <w:tc>
          <w:tcPr>
            <w:tcW w:w="320" w:type="dxa"/>
            <w:tcBorders>
              <w:top w:val="nil"/>
              <w:left w:val="nil"/>
              <w:bottom w:val="single" w:sz="4" w:space="0" w:color="AAB8C4"/>
              <w:right w:val="nil"/>
            </w:tcBorders>
            <w:shd w:val="clear" w:color="auto" w:fill="auto"/>
            <w:noWrap/>
            <w:vAlign w:val="bottom"/>
            <w:hideMark/>
          </w:tcPr>
          <w:p w14:paraId="1D1084E2" w14:textId="77777777" w:rsidR="007D29F8" w:rsidRPr="00152C64" w:rsidRDefault="007D29F8" w:rsidP="00DB6666">
            <w:pPr>
              <w:jc w:val="left"/>
              <w:rPr>
                <w:rFonts w:ascii="Arial Narrow" w:hAnsi="Arial Narrow" w:cs="Arial"/>
                <w:sz w:val="18"/>
                <w:szCs w:val="18"/>
              </w:rPr>
            </w:pPr>
            <w:r w:rsidRPr="00152C64">
              <w:rPr>
                <w:rFonts w:ascii="Arial Narrow" w:hAnsi="Arial Narrow" w:cs="Arial"/>
                <w:sz w:val="18"/>
                <w:szCs w:val="18"/>
              </w:rPr>
              <w:t> </w:t>
            </w:r>
          </w:p>
        </w:tc>
        <w:tc>
          <w:tcPr>
            <w:tcW w:w="3224" w:type="dxa"/>
            <w:tcBorders>
              <w:top w:val="nil"/>
              <w:left w:val="nil"/>
              <w:bottom w:val="single" w:sz="4" w:space="0" w:color="AAB8C4"/>
              <w:right w:val="nil"/>
            </w:tcBorders>
            <w:shd w:val="clear" w:color="auto" w:fill="auto"/>
            <w:vAlign w:val="bottom"/>
            <w:hideMark/>
          </w:tcPr>
          <w:p w14:paraId="1DC686A1" w14:textId="77777777" w:rsidR="007D29F8" w:rsidRPr="00152C64" w:rsidRDefault="007D29F8" w:rsidP="00DB6666">
            <w:pPr>
              <w:jc w:val="left"/>
              <w:rPr>
                <w:rFonts w:ascii="Arial Narrow" w:hAnsi="Arial Narrow" w:cs="Arial"/>
                <w:b/>
                <w:bCs/>
                <w:sz w:val="18"/>
                <w:szCs w:val="18"/>
              </w:rPr>
            </w:pPr>
            <w:r w:rsidRPr="00152C64">
              <w:rPr>
                <w:rFonts w:ascii="Arial Narrow" w:hAnsi="Arial Narrow" w:cs="Arial"/>
                <w:b/>
                <w:bCs/>
                <w:sz w:val="18"/>
                <w:szCs w:val="18"/>
              </w:rPr>
              <w:t>Sous-total</w:t>
            </w:r>
          </w:p>
        </w:tc>
        <w:tc>
          <w:tcPr>
            <w:tcW w:w="1169" w:type="dxa"/>
            <w:tcBorders>
              <w:top w:val="nil"/>
              <w:left w:val="nil"/>
              <w:bottom w:val="single" w:sz="4" w:space="0" w:color="AAB8C4"/>
              <w:right w:val="nil"/>
            </w:tcBorders>
            <w:shd w:val="clear" w:color="auto" w:fill="auto"/>
            <w:vAlign w:val="center"/>
            <w:hideMark/>
          </w:tcPr>
          <w:p w14:paraId="64278EA0"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1 272</w:t>
            </w:r>
          </w:p>
        </w:tc>
        <w:tc>
          <w:tcPr>
            <w:tcW w:w="1169" w:type="dxa"/>
            <w:tcBorders>
              <w:top w:val="nil"/>
              <w:left w:val="nil"/>
              <w:bottom w:val="single" w:sz="4" w:space="0" w:color="AAB8C4"/>
              <w:right w:val="nil"/>
            </w:tcBorders>
            <w:shd w:val="clear" w:color="auto" w:fill="auto"/>
            <w:vAlign w:val="center"/>
            <w:hideMark/>
          </w:tcPr>
          <w:p w14:paraId="5C977C8B"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1 285</w:t>
            </w:r>
          </w:p>
        </w:tc>
        <w:tc>
          <w:tcPr>
            <w:tcW w:w="970" w:type="dxa"/>
            <w:tcBorders>
              <w:top w:val="nil"/>
              <w:left w:val="nil"/>
              <w:bottom w:val="single" w:sz="4" w:space="0" w:color="BFBFBF"/>
              <w:right w:val="nil"/>
            </w:tcBorders>
            <w:shd w:val="clear" w:color="auto" w:fill="auto"/>
            <w:vAlign w:val="center"/>
            <w:hideMark/>
          </w:tcPr>
          <w:p w14:paraId="3A91DA55"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(35)</w:t>
            </w:r>
          </w:p>
        </w:tc>
        <w:tc>
          <w:tcPr>
            <w:tcW w:w="992" w:type="dxa"/>
            <w:tcBorders>
              <w:top w:val="nil"/>
              <w:left w:val="nil"/>
              <w:bottom w:val="single" w:sz="4" w:space="0" w:color="BFBFBF"/>
              <w:right w:val="nil"/>
            </w:tcBorders>
            <w:shd w:val="clear" w:color="auto" w:fill="auto"/>
            <w:vAlign w:val="center"/>
            <w:hideMark/>
          </w:tcPr>
          <w:p w14:paraId="0871AFB2"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-3%</w:t>
            </w:r>
          </w:p>
        </w:tc>
        <w:tc>
          <w:tcPr>
            <w:tcW w:w="1219" w:type="dxa"/>
            <w:tcBorders>
              <w:top w:val="nil"/>
              <w:left w:val="nil"/>
              <w:bottom w:val="single" w:sz="4" w:space="0" w:color="BFBFBF"/>
              <w:right w:val="nil"/>
            </w:tcBorders>
            <w:shd w:val="clear" w:color="auto" w:fill="auto"/>
            <w:vAlign w:val="center"/>
            <w:hideMark/>
          </w:tcPr>
          <w:p w14:paraId="0C6DF7B7"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1 250</w:t>
            </w:r>
          </w:p>
        </w:tc>
      </w:tr>
      <w:tr w:rsidR="007D29F8" w:rsidRPr="00152C64" w14:paraId="5E8CF6C4" w14:textId="77777777" w:rsidTr="00DB6666">
        <w:trPr>
          <w:trHeight w:val="461"/>
          <w:jc w:val="center"/>
        </w:trPr>
        <w:tc>
          <w:tcPr>
            <w:tcW w:w="320" w:type="dxa"/>
            <w:tcBorders>
              <w:top w:val="nil"/>
              <w:left w:val="nil"/>
              <w:bottom w:val="nil"/>
              <w:right w:val="nil"/>
            </w:tcBorders>
            <w:shd w:val="clear" w:color="auto" w:fill="auto"/>
            <w:noWrap/>
            <w:vAlign w:val="bottom"/>
            <w:hideMark/>
          </w:tcPr>
          <w:p w14:paraId="274D4379" w14:textId="77777777" w:rsidR="007D29F8" w:rsidRPr="00152C64" w:rsidRDefault="007D29F8" w:rsidP="00DB6666">
            <w:pPr>
              <w:jc w:val="right"/>
              <w:rPr>
                <w:rFonts w:ascii="Arial Narrow" w:hAnsi="Arial Narrow" w:cs="Arial"/>
                <w:b/>
                <w:bCs/>
                <w:sz w:val="18"/>
                <w:szCs w:val="18"/>
              </w:rPr>
            </w:pPr>
          </w:p>
        </w:tc>
        <w:tc>
          <w:tcPr>
            <w:tcW w:w="3224" w:type="dxa"/>
            <w:tcBorders>
              <w:top w:val="nil"/>
              <w:left w:val="nil"/>
              <w:bottom w:val="nil"/>
              <w:right w:val="nil"/>
            </w:tcBorders>
            <w:shd w:val="clear" w:color="auto" w:fill="auto"/>
            <w:vAlign w:val="bottom"/>
            <w:hideMark/>
          </w:tcPr>
          <w:p w14:paraId="5A2237D2" w14:textId="77777777" w:rsidR="007D29F8" w:rsidRPr="00152C64" w:rsidRDefault="007D29F8" w:rsidP="00DB6666">
            <w:pPr>
              <w:jc w:val="left"/>
              <w:rPr>
                <w:rFonts w:ascii="Arial Narrow" w:hAnsi="Arial Narrow" w:cs="Arial"/>
                <w:b/>
                <w:bCs/>
                <w:sz w:val="18"/>
                <w:szCs w:val="18"/>
              </w:rPr>
            </w:pPr>
            <w:r w:rsidRPr="00152C64">
              <w:rPr>
                <w:rFonts w:ascii="Arial Narrow" w:hAnsi="Arial Narrow" w:cs="Arial"/>
                <w:b/>
                <w:bCs/>
                <w:sz w:val="18"/>
                <w:szCs w:val="18"/>
              </w:rPr>
              <w:t>Matériel et fournitures</w:t>
            </w:r>
          </w:p>
        </w:tc>
        <w:tc>
          <w:tcPr>
            <w:tcW w:w="1169" w:type="dxa"/>
            <w:tcBorders>
              <w:top w:val="nil"/>
              <w:left w:val="nil"/>
              <w:bottom w:val="nil"/>
              <w:right w:val="nil"/>
            </w:tcBorders>
            <w:shd w:val="clear" w:color="auto" w:fill="auto"/>
            <w:vAlign w:val="center"/>
            <w:hideMark/>
          </w:tcPr>
          <w:p w14:paraId="6DC45C56" w14:textId="77777777" w:rsidR="007D29F8" w:rsidRPr="00152C64" w:rsidRDefault="007D29F8" w:rsidP="00DB6666">
            <w:pPr>
              <w:jc w:val="right"/>
              <w:rPr>
                <w:rFonts w:ascii="Arial Narrow" w:hAnsi="Arial Narrow" w:cs="Arial"/>
                <w:b/>
                <w:bCs/>
                <w:sz w:val="18"/>
                <w:szCs w:val="18"/>
              </w:rPr>
            </w:pPr>
          </w:p>
        </w:tc>
        <w:tc>
          <w:tcPr>
            <w:tcW w:w="1169" w:type="dxa"/>
            <w:tcBorders>
              <w:top w:val="nil"/>
              <w:left w:val="nil"/>
              <w:bottom w:val="nil"/>
              <w:right w:val="nil"/>
            </w:tcBorders>
            <w:shd w:val="clear" w:color="auto" w:fill="auto"/>
            <w:vAlign w:val="center"/>
            <w:hideMark/>
          </w:tcPr>
          <w:p w14:paraId="21174269" w14:textId="77777777" w:rsidR="007D29F8" w:rsidRPr="00152C64" w:rsidRDefault="007D29F8" w:rsidP="00DB6666">
            <w:pPr>
              <w:jc w:val="right"/>
              <w:rPr>
                <w:rFonts w:ascii="Arial Narrow" w:hAnsi="Arial Narrow"/>
                <w:sz w:val="18"/>
                <w:szCs w:val="18"/>
              </w:rPr>
            </w:pPr>
          </w:p>
        </w:tc>
        <w:tc>
          <w:tcPr>
            <w:tcW w:w="970" w:type="dxa"/>
            <w:tcBorders>
              <w:top w:val="nil"/>
              <w:left w:val="nil"/>
              <w:bottom w:val="nil"/>
              <w:right w:val="nil"/>
            </w:tcBorders>
            <w:shd w:val="clear" w:color="auto" w:fill="auto"/>
            <w:vAlign w:val="center"/>
            <w:hideMark/>
          </w:tcPr>
          <w:p w14:paraId="145B70AB" w14:textId="77777777" w:rsidR="007D29F8" w:rsidRPr="00152C64" w:rsidRDefault="007D29F8" w:rsidP="00DB6666">
            <w:pPr>
              <w:jc w:val="right"/>
              <w:rPr>
                <w:rFonts w:ascii="Arial Narrow" w:hAnsi="Arial Narrow"/>
                <w:sz w:val="18"/>
                <w:szCs w:val="18"/>
              </w:rPr>
            </w:pPr>
          </w:p>
        </w:tc>
        <w:tc>
          <w:tcPr>
            <w:tcW w:w="992" w:type="dxa"/>
            <w:tcBorders>
              <w:top w:val="nil"/>
              <w:left w:val="nil"/>
              <w:bottom w:val="nil"/>
              <w:right w:val="nil"/>
            </w:tcBorders>
            <w:shd w:val="clear" w:color="auto" w:fill="auto"/>
            <w:vAlign w:val="center"/>
            <w:hideMark/>
          </w:tcPr>
          <w:p w14:paraId="12FDFE48" w14:textId="77777777" w:rsidR="007D29F8" w:rsidRPr="00152C64" w:rsidRDefault="007D29F8" w:rsidP="00DB6666">
            <w:pPr>
              <w:jc w:val="right"/>
              <w:rPr>
                <w:rFonts w:ascii="Arial Narrow" w:hAnsi="Arial Narrow"/>
                <w:sz w:val="18"/>
                <w:szCs w:val="18"/>
              </w:rPr>
            </w:pPr>
          </w:p>
        </w:tc>
        <w:tc>
          <w:tcPr>
            <w:tcW w:w="1219" w:type="dxa"/>
            <w:tcBorders>
              <w:top w:val="nil"/>
              <w:left w:val="nil"/>
              <w:bottom w:val="nil"/>
              <w:right w:val="nil"/>
            </w:tcBorders>
            <w:shd w:val="clear" w:color="auto" w:fill="auto"/>
            <w:vAlign w:val="center"/>
            <w:hideMark/>
          </w:tcPr>
          <w:p w14:paraId="3510BF70" w14:textId="77777777" w:rsidR="007D29F8" w:rsidRPr="00152C64" w:rsidRDefault="007D29F8" w:rsidP="00DB6666">
            <w:pPr>
              <w:jc w:val="right"/>
              <w:rPr>
                <w:rFonts w:ascii="Arial Narrow" w:hAnsi="Arial Narrow"/>
                <w:sz w:val="18"/>
                <w:szCs w:val="18"/>
              </w:rPr>
            </w:pPr>
          </w:p>
        </w:tc>
      </w:tr>
      <w:tr w:rsidR="007D29F8" w:rsidRPr="00152C64" w14:paraId="66D75027"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60E39731" w14:textId="77777777" w:rsidR="007D29F8" w:rsidRPr="00152C64" w:rsidRDefault="007D29F8" w:rsidP="00DB6666">
            <w:pPr>
              <w:jc w:val="left"/>
              <w:rPr>
                <w:rFonts w:ascii="Arial Narrow" w:hAnsi="Arial Narrow"/>
                <w:sz w:val="18"/>
                <w:szCs w:val="18"/>
              </w:rPr>
            </w:pPr>
          </w:p>
        </w:tc>
        <w:tc>
          <w:tcPr>
            <w:tcW w:w="3224" w:type="dxa"/>
            <w:tcBorders>
              <w:top w:val="nil"/>
              <w:left w:val="nil"/>
              <w:bottom w:val="nil"/>
              <w:right w:val="nil"/>
            </w:tcBorders>
            <w:shd w:val="clear" w:color="auto" w:fill="auto"/>
            <w:vAlign w:val="bottom"/>
            <w:hideMark/>
          </w:tcPr>
          <w:p w14:paraId="162C126A" w14:textId="77777777" w:rsidR="007D29F8" w:rsidRPr="00152C64" w:rsidRDefault="007D29F8" w:rsidP="00DB6666">
            <w:pPr>
              <w:ind w:firstLineChars="200" w:firstLine="360"/>
              <w:jc w:val="left"/>
              <w:rPr>
                <w:rFonts w:ascii="Arial Narrow" w:hAnsi="Arial Narrow" w:cs="Arial"/>
                <w:i/>
                <w:iCs/>
                <w:color w:val="000000"/>
                <w:sz w:val="18"/>
                <w:szCs w:val="18"/>
              </w:rPr>
            </w:pPr>
            <w:r w:rsidRPr="00152C64">
              <w:rPr>
                <w:rFonts w:ascii="Arial Narrow" w:hAnsi="Arial Narrow" w:cs="Arial"/>
                <w:i/>
                <w:iCs/>
                <w:color w:val="000000"/>
                <w:sz w:val="18"/>
                <w:szCs w:val="18"/>
              </w:rPr>
              <w:t>Mobilier et matériel</w:t>
            </w:r>
          </w:p>
        </w:tc>
        <w:tc>
          <w:tcPr>
            <w:tcW w:w="1169" w:type="dxa"/>
            <w:tcBorders>
              <w:top w:val="nil"/>
              <w:left w:val="nil"/>
              <w:bottom w:val="nil"/>
              <w:right w:val="nil"/>
            </w:tcBorders>
            <w:shd w:val="clear" w:color="auto" w:fill="auto"/>
            <w:vAlign w:val="center"/>
            <w:hideMark/>
          </w:tcPr>
          <w:p w14:paraId="33CB174B"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0</w:t>
            </w:r>
          </w:p>
        </w:tc>
        <w:tc>
          <w:tcPr>
            <w:tcW w:w="1169" w:type="dxa"/>
            <w:tcBorders>
              <w:top w:val="nil"/>
              <w:left w:val="nil"/>
              <w:bottom w:val="nil"/>
              <w:right w:val="nil"/>
            </w:tcBorders>
            <w:shd w:val="clear" w:color="auto" w:fill="auto"/>
            <w:vAlign w:val="center"/>
            <w:hideMark/>
          </w:tcPr>
          <w:p w14:paraId="11496739"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5</w:t>
            </w:r>
          </w:p>
        </w:tc>
        <w:tc>
          <w:tcPr>
            <w:tcW w:w="970" w:type="dxa"/>
            <w:tcBorders>
              <w:top w:val="nil"/>
              <w:left w:val="nil"/>
              <w:bottom w:val="nil"/>
              <w:right w:val="nil"/>
            </w:tcBorders>
            <w:shd w:val="clear" w:color="auto" w:fill="auto"/>
            <w:vAlign w:val="center"/>
            <w:hideMark/>
          </w:tcPr>
          <w:p w14:paraId="4809BA6B"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(4)</w:t>
            </w:r>
          </w:p>
        </w:tc>
        <w:tc>
          <w:tcPr>
            <w:tcW w:w="992" w:type="dxa"/>
            <w:tcBorders>
              <w:top w:val="nil"/>
              <w:left w:val="nil"/>
              <w:bottom w:val="nil"/>
              <w:right w:val="nil"/>
            </w:tcBorders>
            <w:shd w:val="clear" w:color="auto" w:fill="auto"/>
            <w:vAlign w:val="center"/>
            <w:hideMark/>
          </w:tcPr>
          <w:p w14:paraId="38416400"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-80%</w:t>
            </w:r>
          </w:p>
        </w:tc>
        <w:tc>
          <w:tcPr>
            <w:tcW w:w="1219" w:type="dxa"/>
            <w:tcBorders>
              <w:top w:val="nil"/>
              <w:left w:val="nil"/>
              <w:bottom w:val="nil"/>
              <w:right w:val="nil"/>
            </w:tcBorders>
            <w:shd w:val="clear" w:color="auto" w:fill="auto"/>
            <w:vAlign w:val="center"/>
            <w:hideMark/>
          </w:tcPr>
          <w:p w14:paraId="3FA638A1"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1</w:t>
            </w:r>
          </w:p>
        </w:tc>
      </w:tr>
      <w:tr w:rsidR="007D29F8" w:rsidRPr="00152C64" w14:paraId="58330398" w14:textId="77777777" w:rsidTr="00DB6666">
        <w:trPr>
          <w:trHeight w:val="314"/>
          <w:jc w:val="center"/>
        </w:trPr>
        <w:tc>
          <w:tcPr>
            <w:tcW w:w="320" w:type="dxa"/>
            <w:tcBorders>
              <w:top w:val="nil"/>
              <w:left w:val="nil"/>
              <w:bottom w:val="nil"/>
              <w:right w:val="nil"/>
            </w:tcBorders>
            <w:shd w:val="clear" w:color="auto" w:fill="auto"/>
            <w:noWrap/>
            <w:vAlign w:val="bottom"/>
            <w:hideMark/>
          </w:tcPr>
          <w:p w14:paraId="6D2AD5EF" w14:textId="77777777" w:rsidR="007D29F8" w:rsidRPr="00152C64" w:rsidRDefault="007D29F8" w:rsidP="00DB6666">
            <w:pPr>
              <w:jc w:val="right"/>
              <w:rPr>
                <w:rFonts w:ascii="Arial Narrow" w:hAnsi="Arial Narrow" w:cs="Arial"/>
                <w:sz w:val="18"/>
                <w:szCs w:val="18"/>
              </w:rPr>
            </w:pPr>
          </w:p>
        </w:tc>
        <w:tc>
          <w:tcPr>
            <w:tcW w:w="3224" w:type="dxa"/>
            <w:tcBorders>
              <w:top w:val="nil"/>
              <w:left w:val="nil"/>
              <w:bottom w:val="nil"/>
              <w:right w:val="nil"/>
            </w:tcBorders>
            <w:shd w:val="clear" w:color="auto" w:fill="auto"/>
            <w:vAlign w:val="bottom"/>
            <w:hideMark/>
          </w:tcPr>
          <w:p w14:paraId="1F5E3600" w14:textId="77777777" w:rsidR="007D29F8" w:rsidRPr="00152C64" w:rsidRDefault="007D29F8" w:rsidP="00DB6666">
            <w:pPr>
              <w:ind w:firstLineChars="200" w:firstLine="360"/>
              <w:jc w:val="left"/>
              <w:rPr>
                <w:rFonts w:ascii="Arial Narrow" w:hAnsi="Arial Narrow" w:cs="Arial"/>
                <w:i/>
                <w:iCs/>
                <w:color w:val="000000"/>
                <w:sz w:val="18"/>
                <w:szCs w:val="18"/>
              </w:rPr>
            </w:pPr>
            <w:r w:rsidRPr="00152C64">
              <w:rPr>
                <w:rFonts w:ascii="Arial Narrow" w:hAnsi="Arial Narrow" w:cs="Arial"/>
                <w:i/>
                <w:iCs/>
                <w:color w:val="000000"/>
                <w:sz w:val="18"/>
                <w:szCs w:val="18"/>
              </w:rPr>
              <w:t>Fournitures</w:t>
            </w:r>
          </w:p>
        </w:tc>
        <w:tc>
          <w:tcPr>
            <w:tcW w:w="1169" w:type="dxa"/>
            <w:tcBorders>
              <w:top w:val="nil"/>
              <w:left w:val="nil"/>
              <w:bottom w:val="nil"/>
              <w:right w:val="nil"/>
            </w:tcBorders>
            <w:shd w:val="clear" w:color="auto" w:fill="auto"/>
            <w:vAlign w:val="center"/>
            <w:hideMark/>
          </w:tcPr>
          <w:p w14:paraId="7C4A615B"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4</w:t>
            </w:r>
          </w:p>
        </w:tc>
        <w:tc>
          <w:tcPr>
            <w:tcW w:w="1169" w:type="dxa"/>
            <w:tcBorders>
              <w:top w:val="nil"/>
              <w:left w:val="nil"/>
              <w:bottom w:val="nil"/>
              <w:right w:val="nil"/>
            </w:tcBorders>
            <w:shd w:val="clear" w:color="auto" w:fill="auto"/>
            <w:vAlign w:val="center"/>
            <w:hideMark/>
          </w:tcPr>
          <w:p w14:paraId="4C85EB93"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5</w:t>
            </w:r>
          </w:p>
        </w:tc>
        <w:tc>
          <w:tcPr>
            <w:tcW w:w="970" w:type="dxa"/>
            <w:tcBorders>
              <w:top w:val="nil"/>
              <w:left w:val="nil"/>
              <w:bottom w:val="nil"/>
              <w:right w:val="nil"/>
            </w:tcBorders>
            <w:shd w:val="clear" w:color="auto" w:fill="auto"/>
            <w:vAlign w:val="center"/>
            <w:hideMark/>
          </w:tcPr>
          <w:p w14:paraId="48AB48A2"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(4)</w:t>
            </w:r>
          </w:p>
        </w:tc>
        <w:tc>
          <w:tcPr>
            <w:tcW w:w="992" w:type="dxa"/>
            <w:tcBorders>
              <w:top w:val="nil"/>
              <w:left w:val="nil"/>
              <w:bottom w:val="nil"/>
              <w:right w:val="nil"/>
            </w:tcBorders>
            <w:shd w:val="clear" w:color="auto" w:fill="auto"/>
            <w:vAlign w:val="center"/>
            <w:hideMark/>
          </w:tcPr>
          <w:p w14:paraId="6E0E4DB5"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-80%</w:t>
            </w:r>
          </w:p>
        </w:tc>
        <w:tc>
          <w:tcPr>
            <w:tcW w:w="1219" w:type="dxa"/>
            <w:tcBorders>
              <w:top w:val="nil"/>
              <w:left w:val="nil"/>
              <w:bottom w:val="nil"/>
              <w:right w:val="nil"/>
            </w:tcBorders>
            <w:shd w:val="clear" w:color="auto" w:fill="auto"/>
            <w:vAlign w:val="center"/>
            <w:hideMark/>
          </w:tcPr>
          <w:p w14:paraId="35C8174F"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1</w:t>
            </w:r>
          </w:p>
        </w:tc>
      </w:tr>
      <w:tr w:rsidR="007D29F8" w:rsidRPr="00152C64" w14:paraId="1A644FA5" w14:textId="77777777" w:rsidTr="00DB6666">
        <w:trPr>
          <w:trHeight w:val="314"/>
          <w:jc w:val="center"/>
        </w:trPr>
        <w:tc>
          <w:tcPr>
            <w:tcW w:w="320" w:type="dxa"/>
            <w:tcBorders>
              <w:top w:val="nil"/>
              <w:left w:val="nil"/>
              <w:bottom w:val="single" w:sz="4" w:space="0" w:color="AAB8C4"/>
              <w:right w:val="nil"/>
            </w:tcBorders>
            <w:shd w:val="clear" w:color="auto" w:fill="auto"/>
            <w:noWrap/>
            <w:vAlign w:val="bottom"/>
            <w:hideMark/>
          </w:tcPr>
          <w:p w14:paraId="381DCC84" w14:textId="77777777" w:rsidR="007D29F8" w:rsidRPr="00152C64" w:rsidRDefault="007D29F8" w:rsidP="00DB6666">
            <w:pPr>
              <w:jc w:val="left"/>
              <w:rPr>
                <w:rFonts w:ascii="Arial Narrow" w:hAnsi="Arial Narrow" w:cs="Arial"/>
                <w:sz w:val="18"/>
                <w:szCs w:val="18"/>
              </w:rPr>
            </w:pPr>
            <w:r w:rsidRPr="00152C64">
              <w:rPr>
                <w:rFonts w:ascii="Arial Narrow" w:hAnsi="Arial Narrow" w:cs="Arial"/>
                <w:sz w:val="18"/>
                <w:szCs w:val="18"/>
              </w:rPr>
              <w:t> </w:t>
            </w:r>
          </w:p>
        </w:tc>
        <w:tc>
          <w:tcPr>
            <w:tcW w:w="3224" w:type="dxa"/>
            <w:tcBorders>
              <w:top w:val="nil"/>
              <w:left w:val="nil"/>
              <w:bottom w:val="single" w:sz="4" w:space="0" w:color="AAB8C4"/>
              <w:right w:val="nil"/>
            </w:tcBorders>
            <w:shd w:val="clear" w:color="auto" w:fill="auto"/>
            <w:vAlign w:val="bottom"/>
            <w:hideMark/>
          </w:tcPr>
          <w:p w14:paraId="6A3BA5D0" w14:textId="77777777" w:rsidR="007D29F8" w:rsidRPr="00152C64" w:rsidRDefault="007D29F8" w:rsidP="00DB6666">
            <w:pPr>
              <w:jc w:val="left"/>
              <w:rPr>
                <w:rFonts w:ascii="Arial Narrow" w:hAnsi="Arial Narrow" w:cs="Arial"/>
                <w:b/>
                <w:bCs/>
                <w:sz w:val="18"/>
                <w:szCs w:val="18"/>
              </w:rPr>
            </w:pPr>
            <w:r w:rsidRPr="00152C64">
              <w:rPr>
                <w:rFonts w:ascii="Arial Narrow" w:hAnsi="Arial Narrow" w:cs="Arial"/>
                <w:b/>
                <w:bCs/>
                <w:sz w:val="18"/>
                <w:szCs w:val="18"/>
              </w:rPr>
              <w:t>Sous-total</w:t>
            </w:r>
          </w:p>
        </w:tc>
        <w:tc>
          <w:tcPr>
            <w:tcW w:w="1169" w:type="dxa"/>
            <w:tcBorders>
              <w:top w:val="nil"/>
              <w:left w:val="nil"/>
              <w:bottom w:val="single" w:sz="4" w:space="0" w:color="AAB8C4"/>
              <w:right w:val="nil"/>
            </w:tcBorders>
            <w:shd w:val="clear" w:color="auto" w:fill="auto"/>
            <w:vAlign w:val="center"/>
            <w:hideMark/>
          </w:tcPr>
          <w:p w14:paraId="0D550FCE"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4</w:t>
            </w:r>
          </w:p>
        </w:tc>
        <w:tc>
          <w:tcPr>
            <w:tcW w:w="1169" w:type="dxa"/>
            <w:tcBorders>
              <w:top w:val="nil"/>
              <w:left w:val="nil"/>
              <w:bottom w:val="single" w:sz="4" w:space="0" w:color="AAB8C4"/>
              <w:right w:val="nil"/>
            </w:tcBorders>
            <w:shd w:val="clear" w:color="auto" w:fill="auto"/>
            <w:vAlign w:val="center"/>
            <w:hideMark/>
          </w:tcPr>
          <w:p w14:paraId="134C1340"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10</w:t>
            </w:r>
          </w:p>
        </w:tc>
        <w:tc>
          <w:tcPr>
            <w:tcW w:w="970" w:type="dxa"/>
            <w:tcBorders>
              <w:top w:val="nil"/>
              <w:left w:val="nil"/>
              <w:bottom w:val="nil"/>
              <w:right w:val="nil"/>
            </w:tcBorders>
            <w:shd w:val="clear" w:color="auto" w:fill="auto"/>
            <w:vAlign w:val="center"/>
            <w:hideMark/>
          </w:tcPr>
          <w:p w14:paraId="688B47AD"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(8)</w:t>
            </w:r>
          </w:p>
        </w:tc>
        <w:tc>
          <w:tcPr>
            <w:tcW w:w="992" w:type="dxa"/>
            <w:tcBorders>
              <w:top w:val="nil"/>
              <w:left w:val="nil"/>
              <w:bottom w:val="nil"/>
              <w:right w:val="nil"/>
            </w:tcBorders>
            <w:shd w:val="clear" w:color="auto" w:fill="auto"/>
            <w:vAlign w:val="center"/>
            <w:hideMark/>
          </w:tcPr>
          <w:p w14:paraId="4249B85A" w14:textId="77777777" w:rsidR="007D29F8" w:rsidRPr="00152C64" w:rsidRDefault="007D29F8" w:rsidP="00DB6666">
            <w:pPr>
              <w:jc w:val="right"/>
              <w:rPr>
                <w:rFonts w:ascii="Arial Narrow" w:hAnsi="Arial Narrow" w:cs="Arial"/>
                <w:sz w:val="18"/>
                <w:szCs w:val="18"/>
              </w:rPr>
            </w:pPr>
            <w:r w:rsidRPr="00152C64">
              <w:rPr>
                <w:rFonts w:ascii="Arial Narrow" w:hAnsi="Arial Narrow" w:cs="Arial"/>
                <w:sz w:val="18"/>
                <w:szCs w:val="18"/>
              </w:rPr>
              <w:t>-80%</w:t>
            </w:r>
          </w:p>
        </w:tc>
        <w:tc>
          <w:tcPr>
            <w:tcW w:w="1219" w:type="dxa"/>
            <w:tcBorders>
              <w:top w:val="nil"/>
              <w:left w:val="nil"/>
              <w:bottom w:val="single" w:sz="4" w:space="0" w:color="AAB8C4"/>
              <w:right w:val="nil"/>
            </w:tcBorders>
            <w:shd w:val="clear" w:color="auto" w:fill="auto"/>
            <w:vAlign w:val="center"/>
            <w:hideMark/>
          </w:tcPr>
          <w:p w14:paraId="21321BE1"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2</w:t>
            </w:r>
          </w:p>
        </w:tc>
      </w:tr>
      <w:tr w:rsidR="007D29F8" w:rsidRPr="00152C64" w14:paraId="36198332" w14:textId="77777777" w:rsidTr="00DB6666">
        <w:trPr>
          <w:trHeight w:val="314"/>
          <w:jc w:val="center"/>
        </w:trPr>
        <w:tc>
          <w:tcPr>
            <w:tcW w:w="320" w:type="dxa"/>
            <w:tcBorders>
              <w:top w:val="nil"/>
              <w:left w:val="nil"/>
              <w:bottom w:val="single" w:sz="8" w:space="0" w:color="AAB8C4"/>
              <w:right w:val="nil"/>
            </w:tcBorders>
            <w:shd w:val="clear" w:color="auto" w:fill="auto"/>
            <w:noWrap/>
            <w:vAlign w:val="bottom"/>
            <w:hideMark/>
          </w:tcPr>
          <w:p w14:paraId="15503CAB" w14:textId="77777777" w:rsidR="007D29F8" w:rsidRPr="00152C64" w:rsidRDefault="007D29F8" w:rsidP="00DB6666">
            <w:pPr>
              <w:jc w:val="left"/>
              <w:rPr>
                <w:rFonts w:ascii="Arial Narrow" w:hAnsi="Arial Narrow" w:cs="Arial"/>
                <w:b/>
                <w:bCs/>
                <w:sz w:val="18"/>
                <w:szCs w:val="18"/>
              </w:rPr>
            </w:pPr>
            <w:r w:rsidRPr="00152C64">
              <w:rPr>
                <w:rFonts w:ascii="Arial Narrow" w:hAnsi="Arial Narrow" w:cs="Arial"/>
                <w:b/>
                <w:bCs/>
                <w:sz w:val="18"/>
                <w:szCs w:val="18"/>
              </w:rPr>
              <w:t> </w:t>
            </w:r>
          </w:p>
        </w:tc>
        <w:tc>
          <w:tcPr>
            <w:tcW w:w="3224" w:type="dxa"/>
            <w:tcBorders>
              <w:top w:val="nil"/>
              <w:left w:val="nil"/>
              <w:bottom w:val="single" w:sz="8" w:space="0" w:color="AAB8C4"/>
              <w:right w:val="nil"/>
            </w:tcBorders>
            <w:shd w:val="clear" w:color="auto" w:fill="auto"/>
            <w:vAlign w:val="bottom"/>
            <w:hideMark/>
          </w:tcPr>
          <w:p w14:paraId="423429CA" w14:textId="77777777" w:rsidR="007D29F8" w:rsidRPr="00152C64" w:rsidRDefault="007D29F8" w:rsidP="00DB6666">
            <w:pPr>
              <w:jc w:val="left"/>
              <w:rPr>
                <w:rFonts w:ascii="Arial Narrow" w:hAnsi="Arial Narrow" w:cs="Arial"/>
                <w:b/>
                <w:bCs/>
                <w:color w:val="000000"/>
                <w:sz w:val="18"/>
                <w:szCs w:val="18"/>
              </w:rPr>
            </w:pPr>
            <w:r w:rsidRPr="00152C64">
              <w:rPr>
                <w:rFonts w:ascii="Arial Narrow" w:hAnsi="Arial Narrow" w:cs="Arial"/>
                <w:b/>
                <w:bCs/>
                <w:color w:val="000000"/>
                <w:sz w:val="18"/>
                <w:szCs w:val="18"/>
              </w:rPr>
              <w:t>Total, B</w:t>
            </w:r>
          </w:p>
        </w:tc>
        <w:tc>
          <w:tcPr>
            <w:tcW w:w="1169" w:type="dxa"/>
            <w:tcBorders>
              <w:top w:val="nil"/>
              <w:left w:val="nil"/>
              <w:bottom w:val="single" w:sz="8" w:space="0" w:color="AAB8C4"/>
              <w:right w:val="nil"/>
            </w:tcBorders>
            <w:shd w:val="clear" w:color="auto" w:fill="auto"/>
            <w:vAlign w:val="center"/>
            <w:hideMark/>
          </w:tcPr>
          <w:p w14:paraId="6633F0AA"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2 518</w:t>
            </w:r>
          </w:p>
        </w:tc>
        <w:tc>
          <w:tcPr>
            <w:tcW w:w="1169" w:type="dxa"/>
            <w:tcBorders>
              <w:top w:val="nil"/>
              <w:left w:val="nil"/>
              <w:bottom w:val="single" w:sz="8" w:space="0" w:color="AAB8C4"/>
              <w:right w:val="nil"/>
            </w:tcBorders>
            <w:shd w:val="clear" w:color="auto" w:fill="auto"/>
            <w:vAlign w:val="center"/>
            <w:hideMark/>
          </w:tcPr>
          <w:p w14:paraId="71A49221"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2 316</w:t>
            </w:r>
          </w:p>
        </w:tc>
        <w:tc>
          <w:tcPr>
            <w:tcW w:w="970" w:type="dxa"/>
            <w:tcBorders>
              <w:top w:val="single" w:sz="4" w:space="0" w:color="BFBFBF"/>
              <w:left w:val="nil"/>
              <w:bottom w:val="single" w:sz="8" w:space="0" w:color="BFBFBF"/>
              <w:right w:val="nil"/>
            </w:tcBorders>
            <w:shd w:val="clear" w:color="auto" w:fill="auto"/>
            <w:vAlign w:val="center"/>
            <w:hideMark/>
          </w:tcPr>
          <w:p w14:paraId="5186FD2A"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(169)</w:t>
            </w:r>
          </w:p>
        </w:tc>
        <w:tc>
          <w:tcPr>
            <w:tcW w:w="992" w:type="dxa"/>
            <w:tcBorders>
              <w:top w:val="single" w:sz="4" w:space="0" w:color="BFBFBF"/>
              <w:left w:val="nil"/>
              <w:bottom w:val="single" w:sz="8" w:space="0" w:color="BFBFBF"/>
              <w:right w:val="nil"/>
            </w:tcBorders>
            <w:shd w:val="clear" w:color="auto" w:fill="auto"/>
            <w:vAlign w:val="center"/>
            <w:hideMark/>
          </w:tcPr>
          <w:p w14:paraId="42AB13CB"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-7%</w:t>
            </w:r>
          </w:p>
        </w:tc>
        <w:tc>
          <w:tcPr>
            <w:tcW w:w="1219" w:type="dxa"/>
            <w:tcBorders>
              <w:top w:val="nil"/>
              <w:left w:val="nil"/>
              <w:bottom w:val="single" w:sz="8" w:space="0" w:color="AAB8C4"/>
              <w:right w:val="nil"/>
            </w:tcBorders>
            <w:shd w:val="clear" w:color="auto" w:fill="auto"/>
            <w:vAlign w:val="center"/>
            <w:hideMark/>
          </w:tcPr>
          <w:p w14:paraId="38231CED"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2 147</w:t>
            </w:r>
          </w:p>
        </w:tc>
      </w:tr>
      <w:tr w:rsidR="007D29F8" w:rsidRPr="00152C64" w14:paraId="2914F31D" w14:textId="77777777" w:rsidTr="00DB6666">
        <w:trPr>
          <w:trHeight w:val="314"/>
          <w:jc w:val="center"/>
        </w:trPr>
        <w:tc>
          <w:tcPr>
            <w:tcW w:w="320" w:type="dxa"/>
            <w:tcBorders>
              <w:top w:val="nil"/>
              <w:left w:val="nil"/>
              <w:bottom w:val="single" w:sz="8" w:space="0" w:color="AAB8C4"/>
              <w:right w:val="nil"/>
            </w:tcBorders>
            <w:shd w:val="clear" w:color="auto" w:fill="auto"/>
            <w:noWrap/>
            <w:vAlign w:val="bottom"/>
            <w:hideMark/>
          </w:tcPr>
          <w:p w14:paraId="0BCAD981" w14:textId="77777777" w:rsidR="007D29F8" w:rsidRPr="00152C64" w:rsidRDefault="007D29F8" w:rsidP="00DB6666">
            <w:pPr>
              <w:jc w:val="left"/>
              <w:rPr>
                <w:rFonts w:ascii="Arial Narrow" w:hAnsi="Arial Narrow" w:cs="Arial"/>
                <w:b/>
                <w:bCs/>
                <w:sz w:val="18"/>
                <w:szCs w:val="18"/>
              </w:rPr>
            </w:pPr>
            <w:r w:rsidRPr="00152C64">
              <w:rPr>
                <w:rFonts w:ascii="Arial Narrow" w:hAnsi="Arial Narrow" w:cs="Arial"/>
                <w:b/>
                <w:bCs/>
                <w:sz w:val="18"/>
                <w:szCs w:val="18"/>
              </w:rPr>
              <w:t> </w:t>
            </w:r>
          </w:p>
        </w:tc>
        <w:tc>
          <w:tcPr>
            <w:tcW w:w="3224" w:type="dxa"/>
            <w:tcBorders>
              <w:top w:val="nil"/>
              <w:left w:val="nil"/>
              <w:bottom w:val="single" w:sz="8" w:space="0" w:color="AAB8C4"/>
              <w:right w:val="nil"/>
            </w:tcBorders>
            <w:shd w:val="clear" w:color="auto" w:fill="auto"/>
            <w:vAlign w:val="center"/>
            <w:hideMark/>
          </w:tcPr>
          <w:p w14:paraId="0006D028" w14:textId="77777777" w:rsidR="007D29F8" w:rsidRPr="00152C64" w:rsidRDefault="007D29F8" w:rsidP="00DB6666">
            <w:pPr>
              <w:jc w:val="left"/>
              <w:rPr>
                <w:rFonts w:ascii="Arial Narrow" w:hAnsi="Arial Narrow" w:cs="Arial"/>
                <w:b/>
                <w:bCs/>
                <w:sz w:val="18"/>
                <w:szCs w:val="18"/>
              </w:rPr>
            </w:pPr>
            <w:r w:rsidRPr="00152C64">
              <w:rPr>
                <w:rFonts w:ascii="Arial Narrow" w:hAnsi="Arial Narrow" w:cs="Arial"/>
                <w:b/>
                <w:bCs/>
                <w:sz w:val="18"/>
                <w:szCs w:val="18"/>
              </w:rPr>
              <w:t>TOTAL, A+B</w:t>
            </w:r>
          </w:p>
        </w:tc>
        <w:tc>
          <w:tcPr>
            <w:tcW w:w="1169" w:type="dxa"/>
            <w:tcBorders>
              <w:top w:val="nil"/>
              <w:left w:val="nil"/>
              <w:bottom w:val="single" w:sz="8" w:space="0" w:color="AAB8C4"/>
              <w:right w:val="nil"/>
            </w:tcBorders>
            <w:shd w:val="clear" w:color="auto" w:fill="auto"/>
            <w:vAlign w:val="center"/>
            <w:hideMark/>
          </w:tcPr>
          <w:p w14:paraId="206C3B0A"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7 071</w:t>
            </w:r>
          </w:p>
        </w:tc>
        <w:tc>
          <w:tcPr>
            <w:tcW w:w="1169" w:type="dxa"/>
            <w:tcBorders>
              <w:top w:val="nil"/>
              <w:left w:val="nil"/>
              <w:bottom w:val="single" w:sz="8" w:space="0" w:color="AAB8C4"/>
              <w:right w:val="nil"/>
            </w:tcBorders>
            <w:shd w:val="clear" w:color="auto" w:fill="auto"/>
            <w:vAlign w:val="center"/>
            <w:hideMark/>
          </w:tcPr>
          <w:p w14:paraId="7321C46D"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7 635</w:t>
            </w:r>
          </w:p>
        </w:tc>
        <w:tc>
          <w:tcPr>
            <w:tcW w:w="970" w:type="dxa"/>
            <w:tcBorders>
              <w:top w:val="single" w:sz="4" w:space="0" w:color="BFBFBF"/>
              <w:left w:val="nil"/>
              <w:bottom w:val="single" w:sz="8" w:space="0" w:color="BFBFBF"/>
              <w:right w:val="nil"/>
            </w:tcBorders>
            <w:shd w:val="clear" w:color="auto" w:fill="auto"/>
            <w:vAlign w:val="center"/>
            <w:hideMark/>
          </w:tcPr>
          <w:p w14:paraId="7179703F"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267</w:t>
            </w:r>
          </w:p>
        </w:tc>
        <w:tc>
          <w:tcPr>
            <w:tcW w:w="992" w:type="dxa"/>
            <w:tcBorders>
              <w:top w:val="nil"/>
              <w:left w:val="nil"/>
              <w:bottom w:val="single" w:sz="8" w:space="0" w:color="BFBFBF"/>
              <w:right w:val="nil"/>
            </w:tcBorders>
            <w:shd w:val="clear" w:color="auto" w:fill="auto"/>
            <w:vAlign w:val="center"/>
            <w:hideMark/>
          </w:tcPr>
          <w:p w14:paraId="5AD41B65"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3%</w:t>
            </w:r>
          </w:p>
        </w:tc>
        <w:tc>
          <w:tcPr>
            <w:tcW w:w="1219" w:type="dxa"/>
            <w:tcBorders>
              <w:top w:val="nil"/>
              <w:left w:val="nil"/>
              <w:bottom w:val="single" w:sz="8" w:space="0" w:color="AAB8C4"/>
              <w:right w:val="nil"/>
            </w:tcBorders>
            <w:shd w:val="clear" w:color="auto" w:fill="auto"/>
            <w:vAlign w:val="center"/>
            <w:hideMark/>
          </w:tcPr>
          <w:p w14:paraId="162BCAEF" w14:textId="77777777" w:rsidR="007D29F8" w:rsidRPr="00152C64" w:rsidRDefault="007D29F8" w:rsidP="00DB6666">
            <w:pPr>
              <w:jc w:val="right"/>
              <w:rPr>
                <w:rFonts w:ascii="Arial Narrow" w:hAnsi="Arial Narrow" w:cs="Arial"/>
                <w:b/>
                <w:bCs/>
                <w:sz w:val="18"/>
                <w:szCs w:val="18"/>
              </w:rPr>
            </w:pPr>
            <w:r w:rsidRPr="00152C64">
              <w:rPr>
                <w:rFonts w:ascii="Arial Narrow" w:hAnsi="Arial Narrow" w:cs="Arial"/>
                <w:b/>
                <w:bCs/>
                <w:sz w:val="18"/>
                <w:szCs w:val="18"/>
              </w:rPr>
              <w:t>7 901</w:t>
            </w:r>
          </w:p>
        </w:tc>
      </w:tr>
    </w:tbl>
    <w:p w14:paraId="23BF7388" w14:textId="77777777" w:rsidR="007D29F8" w:rsidRPr="00E12BB9" w:rsidRDefault="007D29F8" w:rsidP="007D29F8">
      <w:pPr>
        <w:rPr>
          <w:spacing w:val="-2"/>
        </w:rPr>
      </w:pPr>
    </w:p>
    <w:p w14:paraId="02BFF3A3" w14:textId="77777777" w:rsidR="007D29F8" w:rsidRPr="00E12BB9" w:rsidRDefault="007D29F8" w:rsidP="007D29F8">
      <w:pPr>
        <w:rPr>
          <w:b/>
          <w:spacing w:val="-2"/>
          <w:szCs w:val="24"/>
        </w:rPr>
      </w:pPr>
    </w:p>
    <w:p w14:paraId="18F275C8" w14:textId="77777777" w:rsidR="007D29F8" w:rsidRPr="00E12BB9" w:rsidRDefault="007D29F8" w:rsidP="007D29F8">
      <w:pPr>
        <w:jc w:val="left"/>
        <w:rPr>
          <w:b/>
          <w:color w:val="26724C" w:themeColor="accent1" w:themeShade="BF"/>
          <w:sz w:val="22"/>
        </w:rPr>
      </w:pPr>
      <w:r w:rsidRPr="00E12BB9">
        <w:br w:type="page"/>
      </w:r>
    </w:p>
    <w:p w14:paraId="289D2AAA" w14:textId="77777777" w:rsidR="007D29F8" w:rsidRPr="00E12BB9" w:rsidRDefault="007D29F8" w:rsidP="007D29F8">
      <w:pPr>
        <w:pStyle w:val="Heading3"/>
        <w:rPr>
          <w:lang w:val="fr-FR"/>
        </w:rPr>
      </w:pPr>
      <w:bookmarkStart w:id="424" w:name="_Toc132208449"/>
      <w:r w:rsidRPr="00E12BB9">
        <w:rPr>
          <w:lang w:val="fr-FR"/>
        </w:rPr>
        <w:lastRenderedPageBreak/>
        <w:t>Ressources en personnel</w:t>
      </w:r>
      <w:bookmarkEnd w:id="424"/>
    </w:p>
    <w:p w14:paraId="307A7E4C" w14:textId="77777777" w:rsidR="007D29F8" w:rsidRPr="00E12BB9" w:rsidRDefault="007D29F8" w:rsidP="007D29F8">
      <w:pPr>
        <w:pStyle w:val="ListParagraph"/>
        <w:keepNext/>
        <w:ind w:left="0"/>
        <w:contextualSpacing w:val="0"/>
      </w:pPr>
    </w:p>
    <w:p w14:paraId="664BE879" w14:textId="77777777" w:rsidR="007D29F8" w:rsidRPr="00E12BB9" w:rsidRDefault="007D29F8" w:rsidP="007D29F8">
      <w:pPr>
        <w:pStyle w:val="ListParagraph"/>
        <w:tabs>
          <w:tab w:val="left" w:pos="851"/>
        </w:tabs>
        <w:ind w:left="0"/>
        <w:contextualSpacing w:val="0"/>
        <w:rPr>
          <w:spacing w:val="-2"/>
        </w:rPr>
      </w:pPr>
      <w:r w:rsidRPr="00E12BB9">
        <w:rPr>
          <w:spacing w:val="-2"/>
        </w:rPr>
        <w:t>L’UPOV a reçu un appui précieux sous la forme d’experts chevronnés détachés par les membres de l’Union, notamment dans le cadre d’UPOV PRISMA, des bases de données PLUTO et GENIE et de la tenue à jour des codes UPOV.  Dans le programme et budget pour l’exercice biennal </w:t>
      </w:r>
      <w:r w:rsidRPr="00E12BB9">
        <w:rPr>
          <w:snapToGrid w:val="0"/>
          <w:spacing w:val="-2"/>
        </w:rPr>
        <w:t>2024-2025, une provision sera constituée pour</w:t>
      </w:r>
      <w:r w:rsidRPr="00E12BB9">
        <w:rPr>
          <w:spacing w:val="-2"/>
        </w:rPr>
        <w:t xml:space="preserve"> un administrateur auxiliaire et un boursier en vue d’assurer les tâches qui incombaient auparavant à des membres du personnel au bénéfice d’un engagement de durée déterminée.</w:t>
      </w:r>
    </w:p>
    <w:p w14:paraId="09225303" w14:textId="77777777" w:rsidR="007D29F8" w:rsidRPr="00E12BB9" w:rsidRDefault="007D29F8" w:rsidP="007D29F8">
      <w:pPr>
        <w:tabs>
          <w:tab w:val="left" w:pos="567"/>
        </w:tabs>
        <w:rPr>
          <w:spacing w:val="-2"/>
        </w:rPr>
      </w:pPr>
    </w:p>
    <w:p w14:paraId="04D74088" w14:textId="77777777" w:rsidR="007D29F8" w:rsidRPr="00E12BB9" w:rsidRDefault="007D29F8" w:rsidP="007D29F8">
      <w:pPr>
        <w:pStyle w:val="ListParagraph"/>
        <w:tabs>
          <w:tab w:val="left" w:pos="851"/>
        </w:tabs>
        <w:ind w:left="0"/>
        <w:contextualSpacing w:val="0"/>
        <w:rPr>
          <w:spacing w:val="-2"/>
        </w:rPr>
      </w:pPr>
      <w:r w:rsidRPr="00E12BB9">
        <w:t>Depuis 2014, l’UPOV a toujours fait appel à des intérimaires afin de l’appuyer dans ses activités.  Depuis 2017, trois intérimaires fournissent au Bureau de l’UPOV une assistance juridique ainsi qu’un appui dans le cadre de ses activités et</w:t>
      </w:r>
      <w:r w:rsidRPr="00E12BB9">
        <w:rPr>
          <w:spacing w:val="-2"/>
        </w:rPr>
        <w:t xml:space="preserve"> de ses projets informatiques.</w:t>
      </w:r>
    </w:p>
    <w:p w14:paraId="50D35BDA" w14:textId="77777777" w:rsidR="007D29F8" w:rsidRPr="00E12BB9" w:rsidRDefault="007D29F8" w:rsidP="007D29F8">
      <w:pPr>
        <w:tabs>
          <w:tab w:val="left" w:pos="567"/>
        </w:tabs>
        <w:rPr>
          <w:spacing w:val="-2"/>
        </w:rPr>
      </w:pPr>
    </w:p>
    <w:p w14:paraId="577787BF" w14:textId="77777777" w:rsidR="007D29F8" w:rsidRPr="00E12BB9" w:rsidRDefault="007D29F8" w:rsidP="007D29F8">
      <w:pPr>
        <w:pStyle w:val="ListParagraph"/>
        <w:tabs>
          <w:tab w:val="left" w:pos="851"/>
        </w:tabs>
        <w:ind w:left="0"/>
        <w:contextualSpacing w:val="0"/>
        <w:rPr>
          <w:spacing w:val="-2"/>
        </w:rPr>
      </w:pPr>
      <w:r w:rsidRPr="00E12BB9">
        <w:rPr>
          <w:spacing w:val="-2"/>
        </w:rPr>
        <w:t xml:space="preserve">Les tâches actuellement confiées aux trois intérimaires mentionnés constituent désormais une part essentielle du travail de l’UPOV et doivent donner lieu à la création de postes durant la période couverte par le plan de développement stratégique </w:t>
      </w:r>
      <w:r w:rsidRPr="00E12BB9">
        <w:t>2023-2027</w:t>
      </w:r>
      <w:r w:rsidRPr="00E12BB9">
        <w:rPr>
          <w:spacing w:val="-2"/>
        </w:rPr>
        <w:t xml:space="preserve"> afin d’assurer la continuité et la stabilité des activités de l’UPOV, sous réserve de revenus suffisants et viables.</w:t>
      </w:r>
      <w:r w:rsidR="005720ED">
        <w:rPr>
          <w:spacing w:val="-2"/>
        </w:rPr>
        <w:t xml:space="preserve">  </w:t>
      </w:r>
      <w:r w:rsidR="005720ED" w:rsidRPr="00A52F9C">
        <w:rPr>
          <w:spacing w:val="-2"/>
        </w:rPr>
        <w:t>À sa trente-cinquième</w:t>
      </w:r>
      <w:r w:rsidR="005720ED">
        <w:rPr>
          <w:spacing w:val="-2"/>
        </w:rPr>
        <w:t xml:space="preserve"> </w:t>
      </w:r>
      <w:r w:rsidR="005720ED" w:rsidRPr="00A52F9C">
        <w:rPr>
          <w:spacing w:val="-2"/>
        </w:rPr>
        <w:t>session extr</w:t>
      </w:r>
      <w:r w:rsidR="005720ED">
        <w:rPr>
          <w:spacing w:val="-2"/>
        </w:rPr>
        <w:t>aordinaire tenue à Genève le 23 mars </w:t>
      </w:r>
      <w:r w:rsidR="005720ED" w:rsidRPr="00A52F9C">
        <w:rPr>
          <w:spacing w:val="-2"/>
        </w:rPr>
        <w:t xml:space="preserve">2023, le Conseil a décidé de créer un poste de directeur du développement mondial et des affaires techniques au </w:t>
      </w:r>
      <w:r w:rsidR="005720ED">
        <w:rPr>
          <w:spacing w:val="-2"/>
        </w:rPr>
        <w:t>grade </w:t>
      </w:r>
      <w:r w:rsidR="005720ED" w:rsidRPr="00A52F9C">
        <w:rPr>
          <w:spacing w:val="-2"/>
        </w:rPr>
        <w:t>D</w:t>
      </w:r>
      <w:r w:rsidR="005720ED">
        <w:rPr>
          <w:spacing w:val="-2"/>
        </w:rPr>
        <w:noBreakHyphen/>
      </w:r>
      <w:r w:rsidR="005720ED" w:rsidRPr="00A52F9C">
        <w:rPr>
          <w:spacing w:val="-2"/>
        </w:rPr>
        <w:t xml:space="preserve">1, ce qui se </w:t>
      </w:r>
      <w:r w:rsidR="005720ED">
        <w:rPr>
          <w:spacing w:val="-2"/>
        </w:rPr>
        <w:t>traduit par la transformation d’</w:t>
      </w:r>
      <w:r w:rsidR="005720ED" w:rsidRPr="00A52F9C">
        <w:rPr>
          <w:spacing w:val="-2"/>
        </w:rPr>
        <w:t>un poste d</w:t>
      </w:r>
      <w:r w:rsidR="005720ED">
        <w:rPr>
          <w:spacing w:val="-2"/>
        </w:rPr>
        <w:t>’</w:t>
      </w:r>
      <w:r w:rsidR="005720ED" w:rsidRPr="00A52F9C">
        <w:rPr>
          <w:spacing w:val="-2"/>
        </w:rPr>
        <w:t>administrateur en poste de directeur.</w:t>
      </w:r>
    </w:p>
    <w:p w14:paraId="1F9F8427" w14:textId="77777777" w:rsidR="007D29F8" w:rsidRPr="00E12BB9" w:rsidRDefault="007D29F8" w:rsidP="007D29F8">
      <w:pPr>
        <w:tabs>
          <w:tab w:val="left" w:pos="567"/>
        </w:tabs>
        <w:rPr>
          <w:spacing w:val="-2"/>
        </w:rPr>
      </w:pPr>
    </w:p>
    <w:p w14:paraId="459D96DF" w14:textId="77777777" w:rsidR="005B4454" w:rsidRDefault="005B4454" w:rsidP="007D29F8">
      <w:pPr>
        <w:jc w:val="center"/>
        <w:rPr>
          <w:rFonts w:cs="Arial"/>
          <w:b/>
          <w:bCs/>
          <w:color w:val="26724C" w:themeColor="accent1" w:themeShade="BF"/>
        </w:rPr>
      </w:pPr>
    </w:p>
    <w:p w14:paraId="49B1C686" w14:textId="77777777" w:rsidR="007D29F8" w:rsidRPr="00E12BB9" w:rsidRDefault="007D29F8" w:rsidP="007D29F8">
      <w:pPr>
        <w:jc w:val="center"/>
        <w:rPr>
          <w:rFonts w:cs="Arial"/>
          <w:b/>
          <w:bCs/>
          <w:color w:val="26724C" w:themeColor="accent1" w:themeShade="BF"/>
        </w:rPr>
      </w:pPr>
      <w:r w:rsidRPr="00E12BB9">
        <w:rPr>
          <w:rFonts w:cs="Arial"/>
          <w:b/>
          <w:bCs/>
          <w:color w:val="26724C" w:themeColor="accent1" w:themeShade="BF"/>
        </w:rPr>
        <w:t>Tableau 5</w:t>
      </w:r>
      <w:r>
        <w:rPr>
          <w:rFonts w:cs="Arial"/>
          <w:b/>
          <w:bCs/>
          <w:color w:val="26724C" w:themeColor="accent1" w:themeShade="BF"/>
        </w:rPr>
        <w:t xml:space="preserve"> : </w:t>
      </w:r>
      <w:r w:rsidRPr="00E12BB9">
        <w:rPr>
          <w:rFonts w:cs="Arial"/>
          <w:b/>
          <w:bCs/>
          <w:color w:val="26724C" w:themeColor="accent1" w:themeShade="BF"/>
        </w:rPr>
        <w:t xml:space="preserve"> Budget</w:t>
      </w:r>
      <w:r>
        <w:rPr>
          <w:rFonts w:cs="Arial"/>
          <w:b/>
          <w:bCs/>
          <w:color w:val="26724C" w:themeColor="accent1" w:themeShade="BF"/>
        </w:rPr>
        <w:t> </w:t>
      </w:r>
      <w:r w:rsidRPr="00E12BB9">
        <w:rPr>
          <w:rFonts w:cs="Arial"/>
          <w:b/>
          <w:bCs/>
          <w:color w:val="26724C" w:themeColor="accent1" w:themeShade="BF"/>
        </w:rPr>
        <w:t>2024-2025 : postes par catégorie</w:t>
      </w:r>
    </w:p>
    <w:p w14:paraId="4419D088" w14:textId="77777777" w:rsidR="007D29F8" w:rsidRPr="00E12BB9" w:rsidRDefault="007D29F8" w:rsidP="007D29F8">
      <w:pPr>
        <w:rPr>
          <w:rFonts w:cs="Arial"/>
          <w:b/>
          <w:bCs/>
          <w:color w:val="26724C" w:themeColor="accent1" w:themeShade="BF"/>
        </w:rPr>
      </w:pPr>
    </w:p>
    <w:tbl>
      <w:tblPr>
        <w:tblW w:w="7980" w:type="dxa"/>
        <w:jc w:val="center"/>
        <w:tblLook w:val="04A0" w:firstRow="1" w:lastRow="0" w:firstColumn="1" w:lastColumn="0" w:noHBand="0" w:noVBand="1"/>
      </w:tblPr>
      <w:tblGrid>
        <w:gridCol w:w="2260"/>
        <w:gridCol w:w="1480"/>
        <w:gridCol w:w="1440"/>
        <w:gridCol w:w="1400"/>
        <w:gridCol w:w="1400"/>
      </w:tblGrid>
      <w:tr w:rsidR="007D29F8" w:rsidRPr="00E12BB9" w14:paraId="75A68885" w14:textId="77777777" w:rsidTr="00DB6666">
        <w:trPr>
          <w:trHeight w:val="460"/>
          <w:jc w:val="center"/>
        </w:trPr>
        <w:tc>
          <w:tcPr>
            <w:tcW w:w="2260" w:type="dxa"/>
            <w:tcBorders>
              <w:top w:val="nil"/>
              <w:left w:val="nil"/>
              <w:bottom w:val="nil"/>
              <w:right w:val="nil"/>
            </w:tcBorders>
            <w:shd w:val="clear" w:color="000000" w:fill="C7CFD8"/>
            <w:vAlign w:val="center"/>
            <w:hideMark/>
          </w:tcPr>
          <w:p w14:paraId="2D61C0AF" w14:textId="77777777" w:rsidR="007D29F8" w:rsidRPr="005B4454" w:rsidRDefault="007D29F8" w:rsidP="00DB6666">
            <w:pPr>
              <w:jc w:val="center"/>
              <w:rPr>
                <w:rFonts w:ascii="Arial Narrow" w:hAnsi="Arial Narrow" w:cs="Arial"/>
                <w:b/>
                <w:bCs/>
                <w:sz w:val="18"/>
                <w:szCs w:val="18"/>
              </w:rPr>
            </w:pPr>
            <w:r w:rsidRPr="005B4454">
              <w:rPr>
                <w:rFonts w:ascii="Arial Narrow" w:hAnsi="Arial Narrow" w:cs="Arial"/>
                <w:b/>
                <w:bCs/>
                <w:sz w:val="18"/>
                <w:szCs w:val="18"/>
              </w:rPr>
              <w:t>Catégorie de postes</w:t>
            </w:r>
          </w:p>
        </w:tc>
        <w:tc>
          <w:tcPr>
            <w:tcW w:w="1480" w:type="dxa"/>
            <w:tcBorders>
              <w:top w:val="nil"/>
              <w:left w:val="nil"/>
              <w:bottom w:val="nil"/>
              <w:right w:val="nil"/>
            </w:tcBorders>
            <w:shd w:val="clear" w:color="000000" w:fill="C7CFD8"/>
            <w:vAlign w:val="center"/>
            <w:hideMark/>
          </w:tcPr>
          <w:p w14:paraId="1A29B3CC" w14:textId="77777777" w:rsidR="007D29F8" w:rsidRPr="005B4454" w:rsidRDefault="007D29F8" w:rsidP="00DB6666">
            <w:pPr>
              <w:jc w:val="center"/>
              <w:rPr>
                <w:rFonts w:ascii="Arial Narrow" w:hAnsi="Arial Narrow" w:cs="Arial"/>
                <w:b/>
                <w:bCs/>
                <w:sz w:val="18"/>
                <w:szCs w:val="18"/>
              </w:rPr>
            </w:pPr>
            <w:r w:rsidRPr="005B4454">
              <w:rPr>
                <w:rFonts w:ascii="Arial Narrow" w:hAnsi="Arial Narrow" w:cs="Arial"/>
                <w:b/>
                <w:bCs/>
                <w:sz w:val="18"/>
                <w:szCs w:val="18"/>
              </w:rPr>
              <w:t>Montant effectif</w:t>
            </w:r>
            <w:r w:rsidRPr="005B4454">
              <w:rPr>
                <w:rFonts w:ascii="Arial Narrow" w:hAnsi="Arial Narrow" w:cs="Arial"/>
                <w:b/>
                <w:bCs/>
                <w:sz w:val="18"/>
                <w:szCs w:val="18"/>
              </w:rPr>
              <w:br/>
              <w:t xml:space="preserve">2020-2021 </w:t>
            </w:r>
          </w:p>
        </w:tc>
        <w:tc>
          <w:tcPr>
            <w:tcW w:w="1440" w:type="dxa"/>
            <w:tcBorders>
              <w:top w:val="nil"/>
              <w:left w:val="nil"/>
              <w:bottom w:val="nil"/>
              <w:right w:val="nil"/>
            </w:tcBorders>
            <w:shd w:val="clear" w:color="000000" w:fill="C7CFD8"/>
            <w:vAlign w:val="center"/>
            <w:hideMark/>
          </w:tcPr>
          <w:p w14:paraId="4CE351C1" w14:textId="77777777" w:rsidR="007D29F8" w:rsidRPr="005B4454" w:rsidRDefault="007D29F8" w:rsidP="00DB6666">
            <w:pPr>
              <w:jc w:val="center"/>
              <w:rPr>
                <w:rFonts w:ascii="Arial Narrow" w:hAnsi="Arial Narrow" w:cs="Arial"/>
                <w:b/>
                <w:bCs/>
                <w:sz w:val="18"/>
                <w:szCs w:val="18"/>
              </w:rPr>
            </w:pPr>
            <w:r w:rsidRPr="005B4454">
              <w:rPr>
                <w:rFonts w:ascii="Arial Narrow" w:hAnsi="Arial Narrow" w:cs="Arial"/>
                <w:b/>
                <w:bCs/>
                <w:sz w:val="18"/>
                <w:szCs w:val="18"/>
              </w:rPr>
              <w:t>Budget</w:t>
            </w:r>
            <w:r w:rsidRPr="005B4454">
              <w:rPr>
                <w:rFonts w:ascii="Arial Narrow" w:hAnsi="Arial Narrow" w:cs="Arial"/>
                <w:b/>
                <w:bCs/>
                <w:sz w:val="18"/>
                <w:szCs w:val="18"/>
              </w:rPr>
              <w:br/>
              <w:t xml:space="preserve">2022-2023 </w:t>
            </w:r>
          </w:p>
        </w:tc>
        <w:tc>
          <w:tcPr>
            <w:tcW w:w="1400" w:type="dxa"/>
            <w:tcBorders>
              <w:top w:val="nil"/>
              <w:left w:val="nil"/>
              <w:bottom w:val="nil"/>
              <w:right w:val="nil"/>
            </w:tcBorders>
            <w:shd w:val="clear" w:color="000000" w:fill="C7CFD8"/>
            <w:vAlign w:val="center"/>
            <w:hideMark/>
          </w:tcPr>
          <w:p w14:paraId="47C43F3E" w14:textId="77777777" w:rsidR="007D29F8" w:rsidRPr="005B4454" w:rsidRDefault="007D29F8" w:rsidP="00DB6666">
            <w:pPr>
              <w:jc w:val="center"/>
              <w:rPr>
                <w:rFonts w:ascii="Arial Narrow" w:hAnsi="Arial Narrow" w:cs="Arial"/>
                <w:b/>
                <w:bCs/>
                <w:sz w:val="18"/>
                <w:szCs w:val="18"/>
              </w:rPr>
            </w:pPr>
            <w:r w:rsidRPr="005B4454">
              <w:rPr>
                <w:rFonts w:ascii="Arial Narrow" w:hAnsi="Arial Narrow" w:cs="Arial"/>
                <w:b/>
                <w:bCs/>
                <w:sz w:val="18"/>
                <w:szCs w:val="18"/>
              </w:rPr>
              <w:t xml:space="preserve">Variation </w:t>
            </w:r>
          </w:p>
        </w:tc>
        <w:tc>
          <w:tcPr>
            <w:tcW w:w="1400" w:type="dxa"/>
            <w:tcBorders>
              <w:top w:val="nil"/>
              <w:left w:val="nil"/>
              <w:bottom w:val="nil"/>
              <w:right w:val="nil"/>
            </w:tcBorders>
            <w:shd w:val="clear" w:color="000000" w:fill="C7CFD8"/>
            <w:vAlign w:val="center"/>
            <w:hideMark/>
          </w:tcPr>
          <w:p w14:paraId="4EBAF71A" w14:textId="77777777" w:rsidR="007D29F8" w:rsidRPr="005B4454" w:rsidRDefault="007D29F8" w:rsidP="00DB6666">
            <w:pPr>
              <w:jc w:val="center"/>
              <w:rPr>
                <w:rFonts w:ascii="Arial Narrow" w:hAnsi="Arial Narrow" w:cs="Arial"/>
                <w:b/>
                <w:bCs/>
                <w:sz w:val="18"/>
                <w:szCs w:val="18"/>
              </w:rPr>
            </w:pPr>
            <w:r w:rsidRPr="005B4454">
              <w:rPr>
                <w:rFonts w:ascii="Arial Narrow" w:hAnsi="Arial Narrow" w:cs="Arial"/>
                <w:b/>
                <w:bCs/>
                <w:sz w:val="18"/>
                <w:szCs w:val="18"/>
              </w:rPr>
              <w:t>Budget proposé pour 2024-2025</w:t>
            </w:r>
          </w:p>
        </w:tc>
      </w:tr>
      <w:tr w:rsidR="007D29F8" w:rsidRPr="00E12BB9" w14:paraId="79C3E6B8" w14:textId="77777777" w:rsidTr="00DB6666">
        <w:trPr>
          <w:trHeight w:val="250"/>
          <w:jc w:val="center"/>
        </w:trPr>
        <w:tc>
          <w:tcPr>
            <w:tcW w:w="2260" w:type="dxa"/>
            <w:tcBorders>
              <w:top w:val="nil"/>
              <w:left w:val="nil"/>
              <w:bottom w:val="nil"/>
              <w:right w:val="nil"/>
            </w:tcBorders>
            <w:shd w:val="clear" w:color="000000" w:fill="C7CFD8"/>
            <w:vAlign w:val="center"/>
            <w:hideMark/>
          </w:tcPr>
          <w:p w14:paraId="10D03B9F" w14:textId="77777777" w:rsidR="007D29F8" w:rsidRPr="005B4454" w:rsidRDefault="007D29F8" w:rsidP="00DB6666">
            <w:pPr>
              <w:jc w:val="center"/>
              <w:rPr>
                <w:rFonts w:ascii="Arial Narrow" w:hAnsi="Arial Narrow" w:cs="Arial"/>
                <w:b/>
                <w:bCs/>
                <w:sz w:val="18"/>
                <w:szCs w:val="18"/>
              </w:rPr>
            </w:pPr>
            <w:r w:rsidRPr="005B4454">
              <w:rPr>
                <w:rFonts w:ascii="Arial Narrow" w:hAnsi="Arial Narrow" w:cs="Arial"/>
                <w:b/>
                <w:bCs/>
                <w:sz w:val="18"/>
                <w:szCs w:val="18"/>
              </w:rPr>
              <w:t> </w:t>
            </w:r>
          </w:p>
        </w:tc>
        <w:tc>
          <w:tcPr>
            <w:tcW w:w="1480" w:type="dxa"/>
            <w:tcBorders>
              <w:top w:val="nil"/>
              <w:left w:val="nil"/>
              <w:bottom w:val="nil"/>
              <w:right w:val="nil"/>
            </w:tcBorders>
            <w:shd w:val="clear" w:color="000000" w:fill="C7CFD8"/>
            <w:vAlign w:val="center"/>
            <w:hideMark/>
          </w:tcPr>
          <w:p w14:paraId="1F8C0C6B" w14:textId="77777777" w:rsidR="007D29F8" w:rsidRPr="005B4454" w:rsidRDefault="007D29F8" w:rsidP="00DB6666">
            <w:pPr>
              <w:jc w:val="center"/>
              <w:rPr>
                <w:rFonts w:ascii="Arial Narrow" w:hAnsi="Arial Narrow" w:cs="Arial"/>
                <w:b/>
                <w:bCs/>
                <w:sz w:val="18"/>
                <w:szCs w:val="18"/>
              </w:rPr>
            </w:pPr>
            <w:r w:rsidRPr="005B4454">
              <w:rPr>
                <w:rFonts w:ascii="Arial Narrow" w:hAnsi="Arial Narrow" w:cs="Arial"/>
                <w:b/>
                <w:bCs/>
                <w:sz w:val="18"/>
                <w:szCs w:val="18"/>
              </w:rPr>
              <w:t>A</w:t>
            </w:r>
          </w:p>
        </w:tc>
        <w:tc>
          <w:tcPr>
            <w:tcW w:w="1440" w:type="dxa"/>
            <w:tcBorders>
              <w:top w:val="nil"/>
              <w:left w:val="nil"/>
              <w:bottom w:val="nil"/>
              <w:right w:val="nil"/>
            </w:tcBorders>
            <w:shd w:val="clear" w:color="000000" w:fill="C7CFD8"/>
            <w:vAlign w:val="center"/>
            <w:hideMark/>
          </w:tcPr>
          <w:p w14:paraId="5AC52D8D" w14:textId="77777777" w:rsidR="007D29F8" w:rsidRPr="005B4454" w:rsidRDefault="007D29F8" w:rsidP="00DB6666">
            <w:pPr>
              <w:jc w:val="center"/>
              <w:rPr>
                <w:rFonts w:ascii="Arial Narrow" w:hAnsi="Arial Narrow" w:cs="Arial"/>
                <w:b/>
                <w:bCs/>
                <w:sz w:val="18"/>
                <w:szCs w:val="18"/>
              </w:rPr>
            </w:pPr>
            <w:r w:rsidRPr="005B4454">
              <w:rPr>
                <w:rFonts w:ascii="Arial Narrow" w:hAnsi="Arial Narrow" w:cs="Arial"/>
                <w:b/>
                <w:bCs/>
                <w:sz w:val="18"/>
                <w:szCs w:val="18"/>
              </w:rPr>
              <w:t>B</w:t>
            </w:r>
          </w:p>
        </w:tc>
        <w:tc>
          <w:tcPr>
            <w:tcW w:w="1400" w:type="dxa"/>
            <w:tcBorders>
              <w:top w:val="nil"/>
              <w:left w:val="nil"/>
              <w:bottom w:val="nil"/>
              <w:right w:val="nil"/>
            </w:tcBorders>
            <w:shd w:val="clear" w:color="000000" w:fill="C7CFD8"/>
            <w:vAlign w:val="center"/>
            <w:hideMark/>
          </w:tcPr>
          <w:p w14:paraId="59715B67" w14:textId="77777777" w:rsidR="007D29F8" w:rsidRPr="005B4454" w:rsidRDefault="007D29F8" w:rsidP="00DB6666">
            <w:pPr>
              <w:jc w:val="center"/>
              <w:rPr>
                <w:rFonts w:ascii="Arial Narrow" w:hAnsi="Arial Narrow" w:cs="Arial"/>
                <w:b/>
                <w:bCs/>
                <w:sz w:val="18"/>
                <w:szCs w:val="18"/>
              </w:rPr>
            </w:pPr>
            <w:r w:rsidRPr="005B4454">
              <w:rPr>
                <w:rFonts w:ascii="Arial Narrow" w:hAnsi="Arial Narrow" w:cs="Arial"/>
                <w:b/>
                <w:bCs/>
                <w:sz w:val="18"/>
                <w:szCs w:val="18"/>
              </w:rPr>
              <w:t>C-B</w:t>
            </w:r>
          </w:p>
        </w:tc>
        <w:tc>
          <w:tcPr>
            <w:tcW w:w="1400" w:type="dxa"/>
            <w:tcBorders>
              <w:top w:val="nil"/>
              <w:left w:val="nil"/>
              <w:bottom w:val="nil"/>
              <w:right w:val="nil"/>
            </w:tcBorders>
            <w:shd w:val="clear" w:color="000000" w:fill="C7CFD8"/>
            <w:vAlign w:val="center"/>
            <w:hideMark/>
          </w:tcPr>
          <w:p w14:paraId="6CCC6ECF" w14:textId="77777777" w:rsidR="007D29F8" w:rsidRPr="005B4454" w:rsidRDefault="007D29F8" w:rsidP="00DB6666">
            <w:pPr>
              <w:jc w:val="center"/>
              <w:rPr>
                <w:rFonts w:ascii="Arial Narrow" w:hAnsi="Arial Narrow" w:cs="Arial"/>
                <w:b/>
                <w:bCs/>
                <w:sz w:val="18"/>
                <w:szCs w:val="18"/>
              </w:rPr>
            </w:pPr>
            <w:r w:rsidRPr="005B4454">
              <w:rPr>
                <w:rFonts w:ascii="Arial Narrow" w:hAnsi="Arial Narrow" w:cs="Arial"/>
                <w:b/>
                <w:bCs/>
                <w:sz w:val="18"/>
                <w:szCs w:val="18"/>
              </w:rPr>
              <w:t>C</w:t>
            </w:r>
          </w:p>
        </w:tc>
      </w:tr>
      <w:tr w:rsidR="007D29F8" w:rsidRPr="00E12BB9" w14:paraId="1CB1853B" w14:textId="77777777" w:rsidTr="00DB6666">
        <w:trPr>
          <w:trHeight w:val="150"/>
          <w:jc w:val="center"/>
        </w:trPr>
        <w:tc>
          <w:tcPr>
            <w:tcW w:w="2260" w:type="dxa"/>
            <w:tcBorders>
              <w:top w:val="nil"/>
              <w:left w:val="nil"/>
              <w:bottom w:val="nil"/>
              <w:right w:val="nil"/>
            </w:tcBorders>
            <w:shd w:val="clear" w:color="auto" w:fill="auto"/>
            <w:hideMark/>
          </w:tcPr>
          <w:p w14:paraId="6B7713DB" w14:textId="77777777" w:rsidR="007D29F8" w:rsidRPr="005B4454" w:rsidRDefault="007D29F8" w:rsidP="00DB6666">
            <w:pPr>
              <w:jc w:val="center"/>
              <w:rPr>
                <w:rFonts w:ascii="Arial Narrow" w:hAnsi="Arial Narrow" w:cs="Arial"/>
                <w:b/>
                <w:bCs/>
                <w:sz w:val="18"/>
                <w:szCs w:val="18"/>
              </w:rPr>
            </w:pPr>
          </w:p>
        </w:tc>
        <w:tc>
          <w:tcPr>
            <w:tcW w:w="1480" w:type="dxa"/>
            <w:tcBorders>
              <w:top w:val="nil"/>
              <w:left w:val="nil"/>
              <w:bottom w:val="nil"/>
              <w:right w:val="nil"/>
            </w:tcBorders>
            <w:shd w:val="clear" w:color="auto" w:fill="auto"/>
            <w:hideMark/>
          </w:tcPr>
          <w:p w14:paraId="5241B1DE" w14:textId="77777777" w:rsidR="007D29F8" w:rsidRPr="005B4454" w:rsidRDefault="007D29F8" w:rsidP="00DB6666">
            <w:pPr>
              <w:rPr>
                <w:rFonts w:ascii="Times New Roman" w:hAnsi="Times New Roman"/>
                <w:sz w:val="18"/>
                <w:szCs w:val="18"/>
              </w:rPr>
            </w:pPr>
          </w:p>
        </w:tc>
        <w:tc>
          <w:tcPr>
            <w:tcW w:w="1440" w:type="dxa"/>
            <w:tcBorders>
              <w:top w:val="nil"/>
              <w:left w:val="nil"/>
              <w:bottom w:val="nil"/>
              <w:right w:val="nil"/>
            </w:tcBorders>
            <w:shd w:val="clear" w:color="auto" w:fill="auto"/>
            <w:hideMark/>
          </w:tcPr>
          <w:p w14:paraId="3D516E7C" w14:textId="77777777" w:rsidR="007D29F8" w:rsidRPr="005B4454" w:rsidRDefault="007D29F8" w:rsidP="00DB6666">
            <w:pPr>
              <w:jc w:val="center"/>
              <w:rPr>
                <w:rFonts w:ascii="Times New Roman" w:hAnsi="Times New Roman"/>
                <w:sz w:val="18"/>
                <w:szCs w:val="18"/>
              </w:rPr>
            </w:pPr>
          </w:p>
        </w:tc>
        <w:tc>
          <w:tcPr>
            <w:tcW w:w="1400" w:type="dxa"/>
            <w:tcBorders>
              <w:top w:val="nil"/>
              <w:left w:val="nil"/>
              <w:bottom w:val="nil"/>
              <w:right w:val="nil"/>
            </w:tcBorders>
            <w:shd w:val="clear" w:color="auto" w:fill="auto"/>
            <w:hideMark/>
          </w:tcPr>
          <w:p w14:paraId="780866E8" w14:textId="77777777" w:rsidR="007D29F8" w:rsidRPr="005B4454" w:rsidRDefault="007D29F8" w:rsidP="00DB6666">
            <w:pPr>
              <w:jc w:val="center"/>
              <w:rPr>
                <w:rFonts w:ascii="Times New Roman" w:hAnsi="Times New Roman"/>
                <w:sz w:val="18"/>
                <w:szCs w:val="18"/>
              </w:rPr>
            </w:pPr>
          </w:p>
        </w:tc>
        <w:tc>
          <w:tcPr>
            <w:tcW w:w="1400" w:type="dxa"/>
            <w:tcBorders>
              <w:top w:val="nil"/>
              <w:left w:val="nil"/>
              <w:bottom w:val="nil"/>
              <w:right w:val="nil"/>
            </w:tcBorders>
            <w:shd w:val="clear" w:color="auto" w:fill="auto"/>
            <w:hideMark/>
          </w:tcPr>
          <w:p w14:paraId="7560C6A4" w14:textId="77777777" w:rsidR="007D29F8" w:rsidRPr="005B4454" w:rsidRDefault="007D29F8" w:rsidP="00DB6666">
            <w:pPr>
              <w:jc w:val="left"/>
              <w:rPr>
                <w:rFonts w:ascii="Times New Roman" w:hAnsi="Times New Roman"/>
                <w:sz w:val="18"/>
                <w:szCs w:val="18"/>
              </w:rPr>
            </w:pPr>
          </w:p>
        </w:tc>
      </w:tr>
      <w:tr w:rsidR="007D29F8" w:rsidRPr="00E12BB9" w14:paraId="53ED488C" w14:textId="77777777" w:rsidTr="00DB6666">
        <w:trPr>
          <w:trHeight w:val="330"/>
          <w:jc w:val="center"/>
        </w:trPr>
        <w:tc>
          <w:tcPr>
            <w:tcW w:w="2260" w:type="dxa"/>
            <w:tcBorders>
              <w:top w:val="nil"/>
              <w:left w:val="nil"/>
              <w:bottom w:val="nil"/>
              <w:right w:val="nil"/>
            </w:tcBorders>
            <w:shd w:val="clear" w:color="auto" w:fill="auto"/>
            <w:hideMark/>
          </w:tcPr>
          <w:p w14:paraId="6150E174" w14:textId="77777777" w:rsidR="007D29F8" w:rsidRPr="005B4454" w:rsidRDefault="007D29F8" w:rsidP="00DB6666">
            <w:pPr>
              <w:rPr>
                <w:rFonts w:ascii="Arial Narrow" w:hAnsi="Arial Narrow" w:cs="Arial"/>
                <w:sz w:val="18"/>
                <w:szCs w:val="18"/>
              </w:rPr>
            </w:pPr>
            <w:r w:rsidRPr="005B4454">
              <w:rPr>
                <w:rFonts w:ascii="Arial Narrow" w:hAnsi="Arial Narrow" w:cs="Arial"/>
                <w:sz w:val="18"/>
                <w:szCs w:val="18"/>
              </w:rPr>
              <w:t>Directeurs*</w:t>
            </w:r>
          </w:p>
        </w:tc>
        <w:tc>
          <w:tcPr>
            <w:tcW w:w="1480" w:type="dxa"/>
            <w:tcBorders>
              <w:top w:val="nil"/>
              <w:left w:val="nil"/>
              <w:bottom w:val="nil"/>
              <w:right w:val="nil"/>
            </w:tcBorders>
            <w:shd w:val="clear" w:color="auto" w:fill="auto"/>
            <w:hideMark/>
          </w:tcPr>
          <w:p w14:paraId="76E601BE" w14:textId="77777777" w:rsidR="007D29F8" w:rsidRPr="005B4454" w:rsidRDefault="007D29F8" w:rsidP="00DB6666">
            <w:pPr>
              <w:jc w:val="center"/>
              <w:rPr>
                <w:rFonts w:ascii="Arial Narrow" w:hAnsi="Arial Narrow" w:cs="Arial"/>
                <w:sz w:val="18"/>
                <w:szCs w:val="18"/>
              </w:rPr>
            </w:pPr>
            <w:r w:rsidRPr="005B4454">
              <w:rPr>
                <w:rFonts w:ascii="Arial Narrow" w:hAnsi="Arial Narrow" w:cs="Arial"/>
                <w:sz w:val="18"/>
                <w:szCs w:val="18"/>
              </w:rPr>
              <w:t>3</w:t>
            </w:r>
          </w:p>
        </w:tc>
        <w:tc>
          <w:tcPr>
            <w:tcW w:w="1440" w:type="dxa"/>
            <w:tcBorders>
              <w:top w:val="nil"/>
              <w:left w:val="nil"/>
              <w:bottom w:val="nil"/>
              <w:right w:val="nil"/>
            </w:tcBorders>
            <w:shd w:val="clear" w:color="auto" w:fill="auto"/>
            <w:hideMark/>
          </w:tcPr>
          <w:p w14:paraId="70DDD7B9" w14:textId="77777777" w:rsidR="007D29F8" w:rsidRPr="005B4454" w:rsidRDefault="007D29F8" w:rsidP="00DB6666">
            <w:pPr>
              <w:jc w:val="center"/>
              <w:rPr>
                <w:rFonts w:ascii="Arial Narrow" w:hAnsi="Arial Narrow" w:cs="Arial"/>
                <w:sz w:val="18"/>
                <w:szCs w:val="18"/>
              </w:rPr>
            </w:pPr>
            <w:r w:rsidRPr="005B4454">
              <w:rPr>
                <w:rFonts w:ascii="Arial Narrow" w:hAnsi="Arial Narrow" w:cs="Arial"/>
                <w:sz w:val="18"/>
                <w:szCs w:val="18"/>
              </w:rPr>
              <w:t>3</w:t>
            </w:r>
          </w:p>
        </w:tc>
        <w:tc>
          <w:tcPr>
            <w:tcW w:w="1400" w:type="dxa"/>
            <w:tcBorders>
              <w:top w:val="nil"/>
              <w:left w:val="nil"/>
              <w:bottom w:val="nil"/>
              <w:right w:val="nil"/>
            </w:tcBorders>
            <w:shd w:val="clear" w:color="auto" w:fill="auto"/>
            <w:hideMark/>
          </w:tcPr>
          <w:p w14:paraId="09A9BE3C" w14:textId="77777777" w:rsidR="007D29F8" w:rsidRPr="005B4454" w:rsidRDefault="00515DF6" w:rsidP="00DB6666">
            <w:pPr>
              <w:jc w:val="center"/>
              <w:rPr>
                <w:rFonts w:ascii="Arial Narrow" w:hAnsi="Arial Narrow" w:cs="Arial"/>
                <w:sz w:val="18"/>
                <w:szCs w:val="18"/>
              </w:rPr>
            </w:pPr>
            <w:r w:rsidRPr="005B4454">
              <w:rPr>
                <w:rFonts w:ascii="Arial Narrow" w:hAnsi="Arial Narrow" w:cs="Arial"/>
                <w:sz w:val="18"/>
                <w:szCs w:val="18"/>
              </w:rPr>
              <w:t>1</w:t>
            </w:r>
          </w:p>
        </w:tc>
        <w:tc>
          <w:tcPr>
            <w:tcW w:w="1400" w:type="dxa"/>
            <w:tcBorders>
              <w:top w:val="nil"/>
              <w:left w:val="nil"/>
              <w:bottom w:val="nil"/>
              <w:right w:val="nil"/>
            </w:tcBorders>
            <w:shd w:val="clear" w:color="auto" w:fill="auto"/>
            <w:hideMark/>
          </w:tcPr>
          <w:p w14:paraId="4FF3B82C" w14:textId="77777777" w:rsidR="007D29F8" w:rsidRPr="005B4454" w:rsidRDefault="00515DF6" w:rsidP="00DB6666">
            <w:pPr>
              <w:jc w:val="center"/>
              <w:rPr>
                <w:rFonts w:ascii="Arial Narrow" w:hAnsi="Arial Narrow" w:cs="Arial"/>
                <w:sz w:val="18"/>
                <w:szCs w:val="18"/>
              </w:rPr>
            </w:pPr>
            <w:r w:rsidRPr="005B4454">
              <w:rPr>
                <w:rFonts w:ascii="Arial Narrow" w:hAnsi="Arial Narrow" w:cs="Arial"/>
                <w:sz w:val="18"/>
                <w:szCs w:val="18"/>
              </w:rPr>
              <w:t>4</w:t>
            </w:r>
          </w:p>
        </w:tc>
      </w:tr>
      <w:tr w:rsidR="007D29F8" w:rsidRPr="00E12BB9" w14:paraId="7C38EB39" w14:textId="77777777" w:rsidTr="00DB6666">
        <w:trPr>
          <w:trHeight w:val="330"/>
          <w:jc w:val="center"/>
        </w:trPr>
        <w:tc>
          <w:tcPr>
            <w:tcW w:w="2260" w:type="dxa"/>
            <w:tcBorders>
              <w:top w:val="nil"/>
              <w:left w:val="nil"/>
              <w:bottom w:val="nil"/>
              <w:right w:val="nil"/>
            </w:tcBorders>
            <w:shd w:val="clear" w:color="auto" w:fill="auto"/>
            <w:hideMark/>
          </w:tcPr>
          <w:p w14:paraId="51051786" w14:textId="77777777" w:rsidR="007D29F8" w:rsidRPr="005B4454" w:rsidRDefault="007D29F8" w:rsidP="00DB6666">
            <w:pPr>
              <w:rPr>
                <w:rFonts w:ascii="Arial Narrow" w:hAnsi="Arial Narrow" w:cs="Arial"/>
                <w:sz w:val="18"/>
                <w:szCs w:val="18"/>
              </w:rPr>
            </w:pPr>
            <w:r w:rsidRPr="005B4454">
              <w:rPr>
                <w:rFonts w:ascii="Arial Narrow" w:hAnsi="Arial Narrow" w:cs="Arial"/>
                <w:sz w:val="18"/>
                <w:szCs w:val="18"/>
              </w:rPr>
              <w:t>Administrateurs</w:t>
            </w:r>
          </w:p>
        </w:tc>
        <w:tc>
          <w:tcPr>
            <w:tcW w:w="1480" w:type="dxa"/>
            <w:tcBorders>
              <w:top w:val="nil"/>
              <w:left w:val="nil"/>
              <w:bottom w:val="nil"/>
              <w:right w:val="nil"/>
            </w:tcBorders>
            <w:shd w:val="clear" w:color="auto" w:fill="auto"/>
            <w:hideMark/>
          </w:tcPr>
          <w:p w14:paraId="4B644266" w14:textId="77777777" w:rsidR="007D29F8" w:rsidRPr="005B4454" w:rsidRDefault="007D29F8" w:rsidP="00DB6666">
            <w:pPr>
              <w:jc w:val="center"/>
              <w:rPr>
                <w:rFonts w:ascii="Arial Narrow" w:hAnsi="Arial Narrow" w:cs="Arial"/>
                <w:sz w:val="18"/>
                <w:szCs w:val="18"/>
              </w:rPr>
            </w:pPr>
            <w:r w:rsidRPr="005B4454">
              <w:rPr>
                <w:rFonts w:ascii="Arial Narrow" w:hAnsi="Arial Narrow" w:cs="Arial"/>
                <w:sz w:val="18"/>
                <w:szCs w:val="18"/>
              </w:rPr>
              <w:t>5</w:t>
            </w:r>
          </w:p>
        </w:tc>
        <w:tc>
          <w:tcPr>
            <w:tcW w:w="1440" w:type="dxa"/>
            <w:tcBorders>
              <w:top w:val="nil"/>
              <w:left w:val="nil"/>
              <w:bottom w:val="nil"/>
              <w:right w:val="nil"/>
            </w:tcBorders>
            <w:shd w:val="clear" w:color="auto" w:fill="auto"/>
            <w:hideMark/>
          </w:tcPr>
          <w:p w14:paraId="60543146" w14:textId="77777777" w:rsidR="007D29F8" w:rsidRPr="005B4454" w:rsidRDefault="007D29F8" w:rsidP="00DB6666">
            <w:pPr>
              <w:jc w:val="center"/>
              <w:rPr>
                <w:rFonts w:ascii="Arial Narrow" w:hAnsi="Arial Narrow" w:cs="Arial"/>
                <w:sz w:val="18"/>
                <w:szCs w:val="18"/>
              </w:rPr>
            </w:pPr>
            <w:r w:rsidRPr="005B4454">
              <w:rPr>
                <w:rFonts w:ascii="Arial Narrow" w:hAnsi="Arial Narrow" w:cs="Arial"/>
                <w:sz w:val="18"/>
                <w:szCs w:val="18"/>
              </w:rPr>
              <w:t>6</w:t>
            </w:r>
          </w:p>
        </w:tc>
        <w:tc>
          <w:tcPr>
            <w:tcW w:w="1400" w:type="dxa"/>
            <w:tcBorders>
              <w:top w:val="nil"/>
              <w:left w:val="nil"/>
              <w:bottom w:val="nil"/>
              <w:right w:val="nil"/>
            </w:tcBorders>
            <w:shd w:val="clear" w:color="auto" w:fill="auto"/>
            <w:hideMark/>
          </w:tcPr>
          <w:p w14:paraId="18F32BB0" w14:textId="77777777" w:rsidR="007D29F8" w:rsidRPr="005B4454" w:rsidRDefault="00515DF6" w:rsidP="00DB6666">
            <w:pPr>
              <w:jc w:val="center"/>
              <w:rPr>
                <w:rFonts w:ascii="Arial Narrow" w:hAnsi="Arial Narrow" w:cs="Arial"/>
                <w:sz w:val="18"/>
                <w:szCs w:val="18"/>
              </w:rPr>
            </w:pPr>
            <w:r w:rsidRPr="005B4454">
              <w:rPr>
                <w:rFonts w:ascii="Arial Narrow" w:hAnsi="Arial Narrow" w:cs="Arial"/>
                <w:sz w:val="18"/>
                <w:szCs w:val="18"/>
              </w:rPr>
              <w:t>1</w:t>
            </w:r>
          </w:p>
        </w:tc>
        <w:tc>
          <w:tcPr>
            <w:tcW w:w="1400" w:type="dxa"/>
            <w:tcBorders>
              <w:top w:val="nil"/>
              <w:left w:val="nil"/>
              <w:bottom w:val="nil"/>
              <w:right w:val="nil"/>
            </w:tcBorders>
            <w:shd w:val="clear" w:color="auto" w:fill="auto"/>
            <w:hideMark/>
          </w:tcPr>
          <w:p w14:paraId="43DFCFEF" w14:textId="77777777" w:rsidR="007D29F8" w:rsidRPr="005B4454" w:rsidRDefault="00515DF6" w:rsidP="00DB6666">
            <w:pPr>
              <w:jc w:val="center"/>
              <w:rPr>
                <w:rFonts w:ascii="Arial Narrow" w:hAnsi="Arial Narrow" w:cs="Arial"/>
                <w:sz w:val="18"/>
                <w:szCs w:val="18"/>
              </w:rPr>
            </w:pPr>
            <w:r w:rsidRPr="005B4454">
              <w:rPr>
                <w:rFonts w:ascii="Arial Narrow" w:hAnsi="Arial Narrow" w:cs="Arial"/>
                <w:sz w:val="18"/>
                <w:szCs w:val="18"/>
              </w:rPr>
              <w:t>7</w:t>
            </w:r>
          </w:p>
        </w:tc>
      </w:tr>
      <w:tr w:rsidR="007D29F8" w:rsidRPr="00E12BB9" w14:paraId="2F19812D" w14:textId="77777777" w:rsidTr="00DB6666">
        <w:trPr>
          <w:trHeight w:val="330"/>
          <w:jc w:val="center"/>
        </w:trPr>
        <w:tc>
          <w:tcPr>
            <w:tcW w:w="2260" w:type="dxa"/>
            <w:tcBorders>
              <w:top w:val="nil"/>
              <w:left w:val="nil"/>
              <w:bottom w:val="nil"/>
              <w:right w:val="nil"/>
            </w:tcBorders>
            <w:shd w:val="clear" w:color="auto" w:fill="auto"/>
            <w:hideMark/>
          </w:tcPr>
          <w:p w14:paraId="2EA4DD06" w14:textId="77777777" w:rsidR="007D29F8" w:rsidRPr="005B4454" w:rsidRDefault="007D29F8" w:rsidP="00DB6666">
            <w:pPr>
              <w:rPr>
                <w:rFonts w:ascii="Arial Narrow" w:hAnsi="Arial Narrow" w:cs="Arial"/>
                <w:sz w:val="18"/>
                <w:szCs w:val="18"/>
              </w:rPr>
            </w:pPr>
            <w:r w:rsidRPr="005B4454">
              <w:rPr>
                <w:rFonts w:ascii="Arial Narrow" w:hAnsi="Arial Narrow" w:cs="Arial"/>
                <w:sz w:val="18"/>
                <w:szCs w:val="18"/>
              </w:rPr>
              <w:t>Services généraux</w:t>
            </w:r>
          </w:p>
        </w:tc>
        <w:tc>
          <w:tcPr>
            <w:tcW w:w="1480" w:type="dxa"/>
            <w:tcBorders>
              <w:top w:val="nil"/>
              <w:left w:val="nil"/>
              <w:bottom w:val="nil"/>
              <w:right w:val="nil"/>
            </w:tcBorders>
            <w:shd w:val="clear" w:color="auto" w:fill="auto"/>
            <w:hideMark/>
          </w:tcPr>
          <w:p w14:paraId="05BFF7A4" w14:textId="77777777" w:rsidR="007D29F8" w:rsidRPr="005B4454" w:rsidRDefault="007D29F8" w:rsidP="00DB6666">
            <w:pPr>
              <w:jc w:val="center"/>
              <w:rPr>
                <w:rFonts w:ascii="Arial Narrow" w:hAnsi="Arial Narrow" w:cs="Arial"/>
                <w:sz w:val="18"/>
                <w:szCs w:val="18"/>
              </w:rPr>
            </w:pPr>
            <w:r w:rsidRPr="005B4454">
              <w:rPr>
                <w:rFonts w:ascii="Arial Narrow" w:hAnsi="Arial Narrow" w:cs="Arial"/>
                <w:sz w:val="18"/>
                <w:szCs w:val="18"/>
              </w:rPr>
              <w:t>4</w:t>
            </w:r>
          </w:p>
        </w:tc>
        <w:tc>
          <w:tcPr>
            <w:tcW w:w="1440" w:type="dxa"/>
            <w:tcBorders>
              <w:top w:val="nil"/>
              <w:left w:val="nil"/>
              <w:bottom w:val="nil"/>
              <w:right w:val="nil"/>
            </w:tcBorders>
            <w:shd w:val="clear" w:color="auto" w:fill="auto"/>
            <w:hideMark/>
          </w:tcPr>
          <w:p w14:paraId="308BF47E" w14:textId="77777777" w:rsidR="007D29F8" w:rsidRPr="005B4454" w:rsidRDefault="007D29F8" w:rsidP="00DB6666">
            <w:pPr>
              <w:jc w:val="center"/>
              <w:rPr>
                <w:rFonts w:ascii="Arial Narrow" w:hAnsi="Arial Narrow" w:cs="Arial"/>
                <w:sz w:val="18"/>
                <w:szCs w:val="18"/>
              </w:rPr>
            </w:pPr>
            <w:r w:rsidRPr="005B4454">
              <w:rPr>
                <w:rFonts w:ascii="Arial Narrow" w:hAnsi="Arial Narrow" w:cs="Arial"/>
                <w:sz w:val="18"/>
                <w:szCs w:val="18"/>
              </w:rPr>
              <w:t>4</w:t>
            </w:r>
          </w:p>
        </w:tc>
        <w:tc>
          <w:tcPr>
            <w:tcW w:w="1400" w:type="dxa"/>
            <w:tcBorders>
              <w:top w:val="nil"/>
              <w:left w:val="nil"/>
              <w:bottom w:val="nil"/>
              <w:right w:val="nil"/>
            </w:tcBorders>
            <w:shd w:val="clear" w:color="auto" w:fill="auto"/>
            <w:hideMark/>
          </w:tcPr>
          <w:p w14:paraId="042F5C2B" w14:textId="77777777" w:rsidR="007D29F8" w:rsidRPr="005B4454" w:rsidRDefault="007D29F8" w:rsidP="00DB6666">
            <w:pPr>
              <w:jc w:val="center"/>
              <w:rPr>
                <w:rFonts w:ascii="Arial Narrow" w:hAnsi="Arial Narrow" w:cs="Arial"/>
                <w:sz w:val="18"/>
                <w:szCs w:val="18"/>
              </w:rPr>
            </w:pPr>
            <w:r w:rsidRPr="005B4454">
              <w:rPr>
                <w:rFonts w:ascii="Arial Narrow" w:hAnsi="Arial Narrow" w:cs="Arial"/>
                <w:sz w:val="18"/>
                <w:szCs w:val="18"/>
              </w:rPr>
              <w:t>0</w:t>
            </w:r>
          </w:p>
        </w:tc>
        <w:tc>
          <w:tcPr>
            <w:tcW w:w="1400" w:type="dxa"/>
            <w:tcBorders>
              <w:top w:val="nil"/>
              <w:left w:val="nil"/>
              <w:bottom w:val="nil"/>
              <w:right w:val="nil"/>
            </w:tcBorders>
            <w:shd w:val="clear" w:color="auto" w:fill="auto"/>
            <w:hideMark/>
          </w:tcPr>
          <w:p w14:paraId="27EFA1A8" w14:textId="77777777" w:rsidR="007D29F8" w:rsidRPr="005B4454" w:rsidRDefault="007D29F8" w:rsidP="00DB6666">
            <w:pPr>
              <w:jc w:val="center"/>
              <w:rPr>
                <w:rFonts w:ascii="Arial Narrow" w:hAnsi="Arial Narrow" w:cs="Arial"/>
                <w:sz w:val="18"/>
                <w:szCs w:val="18"/>
              </w:rPr>
            </w:pPr>
            <w:r w:rsidRPr="005B4454">
              <w:rPr>
                <w:rFonts w:ascii="Arial Narrow" w:hAnsi="Arial Narrow" w:cs="Arial"/>
                <w:sz w:val="18"/>
                <w:szCs w:val="18"/>
              </w:rPr>
              <w:t>4</w:t>
            </w:r>
          </w:p>
        </w:tc>
      </w:tr>
      <w:tr w:rsidR="007D29F8" w:rsidRPr="00E12BB9" w14:paraId="507B5CBC" w14:textId="77777777" w:rsidTr="00DB6666">
        <w:trPr>
          <w:trHeight w:val="330"/>
          <w:jc w:val="center"/>
        </w:trPr>
        <w:tc>
          <w:tcPr>
            <w:tcW w:w="2260" w:type="dxa"/>
            <w:tcBorders>
              <w:top w:val="single" w:sz="4" w:space="0" w:color="AAB8C4"/>
              <w:left w:val="nil"/>
              <w:bottom w:val="single" w:sz="8" w:space="0" w:color="AAB8C4"/>
              <w:right w:val="nil"/>
            </w:tcBorders>
            <w:shd w:val="clear" w:color="auto" w:fill="auto"/>
            <w:vAlign w:val="center"/>
            <w:hideMark/>
          </w:tcPr>
          <w:p w14:paraId="007D5858" w14:textId="77777777" w:rsidR="007D29F8" w:rsidRPr="005B4454" w:rsidRDefault="007D29F8" w:rsidP="00DB6666">
            <w:pPr>
              <w:rPr>
                <w:rFonts w:ascii="Arial Narrow" w:hAnsi="Arial Narrow" w:cs="Arial"/>
                <w:b/>
                <w:bCs/>
                <w:sz w:val="18"/>
                <w:szCs w:val="18"/>
              </w:rPr>
            </w:pPr>
            <w:r w:rsidRPr="005B4454">
              <w:rPr>
                <w:rFonts w:ascii="Arial Narrow" w:hAnsi="Arial Narrow" w:cs="Arial"/>
                <w:b/>
                <w:bCs/>
                <w:sz w:val="18"/>
                <w:szCs w:val="18"/>
              </w:rPr>
              <w:t>Total</w:t>
            </w:r>
          </w:p>
        </w:tc>
        <w:tc>
          <w:tcPr>
            <w:tcW w:w="1480" w:type="dxa"/>
            <w:tcBorders>
              <w:top w:val="single" w:sz="4" w:space="0" w:color="AAB8C4"/>
              <w:left w:val="nil"/>
              <w:bottom w:val="single" w:sz="8" w:space="0" w:color="AAB8C4"/>
              <w:right w:val="nil"/>
            </w:tcBorders>
            <w:shd w:val="clear" w:color="auto" w:fill="auto"/>
            <w:vAlign w:val="center"/>
            <w:hideMark/>
          </w:tcPr>
          <w:p w14:paraId="63B2D5E6" w14:textId="77777777" w:rsidR="007D29F8" w:rsidRPr="005B4454" w:rsidRDefault="007D29F8" w:rsidP="00DB6666">
            <w:pPr>
              <w:jc w:val="center"/>
              <w:rPr>
                <w:rFonts w:ascii="Arial Narrow" w:hAnsi="Arial Narrow" w:cs="Arial"/>
                <w:b/>
                <w:bCs/>
                <w:sz w:val="18"/>
                <w:szCs w:val="18"/>
              </w:rPr>
            </w:pPr>
            <w:r w:rsidRPr="005B4454">
              <w:rPr>
                <w:rFonts w:ascii="Arial Narrow" w:hAnsi="Arial Narrow" w:cs="Arial"/>
                <w:b/>
                <w:bCs/>
                <w:sz w:val="18"/>
                <w:szCs w:val="18"/>
              </w:rPr>
              <w:t>12</w:t>
            </w:r>
          </w:p>
        </w:tc>
        <w:tc>
          <w:tcPr>
            <w:tcW w:w="1440" w:type="dxa"/>
            <w:tcBorders>
              <w:top w:val="single" w:sz="4" w:space="0" w:color="AAB8C4"/>
              <w:left w:val="nil"/>
              <w:bottom w:val="single" w:sz="8" w:space="0" w:color="AAB8C4"/>
              <w:right w:val="nil"/>
            </w:tcBorders>
            <w:shd w:val="clear" w:color="auto" w:fill="auto"/>
            <w:vAlign w:val="center"/>
            <w:hideMark/>
          </w:tcPr>
          <w:p w14:paraId="5EC4BFA8" w14:textId="77777777" w:rsidR="007D29F8" w:rsidRPr="005B4454" w:rsidRDefault="007D29F8" w:rsidP="00DB6666">
            <w:pPr>
              <w:jc w:val="center"/>
              <w:rPr>
                <w:rFonts w:ascii="Arial Narrow" w:hAnsi="Arial Narrow" w:cs="Arial"/>
                <w:b/>
                <w:bCs/>
                <w:sz w:val="18"/>
                <w:szCs w:val="18"/>
              </w:rPr>
            </w:pPr>
            <w:r w:rsidRPr="005B4454">
              <w:rPr>
                <w:rFonts w:ascii="Arial Narrow" w:hAnsi="Arial Narrow" w:cs="Arial"/>
                <w:b/>
                <w:bCs/>
                <w:sz w:val="18"/>
                <w:szCs w:val="18"/>
              </w:rPr>
              <w:t>13</w:t>
            </w:r>
          </w:p>
        </w:tc>
        <w:tc>
          <w:tcPr>
            <w:tcW w:w="1400" w:type="dxa"/>
            <w:tcBorders>
              <w:top w:val="single" w:sz="4" w:space="0" w:color="AAB8C4"/>
              <w:left w:val="nil"/>
              <w:bottom w:val="single" w:sz="8" w:space="0" w:color="AAB8C4"/>
              <w:right w:val="nil"/>
            </w:tcBorders>
            <w:shd w:val="clear" w:color="auto" w:fill="auto"/>
            <w:vAlign w:val="center"/>
            <w:hideMark/>
          </w:tcPr>
          <w:p w14:paraId="3CF972F0" w14:textId="77777777" w:rsidR="007D29F8" w:rsidRPr="005B4454" w:rsidRDefault="007D29F8" w:rsidP="00DB6666">
            <w:pPr>
              <w:jc w:val="center"/>
              <w:rPr>
                <w:rFonts w:ascii="Arial Narrow" w:hAnsi="Arial Narrow" w:cs="Arial"/>
                <w:sz w:val="18"/>
                <w:szCs w:val="18"/>
              </w:rPr>
            </w:pPr>
            <w:r w:rsidRPr="005B4454">
              <w:rPr>
                <w:rFonts w:ascii="Arial Narrow" w:hAnsi="Arial Narrow" w:cs="Arial"/>
                <w:b/>
                <w:bCs/>
                <w:sz w:val="18"/>
                <w:szCs w:val="18"/>
              </w:rPr>
              <w:t>2</w:t>
            </w:r>
          </w:p>
        </w:tc>
        <w:tc>
          <w:tcPr>
            <w:tcW w:w="1400" w:type="dxa"/>
            <w:tcBorders>
              <w:top w:val="single" w:sz="4" w:space="0" w:color="AAB8C4"/>
              <w:left w:val="nil"/>
              <w:bottom w:val="single" w:sz="8" w:space="0" w:color="AAB8C4"/>
              <w:right w:val="nil"/>
            </w:tcBorders>
            <w:shd w:val="clear" w:color="auto" w:fill="auto"/>
            <w:vAlign w:val="center"/>
            <w:hideMark/>
          </w:tcPr>
          <w:p w14:paraId="48BB3209" w14:textId="77777777" w:rsidR="007D29F8" w:rsidRPr="005B4454" w:rsidRDefault="007D29F8" w:rsidP="00DB6666">
            <w:pPr>
              <w:jc w:val="center"/>
              <w:rPr>
                <w:rFonts w:ascii="Arial Narrow" w:hAnsi="Arial Narrow" w:cs="Arial"/>
                <w:b/>
                <w:bCs/>
                <w:sz w:val="18"/>
                <w:szCs w:val="18"/>
              </w:rPr>
            </w:pPr>
            <w:r w:rsidRPr="005B4454">
              <w:rPr>
                <w:rFonts w:ascii="Arial Narrow" w:hAnsi="Arial Narrow" w:cs="Arial"/>
                <w:b/>
                <w:bCs/>
                <w:sz w:val="18"/>
                <w:szCs w:val="18"/>
              </w:rPr>
              <w:t>15</w:t>
            </w:r>
          </w:p>
        </w:tc>
      </w:tr>
    </w:tbl>
    <w:p w14:paraId="27A16D7E" w14:textId="77777777" w:rsidR="007D29F8" w:rsidRPr="00E12BB9" w:rsidRDefault="007D29F8" w:rsidP="007D29F8">
      <w:pPr>
        <w:rPr>
          <w:spacing w:val="-2"/>
          <w:szCs w:val="24"/>
        </w:rPr>
      </w:pPr>
    </w:p>
    <w:p w14:paraId="76F24267" w14:textId="77777777" w:rsidR="007D29F8" w:rsidRPr="00E12BB9" w:rsidRDefault="007D29F8" w:rsidP="007D29F8">
      <w:pPr>
        <w:ind w:left="851" w:right="850"/>
        <w:rPr>
          <w:spacing w:val="-2"/>
          <w:sz w:val="16"/>
          <w:szCs w:val="24"/>
        </w:rPr>
      </w:pPr>
      <w:r w:rsidRPr="00E12BB9">
        <w:rPr>
          <w:spacing w:val="-2"/>
          <w:sz w:val="16"/>
          <w:szCs w:val="24"/>
        </w:rPr>
        <w:t>* Le poste de Secrétaire général</w:t>
      </w:r>
      <w:r w:rsidRPr="00E12BB9">
        <w:rPr>
          <w:rStyle w:val="FootnoteReference"/>
          <w:spacing w:val="-2"/>
          <w:sz w:val="16"/>
          <w:szCs w:val="24"/>
        </w:rPr>
        <w:footnoteReference w:id="3"/>
      </w:r>
      <w:r w:rsidRPr="00E12BB9">
        <w:rPr>
          <w:spacing w:val="-2"/>
          <w:sz w:val="16"/>
          <w:szCs w:val="24"/>
        </w:rPr>
        <w:t xml:space="preserve"> est inclus dans ces chiffres, mais sans incidences financières, étant donné que le Directeur général actuel de l’OMPI a refusé de percevoir tout traitement ou indemnité pour ses fonctions de Secrétaire général de l’UPOV.</w:t>
      </w:r>
    </w:p>
    <w:p w14:paraId="46EA5C22" w14:textId="77777777" w:rsidR="007D29F8" w:rsidRPr="00E12BB9" w:rsidRDefault="007D29F8" w:rsidP="007D29F8">
      <w:pPr>
        <w:jc w:val="left"/>
      </w:pPr>
    </w:p>
    <w:p w14:paraId="27DD61CA" w14:textId="77777777" w:rsidR="007D29F8" w:rsidRPr="00E12BB9" w:rsidRDefault="007D29F8" w:rsidP="007D29F8">
      <w:r w:rsidRPr="00E12BB9">
        <w:rPr>
          <w:spacing w:val="-2"/>
        </w:rPr>
        <w:t>Le tableau ci-dessous donne une indication des ressources humaines autres que les membres du personnel occupant des postes, c’est-à-dire les agents temporaires, les intérimaires, les administrateurs auxiliaires, les stagiaires et les boursiers, qui pourront être utilisées pendant l’exercice biennal 2024-2025, sous réserve de la disponibilité de ressources provenant du budget ordinaire, des fonds extrabudgétaires et de la mise à disposition de ressources en personnel par les membres de l’Union</w:t>
      </w:r>
      <w:r w:rsidRPr="00E12BB9">
        <w:t>.</w:t>
      </w:r>
    </w:p>
    <w:p w14:paraId="72FD4943" w14:textId="77777777" w:rsidR="007D29F8" w:rsidRPr="00E12BB9" w:rsidRDefault="007D29F8" w:rsidP="007D29F8"/>
    <w:tbl>
      <w:tblPr>
        <w:tblW w:w="6580" w:type="dxa"/>
        <w:jc w:val="center"/>
        <w:tblLook w:val="04A0" w:firstRow="1" w:lastRow="0" w:firstColumn="1" w:lastColumn="0" w:noHBand="0" w:noVBand="1"/>
      </w:tblPr>
      <w:tblGrid>
        <w:gridCol w:w="2260"/>
        <w:gridCol w:w="1480"/>
        <w:gridCol w:w="1440"/>
        <w:gridCol w:w="1400"/>
      </w:tblGrid>
      <w:tr w:rsidR="007D29F8" w:rsidRPr="005B4454" w14:paraId="6DE4CC89" w14:textId="77777777" w:rsidTr="00DB6666">
        <w:trPr>
          <w:trHeight w:val="520"/>
          <w:jc w:val="center"/>
        </w:trPr>
        <w:tc>
          <w:tcPr>
            <w:tcW w:w="2260" w:type="dxa"/>
            <w:vMerge w:val="restart"/>
            <w:tcBorders>
              <w:top w:val="nil"/>
              <w:left w:val="nil"/>
              <w:bottom w:val="nil"/>
              <w:right w:val="nil"/>
            </w:tcBorders>
            <w:shd w:val="clear" w:color="000000" w:fill="C7CFD8"/>
            <w:vAlign w:val="bottom"/>
            <w:hideMark/>
          </w:tcPr>
          <w:p w14:paraId="79F08918" w14:textId="77777777" w:rsidR="007D29F8" w:rsidRPr="005B4454" w:rsidRDefault="007D29F8" w:rsidP="00DB6666">
            <w:pPr>
              <w:jc w:val="left"/>
              <w:rPr>
                <w:rFonts w:ascii="Arial Narrow" w:hAnsi="Arial Narrow" w:cs="Arial"/>
                <w:sz w:val="18"/>
              </w:rPr>
            </w:pPr>
            <w:r w:rsidRPr="005B4454">
              <w:rPr>
                <w:rFonts w:ascii="Arial Narrow" w:hAnsi="Arial Narrow" w:cs="Arial"/>
                <w:sz w:val="18"/>
              </w:rPr>
              <w:t> </w:t>
            </w:r>
          </w:p>
        </w:tc>
        <w:tc>
          <w:tcPr>
            <w:tcW w:w="1480" w:type="dxa"/>
            <w:tcBorders>
              <w:top w:val="nil"/>
              <w:left w:val="nil"/>
              <w:right w:val="nil"/>
            </w:tcBorders>
            <w:shd w:val="clear" w:color="000000" w:fill="C7CFD8"/>
            <w:vAlign w:val="center"/>
            <w:hideMark/>
          </w:tcPr>
          <w:p w14:paraId="1BC8645E" w14:textId="77777777" w:rsidR="007D29F8" w:rsidRPr="005B4454" w:rsidRDefault="007D29F8" w:rsidP="00DB6666">
            <w:pPr>
              <w:jc w:val="center"/>
              <w:rPr>
                <w:rFonts w:ascii="Arial Narrow" w:hAnsi="Arial Narrow" w:cs="Arial"/>
                <w:b/>
                <w:bCs/>
                <w:i/>
                <w:iCs/>
                <w:sz w:val="18"/>
              </w:rPr>
            </w:pPr>
            <w:r w:rsidRPr="005B4454">
              <w:rPr>
                <w:rFonts w:ascii="Arial Narrow" w:hAnsi="Arial Narrow" w:cs="Arial"/>
                <w:b/>
                <w:bCs/>
                <w:i/>
                <w:iCs/>
                <w:sz w:val="18"/>
              </w:rPr>
              <w:t>Montant effectif 2020-2021</w:t>
            </w:r>
          </w:p>
        </w:tc>
        <w:tc>
          <w:tcPr>
            <w:tcW w:w="1440" w:type="dxa"/>
            <w:tcBorders>
              <w:top w:val="nil"/>
              <w:left w:val="nil"/>
              <w:right w:val="nil"/>
            </w:tcBorders>
            <w:shd w:val="clear" w:color="000000" w:fill="C7CFD8"/>
            <w:vAlign w:val="center"/>
            <w:hideMark/>
          </w:tcPr>
          <w:p w14:paraId="71BF2D5B" w14:textId="77777777" w:rsidR="007D29F8" w:rsidRPr="005B4454" w:rsidRDefault="007D29F8" w:rsidP="00DB6666">
            <w:pPr>
              <w:jc w:val="center"/>
              <w:rPr>
                <w:rFonts w:ascii="Arial Narrow" w:hAnsi="Arial Narrow" w:cs="Arial"/>
                <w:b/>
                <w:bCs/>
                <w:i/>
                <w:iCs/>
                <w:sz w:val="18"/>
              </w:rPr>
            </w:pPr>
            <w:r w:rsidRPr="005B4454">
              <w:rPr>
                <w:rFonts w:ascii="Arial Narrow" w:hAnsi="Arial Narrow" w:cs="Arial"/>
                <w:b/>
                <w:bCs/>
                <w:i/>
                <w:iCs/>
                <w:sz w:val="18"/>
              </w:rPr>
              <w:t xml:space="preserve">Budget </w:t>
            </w:r>
            <w:r w:rsidRPr="005B4454">
              <w:rPr>
                <w:rFonts w:ascii="Arial Narrow" w:hAnsi="Arial Narrow" w:cs="Arial"/>
                <w:b/>
                <w:bCs/>
                <w:i/>
                <w:iCs/>
                <w:sz w:val="18"/>
              </w:rPr>
              <w:br/>
              <w:t>2022-2023</w:t>
            </w:r>
          </w:p>
        </w:tc>
        <w:tc>
          <w:tcPr>
            <w:tcW w:w="1400" w:type="dxa"/>
            <w:tcBorders>
              <w:top w:val="nil"/>
              <w:left w:val="nil"/>
              <w:right w:val="nil"/>
            </w:tcBorders>
            <w:shd w:val="clear" w:color="000000" w:fill="C7CFD8"/>
            <w:vAlign w:val="center"/>
            <w:hideMark/>
          </w:tcPr>
          <w:p w14:paraId="4E3BF9A3" w14:textId="77777777" w:rsidR="007D29F8" w:rsidRPr="005B4454" w:rsidRDefault="007D29F8" w:rsidP="00DB6666">
            <w:pPr>
              <w:jc w:val="center"/>
              <w:rPr>
                <w:rFonts w:ascii="Arial Narrow" w:hAnsi="Arial Narrow" w:cs="Arial"/>
                <w:b/>
                <w:bCs/>
                <w:i/>
                <w:iCs/>
                <w:sz w:val="18"/>
              </w:rPr>
            </w:pPr>
            <w:r w:rsidRPr="005B4454">
              <w:rPr>
                <w:rFonts w:ascii="Arial Narrow" w:hAnsi="Arial Narrow" w:cs="Arial"/>
                <w:b/>
                <w:bCs/>
                <w:i/>
                <w:iCs/>
                <w:sz w:val="18"/>
              </w:rPr>
              <w:t>Budget proposé pour 2024-2025</w:t>
            </w:r>
          </w:p>
        </w:tc>
      </w:tr>
      <w:tr w:rsidR="007D29F8" w:rsidRPr="005B4454" w14:paraId="207CDFAE" w14:textId="77777777" w:rsidTr="00DB6666">
        <w:trPr>
          <w:trHeight w:val="260"/>
          <w:jc w:val="center"/>
        </w:trPr>
        <w:tc>
          <w:tcPr>
            <w:tcW w:w="2260" w:type="dxa"/>
            <w:vMerge/>
            <w:tcBorders>
              <w:top w:val="nil"/>
              <w:left w:val="nil"/>
              <w:bottom w:val="nil"/>
              <w:right w:val="nil"/>
            </w:tcBorders>
            <w:vAlign w:val="center"/>
            <w:hideMark/>
          </w:tcPr>
          <w:p w14:paraId="7D879A4D" w14:textId="77777777" w:rsidR="007D29F8" w:rsidRPr="005B4454" w:rsidRDefault="007D29F8" w:rsidP="00DB6666">
            <w:pPr>
              <w:jc w:val="left"/>
              <w:rPr>
                <w:rFonts w:ascii="Arial Narrow" w:hAnsi="Arial Narrow" w:cs="Arial"/>
                <w:sz w:val="18"/>
              </w:rPr>
            </w:pPr>
          </w:p>
        </w:tc>
        <w:tc>
          <w:tcPr>
            <w:tcW w:w="1480" w:type="dxa"/>
            <w:tcBorders>
              <w:top w:val="nil"/>
              <w:left w:val="nil"/>
              <w:right w:val="nil"/>
            </w:tcBorders>
            <w:shd w:val="clear" w:color="000000" w:fill="C7CFD8"/>
            <w:vAlign w:val="center"/>
            <w:hideMark/>
          </w:tcPr>
          <w:p w14:paraId="563789F6" w14:textId="77777777" w:rsidR="007D29F8" w:rsidRPr="005B4454" w:rsidRDefault="007D29F8" w:rsidP="00DB6666">
            <w:pPr>
              <w:jc w:val="center"/>
              <w:rPr>
                <w:rFonts w:ascii="Arial Narrow" w:hAnsi="Arial Narrow" w:cs="Arial"/>
                <w:b/>
                <w:bCs/>
                <w:i/>
                <w:iCs/>
                <w:sz w:val="18"/>
              </w:rPr>
            </w:pPr>
            <w:r w:rsidRPr="005B4454">
              <w:rPr>
                <w:rFonts w:ascii="Arial Narrow" w:hAnsi="Arial Narrow" w:cs="Arial"/>
                <w:b/>
                <w:bCs/>
                <w:i/>
                <w:iCs/>
                <w:sz w:val="18"/>
              </w:rPr>
              <w:t>A</w:t>
            </w:r>
          </w:p>
        </w:tc>
        <w:tc>
          <w:tcPr>
            <w:tcW w:w="1440" w:type="dxa"/>
            <w:tcBorders>
              <w:top w:val="nil"/>
              <w:left w:val="nil"/>
              <w:right w:val="nil"/>
            </w:tcBorders>
            <w:shd w:val="clear" w:color="000000" w:fill="C7CFD8"/>
            <w:vAlign w:val="center"/>
            <w:hideMark/>
          </w:tcPr>
          <w:p w14:paraId="2BB4844D" w14:textId="77777777" w:rsidR="007D29F8" w:rsidRPr="005B4454" w:rsidRDefault="007D29F8" w:rsidP="00DB6666">
            <w:pPr>
              <w:jc w:val="center"/>
              <w:rPr>
                <w:rFonts w:ascii="Arial Narrow" w:hAnsi="Arial Narrow" w:cs="Arial"/>
                <w:b/>
                <w:bCs/>
                <w:i/>
                <w:iCs/>
                <w:sz w:val="18"/>
              </w:rPr>
            </w:pPr>
            <w:r w:rsidRPr="005B4454">
              <w:rPr>
                <w:rFonts w:ascii="Arial Narrow" w:hAnsi="Arial Narrow" w:cs="Arial"/>
                <w:b/>
                <w:bCs/>
                <w:i/>
                <w:iCs/>
                <w:sz w:val="18"/>
              </w:rPr>
              <w:t>B</w:t>
            </w:r>
          </w:p>
        </w:tc>
        <w:tc>
          <w:tcPr>
            <w:tcW w:w="1400" w:type="dxa"/>
            <w:tcBorders>
              <w:top w:val="nil"/>
              <w:left w:val="nil"/>
              <w:right w:val="nil"/>
            </w:tcBorders>
            <w:shd w:val="clear" w:color="000000" w:fill="C7CFD8"/>
            <w:vAlign w:val="center"/>
            <w:hideMark/>
          </w:tcPr>
          <w:p w14:paraId="474440F5" w14:textId="77777777" w:rsidR="007D29F8" w:rsidRPr="005B4454" w:rsidRDefault="007D29F8" w:rsidP="00DB6666">
            <w:pPr>
              <w:jc w:val="center"/>
              <w:rPr>
                <w:rFonts w:ascii="Arial Narrow" w:hAnsi="Arial Narrow" w:cs="Arial"/>
                <w:b/>
                <w:bCs/>
                <w:i/>
                <w:iCs/>
                <w:sz w:val="18"/>
              </w:rPr>
            </w:pPr>
            <w:r w:rsidRPr="005B4454">
              <w:rPr>
                <w:rFonts w:ascii="Arial Narrow" w:hAnsi="Arial Narrow" w:cs="Arial"/>
                <w:b/>
                <w:bCs/>
                <w:i/>
                <w:iCs/>
                <w:sz w:val="18"/>
              </w:rPr>
              <w:t>C</w:t>
            </w:r>
          </w:p>
        </w:tc>
      </w:tr>
      <w:tr w:rsidR="007D29F8" w:rsidRPr="005B4454" w14:paraId="52761657" w14:textId="77777777" w:rsidTr="00DB6666">
        <w:trPr>
          <w:trHeight w:val="260"/>
          <w:jc w:val="center"/>
        </w:trPr>
        <w:tc>
          <w:tcPr>
            <w:tcW w:w="2260" w:type="dxa"/>
            <w:tcBorders>
              <w:top w:val="nil"/>
              <w:left w:val="nil"/>
              <w:bottom w:val="nil"/>
              <w:right w:val="nil"/>
            </w:tcBorders>
            <w:shd w:val="clear" w:color="auto" w:fill="auto"/>
            <w:vAlign w:val="center"/>
            <w:hideMark/>
          </w:tcPr>
          <w:p w14:paraId="719DE688" w14:textId="77777777" w:rsidR="007D29F8" w:rsidRPr="005B4454" w:rsidRDefault="007D29F8" w:rsidP="00DB6666">
            <w:pPr>
              <w:jc w:val="left"/>
              <w:rPr>
                <w:rFonts w:ascii="Arial Narrow" w:hAnsi="Arial Narrow" w:cs="Arial"/>
                <w:sz w:val="18"/>
              </w:rPr>
            </w:pPr>
            <w:r w:rsidRPr="005B4454">
              <w:rPr>
                <w:rFonts w:ascii="Arial Narrow" w:hAnsi="Arial Narrow" w:cs="Arial"/>
                <w:sz w:val="18"/>
              </w:rPr>
              <w:t>Fonctionnaires temporaires</w:t>
            </w:r>
          </w:p>
        </w:tc>
        <w:tc>
          <w:tcPr>
            <w:tcW w:w="1480" w:type="dxa"/>
            <w:tcBorders>
              <w:left w:val="nil"/>
              <w:bottom w:val="nil"/>
              <w:right w:val="nil"/>
            </w:tcBorders>
            <w:shd w:val="clear" w:color="auto" w:fill="auto"/>
            <w:vAlign w:val="center"/>
            <w:hideMark/>
          </w:tcPr>
          <w:p w14:paraId="51A1E4D1" w14:textId="77777777" w:rsidR="007D29F8" w:rsidRPr="005B4454" w:rsidRDefault="007D29F8" w:rsidP="00DB6666">
            <w:pPr>
              <w:jc w:val="center"/>
              <w:rPr>
                <w:rFonts w:ascii="Arial Narrow" w:hAnsi="Arial Narrow" w:cs="Arial"/>
                <w:sz w:val="18"/>
              </w:rPr>
            </w:pPr>
            <w:r w:rsidRPr="005B4454">
              <w:rPr>
                <w:rFonts w:ascii="Arial Narrow" w:hAnsi="Arial Narrow" w:cs="Arial"/>
                <w:sz w:val="18"/>
              </w:rPr>
              <w:t>1</w:t>
            </w:r>
          </w:p>
        </w:tc>
        <w:tc>
          <w:tcPr>
            <w:tcW w:w="1440" w:type="dxa"/>
            <w:tcBorders>
              <w:left w:val="nil"/>
              <w:bottom w:val="nil"/>
              <w:right w:val="nil"/>
            </w:tcBorders>
            <w:shd w:val="clear" w:color="auto" w:fill="auto"/>
            <w:vAlign w:val="center"/>
            <w:hideMark/>
          </w:tcPr>
          <w:p w14:paraId="4AD4180B" w14:textId="77777777" w:rsidR="007D29F8" w:rsidRPr="005B4454" w:rsidRDefault="007D29F8" w:rsidP="00DB6666">
            <w:pPr>
              <w:jc w:val="center"/>
              <w:rPr>
                <w:rFonts w:ascii="Arial Narrow" w:hAnsi="Arial Narrow" w:cs="Arial"/>
                <w:sz w:val="18"/>
              </w:rPr>
            </w:pPr>
            <w:r w:rsidRPr="005B4454">
              <w:rPr>
                <w:rFonts w:ascii="Arial Narrow" w:hAnsi="Arial Narrow" w:cs="Arial"/>
                <w:sz w:val="18"/>
              </w:rPr>
              <w:t>2</w:t>
            </w:r>
          </w:p>
        </w:tc>
        <w:tc>
          <w:tcPr>
            <w:tcW w:w="1400" w:type="dxa"/>
            <w:tcBorders>
              <w:left w:val="nil"/>
              <w:bottom w:val="nil"/>
              <w:right w:val="nil"/>
            </w:tcBorders>
            <w:shd w:val="clear" w:color="auto" w:fill="auto"/>
            <w:vAlign w:val="center"/>
            <w:hideMark/>
          </w:tcPr>
          <w:p w14:paraId="45AB29F9" w14:textId="77777777" w:rsidR="007D29F8" w:rsidRPr="005B4454" w:rsidRDefault="007D29F8" w:rsidP="00DB6666">
            <w:pPr>
              <w:jc w:val="center"/>
              <w:rPr>
                <w:rFonts w:ascii="Arial Narrow" w:hAnsi="Arial Narrow" w:cs="Arial"/>
                <w:sz w:val="18"/>
              </w:rPr>
            </w:pPr>
            <w:r w:rsidRPr="005B4454">
              <w:rPr>
                <w:rFonts w:ascii="Arial Narrow" w:hAnsi="Arial Narrow" w:cs="Arial"/>
                <w:sz w:val="18"/>
              </w:rPr>
              <w:t>1</w:t>
            </w:r>
          </w:p>
        </w:tc>
      </w:tr>
      <w:tr w:rsidR="007D29F8" w:rsidRPr="005B4454" w14:paraId="2F187F92" w14:textId="77777777" w:rsidTr="00DB6666">
        <w:trPr>
          <w:trHeight w:val="260"/>
          <w:jc w:val="center"/>
        </w:trPr>
        <w:tc>
          <w:tcPr>
            <w:tcW w:w="2260" w:type="dxa"/>
            <w:tcBorders>
              <w:top w:val="nil"/>
              <w:left w:val="nil"/>
              <w:bottom w:val="nil"/>
              <w:right w:val="nil"/>
            </w:tcBorders>
            <w:shd w:val="clear" w:color="auto" w:fill="auto"/>
            <w:vAlign w:val="center"/>
            <w:hideMark/>
          </w:tcPr>
          <w:p w14:paraId="1743DC21" w14:textId="77777777" w:rsidR="007D29F8" w:rsidRPr="005B4454" w:rsidRDefault="007D29F8" w:rsidP="00DB6666">
            <w:pPr>
              <w:jc w:val="left"/>
              <w:rPr>
                <w:rFonts w:ascii="Arial Narrow" w:hAnsi="Arial Narrow" w:cs="Arial"/>
                <w:sz w:val="18"/>
              </w:rPr>
            </w:pPr>
            <w:r w:rsidRPr="005B4454">
              <w:rPr>
                <w:rFonts w:ascii="Arial Narrow" w:hAnsi="Arial Narrow" w:cs="Arial"/>
                <w:sz w:val="18"/>
              </w:rPr>
              <w:t>Personnel intérimaire**</w:t>
            </w:r>
          </w:p>
        </w:tc>
        <w:tc>
          <w:tcPr>
            <w:tcW w:w="1480" w:type="dxa"/>
            <w:tcBorders>
              <w:top w:val="nil"/>
              <w:left w:val="nil"/>
              <w:bottom w:val="nil"/>
              <w:right w:val="nil"/>
            </w:tcBorders>
            <w:shd w:val="clear" w:color="auto" w:fill="auto"/>
            <w:vAlign w:val="center"/>
            <w:hideMark/>
          </w:tcPr>
          <w:p w14:paraId="21608D45" w14:textId="77777777" w:rsidR="007D29F8" w:rsidRPr="005B4454" w:rsidRDefault="007D29F8" w:rsidP="00DB6666">
            <w:pPr>
              <w:jc w:val="center"/>
              <w:rPr>
                <w:rFonts w:ascii="Arial Narrow" w:hAnsi="Arial Narrow" w:cs="Arial"/>
                <w:sz w:val="18"/>
              </w:rPr>
            </w:pPr>
            <w:r w:rsidRPr="005B4454">
              <w:rPr>
                <w:rFonts w:ascii="Arial Narrow" w:hAnsi="Arial Narrow" w:cs="Arial"/>
                <w:sz w:val="18"/>
              </w:rPr>
              <w:t>3</w:t>
            </w:r>
          </w:p>
        </w:tc>
        <w:tc>
          <w:tcPr>
            <w:tcW w:w="1440" w:type="dxa"/>
            <w:tcBorders>
              <w:top w:val="nil"/>
              <w:left w:val="nil"/>
              <w:bottom w:val="nil"/>
              <w:right w:val="nil"/>
            </w:tcBorders>
            <w:shd w:val="clear" w:color="auto" w:fill="auto"/>
            <w:vAlign w:val="center"/>
            <w:hideMark/>
          </w:tcPr>
          <w:p w14:paraId="10185B26" w14:textId="77777777" w:rsidR="007D29F8" w:rsidRPr="005B4454" w:rsidRDefault="007D29F8" w:rsidP="00DB6666">
            <w:pPr>
              <w:jc w:val="center"/>
              <w:rPr>
                <w:rFonts w:ascii="Arial Narrow" w:hAnsi="Arial Narrow" w:cs="Arial"/>
                <w:sz w:val="18"/>
              </w:rPr>
            </w:pPr>
            <w:r w:rsidRPr="005B4454">
              <w:rPr>
                <w:rFonts w:ascii="Arial Narrow" w:hAnsi="Arial Narrow" w:cs="Arial"/>
                <w:sz w:val="18"/>
              </w:rPr>
              <w:t>1</w:t>
            </w:r>
          </w:p>
        </w:tc>
        <w:tc>
          <w:tcPr>
            <w:tcW w:w="1400" w:type="dxa"/>
            <w:tcBorders>
              <w:top w:val="nil"/>
              <w:left w:val="nil"/>
              <w:bottom w:val="nil"/>
              <w:right w:val="nil"/>
            </w:tcBorders>
            <w:shd w:val="clear" w:color="auto" w:fill="auto"/>
            <w:vAlign w:val="center"/>
            <w:hideMark/>
          </w:tcPr>
          <w:p w14:paraId="116D746F" w14:textId="77777777" w:rsidR="007D29F8" w:rsidRPr="005B4454" w:rsidRDefault="007D29F8" w:rsidP="00DB6666">
            <w:pPr>
              <w:jc w:val="center"/>
              <w:rPr>
                <w:rFonts w:ascii="Arial Narrow" w:hAnsi="Arial Narrow" w:cs="Arial"/>
                <w:sz w:val="18"/>
              </w:rPr>
            </w:pPr>
            <w:r w:rsidRPr="005B4454">
              <w:rPr>
                <w:rFonts w:ascii="Arial Narrow" w:hAnsi="Arial Narrow" w:cs="Arial"/>
                <w:sz w:val="18"/>
              </w:rPr>
              <w:t>2 (2024)</w:t>
            </w:r>
          </w:p>
        </w:tc>
      </w:tr>
      <w:tr w:rsidR="007D29F8" w:rsidRPr="005B4454" w14:paraId="0D924376" w14:textId="77777777" w:rsidTr="00DB6666">
        <w:trPr>
          <w:trHeight w:val="260"/>
          <w:jc w:val="center"/>
        </w:trPr>
        <w:tc>
          <w:tcPr>
            <w:tcW w:w="2260" w:type="dxa"/>
            <w:tcBorders>
              <w:top w:val="nil"/>
              <w:left w:val="nil"/>
              <w:bottom w:val="nil"/>
              <w:right w:val="nil"/>
            </w:tcBorders>
            <w:shd w:val="clear" w:color="auto" w:fill="auto"/>
            <w:vAlign w:val="center"/>
            <w:hideMark/>
          </w:tcPr>
          <w:p w14:paraId="59E2D52F" w14:textId="77777777" w:rsidR="007D29F8" w:rsidRPr="005B4454" w:rsidRDefault="007D29F8" w:rsidP="00DB6666">
            <w:pPr>
              <w:jc w:val="left"/>
              <w:rPr>
                <w:rFonts w:ascii="Arial Narrow" w:hAnsi="Arial Narrow" w:cs="Arial"/>
                <w:sz w:val="18"/>
              </w:rPr>
            </w:pPr>
            <w:r w:rsidRPr="005B4454">
              <w:rPr>
                <w:rFonts w:ascii="Arial Narrow" w:hAnsi="Arial Narrow" w:cs="Arial"/>
                <w:sz w:val="18"/>
              </w:rPr>
              <w:t>Boursiers</w:t>
            </w:r>
          </w:p>
        </w:tc>
        <w:tc>
          <w:tcPr>
            <w:tcW w:w="1480" w:type="dxa"/>
            <w:tcBorders>
              <w:top w:val="nil"/>
              <w:left w:val="nil"/>
              <w:bottom w:val="nil"/>
              <w:right w:val="nil"/>
            </w:tcBorders>
            <w:shd w:val="clear" w:color="auto" w:fill="auto"/>
            <w:vAlign w:val="center"/>
            <w:hideMark/>
          </w:tcPr>
          <w:p w14:paraId="6E196169" w14:textId="77777777" w:rsidR="007D29F8" w:rsidRPr="005B4454" w:rsidRDefault="007D29F8" w:rsidP="00DB6666">
            <w:pPr>
              <w:jc w:val="center"/>
              <w:rPr>
                <w:rFonts w:ascii="Arial Narrow" w:hAnsi="Arial Narrow" w:cs="Arial"/>
                <w:sz w:val="18"/>
              </w:rPr>
            </w:pPr>
            <w:r w:rsidRPr="005B4454">
              <w:rPr>
                <w:rFonts w:ascii="Arial Narrow" w:hAnsi="Arial Narrow" w:cs="Arial"/>
                <w:sz w:val="18"/>
              </w:rPr>
              <w:t>1</w:t>
            </w:r>
          </w:p>
        </w:tc>
        <w:tc>
          <w:tcPr>
            <w:tcW w:w="1440" w:type="dxa"/>
            <w:tcBorders>
              <w:top w:val="nil"/>
              <w:left w:val="nil"/>
              <w:bottom w:val="nil"/>
              <w:right w:val="nil"/>
            </w:tcBorders>
            <w:shd w:val="clear" w:color="auto" w:fill="auto"/>
            <w:vAlign w:val="center"/>
            <w:hideMark/>
          </w:tcPr>
          <w:p w14:paraId="5EBAE437" w14:textId="77777777" w:rsidR="007D29F8" w:rsidRPr="005B4454" w:rsidRDefault="007D29F8" w:rsidP="00DB6666">
            <w:pPr>
              <w:jc w:val="center"/>
              <w:rPr>
                <w:rFonts w:ascii="Arial Narrow" w:hAnsi="Arial Narrow" w:cs="Arial"/>
                <w:sz w:val="18"/>
              </w:rPr>
            </w:pPr>
            <w:r w:rsidRPr="005B4454">
              <w:rPr>
                <w:rFonts w:ascii="Arial Narrow" w:hAnsi="Arial Narrow" w:cs="Arial"/>
                <w:sz w:val="18"/>
              </w:rPr>
              <w:t>2</w:t>
            </w:r>
          </w:p>
        </w:tc>
        <w:tc>
          <w:tcPr>
            <w:tcW w:w="1400" w:type="dxa"/>
            <w:tcBorders>
              <w:top w:val="nil"/>
              <w:left w:val="nil"/>
              <w:bottom w:val="nil"/>
              <w:right w:val="nil"/>
            </w:tcBorders>
            <w:shd w:val="clear" w:color="auto" w:fill="auto"/>
            <w:vAlign w:val="center"/>
            <w:hideMark/>
          </w:tcPr>
          <w:p w14:paraId="42D2018D" w14:textId="77777777" w:rsidR="007D29F8" w:rsidRPr="005B4454" w:rsidRDefault="007D29F8" w:rsidP="00DB6666">
            <w:pPr>
              <w:jc w:val="center"/>
              <w:rPr>
                <w:rFonts w:ascii="Arial Narrow" w:hAnsi="Arial Narrow" w:cs="Arial"/>
                <w:sz w:val="18"/>
              </w:rPr>
            </w:pPr>
            <w:r w:rsidRPr="005B4454">
              <w:rPr>
                <w:rFonts w:ascii="Arial Narrow" w:hAnsi="Arial Narrow" w:cs="Arial"/>
                <w:sz w:val="18"/>
              </w:rPr>
              <w:t>1</w:t>
            </w:r>
          </w:p>
        </w:tc>
      </w:tr>
      <w:tr w:rsidR="007D29F8" w:rsidRPr="005B4454" w14:paraId="0B895C8D" w14:textId="77777777" w:rsidTr="00DB6666">
        <w:trPr>
          <w:trHeight w:val="260"/>
          <w:jc w:val="center"/>
        </w:trPr>
        <w:tc>
          <w:tcPr>
            <w:tcW w:w="2260" w:type="dxa"/>
            <w:tcBorders>
              <w:top w:val="nil"/>
              <w:left w:val="nil"/>
              <w:bottom w:val="nil"/>
              <w:right w:val="nil"/>
            </w:tcBorders>
            <w:shd w:val="clear" w:color="auto" w:fill="auto"/>
            <w:vAlign w:val="center"/>
            <w:hideMark/>
          </w:tcPr>
          <w:p w14:paraId="3F32B30D" w14:textId="77777777" w:rsidR="007D29F8" w:rsidRPr="005B4454" w:rsidRDefault="007D29F8" w:rsidP="00DB6666">
            <w:pPr>
              <w:jc w:val="left"/>
              <w:rPr>
                <w:rFonts w:ascii="Arial Narrow" w:hAnsi="Arial Narrow" w:cs="Arial"/>
                <w:sz w:val="18"/>
              </w:rPr>
            </w:pPr>
            <w:r w:rsidRPr="005B4454">
              <w:rPr>
                <w:rFonts w:ascii="Arial Narrow" w:hAnsi="Arial Narrow" w:cs="Arial"/>
                <w:sz w:val="18"/>
              </w:rPr>
              <w:t>Administrateurs auxiliaires</w:t>
            </w:r>
          </w:p>
        </w:tc>
        <w:tc>
          <w:tcPr>
            <w:tcW w:w="1480" w:type="dxa"/>
            <w:tcBorders>
              <w:top w:val="nil"/>
              <w:left w:val="nil"/>
              <w:bottom w:val="nil"/>
              <w:right w:val="nil"/>
            </w:tcBorders>
            <w:shd w:val="clear" w:color="auto" w:fill="auto"/>
            <w:vAlign w:val="center"/>
            <w:hideMark/>
          </w:tcPr>
          <w:p w14:paraId="170BC182" w14:textId="77777777" w:rsidR="007D29F8" w:rsidRPr="005B4454" w:rsidRDefault="007D29F8" w:rsidP="00DB6666">
            <w:pPr>
              <w:jc w:val="center"/>
              <w:rPr>
                <w:rFonts w:ascii="Arial Narrow" w:hAnsi="Arial Narrow" w:cs="Arial"/>
                <w:sz w:val="18"/>
              </w:rPr>
            </w:pPr>
            <w:r w:rsidRPr="005B4454">
              <w:rPr>
                <w:rFonts w:ascii="Arial Narrow" w:hAnsi="Arial Narrow" w:cs="Arial"/>
                <w:sz w:val="18"/>
              </w:rPr>
              <w:t>0</w:t>
            </w:r>
          </w:p>
        </w:tc>
        <w:tc>
          <w:tcPr>
            <w:tcW w:w="1440" w:type="dxa"/>
            <w:tcBorders>
              <w:top w:val="nil"/>
              <w:left w:val="nil"/>
              <w:bottom w:val="nil"/>
              <w:right w:val="nil"/>
            </w:tcBorders>
            <w:shd w:val="clear" w:color="auto" w:fill="auto"/>
            <w:vAlign w:val="center"/>
            <w:hideMark/>
          </w:tcPr>
          <w:p w14:paraId="390B4C27" w14:textId="77777777" w:rsidR="007D29F8" w:rsidRPr="005B4454" w:rsidRDefault="007D29F8" w:rsidP="00DB6666">
            <w:pPr>
              <w:jc w:val="center"/>
              <w:rPr>
                <w:rFonts w:ascii="Arial Narrow" w:hAnsi="Arial Narrow" w:cs="Arial"/>
                <w:sz w:val="18"/>
              </w:rPr>
            </w:pPr>
            <w:r w:rsidRPr="005B4454">
              <w:rPr>
                <w:rFonts w:ascii="Arial Narrow" w:hAnsi="Arial Narrow" w:cs="Arial"/>
                <w:sz w:val="18"/>
              </w:rPr>
              <w:t>1</w:t>
            </w:r>
          </w:p>
        </w:tc>
        <w:tc>
          <w:tcPr>
            <w:tcW w:w="1400" w:type="dxa"/>
            <w:tcBorders>
              <w:top w:val="nil"/>
              <w:left w:val="nil"/>
              <w:bottom w:val="nil"/>
              <w:right w:val="nil"/>
            </w:tcBorders>
            <w:shd w:val="clear" w:color="auto" w:fill="auto"/>
            <w:vAlign w:val="center"/>
            <w:hideMark/>
          </w:tcPr>
          <w:p w14:paraId="0175494A" w14:textId="77777777" w:rsidR="007D29F8" w:rsidRPr="005B4454" w:rsidRDefault="007D29F8" w:rsidP="00DB6666">
            <w:pPr>
              <w:jc w:val="center"/>
              <w:rPr>
                <w:rFonts w:ascii="Arial Narrow" w:hAnsi="Arial Narrow" w:cs="Arial"/>
                <w:sz w:val="18"/>
              </w:rPr>
            </w:pPr>
            <w:r w:rsidRPr="005B4454">
              <w:rPr>
                <w:rFonts w:ascii="Arial Narrow" w:hAnsi="Arial Narrow" w:cs="Arial"/>
                <w:sz w:val="18"/>
              </w:rPr>
              <w:t>1</w:t>
            </w:r>
          </w:p>
        </w:tc>
      </w:tr>
      <w:tr w:rsidR="007D29F8" w:rsidRPr="005B4454" w14:paraId="2EDA13E0" w14:textId="77777777" w:rsidTr="00DB6666">
        <w:trPr>
          <w:trHeight w:val="260"/>
          <w:jc w:val="center"/>
        </w:trPr>
        <w:tc>
          <w:tcPr>
            <w:tcW w:w="2260" w:type="dxa"/>
            <w:tcBorders>
              <w:top w:val="nil"/>
              <w:left w:val="nil"/>
              <w:bottom w:val="nil"/>
              <w:right w:val="nil"/>
            </w:tcBorders>
            <w:shd w:val="clear" w:color="auto" w:fill="auto"/>
            <w:vAlign w:val="center"/>
            <w:hideMark/>
          </w:tcPr>
          <w:p w14:paraId="2FB03756" w14:textId="77777777" w:rsidR="007D29F8" w:rsidRPr="005B4454" w:rsidRDefault="007D29F8" w:rsidP="00DB6666">
            <w:pPr>
              <w:jc w:val="left"/>
              <w:rPr>
                <w:rFonts w:ascii="Arial Narrow" w:hAnsi="Arial Narrow" w:cs="Arial"/>
                <w:sz w:val="18"/>
              </w:rPr>
            </w:pPr>
            <w:r w:rsidRPr="005B4454">
              <w:rPr>
                <w:rFonts w:ascii="Arial Narrow" w:hAnsi="Arial Narrow" w:cs="Arial"/>
                <w:sz w:val="18"/>
              </w:rPr>
              <w:t>Stagiaires</w:t>
            </w:r>
          </w:p>
        </w:tc>
        <w:tc>
          <w:tcPr>
            <w:tcW w:w="1480" w:type="dxa"/>
            <w:tcBorders>
              <w:top w:val="nil"/>
              <w:left w:val="nil"/>
              <w:bottom w:val="nil"/>
              <w:right w:val="nil"/>
            </w:tcBorders>
            <w:shd w:val="clear" w:color="auto" w:fill="auto"/>
            <w:vAlign w:val="center"/>
            <w:hideMark/>
          </w:tcPr>
          <w:p w14:paraId="1647A05F" w14:textId="77777777" w:rsidR="007D29F8" w:rsidRPr="005B4454" w:rsidRDefault="007D29F8" w:rsidP="00DB6666">
            <w:pPr>
              <w:jc w:val="center"/>
              <w:rPr>
                <w:rFonts w:ascii="Arial Narrow" w:hAnsi="Arial Narrow" w:cs="Arial"/>
                <w:sz w:val="18"/>
              </w:rPr>
            </w:pPr>
            <w:r w:rsidRPr="005B4454">
              <w:rPr>
                <w:rFonts w:ascii="Arial Narrow" w:hAnsi="Arial Narrow" w:cs="Arial"/>
                <w:sz w:val="18"/>
              </w:rPr>
              <w:t>1</w:t>
            </w:r>
          </w:p>
        </w:tc>
        <w:tc>
          <w:tcPr>
            <w:tcW w:w="1440" w:type="dxa"/>
            <w:tcBorders>
              <w:top w:val="nil"/>
              <w:left w:val="nil"/>
              <w:bottom w:val="nil"/>
              <w:right w:val="nil"/>
            </w:tcBorders>
            <w:shd w:val="clear" w:color="auto" w:fill="auto"/>
            <w:vAlign w:val="center"/>
            <w:hideMark/>
          </w:tcPr>
          <w:p w14:paraId="54E0083B" w14:textId="77777777" w:rsidR="007D29F8" w:rsidRPr="005B4454" w:rsidRDefault="007D29F8" w:rsidP="00DB6666">
            <w:pPr>
              <w:jc w:val="center"/>
              <w:rPr>
                <w:rFonts w:ascii="Arial Narrow" w:hAnsi="Arial Narrow" w:cs="Arial"/>
                <w:sz w:val="18"/>
              </w:rPr>
            </w:pPr>
            <w:r w:rsidRPr="005B4454">
              <w:rPr>
                <w:rFonts w:ascii="Arial Narrow" w:hAnsi="Arial Narrow" w:cs="Arial"/>
                <w:sz w:val="18"/>
              </w:rPr>
              <w:t>1</w:t>
            </w:r>
          </w:p>
        </w:tc>
        <w:tc>
          <w:tcPr>
            <w:tcW w:w="1400" w:type="dxa"/>
            <w:tcBorders>
              <w:top w:val="nil"/>
              <w:left w:val="nil"/>
              <w:bottom w:val="nil"/>
              <w:right w:val="nil"/>
            </w:tcBorders>
            <w:shd w:val="clear" w:color="auto" w:fill="auto"/>
            <w:vAlign w:val="center"/>
            <w:hideMark/>
          </w:tcPr>
          <w:p w14:paraId="31A8ABF8" w14:textId="77777777" w:rsidR="007D29F8" w:rsidRPr="005B4454" w:rsidRDefault="007D29F8" w:rsidP="00DB6666">
            <w:pPr>
              <w:jc w:val="center"/>
              <w:rPr>
                <w:rFonts w:ascii="Arial Narrow" w:hAnsi="Arial Narrow" w:cs="Arial"/>
                <w:sz w:val="18"/>
              </w:rPr>
            </w:pPr>
            <w:r w:rsidRPr="005B4454">
              <w:rPr>
                <w:rFonts w:ascii="Arial Narrow" w:hAnsi="Arial Narrow" w:cs="Arial"/>
                <w:sz w:val="18"/>
              </w:rPr>
              <w:t>1</w:t>
            </w:r>
          </w:p>
        </w:tc>
      </w:tr>
    </w:tbl>
    <w:p w14:paraId="7F39367D" w14:textId="77777777" w:rsidR="007D29F8" w:rsidRPr="00E12BB9" w:rsidRDefault="007D29F8" w:rsidP="007D29F8">
      <w:pPr>
        <w:rPr>
          <w:color w:val="000000" w:themeColor="text1"/>
        </w:rPr>
      </w:pPr>
    </w:p>
    <w:p w14:paraId="50EC4981" w14:textId="77777777" w:rsidR="005B4454" w:rsidRDefault="007D29F8" w:rsidP="005B4454">
      <w:pPr>
        <w:ind w:left="1560" w:right="1559"/>
        <w:rPr>
          <w:spacing w:val="-2"/>
          <w:sz w:val="16"/>
          <w:szCs w:val="24"/>
        </w:rPr>
      </w:pPr>
      <w:r w:rsidRPr="00E12BB9">
        <w:rPr>
          <w:spacing w:val="-2"/>
          <w:sz w:val="16"/>
          <w:szCs w:val="24"/>
        </w:rPr>
        <w:t>** Les tâches du personnel intérimaire seront assurées dans le cadre de postes à pourvoir au cours de l’exercice</w:t>
      </w:r>
      <w:r>
        <w:rPr>
          <w:spacing w:val="-2"/>
          <w:sz w:val="16"/>
          <w:szCs w:val="24"/>
        </w:rPr>
        <w:t> </w:t>
      </w:r>
      <w:r w:rsidRPr="00E12BB9">
        <w:rPr>
          <w:spacing w:val="-2"/>
          <w:sz w:val="16"/>
          <w:szCs w:val="24"/>
        </w:rPr>
        <w:t>2024-2025.</w:t>
      </w:r>
      <w:bookmarkStart w:id="425" w:name="_Toc61532295"/>
      <w:bookmarkStart w:id="426" w:name="_Toc61533690"/>
    </w:p>
    <w:p w14:paraId="13CCA984" w14:textId="77777777" w:rsidR="005B4454" w:rsidRDefault="005B4454" w:rsidP="005B4454"/>
    <w:p w14:paraId="2D8FE3A7" w14:textId="77777777" w:rsidR="007D29F8" w:rsidRPr="00E12BB9" w:rsidRDefault="007D29F8" w:rsidP="005B4454">
      <w:pPr>
        <w:rPr>
          <w:spacing w:val="-2"/>
          <w:sz w:val="16"/>
          <w:szCs w:val="24"/>
        </w:rPr>
      </w:pPr>
      <w:r w:rsidRPr="00E12BB9">
        <w:br w:type="page"/>
      </w:r>
    </w:p>
    <w:p w14:paraId="041D4813" w14:textId="77777777" w:rsidR="007D29F8" w:rsidRPr="00E12BB9" w:rsidRDefault="007D29F8" w:rsidP="007D29F8">
      <w:pPr>
        <w:pStyle w:val="Heading1"/>
        <w:numPr>
          <w:ilvl w:val="0"/>
          <w:numId w:val="1"/>
        </w:numPr>
        <w:ind w:left="567" w:hanging="567"/>
        <w:rPr>
          <w:lang w:val="fr-FR"/>
        </w:rPr>
      </w:pPr>
      <w:bookmarkStart w:id="427" w:name="_Toc132208450"/>
      <w:bookmarkEnd w:id="425"/>
      <w:bookmarkEnd w:id="426"/>
      <w:r w:rsidRPr="00E12BB9">
        <w:rPr>
          <w:lang w:val="fr-FR"/>
        </w:rPr>
        <w:lastRenderedPageBreak/>
        <w:t>Objectifs et résultats escomptés</w:t>
      </w:r>
      <w:bookmarkEnd w:id="427"/>
    </w:p>
    <w:p w14:paraId="7262C289" w14:textId="77777777" w:rsidR="007D29F8" w:rsidRPr="00E12BB9" w:rsidRDefault="007D29F8" w:rsidP="007D29F8">
      <w:pPr>
        <w:keepNext/>
      </w:pPr>
    </w:p>
    <w:p w14:paraId="51CE0677" w14:textId="77777777" w:rsidR="007D29F8" w:rsidRPr="00E12BB9" w:rsidRDefault="007D29F8" w:rsidP="007D29F8">
      <w:pPr>
        <w:pStyle w:val="Heading2"/>
        <w:rPr>
          <w:sz w:val="24"/>
          <w:lang w:val="fr-FR"/>
        </w:rPr>
      </w:pPr>
      <w:bookmarkStart w:id="428" w:name="_Toc61532296"/>
      <w:bookmarkStart w:id="429" w:name="_Toc61533691"/>
      <w:bookmarkStart w:id="430" w:name="_Toc132208451"/>
      <w:r w:rsidRPr="00E12BB9">
        <w:rPr>
          <w:lang w:val="fr-FR"/>
        </w:rPr>
        <w:t>Introduction</w:t>
      </w:r>
      <w:bookmarkEnd w:id="428"/>
      <w:bookmarkEnd w:id="429"/>
      <w:bookmarkEnd w:id="430"/>
    </w:p>
    <w:p w14:paraId="67DAF771" w14:textId="77777777" w:rsidR="007D29F8" w:rsidRPr="00E12BB9" w:rsidRDefault="007D29F8" w:rsidP="007D29F8"/>
    <w:p w14:paraId="56539FB0" w14:textId="6C2267D8" w:rsidR="007D29F8" w:rsidRPr="00E12BB9" w:rsidRDefault="007D29F8" w:rsidP="007D29F8">
      <w:pPr>
        <w:rPr>
          <w:color w:val="000000" w:themeColor="text1"/>
        </w:rPr>
      </w:pPr>
      <w:r w:rsidRPr="00E12BB9">
        <w:rPr>
          <w:color w:val="000000" w:themeColor="text1"/>
        </w:rPr>
        <w:fldChar w:fldCharType="begin"/>
      </w:r>
      <w:r w:rsidRPr="00E12BB9">
        <w:rPr>
          <w:color w:val="000000" w:themeColor="text1"/>
        </w:rPr>
        <w:instrText xml:space="preserve"> AUTONUM  </w:instrText>
      </w:r>
      <w:r w:rsidRPr="00E12BB9">
        <w:rPr>
          <w:color w:val="000000" w:themeColor="text1"/>
        </w:rPr>
        <w:fldChar w:fldCharType="end"/>
      </w:r>
      <w:r w:rsidRPr="00E12BB9">
        <w:rPr>
          <w:color w:val="000000" w:themeColor="text1"/>
        </w:rPr>
        <w:tab/>
        <w:t>Le programme et budget pour l’exercice biennal 2024-2025 se fonde sur le plan de développement stratégique de l’UPOV pour la période 2023-2027 (document C/56/10).</w:t>
      </w:r>
    </w:p>
    <w:p w14:paraId="61220385" w14:textId="77777777" w:rsidR="007D29F8" w:rsidRPr="00E12BB9" w:rsidRDefault="007D29F8" w:rsidP="007D29F8">
      <w:pPr>
        <w:rPr>
          <w:color w:val="000000" w:themeColor="text1"/>
        </w:rPr>
      </w:pPr>
    </w:p>
    <w:p w14:paraId="70EDE453" w14:textId="77777777" w:rsidR="007D29F8" w:rsidRPr="00E12BB9" w:rsidRDefault="007D29F8" w:rsidP="007D29F8">
      <w:pPr>
        <w:rPr>
          <w:color w:val="000000" w:themeColor="text1"/>
        </w:rPr>
      </w:pPr>
      <w:r w:rsidRPr="00E12BB9">
        <w:rPr>
          <w:color w:val="000000" w:themeColor="text1"/>
        </w:rPr>
        <w:fldChar w:fldCharType="begin"/>
      </w:r>
      <w:r w:rsidRPr="00E12BB9">
        <w:rPr>
          <w:color w:val="000000" w:themeColor="text1"/>
        </w:rPr>
        <w:instrText xml:space="preserve"> AUTONUM  </w:instrText>
      </w:r>
      <w:r w:rsidRPr="00E12BB9">
        <w:rPr>
          <w:color w:val="000000" w:themeColor="text1"/>
        </w:rPr>
        <w:fldChar w:fldCharType="end"/>
      </w:r>
      <w:r w:rsidRPr="00E12BB9">
        <w:rPr>
          <w:color w:val="000000" w:themeColor="text1"/>
        </w:rPr>
        <w:tab/>
        <w:t xml:space="preserve">Dans le cadre de ce plan, la maison stratégique décrit la mission, les piliers stratégiques et la fondation de l’UPOV, fournissant un cadre pour répondre au besoin d’un système efficace de </w:t>
      </w:r>
      <w:r w:rsidRPr="00E12BB9">
        <w:rPr>
          <w:snapToGrid w:val="0"/>
          <w:color w:val="000000" w:themeColor="text1"/>
        </w:rPr>
        <w:t>protection des variétés végétales afin d’encourager l’obtention de variétés dans l’intérêt de tous</w:t>
      </w:r>
      <w:r w:rsidRPr="00E12BB9">
        <w:rPr>
          <w:color w:val="000000" w:themeColor="text1"/>
        </w:rPr>
        <w:t>.</w:t>
      </w:r>
    </w:p>
    <w:p w14:paraId="715D2A47" w14:textId="77777777" w:rsidR="007D29F8" w:rsidRPr="00E12BB9" w:rsidRDefault="007D29F8" w:rsidP="007D29F8">
      <w:pPr>
        <w:rPr>
          <w:color w:val="000000" w:themeColor="text1"/>
        </w:rPr>
      </w:pPr>
    </w:p>
    <w:tbl>
      <w:tblPr>
        <w:tblStyle w:val="TableGrid"/>
        <w:tblW w:w="0" w:type="auto"/>
        <w:tblLook w:val="04A0" w:firstRow="1" w:lastRow="0" w:firstColumn="1" w:lastColumn="0" w:noHBand="0" w:noVBand="1"/>
      </w:tblPr>
      <w:tblGrid>
        <w:gridCol w:w="9639"/>
      </w:tblGrid>
      <w:tr w:rsidR="007D29F8" w:rsidRPr="00E12BB9" w14:paraId="12B65552" w14:textId="77777777" w:rsidTr="00DB6666">
        <w:tc>
          <w:tcPr>
            <w:tcW w:w="9639" w:type="dxa"/>
            <w:tcBorders>
              <w:top w:val="nil"/>
              <w:left w:val="nil"/>
              <w:bottom w:val="nil"/>
              <w:right w:val="nil"/>
            </w:tcBorders>
            <w:hideMark/>
          </w:tcPr>
          <w:p w14:paraId="1E2BD5D0" w14:textId="77777777" w:rsidR="007D29F8" w:rsidRPr="00E12BB9" w:rsidRDefault="007D29F8" w:rsidP="00DB6666">
            <w:pPr>
              <w:jc w:val="center"/>
              <w:rPr>
                <w:noProof/>
                <w:color w:val="000000" w:themeColor="text1"/>
              </w:rPr>
            </w:pPr>
            <w:r w:rsidRPr="00E12BB9">
              <w:rPr>
                <w:noProof/>
                <w:lang w:val="en-US"/>
              </w:rPr>
              <w:drawing>
                <wp:inline distT="0" distB="0" distL="0" distR="0" wp14:anchorId="5BD03DEA" wp14:editId="5EE42E85">
                  <wp:extent cx="5794259" cy="3259308"/>
                  <wp:effectExtent l="0" t="0" r="0" b="0"/>
                  <wp:docPr id="77" name="Graphiqu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5844675" cy="3287667"/>
                          </a:xfrm>
                          <a:prstGeom prst="rect">
                            <a:avLst/>
                          </a:prstGeom>
                        </pic:spPr>
                      </pic:pic>
                    </a:graphicData>
                  </a:graphic>
                </wp:inline>
              </w:drawing>
            </w:r>
          </w:p>
        </w:tc>
      </w:tr>
    </w:tbl>
    <w:p w14:paraId="77F3EC93" w14:textId="77777777" w:rsidR="007D29F8" w:rsidRPr="00E12BB9" w:rsidRDefault="007D29F8" w:rsidP="007D29F8"/>
    <w:p w14:paraId="63C7AFAC" w14:textId="77777777" w:rsidR="007D29F8" w:rsidRPr="00E12BB9" w:rsidRDefault="007D29F8" w:rsidP="007D29F8">
      <w:pPr>
        <w:rPr>
          <w:bCs/>
        </w:rPr>
      </w:pPr>
      <w:r w:rsidRPr="00E12BB9">
        <w:rPr>
          <w:bCs/>
        </w:rPr>
        <w:fldChar w:fldCharType="begin"/>
      </w:r>
      <w:r w:rsidRPr="00E12BB9">
        <w:rPr>
          <w:bCs/>
        </w:rPr>
        <w:instrText xml:space="preserve"> AUTONUM  </w:instrText>
      </w:r>
      <w:r w:rsidRPr="00E12BB9">
        <w:rPr>
          <w:bCs/>
        </w:rPr>
        <w:fldChar w:fldCharType="end"/>
      </w:r>
      <w:r w:rsidRPr="00E12BB9">
        <w:rPr>
          <w:bCs/>
        </w:rPr>
        <w:tab/>
        <w:t>Les trois piliers stratégiques sous-tendent la mission de l’UPOV.  Ils représentent les grands domaines d’action stratégique de l’UPOV, qui sont à leur tour déclinés en résultats escomptés :</w:t>
      </w:r>
    </w:p>
    <w:p w14:paraId="7EAB4574" w14:textId="77777777" w:rsidR="007D29F8" w:rsidRPr="00E12BB9" w:rsidRDefault="007D29F8" w:rsidP="007D29F8">
      <w:pPr>
        <w:rPr>
          <w:bCs/>
        </w:rPr>
      </w:pPr>
    </w:p>
    <w:tbl>
      <w:tblPr>
        <w:tblStyle w:val="TableGrid"/>
        <w:tblW w:w="0" w:type="auto"/>
        <w:tblLook w:val="04A0" w:firstRow="1" w:lastRow="0" w:firstColumn="1" w:lastColumn="0" w:noHBand="0" w:noVBand="1"/>
      </w:tblPr>
      <w:tblGrid>
        <w:gridCol w:w="9639"/>
      </w:tblGrid>
      <w:tr w:rsidR="007D29F8" w:rsidRPr="00E12BB9" w14:paraId="57A13995" w14:textId="77777777" w:rsidTr="00DB6666">
        <w:trPr>
          <w:trHeight w:val="5272"/>
        </w:trPr>
        <w:tc>
          <w:tcPr>
            <w:tcW w:w="9639" w:type="dxa"/>
            <w:tcBorders>
              <w:top w:val="nil"/>
              <w:left w:val="nil"/>
              <w:bottom w:val="nil"/>
              <w:right w:val="nil"/>
            </w:tcBorders>
            <w:hideMark/>
          </w:tcPr>
          <w:p w14:paraId="0B946988" w14:textId="77777777" w:rsidR="007D29F8" w:rsidRPr="00E12BB9" w:rsidRDefault="007D29F8" w:rsidP="00DB6666">
            <w:pPr>
              <w:jc w:val="center"/>
              <w:rPr>
                <w:bCs/>
              </w:rPr>
            </w:pPr>
            <w:r w:rsidRPr="00F7335D">
              <w:rPr>
                <w:bCs/>
                <w:noProof/>
                <w:lang w:val="en-US"/>
              </w:rPr>
              <w:drawing>
                <wp:inline distT="0" distB="0" distL="0" distR="0" wp14:anchorId="72D98F76" wp14:editId="1F619855">
                  <wp:extent cx="5751507" cy="3331596"/>
                  <wp:effectExtent l="0" t="0" r="190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61" r="2382" b="1890"/>
                          <a:stretch/>
                        </pic:blipFill>
                        <pic:spPr bwMode="auto">
                          <a:xfrm>
                            <a:off x="0" y="0"/>
                            <a:ext cx="5762831" cy="33381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F2AE54A" w14:textId="77777777" w:rsidR="007D29F8" w:rsidRPr="00E12BB9" w:rsidRDefault="007D29F8" w:rsidP="007D29F8">
      <w:pPr>
        <w:rPr>
          <w:bCs/>
        </w:rPr>
      </w:pPr>
    </w:p>
    <w:p w14:paraId="0BAB31C3" w14:textId="77777777" w:rsidR="007D29F8" w:rsidRPr="00E12BB9" w:rsidRDefault="007D29F8" w:rsidP="007D29F8">
      <w:pPr>
        <w:rPr>
          <w:bCs/>
        </w:rPr>
      </w:pPr>
      <w:r w:rsidRPr="00E12BB9">
        <w:rPr>
          <w:bCs/>
        </w:rPr>
        <w:lastRenderedPageBreak/>
        <w:fldChar w:fldCharType="begin"/>
      </w:r>
      <w:r w:rsidRPr="00E12BB9">
        <w:rPr>
          <w:bCs/>
        </w:rPr>
        <w:instrText xml:space="preserve"> AUTONUM  </w:instrText>
      </w:r>
      <w:r w:rsidRPr="00E12BB9">
        <w:rPr>
          <w:bCs/>
        </w:rPr>
        <w:fldChar w:fldCharType="end"/>
      </w:r>
      <w:r w:rsidRPr="00E12BB9">
        <w:rPr>
          <w:bCs/>
        </w:rPr>
        <w:tab/>
        <w:t>Dans les sections qui suivent, nous détaillerons chacun des trois piliers stratégiques et la fondation, ainsi que leurs résultats escomptés respectifs.</w:t>
      </w:r>
    </w:p>
    <w:p w14:paraId="41A0AC34" w14:textId="77777777" w:rsidR="007D29F8" w:rsidRPr="00E12BB9" w:rsidRDefault="007D29F8" w:rsidP="007D29F8"/>
    <w:p w14:paraId="4BFB20BB" w14:textId="77777777" w:rsidR="007D29F8" w:rsidRPr="00E12BB9" w:rsidRDefault="007D29F8" w:rsidP="007D29F8"/>
    <w:p w14:paraId="7C23779A" w14:textId="77777777" w:rsidR="007D29F8" w:rsidRPr="00E12BB9" w:rsidRDefault="007D29F8" w:rsidP="001B1508">
      <w:pPr>
        <w:pStyle w:val="Heading2"/>
        <w:ind w:left="0" w:firstLine="0"/>
        <w:rPr>
          <w:lang w:val="fr-FR"/>
        </w:rPr>
      </w:pPr>
      <w:bookmarkStart w:id="431" w:name="_Toc117798882"/>
      <w:bookmarkStart w:id="432" w:name="_Toc107239587"/>
      <w:bookmarkStart w:id="433" w:name="_Toc107239337"/>
      <w:bookmarkStart w:id="434" w:name="_Toc132208452"/>
      <w:r w:rsidRPr="00E12BB9">
        <w:rPr>
          <w:lang w:val="fr-FR"/>
        </w:rPr>
        <w:t>Pilier n° 1 : Réunir les parties prenantes pour aider à façonner le système de l’UPOV</w:t>
      </w:r>
      <w:bookmarkEnd w:id="431"/>
      <w:bookmarkEnd w:id="432"/>
      <w:bookmarkEnd w:id="433"/>
      <w:bookmarkEnd w:id="434"/>
    </w:p>
    <w:p w14:paraId="77B04EB2" w14:textId="77777777" w:rsidR="007D29F8" w:rsidRPr="00E12BB9" w:rsidRDefault="007D29F8" w:rsidP="007D29F8">
      <w:pPr>
        <w:rPr>
          <w:b/>
          <w:bCs/>
          <w:sz w:val="22"/>
          <w:szCs w:val="22"/>
        </w:rPr>
      </w:pPr>
    </w:p>
    <w:p w14:paraId="41C7F754" w14:textId="77777777" w:rsidR="007D29F8" w:rsidRPr="00E12BB9" w:rsidRDefault="007D29F8" w:rsidP="007D29F8">
      <w:pPr>
        <w:pStyle w:val="Heading3"/>
        <w:rPr>
          <w:sz w:val="20"/>
          <w:lang w:val="fr-FR"/>
        </w:rPr>
      </w:pPr>
      <w:bookmarkStart w:id="435" w:name="_Toc132208453"/>
      <w:r w:rsidRPr="00E12BB9">
        <w:rPr>
          <w:lang w:val="fr-FR"/>
        </w:rPr>
        <w:t>Stratégie de mise en œuvre pour parvenir aux résultats escomptés</w:t>
      </w:r>
      <w:bookmarkEnd w:id="435"/>
    </w:p>
    <w:p w14:paraId="2F682450" w14:textId="77777777" w:rsidR="007D29F8" w:rsidRPr="00E12BB9" w:rsidRDefault="007D29F8" w:rsidP="007D29F8">
      <w:pPr>
        <w:rPr>
          <w:b/>
          <w:bCs/>
          <w:sz w:val="22"/>
          <w:szCs w:val="22"/>
        </w:rPr>
      </w:pPr>
    </w:p>
    <w:p w14:paraId="4945DFE3" w14:textId="77777777" w:rsidR="007D29F8" w:rsidRPr="00E12BB9" w:rsidRDefault="007D29F8" w:rsidP="007D29F8">
      <w:pPr>
        <w:rPr>
          <w:bCs/>
        </w:rPr>
      </w:pPr>
      <w:r w:rsidRPr="00E12BB9">
        <w:rPr>
          <w:bCs/>
        </w:rPr>
        <w:fldChar w:fldCharType="begin"/>
      </w:r>
      <w:r w:rsidRPr="00E12BB9">
        <w:rPr>
          <w:bCs/>
        </w:rPr>
        <w:instrText xml:space="preserve"> AUTONUM  </w:instrText>
      </w:r>
      <w:r w:rsidRPr="00E12BB9">
        <w:rPr>
          <w:bCs/>
        </w:rPr>
        <w:fldChar w:fldCharType="end"/>
      </w:r>
      <w:r w:rsidRPr="00E12BB9">
        <w:rPr>
          <w:bCs/>
        </w:rPr>
        <w:tab/>
        <w:t xml:space="preserve">Ce pilier stratégique est axé sur le rôle de facilitateur de l’UPOV, qui réunit les membres de l’Union pour surveiller et coordonner les activités de l’UPOV et collabore avec les parties prenantes pour </w:t>
      </w:r>
      <w:r>
        <w:rPr>
          <w:bCs/>
        </w:rPr>
        <w:t xml:space="preserve">contribuer à </w:t>
      </w:r>
      <w:r w:rsidRPr="00E12BB9">
        <w:rPr>
          <w:bCs/>
        </w:rPr>
        <w:t>façonner l’avenir du système de l’UPOV.</w:t>
      </w:r>
    </w:p>
    <w:p w14:paraId="18AAE49A" w14:textId="77777777" w:rsidR="007D29F8" w:rsidRPr="00E12BB9" w:rsidRDefault="007D29F8" w:rsidP="007D29F8">
      <w:pPr>
        <w:rPr>
          <w:b/>
          <w:bCs/>
          <w:sz w:val="22"/>
          <w:szCs w:val="22"/>
        </w:rPr>
      </w:pPr>
    </w:p>
    <w:p w14:paraId="6F10B951" w14:textId="77777777" w:rsidR="007D29F8" w:rsidRPr="00E12BB9" w:rsidRDefault="007D29F8" w:rsidP="007D29F8">
      <w:pPr>
        <w:pStyle w:val="Heading4"/>
        <w:rPr>
          <w:lang w:val="fr-FR"/>
        </w:rPr>
      </w:pPr>
      <w:r w:rsidRPr="00E12BB9">
        <w:rPr>
          <w:lang w:val="fr-FR"/>
        </w:rPr>
        <w:t>1.1</w:t>
      </w:r>
      <w:r w:rsidRPr="00E12BB9">
        <w:rPr>
          <w:lang w:val="fr-FR"/>
        </w:rPr>
        <w:tab/>
        <w:t>Gouvernance par le Conseil de l’UPOV et travaux des comités de l’UPOV et autres organes de l’UPOV</w:t>
      </w:r>
    </w:p>
    <w:p w14:paraId="6FA23C4D" w14:textId="77777777" w:rsidR="007D29F8" w:rsidRPr="00F7335D" w:rsidRDefault="007D29F8" w:rsidP="007D29F8"/>
    <w:p w14:paraId="3DF05B1F" w14:textId="77777777" w:rsidR="007D29F8" w:rsidRPr="00E12BB9" w:rsidRDefault="007D29F8" w:rsidP="007D29F8">
      <w:r w:rsidRPr="00E12BB9">
        <w:fldChar w:fldCharType="begin"/>
      </w:r>
      <w:r w:rsidRPr="00E12BB9">
        <w:instrText xml:space="preserve"> AUTONUM  </w:instrText>
      </w:r>
      <w:r w:rsidRPr="00E12BB9">
        <w:fldChar w:fldCharType="end"/>
      </w:r>
      <w:r w:rsidRPr="00E12BB9">
        <w:tab/>
        <w:t>Le Conseil, composé de membres de l’Union et d’observateurs, continuera à assurer la gouvernance de l’UPOV, en suivant les orientations du Comité consultatif, du Comité administratif et juridique et du Comité technique.</w:t>
      </w:r>
    </w:p>
    <w:p w14:paraId="48E4858F" w14:textId="77777777" w:rsidR="007D29F8" w:rsidRPr="00E12BB9" w:rsidRDefault="007D29F8" w:rsidP="007D29F8"/>
    <w:p w14:paraId="01E49BDD" w14:textId="77777777" w:rsidR="007D29F8" w:rsidRPr="00E12BB9" w:rsidRDefault="007D29F8" w:rsidP="007D29F8">
      <w:r w:rsidRPr="00E12BB9">
        <w:fldChar w:fldCharType="begin"/>
      </w:r>
      <w:r w:rsidRPr="00E12BB9">
        <w:instrText xml:space="preserve"> AUTONUM  </w:instrText>
      </w:r>
      <w:r w:rsidRPr="00E12BB9">
        <w:fldChar w:fldCharType="end"/>
      </w:r>
      <w:r w:rsidRPr="00E12BB9">
        <w:tab/>
        <w:t>En ce qui concerne les réunions des organes de l’UPOV, il conviendra d’examiner l’utilisation des outils pour la tenue de réunions virtuelles en vue d’accroître le taux de participation aux réunions et l’efficacité, tout en gagnant du temps et en réduisant les coûts.</w:t>
      </w:r>
    </w:p>
    <w:p w14:paraId="3A3C29C1" w14:textId="77777777" w:rsidR="007D29F8" w:rsidRPr="00E12BB9" w:rsidRDefault="007D29F8" w:rsidP="007D29F8"/>
    <w:p w14:paraId="311A9AFF" w14:textId="77777777" w:rsidR="007D29F8" w:rsidRPr="00E12BB9" w:rsidRDefault="007D29F8" w:rsidP="007D29F8">
      <w:r w:rsidRPr="00E12BB9">
        <w:fldChar w:fldCharType="begin"/>
      </w:r>
      <w:r w:rsidRPr="00E12BB9">
        <w:instrText xml:space="preserve"> AUTONUM  </w:instrText>
      </w:r>
      <w:r w:rsidRPr="00E12BB9">
        <w:fldChar w:fldCharType="end"/>
      </w:r>
      <w:r w:rsidRPr="00E12BB9">
        <w:tab/>
        <w:t>Au fur et à mesure de l’évolution de l’UPOV, et dans le but d’atteindre une efficacité maximale, le travail des comités sera maintenu sous contrôle.  Un examen est en cours au sein du Comité technique afin d’évaluer les possibilités d’amélioration du travail du Comité technique et ainsi gagner en efficacité, notamment en vue d’accroître la coopération en tant qu’avantage fondamental de l’adhésion à l’UPOV.</w:t>
      </w:r>
    </w:p>
    <w:p w14:paraId="64B8F6DC" w14:textId="77777777" w:rsidR="007D29F8" w:rsidRPr="00E12BB9" w:rsidRDefault="007D29F8" w:rsidP="007D29F8"/>
    <w:p w14:paraId="26E3480A" w14:textId="77777777" w:rsidR="007D29F8" w:rsidRPr="00E12BB9" w:rsidRDefault="007D29F8" w:rsidP="007D29F8">
      <w:pPr>
        <w:pStyle w:val="Heading4"/>
        <w:rPr>
          <w:lang w:val="fr-FR"/>
        </w:rPr>
      </w:pPr>
      <w:r w:rsidRPr="00E12BB9">
        <w:rPr>
          <w:lang w:val="fr-FR"/>
        </w:rPr>
        <w:t>1.2</w:t>
      </w:r>
      <w:r w:rsidRPr="00E12BB9">
        <w:rPr>
          <w:lang w:val="fr-FR"/>
        </w:rPr>
        <w:tab/>
        <w:t>Élaboration de la législation sur la protection des obtentions végétales selon l’acte de 1991 de la Convention UPOV</w:t>
      </w:r>
    </w:p>
    <w:p w14:paraId="784F739B" w14:textId="77777777" w:rsidR="007D29F8" w:rsidRPr="00E12BB9" w:rsidRDefault="007D29F8" w:rsidP="007D29F8">
      <w:pPr>
        <w:rPr>
          <w:bCs/>
        </w:rPr>
      </w:pPr>
    </w:p>
    <w:p w14:paraId="1B13088F" w14:textId="77777777" w:rsidR="007D29F8" w:rsidRPr="00E12BB9" w:rsidRDefault="007D29F8" w:rsidP="007D29F8">
      <w:pPr>
        <w:rPr>
          <w:bCs/>
        </w:rPr>
      </w:pPr>
      <w:r w:rsidRPr="00E12BB9">
        <w:rPr>
          <w:bCs/>
        </w:rPr>
        <w:fldChar w:fldCharType="begin"/>
      </w:r>
      <w:r w:rsidRPr="00E12BB9">
        <w:rPr>
          <w:bCs/>
        </w:rPr>
        <w:instrText xml:space="preserve"> AUTONUM  </w:instrText>
      </w:r>
      <w:r w:rsidRPr="00E12BB9">
        <w:rPr>
          <w:bCs/>
        </w:rPr>
        <w:fldChar w:fldCharType="end"/>
      </w:r>
      <w:r w:rsidRPr="00E12BB9">
        <w:rPr>
          <w:bCs/>
        </w:rPr>
        <w:tab/>
        <w:t>Tout État ou organisation intergouvernementale qui souhaite devenir membre de l’UPOV doit obtenir l’avis positif du Conseil de l’UPOV sur la conformité de ses lois avec les dispositions de la Convention UPOV avant de déposer son instrument d’adhésion.  Une partie essentielle du travail de l’UPOV consiste à fournir des orientations aux États et organisations intergouvernementales qui souhaitent élaborer une législation selon l’acte de 1991 de la Convention UPOV.</w:t>
      </w:r>
    </w:p>
    <w:p w14:paraId="443C042E" w14:textId="77777777" w:rsidR="007D29F8" w:rsidRPr="00E12BB9" w:rsidRDefault="007D29F8" w:rsidP="007D29F8">
      <w:pPr>
        <w:rPr>
          <w:bCs/>
        </w:rPr>
      </w:pPr>
    </w:p>
    <w:p w14:paraId="4D793552" w14:textId="77777777" w:rsidR="007D29F8" w:rsidRPr="00E12BB9" w:rsidRDefault="007D29F8" w:rsidP="007D29F8">
      <w:pPr>
        <w:pStyle w:val="Heading3"/>
        <w:rPr>
          <w:lang w:val="fr-FR"/>
        </w:rPr>
      </w:pPr>
      <w:bookmarkStart w:id="436" w:name="_Toc132208454"/>
      <w:r w:rsidRPr="00E12BB9">
        <w:rPr>
          <w:lang w:val="fr-FR"/>
        </w:rPr>
        <w:t>Résultats escomptés et indicateurs d’exécution</w:t>
      </w:r>
      <w:bookmarkEnd w:id="436"/>
    </w:p>
    <w:p w14:paraId="3DFF781C" w14:textId="77777777" w:rsidR="007D29F8" w:rsidRPr="00E12BB9" w:rsidRDefault="007D29F8" w:rsidP="007D29F8">
      <w:pPr>
        <w:rPr>
          <w:bCs/>
        </w:rPr>
      </w:pPr>
    </w:p>
    <w:tbl>
      <w:tblPr>
        <w:tblStyle w:val="TableGrid"/>
        <w:tblW w:w="9634" w:type="dxa"/>
        <w:tblBorders>
          <w:top w:val="none" w:sz="0" w:space="0" w:color="auto"/>
          <w:left w:val="none" w:sz="0" w:space="0" w:color="auto"/>
          <w:bottom w:val="single" w:sz="4" w:space="0" w:color="F2F2F2" w:themeColor="background1" w:themeShade="F2"/>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7D29F8" w:rsidRPr="00E12BB9" w14:paraId="155CBD9F" w14:textId="77777777" w:rsidTr="00DB6666">
        <w:tc>
          <w:tcPr>
            <w:tcW w:w="426" w:type="dxa"/>
            <w:tcBorders>
              <w:bottom w:val="single" w:sz="4" w:space="0" w:color="D9D9D9" w:themeColor="background1" w:themeShade="D9"/>
            </w:tcBorders>
            <w:shd w:val="clear" w:color="auto" w:fill="E2E7EB" w:themeFill="accent3" w:themeFillTint="33"/>
          </w:tcPr>
          <w:p w14:paraId="0CAFA48A" w14:textId="77777777" w:rsidR="007D29F8" w:rsidRPr="00E12BB9" w:rsidRDefault="007D29F8" w:rsidP="00DB6666">
            <w:pPr>
              <w:jc w:val="left"/>
              <w:rPr>
                <w:b/>
                <w:bCs/>
                <w:sz w:val="16"/>
                <w:szCs w:val="16"/>
              </w:rPr>
            </w:pPr>
          </w:p>
        </w:tc>
        <w:tc>
          <w:tcPr>
            <w:tcW w:w="3255" w:type="dxa"/>
            <w:tcBorders>
              <w:bottom w:val="single" w:sz="4" w:space="0" w:color="D9D9D9" w:themeColor="background1" w:themeShade="D9"/>
            </w:tcBorders>
            <w:shd w:val="clear" w:color="auto" w:fill="E2E7EB" w:themeFill="accent3" w:themeFillTint="33"/>
          </w:tcPr>
          <w:p w14:paraId="4947F7DB" w14:textId="77777777" w:rsidR="007D29F8" w:rsidRPr="00E12BB9" w:rsidRDefault="007D29F8" w:rsidP="00DB6666">
            <w:pPr>
              <w:jc w:val="left"/>
              <w:rPr>
                <w:b/>
                <w:bCs/>
                <w:sz w:val="16"/>
                <w:szCs w:val="16"/>
              </w:rPr>
            </w:pPr>
            <w:r w:rsidRPr="00E12BB9">
              <w:rPr>
                <w:b/>
                <w:bCs/>
                <w:sz w:val="16"/>
                <w:szCs w:val="16"/>
              </w:rPr>
              <w:t>Résultats escomptés</w:t>
            </w:r>
          </w:p>
        </w:tc>
        <w:tc>
          <w:tcPr>
            <w:tcW w:w="305" w:type="dxa"/>
            <w:tcBorders>
              <w:bottom w:val="single" w:sz="4" w:space="0" w:color="D9D9D9" w:themeColor="background1" w:themeShade="D9"/>
            </w:tcBorders>
            <w:shd w:val="clear" w:color="auto" w:fill="E2E7EB" w:themeFill="accent3" w:themeFillTint="33"/>
          </w:tcPr>
          <w:p w14:paraId="68FC6F76" w14:textId="77777777" w:rsidR="007D29F8" w:rsidRPr="00E12BB9" w:rsidRDefault="007D29F8" w:rsidP="00DB6666">
            <w:pPr>
              <w:jc w:val="center"/>
              <w:rPr>
                <w:b/>
                <w:bCs/>
                <w:sz w:val="16"/>
                <w:szCs w:val="16"/>
              </w:rPr>
            </w:pPr>
          </w:p>
        </w:tc>
        <w:tc>
          <w:tcPr>
            <w:tcW w:w="2457" w:type="dxa"/>
            <w:tcBorders>
              <w:bottom w:val="single" w:sz="4" w:space="0" w:color="D9D9D9" w:themeColor="background1" w:themeShade="D9"/>
            </w:tcBorders>
            <w:shd w:val="clear" w:color="auto" w:fill="E2E7EB" w:themeFill="accent3" w:themeFillTint="33"/>
          </w:tcPr>
          <w:p w14:paraId="374CF914" w14:textId="77777777" w:rsidR="007D29F8" w:rsidRPr="00E12BB9" w:rsidRDefault="007D29F8" w:rsidP="00DB6666">
            <w:pPr>
              <w:rPr>
                <w:b/>
                <w:bCs/>
                <w:sz w:val="16"/>
                <w:szCs w:val="16"/>
              </w:rPr>
            </w:pPr>
            <w:r w:rsidRPr="00E12BB9">
              <w:rPr>
                <w:b/>
                <w:bCs/>
                <w:sz w:val="16"/>
                <w:szCs w:val="16"/>
              </w:rPr>
              <w:t>Indicateurs d’exécution</w:t>
            </w:r>
          </w:p>
        </w:tc>
        <w:tc>
          <w:tcPr>
            <w:tcW w:w="1632" w:type="dxa"/>
            <w:tcBorders>
              <w:bottom w:val="single" w:sz="4" w:space="0" w:color="D9D9D9" w:themeColor="background1" w:themeShade="D9"/>
            </w:tcBorders>
            <w:shd w:val="clear" w:color="auto" w:fill="E2E7EB" w:themeFill="accent3" w:themeFillTint="33"/>
          </w:tcPr>
          <w:p w14:paraId="1EFC4DBB" w14:textId="77777777" w:rsidR="007D29F8" w:rsidRPr="00E12BB9" w:rsidRDefault="007D29F8" w:rsidP="00DB6666">
            <w:pPr>
              <w:jc w:val="center"/>
              <w:rPr>
                <w:b/>
                <w:bCs/>
                <w:sz w:val="16"/>
                <w:szCs w:val="16"/>
              </w:rPr>
            </w:pPr>
            <w:r w:rsidRPr="00E12BB9">
              <w:rPr>
                <w:b/>
                <w:bCs/>
                <w:sz w:val="16"/>
                <w:szCs w:val="16"/>
              </w:rPr>
              <w:t>Niveaux de référence</w:t>
            </w:r>
          </w:p>
        </w:tc>
        <w:tc>
          <w:tcPr>
            <w:tcW w:w="1559" w:type="dxa"/>
            <w:tcBorders>
              <w:bottom w:val="single" w:sz="4" w:space="0" w:color="D9D9D9" w:themeColor="background1" w:themeShade="D9"/>
            </w:tcBorders>
            <w:shd w:val="clear" w:color="auto" w:fill="E2E7EB" w:themeFill="accent3" w:themeFillTint="33"/>
          </w:tcPr>
          <w:p w14:paraId="503ED420" w14:textId="77777777" w:rsidR="007D29F8" w:rsidRPr="00E12BB9" w:rsidRDefault="007D29F8" w:rsidP="00DB6666">
            <w:pPr>
              <w:jc w:val="center"/>
              <w:rPr>
                <w:b/>
                <w:bCs/>
                <w:sz w:val="16"/>
                <w:szCs w:val="16"/>
              </w:rPr>
            </w:pPr>
            <w:r w:rsidRPr="00E12BB9">
              <w:rPr>
                <w:b/>
                <w:bCs/>
                <w:sz w:val="16"/>
                <w:szCs w:val="16"/>
              </w:rPr>
              <w:t>Objectifs visés (2024-2025)</w:t>
            </w:r>
          </w:p>
        </w:tc>
      </w:tr>
      <w:tr w:rsidR="007D29F8" w:rsidRPr="00E12BB9" w14:paraId="5CCE817B" w14:textId="77777777" w:rsidTr="00DB6666">
        <w:tc>
          <w:tcPr>
            <w:tcW w:w="426" w:type="dxa"/>
            <w:tcBorders>
              <w:top w:val="single" w:sz="4" w:space="0" w:color="D9D9D9" w:themeColor="background1" w:themeShade="D9"/>
            </w:tcBorders>
          </w:tcPr>
          <w:p w14:paraId="21E3491E" w14:textId="77777777" w:rsidR="007D29F8" w:rsidRPr="00E12BB9" w:rsidRDefault="007D29F8" w:rsidP="00DB6666">
            <w:pPr>
              <w:jc w:val="left"/>
              <w:rPr>
                <w:rFonts w:cs="Arial"/>
                <w:sz w:val="16"/>
                <w:szCs w:val="16"/>
              </w:rPr>
            </w:pPr>
            <w:r w:rsidRPr="00E12BB9">
              <w:rPr>
                <w:rFonts w:cs="Arial"/>
                <w:sz w:val="16"/>
                <w:szCs w:val="16"/>
              </w:rPr>
              <w:t>1.1</w:t>
            </w:r>
          </w:p>
        </w:tc>
        <w:tc>
          <w:tcPr>
            <w:tcW w:w="3255" w:type="dxa"/>
            <w:tcBorders>
              <w:top w:val="single" w:sz="4" w:space="0" w:color="D9D9D9" w:themeColor="background1" w:themeShade="D9"/>
            </w:tcBorders>
          </w:tcPr>
          <w:p w14:paraId="2778BAE6" w14:textId="77777777" w:rsidR="007D29F8" w:rsidRPr="00E12BB9" w:rsidRDefault="007D29F8" w:rsidP="00DB6666">
            <w:pPr>
              <w:jc w:val="left"/>
              <w:rPr>
                <w:rFonts w:cs="Arial"/>
                <w:sz w:val="16"/>
                <w:szCs w:val="16"/>
              </w:rPr>
            </w:pPr>
            <w:r w:rsidRPr="00E12BB9">
              <w:rPr>
                <w:rFonts w:cs="Arial"/>
                <w:sz w:val="16"/>
                <w:szCs w:val="16"/>
              </w:rPr>
              <w:t>Gouvernance par le Conseil de l’UPOV et travaux des comités de l’UPOV et autres organes de l’UPOV</w:t>
            </w:r>
          </w:p>
        </w:tc>
        <w:tc>
          <w:tcPr>
            <w:tcW w:w="305" w:type="dxa"/>
            <w:tcBorders>
              <w:top w:val="single" w:sz="4" w:space="0" w:color="D9D9D9" w:themeColor="background1" w:themeShade="D9"/>
            </w:tcBorders>
          </w:tcPr>
          <w:p w14:paraId="5DA6C978" w14:textId="77777777" w:rsidR="007D29F8" w:rsidRPr="00E12BB9" w:rsidRDefault="007D29F8" w:rsidP="00DB6666">
            <w:pPr>
              <w:jc w:val="center"/>
              <w:rPr>
                <w:rFonts w:cs="Arial"/>
                <w:sz w:val="16"/>
                <w:szCs w:val="16"/>
              </w:rPr>
            </w:pPr>
          </w:p>
        </w:tc>
        <w:tc>
          <w:tcPr>
            <w:tcW w:w="2457" w:type="dxa"/>
            <w:tcBorders>
              <w:top w:val="single" w:sz="4" w:space="0" w:color="D9D9D9" w:themeColor="background1" w:themeShade="D9"/>
            </w:tcBorders>
          </w:tcPr>
          <w:p w14:paraId="628BD81C" w14:textId="77777777" w:rsidR="007D29F8" w:rsidRPr="00E12BB9" w:rsidRDefault="007D29F8" w:rsidP="00DB6666">
            <w:pPr>
              <w:jc w:val="left"/>
              <w:rPr>
                <w:rFonts w:cs="Arial"/>
                <w:sz w:val="16"/>
                <w:szCs w:val="16"/>
              </w:rPr>
            </w:pPr>
            <w:r w:rsidRPr="00E12BB9">
              <w:rPr>
                <w:rFonts w:cs="Arial"/>
                <w:sz w:val="16"/>
                <w:szCs w:val="16"/>
              </w:rPr>
              <w:t>Augmentation du nombre de variétés mises au point dans le cadre du système de l’UPOV</w:t>
            </w:r>
          </w:p>
        </w:tc>
        <w:tc>
          <w:tcPr>
            <w:tcW w:w="1632" w:type="dxa"/>
            <w:tcBorders>
              <w:top w:val="single" w:sz="4" w:space="0" w:color="D9D9D9" w:themeColor="background1" w:themeShade="D9"/>
            </w:tcBorders>
            <w:vAlign w:val="bottom"/>
          </w:tcPr>
          <w:p w14:paraId="29EE8A02" w14:textId="77777777" w:rsidR="007D29F8" w:rsidRPr="00E12BB9" w:rsidRDefault="007D29F8" w:rsidP="00DB6666">
            <w:pPr>
              <w:jc w:val="left"/>
              <w:rPr>
                <w:rFonts w:cs="Arial"/>
                <w:sz w:val="16"/>
                <w:szCs w:val="16"/>
              </w:rPr>
            </w:pPr>
          </w:p>
        </w:tc>
        <w:tc>
          <w:tcPr>
            <w:tcW w:w="1559" w:type="dxa"/>
            <w:tcBorders>
              <w:top w:val="single" w:sz="4" w:space="0" w:color="D9D9D9" w:themeColor="background1" w:themeShade="D9"/>
            </w:tcBorders>
            <w:vAlign w:val="bottom"/>
          </w:tcPr>
          <w:p w14:paraId="3F312E6A" w14:textId="77777777" w:rsidR="007D29F8" w:rsidRPr="00E12BB9" w:rsidRDefault="007D29F8" w:rsidP="00DB6666">
            <w:pPr>
              <w:jc w:val="center"/>
              <w:rPr>
                <w:rFonts w:cs="Arial"/>
                <w:sz w:val="16"/>
                <w:szCs w:val="16"/>
              </w:rPr>
            </w:pPr>
          </w:p>
        </w:tc>
      </w:tr>
      <w:tr w:rsidR="007D29F8" w:rsidRPr="00E12BB9" w14:paraId="37380332" w14:textId="77777777" w:rsidTr="00DB6666">
        <w:tc>
          <w:tcPr>
            <w:tcW w:w="426" w:type="dxa"/>
          </w:tcPr>
          <w:p w14:paraId="794A37E0" w14:textId="77777777" w:rsidR="007D29F8" w:rsidRPr="00E12BB9" w:rsidRDefault="007D29F8" w:rsidP="00DB6666">
            <w:pPr>
              <w:jc w:val="left"/>
              <w:rPr>
                <w:rFonts w:cs="Arial"/>
                <w:sz w:val="16"/>
                <w:szCs w:val="16"/>
              </w:rPr>
            </w:pPr>
          </w:p>
        </w:tc>
        <w:tc>
          <w:tcPr>
            <w:tcW w:w="3255" w:type="dxa"/>
          </w:tcPr>
          <w:p w14:paraId="2F4E97AB" w14:textId="77777777" w:rsidR="007D29F8" w:rsidRPr="00E12BB9" w:rsidRDefault="007D29F8" w:rsidP="00DB6666">
            <w:pPr>
              <w:jc w:val="left"/>
              <w:rPr>
                <w:rFonts w:cs="Arial"/>
                <w:sz w:val="16"/>
                <w:szCs w:val="16"/>
              </w:rPr>
            </w:pPr>
          </w:p>
        </w:tc>
        <w:tc>
          <w:tcPr>
            <w:tcW w:w="305" w:type="dxa"/>
          </w:tcPr>
          <w:p w14:paraId="751D485F" w14:textId="77777777" w:rsidR="007D29F8" w:rsidRPr="00E12BB9" w:rsidRDefault="007D29F8" w:rsidP="00DB6666">
            <w:pPr>
              <w:jc w:val="center"/>
              <w:rPr>
                <w:rFonts w:cs="Arial"/>
                <w:sz w:val="16"/>
                <w:szCs w:val="16"/>
              </w:rPr>
            </w:pPr>
          </w:p>
        </w:tc>
        <w:tc>
          <w:tcPr>
            <w:tcW w:w="2457" w:type="dxa"/>
          </w:tcPr>
          <w:p w14:paraId="7F6E48C3" w14:textId="77777777" w:rsidR="007D29F8" w:rsidRPr="00E12BB9" w:rsidRDefault="007D29F8" w:rsidP="00DB6666">
            <w:pPr>
              <w:ind w:left="284"/>
              <w:jc w:val="left"/>
              <w:rPr>
                <w:rFonts w:cs="Arial"/>
                <w:sz w:val="16"/>
                <w:szCs w:val="16"/>
              </w:rPr>
            </w:pPr>
            <w:r w:rsidRPr="00E12BB9">
              <w:rPr>
                <w:rFonts w:cs="Arial"/>
                <w:sz w:val="16"/>
                <w:szCs w:val="16"/>
              </w:rPr>
              <w:t>Nombre de demandes déposées sur le territoire des membres de l’UPOV</w:t>
            </w:r>
          </w:p>
        </w:tc>
        <w:tc>
          <w:tcPr>
            <w:tcW w:w="1632" w:type="dxa"/>
            <w:vAlign w:val="center"/>
          </w:tcPr>
          <w:p w14:paraId="44EA628A" w14:textId="77777777" w:rsidR="007D29F8" w:rsidRPr="00E12BB9" w:rsidRDefault="007D29F8" w:rsidP="00DB6666">
            <w:pPr>
              <w:ind w:right="221"/>
              <w:jc w:val="right"/>
              <w:rPr>
                <w:rFonts w:cs="Arial"/>
                <w:sz w:val="16"/>
                <w:szCs w:val="16"/>
              </w:rPr>
            </w:pPr>
            <w:r w:rsidRPr="00E12BB9">
              <w:rPr>
                <w:rFonts w:cs="Arial"/>
                <w:sz w:val="16"/>
                <w:szCs w:val="16"/>
              </w:rPr>
              <w:t>25 135 (2021)</w:t>
            </w:r>
          </w:p>
        </w:tc>
        <w:tc>
          <w:tcPr>
            <w:tcW w:w="1559" w:type="dxa"/>
            <w:vAlign w:val="center"/>
          </w:tcPr>
          <w:p w14:paraId="6ED33227" w14:textId="77777777" w:rsidR="007D29F8" w:rsidRPr="00E12BB9" w:rsidRDefault="007D29F8" w:rsidP="00DB6666">
            <w:pPr>
              <w:ind w:right="230"/>
              <w:jc w:val="right"/>
              <w:rPr>
                <w:rFonts w:cs="Arial"/>
                <w:sz w:val="16"/>
                <w:szCs w:val="16"/>
              </w:rPr>
            </w:pPr>
            <w:r w:rsidRPr="00E12BB9">
              <w:rPr>
                <w:rFonts w:cs="Arial"/>
                <w:sz w:val="16"/>
                <w:szCs w:val="16"/>
              </w:rPr>
              <w:t>27 500 (2024)</w:t>
            </w:r>
          </w:p>
        </w:tc>
      </w:tr>
      <w:tr w:rsidR="007D29F8" w:rsidRPr="00E12BB9" w14:paraId="4DDE2D45" w14:textId="77777777" w:rsidTr="00DB6666">
        <w:tc>
          <w:tcPr>
            <w:tcW w:w="426" w:type="dxa"/>
          </w:tcPr>
          <w:p w14:paraId="7ADF66E8" w14:textId="77777777" w:rsidR="007D29F8" w:rsidRPr="00E12BB9" w:rsidRDefault="007D29F8" w:rsidP="00DB6666">
            <w:pPr>
              <w:jc w:val="left"/>
              <w:rPr>
                <w:rFonts w:cs="Arial"/>
                <w:sz w:val="16"/>
                <w:szCs w:val="16"/>
              </w:rPr>
            </w:pPr>
          </w:p>
        </w:tc>
        <w:tc>
          <w:tcPr>
            <w:tcW w:w="3255" w:type="dxa"/>
          </w:tcPr>
          <w:p w14:paraId="677BD900" w14:textId="77777777" w:rsidR="007D29F8" w:rsidRPr="00E12BB9" w:rsidRDefault="007D29F8" w:rsidP="00DB6666">
            <w:pPr>
              <w:jc w:val="left"/>
              <w:rPr>
                <w:rFonts w:cs="Arial"/>
                <w:sz w:val="16"/>
                <w:szCs w:val="16"/>
              </w:rPr>
            </w:pPr>
          </w:p>
        </w:tc>
        <w:tc>
          <w:tcPr>
            <w:tcW w:w="305" w:type="dxa"/>
            <w:tcBorders>
              <w:bottom w:val="nil"/>
            </w:tcBorders>
          </w:tcPr>
          <w:p w14:paraId="1540C59F" w14:textId="77777777" w:rsidR="007D29F8" w:rsidRPr="00E12BB9" w:rsidRDefault="007D29F8" w:rsidP="00DB6666">
            <w:pPr>
              <w:jc w:val="center"/>
              <w:rPr>
                <w:rFonts w:cs="Arial"/>
                <w:sz w:val="16"/>
                <w:szCs w:val="16"/>
              </w:rPr>
            </w:pPr>
          </w:p>
        </w:tc>
        <w:tc>
          <w:tcPr>
            <w:tcW w:w="2457" w:type="dxa"/>
            <w:tcBorders>
              <w:bottom w:val="nil"/>
            </w:tcBorders>
          </w:tcPr>
          <w:p w14:paraId="70EA1876" w14:textId="77777777" w:rsidR="007D29F8" w:rsidRPr="00E12BB9" w:rsidRDefault="007D29F8" w:rsidP="00DB6666">
            <w:pPr>
              <w:ind w:left="284"/>
              <w:jc w:val="left"/>
              <w:rPr>
                <w:rFonts w:cs="Arial"/>
                <w:sz w:val="16"/>
                <w:szCs w:val="16"/>
              </w:rPr>
            </w:pPr>
            <w:r w:rsidRPr="00E12BB9">
              <w:rPr>
                <w:rFonts w:cs="Arial"/>
                <w:sz w:val="16"/>
                <w:szCs w:val="16"/>
              </w:rPr>
              <w:t xml:space="preserve">Nombre de titres délivrés sur le territoire des membres de l’UPOV </w:t>
            </w:r>
          </w:p>
        </w:tc>
        <w:tc>
          <w:tcPr>
            <w:tcW w:w="1632" w:type="dxa"/>
            <w:vAlign w:val="center"/>
          </w:tcPr>
          <w:p w14:paraId="5FB94D71" w14:textId="77777777" w:rsidR="007D29F8" w:rsidRPr="00E12BB9" w:rsidRDefault="007D29F8" w:rsidP="00DB6666">
            <w:pPr>
              <w:ind w:right="221"/>
              <w:jc w:val="right"/>
              <w:rPr>
                <w:rFonts w:cs="Arial"/>
                <w:sz w:val="16"/>
                <w:szCs w:val="16"/>
              </w:rPr>
            </w:pPr>
            <w:r w:rsidRPr="00E12BB9">
              <w:rPr>
                <w:rFonts w:cs="Arial"/>
                <w:sz w:val="16"/>
                <w:szCs w:val="16"/>
              </w:rPr>
              <w:t>15 081 (2021)</w:t>
            </w:r>
          </w:p>
        </w:tc>
        <w:tc>
          <w:tcPr>
            <w:tcW w:w="1559" w:type="dxa"/>
            <w:vAlign w:val="center"/>
          </w:tcPr>
          <w:p w14:paraId="62DCDB83" w14:textId="77777777" w:rsidR="007D29F8" w:rsidRPr="00E12BB9" w:rsidRDefault="007D29F8" w:rsidP="00DB6666">
            <w:pPr>
              <w:ind w:right="230"/>
              <w:jc w:val="right"/>
              <w:rPr>
                <w:rFonts w:cs="Arial"/>
                <w:sz w:val="16"/>
                <w:szCs w:val="16"/>
              </w:rPr>
            </w:pPr>
            <w:r w:rsidRPr="00E12BB9">
              <w:rPr>
                <w:rFonts w:cs="Arial"/>
                <w:sz w:val="16"/>
                <w:szCs w:val="16"/>
              </w:rPr>
              <w:t>16 500 (2024)</w:t>
            </w:r>
          </w:p>
        </w:tc>
      </w:tr>
      <w:tr w:rsidR="007D29F8" w:rsidRPr="00E12BB9" w14:paraId="6ED813AB" w14:textId="77777777" w:rsidTr="00DB6666">
        <w:tc>
          <w:tcPr>
            <w:tcW w:w="426" w:type="dxa"/>
            <w:tcBorders>
              <w:bottom w:val="single" w:sz="4" w:space="0" w:color="D9D9D9" w:themeColor="background1" w:themeShade="D9"/>
            </w:tcBorders>
          </w:tcPr>
          <w:p w14:paraId="5F7B937F" w14:textId="77777777" w:rsidR="007D29F8" w:rsidRPr="00E12BB9" w:rsidRDefault="007D29F8" w:rsidP="00DB6666">
            <w:pPr>
              <w:jc w:val="left"/>
              <w:rPr>
                <w:rFonts w:cs="Arial"/>
                <w:sz w:val="16"/>
                <w:szCs w:val="16"/>
              </w:rPr>
            </w:pPr>
          </w:p>
        </w:tc>
        <w:tc>
          <w:tcPr>
            <w:tcW w:w="3255" w:type="dxa"/>
            <w:tcBorders>
              <w:bottom w:val="single" w:sz="4" w:space="0" w:color="D9D9D9" w:themeColor="background1" w:themeShade="D9"/>
            </w:tcBorders>
          </w:tcPr>
          <w:p w14:paraId="22D64A67" w14:textId="77777777" w:rsidR="007D29F8" w:rsidRPr="00E12BB9" w:rsidRDefault="007D29F8" w:rsidP="00DB6666">
            <w:pPr>
              <w:jc w:val="left"/>
              <w:rPr>
                <w:rFonts w:cs="Arial"/>
                <w:sz w:val="16"/>
                <w:szCs w:val="16"/>
              </w:rPr>
            </w:pPr>
          </w:p>
        </w:tc>
        <w:tc>
          <w:tcPr>
            <w:tcW w:w="305" w:type="dxa"/>
            <w:tcBorders>
              <w:bottom w:val="single" w:sz="4" w:space="0" w:color="D9D9D9" w:themeColor="background1" w:themeShade="D9"/>
              <w:right w:val="nil"/>
            </w:tcBorders>
          </w:tcPr>
          <w:p w14:paraId="11F10E0A" w14:textId="77777777" w:rsidR="007D29F8" w:rsidRPr="00E12BB9" w:rsidRDefault="007D29F8" w:rsidP="00DB6666">
            <w:pPr>
              <w:jc w:val="center"/>
              <w:rPr>
                <w:rFonts w:cs="Arial"/>
                <w:sz w:val="16"/>
                <w:szCs w:val="16"/>
              </w:rPr>
            </w:pPr>
          </w:p>
        </w:tc>
        <w:tc>
          <w:tcPr>
            <w:tcW w:w="2457" w:type="dxa"/>
            <w:tcBorders>
              <w:left w:val="nil"/>
              <w:bottom w:val="single" w:sz="4" w:space="0" w:color="D9D9D9" w:themeColor="background1" w:themeShade="D9"/>
            </w:tcBorders>
          </w:tcPr>
          <w:p w14:paraId="67B44715" w14:textId="77777777" w:rsidR="007D29F8" w:rsidRPr="00E12BB9" w:rsidRDefault="007D29F8" w:rsidP="00DB6666">
            <w:pPr>
              <w:ind w:left="284"/>
              <w:jc w:val="left"/>
              <w:rPr>
                <w:rFonts w:cs="Arial"/>
                <w:sz w:val="16"/>
                <w:szCs w:val="16"/>
              </w:rPr>
            </w:pPr>
            <w:r w:rsidRPr="00E12BB9">
              <w:rPr>
                <w:rFonts w:cs="Arial"/>
                <w:sz w:val="16"/>
                <w:szCs w:val="16"/>
              </w:rPr>
              <w:t>Nombre de titres en vigueur sur le territoire des membres de l’UPOV</w:t>
            </w:r>
          </w:p>
        </w:tc>
        <w:tc>
          <w:tcPr>
            <w:tcW w:w="1632" w:type="dxa"/>
            <w:tcBorders>
              <w:bottom w:val="single" w:sz="4" w:space="0" w:color="D9D9D9" w:themeColor="background1" w:themeShade="D9"/>
            </w:tcBorders>
            <w:vAlign w:val="center"/>
          </w:tcPr>
          <w:p w14:paraId="0A17EC57" w14:textId="77777777" w:rsidR="007D29F8" w:rsidRPr="00E12BB9" w:rsidRDefault="007D29F8" w:rsidP="00DB6666">
            <w:pPr>
              <w:ind w:right="221"/>
              <w:jc w:val="right"/>
              <w:rPr>
                <w:rFonts w:cs="Arial"/>
                <w:sz w:val="16"/>
                <w:szCs w:val="16"/>
              </w:rPr>
            </w:pPr>
            <w:r w:rsidRPr="00E12BB9">
              <w:rPr>
                <w:rFonts w:cs="Arial"/>
                <w:sz w:val="16"/>
                <w:szCs w:val="16"/>
              </w:rPr>
              <w:t>155 122 (2021)</w:t>
            </w:r>
          </w:p>
        </w:tc>
        <w:tc>
          <w:tcPr>
            <w:tcW w:w="1559" w:type="dxa"/>
            <w:tcBorders>
              <w:bottom w:val="single" w:sz="4" w:space="0" w:color="D9D9D9" w:themeColor="background1" w:themeShade="D9"/>
            </w:tcBorders>
            <w:vAlign w:val="center"/>
          </w:tcPr>
          <w:p w14:paraId="52D274CF" w14:textId="77777777" w:rsidR="007D29F8" w:rsidRPr="00E12BB9" w:rsidRDefault="007D29F8" w:rsidP="00DB6666">
            <w:pPr>
              <w:ind w:right="230"/>
              <w:jc w:val="right"/>
              <w:rPr>
                <w:rFonts w:cs="Arial"/>
                <w:sz w:val="16"/>
                <w:szCs w:val="16"/>
              </w:rPr>
            </w:pPr>
            <w:r w:rsidRPr="00E12BB9">
              <w:rPr>
                <w:rFonts w:cs="Arial"/>
                <w:sz w:val="16"/>
                <w:szCs w:val="16"/>
              </w:rPr>
              <w:t>170 000 (2024)</w:t>
            </w:r>
          </w:p>
        </w:tc>
      </w:tr>
      <w:tr w:rsidR="007D29F8" w:rsidRPr="00E12BB9" w14:paraId="5B1D9FCD" w14:textId="77777777" w:rsidTr="00DB6666">
        <w:tc>
          <w:tcPr>
            <w:tcW w:w="426" w:type="dxa"/>
            <w:tcBorders>
              <w:top w:val="single" w:sz="4" w:space="0" w:color="D9D9D9" w:themeColor="background1" w:themeShade="D9"/>
            </w:tcBorders>
          </w:tcPr>
          <w:p w14:paraId="72778B97" w14:textId="77777777" w:rsidR="007D29F8" w:rsidRPr="00E12BB9" w:rsidRDefault="007D29F8" w:rsidP="00DB6666">
            <w:pPr>
              <w:jc w:val="left"/>
              <w:rPr>
                <w:rFonts w:cs="Arial"/>
                <w:sz w:val="16"/>
                <w:szCs w:val="16"/>
              </w:rPr>
            </w:pPr>
            <w:r w:rsidRPr="00E12BB9">
              <w:rPr>
                <w:rFonts w:cs="Arial"/>
                <w:sz w:val="16"/>
                <w:szCs w:val="16"/>
              </w:rPr>
              <w:t>1.2</w:t>
            </w:r>
          </w:p>
        </w:tc>
        <w:tc>
          <w:tcPr>
            <w:tcW w:w="3255" w:type="dxa"/>
            <w:tcBorders>
              <w:top w:val="single" w:sz="4" w:space="0" w:color="D9D9D9" w:themeColor="background1" w:themeShade="D9"/>
            </w:tcBorders>
          </w:tcPr>
          <w:p w14:paraId="6F332573" w14:textId="77777777" w:rsidR="007D29F8" w:rsidRPr="00E12BB9" w:rsidRDefault="007D29F8" w:rsidP="00DB6666">
            <w:pPr>
              <w:jc w:val="left"/>
              <w:rPr>
                <w:rFonts w:cs="Arial"/>
                <w:sz w:val="16"/>
                <w:szCs w:val="16"/>
              </w:rPr>
            </w:pPr>
            <w:r w:rsidRPr="00E12BB9">
              <w:rPr>
                <w:rFonts w:cs="Arial"/>
                <w:sz w:val="16"/>
                <w:szCs w:val="16"/>
              </w:rPr>
              <w:t>Élaboration de la législation sur la protection des obtentions végétales selon l’</w:t>
            </w:r>
            <w:r>
              <w:rPr>
                <w:rFonts w:cs="Arial"/>
                <w:sz w:val="16"/>
                <w:szCs w:val="16"/>
              </w:rPr>
              <w:t>Acte </w:t>
            </w:r>
            <w:r w:rsidRPr="00E12BB9">
              <w:rPr>
                <w:rFonts w:cs="Arial"/>
                <w:sz w:val="16"/>
                <w:szCs w:val="16"/>
              </w:rPr>
              <w:t>de 1991 de la Convention UPOV</w:t>
            </w:r>
          </w:p>
        </w:tc>
        <w:tc>
          <w:tcPr>
            <w:tcW w:w="305" w:type="dxa"/>
            <w:tcBorders>
              <w:top w:val="single" w:sz="4" w:space="0" w:color="D9D9D9" w:themeColor="background1" w:themeShade="D9"/>
            </w:tcBorders>
          </w:tcPr>
          <w:p w14:paraId="1830A7E3" w14:textId="77777777" w:rsidR="007D29F8" w:rsidRPr="00E12BB9" w:rsidRDefault="007D29F8" w:rsidP="00DB6666">
            <w:pPr>
              <w:jc w:val="center"/>
              <w:rPr>
                <w:rFonts w:cs="Arial"/>
                <w:sz w:val="16"/>
                <w:szCs w:val="16"/>
              </w:rPr>
            </w:pPr>
          </w:p>
        </w:tc>
        <w:tc>
          <w:tcPr>
            <w:tcW w:w="2457" w:type="dxa"/>
            <w:tcBorders>
              <w:top w:val="single" w:sz="4" w:space="0" w:color="D9D9D9" w:themeColor="background1" w:themeShade="D9"/>
            </w:tcBorders>
          </w:tcPr>
          <w:p w14:paraId="1DA573BA" w14:textId="77777777" w:rsidR="007D29F8" w:rsidRPr="00E12BB9" w:rsidRDefault="007D29F8" w:rsidP="00DB6666">
            <w:pPr>
              <w:jc w:val="left"/>
              <w:rPr>
                <w:rFonts w:cs="Arial"/>
                <w:sz w:val="16"/>
                <w:szCs w:val="16"/>
              </w:rPr>
            </w:pPr>
            <w:r w:rsidRPr="00E12BB9">
              <w:rPr>
                <w:rFonts w:cs="Arial"/>
                <w:sz w:val="16"/>
                <w:szCs w:val="16"/>
              </w:rPr>
              <w:t>Nombre d’États et d’organisations devenus membres de l’UPOV</w:t>
            </w:r>
          </w:p>
        </w:tc>
        <w:tc>
          <w:tcPr>
            <w:tcW w:w="1632" w:type="dxa"/>
            <w:tcBorders>
              <w:top w:val="single" w:sz="4" w:space="0" w:color="D9D9D9" w:themeColor="background1" w:themeShade="D9"/>
            </w:tcBorders>
            <w:vAlign w:val="bottom"/>
          </w:tcPr>
          <w:p w14:paraId="6F556C40" w14:textId="77777777" w:rsidR="007D29F8" w:rsidRPr="00E12BB9" w:rsidRDefault="007D29F8" w:rsidP="00DB6666">
            <w:pPr>
              <w:jc w:val="left"/>
              <w:rPr>
                <w:rFonts w:cs="Arial"/>
                <w:sz w:val="16"/>
                <w:szCs w:val="16"/>
              </w:rPr>
            </w:pPr>
          </w:p>
        </w:tc>
        <w:tc>
          <w:tcPr>
            <w:tcW w:w="1559" w:type="dxa"/>
            <w:tcBorders>
              <w:top w:val="single" w:sz="4" w:space="0" w:color="D9D9D9" w:themeColor="background1" w:themeShade="D9"/>
            </w:tcBorders>
            <w:vAlign w:val="bottom"/>
          </w:tcPr>
          <w:p w14:paraId="3B26D09B" w14:textId="77777777" w:rsidR="007D29F8" w:rsidRPr="00E12BB9" w:rsidRDefault="007D29F8" w:rsidP="00DB6666">
            <w:pPr>
              <w:jc w:val="center"/>
              <w:rPr>
                <w:rFonts w:cs="Arial"/>
                <w:sz w:val="16"/>
                <w:szCs w:val="16"/>
              </w:rPr>
            </w:pPr>
          </w:p>
        </w:tc>
      </w:tr>
      <w:tr w:rsidR="007D29F8" w:rsidRPr="00E12BB9" w14:paraId="2711D164" w14:textId="77777777" w:rsidTr="00DB6666">
        <w:tc>
          <w:tcPr>
            <w:tcW w:w="426" w:type="dxa"/>
            <w:tcBorders>
              <w:bottom w:val="single" w:sz="4" w:space="0" w:color="D9D9D9" w:themeColor="background1" w:themeShade="D9"/>
            </w:tcBorders>
          </w:tcPr>
          <w:p w14:paraId="1A885EFB" w14:textId="77777777" w:rsidR="007D29F8" w:rsidRPr="00E12BB9" w:rsidRDefault="007D29F8" w:rsidP="00DB6666">
            <w:pPr>
              <w:jc w:val="left"/>
              <w:rPr>
                <w:rFonts w:cs="Arial"/>
                <w:sz w:val="16"/>
                <w:szCs w:val="16"/>
              </w:rPr>
            </w:pPr>
          </w:p>
        </w:tc>
        <w:tc>
          <w:tcPr>
            <w:tcW w:w="3255" w:type="dxa"/>
            <w:tcBorders>
              <w:bottom w:val="single" w:sz="4" w:space="0" w:color="D9D9D9" w:themeColor="background1" w:themeShade="D9"/>
            </w:tcBorders>
          </w:tcPr>
          <w:p w14:paraId="7CB07F0C" w14:textId="77777777" w:rsidR="007D29F8" w:rsidRPr="00E12BB9" w:rsidRDefault="007D29F8" w:rsidP="00DB6666">
            <w:pPr>
              <w:jc w:val="left"/>
              <w:rPr>
                <w:rFonts w:cs="Arial"/>
                <w:sz w:val="16"/>
                <w:szCs w:val="16"/>
              </w:rPr>
            </w:pPr>
          </w:p>
        </w:tc>
        <w:tc>
          <w:tcPr>
            <w:tcW w:w="305" w:type="dxa"/>
            <w:tcBorders>
              <w:bottom w:val="single" w:sz="4" w:space="0" w:color="D9D9D9" w:themeColor="background1" w:themeShade="D9"/>
            </w:tcBorders>
          </w:tcPr>
          <w:p w14:paraId="1A06F496" w14:textId="77777777" w:rsidR="007D29F8" w:rsidRPr="00E12BB9" w:rsidRDefault="007D29F8" w:rsidP="00DB6666">
            <w:pPr>
              <w:jc w:val="center"/>
              <w:rPr>
                <w:rFonts w:cs="Arial"/>
                <w:sz w:val="16"/>
                <w:szCs w:val="16"/>
              </w:rPr>
            </w:pPr>
          </w:p>
        </w:tc>
        <w:tc>
          <w:tcPr>
            <w:tcW w:w="2457" w:type="dxa"/>
            <w:tcBorders>
              <w:bottom w:val="single" w:sz="4" w:space="0" w:color="D9D9D9" w:themeColor="background1" w:themeShade="D9"/>
            </w:tcBorders>
          </w:tcPr>
          <w:p w14:paraId="17E1D079" w14:textId="77777777" w:rsidR="007D29F8" w:rsidRPr="00E12BB9" w:rsidRDefault="007D29F8" w:rsidP="00DB6666">
            <w:pPr>
              <w:ind w:left="284"/>
              <w:jc w:val="left"/>
              <w:rPr>
                <w:rFonts w:cs="Arial"/>
                <w:sz w:val="16"/>
                <w:szCs w:val="16"/>
              </w:rPr>
            </w:pPr>
            <w:r w:rsidRPr="00E12BB9">
              <w:rPr>
                <w:rFonts w:cs="Arial"/>
                <w:sz w:val="16"/>
                <w:szCs w:val="16"/>
              </w:rPr>
              <w:t>États et organisations devenus membres de l’Union</w:t>
            </w:r>
          </w:p>
        </w:tc>
        <w:tc>
          <w:tcPr>
            <w:tcW w:w="1632" w:type="dxa"/>
            <w:tcBorders>
              <w:bottom w:val="single" w:sz="4" w:space="0" w:color="D9D9D9" w:themeColor="background1" w:themeShade="D9"/>
            </w:tcBorders>
            <w:vAlign w:val="center"/>
          </w:tcPr>
          <w:p w14:paraId="4D076B5A" w14:textId="77777777" w:rsidR="007D29F8" w:rsidRPr="00E12BB9" w:rsidRDefault="007D29F8" w:rsidP="00DB6666">
            <w:pPr>
              <w:jc w:val="center"/>
              <w:rPr>
                <w:rFonts w:cs="Arial"/>
                <w:sz w:val="16"/>
                <w:szCs w:val="16"/>
              </w:rPr>
            </w:pPr>
            <w:r w:rsidRPr="00E12BB9">
              <w:rPr>
                <w:rFonts w:cs="Arial"/>
                <w:sz w:val="16"/>
                <w:szCs w:val="16"/>
              </w:rPr>
              <w:t>1 par an (2020-2021)</w:t>
            </w:r>
          </w:p>
        </w:tc>
        <w:tc>
          <w:tcPr>
            <w:tcW w:w="1559" w:type="dxa"/>
            <w:tcBorders>
              <w:bottom w:val="single" w:sz="4" w:space="0" w:color="D9D9D9" w:themeColor="background1" w:themeShade="D9"/>
            </w:tcBorders>
            <w:vAlign w:val="center"/>
          </w:tcPr>
          <w:p w14:paraId="30AE3AC8" w14:textId="77777777" w:rsidR="007D29F8" w:rsidRPr="00E12BB9" w:rsidRDefault="007D29F8" w:rsidP="00DB6666">
            <w:pPr>
              <w:jc w:val="center"/>
              <w:rPr>
                <w:rFonts w:cs="Arial"/>
                <w:sz w:val="16"/>
                <w:szCs w:val="16"/>
              </w:rPr>
            </w:pPr>
            <w:r w:rsidRPr="00E12BB9">
              <w:rPr>
                <w:rFonts w:cs="Arial"/>
                <w:sz w:val="16"/>
                <w:szCs w:val="16"/>
              </w:rPr>
              <w:t>1 par an</w:t>
            </w:r>
          </w:p>
        </w:tc>
      </w:tr>
    </w:tbl>
    <w:p w14:paraId="719AAEC9" w14:textId="77777777" w:rsidR="007D29F8" w:rsidRPr="00E12BB9" w:rsidRDefault="007D29F8" w:rsidP="007D29F8"/>
    <w:p w14:paraId="56303D78" w14:textId="77777777" w:rsidR="007D29F8" w:rsidRPr="00E12BB9" w:rsidRDefault="007D29F8" w:rsidP="001B1508">
      <w:pPr>
        <w:pStyle w:val="Heading2"/>
        <w:ind w:left="0" w:firstLine="0"/>
        <w:rPr>
          <w:lang w:val="fr-FR"/>
        </w:rPr>
      </w:pPr>
      <w:bookmarkStart w:id="437" w:name="_Toc132208455"/>
      <w:r w:rsidRPr="00E12BB9">
        <w:rPr>
          <w:lang w:val="fr-FR"/>
        </w:rPr>
        <w:lastRenderedPageBreak/>
        <w:t>Pilier n° 2 : Fournir des orientations et une assistance et faciliter la coopération pour la mise en place du système de l’UPOV</w:t>
      </w:r>
      <w:bookmarkEnd w:id="437"/>
    </w:p>
    <w:p w14:paraId="13B30687" w14:textId="77777777" w:rsidR="007D29F8" w:rsidRPr="00E12BB9" w:rsidRDefault="007D29F8" w:rsidP="007D29F8">
      <w:pPr>
        <w:keepNext/>
        <w:jc w:val="left"/>
        <w:rPr>
          <w:b/>
        </w:rPr>
      </w:pPr>
    </w:p>
    <w:p w14:paraId="560E2C07" w14:textId="77777777" w:rsidR="007D29F8" w:rsidRPr="00E12BB9" w:rsidRDefault="007D29F8" w:rsidP="007D29F8">
      <w:pPr>
        <w:pStyle w:val="Heading3"/>
        <w:rPr>
          <w:sz w:val="20"/>
          <w:lang w:val="fr-FR"/>
        </w:rPr>
      </w:pPr>
      <w:bookmarkStart w:id="438" w:name="_Toc132208456"/>
      <w:r w:rsidRPr="00E12BB9">
        <w:rPr>
          <w:lang w:val="fr-FR"/>
        </w:rPr>
        <w:t>Stratégie de mise en œuvre pour parvenir aux résultats escomptés</w:t>
      </w:r>
      <w:bookmarkEnd w:id="438"/>
    </w:p>
    <w:p w14:paraId="78BBF137" w14:textId="77777777" w:rsidR="007D29F8" w:rsidRPr="00E12BB9" w:rsidRDefault="007D29F8" w:rsidP="007D29F8">
      <w:pPr>
        <w:keepNext/>
        <w:rPr>
          <w:color w:val="000000" w:themeColor="text1"/>
        </w:rPr>
      </w:pPr>
    </w:p>
    <w:p w14:paraId="5D21C1AA" w14:textId="77777777" w:rsidR="007D29F8" w:rsidRPr="00E12BB9" w:rsidRDefault="007D29F8" w:rsidP="007D29F8">
      <w:pPr>
        <w:rPr>
          <w:color w:val="000000" w:themeColor="text1"/>
        </w:rPr>
      </w:pPr>
      <w:r w:rsidRPr="00E12BB9">
        <w:rPr>
          <w:color w:val="000000" w:themeColor="text1"/>
        </w:rPr>
        <w:fldChar w:fldCharType="begin"/>
      </w:r>
      <w:r w:rsidRPr="00E12BB9">
        <w:rPr>
          <w:color w:val="000000" w:themeColor="text1"/>
        </w:rPr>
        <w:instrText xml:space="preserve"> AUTONUM  </w:instrText>
      </w:r>
      <w:r w:rsidRPr="00E12BB9">
        <w:rPr>
          <w:color w:val="000000" w:themeColor="text1"/>
        </w:rPr>
        <w:fldChar w:fldCharType="end"/>
      </w:r>
      <w:r w:rsidRPr="00E12BB9">
        <w:rPr>
          <w:color w:val="000000" w:themeColor="text1"/>
        </w:rPr>
        <w:tab/>
        <w:t>Ce pilier stratégique détaille les activités menées par l’UPOV pour expliquer les raisons pour lesquelles le système de l’UPOV encourage l’obtention de variétés, les avantages des obtentions végétales pour la société et le rôle du système de l’UPOV en ce qui concerne l’agriculture et le développement économique du secteur rural.  Un objectif particulier consiste à organiser des activités de sensibilisation aux avantages de l’adhésion à l’UPOV et de la protection des obtentions végétales selon la Convention UPOV à l’intention des États et des organisations intergouvernementales qui ne sont pas membres de l’Union.  Ce pilier stratégique inclut également la fourniture d’orientations et d’informations pour le fonctionnement du système de protection des obtentions végétales de l’UPOV, ainsi que l’appui à la coopération entre les membres de l’Union, y compris les travaux d’harmonisation.</w:t>
      </w:r>
    </w:p>
    <w:p w14:paraId="730F8C2B" w14:textId="77777777" w:rsidR="007D29F8" w:rsidRPr="00E12BB9" w:rsidRDefault="007D29F8" w:rsidP="007D29F8">
      <w:pPr>
        <w:rPr>
          <w:color w:val="000000" w:themeColor="text1"/>
        </w:rPr>
      </w:pPr>
    </w:p>
    <w:p w14:paraId="36813FAA" w14:textId="77777777" w:rsidR="007D29F8" w:rsidRPr="00E12BB9" w:rsidRDefault="007D29F8" w:rsidP="007D29F8">
      <w:pPr>
        <w:pStyle w:val="Heading4"/>
        <w:rPr>
          <w:color w:val="000000"/>
          <w:lang w:val="fr-FR"/>
          <w14:textFill>
            <w14:solidFill>
              <w14:srgbClr w14:val="000000">
                <w14:lumMod w14:val="75000"/>
              </w14:srgbClr>
            </w14:solidFill>
          </w14:textFill>
        </w:rPr>
      </w:pPr>
      <w:bookmarkStart w:id="439" w:name="_Toc117798890"/>
      <w:bookmarkStart w:id="440" w:name="_Toc107239595"/>
      <w:bookmarkStart w:id="441" w:name="_Toc107239345"/>
      <w:r w:rsidRPr="00E12BB9">
        <w:rPr>
          <w:lang w:val="fr-FR"/>
        </w:rPr>
        <w:t>2.1</w:t>
      </w:r>
      <w:r w:rsidRPr="00E12BB9">
        <w:rPr>
          <w:lang w:val="fr-FR"/>
        </w:rPr>
        <w:tab/>
      </w:r>
      <w:bookmarkEnd w:id="439"/>
      <w:bookmarkEnd w:id="440"/>
      <w:bookmarkEnd w:id="441"/>
      <w:r w:rsidRPr="00E12BB9">
        <w:rPr>
          <w:lang w:val="fr-FR"/>
        </w:rPr>
        <w:t>Sensibilisation accrue au rôle du système de l’UPOV</w:t>
      </w:r>
    </w:p>
    <w:p w14:paraId="177421EB" w14:textId="77777777" w:rsidR="007D29F8" w:rsidRPr="00E12BB9" w:rsidRDefault="007D29F8" w:rsidP="007D29F8">
      <w:pPr>
        <w:pStyle w:val="Heading5"/>
        <w:rPr>
          <w:lang w:val="fr-FR"/>
        </w:rPr>
      </w:pPr>
    </w:p>
    <w:p w14:paraId="5D4600F2" w14:textId="77777777" w:rsidR="007D29F8" w:rsidRPr="00E12BB9" w:rsidRDefault="007D29F8" w:rsidP="007D29F8">
      <w:r w:rsidRPr="00E12BB9">
        <w:fldChar w:fldCharType="begin"/>
      </w:r>
      <w:r w:rsidRPr="00E12BB9">
        <w:instrText xml:space="preserve"> AUTONUM  </w:instrText>
      </w:r>
      <w:r w:rsidRPr="00E12BB9">
        <w:fldChar w:fldCharType="end"/>
      </w:r>
      <w:r w:rsidRPr="00E12BB9">
        <w:tab/>
        <w:t>Dans le cadre de la stratégie de communication de l’UPOV, l’accent sera mis sur l’élaboration de matériel d’information concernant les avantages des obtentions végétales et de l’adhésion à l’UPOV.  Le Bureau de l’Union travaillera avec les membres de l’Union pour mettre au point des exemples, des études de cas et des données qui soulignent les avantages du système de l’UPOV de manière ludique, par exemple sous la forme de vidéos, de voyages d’études et d’études d’impact.</w:t>
      </w:r>
    </w:p>
    <w:p w14:paraId="619F362E" w14:textId="77777777" w:rsidR="007D29F8" w:rsidRPr="00E12BB9" w:rsidRDefault="007D29F8" w:rsidP="007D29F8"/>
    <w:p w14:paraId="33EE5CA0" w14:textId="77777777" w:rsidR="007D29F8" w:rsidRPr="00E12BB9" w:rsidRDefault="007D29F8" w:rsidP="007D29F8">
      <w:r w:rsidRPr="00E12BB9">
        <w:fldChar w:fldCharType="begin"/>
      </w:r>
      <w:r w:rsidRPr="00E12BB9">
        <w:instrText xml:space="preserve"> AUTONUM  </w:instrText>
      </w:r>
      <w:r w:rsidRPr="00E12BB9">
        <w:fldChar w:fldCharType="end"/>
      </w:r>
      <w:r w:rsidRPr="00E12BB9">
        <w:tab/>
        <w:t>Les travaux sur les questions fréquemment posées et les infographies continueront de jouer un rôle important dans la communication des principaux aspects du système de l’UPOV et dans la lutte contre la désinformation.  L’UPOV participera activement aux réunions et manifestations des organisations compétentes et le Bureau de l’Union s’efforcera de travailler en étroite collaboration avec les secrétariats d’autres organisations pour mieux faire connaître et comprendre la mission de l’UPOV.</w:t>
      </w:r>
    </w:p>
    <w:p w14:paraId="5A643EC4" w14:textId="77777777" w:rsidR="007D29F8" w:rsidRPr="00E12BB9" w:rsidRDefault="007D29F8" w:rsidP="007D29F8"/>
    <w:p w14:paraId="52C8BA78" w14:textId="77777777" w:rsidR="007D29F8" w:rsidRPr="00E12BB9" w:rsidRDefault="007D29F8" w:rsidP="007D29F8">
      <w:pPr>
        <w:rPr>
          <w:color w:val="000000" w:themeColor="text1"/>
        </w:rPr>
      </w:pPr>
      <w:r w:rsidRPr="00E12BB9">
        <w:fldChar w:fldCharType="begin"/>
      </w:r>
      <w:r w:rsidRPr="00E12BB9">
        <w:instrText xml:space="preserve"> AUTONUM  </w:instrText>
      </w:r>
      <w:r w:rsidRPr="00E12BB9">
        <w:fldChar w:fldCharType="end"/>
      </w:r>
      <w:r w:rsidRPr="00E12BB9">
        <w:tab/>
        <w:t xml:space="preserve">Les manifestations et activités traditionnelles, telles que les séminaires et les ateliers, continueront à jouer un rôle essentiel dans la sensibilisation.  </w:t>
      </w:r>
      <w:r w:rsidRPr="00E12BB9">
        <w:rPr>
          <w:color w:val="000000" w:themeColor="text1"/>
        </w:rPr>
        <w:t>Toutefois, l’accent sera davantage mis sur la mise en place d’activités virtuelles afin d’accroître la sensibilisation, d’obtenir un impact plus important et de réduire les coûts et l’impact des travaux du Bureau de l’Union sur l’environnement.</w:t>
      </w:r>
    </w:p>
    <w:p w14:paraId="79A6828E" w14:textId="77777777" w:rsidR="007D29F8" w:rsidRPr="00E12BB9" w:rsidRDefault="007D29F8" w:rsidP="007D29F8">
      <w:pPr>
        <w:rPr>
          <w:color w:val="000000" w:themeColor="text1"/>
        </w:rPr>
      </w:pPr>
    </w:p>
    <w:p w14:paraId="03EB702F" w14:textId="77777777" w:rsidR="007D29F8" w:rsidRPr="00E12BB9" w:rsidRDefault="007D29F8" w:rsidP="007D29F8">
      <w:r w:rsidRPr="00E12BB9">
        <w:fldChar w:fldCharType="begin"/>
      </w:r>
      <w:r w:rsidRPr="00E12BB9">
        <w:instrText xml:space="preserve"> AUTONUM  </w:instrText>
      </w:r>
      <w:r w:rsidRPr="00E12BB9">
        <w:fldChar w:fldCharType="end"/>
      </w:r>
      <w:r w:rsidRPr="00E12BB9">
        <w:tab/>
        <w:t>Les médias sociaux joueront un rôle de plus en plus important dans la communication de l’information.</w:t>
      </w:r>
    </w:p>
    <w:p w14:paraId="7A3B7271" w14:textId="77777777" w:rsidR="007D29F8" w:rsidRPr="00E12BB9" w:rsidRDefault="007D29F8" w:rsidP="007D29F8"/>
    <w:p w14:paraId="55A2622B" w14:textId="77777777" w:rsidR="007D29F8" w:rsidRPr="00E12BB9" w:rsidRDefault="007D29F8" w:rsidP="007D29F8">
      <w:r w:rsidRPr="00E12BB9">
        <w:fldChar w:fldCharType="begin"/>
      </w:r>
      <w:r w:rsidRPr="00E12BB9">
        <w:instrText xml:space="preserve"> AUTONUM  </w:instrText>
      </w:r>
      <w:r w:rsidRPr="00E12BB9">
        <w:fldChar w:fldCharType="end"/>
      </w:r>
      <w:r w:rsidRPr="00E12BB9">
        <w:tab/>
        <w:t>La politique en matière de traduction de l’UPOV vise à utiliser la traduction automatique pour accroître la disponibilité du matériel de l’UPOV dans plusieurs langues par une traduction de plus en plus rentable.</w:t>
      </w:r>
    </w:p>
    <w:p w14:paraId="519CF50B" w14:textId="77777777" w:rsidR="007D29F8" w:rsidRPr="00E12BB9" w:rsidRDefault="007D29F8" w:rsidP="007D29F8">
      <w:pPr>
        <w:jc w:val="left"/>
        <w:rPr>
          <w:bCs/>
        </w:rPr>
      </w:pPr>
    </w:p>
    <w:p w14:paraId="0D7196A5" w14:textId="77777777" w:rsidR="007D29F8" w:rsidRPr="00E12BB9" w:rsidRDefault="007D29F8" w:rsidP="007D29F8">
      <w:pPr>
        <w:pStyle w:val="Heading4"/>
        <w:rPr>
          <w:lang w:val="fr-FR"/>
        </w:rPr>
      </w:pPr>
      <w:bookmarkStart w:id="442" w:name="_Toc117798891"/>
      <w:bookmarkStart w:id="443" w:name="_Toc107239596"/>
      <w:bookmarkStart w:id="444" w:name="_Toc107239346"/>
      <w:r w:rsidRPr="00E12BB9">
        <w:rPr>
          <w:lang w:val="fr-FR"/>
        </w:rPr>
        <w:t>2.2</w:t>
      </w:r>
      <w:r w:rsidRPr="00E12BB9">
        <w:rPr>
          <w:lang w:val="fr-FR"/>
        </w:rPr>
        <w:tab/>
      </w:r>
      <w:bookmarkEnd w:id="442"/>
      <w:bookmarkEnd w:id="443"/>
      <w:bookmarkEnd w:id="444"/>
      <w:r w:rsidRPr="00E12BB9">
        <w:rPr>
          <w:lang w:val="fr-FR"/>
        </w:rPr>
        <w:t>Orientations et assistance concernant la Convention UPOV et sa mise en œuvre</w:t>
      </w:r>
    </w:p>
    <w:p w14:paraId="59ACDDC7" w14:textId="77777777" w:rsidR="007D29F8" w:rsidRPr="00E12BB9" w:rsidRDefault="007D29F8" w:rsidP="007D29F8">
      <w:pPr>
        <w:keepNext/>
      </w:pPr>
    </w:p>
    <w:p w14:paraId="57C51114" w14:textId="77777777" w:rsidR="007D29F8" w:rsidRPr="00E12BB9" w:rsidRDefault="007D29F8" w:rsidP="007D29F8">
      <w:pPr>
        <w:pStyle w:val="Heading5"/>
        <w:rPr>
          <w:lang w:val="fr-FR"/>
        </w:rPr>
      </w:pPr>
      <w:r w:rsidRPr="00E12BB9">
        <w:rPr>
          <w:lang w:val="fr-FR"/>
        </w:rPr>
        <w:t>Documents d’orientation et d’information</w:t>
      </w:r>
    </w:p>
    <w:p w14:paraId="3E2D1AC9" w14:textId="77777777" w:rsidR="007D29F8" w:rsidRPr="00E12BB9" w:rsidRDefault="007D29F8" w:rsidP="007D29F8">
      <w:pPr>
        <w:keepNext/>
      </w:pPr>
    </w:p>
    <w:p w14:paraId="636967C9" w14:textId="77777777" w:rsidR="007D29F8" w:rsidRPr="00E12BB9" w:rsidRDefault="007D29F8" w:rsidP="007D29F8">
      <w:r w:rsidRPr="00E12BB9">
        <w:fldChar w:fldCharType="begin"/>
      </w:r>
      <w:r w:rsidRPr="00E12BB9">
        <w:instrText xml:space="preserve"> AUTONUM  </w:instrText>
      </w:r>
      <w:r w:rsidRPr="00E12BB9">
        <w:fldChar w:fldCharType="end"/>
      </w:r>
      <w:r w:rsidRPr="00E12BB9">
        <w:tab/>
        <w:t>L’UPOV continuera de mettre à jour et d’élaborer de nouveaux documents d’orientation conformément aux programmes de travail des organes compétents de l’UPOV.</w:t>
      </w:r>
    </w:p>
    <w:p w14:paraId="5DBF70E5" w14:textId="77777777" w:rsidR="007D29F8" w:rsidRPr="00E12BB9" w:rsidRDefault="007D29F8" w:rsidP="007D29F8"/>
    <w:p w14:paraId="145AEA18" w14:textId="77777777" w:rsidR="007D29F8" w:rsidRPr="00E12BB9" w:rsidRDefault="007D29F8" w:rsidP="007D29F8">
      <w:r w:rsidRPr="00E12BB9">
        <w:fldChar w:fldCharType="begin"/>
      </w:r>
      <w:r w:rsidRPr="00E12BB9">
        <w:instrText xml:space="preserve"> AUTONUM  </w:instrText>
      </w:r>
      <w:r w:rsidRPr="00E12BB9">
        <w:fldChar w:fldCharType="end"/>
      </w:r>
      <w:r w:rsidRPr="00E12BB9">
        <w:tab/>
        <w:t>Les documents et ressources de l’UPOV sont disponibles en français, allemand, anglais et espagnol.  Toutefois, à mesure que l’UPOV s’élargit et que l’intérêt pour l’adhésion à l’UPOV augmente, il existe d’importants avantages à rendre le matériel et les ressources de l’UPOV disponibles dans un plus large éventail de langues.  La traduction des documents et la mise à disposition des ressources dans plusieurs langues ont des incidences très importantes sur les ressources et la réalisation de cet objectif nécessitera une série de mesures impliquant une coopération avec les membres intéressés de l’Union.  Toutefois, les progrès rapides de la traduction automatique offrent de nouvelles possibilités, qui seront exploitées en priorité afin de réduire les coûts de traduction des documents UPOV dans les langues de travail de l’Union et de produire des documents UPOV dans un plus grand nombre de langues.</w:t>
      </w:r>
    </w:p>
    <w:p w14:paraId="7ED35995" w14:textId="77777777" w:rsidR="007D29F8" w:rsidRPr="00E12BB9" w:rsidRDefault="007D29F8" w:rsidP="007D29F8">
      <w:pPr>
        <w:tabs>
          <w:tab w:val="left" w:pos="851"/>
        </w:tabs>
      </w:pPr>
    </w:p>
    <w:p w14:paraId="0D20922F" w14:textId="77777777" w:rsidR="007D29F8" w:rsidRPr="00E12BB9" w:rsidRDefault="007D29F8" w:rsidP="007D29F8">
      <w:pPr>
        <w:pStyle w:val="Heading5"/>
        <w:rPr>
          <w:lang w:val="fr-FR"/>
        </w:rPr>
      </w:pPr>
      <w:bookmarkStart w:id="445" w:name="_Toc117798893"/>
      <w:bookmarkStart w:id="446" w:name="_Toc107239598"/>
      <w:bookmarkStart w:id="447" w:name="_Toc107239348"/>
      <w:r w:rsidRPr="00E12BB9">
        <w:rPr>
          <w:lang w:val="fr-FR"/>
        </w:rPr>
        <w:t>Formation et assistance</w:t>
      </w:r>
      <w:bookmarkEnd w:id="445"/>
      <w:bookmarkEnd w:id="446"/>
      <w:bookmarkEnd w:id="447"/>
    </w:p>
    <w:p w14:paraId="3594BBAA" w14:textId="77777777" w:rsidR="007D29F8" w:rsidRPr="00E12BB9" w:rsidRDefault="007D29F8" w:rsidP="007D29F8">
      <w:pPr>
        <w:tabs>
          <w:tab w:val="left" w:pos="851"/>
        </w:tabs>
        <w:rPr>
          <w:color w:val="000000" w:themeColor="text1"/>
        </w:rPr>
      </w:pPr>
    </w:p>
    <w:p w14:paraId="25F03124" w14:textId="77777777" w:rsidR="007D29F8" w:rsidRPr="00E12BB9" w:rsidRDefault="007D29F8" w:rsidP="007D29F8">
      <w:r w:rsidRPr="00E12BB9">
        <w:fldChar w:fldCharType="begin"/>
      </w:r>
      <w:r w:rsidRPr="00E12BB9">
        <w:instrText xml:space="preserve"> AUTONUM  </w:instrText>
      </w:r>
      <w:r w:rsidRPr="00E12BB9">
        <w:fldChar w:fldCharType="end"/>
      </w:r>
      <w:r w:rsidRPr="00E12BB9">
        <w:tab/>
        <w:t>La stratégie en matière de formation et d’assistance de l’UPOV sous-tend ses activités de formation et d’assistance.</w:t>
      </w:r>
    </w:p>
    <w:p w14:paraId="0A99F764" w14:textId="77777777" w:rsidR="007D29F8" w:rsidRPr="00E12BB9" w:rsidRDefault="007D29F8" w:rsidP="007D29F8"/>
    <w:p w14:paraId="4FB46B7A" w14:textId="77777777" w:rsidR="007D29F8" w:rsidRPr="00E12BB9" w:rsidRDefault="007D29F8" w:rsidP="007D29F8">
      <w:r w:rsidRPr="00E12BB9">
        <w:lastRenderedPageBreak/>
        <w:fldChar w:fldCharType="begin"/>
      </w:r>
      <w:r w:rsidRPr="00E12BB9">
        <w:instrText xml:space="preserve"> AUTONUM  </w:instrText>
      </w:r>
      <w:r w:rsidRPr="00E12BB9">
        <w:fldChar w:fldCharType="end"/>
      </w:r>
      <w:r w:rsidRPr="00E12BB9">
        <w:tab/>
        <w:t>Pour répondre à la demande d’assistance aux fins de la mise en place et de l’application du système de l’UPOV sans dépasser les ressources disponibles, il importe que le Bureau de l’Union organise des cours d’enseignement à distance, définisse des priorités, reçoive l’appui des membres de l’Union et noue des partenariats avec les autres pourvoyeurs d’aide.  Ce pilier thématique est financé sur le budget ordinaire, mais ce sont des fonds extrabudgétaires et une aide en nature qui constituent l’essentiel des ressources déployées à des fins d’assistance.  Afin d’utiliser les ressources disponibles de la manière la plus efficace qui soit, le Bureau de l’Union continuera de donner la priorité à ses activités et d’étudier les synergies possibles avec les membres de l’Union et ses autres partenaires.</w:t>
      </w:r>
    </w:p>
    <w:p w14:paraId="578C1158" w14:textId="77777777" w:rsidR="007D29F8" w:rsidRPr="00E12BB9" w:rsidRDefault="007D29F8" w:rsidP="007D29F8"/>
    <w:p w14:paraId="338237A2" w14:textId="77777777" w:rsidR="007D29F8" w:rsidRPr="00E12BB9" w:rsidRDefault="007D29F8" w:rsidP="007D29F8">
      <w:pPr>
        <w:rPr>
          <w:color w:val="000000" w:themeColor="text1"/>
        </w:rPr>
      </w:pPr>
      <w:r w:rsidRPr="00E12BB9">
        <w:rPr>
          <w:color w:val="000000" w:themeColor="text1"/>
        </w:rPr>
        <w:fldChar w:fldCharType="begin"/>
      </w:r>
      <w:r w:rsidRPr="00E12BB9">
        <w:rPr>
          <w:color w:val="000000" w:themeColor="text1"/>
        </w:rPr>
        <w:instrText xml:space="preserve"> AUTONUM  </w:instrText>
      </w:r>
      <w:r w:rsidRPr="00E12BB9">
        <w:rPr>
          <w:color w:val="000000" w:themeColor="text1"/>
        </w:rPr>
        <w:fldChar w:fldCharType="end"/>
      </w:r>
      <w:r w:rsidRPr="00E12BB9">
        <w:rPr>
          <w:color w:val="000000" w:themeColor="text1"/>
        </w:rPr>
        <w:tab/>
        <w:t>La priorité a été donnée par les membres de l’Union à la fourniture d’une assistance par le Bureau de l’Union dans l’ordre suivant :</w:t>
      </w:r>
    </w:p>
    <w:p w14:paraId="259D1373" w14:textId="77777777" w:rsidR="007D29F8" w:rsidRPr="00E12BB9" w:rsidRDefault="007D29F8" w:rsidP="007D29F8">
      <w:pPr>
        <w:keepNext/>
        <w:rPr>
          <w:color w:val="000000" w:themeColor="text1"/>
        </w:rPr>
      </w:pPr>
    </w:p>
    <w:p w14:paraId="15FFF534" w14:textId="77777777" w:rsidR="007D29F8" w:rsidRPr="00E12BB9" w:rsidRDefault="007D29F8" w:rsidP="007D29F8">
      <w:pPr>
        <w:keepNext/>
        <w:spacing w:after="120"/>
        <w:ind w:left="567"/>
        <w:rPr>
          <w:color w:val="000000" w:themeColor="text1"/>
        </w:rPr>
      </w:pPr>
      <w:r w:rsidRPr="00E12BB9">
        <w:rPr>
          <w:color w:val="000000" w:themeColor="text1"/>
        </w:rPr>
        <w:t>i)</w:t>
      </w:r>
      <w:r w:rsidRPr="00E12BB9">
        <w:rPr>
          <w:color w:val="000000" w:themeColor="text1"/>
        </w:rPr>
        <w:tab/>
        <w:t>assistance aux membres de l’Union;</w:t>
      </w:r>
    </w:p>
    <w:p w14:paraId="176E77E0" w14:textId="77777777" w:rsidR="007D29F8" w:rsidRPr="00E12BB9" w:rsidRDefault="007D29F8" w:rsidP="007D29F8">
      <w:pPr>
        <w:spacing w:after="120"/>
        <w:ind w:left="1134" w:hanging="567"/>
        <w:rPr>
          <w:color w:val="000000" w:themeColor="text1"/>
        </w:rPr>
      </w:pPr>
      <w:r w:rsidRPr="00E12BB9">
        <w:rPr>
          <w:color w:val="000000" w:themeColor="text1"/>
        </w:rPr>
        <w:t>ii)</w:t>
      </w:r>
      <w:r w:rsidRPr="00E12BB9">
        <w:rPr>
          <w:color w:val="000000" w:themeColor="text1"/>
        </w:rPr>
        <w:tab/>
        <w:t>assistance aux États et à certaines organisations qui ne sont pas membres de l’Union, notamment aux gouvernements de pays en développement et de pays en transition vers une économie de marché, aux fins de l’élaboration d’une législation conforme à l’Acte de 1991 de la Convention UPOV et de leur adhésion à la Convention UPOV;  et</w:t>
      </w:r>
    </w:p>
    <w:p w14:paraId="03F997C2" w14:textId="77777777" w:rsidR="007D29F8" w:rsidRPr="00E12BB9" w:rsidRDefault="007D29F8" w:rsidP="007D29F8">
      <w:pPr>
        <w:tabs>
          <w:tab w:val="left" w:pos="567"/>
        </w:tabs>
        <w:ind w:left="1134" w:hanging="567"/>
        <w:rPr>
          <w:color w:val="000000" w:themeColor="text1"/>
        </w:rPr>
      </w:pPr>
      <w:r w:rsidRPr="00E12BB9">
        <w:rPr>
          <w:color w:val="000000" w:themeColor="text1"/>
        </w:rPr>
        <w:t>iii)</w:t>
      </w:r>
      <w:r w:rsidRPr="00E12BB9">
        <w:rPr>
          <w:color w:val="000000" w:themeColor="text1"/>
        </w:rPr>
        <w:tab/>
        <w:t>assistance aux États et à certaines organisations qui ne sont pas membres de l’Union, aux fins de l’application de la législation ayant fait l’objet d’une décision positive de la part du Conseil compte tenu de leur engagement d’adhérer à la Convention UPOV.</w:t>
      </w:r>
    </w:p>
    <w:p w14:paraId="193F969D" w14:textId="77777777" w:rsidR="007D29F8" w:rsidRPr="00E12BB9" w:rsidRDefault="007D29F8" w:rsidP="007D29F8">
      <w:pPr>
        <w:tabs>
          <w:tab w:val="left" w:pos="851"/>
        </w:tabs>
        <w:rPr>
          <w:color w:val="000000" w:themeColor="text1"/>
        </w:rPr>
      </w:pPr>
    </w:p>
    <w:p w14:paraId="3781D429" w14:textId="77777777" w:rsidR="007D29F8" w:rsidRPr="00E12BB9" w:rsidRDefault="007D29F8" w:rsidP="007D29F8">
      <w:r w:rsidRPr="00E12BB9">
        <w:rPr>
          <w:bCs/>
        </w:rPr>
        <w:fldChar w:fldCharType="begin"/>
      </w:r>
      <w:r w:rsidRPr="00E12BB9">
        <w:rPr>
          <w:bCs/>
        </w:rPr>
        <w:instrText xml:space="preserve"> AUTONUM  </w:instrText>
      </w:r>
      <w:r w:rsidRPr="00E12BB9">
        <w:rPr>
          <w:bCs/>
        </w:rPr>
        <w:fldChar w:fldCharType="end"/>
      </w:r>
      <w:r w:rsidRPr="00E12BB9">
        <w:rPr>
          <w:bCs/>
        </w:rPr>
        <w:tab/>
        <w:t xml:space="preserve">Les manifestations et activités, telles que les réunions, les séminaires, les ateliers et les activités de formation, continueront à jouer un rôle essentiel dans l’assistance.  </w:t>
      </w:r>
      <w:r w:rsidRPr="00E12BB9">
        <w:t>Toutefois, l’accent sera davantage mis sur la mise en place d’activités virtuelles afin d’accroître la sensibilisation, d’obtenir un impact plus important et de réduire les coûts et l’impact des travaux du Bureau de l’Union sur l’environnement.</w:t>
      </w:r>
    </w:p>
    <w:p w14:paraId="0AB4FB8B" w14:textId="77777777" w:rsidR="007D29F8" w:rsidRPr="00E12BB9" w:rsidRDefault="007D29F8" w:rsidP="007D29F8"/>
    <w:p w14:paraId="5C22C462" w14:textId="77777777" w:rsidR="007D29F8" w:rsidRPr="00E12BB9" w:rsidRDefault="007D29F8" w:rsidP="007D29F8">
      <w:r w:rsidRPr="00E20F3B">
        <w:fldChar w:fldCharType="begin"/>
      </w:r>
      <w:r w:rsidRPr="00E20F3B">
        <w:instrText xml:space="preserve"> AUTONUM  </w:instrText>
      </w:r>
      <w:r w:rsidRPr="00E20F3B">
        <w:fldChar w:fldCharType="end"/>
      </w:r>
      <w:r w:rsidRPr="00E20F3B">
        <w:tab/>
        <w:t>Le système UPOV e-PVP (voir la section 3.1) devrait également compléter les activités de formation et</w:t>
      </w:r>
      <w:r w:rsidRPr="00E12BB9">
        <w:t xml:space="preserve"> de renforcement des capacités de l’UPOV par une assistance concrète aux membres de l’Union dans la mise en place du système de protection des obtentions végétales.</w:t>
      </w:r>
    </w:p>
    <w:p w14:paraId="3CD4C8FB" w14:textId="77777777" w:rsidR="007D29F8" w:rsidRPr="00E12BB9" w:rsidRDefault="007D29F8" w:rsidP="007D29F8"/>
    <w:p w14:paraId="4A2F15CE" w14:textId="77777777" w:rsidR="007D29F8" w:rsidRPr="00E12BB9" w:rsidRDefault="007D29F8" w:rsidP="007D29F8">
      <w:r w:rsidRPr="00E12BB9">
        <w:fldChar w:fldCharType="begin"/>
      </w:r>
      <w:r w:rsidRPr="00E12BB9">
        <w:instrText xml:space="preserve"> AUTONUM  </w:instrText>
      </w:r>
      <w:r w:rsidRPr="00E12BB9">
        <w:fldChar w:fldCharType="end"/>
      </w:r>
      <w:r w:rsidRPr="00E12BB9">
        <w:tab/>
        <w:t>Afin de tirer un meilleur parti des diverses initiatives de formation offertes par l’UPOV et ses membres, l’UPOV mettra en place un “certificat international de protection des obtentions végétales”.</w:t>
      </w:r>
    </w:p>
    <w:p w14:paraId="0B646AC3" w14:textId="77777777" w:rsidR="007D29F8" w:rsidRPr="00E12BB9" w:rsidRDefault="007D29F8" w:rsidP="007D29F8">
      <w:pPr>
        <w:tabs>
          <w:tab w:val="left" w:pos="851"/>
        </w:tabs>
        <w:rPr>
          <w:color w:val="000000" w:themeColor="text1"/>
        </w:rPr>
      </w:pPr>
    </w:p>
    <w:p w14:paraId="26607609" w14:textId="77777777" w:rsidR="007D29F8" w:rsidRPr="00E12BB9" w:rsidRDefault="007D29F8" w:rsidP="007D29F8">
      <w:pPr>
        <w:pStyle w:val="Heading4"/>
        <w:rPr>
          <w:color w:val="000000"/>
          <w:lang w:val="fr-FR"/>
          <w14:textFill>
            <w14:solidFill>
              <w14:srgbClr w14:val="000000">
                <w14:lumMod w14:val="75000"/>
              </w14:srgbClr>
            </w14:solidFill>
          </w14:textFill>
        </w:rPr>
      </w:pPr>
      <w:bookmarkStart w:id="448" w:name="_Toc117798894"/>
      <w:bookmarkStart w:id="449" w:name="_Toc107239599"/>
      <w:bookmarkStart w:id="450" w:name="_Toc107239349"/>
      <w:r w:rsidRPr="00E12BB9">
        <w:rPr>
          <w:lang w:val="fr-FR"/>
        </w:rPr>
        <w:t>2.3</w:t>
      </w:r>
      <w:r w:rsidRPr="00E12BB9">
        <w:rPr>
          <w:lang w:val="fr-FR"/>
        </w:rPr>
        <w:tab/>
      </w:r>
      <w:bookmarkEnd w:id="448"/>
      <w:bookmarkEnd w:id="449"/>
      <w:bookmarkEnd w:id="450"/>
      <w:r w:rsidRPr="00E12BB9">
        <w:rPr>
          <w:lang w:val="fr-FR"/>
        </w:rPr>
        <w:t>Harmonisation et coopération accrues en matière d’examen</w:t>
      </w:r>
    </w:p>
    <w:p w14:paraId="5D9CFDC7" w14:textId="77777777" w:rsidR="007D29F8" w:rsidRPr="00E12BB9" w:rsidRDefault="007D29F8" w:rsidP="007D29F8">
      <w:pPr>
        <w:tabs>
          <w:tab w:val="left" w:pos="851"/>
        </w:tabs>
        <w:rPr>
          <w:color w:val="000000" w:themeColor="text1"/>
        </w:rPr>
      </w:pPr>
    </w:p>
    <w:p w14:paraId="6AC09235" w14:textId="77777777" w:rsidR="007D29F8" w:rsidRPr="00E20F3B" w:rsidRDefault="007D29F8" w:rsidP="007D29F8">
      <w:pPr>
        <w:rPr>
          <w:bCs/>
          <w:color w:val="000000" w:themeColor="text1"/>
          <w:szCs w:val="24"/>
        </w:rPr>
      </w:pPr>
      <w:r w:rsidRPr="00E12BB9">
        <w:rPr>
          <w:bCs/>
          <w:color w:val="000000" w:themeColor="text1"/>
          <w:szCs w:val="24"/>
        </w:rPr>
        <w:fldChar w:fldCharType="begin"/>
      </w:r>
      <w:r w:rsidRPr="00E12BB9">
        <w:rPr>
          <w:bCs/>
          <w:color w:val="000000" w:themeColor="text1"/>
          <w:szCs w:val="24"/>
        </w:rPr>
        <w:instrText xml:space="preserve"> AUTONUM  </w:instrText>
      </w:r>
      <w:r w:rsidRPr="00E12BB9">
        <w:rPr>
          <w:bCs/>
          <w:color w:val="000000" w:themeColor="text1"/>
          <w:szCs w:val="24"/>
        </w:rPr>
        <w:fldChar w:fldCharType="end"/>
      </w:r>
      <w:r w:rsidRPr="00E12BB9">
        <w:rPr>
          <w:bCs/>
          <w:color w:val="000000" w:themeColor="text1"/>
          <w:szCs w:val="24"/>
        </w:rPr>
        <w:tab/>
        <w:t xml:space="preserve">La coopération entre les membres de l’Union est une caractéristique essentielle du système de l’UPOV et constitue la base d’un système efficace qui permet de disposer plus rapidement de nouvelles variétés et de réduire les coûts pour les obtenteurs.  Afin de relever les défis auxquels l’agriculture est confrontée, notamment en ce qui concerne le changement climatique et la sécurité alimentaire, il conviendra d’accorder la priorité à une coopération accrue qui augmentera la disponibilité de nouvelles variétés végétales.  Par conséquent, les activités des organes de l’UPOV continueront de déterminer les mesures et les outils susceptibles de faciliter la coopération sur une base volontaire.  Un examen est en cours au sein du Comité technique afin d’évaluer les possibilités d’amélioration du travail du Comité technique </w:t>
      </w:r>
      <w:r w:rsidRPr="00E12BB9">
        <w:t>et ainsi gagner en efficacité</w:t>
      </w:r>
      <w:r w:rsidRPr="00E12BB9">
        <w:rPr>
          <w:bCs/>
          <w:color w:val="000000" w:themeColor="text1"/>
          <w:szCs w:val="24"/>
        </w:rPr>
        <w:t xml:space="preserve">, notamment en vue </w:t>
      </w:r>
      <w:r w:rsidRPr="00E20F3B">
        <w:rPr>
          <w:bCs/>
          <w:color w:val="000000" w:themeColor="text1"/>
          <w:szCs w:val="24"/>
        </w:rPr>
        <w:t>d’accroître la coopération en tant qu’avantage fondamental de l’adhésion à l’UPOV (voir la section 1.1).</w:t>
      </w:r>
    </w:p>
    <w:p w14:paraId="78B5F010" w14:textId="77777777" w:rsidR="007D29F8" w:rsidRPr="00E20F3B" w:rsidRDefault="007D29F8" w:rsidP="007D29F8">
      <w:pPr>
        <w:rPr>
          <w:bCs/>
          <w:color w:val="000000" w:themeColor="text1"/>
          <w:szCs w:val="24"/>
        </w:rPr>
      </w:pPr>
    </w:p>
    <w:p w14:paraId="76C79CD5" w14:textId="77777777" w:rsidR="007D29F8" w:rsidRPr="00E12BB9" w:rsidRDefault="007D29F8" w:rsidP="007D29F8">
      <w:pPr>
        <w:rPr>
          <w:bCs/>
          <w:color w:val="000000" w:themeColor="text1"/>
          <w:szCs w:val="24"/>
        </w:rPr>
      </w:pPr>
      <w:r w:rsidRPr="00E20F3B">
        <w:rPr>
          <w:bCs/>
          <w:color w:val="000000" w:themeColor="text1"/>
          <w:szCs w:val="24"/>
        </w:rPr>
        <w:fldChar w:fldCharType="begin"/>
      </w:r>
      <w:r w:rsidRPr="00E20F3B">
        <w:rPr>
          <w:bCs/>
          <w:color w:val="000000" w:themeColor="text1"/>
          <w:szCs w:val="24"/>
        </w:rPr>
        <w:instrText xml:space="preserve"> AUTONUM  </w:instrText>
      </w:r>
      <w:r w:rsidRPr="00E20F3B">
        <w:rPr>
          <w:bCs/>
          <w:color w:val="000000" w:themeColor="text1"/>
          <w:szCs w:val="24"/>
        </w:rPr>
        <w:fldChar w:fldCharType="end"/>
      </w:r>
      <w:r w:rsidRPr="00E20F3B">
        <w:rPr>
          <w:bCs/>
          <w:color w:val="000000" w:themeColor="text1"/>
          <w:szCs w:val="24"/>
        </w:rPr>
        <w:tab/>
        <w:t>La mise en place d’un “</w:t>
      </w:r>
      <w:r w:rsidRPr="00E20F3B">
        <w:t>certificat international de protection des obtentions végétales</w:t>
      </w:r>
      <w:r w:rsidRPr="00E20F3B">
        <w:rPr>
          <w:bCs/>
          <w:color w:val="000000" w:themeColor="text1"/>
          <w:szCs w:val="24"/>
        </w:rPr>
        <w:t>” vise à favoriser la coopération entre les membres de l’Union en mesurant le niveau de compétences acquises par les spécialistes des services de protection des obtentions végétales et les examinateurs (voir la section 2.2).</w:t>
      </w:r>
    </w:p>
    <w:p w14:paraId="62D87D81" w14:textId="77777777" w:rsidR="007D29F8" w:rsidRPr="00E12BB9" w:rsidRDefault="007D29F8" w:rsidP="007D29F8">
      <w:pPr>
        <w:rPr>
          <w:bCs/>
          <w:color w:val="000000" w:themeColor="text1"/>
          <w:szCs w:val="24"/>
        </w:rPr>
      </w:pPr>
    </w:p>
    <w:p w14:paraId="2653ADE2" w14:textId="77777777" w:rsidR="007D29F8" w:rsidRPr="00E12BB9" w:rsidRDefault="007D29F8" w:rsidP="007D29F8">
      <w:pPr>
        <w:rPr>
          <w:bCs/>
          <w:szCs w:val="24"/>
        </w:rPr>
      </w:pPr>
      <w:r w:rsidRPr="00E12BB9">
        <w:rPr>
          <w:bCs/>
          <w:szCs w:val="24"/>
        </w:rPr>
        <w:fldChar w:fldCharType="begin"/>
      </w:r>
      <w:r w:rsidRPr="00E12BB9">
        <w:rPr>
          <w:bCs/>
          <w:szCs w:val="24"/>
        </w:rPr>
        <w:instrText xml:space="preserve"> AUTONUM  </w:instrText>
      </w:r>
      <w:r w:rsidRPr="00E12BB9">
        <w:rPr>
          <w:bCs/>
          <w:szCs w:val="24"/>
        </w:rPr>
        <w:fldChar w:fldCharType="end"/>
      </w:r>
      <w:r w:rsidRPr="00E12BB9">
        <w:rPr>
          <w:bCs/>
          <w:szCs w:val="24"/>
        </w:rPr>
        <w:tab/>
        <w:t>Le Comité technique a recensé un certain nombre de questions techniques, administratives, politiques et juridiques qui pourraient faire obstacle à la poursuite de la coopération dans le cadre de l’examen DHS.  L’un des principaux objectifs de l’exercice biennal </w:t>
      </w:r>
      <w:r w:rsidRPr="00E12BB9">
        <w:rPr>
          <w:bCs/>
          <w:snapToGrid w:val="0"/>
          <w:szCs w:val="24"/>
        </w:rPr>
        <w:t xml:space="preserve">2024-2025 </w:t>
      </w:r>
      <w:r w:rsidRPr="00E12BB9">
        <w:rPr>
          <w:bCs/>
          <w:szCs w:val="24"/>
        </w:rPr>
        <w:t>sera de s’attaquer à ces obstacles potentiels afin d’accroître la coopération et, partant, l’efficacité de l’examen DHS.</w:t>
      </w:r>
    </w:p>
    <w:p w14:paraId="73427FC7" w14:textId="77777777" w:rsidR="007D29F8" w:rsidRPr="00E12BB9" w:rsidRDefault="007D29F8" w:rsidP="007D29F8">
      <w:pPr>
        <w:rPr>
          <w:bCs/>
          <w:szCs w:val="24"/>
        </w:rPr>
      </w:pPr>
    </w:p>
    <w:p w14:paraId="592CFCD6" w14:textId="77777777" w:rsidR="007D29F8" w:rsidRPr="00E12BB9" w:rsidRDefault="007D29F8" w:rsidP="007D29F8">
      <w:pPr>
        <w:pStyle w:val="Heading3"/>
        <w:rPr>
          <w:lang w:val="fr-FR"/>
        </w:rPr>
      </w:pPr>
      <w:bookmarkStart w:id="451" w:name="_Toc132208457"/>
      <w:r w:rsidRPr="00E12BB9">
        <w:rPr>
          <w:lang w:val="fr-FR"/>
        </w:rPr>
        <w:lastRenderedPageBreak/>
        <w:t>Résultats escomptés et indicateurs d’exécution</w:t>
      </w:r>
      <w:bookmarkEnd w:id="451"/>
    </w:p>
    <w:p w14:paraId="2DEC8E36" w14:textId="77777777" w:rsidR="007D29F8" w:rsidRPr="00E12BB9" w:rsidRDefault="007D29F8" w:rsidP="007D29F8">
      <w:pPr>
        <w:keepNext/>
        <w:keepLines/>
        <w:rPr>
          <w:bCs/>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7D29F8" w:rsidRPr="00E12BB9" w14:paraId="4B3AF668" w14:textId="77777777" w:rsidTr="00DB6666">
        <w:trPr>
          <w:tblHeader/>
        </w:trPr>
        <w:tc>
          <w:tcPr>
            <w:tcW w:w="426" w:type="dxa"/>
            <w:tcBorders>
              <w:bottom w:val="single" w:sz="4" w:space="0" w:color="D9D9D9" w:themeColor="background1" w:themeShade="D9"/>
            </w:tcBorders>
            <w:shd w:val="clear" w:color="auto" w:fill="E2E7EB" w:themeFill="accent3" w:themeFillTint="33"/>
          </w:tcPr>
          <w:p w14:paraId="671879BE" w14:textId="77777777" w:rsidR="007D29F8" w:rsidRPr="00E12BB9" w:rsidRDefault="007D29F8" w:rsidP="00DB6666">
            <w:pPr>
              <w:keepNext/>
              <w:keepLines/>
              <w:jc w:val="left"/>
              <w:rPr>
                <w:b/>
                <w:bCs/>
                <w:sz w:val="16"/>
                <w:szCs w:val="16"/>
              </w:rPr>
            </w:pPr>
          </w:p>
        </w:tc>
        <w:tc>
          <w:tcPr>
            <w:tcW w:w="3255" w:type="dxa"/>
            <w:tcBorders>
              <w:bottom w:val="single" w:sz="4" w:space="0" w:color="D9D9D9" w:themeColor="background1" w:themeShade="D9"/>
            </w:tcBorders>
            <w:shd w:val="clear" w:color="auto" w:fill="E2E7EB" w:themeFill="accent3" w:themeFillTint="33"/>
          </w:tcPr>
          <w:p w14:paraId="31035CD8" w14:textId="77777777" w:rsidR="007D29F8" w:rsidRPr="00E12BB9" w:rsidRDefault="007D29F8" w:rsidP="00DB6666">
            <w:pPr>
              <w:keepNext/>
              <w:keepLines/>
              <w:jc w:val="left"/>
              <w:rPr>
                <w:b/>
                <w:bCs/>
                <w:sz w:val="16"/>
                <w:szCs w:val="16"/>
              </w:rPr>
            </w:pPr>
            <w:r w:rsidRPr="00E12BB9">
              <w:rPr>
                <w:b/>
                <w:bCs/>
                <w:sz w:val="16"/>
                <w:szCs w:val="16"/>
              </w:rPr>
              <w:t>Résultats escomptés</w:t>
            </w:r>
          </w:p>
        </w:tc>
        <w:tc>
          <w:tcPr>
            <w:tcW w:w="305" w:type="dxa"/>
            <w:tcBorders>
              <w:bottom w:val="single" w:sz="4" w:space="0" w:color="D9D9D9" w:themeColor="background1" w:themeShade="D9"/>
            </w:tcBorders>
            <w:shd w:val="clear" w:color="auto" w:fill="E2E7EB" w:themeFill="accent3" w:themeFillTint="33"/>
          </w:tcPr>
          <w:p w14:paraId="690D96BE" w14:textId="77777777" w:rsidR="007D29F8" w:rsidRPr="00E12BB9" w:rsidRDefault="007D29F8" w:rsidP="00DB6666">
            <w:pPr>
              <w:keepNext/>
              <w:keepLines/>
              <w:jc w:val="center"/>
              <w:rPr>
                <w:b/>
                <w:bCs/>
                <w:sz w:val="16"/>
                <w:szCs w:val="16"/>
              </w:rPr>
            </w:pPr>
          </w:p>
        </w:tc>
        <w:tc>
          <w:tcPr>
            <w:tcW w:w="2457" w:type="dxa"/>
            <w:tcBorders>
              <w:bottom w:val="single" w:sz="4" w:space="0" w:color="D9D9D9" w:themeColor="background1" w:themeShade="D9"/>
            </w:tcBorders>
            <w:shd w:val="clear" w:color="auto" w:fill="E2E7EB" w:themeFill="accent3" w:themeFillTint="33"/>
          </w:tcPr>
          <w:p w14:paraId="495CF3C7" w14:textId="77777777" w:rsidR="007D29F8" w:rsidRPr="00E12BB9" w:rsidRDefault="007D29F8" w:rsidP="00DB6666">
            <w:pPr>
              <w:keepNext/>
              <w:keepLines/>
              <w:rPr>
                <w:b/>
                <w:bCs/>
                <w:sz w:val="16"/>
                <w:szCs w:val="16"/>
              </w:rPr>
            </w:pPr>
            <w:r w:rsidRPr="00E12BB9">
              <w:rPr>
                <w:b/>
                <w:bCs/>
                <w:sz w:val="16"/>
                <w:szCs w:val="16"/>
              </w:rPr>
              <w:t>Indicateurs d’exécution</w:t>
            </w:r>
          </w:p>
        </w:tc>
        <w:tc>
          <w:tcPr>
            <w:tcW w:w="1632" w:type="dxa"/>
            <w:tcBorders>
              <w:bottom w:val="single" w:sz="4" w:space="0" w:color="D9D9D9" w:themeColor="background1" w:themeShade="D9"/>
            </w:tcBorders>
            <w:shd w:val="clear" w:color="auto" w:fill="E2E7EB" w:themeFill="accent3" w:themeFillTint="33"/>
          </w:tcPr>
          <w:p w14:paraId="0E0103B2" w14:textId="77777777" w:rsidR="007D29F8" w:rsidRPr="00E12BB9" w:rsidRDefault="007D29F8" w:rsidP="00DB6666">
            <w:pPr>
              <w:keepNext/>
              <w:keepLines/>
              <w:jc w:val="center"/>
              <w:rPr>
                <w:b/>
                <w:bCs/>
                <w:sz w:val="16"/>
                <w:szCs w:val="16"/>
              </w:rPr>
            </w:pPr>
            <w:r w:rsidRPr="00E12BB9">
              <w:rPr>
                <w:b/>
                <w:bCs/>
                <w:sz w:val="16"/>
                <w:szCs w:val="16"/>
              </w:rPr>
              <w:t>Niveaux de référence</w:t>
            </w:r>
          </w:p>
        </w:tc>
        <w:tc>
          <w:tcPr>
            <w:tcW w:w="1559" w:type="dxa"/>
            <w:tcBorders>
              <w:bottom w:val="single" w:sz="4" w:space="0" w:color="D9D9D9" w:themeColor="background1" w:themeShade="D9"/>
            </w:tcBorders>
            <w:shd w:val="clear" w:color="auto" w:fill="E2E7EB" w:themeFill="accent3" w:themeFillTint="33"/>
          </w:tcPr>
          <w:p w14:paraId="57F77471" w14:textId="77777777" w:rsidR="007D29F8" w:rsidRPr="00E12BB9" w:rsidRDefault="007D29F8" w:rsidP="00DB6666">
            <w:pPr>
              <w:keepNext/>
              <w:keepLines/>
              <w:jc w:val="center"/>
              <w:rPr>
                <w:b/>
                <w:bCs/>
                <w:sz w:val="16"/>
                <w:szCs w:val="16"/>
              </w:rPr>
            </w:pPr>
            <w:r w:rsidRPr="00E12BB9">
              <w:rPr>
                <w:b/>
                <w:bCs/>
                <w:sz w:val="16"/>
                <w:szCs w:val="16"/>
              </w:rPr>
              <w:t>Objectifs visés (2024-2025)</w:t>
            </w:r>
          </w:p>
        </w:tc>
      </w:tr>
      <w:tr w:rsidR="007D29F8" w:rsidRPr="00E12BB9" w14:paraId="67A9A136" w14:textId="77777777" w:rsidTr="00DB6666">
        <w:tc>
          <w:tcPr>
            <w:tcW w:w="426" w:type="dxa"/>
            <w:tcBorders>
              <w:top w:val="single" w:sz="4" w:space="0" w:color="D9D9D9" w:themeColor="background1" w:themeShade="D9"/>
            </w:tcBorders>
          </w:tcPr>
          <w:p w14:paraId="300BC814" w14:textId="77777777" w:rsidR="007D29F8" w:rsidRPr="00E12BB9" w:rsidRDefault="007D29F8" w:rsidP="00DB6666">
            <w:pPr>
              <w:keepNext/>
              <w:keepLines/>
              <w:jc w:val="left"/>
              <w:rPr>
                <w:rFonts w:cs="Arial"/>
                <w:sz w:val="16"/>
                <w:szCs w:val="16"/>
              </w:rPr>
            </w:pPr>
            <w:r w:rsidRPr="00E12BB9">
              <w:rPr>
                <w:rFonts w:cs="Arial"/>
                <w:sz w:val="16"/>
                <w:szCs w:val="16"/>
              </w:rPr>
              <w:t>2.1</w:t>
            </w:r>
          </w:p>
        </w:tc>
        <w:tc>
          <w:tcPr>
            <w:tcW w:w="3255" w:type="dxa"/>
            <w:tcBorders>
              <w:top w:val="single" w:sz="4" w:space="0" w:color="D9D9D9" w:themeColor="background1" w:themeShade="D9"/>
            </w:tcBorders>
            <w:shd w:val="clear" w:color="auto" w:fill="auto"/>
          </w:tcPr>
          <w:p w14:paraId="4F076801" w14:textId="77777777" w:rsidR="007D29F8" w:rsidRPr="00E12BB9" w:rsidRDefault="007D29F8" w:rsidP="00DB6666">
            <w:pPr>
              <w:keepNext/>
              <w:keepLines/>
              <w:jc w:val="left"/>
              <w:rPr>
                <w:rFonts w:cs="Arial"/>
                <w:sz w:val="16"/>
                <w:szCs w:val="16"/>
              </w:rPr>
            </w:pPr>
            <w:r w:rsidRPr="00E12BB9">
              <w:rPr>
                <w:rFonts w:cs="Arial"/>
                <w:sz w:val="16"/>
                <w:szCs w:val="16"/>
              </w:rPr>
              <w:t>Sensibilisation accrue au rôle du système de l’UPOV</w:t>
            </w:r>
          </w:p>
        </w:tc>
        <w:tc>
          <w:tcPr>
            <w:tcW w:w="305" w:type="dxa"/>
            <w:tcBorders>
              <w:top w:val="single" w:sz="4" w:space="0" w:color="D9D9D9" w:themeColor="background1" w:themeShade="D9"/>
            </w:tcBorders>
            <w:shd w:val="clear" w:color="auto" w:fill="auto"/>
          </w:tcPr>
          <w:p w14:paraId="6A2DC5CD" w14:textId="77777777" w:rsidR="007D29F8" w:rsidRPr="00E12BB9" w:rsidRDefault="007D29F8" w:rsidP="00DB6666">
            <w:pPr>
              <w:keepNext/>
              <w:keepLines/>
              <w:jc w:val="left"/>
              <w:rPr>
                <w:rFonts w:cs="Arial"/>
                <w:sz w:val="16"/>
                <w:szCs w:val="16"/>
              </w:rPr>
            </w:pPr>
          </w:p>
        </w:tc>
        <w:tc>
          <w:tcPr>
            <w:tcW w:w="2457" w:type="dxa"/>
            <w:tcBorders>
              <w:top w:val="single" w:sz="4" w:space="0" w:color="D9D9D9" w:themeColor="background1" w:themeShade="D9"/>
            </w:tcBorders>
            <w:shd w:val="clear" w:color="auto" w:fill="auto"/>
          </w:tcPr>
          <w:p w14:paraId="790A48B3" w14:textId="77777777" w:rsidR="007D29F8" w:rsidRPr="00E12BB9" w:rsidRDefault="007D29F8" w:rsidP="00DB6666">
            <w:pPr>
              <w:keepNext/>
              <w:keepLines/>
              <w:jc w:val="left"/>
              <w:rPr>
                <w:rFonts w:cs="Arial"/>
                <w:sz w:val="16"/>
                <w:szCs w:val="16"/>
              </w:rPr>
            </w:pPr>
            <w:r w:rsidRPr="00E12BB9">
              <w:rPr>
                <w:rFonts w:cs="Arial"/>
                <w:sz w:val="16"/>
                <w:szCs w:val="16"/>
              </w:rPr>
              <w:t>Informations de l’UPOV visionnées</w:t>
            </w:r>
          </w:p>
        </w:tc>
        <w:tc>
          <w:tcPr>
            <w:tcW w:w="1632" w:type="dxa"/>
            <w:tcBorders>
              <w:top w:val="single" w:sz="4" w:space="0" w:color="D9D9D9" w:themeColor="background1" w:themeShade="D9"/>
            </w:tcBorders>
            <w:shd w:val="clear" w:color="auto" w:fill="auto"/>
          </w:tcPr>
          <w:p w14:paraId="1A93E534" w14:textId="77777777" w:rsidR="007D29F8" w:rsidRPr="00E12BB9" w:rsidRDefault="007D29F8" w:rsidP="00DB6666">
            <w:pPr>
              <w:keepNext/>
              <w:keepLines/>
              <w:jc w:val="center"/>
              <w:rPr>
                <w:rFonts w:cs="Arial"/>
                <w:sz w:val="16"/>
                <w:szCs w:val="16"/>
              </w:rPr>
            </w:pPr>
          </w:p>
        </w:tc>
        <w:tc>
          <w:tcPr>
            <w:tcW w:w="1559" w:type="dxa"/>
            <w:tcBorders>
              <w:top w:val="single" w:sz="4" w:space="0" w:color="D9D9D9" w:themeColor="background1" w:themeShade="D9"/>
            </w:tcBorders>
            <w:shd w:val="clear" w:color="auto" w:fill="auto"/>
          </w:tcPr>
          <w:p w14:paraId="36CCBE34" w14:textId="77777777" w:rsidR="007D29F8" w:rsidRPr="00E12BB9" w:rsidRDefault="007D29F8" w:rsidP="00DB6666">
            <w:pPr>
              <w:keepNext/>
              <w:keepLines/>
              <w:jc w:val="center"/>
              <w:rPr>
                <w:rFonts w:cs="Arial"/>
                <w:sz w:val="16"/>
                <w:szCs w:val="16"/>
              </w:rPr>
            </w:pPr>
          </w:p>
        </w:tc>
      </w:tr>
      <w:tr w:rsidR="007D29F8" w:rsidRPr="00E12BB9" w14:paraId="5788A91E" w14:textId="77777777" w:rsidTr="00DB6666">
        <w:tc>
          <w:tcPr>
            <w:tcW w:w="426" w:type="dxa"/>
          </w:tcPr>
          <w:p w14:paraId="719A8A07" w14:textId="77777777" w:rsidR="007D29F8" w:rsidRPr="00E12BB9" w:rsidRDefault="007D29F8" w:rsidP="00DB6666">
            <w:pPr>
              <w:jc w:val="left"/>
              <w:rPr>
                <w:rFonts w:cs="Arial"/>
                <w:sz w:val="16"/>
                <w:szCs w:val="16"/>
              </w:rPr>
            </w:pPr>
          </w:p>
        </w:tc>
        <w:tc>
          <w:tcPr>
            <w:tcW w:w="3255" w:type="dxa"/>
            <w:shd w:val="clear" w:color="auto" w:fill="auto"/>
          </w:tcPr>
          <w:p w14:paraId="50AE2095" w14:textId="77777777" w:rsidR="007D29F8" w:rsidRPr="00E12BB9" w:rsidRDefault="007D29F8" w:rsidP="00DB6666">
            <w:pPr>
              <w:jc w:val="left"/>
              <w:rPr>
                <w:rFonts w:cs="Arial"/>
                <w:sz w:val="16"/>
                <w:szCs w:val="16"/>
              </w:rPr>
            </w:pPr>
          </w:p>
        </w:tc>
        <w:tc>
          <w:tcPr>
            <w:tcW w:w="305" w:type="dxa"/>
            <w:shd w:val="clear" w:color="auto" w:fill="auto"/>
          </w:tcPr>
          <w:p w14:paraId="4324DFA7" w14:textId="77777777" w:rsidR="007D29F8" w:rsidRPr="00E12BB9" w:rsidRDefault="007D29F8" w:rsidP="00DB6666">
            <w:pPr>
              <w:jc w:val="left"/>
              <w:rPr>
                <w:rFonts w:cs="Arial"/>
                <w:sz w:val="16"/>
                <w:szCs w:val="16"/>
              </w:rPr>
            </w:pPr>
          </w:p>
        </w:tc>
        <w:tc>
          <w:tcPr>
            <w:tcW w:w="2457" w:type="dxa"/>
            <w:shd w:val="clear" w:color="auto" w:fill="auto"/>
          </w:tcPr>
          <w:p w14:paraId="78A4D63E" w14:textId="77777777" w:rsidR="007D29F8" w:rsidRPr="00E12BB9" w:rsidRDefault="007D29F8" w:rsidP="00DB6666">
            <w:pPr>
              <w:ind w:left="284"/>
              <w:jc w:val="left"/>
              <w:rPr>
                <w:rFonts w:cs="Arial"/>
                <w:sz w:val="16"/>
                <w:szCs w:val="16"/>
              </w:rPr>
            </w:pPr>
            <w:r w:rsidRPr="00E12BB9">
              <w:rPr>
                <w:rFonts w:cs="Arial"/>
                <w:sz w:val="16"/>
                <w:szCs w:val="16"/>
              </w:rPr>
              <w:t>Visites sur le site Web de l’UPOV</w:t>
            </w:r>
          </w:p>
        </w:tc>
        <w:tc>
          <w:tcPr>
            <w:tcW w:w="1632" w:type="dxa"/>
            <w:shd w:val="clear" w:color="auto" w:fill="auto"/>
          </w:tcPr>
          <w:p w14:paraId="66BBFAC9" w14:textId="77777777" w:rsidR="007D29F8" w:rsidRPr="00E12BB9" w:rsidRDefault="007D29F8" w:rsidP="00DB6666">
            <w:pPr>
              <w:jc w:val="center"/>
              <w:rPr>
                <w:rFonts w:cs="Arial"/>
                <w:sz w:val="16"/>
                <w:szCs w:val="16"/>
              </w:rPr>
            </w:pPr>
            <w:r w:rsidRPr="00E12BB9">
              <w:rPr>
                <w:rFonts w:cs="Arial"/>
                <w:sz w:val="16"/>
                <w:szCs w:val="16"/>
              </w:rPr>
              <w:t>Visites : 880 000 (2022)</w:t>
            </w:r>
          </w:p>
        </w:tc>
        <w:tc>
          <w:tcPr>
            <w:tcW w:w="1559" w:type="dxa"/>
            <w:shd w:val="clear" w:color="auto" w:fill="auto"/>
          </w:tcPr>
          <w:p w14:paraId="5490F15F" w14:textId="77777777" w:rsidR="007D29F8" w:rsidRPr="00E12BB9" w:rsidRDefault="007D29F8" w:rsidP="00DB6666">
            <w:pPr>
              <w:jc w:val="center"/>
              <w:rPr>
                <w:rFonts w:cs="Arial"/>
                <w:sz w:val="16"/>
                <w:szCs w:val="16"/>
              </w:rPr>
            </w:pPr>
            <w:r w:rsidRPr="00E12BB9">
              <w:rPr>
                <w:rFonts w:cs="Arial"/>
                <w:sz w:val="16"/>
                <w:szCs w:val="16"/>
              </w:rPr>
              <w:t>Visites : 1 250 000 (2025)</w:t>
            </w:r>
          </w:p>
        </w:tc>
      </w:tr>
      <w:tr w:rsidR="007D29F8" w:rsidRPr="00E12BB9" w14:paraId="5D455CDE" w14:textId="77777777" w:rsidTr="00DB6666">
        <w:tc>
          <w:tcPr>
            <w:tcW w:w="426" w:type="dxa"/>
          </w:tcPr>
          <w:p w14:paraId="30CCDB69" w14:textId="77777777" w:rsidR="007D29F8" w:rsidRPr="00E12BB9" w:rsidRDefault="007D29F8" w:rsidP="00DB6666">
            <w:pPr>
              <w:jc w:val="left"/>
              <w:rPr>
                <w:rFonts w:cs="Arial"/>
                <w:sz w:val="16"/>
                <w:szCs w:val="16"/>
              </w:rPr>
            </w:pPr>
          </w:p>
        </w:tc>
        <w:tc>
          <w:tcPr>
            <w:tcW w:w="3255" w:type="dxa"/>
            <w:shd w:val="clear" w:color="auto" w:fill="auto"/>
          </w:tcPr>
          <w:p w14:paraId="3E0A1A1F" w14:textId="77777777" w:rsidR="007D29F8" w:rsidRPr="00E12BB9" w:rsidRDefault="007D29F8" w:rsidP="00DB6666">
            <w:pPr>
              <w:jc w:val="left"/>
              <w:rPr>
                <w:rFonts w:cs="Arial"/>
                <w:sz w:val="16"/>
                <w:szCs w:val="16"/>
              </w:rPr>
            </w:pPr>
          </w:p>
        </w:tc>
        <w:tc>
          <w:tcPr>
            <w:tcW w:w="305" w:type="dxa"/>
            <w:shd w:val="clear" w:color="auto" w:fill="auto"/>
          </w:tcPr>
          <w:p w14:paraId="2498DBF9" w14:textId="77777777" w:rsidR="007D29F8" w:rsidRPr="00E12BB9" w:rsidRDefault="007D29F8" w:rsidP="00DB6666">
            <w:pPr>
              <w:jc w:val="left"/>
              <w:rPr>
                <w:rFonts w:cs="Arial"/>
                <w:sz w:val="16"/>
                <w:szCs w:val="16"/>
              </w:rPr>
            </w:pPr>
          </w:p>
        </w:tc>
        <w:tc>
          <w:tcPr>
            <w:tcW w:w="2457" w:type="dxa"/>
            <w:shd w:val="clear" w:color="auto" w:fill="auto"/>
          </w:tcPr>
          <w:p w14:paraId="173BA897" w14:textId="77777777" w:rsidR="007D29F8" w:rsidRPr="00E12BB9" w:rsidRDefault="007D29F8" w:rsidP="00DB6666">
            <w:pPr>
              <w:ind w:left="284"/>
              <w:jc w:val="left"/>
              <w:rPr>
                <w:rFonts w:cs="Arial"/>
                <w:sz w:val="16"/>
                <w:szCs w:val="16"/>
              </w:rPr>
            </w:pPr>
            <w:r w:rsidRPr="00E12BB9">
              <w:rPr>
                <w:rFonts w:cs="Arial"/>
                <w:sz w:val="16"/>
                <w:szCs w:val="16"/>
              </w:rPr>
              <w:t>Visiteurs sur le site Web de l’UPOV</w:t>
            </w:r>
          </w:p>
        </w:tc>
        <w:tc>
          <w:tcPr>
            <w:tcW w:w="1632" w:type="dxa"/>
            <w:shd w:val="clear" w:color="auto" w:fill="auto"/>
          </w:tcPr>
          <w:p w14:paraId="66BF671E" w14:textId="77777777" w:rsidR="007D29F8" w:rsidRPr="00E12BB9" w:rsidRDefault="007D29F8" w:rsidP="00DB6666">
            <w:pPr>
              <w:jc w:val="center"/>
              <w:rPr>
                <w:rFonts w:cs="Arial"/>
                <w:sz w:val="16"/>
                <w:szCs w:val="16"/>
              </w:rPr>
            </w:pPr>
            <w:r w:rsidRPr="00E12BB9">
              <w:rPr>
                <w:rFonts w:cs="Arial"/>
                <w:sz w:val="16"/>
                <w:szCs w:val="16"/>
              </w:rPr>
              <w:t>Visiteurs :</w:t>
            </w:r>
            <w:r>
              <w:rPr>
                <w:rFonts w:cs="Arial"/>
                <w:sz w:val="16"/>
                <w:szCs w:val="16"/>
              </w:rPr>
              <w:t xml:space="preserve"> </w:t>
            </w:r>
            <w:r w:rsidRPr="00E12BB9">
              <w:rPr>
                <w:rFonts w:cs="Arial"/>
                <w:sz w:val="16"/>
                <w:szCs w:val="16"/>
              </w:rPr>
              <w:t>118 000 (2022)</w:t>
            </w:r>
          </w:p>
        </w:tc>
        <w:tc>
          <w:tcPr>
            <w:tcW w:w="1559" w:type="dxa"/>
            <w:shd w:val="clear" w:color="auto" w:fill="auto"/>
          </w:tcPr>
          <w:p w14:paraId="57E3E7ED" w14:textId="77777777" w:rsidR="007D29F8" w:rsidRPr="00E12BB9" w:rsidRDefault="007D29F8" w:rsidP="00DB6666">
            <w:pPr>
              <w:jc w:val="center"/>
              <w:rPr>
                <w:rFonts w:cs="Arial"/>
                <w:sz w:val="16"/>
                <w:szCs w:val="16"/>
              </w:rPr>
            </w:pPr>
            <w:r w:rsidRPr="00E12BB9">
              <w:rPr>
                <w:rFonts w:cs="Arial"/>
                <w:sz w:val="16"/>
                <w:szCs w:val="16"/>
              </w:rPr>
              <w:t>175 000</w:t>
            </w:r>
          </w:p>
        </w:tc>
      </w:tr>
      <w:tr w:rsidR="007D29F8" w:rsidRPr="00E12BB9" w14:paraId="486AE6A3" w14:textId="77777777" w:rsidTr="00DB6666">
        <w:tc>
          <w:tcPr>
            <w:tcW w:w="426" w:type="dxa"/>
          </w:tcPr>
          <w:p w14:paraId="49088E75" w14:textId="77777777" w:rsidR="007D29F8" w:rsidRPr="00E12BB9" w:rsidRDefault="007D29F8" w:rsidP="00DB6666">
            <w:pPr>
              <w:jc w:val="left"/>
              <w:rPr>
                <w:rFonts w:cs="Arial"/>
                <w:sz w:val="16"/>
                <w:szCs w:val="16"/>
              </w:rPr>
            </w:pPr>
          </w:p>
        </w:tc>
        <w:tc>
          <w:tcPr>
            <w:tcW w:w="3255" w:type="dxa"/>
            <w:shd w:val="clear" w:color="auto" w:fill="auto"/>
          </w:tcPr>
          <w:p w14:paraId="684E083A" w14:textId="77777777" w:rsidR="007D29F8" w:rsidRPr="00E12BB9" w:rsidRDefault="007D29F8" w:rsidP="00DB6666">
            <w:pPr>
              <w:jc w:val="left"/>
              <w:rPr>
                <w:rFonts w:cs="Arial"/>
                <w:sz w:val="16"/>
                <w:szCs w:val="16"/>
              </w:rPr>
            </w:pPr>
          </w:p>
        </w:tc>
        <w:tc>
          <w:tcPr>
            <w:tcW w:w="305" w:type="dxa"/>
            <w:shd w:val="clear" w:color="auto" w:fill="auto"/>
          </w:tcPr>
          <w:p w14:paraId="149E7E3A" w14:textId="77777777" w:rsidR="007D29F8" w:rsidRPr="00E12BB9" w:rsidRDefault="007D29F8" w:rsidP="00DB6666">
            <w:pPr>
              <w:jc w:val="left"/>
              <w:rPr>
                <w:rFonts w:cs="Arial"/>
                <w:sz w:val="16"/>
                <w:szCs w:val="16"/>
              </w:rPr>
            </w:pPr>
          </w:p>
        </w:tc>
        <w:tc>
          <w:tcPr>
            <w:tcW w:w="2457" w:type="dxa"/>
            <w:shd w:val="clear" w:color="auto" w:fill="auto"/>
          </w:tcPr>
          <w:p w14:paraId="1F5D32CA" w14:textId="77777777" w:rsidR="007D29F8" w:rsidRPr="00E12BB9" w:rsidRDefault="007D29F8" w:rsidP="00DB6666">
            <w:pPr>
              <w:ind w:left="284"/>
              <w:jc w:val="left"/>
              <w:rPr>
                <w:rFonts w:cs="Arial"/>
                <w:sz w:val="16"/>
                <w:szCs w:val="16"/>
              </w:rPr>
            </w:pPr>
            <w:r w:rsidRPr="00E12BB9">
              <w:rPr>
                <w:rFonts w:cs="Arial"/>
                <w:sz w:val="16"/>
                <w:szCs w:val="16"/>
              </w:rPr>
              <w:t>Nombre d’abonnés sur les réseaux sociaux</w:t>
            </w:r>
          </w:p>
        </w:tc>
        <w:tc>
          <w:tcPr>
            <w:tcW w:w="1632" w:type="dxa"/>
            <w:shd w:val="clear" w:color="auto" w:fill="auto"/>
          </w:tcPr>
          <w:p w14:paraId="5572404E" w14:textId="77777777" w:rsidR="007D29F8" w:rsidRPr="00E12BB9" w:rsidRDefault="007D29F8" w:rsidP="00DB6666">
            <w:pPr>
              <w:jc w:val="center"/>
              <w:rPr>
                <w:rFonts w:cs="Arial"/>
                <w:sz w:val="16"/>
                <w:szCs w:val="16"/>
              </w:rPr>
            </w:pPr>
            <w:r w:rsidRPr="00E12BB9">
              <w:rPr>
                <w:rFonts w:cs="Arial"/>
                <w:sz w:val="16"/>
                <w:szCs w:val="16"/>
              </w:rPr>
              <w:t xml:space="preserve">Twitter : 2 250 </w:t>
            </w:r>
            <w:r w:rsidRPr="00E12BB9">
              <w:rPr>
                <w:rFonts w:cs="Arial"/>
                <w:sz w:val="16"/>
                <w:szCs w:val="16"/>
              </w:rPr>
              <w:br/>
              <w:t>(fin</w:t>
            </w:r>
            <w:r>
              <w:rPr>
                <w:rFonts w:cs="Arial"/>
                <w:sz w:val="16"/>
                <w:szCs w:val="16"/>
              </w:rPr>
              <w:t> </w:t>
            </w:r>
            <w:r w:rsidRPr="00E12BB9">
              <w:rPr>
                <w:rFonts w:cs="Arial"/>
                <w:sz w:val="16"/>
                <w:szCs w:val="16"/>
              </w:rPr>
              <w:t xml:space="preserve">2022);  </w:t>
            </w:r>
            <w:r w:rsidRPr="00E12BB9">
              <w:rPr>
                <w:rFonts w:cs="Arial"/>
                <w:sz w:val="16"/>
                <w:szCs w:val="16"/>
              </w:rPr>
              <w:br/>
              <w:t xml:space="preserve">LinkedIn : 3 900 </w:t>
            </w:r>
            <w:r w:rsidRPr="00E12BB9">
              <w:rPr>
                <w:rFonts w:cs="Arial"/>
                <w:sz w:val="16"/>
                <w:szCs w:val="16"/>
              </w:rPr>
              <w:br/>
              <w:t>(fin</w:t>
            </w:r>
            <w:r>
              <w:rPr>
                <w:rFonts w:cs="Arial"/>
                <w:sz w:val="16"/>
                <w:szCs w:val="16"/>
              </w:rPr>
              <w:t> </w:t>
            </w:r>
            <w:r w:rsidRPr="00E12BB9">
              <w:rPr>
                <w:rFonts w:cs="Arial"/>
                <w:sz w:val="16"/>
                <w:szCs w:val="16"/>
              </w:rPr>
              <w:t>2022)</w:t>
            </w:r>
          </w:p>
        </w:tc>
        <w:tc>
          <w:tcPr>
            <w:tcW w:w="1559" w:type="dxa"/>
            <w:shd w:val="clear" w:color="auto" w:fill="auto"/>
          </w:tcPr>
          <w:p w14:paraId="1B19D0C5" w14:textId="77777777" w:rsidR="007D29F8" w:rsidRPr="00E12BB9" w:rsidRDefault="007D29F8" w:rsidP="00DB6666">
            <w:pPr>
              <w:jc w:val="center"/>
              <w:rPr>
                <w:rFonts w:cs="Arial"/>
                <w:sz w:val="16"/>
                <w:szCs w:val="16"/>
              </w:rPr>
            </w:pPr>
            <w:r w:rsidRPr="00E12BB9">
              <w:rPr>
                <w:rFonts w:cs="Arial"/>
                <w:sz w:val="16"/>
                <w:szCs w:val="16"/>
              </w:rPr>
              <w:t>Twitter : 4 000</w:t>
            </w:r>
            <w:r w:rsidRPr="00E12BB9">
              <w:rPr>
                <w:rFonts w:cs="Arial"/>
                <w:sz w:val="16"/>
                <w:szCs w:val="16"/>
              </w:rPr>
              <w:br/>
              <w:t>(fin</w:t>
            </w:r>
            <w:r>
              <w:rPr>
                <w:rFonts w:cs="Arial"/>
                <w:sz w:val="16"/>
                <w:szCs w:val="16"/>
              </w:rPr>
              <w:t> </w:t>
            </w:r>
            <w:r w:rsidRPr="00E12BB9">
              <w:rPr>
                <w:rFonts w:cs="Arial"/>
                <w:sz w:val="16"/>
                <w:szCs w:val="16"/>
              </w:rPr>
              <w:t>2025);</w:t>
            </w:r>
            <w:r w:rsidRPr="00E12BB9">
              <w:rPr>
                <w:rFonts w:cs="Arial"/>
                <w:sz w:val="16"/>
                <w:szCs w:val="16"/>
              </w:rPr>
              <w:br/>
              <w:t>LinkedIn : 7 500</w:t>
            </w:r>
            <w:r w:rsidRPr="00E12BB9">
              <w:rPr>
                <w:rFonts w:cs="Arial"/>
                <w:sz w:val="16"/>
                <w:szCs w:val="16"/>
              </w:rPr>
              <w:br/>
              <w:t>(fin</w:t>
            </w:r>
            <w:r>
              <w:rPr>
                <w:rFonts w:cs="Arial"/>
                <w:sz w:val="16"/>
                <w:szCs w:val="16"/>
              </w:rPr>
              <w:t> </w:t>
            </w:r>
            <w:r w:rsidRPr="00E12BB9">
              <w:rPr>
                <w:rFonts w:cs="Arial"/>
                <w:sz w:val="16"/>
                <w:szCs w:val="16"/>
              </w:rPr>
              <w:t>2025)</w:t>
            </w:r>
          </w:p>
        </w:tc>
      </w:tr>
      <w:tr w:rsidR="007D29F8" w:rsidRPr="00E12BB9" w14:paraId="34F9B4DE" w14:textId="77777777" w:rsidTr="00DB6666">
        <w:tc>
          <w:tcPr>
            <w:tcW w:w="426" w:type="dxa"/>
            <w:tcBorders>
              <w:bottom w:val="single" w:sz="4" w:space="0" w:color="D9D9D9" w:themeColor="background1" w:themeShade="D9"/>
            </w:tcBorders>
          </w:tcPr>
          <w:p w14:paraId="481EE996" w14:textId="77777777" w:rsidR="007D29F8" w:rsidRPr="00E12BB9" w:rsidRDefault="007D29F8" w:rsidP="00DB6666">
            <w:pPr>
              <w:jc w:val="left"/>
              <w:rPr>
                <w:rFonts w:cs="Arial"/>
                <w:sz w:val="16"/>
                <w:szCs w:val="16"/>
              </w:rPr>
            </w:pPr>
          </w:p>
        </w:tc>
        <w:tc>
          <w:tcPr>
            <w:tcW w:w="3255" w:type="dxa"/>
            <w:tcBorders>
              <w:bottom w:val="single" w:sz="4" w:space="0" w:color="D9D9D9" w:themeColor="background1" w:themeShade="D9"/>
            </w:tcBorders>
            <w:shd w:val="clear" w:color="auto" w:fill="auto"/>
          </w:tcPr>
          <w:p w14:paraId="64F3E852" w14:textId="77777777" w:rsidR="007D29F8" w:rsidRPr="00E12BB9" w:rsidRDefault="007D29F8" w:rsidP="00DB6666">
            <w:pPr>
              <w:jc w:val="left"/>
              <w:rPr>
                <w:rFonts w:cs="Arial"/>
                <w:sz w:val="16"/>
                <w:szCs w:val="16"/>
              </w:rPr>
            </w:pPr>
            <w:r w:rsidRPr="00E12BB9">
              <w:rPr>
                <w:rFonts w:cs="Arial"/>
                <w:sz w:val="16"/>
                <w:szCs w:val="16"/>
              </w:rPr>
              <w:t> </w:t>
            </w:r>
          </w:p>
        </w:tc>
        <w:tc>
          <w:tcPr>
            <w:tcW w:w="305" w:type="dxa"/>
            <w:tcBorders>
              <w:bottom w:val="single" w:sz="4" w:space="0" w:color="D9D9D9" w:themeColor="background1" w:themeShade="D9"/>
            </w:tcBorders>
            <w:shd w:val="clear" w:color="auto" w:fill="auto"/>
          </w:tcPr>
          <w:p w14:paraId="7C2480E8" w14:textId="77777777" w:rsidR="007D29F8" w:rsidRPr="00E12BB9" w:rsidRDefault="007D29F8" w:rsidP="00DB6666">
            <w:pPr>
              <w:jc w:val="center"/>
              <w:rPr>
                <w:rFonts w:cs="Arial"/>
                <w:sz w:val="16"/>
                <w:szCs w:val="16"/>
              </w:rPr>
            </w:pPr>
          </w:p>
        </w:tc>
        <w:tc>
          <w:tcPr>
            <w:tcW w:w="2457" w:type="dxa"/>
            <w:tcBorders>
              <w:bottom w:val="single" w:sz="4" w:space="0" w:color="D9D9D9" w:themeColor="background1" w:themeShade="D9"/>
            </w:tcBorders>
            <w:shd w:val="clear" w:color="auto" w:fill="auto"/>
          </w:tcPr>
          <w:p w14:paraId="1F722C6F" w14:textId="77777777" w:rsidR="007D29F8" w:rsidRPr="00E12BB9" w:rsidRDefault="007D29F8" w:rsidP="00DB6666">
            <w:pPr>
              <w:ind w:left="284"/>
              <w:jc w:val="left"/>
              <w:rPr>
                <w:rFonts w:cs="Arial"/>
                <w:sz w:val="16"/>
                <w:szCs w:val="16"/>
              </w:rPr>
            </w:pPr>
            <w:r w:rsidRPr="00E12BB9">
              <w:rPr>
                <w:rFonts w:cs="Arial"/>
                <w:sz w:val="16"/>
                <w:szCs w:val="16"/>
              </w:rPr>
              <w:t>Nombre de visionnages des vidéos sur la page relative aux avantages sur le site Web de l’UPOV</w:t>
            </w:r>
          </w:p>
        </w:tc>
        <w:tc>
          <w:tcPr>
            <w:tcW w:w="1632" w:type="dxa"/>
            <w:tcBorders>
              <w:bottom w:val="single" w:sz="4" w:space="0" w:color="D9D9D9" w:themeColor="background1" w:themeShade="D9"/>
            </w:tcBorders>
            <w:shd w:val="clear" w:color="auto" w:fill="auto"/>
          </w:tcPr>
          <w:p w14:paraId="7A1F6461" w14:textId="77777777" w:rsidR="007D29F8" w:rsidRPr="00E12BB9" w:rsidRDefault="007D29F8" w:rsidP="00DB6666">
            <w:pPr>
              <w:jc w:val="center"/>
              <w:rPr>
                <w:rFonts w:cs="Arial"/>
                <w:sz w:val="16"/>
                <w:szCs w:val="16"/>
              </w:rPr>
            </w:pPr>
            <w:r w:rsidRPr="00E12BB9">
              <w:rPr>
                <w:rFonts w:cs="Arial"/>
                <w:sz w:val="16"/>
                <w:szCs w:val="16"/>
              </w:rPr>
              <w:t>6 000 (2022)</w:t>
            </w:r>
          </w:p>
        </w:tc>
        <w:tc>
          <w:tcPr>
            <w:tcW w:w="1559" w:type="dxa"/>
            <w:tcBorders>
              <w:bottom w:val="single" w:sz="4" w:space="0" w:color="D9D9D9" w:themeColor="background1" w:themeShade="D9"/>
            </w:tcBorders>
            <w:shd w:val="clear" w:color="auto" w:fill="auto"/>
          </w:tcPr>
          <w:p w14:paraId="215AD713" w14:textId="77777777" w:rsidR="007D29F8" w:rsidRPr="00E12BB9" w:rsidRDefault="007D29F8" w:rsidP="00DB6666">
            <w:pPr>
              <w:jc w:val="center"/>
              <w:rPr>
                <w:rFonts w:cs="Arial"/>
                <w:sz w:val="16"/>
                <w:szCs w:val="16"/>
              </w:rPr>
            </w:pPr>
            <w:r w:rsidRPr="00E12BB9">
              <w:rPr>
                <w:rFonts w:cs="Arial"/>
                <w:sz w:val="16"/>
                <w:szCs w:val="16"/>
              </w:rPr>
              <w:t>7 500 (2025)</w:t>
            </w:r>
          </w:p>
        </w:tc>
      </w:tr>
      <w:tr w:rsidR="007D29F8" w:rsidRPr="00E12BB9" w14:paraId="3D976D86" w14:textId="77777777" w:rsidTr="00DB6666">
        <w:tc>
          <w:tcPr>
            <w:tcW w:w="426" w:type="dxa"/>
            <w:tcBorders>
              <w:top w:val="single" w:sz="4" w:space="0" w:color="D9D9D9" w:themeColor="background1" w:themeShade="D9"/>
            </w:tcBorders>
          </w:tcPr>
          <w:p w14:paraId="6A9C6EA1" w14:textId="77777777" w:rsidR="007D29F8" w:rsidRPr="00E12BB9" w:rsidRDefault="007D29F8" w:rsidP="00DB6666">
            <w:pPr>
              <w:jc w:val="left"/>
              <w:rPr>
                <w:rFonts w:cs="Arial"/>
                <w:sz w:val="16"/>
                <w:szCs w:val="16"/>
              </w:rPr>
            </w:pPr>
            <w:r w:rsidRPr="00E12BB9">
              <w:rPr>
                <w:rFonts w:cs="Arial"/>
                <w:sz w:val="16"/>
                <w:szCs w:val="16"/>
              </w:rPr>
              <w:t>2.2</w:t>
            </w:r>
          </w:p>
        </w:tc>
        <w:tc>
          <w:tcPr>
            <w:tcW w:w="3255" w:type="dxa"/>
            <w:tcBorders>
              <w:top w:val="single" w:sz="4" w:space="0" w:color="D9D9D9" w:themeColor="background1" w:themeShade="D9"/>
            </w:tcBorders>
            <w:shd w:val="clear" w:color="auto" w:fill="auto"/>
          </w:tcPr>
          <w:p w14:paraId="0E4D095B" w14:textId="77777777" w:rsidR="007D29F8" w:rsidRPr="00E12BB9" w:rsidRDefault="007D29F8" w:rsidP="00DB6666">
            <w:pPr>
              <w:jc w:val="left"/>
              <w:rPr>
                <w:rFonts w:cs="Arial"/>
                <w:sz w:val="16"/>
                <w:szCs w:val="16"/>
              </w:rPr>
            </w:pPr>
            <w:r w:rsidRPr="00E12BB9">
              <w:rPr>
                <w:rFonts w:cs="Arial"/>
                <w:sz w:val="16"/>
                <w:szCs w:val="16"/>
              </w:rPr>
              <w:t>Orientations et assistance concernant la Convention UPOV et sa mise en œuvre</w:t>
            </w:r>
          </w:p>
        </w:tc>
        <w:tc>
          <w:tcPr>
            <w:tcW w:w="305" w:type="dxa"/>
            <w:tcBorders>
              <w:top w:val="single" w:sz="4" w:space="0" w:color="D9D9D9" w:themeColor="background1" w:themeShade="D9"/>
            </w:tcBorders>
            <w:shd w:val="clear" w:color="auto" w:fill="auto"/>
          </w:tcPr>
          <w:p w14:paraId="3C6CACFE" w14:textId="77777777" w:rsidR="007D29F8" w:rsidRPr="00E12BB9" w:rsidRDefault="007D29F8" w:rsidP="00DB6666">
            <w:pPr>
              <w:jc w:val="center"/>
              <w:rPr>
                <w:rFonts w:cs="Arial"/>
                <w:sz w:val="16"/>
                <w:szCs w:val="16"/>
              </w:rPr>
            </w:pPr>
          </w:p>
        </w:tc>
        <w:tc>
          <w:tcPr>
            <w:tcW w:w="2457" w:type="dxa"/>
            <w:tcBorders>
              <w:top w:val="single" w:sz="4" w:space="0" w:color="D9D9D9" w:themeColor="background1" w:themeShade="D9"/>
            </w:tcBorders>
            <w:shd w:val="clear" w:color="auto" w:fill="auto"/>
          </w:tcPr>
          <w:p w14:paraId="30356A4F" w14:textId="77777777" w:rsidR="007D29F8" w:rsidRPr="00E12BB9" w:rsidRDefault="007D29F8" w:rsidP="00DB6666">
            <w:pPr>
              <w:jc w:val="left"/>
              <w:rPr>
                <w:rFonts w:cs="Arial"/>
                <w:sz w:val="16"/>
                <w:szCs w:val="16"/>
              </w:rPr>
            </w:pPr>
            <w:r w:rsidRPr="00E12BB9">
              <w:rPr>
                <w:rFonts w:cs="Arial"/>
                <w:sz w:val="16"/>
                <w:szCs w:val="16"/>
              </w:rPr>
              <w:t xml:space="preserve">Nombre d’États et d’organisations participant aux activités de formation et d’assistance de l’UPOV </w:t>
            </w:r>
          </w:p>
        </w:tc>
        <w:tc>
          <w:tcPr>
            <w:tcW w:w="1632" w:type="dxa"/>
            <w:tcBorders>
              <w:top w:val="single" w:sz="4" w:space="0" w:color="D9D9D9" w:themeColor="background1" w:themeShade="D9"/>
            </w:tcBorders>
            <w:shd w:val="clear" w:color="000000" w:fill="FFFFFF"/>
          </w:tcPr>
          <w:p w14:paraId="0C3C30F8" w14:textId="77777777" w:rsidR="007D29F8" w:rsidRPr="00E12BB9" w:rsidRDefault="007D29F8" w:rsidP="00DB6666">
            <w:pPr>
              <w:jc w:val="center"/>
              <w:rPr>
                <w:rFonts w:cs="Arial"/>
                <w:sz w:val="16"/>
                <w:szCs w:val="16"/>
              </w:rPr>
            </w:pPr>
            <w:r w:rsidRPr="00E12BB9">
              <w:rPr>
                <w:rFonts w:cs="Arial"/>
                <w:sz w:val="16"/>
                <w:szCs w:val="16"/>
              </w:rPr>
              <w:t xml:space="preserve">65 États;  </w:t>
            </w:r>
            <w:r w:rsidRPr="00E12BB9">
              <w:rPr>
                <w:rFonts w:cs="Arial"/>
                <w:sz w:val="16"/>
                <w:szCs w:val="16"/>
              </w:rPr>
              <w:br/>
              <w:t>11 organisations internationales (2022)</w:t>
            </w:r>
          </w:p>
        </w:tc>
        <w:tc>
          <w:tcPr>
            <w:tcW w:w="1559" w:type="dxa"/>
            <w:tcBorders>
              <w:top w:val="single" w:sz="4" w:space="0" w:color="D9D9D9" w:themeColor="background1" w:themeShade="D9"/>
            </w:tcBorders>
            <w:shd w:val="clear" w:color="000000" w:fill="FFFFFF"/>
          </w:tcPr>
          <w:p w14:paraId="7C2F4C84" w14:textId="77777777" w:rsidR="007D29F8" w:rsidRPr="00E12BB9" w:rsidRDefault="007D29F8" w:rsidP="00DB6666">
            <w:pPr>
              <w:jc w:val="center"/>
              <w:rPr>
                <w:rFonts w:cs="Arial"/>
                <w:sz w:val="16"/>
                <w:szCs w:val="16"/>
              </w:rPr>
            </w:pPr>
            <w:r w:rsidRPr="00E12BB9">
              <w:rPr>
                <w:rFonts w:cs="Arial"/>
                <w:sz w:val="16"/>
                <w:szCs w:val="16"/>
              </w:rPr>
              <w:t xml:space="preserve">70 États;  </w:t>
            </w:r>
            <w:r w:rsidRPr="00E12BB9">
              <w:rPr>
                <w:rFonts w:cs="Arial"/>
                <w:sz w:val="16"/>
                <w:szCs w:val="16"/>
              </w:rPr>
              <w:br/>
              <w:t>12 organisations internationales (2025)</w:t>
            </w:r>
          </w:p>
        </w:tc>
      </w:tr>
      <w:tr w:rsidR="007D29F8" w:rsidRPr="00E12BB9" w14:paraId="4F2CDAD1" w14:textId="77777777" w:rsidTr="00DB6666">
        <w:tc>
          <w:tcPr>
            <w:tcW w:w="426" w:type="dxa"/>
          </w:tcPr>
          <w:p w14:paraId="75517409" w14:textId="77777777" w:rsidR="007D29F8" w:rsidRPr="00E12BB9" w:rsidRDefault="007D29F8" w:rsidP="00DB6666">
            <w:pPr>
              <w:jc w:val="left"/>
              <w:rPr>
                <w:rFonts w:cs="Arial"/>
                <w:sz w:val="16"/>
                <w:szCs w:val="16"/>
              </w:rPr>
            </w:pPr>
          </w:p>
        </w:tc>
        <w:tc>
          <w:tcPr>
            <w:tcW w:w="3255" w:type="dxa"/>
            <w:shd w:val="clear" w:color="auto" w:fill="auto"/>
          </w:tcPr>
          <w:p w14:paraId="50DD6C9D" w14:textId="77777777" w:rsidR="007D29F8" w:rsidRPr="00E12BB9" w:rsidRDefault="007D29F8" w:rsidP="00DB6666">
            <w:pPr>
              <w:jc w:val="left"/>
              <w:rPr>
                <w:rFonts w:cs="Arial"/>
                <w:sz w:val="16"/>
                <w:szCs w:val="16"/>
              </w:rPr>
            </w:pPr>
          </w:p>
        </w:tc>
        <w:tc>
          <w:tcPr>
            <w:tcW w:w="305" w:type="dxa"/>
            <w:shd w:val="clear" w:color="auto" w:fill="auto"/>
          </w:tcPr>
          <w:p w14:paraId="599C99E0" w14:textId="77777777" w:rsidR="007D29F8" w:rsidRPr="00E12BB9" w:rsidRDefault="007D29F8" w:rsidP="00DB6666">
            <w:pPr>
              <w:jc w:val="center"/>
              <w:rPr>
                <w:rFonts w:cs="Arial"/>
                <w:sz w:val="16"/>
                <w:szCs w:val="16"/>
              </w:rPr>
            </w:pPr>
          </w:p>
        </w:tc>
        <w:tc>
          <w:tcPr>
            <w:tcW w:w="2457" w:type="dxa"/>
            <w:shd w:val="clear" w:color="auto" w:fill="auto"/>
          </w:tcPr>
          <w:p w14:paraId="67C81438" w14:textId="77777777" w:rsidR="007D29F8" w:rsidRPr="00E12BB9" w:rsidRDefault="007D29F8" w:rsidP="00DB6666">
            <w:pPr>
              <w:jc w:val="left"/>
              <w:rPr>
                <w:rFonts w:cs="Arial"/>
                <w:sz w:val="16"/>
                <w:szCs w:val="16"/>
              </w:rPr>
            </w:pPr>
            <w:r w:rsidRPr="00E12BB9">
              <w:rPr>
                <w:rFonts w:cs="Arial"/>
                <w:sz w:val="16"/>
                <w:szCs w:val="16"/>
              </w:rPr>
              <w:t>Nombre de participants ayant suivi avec succès les cours d’enseignement à distance de l’UPOV</w:t>
            </w:r>
          </w:p>
        </w:tc>
        <w:tc>
          <w:tcPr>
            <w:tcW w:w="1632" w:type="dxa"/>
            <w:shd w:val="clear" w:color="000000" w:fill="FFFFFF"/>
          </w:tcPr>
          <w:p w14:paraId="01BC8D20" w14:textId="77777777" w:rsidR="007D29F8" w:rsidRPr="00E12BB9" w:rsidRDefault="007D29F8" w:rsidP="00DB6666">
            <w:pPr>
              <w:jc w:val="center"/>
              <w:rPr>
                <w:rFonts w:cs="Arial"/>
                <w:sz w:val="16"/>
                <w:szCs w:val="16"/>
              </w:rPr>
            </w:pPr>
            <w:r w:rsidRPr="00E12BB9">
              <w:rPr>
                <w:rFonts w:cs="Arial"/>
                <w:sz w:val="16"/>
                <w:szCs w:val="16"/>
              </w:rPr>
              <w:t>600 (2022)</w:t>
            </w:r>
          </w:p>
        </w:tc>
        <w:tc>
          <w:tcPr>
            <w:tcW w:w="1559" w:type="dxa"/>
            <w:shd w:val="clear" w:color="auto" w:fill="auto"/>
          </w:tcPr>
          <w:p w14:paraId="397EC3DD" w14:textId="77777777" w:rsidR="007D29F8" w:rsidRPr="00E12BB9" w:rsidRDefault="007D29F8" w:rsidP="00DB6666">
            <w:pPr>
              <w:jc w:val="center"/>
              <w:rPr>
                <w:rFonts w:cs="Arial"/>
                <w:sz w:val="16"/>
                <w:szCs w:val="16"/>
              </w:rPr>
            </w:pPr>
            <w:r w:rsidRPr="00E12BB9">
              <w:rPr>
                <w:rFonts w:cs="Arial"/>
                <w:sz w:val="16"/>
                <w:szCs w:val="16"/>
              </w:rPr>
              <w:t>750 (2025)</w:t>
            </w:r>
          </w:p>
        </w:tc>
      </w:tr>
      <w:tr w:rsidR="007D29F8" w:rsidRPr="00E12BB9" w14:paraId="37442AA8" w14:textId="77777777" w:rsidTr="00DB6666">
        <w:tc>
          <w:tcPr>
            <w:tcW w:w="426" w:type="dxa"/>
          </w:tcPr>
          <w:p w14:paraId="06D35321" w14:textId="77777777" w:rsidR="007D29F8" w:rsidRPr="00E12BB9" w:rsidRDefault="007D29F8" w:rsidP="00DB6666">
            <w:pPr>
              <w:jc w:val="left"/>
              <w:rPr>
                <w:rFonts w:cs="Arial"/>
                <w:sz w:val="16"/>
                <w:szCs w:val="16"/>
              </w:rPr>
            </w:pPr>
          </w:p>
        </w:tc>
        <w:tc>
          <w:tcPr>
            <w:tcW w:w="3255" w:type="dxa"/>
            <w:shd w:val="clear" w:color="auto" w:fill="auto"/>
          </w:tcPr>
          <w:p w14:paraId="7428CC3D" w14:textId="77777777" w:rsidR="007D29F8" w:rsidRPr="00E12BB9" w:rsidRDefault="007D29F8" w:rsidP="00DB6666">
            <w:pPr>
              <w:jc w:val="left"/>
              <w:rPr>
                <w:rFonts w:cs="Arial"/>
                <w:sz w:val="16"/>
                <w:szCs w:val="16"/>
              </w:rPr>
            </w:pPr>
          </w:p>
        </w:tc>
        <w:tc>
          <w:tcPr>
            <w:tcW w:w="305" w:type="dxa"/>
            <w:shd w:val="clear" w:color="auto" w:fill="auto"/>
          </w:tcPr>
          <w:p w14:paraId="5C30234A" w14:textId="77777777" w:rsidR="007D29F8" w:rsidRPr="00E12BB9" w:rsidRDefault="007D29F8" w:rsidP="00DB6666">
            <w:pPr>
              <w:jc w:val="center"/>
              <w:rPr>
                <w:rFonts w:cs="Arial"/>
                <w:sz w:val="16"/>
                <w:szCs w:val="16"/>
              </w:rPr>
            </w:pPr>
          </w:p>
        </w:tc>
        <w:tc>
          <w:tcPr>
            <w:tcW w:w="2457" w:type="dxa"/>
            <w:shd w:val="clear" w:color="auto" w:fill="auto"/>
          </w:tcPr>
          <w:p w14:paraId="3DC6B3B6" w14:textId="77777777" w:rsidR="007D29F8" w:rsidRPr="00E12BB9" w:rsidRDefault="007D29F8" w:rsidP="00DB6666">
            <w:pPr>
              <w:jc w:val="left"/>
              <w:rPr>
                <w:rFonts w:cs="Arial"/>
                <w:sz w:val="16"/>
                <w:szCs w:val="16"/>
              </w:rPr>
            </w:pPr>
            <w:r w:rsidRPr="00E12BB9">
              <w:rPr>
                <w:rFonts w:cs="Arial"/>
                <w:sz w:val="16"/>
                <w:szCs w:val="16"/>
              </w:rPr>
              <w:t>Nombre d’établissements universitaires incorporant des informations sur le système de l’UPOV dans leurs formations</w:t>
            </w:r>
          </w:p>
        </w:tc>
        <w:tc>
          <w:tcPr>
            <w:tcW w:w="1632" w:type="dxa"/>
            <w:shd w:val="clear" w:color="auto" w:fill="auto"/>
          </w:tcPr>
          <w:p w14:paraId="0AE92131" w14:textId="77777777" w:rsidR="007D29F8" w:rsidRPr="00E12BB9" w:rsidRDefault="007D29F8" w:rsidP="00DB6666">
            <w:pPr>
              <w:jc w:val="center"/>
              <w:rPr>
                <w:rFonts w:cs="Arial"/>
                <w:sz w:val="16"/>
                <w:szCs w:val="16"/>
              </w:rPr>
            </w:pPr>
            <w:r w:rsidRPr="00E12BB9">
              <w:rPr>
                <w:rFonts w:cs="Arial"/>
                <w:sz w:val="16"/>
                <w:szCs w:val="16"/>
              </w:rPr>
              <w:t xml:space="preserve">Afrique : 1;  </w:t>
            </w:r>
            <w:r>
              <w:rPr>
                <w:rFonts w:cs="Arial"/>
                <w:sz w:val="16"/>
                <w:szCs w:val="16"/>
              </w:rPr>
              <w:br/>
            </w:r>
            <w:r w:rsidRPr="00E12BB9">
              <w:rPr>
                <w:rFonts w:cs="Arial"/>
                <w:sz w:val="16"/>
                <w:szCs w:val="16"/>
              </w:rPr>
              <w:t>Asie-Pacifique : 2;  Europe : 7 (2025)</w:t>
            </w:r>
          </w:p>
        </w:tc>
        <w:tc>
          <w:tcPr>
            <w:tcW w:w="1559" w:type="dxa"/>
            <w:shd w:val="clear" w:color="auto" w:fill="auto"/>
          </w:tcPr>
          <w:p w14:paraId="2CAB00A3" w14:textId="77777777" w:rsidR="007D29F8" w:rsidRPr="00E12BB9" w:rsidRDefault="007D29F8" w:rsidP="00DB6666">
            <w:pPr>
              <w:jc w:val="center"/>
              <w:rPr>
                <w:rFonts w:cs="Arial"/>
                <w:sz w:val="16"/>
                <w:szCs w:val="16"/>
              </w:rPr>
            </w:pPr>
            <w:r w:rsidRPr="00E12BB9">
              <w:rPr>
                <w:rFonts w:cs="Arial"/>
                <w:sz w:val="16"/>
                <w:szCs w:val="16"/>
              </w:rPr>
              <w:t xml:space="preserve">Afrique : 3;  </w:t>
            </w:r>
            <w:r w:rsidRPr="00E12BB9">
              <w:rPr>
                <w:rFonts w:cs="Arial"/>
                <w:sz w:val="16"/>
                <w:szCs w:val="16"/>
              </w:rPr>
              <w:br/>
              <w:t>Amériques : 2;  Asie-Pacifique : 4;  Europe : 7 (2025)</w:t>
            </w:r>
          </w:p>
        </w:tc>
      </w:tr>
      <w:tr w:rsidR="007D29F8" w:rsidRPr="00E12BB9" w14:paraId="194251B3" w14:textId="77777777" w:rsidTr="00DB6666">
        <w:tc>
          <w:tcPr>
            <w:tcW w:w="426" w:type="dxa"/>
          </w:tcPr>
          <w:p w14:paraId="4D2546C6" w14:textId="77777777" w:rsidR="007D29F8" w:rsidRPr="00E12BB9" w:rsidRDefault="007D29F8" w:rsidP="00DB6666">
            <w:pPr>
              <w:jc w:val="left"/>
              <w:rPr>
                <w:rFonts w:cs="Arial"/>
                <w:sz w:val="16"/>
                <w:szCs w:val="16"/>
              </w:rPr>
            </w:pPr>
          </w:p>
        </w:tc>
        <w:tc>
          <w:tcPr>
            <w:tcW w:w="3255" w:type="dxa"/>
            <w:shd w:val="clear" w:color="auto" w:fill="auto"/>
          </w:tcPr>
          <w:p w14:paraId="2A18E84E" w14:textId="77777777" w:rsidR="007D29F8" w:rsidRPr="00E12BB9" w:rsidRDefault="007D29F8" w:rsidP="00DB6666">
            <w:pPr>
              <w:jc w:val="left"/>
              <w:rPr>
                <w:rFonts w:cs="Arial"/>
                <w:sz w:val="16"/>
                <w:szCs w:val="16"/>
              </w:rPr>
            </w:pPr>
          </w:p>
        </w:tc>
        <w:tc>
          <w:tcPr>
            <w:tcW w:w="305" w:type="dxa"/>
            <w:shd w:val="clear" w:color="auto" w:fill="auto"/>
          </w:tcPr>
          <w:p w14:paraId="1894D207" w14:textId="77777777" w:rsidR="007D29F8" w:rsidRPr="00E12BB9" w:rsidRDefault="007D29F8" w:rsidP="00DB6666">
            <w:pPr>
              <w:jc w:val="center"/>
              <w:rPr>
                <w:rFonts w:cs="Arial"/>
                <w:sz w:val="16"/>
                <w:szCs w:val="16"/>
              </w:rPr>
            </w:pPr>
          </w:p>
        </w:tc>
        <w:tc>
          <w:tcPr>
            <w:tcW w:w="2457" w:type="dxa"/>
            <w:shd w:val="clear" w:color="auto" w:fill="auto"/>
          </w:tcPr>
          <w:p w14:paraId="204A1A48" w14:textId="77777777" w:rsidR="007D29F8" w:rsidRPr="00E12BB9" w:rsidRDefault="007D29F8" w:rsidP="00DB6666">
            <w:pPr>
              <w:jc w:val="left"/>
              <w:rPr>
                <w:rFonts w:cs="Arial"/>
                <w:sz w:val="16"/>
                <w:szCs w:val="16"/>
              </w:rPr>
            </w:pPr>
            <w:r w:rsidRPr="00E12BB9">
              <w:rPr>
                <w:rFonts w:cs="Arial"/>
                <w:sz w:val="16"/>
                <w:szCs w:val="16"/>
              </w:rPr>
              <w:t>Nombre de personnes ayant obtenu un certificat international de protection des obtentions végétales de l’UPOV</w:t>
            </w:r>
          </w:p>
        </w:tc>
        <w:tc>
          <w:tcPr>
            <w:tcW w:w="1632" w:type="dxa"/>
            <w:shd w:val="clear" w:color="auto" w:fill="auto"/>
          </w:tcPr>
          <w:p w14:paraId="55DEF76C" w14:textId="77777777" w:rsidR="007D29F8" w:rsidRPr="00E12BB9" w:rsidRDefault="005B4454" w:rsidP="00DB6666">
            <w:pPr>
              <w:jc w:val="center"/>
              <w:rPr>
                <w:rFonts w:cs="Arial"/>
                <w:sz w:val="16"/>
                <w:szCs w:val="16"/>
              </w:rPr>
            </w:pPr>
            <w:r>
              <w:rPr>
                <w:rFonts w:cs="Arial"/>
                <w:sz w:val="16"/>
                <w:szCs w:val="16"/>
              </w:rPr>
              <w:t>s.o.</w:t>
            </w:r>
          </w:p>
        </w:tc>
        <w:tc>
          <w:tcPr>
            <w:tcW w:w="1559" w:type="dxa"/>
            <w:shd w:val="clear" w:color="auto" w:fill="auto"/>
          </w:tcPr>
          <w:p w14:paraId="65C6DE12" w14:textId="77777777" w:rsidR="007D29F8" w:rsidRPr="00E12BB9" w:rsidRDefault="007D29F8" w:rsidP="00DB6666">
            <w:pPr>
              <w:jc w:val="center"/>
              <w:rPr>
                <w:rFonts w:cs="Arial"/>
                <w:sz w:val="16"/>
                <w:szCs w:val="16"/>
              </w:rPr>
            </w:pPr>
            <w:r w:rsidRPr="00E12BB9">
              <w:rPr>
                <w:rFonts w:cs="Arial"/>
                <w:sz w:val="16"/>
                <w:szCs w:val="16"/>
              </w:rPr>
              <w:t>100 (2025)</w:t>
            </w:r>
          </w:p>
        </w:tc>
      </w:tr>
      <w:tr w:rsidR="007D29F8" w:rsidRPr="00E12BB9" w14:paraId="252A7F77" w14:textId="77777777" w:rsidTr="00DB6666">
        <w:tc>
          <w:tcPr>
            <w:tcW w:w="426" w:type="dxa"/>
            <w:tcBorders>
              <w:bottom w:val="single" w:sz="4" w:space="0" w:color="D9D9D9" w:themeColor="background1" w:themeShade="D9"/>
            </w:tcBorders>
          </w:tcPr>
          <w:p w14:paraId="20450EDB" w14:textId="77777777" w:rsidR="007D29F8" w:rsidRPr="00E12BB9" w:rsidRDefault="007D29F8" w:rsidP="00DB6666">
            <w:pPr>
              <w:jc w:val="left"/>
              <w:rPr>
                <w:rFonts w:cs="Arial"/>
                <w:sz w:val="16"/>
                <w:szCs w:val="16"/>
              </w:rPr>
            </w:pPr>
          </w:p>
        </w:tc>
        <w:tc>
          <w:tcPr>
            <w:tcW w:w="3255" w:type="dxa"/>
            <w:tcBorders>
              <w:bottom w:val="single" w:sz="4" w:space="0" w:color="D9D9D9" w:themeColor="background1" w:themeShade="D9"/>
            </w:tcBorders>
            <w:shd w:val="clear" w:color="auto" w:fill="auto"/>
          </w:tcPr>
          <w:p w14:paraId="14579E56" w14:textId="77777777" w:rsidR="007D29F8" w:rsidRPr="00E12BB9" w:rsidRDefault="007D29F8" w:rsidP="00DB6666">
            <w:pPr>
              <w:jc w:val="left"/>
              <w:rPr>
                <w:rFonts w:cs="Arial"/>
                <w:sz w:val="16"/>
                <w:szCs w:val="16"/>
              </w:rPr>
            </w:pPr>
          </w:p>
        </w:tc>
        <w:tc>
          <w:tcPr>
            <w:tcW w:w="305" w:type="dxa"/>
            <w:tcBorders>
              <w:bottom w:val="single" w:sz="4" w:space="0" w:color="D9D9D9" w:themeColor="background1" w:themeShade="D9"/>
            </w:tcBorders>
            <w:shd w:val="clear" w:color="auto" w:fill="auto"/>
          </w:tcPr>
          <w:p w14:paraId="0061F441" w14:textId="77777777" w:rsidR="007D29F8" w:rsidRPr="00E12BB9" w:rsidRDefault="007D29F8" w:rsidP="00DB6666">
            <w:pPr>
              <w:jc w:val="center"/>
              <w:rPr>
                <w:rFonts w:cs="Arial"/>
                <w:sz w:val="16"/>
                <w:szCs w:val="16"/>
              </w:rPr>
            </w:pPr>
          </w:p>
        </w:tc>
        <w:tc>
          <w:tcPr>
            <w:tcW w:w="2457" w:type="dxa"/>
            <w:tcBorders>
              <w:bottom w:val="single" w:sz="4" w:space="0" w:color="D9D9D9" w:themeColor="background1" w:themeShade="D9"/>
            </w:tcBorders>
            <w:shd w:val="clear" w:color="auto" w:fill="auto"/>
          </w:tcPr>
          <w:p w14:paraId="48E41F21" w14:textId="77777777" w:rsidR="007D29F8" w:rsidRPr="00E12BB9" w:rsidRDefault="007D29F8" w:rsidP="00DB6666">
            <w:pPr>
              <w:jc w:val="left"/>
              <w:rPr>
                <w:rFonts w:cs="Arial"/>
                <w:sz w:val="16"/>
                <w:szCs w:val="16"/>
              </w:rPr>
            </w:pPr>
            <w:r w:rsidRPr="00E12BB9">
              <w:rPr>
                <w:rFonts w:cs="Arial"/>
                <w:sz w:val="16"/>
                <w:szCs w:val="16"/>
              </w:rPr>
              <w:t xml:space="preserve">Nombre de personnes diplômées d’un programme de formation des formateurs de l’UPOV </w:t>
            </w:r>
          </w:p>
        </w:tc>
        <w:tc>
          <w:tcPr>
            <w:tcW w:w="1632" w:type="dxa"/>
            <w:tcBorders>
              <w:bottom w:val="single" w:sz="4" w:space="0" w:color="D9D9D9" w:themeColor="background1" w:themeShade="D9"/>
            </w:tcBorders>
            <w:shd w:val="clear" w:color="000000" w:fill="FFFFFF"/>
          </w:tcPr>
          <w:p w14:paraId="728B13B2" w14:textId="77777777" w:rsidR="007D29F8" w:rsidRPr="00E12BB9" w:rsidRDefault="007D29F8" w:rsidP="00DB6666">
            <w:pPr>
              <w:ind w:right="284"/>
              <w:jc w:val="right"/>
              <w:rPr>
                <w:rFonts w:cs="Arial"/>
                <w:sz w:val="16"/>
                <w:szCs w:val="16"/>
              </w:rPr>
            </w:pPr>
            <w:r w:rsidRPr="00E12BB9">
              <w:rPr>
                <w:rFonts w:cs="Arial"/>
                <w:sz w:val="16"/>
                <w:szCs w:val="16"/>
              </w:rPr>
              <w:t>21 (2022)</w:t>
            </w:r>
          </w:p>
        </w:tc>
        <w:tc>
          <w:tcPr>
            <w:tcW w:w="1559" w:type="dxa"/>
            <w:tcBorders>
              <w:bottom w:val="single" w:sz="4" w:space="0" w:color="D9D9D9" w:themeColor="background1" w:themeShade="D9"/>
            </w:tcBorders>
            <w:shd w:val="clear" w:color="000000" w:fill="FFFFFF"/>
          </w:tcPr>
          <w:p w14:paraId="5C7F92AB" w14:textId="77777777" w:rsidR="007D29F8" w:rsidRPr="00E12BB9" w:rsidRDefault="007D29F8" w:rsidP="00DB6666">
            <w:pPr>
              <w:jc w:val="center"/>
              <w:rPr>
                <w:rFonts w:cs="Arial"/>
                <w:sz w:val="16"/>
                <w:szCs w:val="16"/>
              </w:rPr>
            </w:pPr>
            <w:r w:rsidRPr="00E12BB9">
              <w:rPr>
                <w:rFonts w:cs="Arial"/>
                <w:sz w:val="16"/>
                <w:szCs w:val="16"/>
              </w:rPr>
              <w:t>45 (2024 et 2025)</w:t>
            </w:r>
          </w:p>
        </w:tc>
      </w:tr>
      <w:tr w:rsidR="007D29F8" w:rsidRPr="00E12BB9" w14:paraId="4E796333" w14:textId="77777777" w:rsidTr="00DB6666">
        <w:tc>
          <w:tcPr>
            <w:tcW w:w="426" w:type="dxa"/>
            <w:tcBorders>
              <w:top w:val="single" w:sz="4" w:space="0" w:color="D9D9D9" w:themeColor="background1" w:themeShade="D9"/>
            </w:tcBorders>
          </w:tcPr>
          <w:p w14:paraId="6A68CDCC" w14:textId="77777777" w:rsidR="007D29F8" w:rsidRPr="00E12BB9" w:rsidRDefault="007D29F8" w:rsidP="00DB6666">
            <w:pPr>
              <w:jc w:val="left"/>
              <w:rPr>
                <w:rFonts w:cs="Arial"/>
                <w:sz w:val="16"/>
                <w:szCs w:val="16"/>
              </w:rPr>
            </w:pPr>
            <w:r w:rsidRPr="00E12BB9">
              <w:rPr>
                <w:rFonts w:cs="Arial"/>
                <w:sz w:val="16"/>
                <w:szCs w:val="16"/>
              </w:rPr>
              <w:t>2.3</w:t>
            </w:r>
          </w:p>
        </w:tc>
        <w:tc>
          <w:tcPr>
            <w:tcW w:w="3255" w:type="dxa"/>
            <w:tcBorders>
              <w:top w:val="single" w:sz="4" w:space="0" w:color="D9D9D9" w:themeColor="background1" w:themeShade="D9"/>
            </w:tcBorders>
            <w:shd w:val="clear" w:color="auto" w:fill="auto"/>
          </w:tcPr>
          <w:p w14:paraId="51ABF595" w14:textId="77777777" w:rsidR="007D29F8" w:rsidRPr="00E12BB9" w:rsidRDefault="007D29F8" w:rsidP="00DB6666">
            <w:pPr>
              <w:jc w:val="left"/>
              <w:rPr>
                <w:rFonts w:cs="Arial"/>
                <w:sz w:val="16"/>
                <w:szCs w:val="16"/>
              </w:rPr>
            </w:pPr>
            <w:r w:rsidRPr="00E12BB9">
              <w:rPr>
                <w:rFonts w:cs="Arial"/>
                <w:sz w:val="16"/>
                <w:szCs w:val="16"/>
              </w:rPr>
              <w:t>Harmonisation et coopération accrues en matière d’examen</w:t>
            </w:r>
          </w:p>
        </w:tc>
        <w:tc>
          <w:tcPr>
            <w:tcW w:w="305" w:type="dxa"/>
            <w:tcBorders>
              <w:top w:val="single" w:sz="4" w:space="0" w:color="D9D9D9" w:themeColor="background1" w:themeShade="D9"/>
            </w:tcBorders>
            <w:shd w:val="clear" w:color="auto" w:fill="auto"/>
          </w:tcPr>
          <w:p w14:paraId="4CF9333D" w14:textId="77777777" w:rsidR="007D29F8" w:rsidRPr="00E12BB9" w:rsidRDefault="007D29F8" w:rsidP="00DB6666">
            <w:pPr>
              <w:jc w:val="center"/>
              <w:rPr>
                <w:rFonts w:cs="Arial"/>
                <w:sz w:val="16"/>
                <w:szCs w:val="16"/>
              </w:rPr>
            </w:pPr>
          </w:p>
        </w:tc>
        <w:tc>
          <w:tcPr>
            <w:tcW w:w="2457" w:type="dxa"/>
            <w:tcBorders>
              <w:top w:val="single" w:sz="4" w:space="0" w:color="D9D9D9" w:themeColor="background1" w:themeShade="D9"/>
            </w:tcBorders>
            <w:shd w:val="clear" w:color="auto" w:fill="auto"/>
          </w:tcPr>
          <w:p w14:paraId="0F2F8A66" w14:textId="77777777" w:rsidR="007D29F8" w:rsidRPr="00E12BB9" w:rsidRDefault="007D29F8" w:rsidP="00DB6666">
            <w:pPr>
              <w:jc w:val="left"/>
              <w:rPr>
                <w:rFonts w:cs="Arial"/>
                <w:sz w:val="16"/>
                <w:szCs w:val="16"/>
              </w:rPr>
            </w:pPr>
            <w:r w:rsidRPr="00E12BB9">
              <w:rPr>
                <w:rFonts w:cs="Arial"/>
                <w:sz w:val="16"/>
                <w:szCs w:val="16"/>
              </w:rPr>
              <w:t>Recours aux principes directeurs d’examen et aux questionnaires techniques de l’UPOV</w:t>
            </w:r>
          </w:p>
        </w:tc>
        <w:tc>
          <w:tcPr>
            <w:tcW w:w="1632" w:type="dxa"/>
            <w:tcBorders>
              <w:top w:val="single" w:sz="4" w:space="0" w:color="D9D9D9" w:themeColor="background1" w:themeShade="D9"/>
            </w:tcBorders>
            <w:shd w:val="clear" w:color="auto" w:fill="auto"/>
          </w:tcPr>
          <w:p w14:paraId="2DDD195D" w14:textId="77777777" w:rsidR="007D29F8" w:rsidRPr="00E12BB9" w:rsidRDefault="007D29F8" w:rsidP="00DB6666">
            <w:pPr>
              <w:ind w:right="284"/>
              <w:jc w:val="right"/>
              <w:rPr>
                <w:rFonts w:cs="Arial"/>
                <w:sz w:val="16"/>
                <w:szCs w:val="16"/>
              </w:rPr>
            </w:pPr>
          </w:p>
        </w:tc>
        <w:tc>
          <w:tcPr>
            <w:tcW w:w="1559" w:type="dxa"/>
            <w:tcBorders>
              <w:top w:val="single" w:sz="4" w:space="0" w:color="D9D9D9" w:themeColor="background1" w:themeShade="D9"/>
            </w:tcBorders>
            <w:shd w:val="clear" w:color="auto" w:fill="auto"/>
          </w:tcPr>
          <w:p w14:paraId="1622C201" w14:textId="77777777" w:rsidR="007D29F8" w:rsidRPr="00E12BB9" w:rsidRDefault="007D29F8" w:rsidP="00DB6666">
            <w:pPr>
              <w:ind w:right="284"/>
              <w:jc w:val="right"/>
              <w:rPr>
                <w:rFonts w:cs="Arial"/>
                <w:sz w:val="16"/>
                <w:szCs w:val="16"/>
              </w:rPr>
            </w:pPr>
          </w:p>
        </w:tc>
      </w:tr>
      <w:tr w:rsidR="007D29F8" w:rsidRPr="00E12BB9" w14:paraId="30D0E048" w14:textId="77777777" w:rsidTr="00DB6666">
        <w:tc>
          <w:tcPr>
            <w:tcW w:w="426" w:type="dxa"/>
          </w:tcPr>
          <w:p w14:paraId="21DF7645" w14:textId="77777777" w:rsidR="007D29F8" w:rsidRPr="00E12BB9" w:rsidRDefault="007D29F8" w:rsidP="00DB6666">
            <w:pPr>
              <w:jc w:val="left"/>
              <w:rPr>
                <w:rFonts w:cs="Arial"/>
                <w:sz w:val="16"/>
                <w:szCs w:val="16"/>
              </w:rPr>
            </w:pPr>
          </w:p>
        </w:tc>
        <w:tc>
          <w:tcPr>
            <w:tcW w:w="3255" w:type="dxa"/>
            <w:shd w:val="clear" w:color="auto" w:fill="auto"/>
          </w:tcPr>
          <w:p w14:paraId="14C8E745" w14:textId="77777777" w:rsidR="007D29F8" w:rsidRPr="00E12BB9" w:rsidRDefault="007D29F8" w:rsidP="00DB6666">
            <w:pPr>
              <w:jc w:val="left"/>
              <w:rPr>
                <w:rFonts w:cs="Arial"/>
                <w:sz w:val="16"/>
                <w:szCs w:val="16"/>
              </w:rPr>
            </w:pPr>
          </w:p>
        </w:tc>
        <w:tc>
          <w:tcPr>
            <w:tcW w:w="305" w:type="dxa"/>
            <w:shd w:val="clear" w:color="auto" w:fill="auto"/>
          </w:tcPr>
          <w:p w14:paraId="7A5D105D" w14:textId="77777777" w:rsidR="007D29F8" w:rsidRPr="00E12BB9" w:rsidRDefault="007D29F8" w:rsidP="00DB6666">
            <w:pPr>
              <w:jc w:val="center"/>
              <w:rPr>
                <w:rFonts w:cs="Arial"/>
                <w:sz w:val="16"/>
                <w:szCs w:val="16"/>
              </w:rPr>
            </w:pPr>
          </w:p>
        </w:tc>
        <w:tc>
          <w:tcPr>
            <w:tcW w:w="2457" w:type="dxa"/>
            <w:shd w:val="clear" w:color="auto" w:fill="auto"/>
          </w:tcPr>
          <w:p w14:paraId="5F49B8DE" w14:textId="77777777" w:rsidR="007D29F8" w:rsidRPr="00E12BB9" w:rsidRDefault="007D29F8" w:rsidP="00DB6666">
            <w:pPr>
              <w:ind w:left="284"/>
              <w:jc w:val="left"/>
              <w:rPr>
                <w:rFonts w:cs="Arial"/>
                <w:sz w:val="16"/>
                <w:szCs w:val="16"/>
              </w:rPr>
            </w:pPr>
            <w:r w:rsidRPr="00E12BB9">
              <w:rPr>
                <w:rFonts w:cs="Arial"/>
                <w:sz w:val="16"/>
                <w:szCs w:val="16"/>
              </w:rPr>
              <w:t>Nombre de membres de l’UPOV ayant recours aux questionnaires techniques de l’UPOV inchangés dans UPOV PRISMA</w:t>
            </w:r>
          </w:p>
        </w:tc>
        <w:tc>
          <w:tcPr>
            <w:tcW w:w="1632" w:type="dxa"/>
            <w:shd w:val="clear" w:color="000000" w:fill="FFFFFF"/>
          </w:tcPr>
          <w:p w14:paraId="2A460ADF" w14:textId="77777777" w:rsidR="007D29F8" w:rsidRPr="00E12BB9" w:rsidRDefault="007D29F8" w:rsidP="00DB6666">
            <w:pPr>
              <w:ind w:right="284"/>
              <w:jc w:val="right"/>
              <w:rPr>
                <w:rFonts w:cs="Arial"/>
                <w:sz w:val="16"/>
                <w:szCs w:val="16"/>
              </w:rPr>
            </w:pPr>
            <w:r w:rsidRPr="00E12BB9">
              <w:rPr>
                <w:rFonts w:cs="Arial"/>
                <w:sz w:val="16"/>
                <w:szCs w:val="16"/>
              </w:rPr>
              <w:t>24 (2022)</w:t>
            </w:r>
          </w:p>
        </w:tc>
        <w:tc>
          <w:tcPr>
            <w:tcW w:w="1559" w:type="dxa"/>
            <w:shd w:val="clear" w:color="auto" w:fill="auto"/>
          </w:tcPr>
          <w:p w14:paraId="5C1BC7E7" w14:textId="77777777" w:rsidR="007D29F8" w:rsidRPr="00E12BB9" w:rsidRDefault="007D29F8" w:rsidP="00DB6666">
            <w:pPr>
              <w:ind w:right="284"/>
              <w:jc w:val="right"/>
              <w:rPr>
                <w:rFonts w:cs="Arial"/>
                <w:sz w:val="16"/>
                <w:szCs w:val="16"/>
              </w:rPr>
            </w:pPr>
            <w:r w:rsidRPr="00E12BB9">
              <w:rPr>
                <w:rFonts w:cs="Arial"/>
                <w:sz w:val="16"/>
                <w:szCs w:val="16"/>
              </w:rPr>
              <w:t>30 (2025)</w:t>
            </w:r>
          </w:p>
        </w:tc>
      </w:tr>
      <w:tr w:rsidR="007D29F8" w:rsidRPr="00E12BB9" w14:paraId="404A2919" w14:textId="77777777" w:rsidTr="00DB6666">
        <w:tc>
          <w:tcPr>
            <w:tcW w:w="426" w:type="dxa"/>
          </w:tcPr>
          <w:p w14:paraId="5838EB31" w14:textId="77777777" w:rsidR="007D29F8" w:rsidRPr="00E12BB9" w:rsidRDefault="007D29F8" w:rsidP="00DB6666">
            <w:pPr>
              <w:jc w:val="left"/>
              <w:rPr>
                <w:rFonts w:cs="Arial"/>
                <w:sz w:val="16"/>
                <w:szCs w:val="16"/>
              </w:rPr>
            </w:pPr>
          </w:p>
        </w:tc>
        <w:tc>
          <w:tcPr>
            <w:tcW w:w="3255" w:type="dxa"/>
            <w:shd w:val="clear" w:color="auto" w:fill="auto"/>
          </w:tcPr>
          <w:p w14:paraId="1AA3AA1E" w14:textId="77777777" w:rsidR="007D29F8" w:rsidRPr="00E12BB9" w:rsidRDefault="007D29F8" w:rsidP="00DB6666">
            <w:pPr>
              <w:jc w:val="left"/>
              <w:rPr>
                <w:rFonts w:cs="Arial"/>
                <w:sz w:val="16"/>
                <w:szCs w:val="16"/>
              </w:rPr>
            </w:pPr>
          </w:p>
        </w:tc>
        <w:tc>
          <w:tcPr>
            <w:tcW w:w="305" w:type="dxa"/>
            <w:shd w:val="clear" w:color="auto" w:fill="auto"/>
          </w:tcPr>
          <w:p w14:paraId="13C20948" w14:textId="77777777" w:rsidR="007D29F8" w:rsidRPr="00E12BB9" w:rsidRDefault="007D29F8" w:rsidP="00DB6666">
            <w:pPr>
              <w:jc w:val="center"/>
              <w:rPr>
                <w:rFonts w:cs="Arial"/>
                <w:sz w:val="16"/>
                <w:szCs w:val="16"/>
              </w:rPr>
            </w:pPr>
          </w:p>
        </w:tc>
        <w:tc>
          <w:tcPr>
            <w:tcW w:w="2457" w:type="dxa"/>
            <w:shd w:val="clear" w:color="auto" w:fill="auto"/>
          </w:tcPr>
          <w:p w14:paraId="15EAD478" w14:textId="77777777" w:rsidR="007D29F8" w:rsidRPr="00E12BB9" w:rsidRDefault="007D29F8" w:rsidP="00DB6666">
            <w:pPr>
              <w:ind w:left="284"/>
              <w:jc w:val="left"/>
              <w:rPr>
                <w:rFonts w:cs="Arial"/>
                <w:sz w:val="16"/>
                <w:szCs w:val="16"/>
              </w:rPr>
            </w:pPr>
            <w:r w:rsidRPr="00E12BB9">
              <w:rPr>
                <w:rFonts w:cs="Arial"/>
                <w:sz w:val="16"/>
                <w:szCs w:val="16"/>
              </w:rPr>
              <w:t>Nombre de membres de l’UPOV ayant recours aux questionnaires techniques de l’UPOV, dont les caractéristiques sont inchangées dans</w:t>
            </w:r>
            <w:r>
              <w:rPr>
                <w:rFonts w:cs="Arial"/>
                <w:sz w:val="16"/>
                <w:szCs w:val="16"/>
              </w:rPr>
              <w:t xml:space="preserve"> UPOV </w:t>
            </w:r>
            <w:r w:rsidRPr="00E12BB9">
              <w:rPr>
                <w:rFonts w:cs="Arial"/>
                <w:sz w:val="16"/>
                <w:szCs w:val="16"/>
              </w:rPr>
              <w:t>PRISMA</w:t>
            </w:r>
          </w:p>
        </w:tc>
        <w:tc>
          <w:tcPr>
            <w:tcW w:w="1632" w:type="dxa"/>
            <w:shd w:val="clear" w:color="000000" w:fill="FFFFFF"/>
          </w:tcPr>
          <w:p w14:paraId="6CE5B3BE" w14:textId="77777777" w:rsidR="007D29F8" w:rsidRPr="00E12BB9" w:rsidRDefault="007D29F8" w:rsidP="00DB6666">
            <w:pPr>
              <w:ind w:right="284"/>
              <w:jc w:val="right"/>
              <w:rPr>
                <w:rFonts w:cs="Arial"/>
                <w:sz w:val="16"/>
                <w:szCs w:val="16"/>
              </w:rPr>
            </w:pPr>
            <w:r w:rsidRPr="00E12BB9">
              <w:rPr>
                <w:rFonts w:cs="Arial"/>
                <w:sz w:val="16"/>
                <w:szCs w:val="16"/>
              </w:rPr>
              <w:t>6 (2022)</w:t>
            </w:r>
          </w:p>
        </w:tc>
        <w:tc>
          <w:tcPr>
            <w:tcW w:w="1559" w:type="dxa"/>
            <w:shd w:val="clear" w:color="000000" w:fill="FFFFFF"/>
          </w:tcPr>
          <w:p w14:paraId="432D6A0C" w14:textId="77777777" w:rsidR="007D29F8" w:rsidRPr="00E12BB9" w:rsidRDefault="007D29F8" w:rsidP="00DB6666">
            <w:pPr>
              <w:ind w:right="284"/>
              <w:jc w:val="right"/>
              <w:rPr>
                <w:rFonts w:cs="Arial"/>
                <w:sz w:val="16"/>
                <w:szCs w:val="16"/>
              </w:rPr>
            </w:pPr>
            <w:r w:rsidRPr="00E12BB9">
              <w:rPr>
                <w:rFonts w:cs="Arial"/>
                <w:sz w:val="16"/>
                <w:szCs w:val="16"/>
              </w:rPr>
              <w:t>8 (2025)</w:t>
            </w:r>
          </w:p>
        </w:tc>
      </w:tr>
      <w:tr w:rsidR="007D29F8" w:rsidRPr="00E12BB9" w14:paraId="524A292F" w14:textId="77777777" w:rsidTr="00DB6666">
        <w:tc>
          <w:tcPr>
            <w:tcW w:w="426" w:type="dxa"/>
          </w:tcPr>
          <w:p w14:paraId="78177CA5" w14:textId="77777777" w:rsidR="007D29F8" w:rsidRPr="00E12BB9" w:rsidRDefault="007D29F8" w:rsidP="00DB6666">
            <w:pPr>
              <w:jc w:val="left"/>
              <w:rPr>
                <w:rFonts w:cs="Arial"/>
                <w:sz w:val="16"/>
                <w:szCs w:val="16"/>
              </w:rPr>
            </w:pPr>
          </w:p>
        </w:tc>
        <w:tc>
          <w:tcPr>
            <w:tcW w:w="3255" w:type="dxa"/>
            <w:shd w:val="clear" w:color="auto" w:fill="auto"/>
          </w:tcPr>
          <w:p w14:paraId="3815BA9B" w14:textId="77777777" w:rsidR="007D29F8" w:rsidRPr="00E12BB9" w:rsidRDefault="007D29F8" w:rsidP="00DB6666">
            <w:pPr>
              <w:jc w:val="left"/>
              <w:rPr>
                <w:rFonts w:cs="Arial"/>
                <w:sz w:val="16"/>
                <w:szCs w:val="16"/>
              </w:rPr>
            </w:pPr>
          </w:p>
        </w:tc>
        <w:tc>
          <w:tcPr>
            <w:tcW w:w="305" w:type="dxa"/>
            <w:shd w:val="clear" w:color="auto" w:fill="auto"/>
          </w:tcPr>
          <w:p w14:paraId="34A49F1B" w14:textId="77777777" w:rsidR="007D29F8" w:rsidRPr="00E12BB9" w:rsidRDefault="007D29F8" w:rsidP="00DB6666">
            <w:pPr>
              <w:jc w:val="center"/>
              <w:rPr>
                <w:rFonts w:cs="Arial"/>
                <w:sz w:val="16"/>
                <w:szCs w:val="16"/>
              </w:rPr>
            </w:pPr>
          </w:p>
        </w:tc>
        <w:tc>
          <w:tcPr>
            <w:tcW w:w="2457" w:type="dxa"/>
            <w:shd w:val="clear" w:color="auto" w:fill="auto"/>
          </w:tcPr>
          <w:p w14:paraId="2A789DA3" w14:textId="77777777" w:rsidR="007D29F8" w:rsidRPr="00E12BB9" w:rsidRDefault="007D29F8" w:rsidP="00DB6666">
            <w:pPr>
              <w:ind w:left="284"/>
              <w:jc w:val="left"/>
              <w:rPr>
                <w:rFonts w:cs="Arial"/>
                <w:sz w:val="16"/>
                <w:szCs w:val="16"/>
              </w:rPr>
            </w:pPr>
            <w:r w:rsidRPr="00E12BB9">
              <w:rPr>
                <w:rFonts w:cs="Arial"/>
                <w:sz w:val="16"/>
                <w:szCs w:val="16"/>
              </w:rPr>
              <w:t xml:space="preserve">Pourcentage de toutes les demandes de protection des obtentions végétales déposées sur le territoire des membres de l’UPOV et couvertes par les principes directeurs d’examen de l’UPOV </w:t>
            </w:r>
          </w:p>
        </w:tc>
        <w:tc>
          <w:tcPr>
            <w:tcW w:w="1632" w:type="dxa"/>
            <w:shd w:val="clear" w:color="000000" w:fill="FFFFFF"/>
          </w:tcPr>
          <w:p w14:paraId="70442CFC" w14:textId="77777777" w:rsidR="007D29F8" w:rsidRPr="00E12BB9" w:rsidRDefault="007D29F8" w:rsidP="00DB6666">
            <w:pPr>
              <w:jc w:val="center"/>
              <w:rPr>
                <w:rFonts w:cs="Arial"/>
                <w:sz w:val="16"/>
                <w:szCs w:val="16"/>
              </w:rPr>
            </w:pPr>
            <w:r w:rsidRPr="00E12BB9">
              <w:rPr>
                <w:rFonts w:cs="Arial"/>
                <w:sz w:val="16"/>
                <w:szCs w:val="16"/>
              </w:rPr>
              <w:t>94%</w:t>
            </w:r>
          </w:p>
        </w:tc>
        <w:tc>
          <w:tcPr>
            <w:tcW w:w="1559" w:type="dxa"/>
            <w:shd w:val="clear" w:color="auto" w:fill="auto"/>
          </w:tcPr>
          <w:p w14:paraId="027EB749" w14:textId="77777777" w:rsidR="007D29F8" w:rsidRPr="00E12BB9" w:rsidRDefault="007D29F8" w:rsidP="00DB6666">
            <w:pPr>
              <w:jc w:val="center"/>
              <w:rPr>
                <w:rFonts w:cs="Arial"/>
                <w:sz w:val="16"/>
                <w:szCs w:val="16"/>
              </w:rPr>
            </w:pPr>
            <w:r w:rsidRPr="00E12BB9">
              <w:rPr>
                <w:rFonts w:cs="Arial"/>
                <w:sz w:val="16"/>
                <w:szCs w:val="16"/>
              </w:rPr>
              <w:t>94%</w:t>
            </w:r>
          </w:p>
        </w:tc>
      </w:tr>
      <w:tr w:rsidR="007D29F8" w:rsidRPr="00E12BB9" w14:paraId="778FB164" w14:textId="77777777" w:rsidTr="00DB6666">
        <w:tc>
          <w:tcPr>
            <w:tcW w:w="426" w:type="dxa"/>
          </w:tcPr>
          <w:p w14:paraId="021ADCBA" w14:textId="77777777" w:rsidR="007D29F8" w:rsidRPr="00E12BB9" w:rsidRDefault="007D29F8" w:rsidP="00DB6666">
            <w:pPr>
              <w:jc w:val="left"/>
              <w:rPr>
                <w:rFonts w:cs="Arial"/>
                <w:sz w:val="16"/>
                <w:szCs w:val="16"/>
              </w:rPr>
            </w:pPr>
          </w:p>
        </w:tc>
        <w:tc>
          <w:tcPr>
            <w:tcW w:w="3255" w:type="dxa"/>
            <w:tcBorders>
              <w:bottom w:val="single" w:sz="4" w:space="0" w:color="D9D9D9" w:themeColor="background1" w:themeShade="D9"/>
            </w:tcBorders>
            <w:shd w:val="clear" w:color="auto" w:fill="auto"/>
          </w:tcPr>
          <w:p w14:paraId="5B927E38" w14:textId="77777777" w:rsidR="007D29F8" w:rsidRPr="00E12BB9" w:rsidRDefault="007D29F8" w:rsidP="00DB6666">
            <w:pPr>
              <w:jc w:val="left"/>
              <w:rPr>
                <w:rFonts w:cs="Arial"/>
                <w:sz w:val="16"/>
                <w:szCs w:val="16"/>
              </w:rPr>
            </w:pPr>
          </w:p>
        </w:tc>
        <w:tc>
          <w:tcPr>
            <w:tcW w:w="305" w:type="dxa"/>
            <w:tcBorders>
              <w:bottom w:val="single" w:sz="4" w:space="0" w:color="D9D9D9" w:themeColor="background1" w:themeShade="D9"/>
            </w:tcBorders>
            <w:shd w:val="clear" w:color="auto" w:fill="auto"/>
          </w:tcPr>
          <w:p w14:paraId="1E012275" w14:textId="77777777" w:rsidR="007D29F8" w:rsidRPr="00E12BB9" w:rsidRDefault="007D29F8" w:rsidP="00DB6666">
            <w:pPr>
              <w:jc w:val="center"/>
              <w:rPr>
                <w:rFonts w:cs="Arial"/>
                <w:sz w:val="16"/>
                <w:szCs w:val="16"/>
              </w:rPr>
            </w:pPr>
          </w:p>
        </w:tc>
        <w:tc>
          <w:tcPr>
            <w:tcW w:w="2457" w:type="dxa"/>
            <w:tcBorders>
              <w:bottom w:val="single" w:sz="4" w:space="0" w:color="D9D9D9" w:themeColor="background1" w:themeShade="D9"/>
            </w:tcBorders>
            <w:shd w:val="clear" w:color="auto" w:fill="auto"/>
          </w:tcPr>
          <w:p w14:paraId="2C93B381" w14:textId="77777777" w:rsidR="007D29F8" w:rsidRPr="00E12BB9" w:rsidRDefault="007D29F8" w:rsidP="00DB6666">
            <w:pPr>
              <w:ind w:left="284"/>
              <w:jc w:val="left"/>
              <w:rPr>
                <w:rFonts w:cs="Arial"/>
                <w:sz w:val="16"/>
                <w:szCs w:val="16"/>
              </w:rPr>
            </w:pPr>
            <w:r w:rsidRPr="00E12BB9">
              <w:rPr>
                <w:rFonts w:cs="Arial"/>
                <w:sz w:val="16"/>
                <w:szCs w:val="16"/>
              </w:rPr>
              <w:t>Nombre de rapports d’examen DHS téléchargés à partir du module e-PVP d’échange de rapports d’examen DHS</w:t>
            </w:r>
          </w:p>
        </w:tc>
        <w:tc>
          <w:tcPr>
            <w:tcW w:w="1632" w:type="dxa"/>
            <w:tcBorders>
              <w:bottom w:val="single" w:sz="4" w:space="0" w:color="D9D9D9" w:themeColor="background1" w:themeShade="D9"/>
            </w:tcBorders>
            <w:shd w:val="clear" w:color="auto" w:fill="auto"/>
          </w:tcPr>
          <w:p w14:paraId="395A1CE7" w14:textId="77777777" w:rsidR="007D29F8" w:rsidRPr="00E12BB9" w:rsidRDefault="007D29F8" w:rsidP="00DB6666">
            <w:pPr>
              <w:jc w:val="center"/>
              <w:rPr>
                <w:rFonts w:cs="Arial"/>
                <w:sz w:val="16"/>
                <w:szCs w:val="16"/>
              </w:rPr>
            </w:pPr>
            <w:r w:rsidRPr="00E12BB9">
              <w:rPr>
                <w:rFonts w:cs="Arial"/>
                <w:sz w:val="16"/>
                <w:szCs w:val="16"/>
              </w:rPr>
              <w:t>s.o</w:t>
            </w:r>
            <w:r>
              <w:rPr>
                <w:rFonts w:cs="Arial"/>
                <w:sz w:val="16"/>
                <w:szCs w:val="16"/>
              </w:rPr>
              <w:t>.</w:t>
            </w:r>
          </w:p>
        </w:tc>
        <w:tc>
          <w:tcPr>
            <w:tcW w:w="1559" w:type="dxa"/>
            <w:tcBorders>
              <w:bottom w:val="single" w:sz="4" w:space="0" w:color="D9D9D9" w:themeColor="background1" w:themeShade="D9"/>
            </w:tcBorders>
            <w:shd w:val="clear" w:color="auto" w:fill="auto"/>
          </w:tcPr>
          <w:p w14:paraId="511396DE" w14:textId="77777777" w:rsidR="007D29F8" w:rsidRPr="00E12BB9" w:rsidRDefault="007D29F8" w:rsidP="00DB6666">
            <w:pPr>
              <w:jc w:val="center"/>
              <w:rPr>
                <w:rFonts w:cs="Arial"/>
                <w:sz w:val="16"/>
                <w:szCs w:val="16"/>
              </w:rPr>
            </w:pPr>
            <w:r w:rsidRPr="00E12BB9">
              <w:rPr>
                <w:rFonts w:cs="Arial"/>
                <w:sz w:val="16"/>
                <w:szCs w:val="16"/>
              </w:rPr>
              <w:t>400</w:t>
            </w:r>
          </w:p>
        </w:tc>
      </w:tr>
    </w:tbl>
    <w:p w14:paraId="5E953500" w14:textId="77777777" w:rsidR="007D29F8" w:rsidRPr="00E12BB9" w:rsidRDefault="007D29F8" w:rsidP="007D29F8"/>
    <w:p w14:paraId="1D1F1B97" w14:textId="77777777" w:rsidR="007D29F8" w:rsidRPr="00E12BB9" w:rsidRDefault="007D29F8" w:rsidP="001B1508">
      <w:pPr>
        <w:pStyle w:val="Heading2"/>
        <w:ind w:left="0" w:firstLine="0"/>
        <w:rPr>
          <w:lang w:val="fr-FR"/>
        </w:rPr>
      </w:pPr>
      <w:bookmarkStart w:id="452" w:name="_Toc117798897"/>
      <w:bookmarkStart w:id="453" w:name="_Toc107239602"/>
      <w:bookmarkStart w:id="454" w:name="_Toc107239352"/>
      <w:bookmarkStart w:id="455" w:name="_Toc132208458"/>
      <w:r w:rsidRPr="00E12BB9">
        <w:rPr>
          <w:lang w:val="fr-FR"/>
        </w:rPr>
        <w:lastRenderedPageBreak/>
        <w:t xml:space="preserve">Pilier n° 3 : </w:t>
      </w:r>
      <w:bookmarkEnd w:id="452"/>
      <w:bookmarkEnd w:id="453"/>
      <w:bookmarkEnd w:id="454"/>
      <w:r w:rsidRPr="00E12BB9">
        <w:rPr>
          <w:lang w:val="fr-FR"/>
        </w:rPr>
        <w:t>Fournir des services de haute qualité aux membres et aux utilisateurs du système de l’UPOV</w:t>
      </w:r>
      <w:bookmarkEnd w:id="455"/>
    </w:p>
    <w:p w14:paraId="4D723A7C" w14:textId="77777777" w:rsidR="007D29F8" w:rsidRPr="00E12BB9" w:rsidRDefault="007D29F8" w:rsidP="007D29F8">
      <w:pPr>
        <w:keepNext/>
        <w:rPr>
          <w:b/>
          <w:bCs/>
          <w:sz w:val="22"/>
          <w:szCs w:val="22"/>
        </w:rPr>
      </w:pPr>
    </w:p>
    <w:p w14:paraId="323A7D97" w14:textId="77777777" w:rsidR="007D29F8" w:rsidRPr="00E12BB9" w:rsidRDefault="007D29F8" w:rsidP="007D29F8">
      <w:pPr>
        <w:pStyle w:val="Heading3"/>
        <w:rPr>
          <w:sz w:val="20"/>
          <w:lang w:val="fr-FR"/>
        </w:rPr>
      </w:pPr>
      <w:bookmarkStart w:id="456" w:name="_Toc132208459"/>
      <w:r w:rsidRPr="00E12BB9">
        <w:rPr>
          <w:lang w:val="fr-FR"/>
        </w:rPr>
        <w:t>Stratégie de mise en œuvre pour parvenir aux résultats escomptés</w:t>
      </w:r>
      <w:bookmarkEnd w:id="456"/>
    </w:p>
    <w:p w14:paraId="08F0DBD5" w14:textId="77777777" w:rsidR="007D29F8" w:rsidRPr="00E12BB9" w:rsidRDefault="007D29F8" w:rsidP="007D29F8">
      <w:pPr>
        <w:keepNext/>
        <w:rPr>
          <w:b/>
          <w:bCs/>
          <w:sz w:val="22"/>
          <w:szCs w:val="22"/>
        </w:rPr>
      </w:pPr>
    </w:p>
    <w:p w14:paraId="1B2E22EB" w14:textId="77777777" w:rsidR="007D29F8" w:rsidRPr="00E12BB9" w:rsidRDefault="007D29F8" w:rsidP="007D29F8">
      <w:r w:rsidRPr="00E12BB9">
        <w:rPr>
          <w:bCs/>
        </w:rPr>
        <w:fldChar w:fldCharType="begin"/>
      </w:r>
      <w:r w:rsidRPr="00E12BB9">
        <w:rPr>
          <w:bCs/>
        </w:rPr>
        <w:instrText xml:space="preserve"> AUTONUM  </w:instrText>
      </w:r>
      <w:r w:rsidRPr="00E12BB9">
        <w:rPr>
          <w:bCs/>
        </w:rPr>
        <w:fldChar w:fldCharType="end"/>
      </w:r>
      <w:r w:rsidRPr="00E12BB9">
        <w:rPr>
          <w:bCs/>
        </w:rPr>
        <w:tab/>
        <w:t xml:space="preserve">Historiquement, compte tenu de ses ressources limitées, l’UPOV a concentré ses efforts sur la fourniture d’orientations, d’informations et de formations plutôt que sur l’élaboration d’outils pratiques pour aider les membres de l’Union à mettre en place le système de l’UPOV.  Le manque d’assistance pratique a donné lieu à des divergences dans la mise en œuvre (par exemple, les formulaires de demande), qui ne sont pas fondées sur des facteurs politiques, mais qui découlent d’un manque de soutien pratique.  En outre, certains membres de l’Union ont disposé des ressources nécessaires pour mettre au point des systèmes très efficaces (par exemple, les systèmes de dépôt électronique), tandis que d’autres membres de l’Union ne disposant pas de ces ressources n’ont pas été en mesure de mettre au point de tels systèmes.  Les nouvelles évolutions en matière de technologie de l’information, ainsi que la création du poste d’administrateur informatique à l’UPOV, ont permis à l’UPOV de développer son projet de plateforme de gestion électronique de la protection des obtentions végétales (UPOV e-PVP) (voir ci-après).  </w:t>
      </w:r>
      <w:r w:rsidRPr="00E12BB9">
        <w:t>La plateforme UPOV e-PVP offre la possibilité de fournir des services aux membres de l’Union d’une manière qui améliorera l’efficacité du système de l’UPOV dans son ensemble et permettra de parvenir à un “nivellement par le haut” en matière de capacité au sein de l’UPOV.</w:t>
      </w:r>
    </w:p>
    <w:p w14:paraId="53FE4F1C" w14:textId="77777777" w:rsidR="007D29F8" w:rsidRPr="00E12BB9" w:rsidRDefault="007D29F8" w:rsidP="007D29F8">
      <w:pPr>
        <w:pStyle w:val="ListParagraph"/>
        <w:ind w:left="0"/>
      </w:pPr>
    </w:p>
    <w:p w14:paraId="5E2DD8C9" w14:textId="77777777" w:rsidR="007D29F8" w:rsidRPr="00E12BB9" w:rsidRDefault="007D29F8" w:rsidP="007D29F8">
      <w:pPr>
        <w:pStyle w:val="Heading4"/>
        <w:rPr>
          <w:lang w:val="fr-FR"/>
        </w:rPr>
      </w:pPr>
      <w:bookmarkStart w:id="457" w:name="_Toc117798900"/>
      <w:bookmarkStart w:id="458" w:name="_Toc107239605"/>
      <w:bookmarkStart w:id="459" w:name="_Toc107239355"/>
      <w:r w:rsidRPr="00E12BB9">
        <w:rPr>
          <w:lang w:val="fr-FR"/>
        </w:rPr>
        <w:t>3.1</w:t>
      </w:r>
      <w:r w:rsidRPr="00E12BB9">
        <w:rPr>
          <w:lang w:val="fr-FR"/>
        </w:rPr>
        <w:tab/>
        <w:t>Élaboration des services UPOV e-PVP</w:t>
      </w:r>
      <w:bookmarkEnd w:id="457"/>
      <w:bookmarkEnd w:id="458"/>
      <w:bookmarkEnd w:id="459"/>
    </w:p>
    <w:p w14:paraId="1FE27B47" w14:textId="77777777" w:rsidR="007D29F8" w:rsidRPr="00E12BB9" w:rsidRDefault="007D29F8" w:rsidP="007D29F8">
      <w:pPr>
        <w:pStyle w:val="Heading5"/>
        <w:rPr>
          <w:snapToGrid w:val="0"/>
          <w:lang w:val="fr-FR"/>
        </w:rPr>
      </w:pPr>
    </w:p>
    <w:p w14:paraId="4EA0079E" w14:textId="77777777" w:rsidR="007D29F8" w:rsidRPr="00E12BB9" w:rsidRDefault="007D29F8" w:rsidP="007D29F8">
      <w:pPr>
        <w:pStyle w:val="ListParagraph"/>
        <w:ind w:left="0"/>
      </w:pPr>
      <w:r w:rsidRPr="00E12BB9">
        <w:fldChar w:fldCharType="begin"/>
      </w:r>
      <w:r w:rsidRPr="00E12BB9">
        <w:instrText xml:space="preserve"> AUTONUM  </w:instrText>
      </w:r>
      <w:r w:rsidRPr="00E12BB9">
        <w:fldChar w:fldCharType="end"/>
      </w:r>
      <w:r w:rsidRPr="00E12BB9">
        <w:tab/>
        <w:t xml:space="preserve">La plateforme UPOV e-PVP appuiera de manière cohérente et exhaustive la mise en œuvre du système de protection des obtentions végétales de l’UPOV, dont une partie ou la totalité pourra être utilisée par les membres de l’Union, le cas échéant.  La plateforme </w:t>
      </w:r>
      <w:r>
        <w:t xml:space="preserve">UPOV </w:t>
      </w:r>
      <w:r w:rsidRPr="00E12BB9">
        <w:t>e-PVP, qui inclut l’ensemble des outils compatibles ci-après, continuera d’être améliorée :</w:t>
      </w:r>
    </w:p>
    <w:p w14:paraId="6C511468" w14:textId="77777777" w:rsidR="007D29F8" w:rsidRPr="00E12BB9" w:rsidRDefault="007D29F8" w:rsidP="007D29F8"/>
    <w:p w14:paraId="7D88DC14" w14:textId="77777777" w:rsidR="007D29F8" w:rsidRPr="00E12BB9" w:rsidRDefault="007D29F8" w:rsidP="007D29F8">
      <w:pPr>
        <w:pStyle w:val="ListParagraph"/>
        <w:numPr>
          <w:ilvl w:val="0"/>
          <w:numId w:val="3"/>
        </w:numPr>
        <w:spacing w:after="40"/>
        <w:ind w:left="1134" w:hanging="567"/>
        <w:rPr>
          <w:color w:val="000000" w:themeColor="text1"/>
        </w:rPr>
      </w:pPr>
      <w:r w:rsidRPr="00E12BB9">
        <w:rPr>
          <w:b/>
        </w:rPr>
        <w:t>L’outil de demande de droit d’obtenteur en ligne UPOV PRISMA</w:t>
      </w:r>
      <w:r w:rsidRPr="00E12BB9">
        <w:t xml:space="preserve"> couvrira davantage de membres de l’Union et de cultures et espèces.  </w:t>
      </w:r>
      <w:r w:rsidRPr="00E12BB9">
        <w:rPr>
          <w:color w:val="000000" w:themeColor="text1"/>
        </w:rPr>
        <w:t>UPOV PRISMA sera mis au point en vue de fournir des informations aux déposants sur la coopération en matière d’examen DHS entre les membres de l’Union lorsque des informations pertinentes auront été fournies par les membres.</w:t>
      </w:r>
    </w:p>
    <w:p w14:paraId="066FE6AD" w14:textId="77777777" w:rsidR="007D29F8" w:rsidRPr="00E12BB9" w:rsidRDefault="007D29F8" w:rsidP="007D29F8">
      <w:pPr>
        <w:pStyle w:val="ListParagraph"/>
        <w:numPr>
          <w:ilvl w:val="0"/>
          <w:numId w:val="3"/>
        </w:numPr>
        <w:spacing w:after="40"/>
        <w:ind w:left="1134" w:hanging="567"/>
      </w:pPr>
      <w:r w:rsidRPr="00E12BB9">
        <w:rPr>
          <w:b/>
        </w:rPr>
        <w:t xml:space="preserve">Le module de gestion électronique UPOV e-PVP </w:t>
      </w:r>
      <w:r w:rsidRPr="00E12BB9">
        <w:t xml:space="preserve">sera mis à la disposition des membres de l’Union pour que ces derniers puissent administrer et publier les demandes, y compris les communications avec les demandeurs et la transmission des données vers la base de données PLUTO.  Le module comprendra également une fonction d’enregistrement et de comparaison des descriptions variétales.  Une version de base du module sera mise gratuitement à la disposition des membres de l’Union et gérée par l’UPOV, en fonction des incidences sur le Bureau de l’Union en termes de ressources.  Le membre de l’Union concerné devra prendre les dispositions nécessaires concernant les frais d’hébergement du module dans le </w:t>
      </w:r>
      <w:r>
        <w:t>Cloud</w:t>
      </w:r>
      <w:r w:rsidRPr="00E12BB9">
        <w:t xml:space="preserve">.  Des versions personnalisées du module </w:t>
      </w:r>
      <w:r>
        <w:t xml:space="preserve">UPOV </w:t>
      </w:r>
      <w:r w:rsidRPr="00E12BB9">
        <w:t xml:space="preserve">e-PVP pourront être mises au point selon les besoins particuliers des membres de l’Union en fonction de la mise à disposition des ressources extrabudgétaires et des incidences sur le Bureau de l’Union en termes de ressources.  </w:t>
      </w:r>
    </w:p>
    <w:p w14:paraId="0DF1349F" w14:textId="77777777" w:rsidR="007D29F8" w:rsidRPr="00E12BB9" w:rsidRDefault="007D29F8" w:rsidP="007D29F8">
      <w:pPr>
        <w:pStyle w:val="ListParagraph"/>
        <w:numPr>
          <w:ilvl w:val="0"/>
          <w:numId w:val="3"/>
        </w:numPr>
        <w:spacing w:after="40"/>
        <w:ind w:left="1134" w:hanging="567"/>
        <w:rPr>
          <w:color w:val="000000" w:themeColor="text1"/>
        </w:rPr>
      </w:pPr>
      <w:r w:rsidRPr="00F16D2F">
        <w:rPr>
          <w:b/>
          <w:spacing w:val="-2"/>
        </w:rPr>
        <w:t>La plateforme UPOV e-PVP pour l’échange des rapports d’examen DHS</w:t>
      </w:r>
      <w:r w:rsidRPr="00F16D2F">
        <w:rPr>
          <w:color w:val="000000" w:themeColor="text1"/>
          <w:spacing w:val="-2"/>
        </w:rPr>
        <w:t xml:space="preserve"> offrira une plateforme </w:t>
      </w:r>
      <w:r w:rsidRPr="00E12BB9">
        <w:rPr>
          <w:color w:val="000000" w:themeColor="text1"/>
        </w:rPr>
        <w:t>d’échange des rapports d’examen DHS.  Sa mise au point sera affinée afin de permettre aux membres de l’Union de mettre leurs procédures écrites en matière d’examen DHS ainsi que les informations concernant leurs systèmes de gestion de la qualité à la disposition des autres membres de l’Union.</w:t>
      </w:r>
    </w:p>
    <w:p w14:paraId="797C6CF5" w14:textId="77777777" w:rsidR="007D29F8" w:rsidRPr="00E12BB9" w:rsidRDefault="007D29F8" w:rsidP="007D29F8">
      <w:pPr>
        <w:pStyle w:val="ListParagraph"/>
        <w:numPr>
          <w:ilvl w:val="0"/>
          <w:numId w:val="3"/>
        </w:numPr>
        <w:spacing w:after="40"/>
        <w:ind w:left="1134" w:hanging="567"/>
        <w:rPr>
          <w:rFonts w:cs="Arial"/>
          <w:snapToGrid w:val="0"/>
          <w:color w:val="000000"/>
        </w:rPr>
      </w:pPr>
      <w:r w:rsidRPr="00E12BB9">
        <w:rPr>
          <w:rFonts w:cs="Arial"/>
          <w:b/>
          <w:snapToGrid w:val="0"/>
          <w:color w:val="000000"/>
        </w:rPr>
        <w:t xml:space="preserve">La base de données PLUTO </w:t>
      </w:r>
      <w:r w:rsidRPr="00E12BB9">
        <w:rPr>
          <w:rFonts w:cs="Arial"/>
          <w:snapToGrid w:val="0"/>
          <w:color w:val="000000"/>
        </w:rPr>
        <w:t xml:space="preserve">sera améliorée sur les points suivants : l’exhaustivité de la transmission des données, en particulier dans le cadre de l’utilisation du module de gestion électronique </w:t>
      </w:r>
      <w:r>
        <w:rPr>
          <w:rFonts w:cs="Arial"/>
          <w:snapToGrid w:val="0"/>
          <w:color w:val="000000"/>
        </w:rPr>
        <w:t xml:space="preserve">UPOV </w:t>
      </w:r>
      <w:r w:rsidRPr="00E12BB9">
        <w:rPr>
          <w:rFonts w:cs="Arial"/>
          <w:snapToGrid w:val="0"/>
          <w:color w:val="000000"/>
        </w:rPr>
        <w:t>e-PVP;  l’interface utilisateur;  et des fonctions utilisateur supplémentaires.  Une fonction sera mise au point pour permettre aux membres de l’UPOV d’échanger des informations sur les descriptions variétales au moyen de la base de données PLUTO.</w:t>
      </w:r>
    </w:p>
    <w:p w14:paraId="356CF1DC" w14:textId="77777777" w:rsidR="007D29F8" w:rsidRPr="00E12BB9" w:rsidRDefault="007D29F8" w:rsidP="007D29F8">
      <w:pPr>
        <w:pStyle w:val="ListParagraph"/>
        <w:numPr>
          <w:ilvl w:val="0"/>
          <w:numId w:val="3"/>
        </w:numPr>
        <w:spacing w:after="40"/>
        <w:ind w:left="1134" w:hanging="567"/>
      </w:pPr>
      <w:r w:rsidRPr="00E12BB9">
        <w:rPr>
          <w:b/>
        </w:rPr>
        <w:t xml:space="preserve">Les plateformes </w:t>
      </w:r>
      <w:r>
        <w:rPr>
          <w:b/>
        </w:rPr>
        <w:t xml:space="preserve">UPOV </w:t>
      </w:r>
      <w:r w:rsidRPr="00E12BB9">
        <w:rPr>
          <w:b/>
        </w:rPr>
        <w:t xml:space="preserve">e-PVP de coopération entre les membres de l’UPOV, </w:t>
      </w:r>
      <w:r w:rsidRPr="00E12BB9">
        <w:rPr>
          <w:bCs/>
        </w:rPr>
        <w:t>lorsque cela sera demandé</w:t>
      </w:r>
      <w:r w:rsidRPr="00E12BB9">
        <w:t xml:space="preserve"> (par exemple e-PVP Asie), seront mises au point et gérées pour favoriser la coopération entre les membres de l’UPOV en ce qui concerne l’administration et l’examen des demandes, sous réserve de la disponibilité des ressources extrabudgétaires nécessaires et en fonction des incidences sur le Bureau de l’Union en termes de ressources.</w:t>
      </w:r>
    </w:p>
    <w:p w14:paraId="2F874C54" w14:textId="77777777" w:rsidR="007D29F8" w:rsidRPr="00E12BB9" w:rsidRDefault="007D29F8" w:rsidP="007D29F8"/>
    <w:p w14:paraId="74881053" w14:textId="77777777" w:rsidR="007D29F8" w:rsidRPr="00E12BB9" w:rsidRDefault="007D29F8" w:rsidP="007D29F8">
      <w:r w:rsidRPr="00E12BB9">
        <w:fldChar w:fldCharType="begin"/>
      </w:r>
      <w:r w:rsidRPr="00E12BB9">
        <w:instrText xml:space="preserve"> AUTONUM  </w:instrText>
      </w:r>
      <w:r w:rsidRPr="00E12BB9">
        <w:fldChar w:fldCharType="end"/>
      </w:r>
      <w:r w:rsidRPr="00E12BB9">
        <w:tab/>
        <w:t>Le graphique ci-après offre un aperçu des éléments qui composent la plateforme UPOV e-PVP.  Au cours de l’année</w:t>
      </w:r>
      <w:r>
        <w:t> </w:t>
      </w:r>
      <w:r w:rsidRPr="00E12BB9">
        <w:t>2022, un examen de ces éléments sera effectué pour assurer une présentation uniforme de l’UPOV e-PVP dans son ensemble, ce qui pourrait donner lieu à une modification du nom de certains outils :</w:t>
      </w:r>
    </w:p>
    <w:p w14:paraId="22E729E1" w14:textId="77777777" w:rsidR="007D29F8" w:rsidRPr="00E12BB9" w:rsidRDefault="007D29F8" w:rsidP="007D29F8">
      <w:pPr>
        <w:tabs>
          <w:tab w:val="left" w:pos="851"/>
        </w:tabs>
      </w:pPr>
    </w:p>
    <w:tbl>
      <w:tblPr>
        <w:tblStyle w:val="TableGrid"/>
        <w:tblW w:w="0" w:type="auto"/>
        <w:jc w:val="center"/>
        <w:tblLook w:val="04A0" w:firstRow="1" w:lastRow="0" w:firstColumn="1" w:lastColumn="0" w:noHBand="0" w:noVBand="1"/>
      </w:tblPr>
      <w:tblGrid>
        <w:gridCol w:w="9639"/>
      </w:tblGrid>
      <w:tr w:rsidR="007D29F8" w:rsidRPr="00E12BB9" w14:paraId="084D0C00" w14:textId="77777777" w:rsidTr="00DB6666">
        <w:trPr>
          <w:trHeight w:val="5669"/>
          <w:jc w:val="center"/>
        </w:trPr>
        <w:tc>
          <w:tcPr>
            <w:tcW w:w="9278" w:type="dxa"/>
            <w:tcBorders>
              <w:top w:val="nil"/>
              <w:left w:val="nil"/>
              <w:bottom w:val="nil"/>
              <w:right w:val="nil"/>
            </w:tcBorders>
            <w:hideMark/>
          </w:tcPr>
          <w:p w14:paraId="193E5B9B" w14:textId="77777777" w:rsidR="007D29F8" w:rsidRPr="00E12BB9" w:rsidRDefault="007D29F8" w:rsidP="00DB6666">
            <w:r w:rsidRPr="00E12BB9">
              <w:rPr>
                <w:noProof/>
                <w:lang w:val="en-US"/>
              </w:rPr>
              <w:drawing>
                <wp:inline distT="0" distB="0" distL="0" distR="0" wp14:anchorId="7E1DAF18" wp14:editId="53D33117">
                  <wp:extent cx="6120765" cy="3442970"/>
                  <wp:effectExtent l="0" t="0" r="0" b="5080"/>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6120765" cy="3442970"/>
                          </a:xfrm>
                          <a:prstGeom prst="rect">
                            <a:avLst/>
                          </a:prstGeom>
                        </pic:spPr>
                      </pic:pic>
                    </a:graphicData>
                  </a:graphic>
                </wp:inline>
              </w:drawing>
            </w:r>
          </w:p>
        </w:tc>
      </w:tr>
    </w:tbl>
    <w:p w14:paraId="0ED20271" w14:textId="77777777" w:rsidR="007D29F8" w:rsidRPr="00E12BB9" w:rsidRDefault="007D29F8" w:rsidP="007D29F8"/>
    <w:p w14:paraId="29B4637F" w14:textId="77777777" w:rsidR="007D29F8" w:rsidRPr="00E12BB9" w:rsidRDefault="007D29F8" w:rsidP="007D29F8">
      <w:pPr>
        <w:rPr>
          <w:b/>
          <w:bCs/>
          <w:sz w:val="22"/>
          <w:szCs w:val="22"/>
        </w:rPr>
      </w:pPr>
    </w:p>
    <w:p w14:paraId="0859CCB1" w14:textId="77777777" w:rsidR="007D29F8" w:rsidRPr="00E12BB9" w:rsidRDefault="007D29F8" w:rsidP="007D29F8">
      <w:pPr>
        <w:pStyle w:val="Heading3"/>
        <w:rPr>
          <w:lang w:val="fr-FR"/>
        </w:rPr>
      </w:pPr>
      <w:bookmarkStart w:id="460" w:name="_Toc132208460"/>
      <w:r w:rsidRPr="00E12BB9">
        <w:rPr>
          <w:lang w:val="fr-FR"/>
        </w:rPr>
        <w:t>Résultats escomptés et indicateurs d’exécution</w:t>
      </w:r>
      <w:bookmarkEnd w:id="460"/>
    </w:p>
    <w:p w14:paraId="780E55B3" w14:textId="77777777" w:rsidR="007D29F8" w:rsidRPr="00E12BB9" w:rsidRDefault="007D29F8" w:rsidP="007D29F8">
      <w:pPr>
        <w:keepNext/>
        <w:rPr>
          <w:bCs/>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7D29F8" w:rsidRPr="00E12BB9" w14:paraId="5F6C35B6" w14:textId="77777777" w:rsidTr="00DB6666">
        <w:trPr>
          <w:tblHeader/>
        </w:trPr>
        <w:tc>
          <w:tcPr>
            <w:tcW w:w="426" w:type="dxa"/>
            <w:shd w:val="clear" w:color="auto" w:fill="E2E7EB" w:themeFill="accent3" w:themeFillTint="33"/>
          </w:tcPr>
          <w:p w14:paraId="58FAA518" w14:textId="77777777" w:rsidR="007D29F8" w:rsidRPr="00E12BB9" w:rsidRDefault="007D29F8" w:rsidP="00DB6666">
            <w:pPr>
              <w:jc w:val="left"/>
              <w:rPr>
                <w:b/>
                <w:bCs/>
                <w:sz w:val="16"/>
                <w:szCs w:val="16"/>
              </w:rPr>
            </w:pPr>
          </w:p>
        </w:tc>
        <w:tc>
          <w:tcPr>
            <w:tcW w:w="3255" w:type="dxa"/>
            <w:shd w:val="clear" w:color="auto" w:fill="E2E7EB" w:themeFill="accent3" w:themeFillTint="33"/>
          </w:tcPr>
          <w:p w14:paraId="229C674E" w14:textId="77777777" w:rsidR="007D29F8" w:rsidRPr="00E12BB9" w:rsidRDefault="007D29F8" w:rsidP="00DB6666">
            <w:pPr>
              <w:jc w:val="left"/>
              <w:rPr>
                <w:b/>
                <w:bCs/>
                <w:sz w:val="16"/>
                <w:szCs w:val="16"/>
              </w:rPr>
            </w:pPr>
            <w:r w:rsidRPr="00E12BB9">
              <w:rPr>
                <w:b/>
                <w:bCs/>
                <w:sz w:val="16"/>
                <w:szCs w:val="16"/>
              </w:rPr>
              <w:t>Résultats escomptés</w:t>
            </w:r>
          </w:p>
        </w:tc>
        <w:tc>
          <w:tcPr>
            <w:tcW w:w="305" w:type="dxa"/>
            <w:shd w:val="clear" w:color="auto" w:fill="E2E7EB" w:themeFill="accent3" w:themeFillTint="33"/>
          </w:tcPr>
          <w:p w14:paraId="6533F027" w14:textId="77777777" w:rsidR="007D29F8" w:rsidRPr="00E12BB9" w:rsidRDefault="007D29F8" w:rsidP="00DB6666">
            <w:pPr>
              <w:jc w:val="center"/>
              <w:rPr>
                <w:b/>
                <w:bCs/>
                <w:sz w:val="16"/>
                <w:szCs w:val="16"/>
              </w:rPr>
            </w:pPr>
          </w:p>
        </w:tc>
        <w:tc>
          <w:tcPr>
            <w:tcW w:w="2457" w:type="dxa"/>
            <w:shd w:val="clear" w:color="auto" w:fill="E2E7EB" w:themeFill="accent3" w:themeFillTint="33"/>
          </w:tcPr>
          <w:p w14:paraId="1490F9B0" w14:textId="77777777" w:rsidR="007D29F8" w:rsidRPr="00E12BB9" w:rsidRDefault="007D29F8" w:rsidP="00DB6666">
            <w:pPr>
              <w:rPr>
                <w:b/>
                <w:bCs/>
                <w:sz w:val="16"/>
                <w:szCs w:val="16"/>
              </w:rPr>
            </w:pPr>
            <w:r w:rsidRPr="00E12BB9">
              <w:rPr>
                <w:b/>
                <w:bCs/>
                <w:sz w:val="16"/>
                <w:szCs w:val="16"/>
              </w:rPr>
              <w:t>Indicateurs d’exécution</w:t>
            </w:r>
          </w:p>
        </w:tc>
        <w:tc>
          <w:tcPr>
            <w:tcW w:w="1632" w:type="dxa"/>
            <w:shd w:val="clear" w:color="auto" w:fill="E2E7EB" w:themeFill="accent3" w:themeFillTint="33"/>
          </w:tcPr>
          <w:p w14:paraId="18C78F89" w14:textId="77777777" w:rsidR="007D29F8" w:rsidRPr="00E12BB9" w:rsidRDefault="007D29F8" w:rsidP="00DB6666">
            <w:pPr>
              <w:jc w:val="center"/>
              <w:rPr>
                <w:b/>
                <w:bCs/>
                <w:sz w:val="16"/>
                <w:szCs w:val="16"/>
              </w:rPr>
            </w:pPr>
            <w:r w:rsidRPr="00E12BB9">
              <w:rPr>
                <w:b/>
                <w:bCs/>
                <w:sz w:val="16"/>
                <w:szCs w:val="16"/>
              </w:rPr>
              <w:t>Niveaux de référence</w:t>
            </w:r>
          </w:p>
        </w:tc>
        <w:tc>
          <w:tcPr>
            <w:tcW w:w="1559" w:type="dxa"/>
            <w:shd w:val="clear" w:color="auto" w:fill="E2E7EB" w:themeFill="accent3" w:themeFillTint="33"/>
          </w:tcPr>
          <w:p w14:paraId="3ADA2FE5" w14:textId="77777777" w:rsidR="007D29F8" w:rsidRPr="00E12BB9" w:rsidRDefault="007D29F8" w:rsidP="00DB6666">
            <w:pPr>
              <w:jc w:val="center"/>
              <w:rPr>
                <w:b/>
                <w:bCs/>
                <w:sz w:val="16"/>
                <w:szCs w:val="16"/>
              </w:rPr>
            </w:pPr>
            <w:r w:rsidRPr="00E12BB9">
              <w:rPr>
                <w:b/>
                <w:bCs/>
                <w:sz w:val="16"/>
                <w:szCs w:val="16"/>
              </w:rPr>
              <w:t>Objectifs visés (2024-2025)</w:t>
            </w:r>
          </w:p>
        </w:tc>
      </w:tr>
      <w:tr w:rsidR="007D29F8" w:rsidRPr="00E12BB9" w14:paraId="5529C1BF" w14:textId="77777777" w:rsidTr="00DB6666">
        <w:tc>
          <w:tcPr>
            <w:tcW w:w="426" w:type="dxa"/>
          </w:tcPr>
          <w:p w14:paraId="555578EF" w14:textId="77777777" w:rsidR="007D29F8" w:rsidRPr="00E12BB9" w:rsidRDefault="007D29F8" w:rsidP="00DB6666">
            <w:pPr>
              <w:jc w:val="left"/>
              <w:rPr>
                <w:rFonts w:cs="Arial"/>
                <w:sz w:val="16"/>
                <w:szCs w:val="16"/>
              </w:rPr>
            </w:pPr>
            <w:r w:rsidRPr="00E12BB9">
              <w:rPr>
                <w:rFonts w:cs="Arial"/>
                <w:sz w:val="16"/>
                <w:szCs w:val="16"/>
              </w:rPr>
              <w:t>3.1</w:t>
            </w:r>
          </w:p>
        </w:tc>
        <w:tc>
          <w:tcPr>
            <w:tcW w:w="3255" w:type="dxa"/>
            <w:shd w:val="clear" w:color="auto" w:fill="auto"/>
          </w:tcPr>
          <w:p w14:paraId="4B0D3F4B" w14:textId="77777777" w:rsidR="007D29F8" w:rsidRPr="00E12BB9" w:rsidRDefault="007D29F8" w:rsidP="00DB6666">
            <w:pPr>
              <w:jc w:val="left"/>
              <w:rPr>
                <w:rFonts w:cs="Arial"/>
                <w:sz w:val="16"/>
                <w:szCs w:val="16"/>
              </w:rPr>
            </w:pPr>
            <w:r w:rsidRPr="00E12BB9">
              <w:rPr>
                <w:rFonts w:cs="Arial"/>
                <w:sz w:val="16"/>
                <w:szCs w:val="16"/>
              </w:rPr>
              <w:t xml:space="preserve">Mise au point des services </w:t>
            </w:r>
            <w:r>
              <w:rPr>
                <w:rFonts w:cs="Arial"/>
                <w:sz w:val="16"/>
                <w:szCs w:val="16"/>
              </w:rPr>
              <w:t xml:space="preserve">UPOV </w:t>
            </w:r>
            <w:r w:rsidRPr="00E12BB9">
              <w:rPr>
                <w:rFonts w:cs="Arial"/>
                <w:sz w:val="16"/>
                <w:szCs w:val="16"/>
              </w:rPr>
              <w:t>e</w:t>
            </w:r>
            <w:r w:rsidRPr="00E12BB9">
              <w:rPr>
                <w:rFonts w:ascii="Cambria Math" w:hAnsi="Cambria Math" w:cs="Cambria Math"/>
                <w:sz w:val="16"/>
                <w:szCs w:val="16"/>
              </w:rPr>
              <w:t>‐</w:t>
            </w:r>
            <w:r w:rsidRPr="00E12BB9">
              <w:rPr>
                <w:rFonts w:cs="Arial"/>
                <w:sz w:val="16"/>
                <w:szCs w:val="16"/>
              </w:rPr>
              <w:t>PVP</w:t>
            </w:r>
          </w:p>
        </w:tc>
        <w:tc>
          <w:tcPr>
            <w:tcW w:w="305" w:type="dxa"/>
            <w:shd w:val="clear" w:color="auto" w:fill="auto"/>
          </w:tcPr>
          <w:p w14:paraId="5641EB40" w14:textId="77777777" w:rsidR="007D29F8" w:rsidRPr="00E12BB9" w:rsidRDefault="007D29F8" w:rsidP="00DB6666">
            <w:pPr>
              <w:jc w:val="left"/>
              <w:rPr>
                <w:rFonts w:cs="Arial"/>
                <w:sz w:val="16"/>
                <w:szCs w:val="16"/>
              </w:rPr>
            </w:pPr>
          </w:p>
        </w:tc>
        <w:tc>
          <w:tcPr>
            <w:tcW w:w="2457" w:type="dxa"/>
            <w:shd w:val="clear" w:color="auto" w:fill="auto"/>
          </w:tcPr>
          <w:p w14:paraId="39EAC945" w14:textId="77777777" w:rsidR="007D29F8" w:rsidRPr="00E12BB9" w:rsidRDefault="007D29F8" w:rsidP="00DB6666">
            <w:pPr>
              <w:jc w:val="left"/>
              <w:rPr>
                <w:rFonts w:cs="Arial"/>
                <w:sz w:val="16"/>
                <w:szCs w:val="16"/>
              </w:rPr>
            </w:pPr>
            <w:r w:rsidRPr="00E12BB9">
              <w:rPr>
                <w:rFonts w:cs="Arial"/>
                <w:sz w:val="16"/>
                <w:szCs w:val="16"/>
              </w:rPr>
              <w:t>Pourcentage des demandes des membres de l’UPOV intégrées à la base de données PLUTO sur un an</w:t>
            </w:r>
          </w:p>
        </w:tc>
        <w:tc>
          <w:tcPr>
            <w:tcW w:w="1632" w:type="dxa"/>
            <w:shd w:val="clear" w:color="auto" w:fill="auto"/>
            <w:vAlign w:val="center"/>
          </w:tcPr>
          <w:p w14:paraId="7F383FCB" w14:textId="77777777" w:rsidR="007D29F8" w:rsidRPr="00E12BB9" w:rsidRDefault="007D29F8" w:rsidP="00DB6666">
            <w:pPr>
              <w:jc w:val="center"/>
              <w:rPr>
                <w:rFonts w:cs="Arial"/>
                <w:sz w:val="16"/>
                <w:szCs w:val="16"/>
              </w:rPr>
            </w:pPr>
            <w:r w:rsidRPr="00E12BB9">
              <w:rPr>
                <w:rFonts w:cs="Arial"/>
                <w:sz w:val="16"/>
                <w:szCs w:val="16"/>
              </w:rPr>
              <w:t>46% (2020)</w:t>
            </w:r>
          </w:p>
        </w:tc>
        <w:tc>
          <w:tcPr>
            <w:tcW w:w="1559" w:type="dxa"/>
            <w:shd w:val="clear" w:color="auto" w:fill="auto"/>
            <w:vAlign w:val="center"/>
          </w:tcPr>
          <w:p w14:paraId="2BF445E2" w14:textId="77777777" w:rsidR="007D29F8" w:rsidRPr="00E12BB9" w:rsidRDefault="007D29F8" w:rsidP="00DB6666">
            <w:pPr>
              <w:jc w:val="center"/>
              <w:rPr>
                <w:rFonts w:cs="Arial"/>
                <w:sz w:val="16"/>
                <w:szCs w:val="16"/>
              </w:rPr>
            </w:pPr>
            <w:r w:rsidRPr="00E12BB9">
              <w:rPr>
                <w:rFonts w:cs="Arial"/>
                <w:sz w:val="16"/>
                <w:szCs w:val="16"/>
              </w:rPr>
              <w:t>60% (2024)</w:t>
            </w:r>
          </w:p>
        </w:tc>
      </w:tr>
      <w:tr w:rsidR="007D29F8" w:rsidRPr="00E12BB9" w14:paraId="26FF2F90" w14:textId="77777777" w:rsidTr="00DB6666">
        <w:tc>
          <w:tcPr>
            <w:tcW w:w="426" w:type="dxa"/>
          </w:tcPr>
          <w:p w14:paraId="3DFAA3A3" w14:textId="77777777" w:rsidR="007D29F8" w:rsidRPr="00E12BB9" w:rsidRDefault="007D29F8" w:rsidP="00DB6666">
            <w:pPr>
              <w:jc w:val="left"/>
              <w:rPr>
                <w:rFonts w:cs="Arial"/>
                <w:sz w:val="16"/>
                <w:szCs w:val="16"/>
              </w:rPr>
            </w:pPr>
          </w:p>
        </w:tc>
        <w:tc>
          <w:tcPr>
            <w:tcW w:w="3255" w:type="dxa"/>
            <w:shd w:val="clear" w:color="auto" w:fill="auto"/>
          </w:tcPr>
          <w:p w14:paraId="53648998" w14:textId="77777777" w:rsidR="007D29F8" w:rsidRPr="00E12BB9" w:rsidRDefault="007D29F8" w:rsidP="00DB6666">
            <w:pPr>
              <w:jc w:val="left"/>
              <w:rPr>
                <w:rFonts w:cs="Arial"/>
                <w:sz w:val="16"/>
                <w:szCs w:val="16"/>
              </w:rPr>
            </w:pPr>
            <w:r w:rsidRPr="00E12BB9">
              <w:rPr>
                <w:rFonts w:cs="Arial"/>
                <w:sz w:val="16"/>
                <w:szCs w:val="16"/>
              </w:rPr>
              <w:t> </w:t>
            </w:r>
          </w:p>
        </w:tc>
        <w:tc>
          <w:tcPr>
            <w:tcW w:w="305" w:type="dxa"/>
            <w:shd w:val="clear" w:color="auto" w:fill="auto"/>
          </w:tcPr>
          <w:p w14:paraId="52FF5CD7" w14:textId="77777777" w:rsidR="007D29F8" w:rsidRPr="00E12BB9" w:rsidRDefault="007D29F8" w:rsidP="00DB6666">
            <w:pPr>
              <w:jc w:val="left"/>
              <w:rPr>
                <w:rFonts w:cs="Arial"/>
                <w:sz w:val="16"/>
                <w:szCs w:val="16"/>
              </w:rPr>
            </w:pPr>
          </w:p>
        </w:tc>
        <w:tc>
          <w:tcPr>
            <w:tcW w:w="2457" w:type="dxa"/>
            <w:shd w:val="clear" w:color="auto" w:fill="auto"/>
          </w:tcPr>
          <w:p w14:paraId="29998F08" w14:textId="77777777" w:rsidR="007D29F8" w:rsidRPr="00E12BB9" w:rsidRDefault="007D29F8" w:rsidP="00DB6666">
            <w:pPr>
              <w:jc w:val="left"/>
              <w:rPr>
                <w:rFonts w:cs="Arial"/>
                <w:sz w:val="16"/>
                <w:szCs w:val="16"/>
              </w:rPr>
            </w:pPr>
            <w:r w:rsidRPr="00E12BB9">
              <w:rPr>
                <w:rFonts w:cs="Arial"/>
                <w:sz w:val="16"/>
                <w:szCs w:val="16"/>
              </w:rPr>
              <w:t>Nombre d’utilisateurs de la base de données PLUTO</w:t>
            </w:r>
          </w:p>
        </w:tc>
        <w:tc>
          <w:tcPr>
            <w:tcW w:w="1632" w:type="dxa"/>
            <w:shd w:val="clear" w:color="auto" w:fill="auto"/>
            <w:vAlign w:val="center"/>
          </w:tcPr>
          <w:p w14:paraId="0310E11B" w14:textId="77777777" w:rsidR="007D29F8" w:rsidRPr="00E12BB9" w:rsidRDefault="007D29F8" w:rsidP="00DB6666">
            <w:pPr>
              <w:jc w:val="center"/>
              <w:rPr>
                <w:rFonts w:cs="Arial"/>
                <w:sz w:val="16"/>
                <w:szCs w:val="16"/>
              </w:rPr>
            </w:pPr>
            <w:r w:rsidRPr="00E12BB9">
              <w:rPr>
                <w:rFonts w:cs="Arial"/>
                <w:sz w:val="16"/>
                <w:szCs w:val="16"/>
              </w:rPr>
              <w:t>3</w:t>
            </w:r>
            <w:r>
              <w:rPr>
                <w:rFonts w:cs="Arial"/>
                <w:sz w:val="16"/>
                <w:szCs w:val="16"/>
              </w:rPr>
              <w:t> </w:t>
            </w:r>
            <w:r w:rsidRPr="00E12BB9">
              <w:rPr>
                <w:rFonts w:cs="Arial"/>
                <w:sz w:val="16"/>
                <w:szCs w:val="16"/>
              </w:rPr>
              <w:t>100 (2022)</w:t>
            </w:r>
          </w:p>
        </w:tc>
        <w:tc>
          <w:tcPr>
            <w:tcW w:w="1559" w:type="dxa"/>
            <w:shd w:val="clear" w:color="auto" w:fill="auto"/>
            <w:vAlign w:val="center"/>
          </w:tcPr>
          <w:p w14:paraId="399868F4" w14:textId="77777777" w:rsidR="007D29F8" w:rsidRPr="00E12BB9" w:rsidRDefault="007D29F8" w:rsidP="00DB6666">
            <w:pPr>
              <w:jc w:val="center"/>
              <w:rPr>
                <w:rFonts w:cs="Arial"/>
                <w:sz w:val="16"/>
                <w:szCs w:val="16"/>
              </w:rPr>
            </w:pPr>
            <w:r w:rsidRPr="00E12BB9">
              <w:rPr>
                <w:rFonts w:cs="Arial"/>
                <w:sz w:val="16"/>
                <w:szCs w:val="16"/>
              </w:rPr>
              <w:t>4</w:t>
            </w:r>
            <w:r>
              <w:rPr>
                <w:rFonts w:cs="Arial"/>
                <w:sz w:val="16"/>
                <w:szCs w:val="16"/>
              </w:rPr>
              <w:t> </w:t>
            </w:r>
            <w:r w:rsidRPr="00E12BB9">
              <w:rPr>
                <w:rFonts w:cs="Arial"/>
                <w:sz w:val="16"/>
                <w:szCs w:val="16"/>
              </w:rPr>
              <w:t>000 (2025)</w:t>
            </w:r>
          </w:p>
        </w:tc>
      </w:tr>
      <w:tr w:rsidR="007D29F8" w:rsidRPr="00E12BB9" w14:paraId="68725DE9" w14:textId="77777777" w:rsidTr="00DB6666">
        <w:tc>
          <w:tcPr>
            <w:tcW w:w="426" w:type="dxa"/>
          </w:tcPr>
          <w:p w14:paraId="26D06667" w14:textId="77777777" w:rsidR="007D29F8" w:rsidRPr="00E12BB9" w:rsidRDefault="007D29F8" w:rsidP="00DB6666">
            <w:pPr>
              <w:jc w:val="left"/>
              <w:rPr>
                <w:rFonts w:cs="Arial"/>
                <w:sz w:val="16"/>
                <w:szCs w:val="16"/>
              </w:rPr>
            </w:pPr>
          </w:p>
        </w:tc>
        <w:tc>
          <w:tcPr>
            <w:tcW w:w="3255" w:type="dxa"/>
            <w:shd w:val="clear" w:color="auto" w:fill="auto"/>
          </w:tcPr>
          <w:p w14:paraId="23F55503" w14:textId="77777777" w:rsidR="007D29F8" w:rsidRPr="00E12BB9" w:rsidRDefault="007D29F8" w:rsidP="00DB6666">
            <w:pPr>
              <w:jc w:val="left"/>
              <w:rPr>
                <w:rFonts w:cs="Arial"/>
                <w:sz w:val="16"/>
                <w:szCs w:val="16"/>
              </w:rPr>
            </w:pPr>
            <w:r w:rsidRPr="00E12BB9">
              <w:rPr>
                <w:rFonts w:cs="Arial"/>
                <w:sz w:val="16"/>
                <w:szCs w:val="16"/>
              </w:rPr>
              <w:t> </w:t>
            </w:r>
          </w:p>
        </w:tc>
        <w:tc>
          <w:tcPr>
            <w:tcW w:w="305" w:type="dxa"/>
            <w:shd w:val="clear" w:color="auto" w:fill="auto"/>
          </w:tcPr>
          <w:p w14:paraId="15CB1488" w14:textId="77777777" w:rsidR="007D29F8" w:rsidRPr="00E12BB9" w:rsidRDefault="007D29F8" w:rsidP="00DB6666">
            <w:pPr>
              <w:jc w:val="left"/>
              <w:rPr>
                <w:rFonts w:cs="Arial"/>
                <w:sz w:val="16"/>
                <w:szCs w:val="16"/>
              </w:rPr>
            </w:pPr>
          </w:p>
        </w:tc>
        <w:tc>
          <w:tcPr>
            <w:tcW w:w="2457" w:type="dxa"/>
            <w:shd w:val="clear" w:color="auto" w:fill="auto"/>
          </w:tcPr>
          <w:p w14:paraId="2ADF60FA" w14:textId="77777777" w:rsidR="007D29F8" w:rsidRPr="00E12BB9" w:rsidRDefault="007D29F8" w:rsidP="00DB6666">
            <w:pPr>
              <w:jc w:val="left"/>
              <w:rPr>
                <w:rFonts w:cs="Arial"/>
                <w:sz w:val="16"/>
                <w:szCs w:val="16"/>
              </w:rPr>
            </w:pPr>
            <w:r w:rsidRPr="00E12BB9">
              <w:rPr>
                <w:rFonts w:cs="Arial"/>
                <w:sz w:val="16"/>
                <w:szCs w:val="16"/>
              </w:rPr>
              <w:t>Nombre de demandes déposées au moyen d’UPOV PRISMA</w:t>
            </w:r>
          </w:p>
        </w:tc>
        <w:tc>
          <w:tcPr>
            <w:tcW w:w="1632" w:type="dxa"/>
            <w:shd w:val="clear" w:color="auto" w:fill="auto"/>
            <w:vAlign w:val="center"/>
          </w:tcPr>
          <w:p w14:paraId="569819CE" w14:textId="77777777" w:rsidR="007D29F8" w:rsidRPr="00E12BB9" w:rsidRDefault="007D29F8" w:rsidP="00DB6666">
            <w:pPr>
              <w:jc w:val="center"/>
              <w:rPr>
                <w:rFonts w:cs="Arial"/>
                <w:sz w:val="16"/>
                <w:szCs w:val="16"/>
              </w:rPr>
            </w:pPr>
            <w:r>
              <w:rPr>
                <w:rFonts w:cs="Arial"/>
                <w:sz w:val="16"/>
                <w:szCs w:val="16"/>
              </w:rPr>
              <w:t>1 </w:t>
            </w:r>
            <w:r w:rsidRPr="00E12BB9">
              <w:rPr>
                <w:rFonts w:cs="Arial"/>
                <w:sz w:val="16"/>
                <w:szCs w:val="16"/>
              </w:rPr>
              <w:t>900 (2022)</w:t>
            </w:r>
          </w:p>
        </w:tc>
        <w:tc>
          <w:tcPr>
            <w:tcW w:w="1559" w:type="dxa"/>
            <w:shd w:val="clear" w:color="auto" w:fill="auto"/>
            <w:vAlign w:val="center"/>
          </w:tcPr>
          <w:p w14:paraId="2422DC83" w14:textId="77777777" w:rsidR="007D29F8" w:rsidRPr="00E12BB9" w:rsidRDefault="007D29F8" w:rsidP="00DB6666">
            <w:pPr>
              <w:jc w:val="center"/>
              <w:rPr>
                <w:rFonts w:cs="Arial"/>
                <w:sz w:val="16"/>
                <w:szCs w:val="16"/>
              </w:rPr>
            </w:pPr>
            <w:r>
              <w:rPr>
                <w:rFonts w:cs="Arial"/>
                <w:sz w:val="16"/>
                <w:szCs w:val="16"/>
              </w:rPr>
              <w:t>3 </w:t>
            </w:r>
            <w:r w:rsidRPr="00E12BB9">
              <w:rPr>
                <w:rFonts w:cs="Arial"/>
                <w:sz w:val="16"/>
                <w:szCs w:val="16"/>
              </w:rPr>
              <w:t>150 (2025)</w:t>
            </w:r>
          </w:p>
        </w:tc>
      </w:tr>
      <w:tr w:rsidR="007D29F8" w:rsidRPr="00E12BB9" w14:paraId="5176D232" w14:textId="77777777" w:rsidTr="00DB6666">
        <w:tc>
          <w:tcPr>
            <w:tcW w:w="426" w:type="dxa"/>
            <w:tcBorders>
              <w:bottom w:val="single" w:sz="4" w:space="0" w:color="D9D9D9" w:themeColor="background1" w:themeShade="D9"/>
            </w:tcBorders>
          </w:tcPr>
          <w:p w14:paraId="0689A910" w14:textId="77777777" w:rsidR="007D29F8" w:rsidRPr="00E12BB9" w:rsidRDefault="007D29F8" w:rsidP="00DB6666">
            <w:pPr>
              <w:jc w:val="left"/>
              <w:rPr>
                <w:rFonts w:cs="Arial"/>
                <w:sz w:val="16"/>
                <w:szCs w:val="16"/>
              </w:rPr>
            </w:pPr>
          </w:p>
        </w:tc>
        <w:tc>
          <w:tcPr>
            <w:tcW w:w="3255" w:type="dxa"/>
            <w:tcBorders>
              <w:bottom w:val="single" w:sz="4" w:space="0" w:color="D9D9D9" w:themeColor="background1" w:themeShade="D9"/>
            </w:tcBorders>
            <w:shd w:val="clear" w:color="auto" w:fill="auto"/>
          </w:tcPr>
          <w:p w14:paraId="6A277020" w14:textId="77777777" w:rsidR="007D29F8" w:rsidRPr="00E12BB9" w:rsidRDefault="007D29F8" w:rsidP="00DB6666">
            <w:pPr>
              <w:jc w:val="left"/>
              <w:rPr>
                <w:rFonts w:cs="Arial"/>
                <w:sz w:val="16"/>
                <w:szCs w:val="16"/>
              </w:rPr>
            </w:pPr>
            <w:r w:rsidRPr="00E12BB9">
              <w:rPr>
                <w:rFonts w:cs="Arial"/>
                <w:sz w:val="16"/>
                <w:szCs w:val="16"/>
              </w:rPr>
              <w:t> </w:t>
            </w:r>
          </w:p>
        </w:tc>
        <w:tc>
          <w:tcPr>
            <w:tcW w:w="305" w:type="dxa"/>
            <w:tcBorders>
              <w:bottom w:val="single" w:sz="4" w:space="0" w:color="D9D9D9" w:themeColor="background1" w:themeShade="D9"/>
            </w:tcBorders>
            <w:shd w:val="clear" w:color="auto" w:fill="auto"/>
          </w:tcPr>
          <w:p w14:paraId="06056700" w14:textId="77777777" w:rsidR="007D29F8" w:rsidRPr="00E12BB9" w:rsidRDefault="007D29F8" w:rsidP="00DB6666">
            <w:pPr>
              <w:jc w:val="left"/>
              <w:rPr>
                <w:rFonts w:cs="Arial"/>
                <w:sz w:val="16"/>
                <w:szCs w:val="16"/>
              </w:rPr>
            </w:pPr>
          </w:p>
        </w:tc>
        <w:tc>
          <w:tcPr>
            <w:tcW w:w="2457" w:type="dxa"/>
            <w:tcBorders>
              <w:bottom w:val="single" w:sz="4" w:space="0" w:color="D9D9D9" w:themeColor="background1" w:themeShade="D9"/>
            </w:tcBorders>
            <w:shd w:val="clear" w:color="auto" w:fill="auto"/>
          </w:tcPr>
          <w:p w14:paraId="184D29A5" w14:textId="77777777" w:rsidR="007D29F8" w:rsidRPr="00E12BB9" w:rsidRDefault="007D29F8" w:rsidP="00DB6666">
            <w:pPr>
              <w:jc w:val="left"/>
              <w:rPr>
                <w:rFonts w:cs="Arial"/>
                <w:sz w:val="16"/>
                <w:szCs w:val="16"/>
              </w:rPr>
            </w:pPr>
            <w:r w:rsidRPr="00E12BB9">
              <w:rPr>
                <w:rFonts w:cs="Arial"/>
                <w:sz w:val="16"/>
                <w:szCs w:val="16"/>
              </w:rPr>
              <w:t xml:space="preserve">Nombre de membres de l’UPOV à utiliser le module de gestion électronique </w:t>
            </w:r>
            <w:r>
              <w:rPr>
                <w:rFonts w:cs="Arial"/>
                <w:sz w:val="16"/>
                <w:szCs w:val="16"/>
              </w:rPr>
              <w:t xml:space="preserve">UPOV </w:t>
            </w:r>
            <w:r w:rsidRPr="00E12BB9">
              <w:rPr>
                <w:rFonts w:cs="Arial"/>
                <w:sz w:val="16"/>
                <w:szCs w:val="16"/>
              </w:rPr>
              <w:t xml:space="preserve">e-PVP pour administrer et publier les demandes </w:t>
            </w:r>
          </w:p>
        </w:tc>
        <w:tc>
          <w:tcPr>
            <w:tcW w:w="1632" w:type="dxa"/>
            <w:tcBorders>
              <w:bottom w:val="single" w:sz="4" w:space="0" w:color="D9D9D9" w:themeColor="background1" w:themeShade="D9"/>
            </w:tcBorders>
            <w:shd w:val="clear" w:color="auto" w:fill="auto"/>
            <w:vAlign w:val="center"/>
          </w:tcPr>
          <w:p w14:paraId="63434CB9" w14:textId="77777777" w:rsidR="007D29F8" w:rsidRPr="00E12BB9" w:rsidRDefault="007D29F8" w:rsidP="00DB6666">
            <w:pPr>
              <w:jc w:val="center"/>
              <w:rPr>
                <w:rFonts w:cs="Arial"/>
                <w:sz w:val="16"/>
                <w:szCs w:val="16"/>
              </w:rPr>
            </w:pPr>
            <w:r w:rsidRPr="00E12BB9">
              <w:rPr>
                <w:rFonts w:cs="Arial"/>
                <w:sz w:val="16"/>
                <w:szCs w:val="16"/>
              </w:rPr>
              <w:t>s.o</w:t>
            </w:r>
            <w:r>
              <w:rPr>
                <w:rFonts w:cs="Arial"/>
                <w:sz w:val="16"/>
                <w:szCs w:val="16"/>
              </w:rPr>
              <w:t>.</w:t>
            </w:r>
          </w:p>
        </w:tc>
        <w:tc>
          <w:tcPr>
            <w:tcW w:w="1559" w:type="dxa"/>
            <w:tcBorders>
              <w:bottom w:val="single" w:sz="4" w:space="0" w:color="D9D9D9" w:themeColor="background1" w:themeShade="D9"/>
            </w:tcBorders>
            <w:shd w:val="clear" w:color="auto" w:fill="auto"/>
            <w:vAlign w:val="center"/>
          </w:tcPr>
          <w:p w14:paraId="27E32E60" w14:textId="77777777" w:rsidR="007D29F8" w:rsidRPr="00E12BB9" w:rsidRDefault="007D29F8" w:rsidP="00DB6666">
            <w:pPr>
              <w:jc w:val="center"/>
              <w:rPr>
                <w:rFonts w:cs="Arial"/>
                <w:sz w:val="16"/>
                <w:szCs w:val="16"/>
              </w:rPr>
            </w:pPr>
            <w:r w:rsidRPr="00E12BB9">
              <w:rPr>
                <w:rFonts w:cs="Arial"/>
                <w:sz w:val="16"/>
                <w:szCs w:val="16"/>
              </w:rPr>
              <w:t>10</w:t>
            </w:r>
          </w:p>
        </w:tc>
      </w:tr>
    </w:tbl>
    <w:p w14:paraId="566AA047" w14:textId="77777777" w:rsidR="007D29F8" w:rsidRPr="00E12BB9" w:rsidRDefault="007D29F8" w:rsidP="007D29F8"/>
    <w:p w14:paraId="5393B502" w14:textId="77777777" w:rsidR="007D29F8" w:rsidRPr="00E12BB9" w:rsidRDefault="007D29F8" w:rsidP="007D29F8"/>
    <w:p w14:paraId="6493F92C" w14:textId="77777777" w:rsidR="007D29F8" w:rsidRPr="00E12BB9" w:rsidRDefault="007D29F8" w:rsidP="001B1508">
      <w:pPr>
        <w:pStyle w:val="Heading2"/>
        <w:ind w:left="0" w:firstLine="0"/>
        <w:rPr>
          <w:lang w:val="fr-FR"/>
        </w:rPr>
      </w:pPr>
      <w:bookmarkStart w:id="461" w:name="_Toc117798901"/>
      <w:bookmarkStart w:id="462" w:name="_Toc107239606"/>
      <w:bookmarkStart w:id="463" w:name="_Toc107239356"/>
      <w:bookmarkStart w:id="464" w:name="_Toc132208461"/>
      <w:r w:rsidRPr="00E12BB9">
        <w:rPr>
          <w:lang w:val="fr-FR"/>
        </w:rPr>
        <w:t xml:space="preserve">Fondation : </w:t>
      </w:r>
      <w:bookmarkEnd w:id="461"/>
      <w:bookmarkEnd w:id="462"/>
      <w:bookmarkEnd w:id="463"/>
      <w:r>
        <w:rPr>
          <w:lang w:val="fr-FR"/>
        </w:rPr>
        <w:t>D</w:t>
      </w:r>
      <w:r w:rsidRPr="00E12BB9">
        <w:rPr>
          <w:lang w:val="fr-FR"/>
        </w:rPr>
        <w:t>onner à notre personnel les moyens de travailler de manière efficace, collaborative et innovante en mettant à sa disposition les ressources, la formation et l’environnement appropriés</w:t>
      </w:r>
      <w:bookmarkEnd w:id="464"/>
    </w:p>
    <w:p w14:paraId="1BCAF8F5" w14:textId="77777777" w:rsidR="007D29F8" w:rsidRPr="00E12BB9" w:rsidRDefault="007D29F8" w:rsidP="007D29F8">
      <w:pPr>
        <w:keepNext/>
        <w:rPr>
          <w:b/>
          <w:bCs/>
          <w:sz w:val="22"/>
          <w:szCs w:val="22"/>
        </w:rPr>
      </w:pPr>
    </w:p>
    <w:p w14:paraId="54BD9F07" w14:textId="77777777" w:rsidR="007D29F8" w:rsidRPr="00E12BB9" w:rsidRDefault="007D29F8" w:rsidP="007D29F8">
      <w:pPr>
        <w:pStyle w:val="Heading3"/>
        <w:rPr>
          <w:sz w:val="20"/>
          <w:lang w:val="fr-FR"/>
        </w:rPr>
      </w:pPr>
      <w:bookmarkStart w:id="465" w:name="_Toc132208462"/>
      <w:r w:rsidRPr="00E12BB9">
        <w:rPr>
          <w:lang w:val="fr-FR"/>
        </w:rPr>
        <w:t>Stratégie de mise en œuvre pour parvenir aux résultats escomptés</w:t>
      </w:r>
      <w:bookmarkEnd w:id="465"/>
    </w:p>
    <w:p w14:paraId="098AA916" w14:textId="77777777" w:rsidR="007D29F8" w:rsidRPr="00E12BB9" w:rsidRDefault="007D29F8" w:rsidP="007D29F8">
      <w:pPr>
        <w:pStyle w:val="Default"/>
        <w:keepNext/>
        <w:rPr>
          <w:b/>
          <w:bCs/>
          <w:sz w:val="22"/>
          <w:szCs w:val="22"/>
          <w:lang w:val="fr-FR"/>
        </w:rPr>
      </w:pPr>
    </w:p>
    <w:p w14:paraId="278566CB" w14:textId="77777777" w:rsidR="007D29F8" w:rsidRPr="00E12BB9" w:rsidRDefault="007D29F8" w:rsidP="007D29F8">
      <w:pPr>
        <w:pStyle w:val="Default"/>
        <w:jc w:val="both"/>
        <w:rPr>
          <w:bCs/>
          <w:sz w:val="20"/>
          <w:szCs w:val="20"/>
          <w:lang w:val="fr-FR"/>
        </w:rPr>
      </w:pPr>
      <w:r w:rsidRPr="00E12BB9">
        <w:rPr>
          <w:bCs/>
          <w:sz w:val="20"/>
          <w:szCs w:val="20"/>
          <w:lang w:val="fr-FR"/>
        </w:rPr>
        <w:fldChar w:fldCharType="begin"/>
      </w:r>
      <w:r w:rsidRPr="00E12BB9">
        <w:rPr>
          <w:bCs/>
          <w:sz w:val="20"/>
          <w:szCs w:val="20"/>
          <w:lang w:val="fr-FR"/>
        </w:rPr>
        <w:instrText xml:space="preserve"> AUTONUM  </w:instrText>
      </w:r>
      <w:r w:rsidRPr="00E12BB9">
        <w:rPr>
          <w:bCs/>
          <w:sz w:val="20"/>
          <w:szCs w:val="20"/>
          <w:lang w:val="fr-FR"/>
        </w:rPr>
        <w:fldChar w:fldCharType="end"/>
      </w:r>
      <w:r w:rsidRPr="00E12BB9">
        <w:rPr>
          <w:bCs/>
          <w:sz w:val="20"/>
          <w:szCs w:val="20"/>
          <w:lang w:val="fr-FR"/>
        </w:rPr>
        <w:tab/>
        <w:t>Le retour progressif à une “nouvelle normalité” après la pandémie de COVID-19 a notamment vu l’introduction du télétravail régulier à temps partiel jusqu’à un maximum de trois jours par semaine.  L’UPOV a eu recours et continue d’avoir recours au travail effectué entièrement à distance pour certains prestataires de services individuels lorsque la situation s’y prête et plus particulièrement si cela permet d’engager du personnel hautement qualifié avec les ressources à disposition.</w:t>
      </w:r>
    </w:p>
    <w:p w14:paraId="43C53D42" w14:textId="77777777" w:rsidR="007D29F8" w:rsidRPr="00E12BB9" w:rsidRDefault="007D29F8" w:rsidP="007D29F8">
      <w:pPr>
        <w:pStyle w:val="Default"/>
        <w:jc w:val="both"/>
        <w:rPr>
          <w:bCs/>
          <w:sz w:val="20"/>
          <w:szCs w:val="20"/>
          <w:lang w:val="fr-FR"/>
        </w:rPr>
      </w:pPr>
    </w:p>
    <w:p w14:paraId="00CBD9B5" w14:textId="77777777" w:rsidR="007D29F8" w:rsidRPr="00E12BB9" w:rsidRDefault="007D29F8" w:rsidP="007D29F8">
      <w:pPr>
        <w:pStyle w:val="Heading4"/>
        <w:rPr>
          <w:lang w:val="fr-FR"/>
        </w:rPr>
      </w:pPr>
      <w:bookmarkStart w:id="466" w:name="_Toc117798904"/>
      <w:bookmarkStart w:id="467" w:name="_Toc107239609"/>
      <w:bookmarkStart w:id="468" w:name="_Toc107239359"/>
      <w:r w:rsidRPr="00E12BB9">
        <w:rPr>
          <w:lang w:val="fr-FR"/>
        </w:rPr>
        <w:lastRenderedPageBreak/>
        <w:t>4.1</w:t>
      </w:r>
      <w:r w:rsidRPr="00E12BB9">
        <w:rPr>
          <w:lang w:val="fr-FR"/>
        </w:rPr>
        <w:tab/>
        <w:t>Diversification des revenu</w:t>
      </w:r>
      <w:bookmarkEnd w:id="466"/>
      <w:bookmarkEnd w:id="467"/>
      <w:bookmarkEnd w:id="468"/>
      <w:r w:rsidRPr="00E12BB9">
        <w:rPr>
          <w:lang w:val="fr-FR"/>
        </w:rPr>
        <w:t>s</w:t>
      </w:r>
    </w:p>
    <w:p w14:paraId="276BA83B" w14:textId="77777777" w:rsidR="007D29F8" w:rsidRPr="00E12BB9" w:rsidRDefault="007D29F8" w:rsidP="007D29F8">
      <w:pPr>
        <w:keepNext/>
      </w:pPr>
    </w:p>
    <w:p w14:paraId="6821B11B" w14:textId="77777777" w:rsidR="007D29F8" w:rsidRPr="00E12BB9" w:rsidRDefault="007D29F8" w:rsidP="007D29F8">
      <w:pPr>
        <w:pStyle w:val="ListParagraph"/>
        <w:ind w:left="0"/>
      </w:pPr>
      <w:r w:rsidRPr="00E12BB9">
        <w:fldChar w:fldCharType="begin"/>
      </w:r>
      <w:r w:rsidRPr="00E12BB9">
        <w:instrText xml:space="preserve"> AUTONUM  </w:instrText>
      </w:r>
      <w:r w:rsidRPr="00E12BB9">
        <w:fldChar w:fldCharType="end"/>
      </w:r>
      <w:r w:rsidRPr="00E12BB9">
        <w:tab/>
        <w:t>Le rapport d’évaluation effectué en 2016 par la Division de la supervision interne (DSI) de l’OMPI, intitulé “Évaluation de l’Union internationale pour la protection des obtentions végétales (UPOV)” recommandait que l’UPOV envisage d’élaborer un plan de développement stratégique pour diversifier ses sources de revenus afin d’assurer et de renforcer la viabilité des activités et services existants.  Les mesures visant à diversifier davantage les sources de revenus de l’UPOV seront axées sur la création de revenus à partir d’UPOV PRISMA et de la base de données PLUTO.</w:t>
      </w:r>
    </w:p>
    <w:p w14:paraId="6F943DB2" w14:textId="77777777" w:rsidR="007D29F8" w:rsidRPr="00E12BB9" w:rsidRDefault="007D29F8" w:rsidP="007D29F8"/>
    <w:p w14:paraId="250FD8F1" w14:textId="77777777" w:rsidR="007D29F8" w:rsidRPr="00E12BB9" w:rsidRDefault="007D29F8" w:rsidP="007D29F8">
      <w:pPr>
        <w:pStyle w:val="Heading5"/>
        <w:rPr>
          <w:lang w:val="fr-FR"/>
        </w:rPr>
      </w:pPr>
      <w:bookmarkStart w:id="469" w:name="_Toc117798905"/>
      <w:bookmarkStart w:id="470" w:name="_Toc107239610"/>
      <w:bookmarkStart w:id="471" w:name="_Toc107239360"/>
      <w:r w:rsidRPr="00E12BB9">
        <w:rPr>
          <w:lang w:val="fr-FR"/>
        </w:rPr>
        <w:t>Services</w:t>
      </w:r>
      <w:bookmarkEnd w:id="469"/>
      <w:bookmarkEnd w:id="470"/>
      <w:bookmarkEnd w:id="471"/>
      <w:r w:rsidRPr="00E12BB9">
        <w:rPr>
          <w:lang w:val="fr-FR"/>
        </w:rPr>
        <w:t xml:space="preserve"> commerciaux payants</w:t>
      </w:r>
    </w:p>
    <w:p w14:paraId="6C025204" w14:textId="77777777" w:rsidR="007D29F8" w:rsidRPr="00E12BB9" w:rsidRDefault="007D29F8" w:rsidP="007D29F8">
      <w:pPr>
        <w:pStyle w:val="ListParagraph"/>
        <w:ind w:left="0"/>
      </w:pPr>
    </w:p>
    <w:p w14:paraId="301153B2" w14:textId="77777777" w:rsidR="007D29F8" w:rsidRPr="00E12BB9" w:rsidRDefault="007D29F8" w:rsidP="007D29F8">
      <w:pPr>
        <w:pStyle w:val="ListParagraph"/>
        <w:ind w:left="0"/>
      </w:pPr>
      <w:r w:rsidRPr="00E12BB9">
        <w:fldChar w:fldCharType="begin"/>
      </w:r>
      <w:r w:rsidRPr="00E12BB9">
        <w:instrText xml:space="preserve"> AUTONUM  </w:instrText>
      </w:r>
      <w:r w:rsidRPr="00E12BB9">
        <w:fldChar w:fldCharType="end"/>
      </w:r>
      <w:r w:rsidRPr="00E12BB9">
        <w:tab/>
        <w:t>Générer des revenus par la prestation de services aux utilisateurs du système de l’UPOV tout en mettant gratuitement des services à la disposition des services de protection des obtentions végétales est l’une des clés de la diversification des revenus.  Cela permettra à l’UPOV de développer et de maintenir des services de haute qualité pour les demandeurs et les services de protection des obtentions végétales.  Cette approche présente également l’avantage de créer un lien entre l’UPOV et les utilisateurs de son système et d’améliorer l’orientation vers les services au sein de l’UPOV.</w:t>
      </w:r>
    </w:p>
    <w:p w14:paraId="23C4B167" w14:textId="77777777" w:rsidR="007D29F8" w:rsidRPr="00E12BB9" w:rsidRDefault="007D29F8" w:rsidP="007D29F8">
      <w:pPr>
        <w:pStyle w:val="ListParagraph"/>
        <w:ind w:left="0"/>
      </w:pPr>
    </w:p>
    <w:p w14:paraId="4BD678CF" w14:textId="77777777" w:rsidR="007D29F8" w:rsidRPr="00E12BB9" w:rsidRDefault="007D29F8" w:rsidP="007D29F8">
      <w:pPr>
        <w:pStyle w:val="ListParagraph"/>
        <w:ind w:left="0"/>
      </w:pPr>
      <w:r w:rsidRPr="00E12BB9">
        <w:fldChar w:fldCharType="begin"/>
      </w:r>
      <w:r w:rsidRPr="00E12BB9">
        <w:instrText xml:space="preserve"> AUTONUM  </w:instrText>
      </w:r>
      <w:r w:rsidRPr="00E12BB9">
        <w:fldChar w:fldCharType="end"/>
      </w:r>
      <w:r w:rsidRPr="00E12BB9">
        <w:tab/>
        <w:t>UPOV PRISMA et le service premium payant de la base de données PLUTO continueront de jouer un rôle central pour l’augmentation des revenus de l’UPOV.  Le soutien des membres de l’UPOV est indispensable pour assurer une augmentation des revenus à partir de ces services.  En particulier, les revenus provenant d’UPOV PRISMA seront déterminés par le nombre de membres de l’Union engagés dans l’utilisation d’UPOV PRISMA pour toutes les cultures et espèces et permettront à UPOV PRISMA d’offrir une interface efficace et transparente pour leurs procédures de demande.  De même, l’attrait du service premium de la base de données PLUTO dépendra de la fourniture régulière de données complètes et à jour par les membres de l’Union.  Le Bureau de l’Union devra donc en priorité encourager les membres de l’Union à apporter leur appui en utilisant l’UPOV e-PVP pour le dépôt de leurs demandes et favoriser leur utilisation d’UPOV PRISMA ainsi que leurs contributions à la base de données PLUTO.</w:t>
      </w:r>
    </w:p>
    <w:p w14:paraId="7DE58678" w14:textId="77777777" w:rsidR="007D29F8" w:rsidRPr="00E12BB9" w:rsidRDefault="007D29F8" w:rsidP="007D29F8">
      <w:pPr>
        <w:pStyle w:val="ListParagraph"/>
        <w:ind w:left="0"/>
      </w:pPr>
    </w:p>
    <w:p w14:paraId="6964B1A9" w14:textId="77777777" w:rsidR="007D29F8" w:rsidRPr="00E12BB9" w:rsidRDefault="007D29F8" w:rsidP="007D29F8">
      <w:pPr>
        <w:pStyle w:val="Heading5"/>
        <w:rPr>
          <w:lang w:val="fr-FR"/>
        </w:rPr>
      </w:pPr>
      <w:bookmarkStart w:id="472" w:name="_Toc117798906"/>
      <w:bookmarkStart w:id="473" w:name="_Toc107239611"/>
      <w:bookmarkStart w:id="474" w:name="_Toc107239361"/>
      <w:bookmarkStart w:id="475" w:name="_Toc42703049"/>
      <w:r w:rsidRPr="00E12BB9">
        <w:rPr>
          <w:lang w:val="fr-FR"/>
        </w:rPr>
        <w:t>Fonds extrabudgétaires</w:t>
      </w:r>
      <w:bookmarkEnd w:id="472"/>
      <w:bookmarkEnd w:id="473"/>
      <w:bookmarkEnd w:id="474"/>
      <w:bookmarkEnd w:id="475"/>
    </w:p>
    <w:p w14:paraId="57009B33" w14:textId="77777777" w:rsidR="007D29F8" w:rsidRPr="00E12BB9" w:rsidRDefault="007D29F8" w:rsidP="007D29F8"/>
    <w:p w14:paraId="4D4EE891" w14:textId="77777777" w:rsidR="007D29F8" w:rsidRPr="00E12BB9" w:rsidRDefault="007D29F8" w:rsidP="007D29F8">
      <w:pPr>
        <w:pStyle w:val="ListParagraph"/>
        <w:ind w:left="0"/>
      </w:pPr>
      <w:r w:rsidRPr="00E12BB9">
        <w:fldChar w:fldCharType="begin"/>
      </w:r>
      <w:r w:rsidRPr="00E12BB9">
        <w:instrText xml:space="preserve"> AUTONUM  </w:instrText>
      </w:r>
      <w:r w:rsidRPr="00E12BB9">
        <w:fldChar w:fldCharType="end"/>
      </w:r>
      <w:r w:rsidRPr="00E12BB9">
        <w:tab/>
        <w:t>L’UPOV a grandement bénéficié des ressources financières supplémentaires fournies par les membres de l’Union, par exemple sous forme de fonds fiduciaires.  Compte tenu des coûts engagés par le Bureau de l’Union pour l’administration de ces fonds fiduciaires, une taxe est incluse pour les dépenses d’appui administratif, qui sont traitées comme des revenus.</w:t>
      </w:r>
    </w:p>
    <w:p w14:paraId="673CD1DF" w14:textId="77777777" w:rsidR="007D29F8" w:rsidRPr="00E12BB9" w:rsidRDefault="007D29F8" w:rsidP="007D29F8">
      <w:pPr>
        <w:pStyle w:val="ListParagraph"/>
        <w:ind w:left="0"/>
      </w:pPr>
    </w:p>
    <w:p w14:paraId="234C57FE" w14:textId="77777777" w:rsidR="007D29F8" w:rsidRPr="00E12BB9" w:rsidRDefault="007D29F8" w:rsidP="007D29F8">
      <w:pPr>
        <w:pStyle w:val="ListParagraph"/>
        <w:ind w:left="0"/>
      </w:pPr>
      <w:r w:rsidRPr="00E12BB9">
        <w:fldChar w:fldCharType="begin"/>
      </w:r>
      <w:r w:rsidRPr="00E12BB9">
        <w:instrText xml:space="preserve"> AUTONUM  </w:instrText>
      </w:r>
      <w:r w:rsidRPr="00E12BB9">
        <w:fldChar w:fldCharType="end"/>
      </w:r>
      <w:r w:rsidRPr="00E12BB9">
        <w:tab/>
        <w:t>Les fonds extrabudgétaires constitueront une ressource importante pour les années à venir et des efforts particuliers seront entrepris pour garantir que les fonds existants soient maintenus et que d’autres membres de l’Union soient encouragés à y contribuer.</w:t>
      </w:r>
    </w:p>
    <w:p w14:paraId="42D8680A" w14:textId="77777777" w:rsidR="007D29F8" w:rsidRPr="00E12BB9" w:rsidRDefault="007D29F8" w:rsidP="007D29F8"/>
    <w:p w14:paraId="031C2D64" w14:textId="77777777" w:rsidR="007D29F8" w:rsidRPr="00E12BB9" w:rsidRDefault="007D29F8" w:rsidP="007D29F8">
      <w:pPr>
        <w:pStyle w:val="ListParagraph"/>
        <w:ind w:left="0"/>
      </w:pPr>
      <w:r w:rsidRPr="00E12BB9">
        <w:fldChar w:fldCharType="begin"/>
      </w:r>
      <w:r w:rsidRPr="00E12BB9">
        <w:instrText xml:space="preserve"> AUTONUM  </w:instrText>
      </w:r>
      <w:r w:rsidRPr="00E12BB9">
        <w:fldChar w:fldCharType="end"/>
      </w:r>
      <w:r w:rsidRPr="00E12BB9">
        <w:tab/>
        <w:t>De plus, l’UPOV travaillera avec des membres de l’Union et les États et organisations bénéficiaires potentiels pour les aider à entreprendre et à gérer les démarches concernant les demandes de fonds auprès des organismes donateurs.</w:t>
      </w:r>
    </w:p>
    <w:p w14:paraId="6B05FC10" w14:textId="77777777" w:rsidR="007D29F8" w:rsidRPr="00E12BB9" w:rsidRDefault="007D29F8" w:rsidP="007D29F8"/>
    <w:p w14:paraId="5FA3EE7E" w14:textId="77777777" w:rsidR="007D29F8" w:rsidRPr="00E12BB9" w:rsidRDefault="007D29F8" w:rsidP="007D29F8">
      <w:pPr>
        <w:pStyle w:val="Heading5"/>
        <w:rPr>
          <w:lang w:val="fr-FR"/>
        </w:rPr>
      </w:pPr>
      <w:bookmarkStart w:id="476" w:name="_Toc117798907"/>
      <w:bookmarkStart w:id="477" w:name="_Toc107239612"/>
      <w:bookmarkStart w:id="478" w:name="_Toc107239362"/>
      <w:r w:rsidRPr="00E12BB9">
        <w:rPr>
          <w:lang w:val="fr-FR"/>
        </w:rPr>
        <w:t>4.2</w:t>
      </w:r>
      <w:r w:rsidRPr="00E12BB9">
        <w:rPr>
          <w:lang w:val="fr-FR"/>
        </w:rPr>
        <w:tab/>
      </w:r>
      <w:bookmarkEnd w:id="476"/>
      <w:bookmarkEnd w:id="477"/>
      <w:bookmarkEnd w:id="478"/>
      <w:r w:rsidRPr="00E12BB9">
        <w:rPr>
          <w:lang w:val="fr-FR"/>
        </w:rPr>
        <w:t>Un secrétariat habilité et doté des ressources et de la formation nécessaires pour travailler de manière efficace, collaborative et innovante</w:t>
      </w:r>
    </w:p>
    <w:p w14:paraId="2F015248" w14:textId="77777777" w:rsidR="007D29F8" w:rsidRPr="00E12BB9" w:rsidRDefault="007D29F8" w:rsidP="007D29F8">
      <w:bookmarkStart w:id="479" w:name="_Toc42703050"/>
    </w:p>
    <w:bookmarkEnd w:id="479"/>
    <w:p w14:paraId="60BE6D52" w14:textId="77777777" w:rsidR="007D29F8" w:rsidRPr="00E12BB9" w:rsidRDefault="007D29F8" w:rsidP="007D29F8">
      <w:pPr>
        <w:pStyle w:val="ListParagraph"/>
        <w:ind w:left="0"/>
        <w:rPr>
          <w:spacing w:val="-2"/>
        </w:rPr>
      </w:pPr>
      <w:r w:rsidRPr="00E12BB9">
        <w:rPr>
          <w:spacing w:val="-2"/>
        </w:rPr>
        <w:fldChar w:fldCharType="begin"/>
      </w:r>
      <w:r w:rsidRPr="00E12BB9">
        <w:rPr>
          <w:spacing w:val="-2"/>
        </w:rPr>
        <w:instrText xml:space="preserve"> AUTONUM  </w:instrText>
      </w:r>
      <w:r w:rsidRPr="00E12BB9">
        <w:rPr>
          <w:spacing w:val="-2"/>
        </w:rPr>
        <w:fldChar w:fldCharType="end"/>
      </w:r>
      <w:r w:rsidRPr="00E12BB9">
        <w:rPr>
          <w:spacing w:val="-2"/>
        </w:rPr>
        <w:tab/>
        <w:t>La nature du travail de l’UPOV continuera d’évoluer dans le cadre de son engagement continu en matière d’amélioration continue.  Afin de s’assurer que l’équipe de l’UPOV dispose des compétences nécessaires pour s’adapter aux changements et s’améliorer en permanence, l’accent sera mis sur l’élaboration de programmes systématiques et cohérents de formation du personnel</w:t>
      </w:r>
      <w:r w:rsidRPr="00E12BB9">
        <w:t>.</w:t>
      </w:r>
    </w:p>
    <w:p w14:paraId="0474C27A" w14:textId="77777777" w:rsidR="007D29F8" w:rsidRPr="00E12BB9" w:rsidRDefault="007D29F8" w:rsidP="007D29F8">
      <w:pPr>
        <w:pStyle w:val="ListParagraph"/>
        <w:ind w:left="0"/>
        <w:rPr>
          <w:spacing w:val="-2"/>
        </w:rPr>
      </w:pPr>
    </w:p>
    <w:p w14:paraId="0E557413" w14:textId="77777777" w:rsidR="007D29F8" w:rsidRPr="00E12BB9" w:rsidRDefault="007D29F8" w:rsidP="007D29F8">
      <w:pPr>
        <w:pStyle w:val="ListParagraph"/>
        <w:ind w:left="0"/>
      </w:pPr>
      <w:r w:rsidRPr="00E12BB9">
        <w:rPr>
          <w:spacing w:val="-2"/>
        </w:rPr>
        <w:fldChar w:fldCharType="begin"/>
      </w:r>
      <w:r w:rsidRPr="00E12BB9">
        <w:rPr>
          <w:spacing w:val="-2"/>
        </w:rPr>
        <w:instrText xml:space="preserve"> AUTONUM  </w:instrText>
      </w:r>
      <w:r w:rsidRPr="00E12BB9">
        <w:rPr>
          <w:spacing w:val="-2"/>
        </w:rPr>
        <w:fldChar w:fldCharType="end"/>
      </w:r>
      <w:r w:rsidRPr="00E12BB9">
        <w:rPr>
          <w:spacing w:val="-2"/>
        </w:rPr>
        <w:tab/>
        <w:t xml:space="preserve">Dans le cadre du troisième pilier stratégique “Fournir des services de haute qualité aux membres et aux utilisateurs du système de l’UPOV”, l’UPOV a étendu ses activités en mettant à nouveau l’accent sur l’externalisation des projets et sur le recours accru à des sous-traitants, à des prestataires de services, à des administrateurs auxiliaires, à des boursiers et à des stagiaires.  </w:t>
      </w:r>
      <w:r w:rsidRPr="00E12BB9">
        <w:t>Cette approche nécessite de solides compétences en gestion, qui doivent être intégrées dans les programmes de formation des fonctionnaires de la catégorie des administrateurs.</w:t>
      </w:r>
    </w:p>
    <w:p w14:paraId="7F52C7C1" w14:textId="77777777" w:rsidR="007D29F8" w:rsidRPr="00E12BB9" w:rsidRDefault="007D29F8" w:rsidP="007D29F8">
      <w:pPr>
        <w:tabs>
          <w:tab w:val="left" w:pos="567"/>
        </w:tabs>
        <w:rPr>
          <w:spacing w:val="-2"/>
        </w:rPr>
      </w:pPr>
    </w:p>
    <w:p w14:paraId="25C62290" w14:textId="77777777" w:rsidR="007D29F8" w:rsidRPr="00E12BB9" w:rsidRDefault="007D29F8" w:rsidP="007D29F8">
      <w:pPr>
        <w:keepLines/>
      </w:pPr>
      <w:r w:rsidRPr="00E12BB9">
        <w:lastRenderedPageBreak/>
        <w:fldChar w:fldCharType="begin"/>
      </w:r>
      <w:r w:rsidRPr="00E12BB9">
        <w:instrText xml:space="preserve"> AUTONUM  </w:instrText>
      </w:r>
      <w:r w:rsidRPr="00E12BB9">
        <w:fldChar w:fldCharType="end"/>
      </w:r>
      <w:r w:rsidRPr="00E12BB9">
        <w:tab/>
        <w:t>Une attention particulière sera accordée à la formation de tous les membres de l’équipe à un service client d’excellence.  Il s’agit d’une mesure essentielle pour le développement des activités dans le cadre du troisième pilier stratégique, qui montrera également que la prestation de services se trouve au cœur de tous les domaines d’activité de l’UPOV.</w:t>
      </w:r>
    </w:p>
    <w:p w14:paraId="3D28B412" w14:textId="77777777" w:rsidR="007D29F8" w:rsidRPr="00E12BB9" w:rsidRDefault="007D29F8" w:rsidP="007D29F8">
      <w:pPr>
        <w:pStyle w:val="ListParagraph"/>
        <w:ind w:left="0"/>
        <w:rPr>
          <w:spacing w:val="-2"/>
        </w:rPr>
      </w:pPr>
    </w:p>
    <w:p w14:paraId="5D90F47F" w14:textId="77777777" w:rsidR="007D29F8" w:rsidRPr="00E12BB9" w:rsidRDefault="007D29F8" w:rsidP="007D29F8">
      <w:pPr>
        <w:tabs>
          <w:tab w:val="left" w:pos="567"/>
        </w:tabs>
        <w:rPr>
          <w:spacing w:val="-2"/>
        </w:rPr>
      </w:pPr>
      <w:r w:rsidRPr="00E12BB9">
        <w:rPr>
          <w:spacing w:val="-2"/>
        </w:rPr>
        <w:fldChar w:fldCharType="begin"/>
      </w:r>
      <w:r w:rsidRPr="00E12BB9">
        <w:rPr>
          <w:spacing w:val="-2"/>
        </w:rPr>
        <w:instrText xml:space="preserve"> AUTONUM  </w:instrText>
      </w:r>
      <w:r w:rsidRPr="00E12BB9">
        <w:rPr>
          <w:spacing w:val="-2"/>
        </w:rPr>
        <w:fldChar w:fldCharType="end"/>
      </w:r>
      <w:r w:rsidRPr="00E12BB9">
        <w:rPr>
          <w:spacing w:val="-2"/>
        </w:rPr>
        <w:tab/>
        <w:t>L’augmentation du nombre de membres de l’Union et d’États couverts par la Convention UPOV s’est poursuivie et s’est accompagnée ces dernières années d’une importante augmentation du nombre d’États et d’organisations sollicitant des avis d’ordre législatif.  Elle s’est également accompagnée d’une augmentation du portefeuille de services fournis par le Bureau de l’Union, notamment UPOV e-PVP et les nouveaux cours d’enseignement à distance.</w:t>
      </w:r>
    </w:p>
    <w:p w14:paraId="1D00A3CD" w14:textId="77777777" w:rsidR="007D29F8" w:rsidRPr="00E12BB9" w:rsidRDefault="007D29F8" w:rsidP="007D29F8">
      <w:pPr>
        <w:tabs>
          <w:tab w:val="left" w:pos="567"/>
        </w:tabs>
        <w:rPr>
          <w:spacing w:val="-2"/>
        </w:rPr>
      </w:pPr>
    </w:p>
    <w:p w14:paraId="3C98A605" w14:textId="77777777" w:rsidR="007D29F8" w:rsidRPr="00E12BB9" w:rsidRDefault="007D29F8" w:rsidP="007D29F8">
      <w:pPr>
        <w:tabs>
          <w:tab w:val="left" w:pos="567"/>
        </w:tabs>
      </w:pPr>
      <w:r w:rsidRPr="00E12BB9">
        <w:rPr>
          <w:spacing w:val="-2"/>
        </w:rPr>
        <w:fldChar w:fldCharType="begin"/>
      </w:r>
      <w:r w:rsidRPr="00E12BB9">
        <w:rPr>
          <w:spacing w:val="-2"/>
        </w:rPr>
        <w:instrText xml:space="preserve"> AUTONUM  </w:instrText>
      </w:r>
      <w:r w:rsidRPr="00E12BB9">
        <w:rPr>
          <w:spacing w:val="-2"/>
        </w:rPr>
        <w:fldChar w:fldCharType="end"/>
      </w:r>
      <w:r w:rsidRPr="00E12BB9">
        <w:rPr>
          <w:spacing w:val="-2"/>
        </w:rPr>
        <w:tab/>
        <w:t>Depuis 2017, trois intérimaires fournissent un appui supplémentaire pour faire face à l’augmentation de la charge de travail.  Les tâches actuellement confiées à ces trois intérimaires constituent désormais une part essentielle du travail de l’UPOV et devraient donner lieu à la création de postes afin d’assurer la continuité et la stabilité des activités de l’UPOV, sous réserve de revenus suffisants et viables pour justifier un tel engagement.  Le programme et budget pour l’exercice biennal 2022-2023 a prévu de créer un poste supplémentaire afin de remplacer un intérimaire.  Le programme et budget pour l’exercice biennal </w:t>
      </w:r>
      <w:r w:rsidRPr="00E12BB9">
        <w:rPr>
          <w:snapToGrid w:val="0"/>
          <w:spacing w:val="-2"/>
          <w:szCs w:val="24"/>
        </w:rPr>
        <w:t>2024-2025 prévoit deux postes supplémentaires pour</w:t>
      </w:r>
      <w:r w:rsidRPr="00E12BB9">
        <w:rPr>
          <w:spacing w:val="-2"/>
        </w:rPr>
        <w:t xml:space="preserve"> remplacer des intérimaires.</w:t>
      </w:r>
    </w:p>
    <w:p w14:paraId="4725F0A6" w14:textId="77777777" w:rsidR="007D29F8" w:rsidRPr="00E12BB9" w:rsidRDefault="007D29F8" w:rsidP="007D29F8">
      <w:pPr>
        <w:tabs>
          <w:tab w:val="left" w:pos="567"/>
        </w:tabs>
        <w:rPr>
          <w:spacing w:val="-2"/>
        </w:rPr>
      </w:pPr>
    </w:p>
    <w:p w14:paraId="158DDA30" w14:textId="77777777" w:rsidR="007D29F8" w:rsidRPr="00E12BB9" w:rsidRDefault="007D29F8" w:rsidP="007D29F8">
      <w:pPr>
        <w:pStyle w:val="ListParagraph"/>
        <w:ind w:left="0"/>
        <w:rPr>
          <w:spacing w:val="-2"/>
        </w:rPr>
      </w:pPr>
      <w:r w:rsidRPr="00E12BB9">
        <w:rPr>
          <w:spacing w:val="-2"/>
        </w:rPr>
        <w:fldChar w:fldCharType="begin"/>
      </w:r>
      <w:r w:rsidRPr="00E12BB9">
        <w:rPr>
          <w:spacing w:val="-2"/>
        </w:rPr>
        <w:instrText xml:space="preserve"> AUTONUM  </w:instrText>
      </w:r>
      <w:r w:rsidRPr="00E12BB9">
        <w:rPr>
          <w:spacing w:val="-2"/>
        </w:rPr>
        <w:fldChar w:fldCharType="end"/>
      </w:r>
      <w:r w:rsidRPr="00E12BB9">
        <w:rPr>
          <w:spacing w:val="-2"/>
        </w:rPr>
        <w:tab/>
        <w:t>L’UPOV a reçu un appui précieux du programme de bourses sous la forme de plusieurs experts chevronnés détachés par les membres de l’Union, notamment dans le cadre d’UPOV PRISMA, des bases de données PLUTO et GENIE et de la tenue à jour des codes UPOV.  La pandémie de COVID-19 a rendu difficile la poursuite du programme de bourses, mais celui-ci sera réintroduit et prolongé dès que les circonstances le permettront.</w:t>
      </w:r>
    </w:p>
    <w:p w14:paraId="7DF81AA8" w14:textId="77777777" w:rsidR="007D29F8" w:rsidRPr="00E12BB9" w:rsidRDefault="007D29F8" w:rsidP="007D29F8">
      <w:pPr>
        <w:pStyle w:val="ListParagraph"/>
        <w:ind w:left="0"/>
        <w:rPr>
          <w:spacing w:val="-2"/>
        </w:rPr>
      </w:pPr>
    </w:p>
    <w:p w14:paraId="32239A37" w14:textId="77777777" w:rsidR="007D29F8" w:rsidRPr="00E12BB9" w:rsidRDefault="007D29F8" w:rsidP="007D29F8">
      <w:pPr>
        <w:pStyle w:val="ListParagraph"/>
        <w:ind w:left="0"/>
        <w:rPr>
          <w:spacing w:val="-2"/>
        </w:rPr>
      </w:pPr>
      <w:r w:rsidRPr="00E12BB9">
        <w:rPr>
          <w:spacing w:val="-2"/>
        </w:rPr>
        <w:fldChar w:fldCharType="begin"/>
      </w:r>
      <w:r w:rsidRPr="00E12BB9">
        <w:rPr>
          <w:spacing w:val="-2"/>
        </w:rPr>
        <w:instrText xml:space="preserve"> AUTONUM  </w:instrText>
      </w:r>
      <w:r w:rsidRPr="00E12BB9">
        <w:rPr>
          <w:spacing w:val="-2"/>
        </w:rPr>
        <w:fldChar w:fldCharType="end"/>
      </w:r>
      <w:r w:rsidRPr="00E12BB9">
        <w:rPr>
          <w:spacing w:val="-2"/>
        </w:rPr>
        <w:tab/>
        <w:t>Un autre domaine dans lequel il est espéré que les membres de l’Union pourront appuyer davantage le travail de l’UPOV serait le détachement d’administrateurs auxiliaires auprès de l’UPOV par les membres de l’Union</w:t>
      </w:r>
      <w:r w:rsidRPr="00E12BB9">
        <w:t>.</w:t>
      </w:r>
    </w:p>
    <w:p w14:paraId="1ADFFB23" w14:textId="77777777" w:rsidR="007D29F8" w:rsidRPr="00E12BB9" w:rsidRDefault="007D29F8" w:rsidP="007D29F8">
      <w:pPr>
        <w:tabs>
          <w:tab w:val="left" w:pos="567"/>
        </w:tabs>
        <w:rPr>
          <w:spacing w:val="-2"/>
        </w:rPr>
      </w:pPr>
    </w:p>
    <w:p w14:paraId="1DB22850" w14:textId="77777777" w:rsidR="007D29F8" w:rsidRPr="00E12BB9" w:rsidRDefault="007D29F8" w:rsidP="007D29F8">
      <w:pPr>
        <w:pStyle w:val="Heading3"/>
        <w:rPr>
          <w:lang w:val="fr-FR"/>
        </w:rPr>
      </w:pPr>
      <w:bookmarkStart w:id="480" w:name="_Toc132208463"/>
      <w:r w:rsidRPr="00E12BB9">
        <w:rPr>
          <w:lang w:val="fr-FR"/>
        </w:rPr>
        <w:t>Résultats escomptés et indicateurs d’exécution</w:t>
      </w:r>
      <w:bookmarkEnd w:id="480"/>
    </w:p>
    <w:p w14:paraId="56C13A30" w14:textId="77777777" w:rsidR="007D29F8" w:rsidRPr="00E12BB9" w:rsidRDefault="007D29F8" w:rsidP="007D29F8">
      <w:pPr>
        <w:keepNext/>
        <w:rPr>
          <w:bCs/>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426"/>
        <w:gridCol w:w="3255"/>
        <w:gridCol w:w="305"/>
        <w:gridCol w:w="2457"/>
        <w:gridCol w:w="1632"/>
        <w:gridCol w:w="1559"/>
      </w:tblGrid>
      <w:tr w:rsidR="007D29F8" w:rsidRPr="00E12BB9" w14:paraId="712DE370" w14:textId="77777777" w:rsidTr="00DB6666">
        <w:trPr>
          <w:tblHeader/>
        </w:trPr>
        <w:tc>
          <w:tcPr>
            <w:tcW w:w="426" w:type="dxa"/>
            <w:tcBorders>
              <w:bottom w:val="single" w:sz="4" w:space="0" w:color="D9D9D9" w:themeColor="background1" w:themeShade="D9"/>
            </w:tcBorders>
            <w:shd w:val="clear" w:color="auto" w:fill="E2E7EB" w:themeFill="accent3" w:themeFillTint="33"/>
          </w:tcPr>
          <w:p w14:paraId="4DE214F5" w14:textId="77777777" w:rsidR="007D29F8" w:rsidRPr="00E12BB9" w:rsidRDefault="007D29F8" w:rsidP="00DB6666">
            <w:pPr>
              <w:jc w:val="left"/>
              <w:rPr>
                <w:b/>
                <w:bCs/>
                <w:sz w:val="16"/>
                <w:szCs w:val="16"/>
              </w:rPr>
            </w:pPr>
          </w:p>
        </w:tc>
        <w:tc>
          <w:tcPr>
            <w:tcW w:w="3255" w:type="dxa"/>
            <w:tcBorders>
              <w:bottom w:val="single" w:sz="4" w:space="0" w:color="D9D9D9" w:themeColor="background1" w:themeShade="D9"/>
            </w:tcBorders>
            <w:shd w:val="clear" w:color="auto" w:fill="E2E7EB" w:themeFill="accent3" w:themeFillTint="33"/>
          </w:tcPr>
          <w:p w14:paraId="754AECD1" w14:textId="77777777" w:rsidR="007D29F8" w:rsidRPr="00E12BB9" w:rsidRDefault="007D29F8" w:rsidP="00DB6666">
            <w:pPr>
              <w:jc w:val="left"/>
              <w:rPr>
                <w:b/>
                <w:bCs/>
                <w:sz w:val="16"/>
                <w:szCs w:val="16"/>
              </w:rPr>
            </w:pPr>
            <w:r w:rsidRPr="00E12BB9">
              <w:rPr>
                <w:b/>
                <w:bCs/>
                <w:sz w:val="16"/>
                <w:szCs w:val="16"/>
              </w:rPr>
              <w:t>Résultats escomptés</w:t>
            </w:r>
          </w:p>
        </w:tc>
        <w:tc>
          <w:tcPr>
            <w:tcW w:w="305" w:type="dxa"/>
            <w:tcBorders>
              <w:bottom w:val="single" w:sz="4" w:space="0" w:color="D9D9D9" w:themeColor="background1" w:themeShade="D9"/>
            </w:tcBorders>
            <w:shd w:val="clear" w:color="auto" w:fill="E2E7EB" w:themeFill="accent3" w:themeFillTint="33"/>
          </w:tcPr>
          <w:p w14:paraId="566C0AC1" w14:textId="77777777" w:rsidR="007D29F8" w:rsidRPr="00E12BB9" w:rsidRDefault="007D29F8" w:rsidP="00DB6666">
            <w:pPr>
              <w:jc w:val="center"/>
              <w:rPr>
                <w:b/>
                <w:bCs/>
                <w:sz w:val="16"/>
                <w:szCs w:val="16"/>
              </w:rPr>
            </w:pPr>
          </w:p>
        </w:tc>
        <w:tc>
          <w:tcPr>
            <w:tcW w:w="2457" w:type="dxa"/>
            <w:tcBorders>
              <w:bottom w:val="single" w:sz="4" w:space="0" w:color="D9D9D9" w:themeColor="background1" w:themeShade="D9"/>
            </w:tcBorders>
            <w:shd w:val="clear" w:color="auto" w:fill="E2E7EB" w:themeFill="accent3" w:themeFillTint="33"/>
          </w:tcPr>
          <w:p w14:paraId="09E57FA2" w14:textId="77777777" w:rsidR="007D29F8" w:rsidRPr="00E12BB9" w:rsidRDefault="007D29F8" w:rsidP="00DB6666">
            <w:pPr>
              <w:rPr>
                <w:b/>
                <w:bCs/>
                <w:sz w:val="16"/>
                <w:szCs w:val="16"/>
              </w:rPr>
            </w:pPr>
            <w:r w:rsidRPr="00E12BB9">
              <w:rPr>
                <w:b/>
                <w:bCs/>
                <w:sz w:val="16"/>
                <w:szCs w:val="16"/>
              </w:rPr>
              <w:t>Indicateurs d’exécution</w:t>
            </w:r>
          </w:p>
        </w:tc>
        <w:tc>
          <w:tcPr>
            <w:tcW w:w="1632" w:type="dxa"/>
            <w:tcBorders>
              <w:bottom w:val="single" w:sz="4" w:space="0" w:color="D9D9D9" w:themeColor="background1" w:themeShade="D9"/>
            </w:tcBorders>
            <w:shd w:val="clear" w:color="auto" w:fill="E2E7EB" w:themeFill="accent3" w:themeFillTint="33"/>
          </w:tcPr>
          <w:p w14:paraId="445E2472" w14:textId="77777777" w:rsidR="007D29F8" w:rsidRPr="00E12BB9" w:rsidRDefault="007D29F8" w:rsidP="00DB6666">
            <w:pPr>
              <w:jc w:val="center"/>
              <w:rPr>
                <w:b/>
                <w:bCs/>
                <w:sz w:val="16"/>
                <w:szCs w:val="16"/>
              </w:rPr>
            </w:pPr>
            <w:r w:rsidRPr="00E12BB9">
              <w:rPr>
                <w:b/>
                <w:bCs/>
                <w:sz w:val="16"/>
                <w:szCs w:val="16"/>
              </w:rPr>
              <w:t>Niveaux de référence</w:t>
            </w:r>
          </w:p>
        </w:tc>
        <w:tc>
          <w:tcPr>
            <w:tcW w:w="1559" w:type="dxa"/>
            <w:tcBorders>
              <w:bottom w:val="single" w:sz="4" w:space="0" w:color="D9D9D9" w:themeColor="background1" w:themeShade="D9"/>
            </w:tcBorders>
            <w:shd w:val="clear" w:color="auto" w:fill="E2E7EB" w:themeFill="accent3" w:themeFillTint="33"/>
          </w:tcPr>
          <w:p w14:paraId="6AA904E6" w14:textId="77777777" w:rsidR="007D29F8" w:rsidRPr="00E12BB9" w:rsidRDefault="007D29F8" w:rsidP="00DB6666">
            <w:pPr>
              <w:jc w:val="center"/>
              <w:rPr>
                <w:b/>
                <w:bCs/>
                <w:sz w:val="16"/>
                <w:szCs w:val="16"/>
              </w:rPr>
            </w:pPr>
            <w:r w:rsidRPr="00E12BB9">
              <w:rPr>
                <w:b/>
                <w:bCs/>
                <w:sz w:val="16"/>
                <w:szCs w:val="16"/>
              </w:rPr>
              <w:t>Objectifs visés (2024-2025)</w:t>
            </w:r>
          </w:p>
        </w:tc>
      </w:tr>
      <w:tr w:rsidR="007D29F8" w:rsidRPr="00E12BB9" w14:paraId="04A84B3F" w14:textId="77777777" w:rsidTr="00DB6666">
        <w:tc>
          <w:tcPr>
            <w:tcW w:w="426" w:type="dxa"/>
            <w:tcBorders>
              <w:top w:val="single" w:sz="4" w:space="0" w:color="D9D9D9" w:themeColor="background1" w:themeShade="D9"/>
              <w:bottom w:val="single" w:sz="4" w:space="0" w:color="D9D9D9" w:themeColor="background1" w:themeShade="D9"/>
            </w:tcBorders>
          </w:tcPr>
          <w:p w14:paraId="087B3182" w14:textId="77777777" w:rsidR="007D29F8" w:rsidRPr="00E12BB9" w:rsidRDefault="007D29F8" w:rsidP="00DB6666">
            <w:pPr>
              <w:jc w:val="left"/>
              <w:rPr>
                <w:rFonts w:cs="Arial"/>
                <w:sz w:val="16"/>
                <w:szCs w:val="16"/>
              </w:rPr>
            </w:pPr>
            <w:r w:rsidRPr="00E12BB9">
              <w:rPr>
                <w:rFonts w:cs="Arial"/>
                <w:sz w:val="16"/>
                <w:szCs w:val="16"/>
              </w:rPr>
              <w:t>4.1</w:t>
            </w:r>
          </w:p>
        </w:tc>
        <w:tc>
          <w:tcPr>
            <w:tcW w:w="3255" w:type="dxa"/>
            <w:tcBorders>
              <w:top w:val="single" w:sz="4" w:space="0" w:color="D9D9D9" w:themeColor="background1" w:themeShade="D9"/>
              <w:bottom w:val="single" w:sz="4" w:space="0" w:color="D9D9D9" w:themeColor="background1" w:themeShade="D9"/>
            </w:tcBorders>
            <w:shd w:val="clear" w:color="auto" w:fill="auto"/>
          </w:tcPr>
          <w:p w14:paraId="7926F867" w14:textId="77777777" w:rsidR="007D29F8" w:rsidRPr="00E12BB9" w:rsidRDefault="007D29F8" w:rsidP="00DB6666">
            <w:pPr>
              <w:jc w:val="left"/>
              <w:rPr>
                <w:rFonts w:cs="Arial"/>
                <w:sz w:val="16"/>
                <w:szCs w:val="16"/>
              </w:rPr>
            </w:pPr>
            <w:r w:rsidRPr="00E12BB9">
              <w:rPr>
                <w:rFonts w:cs="Arial"/>
                <w:sz w:val="16"/>
                <w:szCs w:val="16"/>
              </w:rPr>
              <w:t>Diversification des revenus</w:t>
            </w:r>
          </w:p>
        </w:tc>
        <w:tc>
          <w:tcPr>
            <w:tcW w:w="305" w:type="dxa"/>
            <w:tcBorders>
              <w:top w:val="single" w:sz="4" w:space="0" w:color="D9D9D9" w:themeColor="background1" w:themeShade="D9"/>
              <w:bottom w:val="single" w:sz="4" w:space="0" w:color="D9D9D9" w:themeColor="background1" w:themeShade="D9"/>
            </w:tcBorders>
            <w:shd w:val="clear" w:color="auto" w:fill="auto"/>
          </w:tcPr>
          <w:p w14:paraId="67147FC0" w14:textId="77777777" w:rsidR="007D29F8" w:rsidRPr="00E12BB9" w:rsidRDefault="007D29F8" w:rsidP="00DB6666">
            <w:pPr>
              <w:jc w:val="left"/>
              <w:rPr>
                <w:rFonts w:cs="Arial"/>
                <w:sz w:val="16"/>
                <w:szCs w:val="16"/>
              </w:rPr>
            </w:pPr>
          </w:p>
        </w:tc>
        <w:tc>
          <w:tcPr>
            <w:tcW w:w="2457" w:type="dxa"/>
            <w:tcBorders>
              <w:top w:val="single" w:sz="4" w:space="0" w:color="D9D9D9" w:themeColor="background1" w:themeShade="D9"/>
              <w:bottom w:val="single" w:sz="4" w:space="0" w:color="D9D9D9" w:themeColor="background1" w:themeShade="D9"/>
            </w:tcBorders>
            <w:shd w:val="clear" w:color="auto" w:fill="auto"/>
          </w:tcPr>
          <w:p w14:paraId="1875DE2A" w14:textId="77777777" w:rsidR="007D29F8" w:rsidRPr="00E12BB9" w:rsidRDefault="007D29F8" w:rsidP="00DB6666">
            <w:pPr>
              <w:jc w:val="left"/>
              <w:rPr>
                <w:rFonts w:cs="Arial"/>
                <w:sz w:val="16"/>
                <w:szCs w:val="16"/>
              </w:rPr>
            </w:pPr>
            <w:r w:rsidRPr="00E12BB9">
              <w:rPr>
                <w:rFonts w:cs="Arial"/>
                <w:sz w:val="16"/>
                <w:szCs w:val="16"/>
              </w:rPr>
              <w:t>Recettes provenant de sources autres que les contributions des membres de l’UPOV</w:t>
            </w:r>
          </w:p>
        </w:tc>
        <w:tc>
          <w:tcPr>
            <w:tcW w:w="1632" w:type="dxa"/>
            <w:tcBorders>
              <w:top w:val="single" w:sz="4" w:space="0" w:color="D9D9D9" w:themeColor="background1" w:themeShade="D9"/>
              <w:bottom w:val="single" w:sz="4" w:space="0" w:color="D9D9D9" w:themeColor="background1" w:themeShade="D9"/>
            </w:tcBorders>
            <w:shd w:val="clear" w:color="auto" w:fill="auto"/>
            <w:vAlign w:val="center"/>
          </w:tcPr>
          <w:p w14:paraId="7CD8BCEF" w14:textId="77777777" w:rsidR="007D29F8" w:rsidRPr="00E12BB9" w:rsidRDefault="007D29F8" w:rsidP="00DB6666">
            <w:pPr>
              <w:jc w:val="center"/>
              <w:rPr>
                <w:rFonts w:cs="Arial"/>
                <w:sz w:val="16"/>
                <w:szCs w:val="16"/>
              </w:rPr>
            </w:pPr>
            <w:r w:rsidRPr="00E12BB9">
              <w:rPr>
                <w:rFonts w:cs="Arial"/>
                <w:sz w:val="16"/>
                <w:szCs w:val="16"/>
              </w:rPr>
              <w:t>6,6% (2022)</w:t>
            </w:r>
          </w:p>
        </w:tc>
        <w:tc>
          <w:tcPr>
            <w:tcW w:w="1559" w:type="dxa"/>
            <w:tcBorders>
              <w:top w:val="single" w:sz="4" w:space="0" w:color="D9D9D9" w:themeColor="background1" w:themeShade="D9"/>
              <w:bottom w:val="single" w:sz="4" w:space="0" w:color="D9D9D9" w:themeColor="background1" w:themeShade="D9"/>
            </w:tcBorders>
            <w:shd w:val="clear" w:color="auto" w:fill="auto"/>
            <w:vAlign w:val="center"/>
          </w:tcPr>
          <w:p w14:paraId="21D50833" w14:textId="77777777" w:rsidR="007D29F8" w:rsidRPr="00E12BB9" w:rsidRDefault="007D29F8" w:rsidP="00DB6666">
            <w:pPr>
              <w:jc w:val="center"/>
              <w:rPr>
                <w:rFonts w:cs="Arial"/>
                <w:sz w:val="16"/>
                <w:szCs w:val="16"/>
              </w:rPr>
            </w:pPr>
            <w:r w:rsidRPr="00E12BB9">
              <w:rPr>
                <w:rFonts w:cs="Arial"/>
                <w:sz w:val="16"/>
                <w:szCs w:val="16"/>
              </w:rPr>
              <w:t>9%</w:t>
            </w:r>
          </w:p>
        </w:tc>
      </w:tr>
      <w:tr w:rsidR="007D29F8" w:rsidRPr="00E12BB9" w14:paraId="4C2D0EF4" w14:textId="77777777" w:rsidTr="00DB6666">
        <w:tc>
          <w:tcPr>
            <w:tcW w:w="426" w:type="dxa"/>
            <w:tcBorders>
              <w:top w:val="single" w:sz="4" w:space="0" w:color="D9D9D9" w:themeColor="background1" w:themeShade="D9"/>
              <w:bottom w:val="single" w:sz="4" w:space="0" w:color="D9D9D9" w:themeColor="background1" w:themeShade="D9"/>
            </w:tcBorders>
          </w:tcPr>
          <w:p w14:paraId="475B64A3" w14:textId="77777777" w:rsidR="007D29F8" w:rsidRPr="00E12BB9" w:rsidRDefault="007D29F8" w:rsidP="00DB6666">
            <w:pPr>
              <w:jc w:val="left"/>
              <w:rPr>
                <w:rFonts w:cs="Arial"/>
                <w:sz w:val="16"/>
                <w:szCs w:val="16"/>
              </w:rPr>
            </w:pPr>
            <w:r w:rsidRPr="00E12BB9">
              <w:rPr>
                <w:rFonts w:cs="Arial"/>
                <w:sz w:val="16"/>
                <w:szCs w:val="16"/>
              </w:rPr>
              <w:t>4.2</w:t>
            </w:r>
          </w:p>
        </w:tc>
        <w:tc>
          <w:tcPr>
            <w:tcW w:w="3255" w:type="dxa"/>
            <w:tcBorders>
              <w:top w:val="single" w:sz="4" w:space="0" w:color="D9D9D9" w:themeColor="background1" w:themeShade="D9"/>
              <w:bottom w:val="single" w:sz="4" w:space="0" w:color="D9D9D9" w:themeColor="background1" w:themeShade="D9"/>
            </w:tcBorders>
            <w:shd w:val="clear" w:color="auto" w:fill="auto"/>
          </w:tcPr>
          <w:p w14:paraId="18309643" w14:textId="77777777" w:rsidR="007D29F8" w:rsidRPr="00E12BB9" w:rsidRDefault="007D29F8" w:rsidP="00DB6666">
            <w:pPr>
              <w:jc w:val="left"/>
              <w:rPr>
                <w:rFonts w:cs="Arial"/>
                <w:sz w:val="16"/>
                <w:szCs w:val="16"/>
              </w:rPr>
            </w:pPr>
            <w:r w:rsidRPr="00E12BB9">
              <w:rPr>
                <w:rFonts w:cs="Arial"/>
                <w:sz w:val="16"/>
                <w:szCs w:val="16"/>
              </w:rPr>
              <w:t>Un secrétariat habilité et doté des ressources et de la formation nécessaires pour travailler de manière efficace, collaborative et innovante</w:t>
            </w:r>
          </w:p>
        </w:tc>
        <w:tc>
          <w:tcPr>
            <w:tcW w:w="305" w:type="dxa"/>
            <w:tcBorders>
              <w:top w:val="single" w:sz="4" w:space="0" w:color="D9D9D9" w:themeColor="background1" w:themeShade="D9"/>
              <w:bottom w:val="single" w:sz="4" w:space="0" w:color="D9D9D9" w:themeColor="background1" w:themeShade="D9"/>
            </w:tcBorders>
            <w:shd w:val="clear" w:color="auto" w:fill="auto"/>
          </w:tcPr>
          <w:p w14:paraId="1B01420A" w14:textId="77777777" w:rsidR="007D29F8" w:rsidRPr="00E12BB9" w:rsidRDefault="007D29F8" w:rsidP="00DB6666">
            <w:pPr>
              <w:jc w:val="left"/>
              <w:rPr>
                <w:rFonts w:cs="Arial"/>
                <w:sz w:val="16"/>
                <w:szCs w:val="16"/>
              </w:rPr>
            </w:pPr>
          </w:p>
        </w:tc>
        <w:tc>
          <w:tcPr>
            <w:tcW w:w="2457" w:type="dxa"/>
            <w:tcBorders>
              <w:top w:val="single" w:sz="4" w:space="0" w:color="D9D9D9" w:themeColor="background1" w:themeShade="D9"/>
              <w:bottom w:val="single" w:sz="4" w:space="0" w:color="D9D9D9" w:themeColor="background1" w:themeShade="D9"/>
            </w:tcBorders>
            <w:shd w:val="clear" w:color="auto" w:fill="auto"/>
          </w:tcPr>
          <w:p w14:paraId="1A4F27DE" w14:textId="77777777" w:rsidR="007D29F8" w:rsidRPr="00E12BB9" w:rsidRDefault="007D29F8" w:rsidP="00DB6666">
            <w:pPr>
              <w:jc w:val="left"/>
              <w:rPr>
                <w:rFonts w:cs="Arial"/>
                <w:sz w:val="16"/>
                <w:szCs w:val="16"/>
              </w:rPr>
            </w:pPr>
            <w:r w:rsidRPr="00E12BB9">
              <w:rPr>
                <w:rFonts w:cs="Arial"/>
                <w:sz w:val="16"/>
                <w:szCs w:val="16"/>
              </w:rPr>
              <w:t>Niveau de satisfaction du personnel</w:t>
            </w:r>
          </w:p>
        </w:tc>
        <w:tc>
          <w:tcPr>
            <w:tcW w:w="1632" w:type="dxa"/>
            <w:tcBorders>
              <w:top w:val="single" w:sz="4" w:space="0" w:color="D9D9D9" w:themeColor="background1" w:themeShade="D9"/>
              <w:bottom w:val="single" w:sz="4" w:space="0" w:color="D9D9D9" w:themeColor="background1" w:themeShade="D9"/>
            </w:tcBorders>
            <w:shd w:val="clear" w:color="auto" w:fill="auto"/>
            <w:vAlign w:val="center"/>
          </w:tcPr>
          <w:p w14:paraId="69B925E5" w14:textId="77777777" w:rsidR="007D29F8" w:rsidRPr="00E12BB9" w:rsidRDefault="007D29F8" w:rsidP="00DB6666">
            <w:pPr>
              <w:jc w:val="center"/>
              <w:rPr>
                <w:rFonts w:cs="Arial"/>
                <w:sz w:val="16"/>
                <w:szCs w:val="16"/>
              </w:rPr>
            </w:pPr>
            <w:r w:rsidRPr="00E12BB9">
              <w:rPr>
                <w:rFonts w:cs="Arial"/>
                <w:sz w:val="16"/>
                <w:szCs w:val="16"/>
              </w:rPr>
              <w:t>86%</w:t>
            </w:r>
          </w:p>
        </w:tc>
        <w:tc>
          <w:tcPr>
            <w:tcW w:w="1559" w:type="dxa"/>
            <w:tcBorders>
              <w:top w:val="single" w:sz="4" w:space="0" w:color="D9D9D9" w:themeColor="background1" w:themeShade="D9"/>
              <w:bottom w:val="single" w:sz="4" w:space="0" w:color="D9D9D9" w:themeColor="background1" w:themeShade="D9"/>
            </w:tcBorders>
            <w:shd w:val="clear" w:color="auto" w:fill="auto"/>
            <w:vAlign w:val="center"/>
          </w:tcPr>
          <w:p w14:paraId="7EEFAF82" w14:textId="77777777" w:rsidR="007D29F8" w:rsidRPr="00E12BB9" w:rsidRDefault="007D29F8" w:rsidP="00DB6666">
            <w:pPr>
              <w:jc w:val="center"/>
              <w:rPr>
                <w:rFonts w:cs="Arial"/>
                <w:sz w:val="16"/>
                <w:szCs w:val="16"/>
              </w:rPr>
            </w:pPr>
            <w:r w:rsidRPr="00E12BB9">
              <w:rPr>
                <w:rFonts w:cs="Arial"/>
                <w:sz w:val="16"/>
                <w:szCs w:val="16"/>
              </w:rPr>
              <w:t>88%</w:t>
            </w:r>
          </w:p>
        </w:tc>
      </w:tr>
    </w:tbl>
    <w:p w14:paraId="77A382E0" w14:textId="77777777" w:rsidR="007D29F8" w:rsidRPr="00E12BB9" w:rsidRDefault="007D29F8" w:rsidP="007D29F8"/>
    <w:p w14:paraId="56E0BC37" w14:textId="77777777" w:rsidR="007D29F8" w:rsidRPr="00E12BB9" w:rsidRDefault="007D29F8" w:rsidP="007D29F8">
      <w:pPr>
        <w:jc w:val="left"/>
        <w:rPr>
          <w:color w:val="000000"/>
        </w:rPr>
      </w:pPr>
    </w:p>
    <w:p w14:paraId="06A1791A" w14:textId="77777777" w:rsidR="007D29F8" w:rsidRPr="00E12BB9" w:rsidRDefault="007D29F8" w:rsidP="007D29F8">
      <w:pPr>
        <w:jc w:val="left"/>
        <w:rPr>
          <w:rFonts w:cs="Arial"/>
          <w:b/>
          <w:bCs/>
          <w:color w:val="26724C" w:themeColor="accent1" w:themeShade="BF"/>
        </w:rPr>
      </w:pPr>
      <w:r w:rsidRPr="00E12BB9">
        <w:rPr>
          <w:rFonts w:cs="Arial"/>
          <w:b/>
          <w:bCs/>
          <w:color w:val="26724C" w:themeColor="accent1" w:themeShade="BF"/>
        </w:rPr>
        <w:br w:type="page"/>
      </w:r>
    </w:p>
    <w:p w14:paraId="7BAF9C3B" w14:textId="77777777" w:rsidR="007D29F8" w:rsidRPr="00E12BB9" w:rsidRDefault="007D29F8" w:rsidP="007D29F8">
      <w:pPr>
        <w:jc w:val="center"/>
        <w:rPr>
          <w:rFonts w:cs="Arial"/>
          <w:b/>
          <w:bCs/>
          <w:color w:val="26724C" w:themeColor="accent1" w:themeShade="BF"/>
        </w:rPr>
      </w:pPr>
      <w:r w:rsidRPr="00E12BB9">
        <w:rPr>
          <w:rFonts w:cs="Arial"/>
          <w:b/>
          <w:bCs/>
          <w:color w:val="26724C" w:themeColor="accent1" w:themeShade="BF"/>
        </w:rPr>
        <w:lastRenderedPageBreak/>
        <w:t>Tableau 6</w:t>
      </w:r>
      <w:r>
        <w:rPr>
          <w:rFonts w:cs="Arial"/>
          <w:b/>
          <w:bCs/>
          <w:color w:val="26724C" w:themeColor="accent1" w:themeShade="BF"/>
        </w:rPr>
        <w:t xml:space="preserve"> : </w:t>
      </w:r>
      <w:r w:rsidRPr="00E12BB9">
        <w:rPr>
          <w:rFonts w:cs="Arial"/>
          <w:b/>
          <w:bCs/>
          <w:color w:val="26724C" w:themeColor="accent1" w:themeShade="BF"/>
        </w:rPr>
        <w:t xml:space="preserve"> Budget</w:t>
      </w:r>
      <w:r>
        <w:rPr>
          <w:rFonts w:cs="Arial"/>
          <w:b/>
          <w:bCs/>
          <w:color w:val="26724C" w:themeColor="accent1" w:themeShade="BF"/>
        </w:rPr>
        <w:t> </w:t>
      </w:r>
      <w:r w:rsidRPr="00E12BB9">
        <w:rPr>
          <w:rFonts w:cs="Arial"/>
          <w:b/>
          <w:bCs/>
          <w:color w:val="26724C" w:themeColor="accent1" w:themeShade="BF"/>
        </w:rPr>
        <w:t>2024-2025 par résultat escompté</w:t>
      </w:r>
    </w:p>
    <w:p w14:paraId="1B096FB5" w14:textId="77777777" w:rsidR="007D29F8" w:rsidRPr="00E12BB9" w:rsidRDefault="007D29F8" w:rsidP="007D29F8">
      <w:pPr>
        <w:jc w:val="center"/>
        <w:rPr>
          <w:rFonts w:cs="Arial"/>
          <w:b/>
          <w:bCs/>
          <w:color w:val="26724C" w:themeColor="accent1" w:themeShade="BF"/>
        </w:rPr>
      </w:pPr>
    </w:p>
    <w:tbl>
      <w:tblPr>
        <w:tblW w:w="8260" w:type="dxa"/>
        <w:jc w:val="center"/>
        <w:tblLook w:val="04A0" w:firstRow="1" w:lastRow="0" w:firstColumn="1" w:lastColumn="0" w:noHBand="0" w:noVBand="1"/>
      </w:tblPr>
      <w:tblGrid>
        <w:gridCol w:w="1307"/>
        <w:gridCol w:w="5310"/>
        <w:gridCol w:w="1643"/>
      </w:tblGrid>
      <w:tr w:rsidR="007D29F8" w:rsidRPr="00BB4F9C" w14:paraId="708839BC" w14:textId="77777777" w:rsidTr="00DB6666">
        <w:trPr>
          <w:trHeight w:val="270"/>
          <w:jc w:val="center"/>
        </w:trPr>
        <w:tc>
          <w:tcPr>
            <w:tcW w:w="6617" w:type="dxa"/>
            <w:gridSpan w:val="2"/>
            <w:vMerge w:val="restart"/>
            <w:tcBorders>
              <w:top w:val="nil"/>
              <w:left w:val="nil"/>
              <w:bottom w:val="nil"/>
              <w:right w:val="nil"/>
            </w:tcBorders>
            <w:shd w:val="clear" w:color="000000" w:fill="C7CFD8"/>
            <w:vAlign w:val="center"/>
            <w:hideMark/>
          </w:tcPr>
          <w:p w14:paraId="540F385D" w14:textId="77777777" w:rsidR="007D29F8" w:rsidRPr="00BB4F9C" w:rsidRDefault="007D29F8" w:rsidP="00DB6666">
            <w:pPr>
              <w:jc w:val="center"/>
              <w:rPr>
                <w:rFonts w:asciiTheme="majorHAnsi" w:hAnsiTheme="majorHAnsi" w:cstheme="majorHAnsi"/>
                <w:b/>
                <w:bCs/>
                <w:sz w:val="16"/>
                <w:szCs w:val="16"/>
              </w:rPr>
            </w:pPr>
          </w:p>
        </w:tc>
        <w:tc>
          <w:tcPr>
            <w:tcW w:w="1643" w:type="dxa"/>
            <w:vMerge w:val="restart"/>
            <w:tcBorders>
              <w:top w:val="nil"/>
              <w:left w:val="nil"/>
              <w:bottom w:val="nil"/>
              <w:right w:val="nil"/>
            </w:tcBorders>
            <w:shd w:val="clear" w:color="000000" w:fill="C7CFD8"/>
            <w:vAlign w:val="center"/>
            <w:hideMark/>
          </w:tcPr>
          <w:p w14:paraId="66F217CE" w14:textId="77777777" w:rsidR="007D29F8" w:rsidRPr="00BB4F9C" w:rsidRDefault="007D29F8" w:rsidP="00DB6666">
            <w:pPr>
              <w:jc w:val="center"/>
              <w:rPr>
                <w:rFonts w:asciiTheme="majorHAnsi" w:hAnsiTheme="majorHAnsi" w:cstheme="majorHAnsi"/>
                <w:b/>
                <w:bCs/>
                <w:sz w:val="16"/>
                <w:szCs w:val="16"/>
              </w:rPr>
            </w:pPr>
            <w:r w:rsidRPr="00BB4F9C">
              <w:rPr>
                <w:rFonts w:asciiTheme="majorHAnsi" w:hAnsiTheme="majorHAnsi" w:cstheme="majorHAnsi"/>
                <w:b/>
                <w:bCs/>
                <w:sz w:val="16"/>
                <w:szCs w:val="16"/>
              </w:rPr>
              <w:t>Budget proposé pour 2024-2025</w:t>
            </w:r>
          </w:p>
        </w:tc>
      </w:tr>
      <w:tr w:rsidR="007D29F8" w:rsidRPr="00BB4F9C" w14:paraId="3740ACBA" w14:textId="77777777" w:rsidTr="00DB6666">
        <w:trPr>
          <w:trHeight w:val="240"/>
          <w:jc w:val="center"/>
        </w:trPr>
        <w:tc>
          <w:tcPr>
            <w:tcW w:w="6617" w:type="dxa"/>
            <w:gridSpan w:val="2"/>
            <w:vMerge/>
            <w:tcBorders>
              <w:top w:val="nil"/>
              <w:left w:val="nil"/>
              <w:bottom w:val="nil"/>
              <w:right w:val="nil"/>
            </w:tcBorders>
            <w:vAlign w:val="center"/>
            <w:hideMark/>
          </w:tcPr>
          <w:p w14:paraId="351BE3D3" w14:textId="77777777" w:rsidR="007D29F8" w:rsidRPr="00BB4F9C" w:rsidRDefault="007D29F8" w:rsidP="00DB6666">
            <w:pPr>
              <w:jc w:val="left"/>
              <w:rPr>
                <w:rFonts w:asciiTheme="majorHAnsi" w:hAnsiTheme="majorHAnsi" w:cstheme="majorHAnsi"/>
                <w:b/>
                <w:bCs/>
                <w:sz w:val="16"/>
                <w:szCs w:val="16"/>
              </w:rPr>
            </w:pPr>
          </w:p>
        </w:tc>
        <w:tc>
          <w:tcPr>
            <w:tcW w:w="1643" w:type="dxa"/>
            <w:vMerge/>
            <w:tcBorders>
              <w:top w:val="nil"/>
              <w:left w:val="nil"/>
              <w:bottom w:val="nil"/>
              <w:right w:val="nil"/>
            </w:tcBorders>
            <w:vAlign w:val="center"/>
            <w:hideMark/>
          </w:tcPr>
          <w:p w14:paraId="09FFD951" w14:textId="77777777" w:rsidR="007D29F8" w:rsidRPr="00BB4F9C" w:rsidRDefault="007D29F8" w:rsidP="00DB6666">
            <w:pPr>
              <w:jc w:val="left"/>
              <w:rPr>
                <w:rFonts w:asciiTheme="majorHAnsi" w:hAnsiTheme="majorHAnsi" w:cstheme="majorHAnsi"/>
                <w:b/>
                <w:bCs/>
                <w:sz w:val="16"/>
                <w:szCs w:val="16"/>
              </w:rPr>
            </w:pPr>
          </w:p>
        </w:tc>
      </w:tr>
      <w:tr w:rsidR="007D29F8" w:rsidRPr="00BB4F9C" w14:paraId="18698158" w14:textId="77777777" w:rsidTr="00DB6666">
        <w:trPr>
          <w:trHeight w:val="61"/>
          <w:jc w:val="center"/>
        </w:trPr>
        <w:tc>
          <w:tcPr>
            <w:tcW w:w="6617" w:type="dxa"/>
            <w:gridSpan w:val="2"/>
            <w:tcBorders>
              <w:top w:val="nil"/>
              <w:left w:val="nil"/>
              <w:bottom w:val="nil"/>
              <w:right w:val="nil"/>
            </w:tcBorders>
            <w:shd w:val="clear" w:color="auto" w:fill="auto"/>
            <w:vAlign w:val="bottom"/>
            <w:hideMark/>
          </w:tcPr>
          <w:p w14:paraId="472F2D2B" w14:textId="77777777" w:rsidR="007D29F8" w:rsidRPr="00BB4F9C" w:rsidRDefault="007D29F8" w:rsidP="00DB6666">
            <w:pPr>
              <w:jc w:val="center"/>
              <w:rPr>
                <w:rFonts w:asciiTheme="majorHAnsi" w:hAnsiTheme="majorHAnsi" w:cstheme="majorHAnsi"/>
                <w:b/>
                <w:bCs/>
                <w:sz w:val="8"/>
                <w:szCs w:val="16"/>
              </w:rPr>
            </w:pPr>
          </w:p>
        </w:tc>
        <w:tc>
          <w:tcPr>
            <w:tcW w:w="1643" w:type="dxa"/>
            <w:tcBorders>
              <w:top w:val="nil"/>
              <w:left w:val="nil"/>
              <w:bottom w:val="nil"/>
              <w:right w:val="nil"/>
            </w:tcBorders>
            <w:shd w:val="clear" w:color="auto" w:fill="auto"/>
            <w:vAlign w:val="bottom"/>
            <w:hideMark/>
          </w:tcPr>
          <w:p w14:paraId="77E49D0A" w14:textId="77777777" w:rsidR="007D29F8" w:rsidRPr="00BB4F9C" w:rsidRDefault="007D29F8" w:rsidP="00DB6666">
            <w:pPr>
              <w:jc w:val="left"/>
              <w:rPr>
                <w:rFonts w:asciiTheme="majorHAnsi" w:hAnsiTheme="majorHAnsi" w:cstheme="majorHAnsi"/>
                <w:sz w:val="16"/>
                <w:szCs w:val="16"/>
              </w:rPr>
            </w:pPr>
          </w:p>
        </w:tc>
      </w:tr>
      <w:tr w:rsidR="007D29F8" w:rsidRPr="00BB4F9C" w14:paraId="06C34EB7" w14:textId="77777777" w:rsidTr="00DB6666">
        <w:trPr>
          <w:trHeight w:val="264"/>
          <w:jc w:val="center"/>
        </w:trPr>
        <w:tc>
          <w:tcPr>
            <w:tcW w:w="1307" w:type="dxa"/>
            <w:tcBorders>
              <w:top w:val="nil"/>
              <w:left w:val="nil"/>
              <w:bottom w:val="nil"/>
              <w:right w:val="nil"/>
            </w:tcBorders>
            <w:shd w:val="clear" w:color="auto" w:fill="auto"/>
            <w:hideMark/>
          </w:tcPr>
          <w:p w14:paraId="2293D86C" w14:textId="77777777" w:rsidR="007D29F8" w:rsidRPr="00BB4F9C" w:rsidRDefault="007D29F8" w:rsidP="00DB6666">
            <w:pPr>
              <w:jc w:val="center"/>
              <w:rPr>
                <w:rFonts w:asciiTheme="majorHAnsi" w:hAnsiTheme="majorHAnsi" w:cstheme="majorHAnsi"/>
                <w:sz w:val="16"/>
                <w:szCs w:val="16"/>
              </w:rPr>
            </w:pPr>
            <w:r w:rsidRPr="00BB4F9C">
              <w:rPr>
                <w:rFonts w:asciiTheme="majorHAnsi" w:hAnsiTheme="majorHAnsi" w:cstheme="majorHAnsi"/>
                <w:sz w:val="16"/>
                <w:szCs w:val="16"/>
              </w:rPr>
              <w:t>1.1</w:t>
            </w:r>
          </w:p>
        </w:tc>
        <w:tc>
          <w:tcPr>
            <w:tcW w:w="5310" w:type="dxa"/>
            <w:tcBorders>
              <w:top w:val="nil"/>
              <w:left w:val="nil"/>
              <w:bottom w:val="nil"/>
              <w:right w:val="nil"/>
            </w:tcBorders>
            <w:shd w:val="clear" w:color="auto" w:fill="auto"/>
            <w:hideMark/>
          </w:tcPr>
          <w:p w14:paraId="1CE27DB4" w14:textId="77777777" w:rsidR="007D29F8" w:rsidRPr="00BB4F9C" w:rsidRDefault="007D29F8" w:rsidP="00DB6666">
            <w:pPr>
              <w:jc w:val="left"/>
              <w:rPr>
                <w:rFonts w:asciiTheme="majorHAnsi" w:hAnsiTheme="majorHAnsi" w:cstheme="majorHAnsi"/>
                <w:sz w:val="16"/>
                <w:szCs w:val="16"/>
              </w:rPr>
            </w:pPr>
            <w:r w:rsidRPr="00BB4F9C">
              <w:rPr>
                <w:rFonts w:asciiTheme="majorHAnsi" w:hAnsiTheme="majorHAnsi" w:cstheme="majorHAnsi"/>
                <w:sz w:val="16"/>
                <w:szCs w:val="16"/>
              </w:rPr>
              <w:t>Gouvernance par le Conseil de l’UPOV et travaux des comités de l’UPOV et autres organes de l’UPOV</w:t>
            </w:r>
          </w:p>
        </w:tc>
        <w:tc>
          <w:tcPr>
            <w:tcW w:w="1643" w:type="dxa"/>
            <w:tcBorders>
              <w:top w:val="nil"/>
              <w:left w:val="nil"/>
              <w:bottom w:val="nil"/>
              <w:right w:val="nil"/>
            </w:tcBorders>
            <w:shd w:val="clear" w:color="auto" w:fill="auto"/>
            <w:hideMark/>
          </w:tcPr>
          <w:p w14:paraId="37FD2D65" w14:textId="77777777" w:rsidR="007D29F8" w:rsidRPr="00BB4F9C" w:rsidRDefault="007D29F8" w:rsidP="00DB6666">
            <w:pPr>
              <w:jc w:val="center"/>
              <w:rPr>
                <w:rFonts w:asciiTheme="majorHAnsi" w:hAnsiTheme="majorHAnsi" w:cstheme="majorHAnsi"/>
                <w:sz w:val="16"/>
                <w:szCs w:val="16"/>
              </w:rPr>
            </w:pPr>
            <w:r w:rsidRPr="00BB4F9C">
              <w:rPr>
                <w:rFonts w:asciiTheme="majorHAnsi" w:hAnsiTheme="majorHAnsi" w:cstheme="majorHAnsi"/>
                <w:sz w:val="16"/>
                <w:szCs w:val="16"/>
              </w:rPr>
              <w:t>1 326</w:t>
            </w:r>
          </w:p>
        </w:tc>
      </w:tr>
      <w:tr w:rsidR="007D29F8" w:rsidRPr="00BB4F9C" w14:paraId="170A4C27" w14:textId="77777777" w:rsidTr="00DB6666">
        <w:trPr>
          <w:trHeight w:val="444"/>
          <w:jc w:val="center"/>
        </w:trPr>
        <w:tc>
          <w:tcPr>
            <w:tcW w:w="1307" w:type="dxa"/>
            <w:tcBorders>
              <w:top w:val="nil"/>
              <w:left w:val="nil"/>
              <w:bottom w:val="nil"/>
              <w:right w:val="nil"/>
            </w:tcBorders>
            <w:shd w:val="clear" w:color="auto" w:fill="auto"/>
            <w:hideMark/>
          </w:tcPr>
          <w:p w14:paraId="0DAF7FDA" w14:textId="77777777" w:rsidR="007D29F8" w:rsidRPr="00BB4F9C" w:rsidRDefault="007D29F8" w:rsidP="00DB6666">
            <w:pPr>
              <w:jc w:val="center"/>
              <w:rPr>
                <w:rFonts w:asciiTheme="majorHAnsi" w:hAnsiTheme="majorHAnsi" w:cstheme="majorHAnsi"/>
                <w:sz w:val="16"/>
                <w:szCs w:val="16"/>
              </w:rPr>
            </w:pPr>
            <w:r w:rsidRPr="00BB4F9C">
              <w:rPr>
                <w:rFonts w:asciiTheme="majorHAnsi" w:hAnsiTheme="majorHAnsi" w:cstheme="majorHAnsi"/>
                <w:sz w:val="16"/>
                <w:szCs w:val="16"/>
              </w:rPr>
              <w:t>1.2</w:t>
            </w:r>
          </w:p>
        </w:tc>
        <w:tc>
          <w:tcPr>
            <w:tcW w:w="5310" w:type="dxa"/>
            <w:tcBorders>
              <w:top w:val="nil"/>
              <w:left w:val="nil"/>
              <w:bottom w:val="nil"/>
              <w:right w:val="nil"/>
            </w:tcBorders>
            <w:shd w:val="clear" w:color="auto" w:fill="auto"/>
            <w:hideMark/>
          </w:tcPr>
          <w:p w14:paraId="20C8789B" w14:textId="77777777" w:rsidR="007D29F8" w:rsidRPr="00BB4F9C" w:rsidRDefault="007D29F8" w:rsidP="00DB6666">
            <w:pPr>
              <w:jc w:val="left"/>
              <w:rPr>
                <w:rFonts w:asciiTheme="majorHAnsi" w:hAnsiTheme="majorHAnsi" w:cstheme="majorHAnsi"/>
                <w:sz w:val="16"/>
                <w:szCs w:val="16"/>
              </w:rPr>
            </w:pPr>
            <w:r w:rsidRPr="00BB4F9C">
              <w:rPr>
                <w:rFonts w:asciiTheme="majorHAnsi" w:hAnsiTheme="majorHAnsi" w:cstheme="majorHAnsi"/>
                <w:sz w:val="16"/>
                <w:szCs w:val="16"/>
              </w:rPr>
              <w:t>Élaboration de la législation sur la protection des obtentions végétales selon l’acte de 1991 de la Convention UPOV</w:t>
            </w:r>
          </w:p>
        </w:tc>
        <w:tc>
          <w:tcPr>
            <w:tcW w:w="1643" w:type="dxa"/>
            <w:tcBorders>
              <w:top w:val="nil"/>
              <w:left w:val="nil"/>
              <w:bottom w:val="nil"/>
              <w:right w:val="nil"/>
            </w:tcBorders>
            <w:shd w:val="clear" w:color="auto" w:fill="auto"/>
            <w:hideMark/>
          </w:tcPr>
          <w:p w14:paraId="45C7A4CE" w14:textId="77777777" w:rsidR="007D29F8" w:rsidRPr="00BB4F9C" w:rsidRDefault="007D29F8" w:rsidP="00DB6666">
            <w:pPr>
              <w:jc w:val="center"/>
              <w:rPr>
                <w:rFonts w:asciiTheme="majorHAnsi" w:hAnsiTheme="majorHAnsi" w:cstheme="majorHAnsi"/>
                <w:sz w:val="16"/>
                <w:szCs w:val="16"/>
              </w:rPr>
            </w:pPr>
            <w:r w:rsidRPr="00BB4F9C">
              <w:rPr>
                <w:rFonts w:asciiTheme="majorHAnsi" w:hAnsiTheme="majorHAnsi" w:cstheme="majorHAnsi"/>
                <w:sz w:val="16"/>
                <w:szCs w:val="16"/>
              </w:rPr>
              <w:t>309</w:t>
            </w:r>
          </w:p>
        </w:tc>
      </w:tr>
      <w:tr w:rsidR="007D29F8" w:rsidRPr="00BB4F9C" w14:paraId="0A50AADC" w14:textId="77777777" w:rsidTr="00DB6666">
        <w:trPr>
          <w:trHeight w:val="282"/>
          <w:jc w:val="center"/>
        </w:trPr>
        <w:tc>
          <w:tcPr>
            <w:tcW w:w="1307" w:type="dxa"/>
            <w:tcBorders>
              <w:top w:val="nil"/>
              <w:left w:val="nil"/>
              <w:bottom w:val="nil"/>
              <w:right w:val="nil"/>
            </w:tcBorders>
            <w:shd w:val="clear" w:color="auto" w:fill="auto"/>
            <w:hideMark/>
          </w:tcPr>
          <w:p w14:paraId="01183B6E" w14:textId="77777777" w:rsidR="007D29F8" w:rsidRPr="00BB4F9C" w:rsidRDefault="007D29F8" w:rsidP="00DB6666">
            <w:pPr>
              <w:jc w:val="center"/>
              <w:rPr>
                <w:rFonts w:asciiTheme="majorHAnsi" w:hAnsiTheme="majorHAnsi" w:cstheme="majorHAnsi"/>
                <w:sz w:val="16"/>
                <w:szCs w:val="16"/>
              </w:rPr>
            </w:pPr>
            <w:r w:rsidRPr="00BB4F9C">
              <w:rPr>
                <w:rFonts w:asciiTheme="majorHAnsi" w:hAnsiTheme="majorHAnsi" w:cstheme="majorHAnsi"/>
                <w:sz w:val="16"/>
                <w:szCs w:val="16"/>
              </w:rPr>
              <w:t>2.1</w:t>
            </w:r>
          </w:p>
        </w:tc>
        <w:tc>
          <w:tcPr>
            <w:tcW w:w="5310" w:type="dxa"/>
            <w:tcBorders>
              <w:top w:val="nil"/>
              <w:left w:val="nil"/>
              <w:bottom w:val="nil"/>
              <w:right w:val="nil"/>
            </w:tcBorders>
            <w:shd w:val="clear" w:color="auto" w:fill="auto"/>
            <w:hideMark/>
          </w:tcPr>
          <w:p w14:paraId="19AC9479" w14:textId="77777777" w:rsidR="007D29F8" w:rsidRPr="00BB4F9C" w:rsidRDefault="007D29F8" w:rsidP="00DB6666">
            <w:pPr>
              <w:jc w:val="left"/>
              <w:rPr>
                <w:rFonts w:asciiTheme="majorHAnsi" w:hAnsiTheme="majorHAnsi" w:cstheme="majorHAnsi"/>
                <w:sz w:val="16"/>
                <w:szCs w:val="16"/>
              </w:rPr>
            </w:pPr>
            <w:r w:rsidRPr="00BB4F9C">
              <w:rPr>
                <w:rFonts w:asciiTheme="majorHAnsi" w:hAnsiTheme="majorHAnsi" w:cstheme="majorHAnsi"/>
                <w:sz w:val="16"/>
                <w:szCs w:val="16"/>
              </w:rPr>
              <w:t>Sensibilisation accrue au rôle du système de l’UPOV</w:t>
            </w:r>
          </w:p>
        </w:tc>
        <w:tc>
          <w:tcPr>
            <w:tcW w:w="1643" w:type="dxa"/>
            <w:tcBorders>
              <w:top w:val="nil"/>
              <w:left w:val="nil"/>
              <w:bottom w:val="nil"/>
              <w:right w:val="nil"/>
            </w:tcBorders>
            <w:shd w:val="clear" w:color="auto" w:fill="auto"/>
            <w:hideMark/>
          </w:tcPr>
          <w:p w14:paraId="0CC8B190" w14:textId="77777777" w:rsidR="007D29F8" w:rsidRPr="00BB4F9C" w:rsidRDefault="007D29F8" w:rsidP="00DB6666">
            <w:pPr>
              <w:jc w:val="center"/>
              <w:rPr>
                <w:rFonts w:asciiTheme="majorHAnsi" w:hAnsiTheme="majorHAnsi" w:cstheme="majorHAnsi"/>
                <w:sz w:val="16"/>
                <w:szCs w:val="16"/>
              </w:rPr>
            </w:pPr>
            <w:r w:rsidRPr="00BB4F9C">
              <w:rPr>
                <w:rFonts w:asciiTheme="majorHAnsi" w:hAnsiTheme="majorHAnsi" w:cstheme="majorHAnsi"/>
                <w:sz w:val="16"/>
                <w:szCs w:val="16"/>
              </w:rPr>
              <w:t>344</w:t>
            </w:r>
          </w:p>
        </w:tc>
      </w:tr>
      <w:tr w:rsidR="007D29F8" w:rsidRPr="00BB4F9C" w14:paraId="06415FDA" w14:textId="77777777" w:rsidTr="00DB6666">
        <w:trPr>
          <w:trHeight w:val="264"/>
          <w:jc w:val="center"/>
        </w:trPr>
        <w:tc>
          <w:tcPr>
            <w:tcW w:w="1307" w:type="dxa"/>
            <w:tcBorders>
              <w:top w:val="nil"/>
              <w:left w:val="nil"/>
              <w:bottom w:val="nil"/>
              <w:right w:val="nil"/>
            </w:tcBorders>
            <w:shd w:val="clear" w:color="auto" w:fill="auto"/>
            <w:hideMark/>
          </w:tcPr>
          <w:p w14:paraId="53B764F8" w14:textId="77777777" w:rsidR="007D29F8" w:rsidRPr="00BB4F9C" w:rsidRDefault="007D29F8" w:rsidP="00DB6666">
            <w:pPr>
              <w:jc w:val="center"/>
              <w:rPr>
                <w:rFonts w:asciiTheme="majorHAnsi" w:hAnsiTheme="majorHAnsi" w:cstheme="majorHAnsi"/>
                <w:sz w:val="16"/>
                <w:szCs w:val="16"/>
              </w:rPr>
            </w:pPr>
            <w:r w:rsidRPr="00BB4F9C">
              <w:rPr>
                <w:rFonts w:asciiTheme="majorHAnsi" w:hAnsiTheme="majorHAnsi" w:cstheme="majorHAnsi"/>
                <w:sz w:val="16"/>
                <w:szCs w:val="16"/>
              </w:rPr>
              <w:t>2.2</w:t>
            </w:r>
          </w:p>
        </w:tc>
        <w:tc>
          <w:tcPr>
            <w:tcW w:w="5310" w:type="dxa"/>
            <w:tcBorders>
              <w:top w:val="nil"/>
              <w:left w:val="nil"/>
              <w:bottom w:val="nil"/>
              <w:right w:val="nil"/>
            </w:tcBorders>
            <w:shd w:val="clear" w:color="auto" w:fill="auto"/>
            <w:hideMark/>
          </w:tcPr>
          <w:p w14:paraId="3DA95247" w14:textId="77777777" w:rsidR="007D29F8" w:rsidRPr="00BB4F9C" w:rsidRDefault="007D29F8" w:rsidP="00DB6666">
            <w:pPr>
              <w:jc w:val="left"/>
              <w:rPr>
                <w:rFonts w:asciiTheme="majorHAnsi" w:hAnsiTheme="majorHAnsi" w:cstheme="majorHAnsi"/>
                <w:sz w:val="16"/>
                <w:szCs w:val="16"/>
              </w:rPr>
            </w:pPr>
            <w:r w:rsidRPr="00BB4F9C">
              <w:rPr>
                <w:rFonts w:asciiTheme="majorHAnsi" w:hAnsiTheme="majorHAnsi" w:cstheme="majorHAnsi"/>
                <w:sz w:val="16"/>
                <w:szCs w:val="16"/>
              </w:rPr>
              <w:t>Orientations et assistance concernant la Convention UPOV et sa mise en œuvre</w:t>
            </w:r>
          </w:p>
        </w:tc>
        <w:tc>
          <w:tcPr>
            <w:tcW w:w="1643" w:type="dxa"/>
            <w:tcBorders>
              <w:top w:val="nil"/>
              <w:left w:val="nil"/>
              <w:bottom w:val="nil"/>
              <w:right w:val="nil"/>
            </w:tcBorders>
            <w:shd w:val="clear" w:color="auto" w:fill="auto"/>
            <w:hideMark/>
          </w:tcPr>
          <w:p w14:paraId="23C6373A" w14:textId="77777777" w:rsidR="007D29F8" w:rsidRPr="00BB4F9C" w:rsidRDefault="007D29F8" w:rsidP="00DB6666">
            <w:pPr>
              <w:jc w:val="center"/>
              <w:rPr>
                <w:rFonts w:asciiTheme="majorHAnsi" w:hAnsiTheme="majorHAnsi" w:cstheme="majorHAnsi"/>
                <w:sz w:val="16"/>
                <w:szCs w:val="16"/>
              </w:rPr>
            </w:pPr>
            <w:r w:rsidRPr="00BB4F9C">
              <w:rPr>
                <w:rFonts w:asciiTheme="majorHAnsi" w:hAnsiTheme="majorHAnsi" w:cstheme="majorHAnsi"/>
                <w:sz w:val="16"/>
                <w:szCs w:val="16"/>
              </w:rPr>
              <w:t>2 856</w:t>
            </w:r>
          </w:p>
        </w:tc>
      </w:tr>
      <w:tr w:rsidR="007D29F8" w:rsidRPr="00BB4F9C" w14:paraId="7B280178" w14:textId="77777777" w:rsidTr="00DB6666">
        <w:trPr>
          <w:trHeight w:val="273"/>
          <w:jc w:val="center"/>
        </w:trPr>
        <w:tc>
          <w:tcPr>
            <w:tcW w:w="1307" w:type="dxa"/>
            <w:tcBorders>
              <w:top w:val="nil"/>
              <w:left w:val="nil"/>
              <w:bottom w:val="nil"/>
              <w:right w:val="nil"/>
            </w:tcBorders>
            <w:shd w:val="clear" w:color="auto" w:fill="auto"/>
            <w:hideMark/>
          </w:tcPr>
          <w:p w14:paraId="1506CF04" w14:textId="77777777" w:rsidR="007D29F8" w:rsidRPr="00BB4F9C" w:rsidRDefault="007D29F8" w:rsidP="00DB6666">
            <w:pPr>
              <w:jc w:val="center"/>
              <w:rPr>
                <w:rFonts w:asciiTheme="majorHAnsi" w:hAnsiTheme="majorHAnsi" w:cstheme="majorHAnsi"/>
                <w:sz w:val="16"/>
                <w:szCs w:val="16"/>
              </w:rPr>
            </w:pPr>
            <w:r w:rsidRPr="00BB4F9C">
              <w:rPr>
                <w:rFonts w:asciiTheme="majorHAnsi" w:hAnsiTheme="majorHAnsi" w:cstheme="majorHAnsi"/>
                <w:sz w:val="16"/>
                <w:szCs w:val="16"/>
              </w:rPr>
              <w:t>2.3</w:t>
            </w:r>
          </w:p>
        </w:tc>
        <w:tc>
          <w:tcPr>
            <w:tcW w:w="5310" w:type="dxa"/>
            <w:tcBorders>
              <w:top w:val="nil"/>
              <w:left w:val="nil"/>
              <w:bottom w:val="nil"/>
              <w:right w:val="nil"/>
            </w:tcBorders>
            <w:shd w:val="clear" w:color="auto" w:fill="auto"/>
            <w:hideMark/>
          </w:tcPr>
          <w:p w14:paraId="4140955C" w14:textId="77777777" w:rsidR="007D29F8" w:rsidRPr="00BB4F9C" w:rsidRDefault="007D29F8" w:rsidP="00DB6666">
            <w:pPr>
              <w:jc w:val="left"/>
              <w:rPr>
                <w:rFonts w:asciiTheme="majorHAnsi" w:hAnsiTheme="majorHAnsi" w:cstheme="majorHAnsi"/>
                <w:sz w:val="16"/>
                <w:szCs w:val="16"/>
              </w:rPr>
            </w:pPr>
            <w:r w:rsidRPr="00BB4F9C">
              <w:rPr>
                <w:rFonts w:asciiTheme="majorHAnsi" w:hAnsiTheme="majorHAnsi" w:cstheme="majorHAnsi"/>
                <w:sz w:val="16"/>
                <w:szCs w:val="16"/>
              </w:rPr>
              <w:t>Harmonisation et coopération accrues en matière d’examen</w:t>
            </w:r>
          </w:p>
        </w:tc>
        <w:tc>
          <w:tcPr>
            <w:tcW w:w="1643" w:type="dxa"/>
            <w:tcBorders>
              <w:top w:val="nil"/>
              <w:left w:val="nil"/>
              <w:bottom w:val="nil"/>
              <w:right w:val="nil"/>
            </w:tcBorders>
            <w:shd w:val="clear" w:color="auto" w:fill="auto"/>
            <w:hideMark/>
          </w:tcPr>
          <w:p w14:paraId="65AEBA25" w14:textId="77777777" w:rsidR="007D29F8" w:rsidRPr="00BB4F9C" w:rsidRDefault="007D29F8" w:rsidP="00DB6666">
            <w:pPr>
              <w:jc w:val="center"/>
              <w:rPr>
                <w:rFonts w:asciiTheme="majorHAnsi" w:hAnsiTheme="majorHAnsi" w:cstheme="majorHAnsi"/>
                <w:sz w:val="16"/>
                <w:szCs w:val="16"/>
              </w:rPr>
            </w:pPr>
            <w:r w:rsidRPr="00BB4F9C">
              <w:rPr>
                <w:rFonts w:asciiTheme="majorHAnsi" w:hAnsiTheme="majorHAnsi" w:cstheme="majorHAnsi"/>
                <w:sz w:val="16"/>
                <w:szCs w:val="16"/>
              </w:rPr>
              <w:t>700</w:t>
            </w:r>
          </w:p>
        </w:tc>
      </w:tr>
      <w:tr w:rsidR="007D29F8" w:rsidRPr="00BB4F9C" w14:paraId="6F726671" w14:textId="77777777" w:rsidTr="00DB6666">
        <w:trPr>
          <w:trHeight w:val="273"/>
          <w:jc w:val="center"/>
        </w:trPr>
        <w:tc>
          <w:tcPr>
            <w:tcW w:w="1307" w:type="dxa"/>
            <w:tcBorders>
              <w:top w:val="nil"/>
              <w:left w:val="nil"/>
              <w:bottom w:val="nil"/>
              <w:right w:val="nil"/>
            </w:tcBorders>
            <w:shd w:val="clear" w:color="auto" w:fill="auto"/>
            <w:hideMark/>
          </w:tcPr>
          <w:p w14:paraId="48CD453D" w14:textId="77777777" w:rsidR="007D29F8" w:rsidRPr="00BB4F9C" w:rsidRDefault="007D29F8" w:rsidP="00DB6666">
            <w:pPr>
              <w:jc w:val="center"/>
              <w:rPr>
                <w:rFonts w:asciiTheme="majorHAnsi" w:hAnsiTheme="majorHAnsi" w:cstheme="majorHAnsi"/>
                <w:sz w:val="16"/>
                <w:szCs w:val="16"/>
              </w:rPr>
            </w:pPr>
            <w:r w:rsidRPr="00BB4F9C">
              <w:rPr>
                <w:rFonts w:asciiTheme="majorHAnsi" w:hAnsiTheme="majorHAnsi" w:cstheme="majorHAnsi"/>
                <w:sz w:val="16"/>
                <w:szCs w:val="16"/>
              </w:rPr>
              <w:t>3.1</w:t>
            </w:r>
          </w:p>
        </w:tc>
        <w:tc>
          <w:tcPr>
            <w:tcW w:w="5310" w:type="dxa"/>
            <w:tcBorders>
              <w:top w:val="nil"/>
              <w:left w:val="nil"/>
              <w:bottom w:val="nil"/>
              <w:right w:val="nil"/>
            </w:tcBorders>
            <w:shd w:val="clear" w:color="auto" w:fill="auto"/>
            <w:hideMark/>
          </w:tcPr>
          <w:p w14:paraId="05E61DB0" w14:textId="77777777" w:rsidR="007D29F8" w:rsidRPr="00BB4F9C" w:rsidRDefault="007D29F8" w:rsidP="00DB6666">
            <w:pPr>
              <w:jc w:val="left"/>
              <w:rPr>
                <w:rFonts w:asciiTheme="majorHAnsi" w:hAnsiTheme="majorHAnsi" w:cstheme="majorHAnsi"/>
                <w:sz w:val="16"/>
                <w:szCs w:val="16"/>
              </w:rPr>
            </w:pPr>
            <w:r w:rsidRPr="00BB4F9C">
              <w:rPr>
                <w:rFonts w:asciiTheme="majorHAnsi" w:hAnsiTheme="majorHAnsi" w:cstheme="majorHAnsi"/>
                <w:sz w:val="16"/>
                <w:szCs w:val="16"/>
              </w:rPr>
              <w:t xml:space="preserve">Élaboration des services </w:t>
            </w:r>
            <w:r>
              <w:rPr>
                <w:rFonts w:asciiTheme="majorHAnsi" w:hAnsiTheme="majorHAnsi" w:cstheme="majorHAnsi"/>
                <w:sz w:val="16"/>
                <w:szCs w:val="16"/>
              </w:rPr>
              <w:t xml:space="preserve">UPOV </w:t>
            </w:r>
            <w:r w:rsidRPr="00BB4F9C">
              <w:rPr>
                <w:rFonts w:asciiTheme="majorHAnsi" w:hAnsiTheme="majorHAnsi" w:cstheme="majorHAnsi"/>
                <w:sz w:val="16"/>
                <w:szCs w:val="16"/>
              </w:rPr>
              <w:t>e-PVP</w:t>
            </w:r>
          </w:p>
        </w:tc>
        <w:tc>
          <w:tcPr>
            <w:tcW w:w="1643" w:type="dxa"/>
            <w:tcBorders>
              <w:top w:val="nil"/>
              <w:left w:val="nil"/>
              <w:bottom w:val="nil"/>
              <w:right w:val="nil"/>
            </w:tcBorders>
            <w:shd w:val="clear" w:color="auto" w:fill="auto"/>
            <w:hideMark/>
          </w:tcPr>
          <w:p w14:paraId="680DAB52" w14:textId="77777777" w:rsidR="007D29F8" w:rsidRPr="00BB4F9C" w:rsidRDefault="007D29F8" w:rsidP="00DB6666">
            <w:pPr>
              <w:jc w:val="center"/>
              <w:rPr>
                <w:rFonts w:asciiTheme="majorHAnsi" w:hAnsiTheme="majorHAnsi" w:cstheme="majorHAnsi"/>
                <w:sz w:val="16"/>
                <w:szCs w:val="16"/>
              </w:rPr>
            </w:pPr>
            <w:r w:rsidRPr="00BB4F9C">
              <w:rPr>
                <w:rFonts w:asciiTheme="majorHAnsi" w:hAnsiTheme="majorHAnsi" w:cstheme="majorHAnsi"/>
                <w:sz w:val="16"/>
                <w:szCs w:val="16"/>
              </w:rPr>
              <w:t>873</w:t>
            </w:r>
          </w:p>
        </w:tc>
      </w:tr>
      <w:tr w:rsidR="007D29F8" w:rsidRPr="00BB4F9C" w14:paraId="325D9DAC" w14:textId="77777777" w:rsidTr="00DB6666">
        <w:trPr>
          <w:trHeight w:val="264"/>
          <w:jc w:val="center"/>
        </w:trPr>
        <w:tc>
          <w:tcPr>
            <w:tcW w:w="1307" w:type="dxa"/>
            <w:tcBorders>
              <w:top w:val="nil"/>
              <w:left w:val="nil"/>
              <w:bottom w:val="nil"/>
              <w:right w:val="nil"/>
            </w:tcBorders>
            <w:shd w:val="clear" w:color="auto" w:fill="auto"/>
            <w:hideMark/>
          </w:tcPr>
          <w:p w14:paraId="12D0EE58" w14:textId="77777777" w:rsidR="007D29F8" w:rsidRPr="00BB4F9C" w:rsidRDefault="007D29F8" w:rsidP="00DB6666">
            <w:pPr>
              <w:jc w:val="center"/>
              <w:rPr>
                <w:rFonts w:asciiTheme="majorHAnsi" w:hAnsiTheme="majorHAnsi" w:cstheme="majorHAnsi"/>
                <w:sz w:val="16"/>
                <w:szCs w:val="16"/>
              </w:rPr>
            </w:pPr>
            <w:r w:rsidRPr="00BB4F9C">
              <w:rPr>
                <w:rFonts w:asciiTheme="majorHAnsi" w:hAnsiTheme="majorHAnsi" w:cstheme="majorHAnsi"/>
                <w:sz w:val="16"/>
                <w:szCs w:val="16"/>
              </w:rPr>
              <w:t>4.1</w:t>
            </w:r>
          </w:p>
        </w:tc>
        <w:tc>
          <w:tcPr>
            <w:tcW w:w="5310" w:type="dxa"/>
            <w:tcBorders>
              <w:top w:val="nil"/>
              <w:left w:val="nil"/>
              <w:bottom w:val="nil"/>
              <w:right w:val="nil"/>
            </w:tcBorders>
            <w:shd w:val="clear" w:color="auto" w:fill="auto"/>
            <w:hideMark/>
          </w:tcPr>
          <w:p w14:paraId="74547205" w14:textId="77777777" w:rsidR="007D29F8" w:rsidRPr="00BB4F9C" w:rsidRDefault="007D29F8" w:rsidP="00DB6666">
            <w:pPr>
              <w:jc w:val="left"/>
              <w:rPr>
                <w:rFonts w:asciiTheme="majorHAnsi" w:hAnsiTheme="majorHAnsi" w:cstheme="majorHAnsi"/>
                <w:sz w:val="16"/>
                <w:szCs w:val="16"/>
              </w:rPr>
            </w:pPr>
            <w:r w:rsidRPr="00BB4F9C">
              <w:rPr>
                <w:rFonts w:asciiTheme="majorHAnsi" w:hAnsiTheme="majorHAnsi" w:cstheme="majorHAnsi"/>
                <w:sz w:val="16"/>
                <w:szCs w:val="16"/>
              </w:rPr>
              <w:t>Diversification des revenus</w:t>
            </w:r>
          </w:p>
        </w:tc>
        <w:tc>
          <w:tcPr>
            <w:tcW w:w="1643" w:type="dxa"/>
            <w:tcBorders>
              <w:top w:val="nil"/>
              <w:left w:val="nil"/>
              <w:bottom w:val="nil"/>
              <w:right w:val="nil"/>
            </w:tcBorders>
            <w:shd w:val="clear" w:color="auto" w:fill="auto"/>
            <w:hideMark/>
          </w:tcPr>
          <w:p w14:paraId="66A711AA" w14:textId="77777777" w:rsidR="007D29F8" w:rsidRPr="00BB4F9C" w:rsidRDefault="007D29F8" w:rsidP="00DB6666">
            <w:pPr>
              <w:jc w:val="center"/>
              <w:rPr>
                <w:rFonts w:asciiTheme="majorHAnsi" w:hAnsiTheme="majorHAnsi" w:cstheme="majorHAnsi"/>
                <w:sz w:val="16"/>
                <w:szCs w:val="16"/>
              </w:rPr>
            </w:pPr>
            <w:r w:rsidRPr="00BB4F9C">
              <w:rPr>
                <w:rFonts w:asciiTheme="majorHAnsi" w:hAnsiTheme="majorHAnsi" w:cstheme="majorHAnsi"/>
                <w:sz w:val="16"/>
                <w:szCs w:val="16"/>
              </w:rPr>
              <w:t>241</w:t>
            </w:r>
          </w:p>
        </w:tc>
      </w:tr>
      <w:tr w:rsidR="007D29F8" w:rsidRPr="00BB4F9C" w14:paraId="20CE45C8" w14:textId="77777777" w:rsidTr="00DB6666">
        <w:trPr>
          <w:trHeight w:val="600"/>
          <w:jc w:val="center"/>
        </w:trPr>
        <w:tc>
          <w:tcPr>
            <w:tcW w:w="1307" w:type="dxa"/>
            <w:tcBorders>
              <w:top w:val="nil"/>
              <w:left w:val="nil"/>
              <w:bottom w:val="nil"/>
              <w:right w:val="nil"/>
            </w:tcBorders>
            <w:shd w:val="clear" w:color="auto" w:fill="auto"/>
            <w:hideMark/>
          </w:tcPr>
          <w:p w14:paraId="4C768D13" w14:textId="77777777" w:rsidR="007D29F8" w:rsidRPr="00BB4F9C" w:rsidRDefault="007D29F8" w:rsidP="00DB6666">
            <w:pPr>
              <w:jc w:val="center"/>
              <w:rPr>
                <w:rFonts w:asciiTheme="majorHAnsi" w:hAnsiTheme="majorHAnsi" w:cstheme="majorHAnsi"/>
                <w:sz w:val="16"/>
                <w:szCs w:val="16"/>
              </w:rPr>
            </w:pPr>
            <w:r w:rsidRPr="00BB4F9C">
              <w:rPr>
                <w:rFonts w:asciiTheme="majorHAnsi" w:hAnsiTheme="majorHAnsi" w:cstheme="majorHAnsi"/>
                <w:sz w:val="16"/>
                <w:szCs w:val="16"/>
              </w:rPr>
              <w:t>4.2</w:t>
            </w:r>
          </w:p>
        </w:tc>
        <w:tc>
          <w:tcPr>
            <w:tcW w:w="5310" w:type="dxa"/>
            <w:tcBorders>
              <w:top w:val="nil"/>
              <w:left w:val="nil"/>
              <w:bottom w:val="nil"/>
              <w:right w:val="nil"/>
            </w:tcBorders>
            <w:shd w:val="clear" w:color="auto" w:fill="auto"/>
            <w:hideMark/>
          </w:tcPr>
          <w:p w14:paraId="7B0EF794" w14:textId="77777777" w:rsidR="007D29F8" w:rsidRPr="00BB4F9C" w:rsidRDefault="007D29F8" w:rsidP="00DB6666">
            <w:pPr>
              <w:jc w:val="left"/>
              <w:rPr>
                <w:rFonts w:asciiTheme="majorHAnsi" w:hAnsiTheme="majorHAnsi" w:cstheme="majorHAnsi"/>
                <w:sz w:val="16"/>
                <w:szCs w:val="16"/>
              </w:rPr>
            </w:pPr>
            <w:r w:rsidRPr="00BB4F9C">
              <w:rPr>
                <w:rFonts w:asciiTheme="majorHAnsi" w:hAnsiTheme="majorHAnsi" w:cstheme="majorHAnsi"/>
                <w:sz w:val="16"/>
                <w:szCs w:val="16"/>
              </w:rPr>
              <w:t>Un secrétariat habilité et doté des ressources et de la formation nécessaires pour travailler de manière efficace, collaborative et innovante</w:t>
            </w:r>
          </w:p>
        </w:tc>
        <w:tc>
          <w:tcPr>
            <w:tcW w:w="1643" w:type="dxa"/>
            <w:tcBorders>
              <w:top w:val="nil"/>
              <w:left w:val="nil"/>
              <w:bottom w:val="nil"/>
              <w:right w:val="nil"/>
            </w:tcBorders>
            <w:shd w:val="clear" w:color="auto" w:fill="auto"/>
            <w:hideMark/>
          </w:tcPr>
          <w:p w14:paraId="083CD544" w14:textId="77777777" w:rsidR="007D29F8" w:rsidRPr="00BB4F9C" w:rsidRDefault="007D29F8" w:rsidP="00DB6666">
            <w:pPr>
              <w:jc w:val="center"/>
              <w:rPr>
                <w:rFonts w:asciiTheme="majorHAnsi" w:hAnsiTheme="majorHAnsi" w:cstheme="majorHAnsi"/>
                <w:sz w:val="16"/>
                <w:szCs w:val="16"/>
              </w:rPr>
            </w:pPr>
            <w:r w:rsidRPr="00BB4F9C">
              <w:rPr>
                <w:rFonts w:asciiTheme="majorHAnsi" w:hAnsiTheme="majorHAnsi" w:cstheme="majorHAnsi"/>
                <w:sz w:val="16"/>
                <w:szCs w:val="16"/>
              </w:rPr>
              <w:t>1 252</w:t>
            </w:r>
          </w:p>
        </w:tc>
      </w:tr>
      <w:tr w:rsidR="007D29F8" w:rsidRPr="00BB4F9C" w14:paraId="28570635" w14:textId="77777777" w:rsidTr="00DB6666">
        <w:trPr>
          <w:trHeight w:val="61"/>
          <w:jc w:val="center"/>
        </w:trPr>
        <w:tc>
          <w:tcPr>
            <w:tcW w:w="1307" w:type="dxa"/>
            <w:tcBorders>
              <w:top w:val="nil"/>
              <w:left w:val="nil"/>
              <w:bottom w:val="nil"/>
              <w:right w:val="nil"/>
            </w:tcBorders>
            <w:shd w:val="clear" w:color="auto" w:fill="auto"/>
            <w:vAlign w:val="bottom"/>
            <w:hideMark/>
          </w:tcPr>
          <w:p w14:paraId="2457C65A" w14:textId="77777777" w:rsidR="007D29F8" w:rsidRPr="00BB4F9C" w:rsidRDefault="007D29F8" w:rsidP="00DB6666">
            <w:pPr>
              <w:jc w:val="right"/>
              <w:rPr>
                <w:rFonts w:asciiTheme="majorHAnsi" w:hAnsiTheme="majorHAnsi" w:cstheme="majorHAnsi"/>
                <w:sz w:val="16"/>
                <w:szCs w:val="16"/>
              </w:rPr>
            </w:pPr>
          </w:p>
        </w:tc>
        <w:tc>
          <w:tcPr>
            <w:tcW w:w="5310" w:type="dxa"/>
            <w:tcBorders>
              <w:top w:val="nil"/>
              <w:left w:val="nil"/>
              <w:bottom w:val="nil"/>
              <w:right w:val="nil"/>
            </w:tcBorders>
            <w:shd w:val="clear" w:color="auto" w:fill="auto"/>
            <w:vAlign w:val="bottom"/>
            <w:hideMark/>
          </w:tcPr>
          <w:p w14:paraId="5661231E" w14:textId="77777777" w:rsidR="007D29F8" w:rsidRPr="00BB4F9C" w:rsidRDefault="007D29F8" w:rsidP="00DB6666">
            <w:pPr>
              <w:jc w:val="left"/>
              <w:rPr>
                <w:rFonts w:asciiTheme="majorHAnsi" w:hAnsiTheme="majorHAnsi" w:cstheme="majorHAnsi"/>
                <w:sz w:val="16"/>
                <w:szCs w:val="16"/>
              </w:rPr>
            </w:pPr>
          </w:p>
        </w:tc>
        <w:tc>
          <w:tcPr>
            <w:tcW w:w="1643" w:type="dxa"/>
            <w:tcBorders>
              <w:top w:val="nil"/>
              <w:left w:val="nil"/>
              <w:bottom w:val="nil"/>
              <w:right w:val="nil"/>
            </w:tcBorders>
            <w:shd w:val="clear" w:color="auto" w:fill="auto"/>
            <w:vAlign w:val="bottom"/>
            <w:hideMark/>
          </w:tcPr>
          <w:p w14:paraId="678D071E" w14:textId="77777777" w:rsidR="007D29F8" w:rsidRPr="00BB4F9C" w:rsidRDefault="007D29F8" w:rsidP="00DB6666">
            <w:pPr>
              <w:jc w:val="center"/>
              <w:rPr>
                <w:rFonts w:asciiTheme="majorHAnsi" w:hAnsiTheme="majorHAnsi" w:cstheme="majorHAnsi"/>
                <w:sz w:val="16"/>
                <w:szCs w:val="16"/>
              </w:rPr>
            </w:pPr>
          </w:p>
        </w:tc>
      </w:tr>
      <w:tr w:rsidR="007D29F8" w:rsidRPr="00BB4F9C" w14:paraId="7C0844BC" w14:textId="77777777" w:rsidTr="00DB6666">
        <w:trPr>
          <w:trHeight w:val="345"/>
          <w:jc w:val="center"/>
        </w:trPr>
        <w:tc>
          <w:tcPr>
            <w:tcW w:w="1307" w:type="dxa"/>
            <w:tcBorders>
              <w:top w:val="single" w:sz="4" w:space="0" w:color="AAB8C4"/>
              <w:left w:val="nil"/>
              <w:bottom w:val="single" w:sz="8" w:space="0" w:color="AAB8C4"/>
              <w:right w:val="nil"/>
            </w:tcBorders>
            <w:shd w:val="clear" w:color="auto" w:fill="auto"/>
            <w:vAlign w:val="center"/>
            <w:hideMark/>
          </w:tcPr>
          <w:p w14:paraId="2D95DFD8" w14:textId="77777777" w:rsidR="007D29F8" w:rsidRPr="00BB4F9C" w:rsidRDefault="007D29F8" w:rsidP="00DB6666">
            <w:pPr>
              <w:ind w:firstLineChars="200" w:firstLine="321"/>
              <w:jc w:val="left"/>
              <w:rPr>
                <w:rFonts w:asciiTheme="majorHAnsi" w:hAnsiTheme="majorHAnsi" w:cstheme="majorHAnsi"/>
                <w:b/>
                <w:bCs/>
                <w:sz w:val="16"/>
                <w:szCs w:val="16"/>
              </w:rPr>
            </w:pPr>
            <w:r w:rsidRPr="00BB4F9C">
              <w:rPr>
                <w:rFonts w:asciiTheme="majorHAnsi" w:hAnsiTheme="majorHAnsi" w:cstheme="majorHAnsi"/>
                <w:b/>
                <w:bCs/>
                <w:sz w:val="16"/>
                <w:szCs w:val="16"/>
              </w:rPr>
              <w:t>TOTAL</w:t>
            </w:r>
          </w:p>
        </w:tc>
        <w:tc>
          <w:tcPr>
            <w:tcW w:w="5310" w:type="dxa"/>
            <w:tcBorders>
              <w:top w:val="single" w:sz="4" w:space="0" w:color="AAB8C4"/>
              <w:left w:val="nil"/>
              <w:bottom w:val="single" w:sz="8" w:space="0" w:color="AAB8C4"/>
              <w:right w:val="nil"/>
            </w:tcBorders>
            <w:shd w:val="clear" w:color="auto" w:fill="auto"/>
            <w:vAlign w:val="center"/>
            <w:hideMark/>
          </w:tcPr>
          <w:p w14:paraId="69B92AF9" w14:textId="77777777" w:rsidR="007D29F8" w:rsidRPr="00BB4F9C" w:rsidRDefault="007D29F8" w:rsidP="00DB6666">
            <w:pPr>
              <w:jc w:val="left"/>
              <w:rPr>
                <w:rFonts w:asciiTheme="majorHAnsi" w:hAnsiTheme="majorHAnsi" w:cstheme="majorHAnsi"/>
                <w:b/>
                <w:bCs/>
                <w:sz w:val="16"/>
                <w:szCs w:val="16"/>
              </w:rPr>
            </w:pPr>
            <w:r w:rsidRPr="00BB4F9C">
              <w:rPr>
                <w:rFonts w:asciiTheme="majorHAnsi" w:hAnsiTheme="majorHAnsi" w:cstheme="majorHAnsi"/>
                <w:b/>
                <w:bCs/>
                <w:sz w:val="16"/>
                <w:szCs w:val="16"/>
              </w:rPr>
              <w:t> </w:t>
            </w:r>
          </w:p>
        </w:tc>
        <w:tc>
          <w:tcPr>
            <w:tcW w:w="1643" w:type="dxa"/>
            <w:tcBorders>
              <w:top w:val="single" w:sz="4" w:space="0" w:color="AAB8C4"/>
              <w:left w:val="nil"/>
              <w:bottom w:val="single" w:sz="8" w:space="0" w:color="AAB8C4"/>
              <w:right w:val="nil"/>
            </w:tcBorders>
            <w:shd w:val="clear" w:color="auto" w:fill="auto"/>
            <w:vAlign w:val="center"/>
            <w:hideMark/>
          </w:tcPr>
          <w:p w14:paraId="7FB2738F" w14:textId="77777777" w:rsidR="007D29F8" w:rsidRPr="00BB4F9C" w:rsidRDefault="007D29F8" w:rsidP="00DB6666">
            <w:pPr>
              <w:jc w:val="center"/>
              <w:rPr>
                <w:rFonts w:asciiTheme="majorHAnsi" w:hAnsiTheme="majorHAnsi" w:cstheme="majorHAnsi"/>
                <w:b/>
                <w:bCs/>
                <w:sz w:val="16"/>
                <w:szCs w:val="16"/>
              </w:rPr>
            </w:pPr>
            <w:r w:rsidRPr="00BB4F9C">
              <w:rPr>
                <w:rFonts w:asciiTheme="majorHAnsi" w:hAnsiTheme="majorHAnsi" w:cstheme="majorHAnsi"/>
                <w:b/>
                <w:bCs/>
                <w:sz w:val="16"/>
                <w:szCs w:val="16"/>
              </w:rPr>
              <w:t>7 901</w:t>
            </w:r>
          </w:p>
        </w:tc>
      </w:tr>
    </w:tbl>
    <w:p w14:paraId="6441D003" w14:textId="77777777" w:rsidR="007D29F8" w:rsidRPr="00B376AE" w:rsidRDefault="007D29F8" w:rsidP="007D29F8">
      <w:r w:rsidRPr="00B376AE">
        <w:br w:type="page"/>
      </w:r>
    </w:p>
    <w:p w14:paraId="4BD5FCB3" w14:textId="77777777" w:rsidR="007D29F8" w:rsidRPr="00E12BB9" w:rsidRDefault="007D29F8" w:rsidP="007D29F8">
      <w:pPr>
        <w:pStyle w:val="Heading1"/>
        <w:numPr>
          <w:ilvl w:val="0"/>
          <w:numId w:val="1"/>
        </w:numPr>
        <w:ind w:left="567" w:hanging="567"/>
        <w:rPr>
          <w:lang w:val="fr-FR"/>
        </w:rPr>
      </w:pPr>
      <w:bookmarkStart w:id="481" w:name="_Toc132208464"/>
      <w:r w:rsidRPr="00E12BB9">
        <w:rPr>
          <w:lang w:val="fr-FR"/>
        </w:rPr>
        <w:lastRenderedPageBreak/>
        <w:t>Indicateurs financiers pour la période 2017-2026</w:t>
      </w:r>
      <w:bookmarkEnd w:id="481"/>
    </w:p>
    <w:p w14:paraId="6B4C314C" w14:textId="77777777" w:rsidR="007D29F8" w:rsidRPr="00E12BB9" w:rsidRDefault="007D29F8" w:rsidP="007D29F8"/>
    <w:p w14:paraId="650C1B61" w14:textId="39520DF2" w:rsidR="007D29F8" w:rsidRPr="00E12BB9" w:rsidRDefault="007D29F8" w:rsidP="007D29F8">
      <w:pPr>
        <w:tabs>
          <w:tab w:val="left" w:pos="567"/>
        </w:tabs>
      </w:pPr>
      <w:r w:rsidRPr="00E12BB9">
        <w:t>Le programme et budget pour l’exercice biennal </w:t>
      </w:r>
      <w:r w:rsidRPr="00E12BB9">
        <w:rPr>
          <w:snapToGrid w:val="0"/>
          <w:spacing w:val="-2"/>
          <w:szCs w:val="24"/>
        </w:rPr>
        <w:t xml:space="preserve">2024-2025 </w:t>
      </w:r>
      <w:r w:rsidRPr="00E12BB9">
        <w:t>comprend une présentation des indicateurs financiers couvrant une période de 10 ans, y compris deux années au-delà du nouvel exercice biennal, ainsi que des renseignements sur le passé proche.  La présentation des indicateurs financiers est destinée à situer le budget proposé pour l’exercice biennal </w:t>
      </w:r>
      <w:r w:rsidRPr="00E12BB9">
        <w:rPr>
          <w:snapToGrid w:val="0"/>
          <w:spacing w:val="-2"/>
          <w:szCs w:val="24"/>
        </w:rPr>
        <w:t xml:space="preserve">2024-2025 </w:t>
      </w:r>
      <w:r w:rsidRPr="00E12BB9">
        <w:t>dans son contexte en indiquant les tendances et en évaluant la viabilité financière pour l’avenir.  Ces renseignements sont destinés à faciliter l’examen du programme et budget par les membres et leurs décisions en la matière et ils ne doivent pas être interprétés comme signifiant un quelconque engagement ou accord financier au-delà de 2025.</w:t>
      </w:r>
    </w:p>
    <w:p w14:paraId="1C83524D" w14:textId="77777777" w:rsidR="007D29F8" w:rsidRPr="00E12BB9" w:rsidRDefault="007D29F8" w:rsidP="007D29F8">
      <w:pPr>
        <w:tabs>
          <w:tab w:val="left" w:pos="567"/>
        </w:tabs>
      </w:pPr>
    </w:p>
    <w:p w14:paraId="74F90353" w14:textId="77777777" w:rsidR="007D29F8" w:rsidRPr="00E12BB9" w:rsidRDefault="007D29F8" w:rsidP="007D29F8">
      <w:pPr>
        <w:tabs>
          <w:tab w:val="left" w:pos="567"/>
        </w:tabs>
      </w:pPr>
      <w:r w:rsidRPr="000571B3">
        <w:t>Le tableau 7 et la figure 1 montrent l’évolution prévue du budget ordinaire en ce qui concerne les recettes,</w:t>
      </w:r>
      <w:r w:rsidRPr="00E12BB9">
        <w:t xml:space="preserve"> les dépenses</w:t>
      </w:r>
      <w:r w:rsidR="00037DD6">
        <w:t>,</w:t>
      </w:r>
      <w:r w:rsidRPr="00E12BB9">
        <w:t xml:space="preserve"> et </w:t>
      </w:r>
      <w:r w:rsidR="00037DD6">
        <w:t xml:space="preserve">les niveaux des réserves et du </w:t>
      </w:r>
      <w:r w:rsidRPr="00E12BB9">
        <w:t xml:space="preserve">fonds </w:t>
      </w:r>
      <w:r w:rsidR="00037DD6">
        <w:t xml:space="preserve">de </w:t>
      </w:r>
      <w:r w:rsidRPr="00E12BB9">
        <w:t>roulement.</w:t>
      </w:r>
    </w:p>
    <w:p w14:paraId="10017F91" w14:textId="77777777" w:rsidR="007D29F8" w:rsidRPr="00E12BB9" w:rsidRDefault="007D29F8" w:rsidP="007D29F8">
      <w:pPr>
        <w:rPr>
          <w:spacing w:val="-2"/>
          <w:szCs w:val="24"/>
        </w:rPr>
      </w:pPr>
    </w:p>
    <w:p w14:paraId="24878D42" w14:textId="77777777" w:rsidR="007D29F8" w:rsidRPr="00E12BB9" w:rsidRDefault="007D29F8" w:rsidP="007D29F8">
      <w:pPr>
        <w:rPr>
          <w:spacing w:val="-2"/>
          <w:szCs w:val="24"/>
        </w:rPr>
      </w:pPr>
    </w:p>
    <w:p w14:paraId="7F42DD90" w14:textId="77777777" w:rsidR="007D29F8" w:rsidRPr="00E12BB9" w:rsidRDefault="007D29F8" w:rsidP="007D29F8">
      <w:pPr>
        <w:jc w:val="center"/>
        <w:rPr>
          <w:rFonts w:cs="Arial"/>
          <w:i/>
          <w:iCs/>
          <w:sz w:val="18"/>
          <w:szCs w:val="18"/>
        </w:rPr>
      </w:pPr>
      <w:r w:rsidRPr="00E12BB9">
        <w:rPr>
          <w:rFonts w:cs="Arial"/>
          <w:b/>
          <w:bCs/>
          <w:color w:val="26724C" w:themeColor="accent1" w:themeShade="BF"/>
        </w:rPr>
        <w:t>Tableau 7</w:t>
      </w:r>
      <w:r>
        <w:rPr>
          <w:rFonts w:cs="Arial"/>
          <w:b/>
          <w:bCs/>
          <w:color w:val="26724C" w:themeColor="accent1" w:themeShade="BF"/>
        </w:rPr>
        <w:t xml:space="preserve"> –</w:t>
      </w:r>
      <w:r w:rsidRPr="00E12BB9">
        <w:rPr>
          <w:rFonts w:cs="Arial"/>
          <w:b/>
          <w:bCs/>
          <w:color w:val="26724C" w:themeColor="accent1" w:themeShade="BF"/>
        </w:rPr>
        <w:t xml:space="preserve"> Recettes, dépenses et réserves pour la période 2017-2026</w:t>
      </w:r>
      <w:r w:rsidRPr="00E12BB9">
        <w:rPr>
          <w:rFonts w:cs="Arial"/>
          <w:b/>
          <w:bCs/>
        </w:rPr>
        <w:br/>
      </w:r>
      <w:r w:rsidRPr="00E12BB9">
        <w:rPr>
          <w:rFonts w:cs="Arial"/>
          <w:i/>
          <w:iCs/>
          <w:sz w:val="18"/>
          <w:szCs w:val="18"/>
        </w:rPr>
        <w:t>(en milliers de francs suisses)</w:t>
      </w:r>
    </w:p>
    <w:p w14:paraId="433ACD2E" w14:textId="77777777" w:rsidR="007D29F8" w:rsidRPr="00E12BB9" w:rsidRDefault="007D29F8" w:rsidP="007D29F8">
      <w:pPr>
        <w:jc w:val="center"/>
        <w:rPr>
          <w:spacing w:val="-2"/>
          <w:sz w:val="18"/>
          <w:szCs w:val="18"/>
        </w:rPr>
      </w:pPr>
    </w:p>
    <w:tbl>
      <w:tblPr>
        <w:tblW w:w="8126" w:type="dxa"/>
        <w:jc w:val="center"/>
        <w:tblLook w:val="04A0" w:firstRow="1" w:lastRow="0" w:firstColumn="1" w:lastColumn="0" w:noHBand="0" w:noVBand="1"/>
      </w:tblPr>
      <w:tblGrid>
        <w:gridCol w:w="2396"/>
        <w:gridCol w:w="1004"/>
        <w:gridCol w:w="1038"/>
        <w:gridCol w:w="1216"/>
        <w:gridCol w:w="1216"/>
        <w:gridCol w:w="1256"/>
      </w:tblGrid>
      <w:tr w:rsidR="007D29F8" w:rsidRPr="00E12BB9" w14:paraId="7DDB9426" w14:textId="77777777" w:rsidTr="00DB6666">
        <w:trPr>
          <w:trHeight w:val="260"/>
          <w:jc w:val="center"/>
        </w:trPr>
        <w:tc>
          <w:tcPr>
            <w:tcW w:w="2396" w:type="dxa"/>
            <w:tcBorders>
              <w:top w:val="nil"/>
              <w:left w:val="nil"/>
              <w:right w:val="nil"/>
            </w:tcBorders>
            <w:shd w:val="clear" w:color="000000" w:fill="FFFFFF"/>
            <w:noWrap/>
            <w:vAlign w:val="bottom"/>
            <w:hideMark/>
          </w:tcPr>
          <w:p w14:paraId="41DE3EE5" w14:textId="77777777" w:rsidR="007D29F8" w:rsidRPr="00037DD6" w:rsidRDefault="007D29F8" w:rsidP="00DB6666">
            <w:pPr>
              <w:jc w:val="left"/>
              <w:rPr>
                <w:rFonts w:ascii="Arial Narrow" w:hAnsi="Arial Narrow" w:cs="Arial"/>
                <w:i/>
                <w:iCs/>
                <w:sz w:val="18"/>
                <w:szCs w:val="18"/>
              </w:rPr>
            </w:pPr>
            <w:r w:rsidRPr="00037DD6">
              <w:rPr>
                <w:rFonts w:ascii="Arial Narrow" w:hAnsi="Arial Narrow" w:cs="Arial"/>
                <w:i/>
                <w:iCs/>
                <w:sz w:val="18"/>
                <w:szCs w:val="18"/>
              </w:rPr>
              <w:t>Base budgétaire</w:t>
            </w:r>
          </w:p>
        </w:tc>
        <w:tc>
          <w:tcPr>
            <w:tcW w:w="1004" w:type="dxa"/>
            <w:tcBorders>
              <w:top w:val="nil"/>
              <w:left w:val="nil"/>
              <w:right w:val="nil"/>
            </w:tcBorders>
            <w:shd w:val="clear" w:color="000000" w:fill="FFFFFF"/>
            <w:noWrap/>
            <w:vAlign w:val="bottom"/>
            <w:hideMark/>
          </w:tcPr>
          <w:p w14:paraId="061FA139" w14:textId="77777777" w:rsidR="007D29F8" w:rsidRPr="00037DD6" w:rsidRDefault="007D29F8" w:rsidP="00DB6666">
            <w:pPr>
              <w:jc w:val="left"/>
              <w:rPr>
                <w:rFonts w:ascii="Arial Narrow" w:hAnsi="Arial Narrow" w:cs="Arial"/>
                <w:sz w:val="18"/>
                <w:szCs w:val="18"/>
              </w:rPr>
            </w:pPr>
            <w:r w:rsidRPr="00037DD6">
              <w:rPr>
                <w:rFonts w:ascii="Arial Narrow" w:hAnsi="Arial Narrow" w:cs="Arial"/>
                <w:sz w:val="18"/>
                <w:szCs w:val="18"/>
              </w:rPr>
              <w:t> </w:t>
            </w:r>
          </w:p>
        </w:tc>
        <w:tc>
          <w:tcPr>
            <w:tcW w:w="1038" w:type="dxa"/>
            <w:tcBorders>
              <w:top w:val="nil"/>
              <w:left w:val="nil"/>
              <w:right w:val="nil"/>
            </w:tcBorders>
            <w:shd w:val="clear" w:color="000000" w:fill="FFFFFF"/>
            <w:noWrap/>
            <w:vAlign w:val="bottom"/>
            <w:hideMark/>
          </w:tcPr>
          <w:p w14:paraId="0678CCDF" w14:textId="77777777" w:rsidR="007D29F8" w:rsidRPr="00037DD6" w:rsidRDefault="007D29F8" w:rsidP="00DB6666">
            <w:pPr>
              <w:jc w:val="left"/>
              <w:rPr>
                <w:rFonts w:ascii="Arial Narrow" w:hAnsi="Arial Narrow" w:cs="Arial"/>
                <w:sz w:val="18"/>
                <w:szCs w:val="18"/>
              </w:rPr>
            </w:pPr>
            <w:r w:rsidRPr="00037DD6">
              <w:rPr>
                <w:rFonts w:ascii="Arial Narrow" w:hAnsi="Arial Narrow" w:cs="Arial"/>
                <w:sz w:val="18"/>
                <w:szCs w:val="18"/>
              </w:rPr>
              <w:t> </w:t>
            </w:r>
          </w:p>
        </w:tc>
        <w:tc>
          <w:tcPr>
            <w:tcW w:w="1216" w:type="dxa"/>
            <w:tcBorders>
              <w:top w:val="nil"/>
              <w:left w:val="nil"/>
              <w:right w:val="nil"/>
            </w:tcBorders>
            <w:shd w:val="clear" w:color="000000" w:fill="FFFFFF"/>
            <w:noWrap/>
            <w:vAlign w:val="bottom"/>
            <w:hideMark/>
          </w:tcPr>
          <w:p w14:paraId="63582D39" w14:textId="77777777" w:rsidR="007D29F8" w:rsidRPr="00037DD6" w:rsidRDefault="007D29F8" w:rsidP="00DB6666">
            <w:pPr>
              <w:jc w:val="left"/>
              <w:rPr>
                <w:rFonts w:ascii="Arial Narrow" w:hAnsi="Arial Narrow" w:cs="Arial"/>
                <w:sz w:val="18"/>
                <w:szCs w:val="18"/>
              </w:rPr>
            </w:pPr>
            <w:r w:rsidRPr="00037DD6">
              <w:rPr>
                <w:rFonts w:ascii="Arial Narrow" w:hAnsi="Arial Narrow" w:cs="Arial"/>
                <w:sz w:val="18"/>
                <w:szCs w:val="18"/>
              </w:rPr>
              <w:t> </w:t>
            </w:r>
          </w:p>
        </w:tc>
        <w:tc>
          <w:tcPr>
            <w:tcW w:w="1216" w:type="dxa"/>
            <w:tcBorders>
              <w:top w:val="nil"/>
              <w:left w:val="nil"/>
              <w:right w:val="nil"/>
            </w:tcBorders>
            <w:shd w:val="clear" w:color="000000" w:fill="FFFFFF"/>
            <w:noWrap/>
            <w:vAlign w:val="bottom"/>
            <w:hideMark/>
          </w:tcPr>
          <w:p w14:paraId="48CBD5F9" w14:textId="77777777" w:rsidR="007D29F8" w:rsidRPr="00037DD6" w:rsidRDefault="007D29F8" w:rsidP="00DB6666">
            <w:pPr>
              <w:jc w:val="left"/>
              <w:rPr>
                <w:rFonts w:ascii="Arial Narrow" w:hAnsi="Arial Narrow" w:cs="Arial"/>
                <w:sz w:val="18"/>
                <w:szCs w:val="18"/>
              </w:rPr>
            </w:pPr>
            <w:r w:rsidRPr="00037DD6">
              <w:rPr>
                <w:rFonts w:ascii="Arial Narrow" w:hAnsi="Arial Narrow" w:cs="Arial"/>
                <w:sz w:val="18"/>
                <w:szCs w:val="18"/>
              </w:rPr>
              <w:t> </w:t>
            </w:r>
          </w:p>
        </w:tc>
        <w:tc>
          <w:tcPr>
            <w:tcW w:w="1256" w:type="dxa"/>
            <w:tcBorders>
              <w:top w:val="nil"/>
              <w:left w:val="nil"/>
              <w:right w:val="nil"/>
            </w:tcBorders>
            <w:shd w:val="clear" w:color="auto" w:fill="auto"/>
            <w:noWrap/>
            <w:vAlign w:val="bottom"/>
            <w:hideMark/>
          </w:tcPr>
          <w:p w14:paraId="4EDC8B5F" w14:textId="77777777" w:rsidR="007D29F8" w:rsidRPr="00037DD6" w:rsidRDefault="007D29F8" w:rsidP="00DB6666">
            <w:pPr>
              <w:jc w:val="left"/>
              <w:rPr>
                <w:rFonts w:ascii="Arial Narrow" w:hAnsi="Arial Narrow" w:cs="Arial"/>
                <w:sz w:val="18"/>
                <w:szCs w:val="18"/>
              </w:rPr>
            </w:pPr>
          </w:p>
        </w:tc>
      </w:tr>
      <w:tr w:rsidR="007D29F8" w:rsidRPr="00E12BB9" w14:paraId="0EA77A53" w14:textId="77777777" w:rsidTr="00DB6666">
        <w:trPr>
          <w:trHeight w:val="330"/>
          <w:jc w:val="center"/>
        </w:trPr>
        <w:tc>
          <w:tcPr>
            <w:tcW w:w="2396" w:type="dxa"/>
            <w:tcBorders>
              <w:top w:val="nil"/>
              <w:left w:val="nil"/>
              <w:right w:val="nil"/>
            </w:tcBorders>
            <w:shd w:val="clear" w:color="000000" w:fill="C7CFD8"/>
            <w:vAlign w:val="center"/>
            <w:hideMark/>
          </w:tcPr>
          <w:p w14:paraId="6BCF716F" w14:textId="77777777" w:rsidR="007D29F8" w:rsidRPr="00037DD6" w:rsidRDefault="007D29F8" w:rsidP="00DB6666">
            <w:pPr>
              <w:jc w:val="center"/>
              <w:rPr>
                <w:rFonts w:ascii="Arial Narrow" w:hAnsi="Arial Narrow" w:cs="Arial"/>
                <w:i/>
                <w:iCs/>
                <w:color w:val="000000"/>
                <w:sz w:val="18"/>
                <w:szCs w:val="18"/>
              </w:rPr>
            </w:pPr>
            <w:r w:rsidRPr="00037DD6">
              <w:rPr>
                <w:rFonts w:ascii="Arial Narrow" w:hAnsi="Arial Narrow" w:cs="Arial"/>
                <w:i/>
                <w:iCs/>
                <w:color w:val="000000"/>
                <w:sz w:val="18"/>
                <w:szCs w:val="18"/>
              </w:rPr>
              <w:t> </w:t>
            </w:r>
          </w:p>
        </w:tc>
        <w:tc>
          <w:tcPr>
            <w:tcW w:w="2042" w:type="dxa"/>
            <w:gridSpan w:val="2"/>
            <w:tcBorders>
              <w:top w:val="nil"/>
              <w:left w:val="nil"/>
              <w:right w:val="nil"/>
            </w:tcBorders>
            <w:shd w:val="clear" w:color="000000" w:fill="C7CFD8"/>
            <w:vAlign w:val="center"/>
            <w:hideMark/>
          </w:tcPr>
          <w:p w14:paraId="103FA471" w14:textId="77777777" w:rsidR="007D29F8" w:rsidRPr="00037DD6" w:rsidRDefault="007D29F8" w:rsidP="00DB6666">
            <w:pPr>
              <w:jc w:val="center"/>
              <w:rPr>
                <w:rFonts w:ascii="Arial Narrow" w:hAnsi="Arial Narrow" w:cs="Arial"/>
                <w:b/>
                <w:bCs/>
                <w:sz w:val="18"/>
                <w:szCs w:val="18"/>
              </w:rPr>
            </w:pPr>
            <w:r w:rsidRPr="00037DD6">
              <w:rPr>
                <w:rFonts w:ascii="Arial Narrow" w:hAnsi="Arial Narrow" w:cs="Arial"/>
                <w:b/>
                <w:bCs/>
                <w:sz w:val="18"/>
                <w:szCs w:val="18"/>
              </w:rPr>
              <w:t>Montant effectif</w:t>
            </w:r>
          </w:p>
        </w:tc>
        <w:tc>
          <w:tcPr>
            <w:tcW w:w="1216" w:type="dxa"/>
            <w:tcBorders>
              <w:top w:val="nil"/>
              <w:left w:val="nil"/>
              <w:right w:val="nil"/>
            </w:tcBorders>
            <w:shd w:val="clear" w:color="000000" w:fill="C7CFD8"/>
            <w:vAlign w:val="center"/>
            <w:hideMark/>
          </w:tcPr>
          <w:p w14:paraId="749432ED" w14:textId="77777777" w:rsidR="007D29F8" w:rsidRPr="00037DD6" w:rsidRDefault="007D29F8" w:rsidP="00DB6666">
            <w:pPr>
              <w:jc w:val="center"/>
              <w:rPr>
                <w:rFonts w:ascii="Arial Narrow" w:hAnsi="Arial Narrow" w:cs="Arial"/>
                <w:b/>
                <w:bCs/>
                <w:sz w:val="18"/>
                <w:szCs w:val="18"/>
              </w:rPr>
            </w:pPr>
            <w:r w:rsidRPr="00037DD6">
              <w:rPr>
                <w:rFonts w:ascii="Arial Narrow" w:hAnsi="Arial Narrow" w:cs="Arial"/>
                <w:b/>
                <w:bCs/>
                <w:sz w:val="18"/>
                <w:szCs w:val="18"/>
              </w:rPr>
              <w:t>Budget</w:t>
            </w:r>
          </w:p>
        </w:tc>
        <w:tc>
          <w:tcPr>
            <w:tcW w:w="1216" w:type="dxa"/>
            <w:tcBorders>
              <w:top w:val="nil"/>
              <w:left w:val="nil"/>
              <w:right w:val="nil"/>
            </w:tcBorders>
            <w:shd w:val="clear" w:color="000000" w:fill="C7CFD8"/>
            <w:vAlign w:val="center"/>
            <w:hideMark/>
          </w:tcPr>
          <w:p w14:paraId="7472B0EB" w14:textId="77777777" w:rsidR="007D29F8" w:rsidRPr="00037DD6" w:rsidRDefault="007D29F8" w:rsidP="00DB6666">
            <w:pPr>
              <w:jc w:val="center"/>
              <w:rPr>
                <w:rFonts w:ascii="Arial Narrow" w:hAnsi="Arial Narrow" w:cs="Arial"/>
                <w:b/>
                <w:bCs/>
                <w:sz w:val="18"/>
                <w:szCs w:val="18"/>
              </w:rPr>
            </w:pPr>
            <w:r w:rsidRPr="00037DD6">
              <w:rPr>
                <w:rFonts w:ascii="Arial Narrow" w:hAnsi="Arial Narrow" w:cs="Arial"/>
                <w:b/>
                <w:bCs/>
                <w:sz w:val="18"/>
                <w:szCs w:val="18"/>
              </w:rPr>
              <w:t>Budget proposé pour</w:t>
            </w:r>
          </w:p>
        </w:tc>
        <w:tc>
          <w:tcPr>
            <w:tcW w:w="1256" w:type="dxa"/>
            <w:tcBorders>
              <w:top w:val="nil"/>
              <w:left w:val="nil"/>
              <w:right w:val="nil"/>
            </w:tcBorders>
            <w:shd w:val="clear" w:color="000000" w:fill="C7CFD8"/>
            <w:vAlign w:val="center"/>
            <w:hideMark/>
          </w:tcPr>
          <w:p w14:paraId="6EFA2D44" w14:textId="77777777" w:rsidR="007D29F8" w:rsidRPr="00037DD6" w:rsidRDefault="007D29F8" w:rsidP="00DB6666">
            <w:pPr>
              <w:jc w:val="center"/>
              <w:rPr>
                <w:rFonts w:ascii="Arial Narrow" w:hAnsi="Arial Narrow" w:cs="Arial"/>
                <w:b/>
                <w:bCs/>
                <w:sz w:val="18"/>
                <w:szCs w:val="18"/>
              </w:rPr>
            </w:pPr>
            <w:r w:rsidRPr="00037DD6">
              <w:rPr>
                <w:rFonts w:ascii="Arial Narrow" w:hAnsi="Arial Narrow" w:cs="Arial"/>
                <w:b/>
                <w:bCs/>
                <w:sz w:val="18"/>
                <w:szCs w:val="18"/>
              </w:rPr>
              <w:t>Budget estimatif pour</w:t>
            </w:r>
          </w:p>
        </w:tc>
      </w:tr>
      <w:tr w:rsidR="007D29F8" w:rsidRPr="00E12BB9" w14:paraId="5B955596" w14:textId="77777777" w:rsidTr="00DB6666">
        <w:trPr>
          <w:trHeight w:val="330"/>
          <w:jc w:val="center"/>
        </w:trPr>
        <w:tc>
          <w:tcPr>
            <w:tcW w:w="2396" w:type="dxa"/>
            <w:tcBorders>
              <w:top w:val="nil"/>
              <w:left w:val="nil"/>
              <w:bottom w:val="single" w:sz="4" w:space="0" w:color="D9D9D9" w:themeColor="background1" w:themeShade="D9"/>
              <w:right w:val="nil"/>
            </w:tcBorders>
            <w:shd w:val="clear" w:color="000000" w:fill="C7CFD8"/>
            <w:vAlign w:val="center"/>
            <w:hideMark/>
          </w:tcPr>
          <w:p w14:paraId="4A0C75ED" w14:textId="77777777" w:rsidR="007D29F8" w:rsidRPr="00037DD6" w:rsidRDefault="007D29F8" w:rsidP="00DB6666">
            <w:pPr>
              <w:jc w:val="right"/>
              <w:rPr>
                <w:rFonts w:ascii="Arial Narrow" w:hAnsi="Arial Narrow" w:cs="Arial"/>
                <w:i/>
                <w:iCs/>
                <w:color w:val="000000"/>
                <w:sz w:val="18"/>
                <w:szCs w:val="18"/>
              </w:rPr>
            </w:pPr>
            <w:r w:rsidRPr="00037DD6">
              <w:rPr>
                <w:rFonts w:ascii="Arial Narrow" w:hAnsi="Arial Narrow" w:cs="Arial"/>
                <w:i/>
                <w:iCs/>
                <w:color w:val="000000"/>
                <w:sz w:val="18"/>
                <w:szCs w:val="18"/>
              </w:rPr>
              <w:t> </w:t>
            </w:r>
          </w:p>
        </w:tc>
        <w:tc>
          <w:tcPr>
            <w:tcW w:w="1004" w:type="dxa"/>
            <w:tcBorders>
              <w:top w:val="nil"/>
              <w:left w:val="nil"/>
              <w:bottom w:val="single" w:sz="4" w:space="0" w:color="D9D9D9" w:themeColor="background1" w:themeShade="D9"/>
              <w:right w:val="nil"/>
            </w:tcBorders>
            <w:shd w:val="clear" w:color="000000" w:fill="C7CFD8"/>
            <w:vAlign w:val="center"/>
            <w:hideMark/>
          </w:tcPr>
          <w:p w14:paraId="5B14F2A4" w14:textId="77777777" w:rsidR="007D29F8" w:rsidRPr="00037DD6" w:rsidRDefault="007D29F8" w:rsidP="00DB6666">
            <w:pPr>
              <w:jc w:val="center"/>
              <w:rPr>
                <w:rFonts w:ascii="Arial Narrow" w:hAnsi="Arial Narrow" w:cs="Arial"/>
                <w:b/>
                <w:bCs/>
                <w:sz w:val="18"/>
                <w:szCs w:val="18"/>
              </w:rPr>
            </w:pPr>
            <w:r w:rsidRPr="00037DD6">
              <w:rPr>
                <w:rFonts w:ascii="Arial Narrow" w:hAnsi="Arial Narrow" w:cs="Arial"/>
                <w:b/>
                <w:bCs/>
                <w:sz w:val="18"/>
                <w:szCs w:val="18"/>
              </w:rPr>
              <w:t>2018-2019</w:t>
            </w:r>
          </w:p>
        </w:tc>
        <w:tc>
          <w:tcPr>
            <w:tcW w:w="1038" w:type="dxa"/>
            <w:tcBorders>
              <w:top w:val="nil"/>
              <w:left w:val="nil"/>
              <w:bottom w:val="single" w:sz="4" w:space="0" w:color="D9D9D9" w:themeColor="background1" w:themeShade="D9"/>
              <w:right w:val="nil"/>
            </w:tcBorders>
            <w:shd w:val="clear" w:color="000000" w:fill="C7CFD8"/>
            <w:vAlign w:val="center"/>
            <w:hideMark/>
          </w:tcPr>
          <w:p w14:paraId="4DAD6CD9" w14:textId="77777777" w:rsidR="007D29F8" w:rsidRPr="00037DD6" w:rsidRDefault="007D29F8" w:rsidP="00DB6666">
            <w:pPr>
              <w:jc w:val="center"/>
              <w:rPr>
                <w:rFonts w:ascii="Arial Narrow" w:hAnsi="Arial Narrow" w:cs="Arial"/>
                <w:b/>
                <w:bCs/>
                <w:sz w:val="18"/>
                <w:szCs w:val="18"/>
              </w:rPr>
            </w:pPr>
            <w:r w:rsidRPr="00037DD6">
              <w:rPr>
                <w:rFonts w:ascii="Arial Narrow" w:hAnsi="Arial Narrow" w:cs="Arial"/>
                <w:b/>
                <w:bCs/>
                <w:sz w:val="18"/>
                <w:szCs w:val="18"/>
              </w:rPr>
              <w:t>2020-2021</w:t>
            </w:r>
          </w:p>
        </w:tc>
        <w:tc>
          <w:tcPr>
            <w:tcW w:w="1216" w:type="dxa"/>
            <w:tcBorders>
              <w:top w:val="nil"/>
              <w:left w:val="nil"/>
              <w:bottom w:val="single" w:sz="4" w:space="0" w:color="D9D9D9" w:themeColor="background1" w:themeShade="D9"/>
              <w:right w:val="nil"/>
            </w:tcBorders>
            <w:shd w:val="clear" w:color="000000" w:fill="C7CFD8"/>
            <w:noWrap/>
            <w:vAlign w:val="center"/>
            <w:hideMark/>
          </w:tcPr>
          <w:p w14:paraId="1135908F" w14:textId="77777777" w:rsidR="007D29F8" w:rsidRPr="00037DD6" w:rsidRDefault="007D29F8" w:rsidP="00DB6666">
            <w:pPr>
              <w:jc w:val="center"/>
              <w:rPr>
                <w:rFonts w:ascii="Arial Narrow" w:hAnsi="Arial Narrow" w:cs="Arial"/>
                <w:b/>
                <w:bCs/>
                <w:sz w:val="18"/>
                <w:szCs w:val="18"/>
              </w:rPr>
            </w:pPr>
            <w:r w:rsidRPr="00037DD6">
              <w:rPr>
                <w:rFonts w:ascii="Arial Narrow" w:hAnsi="Arial Narrow" w:cs="Arial"/>
                <w:b/>
                <w:bCs/>
                <w:sz w:val="18"/>
                <w:szCs w:val="18"/>
              </w:rPr>
              <w:t xml:space="preserve">2022-2023 </w:t>
            </w:r>
          </w:p>
        </w:tc>
        <w:tc>
          <w:tcPr>
            <w:tcW w:w="1216" w:type="dxa"/>
            <w:tcBorders>
              <w:top w:val="nil"/>
              <w:left w:val="nil"/>
              <w:bottom w:val="single" w:sz="4" w:space="0" w:color="D9D9D9" w:themeColor="background1" w:themeShade="D9"/>
              <w:right w:val="nil"/>
            </w:tcBorders>
            <w:shd w:val="clear" w:color="000000" w:fill="C7CFD8"/>
            <w:noWrap/>
            <w:vAlign w:val="center"/>
            <w:hideMark/>
          </w:tcPr>
          <w:p w14:paraId="4EF77B9D" w14:textId="77777777" w:rsidR="007D29F8" w:rsidRPr="00037DD6" w:rsidRDefault="007D29F8" w:rsidP="00DB6666">
            <w:pPr>
              <w:jc w:val="center"/>
              <w:rPr>
                <w:rFonts w:ascii="Arial Narrow" w:hAnsi="Arial Narrow" w:cs="Arial"/>
                <w:b/>
                <w:bCs/>
                <w:sz w:val="18"/>
                <w:szCs w:val="18"/>
              </w:rPr>
            </w:pPr>
            <w:r w:rsidRPr="00037DD6">
              <w:rPr>
                <w:rFonts w:ascii="Arial Narrow" w:hAnsi="Arial Narrow" w:cs="Arial"/>
                <w:b/>
                <w:bCs/>
                <w:sz w:val="18"/>
                <w:szCs w:val="18"/>
              </w:rPr>
              <w:t xml:space="preserve">2024-2025 </w:t>
            </w:r>
          </w:p>
        </w:tc>
        <w:tc>
          <w:tcPr>
            <w:tcW w:w="1256" w:type="dxa"/>
            <w:tcBorders>
              <w:top w:val="nil"/>
              <w:left w:val="nil"/>
              <w:bottom w:val="single" w:sz="4" w:space="0" w:color="D9D9D9" w:themeColor="background1" w:themeShade="D9"/>
              <w:right w:val="nil"/>
            </w:tcBorders>
            <w:shd w:val="clear" w:color="000000" w:fill="C7CFD8"/>
            <w:noWrap/>
            <w:vAlign w:val="center"/>
            <w:hideMark/>
          </w:tcPr>
          <w:p w14:paraId="074E22AF" w14:textId="77777777" w:rsidR="007D29F8" w:rsidRPr="00037DD6" w:rsidRDefault="007D29F8" w:rsidP="00DB6666">
            <w:pPr>
              <w:jc w:val="center"/>
              <w:rPr>
                <w:rFonts w:ascii="Arial Narrow" w:hAnsi="Arial Narrow" w:cs="Arial"/>
                <w:b/>
                <w:bCs/>
                <w:sz w:val="18"/>
                <w:szCs w:val="18"/>
              </w:rPr>
            </w:pPr>
            <w:r w:rsidRPr="00037DD6">
              <w:rPr>
                <w:rFonts w:ascii="Arial Narrow" w:hAnsi="Arial Narrow" w:cs="Arial"/>
                <w:b/>
                <w:bCs/>
                <w:sz w:val="18"/>
                <w:szCs w:val="18"/>
              </w:rPr>
              <w:t>2026-2027</w:t>
            </w:r>
          </w:p>
        </w:tc>
      </w:tr>
      <w:tr w:rsidR="007D29F8" w:rsidRPr="00E12BB9" w14:paraId="59C37972" w14:textId="77777777" w:rsidTr="00037DD6">
        <w:trPr>
          <w:trHeight w:val="420"/>
          <w:jc w:val="center"/>
        </w:trPr>
        <w:tc>
          <w:tcPr>
            <w:tcW w:w="2396" w:type="dxa"/>
            <w:tcBorders>
              <w:top w:val="single" w:sz="4" w:space="0" w:color="D9D9D9" w:themeColor="background1" w:themeShade="D9"/>
              <w:left w:val="nil"/>
            </w:tcBorders>
            <w:shd w:val="clear" w:color="000000" w:fill="FFFFFF"/>
            <w:vAlign w:val="center"/>
            <w:hideMark/>
          </w:tcPr>
          <w:p w14:paraId="0B01364F" w14:textId="77777777" w:rsidR="007D29F8" w:rsidRPr="00037DD6" w:rsidRDefault="007D29F8" w:rsidP="00DB6666">
            <w:pPr>
              <w:jc w:val="left"/>
              <w:rPr>
                <w:rFonts w:ascii="Arial Narrow" w:hAnsi="Arial Narrow" w:cs="Arial"/>
                <w:color w:val="000000"/>
                <w:sz w:val="18"/>
                <w:szCs w:val="18"/>
              </w:rPr>
            </w:pPr>
            <w:r w:rsidRPr="00037DD6">
              <w:rPr>
                <w:rFonts w:ascii="Arial Narrow" w:hAnsi="Arial Narrow" w:cs="Arial"/>
                <w:color w:val="000000"/>
                <w:sz w:val="18"/>
                <w:szCs w:val="18"/>
              </w:rPr>
              <w:t>Recettes</w:t>
            </w:r>
          </w:p>
        </w:tc>
        <w:tc>
          <w:tcPr>
            <w:tcW w:w="1004" w:type="dxa"/>
            <w:tcBorders>
              <w:top w:val="single" w:sz="4" w:space="0" w:color="D9D9D9" w:themeColor="background1" w:themeShade="D9"/>
            </w:tcBorders>
            <w:shd w:val="clear" w:color="auto" w:fill="auto"/>
            <w:vAlign w:val="center"/>
            <w:hideMark/>
          </w:tcPr>
          <w:p w14:paraId="488D2DDF" w14:textId="77777777" w:rsidR="007D29F8" w:rsidRPr="00037DD6" w:rsidRDefault="007D29F8" w:rsidP="00037DD6">
            <w:pPr>
              <w:jc w:val="right"/>
              <w:rPr>
                <w:rFonts w:ascii="Arial Narrow" w:hAnsi="Arial Narrow" w:cs="Arial"/>
                <w:color w:val="000000"/>
                <w:sz w:val="18"/>
                <w:szCs w:val="18"/>
              </w:rPr>
            </w:pPr>
            <w:r w:rsidRPr="00037DD6">
              <w:rPr>
                <w:rFonts w:ascii="Arial Narrow" w:hAnsi="Arial Narrow" w:cs="Arial"/>
                <w:sz w:val="18"/>
                <w:szCs w:val="18"/>
              </w:rPr>
              <w:t>6 931</w:t>
            </w:r>
          </w:p>
        </w:tc>
        <w:tc>
          <w:tcPr>
            <w:tcW w:w="1038" w:type="dxa"/>
            <w:tcBorders>
              <w:top w:val="single" w:sz="4" w:space="0" w:color="D9D9D9" w:themeColor="background1" w:themeShade="D9"/>
            </w:tcBorders>
            <w:shd w:val="clear" w:color="auto" w:fill="auto"/>
            <w:vAlign w:val="center"/>
            <w:hideMark/>
          </w:tcPr>
          <w:p w14:paraId="6B258E30" w14:textId="77777777" w:rsidR="007D29F8" w:rsidRPr="00037DD6" w:rsidRDefault="007D29F8" w:rsidP="00037DD6">
            <w:pPr>
              <w:jc w:val="right"/>
              <w:rPr>
                <w:rFonts w:ascii="Arial Narrow" w:hAnsi="Arial Narrow" w:cs="Arial"/>
                <w:color w:val="000000"/>
                <w:sz w:val="18"/>
                <w:szCs w:val="18"/>
              </w:rPr>
            </w:pPr>
            <w:r w:rsidRPr="00037DD6">
              <w:rPr>
                <w:rFonts w:ascii="Arial Narrow" w:hAnsi="Arial Narrow" w:cs="Arial"/>
                <w:sz w:val="18"/>
                <w:szCs w:val="18"/>
              </w:rPr>
              <w:t>7 404</w:t>
            </w:r>
          </w:p>
        </w:tc>
        <w:tc>
          <w:tcPr>
            <w:tcW w:w="1216" w:type="dxa"/>
            <w:tcBorders>
              <w:top w:val="single" w:sz="4" w:space="0" w:color="D9D9D9" w:themeColor="background1" w:themeShade="D9"/>
            </w:tcBorders>
            <w:shd w:val="clear" w:color="auto" w:fill="auto"/>
            <w:vAlign w:val="center"/>
            <w:hideMark/>
          </w:tcPr>
          <w:p w14:paraId="1ACCC0E6" w14:textId="77777777" w:rsidR="007D29F8" w:rsidRPr="00037DD6" w:rsidRDefault="007D29F8" w:rsidP="00037DD6">
            <w:pPr>
              <w:jc w:val="right"/>
              <w:rPr>
                <w:rFonts w:ascii="Arial Narrow" w:hAnsi="Arial Narrow" w:cs="Arial"/>
                <w:color w:val="000000"/>
                <w:sz w:val="18"/>
                <w:szCs w:val="18"/>
              </w:rPr>
            </w:pPr>
            <w:r w:rsidRPr="00037DD6">
              <w:rPr>
                <w:rFonts w:ascii="Arial Narrow" w:hAnsi="Arial Narrow" w:cs="Arial"/>
                <w:sz w:val="18"/>
                <w:szCs w:val="18"/>
              </w:rPr>
              <w:t>7 635</w:t>
            </w:r>
          </w:p>
        </w:tc>
        <w:tc>
          <w:tcPr>
            <w:tcW w:w="1216" w:type="dxa"/>
            <w:tcBorders>
              <w:top w:val="single" w:sz="4" w:space="0" w:color="D9D9D9" w:themeColor="background1" w:themeShade="D9"/>
            </w:tcBorders>
            <w:shd w:val="clear" w:color="auto" w:fill="auto"/>
            <w:vAlign w:val="center"/>
            <w:hideMark/>
          </w:tcPr>
          <w:p w14:paraId="3C10FBF7" w14:textId="77777777" w:rsidR="007D29F8" w:rsidRPr="00037DD6" w:rsidRDefault="007D29F8" w:rsidP="00037DD6">
            <w:pPr>
              <w:jc w:val="right"/>
              <w:rPr>
                <w:rFonts w:ascii="Arial Narrow" w:hAnsi="Arial Narrow" w:cs="Arial"/>
                <w:sz w:val="18"/>
                <w:szCs w:val="18"/>
              </w:rPr>
            </w:pPr>
            <w:r w:rsidRPr="00037DD6">
              <w:rPr>
                <w:rFonts w:ascii="Arial Narrow" w:hAnsi="Arial Narrow" w:cs="Arial"/>
                <w:sz w:val="18"/>
                <w:szCs w:val="18"/>
              </w:rPr>
              <w:t>7 901</w:t>
            </w:r>
          </w:p>
        </w:tc>
        <w:tc>
          <w:tcPr>
            <w:tcW w:w="1256" w:type="dxa"/>
            <w:tcBorders>
              <w:top w:val="single" w:sz="4" w:space="0" w:color="D9D9D9" w:themeColor="background1" w:themeShade="D9"/>
            </w:tcBorders>
            <w:shd w:val="clear" w:color="auto" w:fill="auto"/>
            <w:vAlign w:val="center"/>
            <w:hideMark/>
          </w:tcPr>
          <w:p w14:paraId="729F0659" w14:textId="77777777" w:rsidR="007D29F8" w:rsidRPr="00037DD6" w:rsidRDefault="007D29F8" w:rsidP="00037DD6">
            <w:pPr>
              <w:jc w:val="right"/>
              <w:rPr>
                <w:rFonts w:ascii="Arial Narrow" w:hAnsi="Arial Narrow" w:cs="Arial"/>
                <w:sz w:val="18"/>
                <w:szCs w:val="18"/>
              </w:rPr>
            </w:pPr>
            <w:r w:rsidRPr="00037DD6">
              <w:rPr>
                <w:rFonts w:ascii="Arial Narrow" w:hAnsi="Arial Narrow" w:cs="Arial"/>
                <w:sz w:val="18"/>
                <w:szCs w:val="18"/>
              </w:rPr>
              <w:t>8 013</w:t>
            </w:r>
          </w:p>
        </w:tc>
      </w:tr>
      <w:tr w:rsidR="007D29F8" w:rsidRPr="00E12BB9" w14:paraId="5BB16B61" w14:textId="77777777" w:rsidTr="00037DD6">
        <w:trPr>
          <w:trHeight w:val="420"/>
          <w:jc w:val="center"/>
        </w:trPr>
        <w:tc>
          <w:tcPr>
            <w:tcW w:w="2396" w:type="dxa"/>
            <w:tcBorders>
              <w:top w:val="nil"/>
              <w:left w:val="nil"/>
              <w:bottom w:val="single" w:sz="4" w:space="0" w:color="D9D9D9" w:themeColor="background1" w:themeShade="D9"/>
            </w:tcBorders>
            <w:shd w:val="clear" w:color="000000" w:fill="FFFFFF"/>
            <w:vAlign w:val="center"/>
            <w:hideMark/>
          </w:tcPr>
          <w:p w14:paraId="3B16E0A8" w14:textId="77777777" w:rsidR="007D29F8" w:rsidRPr="00037DD6" w:rsidRDefault="007D29F8" w:rsidP="00DB6666">
            <w:pPr>
              <w:jc w:val="left"/>
              <w:rPr>
                <w:rFonts w:ascii="Arial Narrow" w:hAnsi="Arial Narrow" w:cs="Arial"/>
                <w:color w:val="000000"/>
                <w:sz w:val="18"/>
                <w:szCs w:val="18"/>
              </w:rPr>
            </w:pPr>
            <w:r w:rsidRPr="00037DD6">
              <w:rPr>
                <w:rFonts w:ascii="Arial Narrow" w:hAnsi="Arial Narrow" w:cs="Arial"/>
                <w:color w:val="000000"/>
                <w:sz w:val="18"/>
                <w:szCs w:val="18"/>
              </w:rPr>
              <w:t>Dépenses</w:t>
            </w:r>
          </w:p>
        </w:tc>
        <w:tc>
          <w:tcPr>
            <w:tcW w:w="1004" w:type="dxa"/>
            <w:tcBorders>
              <w:top w:val="nil"/>
              <w:bottom w:val="single" w:sz="4" w:space="0" w:color="D9D9D9" w:themeColor="background1" w:themeShade="D9"/>
            </w:tcBorders>
            <w:shd w:val="clear" w:color="auto" w:fill="auto"/>
            <w:vAlign w:val="center"/>
            <w:hideMark/>
          </w:tcPr>
          <w:p w14:paraId="77B5697D" w14:textId="77777777" w:rsidR="007D29F8" w:rsidRPr="00037DD6" w:rsidRDefault="007D29F8" w:rsidP="00037DD6">
            <w:pPr>
              <w:jc w:val="right"/>
              <w:rPr>
                <w:rFonts w:ascii="Arial Narrow" w:hAnsi="Arial Narrow" w:cs="Arial"/>
                <w:color w:val="000000"/>
                <w:sz w:val="18"/>
                <w:szCs w:val="18"/>
              </w:rPr>
            </w:pPr>
            <w:r w:rsidRPr="00037DD6">
              <w:rPr>
                <w:rFonts w:ascii="Arial Narrow" w:hAnsi="Arial Narrow" w:cs="Arial"/>
                <w:sz w:val="18"/>
                <w:szCs w:val="18"/>
              </w:rPr>
              <w:t>6 854</w:t>
            </w:r>
          </w:p>
        </w:tc>
        <w:tc>
          <w:tcPr>
            <w:tcW w:w="1038" w:type="dxa"/>
            <w:tcBorders>
              <w:top w:val="nil"/>
              <w:bottom w:val="single" w:sz="4" w:space="0" w:color="D9D9D9" w:themeColor="background1" w:themeShade="D9"/>
            </w:tcBorders>
            <w:shd w:val="clear" w:color="auto" w:fill="auto"/>
            <w:vAlign w:val="center"/>
            <w:hideMark/>
          </w:tcPr>
          <w:p w14:paraId="059CE629" w14:textId="77777777" w:rsidR="007D29F8" w:rsidRPr="00037DD6" w:rsidRDefault="007D29F8" w:rsidP="00037DD6">
            <w:pPr>
              <w:jc w:val="right"/>
              <w:rPr>
                <w:rFonts w:ascii="Arial Narrow" w:hAnsi="Arial Narrow" w:cs="Arial"/>
                <w:color w:val="000000"/>
                <w:sz w:val="18"/>
                <w:szCs w:val="18"/>
              </w:rPr>
            </w:pPr>
            <w:r w:rsidRPr="00037DD6">
              <w:rPr>
                <w:rFonts w:ascii="Arial Narrow" w:hAnsi="Arial Narrow" w:cs="Arial"/>
                <w:sz w:val="18"/>
                <w:szCs w:val="18"/>
              </w:rPr>
              <w:t>7 071</w:t>
            </w:r>
          </w:p>
        </w:tc>
        <w:tc>
          <w:tcPr>
            <w:tcW w:w="1216" w:type="dxa"/>
            <w:tcBorders>
              <w:top w:val="nil"/>
              <w:bottom w:val="single" w:sz="4" w:space="0" w:color="D9D9D9" w:themeColor="background1" w:themeShade="D9"/>
            </w:tcBorders>
            <w:shd w:val="clear" w:color="auto" w:fill="auto"/>
            <w:vAlign w:val="center"/>
            <w:hideMark/>
          </w:tcPr>
          <w:p w14:paraId="6F366F36" w14:textId="77777777" w:rsidR="007D29F8" w:rsidRPr="00037DD6" w:rsidRDefault="007D29F8" w:rsidP="00037DD6">
            <w:pPr>
              <w:jc w:val="right"/>
              <w:rPr>
                <w:rFonts w:ascii="Arial Narrow" w:hAnsi="Arial Narrow" w:cs="Arial"/>
                <w:color w:val="000000"/>
                <w:sz w:val="18"/>
                <w:szCs w:val="18"/>
              </w:rPr>
            </w:pPr>
            <w:r w:rsidRPr="00037DD6">
              <w:rPr>
                <w:rFonts w:ascii="Arial Narrow" w:hAnsi="Arial Narrow" w:cs="Arial"/>
                <w:sz w:val="18"/>
                <w:szCs w:val="18"/>
              </w:rPr>
              <w:t>7 635</w:t>
            </w:r>
          </w:p>
        </w:tc>
        <w:tc>
          <w:tcPr>
            <w:tcW w:w="1216" w:type="dxa"/>
            <w:tcBorders>
              <w:top w:val="nil"/>
              <w:bottom w:val="single" w:sz="4" w:space="0" w:color="D9D9D9" w:themeColor="background1" w:themeShade="D9"/>
            </w:tcBorders>
            <w:shd w:val="clear" w:color="auto" w:fill="auto"/>
            <w:vAlign w:val="center"/>
            <w:hideMark/>
          </w:tcPr>
          <w:p w14:paraId="16554CED" w14:textId="77777777" w:rsidR="007D29F8" w:rsidRPr="00037DD6" w:rsidRDefault="007D29F8" w:rsidP="00037DD6">
            <w:pPr>
              <w:jc w:val="right"/>
              <w:rPr>
                <w:rFonts w:ascii="Arial Narrow" w:hAnsi="Arial Narrow" w:cs="Arial"/>
                <w:sz w:val="18"/>
                <w:szCs w:val="18"/>
              </w:rPr>
            </w:pPr>
            <w:r w:rsidRPr="00037DD6">
              <w:rPr>
                <w:rFonts w:ascii="Arial Narrow" w:hAnsi="Arial Narrow" w:cs="Arial"/>
                <w:sz w:val="18"/>
                <w:szCs w:val="18"/>
              </w:rPr>
              <w:t>7 901</w:t>
            </w:r>
          </w:p>
        </w:tc>
        <w:tc>
          <w:tcPr>
            <w:tcW w:w="1256" w:type="dxa"/>
            <w:tcBorders>
              <w:top w:val="nil"/>
              <w:bottom w:val="single" w:sz="4" w:space="0" w:color="D9D9D9" w:themeColor="background1" w:themeShade="D9"/>
            </w:tcBorders>
            <w:shd w:val="clear" w:color="auto" w:fill="auto"/>
            <w:vAlign w:val="center"/>
            <w:hideMark/>
          </w:tcPr>
          <w:p w14:paraId="6174DF8F" w14:textId="77777777" w:rsidR="007D29F8" w:rsidRPr="00037DD6" w:rsidRDefault="007D29F8" w:rsidP="00037DD6">
            <w:pPr>
              <w:jc w:val="right"/>
              <w:rPr>
                <w:rFonts w:ascii="Arial Narrow" w:hAnsi="Arial Narrow" w:cs="Arial"/>
                <w:sz w:val="18"/>
                <w:szCs w:val="18"/>
              </w:rPr>
            </w:pPr>
            <w:r w:rsidRPr="00037DD6">
              <w:rPr>
                <w:rFonts w:ascii="Arial Narrow" w:hAnsi="Arial Narrow" w:cs="Arial"/>
                <w:sz w:val="18"/>
                <w:szCs w:val="18"/>
              </w:rPr>
              <w:t>8 013</w:t>
            </w:r>
          </w:p>
        </w:tc>
      </w:tr>
      <w:tr w:rsidR="007D29F8" w:rsidRPr="00E12BB9" w14:paraId="60327B86" w14:textId="77777777" w:rsidTr="00037DD6">
        <w:trPr>
          <w:trHeight w:val="375"/>
          <w:jc w:val="center"/>
        </w:trPr>
        <w:tc>
          <w:tcPr>
            <w:tcW w:w="2396" w:type="dxa"/>
            <w:tcBorders>
              <w:top w:val="single" w:sz="4" w:space="0" w:color="D9D9D9" w:themeColor="background1" w:themeShade="D9"/>
              <w:left w:val="nil"/>
              <w:bottom w:val="single" w:sz="4" w:space="0" w:color="D9D9D9" w:themeColor="background1" w:themeShade="D9"/>
            </w:tcBorders>
            <w:shd w:val="clear" w:color="000000" w:fill="FFFFFF"/>
            <w:vAlign w:val="center"/>
            <w:hideMark/>
          </w:tcPr>
          <w:p w14:paraId="407160CC" w14:textId="77777777" w:rsidR="007D29F8" w:rsidRPr="00037DD6" w:rsidRDefault="007D29F8" w:rsidP="00DB6666">
            <w:pPr>
              <w:ind w:firstLineChars="100" w:firstLine="180"/>
              <w:jc w:val="left"/>
              <w:rPr>
                <w:rFonts w:ascii="Arial Narrow" w:hAnsi="Arial Narrow" w:cs="Arial"/>
                <w:i/>
                <w:iCs/>
                <w:color w:val="000000"/>
                <w:sz w:val="18"/>
                <w:szCs w:val="18"/>
              </w:rPr>
            </w:pPr>
            <w:r w:rsidRPr="00037DD6">
              <w:rPr>
                <w:rFonts w:ascii="Arial Narrow" w:hAnsi="Arial Narrow" w:cs="Arial"/>
                <w:i/>
                <w:iCs/>
                <w:color w:val="000000"/>
                <w:sz w:val="18"/>
                <w:szCs w:val="18"/>
              </w:rPr>
              <w:t>Différence</w:t>
            </w:r>
          </w:p>
        </w:tc>
        <w:tc>
          <w:tcPr>
            <w:tcW w:w="1004" w:type="dxa"/>
            <w:tcBorders>
              <w:top w:val="single" w:sz="4" w:space="0" w:color="D9D9D9" w:themeColor="background1" w:themeShade="D9"/>
              <w:bottom w:val="single" w:sz="4" w:space="0" w:color="D9D9D9" w:themeColor="background1" w:themeShade="D9"/>
            </w:tcBorders>
            <w:shd w:val="clear" w:color="auto" w:fill="auto"/>
            <w:vAlign w:val="center"/>
            <w:hideMark/>
          </w:tcPr>
          <w:p w14:paraId="589B55EA" w14:textId="77777777" w:rsidR="007D29F8" w:rsidRPr="00037DD6" w:rsidRDefault="007D29F8" w:rsidP="00037DD6">
            <w:pPr>
              <w:jc w:val="right"/>
              <w:rPr>
                <w:rFonts w:ascii="Arial Narrow" w:hAnsi="Arial Narrow" w:cs="Arial"/>
                <w:i/>
                <w:iCs/>
                <w:color w:val="000000"/>
                <w:sz w:val="18"/>
                <w:szCs w:val="18"/>
              </w:rPr>
            </w:pPr>
            <w:r w:rsidRPr="00037DD6">
              <w:rPr>
                <w:rFonts w:ascii="Arial Narrow" w:hAnsi="Arial Narrow" w:cs="Arial"/>
                <w:i/>
                <w:iCs/>
                <w:sz w:val="18"/>
                <w:szCs w:val="18"/>
              </w:rPr>
              <w:t>76</w:t>
            </w:r>
          </w:p>
        </w:tc>
        <w:tc>
          <w:tcPr>
            <w:tcW w:w="1038" w:type="dxa"/>
            <w:tcBorders>
              <w:top w:val="single" w:sz="4" w:space="0" w:color="D9D9D9" w:themeColor="background1" w:themeShade="D9"/>
              <w:bottom w:val="single" w:sz="4" w:space="0" w:color="D9D9D9" w:themeColor="background1" w:themeShade="D9"/>
            </w:tcBorders>
            <w:shd w:val="clear" w:color="auto" w:fill="auto"/>
            <w:vAlign w:val="center"/>
            <w:hideMark/>
          </w:tcPr>
          <w:p w14:paraId="5A3BC9BF" w14:textId="77777777" w:rsidR="007D29F8" w:rsidRPr="00037DD6" w:rsidRDefault="007D29F8" w:rsidP="00037DD6">
            <w:pPr>
              <w:jc w:val="right"/>
              <w:rPr>
                <w:rFonts w:ascii="Arial Narrow" w:hAnsi="Arial Narrow" w:cs="Arial"/>
                <w:i/>
                <w:iCs/>
                <w:color w:val="000000"/>
                <w:sz w:val="18"/>
                <w:szCs w:val="18"/>
              </w:rPr>
            </w:pPr>
            <w:r w:rsidRPr="00037DD6">
              <w:rPr>
                <w:rFonts w:ascii="Arial Narrow" w:hAnsi="Arial Narrow" w:cs="Arial"/>
                <w:i/>
                <w:iCs/>
                <w:sz w:val="18"/>
                <w:szCs w:val="18"/>
              </w:rPr>
              <w:t>334</w:t>
            </w:r>
          </w:p>
        </w:tc>
        <w:tc>
          <w:tcPr>
            <w:tcW w:w="1216" w:type="dxa"/>
            <w:tcBorders>
              <w:top w:val="single" w:sz="4" w:space="0" w:color="D9D9D9" w:themeColor="background1" w:themeShade="D9"/>
              <w:bottom w:val="single" w:sz="4" w:space="0" w:color="D9D9D9" w:themeColor="background1" w:themeShade="D9"/>
            </w:tcBorders>
            <w:shd w:val="clear" w:color="auto" w:fill="auto"/>
            <w:vAlign w:val="center"/>
            <w:hideMark/>
          </w:tcPr>
          <w:p w14:paraId="42B79920" w14:textId="77777777" w:rsidR="007D29F8" w:rsidRPr="00037DD6" w:rsidRDefault="007D29F8" w:rsidP="00037DD6">
            <w:pPr>
              <w:jc w:val="right"/>
              <w:rPr>
                <w:rFonts w:ascii="Arial Narrow" w:hAnsi="Arial Narrow" w:cs="Arial"/>
                <w:i/>
                <w:iCs/>
                <w:color w:val="000000"/>
                <w:sz w:val="18"/>
                <w:szCs w:val="18"/>
              </w:rPr>
            </w:pPr>
            <w:r w:rsidRPr="00037DD6">
              <w:rPr>
                <w:rFonts w:ascii="Arial Narrow" w:hAnsi="Arial Narrow" w:cs="Arial"/>
                <w:i/>
                <w:iCs/>
                <w:sz w:val="18"/>
                <w:szCs w:val="18"/>
              </w:rPr>
              <w:t>-</w:t>
            </w:r>
          </w:p>
        </w:tc>
        <w:tc>
          <w:tcPr>
            <w:tcW w:w="1216" w:type="dxa"/>
            <w:tcBorders>
              <w:top w:val="single" w:sz="4" w:space="0" w:color="D9D9D9" w:themeColor="background1" w:themeShade="D9"/>
              <w:bottom w:val="single" w:sz="4" w:space="0" w:color="D9D9D9" w:themeColor="background1" w:themeShade="D9"/>
            </w:tcBorders>
            <w:shd w:val="clear" w:color="auto" w:fill="auto"/>
            <w:vAlign w:val="center"/>
            <w:hideMark/>
          </w:tcPr>
          <w:p w14:paraId="187A3A51" w14:textId="77777777" w:rsidR="007D29F8" w:rsidRPr="00037DD6" w:rsidRDefault="007D29F8" w:rsidP="00037DD6">
            <w:pPr>
              <w:jc w:val="right"/>
              <w:rPr>
                <w:rFonts w:ascii="Arial Narrow" w:hAnsi="Arial Narrow" w:cs="Arial"/>
                <w:i/>
                <w:iCs/>
                <w:color w:val="000000"/>
                <w:sz w:val="18"/>
                <w:szCs w:val="18"/>
              </w:rPr>
            </w:pPr>
            <w:r w:rsidRPr="00037DD6">
              <w:rPr>
                <w:rFonts w:ascii="Arial Narrow" w:hAnsi="Arial Narrow" w:cs="Arial"/>
                <w:i/>
                <w:iCs/>
                <w:sz w:val="18"/>
                <w:szCs w:val="18"/>
              </w:rPr>
              <w:t>-</w:t>
            </w:r>
          </w:p>
        </w:tc>
        <w:tc>
          <w:tcPr>
            <w:tcW w:w="1256" w:type="dxa"/>
            <w:tcBorders>
              <w:top w:val="single" w:sz="4" w:space="0" w:color="D9D9D9" w:themeColor="background1" w:themeShade="D9"/>
              <w:bottom w:val="single" w:sz="4" w:space="0" w:color="D9D9D9" w:themeColor="background1" w:themeShade="D9"/>
            </w:tcBorders>
            <w:shd w:val="clear" w:color="auto" w:fill="auto"/>
            <w:vAlign w:val="center"/>
            <w:hideMark/>
          </w:tcPr>
          <w:p w14:paraId="241BF92A" w14:textId="77777777" w:rsidR="007D29F8" w:rsidRPr="00037DD6" w:rsidRDefault="007D29F8" w:rsidP="00037DD6">
            <w:pPr>
              <w:jc w:val="right"/>
              <w:rPr>
                <w:rFonts w:ascii="Arial Narrow" w:hAnsi="Arial Narrow" w:cs="Arial"/>
                <w:i/>
                <w:iCs/>
                <w:color w:val="000000"/>
                <w:sz w:val="18"/>
                <w:szCs w:val="18"/>
              </w:rPr>
            </w:pPr>
            <w:r w:rsidRPr="00037DD6">
              <w:rPr>
                <w:rFonts w:ascii="Arial Narrow" w:hAnsi="Arial Narrow" w:cs="Arial"/>
                <w:i/>
                <w:iCs/>
                <w:sz w:val="18"/>
                <w:szCs w:val="18"/>
              </w:rPr>
              <w:t>-</w:t>
            </w:r>
          </w:p>
        </w:tc>
      </w:tr>
    </w:tbl>
    <w:p w14:paraId="0BB9B786" w14:textId="77777777" w:rsidR="007D29F8" w:rsidRPr="00E12BB9" w:rsidRDefault="007D29F8" w:rsidP="007D29F8">
      <w:pPr>
        <w:rPr>
          <w:rFonts w:cs="Arial"/>
          <w:b/>
          <w:bCs/>
        </w:rPr>
      </w:pPr>
    </w:p>
    <w:p w14:paraId="6EC23C1C" w14:textId="77777777" w:rsidR="007D29F8" w:rsidRPr="00E12BB9" w:rsidRDefault="007D29F8" w:rsidP="007D29F8">
      <w:pPr>
        <w:rPr>
          <w:rFonts w:cs="Arial"/>
          <w:b/>
          <w:bCs/>
        </w:rPr>
      </w:pPr>
    </w:p>
    <w:p w14:paraId="2C88F35C" w14:textId="77777777" w:rsidR="007D29F8" w:rsidRPr="00E12BB9" w:rsidRDefault="007D29F8" w:rsidP="007D29F8">
      <w:pPr>
        <w:rPr>
          <w:rFonts w:cs="Arial"/>
          <w:b/>
          <w:bCs/>
        </w:rPr>
      </w:pPr>
    </w:p>
    <w:p w14:paraId="1CECED8F" w14:textId="77777777" w:rsidR="007D29F8" w:rsidRPr="00E12BB9" w:rsidRDefault="007D29F8" w:rsidP="007D29F8">
      <w:pPr>
        <w:keepNext/>
        <w:jc w:val="center"/>
        <w:rPr>
          <w:i/>
          <w:color w:val="26724C" w:themeColor="accent1" w:themeShade="BF"/>
          <w:sz w:val="18"/>
        </w:rPr>
      </w:pPr>
      <w:r w:rsidRPr="00E12BB9">
        <w:rPr>
          <w:i/>
          <w:color w:val="26724C" w:themeColor="accent1" w:themeShade="BF"/>
          <w:sz w:val="18"/>
        </w:rPr>
        <w:t>Figure 1.  Évolution des recettes, des dépenses et des réserves pour la période 2018-2027</w:t>
      </w:r>
    </w:p>
    <w:p w14:paraId="48625852" w14:textId="77777777" w:rsidR="007D29F8" w:rsidRPr="00E12BB9" w:rsidRDefault="007D29F8" w:rsidP="007D29F8">
      <w:pPr>
        <w:keepNext/>
        <w:jc w:val="center"/>
        <w:rPr>
          <w:i/>
          <w:color w:val="26724C" w:themeColor="accent1" w:themeShade="BF"/>
          <w:sz w:val="18"/>
        </w:rPr>
      </w:pPr>
    </w:p>
    <w:p w14:paraId="7FE325AA" w14:textId="77777777" w:rsidR="007D29F8" w:rsidRPr="00E12BB9" w:rsidRDefault="007D29F8" w:rsidP="007D29F8">
      <w:r w:rsidRPr="008F3C01">
        <w:rPr>
          <w:noProof/>
          <w:lang w:val="en-US"/>
        </w:rPr>
        <w:drawing>
          <wp:inline distT="0" distB="0" distL="0" distR="0" wp14:anchorId="680F257B" wp14:editId="281DCFA1">
            <wp:extent cx="6120765" cy="306276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765" cy="3062765"/>
                    </a:xfrm>
                    <a:prstGeom prst="rect">
                      <a:avLst/>
                    </a:prstGeom>
                    <a:noFill/>
                    <a:ln>
                      <a:noFill/>
                    </a:ln>
                  </pic:spPr>
                </pic:pic>
              </a:graphicData>
            </a:graphic>
          </wp:inline>
        </w:drawing>
      </w:r>
    </w:p>
    <w:p w14:paraId="4828EFD5" w14:textId="77777777" w:rsidR="007D29F8" w:rsidRPr="007D29F8" w:rsidRDefault="007D29F8" w:rsidP="007D29F8">
      <w:pPr>
        <w:pStyle w:val="endofdoc"/>
      </w:pPr>
      <w:r w:rsidRPr="007D29F8">
        <w:t xml:space="preserve">[Les appendices </w:t>
      </w:r>
      <w:r w:rsidRPr="002F643C">
        <w:rPr>
          <w:lang w:val="fr-FR"/>
        </w:rPr>
        <w:t>suivent</w:t>
      </w:r>
      <w:r w:rsidRPr="007D29F8">
        <w:t>]</w:t>
      </w:r>
    </w:p>
    <w:p w14:paraId="658588A2" w14:textId="77777777" w:rsidR="007D29F8" w:rsidRPr="00E12BB9" w:rsidRDefault="007D29F8" w:rsidP="007D29F8">
      <w:pPr>
        <w:ind w:left="567" w:hanging="567"/>
        <w:jc w:val="center"/>
      </w:pPr>
    </w:p>
    <w:p w14:paraId="4ED788EA" w14:textId="77777777" w:rsidR="007D29F8" w:rsidRPr="00E12BB9" w:rsidRDefault="007D29F8" w:rsidP="007D29F8">
      <w:pPr>
        <w:ind w:left="567" w:hanging="567"/>
        <w:jc w:val="right"/>
        <w:sectPr w:rsidR="007D29F8" w:rsidRPr="00E12BB9" w:rsidSect="007D29F8">
          <w:headerReference w:type="even" r:id="rId16"/>
          <w:headerReference w:type="default" r:id="rId17"/>
          <w:footerReference w:type="even" r:id="rId18"/>
          <w:footerReference w:type="default" r:id="rId19"/>
          <w:headerReference w:type="first" r:id="rId20"/>
          <w:footerReference w:type="first" r:id="rId21"/>
          <w:pgSz w:w="11907" w:h="16840" w:code="9"/>
          <w:pgMar w:top="510" w:right="1134" w:bottom="993" w:left="1134" w:header="510" w:footer="680" w:gutter="0"/>
          <w:pgNumType w:start="1"/>
          <w:cols w:space="720"/>
          <w:titlePg/>
          <w:docGrid w:linePitch="272"/>
        </w:sectPr>
      </w:pPr>
    </w:p>
    <w:p w14:paraId="3DAC5F96" w14:textId="77777777" w:rsidR="007D29F8" w:rsidRPr="00E12BB9" w:rsidRDefault="007D29F8" w:rsidP="007D29F8">
      <w:pPr>
        <w:pStyle w:val="Heading1"/>
        <w:numPr>
          <w:ilvl w:val="0"/>
          <w:numId w:val="1"/>
        </w:numPr>
        <w:ind w:left="567" w:hanging="567"/>
        <w:rPr>
          <w:lang w:val="fr-FR"/>
        </w:rPr>
      </w:pPr>
      <w:bookmarkStart w:id="482" w:name="_Toc132208465"/>
      <w:r w:rsidRPr="00E12BB9">
        <w:rPr>
          <w:lang w:val="fr-FR"/>
        </w:rPr>
        <w:lastRenderedPageBreak/>
        <w:t>A</w:t>
      </w:r>
      <w:r>
        <w:rPr>
          <w:lang w:val="fr-FR"/>
        </w:rPr>
        <w:t>ppendices</w:t>
      </w:r>
      <w:bookmarkEnd w:id="482"/>
    </w:p>
    <w:p w14:paraId="18DBCA85" w14:textId="77777777" w:rsidR="007D29F8" w:rsidRPr="00E12BB9" w:rsidRDefault="007D29F8" w:rsidP="007D29F8">
      <w:pPr>
        <w:rPr>
          <w:sz w:val="32"/>
        </w:rPr>
      </w:pPr>
    </w:p>
    <w:p w14:paraId="42F51FAA" w14:textId="77777777" w:rsidR="007D29F8" w:rsidRPr="00E12BB9" w:rsidRDefault="007D29F8" w:rsidP="007D29F8">
      <w:pPr>
        <w:pStyle w:val="Heading9"/>
        <w:rPr>
          <w:lang w:val="fr-FR"/>
        </w:rPr>
      </w:pPr>
      <w:bookmarkStart w:id="483" w:name="_Toc63091108"/>
      <w:bookmarkStart w:id="484" w:name="_Toc63091305"/>
      <w:bookmarkStart w:id="485" w:name="_Toc63091835"/>
      <w:bookmarkStart w:id="486" w:name="_Toc63091109"/>
      <w:bookmarkStart w:id="487" w:name="_Toc63091306"/>
      <w:bookmarkStart w:id="488" w:name="_Toc63091836"/>
      <w:bookmarkStart w:id="489" w:name="_Toc132208466"/>
      <w:bookmarkEnd w:id="483"/>
      <w:bookmarkEnd w:id="484"/>
      <w:bookmarkEnd w:id="485"/>
      <w:bookmarkEnd w:id="486"/>
      <w:bookmarkEnd w:id="487"/>
      <w:bookmarkEnd w:id="488"/>
      <w:r w:rsidRPr="00E12BB9">
        <w:rPr>
          <w:lang w:val="fr-FR"/>
        </w:rPr>
        <w:t>APPENDICE I</w:t>
      </w:r>
      <w:r w:rsidRPr="00E12BB9">
        <w:rPr>
          <w:lang w:val="fr-FR"/>
        </w:rPr>
        <w:tab/>
        <w:t>Situation en ce qui concerne l’</w:t>
      </w:r>
      <w:r>
        <w:rPr>
          <w:lang w:val="fr-FR"/>
        </w:rPr>
        <w:t>Union internationale pour </w:t>
      </w:r>
      <w:r w:rsidRPr="00E12BB9">
        <w:rPr>
          <w:lang w:val="fr-FR"/>
        </w:rPr>
        <w:t>la protection des obtentions végétales (UPOV) au</w:t>
      </w:r>
      <w:r>
        <w:rPr>
          <w:lang w:val="fr-FR"/>
        </w:rPr>
        <w:t> </w:t>
      </w:r>
      <w:r w:rsidRPr="00E12BB9">
        <w:rPr>
          <w:lang w:val="fr-FR"/>
        </w:rPr>
        <w:t>1</w:t>
      </w:r>
      <w:r w:rsidRPr="00E12BB9">
        <w:rPr>
          <w:vertAlign w:val="superscript"/>
          <w:lang w:val="fr-FR"/>
        </w:rPr>
        <w:t>er</w:t>
      </w:r>
      <w:r w:rsidRPr="00E12BB9">
        <w:rPr>
          <w:lang w:val="fr-FR"/>
        </w:rPr>
        <w:t> janvier 2023</w:t>
      </w:r>
      <w:bookmarkEnd w:id="489"/>
    </w:p>
    <w:p w14:paraId="50CCA44F" w14:textId="77777777" w:rsidR="007D29F8" w:rsidRPr="00E12BB9" w:rsidRDefault="007D29F8" w:rsidP="007D29F8">
      <w:pPr>
        <w:ind w:left="2268" w:hanging="1984"/>
        <w:jc w:val="center"/>
        <w:rPr>
          <w:b/>
        </w:rPr>
      </w:pPr>
    </w:p>
    <w:p w14:paraId="55C84596" w14:textId="77777777" w:rsidR="007D29F8" w:rsidRPr="00E12BB9" w:rsidRDefault="007D29F8" w:rsidP="007D29F8">
      <w:pPr>
        <w:rPr>
          <w:rFonts w:cs="Arial"/>
          <w:i/>
          <w:sz w:val="16"/>
          <w:szCs w:val="24"/>
        </w:rPr>
      </w:pPr>
    </w:p>
    <w:p w14:paraId="7F2271FE" w14:textId="77777777" w:rsidR="007D29F8" w:rsidRPr="00E12BB9" w:rsidRDefault="007D29F8" w:rsidP="007D29F8">
      <w:pPr>
        <w:ind w:left="284" w:hanging="284"/>
        <w:jc w:val="left"/>
        <w:rPr>
          <w:rFonts w:cs="Arial"/>
          <w:b/>
          <w:color w:val="26724C" w:themeColor="accent1" w:themeShade="BF"/>
          <w:sz w:val="18"/>
        </w:rPr>
      </w:pPr>
      <w:r w:rsidRPr="00E12BB9">
        <w:rPr>
          <w:rFonts w:cs="Arial"/>
          <w:b/>
          <w:color w:val="26724C" w:themeColor="accent1" w:themeShade="BF"/>
          <w:sz w:val="18"/>
        </w:rPr>
        <w:t>A.</w:t>
      </w:r>
      <w:r w:rsidRPr="00E12BB9">
        <w:rPr>
          <w:rFonts w:cs="Arial"/>
          <w:b/>
          <w:color w:val="26724C" w:themeColor="accent1" w:themeShade="BF"/>
          <w:sz w:val="18"/>
        </w:rPr>
        <w:tab/>
        <w:t>Membres de l’UPOV</w:t>
      </w:r>
    </w:p>
    <w:p w14:paraId="677C09B1" w14:textId="77777777" w:rsidR="007D29F8" w:rsidRPr="00E12BB9" w:rsidRDefault="007D29F8" w:rsidP="007D29F8">
      <w:pPr>
        <w:pStyle w:val="BodyText"/>
        <w:spacing w:before="120"/>
        <w:rPr>
          <w:rFonts w:cs="Arial"/>
          <w:sz w:val="16"/>
          <w:szCs w:val="16"/>
        </w:rPr>
      </w:pPr>
    </w:p>
    <w:p w14:paraId="1C8CC536" w14:textId="77777777" w:rsidR="007D29F8" w:rsidRPr="00E12BB9" w:rsidRDefault="007D29F8" w:rsidP="007D29F8">
      <w:pPr>
        <w:spacing w:before="40"/>
        <w:rPr>
          <w:rFonts w:cs="Arial"/>
          <w:sz w:val="16"/>
          <w:szCs w:val="16"/>
        </w:rPr>
        <w:sectPr w:rsidR="007D29F8" w:rsidRPr="00E12BB9" w:rsidSect="0016531D">
          <w:headerReference w:type="even" r:id="rId22"/>
          <w:headerReference w:type="default" r:id="rId23"/>
          <w:footerReference w:type="even" r:id="rId24"/>
          <w:footerReference w:type="default" r:id="rId25"/>
          <w:headerReference w:type="first" r:id="rId26"/>
          <w:footerReference w:type="first" r:id="rId27"/>
          <w:pgSz w:w="11907" w:h="16840" w:code="9"/>
          <w:pgMar w:top="510" w:right="1134" w:bottom="851" w:left="1134" w:header="510" w:footer="624" w:gutter="0"/>
          <w:cols w:space="720"/>
          <w:docGrid w:linePitch="272"/>
        </w:sectPr>
      </w:pPr>
    </w:p>
    <w:p w14:paraId="5F767066" w14:textId="77777777" w:rsidR="007D29F8" w:rsidRPr="00E12BB9" w:rsidRDefault="007D29F8" w:rsidP="007D29F8">
      <w:pPr>
        <w:spacing w:before="20"/>
        <w:ind w:left="113" w:hanging="113"/>
        <w:jc w:val="left"/>
        <w:rPr>
          <w:rFonts w:cs="Arial"/>
          <w:sz w:val="16"/>
          <w:szCs w:val="18"/>
          <w:vertAlign w:val="superscript"/>
        </w:rPr>
      </w:pPr>
      <w:r w:rsidRPr="00E12BB9">
        <w:rPr>
          <w:rFonts w:cs="Arial"/>
          <w:sz w:val="16"/>
          <w:szCs w:val="18"/>
        </w:rPr>
        <w:t>Afrique du Sud</w:t>
      </w:r>
      <w:r w:rsidRPr="00E12BB9">
        <w:rPr>
          <w:rFonts w:cs="Arial"/>
          <w:sz w:val="16"/>
          <w:szCs w:val="18"/>
          <w:vertAlign w:val="superscript"/>
        </w:rPr>
        <w:t>1</w:t>
      </w:r>
    </w:p>
    <w:p w14:paraId="5DC2D357" w14:textId="77777777" w:rsidR="007D29F8" w:rsidRPr="00E12BB9" w:rsidRDefault="007D29F8" w:rsidP="007D29F8">
      <w:pPr>
        <w:spacing w:before="20"/>
        <w:ind w:left="113" w:right="68" w:hanging="113"/>
        <w:jc w:val="left"/>
        <w:rPr>
          <w:rFonts w:cs="Arial"/>
          <w:sz w:val="16"/>
          <w:szCs w:val="18"/>
        </w:rPr>
      </w:pPr>
      <w:r w:rsidRPr="00E12BB9">
        <w:rPr>
          <w:rFonts w:cs="Arial"/>
          <w:sz w:val="16"/>
          <w:szCs w:val="18"/>
        </w:rPr>
        <w:t>Albanie</w:t>
      </w:r>
      <w:r w:rsidRPr="00E12BB9">
        <w:rPr>
          <w:rFonts w:cs="Arial"/>
          <w:sz w:val="16"/>
          <w:szCs w:val="18"/>
          <w:vertAlign w:val="superscript"/>
        </w:rPr>
        <w:t>2</w:t>
      </w:r>
    </w:p>
    <w:p w14:paraId="1632AC17"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Allemagne</w:t>
      </w:r>
      <w:r w:rsidRPr="00E12BB9">
        <w:rPr>
          <w:rFonts w:cs="Arial"/>
          <w:sz w:val="16"/>
          <w:szCs w:val="18"/>
          <w:vertAlign w:val="superscript"/>
        </w:rPr>
        <w:t>2</w:t>
      </w:r>
    </w:p>
    <w:p w14:paraId="3100AF05"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Argentine</w:t>
      </w:r>
      <w:r w:rsidRPr="00E12BB9">
        <w:rPr>
          <w:rFonts w:cs="Arial"/>
          <w:sz w:val="16"/>
          <w:szCs w:val="18"/>
          <w:vertAlign w:val="superscript"/>
        </w:rPr>
        <w:t>1</w:t>
      </w:r>
    </w:p>
    <w:p w14:paraId="0247234B"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Australie</w:t>
      </w:r>
      <w:r w:rsidRPr="00E12BB9">
        <w:rPr>
          <w:rFonts w:cs="Arial"/>
          <w:sz w:val="16"/>
          <w:szCs w:val="18"/>
          <w:vertAlign w:val="superscript"/>
        </w:rPr>
        <w:t>2</w:t>
      </w:r>
    </w:p>
    <w:p w14:paraId="7E21AADE"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Autriche</w:t>
      </w:r>
      <w:r w:rsidRPr="00E12BB9">
        <w:rPr>
          <w:rFonts w:cs="Arial"/>
          <w:sz w:val="16"/>
          <w:szCs w:val="18"/>
          <w:vertAlign w:val="superscript"/>
        </w:rPr>
        <w:t>2</w:t>
      </w:r>
    </w:p>
    <w:p w14:paraId="6CA4F072"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Azerbaïdjan</w:t>
      </w:r>
      <w:r w:rsidRPr="00E12BB9">
        <w:rPr>
          <w:rFonts w:cs="Arial"/>
          <w:sz w:val="16"/>
          <w:szCs w:val="18"/>
          <w:vertAlign w:val="superscript"/>
        </w:rPr>
        <w:t>2</w:t>
      </w:r>
    </w:p>
    <w:p w14:paraId="0EA9489E"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Bélarus</w:t>
      </w:r>
      <w:r w:rsidRPr="00E12BB9">
        <w:rPr>
          <w:rFonts w:cs="Arial"/>
          <w:sz w:val="16"/>
          <w:szCs w:val="18"/>
          <w:vertAlign w:val="superscript"/>
        </w:rPr>
        <w:t>2</w:t>
      </w:r>
    </w:p>
    <w:p w14:paraId="0F538AFA"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Belgique</w:t>
      </w:r>
      <w:r w:rsidRPr="00E12BB9">
        <w:rPr>
          <w:rFonts w:cs="Arial"/>
          <w:sz w:val="16"/>
          <w:szCs w:val="18"/>
          <w:vertAlign w:val="superscript"/>
        </w:rPr>
        <w:t>2</w:t>
      </w:r>
    </w:p>
    <w:p w14:paraId="1307476E"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Bolivie (État plurinational de)</w:t>
      </w:r>
      <w:r>
        <w:rPr>
          <w:rFonts w:cs="Arial"/>
          <w:sz w:val="16"/>
          <w:szCs w:val="18"/>
        </w:rPr>
        <w:t xml:space="preserve"> </w:t>
      </w:r>
      <w:r w:rsidRPr="00E12BB9">
        <w:rPr>
          <w:rFonts w:cs="Arial"/>
          <w:sz w:val="16"/>
          <w:szCs w:val="18"/>
          <w:vertAlign w:val="superscript"/>
        </w:rPr>
        <w:t>1</w:t>
      </w:r>
    </w:p>
    <w:p w14:paraId="194BF9B1"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Bosnie-Herzégovine</w:t>
      </w:r>
      <w:r w:rsidRPr="00E12BB9">
        <w:rPr>
          <w:rFonts w:cs="Arial"/>
          <w:sz w:val="16"/>
          <w:szCs w:val="18"/>
          <w:vertAlign w:val="superscript"/>
        </w:rPr>
        <w:t>2</w:t>
      </w:r>
    </w:p>
    <w:p w14:paraId="12B6ADA8"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Brésil</w:t>
      </w:r>
      <w:r w:rsidRPr="00E12BB9">
        <w:rPr>
          <w:rFonts w:cs="Arial"/>
          <w:sz w:val="16"/>
          <w:szCs w:val="18"/>
          <w:vertAlign w:val="superscript"/>
        </w:rPr>
        <w:t>1</w:t>
      </w:r>
    </w:p>
    <w:p w14:paraId="0530BBE9"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Bulgarie</w:t>
      </w:r>
      <w:r w:rsidRPr="00E12BB9">
        <w:rPr>
          <w:rFonts w:cs="Arial"/>
          <w:sz w:val="16"/>
          <w:szCs w:val="18"/>
          <w:vertAlign w:val="superscript"/>
        </w:rPr>
        <w:t>2</w:t>
      </w:r>
    </w:p>
    <w:p w14:paraId="39A57DC3"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Canada</w:t>
      </w:r>
      <w:r w:rsidRPr="00E12BB9">
        <w:rPr>
          <w:rFonts w:cs="Arial"/>
          <w:sz w:val="16"/>
          <w:szCs w:val="18"/>
          <w:vertAlign w:val="superscript"/>
        </w:rPr>
        <w:t>2</w:t>
      </w:r>
    </w:p>
    <w:p w14:paraId="1CD66A73"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Chili</w:t>
      </w:r>
      <w:r w:rsidRPr="00E12BB9">
        <w:rPr>
          <w:rFonts w:cs="Arial"/>
          <w:sz w:val="16"/>
          <w:szCs w:val="18"/>
          <w:vertAlign w:val="superscript"/>
        </w:rPr>
        <w:t>1</w:t>
      </w:r>
    </w:p>
    <w:p w14:paraId="68BE71A0"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Chine</w:t>
      </w:r>
      <w:r w:rsidRPr="00E12BB9">
        <w:rPr>
          <w:rFonts w:cs="Arial"/>
          <w:sz w:val="16"/>
          <w:szCs w:val="18"/>
          <w:vertAlign w:val="superscript"/>
        </w:rPr>
        <w:t>1</w:t>
      </w:r>
    </w:p>
    <w:p w14:paraId="6D19FBA3"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Colombie</w:t>
      </w:r>
      <w:r w:rsidRPr="00E12BB9">
        <w:rPr>
          <w:rFonts w:cs="Arial"/>
          <w:sz w:val="16"/>
          <w:szCs w:val="18"/>
          <w:vertAlign w:val="superscript"/>
        </w:rPr>
        <w:t>1</w:t>
      </w:r>
    </w:p>
    <w:p w14:paraId="18D7875D"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Costa Rica</w:t>
      </w:r>
      <w:r w:rsidRPr="00E12BB9">
        <w:rPr>
          <w:rFonts w:cs="Arial"/>
          <w:sz w:val="16"/>
          <w:szCs w:val="18"/>
          <w:vertAlign w:val="superscript"/>
        </w:rPr>
        <w:t>2</w:t>
      </w:r>
    </w:p>
    <w:p w14:paraId="1F70CB09" w14:textId="77777777" w:rsidR="007D29F8" w:rsidRPr="00E12BB9" w:rsidRDefault="007D29F8" w:rsidP="007D29F8">
      <w:pPr>
        <w:spacing w:before="20"/>
        <w:ind w:left="113" w:hanging="113"/>
        <w:jc w:val="left"/>
        <w:rPr>
          <w:rFonts w:cs="Arial"/>
          <w:sz w:val="16"/>
          <w:szCs w:val="18"/>
          <w:vertAlign w:val="superscript"/>
        </w:rPr>
      </w:pPr>
      <w:r w:rsidRPr="00E12BB9">
        <w:rPr>
          <w:rFonts w:cs="Arial"/>
          <w:sz w:val="16"/>
          <w:szCs w:val="18"/>
        </w:rPr>
        <w:t>Croatie</w:t>
      </w:r>
      <w:r w:rsidRPr="00E12BB9">
        <w:rPr>
          <w:rFonts w:cs="Arial"/>
          <w:sz w:val="16"/>
          <w:szCs w:val="18"/>
          <w:vertAlign w:val="superscript"/>
        </w:rPr>
        <w:t>2</w:t>
      </w:r>
    </w:p>
    <w:p w14:paraId="4529E05A"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Danemark</w:t>
      </w:r>
      <w:r w:rsidRPr="00E12BB9">
        <w:rPr>
          <w:rFonts w:cs="Arial"/>
          <w:sz w:val="16"/>
          <w:szCs w:val="18"/>
          <w:vertAlign w:val="superscript"/>
        </w:rPr>
        <w:t>2</w:t>
      </w:r>
    </w:p>
    <w:p w14:paraId="7290AC7E"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Égypte</w:t>
      </w:r>
      <w:r w:rsidRPr="00E12BB9">
        <w:rPr>
          <w:rFonts w:cs="Arial"/>
          <w:sz w:val="16"/>
          <w:szCs w:val="18"/>
          <w:vertAlign w:val="superscript"/>
        </w:rPr>
        <w:t>2</w:t>
      </w:r>
    </w:p>
    <w:p w14:paraId="333648C6"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Équateur</w:t>
      </w:r>
      <w:r w:rsidRPr="00E12BB9">
        <w:rPr>
          <w:rFonts w:cs="Arial"/>
          <w:sz w:val="16"/>
          <w:szCs w:val="18"/>
          <w:vertAlign w:val="superscript"/>
        </w:rPr>
        <w:t>1</w:t>
      </w:r>
    </w:p>
    <w:p w14:paraId="44929617"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Espagne</w:t>
      </w:r>
      <w:r w:rsidRPr="00E12BB9">
        <w:rPr>
          <w:rFonts w:cs="Arial"/>
          <w:sz w:val="16"/>
          <w:szCs w:val="18"/>
          <w:vertAlign w:val="superscript"/>
        </w:rPr>
        <w:t>2</w:t>
      </w:r>
    </w:p>
    <w:p w14:paraId="4694D91B"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Estonie</w:t>
      </w:r>
      <w:r w:rsidRPr="00E12BB9">
        <w:rPr>
          <w:rFonts w:cs="Arial"/>
          <w:sz w:val="16"/>
          <w:szCs w:val="18"/>
          <w:vertAlign w:val="superscript"/>
        </w:rPr>
        <w:t>2</w:t>
      </w:r>
    </w:p>
    <w:p w14:paraId="5759B819"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États-Unis d’Amérique</w:t>
      </w:r>
      <w:r w:rsidRPr="00E12BB9">
        <w:rPr>
          <w:rFonts w:cs="Arial"/>
          <w:sz w:val="16"/>
          <w:szCs w:val="18"/>
          <w:vertAlign w:val="superscript"/>
        </w:rPr>
        <w:t>2</w:t>
      </w:r>
    </w:p>
    <w:p w14:paraId="27F88860"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Fédération de Russie</w:t>
      </w:r>
      <w:r w:rsidRPr="00E12BB9">
        <w:rPr>
          <w:rFonts w:cs="Arial"/>
          <w:sz w:val="16"/>
          <w:szCs w:val="18"/>
          <w:vertAlign w:val="superscript"/>
        </w:rPr>
        <w:t>2</w:t>
      </w:r>
    </w:p>
    <w:p w14:paraId="049496EE"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Finlande</w:t>
      </w:r>
      <w:r w:rsidRPr="00E12BB9">
        <w:rPr>
          <w:rFonts w:cs="Arial"/>
          <w:sz w:val="16"/>
          <w:szCs w:val="18"/>
          <w:vertAlign w:val="superscript"/>
        </w:rPr>
        <w:t>2</w:t>
      </w:r>
    </w:p>
    <w:p w14:paraId="536EE9F3"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France</w:t>
      </w:r>
      <w:r w:rsidRPr="00E12BB9">
        <w:rPr>
          <w:rFonts w:cs="Arial"/>
          <w:sz w:val="16"/>
          <w:szCs w:val="18"/>
          <w:vertAlign w:val="superscript"/>
        </w:rPr>
        <w:t>2</w:t>
      </w:r>
    </w:p>
    <w:p w14:paraId="6111DFAC"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Géorgie</w:t>
      </w:r>
      <w:r w:rsidRPr="00E12BB9">
        <w:rPr>
          <w:rFonts w:cs="Arial"/>
          <w:sz w:val="16"/>
          <w:szCs w:val="18"/>
          <w:vertAlign w:val="superscript"/>
        </w:rPr>
        <w:t>2</w:t>
      </w:r>
    </w:p>
    <w:p w14:paraId="05BEC5DF"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Ghana</w:t>
      </w:r>
      <w:r w:rsidRPr="00E12BB9">
        <w:rPr>
          <w:rFonts w:cs="Arial"/>
          <w:sz w:val="16"/>
          <w:szCs w:val="18"/>
          <w:vertAlign w:val="superscript"/>
        </w:rPr>
        <w:t>2,</w:t>
      </w:r>
    </w:p>
    <w:p w14:paraId="02B99D36"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Hongrie</w:t>
      </w:r>
      <w:r w:rsidRPr="00E12BB9">
        <w:rPr>
          <w:rFonts w:cs="Arial"/>
          <w:sz w:val="16"/>
          <w:szCs w:val="18"/>
          <w:vertAlign w:val="superscript"/>
        </w:rPr>
        <w:t>2</w:t>
      </w:r>
    </w:p>
    <w:p w14:paraId="25D0BFA4" w14:textId="77777777" w:rsidR="007D29F8" w:rsidRPr="00E12BB9" w:rsidRDefault="007D29F8" w:rsidP="007D29F8">
      <w:pPr>
        <w:spacing w:before="20"/>
        <w:ind w:left="113" w:hanging="113"/>
        <w:jc w:val="left"/>
        <w:rPr>
          <w:rFonts w:cs="Arial"/>
          <w:sz w:val="16"/>
          <w:szCs w:val="18"/>
          <w:vertAlign w:val="superscript"/>
        </w:rPr>
      </w:pPr>
      <w:r w:rsidRPr="00E12BB9">
        <w:rPr>
          <w:rFonts w:cs="Arial"/>
          <w:sz w:val="16"/>
          <w:szCs w:val="18"/>
        </w:rPr>
        <w:t>Irlande</w:t>
      </w:r>
      <w:r w:rsidRPr="00E12BB9">
        <w:rPr>
          <w:rFonts w:cs="Arial"/>
          <w:sz w:val="16"/>
          <w:szCs w:val="18"/>
          <w:vertAlign w:val="superscript"/>
        </w:rPr>
        <w:t>2</w:t>
      </w:r>
    </w:p>
    <w:p w14:paraId="5454B1B3"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Islande</w:t>
      </w:r>
      <w:r w:rsidRPr="00E12BB9">
        <w:rPr>
          <w:rFonts w:cs="Arial"/>
          <w:sz w:val="16"/>
          <w:szCs w:val="18"/>
          <w:vertAlign w:val="superscript"/>
        </w:rPr>
        <w:t>2</w:t>
      </w:r>
    </w:p>
    <w:p w14:paraId="5031F692"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Israël</w:t>
      </w:r>
      <w:r w:rsidRPr="00E12BB9">
        <w:rPr>
          <w:rFonts w:cs="Arial"/>
          <w:sz w:val="16"/>
          <w:szCs w:val="18"/>
          <w:vertAlign w:val="superscript"/>
        </w:rPr>
        <w:t>2</w:t>
      </w:r>
    </w:p>
    <w:p w14:paraId="27CD1103"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Italie</w:t>
      </w:r>
      <w:r w:rsidRPr="00E12BB9">
        <w:rPr>
          <w:rFonts w:cs="Arial"/>
          <w:sz w:val="16"/>
          <w:szCs w:val="18"/>
          <w:vertAlign w:val="superscript"/>
        </w:rPr>
        <w:t>1</w:t>
      </w:r>
    </w:p>
    <w:p w14:paraId="01126EFE"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Japon</w:t>
      </w:r>
      <w:r w:rsidRPr="00E12BB9">
        <w:rPr>
          <w:rFonts w:cs="Arial"/>
          <w:sz w:val="16"/>
          <w:szCs w:val="18"/>
          <w:vertAlign w:val="superscript"/>
        </w:rPr>
        <w:t>2</w:t>
      </w:r>
    </w:p>
    <w:p w14:paraId="3B38C404"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Jordanie</w:t>
      </w:r>
      <w:r w:rsidRPr="00E12BB9">
        <w:rPr>
          <w:rFonts w:cs="Arial"/>
          <w:sz w:val="16"/>
          <w:szCs w:val="18"/>
          <w:vertAlign w:val="superscript"/>
        </w:rPr>
        <w:t>2</w:t>
      </w:r>
    </w:p>
    <w:p w14:paraId="0BC49AB5"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Kenya</w:t>
      </w:r>
      <w:r w:rsidRPr="00E12BB9">
        <w:rPr>
          <w:rFonts w:cs="Arial"/>
          <w:sz w:val="16"/>
          <w:szCs w:val="18"/>
          <w:vertAlign w:val="superscript"/>
        </w:rPr>
        <w:t>2</w:t>
      </w:r>
    </w:p>
    <w:p w14:paraId="106FDB1D"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Kirghizistan</w:t>
      </w:r>
      <w:r w:rsidRPr="00E12BB9">
        <w:rPr>
          <w:rFonts w:cs="Arial"/>
          <w:sz w:val="16"/>
          <w:szCs w:val="18"/>
          <w:vertAlign w:val="superscript"/>
        </w:rPr>
        <w:t>2</w:t>
      </w:r>
    </w:p>
    <w:p w14:paraId="2E359458"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Lettonie</w:t>
      </w:r>
      <w:r w:rsidRPr="00E12BB9">
        <w:rPr>
          <w:rFonts w:cs="Arial"/>
          <w:sz w:val="16"/>
          <w:szCs w:val="18"/>
          <w:vertAlign w:val="superscript"/>
        </w:rPr>
        <w:t>2</w:t>
      </w:r>
    </w:p>
    <w:p w14:paraId="5888BF45"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Lituanie</w:t>
      </w:r>
      <w:r w:rsidRPr="00E12BB9">
        <w:rPr>
          <w:rFonts w:cs="Arial"/>
          <w:sz w:val="16"/>
          <w:szCs w:val="18"/>
          <w:vertAlign w:val="superscript"/>
        </w:rPr>
        <w:t>2</w:t>
      </w:r>
    </w:p>
    <w:p w14:paraId="111EA8F7"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Macédoine du Nord</w:t>
      </w:r>
      <w:r w:rsidRPr="00E12BB9">
        <w:rPr>
          <w:rFonts w:cs="Arial"/>
          <w:sz w:val="16"/>
          <w:szCs w:val="18"/>
          <w:vertAlign w:val="superscript"/>
        </w:rPr>
        <w:t>2</w:t>
      </w:r>
    </w:p>
    <w:p w14:paraId="6044B89C"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Maroc</w:t>
      </w:r>
      <w:r w:rsidRPr="00E12BB9">
        <w:rPr>
          <w:rFonts w:cs="Arial"/>
          <w:sz w:val="16"/>
          <w:szCs w:val="18"/>
          <w:vertAlign w:val="superscript"/>
        </w:rPr>
        <w:t>2</w:t>
      </w:r>
    </w:p>
    <w:p w14:paraId="476B314E"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Mexique</w:t>
      </w:r>
      <w:r w:rsidRPr="00E12BB9">
        <w:rPr>
          <w:rFonts w:cs="Arial"/>
          <w:sz w:val="16"/>
          <w:szCs w:val="18"/>
          <w:vertAlign w:val="superscript"/>
        </w:rPr>
        <w:t>1</w:t>
      </w:r>
    </w:p>
    <w:p w14:paraId="764F681B"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Monténégro</w:t>
      </w:r>
      <w:r w:rsidRPr="00E12BB9">
        <w:rPr>
          <w:rFonts w:cs="Arial"/>
          <w:sz w:val="16"/>
          <w:szCs w:val="18"/>
          <w:vertAlign w:val="superscript"/>
        </w:rPr>
        <w:t>2</w:t>
      </w:r>
    </w:p>
    <w:p w14:paraId="5F59CDCA"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Nicaragua</w:t>
      </w:r>
      <w:r w:rsidRPr="00E12BB9">
        <w:rPr>
          <w:rFonts w:cs="Arial"/>
          <w:sz w:val="16"/>
          <w:szCs w:val="18"/>
          <w:vertAlign w:val="superscript"/>
        </w:rPr>
        <w:t>1</w:t>
      </w:r>
    </w:p>
    <w:p w14:paraId="1338B380"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Norvège</w:t>
      </w:r>
      <w:r w:rsidRPr="00E12BB9">
        <w:rPr>
          <w:rFonts w:cs="Arial"/>
          <w:sz w:val="16"/>
          <w:szCs w:val="18"/>
          <w:vertAlign w:val="superscript"/>
        </w:rPr>
        <w:t>1</w:t>
      </w:r>
    </w:p>
    <w:p w14:paraId="014AE54F"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Nouvelle-Zélande</w:t>
      </w:r>
      <w:r w:rsidRPr="00E12BB9">
        <w:rPr>
          <w:rFonts w:cs="Arial"/>
          <w:sz w:val="16"/>
          <w:szCs w:val="18"/>
          <w:vertAlign w:val="superscript"/>
        </w:rPr>
        <w:t>1</w:t>
      </w:r>
    </w:p>
    <w:p w14:paraId="314BB6D5" w14:textId="77777777" w:rsidR="007D29F8" w:rsidRPr="00E12BB9" w:rsidRDefault="007D29F8" w:rsidP="007D29F8">
      <w:pPr>
        <w:spacing w:before="20"/>
        <w:ind w:left="113" w:hanging="113"/>
        <w:jc w:val="left"/>
        <w:rPr>
          <w:rFonts w:cs="Arial"/>
          <w:sz w:val="16"/>
          <w:szCs w:val="18"/>
          <w:vertAlign w:val="superscript"/>
        </w:rPr>
      </w:pPr>
      <w:r w:rsidRPr="00E12BB9">
        <w:rPr>
          <w:rFonts w:cs="Arial"/>
          <w:sz w:val="16"/>
          <w:szCs w:val="18"/>
        </w:rPr>
        <w:t>Oman</w:t>
      </w:r>
      <w:r w:rsidRPr="00E12BB9">
        <w:rPr>
          <w:rFonts w:cs="Arial"/>
          <w:sz w:val="16"/>
          <w:szCs w:val="18"/>
          <w:vertAlign w:val="superscript"/>
        </w:rPr>
        <w:t>2</w:t>
      </w:r>
    </w:p>
    <w:p w14:paraId="40B1C686" w14:textId="77777777" w:rsidR="007D29F8" w:rsidRPr="00E12BB9" w:rsidRDefault="007D29F8" w:rsidP="007D29F8">
      <w:pPr>
        <w:spacing w:before="20"/>
        <w:ind w:left="113" w:hanging="113"/>
        <w:jc w:val="left"/>
        <w:rPr>
          <w:rFonts w:cs="Arial"/>
          <w:sz w:val="16"/>
          <w:szCs w:val="18"/>
          <w:vertAlign w:val="superscript"/>
        </w:rPr>
      </w:pPr>
      <w:r w:rsidRPr="00E12BB9">
        <w:rPr>
          <w:rFonts w:cs="Arial"/>
          <w:sz w:val="16"/>
          <w:szCs w:val="18"/>
        </w:rPr>
        <w:t>Organisation africaine de la propriété intellectuelle</w:t>
      </w:r>
      <w:r w:rsidRPr="00E12BB9">
        <w:rPr>
          <w:rFonts w:cs="Arial"/>
          <w:sz w:val="16"/>
          <w:szCs w:val="16"/>
          <w:vertAlign w:val="superscript"/>
        </w:rPr>
        <w:t>2, 4</w:t>
      </w:r>
    </w:p>
    <w:p w14:paraId="7F19CA0C"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Ouzbékistan</w:t>
      </w:r>
      <w:r w:rsidRPr="00E12BB9">
        <w:rPr>
          <w:rFonts w:cs="Arial"/>
          <w:sz w:val="16"/>
          <w:szCs w:val="18"/>
          <w:vertAlign w:val="superscript"/>
        </w:rPr>
        <w:t>2</w:t>
      </w:r>
    </w:p>
    <w:p w14:paraId="1B691BE8"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Panama</w:t>
      </w:r>
      <w:r w:rsidRPr="00E12BB9">
        <w:rPr>
          <w:rFonts w:cs="Arial"/>
          <w:sz w:val="16"/>
          <w:szCs w:val="18"/>
          <w:vertAlign w:val="superscript"/>
        </w:rPr>
        <w:t>2</w:t>
      </w:r>
    </w:p>
    <w:p w14:paraId="2A605C57"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Paraguay</w:t>
      </w:r>
      <w:r w:rsidRPr="00E12BB9">
        <w:rPr>
          <w:rFonts w:cs="Arial"/>
          <w:sz w:val="16"/>
          <w:szCs w:val="18"/>
          <w:vertAlign w:val="superscript"/>
        </w:rPr>
        <w:t>1</w:t>
      </w:r>
    </w:p>
    <w:p w14:paraId="4DC32CE7"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Pays-Bas</w:t>
      </w:r>
      <w:r w:rsidRPr="00E12BB9">
        <w:rPr>
          <w:rFonts w:cs="Arial"/>
          <w:sz w:val="16"/>
          <w:szCs w:val="18"/>
          <w:vertAlign w:val="superscript"/>
        </w:rPr>
        <w:t>2</w:t>
      </w:r>
    </w:p>
    <w:p w14:paraId="539E75B4"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Pérou</w:t>
      </w:r>
      <w:r w:rsidRPr="00E12BB9">
        <w:rPr>
          <w:rFonts w:cs="Arial"/>
          <w:sz w:val="16"/>
          <w:szCs w:val="18"/>
          <w:vertAlign w:val="superscript"/>
        </w:rPr>
        <w:t>2</w:t>
      </w:r>
    </w:p>
    <w:p w14:paraId="011667CA"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Pologne</w:t>
      </w:r>
      <w:r w:rsidRPr="00E12BB9">
        <w:rPr>
          <w:rFonts w:cs="Arial"/>
          <w:sz w:val="16"/>
          <w:szCs w:val="18"/>
          <w:vertAlign w:val="superscript"/>
        </w:rPr>
        <w:t>2</w:t>
      </w:r>
    </w:p>
    <w:p w14:paraId="53986B5A"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Portugal</w:t>
      </w:r>
      <w:r w:rsidRPr="00E12BB9">
        <w:rPr>
          <w:rFonts w:cs="Arial"/>
          <w:sz w:val="16"/>
          <w:szCs w:val="18"/>
          <w:vertAlign w:val="superscript"/>
        </w:rPr>
        <w:t>1</w:t>
      </w:r>
    </w:p>
    <w:p w14:paraId="195B33AA"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République de Corée</w:t>
      </w:r>
      <w:r w:rsidRPr="00E12BB9">
        <w:rPr>
          <w:rFonts w:cs="Arial"/>
          <w:sz w:val="16"/>
          <w:szCs w:val="18"/>
          <w:vertAlign w:val="superscript"/>
        </w:rPr>
        <w:t>2</w:t>
      </w:r>
    </w:p>
    <w:p w14:paraId="5AD9C923"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République de Moldova</w:t>
      </w:r>
      <w:r w:rsidRPr="00E12BB9">
        <w:rPr>
          <w:rFonts w:cs="Arial"/>
          <w:sz w:val="16"/>
          <w:szCs w:val="18"/>
          <w:vertAlign w:val="superscript"/>
        </w:rPr>
        <w:t>2</w:t>
      </w:r>
    </w:p>
    <w:p w14:paraId="70062F62"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République dominicaine</w:t>
      </w:r>
      <w:r w:rsidRPr="00E12BB9">
        <w:rPr>
          <w:rFonts w:cs="Arial"/>
          <w:sz w:val="16"/>
          <w:szCs w:val="18"/>
          <w:vertAlign w:val="superscript"/>
        </w:rPr>
        <w:t>2</w:t>
      </w:r>
    </w:p>
    <w:p w14:paraId="3854C37B"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République tchèque</w:t>
      </w:r>
      <w:r w:rsidRPr="00E12BB9">
        <w:rPr>
          <w:rFonts w:cs="Arial"/>
          <w:sz w:val="16"/>
          <w:szCs w:val="18"/>
          <w:vertAlign w:val="superscript"/>
        </w:rPr>
        <w:t>2</w:t>
      </w:r>
    </w:p>
    <w:p w14:paraId="26DC0959"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 xml:space="preserve">République-Unie de </w:t>
      </w:r>
      <w:r w:rsidRPr="00E12BB9">
        <w:rPr>
          <w:rFonts w:cs="Arial"/>
          <w:sz w:val="16"/>
          <w:szCs w:val="18"/>
        </w:rPr>
        <w:br/>
        <w:t>Tanzanie</w:t>
      </w:r>
      <w:r w:rsidRPr="00E12BB9">
        <w:rPr>
          <w:rFonts w:cs="Arial"/>
          <w:sz w:val="16"/>
          <w:szCs w:val="18"/>
          <w:vertAlign w:val="superscript"/>
        </w:rPr>
        <w:t>2</w:t>
      </w:r>
    </w:p>
    <w:p w14:paraId="625F4FA1"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Roumanie</w:t>
      </w:r>
      <w:r w:rsidRPr="00E12BB9">
        <w:rPr>
          <w:rFonts w:cs="Arial"/>
          <w:sz w:val="16"/>
          <w:szCs w:val="18"/>
          <w:vertAlign w:val="superscript"/>
        </w:rPr>
        <w:t>2</w:t>
      </w:r>
    </w:p>
    <w:p w14:paraId="7D7ECB72"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Royaume-Uni</w:t>
      </w:r>
      <w:r w:rsidRPr="00E12BB9">
        <w:rPr>
          <w:rFonts w:cs="Arial"/>
          <w:sz w:val="16"/>
          <w:szCs w:val="18"/>
          <w:vertAlign w:val="superscript"/>
        </w:rPr>
        <w:t>2</w:t>
      </w:r>
    </w:p>
    <w:p w14:paraId="044FCD34"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Saint-Vincent-et-les Grenadines</w:t>
      </w:r>
      <w:r w:rsidRPr="00E12BB9">
        <w:rPr>
          <w:rFonts w:cs="Arial"/>
          <w:sz w:val="16"/>
          <w:szCs w:val="18"/>
          <w:vertAlign w:val="superscript"/>
        </w:rPr>
        <w:t>2</w:t>
      </w:r>
    </w:p>
    <w:p w14:paraId="047FEFE1"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Serbie</w:t>
      </w:r>
      <w:r w:rsidRPr="00E12BB9">
        <w:rPr>
          <w:rFonts w:cs="Arial"/>
          <w:sz w:val="16"/>
          <w:szCs w:val="18"/>
          <w:vertAlign w:val="superscript"/>
        </w:rPr>
        <w:t>2</w:t>
      </w:r>
    </w:p>
    <w:p w14:paraId="3B222FC1"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Singapour</w:t>
      </w:r>
      <w:r w:rsidRPr="00E12BB9">
        <w:rPr>
          <w:rFonts w:cs="Arial"/>
          <w:sz w:val="16"/>
          <w:szCs w:val="18"/>
          <w:vertAlign w:val="superscript"/>
        </w:rPr>
        <w:t>2</w:t>
      </w:r>
    </w:p>
    <w:p w14:paraId="298ECE9D"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Slovaquie</w:t>
      </w:r>
      <w:r w:rsidRPr="00E12BB9">
        <w:rPr>
          <w:rFonts w:cs="Arial"/>
          <w:sz w:val="16"/>
          <w:szCs w:val="18"/>
          <w:vertAlign w:val="superscript"/>
        </w:rPr>
        <w:t>2</w:t>
      </w:r>
    </w:p>
    <w:p w14:paraId="66992C28"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Slovénie</w:t>
      </w:r>
      <w:r w:rsidRPr="00E12BB9">
        <w:rPr>
          <w:rFonts w:cs="Arial"/>
          <w:sz w:val="16"/>
          <w:szCs w:val="18"/>
          <w:vertAlign w:val="superscript"/>
        </w:rPr>
        <w:t>2</w:t>
      </w:r>
    </w:p>
    <w:p w14:paraId="1D3FF38B"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Suède</w:t>
      </w:r>
      <w:r w:rsidRPr="00E12BB9">
        <w:rPr>
          <w:rFonts w:cs="Arial"/>
          <w:sz w:val="16"/>
          <w:szCs w:val="18"/>
          <w:vertAlign w:val="superscript"/>
        </w:rPr>
        <w:t>2</w:t>
      </w:r>
    </w:p>
    <w:p w14:paraId="396EDC62"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Suisse</w:t>
      </w:r>
      <w:r w:rsidRPr="00E12BB9">
        <w:rPr>
          <w:rFonts w:cs="Arial"/>
          <w:sz w:val="16"/>
          <w:szCs w:val="18"/>
          <w:vertAlign w:val="superscript"/>
        </w:rPr>
        <w:t>2</w:t>
      </w:r>
    </w:p>
    <w:p w14:paraId="6D0980FA"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Trinité-et-Tobago</w:t>
      </w:r>
      <w:r w:rsidRPr="00E12BB9">
        <w:rPr>
          <w:rFonts w:cs="Arial"/>
          <w:sz w:val="16"/>
          <w:szCs w:val="18"/>
          <w:vertAlign w:val="superscript"/>
        </w:rPr>
        <w:t>1</w:t>
      </w:r>
    </w:p>
    <w:p w14:paraId="20A5EDCF"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Tunisie</w:t>
      </w:r>
      <w:r w:rsidRPr="00E12BB9">
        <w:rPr>
          <w:rFonts w:cs="Arial"/>
          <w:sz w:val="16"/>
          <w:szCs w:val="18"/>
          <w:vertAlign w:val="superscript"/>
        </w:rPr>
        <w:t>2</w:t>
      </w:r>
    </w:p>
    <w:p w14:paraId="18A0E2C3" w14:textId="77777777" w:rsidR="007D29F8" w:rsidRPr="00E12BB9" w:rsidRDefault="007D29F8" w:rsidP="007D29F8">
      <w:pPr>
        <w:spacing w:before="20"/>
        <w:ind w:left="113" w:hanging="113"/>
        <w:jc w:val="left"/>
        <w:rPr>
          <w:rFonts w:cs="Arial"/>
          <w:sz w:val="16"/>
          <w:szCs w:val="18"/>
        </w:rPr>
      </w:pPr>
      <w:r w:rsidRPr="00E12BB9">
        <w:rPr>
          <w:rFonts w:cs="Arial"/>
          <w:sz w:val="16"/>
          <w:szCs w:val="16"/>
        </w:rPr>
        <w:t>Türkiye</w:t>
      </w:r>
      <w:r w:rsidRPr="00E12BB9">
        <w:rPr>
          <w:rFonts w:cs="Arial"/>
          <w:sz w:val="16"/>
          <w:szCs w:val="18"/>
          <w:vertAlign w:val="superscript"/>
        </w:rPr>
        <w:t>2</w:t>
      </w:r>
    </w:p>
    <w:p w14:paraId="6F280E08"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Ukraine</w:t>
      </w:r>
      <w:r w:rsidRPr="00E12BB9">
        <w:rPr>
          <w:rFonts w:cs="Arial"/>
          <w:sz w:val="16"/>
          <w:szCs w:val="18"/>
          <w:vertAlign w:val="superscript"/>
        </w:rPr>
        <w:t>2</w:t>
      </w:r>
    </w:p>
    <w:p w14:paraId="6EAF35C6"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Union européenne</w:t>
      </w:r>
      <w:r w:rsidRPr="00E12BB9">
        <w:rPr>
          <w:rFonts w:cs="Arial"/>
          <w:sz w:val="16"/>
          <w:szCs w:val="18"/>
          <w:vertAlign w:val="superscript"/>
        </w:rPr>
        <w:t>2,</w:t>
      </w:r>
      <w:r w:rsidRPr="00E12BB9">
        <w:rPr>
          <w:rFonts w:cs="Arial"/>
          <w:sz w:val="16"/>
          <w:szCs w:val="18"/>
        </w:rPr>
        <w:t xml:space="preserve"> </w:t>
      </w:r>
      <w:r w:rsidRPr="00E12BB9">
        <w:rPr>
          <w:rFonts w:cs="Arial"/>
          <w:sz w:val="16"/>
          <w:szCs w:val="18"/>
          <w:vertAlign w:val="superscript"/>
        </w:rPr>
        <w:t>3</w:t>
      </w:r>
    </w:p>
    <w:p w14:paraId="52AEEA49" w14:textId="77777777" w:rsidR="007D29F8" w:rsidRPr="00E12BB9" w:rsidRDefault="007D29F8" w:rsidP="007D29F8">
      <w:pPr>
        <w:spacing w:before="20"/>
        <w:ind w:left="113" w:hanging="113"/>
        <w:jc w:val="left"/>
        <w:rPr>
          <w:rFonts w:cs="Arial"/>
          <w:sz w:val="16"/>
          <w:szCs w:val="18"/>
        </w:rPr>
      </w:pPr>
      <w:r w:rsidRPr="00E12BB9">
        <w:rPr>
          <w:rFonts w:cs="Arial"/>
          <w:sz w:val="16"/>
          <w:szCs w:val="18"/>
        </w:rPr>
        <w:t>Uruguay</w:t>
      </w:r>
      <w:r w:rsidRPr="00E12BB9">
        <w:rPr>
          <w:rFonts w:cs="Arial"/>
          <w:sz w:val="16"/>
          <w:szCs w:val="18"/>
          <w:vertAlign w:val="superscript"/>
        </w:rPr>
        <w:t>1</w:t>
      </w:r>
    </w:p>
    <w:p w14:paraId="1B5EC804" w14:textId="77777777" w:rsidR="007D29F8" w:rsidRPr="00E12BB9" w:rsidRDefault="007D29F8" w:rsidP="007D29F8">
      <w:pPr>
        <w:spacing w:before="40"/>
        <w:rPr>
          <w:rFonts w:cs="Arial"/>
          <w:sz w:val="16"/>
          <w:szCs w:val="16"/>
        </w:rPr>
      </w:pPr>
      <w:r w:rsidRPr="00E12BB9">
        <w:rPr>
          <w:rFonts w:cs="Arial"/>
          <w:sz w:val="16"/>
          <w:szCs w:val="18"/>
        </w:rPr>
        <w:t>Viet Nam</w:t>
      </w:r>
      <w:r w:rsidRPr="00E12BB9">
        <w:rPr>
          <w:rFonts w:cs="Arial"/>
          <w:sz w:val="16"/>
          <w:szCs w:val="18"/>
          <w:vertAlign w:val="superscript"/>
        </w:rPr>
        <w:t>2</w:t>
      </w:r>
    </w:p>
    <w:p w14:paraId="1E2BFE99" w14:textId="77777777" w:rsidR="007D29F8" w:rsidRPr="00E12BB9" w:rsidRDefault="007D29F8" w:rsidP="007D29F8">
      <w:pPr>
        <w:spacing w:before="40"/>
        <w:rPr>
          <w:rFonts w:cs="Arial"/>
          <w:sz w:val="16"/>
          <w:szCs w:val="16"/>
        </w:rPr>
      </w:pPr>
    </w:p>
    <w:p w14:paraId="18D2EF74" w14:textId="77777777" w:rsidR="007D29F8" w:rsidRPr="00E12BB9" w:rsidRDefault="007D29F8" w:rsidP="007D29F8">
      <w:pPr>
        <w:spacing w:before="40"/>
        <w:rPr>
          <w:rFonts w:cs="Arial"/>
          <w:sz w:val="16"/>
          <w:szCs w:val="16"/>
        </w:rPr>
      </w:pPr>
    </w:p>
    <w:p w14:paraId="6F38EDA2" w14:textId="77777777" w:rsidR="007D29F8" w:rsidRPr="00AC7846" w:rsidRDefault="007D29F8" w:rsidP="007D29F8">
      <w:pPr>
        <w:spacing w:before="40"/>
        <w:jc w:val="left"/>
        <w:rPr>
          <w:rFonts w:cs="Arial"/>
          <w:sz w:val="16"/>
          <w:szCs w:val="16"/>
        </w:rPr>
        <w:sectPr w:rsidR="007D29F8" w:rsidRPr="00AC7846" w:rsidSect="000309DA">
          <w:headerReference w:type="even" r:id="rId28"/>
          <w:footerReference w:type="even" r:id="rId29"/>
          <w:footerReference w:type="default" r:id="rId30"/>
          <w:headerReference w:type="first" r:id="rId31"/>
          <w:footerReference w:type="first" r:id="rId32"/>
          <w:type w:val="continuous"/>
          <w:pgSz w:w="11907" w:h="16840" w:code="9"/>
          <w:pgMar w:top="340" w:right="851" w:bottom="567" w:left="993" w:header="510" w:footer="284" w:gutter="0"/>
          <w:cols w:num="5" w:space="352" w:equalWidth="0">
            <w:col w:w="2478" w:space="0"/>
            <w:col w:w="1972" w:space="0"/>
            <w:col w:w="1728" w:space="0"/>
            <w:col w:w="1759" w:space="0"/>
            <w:col w:w="2268"/>
          </w:cols>
          <w:docGrid w:linePitch="272"/>
        </w:sectPr>
      </w:pPr>
      <w:r w:rsidRPr="00E12BB9">
        <w:rPr>
          <w:rFonts w:cs="Arial"/>
          <w:sz w:val="16"/>
          <w:szCs w:val="16"/>
        </w:rPr>
        <w:t>(Total</w:t>
      </w:r>
      <w:r>
        <w:rPr>
          <w:rFonts w:cs="Arial"/>
          <w:sz w:val="16"/>
          <w:szCs w:val="16"/>
        </w:rPr>
        <w:t> </w:t>
      </w:r>
      <w:r w:rsidRPr="00E12BB9">
        <w:rPr>
          <w:rFonts w:cs="Arial"/>
          <w:sz w:val="16"/>
          <w:szCs w:val="16"/>
        </w:rPr>
        <w:t>78)</w:t>
      </w:r>
    </w:p>
    <w:p w14:paraId="76015E67" w14:textId="77777777" w:rsidR="007D29F8" w:rsidRPr="00E12BB9" w:rsidRDefault="007D29F8" w:rsidP="007D29F8">
      <w:pPr>
        <w:tabs>
          <w:tab w:val="left" w:pos="1418"/>
        </w:tabs>
        <w:spacing w:before="40" w:after="120"/>
        <w:jc w:val="left"/>
        <w:rPr>
          <w:sz w:val="16"/>
          <w:u w:val="single"/>
        </w:rPr>
      </w:pPr>
      <w:r w:rsidRPr="00E12BB9">
        <w:rPr>
          <w:sz w:val="16"/>
          <w:u w:val="single"/>
        </w:rPr>
        <w:tab/>
      </w:r>
    </w:p>
    <w:p w14:paraId="2D8F8DAE" w14:textId="77777777" w:rsidR="007D29F8" w:rsidRPr="00E12BB9" w:rsidRDefault="007D29F8" w:rsidP="007D29F8">
      <w:pPr>
        <w:tabs>
          <w:tab w:val="left" w:pos="284"/>
        </w:tabs>
        <w:spacing w:after="60"/>
        <w:ind w:left="84"/>
        <w:rPr>
          <w:noProof/>
          <w:sz w:val="14"/>
        </w:rPr>
      </w:pPr>
      <w:r w:rsidRPr="00E12BB9">
        <w:rPr>
          <w:rFonts w:cs="Arial"/>
          <w:sz w:val="14"/>
          <w:szCs w:val="16"/>
          <w:vertAlign w:val="superscript"/>
        </w:rPr>
        <w:t>1</w:t>
      </w:r>
      <w:r w:rsidRPr="00E12BB9">
        <w:rPr>
          <w:rFonts w:cs="Arial"/>
          <w:sz w:val="14"/>
          <w:szCs w:val="16"/>
        </w:rPr>
        <w:tab/>
        <w:t>L’Acte de 1978 est le dernier Acte auquel 17</w:t>
      </w:r>
      <w:r>
        <w:rPr>
          <w:rFonts w:cs="Arial"/>
          <w:sz w:val="14"/>
          <w:szCs w:val="16"/>
        </w:rPr>
        <w:t> </w:t>
      </w:r>
      <w:r w:rsidRPr="00E12BB9">
        <w:rPr>
          <w:rFonts w:cs="Arial"/>
          <w:sz w:val="14"/>
          <w:szCs w:val="16"/>
        </w:rPr>
        <w:t>États ont adhéré.</w:t>
      </w:r>
    </w:p>
    <w:p w14:paraId="773B1437" w14:textId="77777777" w:rsidR="007D29F8" w:rsidRPr="00E12BB9" w:rsidRDefault="007D29F8" w:rsidP="007D29F8">
      <w:pPr>
        <w:tabs>
          <w:tab w:val="left" w:pos="284"/>
        </w:tabs>
        <w:spacing w:after="60"/>
        <w:ind w:left="84"/>
        <w:rPr>
          <w:rFonts w:cs="Arial"/>
          <w:sz w:val="14"/>
          <w:szCs w:val="16"/>
        </w:rPr>
      </w:pPr>
      <w:r w:rsidRPr="00E12BB9">
        <w:rPr>
          <w:rFonts w:cs="Arial"/>
          <w:sz w:val="14"/>
          <w:szCs w:val="16"/>
          <w:vertAlign w:val="superscript"/>
        </w:rPr>
        <w:t>2</w:t>
      </w:r>
      <w:r w:rsidRPr="00E12BB9">
        <w:rPr>
          <w:rFonts w:cs="Arial"/>
          <w:sz w:val="14"/>
          <w:szCs w:val="16"/>
        </w:rPr>
        <w:tab/>
        <w:t>L’Acte de 1991 est le dernier Acte auquel 59</w:t>
      </w:r>
      <w:r>
        <w:rPr>
          <w:rFonts w:cs="Arial"/>
          <w:sz w:val="14"/>
          <w:szCs w:val="16"/>
        </w:rPr>
        <w:t> </w:t>
      </w:r>
      <w:r w:rsidRPr="00E12BB9">
        <w:rPr>
          <w:rFonts w:cs="Arial"/>
          <w:sz w:val="14"/>
          <w:szCs w:val="16"/>
        </w:rPr>
        <w:t>États et deux organisations ont adhéré.</w:t>
      </w:r>
    </w:p>
    <w:p w14:paraId="3083712D" w14:textId="77777777" w:rsidR="007D29F8" w:rsidRPr="00E12BB9" w:rsidRDefault="007D29F8" w:rsidP="007D29F8">
      <w:pPr>
        <w:tabs>
          <w:tab w:val="left" w:pos="284"/>
        </w:tabs>
        <w:spacing w:after="60"/>
        <w:ind w:left="284" w:hanging="200"/>
        <w:rPr>
          <w:rFonts w:cs="Arial"/>
          <w:sz w:val="14"/>
          <w:szCs w:val="16"/>
        </w:rPr>
      </w:pPr>
      <w:r w:rsidRPr="00E12BB9">
        <w:rPr>
          <w:rFonts w:cs="Arial"/>
          <w:sz w:val="14"/>
          <w:szCs w:val="16"/>
          <w:vertAlign w:val="superscript"/>
        </w:rPr>
        <w:t>3</w:t>
      </w:r>
      <w:r w:rsidRPr="00E12BB9">
        <w:rPr>
          <w:rFonts w:cs="Arial"/>
          <w:sz w:val="14"/>
          <w:szCs w:val="16"/>
        </w:rPr>
        <w:tab/>
        <w:t>A adopté un système de protection des droits d’obtenteur qui couvre le territoire de ses 27</w:t>
      </w:r>
      <w:r>
        <w:rPr>
          <w:rFonts w:cs="Arial"/>
          <w:sz w:val="14"/>
          <w:szCs w:val="16"/>
        </w:rPr>
        <w:t> </w:t>
      </w:r>
      <w:r w:rsidRPr="00E12BB9">
        <w:rPr>
          <w:rFonts w:cs="Arial"/>
          <w:sz w:val="14"/>
          <w:szCs w:val="16"/>
        </w:rPr>
        <w:t>États membres (</w:t>
      </w:r>
      <w:r w:rsidRPr="00E12BB9">
        <w:rPr>
          <w:rFonts w:cs="Arial"/>
          <w:i/>
          <w:iCs/>
          <w:sz w:val="14"/>
          <w:szCs w:val="16"/>
        </w:rPr>
        <w:t>Allemagne, Autriche, Belgique, Bulgarie, Chypre, Croatie, Danemark, Espagne, Estonie, Finlande, France, Grèce, Hongrie, Irlande, Italie, Lettonie, Lituanie, Luxembourg, Malte, Pays-Bas, Pologne, Portugal, République tchèque, Roumanie, Slovaquie, Slovénie, Suède</w:t>
      </w:r>
      <w:r w:rsidRPr="00E12BB9">
        <w:rPr>
          <w:rFonts w:cs="Arial"/>
          <w:iCs/>
          <w:sz w:val="14"/>
          <w:szCs w:val="16"/>
        </w:rPr>
        <w:t>)</w:t>
      </w:r>
      <w:r w:rsidRPr="00E12BB9">
        <w:rPr>
          <w:rFonts w:cs="Arial"/>
          <w:sz w:val="14"/>
          <w:szCs w:val="16"/>
        </w:rPr>
        <w:t>.</w:t>
      </w:r>
    </w:p>
    <w:p w14:paraId="3D99941A" w14:textId="77777777" w:rsidR="007D29F8" w:rsidRPr="00E12BB9" w:rsidRDefault="007D29F8" w:rsidP="007D29F8">
      <w:pPr>
        <w:tabs>
          <w:tab w:val="left" w:pos="284"/>
        </w:tabs>
        <w:spacing w:after="60"/>
        <w:ind w:left="284" w:hanging="200"/>
        <w:rPr>
          <w:rFonts w:cs="Arial"/>
          <w:i/>
          <w:sz w:val="14"/>
          <w:szCs w:val="16"/>
        </w:rPr>
      </w:pPr>
      <w:r w:rsidRPr="00E12BB9">
        <w:rPr>
          <w:rFonts w:cs="Arial"/>
          <w:sz w:val="14"/>
          <w:szCs w:val="16"/>
          <w:vertAlign w:val="superscript"/>
        </w:rPr>
        <w:t>4</w:t>
      </w:r>
      <w:r w:rsidRPr="00E12BB9">
        <w:rPr>
          <w:rFonts w:cs="Arial"/>
          <w:sz w:val="14"/>
          <w:szCs w:val="16"/>
        </w:rPr>
        <w:tab/>
        <w:t>A adopté un système de protection des droits d’obtenteur qui couvre le territoire de ses 17</w:t>
      </w:r>
      <w:r>
        <w:rPr>
          <w:rFonts w:cs="Arial"/>
          <w:sz w:val="14"/>
          <w:szCs w:val="16"/>
        </w:rPr>
        <w:t> </w:t>
      </w:r>
      <w:r w:rsidRPr="00E12BB9">
        <w:rPr>
          <w:rFonts w:cs="Arial"/>
          <w:sz w:val="14"/>
          <w:szCs w:val="16"/>
        </w:rPr>
        <w:t>États membres (</w:t>
      </w:r>
      <w:r w:rsidRPr="00E12BB9">
        <w:rPr>
          <w:rFonts w:cs="Arial"/>
          <w:i/>
          <w:iCs/>
          <w:sz w:val="14"/>
          <w:szCs w:val="16"/>
        </w:rPr>
        <w:t>Bénin, Burkina Faso, Cameroun, Comores, Congo, Côte d’Ivoire, Gabon, Guinée, Guinée Bissau, Guinée équatoriale, Mali, Mauritanie, Niger, République centrafricaine, Sénégal, Tchad et Togo</w:t>
      </w:r>
      <w:r w:rsidRPr="00E12BB9">
        <w:rPr>
          <w:rFonts w:cs="Arial"/>
          <w:sz w:val="14"/>
          <w:szCs w:val="16"/>
        </w:rPr>
        <w:t>).</w:t>
      </w:r>
    </w:p>
    <w:p w14:paraId="47D39198" w14:textId="77777777" w:rsidR="007D29F8" w:rsidRPr="00E12BB9" w:rsidRDefault="007D29F8" w:rsidP="007D29F8">
      <w:pPr>
        <w:pStyle w:val="BodyText3"/>
        <w:tabs>
          <w:tab w:val="left" w:pos="284"/>
        </w:tabs>
        <w:spacing w:after="0" w:line="360" w:lineRule="auto"/>
        <w:jc w:val="both"/>
        <w:rPr>
          <w:rFonts w:ascii="Arial" w:hAnsi="Arial" w:cs="Arial"/>
          <w:sz w:val="18"/>
          <w:szCs w:val="20"/>
        </w:rPr>
      </w:pPr>
    </w:p>
    <w:p w14:paraId="1A85607E" w14:textId="77777777" w:rsidR="007D29F8" w:rsidRPr="00E12BB9" w:rsidRDefault="007D29F8" w:rsidP="007D29F8">
      <w:pPr>
        <w:ind w:left="284" w:hanging="284"/>
        <w:jc w:val="left"/>
        <w:rPr>
          <w:rFonts w:cs="Arial"/>
          <w:b/>
          <w:color w:val="26724C" w:themeColor="accent1" w:themeShade="BF"/>
          <w:spacing w:val="-2"/>
          <w:sz w:val="18"/>
          <w:szCs w:val="16"/>
        </w:rPr>
      </w:pPr>
      <w:r w:rsidRPr="00E12BB9">
        <w:rPr>
          <w:rFonts w:cs="Arial"/>
          <w:b/>
          <w:color w:val="26724C" w:themeColor="accent1" w:themeShade="BF"/>
          <w:spacing w:val="-2"/>
          <w:sz w:val="18"/>
          <w:szCs w:val="16"/>
        </w:rPr>
        <w:t>B.</w:t>
      </w:r>
      <w:r w:rsidRPr="00E12BB9">
        <w:rPr>
          <w:rFonts w:cs="Arial"/>
          <w:b/>
          <w:color w:val="26724C" w:themeColor="accent1" w:themeShade="BF"/>
          <w:spacing w:val="-2"/>
          <w:sz w:val="18"/>
          <w:szCs w:val="16"/>
        </w:rPr>
        <w:tab/>
      </w:r>
      <w:r w:rsidRPr="00E12BB9">
        <w:rPr>
          <w:rFonts w:cs="Arial"/>
          <w:b/>
          <w:color w:val="26724C" w:themeColor="accent1" w:themeShade="BF"/>
          <w:sz w:val="18"/>
        </w:rPr>
        <w:t>États et organisations intergouvernementales ayant engagé la procédure d’adhésion à la Convention UPOV</w:t>
      </w:r>
    </w:p>
    <w:p w14:paraId="09D3874F" w14:textId="77777777" w:rsidR="007D29F8" w:rsidRPr="00E12BB9" w:rsidRDefault="007D29F8" w:rsidP="007D29F8">
      <w:pPr>
        <w:tabs>
          <w:tab w:val="left" w:pos="284"/>
        </w:tabs>
        <w:ind w:left="284"/>
        <w:rPr>
          <w:rFonts w:cs="Arial"/>
          <w:sz w:val="16"/>
          <w:szCs w:val="16"/>
        </w:rPr>
      </w:pPr>
    </w:p>
    <w:p w14:paraId="12FAAAC2" w14:textId="77777777" w:rsidR="007D29F8" w:rsidRPr="00E12BB9" w:rsidRDefault="007D29F8" w:rsidP="007D29F8">
      <w:pPr>
        <w:keepNext/>
        <w:rPr>
          <w:rFonts w:cs="Arial"/>
          <w:i/>
          <w:sz w:val="16"/>
          <w:szCs w:val="16"/>
        </w:rPr>
      </w:pPr>
      <w:r w:rsidRPr="00E12BB9">
        <w:rPr>
          <w:rFonts w:cs="Arial"/>
          <w:i/>
          <w:sz w:val="16"/>
          <w:szCs w:val="16"/>
        </w:rPr>
        <w:t>États (19) :</w:t>
      </w:r>
    </w:p>
    <w:p w14:paraId="35758BC6" w14:textId="77777777" w:rsidR="007D29F8" w:rsidRPr="00E12BB9" w:rsidRDefault="007D29F8" w:rsidP="007D29F8">
      <w:pPr>
        <w:keepNext/>
        <w:rPr>
          <w:rFonts w:cs="Arial"/>
          <w:sz w:val="10"/>
          <w:szCs w:val="16"/>
        </w:rPr>
      </w:pPr>
    </w:p>
    <w:p w14:paraId="798006B7" w14:textId="77777777" w:rsidR="007D29F8" w:rsidRPr="00E12BB9" w:rsidRDefault="007D29F8" w:rsidP="007D29F8">
      <w:pPr>
        <w:rPr>
          <w:rFonts w:cs="Arial"/>
          <w:spacing w:val="-2"/>
          <w:sz w:val="16"/>
          <w:szCs w:val="16"/>
        </w:rPr>
      </w:pPr>
      <w:r w:rsidRPr="00E12BB9">
        <w:rPr>
          <w:rFonts w:cs="Arial"/>
          <w:spacing w:val="-2"/>
          <w:sz w:val="16"/>
          <w:szCs w:val="16"/>
        </w:rPr>
        <w:t>Afghanistan, Arménie, Brunéi Darussalam, Émirats arabes unis, Guatemala, Honduras, Inde, Iran (République islamique d’), Jamaïque, Kazakhstan, Malaisie, Maurice, Mongolie, Myanmar, Nigéria, Philippines, Tadjikistan, Venezuela (République bolivarienne du) et Zimbabwe.</w:t>
      </w:r>
    </w:p>
    <w:p w14:paraId="3F8E87E0" w14:textId="77777777" w:rsidR="007D29F8" w:rsidRPr="00E12BB9" w:rsidRDefault="007D29F8" w:rsidP="007D29F8">
      <w:pPr>
        <w:rPr>
          <w:rFonts w:cs="Arial"/>
          <w:sz w:val="16"/>
          <w:szCs w:val="16"/>
        </w:rPr>
      </w:pPr>
    </w:p>
    <w:p w14:paraId="59FF7DB5" w14:textId="77777777" w:rsidR="007D29F8" w:rsidRPr="00E12BB9" w:rsidRDefault="007D29F8" w:rsidP="007D29F8">
      <w:pPr>
        <w:rPr>
          <w:rFonts w:cs="Arial"/>
          <w:i/>
          <w:spacing w:val="-2"/>
          <w:sz w:val="16"/>
          <w:szCs w:val="16"/>
        </w:rPr>
      </w:pPr>
      <w:r w:rsidRPr="00E12BB9">
        <w:rPr>
          <w:rFonts w:cs="Arial"/>
          <w:i/>
          <w:spacing w:val="-2"/>
          <w:sz w:val="16"/>
          <w:szCs w:val="16"/>
        </w:rPr>
        <w:t>Organisation (1) :</w:t>
      </w:r>
    </w:p>
    <w:p w14:paraId="398660B8" w14:textId="77777777" w:rsidR="007D29F8" w:rsidRPr="00E12BB9" w:rsidRDefault="007D29F8" w:rsidP="007D29F8">
      <w:pPr>
        <w:rPr>
          <w:rFonts w:cs="Arial"/>
          <w:spacing w:val="-2"/>
          <w:sz w:val="10"/>
          <w:szCs w:val="16"/>
        </w:rPr>
      </w:pPr>
    </w:p>
    <w:p w14:paraId="7339561F" w14:textId="77777777" w:rsidR="007D29F8" w:rsidRPr="00E12BB9" w:rsidRDefault="007D29F8" w:rsidP="007D29F8">
      <w:pPr>
        <w:rPr>
          <w:rFonts w:cs="Arial"/>
          <w:sz w:val="16"/>
          <w:szCs w:val="24"/>
        </w:rPr>
      </w:pPr>
      <w:r w:rsidRPr="00E12BB9">
        <w:rPr>
          <w:rFonts w:cs="Arial"/>
          <w:sz w:val="16"/>
          <w:szCs w:val="24"/>
        </w:rPr>
        <w:t>Organisation régionale africaine de la propriété intellectuelle (ARIPO)</w:t>
      </w:r>
    </w:p>
    <w:p w14:paraId="79A9D6F3" w14:textId="77777777" w:rsidR="007D29F8" w:rsidRPr="00E12BB9" w:rsidRDefault="007D29F8" w:rsidP="007D29F8">
      <w:pPr>
        <w:rPr>
          <w:rFonts w:cs="Arial"/>
          <w:i/>
          <w:sz w:val="16"/>
          <w:szCs w:val="24"/>
        </w:rPr>
      </w:pPr>
      <w:r w:rsidRPr="00E12BB9">
        <w:rPr>
          <w:rFonts w:cs="Arial"/>
          <w:i/>
          <w:sz w:val="16"/>
          <w:szCs w:val="24"/>
        </w:rPr>
        <w:t>(États membres de l’ARIPO (20) : Botswana, Eswatini, Gambie, Ghana, Kenya, Lesotho, Libéria, Malawi, Maurice, Mozambique, Namibie, Ouganda, République-Unie de Tanzanie, Rwanda, Sao Tomé-et-Principe, Sierra Leone, Somalie, Soudan, Zambie, Zimbabwe)</w:t>
      </w:r>
    </w:p>
    <w:p w14:paraId="03A81381" w14:textId="77777777" w:rsidR="007D29F8" w:rsidRPr="00AC7846" w:rsidRDefault="007D29F8" w:rsidP="007D29F8">
      <w:pPr>
        <w:rPr>
          <w:rFonts w:cs="Arial"/>
          <w:sz w:val="16"/>
          <w:szCs w:val="16"/>
        </w:rPr>
      </w:pPr>
    </w:p>
    <w:p w14:paraId="6200ECA4" w14:textId="77777777" w:rsidR="007D29F8" w:rsidRPr="00E12BB9" w:rsidRDefault="007D29F8" w:rsidP="007D29F8">
      <w:pPr>
        <w:rPr>
          <w:rFonts w:cs="Arial"/>
          <w:sz w:val="16"/>
          <w:szCs w:val="16"/>
        </w:rPr>
      </w:pPr>
    </w:p>
    <w:p w14:paraId="588332EF" w14:textId="77777777" w:rsidR="007D29F8" w:rsidRPr="00E12BB9" w:rsidRDefault="007D29F8" w:rsidP="007D29F8">
      <w:pPr>
        <w:ind w:left="284" w:hanging="284"/>
        <w:jc w:val="left"/>
        <w:rPr>
          <w:rFonts w:cs="Arial"/>
          <w:b/>
          <w:color w:val="26724C" w:themeColor="accent1" w:themeShade="BF"/>
          <w:sz w:val="18"/>
          <w:szCs w:val="24"/>
        </w:rPr>
      </w:pPr>
      <w:r w:rsidRPr="00E12BB9">
        <w:rPr>
          <w:rFonts w:cs="Arial"/>
          <w:b/>
          <w:color w:val="26724C" w:themeColor="accent1" w:themeShade="BF"/>
          <w:sz w:val="18"/>
          <w:szCs w:val="24"/>
        </w:rPr>
        <w:t>C.</w:t>
      </w:r>
      <w:r w:rsidRPr="00E12BB9">
        <w:rPr>
          <w:rFonts w:cs="Arial"/>
          <w:b/>
          <w:color w:val="26724C" w:themeColor="accent1" w:themeShade="BF"/>
          <w:sz w:val="18"/>
          <w:szCs w:val="24"/>
        </w:rPr>
        <w:tab/>
      </w:r>
      <w:r w:rsidRPr="00E12BB9">
        <w:rPr>
          <w:rFonts w:cs="Arial"/>
          <w:b/>
          <w:color w:val="26724C" w:themeColor="accent1" w:themeShade="BF"/>
          <w:sz w:val="18"/>
        </w:rPr>
        <w:t>États et organisations intergouvernementales ayant été en rapport avec le Bureau de l’Union en vue d’obtenir une assistance pour l’élaboration de lois fondées sur la Convention UPOV</w:t>
      </w:r>
    </w:p>
    <w:p w14:paraId="3C45CF1E" w14:textId="77777777" w:rsidR="007D29F8" w:rsidRPr="00E12BB9" w:rsidRDefault="007D29F8" w:rsidP="007D29F8">
      <w:pPr>
        <w:jc w:val="center"/>
        <w:rPr>
          <w:rFonts w:cs="Arial"/>
          <w:b/>
          <w:sz w:val="18"/>
          <w:szCs w:val="24"/>
        </w:rPr>
      </w:pPr>
    </w:p>
    <w:p w14:paraId="5D279900" w14:textId="77777777" w:rsidR="007D29F8" w:rsidRPr="00E12BB9" w:rsidRDefault="007D29F8" w:rsidP="007D29F8">
      <w:pPr>
        <w:keepNext/>
        <w:rPr>
          <w:rFonts w:cs="Arial"/>
          <w:i/>
          <w:sz w:val="16"/>
          <w:szCs w:val="24"/>
        </w:rPr>
      </w:pPr>
      <w:r w:rsidRPr="00E12BB9">
        <w:rPr>
          <w:rFonts w:cs="Arial"/>
          <w:i/>
          <w:sz w:val="16"/>
          <w:szCs w:val="24"/>
        </w:rPr>
        <w:t>États (23) :</w:t>
      </w:r>
    </w:p>
    <w:p w14:paraId="53256C71" w14:textId="77777777" w:rsidR="007D29F8" w:rsidRPr="00E12BB9" w:rsidRDefault="007D29F8" w:rsidP="007D29F8">
      <w:pPr>
        <w:keepNext/>
        <w:rPr>
          <w:rFonts w:cs="Arial"/>
          <w:sz w:val="10"/>
          <w:szCs w:val="24"/>
        </w:rPr>
      </w:pPr>
    </w:p>
    <w:p w14:paraId="5DBE03EA" w14:textId="77777777" w:rsidR="007D29F8" w:rsidRPr="00E12BB9" w:rsidRDefault="007D29F8" w:rsidP="007D29F8">
      <w:pPr>
        <w:suppressAutoHyphens/>
        <w:rPr>
          <w:rFonts w:cs="Arial"/>
          <w:spacing w:val="-2"/>
          <w:sz w:val="16"/>
          <w:szCs w:val="24"/>
        </w:rPr>
      </w:pPr>
      <w:r w:rsidRPr="00E12BB9">
        <w:rPr>
          <w:rFonts w:cs="Arial"/>
          <w:spacing w:val="-2"/>
          <w:sz w:val="16"/>
          <w:szCs w:val="16"/>
        </w:rPr>
        <w:t>Algérie, Antigua-et-Barbuda, Arabie saoudite, Bahreïn, Barbade, Cambodge, Chypre, Cuba, El Salvador, Indonésie, Iraq, Libye, Liechtenstein, Malawi, Mozambique, Namibie, Pakistan, République démocratique populaire lao, Soudan, Thaïlande, Tonga, Turkménistan et Zambie</w:t>
      </w:r>
    </w:p>
    <w:p w14:paraId="5DA9122E" w14:textId="77777777" w:rsidR="007D29F8" w:rsidRPr="00E12BB9" w:rsidRDefault="007D29F8" w:rsidP="007D29F8">
      <w:pPr>
        <w:rPr>
          <w:rFonts w:cs="Arial"/>
          <w:sz w:val="16"/>
          <w:szCs w:val="24"/>
        </w:rPr>
      </w:pPr>
    </w:p>
    <w:p w14:paraId="3A2B5750" w14:textId="77777777" w:rsidR="007D29F8" w:rsidRPr="00E12BB9" w:rsidRDefault="007D29F8" w:rsidP="007D29F8">
      <w:pPr>
        <w:keepNext/>
        <w:rPr>
          <w:rFonts w:cs="Arial"/>
          <w:i/>
          <w:sz w:val="16"/>
          <w:szCs w:val="24"/>
        </w:rPr>
      </w:pPr>
      <w:r w:rsidRPr="00E12BB9">
        <w:rPr>
          <w:rFonts w:cs="Arial"/>
          <w:i/>
          <w:sz w:val="16"/>
          <w:szCs w:val="24"/>
        </w:rPr>
        <w:t>Organisation (1) :</w:t>
      </w:r>
    </w:p>
    <w:p w14:paraId="2BC1616B" w14:textId="77777777" w:rsidR="007D29F8" w:rsidRPr="00E12BB9" w:rsidRDefault="007D29F8" w:rsidP="007D29F8">
      <w:pPr>
        <w:keepNext/>
        <w:rPr>
          <w:rFonts w:cs="Arial"/>
          <w:sz w:val="10"/>
          <w:szCs w:val="24"/>
        </w:rPr>
      </w:pPr>
    </w:p>
    <w:p w14:paraId="34C3190B" w14:textId="77777777" w:rsidR="007D29F8" w:rsidRPr="00E12BB9" w:rsidRDefault="007D29F8" w:rsidP="007D29F8">
      <w:pPr>
        <w:rPr>
          <w:rFonts w:cs="Arial"/>
          <w:sz w:val="16"/>
          <w:szCs w:val="24"/>
        </w:rPr>
      </w:pPr>
      <w:r w:rsidRPr="00E12BB9">
        <w:rPr>
          <w:rFonts w:cs="Arial"/>
          <w:sz w:val="16"/>
          <w:szCs w:val="24"/>
        </w:rPr>
        <w:t>Communauté pour le développement de l’Afrique australe (SADC)</w:t>
      </w:r>
    </w:p>
    <w:p w14:paraId="3BA4864D" w14:textId="77777777" w:rsidR="007D29F8" w:rsidRPr="00E12BB9" w:rsidRDefault="007D29F8" w:rsidP="007D29F8">
      <w:pPr>
        <w:rPr>
          <w:rFonts w:cs="Arial"/>
          <w:i/>
          <w:sz w:val="16"/>
          <w:szCs w:val="24"/>
        </w:rPr>
      </w:pPr>
      <w:r w:rsidRPr="00E12BB9">
        <w:rPr>
          <w:rFonts w:cs="Arial"/>
          <w:i/>
          <w:sz w:val="16"/>
          <w:szCs w:val="24"/>
        </w:rPr>
        <w:t>(États membres de la SADC (15) : Afrique du Sud, Angola, Botswana, Eswatini, Lesotho, Madagascar, Malawi, Maurice, Mozambique, Namibie, République démocratique du Congo, République-Unie de Tanzanie, Seychelles, Zambie, Zimbabwe)</w:t>
      </w:r>
    </w:p>
    <w:p w14:paraId="31C10081" w14:textId="77777777" w:rsidR="007D29F8" w:rsidRPr="007D29F8" w:rsidRDefault="007D29F8" w:rsidP="007D29F8">
      <w:pPr>
        <w:pStyle w:val="endofdoc"/>
        <w:rPr>
          <w:snapToGrid w:val="0"/>
          <w:lang w:val="fr-FR"/>
        </w:rPr>
      </w:pPr>
      <w:r w:rsidRPr="007D29F8">
        <w:rPr>
          <w:snapToGrid w:val="0"/>
          <w:lang w:val="fr-FR"/>
        </w:rPr>
        <w:t>[L’appendice II suit]</w:t>
      </w:r>
    </w:p>
    <w:p w14:paraId="543D281C" w14:textId="77777777" w:rsidR="007D29F8" w:rsidRPr="007D29F8" w:rsidRDefault="007D29F8" w:rsidP="007D29F8">
      <w:pPr>
        <w:pStyle w:val="Endofdocument"/>
        <w:jc w:val="both"/>
        <w:rPr>
          <w:rFonts w:ascii="Arial" w:hAnsi="Arial" w:cs="Arial"/>
          <w:snapToGrid w:val="0"/>
          <w:color w:val="000000"/>
          <w:sz w:val="20"/>
        </w:rPr>
        <w:sectPr w:rsidR="007D29F8" w:rsidRPr="007D29F8" w:rsidSect="007D29F8">
          <w:headerReference w:type="even" r:id="rId33"/>
          <w:footerReference w:type="even" r:id="rId34"/>
          <w:footerReference w:type="default" r:id="rId35"/>
          <w:headerReference w:type="first" r:id="rId36"/>
          <w:footerReference w:type="first" r:id="rId37"/>
          <w:type w:val="continuous"/>
          <w:pgSz w:w="11907" w:h="16840" w:code="9"/>
          <w:pgMar w:top="510" w:right="1134" w:bottom="851" w:left="1134" w:header="510" w:footer="624" w:gutter="0"/>
          <w:cols w:space="720"/>
        </w:sectPr>
      </w:pPr>
    </w:p>
    <w:p w14:paraId="49388C71" w14:textId="77777777" w:rsidR="007D29F8" w:rsidRPr="00E12BB9" w:rsidRDefault="007D29F8" w:rsidP="007D29F8">
      <w:pPr>
        <w:pStyle w:val="Heading9"/>
        <w:rPr>
          <w:lang w:val="fr-FR"/>
        </w:rPr>
      </w:pPr>
      <w:bookmarkStart w:id="490" w:name="_Toc132208467"/>
      <w:r w:rsidRPr="00E12BB9">
        <w:rPr>
          <w:lang w:val="fr-FR"/>
        </w:rPr>
        <w:lastRenderedPageBreak/>
        <w:t>APPENDICE</w:t>
      </w:r>
      <w:r>
        <w:rPr>
          <w:lang w:val="fr-FR"/>
        </w:rPr>
        <w:t> </w:t>
      </w:r>
      <w:r w:rsidRPr="00E12BB9">
        <w:rPr>
          <w:lang w:val="fr-FR"/>
        </w:rPr>
        <w:t>II</w:t>
      </w:r>
      <w:r w:rsidRPr="00E12BB9">
        <w:rPr>
          <w:lang w:val="fr-FR"/>
        </w:rPr>
        <w:tab/>
        <w:t>Contributions des membres au 31 décembre 2022</w:t>
      </w:r>
      <w:bookmarkEnd w:id="490"/>
    </w:p>
    <w:p w14:paraId="1970B5D4" w14:textId="77777777" w:rsidR="007D29F8" w:rsidRPr="00E12BB9" w:rsidRDefault="007D29F8" w:rsidP="007D29F8">
      <w:pPr>
        <w:jc w:val="center"/>
        <w:rPr>
          <w:i/>
          <w:sz w:val="18"/>
          <w:szCs w:val="18"/>
        </w:rPr>
      </w:pPr>
    </w:p>
    <w:p w14:paraId="13FC3346" w14:textId="77777777" w:rsidR="007D29F8" w:rsidRPr="00E12BB9" w:rsidRDefault="007D29F8" w:rsidP="007D29F8">
      <w:pPr>
        <w:spacing w:after="120"/>
        <w:jc w:val="center"/>
        <w:rPr>
          <w:i/>
          <w:caps/>
          <w:sz w:val="18"/>
          <w:szCs w:val="18"/>
        </w:rPr>
      </w:pPr>
      <w:r w:rsidRPr="00E12BB9">
        <w:rPr>
          <w:i/>
          <w:sz w:val="18"/>
          <w:szCs w:val="18"/>
        </w:rPr>
        <w:t>(</w:t>
      </w:r>
      <w:proofErr w:type="gramStart"/>
      <w:r w:rsidRPr="00E12BB9">
        <w:rPr>
          <w:i/>
          <w:sz w:val="18"/>
          <w:szCs w:val="18"/>
        </w:rPr>
        <w:t>en</w:t>
      </w:r>
      <w:proofErr w:type="gramEnd"/>
      <w:r w:rsidRPr="00E12BB9">
        <w:rPr>
          <w:i/>
          <w:sz w:val="18"/>
          <w:szCs w:val="18"/>
        </w:rPr>
        <w:t xml:space="preserve"> francs suisses)</w:t>
      </w:r>
    </w:p>
    <w:tbl>
      <w:tblPr>
        <w:tblW w:w="9781" w:type="dxa"/>
        <w:tblLook w:val="04A0" w:firstRow="1" w:lastRow="0" w:firstColumn="1" w:lastColumn="0" w:noHBand="0" w:noVBand="1"/>
      </w:tblPr>
      <w:tblGrid>
        <w:gridCol w:w="1268"/>
        <w:gridCol w:w="1269"/>
        <w:gridCol w:w="3431"/>
        <w:gridCol w:w="1077"/>
        <w:gridCol w:w="1383"/>
        <w:gridCol w:w="1353"/>
      </w:tblGrid>
      <w:tr w:rsidR="007D29F8" w:rsidRPr="00E12BB9" w14:paraId="66ED50B3" w14:textId="77777777" w:rsidTr="00DB6666">
        <w:trPr>
          <w:trHeight w:val="934"/>
          <w:tblHeader/>
        </w:trPr>
        <w:tc>
          <w:tcPr>
            <w:tcW w:w="1268" w:type="dxa"/>
            <w:tcBorders>
              <w:top w:val="nil"/>
              <w:left w:val="nil"/>
              <w:right w:val="nil"/>
            </w:tcBorders>
            <w:shd w:val="clear" w:color="000000" w:fill="C7CFD8"/>
            <w:vAlign w:val="center"/>
            <w:hideMark/>
          </w:tcPr>
          <w:p w14:paraId="4D47D32E" w14:textId="77777777" w:rsidR="007D29F8" w:rsidRPr="00E12BB9" w:rsidRDefault="007D29F8" w:rsidP="00DB6666">
            <w:pPr>
              <w:jc w:val="center"/>
              <w:rPr>
                <w:rFonts w:ascii="Arial Narrow" w:hAnsi="Arial Narrow" w:cs="Arial"/>
                <w:b/>
                <w:bCs/>
                <w:color w:val="000000"/>
                <w:sz w:val="18"/>
                <w:szCs w:val="18"/>
              </w:rPr>
            </w:pPr>
            <w:r w:rsidRPr="00E12BB9">
              <w:rPr>
                <w:rFonts w:ascii="Arial Narrow" w:hAnsi="Arial Narrow" w:cs="Arial"/>
                <w:b/>
                <w:bCs/>
                <w:color w:val="000000"/>
                <w:sz w:val="18"/>
                <w:szCs w:val="18"/>
              </w:rPr>
              <w:t>Montant facturé</w:t>
            </w:r>
          </w:p>
          <w:p w14:paraId="577D61E1" w14:textId="77777777" w:rsidR="007D29F8" w:rsidRPr="00E12BB9" w:rsidRDefault="007D29F8" w:rsidP="00DB6666">
            <w:pPr>
              <w:jc w:val="center"/>
              <w:rPr>
                <w:rFonts w:ascii="Arial Narrow" w:hAnsi="Arial Narrow" w:cs="Arial"/>
                <w:b/>
                <w:bCs/>
                <w:color w:val="000000"/>
                <w:sz w:val="18"/>
                <w:szCs w:val="18"/>
              </w:rPr>
            </w:pPr>
            <w:r w:rsidRPr="00E12BB9">
              <w:rPr>
                <w:rFonts w:ascii="Arial Narrow" w:hAnsi="Arial Narrow" w:cs="Arial"/>
                <w:b/>
                <w:bCs/>
                <w:color w:val="000000"/>
                <w:sz w:val="18"/>
                <w:szCs w:val="18"/>
              </w:rPr>
              <w:t>pour 2022</w:t>
            </w:r>
          </w:p>
        </w:tc>
        <w:tc>
          <w:tcPr>
            <w:tcW w:w="1269" w:type="dxa"/>
            <w:tcBorders>
              <w:top w:val="nil"/>
              <w:left w:val="nil"/>
              <w:right w:val="nil"/>
            </w:tcBorders>
            <w:shd w:val="clear" w:color="000000" w:fill="C7CFD8"/>
            <w:vAlign w:val="center"/>
            <w:hideMark/>
          </w:tcPr>
          <w:p w14:paraId="0020CA3C" w14:textId="77777777" w:rsidR="007D29F8" w:rsidRPr="00E12BB9" w:rsidRDefault="007D29F8" w:rsidP="00DB6666">
            <w:pPr>
              <w:jc w:val="center"/>
              <w:rPr>
                <w:rFonts w:ascii="Arial Narrow" w:hAnsi="Arial Narrow" w:cs="Arial"/>
                <w:b/>
                <w:bCs/>
                <w:color w:val="000000"/>
                <w:sz w:val="18"/>
                <w:szCs w:val="18"/>
              </w:rPr>
            </w:pPr>
            <w:r w:rsidRPr="00E12BB9">
              <w:rPr>
                <w:rFonts w:ascii="Arial Narrow" w:hAnsi="Arial Narrow" w:cs="Arial"/>
                <w:b/>
                <w:bCs/>
                <w:color w:val="000000"/>
                <w:sz w:val="18"/>
                <w:szCs w:val="18"/>
              </w:rPr>
              <w:t>Montant facturé</w:t>
            </w:r>
          </w:p>
          <w:p w14:paraId="04FB1CF1" w14:textId="77777777" w:rsidR="007D29F8" w:rsidRPr="00E12BB9" w:rsidRDefault="007D29F8" w:rsidP="00DB6666">
            <w:pPr>
              <w:jc w:val="center"/>
              <w:rPr>
                <w:rFonts w:ascii="Arial Narrow" w:hAnsi="Arial Narrow" w:cs="Arial"/>
                <w:b/>
                <w:bCs/>
                <w:color w:val="000000"/>
                <w:sz w:val="18"/>
                <w:szCs w:val="18"/>
              </w:rPr>
            </w:pPr>
            <w:r w:rsidRPr="00E12BB9">
              <w:rPr>
                <w:rFonts w:ascii="Arial Narrow" w:hAnsi="Arial Narrow" w:cs="Arial"/>
                <w:b/>
                <w:bCs/>
                <w:color w:val="000000"/>
                <w:sz w:val="18"/>
                <w:szCs w:val="18"/>
              </w:rPr>
              <w:t>pour 2023</w:t>
            </w:r>
          </w:p>
        </w:tc>
        <w:tc>
          <w:tcPr>
            <w:tcW w:w="3431" w:type="dxa"/>
            <w:tcBorders>
              <w:top w:val="nil"/>
              <w:left w:val="nil"/>
              <w:bottom w:val="single" w:sz="8" w:space="0" w:color="BFBFBF"/>
              <w:right w:val="nil"/>
            </w:tcBorders>
            <w:shd w:val="clear" w:color="000000" w:fill="C7CFD8"/>
            <w:vAlign w:val="center"/>
            <w:hideMark/>
          </w:tcPr>
          <w:p w14:paraId="3092056C" w14:textId="77777777" w:rsidR="007D29F8" w:rsidRPr="00E12BB9" w:rsidRDefault="007D29F8" w:rsidP="00DB6666">
            <w:pPr>
              <w:jc w:val="center"/>
              <w:rPr>
                <w:rFonts w:ascii="Arial Narrow" w:hAnsi="Arial Narrow" w:cs="Arial"/>
                <w:b/>
                <w:bCs/>
                <w:color w:val="000000"/>
                <w:sz w:val="18"/>
                <w:szCs w:val="18"/>
              </w:rPr>
            </w:pPr>
            <w:r w:rsidRPr="00E12BB9">
              <w:rPr>
                <w:rFonts w:ascii="Arial Narrow" w:hAnsi="Arial Narrow" w:cs="Arial"/>
                <w:b/>
                <w:bCs/>
                <w:color w:val="000000"/>
                <w:sz w:val="18"/>
                <w:szCs w:val="18"/>
              </w:rPr>
              <w:t>Membres</w:t>
            </w:r>
          </w:p>
        </w:tc>
        <w:tc>
          <w:tcPr>
            <w:tcW w:w="1077" w:type="dxa"/>
            <w:tcBorders>
              <w:top w:val="nil"/>
              <w:left w:val="nil"/>
              <w:right w:val="nil"/>
            </w:tcBorders>
            <w:shd w:val="clear" w:color="000000" w:fill="C7CFD8"/>
            <w:vAlign w:val="center"/>
            <w:hideMark/>
          </w:tcPr>
          <w:p w14:paraId="6CE6C71A" w14:textId="77777777" w:rsidR="007D29F8" w:rsidRPr="00E12BB9" w:rsidRDefault="007D29F8" w:rsidP="00DB6666">
            <w:pPr>
              <w:jc w:val="center"/>
              <w:rPr>
                <w:rFonts w:ascii="Arial Narrow" w:hAnsi="Arial Narrow" w:cs="Arial"/>
                <w:b/>
                <w:bCs/>
                <w:color w:val="000000"/>
                <w:sz w:val="18"/>
                <w:szCs w:val="18"/>
              </w:rPr>
            </w:pPr>
            <w:r w:rsidRPr="00E12BB9">
              <w:rPr>
                <w:rFonts w:ascii="Arial Narrow" w:hAnsi="Arial Narrow" w:cs="Arial"/>
                <w:b/>
                <w:bCs/>
                <w:color w:val="000000"/>
                <w:sz w:val="18"/>
                <w:szCs w:val="18"/>
              </w:rPr>
              <w:t>Nombre</w:t>
            </w:r>
          </w:p>
          <w:p w14:paraId="6C711350" w14:textId="77777777" w:rsidR="007D29F8" w:rsidRPr="00E12BB9" w:rsidRDefault="007D29F8" w:rsidP="00DB6666">
            <w:pPr>
              <w:jc w:val="center"/>
              <w:rPr>
                <w:rFonts w:ascii="Arial Narrow" w:hAnsi="Arial Narrow" w:cs="Arial"/>
                <w:b/>
                <w:bCs/>
                <w:color w:val="000000"/>
                <w:sz w:val="18"/>
                <w:szCs w:val="18"/>
              </w:rPr>
            </w:pPr>
            <w:r w:rsidRPr="00E12BB9">
              <w:rPr>
                <w:rFonts w:ascii="Arial Narrow" w:hAnsi="Arial Narrow" w:cs="Arial"/>
                <w:b/>
                <w:bCs/>
                <w:color w:val="000000"/>
                <w:sz w:val="18"/>
                <w:szCs w:val="18"/>
              </w:rPr>
              <w:t>d’unités de contribution</w:t>
            </w:r>
          </w:p>
        </w:tc>
        <w:tc>
          <w:tcPr>
            <w:tcW w:w="1383" w:type="dxa"/>
            <w:tcBorders>
              <w:top w:val="nil"/>
              <w:left w:val="nil"/>
              <w:right w:val="nil"/>
            </w:tcBorders>
            <w:shd w:val="clear" w:color="000000" w:fill="C7CFD8"/>
            <w:vAlign w:val="center"/>
            <w:hideMark/>
          </w:tcPr>
          <w:p w14:paraId="48FEC4A5" w14:textId="77777777" w:rsidR="007D29F8" w:rsidRPr="00E12BB9" w:rsidRDefault="007D29F8" w:rsidP="00DB6666">
            <w:pPr>
              <w:jc w:val="center"/>
              <w:rPr>
                <w:rFonts w:ascii="Arial Narrow" w:hAnsi="Arial Narrow" w:cs="Arial"/>
                <w:b/>
                <w:bCs/>
                <w:color w:val="000000"/>
                <w:sz w:val="18"/>
                <w:szCs w:val="18"/>
              </w:rPr>
            </w:pPr>
            <w:r w:rsidRPr="00E12BB9">
              <w:rPr>
                <w:rFonts w:ascii="Arial Narrow" w:hAnsi="Arial Narrow" w:cs="Arial"/>
                <w:b/>
                <w:bCs/>
                <w:color w:val="000000"/>
                <w:sz w:val="18"/>
                <w:szCs w:val="18"/>
              </w:rPr>
              <w:t>Montant estimatif à facturer</w:t>
            </w:r>
          </w:p>
          <w:p w14:paraId="70CACD06" w14:textId="77777777" w:rsidR="007D29F8" w:rsidRPr="00E12BB9" w:rsidRDefault="007D29F8" w:rsidP="00DB6666">
            <w:pPr>
              <w:jc w:val="center"/>
              <w:rPr>
                <w:rFonts w:ascii="Arial Narrow" w:hAnsi="Arial Narrow" w:cs="Arial"/>
                <w:b/>
                <w:bCs/>
                <w:color w:val="000000"/>
                <w:sz w:val="18"/>
                <w:szCs w:val="18"/>
              </w:rPr>
            </w:pPr>
            <w:r w:rsidRPr="00E12BB9">
              <w:rPr>
                <w:rFonts w:ascii="Arial Narrow" w:hAnsi="Arial Narrow" w:cs="Arial"/>
                <w:b/>
                <w:bCs/>
                <w:color w:val="000000"/>
                <w:sz w:val="18"/>
                <w:szCs w:val="18"/>
              </w:rPr>
              <w:t>pour 2024</w:t>
            </w:r>
          </w:p>
        </w:tc>
        <w:tc>
          <w:tcPr>
            <w:tcW w:w="1353" w:type="dxa"/>
            <w:tcBorders>
              <w:top w:val="nil"/>
              <w:left w:val="nil"/>
              <w:right w:val="nil"/>
            </w:tcBorders>
            <w:shd w:val="clear" w:color="000000" w:fill="C7CFD8"/>
            <w:vAlign w:val="center"/>
            <w:hideMark/>
          </w:tcPr>
          <w:p w14:paraId="2F284C47" w14:textId="77777777" w:rsidR="007D29F8" w:rsidRPr="00E12BB9" w:rsidRDefault="007D29F8" w:rsidP="00DB6666">
            <w:pPr>
              <w:jc w:val="center"/>
              <w:rPr>
                <w:rFonts w:ascii="Arial Narrow" w:hAnsi="Arial Narrow" w:cs="Arial"/>
                <w:b/>
                <w:bCs/>
                <w:color w:val="000000"/>
                <w:sz w:val="18"/>
                <w:szCs w:val="18"/>
              </w:rPr>
            </w:pPr>
            <w:r w:rsidRPr="00E12BB9">
              <w:rPr>
                <w:rFonts w:ascii="Arial Narrow" w:hAnsi="Arial Narrow" w:cs="Arial"/>
                <w:b/>
                <w:bCs/>
                <w:color w:val="000000"/>
                <w:sz w:val="18"/>
                <w:szCs w:val="18"/>
              </w:rPr>
              <w:t>Montant estimatif à facturer</w:t>
            </w:r>
          </w:p>
          <w:p w14:paraId="38030541" w14:textId="77777777" w:rsidR="007D29F8" w:rsidRPr="00E12BB9" w:rsidRDefault="007D29F8" w:rsidP="00DB6666">
            <w:pPr>
              <w:jc w:val="center"/>
              <w:rPr>
                <w:rFonts w:ascii="Arial Narrow" w:hAnsi="Arial Narrow" w:cs="Arial"/>
                <w:b/>
                <w:bCs/>
                <w:color w:val="000000"/>
                <w:sz w:val="18"/>
                <w:szCs w:val="18"/>
              </w:rPr>
            </w:pPr>
            <w:r w:rsidRPr="00E12BB9">
              <w:rPr>
                <w:rFonts w:ascii="Arial Narrow" w:hAnsi="Arial Narrow" w:cs="Arial"/>
                <w:b/>
                <w:bCs/>
                <w:color w:val="000000"/>
                <w:sz w:val="18"/>
                <w:szCs w:val="18"/>
              </w:rPr>
              <w:t>pour 2025</w:t>
            </w:r>
          </w:p>
        </w:tc>
      </w:tr>
      <w:tr w:rsidR="007D29F8" w:rsidRPr="00E12BB9" w14:paraId="6A3C6A4C" w14:textId="77777777" w:rsidTr="00DB6666">
        <w:trPr>
          <w:trHeight w:val="162"/>
        </w:trPr>
        <w:tc>
          <w:tcPr>
            <w:tcW w:w="1268" w:type="dxa"/>
            <w:tcBorders>
              <w:top w:val="nil"/>
              <w:left w:val="nil"/>
              <w:bottom w:val="nil"/>
              <w:right w:val="nil"/>
            </w:tcBorders>
            <w:shd w:val="clear" w:color="auto" w:fill="auto"/>
            <w:vAlign w:val="center"/>
            <w:hideMark/>
          </w:tcPr>
          <w:p w14:paraId="393DC4CF" w14:textId="77777777" w:rsidR="007D29F8" w:rsidRPr="00E12BB9" w:rsidRDefault="007D29F8" w:rsidP="00DB6666">
            <w:pPr>
              <w:jc w:val="center"/>
              <w:rPr>
                <w:rFonts w:ascii="Arial Narrow" w:hAnsi="Arial Narrow" w:cs="Arial"/>
                <w:b/>
                <w:bCs/>
                <w:color w:val="000000"/>
                <w:sz w:val="18"/>
                <w:szCs w:val="18"/>
              </w:rPr>
            </w:pPr>
          </w:p>
        </w:tc>
        <w:tc>
          <w:tcPr>
            <w:tcW w:w="1269" w:type="dxa"/>
            <w:tcBorders>
              <w:top w:val="nil"/>
              <w:left w:val="nil"/>
              <w:bottom w:val="nil"/>
              <w:right w:val="nil"/>
            </w:tcBorders>
            <w:shd w:val="clear" w:color="auto" w:fill="auto"/>
            <w:vAlign w:val="center"/>
            <w:hideMark/>
          </w:tcPr>
          <w:p w14:paraId="11B4149D" w14:textId="77777777" w:rsidR="007D29F8" w:rsidRPr="00E12BB9" w:rsidRDefault="007D29F8" w:rsidP="00DB6666">
            <w:pPr>
              <w:jc w:val="right"/>
              <w:rPr>
                <w:rFonts w:ascii="Times New Roman" w:hAnsi="Times New Roman"/>
              </w:rPr>
            </w:pPr>
          </w:p>
        </w:tc>
        <w:tc>
          <w:tcPr>
            <w:tcW w:w="3431" w:type="dxa"/>
            <w:tcBorders>
              <w:top w:val="nil"/>
              <w:left w:val="nil"/>
              <w:bottom w:val="nil"/>
              <w:right w:val="nil"/>
            </w:tcBorders>
            <w:shd w:val="clear" w:color="auto" w:fill="auto"/>
            <w:vAlign w:val="center"/>
            <w:hideMark/>
          </w:tcPr>
          <w:p w14:paraId="44879597" w14:textId="77777777" w:rsidR="007D29F8" w:rsidRPr="00E12BB9" w:rsidRDefault="007D29F8" w:rsidP="00DB6666">
            <w:pPr>
              <w:jc w:val="right"/>
              <w:rPr>
                <w:rFonts w:ascii="Times New Roman" w:hAnsi="Times New Roman"/>
              </w:rPr>
            </w:pPr>
          </w:p>
        </w:tc>
        <w:tc>
          <w:tcPr>
            <w:tcW w:w="1077" w:type="dxa"/>
            <w:tcBorders>
              <w:top w:val="nil"/>
              <w:left w:val="nil"/>
              <w:bottom w:val="nil"/>
              <w:right w:val="nil"/>
            </w:tcBorders>
            <w:shd w:val="clear" w:color="auto" w:fill="auto"/>
            <w:vAlign w:val="center"/>
            <w:hideMark/>
          </w:tcPr>
          <w:p w14:paraId="2082916E" w14:textId="77777777" w:rsidR="007D29F8" w:rsidRPr="00E12BB9" w:rsidRDefault="007D29F8" w:rsidP="00DB6666">
            <w:pPr>
              <w:rPr>
                <w:rFonts w:ascii="Times New Roman" w:hAnsi="Times New Roman"/>
              </w:rPr>
            </w:pPr>
          </w:p>
        </w:tc>
        <w:tc>
          <w:tcPr>
            <w:tcW w:w="1383" w:type="dxa"/>
            <w:tcBorders>
              <w:top w:val="nil"/>
              <w:left w:val="nil"/>
              <w:bottom w:val="nil"/>
              <w:right w:val="nil"/>
            </w:tcBorders>
            <w:shd w:val="clear" w:color="auto" w:fill="auto"/>
            <w:vAlign w:val="center"/>
            <w:hideMark/>
          </w:tcPr>
          <w:p w14:paraId="4C11FF0E" w14:textId="77777777" w:rsidR="007D29F8" w:rsidRPr="00E12BB9" w:rsidRDefault="007D29F8" w:rsidP="00DB6666">
            <w:pPr>
              <w:jc w:val="left"/>
              <w:rPr>
                <w:rFonts w:ascii="Times New Roman" w:hAnsi="Times New Roman"/>
              </w:rPr>
            </w:pPr>
          </w:p>
        </w:tc>
        <w:tc>
          <w:tcPr>
            <w:tcW w:w="1353" w:type="dxa"/>
            <w:tcBorders>
              <w:top w:val="nil"/>
              <w:left w:val="nil"/>
              <w:bottom w:val="nil"/>
              <w:right w:val="nil"/>
            </w:tcBorders>
            <w:shd w:val="clear" w:color="auto" w:fill="auto"/>
            <w:vAlign w:val="center"/>
            <w:hideMark/>
          </w:tcPr>
          <w:p w14:paraId="69728A9C" w14:textId="77777777" w:rsidR="007D29F8" w:rsidRPr="00E12BB9" w:rsidRDefault="007D29F8" w:rsidP="00DB6666">
            <w:pPr>
              <w:jc w:val="right"/>
              <w:rPr>
                <w:rFonts w:ascii="Times New Roman" w:hAnsi="Times New Roman"/>
              </w:rPr>
            </w:pPr>
          </w:p>
        </w:tc>
      </w:tr>
      <w:tr w:rsidR="007D29F8" w:rsidRPr="00E12BB9" w14:paraId="61349201" w14:textId="77777777" w:rsidTr="00DB6666">
        <w:trPr>
          <w:trHeight w:val="256"/>
        </w:trPr>
        <w:tc>
          <w:tcPr>
            <w:tcW w:w="1268" w:type="dxa"/>
            <w:tcBorders>
              <w:top w:val="nil"/>
              <w:left w:val="nil"/>
              <w:bottom w:val="nil"/>
              <w:right w:val="nil"/>
            </w:tcBorders>
            <w:shd w:val="clear" w:color="auto" w:fill="auto"/>
            <w:vAlign w:val="center"/>
            <w:hideMark/>
          </w:tcPr>
          <w:p w14:paraId="2AC6C77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1269" w:type="dxa"/>
            <w:tcBorders>
              <w:top w:val="nil"/>
              <w:left w:val="nil"/>
              <w:bottom w:val="nil"/>
              <w:right w:val="nil"/>
            </w:tcBorders>
            <w:shd w:val="clear" w:color="auto" w:fill="auto"/>
            <w:vAlign w:val="center"/>
            <w:hideMark/>
          </w:tcPr>
          <w:p w14:paraId="26DF029D"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3431" w:type="dxa"/>
            <w:tcBorders>
              <w:top w:val="nil"/>
              <w:left w:val="nil"/>
              <w:bottom w:val="nil"/>
              <w:right w:val="nil"/>
            </w:tcBorders>
            <w:shd w:val="clear" w:color="auto" w:fill="auto"/>
            <w:vAlign w:val="center"/>
            <w:hideMark/>
          </w:tcPr>
          <w:p w14:paraId="54740778"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Afrique du Sud</w:t>
            </w:r>
          </w:p>
        </w:tc>
        <w:tc>
          <w:tcPr>
            <w:tcW w:w="1077" w:type="dxa"/>
            <w:tcBorders>
              <w:top w:val="nil"/>
              <w:left w:val="nil"/>
              <w:bottom w:val="nil"/>
              <w:right w:val="nil"/>
            </w:tcBorders>
            <w:shd w:val="clear" w:color="auto" w:fill="auto"/>
            <w:vAlign w:val="center"/>
            <w:hideMark/>
          </w:tcPr>
          <w:p w14:paraId="024F568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1,00</w:t>
            </w:r>
          </w:p>
        </w:tc>
        <w:tc>
          <w:tcPr>
            <w:tcW w:w="1383" w:type="dxa"/>
            <w:tcBorders>
              <w:top w:val="nil"/>
              <w:left w:val="nil"/>
              <w:bottom w:val="nil"/>
              <w:right w:val="nil"/>
            </w:tcBorders>
            <w:shd w:val="clear" w:color="auto" w:fill="auto"/>
            <w:vAlign w:val="center"/>
            <w:hideMark/>
          </w:tcPr>
          <w:p w14:paraId="38B7E51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1353" w:type="dxa"/>
            <w:tcBorders>
              <w:top w:val="nil"/>
              <w:left w:val="nil"/>
              <w:bottom w:val="nil"/>
              <w:right w:val="nil"/>
            </w:tcBorders>
            <w:shd w:val="clear" w:color="auto" w:fill="auto"/>
            <w:vAlign w:val="center"/>
            <w:hideMark/>
          </w:tcPr>
          <w:p w14:paraId="01DB9D7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r>
      <w:tr w:rsidR="007D29F8" w:rsidRPr="00E12BB9" w14:paraId="542AA651" w14:textId="77777777" w:rsidTr="00DB6666">
        <w:trPr>
          <w:trHeight w:val="256"/>
        </w:trPr>
        <w:tc>
          <w:tcPr>
            <w:tcW w:w="1268" w:type="dxa"/>
            <w:tcBorders>
              <w:top w:val="nil"/>
              <w:left w:val="nil"/>
              <w:bottom w:val="nil"/>
              <w:right w:val="nil"/>
            </w:tcBorders>
            <w:shd w:val="clear" w:color="auto" w:fill="auto"/>
            <w:vAlign w:val="center"/>
            <w:hideMark/>
          </w:tcPr>
          <w:p w14:paraId="38D21DE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6FD2538D"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72DC353E"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Albanie</w:t>
            </w:r>
          </w:p>
        </w:tc>
        <w:tc>
          <w:tcPr>
            <w:tcW w:w="1077" w:type="dxa"/>
            <w:tcBorders>
              <w:top w:val="nil"/>
              <w:left w:val="nil"/>
              <w:bottom w:val="nil"/>
              <w:right w:val="nil"/>
            </w:tcBorders>
            <w:shd w:val="clear" w:color="auto" w:fill="auto"/>
            <w:vAlign w:val="center"/>
            <w:hideMark/>
          </w:tcPr>
          <w:p w14:paraId="04F3707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0A2DDF6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1CDFE39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59F6949D" w14:textId="77777777" w:rsidTr="00DB6666">
        <w:trPr>
          <w:trHeight w:val="256"/>
        </w:trPr>
        <w:tc>
          <w:tcPr>
            <w:tcW w:w="1268" w:type="dxa"/>
            <w:tcBorders>
              <w:top w:val="nil"/>
              <w:left w:val="nil"/>
              <w:bottom w:val="nil"/>
              <w:right w:val="nil"/>
            </w:tcBorders>
            <w:shd w:val="clear" w:color="auto" w:fill="auto"/>
            <w:vAlign w:val="center"/>
            <w:hideMark/>
          </w:tcPr>
          <w:p w14:paraId="033B4D7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268 205</w:t>
            </w:r>
          </w:p>
        </w:tc>
        <w:tc>
          <w:tcPr>
            <w:tcW w:w="1269" w:type="dxa"/>
            <w:tcBorders>
              <w:top w:val="nil"/>
              <w:left w:val="nil"/>
              <w:bottom w:val="nil"/>
              <w:right w:val="nil"/>
            </w:tcBorders>
            <w:shd w:val="clear" w:color="auto" w:fill="auto"/>
            <w:vAlign w:val="center"/>
            <w:hideMark/>
          </w:tcPr>
          <w:p w14:paraId="15169DA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268 205</w:t>
            </w:r>
          </w:p>
        </w:tc>
        <w:tc>
          <w:tcPr>
            <w:tcW w:w="3431" w:type="dxa"/>
            <w:tcBorders>
              <w:top w:val="nil"/>
              <w:left w:val="nil"/>
              <w:bottom w:val="nil"/>
              <w:right w:val="nil"/>
            </w:tcBorders>
            <w:shd w:val="clear" w:color="auto" w:fill="auto"/>
            <w:vAlign w:val="center"/>
            <w:hideMark/>
          </w:tcPr>
          <w:p w14:paraId="1FA9D819"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Allemagne</w:t>
            </w:r>
          </w:p>
        </w:tc>
        <w:tc>
          <w:tcPr>
            <w:tcW w:w="1077" w:type="dxa"/>
            <w:tcBorders>
              <w:top w:val="nil"/>
              <w:left w:val="nil"/>
              <w:bottom w:val="nil"/>
              <w:right w:val="nil"/>
            </w:tcBorders>
            <w:shd w:val="clear" w:color="auto" w:fill="auto"/>
            <w:vAlign w:val="center"/>
            <w:hideMark/>
          </w:tcPr>
          <w:p w14:paraId="51D400D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5,00</w:t>
            </w:r>
          </w:p>
        </w:tc>
        <w:tc>
          <w:tcPr>
            <w:tcW w:w="1383" w:type="dxa"/>
            <w:tcBorders>
              <w:top w:val="nil"/>
              <w:left w:val="nil"/>
              <w:bottom w:val="nil"/>
              <w:right w:val="nil"/>
            </w:tcBorders>
            <w:shd w:val="clear" w:color="auto" w:fill="auto"/>
            <w:vAlign w:val="center"/>
            <w:hideMark/>
          </w:tcPr>
          <w:p w14:paraId="4D2FFB3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268 205</w:t>
            </w:r>
          </w:p>
        </w:tc>
        <w:tc>
          <w:tcPr>
            <w:tcW w:w="1353" w:type="dxa"/>
            <w:tcBorders>
              <w:top w:val="nil"/>
              <w:left w:val="nil"/>
              <w:bottom w:val="nil"/>
              <w:right w:val="nil"/>
            </w:tcBorders>
            <w:shd w:val="clear" w:color="auto" w:fill="auto"/>
            <w:vAlign w:val="center"/>
            <w:hideMark/>
          </w:tcPr>
          <w:p w14:paraId="44C523A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268 205</w:t>
            </w:r>
          </w:p>
        </w:tc>
      </w:tr>
      <w:tr w:rsidR="007D29F8" w:rsidRPr="00E12BB9" w14:paraId="018D899D" w14:textId="77777777" w:rsidTr="00DB6666">
        <w:trPr>
          <w:trHeight w:val="256"/>
        </w:trPr>
        <w:tc>
          <w:tcPr>
            <w:tcW w:w="1268" w:type="dxa"/>
            <w:tcBorders>
              <w:top w:val="nil"/>
              <w:left w:val="nil"/>
              <w:bottom w:val="nil"/>
              <w:right w:val="nil"/>
            </w:tcBorders>
            <w:shd w:val="clear" w:color="auto" w:fill="auto"/>
            <w:vAlign w:val="center"/>
            <w:hideMark/>
          </w:tcPr>
          <w:p w14:paraId="63B0330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1269" w:type="dxa"/>
            <w:tcBorders>
              <w:top w:val="nil"/>
              <w:left w:val="nil"/>
              <w:bottom w:val="nil"/>
              <w:right w:val="nil"/>
            </w:tcBorders>
            <w:shd w:val="clear" w:color="auto" w:fill="auto"/>
            <w:vAlign w:val="center"/>
            <w:hideMark/>
          </w:tcPr>
          <w:p w14:paraId="79A2BE9A"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3431" w:type="dxa"/>
            <w:tcBorders>
              <w:top w:val="nil"/>
              <w:left w:val="nil"/>
              <w:bottom w:val="nil"/>
              <w:right w:val="nil"/>
            </w:tcBorders>
            <w:shd w:val="clear" w:color="auto" w:fill="auto"/>
            <w:vAlign w:val="center"/>
            <w:hideMark/>
          </w:tcPr>
          <w:p w14:paraId="73770E15"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Argentine</w:t>
            </w:r>
          </w:p>
        </w:tc>
        <w:tc>
          <w:tcPr>
            <w:tcW w:w="1077" w:type="dxa"/>
            <w:tcBorders>
              <w:top w:val="nil"/>
              <w:left w:val="nil"/>
              <w:bottom w:val="nil"/>
              <w:right w:val="nil"/>
            </w:tcBorders>
            <w:shd w:val="clear" w:color="auto" w:fill="auto"/>
            <w:vAlign w:val="center"/>
            <w:hideMark/>
          </w:tcPr>
          <w:p w14:paraId="39642A7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0,50</w:t>
            </w:r>
          </w:p>
        </w:tc>
        <w:tc>
          <w:tcPr>
            <w:tcW w:w="1383" w:type="dxa"/>
            <w:tcBorders>
              <w:top w:val="nil"/>
              <w:left w:val="nil"/>
              <w:bottom w:val="nil"/>
              <w:right w:val="nil"/>
            </w:tcBorders>
            <w:shd w:val="clear" w:color="auto" w:fill="auto"/>
            <w:vAlign w:val="center"/>
            <w:hideMark/>
          </w:tcPr>
          <w:p w14:paraId="52BD4A2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1353" w:type="dxa"/>
            <w:tcBorders>
              <w:top w:val="nil"/>
              <w:left w:val="nil"/>
              <w:bottom w:val="nil"/>
              <w:right w:val="nil"/>
            </w:tcBorders>
            <w:shd w:val="clear" w:color="auto" w:fill="auto"/>
            <w:vAlign w:val="center"/>
            <w:hideMark/>
          </w:tcPr>
          <w:p w14:paraId="42D1B15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r>
      <w:tr w:rsidR="007D29F8" w:rsidRPr="00E12BB9" w14:paraId="2A24022A" w14:textId="77777777" w:rsidTr="00DB6666">
        <w:trPr>
          <w:trHeight w:val="256"/>
        </w:trPr>
        <w:tc>
          <w:tcPr>
            <w:tcW w:w="1268" w:type="dxa"/>
            <w:tcBorders>
              <w:top w:val="nil"/>
              <w:left w:val="nil"/>
              <w:bottom w:val="nil"/>
              <w:right w:val="nil"/>
            </w:tcBorders>
            <w:shd w:val="clear" w:color="auto" w:fill="auto"/>
            <w:vAlign w:val="center"/>
            <w:hideMark/>
          </w:tcPr>
          <w:p w14:paraId="2DE4FD3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1269" w:type="dxa"/>
            <w:tcBorders>
              <w:top w:val="nil"/>
              <w:left w:val="nil"/>
              <w:bottom w:val="nil"/>
              <w:right w:val="nil"/>
            </w:tcBorders>
            <w:shd w:val="clear" w:color="auto" w:fill="auto"/>
            <w:vAlign w:val="center"/>
            <w:hideMark/>
          </w:tcPr>
          <w:p w14:paraId="44D1FA4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3431" w:type="dxa"/>
            <w:tcBorders>
              <w:top w:val="nil"/>
              <w:left w:val="nil"/>
              <w:bottom w:val="nil"/>
              <w:right w:val="nil"/>
            </w:tcBorders>
            <w:shd w:val="clear" w:color="auto" w:fill="auto"/>
            <w:vAlign w:val="center"/>
            <w:hideMark/>
          </w:tcPr>
          <w:p w14:paraId="467B1A9F"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Australie</w:t>
            </w:r>
          </w:p>
        </w:tc>
        <w:tc>
          <w:tcPr>
            <w:tcW w:w="1077" w:type="dxa"/>
            <w:tcBorders>
              <w:top w:val="nil"/>
              <w:left w:val="nil"/>
              <w:bottom w:val="nil"/>
              <w:right w:val="nil"/>
            </w:tcBorders>
            <w:shd w:val="clear" w:color="auto" w:fill="auto"/>
            <w:vAlign w:val="center"/>
            <w:hideMark/>
          </w:tcPr>
          <w:p w14:paraId="7BB916FB"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1,00</w:t>
            </w:r>
          </w:p>
        </w:tc>
        <w:tc>
          <w:tcPr>
            <w:tcW w:w="1383" w:type="dxa"/>
            <w:tcBorders>
              <w:top w:val="nil"/>
              <w:left w:val="nil"/>
              <w:bottom w:val="nil"/>
              <w:right w:val="nil"/>
            </w:tcBorders>
            <w:shd w:val="clear" w:color="auto" w:fill="auto"/>
            <w:vAlign w:val="center"/>
            <w:hideMark/>
          </w:tcPr>
          <w:p w14:paraId="06B3977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1353" w:type="dxa"/>
            <w:tcBorders>
              <w:top w:val="nil"/>
              <w:left w:val="nil"/>
              <w:bottom w:val="nil"/>
              <w:right w:val="nil"/>
            </w:tcBorders>
            <w:shd w:val="clear" w:color="auto" w:fill="auto"/>
            <w:vAlign w:val="center"/>
            <w:hideMark/>
          </w:tcPr>
          <w:p w14:paraId="32C77D7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r>
      <w:tr w:rsidR="007D29F8" w:rsidRPr="00E12BB9" w14:paraId="2D98A94C" w14:textId="77777777" w:rsidTr="00DB6666">
        <w:trPr>
          <w:trHeight w:val="256"/>
        </w:trPr>
        <w:tc>
          <w:tcPr>
            <w:tcW w:w="1268" w:type="dxa"/>
            <w:tcBorders>
              <w:top w:val="nil"/>
              <w:left w:val="nil"/>
              <w:bottom w:val="nil"/>
              <w:right w:val="nil"/>
            </w:tcBorders>
            <w:shd w:val="clear" w:color="auto" w:fill="auto"/>
            <w:vAlign w:val="center"/>
            <w:hideMark/>
          </w:tcPr>
          <w:p w14:paraId="4273BBE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40 231</w:t>
            </w:r>
          </w:p>
        </w:tc>
        <w:tc>
          <w:tcPr>
            <w:tcW w:w="1269" w:type="dxa"/>
            <w:tcBorders>
              <w:top w:val="nil"/>
              <w:left w:val="nil"/>
              <w:bottom w:val="nil"/>
              <w:right w:val="nil"/>
            </w:tcBorders>
            <w:shd w:val="clear" w:color="auto" w:fill="auto"/>
            <w:vAlign w:val="center"/>
            <w:hideMark/>
          </w:tcPr>
          <w:p w14:paraId="6CFB908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40 231</w:t>
            </w:r>
          </w:p>
        </w:tc>
        <w:tc>
          <w:tcPr>
            <w:tcW w:w="3431" w:type="dxa"/>
            <w:tcBorders>
              <w:top w:val="nil"/>
              <w:left w:val="nil"/>
              <w:bottom w:val="nil"/>
              <w:right w:val="nil"/>
            </w:tcBorders>
            <w:shd w:val="clear" w:color="auto" w:fill="auto"/>
            <w:vAlign w:val="center"/>
            <w:hideMark/>
          </w:tcPr>
          <w:p w14:paraId="09E4C3E5"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Autriche</w:t>
            </w:r>
          </w:p>
        </w:tc>
        <w:tc>
          <w:tcPr>
            <w:tcW w:w="1077" w:type="dxa"/>
            <w:tcBorders>
              <w:top w:val="nil"/>
              <w:left w:val="nil"/>
              <w:bottom w:val="nil"/>
              <w:right w:val="nil"/>
            </w:tcBorders>
            <w:shd w:val="clear" w:color="auto" w:fill="auto"/>
            <w:vAlign w:val="center"/>
            <w:hideMark/>
          </w:tcPr>
          <w:p w14:paraId="283BDFDD"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0,75</w:t>
            </w:r>
          </w:p>
        </w:tc>
        <w:tc>
          <w:tcPr>
            <w:tcW w:w="1383" w:type="dxa"/>
            <w:tcBorders>
              <w:top w:val="nil"/>
              <w:left w:val="nil"/>
              <w:bottom w:val="nil"/>
              <w:right w:val="nil"/>
            </w:tcBorders>
            <w:shd w:val="clear" w:color="auto" w:fill="auto"/>
            <w:vAlign w:val="center"/>
            <w:hideMark/>
          </w:tcPr>
          <w:p w14:paraId="1C07F98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40 231</w:t>
            </w:r>
          </w:p>
        </w:tc>
        <w:tc>
          <w:tcPr>
            <w:tcW w:w="1353" w:type="dxa"/>
            <w:tcBorders>
              <w:top w:val="nil"/>
              <w:left w:val="nil"/>
              <w:bottom w:val="nil"/>
              <w:right w:val="nil"/>
            </w:tcBorders>
            <w:shd w:val="clear" w:color="auto" w:fill="auto"/>
            <w:vAlign w:val="center"/>
            <w:hideMark/>
          </w:tcPr>
          <w:p w14:paraId="78FD6F02"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40 231</w:t>
            </w:r>
          </w:p>
        </w:tc>
      </w:tr>
      <w:tr w:rsidR="007D29F8" w:rsidRPr="00E12BB9" w14:paraId="6C772D51" w14:textId="77777777" w:rsidTr="00DB6666">
        <w:trPr>
          <w:trHeight w:val="256"/>
        </w:trPr>
        <w:tc>
          <w:tcPr>
            <w:tcW w:w="1268" w:type="dxa"/>
            <w:tcBorders>
              <w:top w:val="nil"/>
              <w:left w:val="nil"/>
              <w:bottom w:val="nil"/>
              <w:right w:val="nil"/>
            </w:tcBorders>
            <w:shd w:val="clear" w:color="auto" w:fill="auto"/>
            <w:vAlign w:val="center"/>
            <w:hideMark/>
          </w:tcPr>
          <w:p w14:paraId="54A38EF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21B0891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0C877499"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Azerbaïdjan</w:t>
            </w:r>
          </w:p>
        </w:tc>
        <w:tc>
          <w:tcPr>
            <w:tcW w:w="1077" w:type="dxa"/>
            <w:tcBorders>
              <w:top w:val="nil"/>
              <w:left w:val="nil"/>
              <w:bottom w:val="nil"/>
              <w:right w:val="nil"/>
            </w:tcBorders>
            <w:shd w:val="clear" w:color="auto" w:fill="auto"/>
            <w:vAlign w:val="center"/>
            <w:hideMark/>
          </w:tcPr>
          <w:p w14:paraId="4390CB2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24CD77A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7973D9CB"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62B3878C" w14:textId="77777777" w:rsidTr="00DB6666">
        <w:trPr>
          <w:trHeight w:val="256"/>
        </w:trPr>
        <w:tc>
          <w:tcPr>
            <w:tcW w:w="1268" w:type="dxa"/>
            <w:tcBorders>
              <w:top w:val="nil"/>
              <w:left w:val="nil"/>
              <w:bottom w:val="nil"/>
              <w:right w:val="nil"/>
            </w:tcBorders>
            <w:shd w:val="clear" w:color="auto" w:fill="auto"/>
            <w:vAlign w:val="center"/>
            <w:hideMark/>
          </w:tcPr>
          <w:p w14:paraId="33125DE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62A97342"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19B78CFC"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Bélarus</w:t>
            </w:r>
          </w:p>
        </w:tc>
        <w:tc>
          <w:tcPr>
            <w:tcW w:w="1077" w:type="dxa"/>
            <w:tcBorders>
              <w:top w:val="nil"/>
              <w:left w:val="nil"/>
              <w:bottom w:val="nil"/>
              <w:right w:val="nil"/>
            </w:tcBorders>
            <w:shd w:val="clear" w:color="auto" w:fill="auto"/>
            <w:vAlign w:val="center"/>
            <w:hideMark/>
          </w:tcPr>
          <w:p w14:paraId="31A8698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24E4380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624741C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07385825" w14:textId="77777777" w:rsidTr="00DB6666">
        <w:trPr>
          <w:trHeight w:val="256"/>
        </w:trPr>
        <w:tc>
          <w:tcPr>
            <w:tcW w:w="1268" w:type="dxa"/>
            <w:tcBorders>
              <w:top w:val="nil"/>
              <w:left w:val="nil"/>
              <w:bottom w:val="nil"/>
              <w:right w:val="nil"/>
            </w:tcBorders>
            <w:shd w:val="clear" w:color="auto" w:fill="auto"/>
            <w:vAlign w:val="center"/>
            <w:hideMark/>
          </w:tcPr>
          <w:p w14:paraId="1C63E34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80 462</w:t>
            </w:r>
          </w:p>
        </w:tc>
        <w:tc>
          <w:tcPr>
            <w:tcW w:w="1269" w:type="dxa"/>
            <w:tcBorders>
              <w:top w:val="nil"/>
              <w:left w:val="nil"/>
              <w:bottom w:val="nil"/>
              <w:right w:val="nil"/>
            </w:tcBorders>
            <w:shd w:val="clear" w:color="auto" w:fill="auto"/>
            <w:vAlign w:val="center"/>
            <w:hideMark/>
          </w:tcPr>
          <w:p w14:paraId="3F13A17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80 462</w:t>
            </w:r>
          </w:p>
        </w:tc>
        <w:tc>
          <w:tcPr>
            <w:tcW w:w="3431" w:type="dxa"/>
            <w:tcBorders>
              <w:top w:val="nil"/>
              <w:left w:val="nil"/>
              <w:bottom w:val="nil"/>
              <w:right w:val="nil"/>
            </w:tcBorders>
            <w:shd w:val="clear" w:color="auto" w:fill="auto"/>
            <w:vAlign w:val="center"/>
            <w:hideMark/>
          </w:tcPr>
          <w:p w14:paraId="6F27322B"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Belgique</w:t>
            </w:r>
          </w:p>
        </w:tc>
        <w:tc>
          <w:tcPr>
            <w:tcW w:w="1077" w:type="dxa"/>
            <w:tcBorders>
              <w:top w:val="nil"/>
              <w:left w:val="nil"/>
              <w:bottom w:val="nil"/>
              <w:right w:val="nil"/>
            </w:tcBorders>
            <w:shd w:val="clear" w:color="auto" w:fill="auto"/>
            <w:vAlign w:val="center"/>
            <w:hideMark/>
          </w:tcPr>
          <w:p w14:paraId="4DBC7BD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1,50</w:t>
            </w:r>
          </w:p>
        </w:tc>
        <w:tc>
          <w:tcPr>
            <w:tcW w:w="1383" w:type="dxa"/>
            <w:tcBorders>
              <w:top w:val="nil"/>
              <w:left w:val="nil"/>
              <w:bottom w:val="nil"/>
              <w:right w:val="nil"/>
            </w:tcBorders>
            <w:shd w:val="clear" w:color="auto" w:fill="auto"/>
            <w:vAlign w:val="center"/>
            <w:hideMark/>
          </w:tcPr>
          <w:p w14:paraId="52E7568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80 462</w:t>
            </w:r>
          </w:p>
        </w:tc>
        <w:tc>
          <w:tcPr>
            <w:tcW w:w="1353" w:type="dxa"/>
            <w:tcBorders>
              <w:top w:val="nil"/>
              <w:left w:val="nil"/>
              <w:bottom w:val="nil"/>
              <w:right w:val="nil"/>
            </w:tcBorders>
            <w:shd w:val="clear" w:color="auto" w:fill="auto"/>
            <w:vAlign w:val="center"/>
            <w:hideMark/>
          </w:tcPr>
          <w:p w14:paraId="0FF00D3B"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80 462</w:t>
            </w:r>
          </w:p>
        </w:tc>
      </w:tr>
      <w:tr w:rsidR="007D29F8" w:rsidRPr="00E12BB9" w14:paraId="3E8B07C2" w14:textId="77777777" w:rsidTr="00DB6666">
        <w:trPr>
          <w:trHeight w:val="256"/>
        </w:trPr>
        <w:tc>
          <w:tcPr>
            <w:tcW w:w="1268" w:type="dxa"/>
            <w:tcBorders>
              <w:top w:val="nil"/>
              <w:left w:val="nil"/>
              <w:bottom w:val="nil"/>
              <w:right w:val="nil"/>
            </w:tcBorders>
            <w:shd w:val="clear" w:color="auto" w:fill="auto"/>
            <w:vAlign w:val="center"/>
            <w:hideMark/>
          </w:tcPr>
          <w:p w14:paraId="179A306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113F924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4EDC2DE6"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Bolivie (État plurinational de)</w:t>
            </w:r>
          </w:p>
        </w:tc>
        <w:tc>
          <w:tcPr>
            <w:tcW w:w="1077" w:type="dxa"/>
            <w:tcBorders>
              <w:top w:val="nil"/>
              <w:left w:val="nil"/>
              <w:bottom w:val="nil"/>
              <w:right w:val="nil"/>
            </w:tcBorders>
            <w:shd w:val="clear" w:color="auto" w:fill="auto"/>
            <w:vAlign w:val="center"/>
            <w:hideMark/>
          </w:tcPr>
          <w:p w14:paraId="6FD9A48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0B8A807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5B6EA3B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2387C2B7" w14:textId="77777777" w:rsidTr="00DB6666">
        <w:trPr>
          <w:trHeight w:val="256"/>
        </w:trPr>
        <w:tc>
          <w:tcPr>
            <w:tcW w:w="1268" w:type="dxa"/>
            <w:tcBorders>
              <w:top w:val="nil"/>
              <w:left w:val="nil"/>
              <w:bottom w:val="nil"/>
              <w:right w:val="nil"/>
            </w:tcBorders>
            <w:shd w:val="clear" w:color="auto" w:fill="auto"/>
            <w:vAlign w:val="center"/>
            <w:hideMark/>
          </w:tcPr>
          <w:p w14:paraId="76B56F5F"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297E7DCF"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74AD300F"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Bosnie-</w:t>
            </w:r>
            <w:r>
              <w:rPr>
                <w:rFonts w:ascii="Arial Narrow" w:hAnsi="Arial Narrow" w:cs="Arial"/>
                <w:color w:val="000000"/>
                <w:sz w:val="18"/>
                <w:szCs w:val="18"/>
              </w:rPr>
              <w:t>Herzégovine</w:t>
            </w:r>
          </w:p>
        </w:tc>
        <w:tc>
          <w:tcPr>
            <w:tcW w:w="1077" w:type="dxa"/>
            <w:tcBorders>
              <w:top w:val="nil"/>
              <w:left w:val="nil"/>
              <w:bottom w:val="nil"/>
              <w:right w:val="nil"/>
            </w:tcBorders>
            <w:shd w:val="clear" w:color="auto" w:fill="auto"/>
            <w:vAlign w:val="center"/>
            <w:hideMark/>
          </w:tcPr>
          <w:p w14:paraId="3319A2B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798321D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36B6F2A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4033A811" w14:textId="77777777" w:rsidTr="00DB6666">
        <w:trPr>
          <w:trHeight w:val="256"/>
        </w:trPr>
        <w:tc>
          <w:tcPr>
            <w:tcW w:w="1268" w:type="dxa"/>
            <w:tcBorders>
              <w:top w:val="nil"/>
              <w:left w:val="nil"/>
              <w:bottom w:val="nil"/>
              <w:right w:val="nil"/>
            </w:tcBorders>
            <w:shd w:val="clear" w:color="auto" w:fill="auto"/>
            <w:vAlign w:val="center"/>
            <w:hideMark/>
          </w:tcPr>
          <w:p w14:paraId="2A45BC5A"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13 410</w:t>
            </w:r>
          </w:p>
        </w:tc>
        <w:tc>
          <w:tcPr>
            <w:tcW w:w="1269" w:type="dxa"/>
            <w:tcBorders>
              <w:top w:val="nil"/>
              <w:left w:val="nil"/>
              <w:bottom w:val="nil"/>
              <w:right w:val="nil"/>
            </w:tcBorders>
            <w:shd w:val="clear" w:color="auto" w:fill="auto"/>
            <w:vAlign w:val="center"/>
            <w:hideMark/>
          </w:tcPr>
          <w:p w14:paraId="5057825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13 410</w:t>
            </w:r>
          </w:p>
        </w:tc>
        <w:tc>
          <w:tcPr>
            <w:tcW w:w="3431" w:type="dxa"/>
            <w:tcBorders>
              <w:top w:val="nil"/>
              <w:left w:val="nil"/>
              <w:bottom w:val="nil"/>
              <w:right w:val="nil"/>
            </w:tcBorders>
            <w:shd w:val="clear" w:color="auto" w:fill="auto"/>
            <w:vAlign w:val="center"/>
            <w:hideMark/>
          </w:tcPr>
          <w:p w14:paraId="482F2B0D"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Brésil</w:t>
            </w:r>
          </w:p>
        </w:tc>
        <w:tc>
          <w:tcPr>
            <w:tcW w:w="1077" w:type="dxa"/>
            <w:tcBorders>
              <w:top w:val="nil"/>
              <w:left w:val="nil"/>
              <w:bottom w:val="nil"/>
              <w:right w:val="nil"/>
            </w:tcBorders>
            <w:shd w:val="clear" w:color="auto" w:fill="auto"/>
            <w:vAlign w:val="center"/>
            <w:hideMark/>
          </w:tcPr>
          <w:p w14:paraId="5493727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0,25</w:t>
            </w:r>
          </w:p>
        </w:tc>
        <w:tc>
          <w:tcPr>
            <w:tcW w:w="1383" w:type="dxa"/>
            <w:tcBorders>
              <w:top w:val="nil"/>
              <w:left w:val="nil"/>
              <w:bottom w:val="nil"/>
              <w:right w:val="nil"/>
            </w:tcBorders>
            <w:shd w:val="clear" w:color="auto" w:fill="auto"/>
            <w:vAlign w:val="center"/>
            <w:hideMark/>
          </w:tcPr>
          <w:p w14:paraId="379AB91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13 410</w:t>
            </w:r>
          </w:p>
        </w:tc>
        <w:tc>
          <w:tcPr>
            <w:tcW w:w="1353" w:type="dxa"/>
            <w:tcBorders>
              <w:top w:val="nil"/>
              <w:left w:val="nil"/>
              <w:bottom w:val="nil"/>
              <w:right w:val="nil"/>
            </w:tcBorders>
            <w:shd w:val="clear" w:color="auto" w:fill="auto"/>
            <w:vAlign w:val="center"/>
            <w:hideMark/>
          </w:tcPr>
          <w:p w14:paraId="45BB5EE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13 410</w:t>
            </w:r>
          </w:p>
        </w:tc>
      </w:tr>
      <w:tr w:rsidR="007D29F8" w:rsidRPr="00E12BB9" w14:paraId="60281576" w14:textId="77777777" w:rsidTr="00DB6666">
        <w:trPr>
          <w:trHeight w:val="256"/>
        </w:trPr>
        <w:tc>
          <w:tcPr>
            <w:tcW w:w="1268" w:type="dxa"/>
            <w:tcBorders>
              <w:top w:val="nil"/>
              <w:left w:val="nil"/>
              <w:bottom w:val="nil"/>
              <w:right w:val="nil"/>
            </w:tcBorders>
            <w:shd w:val="clear" w:color="auto" w:fill="auto"/>
            <w:vAlign w:val="center"/>
            <w:hideMark/>
          </w:tcPr>
          <w:p w14:paraId="18C3753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1D7454B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12E29785"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Bulgarie</w:t>
            </w:r>
          </w:p>
        </w:tc>
        <w:tc>
          <w:tcPr>
            <w:tcW w:w="1077" w:type="dxa"/>
            <w:tcBorders>
              <w:top w:val="nil"/>
              <w:left w:val="nil"/>
              <w:bottom w:val="nil"/>
              <w:right w:val="nil"/>
            </w:tcBorders>
            <w:shd w:val="clear" w:color="auto" w:fill="auto"/>
            <w:vAlign w:val="center"/>
            <w:hideMark/>
          </w:tcPr>
          <w:p w14:paraId="19DB952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17F57F6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4024D5BA"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4F770176" w14:textId="77777777" w:rsidTr="00DB6666">
        <w:trPr>
          <w:trHeight w:val="256"/>
        </w:trPr>
        <w:tc>
          <w:tcPr>
            <w:tcW w:w="1268" w:type="dxa"/>
            <w:tcBorders>
              <w:top w:val="nil"/>
              <w:left w:val="nil"/>
              <w:bottom w:val="nil"/>
              <w:right w:val="nil"/>
            </w:tcBorders>
            <w:shd w:val="clear" w:color="auto" w:fill="auto"/>
            <w:vAlign w:val="center"/>
            <w:hideMark/>
          </w:tcPr>
          <w:p w14:paraId="7CCC485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1269" w:type="dxa"/>
            <w:tcBorders>
              <w:top w:val="nil"/>
              <w:left w:val="nil"/>
              <w:bottom w:val="nil"/>
              <w:right w:val="nil"/>
            </w:tcBorders>
            <w:shd w:val="clear" w:color="auto" w:fill="auto"/>
            <w:vAlign w:val="center"/>
            <w:hideMark/>
          </w:tcPr>
          <w:p w14:paraId="4400818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3431" w:type="dxa"/>
            <w:tcBorders>
              <w:top w:val="nil"/>
              <w:left w:val="nil"/>
              <w:bottom w:val="nil"/>
              <w:right w:val="nil"/>
            </w:tcBorders>
            <w:shd w:val="clear" w:color="auto" w:fill="auto"/>
            <w:vAlign w:val="center"/>
            <w:hideMark/>
          </w:tcPr>
          <w:p w14:paraId="62761A57"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Canada</w:t>
            </w:r>
          </w:p>
        </w:tc>
        <w:tc>
          <w:tcPr>
            <w:tcW w:w="1077" w:type="dxa"/>
            <w:tcBorders>
              <w:top w:val="nil"/>
              <w:left w:val="nil"/>
              <w:bottom w:val="nil"/>
              <w:right w:val="nil"/>
            </w:tcBorders>
            <w:shd w:val="clear" w:color="auto" w:fill="auto"/>
            <w:vAlign w:val="center"/>
            <w:hideMark/>
          </w:tcPr>
          <w:p w14:paraId="67DD76EF"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1,00</w:t>
            </w:r>
          </w:p>
        </w:tc>
        <w:tc>
          <w:tcPr>
            <w:tcW w:w="1383" w:type="dxa"/>
            <w:tcBorders>
              <w:top w:val="nil"/>
              <w:left w:val="nil"/>
              <w:bottom w:val="nil"/>
              <w:right w:val="nil"/>
            </w:tcBorders>
            <w:shd w:val="clear" w:color="auto" w:fill="auto"/>
            <w:vAlign w:val="center"/>
            <w:hideMark/>
          </w:tcPr>
          <w:p w14:paraId="3628AE4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1353" w:type="dxa"/>
            <w:tcBorders>
              <w:top w:val="nil"/>
              <w:left w:val="nil"/>
              <w:bottom w:val="nil"/>
              <w:right w:val="nil"/>
            </w:tcBorders>
            <w:shd w:val="clear" w:color="auto" w:fill="auto"/>
            <w:vAlign w:val="center"/>
            <w:hideMark/>
          </w:tcPr>
          <w:p w14:paraId="51B2B282"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r>
      <w:tr w:rsidR="007D29F8" w:rsidRPr="00E12BB9" w14:paraId="20EE3E71" w14:textId="77777777" w:rsidTr="00DB6666">
        <w:trPr>
          <w:trHeight w:val="256"/>
        </w:trPr>
        <w:tc>
          <w:tcPr>
            <w:tcW w:w="1268" w:type="dxa"/>
            <w:tcBorders>
              <w:top w:val="nil"/>
              <w:left w:val="nil"/>
              <w:bottom w:val="nil"/>
              <w:right w:val="nil"/>
            </w:tcBorders>
            <w:shd w:val="clear" w:color="auto" w:fill="auto"/>
            <w:vAlign w:val="center"/>
            <w:hideMark/>
          </w:tcPr>
          <w:p w14:paraId="237FFCB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000E9ABA"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4B52856C"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Chili</w:t>
            </w:r>
          </w:p>
        </w:tc>
        <w:tc>
          <w:tcPr>
            <w:tcW w:w="1077" w:type="dxa"/>
            <w:tcBorders>
              <w:top w:val="nil"/>
              <w:left w:val="nil"/>
              <w:bottom w:val="nil"/>
              <w:right w:val="nil"/>
            </w:tcBorders>
            <w:shd w:val="clear" w:color="auto" w:fill="auto"/>
            <w:vAlign w:val="center"/>
            <w:hideMark/>
          </w:tcPr>
          <w:p w14:paraId="37D54E6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0D2CFE6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1227EE5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72E66731" w14:textId="77777777" w:rsidTr="00DB6666">
        <w:trPr>
          <w:trHeight w:val="256"/>
        </w:trPr>
        <w:tc>
          <w:tcPr>
            <w:tcW w:w="1268" w:type="dxa"/>
            <w:tcBorders>
              <w:top w:val="nil"/>
              <w:left w:val="nil"/>
              <w:bottom w:val="nil"/>
              <w:right w:val="nil"/>
            </w:tcBorders>
            <w:shd w:val="clear" w:color="auto" w:fill="auto"/>
            <w:vAlign w:val="center"/>
            <w:hideMark/>
          </w:tcPr>
          <w:p w14:paraId="6EDE448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107 282</w:t>
            </w:r>
          </w:p>
        </w:tc>
        <w:tc>
          <w:tcPr>
            <w:tcW w:w="1269" w:type="dxa"/>
            <w:tcBorders>
              <w:top w:val="nil"/>
              <w:left w:val="nil"/>
              <w:bottom w:val="nil"/>
              <w:right w:val="nil"/>
            </w:tcBorders>
            <w:shd w:val="clear" w:color="auto" w:fill="auto"/>
            <w:vAlign w:val="center"/>
            <w:hideMark/>
          </w:tcPr>
          <w:p w14:paraId="5FF8A45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107 282</w:t>
            </w:r>
          </w:p>
        </w:tc>
        <w:tc>
          <w:tcPr>
            <w:tcW w:w="3431" w:type="dxa"/>
            <w:tcBorders>
              <w:top w:val="nil"/>
              <w:left w:val="nil"/>
              <w:bottom w:val="nil"/>
              <w:right w:val="nil"/>
            </w:tcBorders>
            <w:shd w:val="clear" w:color="auto" w:fill="auto"/>
            <w:vAlign w:val="center"/>
            <w:hideMark/>
          </w:tcPr>
          <w:p w14:paraId="60C5BCFA"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Chine</w:t>
            </w:r>
          </w:p>
        </w:tc>
        <w:tc>
          <w:tcPr>
            <w:tcW w:w="1077" w:type="dxa"/>
            <w:tcBorders>
              <w:top w:val="nil"/>
              <w:left w:val="nil"/>
              <w:bottom w:val="nil"/>
              <w:right w:val="nil"/>
            </w:tcBorders>
            <w:shd w:val="clear" w:color="auto" w:fill="auto"/>
            <w:vAlign w:val="center"/>
            <w:hideMark/>
          </w:tcPr>
          <w:p w14:paraId="1CEFAA1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2,00</w:t>
            </w:r>
          </w:p>
        </w:tc>
        <w:tc>
          <w:tcPr>
            <w:tcW w:w="1383" w:type="dxa"/>
            <w:tcBorders>
              <w:top w:val="nil"/>
              <w:left w:val="nil"/>
              <w:bottom w:val="nil"/>
              <w:right w:val="nil"/>
            </w:tcBorders>
            <w:shd w:val="clear" w:color="auto" w:fill="auto"/>
            <w:vAlign w:val="center"/>
            <w:hideMark/>
          </w:tcPr>
          <w:p w14:paraId="315C59EB"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107 282</w:t>
            </w:r>
          </w:p>
        </w:tc>
        <w:tc>
          <w:tcPr>
            <w:tcW w:w="1353" w:type="dxa"/>
            <w:tcBorders>
              <w:top w:val="nil"/>
              <w:left w:val="nil"/>
              <w:bottom w:val="nil"/>
              <w:right w:val="nil"/>
            </w:tcBorders>
            <w:shd w:val="clear" w:color="auto" w:fill="auto"/>
            <w:vAlign w:val="center"/>
            <w:hideMark/>
          </w:tcPr>
          <w:p w14:paraId="3EF25CFF"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107 282</w:t>
            </w:r>
          </w:p>
        </w:tc>
      </w:tr>
      <w:tr w:rsidR="007D29F8" w:rsidRPr="00E12BB9" w14:paraId="79AAB910" w14:textId="77777777" w:rsidTr="00DB6666">
        <w:trPr>
          <w:trHeight w:val="256"/>
        </w:trPr>
        <w:tc>
          <w:tcPr>
            <w:tcW w:w="1268" w:type="dxa"/>
            <w:tcBorders>
              <w:top w:val="nil"/>
              <w:left w:val="nil"/>
              <w:bottom w:val="nil"/>
              <w:right w:val="nil"/>
            </w:tcBorders>
            <w:shd w:val="clear" w:color="auto" w:fill="auto"/>
            <w:vAlign w:val="center"/>
            <w:hideMark/>
          </w:tcPr>
          <w:p w14:paraId="0C11CAB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219AE1D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4DD7C023"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Colombie</w:t>
            </w:r>
          </w:p>
        </w:tc>
        <w:tc>
          <w:tcPr>
            <w:tcW w:w="1077" w:type="dxa"/>
            <w:tcBorders>
              <w:top w:val="nil"/>
              <w:left w:val="nil"/>
              <w:bottom w:val="nil"/>
              <w:right w:val="nil"/>
            </w:tcBorders>
            <w:shd w:val="clear" w:color="auto" w:fill="auto"/>
            <w:vAlign w:val="center"/>
            <w:hideMark/>
          </w:tcPr>
          <w:p w14:paraId="68F2EB4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4A3930ED"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0F16D30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12A81586" w14:textId="77777777" w:rsidTr="00DB6666">
        <w:trPr>
          <w:trHeight w:val="256"/>
        </w:trPr>
        <w:tc>
          <w:tcPr>
            <w:tcW w:w="1268" w:type="dxa"/>
            <w:tcBorders>
              <w:top w:val="nil"/>
              <w:left w:val="nil"/>
              <w:bottom w:val="nil"/>
              <w:right w:val="nil"/>
            </w:tcBorders>
            <w:shd w:val="clear" w:color="auto" w:fill="auto"/>
            <w:vAlign w:val="center"/>
            <w:hideMark/>
          </w:tcPr>
          <w:p w14:paraId="258A8EE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4F980F2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178A149A"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Costa Rica</w:t>
            </w:r>
          </w:p>
        </w:tc>
        <w:tc>
          <w:tcPr>
            <w:tcW w:w="1077" w:type="dxa"/>
            <w:tcBorders>
              <w:top w:val="nil"/>
              <w:left w:val="nil"/>
              <w:bottom w:val="nil"/>
              <w:right w:val="nil"/>
            </w:tcBorders>
            <w:shd w:val="clear" w:color="auto" w:fill="auto"/>
            <w:vAlign w:val="center"/>
            <w:hideMark/>
          </w:tcPr>
          <w:p w14:paraId="27450BB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1EDF7F6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7F26E83B"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1AB9E229" w14:textId="77777777" w:rsidTr="00DB6666">
        <w:trPr>
          <w:trHeight w:val="256"/>
        </w:trPr>
        <w:tc>
          <w:tcPr>
            <w:tcW w:w="1268" w:type="dxa"/>
            <w:tcBorders>
              <w:top w:val="nil"/>
              <w:left w:val="nil"/>
              <w:bottom w:val="nil"/>
              <w:right w:val="nil"/>
            </w:tcBorders>
            <w:shd w:val="clear" w:color="auto" w:fill="auto"/>
            <w:vAlign w:val="center"/>
            <w:hideMark/>
          </w:tcPr>
          <w:p w14:paraId="554E735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3DABE39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0647E66A"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Croatie</w:t>
            </w:r>
          </w:p>
        </w:tc>
        <w:tc>
          <w:tcPr>
            <w:tcW w:w="1077" w:type="dxa"/>
            <w:tcBorders>
              <w:top w:val="nil"/>
              <w:left w:val="nil"/>
              <w:bottom w:val="nil"/>
              <w:right w:val="nil"/>
            </w:tcBorders>
            <w:shd w:val="clear" w:color="auto" w:fill="auto"/>
            <w:vAlign w:val="center"/>
            <w:hideMark/>
          </w:tcPr>
          <w:p w14:paraId="0F5F24F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5019AA8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03B03A5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790CC646" w14:textId="77777777" w:rsidTr="00DB6666">
        <w:trPr>
          <w:trHeight w:val="256"/>
        </w:trPr>
        <w:tc>
          <w:tcPr>
            <w:tcW w:w="1268" w:type="dxa"/>
            <w:tcBorders>
              <w:top w:val="nil"/>
              <w:left w:val="nil"/>
              <w:bottom w:val="nil"/>
              <w:right w:val="nil"/>
            </w:tcBorders>
            <w:shd w:val="clear" w:color="auto" w:fill="auto"/>
            <w:vAlign w:val="center"/>
            <w:hideMark/>
          </w:tcPr>
          <w:p w14:paraId="6826033A"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1269" w:type="dxa"/>
            <w:tcBorders>
              <w:top w:val="nil"/>
              <w:left w:val="nil"/>
              <w:bottom w:val="nil"/>
              <w:right w:val="nil"/>
            </w:tcBorders>
            <w:shd w:val="clear" w:color="auto" w:fill="auto"/>
            <w:vAlign w:val="center"/>
            <w:hideMark/>
          </w:tcPr>
          <w:p w14:paraId="1556BB1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3431" w:type="dxa"/>
            <w:tcBorders>
              <w:top w:val="nil"/>
              <w:left w:val="nil"/>
              <w:bottom w:val="nil"/>
              <w:right w:val="nil"/>
            </w:tcBorders>
            <w:shd w:val="clear" w:color="auto" w:fill="auto"/>
            <w:vAlign w:val="center"/>
            <w:hideMark/>
          </w:tcPr>
          <w:p w14:paraId="3B540DDD"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Danemark</w:t>
            </w:r>
          </w:p>
        </w:tc>
        <w:tc>
          <w:tcPr>
            <w:tcW w:w="1077" w:type="dxa"/>
            <w:tcBorders>
              <w:top w:val="nil"/>
              <w:left w:val="nil"/>
              <w:bottom w:val="nil"/>
              <w:right w:val="nil"/>
            </w:tcBorders>
            <w:shd w:val="clear" w:color="auto" w:fill="auto"/>
            <w:vAlign w:val="center"/>
            <w:hideMark/>
          </w:tcPr>
          <w:p w14:paraId="22A4AD1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0,50</w:t>
            </w:r>
          </w:p>
        </w:tc>
        <w:tc>
          <w:tcPr>
            <w:tcW w:w="1383" w:type="dxa"/>
            <w:tcBorders>
              <w:top w:val="nil"/>
              <w:left w:val="nil"/>
              <w:bottom w:val="nil"/>
              <w:right w:val="nil"/>
            </w:tcBorders>
            <w:shd w:val="clear" w:color="auto" w:fill="auto"/>
            <w:vAlign w:val="center"/>
            <w:hideMark/>
          </w:tcPr>
          <w:p w14:paraId="2290B14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1353" w:type="dxa"/>
            <w:tcBorders>
              <w:top w:val="nil"/>
              <w:left w:val="nil"/>
              <w:bottom w:val="nil"/>
              <w:right w:val="nil"/>
            </w:tcBorders>
            <w:shd w:val="clear" w:color="auto" w:fill="auto"/>
            <w:vAlign w:val="center"/>
            <w:hideMark/>
          </w:tcPr>
          <w:p w14:paraId="23EDE8E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r>
      <w:tr w:rsidR="007D29F8" w:rsidRPr="00E12BB9" w14:paraId="7B83A50D" w14:textId="77777777" w:rsidTr="00DB6666">
        <w:trPr>
          <w:trHeight w:val="256"/>
        </w:trPr>
        <w:tc>
          <w:tcPr>
            <w:tcW w:w="1268" w:type="dxa"/>
            <w:tcBorders>
              <w:top w:val="nil"/>
              <w:left w:val="nil"/>
              <w:bottom w:val="nil"/>
              <w:right w:val="nil"/>
            </w:tcBorders>
            <w:shd w:val="clear" w:color="auto" w:fill="auto"/>
            <w:vAlign w:val="center"/>
            <w:hideMark/>
          </w:tcPr>
          <w:p w14:paraId="7A1F5BE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201552C2"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6D14ABF9"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Égypte</w:t>
            </w:r>
          </w:p>
        </w:tc>
        <w:tc>
          <w:tcPr>
            <w:tcW w:w="1077" w:type="dxa"/>
            <w:tcBorders>
              <w:top w:val="nil"/>
              <w:left w:val="nil"/>
              <w:bottom w:val="nil"/>
              <w:right w:val="nil"/>
            </w:tcBorders>
            <w:shd w:val="clear" w:color="auto" w:fill="auto"/>
            <w:vAlign w:val="center"/>
            <w:hideMark/>
          </w:tcPr>
          <w:p w14:paraId="4D1664F2"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6F2B6A8F"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6FA3D73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5CB0C796" w14:textId="77777777" w:rsidTr="00DB6666">
        <w:trPr>
          <w:trHeight w:val="256"/>
        </w:trPr>
        <w:tc>
          <w:tcPr>
            <w:tcW w:w="1268" w:type="dxa"/>
            <w:tcBorders>
              <w:top w:val="nil"/>
              <w:left w:val="nil"/>
              <w:bottom w:val="nil"/>
              <w:right w:val="nil"/>
            </w:tcBorders>
            <w:shd w:val="clear" w:color="auto" w:fill="auto"/>
            <w:vAlign w:val="center"/>
            <w:hideMark/>
          </w:tcPr>
          <w:p w14:paraId="045FE8B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6E6FC49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50D4D3D4"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Équateur</w:t>
            </w:r>
          </w:p>
        </w:tc>
        <w:tc>
          <w:tcPr>
            <w:tcW w:w="1077" w:type="dxa"/>
            <w:tcBorders>
              <w:top w:val="nil"/>
              <w:left w:val="nil"/>
              <w:bottom w:val="nil"/>
              <w:right w:val="nil"/>
            </w:tcBorders>
            <w:shd w:val="clear" w:color="auto" w:fill="auto"/>
            <w:vAlign w:val="center"/>
            <w:hideMark/>
          </w:tcPr>
          <w:p w14:paraId="0FCF4E4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1EF9A5C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6A58689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48C1138D" w14:textId="77777777" w:rsidTr="00DB6666">
        <w:trPr>
          <w:trHeight w:val="256"/>
        </w:trPr>
        <w:tc>
          <w:tcPr>
            <w:tcW w:w="1268" w:type="dxa"/>
            <w:tcBorders>
              <w:top w:val="nil"/>
              <w:left w:val="nil"/>
              <w:bottom w:val="nil"/>
              <w:right w:val="nil"/>
            </w:tcBorders>
            <w:shd w:val="clear" w:color="auto" w:fill="auto"/>
            <w:vAlign w:val="center"/>
            <w:hideMark/>
          </w:tcPr>
          <w:p w14:paraId="04E5ACD2"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107 282</w:t>
            </w:r>
          </w:p>
        </w:tc>
        <w:tc>
          <w:tcPr>
            <w:tcW w:w="1269" w:type="dxa"/>
            <w:tcBorders>
              <w:top w:val="nil"/>
              <w:left w:val="nil"/>
              <w:bottom w:val="nil"/>
              <w:right w:val="nil"/>
            </w:tcBorders>
            <w:shd w:val="clear" w:color="auto" w:fill="auto"/>
            <w:vAlign w:val="center"/>
            <w:hideMark/>
          </w:tcPr>
          <w:p w14:paraId="7A23BA4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107 282</w:t>
            </w:r>
          </w:p>
        </w:tc>
        <w:tc>
          <w:tcPr>
            <w:tcW w:w="3431" w:type="dxa"/>
            <w:tcBorders>
              <w:top w:val="nil"/>
              <w:left w:val="nil"/>
              <w:bottom w:val="nil"/>
              <w:right w:val="nil"/>
            </w:tcBorders>
            <w:shd w:val="clear" w:color="auto" w:fill="auto"/>
            <w:vAlign w:val="center"/>
            <w:hideMark/>
          </w:tcPr>
          <w:p w14:paraId="47ADDBEE"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Espagne</w:t>
            </w:r>
          </w:p>
        </w:tc>
        <w:tc>
          <w:tcPr>
            <w:tcW w:w="1077" w:type="dxa"/>
            <w:tcBorders>
              <w:top w:val="nil"/>
              <w:left w:val="nil"/>
              <w:bottom w:val="nil"/>
              <w:right w:val="nil"/>
            </w:tcBorders>
            <w:shd w:val="clear" w:color="auto" w:fill="auto"/>
            <w:vAlign w:val="center"/>
            <w:hideMark/>
          </w:tcPr>
          <w:p w14:paraId="73DB24D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2,00</w:t>
            </w:r>
          </w:p>
        </w:tc>
        <w:tc>
          <w:tcPr>
            <w:tcW w:w="1383" w:type="dxa"/>
            <w:tcBorders>
              <w:top w:val="nil"/>
              <w:left w:val="nil"/>
              <w:bottom w:val="nil"/>
              <w:right w:val="nil"/>
            </w:tcBorders>
            <w:shd w:val="clear" w:color="auto" w:fill="auto"/>
            <w:vAlign w:val="center"/>
            <w:hideMark/>
          </w:tcPr>
          <w:p w14:paraId="3920E462"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107 282</w:t>
            </w:r>
          </w:p>
        </w:tc>
        <w:tc>
          <w:tcPr>
            <w:tcW w:w="1353" w:type="dxa"/>
            <w:tcBorders>
              <w:top w:val="nil"/>
              <w:left w:val="nil"/>
              <w:bottom w:val="nil"/>
              <w:right w:val="nil"/>
            </w:tcBorders>
            <w:shd w:val="clear" w:color="auto" w:fill="auto"/>
            <w:vAlign w:val="center"/>
            <w:hideMark/>
          </w:tcPr>
          <w:p w14:paraId="3DE657BF"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107 282</w:t>
            </w:r>
          </w:p>
        </w:tc>
      </w:tr>
      <w:tr w:rsidR="007D29F8" w:rsidRPr="00E12BB9" w14:paraId="2A77A7DB" w14:textId="77777777" w:rsidTr="00DB6666">
        <w:trPr>
          <w:trHeight w:val="256"/>
        </w:trPr>
        <w:tc>
          <w:tcPr>
            <w:tcW w:w="1268" w:type="dxa"/>
            <w:tcBorders>
              <w:top w:val="nil"/>
              <w:left w:val="nil"/>
              <w:bottom w:val="nil"/>
              <w:right w:val="nil"/>
            </w:tcBorders>
            <w:shd w:val="clear" w:color="auto" w:fill="auto"/>
            <w:vAlign w:val="center"/>
            <w:hideMark/>
          </w:tcPr>
          <w:p w14:paraId="3217E7E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5A28876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5FDF1EE8"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Estonie</w:t>
            </w:r>
          </w:p>
        </w:tc>
        <w:tc>
          <w:tcPr>
            <w:tcW w:w="1077" w:type="dxa"/>
            <w:tcBorders>
              <w:top w:val="nil"/>
              <w:left w:val="nil"/>
              <w:bottom w:val="nil"/>
              <w:right w:val="nil"/>
            </w:tcBorders>
            <w:shd w:val="clear" w:color="auto" w:fill="auto"/>
            <w:vAlign w:val="center"/>
            <w:hideMark/>
          </w:tcPr>
          <w:p w14:paraId="0DB195BB"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70C9EC8A"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0D84608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12669CFF" w14:textId="77777777" w:rsidTr="00DB6666">
        <w:trPr>
          <w:trHeight w:val="256"/>
        </w:trPr>
        <w:tc>
          <w:tcPr>
            <w:tcW w:w="1268" w:type="dxa"/>
            <w:tcBorders>
              <w:top w:val="nil"/>
              <w:left w:val="nil"/>
              <w:bottom w:val="nil"/>
              <w:right w:val="nil"/>
            </w:tcBorders>
            <w:shd w:val="clear" w:color="auto" w:fill="auto"/>
            <w:vAlign w:val="center"/>
            <w:hideMark/>
          </w:tcPr>
          <w:p w14:paraId="4B6F58B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268 205</w:t>
            </w:r>
          </w:p>
        </w:tc>
        <w:tc>
          <w:tcPr>
            <w:tcW w:w="1269" w:type="dxa"/>
            <w:tcBorders>
              <w:top w:val="nil"/>
              <w:left w:val="nil"/>
              <w:bottom w:val="nil"/>
              <w:right w:val="nil"/>
            </w:tcBorders>
            <w:shd w:val="clear" w:color="auto" w:fill="auto"/>
            <w:vAlign w:val="center"/>
            <w:hideMark/>
          </w:tcPr>
          <w:p w14:paraId="09AB74B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268 205</w:t>
            </w:r>
          </w:p>
        </w:tc>
        <w:tc>
          <w:tcPr>
            <w:tcW w:w="3431" w:type="dxa"/>
            <w:tcBorders>
              <w:top w:val="nil"/>
              <w:left w:val="nil"/>
              <w:bottom w:val="nil"/>
              <w:right w:val="nil"/>
            </w:tcBorders>
            <w:shd w:val="clear" w:color="auto" w:fill="auto"/>
            <w:vAlign w:val="center"/>
            <w:hideMark/>
          </w:tcPr>
          <w:p w14:paraId="11A98393"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États-Unis d’Amérique</w:t>
            </w:r>
          </w:p>
        </w:tc>
        <w:tc>
          <w:tcPr>
            <w:tcW w:w="1077" w:type="dxa"/>
            <w:tcBorders>
              <w:top w:val="nil"/>
              <w:left w:val="nil"/>
              <w:bottom w:val="nil"/>
              <w:right w:val="nil"/>
            </w:tcBorders>
            <w:shd w:val="clear" w:color="auto" w:fill="auto"/>
            <w:vAlign w:val="center"/>
            <w:hideMark/>
          </w:tcPr>
          <w:p w14:paraId="2F2951E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5,00</w:t>
            </w:r>
          </w:p>
        </w:tc>
        <w:tc>
          <w:tcPr>
            <w:tcW w:w="1383" w:type="dxa"/>
            <w:tcBorders>
              <w:top w:val="nil"/>
              <w:left w:val="nil"/>
              <w:bottom w:val="nil"/>
              <w:right w:val="nil"/>
            </w:tcBorders>
            <w:shd w:val="clear" w:color="auto" w:fill="auto"/>
            <w:vAlign w:val="center"/>
            <w:hideMark/>
          </w:tcPr>
          <w:p w14:paraId="5F36F66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268 205</w:t>
            </w:r>
          </w:p>
        </w:tc>
        <w:tc>
          <w:tcPr>
            <w:tcW w:w="1353" w:type="dxa"/>
            <w:tcBorders>
              <w:top w:val="nil"/>
              <w:left w:val="nil"/>
              <w:bottom w:val="nil"/>
              <w:right w:val="nil"/>
            </w:tcBorders>
            <w:shd w:val="clear" w:color="auto" w:fill="auto"/>
            <w:vAlign w:val="center"/>
            <w:hideMark/>
          </w:tcPr>
          <w:p w14:paraId="5A97F38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268 205</w:t>
            </w:r>
          </w:p>
        </w:tc>
      </w:tr>
      <w:tr w:rsidR="007D29F8" w:rsidRPr="00E12BB9" w14:paraId="61E952FE" w14:textId="77777777" w:rsidTr="00DB6666">
        <w:trPr>
          <w:trHeight w:val="256"/>
        </w:trPr>
        <w:tc>
          <w:tcPr>
            <w:tcW w:w="1268" w:type="dxa"/>
            <w:tcBorders>
              <w:top w:val="nil"/>
              <w:left w:val="nil"/>
              <w:bottom w:val="nil"/>
              <w:right w:val="nil"/>
            </w:tcBorders>
            <w:shd w:val="clear" w:color="auto" w:fill="auto"/>
            <w:vAlign w:val="center"/>
            <w:hideMark/>
          </w:tcPr>
          <w:p w14:paraId="05A1AE6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107 282</w:t>
            </w:r>
          </w:p>
        </w:tc>
        <w:tc>
          <w:tcPr>
            <w:tcW w:w="1269" w:type="dxa"/>
            <w:tcBorders>
              <w:top w:val="nil"/>
              <w:left w:val="nil"/>
              <w:bottom w:val="nil"/>
              <w:right w:val="nil"/>
            </w:tcBorders>
            <w:shd w:val="clear" w:color="auto" w:fill="auto"/>
            <w:vAlign w:val="center"/>
            <w:hideMark/>
          </w:tcPr>
          <w:p w14:paraId="26ABFE4F"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107 282</w:t>
            </w:r>
          </w:p>
        </w:tc>
        <w:tc>
          <w:tcPr>
            <w:tcW w:w="3431" w:type="dxa"/>
            <w:tcBorders>
              <w:top w:val="nil"/>
              <w:left w:val="nil"/>
              <w:bottom w:val="nil"/>
              <w:right w:val="nil"/>
            </w:tcBorders>
            <w:shd w:val="clear" w:color="auto" w:fill="auto"/>
            <w:vAlign w:val="center"/>
            <w:hideMark/>
          </w:tcPr>
          <w:p w14:paraId="2F47D738"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 xml:space="preserve">Fédération de Russie </w:t>
            </w:r>
          </w:p>
        </w:tc>
        <w:tc>
          <w:tcPr>
            <w:tcW w:w="1077" w:type="dxa"/>
            <w:tcBorders>
              <w:top w:val="nil"/>
              <w:left w:val="nil"/>
              <w:bottom w:val="nil"/>
              <w:right w:val="nil"/>
            </w:tcBorders>
            <w:shd w:val="clear" w:color="auto" w:fill="auto"/>
            <w:vAlign w:val="center"/>
            <w:hideMark/>
          </w:tcPr>
          <w:p w14:paraId="721853D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2,00</w:t>
            </w:r>
          </w:p>
        </w:tc>
        <w:tc>
          <w:tcPr>
            <w:tcW w:w="1383" w:type="dxa"/>
            <w:tcBorders>
              <w:top w:val="nil"/>
              <w:left w:val="nil"/>
              <w:bottom w:val="nil"/>
              <w:right w:val="nil"/>
            </w:tcBorders>
            <w:shd w:val="clear" w:color="auto" w:fill="auto"/>
            <w:vAlign w:val="center"/>
            <w:hideMark/>
          </w:tcPr>
          <w:p w14:paraId="2A561AE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107 282</w:t>
            </w:r>
          </w:p>
        </w:tc>
        <w:tc>
          <w:tcPr>
            <w:tcW w:w="1353" w:type="dxa"/>
            <w:tcBorders>
              <w:top w:val="nil"/>
              <w:left w:val="nil"/>
              <w:bottom w:val="nil"/>
              <w:right w:val="nil"/>
            </w:tcBorders>
            <w:shd w:val="clear" w:color="auto" w:fill="auto"/>
            <w:vAlign w:val="center"/>
            <w:hideMark/>
          </w:tcPr>
          <w:p w14:paraId="4453E79D"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107 282</w:t>
            </w:r>
          </w:p>
        </w:tc>
      </w:tr>
      <w:tr w:rsidR="007D29F8" w:rsidRPr="00E12BB9" w14:paraId="0B4EB27B" w14:textId="77777777" w:rsidTr="00DB6666">
        <w:trPr>
          <w:trHeight w:val="256"/>
        </w:trPr>
        <w:tc>
          <w:tcPr>
            <w:tcW w:w="1268" w:type="dxa"/>
            <w:tcBorders>
              <w:top w:val="nil"/>
              <w:left w:val="nil"/>
              <w:bottom w:val="nil"/>
              <w:right w:val="nil"/>
            </w:tcBorders>
            <w:shd w:val="clear" w:color="auto" w:fill="auto"/>
            <w:vAlign w:val="center"/>
            <w:hideMark/>
          </w:tcPr>
          <w:p w14:paraId="4F21B5C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1269" w:type="dxa"/>
            <w:tcBorders>
              <w:top w:val="nil"/>
              <w:left w:val="nil"/>
              <w:bottom w:val="nil"/>
              <w:right w:val="nil"/>
            </w:tcBorders>
            <w:shd w:val="clear" w:color="auto" w:fill="auto"/>
            <w:vAlign w:val="center"/>
            <w:hideMark/>
          </w:tcPr>
          <w:p w14:paraId="5B46CB5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3431" w:type="dxa"/>
            <w:tcBorders>
              <w:top w:val="nil"/>
              <w:left w:val="nil"/>
              <w:bottom w:val="nil"/>
              <w:right w:val="nil"/>
            </w:tcBorders>
            <w:shd w:val="clear" w:color="auto" w:fill="auto"/>
            <w:vAlign w:val="center"/>
            <w:hideMark/>
          </w:tcPr>
          <w:p w14:paraId="45F47A3D"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Finlande</w:t>
            </w:r>
          </w:p>
        </w:tc>
        <w:tc>
          <w:tcPr>
            <w:tcW w:w="1077" w:type="dxa"/>
            <w:tcBorders>
              <w:top w:val="nil"/>
              <w:left w:val="nil"/>
              <w:bottom w:val="nil"/>
              <w:right w:val="nil"/>
            </w:tcBorders>
            <w:shd w:val="clear" w:color="auto" w:fill="auto"/>
            <w:vAlign w:val="center"/>
            <w:hideMark/>
          </w:tcPr>
          <w:p w14:paraId="4F024CA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1,00</w:t>
            </w:r>
          </w:p>
        </w:tc>
        <w:tc>
          <w:tcPr>
            <w:tcW w:w="1383" w:type="dxa"/>
            <w:tcBorders>
              <w:top w:val="nil"/>
              <w:left w:val="nil"/>
              <w:bottom w:val="nil"/>
              <w:right w:val="nil"/>
            </w:tcBorders>
            <w:shd w:val="clear" w:color="auto" w:fill="auto"/>
            <w:vAlign w:val="center"/>
            <w:hideMark/>
          </w:tcPr>
          <w:p w14:paraId="2642877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1353" w:type="dxa"/>
            <w:tcBorders>
              <w:top w:val="nil"/>
              <w:left w:val="nil"/>
              <w:bottom w:val="nil"/>
              <w:right w:val="nil"/>
            </w:tcBorders>
            <w:shd w:val="clear" w:color="auto" w:fill="auto"/>
            <w:vAlign w:val="center"/>
            <w:hideMark/>
          </w:tcPr>
          <w:p w14:paraId="6154BFCB"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r>
      <w:tr w:rsidR="007D29F8" w:rsidRPr="00E12BB9" w14:paraId="127F7590" w14:textId="77777777" w:rsidTr="00DB6666">
        <w:trPr>
          <w:trHeight w:val="256"/>
        </w:trPr>
        <w:tc>
          <w:tcPr>
            <w:tcW w:w="1268" w:type="dxa"/>
            <w:tcBorders>
              <w:top w:val="nil"/>
              <w:left w:val="nil"/>
              <w:bottom w:val="nil"/>
              <w:right w:val="nil"/>
            </w:tcBorders>
            <w:shd w:val="clear" w:color="auto" w:fill="auto"/>
            <w:vAlign w:val="center"/>
            <w:hideMark/>
          </w:tcPr>
          <w:p w14:paraId="6521C31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268 205</w:t>
            </w:r>
          </w:p>
        </w:tc>
        <w:tc>
          <w:tcPr>
            <w:tcW w:w="1269" w:type="dxa"/>
            <w:tcBorders>
              <w:top w:val="nil"/>
              <w:left w:val="nil"/>
              <w:bottom w:val="nil"/>
              <w:right w:val="nil"/>
            </w:tcBorders>
            <w:shd w:val="clear" w:color="auto" w:fill="auto"/>
            <w:vAlign w:val="center"/>
            <w:hideMark/>
          </w:tcPr>
          <w:p w14:paraId="5B46423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268 205</w:t>
            </w:r>
          </w:p>
        </w:tc>
        <w:tc>
          <w:tcPr>
            <w:tcW w:w="3431" w:type="dxa"/>
            <w:tcBorders>
              <w:top w:val="nil"/>
              <w:left w:val="nil"/>
              <w:bottom w:val="nil"/>
              <w:right w:val="nil"/>
            </w:tcBorders>
            <w:shd w:val="clear" w:color="auto" w:fill="auto"/>
            <w:vAlign w:val="center"/>
            <w:hideMark/>
          </w:tcPr>
          <w:p w14:paraId="3167114C"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France</w:t>
            </w:r>
          </w:p>
        </w:tc>
        <w:tc>
          <w:tcPr>
            <w:tcW w:w="1077" w:type="dxa"/>
            <w:tcBorders>
              <w:top w:val="nil"/>
              <w:left w:val="nil"/>
              <w:bottom w:val="nil"/>
              <w:right w:val="nil"/>
            </w:tcBorders>
            <w:shd w:val="clear" w:color="auto" w:fill="auto"/>
            <w:vAlign w:val="center"/>
            <w:hideMark/>
          </w:tcPr>
          <w:p w14:paraId="5A0F57DD"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5,00</w:t>
            </w:r>
          </w:p>
        </w:tc>
        <w:tc>
          <w:tcPr>
            <w:tcW w:w="1383" w:type="dxa"/>
            <w:tcBorders>
              <w:top w:val="nil"/>
              <w:left w:val="nil"/>
              <w:bottom w:val="nil"/>
              <w:right w:val="nil"/>
            </w:tcBorders>
            <w:shd w:val="clear" w:color="auto" w:fill="auto"/>
            <w:vAlign w:val="center"/>
            <w:hideMark/>
          </w:tcPr>
          <w:p w14:paraId="19AAAF8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268 205</w:t>
            </w:r>
          </w:p>
        </w:tc>
        <w:tc>
          <w:tcPr>
            <w:tcW w:w="1353" w:type="dxa"/>
            <w:tcBorders>
              <w:top w:val="nil"/>
              <w:left w:val="nil"/>
              <w:bottom w:val="nil"/>
              <w:right w:val="nil"/>
            </w:tcBorders>
            <w:shd w:val="clear" w:color="auto" w:fill="auto"/>
            <w:vAlign w:val="center"/>
            <w:hideMark/>
          </w:tcPr>
          <w:p w14:paraId="441C734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268 205</w:t>
            </w:r>
          </w:p>
        </w:tc>
      </w:tr>
      <w:tr w:rsidR="007D29F8" w:rsidRPr="00E12BB9" w14:paraId="61D733AF" w14:textId="77777777" w:rsidTr="00DB6666">
        <w:trPr>
          <w:trHeight w:val="256"/>
        </w:trPr>
        <w:tc>
          <w:tcPr>
            <w:tcW w:w="1268" w:type="dxa"/>
            <w:tcBorders>
              <w:top w:val="nil"/>
              <w:left w:val="nil"/>
              <w:bottom w:val="nil"/>
              <w:right w:val="nil"/>
            </w:tcBorders>
            <w:shd w:val="clear" w:color="auto" w:fill="auto"/>
            <w:vAlign w:val="center"/>
            <w:hideMark/>
          </w:tcPr>
          <w:p w14:paraId="3ECDD81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79E724AB"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3376B72C"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Géorgie</w:t>
            </w:r>
          </w:p>
        </w:tc>
        <w:tc>
          <w:tcPr>
            <w:tcW w:w="1077" w:type="dxa"/>
            <w:tcBorders>
              <w:top w:val="nil"/>
              <w:left w:val="nil"/>
              <w:bottom w:val="nil"/>
              <w:right w:val="nil"/>
            </w:tcBorders>
            <w:shd w:val="clear" w:color="auto" w:fill="auto"/>
            <w:vAlign w:val="center"/>
            <w:hideMark/>
          </w:tcPr>
          <w:p w14:paraId="6C5DE0FB"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688D00C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0462EAD2"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378CC769" w14:textId="77777777" w:rsidTr="00DB6666">
        <w:trPr>
          <w:trHeight w:val="256"/>
        </w:trPr>
        <w:tc>
          <w:tcPr>
            <w:tcW w:w="1268" w:type="dxa"/>
            <w:tcBorders>
              <w:top w:val="nil"/>
              <w:left w:val="nil"/>
              <w:bottom w:val="nil"/>
              <w:right w:val="nil"/>
            </w:tcBorders>
            <w:shd w:val="clear" w:color="auto" w:fill="auto"/>
            <w:vAlign w:val="center"/>
            <w:hideMark/>
          </w:tcPr>
          <w:p w14:paraId="17E69FA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0587DD2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483B0072"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Ghana</w:t>
            </w:r>
          </w:p>
        </w:tc>
        <w:tc>
          <w:tcPr>
            <w:tcW w:w="1077" w:type="dxa"/>
            <w:tcBorders>
              <w:top w:val="nil"/>
              <w:left w:val="nil"/>
              <w:bottom w:val="nil"/>
              <w:right w:val="nil"/>
            </w:tcBorders>
            <w:shd w:val="clear" w:color="auto" w:fill="auto"/>
            <w:vAlign w:val="center"/>
            <w:hideMark/>
          </w:tcPr>
          <w:p w14:paraId="1A8CFDD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2DF3E91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01410C9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2E5EE862" w14:textId="77777777" w:rsidTr="00DB6666">
        <w:trPr>
          <w:trHeight w:val="256"/>
        </w:trPr>
        <w:tc>
          <w:tcPr>
            <w:tcW w:w="1268" w:type="dxa"/>
            <w:tcBorders>
              <w:top w:val="nil"/>
              <w:left w:val="nil"/>
              <w:bottom w:val="nil"/>
              <w:right w:val="nil"/>
            </w:tcBorders>
            <w:shd w:val="clear" w:color="auto" w:fill="auto"/>
            <w:vAlign w:val="center"/>
            <w:hideMark/>
          </w:tcPr>
          <w:p w14:paraId="2ECAD6B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1269" w:type="dxa"/>
            <w:tcBorders>
              <w:top w:val="nil"/>
              <w:left w:val="nil"/>
              <w:bottom w:val="nil"/>
              <w:right w:val="nil"/>
            </w:tcBorders>
            <w:shd w:val="clear" w:color="auto" w:fill="auto"/>
            <w:vAlign w:val="center"/>
            <w:hideMark/>
          </w:tcPr>
          <w:p w14:paraId="369C326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3431" w:type="dxa"/>
            <w:tcBorders>
              <w:top w:val="nil"/>
              <w:left w:val="nil"/>
              <w:bottom w:val="nil"/>
              <w:right w:val="nil"/>
            </w:tcBorders>
            <w:shd w:val="clear" w:color="auto" w:fill="auto"/>
            <w:vAlign w:val="center"/>
            <w:hideMark/>
          </w:tcPr>
          <w:p w14:paraId="21465FED"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Hongrie</w:t>
            </w:r>
          </w:p>
        </w:tc>
        <w:tc>
          <w:tcPr>
            <w:tcW w:w="1077" w:type="dxa"/>
            <w:tcBorders>
              <w:top w:val="nil"/>
              <w:left w:val="nil"/>
              <w:bottom w:val="nil"/>
              <w:right w:val="nil"/>
            </w:tcBorders>
            <w:shd w:val="clear" w:color="auto" w:fill="auto"/>
            <w:vAlign w:val="center"/>
            <w:hideMark/>
          </w:tcPr>
          <w:p w14:paraId="23DADE0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0,50</w:t>
            </w:r>
          </w:p>
        </w:tc>
        <w:tc>
          <w:tcPr>
            <w:tcW w:w="1383" w:type="dxa"/>
            <w:tcBorders>
              <w:top w:val="nil"/>
              <w:left w:val="nil"/>
              <w:bottom w:val="nil"/>
              <w:right w:val="nil"/>
            </w:tcBorders>
            <w:shd w:val="clear" w:color="auto" w:fill="auto"/>
            <w:vAlign w:val="center"/>
            <w:hideMark/>
          </w:tcPr>
          <w:p w14:paraId="1E840DE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1353" w:type="dxa"/>
            <w:tcBorders>
              <w:top w:val="nil"/>
              <w:left w:val="nil"/>
              <w:bottom w:val="nil"/>
              <w:right w:val="nil"/>
            </w:tcBorders>
            <w:shd w:val="clear" w:color="auto" w:fill="auto"/>
            <w:vAlign w:val="center"/>
            <w:hideMark/>
          </w:tcPr>
          <w:p w14:paraId="4B16379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r>
      <w:tr w:rsidR="007D29F8" w:rsidRPr="00E12BB9" w14:paraId="7A9ACE08" w14:textId="77777777" w:rsidTr="00DB6666">
        <w:trPr>
          <w:trHeight w:val="256"/>
        </w:trPr>
        <w:tc>
          <w:tcPr>
            <w:tcW w:w="1268" w:type="dxa"/>
            <w:tcBorders>
              <w:top w:val="nil"/>
              <w:left w:val="nil"/>
              <w:bottom w:val="nil"/>
              <w:right w:val="nil"/>
            </w:tcBorders>
            <w:shd w:val="clear" w:color="auto" w:fill="auto"/>
            <w:vAlign w:val="center"/>
            <w:hideMark/>
          </w:tcPr>
          <w:p w14:paraId="0A05B34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1269" w:type="dxa"/>
            <w:tcBorders>
              <w:top w:val="nil"/>
              <w:left w:val="nil"/>
              <w:bottom w:val="nil"/>
              <w:right w:val="nil"/>
            </w:tcBorders>
            <w:shd w:val="clear" w:color="auto" w:fill="auto"/>
            <w:vAlign w:val="center"/>
            <w:hideMark/>
          </w:tcPr>
          <w:p w14:paraId="17BA41D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3431" w:type="dxa"/>
            <w:tcBorders>
              <w:top w:val="nil"/>
              <w:left w:val="nil"/>
              <w:bottom w:val="nil"/>
              <w:right w:val="nil"/>
            </w:tcBorders>
            <w:shd w:val="clear" w:color="auto" w:fill="auto"/>
            <w:vAlign w:val="center"/>
            <w:hideMark/>
          </w:tcPr>
          <w:p w14:paraId="5F7CB9A8"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Irlande</w:t>
            </w:r>
          </w:p>
        </w:tc>
        <w:tc>
          <w:tcPr>
            <w:tcW w:w="1077" w:type="dxa"/>
            <w:tcBorders>
              <w:top w:val="nil"/>
              <w:left w:val="nil"/>
              <w:bottom w:val="nil"/>
              <w:right w:val="nil"/>
            </w:tcBorders>
            <w:shd w:val="clear" w:color="auto" w:fill="auto"/>
            <w:vAlign w:val="center"/>
            <w:hideMark/>
          </w:tcPr>
          <w:p w14:paraId="4EEB591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1,00</w:t>
            </w:r>
          </w:p>
        </w:tc>
        <w:tc>
          <w:tcPr>
            <w:tcW w:w="1383" w:type="dxa"/>
            <w:tcBorders>
              <w:top w:val="nil"/>
              <w:left w:val="nil"/>
              <w:bottom w:val="nil"/>
              <w:right w:val="nil"/>
            </w:tcBorders>
            <w:shd w:val="clear" w:color="auto" w:fill="auto"/>
            <w:vAlign w:val="center"/>
            <w:hideMark/>
          </w:tcPr>
          <w:p w14:paraId="35C5B93F"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1353" w:type="dxa"/>
            <w:tcBorders>
              <w:top w:val="nil"/>
              <w:left w:val="nil"/>
              <w:bottom w:val="nil"/>
              <w:right w:val="nil"/>
            </w:tcBorders>
            <w:shd w:val="clear" w:color="auto" w:fill="auto"/>
            <w:vAlign w:val="center"/>
            <w:hideMark/>
          </w:tcPr>
          <w:p w14:paraId="7D608352"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r>
      <w:tr w:rsidR="007D29F8" w:rsidRPr="00E12BB9" w14:paraId="7124E1E9" w14:textId="77777777" w:rsidTr="00DB6666">
        <w:trPr>
          <w:trHeight w:val="256"/>
        </w:trPr>
        <w:tc>
          <w:tcPr>
            <w:tcW w:w="1268" w:type="dxa"/>
            <w:tcBorders>
              <w:top w:val="nil"/>
              <w:left w:val="nil"/>
              <w:bottom w:val="nil"/>
              <w:right w:val="nil"/>
            </w:tcBorders>
            <w:shd w:val="clear" w:color="auto" w:fill="auto"/>
            <w:vAlign w:val="center"/>
            <w:hideMark/>
          </w:tcPr>
          <w:p w14:paraId="1FDF02D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497BD3C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2E7880EA"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Islande</w:t>
            </w:r>
          </w:p>
        </w:tc>
        <w:tc>
          <w:tcPr>
            <w:tcW w:w="1077" w:type="dxa"/>
            <w:tcBorders>
              <w:top w:val="nil"/>
              <w:left w:val="nil"/>
              <w:bottom w:val="nil"/>
              <w:right w:val="nil"/>
            </w:tcBorders>
            <w:shd w:val="clear" w:color="auto" w:fill="auto"/>
            <w:vAlign w:val="center"/>
            <w:hideMark/>
          </w:tcPr>
          <w:p w14:paraId="5FF6620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0A1AA7C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3BA2D72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54FABEE9" w14:textId="77777777" w:rsidTr="00DB6666">
        <w:trPr>
          <w:trHeight w:val="256"/>
        </w:trPr>
        <w:tc>
          <w:tcPr>
            <w:tcW w:w="1268" w:type="dxa"/>
            <w:tcBorders>
              <w:top w:val="nil"/>
              <w:left w:val="nil"/>
              <w:bottom w:val="nil"/>
              <w:right w:val="nil"/>
            </w:tcBorders>
            <w:shd w:val="clear" w:color="auto" w:fill="auto"/>
            <w:vAlign w:val="center"/>
            <w:hideMark/>
          </w:tcPr>
          <w:p w14:paraId="2EFB935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1269" w:type="dxa"/>
            <w:tcBorders>
              <w:top w:val="nil"/>
              <w:left w:val="nil"/>
              <w:bottom w:val="nil"/>
              <w:right w:val="nil"/>
            </w:tcBorders>
            <w:shd w:val="clear" w:color="auto" w:fill="auto"/>
            <w:vAlign w:val="center"/>
            <w:hideMark/>
          </w:tcPr>
          <w:p w14:paraId="044F650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3431" w:type="dxa"/>
            <w:tcBorders>
              <w:top w:val="nil"/>
              <w:left w:val="nil"/>
              <w:bottom w:val="nil"/>
              <w:right w:val="nil"/>
            </w:tcBorders>
            <w:shd w:val="clear" w:color="auto" w:fill="auto"/>
            <w:vAlign w:val="center"/>
            <w:hideMark/>
          </w:tcPr>
          <w:p w14:paraId="74E31514"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Israël</w:t>
            </w:r>
          </w:p>
        </w:tc>
        <w:tc>
          <w:tcPr>
            <w:tcW w:w="1077" w:type="dxa"/>
            <w:tcBorders>
              <w:top w:val="nil"/>
              <w:left w:val="nil"/>
              <w:bottom w:val="nil"/>
              <w:right w:val="nil"/>
            </w:tcBorders>
            <w:shd w:val="clear" w:color="auto" w:fill="auto"/>
            <w:vAlign w:val="center"/>
            <w:hideMark/>
          </w:tcPr>
          <w:p w14:paraId="46AC9D2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0,50</w:t>
            </w:r>
          </w:p>
        </w:tc>
        <w:tc>
          <w:tcPr>
            <w:tcW w:w="1383" w:type="dxa"/>
            <w:tcBorders>
              <w:top w:val="nil"/>
              <w:left w:val="nil"/>
              <w:bottom w:val="nil"/>
              <w:right w:val="nil"/>
            </w:tcBorders>
            <w:shd w:val="clear" w:color="auto" w:fill="auto"/>
            <w:vAlign w:val="center"/>
            <w:hideMark/>
          </w:tcPr>
          <w:p w14:paraId="6716730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1353" w:type="dxa"/>
            <w:tcBorders>
              <w:top w:val="nil"/>
              <w:left w:val="nil"/>
              <w:bottom w:val="nil"/>
              <w:right w:val="nil"/>
            </w:tcBorders>
            <w:shd w:val="clear" w:color="auto" w:fill="auto"/>
            <w:vAlign w:val="center"/>
            <w:hideMark/>
          </w:tcPr>
          <w:p w14:paraId="6347CFC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r>
      <w:tr w:rsidR="007D29F8" w:rsidRPr="00E12BB9" w14:paraId="1A54CE19" w14:textId="77777777" w:rsidTr="00DB6666">
        <w:trPr>
          <w:trHeight w:val="256"/>
        </w:trPr>
        <w:tc>
          <w:tcPr>
            <w:tcW w:w="1268" w:type="dxa"/>
            <w:tcBorders>
              <w:top w:val="nil"/>
              <w:left w:val="nil"/>
              <w:bottom w:val="nil"/>
              <w:right w:val="nil"/>
            </w:tcBorders>
            <w:shd w:val="clear" w:color="auto" w:fill="auto"/>
            <w:vAlign w:val="center"/>
            <w:hideMark/>
          </w:tcPr>
          <w:p w14:paraId="327AE4A2"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107 282</w:t>
            </w:r>
          </w:p>
        </w:tc>
        <w:tc>
          <w:tcPr>
            <w:tcW w:w="1269" w:type="dxa"/>
            <w:tcBorders>
              <w:top w:val="nil"/>
              <w:left w:val="nil"/>
              <w:bottom w:val="nil"/>
              <w:right w:val="nil"/>
            </w:tcBorders>
            <w:shd w:val="clear" w:color="auto" w:fill="auto"/>
            <w:vAlign w:val="center"/>
            <w:hideMark/>
          </w:tcPr>
          <w:p w14:paraId="2FA1FB9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107 282</w:t>
            </w:r>
          </w:p>
        </w:tc>
        <w:tc>
          <w:tcPr>
            <w:tcW w:w="3431" w:type="dxa"/>
            <w:tcBorders>
              <w:top w:val="nil"/>
              <w:left w:val="nil"/>
              <w:bottom w:val="nil"/>
              <w:right w:val="nil"/>
            </w:tcBorders>
            <w:shd w:val="clear" w:color="auto" w:fill="auto"/>
            <w:vAlign w:val="center"/>
            <w:hideMark/>
          </w:tcPr>
          <w:p w14:paraId="743D7012"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Italie</w:t>
            </w:r>
          </w:p>
        </w:tc>
        <w:tc>
          <w:tcPr>
            <w:tcW w:w="1077" w:type="dxa"/>
            <w:tcBorders>
              <w:top w:val="nil"/>
              <w:left w:val="nil"/>
              <w:bottom w:val="nil"/>
              <w:right w:val="nil"/>
            </w:tcBorders>
            <w:shd w:val="clear" w:color="auto" w:fill="auto"/>
            <w:vAlign w:val="center"/>
            <w:hideMark/>
          </w:tcPr>
          <w:p w14:paraId="740166C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2,00</w:t>
            </w:r>
          </w:p>
        </w:tc>
        <w:tc>
          <w:tcPr>
            <w:tcW w:w="1383" w:type="dxa"/>
            <w:tcBorders>
              <w:top w:val="nil"/>
              <w:left w:val="nil"/>
              <w:bottom w:val="nil"/>
              <w:right w:val="nil"/>
            </w:tcBorders>
            <w:shd w:val="clear" w:color="auto" w:fill="auto"/>
            <w:vAlign w:val="center"/>
            <w:hideMark/>
          </w:tcPr>
          <w:p w14:paraId="74D11DC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107 282</w:t>
            </w:r>
          </w:p>
        </w:tc>
        <w:tc>
          <w:tcPr>
            <w:tcW w:w="1353" w:type="dxa"/>
            <w:tcBorders>
              <w:top w:val="nil"/>
              <w:left w:val="nil"/>
              <w:bottom w:val="nil"/>
              <w:right w:val="nil"/>
            </w:tcBorders>
            <w:shd w:val="clear" w:color="auto" w:fill="auto"/>
            <w:vAlign w:val="center"/>
            <w:hideMark/>
          </w:tcPr>
          <w:p w14:paraId="1570901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107 282</w:t>
            </w:r>
          </w:p>
        </w:tc>
      </w:tr>
      <w:tr w:rsidR="007D29F8" w:rsidRPr="00E12BB9" w14:paraId="00DC4A4C" w14:textId="77777777" w:rsidTr="00DB6666">
        <w:trPr>
          <w:trHeight w:val="256"/>
        </w:trPr>
        <w:tc>
          <w:tcPr>
            <w:tcW w:w="1268" w:type="dxa"/>
            <w:tcBorders>
              <w:top w:val="nil"/>
              <w:left w:val="nil"/>
              <w:bottom w:val="nil"/>
              <w:right w:val="nil"/>
            </w:tcBorders>
            <w:shd w:val="clear" w:color="auto" w:fill="auto"/>
            <w:vAlign w:val="center"/>
            <w:hideMark/>
          </w:tcPr>
          <w:p w14:paraId="427365B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268 205</w:t>
            </w:r>
          </w:p>
        </w:tc>
        <w:tc>
          <w:tcPr>
            <w:tcW w:w="1269" w:type="dxa"/>
            <w:tcBorders>
              <w:top w:val="nil"/>
              <w:left w:val="nil"/>
              <w:bottom w:val="nil"/>
              <w:right w:val="nil"/>
            </w:tcBorders>
            <w:shd w:val="clear" w:color="auto" w:fill="auto"/>
            <w:vAlign w:val="center"/>
            <w:hideMark/>
          </w:tcPr>
          <w:p w14:paraId="6011955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268 205</w:t>
            </w:r>
          </w:p>
        </w:tc>
        <w:tc>
          <w:tcPr>
            <w:tcW w:w="3431" w:type="dxa"/>
            <w:tcBorders>
              <w:top w:val="nil"/>
              <w:left w:val="nil"/>
              <w:bottom w:val="nil"/>
              <w:right w:val="nil"/>
            </w:tcBorders>
            <w:shd w:val="clear" w:color="auto" w:fill="auto"/>
            <w:vAlign w:val="center"/>
            <w:hideMark/>
          </w:tcPr>
          <w:p w14:paraId="1D99FF9F"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Japon</w:t>
            </w:r>
          </w:p>
        </w:tc>
        <w:tc>
          <w:tcPr>
            <w:tcW w:w="1077" w:type="dxa"/>
            <w:tcBorders>
              <w:top w:val="nil"/>
              <w:left w:val="nil"/>
              <w:bottom w:val="nil"/>
              <w:right w:val="nil"/>
            </w:tcBorders>
            <w:shd w:val="clear" w:color="auto" w:fill="auto"/>
            <w:vAlign w:val="center"/>
            <w:hideMark/>
          </w:tcPr>
          <w:p w14:paraId="37F03D4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5,00</w:t>
            </w:r>
          </w:p>
        </w:tc>
        <w:tc>
          <w:tcPr>
            <w:tcW w:w="1383" w:type="dxa"/>
            <w:tcBorders>
              <w:top w:val="nil"/>
              <w:left w:val="nil"/>
              <w:bottom w:val="nil"/>
              <w:right w:val="nil"/>
            </w:tcBorders>
            <w:shd w:val="clear" w:color="auto" w:fill="auto"/>
            <w:vAlign w:val="center"/>
            <w:hideMark/>
          </w:tcPr>
          <w:p w14:paraId="166B56F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268 205</w:t>
            </w:r>
          </w:p>
        </w:tc>
        <w:tc>
          <w:tcPr>
            <w:tcW w:w="1353" w:type="dxa"/>
            <w:tcBorders>
              <w:top w:val="nil"/>
              <w:left w:val="nil"/>
              <w:bottom w:val="nil"/>
              <w:right w:val="nil"/>
            </w:tcBorders>
            <w:shd w:val="clear" w:color="auto" w:fill="auto"/>
            <w:vAlign w:val="center"/>
            <w:hideMark/>
          </w:tcPr>
          <w:p w14:paraId="2EF4D00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268 205</w:t>
            </w:r>
          </w:p>
        </w:tc>
      </w:tr>
      <w:tr w:rsidR="007D29F8" w:rsidRPr="00E12BB9" w14:paraId="0AFE0C60" w14:textId="77777777" w:rsidTr="00DB6666">
        <w:trPr>
          <w:trHeight w:val="256"/>
        </w:trPr>
        <w:tc>
          <w:tcPr>
            <w:tcW w:w="1268" w:type="dxa"/>
            <w:tcBorders>
              <w:top w:val="nil"/>
              <w:left w:val="nil"/>
              <w:bottom w:val="nil"/>
              <w:right w:val="nil"/>
            </w:tcBorders>
            <w:shd w:val="clear" w:color="auto" w:fill="auto"/>
            <w:vAlign w:val="center"/>
            <w:hideMark/>
          </w:tcPr>
          <w:p w14:paraId="1E1B053A"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0DA43DB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70E06AEF"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Jordanie</w:t>
            </w:r>
          </w:p>
        </w:tc>
        <w:tc>
          <w:tcPr>
            <w:tcW w:w="1077" w:type="dxa"/>
            <w:tcBorders>
              <w:top w:val="nil"/>
              <w:left w:val="nil"/>
              <w:bottom w:val="nil"/>
              <w:right w:val="nil"/>
            </w:tcBorders>
            <w:shd w:val="clear" w:color="auto" w:fill="auto"/>
            <w:vAlign w:val="center"/>
            <w:hideMark/>
          </w:tcPr>
          <w:p w14:paraId="6C73460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1D524BB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792E945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6C0F777C" w14:textId="77777777" w:rsidTr="00DB6666">
        <w:trPr>
          <w:trHeight w:val="256"/>
        </w:trPr>
        <w:tc>
          <w:tcPr>
            <w:tcW w:w="1268" w:type="dxa"/>
            <w:tcBorders>
              <w:top w:val="nil"/>
              <w:left w:val="nil"/>
              <w:bottom w:val="nil"/>
              <w:right w:val="nil"/>
            </w:tcBorders>
            <w:shd w:val="clear" w:color="auto" w:fill="auto"/>
            <w:vAlign w:val="center"/>
            <w:hideMark/>
          </w:tcPr>
          <w:p w14:paraId="4F2D840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202F19D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49FF65BC"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Kenya</w:t>
            </w:r>
          </w:p>
        </w:tc>
        <w:tc>
          <w:tcPr>
            <w:tcW w:w="1077" w:type="dxa"/>
            <w:tcBorders>
              <w:top w:val="nil"/>
              <w:left w:val="nil"/>
              <w:bottom w:val="nil"/>
              <w:right w:val="nil"/>
            </w:tcBorders>
            <w:shd w:val="clear" w:color="auto" w:fill="auto"/>
            <w:vAlign w:val="center"/>
            <w:hideMark/>
          </w:tcPr>
          <w:p w14:paraId="65EEB73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11F76B4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5BDA983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2C5DFA46" w14:textId="77777777" w:rsidTr="00DB6666">
        <w:trPr>
          <w:trHeight w:val="256"/>
        </w:trPr>
        <w:tc>
          <w:tcPr>
            <w:tcW w:w="1268" w:type="dxa"/>
            <w:tcBorders>
              <w:top w:val="nil"/>
              <w:left w:val="nil"/>
              <w:bottom w:val="nil"/>
              <w:right w:val="nil"/>
            </w:tcBorders>
            <w:shd w:val="clear" w:color="auto" w:fill="auto"/>
            <w:vAlign w:val="center"/>
            <w:hideMark/>
          </w:tcPr>
          <w:p w14:paraId="2867BEA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2F09775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19331AD2"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Kirghizistan</w:t>
            </w:r>
          </w:p>
        </w:tc>
        <w:tc>
          <w:tcPr>
            <w:tcW w:w="1077" w:type="dxa"/>
            <w:tcBorders>
              <w:top w:val="nil"/>
              <w:left w:val="nil"/>
              <w:bottom w:val="nil"/>
              <w:right w:val="nil"/>
            </w:tcBorders>
            <w:shd w:val="clear" w:color="auto" w:fill="auto"/>
            <w:vAlign w:val="center"/>
            <w:hideMark/>
          </w:tcPr>
          <w:p w14:paraId="5898AD3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74395F3B"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5807553D"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2FBE586B" w14:textId="77777777" w:rsidTr="00DB6666">
        <w:trPr>
          <w:trHeight w:val="256"/>
        </w:trPr>
        <w:tc>
          <w:tcPr>
            <w:tcW w:w="1268" w:type="dxa"/>
            <w:tcBorders>
              <w:top w:val="nil"/>
              <w:left w:val="nil"/>
              <w:bottom w:val="nil"/>
              <w:right w:val="nil"/>
            </w:tcBorders>
            <w:shd w:val="clear" w:color="auto" w:fill="auto"/>
            <w:vAlign w:val="center"/>
            <w:hideMark/>
          </w:tcPr>
          <w:p w14:paraId="2C57259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264A341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07BCA069"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Lettonie</w:t>
            </w:r>
          </w:p>
        </w:tc>
        <w:tc>
          <w:tcPr>
            <w:tcW w:w="1077" w:type="dxa"/>
            <w:tcBorders>
              <w:top w:val="nil"/>
              <w:left w:val="nil"/>
              <w:bottom w:val="nil"/>
              <w:right w:val="nil"/>
            </w:tcBorders>
            <w:shd w:val="clear" w:color="auto" w:fill="auto"/>
            <w:vAlign w:val="center"/>
            <w:hideMark/>
          </w:tcPr>
          <w:p w14:paraId="6A62980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636E89F2"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22AF077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234310BE" w14:textId="77777777" w:rsidTr="00DB6666">
        <w:trPr>
          <w:trHeight w:val="256"/>
        </w:trPr>
        <w:tc>
          <w:tcPr>
            <w:tcW w:w="1268" w:type="dxa"/>
            <w:tcBorders>
              <w:top w:val="nil"/>
              <w:left w:val="nil"/>
              <w:bottom w:val="nil"/>
              <w:right w:val="nil"/>
            </w:tcBorders>
            <w:shd w:val="clear" w:color="auto" w:fill="auto"/>
            <w:vAlign w:val="center"/>
            <w:hideMark/>
          </w:tcPr>
          <w:p w14:paraId="3452C1D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65E2F4B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4ED35012"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Lituanie</w:t>
            </w:r>
          </w:p>
        </w:tc>
        <w:tc>
          <w:tcPr>
            <w:tcW w:w="1077" w:type="dxa"/>
            <w:tcBorders>
              <w:top w:val="nil"/>
              <w:left w:val="nil"/>
              <w:bottom w:val="nil"/>
              <w:right w:val="nil"/>
            </w:tcBorders>
            <w:shd w:val="clear" w:color="auto" w:fill="auto"/>
            <w:vAlign w:val="center"/>
            <w:hideMark/>
          </w:tcPr>
          <w:p w14:paraId="1BB3ADD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5720C8C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1FC3529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1512840E" w14:textId="77777777" w:rsidTr="00DB6666">
        <w:trPr>
          <w:trHeight w:val="256"/>
        </w:trPr>
        <w:tc>
          <w:tcPr>
            <w:tcW w:w="1268" w:type="dxa"/>
            <w:tcBorders>
              <w:top w:val="nil"/>
              <w:left w:val="nil"/>
              <w:bottom w:val="nil"/>
              <w:right w:val="nil"/>
            </w:tcBorders>
            <w:shd w:val="clear" w:color="auto" w:fill="auto"/>
            <w:vAlign w:val="center"/>
            <w:hideMark/>
          </w:tcPr>
          <w:p w14:paraId="5EE605DD"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397BDC02"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5FB401B5"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Macédoine du Nord</w:t>
            </w:r>
          </w:p>
        </w:tc>
        <w:tc>
          <w:tcPr>
            <w:tcW w:w="1077" w:type="dxa"/>
            <w:tcBorders>
              <w:top w:val="nil"/>
              <w:left w:val="nil"/>
              <w:bottom w:val="nil"/>
              <w:right w:val="nil"/>
            </w:tcBorders>
            <w:shd w:val="clear" w:color="auto" w:fill="auto"/>
            <w:vAlign w:val="center"/>
            <w:hideMark/>
          </w:tcPr>
          <w:p w14:paraId="17B2537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2F381C5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16A362D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7552AB2B" w14:textId="77777777" w:rsidTr="00DB6666">
        <w:trPr>
          <w:trHeight w:val="256"/>
        </w:trPr>
        <w:tc>
          <w:tcPr>
            <w:tcW w:w="1268" w:type="dxa"/>
            <w:tcBorders>
              <w:top w:val="nil"/>
              <w:left w:val="nil"/>
              <w:bottom w:val="nil"/>
              <w:right w:val="nil"/>
            </w:tcBorders>
            <w:shd w:val="clear" w:color="auto" w:fill="auto"/>
            <w:vAlign w:val="center"/>
            <w:hideMark/>
          </w:tcPr>
          <w:p w14:paraId="0260D34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5796C5A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4E29769B"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Maroc</w:t>
            </w:r>
          </w:p>
        </w:tc>
        <w:tc>
          <w:tcPr>
            <w:tcW w:w="1077" w:type="dxa"/>
            <w:tcBorders>
              <w:top w:val="nil"/>
              <w:left w:val="nil"/>
              <w:bottom w:val="nil"/>
              <w:right w:val="nil"/>
            </w:tcBorders>
            <w:shd w:val="clear" w:color="auto" w:fill="auto"/>
            <w:vAlign w:val="center"/>
            <w:hideMark/>
          </w:tcPr>
          <w:p w14:paraId="27B7E81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55503EC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02864D5D"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06E50B1F" w14:textId="77777777" w:rsidTr="00DB6666">
        <w:trPr>
          <w:trHeight w:val="256"/>
        </w:trPr>
        <w:tc>
          <w:tcPr>
            <w:tcW w:w="1268" w:type="dxa"/>
            <w:tcBorders>
              <w:top w:val="nil"/>
              <w:left w:val="nil"/>
              <w:bottom w:val="nil"/>
              <w:right w:val="nil"/>
            </w:tcBorders>
            <w:shd w:val="clear" w:color="auto" w:fill="auto"/>
            <w:vAlign w:val="center"/>
            <w:hideMark/>
          </w:tcPr>
          <w:p w14:paraId="7F7D8E4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40 231</w:t>
            </w:r>
          </w:p>
        </w:tc>
        <w:tc>
          <w:tcPr>
            <w:tcW w:w="1269" w:type="dxa"/>
            <w:tcBorders>
              <w:top w:val="nil"/>
              <w:left w:val="nil"/>
              <w:bottom w:val="nil"/>
              <w:right w:val="nil"/>
            </w:tcBorders>
            <w:shd w:val="clear" w:color="auto" w:fill="auto"/>
            <w:vAlign w:val="center"/>
            <w:hideMark/>
          </w:tcPr>
          <w:p w14:paraId="0EC81BBA"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40 231</w:t>
            </w:r>
          </w:p>
        </w:tc>
        <w:tc>
          <w:tcPr>
            <w:tcW w:w="3431" w:type="dxa"/>
            <w:tcBorders>
              <w:top w:val="nil"/>
              <w:left w:val="nil"/>
              <w:bottom w:val="nil"/>
              <w:right w:val="nil"/>
            </w:tcBorders>
            <w:shd w:val="clear" w:color="auto" w:fill="auto"/>
            <w:vAlign w:val="center"/>
            <w:hideMark/>
          </w:tcPr>
          <w:p w14:paraId="2DDC71A2"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Mexique</w:t>
            </w:r>
          </w:p>
        </w:tc>
        <w:tc>
          <w:tcPr>
            <w:tcW w:w="1077" w:type="dxa"/>
            <w:tcBorders>
              <w:top w:val="nil"/>
              <w:left w:val="nil"/>
              <w:bottom w:val="nil"/>
              <w:right w:val="nil"/>
            </w:tcBorders>
            <w:shd w:val="clear" w:color="auto" w:fill="auto"/>
            <w:vAlign w:val="center"/>
            <w:hideMark/>
          </w:tcPr>
          <w:p w14:paraId="7D001D2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0,75</w:t>
            </w:r>
          </w:p>
        </w:tc>
        <w:tc>
          <w:tcPr>
            <w:tcW w:w="1383" w:type="dxa"/>
            <w:tcBorders>
              <w:top w:val="nil"/>
              <w:left w:val="nil"/>
              <w:bottom w:val="nil"/>
              <w:right w:val="nil"/>
            </w:tcBorders>
            <w:shd w:val="clear" w:color="auto" w:fill="auto"/>
            <w:vAlign w:val="center"/>
            <w:hideMark/>
          </w:tcPr>
          <w:p w14:paraId="086A6D8F"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40 231</w:t>
            </w:r>
          </w:p>
        </w:tc>
        <w:tc>
          <w:tcPr>
            <w:tcW w:w="1353" w:type="dxa"/>
            <w:tcBorders>
              <w:top w:val="nil"/>
              <w:left w:val="nil"/>
              <w:bottom w:val="nil"/>
              <w:right w:val="nil"/>
            </w:tcBorders>
            <w:shd w:val="clear" w:color="auto" w:fill="auto"/>
            <w:vAlign w:val="center"/>
            <w:hideMark/>
          </w:tcPr>
          <w:p w14:paraId="75F9B01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40 231</w:t>
            </w:r>
          </w:p>
        </w:tc>
      </w:tr>
      <w:tr w:rsidR="007D29F8" w:rsidRPr="00E12BB9" w14:paraId="36361B07" w14:textId="77777777" w:rsidTr="00DB6666">
        <w:trPr>
          <w:trHeight w:val="256"/>
        </w:trPr>
        <w:tc>
          <w:tcPr>
            <w:tcW w:w="1268" w:type="dxa"/>
            <w:tcBorders>
              <w:top w:val="nil"/>
              <w:left w:val="nil"/>
              <w:bottom w:val="nil"/>
              <w:right w:val="nil"/>
            </w:tcBorders>
            <w:shd w:val="clear" w:color="auto" w:fill="auto"/>
            <w:vAlign w:val="center"/>
            <w:hideMark/>
          </w:tcPr>
          <w:p w14:paraId="1BE8508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3A66CBBF"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14A343C5"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Monténégro</w:t>
            </w:r>
          </w:p>
        </w:tc>
        <w:tc>
          <w:tcPr>
            <w:tcW w:w="1077" w:type="dxa"/>
            <w:tcBorders>
              <w:top w:val="nil"/>
              <w:left w:val="nil"/>
              <w:bottom w:val="nil"/>
              <w:right w:val="nil"/>
            </w:tcBorders>
            <w:shd w:val="clear" w:color="auto" w:fill="auto"/>
            <w:vAlign w:val="center"/>
            <w:hideMark/>
          </w:tcPr>
          <w:p w14:paraId="566B86D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76203792"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4D00E3F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7ABDD054" w14:textId="77777777" w:rsidTr="00DB6666">
        <w:trPr>
          <w:trHeight w:val="256"/>
        </w:trPr>
        <w:tc>
          <w:tcPr>
            <w:tcW w:w="1268" w:type="dxa"/>
            <w:tcBorders>
              <w:top w:val="nil"/>
              <w:left w:val="nil"/>
              <w:bottom w:val="nil"/>
              <w:right w:val="nil"/>
            </w:tcBorders>
            <w:shd w:val="clear" w:color="auto" w:fill="auto"/>
            <w:vAlign w:val="center"/>
            <w:hideMark/>
          </w:tcPr>
          <w:p w14:paraId="54B79A0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229D117B"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7EB456B9"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Nicaragua</w:t>
            </w:r>
          </w:p>
        </w:tc>
        <w:tc>
          <w:tcPr>
            <w:tcW w:w="1077" w:type="dxa"/>
            <w:tcBorders>
              <w:top w:val="nil"/>
              <w:left w:val="nil"/>
              <w:bottom w:val="nil"/>
              <w:right w:val="nil"/>
            </w:tcBorders>
            <w:shd w:val="clear" w:color="auto" w:fill="auto"/>
            <w:vAlign w:val="center"/>
            <w:hideMark/>
          </w:tcPr>
          <w:p w14:paraId="676FFC8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4E36C01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257453C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091EEB3F" w14:textId="77777777" w:rsidTr="00DB6666">
        <w:trPr>
          <w:trHeight w:val="256"/>
        </w:trPr>
        <w:tc>
          <w:tcPr>
            <w:tcW w:w="1268" w:type="dxa"/>
            <w:tcBorders>
              <w:top w:val="nil"/>
              <w:left w:val="nil"/>
              <w:bottom w:val="nil"/>
              <w:right w:val="nil"/>
            </w:tcBorders>
            <w:shd w:val="clear" w:color="auto" w:fill="auto"/>
            <w:vAlign w:val="center"/>
            <w:hideMark/>
          </w:tcPr>
          <w:p w14:paraId="5EEE0FB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1269" w:type="dxa"/>
            <w:tcBorders>
              <w:top w:val="nil"/>
              <w:left w:val="nil"/>
              <w:bottom w:val="nil"/>
              <w:right w:val="nil"/>
            </w:tcBorders>
            <w:shd w:val="clear" w:color="auto" w:fill="auto"/>
            <w:vAlign w:val="center"/>
            <w:hideMark/>
          </w:tcPr>
          <w:p w14:paraId="6DDDBA3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3431" w:type="dxa"/>
            <w:tcBorders>
              <w:top w:val="nil"/>
              <w:left w:val="nil"/>
              <w:bottom w:val="nil"/>
              <w:right w:val="nil"/>
            </w:tcBorders>
            <w:shd w:val="clear" w:color="auto" w:fill="auto"/>
            <w:vAlign w:val="center"/>
            <w:hideMark/>
          </w:tcPr>
          <w:p w14:paraId="6E3DCEE8"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Norvège</w:t>
            </w:r>
          </w:p>
        </w:tc>
        <w:tc>
          <w:tcPr>
            <w:tcW w:w="1077" w:type="dxa"/>
            <w:tcBorders>
              <w:top w:val="nil"/>
              <w:left w:val="nil"/>
              <w:bottom w:val="nil"/>
              <w:right w:val="nil"/>
            </w:tcBorders>
            <w:shd w:val="clear" w:color="auto" w:fill="auto"/>
            <w:vAlign w:val="center"/>
            <w:hideMark/>
          </w:tcPr>
          <w:p w14:paraId="54378F1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1,00</w:t>
            </w:r>
          </w:p>
        </w:tc>
        <w:tc>
          <w:tcPr>
            <w:tcW w:w="1383" w:type="dxa"/>
            <w:tcBorders>
              <w:top w:val="nil"/>
              <w:left w:val="nil"/>
              <w:bottom w:val="nil"/>
              <w:right w:val="nil"/>
            </w:tcBorders>
            <w:shd w:val="clear" w:color="auto" w:fill="auto"/>
            <w:vAlign w:val="center"/>
            <w:hideMark/>
          </w:tcPr>
          <w:p w14:paraId="72796C7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1353" w:type="dxa"/>
            <w:tcBorders>
              <w:top w:val="nil"/>
              <w:left w:val="nil"/>
              <w:bottom w:val="nil"/>
              <w:right w:val="nil"/>
            </w:tcBorders>
            <w:shd w:val="clear" w:color="auto" w:fill="auto"/>
            <w:vAlign w:val="center"/>
            <w:hideMark/>
          </w:tcPr>
          <w:p w14:paraId="374264B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r>
      <w:tr w:rsidR="007D29F8" w:rsidRPr="00E12BB9" w14:paraId="7AF6C58B" w14:textId="77777777" w:rsidTr="00DB6666">
        <w:trPr>
          <w:trHeight w:val="256"/>
        </w:trPr>
        <w:tc>
          <w:tcPr>
            <w:tcW w:w="1268" w:type="dxa"/>
            <w:tcBorders>
              <w:top w:val="nil"/>
              <w:left w:val="nil"/>
              <w:bottom w:val="nil"/>
              <w:right w:val="nil"/>
            </w:tcBorders>
            <w:shd w:val="clear" w:color="auto" w:fill="auto"/>
            <w:vAlign w:val="center"/>
            <w:hideMark/>
          </w:tcPr>
          <w:p w14:paraId="023381CB"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lastRenderedPageBreak/>
              <w:t>53 641</w:t>
            </w:r>
          </w:p>
        </w:tc>
        <w:tc>
          <w:tcPr>
            <w:tcW w:w="1269" w:type="dxa"/>
            <w:tcBorders>
              <w:top w:val="nil"/>
              <w:left w:val="nil"/>
              <w:bottom w:val="nil"/>
              <w:right w:val="nil"/>
            </w:tcBorders>
            <w:shd w:val="clear" w:color="auto" w:fill="auto"/>
            <w:vAlign w:val="center"/>
            <w:hideMark/>
          </w:tcPr>
          <w:p w14:paraId="0D06FB2D"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3431" w:type="dxa"/>
            <w:tcBorders>
              <w:top w:val="nil"/>
              <w:left w:val="nil"/>
              <w:bottom w:val="nil"/>
              <w:right w:val="nil"/>
            </w:tcBorders>
            <w:shd w:val="clear" w:color="auto" w:fill="auto"/>
            <w:vAlign w:val="center"/>
            <w:hideMark/>
          </w:tcPr>
          <w:p w14:paraId="5FDEAA31"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Nouvelle-Zélande</w:t>
            </w:r>
          </w:p>
        </w:tc>
        <w:tc>
          <w:tcPr>
            <w:tcW w:w="1077" w:type="dxa"/>
            <w:tcBorders>
              <w:top w:val="nil"/>
              <w:left w:val="nil"/>
              <w:bottom w:val="nil"/>
              <w:right w:val="nil"/>
            </w:tcBorders>
            <w:shd w:val="clear" w:color="auto" w:fill="auto"/>
            <w:vAlign w:val="center"/>
            <w:hideMark/>
          </w:tcPr>
          <w:p w14:paraId="7C33F72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1,00</w:t>
            </w:r>
          </w:p>
        </w:tc>
        <w:tc>
          <w:tcPr>
            <w:tcW w:w="1383" w:type="dxa"/>
            <w:tcBorders>
              <w:top w:val="nil"/>
              <w:left w:val="nil"/>
              <w:bottom w:val="nil"/>
              <w:right w:val="nil"/>
            </w:tcBorders>
            <w:shd w:val="clear" w:color="auto" w:fill="auto"/>
            <w:vAlign w:val="center"/>
            <w:hideMark/>
          </w:tcPr>
          <w:p w14:paraId="709D6A2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1353" w:type="dxa"/>
            <w:tcBorders>
              <w:top w:val="nil"/>
              <w:left w:val="nil"/>
              <w:bottom w:val="nil"/>
              <w:right w:val="nil"/>
            </w:tcBorders>
            <w:shd w:val="clear" w:color="auto" w:fill="auto"/>
            <w:vAlign w:val="center"/>
            <w:hideMark/>
          </w:tcPr>
          <w:p w14:paraId="61FE7C6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r>
      <w:tr w:rsidR="007D29F8" w:rsidRPr="00E12BB9" w14:paraId="1717F74F" w14:textId="77777777" w:rsidTr="00DB6666">
        <w:trPr>
          <w:trHeight w:val="256"/>
        </w:trPr>
        <w:tc>
          <w:tcPr>
            <w:tcW w:w="1268" w:type="dxa"/>
            <w:tcBorders>
              <w:top w:val="nil"/>
              <w:left w:val="nil"/>
              <w:bottom w:val="nil"/>
              <w:right w:val="nil"/>
            </w:tcBorders>
            <w:shd w:val="clear" w:color="auto" w:fill="auto"/>
            <w:vAlign w:val="center"/>
            <w:hideMark/>
          </w:tcPr>
          <w:p w14:paraId="68054EB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1269" w:type="dxa"/>
            <w:tcBorders>
              <w:top w:val="nil"/>
              <w:left w:val="nil"/>
              <w:bottom w:val="nil"/>
              <w:right w:val="nil"/>
            </w:tcBorders>
            <w:shd w:val="clear" w:color="auto" w:fill="auto"/>
            <w:vAlign w:val="center"/>
            <w:hideMark/>
          </w:tcPr>
          <w:p w14:paraId="2EA8DD6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3431" w:type="dxa"/>
            <w:tcBorders>
              <w:top w:val="nil"/>
              <w:left w:val="nil"/>
              <w:bottom w:val="nil"/>
              <w:right w:val="nil"/>
            </w:tcBorders>
            <w:shd w:val="clear" w:color="auto" w:fill="auto"/>
            <w:vAlign w:val="center"/>
            <w:hideMark/>
          </w:tcPr>
          <w:p w14:paraId="1F4290FC"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Oman</w:t>
            </w:r>
          </w:p>
        </w:tc>
        <w:tc>
          <w:tcPr>
            <w:tcW w:w="1077" w:type="dxa"/>
            <w:tcBorders>
              <w:top w:val="nil"/>
              <w:left w:val="nil"/>
              <w:bottom w:val="nil"/>
              <w:right w:val="nil"/>
            </w:tcBorders>
            <w:shd w:val="clear" w:color="auto" w:fill="auto"/>
            <w:vAlign w:val="center"/>
            <w:hideMark/>
          </w:tcPr>
          <w:p w14:paraId="57C0E1D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1,00</w:t>
            </w:r>
          </w:p>
        </w:tc>
        <w:tc>
          <w:tcPr>
            <w:tcW w:w="1383" w:type="dxa"/>
            <w:tcBorders>
              <w:top w:val="nil"/>
              <w:left w:val="nil"/>
              <w:bottom w:val="nil"/>
              <w:right w:val="nil"/>
            </w:tcBorders>
            <w:shd w:val="clear" w:color="auto" w:fill="auto"/>
            <w:vAlign w:val="center"/>
            <w:hideMark/>
          </w:tcPr>
          <w:p w14:paraId="1DA5148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c>
          <w:tcPr>
            <w:tcW w:w="1353" w:type="dxa"/>
            <w:tcBorders>
              <w:top w:val="nil"/>
              <w:left w:val="nil"/>
              <w:bottom w:val="nil"/>
              <w:right w:val="nil"/>
            </w:tcBorders>
            <w:shd w:val="clear" w:color="auto" w:fill="auto"/>
            <w:vAlign w:val="center"/>
            <w:hideMark/>
          </w:tcPr>
          <w:p w14:paraId="6112537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53 641</w:t>
            </w:r>
          </w:p>
        </w:tc>
      </w:tr>
      <w:tr w:rsidR="007D29F8" w:rsidRPr="00E12BB9" w14:paraId="1F00F65F" w14:textId="77777777" w:rsidTr="00DB6666">
        <w:trPr>
          <w:trHeight w:val="256"/>
        </w:trPr>
        <w:tc>
          <w:tcPr>
            <w:tcW w:w="1268" w:type="dxa"/>
            <w:tcBorders>
              <w:top w:val="nil"/>
              <w:left w:val="nil"/>
              <w:bottom w:val="nil"/>
              <w:right w:val="nil"/>
            </w:tcBorders>
            <w:shd w:val="clear" w:color="auto" w:fill="auto"/>
            <w:hideMark/>
          </w:tcPr>
          <w:p w14:paraId="0D7762B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14:paraId="38122E1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2C7E0F21"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Organisation africaine de la propriété intellectuelle (OAPI)</w:t>
            </w:r>
          </w:p>
        </w:tc>
        <w:tc>
          <w:tcPr>
            <w:tcW w:w="1077" w:type="dxa"/>
            <w:tcBorders>
              <w:top w:val="nil"/>
              <w:left w:val="nil"/>
              <w:bottom w:val="nil"/>
              <w:right w:val="nil"/>
            </w:tcBorders>
            <w:shd w:val="clear" w:color="auto" w:fill="auto"/>
            <w:hideMark/>
          </w:tcPr>
          <w:p w14:paraId="7B172D5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hideMark/>
          </w:tcPr>
          <w:p w14:paraId="43345AD2"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hideMark/>
          </w:tcPr>
          <w:p w14:paraId="4A8D04E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6037F06C" w14:textId="77777777" w:rsidTr="00DB6666">
        <w:trPr>
          <w:trHeight w:val="256"/>
        </w:trPr>
        <w:tc>
          <w:tcPr>
            <w:tcW w:w="1268" w:type="dxa"/>
            <w:tcBorders>
              <w:top w:val="nil"/>
              <w:left w:val="nil"/>
              <w:bottom w:val="nil"/>
              <w:right w:val="nil"/>
            </w:tcBorders>
            <w:shd w:val="clear" w:color="auto" w:fill="auto"/>
            <w:vAlign w:val="center"/>
            <w:hideMark/>
          </w:tcPr>
          <w:p w14:paraId="02F84AB2"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0A563A4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29065E55"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Ouzbékistan</w:t>
            </w:r>
          </w:p>
        </w:tc>
        <w:tc>
          <w:tcPr>
            <w:tcW w:w="1077" w:type="dxa"/>
            <w:tcBorders>
              <w:top w:val="nil"/>
              <w:left w:val="nil"/>
              <w:bottom w:val="nil"/>
              <w:right w:val="nil"/>
            </w:tcBorders>
            <w:shd w:val="clear" w:color="auto" w:fill="auto"/>
            <w:vAlign w:val="center"/>
            <w:hideMark/>
          </w:tcPr>
          <w:p w14:paraId="745DB79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4A59DD5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748CFFA2"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30F7FCE4" w14:textId="77777777" w:rsidTr="00DB6666">
        <w:trPr>
          <w:trHeight w:val="256"/>
        </w:trPr>
        <w:tc>
          <w:tcPr>
            <w:tcW w:w="1268" w:type="dxa"/>
            <w:tcBorders>
              <w:top w:val="nil"/>
              <w:left w:val="nil"/>
              <w:bottom w:val="nil"/>
              <w:right w:val="nil"/>
            </w:tcBorders>
            <w:shd w:val="clear" w:color="auto" w:fill="auto"/>
            <w:vAlign w:val="center"/>
            <w:hideMark/>
          </w:tcPr>
          <w:p w14:paraId="5D0F41C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2D5AD09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10005F1D"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Panama</w:t>
            </w:r>
          </w:p>
        </w:tc>
        <w:tc>
          <w:tcPr>
            <w:tcW w:w="1077" w:type="dxa"/>
            <w:tcBorders>
              <w:top w:val="nil"/>
              <w:left w:val="nil"/>
              <w:bottom w:val="nil"/>
              <w:right w:val="nil"/>
            </w:tcBorders>
            <w:shd w:val="clear" w:color="auto" w:fill="auto"/>
            <w:vAlign w:val="center"/>
            <w:hideMark/>
          </w:tcPr>
          <w:p w14:paraId="794D887D"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2E7A230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1E9E10D2"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027A0C60" w14:textId="77777777" w:rsidTr="00DB6666">
        <w:trPr>
          <w:trHeight w:val="256"/>
        </w:trPr>
        <w:tc>
          <w:tcPr>
            <w:tcW w:w="1268" w:type="dxa"/>
            <w:tcBorders>
              <w:top w:val="nil"/>
              <w:left w:val="nil"/>
              <w:bottom w:val="nil"/>
              <w:right w:val="nil"/>
            </w:tcBorders>
            <w:shd w:val="clear" w:color="auto" w:fill="auto"/>
            <w:vAlign w:val="center"/>
            <w:hideMark/>
          </w:tcPr>
          <w:p w14:paraId="34AD7DF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7EC5221F"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6BBAF978"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Paraguay</w:t>
            </w:r>
          </w:p>
        </w:tc>
        <w:tc>
          <w:tcPr>
            <w:tcW w:w="1077" w:type="dxa"/>
            <w:tcBorders>
              <w:top w:val="nil"/>
              <w:left w:val="nil"/>
              <w:bottom w:val="nil"/>
              <w:right w:val="nil"/>
            </w:tcBorders>
            <w:shd w:val="clear" w:color="auto" w:fill="auto"/>
            <w:vAlign w:val="center"/>
            <w:hideMark/>
          </w:tcPr>
          <w:p w14:paraId="7F015452"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710CC4FF"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11EE6A8B"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6CAB09DA" w14:textId="77777777" w:rsidTr="00DB6666">
        <w:trPr>
          <w:trHeight w:val="256"/>
        </w:trPr>
        <w:tc>
          <w:tcPr>
            <w:tcW w:w="1268" w:type="dxa"/>
            <w:tcBorders>
              <w:top w:val="nil"/>
              <w:left w:val="nil"/>
              <w:bottom w:val="nil"/>
              <w:right w:val="nil"/>
            </w:tcBorders>
            <w:shd w:val="clear" w:color="auto" w:fill="auto"/>
            <w:vAlign w:val="center"/>
            <w:hideMark/>
          </w:tcPr>
          <w:p w14:paraId="1F3962F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160 923</w:t>
            </w:r>
          </w:p>
        </w:tc>
        <w:tc>
          <w:tcPr>
            <w:tcW w:w="1269" w:type="dxa"/>
            <w:tcBorders>
              <w:top w:val="nil"/>
              <w:left w:val="nil"/>
              <w:bottom w:val="nil"/>
              <w:right w:val="nil"/>
            </w:tcBorders>
            <w:shd w:val="clear" w:color="auto" w:fill="auto"/>
            <w:vAlign w:val="center"/>
            <w:hideMark/>
          </w:tcPr>
          <w:p w14:paraId="779772E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160 923</w:t>
            </w:r>
          </w:p>
        </w:tc>
        <w:tc>
          <w:tcPr>
            <w:tcW w:w="3431" w:type="dxa"/>
            <w:tcBorders>
              <w:top w:val="nil"/>
              <w:left w:val="nil"/>
              <w:bottom w:val="nil"/>
              <w:right w:val="nil"/>
            </w:tcBorders>
            <w:shd w:val="clear" w:color="auto" w:fill="auto"/>
            <w:vAlign w:val="center"/>
            <w:hideMark/>
          </w:tcPr>
          <w:p w14:paraId="081F12F5"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Pays-Bas</w:t>
            </w:r>
          </w:p>
        </w:tc>
        <w:tc>
          <w:tcPr>
            <w:tcW w:w="1077" w:type="dxa"/>
            <w:tcBorders>
              <w:top w:val="nil"/>
              <w:left w:val="nil"/>
              <w:bottom w:val="nil"/>
              <w:right w:val="nil"/>
            </w:tcBorders>
            <w:shd w:val="clear" w:color="auto" w:fill="auto"/>
            <w:vAlign w:val="center"/>
            <w:hideMark/>
          </w:tcPr>
          <w:p w14:paraId="2B27062A"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3,00</w:t>
            </w:r>
          </w:p>
        </w:tc>
        <w:tc>
          <w:tcPr>
            <w:tcW w:w="1383" w:type="dxa"/>
            <w:tcBorders>
              <w:top w:val="nil"/>
              <w:left w:val="nil"/>
              <w:bottom w:val="nil"/>
              <w:right w:val="nil"/>
            </w:tcBorders>
            <w:shd w:val="clear" w:color="auto" w:fill="auto"/>
            <w:vAlign w:val="center"/>
            <w:hideMark/>
          </w:tcPr>
          <w:p w14:paraId="132445D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160 923</w:t>
            </w:r>
          </w:p>
        </w:tc>
        <w:tc>
          <w:tcPr>
            <w:tcW w:w="1353" w:type="dxa"/>
            <w:tcBorders>
              <w:top w:val="nil"/>
              <w:left w:val="nil"/>
              <w:bottom w:val="nil"/>
              <w:right w:val="nil"/>
            </w:tcBorders>
            <w:shd w:val="clear" w:color="auto" w:fill="auto"/>
            <w:vAlign w:val="center"/>
            <w:hideMark/>
          </w:tcPr>
          <w:p w14:paraId="7197EEA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160 923</w:t>
            </w:r>
          </w:p>
        </w:tc>
      </w:tr>
      <w:tr w:rsidR="007D29F8" w:rsidRPr="00E12BB9" w14:paraId="121659E2" w14:textId="77777777" w:rsidTr="00DB6666">
        <w:trPr>
          <w:trHeight w:val="256"/>
        </w:trPr>
        <w:tc>
          <w:tcPr>
            <w:tcW w:w="1268" w:type="dxa"/>
            <w:tcBorders>
              <w:top w:val="nil"/>
              <w:left w:val="nil"/>
              <w:bottom w:val="nil"/>
              <w:right w:val="nil"/>
            </w:tcBorders>
            <w:shd w:val="clear" w:color="auto" w:fill="auto"/>
            <w:vAlign w:val="center"/>
            <w:hideMark/>
          </w:tcPr>
          <w:p w14:paraId="78A5EF32"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10D64CE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084FDCA9"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Pérou</w:t>
            </w:r>
          </w:p>
        </w:tc>
        <w:tc>
          <w:tcPr>
            <w:tcW w:w="1077" w:type="dxa"/>
            <w:tcBorders>
              <w:top w:val="nil"/>
              <w:left w:val="nil"/>
              <w:bottom w:val="nil"/>
              <w:right w:val="nil"/>
            </w:tcBorders>
            <w:shd w:val="clear" w:color="auto" w:fill="auto"/>
            <w:vAlign w:val="center"/>
            <w:hideMark/>
          </w:tcPr>
          <w:p w14:paraId="7AD0E41B"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3ACBE02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3A63649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69D4A80F" w14:textId="77777777" w:rsidTr="00DB6666">
        <w:trPr>
          <w:trHeight w:val="256"/>
        </w:trPr>
        <w:tc>
          <w:tcPr>
            <w:tcW w:w="1268" w:type="dxa"/>
            <w:tcBorders>
              <w:top w:val="nil"/>
              <w:left w:val="nil"/>
              <w:bottom w:val="nil"/>
              <w:right w:val="nil"/>
            </w:tcBorders>
            <w:shd w:val="clear" w:color="auto" w:fill="auto"/>
            <w:vAlign w:val="center"/>
            <w:hideMark/>
          </w:tcPr>
          <w:p w14:paraId="7E82FDF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1269" w:type="dxa"/>
            <w:tcBorders>
              <w:top w:val="nil"/>
              <w:left w:val="nil"/>
              <w:bottom w:val="nil"/>
              <w:right w:val="nil"/>
            </w:tcBorders>
            <w:shd w:val="clear" w:color="auto" w:fill="auto"/>
            <w:vAlign w:val="center"/>
            <w:hideMark/>
          </w:tcPr>
          <w:p w14:paraId="0255651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3431" w:type="dxa"/>
            <w:tcBorders>
              <w:top w:val="nil"/>
              <w:left w:val="nil"/>
              <w:bottom w:val="nil"/>
              <w:right w:val="nil"/>
            </w:tcBorders>
            <w:shd w:val="clear" w:color="auto" w:fill="auto"/>
            <w:vAlign w:val="center"/>
            <w:hideMark/>
          </w:tcPr>
          <w:p w14:paraId="2113E91E"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Pologne</w:t>
            </w:r>
          </w:p>
        </w:tc>
        <w:tc>
          <w:tcPr>
            <w:tcW w:w="1077" w:type="dxa"/>
            <w:tcBorders>
              <w:top w:val="nil"/>
              <w:left w:val="nil"/>
              <w:bottom w:val="nil"/>
              <w:right w:val="nil"/>
            </w:tcBorders>
            <w:shd w:val="clear" w:color="auto" w:fill="auto"/>
            <w:vAlign w:val="center"/>
            <w:hideMark/>
          </w:tcPr>
          <w:p w14:paraId="13E2DB8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0,50</w:t>
            </w:r>
          </w:p>
        </w:tc>
        <w:tc>
          <w:tcPr>
            <w:tcW w:w="1383" w:type="dxa"/>
            <w:tcBorders>
              <w:top w:val="nil"/>
              <w:left w:val="nil"/>
              <w:bottom w:val="nil"/>
              <w:right w:val="nil"/>
            </w:tcBorders>
            <w:shd w:val="clear" w:color="auto" w:fill="auto"/>
            <w:vAlign w:val="center"/>
            <w:hideMark/>
          </w:tcPr>
          <w:p w14:paraId="010B7F7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1353" w:type="dxa"/>
            <w:tcBorders>
              <w:top w:val="nil"/>
              <w:left w:val="nil"/>
              <w:bottom w:val="nil"/>
              <w:right w:val="nil"/>
            </w:tcBorders>
            <w:shd w:val="clear" w:color="auto" w:fill="auto"/>
            <w:vAlign w:val="center"/>
            <w:hideMark/>
          </w:tcPr>
          <w:p w14:paraId="3124BF8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r>
      <w:tr w:rsidR="007D29F8" w:rsidRPr="00E12BB9" w14:paraId="35E06FAA" w14:textId="77777777" w:rsidTr="00DB6666">
        <w:trPr>
          <w:trHeight w:val="256"/>
        </w:trPr>
        <w:tc>
          <w:tcPr>
            <w:tcW w:w="1268" w:type="dxa"/>
            <w:tcBorders>
              <w:top w:val="nil"/>
              <w:left w:val="nil"/>
              <w:bottom w:val="nil"/>
              <w:right w:val="nil"/>
            </w:tcBorders>
            <w:shd w:val="clear" w:color="auto" w:fill="auto"/>
            <w:vAlign w:val="center"/>
            <w:hideMark/>
          </w:tcPr>
          <w:p w14:paraId="1E40431F"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225BBB3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3429838C"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Portugal</w:t>
            </w:r>
          </w:p>
        </w:tc>
        <w:tc>
          <w:tcPr>
            <w:tcW w:w="1077" w:type="dxa"/>
            <w:tcBorders>
              <w:top w:val="nil"/>
              <w:left w:val="nil"/>
              <w:bottom w:val="nil"/>
              <w:right w:val="nil"/>
            </w:tcBorders>
            <w:shd w:val="clear" w:color="auto" w:fill="auto"/>
            <w:vAlign w:val="center"/>
            <w:hideMark/>
          </w:tcPr>
          <w:p w14:paraId="37A85A8A"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50A6415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15248A7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5D7F534F" w14:textId="77777777" w:rsidTr="00DB6666">
        <w:trPr>
          <w:trHeight w:val="256"/>
        </w:trPr>
        <w:tc>
          <w:tcPr>
            <w:tcW w:w="1268" w:type="dxa"/>
            <w:tcBorders>
              <w:top w:val="nil"/>
              <w:left w:val="nil"/>
              <w:bottom w:val="nil"/>
              <w:right w:val="nil"/>
            </w:tcBorders>
            <w:shd w:val="clear" w:color="auto" w:fill="auto"/>
            <w:vAlign w:val="center"/>
            <w:hideMark/>
          </w:tcPr>
          <w:p w14:paraId="7E28995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80 462</w:t>
            </w:r>
          </w:p>
        </w:tc>
        <w:tc>
          <w:tcPr>
            <w:tcW w:w="1269" w:type="dxa"/>
            <w:tcBorders>
              <w:top w:val="nil"/>
              <w:left w:val="nil"/>
              <w:bottom w:val="nil"/>
              <w:right w:val="nil"/>
            </w:tcBorders>
            <w:shd w:val="clear" w:color="auto" w:fill="auto"/>
            <w:vAlign w:val="center"/>
            <w:hideMark/>
          </w:tcPr>
          <w:p w14:paraId="768F442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80 462</w:t>
            </w:r>
          </w:p>
        </w:tc>
        <w:tc>
          <w:tcPr>
            <w:tcW w:w="3431" w:type="dxa"/>
            <w:tcBorders>
              <w:top w:val="nil"/>
              <w:left w:val="nil"/>
              <w:bottom w:val="nil"/>
              <w:right w:val="nil"/>
            </w:tcBorders>
            <w:shd w:val="clear" w:color="auto" w:fill="auto"/>
            <w:vAlign w:val="center"/>
            <w:hideMark/>
          </w:tcPr>
          <w:p w14:paraId="7136196D"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République de Corée</w:t>
            </w:r>
          </w:p>
        </w:tc>
        <w:tc>
          <w:tcPr>
            <w:tcW w:w="1077" w:type="dxa"/>
            <w:tcBorders>
              <w:top w:val="nil"/>
              <w:left w:val="nil"/>
              <w:bottom w:val="nil"/>
              <w:right w:val="nil"/>
            </w:tcBorders>
            <w:shd w:val="clear" w:color="auto" w:fill="auto"/>
            <w:vAlign w:val="center"/>
            <w:hideMark/>
          </w:tcPr>
          <w:p w14:paraId="437A70A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1,50</w:t>
            </w:r>
          </w:p>
        </w:tc>
        <w:tc>
          <w:tcPr>
            <w:tcW w:w="1383" w:type="dxa"/>
            <w:tcBorders>
              <w:top w:val="nil"/>
              <w:left w:val="nil"/>
              <w:bottom w:val="nil"/>
              <w:right w:val="nil"/>
            </w:tcBorders>
            <w:shd w:val="clear" w:color="auto" w:fill="auto"/>
            <w:vAlign w:val="center"/>
            <w:hideMark/>
          </w:tcPr>
          <w:p w14:paraId="4B404222"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80 462</w:t>
            </w:r>
          </w:p>
        </w:tc>
        <w:tc>
          <w:tcPr>
            <w:tcW w:w="1353" w:type="dxa"/>
            <w:tcBorders>
              <w:top w:val="nil"/>
              <w:left w:val="nil"/>
              <w:bottom w:val="nil"/>
              <w:right w:val="nil"/>
            </w:tcBorders>
            <w:shd w:val="clear" w:color="auto" w:fill="auto"/>
            <w:vAlign w:val="center"/>
            <w:hideMark/>
          </w:tcPr>
          <w:p w14:paraId="7B35E42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80 462</w:t>
            </w:r>
          </w:p>
        </w:tc>
      </w:tr>
      <w:tr w:rsidR="007D29F8" w:rsidRPr="00E12BB9" w14:paraId="531559F8" w14:textId="77777777" w:rsidTr="00DB6666">
        <w:trPr>
          <w:trHeight w:val="256"/>
        </w:trPr>
        <w:tc>
          <w:tcPr>
            <w:tcW w:w="1268" w:type="dxa"/>
            <w:tcBorders>
              <w:top w:val="nil"/>
              <w:left w:val="nil"/>
              <w:bottom w:val="nil"/>
              <w:right w:val="nil"/>
            </w:tcBorders>
            <w:shd w:val="clear" w:color="auto" w:fill="auto"/>
            <w:vAlign w:val="center"/>
            <w:hideMark/>
          </w:tcPr>
          <w:p w14:paraId="78ABEA1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76417ABB"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490E3F42"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République de Moldova</w:t>
            </w:r>
          </w:p>
        </w:tc>
        <w:tc>
          <w:tcPr>
            <w:tcW w:w="1077" w:type="dxa"/>
            <w:tcBorders>
              <w:top w:val="nil"/>
              <w:left w:val="nil"/>
              <w:bottom w:val="nil"/>
              <w:right w:val="nil"/>
            </w:tcBorders>
            <w:shd w:val="clear" w:color="auto" w:fill="auto"/>
            <w:vAlign w:val="center"/>
            <w:hideMark/>
          </w:tcPr>
          <w:p w14:paraId="429DB36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36F8238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6877B2DB"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39088BD2" w14:textId="77777777" w:rsidTr="00DB6666">
        <w:trPr>
          <w:trHeight w:val="256"/>
        </w:trPr>
        <w:tc>
          <w:tcPr>
            <w:tcW w:w="1268" w:type="dxa"/>
            <w:tcBorders>
              <w:top w:val="nil"/>
              <w:left w:val="nil"/>
              <w:bottom w:val="nil"/>
              <w:right w:val="nil"/>
            </w:tcBorders>
            <w:shd w:val="clear" w:color="auto" w:fill="auto"/>
            <w:vAlign w:val="center"/>
            <w:hideMark/>
          </w:tcPr>
          <w:p w14:paraId="752953D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4D82234A"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1490B31D"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République dominicaine</w:t>
            </w:r>
          </w:p>
        </w:tc>
        <w:tc>
          <w:tcPr>
            <w:tcW w:w="1077" w:type="dxa"/>
            <w:tcBorders>
              <w:top w:val="nil"/>
              <w:left w:val="nil"/>
              <w:bottom w:val="nil"/>
              <w:right w:val="nil"/>
            </w:tcBorders>
            <w:shd w:val="clear" w:color="auto" w:fill="auto"/>
            <w:vAlign w:val="center"/>
            <w:hideMark/>
          </w:tcPr>
          <w:p w14:paraId="0E34223A"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0111B18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1ED3A90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4B489A92" w14:textId="77777777" w:rsidTr="00DB6666">
        <w:trPr>
          <w:trHeight w:val="256"/>
        </w:trPr>
        <w:tc>
          <w:tcPr>
            <w:tcW w:w="1268" w:type="dxa"/>
            <w:tcBorders>
              <w:top w:val="nil"/>
              <w:left w:val="nil"/>
              <w:bottom w:val="nil"/>
              <w:right w:val="nil"/>
            </w:tcBorders>
            <w:shd w:val="clear" w:color="auto" w:fill="auto"/>
            <w:vAlign w:val="center"/>
            <w:hideMark/>
          </w:tcPr>
          <w:p w14:paraId="17E8DC8F"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1269" w:type="dxa"/>
            <w:tcBorders>
              <w:top w:val="nil"/>
              <w:left w:val="nil"/>
              <w:bottom w:val="nil"/>
              <w:right w:val="nil"/>
            </w:tcBorders>
            <w:shd w:val="clear" w:color="auto" w:fill="auto"/>
            <w:vAlign w:val="center"/>
            <w:hideMark/>
          </w:tcPr>
          <w:p w14:paraId="5B620CE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3431" w:type="dxa"/>
            <w:tcBorders>
              <w:top w:val="nil"/>
              <w:left w:val="nil"/>
              <w:bottom w:val="nil"/>
              <w:right w:val="nil"/>
            </w:tcBorders>
            <w:shd w:val="clear" w:color="auto" w:fill="auto"/>
            <w:vAlign w:val="center"/>
            <w:hideMark/>
          </w:tcPr>
          <w:p w14:paraId="5B95C12C"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République tchèque</w:t>
            </w:r>
          </w:p>
        </w:tc>
        <w:tc>
          <w:tcPr>
            <w:tcW w:w="1077" w:type="dxa"/>
            <w:tcBorders>
              <w:top w:val="nil"/>
              <w:left w:val="nil"/>
              <w:bottom w:val="nil"/>
              <w:right w:val="nil"/>
            </w:tcBorders>
            <w:shd w:val="clear" w:color="auto" w:fill="auto"/>
            <w:vAlign w:val="center"/>
            <w:hideMark/>
          </w:tcPr>
          <w:p w14:paraId="1B20AB3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0,50</w:t>
            </w:r>
          </w:p>
        </w:tc>
        <w:tc>
          <w:tcPr>
            <w:tcW w:w="1383" w:type="dxa"/>
            <w:tcBorders>
              <w:top w:val="nil"/>
              <w:left w:val="nil"/>
              <w:bottom w:val="nil"/>
              <w:right w:val="nil"/>
            </w:tcBorders>
            <w:shd w:val="clear" w:color="auto" w:fill="auto"/>
            <w:vAlign w:val="center"/>
            <w:hideMark/>
          </w:tcPr>
          <w:p w14:paraId="4F55754F"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1353" w:type="dxa"/>
            <w:tcBorders>
              <w:top w:val="nil"/>
              <w:left w:val="nil"/>
              <w:bottom w:val="nil"/>
              <w:right w:val="nil"/>
            </w:tcBorders>
            <w:shd w:val="clear" w:color="auto" w:fill="auto"/>
            <w:vAlign w:val="center"/>
            <w:hideMark/>
          </w:tcPr>
          <w:p w14:paraId="1C823C1B"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r>
      <w:tr w:rsidR="007D29F8" w:rsidRPr="00E12BB9" w14:paraId="0FE2AD74" w14:textId="77777777" w:rsidTr="00DB6666">
        <w:trPr>
          <w:trHeight w:val="256"/>
        </w:trPr>
        <w:tc>
          <w:tcPr>
            <w:tcW w:w="1268" w:type="dxa"/>
            <w:tcBorders>
              <w:top w:val="nil"/>
              <w:left w:val="nil"/>
              <w:bottom w:val="nil"/>
              <w:right w:val="nil"/>
            </w:tcBorders>
            <w:shd w:val="clear" w:color="auto" w:fill="auto"/>
            <w:vAlign w:val="center"/>
            <w:hideMark/>
          </w:tcPr>
          <w:p w14:paraId="3B5EA6CF"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39322FE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5563E564"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République-Unie de Tanzanie</w:t>
            </w:r>
          </w:p>
        </w:tc>
        <w:tc>
          <w:tcPr>
            <w:tcW w:w="1077" w:type="dxa"/>
            <w:tcBorders>
              <w:top w:val="nil"/>
              <w:left w:val="nil"/>
              <w:bottom w:val="nil"/>
              <w:right w:val="nil"/>
            </w:tcBorders>
            <w:shd w:val="clear" w:color="auto" w:fill="auto"/>
            <w:vAlign w:val="center"/>
            <w:hideMark/>
          </w:tcPr>
          <w:p w14:paraId="7464039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3BE9D48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148A120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621927C6" w14:textId="77777777" w:rsidTr="00DB6666">
        <w:trPr>
          <w:trHeight w:val="256"/>
        </w:trPr>
        <w:tc>
          <w:tcPr>
            <w:tcW w:w="1268" w:type="dxa"/>
            <w:tcBorders>
              <w:top w:val="nil"/>
              <w:left w:val="nil"/>
              <w:bottom w:val="nil"/>
              <w:right w:val="nil"/>
            </w:tcBorders>
            <w:shd w:val="clear" w:color="auto" w:fill="auto"/>
            <w:vAlign w:val="center"/>
            <w:hideMark/>
          </w:tcPr>
          <w:p w14:paraId="0624E7E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50E040B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461F52C5"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Roumanie</w:t>
            </w:r>
          </w:p>
        </w:tc>
        <w:tc>
          <w:tcPr>
            <w:tcW w:w="1077" w:type="dxa"/>
            <w:tcBorders>
              <w:top w:val="nil"/>
              <w:left w:val="nil"/>
              <w:bottom w:val="nil"/>
              <w:right w:val="nil"/>
            </w:tcBorders>
            <w:shd w:val="clear" w:color="auto" w:fill="auto"/>
            <w:vAlign w:val="center"/>
            <w:hideMark/>
          </w:tcPr>
          <w:p w14:paraId="3AB7227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1EB0F87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06395FB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0816D092" w14:textId="77777777" w:rsidTr="00DB6666">
        <w:trPr>
          <w:trHeight w:val="256"/>
        </w:trPr>
        <w:tc>
          <w:tcPr>
            <w:tcW w:w="1268" w:type="dxa"/>
            <w:tcBorders>
              <w:top w:val="nil"/>
              <w:left w:val="nil"/>
              <w:bottom w:val="nil"/>
              <w:right w:val="nil"/>
            </w:tcBorders>
            <w:shd w:val="clear" w:color="auto" w:fill="auto"/>
            <w:vAlign w:val="center"/>
            <w:hideMark/>
          </w:tcPr>
          <w:p w14:paraId="7A17B74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107 282</w:t>
            </w:r>
          </w:p>
        </w:tc>
        <w:tc>
          <w:tcPr>
            <w:tcW w:w="1269" w:type="dxa"/>
            <w:tcBorders>
              <w:top w:val="nil"/>
              <w:left w:val="nil"/>
              <w:bottom w:val="nil"/>
              <w:right w:val="nil"/>
            </w:tcBorders>
            <w:shd w:val="clear" w:color="auto" w:fill="auto"/>
            <w:vAlign w:val="center"/>
            <w:hideMark/>
          </w:tcPr>
          <w:p w14:paraId="7ADF5BF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107 282</w:t>
            </w:r>
          </w:p>
        </w:tc>
        <w:tc>
          <w:tcPr>
            <w:tcW w:w="3431" w:type="dxa"/>
            <w:tcBorders>
              <w:top w:val="nil"/>
              <w:left w:val="nil"/>
              <w:bottom w:val="nil"/>
              <w:right w:val="nil"/>
            </w:tcBorders>
            <w:shd w:val="clear" w:color="auto" w:fill="auto"/>
            <w:vAlign w:val="center"/>
            <w:hideMark/>
          </w:tcPr>
          <w:p w14:paraId="65D8C51C"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Royaume-Uni</w:t>
            </w:r>
          </w:p>
        </w:tc>
        <w:tc>
          <w:tcPr>
            <w:tcW w:w="1077" w:type="dxa"/>
            <w:tcBorders>
              <w:top w:val="nil"/>
              <w:left w:val="nil"/>
              <w:bottom w:val="nil"/>
              <w:right w:val="nil"/>
            </w:tcBorders>
            <w:shd w:val="clear" w:color="auto" w:fill="auto"/>
            <w:vAlign w:val="center"/>
            <w:hideMark/>
          </w:tcPr>
          <w:p w14:paraId="480EB90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2,00</w:t>
            </w:r>
          </w:p>
        </w:tc>
        <w:tc>
          <w:tcPr>
            <w:tcW w:w="1383" w:type="dxa"/>
            <w:tcBorders>
              <w:top w:val="nil"/>
              <w:left w:val="nil"/>
              <w:bottom w:val="nil"/>
              <w:right w:val="nil"/>
            </w:tcBorders>
            <w:shd w:val="clear" w:color="auto" w:fill="auto"/>
            <w:vAlign w:val="center"/>
            <w:hideMark/>
          </w:tcPr>
          <w:p w14:paraId="77DD5D6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107 282</w:t>
            </w:r>
          </w:p>
        </w:tc>
        <w:tc>
          <w:tcPr>
            <w:tcW w:w="1353" w:type="dxa"/>
            <w:tcBorders>
              <w:top w:val="nil"/>
              <w:left w:val="nil"/>
              <w:bottom w:val="nil"/>
              <w:right w:val="nil"/>
            </w:tcBorders>
            <w:shd w:val="clear" w:color="auto" w:fill="auto"/>
            <w:vAlign w:val="center"/>
            <w:hideMark/>
          </w:tcPr>
          <w:p w14:paraId="0254BE5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107 282</w:t>
            </w:r>
          </w:p>
        </w:tc>
      </w:tr>
      <w:tr w:rsidR="007D29F8" w:rsidRPr="00E12BB9" w14:paraId="502E6161" w14:textId="77777777" w:rsidTr="00DB6666">
        <w:trPr>
          <w:trHeight w:val="256"/>
        </w:trPr>
        <w:tc>
          <w:tcPr>
            <w:tcW w:w="1268" w:type="dxa"/>
            <w:tcBorders>
              <w:top w:val="nil"/>
              <w:left w:val="nil"/>
              <w:bottom w:val="nil"/>
              <w:right w:val="nil"/>
            </w:tcBorders>
            <w:shd w:val="clear" w:color="auto" w:fill="auto"/>
            <w:vAlign w:val="center"/>
            <w:hideMark/>
          </w:tcPr>
          <w:p w14:paraId="6E4C370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7CE7C4A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6270F3F1"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Saint-Vincent-et-les Grenadines</w:t>
            </w:r>
          </w:p>
        </w:tc>
        <w:tc>
          <w:tcPr>
            <w:tcW w:w="1077" w:type="dxa"/>
            <w:tcBorders>
              <w:top w:val="nil"/>
              <w:left w:val="nil"/>
              <w:bottom w:val="nil"/>
              <w:right w:val="nil"/>
            </w:tcBorders>
            <w:shd w:val="clear" w:color="auto" w:fill="auto"/>
            <w:vAlign w:val="center"/>
            <w:hideMark/>
          </w:tcPr>
          <w:p w14:paraId="224B4F5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3E2EF6C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2ABDD8A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7C6D613D" w14:textId="77777777" w:rsidTr="00DB6666">
        <w:trPr>
          <w:trHeight w:val="256"/>
        </w:trPr>
        <w:tc>
          <w:tcPr>
            <w:tcW w:w="1268" w:type="dxa"/>
            <w:tcBorders>
              <w:top w:val="nil"/>
              <w:left w:val="nil"/>
              <w:bottom w:val="nil"/>
              <w:right w:val="nil"/>
            </w:tcBorders>
            <w:shd w:val="clear" w:color="auto" w:fill="auto"/>
            <w:vAlign w:val="center"/>
            <w:hideMark/>
          </w:tcPr>
          <w:p w14:paraId="1E5A9BB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1515387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6A2302EB"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Serbie</w:t>
            </w:r>
          </w:p>
        </w:tc>
        <w:tc>
          <w:tcPr>
            <w:tcW w:w="1077" w:type="dxa"/>
            <w:tcBorders>
              <w:top w:val="nil"/>
              <w:left w:val="nil"/>
              <w:bottom w:val="nil"/>
              <w:right w:val="nil"/>
            </w:tcBorders>
            <w:shd w:val="clear" w:color="auto" w:fill="auto"/>
            <w:vAlign w:val="center"/>
            <w:hideMark/>
          </w:tcPr>
          <w:p w14:paraId="5C33D03B"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4AC83FA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7F3DAEF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2333ACC2" w14:textId="77777777" w:rsidTr="00DB6666">
        <w:trPr>
          <w:trHeight w:val="256"/>
        </w:trPr>
        <w:tc>
          <w:tcPr>
            <w:tcW w:w="1268" w:type="dxa"/>
            <w:tcBorders>
              <w:top w:val="nil"/>
              <w:left w:val="nil"/>
              <w:bottom w:val="nil"/>
              <w:right w:val="nil"/>
            </w:tcBorders>
            <w:shd w:val="clear" w:color="auto" w:fill="auto"/>
            <w:vAlign w:val="center"/>
            <w:hideMark/>
          </w:tcPr>
          <w:p w14:paraId="0B384D9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0A0520AD"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01C354A2"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Singapour</w:t>
            </w:r>
          </w:p>
        </w:tc>
        <w:tc>
          <w:tcPr>
            <w:tcW w:w="1077" w:type="dxa"/>
            <w:tcBorders>
              <w:top w:val="nil"/>
              <w:left w:val="nil"/>
              <w:bottom w:val="nil"/>
              <w:right w:val="nil"/>
            </w:tcBorders>
            <w:shd w:val="clear" w:color="auto" w:fill="auto"/>
            <w:vAlign w:val="center"/>
            <w:hideMark/>
          </w:tcPr>
          <w:p w14:paraId="3D927EC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38166D6A"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4F70532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5C1E8142" w14:textId="77777777" w:rsidTr="00DB6666">
        <w:trPr>
          <w:trHeight w:val="256"/>
        </w:trPr>
        <w:tc>
          <w:tcPr>
            <w:tcW w:w="1268" w:type="dxa"/>
            <w:tcBorders>
              <w:top w:val="nil"/>
              <w:left w:val="nil"/>
              <w:bottom w:val="nil"/>
              <w:right w:val="nil"/>
            </w:tcBorders>
            <w:shd w:val="clear" w:color="auto" w:fill="auto"/>
            <w:vAlign w:val="center"/>
            <w:hideMark/>
          </w:tcPr>
          <w:p w14:paraId="107745ED"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1269" w:type="dxa"/>
            <w:tcBorders>
              <w:top w:val="nil"/>
              <w:left w:val="nil"/>
              <w:bottom w:val="nil"/>
              <w:right w:val="nil"/>
            </w:tcBorders>
            <w:shd w:val="clear" w:color="auto" w:fill="auto"/>
            <w:vAlign w:val="center"/>
            <w:hideMark/>
          </w:tcPr>
          <w:p w14:paraId="4AC2587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3431" w:type="dxa"/>
            <w:tcBorders>
              <w:top w:val="nil"/>
              <w:left w:val="nil"/>
              <w:bottom w:val="nil"/>
              <w:right w:val="nil"/>
            </w:tcBorders>
            <w:shd w:val="clear" w:color="auto" w:fill="auto"/>
            <w:vAlign w:val="center"/>
            <w:hideMark/>
          </w:tcPr>
          <w:p w14:paraId="1CC865A9"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Slovaquie</w:t>
            </w:r>
          </w:p>
        </w:tc>
        <w:tc>
          <w:tcPr>
            <w:tcW w:w="1077" w:type="dxa"/>
            <w:tcBorders>
              <w:top w:val="nil"/>
              <w:left w:val="nil"/>
              <w:bottom w:val="nil"/>
              <w:right w:val="nil"/>
            </w:tcBorders>
            <w:shd w:val="clear" w:color="auto" w:fill="auto"/>
            <w:vAlign w:val="center"/>
            <w:hideMark/>
          </w:tcPr>
          <w:p w14:paraId="4EF0C01D"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0,50</w:t>
            </w:r>
          </w:p>
        </w:tc>
        <w:tc>
          <w:tcPr>
            <w:tcW w:w="1383" w:type="dxa"/>
            <w:tcBorders>
              <w:top w:val="nil"/>
              <w:left w:val="nil"/>
              <w:bottom w:val="nil"/>
              <w:right w:val="nil"/>
            </w:tcBorders>
            <w:shd w:val="clear" w:color="auto" w:fill="auto"/>
            <w:vAlign w:val="center"/>
            <w:hideMark/>
          </w:tcPr>
          <w:p w14:paraId="0506E97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1353" w:type="dxa"/>
            <w:tcBorders>
              <w:top w:val="nil"/>
              <w:left w:val="nil"/>
              <w:bottom w:val="nil"/>
              <w:right w:val="nil"/>
            </w:tcBorders>
            <w:shd w:val="clear" w:color="auto" w:fill="auto"/>
            <w:vAlign w:val="center"/>
            <w:hideMark/>
          </w:tcPr>
          <w:p w14:paraId="75370DEF"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r>
      <w:tr w:rsidR="007D29F8" w:rsidRPr="00E12BB9" w14:paraId="111BDB62" w14:textId="77777777" w:rsidTr="00DB6666">
        <w:trPr>
          <w:trHeight w:val="256"/>
        </w:trPr>
        <w:tc>
          <w:tcPr>
            <w:tcW w:w="1268" w:type="dxa"/>
            <w:tcBorders>
              <w:top w:val="nil"/>
              <w:left w:val="nil"/>
              <w:bottom w:val="nil"/>
              <w:right w:val="nil"/>
            </w:tcBorders>
            <w:shd w:val="clear" w:color="auto" w:fill="auto"/>
            <w:vAlign w:val="center"/>
            <w:hideMark/>
          </w:tcPr>
          <w:p w14:paraId="1951AF8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6DC671E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710C91CB"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Slovénie</w:t>
            </w:r>
          </w:p>
        </w:tc>
        <w:tc>
          <w:tcPr>
            <w:tcW w:w="1077" w:type="dxa"/>
            <w:tcBorders>
              <w:top w:val="nil"/>
              <w:left w:val="nil"/>
              <w:bottom w:val="nil"/>
              <w:right w:val="nil"/>
            </w:tcBorders>
            <w:shd w:val="clear" w:color="auto" w:fill="auto"/>
            <w:vAlign w:val="center"/>
            <w:hideMark/>
          </w:tcPr>
          <w:p w14:paraId="0A4201B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2148DC1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0331307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5306705A" w14:textId="77777777" w:rsidTr="00DB6666">
        <w:trPr>
          <w:trHeight w:val="256"/>
        </w:trPr>
        <w:tc>
          <w:tcPr>
            <w:tcW w:w="1268" w:type="dxa"/>
            <w:tcBorders>
              <w:top w:val="nil"/>
              <w:left w:val="nil"/>
              <w:bottom w:val="nil"/>
              <w:right w:val="nil"/>
            </w:tcBorders>
            <w:shd w:val="clear" w:color="auto" w:fill="auto"/>
            <w:vAlign w:val="center"/>
            <w:hideMark/>
          </w:tcPr>
          <w:p w14:paraId="74BBF5E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80 462</w:t>
            </w:r>
          </w:p>
        </w:tc>
        <w:tc>
          <w:tcPr>
            <w:tcW w:w="1269" w:type="dxa"/>
            <w:tcBorders>
              <w:top w:val="nil"/>
              <w:left w:val="nil"/>
              <w:bottom w:val="nil"/>
              <w:right w:val="nil"/>
            </w:tcBorders>
            <w:shd w:val="clear" w:color="auto" w:fill="auto"/>
            <w:vAlign w:val="center"/>
            <w:hideMark/>
          </w:tcPr>
          <w:p w14:paraId="69D56B58"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80 462</w:t>
            </w:r>
          </w:p>
        </w:tc>
        <w:tc>
          <w:tcPr>
            <w:tcW w:w="3431" w:type="dxa"/>
            <w:tcBorders>
              <w:top w:val="nil"/>
              <w:left w:val="nil"/>
              <w:bottom w:val="nil"/>
              <w:right w:val="nil"/>
            </w:tcBorders>
            <w:shd w:val="clear" w:color="auto" w:fill="auto"/>
            <w:vAlign w:val="center"/>
            <w:hideMark/>
          </w:tcPr>
          <w:p w14:paraId="3B83F34C"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Suède</w:t>
            </w:r>
          </w:p>
        </w:tc>
        <w:tc>
          <w:tcPr>
            <w:tcW w:w="1077" w:type="dxa"/>
            <w:tcBorders>
              <w:top w:val="nil"/>
              <w:left w:val="nil"/>
              <w:bottom w:val="nil"/>
              <w:right w:val="nil"/>
            </w:tcBorders>
            <w:shd w:val="clear" w:color="auto" w:fill="auto"/>
            <w:vAlign w:val="center"/>
            <w:hideMark/>
          </w:tcPr>
          <w:p w14:paraId="50198CC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1,50</w:t>
            </w:r>
          </w:p>
        </w:tc>
        <w:tc>
          <w:tcPr>
            <w:tcW w:w="1383" w:type="dxa"/>
            <w:tcBorders>
              <w:top w:val="nil"/>
              <w:left w:val="nil"/>
              <w:bottom w:val="nil"/>
              <w:right w:val="nil"/>
            </w:tcBorders>
            <w:shd w:val="clear" w:color="auto" w:fill="auto"/>
            <w:vAlign w:val="center"/>
            <w:hideMark/>
          </w:tcPr>
          <w:p w14:paraId="7F3A131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80 462</w:t>
            </w:r>
          </w:p>
        </w:tc>
        <w:tc>
          <w:tcPr>
            <w:tcW w:w="1353" w:type="dxa"/>
            <w:tcBorders>
              <w:top w:val="nil"/>
              <w:left w:val="nil"/>
              <w:bottom w:val="nil"/>
              <w:right w:val="nil"/>
            </w:tcBorders>
            <w:shd w:val="clear" w:color="auto" w:fill="auto"/>
            <w:vAlign w:val="center"/>
            <w:hideMark/>
          </w:tcPr>
          <w:p w14:paraId="71FB5C0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80 462</w:t>
            </w:r>
          </w:p>
        </w:tc>
      </w:tr>
      <w:tr w:rsidR="007D29F8" w:rsidRPr="00E12BB9" w14:paraId="4376FEB6" w14:textId="77777777" w:rsidTr="00DB6666">
        <w:trPr>
          <w:trHeight w:val="256"/>
        </w:trPr>
        <w:tc>
          <w:tcPr>
            <w:tcW w:w="1268" w:type="dxa"/>
            <w:tcBorders>
              <w:top w:val="nil"/>
              <w:left w:val="nil"/>
              <w:bottom w:val="nil"/>
              <w:right w:val="nil"/>
            </w:tcBorders>
            <w:shd w:val="clear" w:color="auto" w:fill="auto"/>
            <w:vAlign w:val="center"/>
            <w:hideMark/>
          </w:tcPr>
          <w:p w14:paraId="3911179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80 462</w:t>
            </w:r>
          </w:p>
        </w:tc>
        <w:tc>
          <w:tcPr>
            <w:tcW w:w="1269" w:type="dxa"/>
            <w:tcBorders>
              <w:top w:val="nil"/>
              <w:left w:val="nil"/>
              <w:bottom w:val="nil"/>
              <w:right w:val="nil"/>
            </w:tcBorders>
            <w:shd w:val="clear" w:color="auto" w:fill="auto"/>
            <w:vAlign w:val="center"/>
            <w:hideMark/>
          </w:tcPr>
          <w:p w14:paraId="5FC3E9F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80 462</w:t>
            </w:r>
          </w:p>
        </w:tc>
        <w:tc>
          <w:tcPr>
            <w:tcW w:w="3431" w:type="dxa"/>
            <w:tcBorders>
              <w:top w:val="nil"/>
              <w:left w:val="nil"/>
              <w:bottom w:val="nil"/>
              <w:right w:val="nil"/>
            </w:tcBorders>
            <w:shd w:val="clear" w:color="auto" w:fill="auto"/>
            <w:vAlign w:val="center"/>
            <w:hideMark/>
          </w:tcPr>
          <w:p w14:paraId="79F32282"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Suisse</w:t>
            </w:r>
          </w:p>
        </w:tc>
        <w:tc>
          <w:tcPr>
            <w:tcW w:w="1077" w:type="dxa"/>
            <w:tcBorders>
              <w:top w:val="nil"/>
              <w:left w:val="nil"/>
              <w:bottom w:val="nil"/>
              <w:right w:val="nil"/>
            </w:tcBorders>
            <w:shd w:val="clear" w:color="auto" w:fill="auto"/>
            <w:vAlign w:val="center"/>
            <w:hideMark/>
          </w:tcPr>
          <w:p w14:paraId="7F7FD28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1,50</w:t>
            </w:r>
          </w:p>
        </w:tc>
        <w:tc>
          <w:tcPr>
            <w:tcW w:w="1383" w:type="dxa"/>
            <w:tcBorders>
              <w:top w:val="nil"/>
              <w:left w:val="nil"/>
              <w:bottom w:val="nil"/>
              <w:right w:val="nil"/>
            </w:tcBorders>
            <w:shd w:val="clear" w:color="auto" w:fill="auto"/>
            <w:vAlign w:val="center"/>
            <w:hideMark/>
          </w:tcPr>
          <w:p w14:paraId="65BB93AD"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80 462</w:t>
            </w:r>
          </w:p>
        </w:tc>
        <w:tc>
          <w:tcPr>
            <w:tcW w:w="1353" w:type="dxa"/>
            <w:tcBorders>
              <w:top w:val="nil"/>
              <w:left w:val="nil"/>
              <w:bottom w:val="nil"/>
              <w:right w:val="nil"/>
            </w:tcBorders>
            <w:shd w:val="clear" w:color="auto" w:fill="auto"/>
            <w:vAlign w:val="center"/>
            <w:hideMark/>
          </w:tcPr>
          <w:p w14:paraId="681D349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80 462</w:t>
            </w:r>
          </w:p>
        </w:tc>
      </w:tr>
      <w:tr w:rsidR="007D29F8" w:rsidRPr="00E12BB9" w14:paraId="7A867561" w14:textId="77777777" w:rsidTr="00DB6666">
        <w:trPr>
          <w:trHeight w:val="256"/>
        </w:trPr>
        <w:tc>
          <w:tcPr>
            <w:tcW w:w="1268" w:type="dxa"/>
            <w:tcBorders>
              <w:top w:val="nil"/>
              <w:left w:val="nil"/>
              <w:bottom w:val="nil"/>
              <w:right w:val="nil"/>
            </w:tcBorders>
            <w:shd w:val="clear" w:color="auto" w:fill="auto"/>
            <w:vAlign w:val="center"/>
            <w:hideMark/>
          </w:tcPr>
          <w:p w14:paraId="47166A0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41ED72B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4D55D155"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Trinité-et-Tobago</w:t>
            </w:r>
          </w:p>
        </w:tc>
        <w:tc>
          <w:tcPr>
            <w:tcW w:w="1077" w:type="dxa"/>
            <w:tcBorders>
              <w:top w:val="nil"/>
              <w:left w:val="nil"/>
              <w:bottom w:val="nil"/>
              <w:right w:val="nil"/>
            </w:tcBorders>
            <w:shd w:val="clear" w:color="auto" w:fill="auto"/>
            <w:vAlign w:val="center"/>
            <w:hideMark/>
          </w:tcPr>
          <w:p w14:paraId="704C8C5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43B08CA5"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671061D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47211DB7" w14:textId="77777777" w:rsidTr="00DB6666">
        <w:trPr>
          <w:trHeight w:val="256"/>
        </w:trPr>
        <w:tc>
          <w:tcPr>
            <w:tcW w:w="1268" w:type="dxa"/>
            <w:tcBorders>
              <w:top w:val="nil"/>
              <w:left w:val="nil"/>
              <w:bottom w:val="nil"/>
              <w:right w:val="nil"/>
            </w:tcBorders>
            <w:shd w:val="clear" w:color="auto" w:fill="auto"/>
            <w:vAlign w:val="center"/>
            <w:hideMark/>
          </w:tcPr>
          <w:p w14:paraId="1352093F"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4D3964D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2DDF6E38"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Tunisie</w:t>
            </w:r>
          </w:p>
        </w:tc>
        <w:tc>
          <w:tcPr>
            <w:tcW w:w="1077" w:type="dxa"/>
            <w:tcBorders>
              <w:top w:val="nil"/>
              <w:left w:val="nil"/>
              <w:bottom w:val="nil"/>
              <w:right w:val="nil"/>
            </w:tcBorders>
            <w:shd w:val="clear" w:color="auto" w:fill="auto"/>
            <w:vAlign w:val="center"/>
            <w:hideMark/>
          </w:tcPr>
          <w:p w14:paraId="6F941E7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2061264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4A05447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7AB27B54" w14:textId="77777777" w:rsidTr="00DB6666">
        <w:trPr>
          <w:trHeight w:val="256"/>
        </w:trPr>
        <w:tc>
          <w:tcPr>
            <w:tcW w:w="1268" w:type="dxa"/>
            <w:tcBorders>
              <w:top w:val="nil"/>
              <w:left w:val="nil"/>
              <w:bottom w:val="nil"/>
              <w:right w:val="nil"/>
            </w:tcBorders>
            <w:shd w:val="clear" w:color="auto" w:fill="auto"/>
            <w:vAlign w:val="center"/>
            <w:hideMark/>
          </w:tcPr>
          <w:p w14:paraId="5C7DD90F"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1269" w:type="dxa"/>
            <w:tcBorders>
              <w:top w:val="nil"/>
              <w:left w:val="nil"/>
              <w:bottom w:val="nil"/>
              <w:right w:val="nil"/>
            </w:tcBorders>
            <w:shd w:val="clear" w:color="auto" w:fill="auto"/>
            <w:vAlign w:val="center"/>
            <w:hideMark/>
          </w:tcPr>
          <w:p w14:paraId="62FCFDA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3431" w:type="dxa"/>
            <w:tcBorders>
              <w:top w:val="nil"/>
              <w:left w:val="nil"/>
              <w:bottom w:val="nil"/>
              <w:right w:val="nil"/>
            </w:tcBorders>
            <w:shd w:val="clear" w:color="auto" w:fill="auto"/>
            <w:vAlign w:val="center"/>
            <w:hideMark/>
          </w:tcPr>
          <w:p w14:paraId="1E9BA40C"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Türkiye</w:t>
            </w:r>
          </w:p>
        </w:tc>
        <w:tc>
          <w:tcPr>
            <w:tcW w:w="1077" w:type="dxa"/>
            <w:tcBorders>
              <w:top w:val="nil"/>
              <w:left w:val="nil"/>
              <w:bottom w:val="nil"/>
              <w:right w:val="nil"/>
            </w:tcBorders>
            <w:shd w:val="clear" w:color="auto" w:fill="auto"/>
            <w:vAlign w:val="center"/>
            <w:hideMark/>
          </w:tcPr>
          <w:p w14:paraId="53F1128F"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0,50</w:t>
            </w:r>
          </w:p>
        </w:tc>
        <w:tc>
          <w:tcPr>
            <w:tcW w:w="1383" w:type="dxa"/>
            <w:tcBorders>
              <w:top w:val="nil"/>
              <w:left w:val="nil"/>
              <w:bottom w:val="nil"/>
              <w:right w:val="nil"/>
            </w:tcBorders>
            <w:shd w:val="clear" w:color="auto" w:fill="auto"/>
            <w:vAlign w:val="center"/>
            <w:hideMark/>
          </w:tcPr>
          <w:p w14:paraId="6261EC9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c>
          <w:tcPr>
            <w:tcW w:w="1353" w:type="dxa"/>
            <w:tcBorders>
              <w:top w:val="nil"/>
              <w:left w:val="nil"/>
              <w:bottom w:val="nil"/>
              <w:right w:val="nil"/>
            </w:tcBorders>
            <w:shd w:val="clear" w:color="auto" w:fill="auto"/>
            <w:vAlign w:val="center"/>
            <w:hideMark/>
          </w:tcPr>
          <w:p w14:paraId="61BF15C1"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26 820</w:t>
            </w:r>
          </w:p>
        </w:tc>
      </w:tr>
      <w:tr w:rsidR="007D29F8" w:rsidRPr="00E12BB9" w14:paraId="57CC2C51" w14:textId="77777777" w:rsidTr="00DB6666">
        <w:trPr>
          <w:trHeight w:val="256"/>
        </w:trPr>
        <w:tc>
          <w:tcPr>
            <w:tcW w:w="1268" w:type="dxa"/>
            <w:tcBorders>
              <w:top w:val="nil"/>
              <w:left w:val="nil"/>
              <w:bottom w:val="nil"/>
              <w:right w:val="nil"/>
            </w:tcBorders>
            <w:shd w:val="clear" w:color="auto" w:fill="auto"/>
            <w:vAlign w:val="center"/>
            <w:hideMark/>
          </w:tcPr>
          <w:p w14:paraId="2C324D2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hideMark/>
          </w:tcPr>
          <w:p w14:paraId="20C608DD"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hideMark/>
          </w:tcPr>
          <w:p w14:paraId="684ED542"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Ukraine</w:t>
            </w:r>
          </w:p>
        </w:tc>
        <w:tc>
          <w:tcPr>
            <w:tcW w:w="1077" w:type="dxa"/>
            <w:tcBorders>
              <w:top w:val="nil"/>
              <w:left w:val="nil"/>
              <w:bottom w:val="nil"/>
              <w:right w:val="nil"/>
            </w:tcBorders>
            <w:shd w:val="clear" w:color="auto" w:fill="auto"/>
            <w:vAlign w:val="center"/>
            <w:hideMark/>
          </w:tcPr>
          <w:p w14:paraId="3358300D"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hideMark/>
          </w:tcPr>
          <w:p w14:paraId="59382BDA"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hideMark/>
          </w:tcPr>
          <w:p w14:paraId="5AF72ED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58CF1CE7" w14:textId="77777777" w:rsidTr="00DB6666">
        <w:trPr>
          <w:trHeight w:val="256"/>
        </w:trPr>
        <w:tc>
          <w:tcPr>
            <w:tcW w:w="1268" w:type="dxa"/>
            <w:tcBorders>
              <w:top w:val="nil"/>
              <w:left w:val="nil"/>
              <w:bottom w:val="nil"/>
              <w:right w:val="nil"/>
            </w:tcBorders>
            <w:shd w:val="clear" w:color="auto" w:fill="auto"/>
            <w:vAlign w:val="center"/>
            <w:hideMark/>
          </w:tcPr>
          <w:p w14:paraId="4ECD0D32"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268 205</w:t>
            </w:r>
          </w:p>
        </w:tc>
        <w:tc>
          <w:tcPr>
            <w:tcW w:w="1269" w:type="dxa"/>
            <w:tcBorders>
              <w:top w:val="nil"/>
              <w:left w:val="nil"/>
              <w:bottom w:val="nil"/>
              <w:right w:val="nil"/>
            </w:tcBorders>
            <w:shd w:val="clear" w:color="auto" w:fill="auto"/>
            <w:vAlign w:val="center"/>
            <w:hideMark/>
          </w:tcPr>
          <w:p w14:paraId="2B8014FA"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268 205</w:t>
            </w:r>
          </w:p>
        </w:tc>
        <w:tc>
          <w:tcPr>
            <w:tcW w:w="3431" w:type="dxa"/>
            <w:tcBorders>
              <w:top w:val="nil"/>
              <w:left w:val="nil"/>
              <w:bottom w:val="nil"/>
              <w:right w:val="nil"/>
            </w:tcBorders>
            <w:shd w:val="clear" w:color="auto" w:fill="auto"/>
            <w:vAlign w:val="center"/>
            <w:hideMark/>
          </w:tcPr>
          <w:p w14:paraId="6BB17E2E"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Union européenne</w:t>
            </w:r>
          </w:p>
        </w:tc>
        <w:tc>
          <w:tcPr>
            <w:tcW w:w="1077" w:type="dxa"/>
            <w:tcBorders>
              <w:top w:val="nil"/>
              <w:left w:val="nil"/>
              <w:bottom w:val="nil"/>
              <w:right w:val="nil"/>
            </w:tcBorders>
            <w:shd w:val="clear" w:color="auto" w:fill="auto"/>
            <w:vAlign w:val="center"/>
            <w:hideMark/>
          </w:tcPr>
          <w:p w14:paraId="13428FD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5,00</w:t>
            </w:r>
          </w:p>
        </w:tc>
        <w:tc>
          <w:tcPr>
            <w:tcW w:w="1383" w:type="dxa"/>
            <w:tcBorders>
              <w:top w:val="nil"/>
              <w:left w:val="nil"/>
              <w:bottom w:val="nil"/>
              <w:right w:val="nil"/>
            </w:tcBorders>
            <w:shd w:val="clear" w:color="auto" w:fill="auto"/>
            <w:vAlign w:val="center"/>
            <w:hideMark/>
          </w:tcPr>
          <w:p w14:paraId="7B95F383"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268 205</w:t>
            </w:r>
          </w:p>
        </w:tc>
        <w:tc>
          <w:tcPr>
            <w:tcW w:w="1353" w:type="dxa"/>
            <w:tcBorders>
              <w:top w:val="nil"/>
              <w:left w:val="nil"/>
              <w:bottom w:val="nil"/>
              <w:right w:val="nil"/>
            </w:tcBorders>
            <w:shd w:val="clear" w:color="auto" w:fill="auto"/>
            <w:vAlign w:val="center"/>
            <w:hideMark/>
          </w:tcPr>
          <w:p w14:paraId="42ABEDD0"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268 205</w:t>
            </w:r>
          </w:p>
        </w:tc>
      </w:tr>
      <w:tr w:rsidR="007D29F8" w:rsidRPr="00E12BB9" w14:paraId="66086AB0" w14:textId="77777777" w:rsidTr="00DB6666">
        <w:trPr>
          <w:trHeight w:val="256"/>
        </w:trPr>
        <w:tc>
          <w:tcPr>
            <w:tcW w:w="1268" w:type="dxa"/>
            <w:tcBorders>
              <w:top w:val="nil"/>
              <w:left w:val="nil"/>
              <w:bottom w:val="nil"/>
              <w:right w:val="nil"/>
            </w:tcBorders>
            <w:shd w:val="clear" w:color="auto" w:fill="auto"/>
            <w:vAlign w:val="center"/>
          </w:tcPr>
          <w:p w14:paraId="1C94A9AE"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nil"/>
              <w:right w:val="nil"/>
            </w:tcBorders>
            <w:shd w:val="clear" w:color="auto" w:fill="auto"/>
            <w:vAlign w:val="center"/>
          </w:tcPr>
          <w:p w14:paraId="0E3E30EF"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nil"/>
              <w:right w:val="nil"/>
            </w:tcBorders>
            <w:shd w:val="clear" w:color="auto" w:fill="auto"/>
            <w:vAlign w:val="center"/>
          </w:tcPr>
          <w:p w14:paraId="02E80790"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Uruguay</w:t>
            </w:r>
          </w:p>
        </w:tc>
        <w:tc>
          <w:tcPr>
            <w:tcW w:w="1077" w:type="dxa"/>
            <w:tcBorders>
              <w:top w:val="nil"/>
              <w:left w:val="nil"/>
              <w:bottom w:val="nil"/>
              <w:right w:val="nil"/>
            </w:tcBorders>
            <w:shd w:val="clear" w:color="auto" w:fill="auto"/>
            <w:vAlign w:val="center"/>
          </w:tcPr>
          <w:p w14:paraId="1A76BE6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nil"/>
              <w:right w:val="nil"/>
            </w:tcBorders>
            <w:shd w:val="clear" w:color="auto" w:fill="auto"/>
            <w:vAlign w:val="center"/>
          </w:tcPr>
          <w:p w14:paraId="5873843C"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nil"/>
              <w:right w:val="nil"/>
            </w:tcBorders>
            <w:shd w:val="clear" w:color="auto" w:fill="auto"/>
            <w:vAlign w:val="center"/>
          </w:tcPr>
          <w:p w14:paraId="62A4C437"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26DF6E53" w14:textId="77777777" w:rsidTr="00DB6666">
        <w:trPr>
          <w:trHeight w:val="256"/>
        </w:trPr>
        <w:tc>
          <w:tcPr>
            <w:tcW w:w="1268" w:type="dxa"/>
            <w:tcBorders>
              <w:top w:val="nil"/>
              <w:left w:val="nil"/>
              <w:bottom w:val="single" w:sz="8" w:space="0" w:color="BFBFBF"/>
              <w:right w:val="nil"/>
            </w:tcBorders>
            <w:shd w:val="clear" w:color="auto" w:fill="auto"/>
            <w:vAlign w:val="center"/>
          </w:tcPr>
          <w:p w14:paraId="6BF1D3AD"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269" w:type="dxa"/>
            <w:tcBorders>
              <w:top w:val="nil"/>
              <w:left w:val="nil"/>
              <w:bottom w:val="single" w:sz="8" w:space="0" w:color="BFBFBF"/>
              <w:right w:val="nil"/>
            </w:tcBorders>
            <w:shd w:val="clear" w:color="auto" w:fill="auto"/>
            <w:vAlign w:val="center"/>
          </w:tcPr>
          <w:p w14:paraId="375289B6"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3431" w:type="dxa"/>
            <w:tcBorders>
              <w:top w:val="nil"/>
              <w:left w:val="nil"/>
              <w:bottom w:val="single" w:sz="8" w:space="0" w:color="BFBFBF"/>
              <w:right w:val="nil"/>
            </w:tcBorders>
            <w:shd w:val="clear" w:color="auto" w:fill="auto"/>
            <w:vAlign w:val="center"/>
          </w:tcPr>
          <w:p w14:paraId="7479DA50" w14:textId="77777777" w:rsidR="007D29F8" w:rsidRPr="00E12BB9" w:rsidRDefault="007D29F8" w:rsidP="00DB6666">
            <w:pPr>
              <w:jc w:val="left"/>
              <w:rPr>
                <w:rFonts w:ascii="Arial Narrow" w:hAnsi="Arial Narrow" w:cs="Arial"/>
                <w:color w:val="000000"/>
                <w:sz w:val="18"/>
                <w:szCs w:val="18"/>
                <w:highlight w:val="cyan"/>
              </w:rPr>
            </w:pPr>
            <w:r w:rsidRPr="00E12BB9">
              <w:rPr>
                <w:rFonts w:ascii="Arial Narrow" w:hAnsi="Arial Narrow" w:cs="Arial"/>
                <w:color w:val="000000"/>
                <w:sz w:val="18"/>
                <w:szCs w:val="18"/>
              </w:rPr>
              <w:t>Viet Nam</w:t>
            </w:r>
          </w:p>
        </w:tc>
        <w:tc>
          <w:tcPr>
            <w:tcW w:w="1077" w:type="dxa"/>
            <w:tcBorders>
              <w:top w:val="nil"/>
              <w:left w:val="nil"/>
              <w:bottom w:val="single" w:sz="8" w:space="0" w:color="BFBFBF"/>
              <w:right w:val="nil"/>
            </w:tcBorders>
            <w:shd w:val="clear" w:color="auto" w:fill="auto"/>
            <w:vAlign w:val="center"/>
          </w:tcPr>
          <w:p w14:paraId="01B92F0B"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0,20</w:t>
            </w:r>
          </w:p>
        </w:tc>
        <w:tc>
          <w:tcPr>
            <w:tcW w:w="1383" w:type="dxa"/>
            <w:tcBorders>
              <w:top w:val="nil"/>
              <w:left w:val="nil"/>
              <w:bottom w:val="single" w:sz="8" w:space="0" w:color="BFBFBF"/>
              <w:right w:val="nil"/>
            </w:tcBorders>
            <w:shd w:val="clear" w:color="auto" w:fill="auto"/>
            <w:vAlign w:val="center"/>
          </w:tcPr>
          <w:p w14:paraId="384E75C4"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c>
          <w:tcPr>
            <w:tcW w:w="1353" w:type="dxa"/>
            <w:tcBorders>
              <w:top w:val="nil"/>
              <w:left w:val="nil"/>
              <w:bottom w:val="single" w:sz="8" w:space="0" w:color="BFBFBF"/>
              <w:right w:val="nil"/>
            </w:tcBorders>
            <w:shd w:val="clear" w:color="auto" w:fill="auto"/>
            <w:vAlign w:val="center"/>
          </w:tcPr>
          <w:p w14:paraId="35089F99" w14:textId="77777777" w:rsidR="007D29F8" w:rsidRPr="00E12BB9" w:rsidRDefault="007D29F8" w:rsidP="00DB6666">
            <w:pPr>
              <w:jc w:val="right"/>
              <w:rPr>
                <w:rFonts w:ascii="Arial Narrow" w:hAnsi="Arial Narrow" w:cs="Arial"/>
                <w:color w:val="000000"/>
                <w:sz w:val="18"/>
                <w:szCs w:val="18"/>
                <w:highlight w:val="cyan"/>
              </w:rPr>
            </w:pPr>
            <w:r w:rsidRPr="00E12BB9">
              <w:rPr>
                <w:rFonts w:ascii="Arial Narrow" w:hAnsi="Arial Narrow" w:cs="Arial"/>
                <w:color w:val="000000"/>
                <w:sz w:val="18"/>
                <w:szCs w:val="18"/>
              </w:rPr>
              <w:t>10 728</w:t>
            </w:r>
          </w:p>
        </w:tc>
      </w:tr>
      <w:tr w:rsidR="007D29F8" w:rsidRPr="00E12BB9" w14:paraId="14078E41" w14:textId="77777777" w:rsidTr="00DB6666">
        <w:trPr>
          <w:trHeight w:val="275"/>
        </w:trPr>
        <w:tc>
          <w:tcPr>
            <w:tcW w:w="1268" w:type="dxa"/>
            <w:tcBorders>
              <w:top w:val="nil"/>
              <w:left w:val="nil"/>
              <w:bottom w:val="single" w:sz="8" w:space="0" w:color="BFBFBF"/>
              <w:right w:val="nil"/>
            </w:tcBorders>
            <w:shd w:val="clear" w:color="auto" w:fill="auto"/>
            <w:vAlign w:val="center"/>
            <w:hideMark/>
          </w:tcPr>
          <w:p w14:paraId="64983367" w14:textId="77777777" w:rsidR="007D29F8" w:rsidRPr="00E12BB9" w:rsidRDefault="007D29F8" w:rsidP="00DB6666">
            <w:pPr>
              <w:jc w:val="right"/>
              <w:rPr>
                <w:rFonts w:ascii="Arial Narrow" w:hAnsi="Arial Narrow" w:cs="Arial"/>
                <w:b/>
                <w:bCs/>
                <w:color w:val="000000"/>
                <w:sz w:val="18"/>
                <w:szCs w:val="18"/>
                <w:highlight w:val="cyan"/>
              </w:rPr>
            </w:pPr>
            <w:r w:rsidRPr="00E12BB9">
              <w:rPr>
                <w:rFonts w:ascii="Arial Narrow" w:hAnsi="Arial Narrow" w:cs="Arial"/>
                <w:b/>
                <w:bCs/>
                <w:color w:val="000000"/>
                <w:sz w:val="18"/>
                <w:szCs w:val="18"/>
              </w:rPr>
              <w:t>3 569 798</w:t>
            </w:r>
          </w:p>
        </w:tc>
        <w:tc>
          <w:tcPr>
            <w:tcW w:w="1269" w:type="dxa"/>
            <w:tcBorders>
              <w:top w:val="nil"/>
              <w:left w:val="nil"/>
              <w:bottom w:val="single" w:sz="8" w:space="0" w:color="BFBFBF"/>
              <w:right w:val="nil"/>
            </w:tcBorders>
            <w:shd w:val="clear" w:color="auto" w:fill="auto"/>
            <w:vAlign w:val="center"/>
            <w:hideMark/>
          </w:tcPr>
          <w:p w14:paraId="3DF8DAAC" w14:textId="77777777" w:rsidR="007D29F8" w:rsidRPr="00E12BB9" w:rsidRDefault="007D29F8" w:rsidP="00DB6666">
            <w:pPr>
              <w:jc w:val="right"/>
              <w:rPr>
                <w:rFonts w:ascii="Arial Narrow" w:hAnsi="Arial Narrow" w:cs="Arial"/>
                <w:b/>
                <w:bCs/>
                <w:color w:val="000000"/>
                <w:sz w:val="18"/>
                <w:szCs w:val="18"/>
                <w:highlight w:val="cyan"/>
              </w:rPr>
            </w:pPr>
            <w:r w:rsidRPr="00E12BB9">
              <w:rPr>
                <w:rFonts w:ascii="Arial Narrow" w:hAnsi="Arial Narrow" w:cs="Arial"/>
                <w:b/>
                <w:bCs/>
                <w:color w:val="000000"/>
                <w:sz w:val="18"/>
                <w:szCs w:val="18"/>
              </w:rPr>
              <w:t>3 569 798</w:t>
            </w:r>
          </w:p>
        </w:tc>
        <w:tc>
          <w:tcPr>
            <w:tcW w:w="3431" w:type="dxa"/>
            <w:tcBorders>
              <w:top w:val="nil"/>
              <w:left w:val="nil"/>
              <w:bottom w:val="single" w:sz="8" w:space="0" w:color="BFBFBF"/>
              <w:right w:val="nil"/>
            </w:tcBorders>
            <w:shd w:val="clear" w:color="auto" w:fill="auto"/>
            <w:vAlign w:val="center"/>
            <w:hideMark/>
          </w:tcPr>
          <w:p w14:paraId="0EE9D3AD" w14:textId="77777777" w:rsidR="007D29F8" w:rsidRPr="00E12BB9" w:rsidRDefault="007D29F8" w:rsidP="00DB6666">
            <w:pPr>
              <w:jc w:val="right"/>
              <w:rPr>
                <w:rFonts w:ascii="Arial Narrow" w:hAnsi="Arial Narrow" w:cs="Arial"/>
                <w:b/>
                <w:bCs/>
                <w:color w:val="000000"/>
                <w:sz w:val="18"/>
                <w:szCs w:val="18"/>
                <w:highlight w:val="cyan"/>
              </w:rPr>
            </w:pPr>
            <w:r w:rsidRPr="00E12BB9">
              <w:rPr>
                <w:rFonts w:ascii="Arial Narrow" w:hAnsi="Arial Narrow" w:cs="Arial"/>
                <w:b/>
                <w:bCs/>
                <w:color w:val="000000"/>
                <w:sz w:val="18"/>
                <w:szCs w:val="18"/>
                <w:vertAlign w:val="superscript"/>
              </w:rPr>
              <w:t> </w:t>
            </w:r>
          </w:p>
        </w:tc>
        <w:tc>
          <w:tcPr>
            <w:tcW w:w="1077" w:type="dxa"/>
            <w:tcBorders>
              <w:top w:val="nil"/>
              <w:left w:val="nil"/>
              <w:bottom w:val="single" w:sz="8" w:space="0" w:color="BFBFBF"/>
              <w:right w:val="nil"/>
            </w:tcBorders>
            <w:shd w:val="clear" w:color="auto" w:fill="auto"/>
            <w:vAlign w:val="center"/>
            <w:hideMark/>
          </w:tcPr>
          <w:p w14:paraId="3B6A497F" w14:textId="77777777" w:rsidR="007D29F8" w:rsidRPr="00E12BB9" w:rsidRDefault="007D29F8" w:rsidP="00DB6666">
            <w:pPr>
              <w:jc w:val="right"/>
              <w:rPr>
                <w:rFonts w:ascii="Arial Narrow" w:hAnsi="Arial Narrow" w:cs="Arial"/>
                <w:b/>
                <w:bCs/>
                <w:color w:val="000000"/>
                <w:sz w:val="18"/>
                <w:szCs w:val="18"/>
                <w:highlight w:val="cyan"/>
              </w:rPr>
            </w:pPr>
            <w:r w:rsidRPr="00E12BB9">
              <w:rPr>
                <w:rFonts w:ascii="Arial Narrow" w:hAnsi="Arial Narrow" w:cs="Arial"/>
                <w:b/>
                <w:bCs/>
                <w:color w:val="000000"/>
                <w:sz w:val="18"/>
                <w:szCs w:val="18"/>
              </w:rPr>
              <w:t>66,55</w:t>
            </w:r>
          </w:p>
        </w:tc>
        <w:tc>
          <w:tcPr>
            <w:tcW w:w="1383" w:type="dxa"/>
            <w:tcBorders>
              <w:top w:val="nil"/>
              <w:left w:val="nil"/>
              <w:bottom w:val="single" w:sz="8" w:space="0" w:color="BFBFBF"/>
              <w:right w:val="nil"/>
            </w:tcBorders>
            <w:shd w:val="clear" w:color="auto" w:fill="auto"/>
            <w:vAlign w:val="center"/>
            <w:hideMark/>
          </w:tcPr>
          <w:p w14:paraId="77926912" w14:textId="77777777" w:rsidR="007D29F8" w:rsidRPr="00E12BB9" w:rsidRDefault="007D29F8" w:rsidP="00DB6666">
            <w:pPr>
              <w:jc w:val="right"/>
              <w:rPr>
                <w:rFonts w:ascii="Arial Narrow" w:hAnsi="Arial Narrow" w:cs="Arial"/>
                <w:b/>
                <w:bCs/>
                <w:color w:val="000000"/>
                <w:sz w:val="18"/>
                <w:szCs w:val="18"/>
                <w:highlight w:val="cyan"/>
              </w:rPr>
            </w:pPr>
            <w:r w:rsidRPr="00E12BB9">
              <w:rPr>
                <w:rFonts w:ascii="Arial Narrow" w:hAnsi="Arial Narrow" w:cs="Arial"/>
                <w:b/>
                <w:bCs/>
                <w:color w:val="000000"/>
                <w:sz w:val="18"/>
                <w:szCs w:val="18"/>
              </w:rPr>
              <w:t>3 569 798</w:t>
            </w:r>
          </w:p>
        </w:tc>
        <w:tc>
          <w:tcPr>
            <w:tcW w:w="1353" w:type="dxa"/>
            <w:tcBorders>
              <w:top w:val="nil"/>
              <w:left w:val="nil"/>
              <w:bottom w:val="single" w:sz="8" w:space="0" w:color="BFBFBF"/>
              <w:right w:val="nil"/>
            </w:tcBorders>
            <w:shd w:val="clear" w:color="auto" w:fill="auto"/>
            <w:vAlign w:val="center"/>
            <w:hideMark/>
          </w:tcPr>
          <w:p w14:paraId="46D5D2DF" w14:textId="77777777" w:rsidR="007D29F8" w:rsidRPr="00E12BB9" w:rsidRDefault="007D29F8" w:rsidP="00DB6666">
            <w:pPr>
              <w:jc w:val="right"/>
              <w:rPr>
                <w:rFonts w:ascii="Arial Narrow" w:hAnsi="Arial Narrow" w:cs="Arial"/>
                <w:b/>
                <w:bCs/>
                <w:color w:val="000000"/>
                <w:sz w:val="18"/>
                <w:szCs w:val="18"/>
                <w:highlight w:val="cyan"/>
              </w:rPr>
            </w:pPr>
            <w:r w:rsidRPr="00E12BB9">
              <w:rPr>
                <w:rFonts w:ascii="Arial Narrow" w:hAnsi="Arial Narrow" w:cs="Arial"/>
                <w:b/>
                <w:bCs/>
                <w:color w:val="000000"/>
                <w:sz w:val="18"/>
                <w:szCs w:val="18"/>
              </w:rPr>
              <w:t>3 569 798</w:t>
            </w:r>
          </w:p>
        </w:tc>
      </w:tr>
    </w:tbl>
    <w:p w14:paraId="00E913E8" w14:textId="77777777" w:rsidR="007D29F8" w:rsidRPr="007D29F8" w:rsidRDefault="007D29F8" w:rsidP="007D29F8">
      <w:pPr>
        <w:pStyle w:val="endofdoc"/>
        <w:rPr>
          <w:lang w:val="fr-FR"/>
        </w:rPr>
      </w:pPr>
      <w:r w:rsidRPr="007D29F8">
        <w:rPr>
          <w:snapToGrid w:val="0"/>
          <w:lang w:val="fr-FR"/>
        </w:rPr>
        <w:t>[L’appendice III suit]</w:t>
      </w:r>
    </w:p>
    <w:p w14:paraId="08AD58EB" w14:textId="77777777" w:rsidR="007D29F8" w:rsidRPr="007D29F8" w:rsidRDefault="007D29F8" w:rsidP="007D29F8">
      <w:pPr>
        <w:rPr>
          <w:rFonts w:cs="Arial"/>
          <w:b/>
          <w:color w:val="0000FF"/>
        </w:rPr>
        <w:sectPr w:rsidR="007D29F8" w:rsidRPr="007D29F8" w:rsidSect="00277D28">
          <w:headerReference w:type="even" r:id="rId38"/>
          <w:headerReference w:type="default" r:id="rId39"/>
          <w:footerReference w:type="even" r:id="rId40"/>
          <w:footerReference w:type="default" r:id="rId41"/>
          <w:headerReference w:type="first" r:id="rId42"/>
          <w:footerReference w:type="first" r:id="rId43"/>
          <w:pgSz w:w="11907" w:h="16840" w:code="9"/>
          <w:pgMar w:top="510" w:right="1134" w:bottom="1134" w:left="1134" w:header="510" w:footer="624" w:gutter="0"/>
          <w:cols w:space="720"/>
          <w:docGrid w:linePitch="272"/>
        </w:sectPr>
      </w:pPr>
    </w:p>
    <w:p w14:paraId="7D38D43C" w14:textId="77777777" w:rsidR="007D29F8" w:rsidRPr="00E12BB9" w:rsidRDefault="007D29F8" w:rsidP="007D29F8">
      <w:pPr>
        <w:pStyle w:val="Heading9"/>
        <w:rPr>
          <w:lang w:val="fr-FR"/>
        </w:rPr>
      </w:pPr>
      <w:bookmarkStart w:id="491" w:name="_Toc132208468"/>
      <w:r w:rsidRPr="00E12BB9">
        <w:rPr>
          <w:lang w:val="fr-FR"/>
        </w:rPr>
        <w:lastRenderedPageBreak/>
        <w:t>APPENDICE</w:t>
      </w:r>
      <w:r>
        <w:rPr>
          <w:lang w:val="fr-FR"/>
        </w:rPr>
        <w:t> </w:t>
      </w:r>
      <w:r w:rsidRPr="00E12BB9">
        <w:rPr>
          <w:lang w:val="fr-FR"/>
        </w:rPr>
        <w:t>III</w:t>
      </w:r>
      <w:r w:rsidRPr="00E12BB9">
        <w:rPr>
          <w:lang w:val="fr-FR"/>
        </w:rPr>
        <w:tab/>
      </w:r>
      <w:r>
        <w:rPr>
          <w:lang w:val="fr-FR"/>
        </w:rPr>
        <w:t xml:space="preserve">Définition des recettes </w:t>
      </w:r>
      <w:r w:rsidRPr="00E12BB9">
        <w:rPr>
          <w:lang w:val="fr-FR"/>
        </w:rPr>
        <w:t>par provenance et des objets de dépenses</w:t>
      </w:r>
      <w:bookmarkEnd w:id="491"/>
    </w:p>
    <w:p w14:paraId="0832F53A" w14:textId="77777777" w:rsidR="007D29F8" w:rsidRPr="00E12BB9" w:rsidRDefault="007D29F8" w:rsidP="007D29F8"/>
    <w:p w14:paraId="25F671D6" w14:textId="77777777" w:rsidR="007D29F8" w:rsidRPr="00E12BB9" w:rsidRDefault="007D29F8" w:rsidP="007D29F8"/>
    <w:p w14:paraId="7A79E852" w14:textId="77777777" w:rsidR="007D29F8" w:rsidRPr="00E12BB9" w:rsidRDefault="007D29F8" w:rsidP="007D29F8">
      <w:pPr>
        <w:rPr>
          <w:color w:val="26724C" w:themeColor="accent1" w:themeShade="BF"/>
          <w:sz w:val="28"/>
        </w:rPr>
      </w:pPr>
      <w:r w:rsidRPr="00E12BB9">
        <w:rPr>
          <w:color w:val="26724C" w:themeColor="accent1" w:themeShade="BF"/>
          <w:sz w:val="28"/>
        </w:rPr>
        <w:t>Recettes par provenance</w:t>
      </w:r>
    </w:p>
    <w:p w14:paraId="31D279DE" w14:textId="77777777" w:rsidR="007D29F8" w:rsidRPr="00E12BB9" w:rsidRDefault="007D29F8" w:rsidP="007D29F8"/>
    <w:p w14:paraId="7299F8A9" w14:textId="77777777" w:rsidR="007D29F8" w:rsidRPr="00E12BB9" w:rsidRDefault="007D29F8" w:rsidP="007D29F8">
      <w:r w:rsidRPr="00E12BB9">
        <w:t>Contributions : contributions des membres de l’Union selon la Convention UPOV (article 29 de l’Acte de 1991 et article 26 de l’Acte de 1978).</w:t>
      </w:r>
    </w:p>
    <w:p w14:paraId="17E56262" w14:textId="77777777" w:rsidR="007D29F8" w:rsidRPr="00E12BB9" w:rsidRDefault="007D29F8" w:rsidP="007D29F8"/>
    <w:p w14:paraId="55FC0E29" w14:textId="77777777" w:rsidR="007D29F8" w:rsidRPr="00E12BB9" w:rsidRDefault="007D29F8" w:rsidP="007D29F8">
      <w:pPr>
        <w:keepNext/>
        <w:spacing w:after="40"/>
      </w:pPr>
      <w:r w:rsidRPr="00E12BB9">
        <w:t>Taxes relatives aux outils informatiques et services de l’UPOV : recettes provenant des taxes perçues sur les bases de données, les outils informatiques et les services de l’UPOV.</w:t>
      </w:r>
    </w:p>
    <w:p w14:paraId="41B81C74" w14:textId="77777777" w:rsidR="007D29F8" w:rsidRPr="00E12BB9" w:rsidRDefault="007D29F8" w:rsidP="007D29F8"/>
    <w:p w14:paraId="4F2854A6" w14:textId="77777777" w:rsidR="007D29F8" w:rsidRPr="00E12BB9" w:rsidRDefault="007D29F8" w:rsidP="007D29F8">
      <w:pPr>
        <w:keepNext/>
        <w:spacing w:after="40"/>
      </w:pPr>
      <w:r w:rsidRPr="00E12BB9">
        <w:t>Autres recettes : les ajustements comptables (crédits) relatifs à des années antérieures, les ajustements de change, les dépenses d’appui relatives aux activités extrabudgétaires de l’UPOV financées par les fonds fiduciaires et les droits d’inscription aux cours d’enseignement à distance</w:t>
      </w:r>
      <w:r w:rsidRPr="00E12BB9">
        <w:rPr>
          <w:rFonts w:cs="Arial"/>
          <w:snapToGrid w:val="0"/>
          <w:color w:val="000000"/>
        </w:rPr>
        <w:t>.</w:t>
      </w:r>
    </w:p>
    <w:p w14:paraId="59443B38" w14:textId="77777777" w:rsidR="007D29F8" w:rsidRPr="00E12BB9" w:rsidRDefault="007D29F8" w:rsidP="007D29F8">
      <w:pPr>
        <w:rPr>
          <w:sz w:val="24"/>
        </w:rPr>
      </w:pPr>
    </w:p>
    <w:p w14:paraId="29A0C829" w14:textId="77777777" w:rsidR="007D29F8" w:rsidRPr="00E12BB9" w:rsidRDefault="007D29F8" w:rsidP="007D29F8">
      <w:pPr>
        <w:rPr>
          <w:sz w:val="24"/>
        </w:rPr>
      </w:pPr>
    </w:p>
    <w:p w14:paraId="182B8731" w14:textId="77777777" w:rsidR="007D29F8" w:rsidRPr="00E12BB9" w:rsidRDefault="007D29F8" w:rsidP="007D29F8">
      <w:pPr>
        <w:rPr>
          <w:color w:val="26724C" w:themeColor="accent1" w:themeShade="BF"/>
          <w:sz w:val="28"/>
          <w:szCs w:val="24"/>
        </w:rPr>
      </w:pPr>
      <w:r w:rsidRPr="00E12BB9">
        <w:rPr>
          <w:color w:val="26724C" w:themeColor="accent1" w:themeShade="BF"/>
          <w:sz w:val="28"/>
          <w:szCs w:val="24"/>
        </w:rPr>
        <w:t>Objets de dépenses</w:t>
      </w:r>
    </w:p>
    <w:p w14:paraId="58EE226A" w14:textId="77777777" w:rsidR="007D29F8" w:rsidRPr="00E12BB9" w:rsidRDefault="007D29F8" w:rsidP="007D29F8"/>
    <w:p w14:paraId="42AB1E84" w14:textId="77777777" w:rsidR="007D29F8" w:rsidRPr="00E12BB9" w:rsidRDefault="007D29F8" w:rsidP="007D29F8">
      <w:pPr>
        <w:rPr>
          <w:b/>
          <w:color w:val="26724C" w:themeColor="accent1" w:themeShade="BF"/>
        </w:rPr>
      </w:pPr>
      <w:r w:rsidRPr="00E12BB9">
        <w:rPr>
          <w:b/>
          <w:color w:val="26724C" w:themeColor="accent1" w:themeShade="BF"/>
        </w:rPr>
        <w:t>Ressources en personnel</w:t>
      </w:r>
    </w:p>
    <w:p w14:paraId="39BE77E8" w14:textId="77777777" w:rsidR="007D29F8" w:rsidRPr="00E12BB9" w:rsidRDefault="007D29F8" w:rsidP="007D29F8"/>
    <w:p w14:paraId="5B0AE3D5" w14:textId="77777777" w:rsidR="007D29F8" w:rsidRPr="00E12BB9" w:rsidRDefault="007D29F8" w:rsidP="007D29F8">
      <w:pPr>
        <w:keepNext/>
        <w:spacing w:after="40"/>
      </w:pPr>
      <w:r w:rsidRPr="00E12BB9">
        <w:rPr>
          <w:b/>
        </w:rPr>
        <w:t>Postes :</w:t>
      </w:r>
      <w:r w:rsidRPr="00E12BB9">
        <w:t xml:space="preserve"> rémunération perçue par les fonctionnaires, en particulier les traitements, les indemnités de poste, les allocations familiales, les primes pour connaissances linguistiques, les paiements pour heures supplémentaires, les indemnités de non-résident, les primes d’affectation et les indemnités de représentation</w:t>
      </w:r>
      <w:r w:rsidRPr="00E12BB9">
        <w:rPr>
          <w:spacing w:val="-2"/>
        </w:rPr>
        <w:t>.</w:t>
      </w:r>
    </w:p>
    <w:p w14:paraId="4BD35971" w14:textId="77777777" w:rsidR="007D29F8" w:rsidRPr="00E12BB9" w:rsidRDefault="007D29F8" w:rsidP="007D29F8">
      <w:pPr>
        <w:rPr>
          <w:color w:val="7F7F7F" w:themeColor="text1" w:themeTint="80"/>
        </w:rPr>
      </w:pPr>
    </w:p>
    <w:p w14:paraId="061B0F95" w14:textId="77777777" w:rsidR="007D29F8" w:rsidRPr="00E12BB9" w:rsidRDefault="007D29F8" w:rsidP="007D29F8">
      <w:r w:rsidRPr="00E12BB9">
        <w:rPr>
          <w:b/>
        </w:rPr>
        <w:t>Fonctionnaires temporaires :</w:t>
      </w:r>
      <w:r w:rsidRPr="00E12BB9">
        <w:t xml:space="preserve"> rémunération et indemnités versées aux agents temporaires de la catégorie des administrateurs et des services généraux au bénéfice de contrats à court terme.</w:t>
      </w:r>
    </w:p>
    <w:p w14:paraId="57317E33" w14:textId="77777777" w:rsidR="007D29F8" w:rsidRPr="00E12BB9" w:rsidRDefault="007D29F8" w:rsidP="007D29F8"/>
    <w:p w14:paraId="20C357C6" w14:textId="77777777" w:rsidR="007D29F8" w:rsidRPr="00E12BB9" w:rsidRDefault="007D29F8" w:rsidP="007D29F8">
      <w:pPr>
        <w:rPr>
          <w:b/>
          <w:color w:val="26724C" w:themeColor="accent1" w:themeShade="BF"/>
        </w:rPr>
      </w:pPr>
      <w:r w:rsidRPr="00E12BB9">
        <w:rPr>
          <w:b/>
          <w:color w:val="26724C" w:themeColor="accent1" w:themeShade="BF"/>
        </w:rPr>
        <w:t>Autres ressources</w:t>
      </w:r>
    </w:p>
    <w:p w14:paraId="010B1A54" w14:textId="77777777" w:rsidR="007D29F8" w:rsidRPr="00E12BB9" w:rsidRDefault="007D29F8" w:rsidP="007D29F8">
      <w:pPr>
        <w:rPr>
          <w:b/>
          <w:color w:val="26724C" w:themeColor="accent1" w:themeShade="BF"/>
        </w:rPr>
      </w:pPr>
    </w:p>
    <w:p w14:paraId="21FDC25D" w14:textId="77777777" w:rsidR="007D29F8" w:rsidRPr="00E12BB9" w:rsidRDefault="007D29F8" w:rsidP="007D29F8">
      <w:pPr>
        <w:rPr>
          <w:rFonts w:cs="Arial"/>
          <w:bCs/>
          <w:i/>
          <w:color w:val="26724C" w:themeColor="accent1" w:themeShade="BF"/>
        </w:rPr>
      </w:pPr>
      <w:r w:rsidRPr="00E12BB9">
        <w:rPr>
          <w:rFonts w:cs="Arial"/>
          <w:bCs/>
          <w:i/>
          <w:color w:val="26724C" w:themeColor="accent1" w:themeShade="BF"/>
        </w:rPr>
        <w:t>Stages et bourses</w:t>
      </w:r>
    </w:p>
    <w:p w14:paraId="1F1625F5" w14:textId="77777777" w:rsidR="007D29F8" w:rsidRPr="00E12BB9" w:rsidRDefault="007D29F8" w:rsidP="007D29F8">
      <w:pPr>
        <w:rPr>
          <w:rFonts w:cs="Arial"/>
        </w:rPr>
      </w:pPr>
    </w:p>
    <w:p w14:paraId="2FBAE183" w14:textId="77777777" w:rsidR="007D29F8" w:rsidRPr="00E12BB9" w:rsidRDefault="007D29F8" w:rsidP="007D29F8">
      <w:pPr>
        <w:rPr>
          <w:rFonts w:cs="Arial"/>
        </w:rPr>
      </w:pPr>
      <w:r w:rsidRPr="00E12BB9">
        <w:rPr>
          <w:rFonts w:cs="Arial"/>
          <w:b/>
          <w:bCs/>
          <w:iCs/>
          <w:color w:val="000000"/>
        </w:rPr>
        <w:t>Stages :</w:t>
      </w:r>
      <w:r w:rsidRPr="00E12BB9">
        <w:rPr>
          <w:rFonts w:cs="Arial"/>
        </w:rPr>
        <w:t xml:space="preserve"> rémunération et indemnités versées aux stagiaires.</w:t>
      </w:r>
    </w:p>
    <w:p w14:paraId="2F6A34F2" w14:textId="77777777" w:rsidR="007D29F8" w:rsidRPr="00E12BB9" w:rsidRDefault="007D29F8" w:rsidP="007D29F8"/>
    <w:p w14:paraId="187DFBA6" w14:textId="77777777" w:rsidR="007D29F8" w:rsidRPr="00E12BB9" w:rsidRDefault="007D29F8" w:rsidP="007D29F8">
      <w:pPr>
        <w:rPr>
          <w:rFonts w:cs="Arial"/>
        </w:rPr>
      </w:pPr>
      <w:r w:rsidRPr="00E12BB9">
        <w:rPr>
          <w:rFonts w:cs="Arial"/>
          <w:b/>
          <w:bCs/>
          <w:iCs/>
          <w:color w:val="000000"/>
        </w:rPr>
        <w:t>Bourses :</w:t>
      </w:r>
      <w:r w:rsidRPr="00E12BB9">
        <w:rPr>
          <w:rFonts w:cs="Arial"/>
          <w:bCs/>
          <w:i/>
          <w:iCs/>
        </w:rPr>
        <w:t xml:space="preserve"> </w:t>
      </w:r>
      <w:r w:rsidRPr="00E12BB9">
        <w:rPr>
          <w:rFonts w:cs="Arial"/>
          <w:bCs/>
          <w:iCs/>
        </w:rPr>
        <w:t>dépenses liées à une activité de formation qui donne droit à une indemnité monétaire à des personnes qualifiées pour remplir des objectifs pédagogiques particuliers</w:t>
      </w:r>
      <w:r w:rsidRPr="00E12BB9">
        <w:rPr>
          <w:rFonts w:cs="Arial"/>
        </w:rPr>
        <w:t>.</w:t>
      </w:r>
    </w:p>
    <w:p w14:paraId="342BD554" w14:textId="77777777" w:rsidR="007D29F8" w:rsidRPr="00E12BB9" w:rsidRDefault="007D29F8" w:rsidP="007D29F8">
      <w:pPr>
        <w:rPr>
          <w:u w:val="single"/>
        </w:rPr>
      </w:pPr>
    </w:p>
    <w:p w14:paraId="10A3B453" w14:textId="77777777" w:rsidR="007D29F8" w:rsidRPr="00E12BB9" w:rsidRDefault="007D29F8" w:rsidP="007D29F8">
      <w:pPr>
        <w:rPr>
          <w:rFonts w:cs="Arial"/>
          <w:bCs/>
          <w:i/>
          <w:color w:val="26724C" w:themeColor="accent1" w:themeShade="BF"/>
        </w:rPr>
      </w:pPr>
      <w:r w:rsidRPr="00E12BB9">
        <w:rPr>
          <w:rFonts w:cs="Arial"/>
          <w:bCs/>
          <w:i/>
          <w:color w:val="26724C" w:themeColor="accent1" w:themeShade="BF"/>
        </w:rPr>
        <w:t>Voyages, formations et subventions</w:t>
      </w:r>
    </w:p>
    <w:p w14:paraId="734983D7" w14:textId="77777777" w:rsidR="007D29F8" w:rsidRPr="00E12BB9" w:rsidRDefault="007D29F8" w:rsidP="007D29F8">
      <w:pPr>
        <w:keepNext/>
        <w:rPr>
          <w:u w:val="single"/>
        </w:rPr>
      </w:pPr>
    </w:p>
    <w:p w14:paraId="6653D3B0" w14:textId="77777777" w:rsidR="007D29F8" w:rsidRPr="00E12BB9" w:rsidRDefault="007D29F8" w:rsidP="007D29F8">
      <w:pPr>
        <w:rPr>
          <w:rFonts w:cs="Arial"/>
          <w:color w:val="000000"/>
        </w:rPr>
      </w:pPr>
      <w:r w:rsidRPr="00E12BB9">
        <w:rPr>
          <w:rFonts w:cs="Arial"/>
          <w:b/>
          <w:bCs/>
          <w:iCs/>
        </w:rPr>
        <w:t>Missions de fonctionnaires :</w:t>
      </w:r>
      <w:r w:rsidRPr="00E12BB9">
        <w:rPr>
          <w:rFonts w:cs="Arial"/>
        </w:rPr>
        <w:t xml:space="preserve"> </w:t>
      </w:r>
      <w:r w:rsidRPr="00E12BB9">
        <w:rPr>
          <w:rFonts w:cs="Arial"/>
          <w:color w:val="000000"/>
        </w:rPr>
        <w:t>frais de voyage et indemnités journalières de subsistance pour tous les fonctionnaires en voyage officiel.</w:t>
      </w:r>
    </w:p>
    <w:p w14:paraId="38ED03D8" w14:textId="77777777" w:rsidR="007D29F8" w:rsidRPr="00E12BB9" w:rsidRDefault="007D29F8" w:rsidP="007D29F8"/>
    <w:p w14:paraId="77B94770" w14:textId="77777777" w:rsidR="007D29F8" w:rsidRPr="00E12BB9" w:rsidRDefault="007D29F8" w:rsidP="007D29F8">
      <w:pPr>
        <w:rPr>
          <w:rFonts w:cs="Arial"/>
          <w:color w:val="000000"/>
        </w:rPr>
      </w:pPr>
      <w:r w:rsidRPr="00E12BB9">
        <w:rPr>
          <w:rFonts w:cs="Arial"/>
          <w:b/>
          <w:bCs/>
          <w:iCs/>
          <w:color w:val="000000"/>
        </w:rPr>
        <w:t>Voyages de tiers :</w:t>
      </w:r>
      <w:r w:rsidRPr="00E12BB9">
        <w:rPr>
          <w:rFonts w:cs="Arial"/>
          <w:color w:val="000000"/>
        </w:rPr>
        <w:t xml:space="preserve"> frais de voyage et indemnités journalières de subsistance pour tous les tiers – à savoir les personnes qui ne sont pas membres du personnel.  Cela comprend les frais de voyage de fonctionnaires nationaux, de participants et de conférenciers se rendant à des réunions organisées sous l’égide de l’UPOV.</w:t>
      </w:r>
    </w:p>
    <w:p w14:paraId="19F688F4" w14:textId="77777777" w:rsidR="007D29F8" w:rsidRPr="00E12BB9" w:rsidRDefault="007D29F8" w:rsidP="007D29F8"/>
    <w:p w14:paraId="21F0B675" w14:textId="77777777" w:rsidR="007D29F8" w:rsidRPr="00E12BB9" w:rsidRDefault="007D29F8" w:rsidP="007D29F8">
      <w:pPr>
        <w:rPr>
          <w:rFonts w:cs="Arial"/>
          <w:color w:val="000000"/>
        </w:rPr>
      </w:pPr>
      <w:r w:rsidRPr="00E12BB9">
        <w:rPr>
          <w:rFonts w:cs="Arial"/>
          <w:b/>
          <w:bCs/>
          <w:iCs/>
          <w:color w:val="000000"/>
        </w:rPr>
        <w:t>Formations et frais de voyage connexes :</w:t>
      </w:r>
      <w:r w:rsidRPr="00E12BB9">
        <w:rPr>
          <w:rFonts w:cs="Arial"/>
          <w:color w:val="000000"/>
        </w:rPr>
        <w:t xml:space="preserve"> frais de voyage, indemnités journalières de subsistance, droits d’inscription et autres dépenses relatives à la participation de stagiaires aux cours, séminaires et stages.</w:t>
      </w:r>
    </w:p>
    <w:p w14:paraId="2A947ABA" w14:textId="77777777" w:rsidR="007D29F8" w:rsidRPr="00E12BB9" w:rsidRDefault="007D29F8" w:rsidP="007D29F8"/>
    <w:p w14:paraId="1D34EB58" w14:textId="77777777" w:rsidR="007D29F8" w:rsidRPr="00E12BB9" w:rsidRDefault="007D29F8" w:rsidP="007D29F8">
      <w:pPr>
        <w:rPr>
          <w:rFonts w:cs="Arial"/>
          <w:bCs/>
          <w:i/>
          <w:color w:val="26724C" w:themeColor="accent1" w:themeShade="BF"/>
        </w:rPr>
      </w:pPr>
      <w:r w:rsidRPr="00E12BB9">
        <w:rPr>
          <w:rFonts w:cs="Arial"/>
          <w:bCs/>
          <w:i/>
          <w:color w:val="26724C" w:themeColor="accent1" w:themeShade="BF"/>
        </w:rPr>
        <w:t>Services contractuels</w:t>
      </w:r>
    </w:p>
    <w:p w14:paraId="1235442C" w14:textId="77777777" w:rsidR="007D29F8" w:rsidRPr="00E12BB9" w:rsidRDefault="007D29F8" w:rsidP="007D29F8">
      <w:pPr>
        <w:keepNext/>
        <w:rPr>
          <w:u w:val="single"/>
        </w:rPr>
      </w:pPr>
    </w:p>
    <w:p w14:paraId="2084FE1D" w14:textId="77777777" w:rsidR="007D29F8" w:rsidRPr="00E12BB9" w:rsidRDefault="007D29F8" w:rsidP="007D29F8">
      <w:pPr>
        <w:keepNext/>
        <w:keepLines/>
        <w:rPr>
          <w:color w:val="000000"/>
          <w:szCs w:val="22"/>
        </w:rPr>
      </w:pPr>
      <w:r w:rsidRPr="00E12BB9">
        <w:rPr>
          <w:b/>
          <w:bCs/>
          <w:iCs/>
          <w:color w:val="000000"/>
          <w:szCs w:val="22"/>
        </w:rPr>
        <w:t>Conférences :</w:t>
      </w:r>
      <w:r w:rsidRPr="00E12BB9">
        <w:rPr>
          <w:color w:val="000000"/>
          <w:szCs w:val="22"/>
        </w:rPr>
        <w:t xml:space="preserve"> rémunération, frais de voyage et indemnités journalières de subsistance des interprètes;  location de salles de conférence et de matériel d’interprétation;  rafraîchissements et réceptions.</w:t>
      </w:r>
    </w:p>
    <w:p w14:paraId="291565DE" w14:textId="77777777" w:rsidR="007D29F8" w:rsidRPr="00E12BB9" w:rsidRDefault="007D29F8" w:rsidP="007D29F8"/>
    <w:p w14:paraId="34F1CC7E" w14:textId="77777777" w:rsidR="007D29F8" w:rsidRPr="00E12BB9" w:rsidRDefault="007D29F8" w:rsidP="007D29F8">
      <w:pPr>
        <w:rPr>
          <w:color w:val="000000"/>
          <w:szCs w:val="22"/>
        </w:rPr>
      </w:pPr>
      <w:r w:rsidRPr="00E12BB9">
        <w:rPr>
          <w:b/>
          <w:bCs/>
          <w:iCs/>
          <w:color w:val="000000"/>
          <w:szCs w:val="22"/>
        </w:rPr>
        <w:t>Publications :</w:t>
      </w:r>
      <w:r w:rsidRPr="00E12BB9">
        <w:rPr>
          <w:color w:val="000000"/>
          <w:szCs w:val="22"/>
        </w:rPr>
        <w:t xml:space="preserve"> travaux d’impression et de reliure faits à l’extérieur;  revues</w:t>
      </w:r>
      <w:proofErr w:type="gramStart"/>
      <w:r w:rsidRPr="00E12BB9">
        <w:rPr>
          <w:color w:val="000000"/>
          <w:szCs w:val="22"/>
        </w:rPr>
        <w:t>;  papier</w:t>
      </w:r>
      <w:proofErr w:type="gramEnd"/>
      <w:r w:rsidRPr="00E12BB9">
        <w:rPr>
          <w:color w:val="000000"/>
          <w:szCs w:val="22"/>
        </w:rPr>
        <w:t xml:space="preserve"> et impression;  autres travaux d’impression;  tirages à part d’articles parus dans les revues;  brochures;  traités;  recueils;  manuels;  formulaires de travail et autres travaux d’impression divers;  production de vidéos et d’autres formes de publication électronique.</w:t>
      </w:r>
    </w:p>
    <w:p w14:paraId="3B3EC541" w14:textId="77777777" w:rsidR="007D29F8" w:rsidRPr="00E12BB9" w:rsidRDefault="007D29F8" w:rsidP="007D29F8"/>
    <w:p w14:paraId="72223364" w14:textId="77777777" w:rsidR="007D29F8" w:rsidRPr="00E12BB9" w:rsidRDefault="007D29F8" w:rsidP="007D29F8">
      <w:pPr>
        <w:keepNext/>
        <w:rPr>
          <w:color w:val="000000"/>
          <w:szCs w:val="22"/>
        </w:rPr>
      </w:pPr>
      <w:r w:rsidRPr="00E12BB9">
        <w:rPr>
          <w:b/>
          <w:bCs/>
          <w:iCs/>
          <w:color w:val="000000"/>
          <w:szCs w:val="22"/>
        </w:rPr>
        <w:lastRenderedPageBreak/>
        <w:t>Services contractuels de personnes :</w:t>
      </w:r>
      <w:r w:rsidRPr="00E12BB9">
        <w:rPr>
          <w:color w:val="000000"/>
          <w:szCs w:val="22"/>
        </w:rPr>
        <w:t xml:space="preserve"> rémunération versée pour des services contractuels de personnes.</w:t>
      </w:r>
    </w:p>
    <w:p w14:paraId="251A68EF" w14:textId="77777777" w:rsidR="007D29F8" w:rsidRPr="00E12BB9" w:rsidRDefault="007D29F8" w:rsidP="007D29F8">
      <w:pPr>
        <w:keepNext/>
      </w:pPr>
    </w:p>
    <w:p w14:paraId="013857FE" w14:textId="77777777" w:rsidR="007D29F8" w:rsidRPr="00E12BB9" w:rsidRDefault="007D29F8" w:rsidP="007D29F8">
      <w:pPr>
        <w:rPr>
          <w:color w:val="000000"/>
          <w:szCs w:val="22"/>
        </w:rPr>
      </w:pPr>
      <w:r w:rsidRPr="00E12BB9">
        <w:rPr>
          <w:b/>
          <w:bCs/>
          <w:iCs/>
          <w:color w:val="000000"/>
          <w:spacing w:val="-2"/>
          <w:szCs w:val="22"/>
        </w:rPr>
        <w:t>Autres services contractuels :</w:t>
      </w:r>
      <w:r w:rsidRPr="00E12BB9">
        <w:rPr>
          <w:bCs/>
          <w:iCs/>
          <w:color w:val="000000"/>
          <w:spacing w:val="-2"/>
          <w:szCs w:val="22"/>
        </w:rPr>
        <w:t xml:space="preserve"> </w:t>
      </w:r>
      <w:r w:rsidRPr="00E12BB9">
        <w:rPr>
          <w:color w:val="000000"/>
          <w:spacing w:val="-2"/>
          <w:szCs w:val="22"/>
        </w:rPr>
        <w:t>comprend tous les autres services contractuels conclus avec des prestataires de services commerciaux et non commerciaux</w:t>
      </w:r>
      <w:r w:rsidRPr="00E12BB9">
        <w:rPr>
          <w:color w:val="000000"/>
          <w:szCs w:val="22"/>
        </w:rPr>
        <w:t>.</w:t>
      </w:r>
    </w:p>
    <w:p w14:paraId="69946378" w14:textId="77777777" w:rsidR="007D29F8" w:rsidRPr="00E12BB9" w:rsidRDefault="007D29F8" w:rsidP="007D29F8">
      <w:pPr>
        <w:rPr>
          <w:color w:val="000000"/>
          <w:szCs w:val="22"/>
        </w:rPr>
      </w:pPr>
    </w:p>
    <w:p w14:paraId="7CB8D546" w14:textId="77777777" w:rsidR="007D29F8" w:rsidRPr="00E12BB9" w:rsidRDefault="007D29F8" w:rsidP="007D29F8">
      <w:pPr>
        <w:keepNext/>
        <w:rPr>
          <w:rFonts w:cs="Arial"/>
          <w:bCs/>
          <w:i/>
          <w:color w:val="26724C" w:themeColor="accent1" w:themeShade="BF"/>
        </w:rPr>
      </w:pPr>
      <w:r w:rsidRPr="00E12BB9">
        <w:rPr>
          <w:rFonts w:cs="Arial"/>
          <w:bCs/>
          <w:i/>
          <w:color w:val="26724C" w:themeColor="accent1" w:themeShade="BF"/>
        </w:rPr>
        <w:t>Dépenses de fonctionnement</w:t>
      </w:r>
    </w:p>
    <w:p w14:paraId="59DACC33" w14:textId="77777777" w:rsidR="007D29F8" w:rsidRPr="00E12BB9" w:rsidRDefault="007D29F8" w:rsidP="007D29F8">
      <w:pPr>
        <w:keepNext/>
        <w:rPr>
          <w:b/>
          <w:u w:val="single"/>
        </w:rPr>
      </w:pPr>
    </w:p>
    <w:p w14:paraId="39D89E6A" w14:textId="77777777" w:rsidR="007D29F8" w:rsidRPr="00E12BB9" w:rsidRDefault="007D29F8" w:rsidP="007D29F8">
      <w:pPr>
        <w:rPr>
          <w:b/>
        </w:rPr>
      </w:pPr>
      <w:r w:rsidRPr="00E12BB9">
        <w:t>Toutes les dépenses afférentes à l’acquisition, à la location, à l’amélioration et à l’entretien de bureaux et à la location ou à l’entretien de matériel et de mobilier.  Dépenses de communication comprenant les frais de téléphone, Internet, télécopie et courrier;  autres dépenses de fonctionnement, notamment : assistance médicale, service logement, tribunal administratif, association du personnel, frais de représentation;  frais bancaires;  intérêts sur prêts bancaires et autres (à l’exception des prêts relatifs aux bâtiments);  ajustements de change (débits);  dépenses relatives à la vérification des comptes;  dépenses imprévues et ajustements comptables (débits) relatifs à des années antérieures, et contributions aux activités administratives communes dans le cadre du régime commun des Nations Unies.  En outre, toutes les dépenses communes liées soit à des activités communes avec l’OMPI, soit à des services effectivement rendus par l’OMPI</w:t>
      </w:r>
      <w:r w:rsidRPr="00E12BB9">
        <w:rPr>
          <w:color w:val="000000"/>
        </w:rPr>
        <w:t>.</w:t>
      </w:r>
    </w:p>
    <w:p w14:paraId="464212D6" w14:textId="77777777" w:rsidR="007D29F8" w:rsidRPr="00E12BB9" w:rsidRDefault="007D29F8" w:rsidP="007D29F8">
      <w:pPr>
        <w:rPr>
          <w:b/>
        </w:rPr>
      </w:pPr>
    </w:p>
    <w:p w14:paraId="6FD97CC6" w14:textId="77777777" w:rsidR="007D29F8" w:rsidRPr="00E12BB9" w:rsidRDefault="007D29F8" w:rsidP="007D29F8">
      <w:pPr>
        <w:keepNext/>
        <w:rPr>
          <w:rFonts w:cs="Arial"/>
          <w:bCs/>
          <w:i/>
          <w:color w:val="26724C" w:themeColor="accent1" w:themeShade="BF"/>
        </w:rPr>
      </w:pPr>
      <w:r w:rsidRPr="00E12BB9">
        <w:rPr>
          <w:rFonts w:cs="Arial"/>
          <w:bCs/>
          <w:i/>
          <w:color w:val="26724C" w:themeColor="accent1" w:themeShade="BF"/>
        </w:rPr>
        <w:t>Matériel et fournitures</w:t>
      </w:r>
    </w:p>
    <w:p w14:paraId="05949A64" w14:textId="77777777" w:rsidR="007D29F8" w:rsidRPr="00E12BB9" w:rsidRDefault="007D29F8" w:rsidP="007D29F8">
      <w:pPr>
        <w:rPr>
          <w:rFonts w:cs="Arial"/>
        </w:rPr>
      </w:pPr>
    </w:p>
    <w:p w14:paraId="30F39584" w14:textId="77777777" w:rsidR="007D29F8" w:rsidRPr="00E12BB9" w:rsidRDefault="007D29F8" w:rsidP="007D29F8">
      <w:pPr>
        <w:rPr>
          <w:rFonts w:cs="Arial"/>
          <w:color w:val="000000"/>
        </w:rPr>
      </w:pPr>
      <w:r w:rsidRPr="00E12BB9">
        <w:rPr>
          <w:rFonts w:cs="Arial"/>
          <w:b/>
          <w:bCs/>
          <w:iCs/>
        </w:rPr>
        <w:t>Mobilier et matériel :</w:t>
      </w:r>
      <w:r w:rsidRPr="00E12BB9">
        <w:rPr>
          <w:rFonts w:cs="Arial"/>
        </w:rPr>
        <w:t xml:space="preserve"> </w:t>
      </w:r>
      <w:r w:rsidRPr="00E12BB9">
        <w:rPr>
          <w:rFonts w:cs="Arial"/>
          <w:color w:val="000000"/>
        </w:rPr>
        <w:t>achat de mobilier et machines de bureau, de matériel informatique (ordinateurs personnels, ordinateurs portables, imprimantes, serveurs, etc.), de matériel utilisé pour les conférences, de matériel de reproduction des documents et de matériel de transport.</w:t>
      </w:r>
    </w:p>
    <w:p w14:paraId="0BBBC2B9" w14:textId="77777777" w:rsidR="007D29F8" w:rsidRPr="00E12BB9" w:rsidRDefault="007D29F8" w:rsidP="007D29F8"/>
    <w:p w14:paraId="3D29D78C" w14:textId="77777777" w:rsidR="007D29F8" w:rsidRPr="00E12BB9" w:rsidRDefault="007D29F8" w:rsidP="007D29F8">
      <w:pPr>
        <w:rPr>
          <w:rFonts w:cs="Arial"/>
          <w:color w:val="000000"/>
        </w:rPr>
      </w:pPr>
      <w:r w:rsidRPr="00E12BB9">
        <w:rPr>
          <w:rFonts w:cs="Arial"/>
          <w:b/>
          <w:bCs/>
          <w:iCs/>
          <w:color w:val="000000"/>
        </w:rPr>
        <w:t>Fournitures :</w:t>
      </w:r>
      <w:r w:rsidRPr="00E12BB9">
        <w:rPr>
          <w:rFonts w:cs="Arial"/>
          <w:color w:val="000000"/>
        </w:rPr>
        <w:t xml:space="preserve"> papier et fournitures de bureau;  fournitures de reproduction interne (offset, microfilms, etc.);  livres de bibliothèque et abonnements à des revues et périodiques;  uniformes</w:t>
      </w:r>
      <w:proofErr w:type="gramStart"/>
      <w:r w:rsidRPr="00E12BB9">
        <w:rPr>
          <w:rFonts w:cs="Arial"/>
          <w:color w:val="000000"/>
        </w:rPr>
        <w:t>;  fournitures</w:t>
      </w:r>
      <w:proofErr w:type="gramEnd"/>
      <w:r w:rsidRPr="00E12BB9">
        <w:rPr>
          <w:rFonts w:cs="Arial"/>
          <w:color w:val="000000"/>
        </w:rPr>
        <w:t xml:space="preserve"> de matériel informatique;  logiciels et licences informatiques.</w:t>
      </w:r>
    </w:p>
    <w:p w14:paraId="093EF360" w14:textId="77777777" w:rsidR="007D29F8" w:rsidRPr="007D29F8" w:rsidRDefault="007D29F8" w:rsidP="007D29F8">
      <w:pPr>
        <w:pStyle w:val="endofdoc"/>
        <w:rPr>
          <w:lang w:val="fr-FR"/>
        </w:rPr>
      </w:pPr>
      <w:r w:rsidRPr="007D29F8">
        <w:rPr>
          <w:lang w:val="fr-FR"/>
        </w:rPr>
        <w:t>[Fin de l’appendice III et du document]</w:t>
      </w:r>
    </w:p>
    <w:p w14:paraId="4F0B515D" w14:textId="77777777" w:rsidR="00050E16" w:rsidRPr="00C5280D" w:rsidRDefault="00050E16" w:rsidP="009B440E">
      <w:pPr>
        <w:jc w:val="left"/>
      </w:pPr>
    </w:p>
    <w:sectPr w:rsidR="00050E16" w:rsidRPr="00C5280D" w:rsidSect="00F1091C">
      <w:headerReference w:type="even" r:id="rId44"/>
      <w:headerReference w:type="default" r:id="rId45"/>
      <w:footerReference w:type="even" r:id="rId46"/>
      <w:footerReference w:type="default" r:id="rId47"/>
      <w:headerReference w:type="first" r:id="rId48"/>
      <w:footerReference w:type="first" r:id="rId49"/>
      <w:pgSz w:w="11907" w:h="16840" w:code="9"/>
      <w:pgMar w:top="510" w:right="1134" w:bottom="993"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E396" w14:textId="77777777" w:rsidR="007D29F8" w:rsidRDefault="007D29F8" w:rsidP="006655D3">
      <w:r>
        <w:separator/>
      </w:r>
    </w:p>
    <w:p w14:paraId="782EB9F2" w14:textId="77777777" w:rsidR="007D29F8" w:rsidRDefault="007D29F8" w:rsidP="006655D3"/>
    <w:p w14:paraId="33A06B8E" w14:textId="77777777" w:rsidR="007D29F8" w:rsidRDefault="007D29F8" w:rsidP="006655D3"/>
  </w:endnote>
  <w:endnote w:type="continuationSeparator" w:id="0">
    <w:p w14:paraId="53DDACF5" w14:textId="77777777" w:rsidR="007D29F8" w:rsidRDefault="007D29F8" w:rsidP="006655D3">
      <w:r>
        <w:separator/>
      </w:r>
    </w:p>
    <w:p w14:paraId="7A412843" w14:textId="77777777" w:rsidR="007D29F8" w:rsidRPr="00294751" w:rsidRDefault="007D29F8">
      <w:pPr>
        <w:pStyle w:val="Footer"/>
        <w:spacing w:after="60"/>
        <w:rPr>
          <w:sz w:val="18"/>
          <w:lang w:val="fr-FR"/>
        </w:rPr>
      </w:pPr>
      <w:r w:rsidRPr="00294751">
        <w:rPr>
          <w:sz w:val="18"/>
          <w:lang w:val="fr-FR"/>
        </w:rPr>
        <w:t>[Suite de la note de la page précédente]</w:t>
      </w:r>
    </w:p>
    <w:p w14:paraId="30B29CCF" w14:textId="77777777" w:rsidR="007D29F8" w:rsidRPr="00294751" w:rsidRDefault="007D29F8" w:rsidP="006655D3"/>
    <w:p w14:paraId="4F367E73" w14:textId="77777777" w:rsidR="007D29F8" w:rsidRPr="00294751" w:rsidRDefault="007D29F8" w:rsidP="006655D3"/>
  </w:endnote>
  <w:endnote w:type="continuationNotice" w:id="1">
    <w:p w14:paraId="5C8E9C18" w14:textId="77777777" w:rsidR="007D29F8" w:rsidRPr="00294751" w:rsidRDefault="007D29F8" w:rsidP="006655D3">
      <w:r w:rsidRPr="00294751">
        <w:t>[Suite de la note page suivante]</w:t>
      </w:r>
    </w:p>
    <w:p w14:paraId="660720CE" w14:textId="77777777" w:rsidR="007D29F8" w:rsidRPr="00294751" w:rsidRDefault="007D29F8" w:rsidP="006655D3"/>
    <w:p w14:paraId="3A8261BE" w14:textId="77777777" w:rsidR="007D29F8" w:rsidRPr="00294751" w:rsidRDefault="007D29F8"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7A29" w14:textId="77777777" w:rsidR="007D29F8" w:rsidRDefault="007D29F8" w:rsidP="008224B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9020" w14:textId="77777777" w:rsidR="007D29F8" w:rsidRDefault="007D29F8" w:rsidP="008224B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7009" w14:textId="77777777" w:rsidR="007D29F8" w:rsidRDefault="007D29F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D38B" w14:textId="77777777" w:rsidR="007D29F8" w:rsidRDefault="007D29F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DFB2" w14:textId="77777777" w:rsidR="007D29F8" w:rsidRDefault="007D29F8" w:rsidP="0077481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F73" w14:textId="77777777" w:rsidR="007D29F8" w:rsidRDefault="007D29F8" w:rsidP="0077481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1C97" w14:textId="77777777" w:rsidR="007D29F8" w:rsidRDefault="007D29F8" w:rsidP="0077481D">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0C87" w14:textId="77777777" w:rsidR="00816372" w:rsidRDefault="0000207E" w:rsidP="008224B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A112" w14:textId="77777777" w:rsidR="00816372" w:rsidRDefault="0000207E">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4734" w14:textId="77777777" w:rsidR="00816372" w:rsidRDefault="00002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8D74" w14:textId="77777777" w:rsidR="007D29F8" w:rsidRDefault="007D2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EC38" w14:textId="77777777" w:rsidR="007D29F8" w:rsidRDefault="007D29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4A56" w14:textId="77777777" w:rsidR="007D29F8" w:rsidRDefault="007D29F8" w:rsidP="008224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A5B0" w14:textId="77777777" w:rsidR="007D29F8" w:rsidRDefault="007D29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8D5F" w14:textId="77777777" w:rsidR="007D29F8" w:rsidRDefault="007D29F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3D92" w14:textId="77777777" w:rsidR="007D29F8" w:rsidRDefault="007D29F8" w:rsidP="008224B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3FA3" w14:textId="77777777" w:rsidR="007D29F8" w:rsidRDefault="007D29F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FBCF" w14:textId="77777777" w:rsidR="007D29F8" w:rsidRDefault="007D29F8" w:rsidP="0082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31534" w14:textId="77777777" w:rsidR="007D29F8" w:rsidRDefault="007D29F8" w:rsidP="006655D3">
      <w:r>
        <w:separator/>
      </w:r>
    </w:p>
  </w:footnote>
  <w:footnote w:type="continuationSeparator" w:id="0">
    <w:p w14:paraId="5614F708" w14:textId="77777777" w:rsidR="007D29F8" w:rsidRDefault="007D29F8" w:rsidP="006655D3">
      <w:r>
        <w:separator/>
      </w:r>
    </w:p>
  </w:footnote>
  <w:footnote w:type="continuationNotice" w:id="1">
    <w:p w14:paraId="620A3775" w14:textId="77777777" w:rsidR="007D29F8" w:rsidRPr="00AB530F" w:rsidRDefault="007D29F8" w:rsidP="00AB530F">
      <w:pPr>
        <w:pStyle w:val="Footer"/>
      </w:pPr>
    </w:p>
  </w:footnote>
  <w:footnote w:id="2">
    <w:p w14:paraId="559278EE" w14:textId="77777777" w:rsidR="007D29F8" w:rsidRPr="00C82FAB" w:rsidRDefault="007D29F8" w:rsidP="007D29F8">
      <w:pPr>
        <w:pStyle w:val="FootnoteText"/>
        <w:rPr>
          <w:lang w:val="fr-FR"/>
        </w:rPr>
      </w:pPr>
      <w:r w:rsidRPr="00C82FAB">
        <w:rPr>
          <w:rStyle w:val="FootnoteReference"/>
          <w:lang w:val="fr-FR"/>
        </w:rPr>
        <w:footnoteRef/>
      </w:r>
      <w:r w:rsidRPr="00C82FAB">
        <w:rPr>
          <w:lang w:val="fr-FR"/>
        </w:rPr>
        <w:tab/>
        <w:t xml:space="preserve">La somme des montants figurant dans les tableaux 1 à </w:t>
      </w:r>
      <w:r>
        <w:rPr>
          <w:lang w:val="fr-FR"/>
        </w:rPr>
        <w:t>7</w:t>
      </w:r>
      <w:r w:rsidRPr="00C82FAB">
        <w:rPr>
          <w:lang w:val="fr-FR"/>
        </w:rPr>
        <w:t xml:space="preserve"> ne correspond pas forcément au total, les chiffres ayant été arrondis.</w:t>
      </w:r>
    </w:p>
  </w:footnote>
  <w:footnote w:id="3">
    <w:p w14:paraId="6F36352C" w14:textId="77777777" w:rsidR="007D29F8" w:rsidRPr="00C82FAB" w:rsidRDefault="007D29F8" w:rsidP="007D29F8">
      <w:pPr>
        <w:pStyle w:val="FootnoteText"/>
        <w:rPr>
          <w:lang w:val="fr-FR"/>
        </w:rPr>
      </w:pPr>
      <w:r w:rsidRPr="00C82FAB">
        <w:rPr>
          <w:rStyle w:val="FootnoteReference"/>
          <w:lang w:val="fr-FR"/>
        </w:rPr>
        <w:footnoteRef/>
      </w:r>
      <w:r w:rsidRPr="00C82FAB">
        <w:rPr>
          <w:lang w:val="fr-FR"/>
        </w:rPr>
        <w:tab/>
      </w:r>
      <w:r>
        <w:rPr>
          <w:lang w:val="fr-FR"/>
        </w:rPr>
        <w:t>L</w:t>
      </w:r>
      <w:r w:rsidRPr="00C82FAB">
        <w:rPr>
          <w:lang w:val="fr-FR"/>
        </w:rPr>
        <w:t>’article 6.</w:t>
      </w:r>
      <w:r>
        <w:rPr>
          <w:lang w:val="fr-FR"/>
        </w:rPr>
        <w:t>1</w:t>
      </w:r>
      <w:r w:rsidRPr="00C82FAB">
        <w:rPr>
          <w:lang w:val="fr-FR"/>
        </w:rPr>
        <w:t xml:space="preserve">) </w:t>
      </w:r>
      <w:r>
        <w:rPr>
          <w:lang w:val="fr-FR"/>
        </w:rPr>
        <w:t xml:space="preserve">du document UPOV/INF/8 </w:t>
      </w:r>
      <w:r w:rsidRPr="00C82FAB">
        <w:rPr>
          <w:lang w:val="fr-FR"/>
        </w:rPr>
        <w:t>“Accord entre l’Organisation Mondiale de la Propriété Intellectuelle et l’Union internationale pour la protection des obtentions végétales”</w:t>
      </w:r>
      <w:r>
        <w:rPr>
          <w:lang w:val="fr-FR"/>
        </w:rPr>
        <w:t xml:space="preserve"> dispose ce qui suit </w:t>
      </w:r>
      <w:r w:rsidRPr="00C82FAB">
        <w:rPr>
          <w:lang w:val="fr-FR"/>
        </w:rPr>
        <w:t>: “</w:t>
      </w:r>
      <w:r>
        <w:rPr>
          <w:lang w:val="fr-FR"/>
        </w:rPr>
        <w:t xml:space="preserve">1) </w:t>
      </w:r>
      <w:r w:rsidRPr="00C82FAB">
        <w:rPr>
          <w:lang w:val="fr-FR"/>
        </w:rPr>
        <w:t xml:space="preserve">Aux fins du présent accord, on entend par </w:t>
      </w:r>
      <w:r>
        <w:rPr>
          <w:lang w:val="fr-FR"/>
        </w:rPr>
        <w:t>‘</w:t>
      </w:r>
      <w:r w:rsidRPr="00C82FAB">
        <w:rPr>
          <w:lang w:val="fr-FR"/>
        </w:rPr>
        <w:t>fonctionnaires du Bureau de l’UPOV</w:t>
      </w:r>
      <w:r>
        <w:rPr>
          <w:lang w:val="fr-FR"/>
        </w:rPr>
        <w:t>’</w:t>
      </w:r>
      <w:r w:rsidRPr="00C82FAB">
        <w:rPr>
          <w:lang w:val="fr-FR"/>
        </w:rPr>
        <w:t xml:space="preserve"> le Secrétaire général adjoint de l’UPOV et toute autre personne travaillant exclusivement pour l’UPOV, tandis qu’on entend par </w:t>
      </w:r>
      <w:r>
        <w:rPr>
          <w:lang w:val="fr-FR"/>
        </w:rPr>
        <w:t>‘</w:t>
      </w:r>
      <w:r w:rsidRPr="00C82FAB">
        <w:rPr>
          <w:lang w:val="fr-FR"/>
        </w:rPr>
        <w:t>Bureau de l’UPOV</w:t>
      </w:r>
      <w:r>
        <w:rPr>
          <w:lang w:val="fr-FR"/>
        </w:rPr>
        <w:t>’</w:t>
      </w:r>
      <w:r w:rsidRPr="00C82FAB">
        <w:rPr>
          <w:lang w:val="fr-FR"/>
        </w:rPr>
        <w:t xml:space="preserve"> à la fois le Secrétaire général et les fonctionnaires du Bureau de l’UPOV.”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F27A" w14:textId="67DB40C1" w:rsidR="00182B99" w:rsidRPr="00C5280D" w:rsidRDefault="00DF48CB" w:rsidP="00A71548">
    <w:pPr>
      <w:pStyle w:val="Header"/>
      <w:rPr>
        <w:rStyle w:val="PageNumber"/>
      </w:rPr>
    </w:pPr>
    <w:r>
      <w:rPr>
        <w:rStyle w:val="PageNumber"/>
      </w:rPr>
      <w:t>C/57/4 Rev.</w:t>
    </w:r>
  </w:p>
  <w:p w14:paraId="11A90784" w14:textId="77777777" w:rsidR="00182B99" w:rsidRPr="00C5280D" w:rsidRDefault="00182B99" w:rsidP="00EB048E">
    <w:pPr>
      <w:pStyle w:val="Header"/>
    </w:pP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71548">
      <w:rPr>
        <w:rStyle w:val="PageNumber"/>
        <w:noProof/>
      </w:rPr>
      <w:t>2</w:t>
    </w:r>
    <w:r w:rsidRPr="00C5280D">
      <w:rPr>
        <w:rStyle w:val="PageNumber"/>
      </w:rPr>
      <w:fldChar w:fldCharType="end"/>
    </w:r>
  </w:p>
  <w:p w14:paraId="1C921A96" w14:textId="77777777" w:rsidR="00182B99" w:rsidRPr="00C5280D" w:rsidRDefault="00182B99"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8234" w14:textId="77777777" w:rsidR="007D29F8" w:rsidRPr="00C5280D" w:rsidRDefault="007D29F8" w:rsidP="008224BD">
    <w:pPr>
      <w:pStyle w:val="Header"/>
      <w:rPr>
        <w:rStyle w:val="PageNumber"/>
      </w:rPr>
    </w:pPr>
    <w:r>
      <w:t xml:space="preserve">Preliminary </w:t>
    </w:r>
    <w:r w:rsidRPr="008211E4">
      <w:t xml:space="preserve">Draft Program and Budget for the </w:t>
    </w:r>
    <w:r>
      <w:t>2024</w:t>
    </w:r>
    <w:r>
      <w:noBreakHyphen/>
      <w:t>2025 </w:t>
    </w:r>
    <w:r w:rsidRPr="008211E4">
      <w:t>Biennium</w:t>
    </w:r>
  </w:p>
  <w:p w14:paraId="64CAEB9E" w14:textId="77777777" w:rsidR="007D29F8" w:rsidRPr="00FE0119" w:rsidRDefault="007D29F8" w:rsidP="008224BD">
    <w:pPr>
      <w:pStyle w:val="Header"/>
    </w:pPr>
    <w:r w:rsidRPr="00FE0119">
      <w:t>Annex</w:t>
    </w:r>
    <w:r>
      <w:t xml:space="preserve"> II</w:t>
    </w:r>
    <w:r w:rsidRPr="00FE0119">
      <w:t xml:space="preserve">, page </w:t>
    </w:r>
    <w:sdt>
      <w:sdtPr>
        <w:id w:val="1341588206"/>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57BDE75C" w14:textId="77777777" w:rsidR="007D29F8" w:rsidRPr="00FE0119" w:rsidRDefault="007D29F8" w:rsidP="008224B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5684" w14:textId="77777777" w:rsidR="007D29F8" w:rsidRPr="00C5280D" w:rsidRDefault="007D29F8" w:rsidP="001A7881">
    <w:pPr>
      <w:pStyle w:val="Header"/>
      <w:rPr>
        <w:rStyle w:val="PageNumber"/>
      </w:rPr>
    </w:pPr>
    <w:r>
      <w:t xml:space="preserve">Preliminary </w:t>
    </w:r>
    <w:r w:rsidRPr="008211E4">
      <w:t xml:space="preserve">Draft Program and Budget for the </w:t>
    </w:r>
    <w:r>
      <w:t>2024</w:t>
    </w:r>
    <w:r>
      <w:noBreakHyphen/>
      <w:t>2025 </w:t>
    </w:r>
    <w:r w:rsidRPr="008211E4">
      <w:t>Biennium</w:t>
    </w:r>
  </w:p>
  <w:p w14:paraId="6FFC0541" w14:textId="77777777" w:rsidR="007D29F8" w:rsidRPr="001A7881" w:rsidRDefault="007D29F8" w:rsidP="001A788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0F05" w14:textId="77777777" w:rsidR="002F643C" w:rsidRPr="004F4000" w:rsidRDefault="002F643C" w:rsidP="002F643C">
    <w:pPr>
      <w:pStyle w:val="Header"/>
      <w:jc w:val="right"/>
      <w:rPr>
        <w:b/>
        <w:color w:val="26724C" w:themeColor="accent1" w:themeShade="BF"/>
      </w:rPr>
    </w:pPr>
    <w:r w:rsidRPr="004F4000">
      <w:rPr>
        <w:b/>
        <w:color w:val="26724C" w:themeColor="accent1" w:themeShade="BF"/>
      </w:rPr>
      <w:t>UPOV</w:t>
    </w:r>
  </w:p>
  <w:p w14:paraId="1A850CBC" w14:textId="11EB7B03" w:rsidR="002F643C" w:rsidRPr="004F4000" w:rsidRDefault="008C017E" w:rsidP="002F643C">
    <w:pPr>
      <w:pStyle w:val="Header"/>
      <w:jc w:val="right"/>
      <w:rPr>
        <w:color w:val="26724C" w:themeColor="accent1" w:themeShade="BF"/>
      </w:rPr>
    </w:pPr>
    <w:r>
      <w:rPr>
        <w:color w:val="26724C" w:themeColor="accent1" w:themeShade="BF"/>
        <w:lang w:val="fr-FR"/>
      </w:rPr>
      <w:t>P</w:t>
    </w:r>
    <w:r w:rsidR="002F643C" w:rsidRPr="00510113">
      <w:rPr>
        <w:color w:val="26724C" w:themeColor="accent1" w:themeShade="BF"/>
        <w:lang w:val="fr-FR"/>
      </w:rPr>
      <w:t xml:space="preserve">rogramme et budget pour </w:t>
    </w:r>
    <w:r w:rsidR="002F643C">
      <w:rPr>
        <w:color w:val="26724C" w:themeColor="accent1" w:themeShade="BF"/>
      </w:rPr>
      <w:t>2024</w:t>
    </w:r>
    <w:r w:rsidR="002F643C">
      <w:rPr>
        <w:color w:val="26724C" w:themeColor="accent1" w:themeShade="BF"/>
      </w:rPr>
      <w:noBreakHyphen/>
      <w:t>2025</w:t>
    </w:r>
  </w:p>
  <w:p w14:paraId="7D463A92" w14:textId="77777777" w:rsidR="002F643C" w:rsidRPr="008B40C0" w:rsidRDefault="002F643C" w:rsidP="002F643C">
    <w:pPr>
      <w:pStyle w:val="Header"/>
      <w:pBdr>
        <w:bottom w:val="single" w:sz="4" w:space="1" w:color="auto"/>
      </w:pBdr>
      <w:jc w:val="right"/>
      <w:rPr>
        <w:color w:val="26724C" w:themeColor="accent1" w:themeShade="BF"/>
      </w:rPr>
    </w:pPr>
    <w:r>
      <w:rPr>
        <w:color w:val="26724C" w:themeColor="accent1" w:themeShade="BF"/>
      </w:rPr>
      <w:t xml:space="preserve">Appendix II, </w:t>
    </w:r>
    <w:r w:rsidRPr="008B40C0">
      <w:rPr>
        <w:color w:val="26724C" w:themeColor="accent1" w:themeShade="BF"/>
      </w:rPr>
      <w:t xml:space="preserve">page </w:t>
    </w:r>
    <w:sdt>
      <w:sdtPr>
        <w:rPr>
          <w:color w:val="26724C" w:themeColor="accent1" w:themeShade="BF"/>
        </w:rPr>
        <w:id w:val="-1115441413"/>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0</w:t>
        </w:r>
        <w:r w:rsidRPr="008B40C0">
          <w:rPr>
            <w:noProof/>
            <w:color w:val="26724C" w:themeColor="accent1" w:themeShade="BF"/>
          </w:rPr>
          <w:fldChar w:fldCharType="end"/>
        </w:r>
      </w:sdtContent>
    </w:sdt>
  </w:p>
  <w:p w14:paraId="0A41EEAD" w14:textId="77777777" w:rsidR="007D29F8" w:rsidRPr="00D4705E" w:rsidRDefault="007D29F8" w:rsidP="00495E48">
    <w:pP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D2F6" w14:textId="77777777" w:rsidR="007D29F8" w:rsidRPr="00696FB8" w:rsidRDefault="007D29F8" w:rsidP="00277D28">
    <w:pPr>
      <w:pStyle w:val="Header"/>
      <w:jc w:val="right"/>
      <w:rPr>
        <w:b/>
        <w:color w:val="26724C" w:themeColor="accent1" w:themeShade="BF"/>
      </w:rPr>
    </w:pPr>
    <w:r w:rsidRPr="00696FB8">
      <w:rPr>
        <w:b/>
        <w:color w:val="26724C" w:themeColor="accent1" w:themeShade="BF"/>
      </w:rPr>
      <w:t>UPOV</w:t>
    </w:r>
  </w:p>
  <w:p w14:paraId="06F7233A" w14:textId="168187D9" w:rsidR="007D29F8" w:rsidRPr="00495E48" w:rsidRDefault="008C017E" w:rsidP="00277D28">
    <w:pPr>
      <w:pStyle w:val="Header"/>
      <w:jc w:val="right"/>
      <w:rPr>
        <w:color w:val="26724C" w:themeColor="accent1" w:themeShade="BF"/>
      </w:rPr>
    </w:pPr>
    <w:r>
      <w:rPr>
        <w:color w:val="26724C" w:themeColor="accent1" w:themeShade="BF"/>
        <w:lang w:val="fr-FR"/>
      </w:rPr>
      <w:t>P</w:t>
    </w:r>
    <w:r w:rsidR="007D29F8" w:rsidRPr="00510113">
      <w:rPr>
        <w:color w:val="26724C" w:themeColor="accent1" w:themeShade="BF"/>
        <w:lang w:val="fr-FR"/>
      </w:rPr>
      <w:t xml:space="preserve">rogramme et budget pour </w:t>
    </w:r>
    <w:r w:rsidR="007D29F8">
      <w:rPr>
        <w:color w:val="26724C" w:themeColor="accent1" w:themeShade="BF"/>
      </w:rPr>
      <w:t>2024</w:t>
    </w:r>
    <w:r w:rsidR="007D29F8">
      <w:rPr>
        <w:color w:val="26724C" w:themeColor="accent1" w:themeShade="BF"/>
      </w:rPr>
      <w:noBreakHyphen/>
      <w:t>2025</w:t>
    </w:r>
  </w:p>
  <w:p w14:paraId="520F2549" w14:textId="77777777" w:rsidR="007D29F8" w:rsidRPr="008B40C0" w:rsidRDefault="007D29F8" w:rsidP="00277D28">
    <w:pPr>
      <w:pStyle w:val="Header"/>
      <w:pBdr>
        <w:bottom w:val="single" w:sz="4" w:space="1" w:color="auto"/>
      </w:pBdr>
      <w:jc w:val="right"/>
      <w:rPr>
        <w:color w:val="26724C" w:themeColor="accent1" w:themeShade="BF"/>
      </w:rPr>
    </w:pPr>
    <w:r w:rsidRPr="00CF2610">
      <w:rPr>
        <w:color w:val="26724C" w:themeColor="accent1" w:themeShade="BF"/>
        <w:lang w:val="fr-CH"/>
      </w:rPr>
      <w:t>Appendice</w:t>
    </w:r>
    <w:r w:rsidRPr="008B40C0">
      <w:rPr>
        <w:color w:val="26724C" w:themeColor="accent1" w:themeShade="BF"/>
      </w:rPr>
      <w:t xml:space="preserve"> </w:t>
    </w:r>
    <w:r>
      <w:rPr>
        <w:color w:val="26724C" w:themeColor="accent1" w:themeShade="BF"/>
      </w:rPr>
      <w:t>I</w:t>
    </w:r>
    <w:r w:rsidRPr="008B40C0">
      <w:rPr>
        <w:color w:val="26724C" w:themeColor="accent1" w:themeShade="BF"/>
      </w:rPr>
      <w:t>I</w:t>
    </w:r>
    <w:r>
      <w:rPr>
        <w:color w:val="26724C" w:themeColor="accent1" w:themeShade="BF"/>
      </w:rPr>
      <w:t xml:space="preserve">, </w:t>
    </w:r>
    <w:r w:rsidRPr="008B40C0">
      <w:rPr>
        <w:color w:val="26724C" w:themeColor="accent1" w:themeShade="BF"/>
      </w:rPr>
      <w:t xml:space="preserve">page </w:t>
    </w:r>
    <w:sdt>
      <w:sdtPr>
        <w:rPr>
          <w:color w:val="26724C" w:themeColor="accent1" w:themeShade="BF"/>
        </w:rPr>
        <w:id w:val="-1212725565"/>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sidR="002F643C">
          <w:rPr>
            <w:noProof/>
            <w:color w:val="26724C" w:themeColor="accent1" w:themeShade="BF"/>
          </w:rPr>
          <w:t>22</w:t>
        </w:r>
        <w:r w:rsidRPr="008B40C0">
          <w:rPr>
            <w:noProof/>
            <w:color w:val="26724C" w:themeColor="accent1" w:themeShade="BF"/>
          </w:rPr>
          <w:fldChar w:fldCharType="end"/>
        </w:r>
      </w:sdtContent>
    </w:sdt>
  </w:p>
  <w:p w14:paraId="2A164AB8" w14:textId="77777777" w:rsidR="007D29F8" w:rsidRPr="008B40C0" w:rsidRDefault="007D29F8" w:rsidP="00277D28">
    <w:pPr>
      <w:pStyle w:val="Header"/>
      <w:jc w:val="right"/>
      <w:rPr>
        <w:color w:val="26724C" w:themeColor="accent1" w:themeShade="BF"/>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73F9" w14:textId="77777777" w:rsidR="007D29F8" w:rsidRPr="00696FB8" w:rsidRDefault="007D29F8" w:rsidP="00495E48">
    <w:pPr>
      <w:pStyle w:val="Header"/>
      <w:jc w:val="right"/>
      <w:rPr>
        <w:b/>
        <w:color w:val="26724C" w:themeColor="accent1" w:themeShade="BF"/>
      </w:rPr>
    </w:pPr>
    <w:r w:rsidRPr="00696FB8">
      <w:rPr>
        <w:b/>
        <w:color w:val="26724C" w:themeColor="accent1" w:themeShade="BF"/>
      </w:rPr>
      <w:t>UPOV</w:t>
    </w:r>
  </w:p>
  <w:p w14:paraId="2FA4C910" w14:textId="77777777" w:rsidR="007D29F8" w:rsidRPr="00495E48" w:rsidRDefault="007D29F8" w:rsidP="00495E48">
    <w:pPr>
      <w:pStyle w:val="Header"/>
      <w:jc w:val="right"/>
      <w:rPr>
        <w:color w:val="26724C" w:themeColor="accent1" w:themeShade="BF"/>
      </w:rPr>
    </w:pPr>
    <w:r>
      <w:rPr>
        <w:color w:val="26724C" w:themeColor="accent1" w:themeShade="BF"/>
      </w:rPr>
      <w:t xml:space="preserve">Preliminary </w:t>
    </w:r>
    <w:r w:rsidRPr="00696FB8">
      <w:rPr>
        <w:color w:val="26724C" w:themeColor="accent1" w:themeShade="BF"/>
      </w:rPr>
      <w:t xml:space="preserve">Draft </w:t>
    </w:r>
    <w:r w:rsidRPr="00495E48">
      <w:rPr>
        <w:color w:val="26724C" w:themeColor="accent1" w:themeShade="BF"/>
      </w:rPr>
      <w:t xml:space="preserve">Program and Budget </w:t>
    </w:r>
    <w:r>
      <w:rPr>
        <w:color w:val="26724C" w:themeColor="accent1" w:themeShade="BF"/>
      </w:rPr>
      <w:t>2024</w:t>
    </w:r>
    <w:r>
      <w:rPr>
        <w:color w:val="26724C" w:themeColor="accent1" w:themeShade="BF"/>
      </w:rPr>
      <w:noBreakHyphen/>
      <w:t>2025</w:t>
    </w:r>
  </w:p>
  <w:p w14:paraId="5FC227BA" w14:textId="77777777" w:rsidR="007D29F8" w:rsidRPr="008B40C0" w:rsidRDefault="007D29F8" w:rsidP="008B40C0">
    <w:pPr>
      <w:pStyle w:val="Header"/>
      <w:pBdr>
        <w:bottom w:val="single" w:sz="4" w:space="1" w:color="auto"/>
      </w:pBdr>
      <w:jc w:val="right"/>
      <w:rPr>
        <w:color w:val="26724C" w:themeColor="accent1" w:themeShade="BF"/>
      </w:rPr>
    </w:pPr>
    <w:r w:rsidRPr="00696FB8">
      <w:rPr>
        <w:color w:val="26724C" w:themeColor="accent1" w:themeShade="BF"/>
      </w:rPr>
      <w:t xml:space="preserve">Appendix </w:t>
    </w:r>
    <w:r>
      <w:rPr>
        <w:color w:val="26724C" w:themeColor="accent1" w:themeShade="BF"/>
      </w:rPr>
      <w:t xml:space="preserve">II, </w:t>
    </w:r>
    <w:r w:rsidRPr="008B40C0">
      <w:rPr>
        <w:color w:val="26724C" w:themeColor="accent1" w:themeShade="BF"/>
      </w:rPr>
      <w:t xml:space="preserve">page </w:t>
    </w:r>
    <w:sdt>
      <w:sdtPr>
        <w:rPr>
          <w:color w:val="26724C" w:themeColor="accent1" w:themeShade="BF"/>
        </w:rPr>
        <w:id w:val="-990558987"/>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37</w:t>
        </w:r>
        <w:r w:rsidRPr="008B40C0">
          <w:rPr>
            <w:noProof/>
            <w:color w:val="26724C" w:themeColor="accent1" w:themeShade="BF"/>
          </w:rPr>
          <w:fldChar w:fldCharType="end"/>
        </w:r>
      </w:sdtContent>
    </w:sdt>
  </w:p>
  <w:p w14:paraId="367AFE43" w14:textId="77777777" w:rsidR="007D29F8" w:rsidRPr="001522BD" w:rsidRDefault="007D29F8" w:rsidP="008B40C0">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45CD" w14:textId="77777777" w:rsidR="00816372" w:rsidRPr="00696FB8" w:rsidRDefault="007D29F8" w:rsidP="00E43F04">
    <w:pPr>
      <w:pStyle w:val="Header"/>
      <w:jc w:val="right"/>
      <w:rPr>
        <w:b/>
        <w:color w:val="26724C" w:themeColor="accent1" w:themeShade="BF"/>
      </w:rPr>
    </w:pPr>
    <w:r w:rsidRPr="00696FB8">
      <w:rPr>
        <w:b/>
        <w:color w:val="26724C" w:themeColor="accent1" w:themeShade="BF"/>
      </w:rPr>
      <w:t>UPOV</w:t>
    </w:r>
  </w:p>
  <w:p w14:paraId="070F90CF" w14:textId="77777777" w:rsidR="00816372" w:rsidRPr="00495E48" w:rsidRDefault="007D29F8" w:rsidP="00E43F04">
    <w:pPr>
      <w:pStyle w:val="Header"/>
      <w:jc w:val="right"/>
      <w:rPr>
        <w:color w:val="26724C" w:themeColor="accent1" w:themeShade="BF"/>
      </w:rPr>
    </w:pPr>
    <w:r>
      <w:rPr>
        <w:color w:val="26724C" w:themeColor="accent1" w:themeShade="BF"/>
      </w:rPr>
      <w:t xml:space="preserve">Preliminary </w:t>
    </w:r>
    <w:r w:rsidRPr="00696FB8">
      <w:rPr>
        <w:color w:val="26724C" w:themeColor="accent1" w:themeShade="BF"/>
      </w:rPr>
      <w:t xml:space="preserve">Draft </w:t>
    </w:r>
    <w:r w:rsidRPr="00495E48">
      <w:rPr>
        <w:color w:val="26724C" w:themeColor="accent1" w:themeShade="BF"/>
      </w:rPr>
      <w:t xml:space="preserve">Program and Budget </w:t>
    </w:r>
    <w:r>
      <w:rPr>
        <w:color w:val="26724C" w:themeColor="accent1" w:themeShade="BF"/>
      </w:rPr>
      <w:t>2024</w:t>
    </w:r>
    <w:r>
      <w:rPr>
        <w:color w:val="26724C" w:themeColor="accent1" w:themeShade="BF"/>
      </w:rPr>
      <w:noBreakHyphen/>
      <w:t>2025</w:t>
    </w:r>
  </w:p>
  <w:p w14:paraId="7B3305AD" w14:textId="77777777" w:rsidR="00816372" w:rsidRPr="008B40C0" w:rsidRDefault="007D29F8" w:rsidP="008B40C0">
    <w:pPr>
      <w:pStyle w:val="Header"/>
      <w:pBdr>
        <w:bottom w:val="single" w:sz="4" w:space="1" w:color="auto"/>
      </w:pBdr>
      <w:jc w:val="right"/>
      <w:rPr>
        <w:color w:val="26724C" w:themeColor="accent1" w:themeShade="BF"/>
        <w:lang w:val="fr-CH"/>
      </w:rPr>
    </w:pPr>
    <w:r w:rsidRPr="00E43F04">
      <w:rPr>
        <w:color w:val="26724C" w:themeColor="accent1" w:themeShade="BF"/>
      </w:rPr>
      <w:t>Appendix</w:t>
    </w:r>
    <w:r>
      <w:rPr>
        <w:color w:val="26724C" w:themeColor="accent1" w:themeShade="BF"/>
      </w:rPr>
      <w:t xml:space="preserve"> III</w:t>
    </w:r>
    <w:r w:rsidRPr="00E43F04">
      <w:rPr>
        <w:color w:val="26724C" w:themeColor="accent1" w:themeShade="BF"/>
      </w:rPr>
      <w:t>,</w:t>
    </w:r>
    <w:r w:rsidRPr="008B40C0">
      <w:rPr>
        <w:color w:val="26724C" w:themeColor="accent1" w:themeShade="BF"/>
        <w:lang w:val="fr-CH"/>
      </w:rPr>
      <w:t xml:space="preserve"> page </w:t>
    </w:r>
    <w:r w:rsidRPr="008B40C0">
      <w:rPr>
        <w:color w:val="26724C" w:themeColor="accent1" w:themeShade="BF"/>
      </w:rPr>
      <w:fldChar w:fldCharType="begin"/>
    </w:r>
    <w:r w:rsidRPr="008B40C0">
      <w:rPr>
        <w:color w:val="26724C" w:themeColor="accent1" w:themeShade="BF"/>
        <w:lang w:val="fr-CH"/>
      </w:rPr>
      <w:instrText xml:space="preserve"> PAGE   \* MERGEFORMAT </w:instrText>
    </w:r>
    <w:r w:rsidRPr="008B40C0">
      <w:rPr>
        <w:color w:val="26724C" w:themeColor="accent1" w:themeShade="BF"/>
      </w:rPr>
      <w:fldChar w:fldCharType="separate"/>
    </w:r>
    <w:r>
      <w:rPr>
        <w:noProof/>
        <w:color w:val="26724C" w:themeColor="accent1" w:themeShade="BF"/>
        <w:lang w:val="fr-CH"/>
      </w:rPr>
      <w:t>40</w:t>
    </w:r>
    <w:r w:rsidRPr="008B40C0">
      <w:rPr>
        <w:color w:val="26724C" w:themeColor="accent1" w:themeShade="BF"/>
      </w:rPr>
      <w:fldChar w:fldCharType="end"/>
    </w:r>
  </w:p>
  <w:p w14:paraId="6F6DABB1" w14:textId="77777777" w:rsidR="00816372" w:rsidRPr="00D4705E" w:rsidRDefault="0000207E" w:rsidP="008224BD">
    <w:pPr>
      <w:rPr>
        <w:lang w:val="fr-CH"/>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C6AF" w14:textId="77777777" w:rsidR="00816372" w:rsidRPr="00696FB8" w:rsidRDefault="007D29F8" w:rsidP="00277D28">
    <w:pPr>
      <w:pStyle w:val="Header"/>
      <w:jc w:val="right"/>
      <w:rPr>
        <w:b/>
        <w:color w:val="26724C" w:themeColor="accent1" w:themeShade="BF"/>
      </w:rPr>
    </w:pPr>
    <w:r w:rsidRPr="00696FB8">
      <w:rPr>
        <w:b/>
        <w:color w:val="26724C" w:themeColor="accent1" w:themeShade="BF"/>
      </w:rPr>
      <w:t>UPOV</w:t>
    </w:r>
  </w:p>
  <w:p w14:paraId="350A0BD4" w14:textId="35428A3C" w:rsidR="00816372" w:rsidRPr="00495E48" w:rsidRDefault="008C017E" w:rsidP="00277D28">
    <w:pPr>
      <w:pStyle w:val="Header"/>
      <w:jc w:val="right"/>
      <w:rPr>
        <w:color w:val="26724C" w:themeColor="accent1" w:themeShade="BF"/>
      </w:rPr>
    </w:pPr>
    <w:r>
      <w:rPr>
        <w:color w:val="26724C" w:themeColor="accent1" w:themeShade="BF"/>
        <w:lang w:val="fr-FR"/>
      </w:rPr>
      <w:t>P</w:t>
    </w:r>
    <w:r w:rsidR="007D29F8" w:rsidRPr="00510113">
      <w:rPr>
        <w:color w:val="26724C" w:themeColor="accent1" w:themeShade="BF"/>
        <w:lang w:val="fr-FR"/>
      </w:rPr>
      <w:t xml:space="preserve">rogramme et budget pour </w:t>
    </w:r>
    <w:r w:rsidR="007D29F8">
      <w:rPr>
        <w:color w:val="26724C" w:themeColor="accent1" w:themeShade="BF"/>
      </w:rPr>
      <w:t>2024</w:t>
    </w:r>
    <w:r w:rsidR="007D29F8">
      <w:rPr>
        <w:color w:val="26724C" w:themeColor="accent1" w:themeShade="BF"/>
      </w:rPr>
      <w:noBreakHyphen/>
      <w:t>2025</w:t>
    </w:r>
  </w:p>
  <w:p w14:paraId="5D749F34" w14:textId="77777777" w:rsidR="00816372" w:rsidRPr="008B40C0" w:rsidRDefault="007D29F8" w:rsidP="00277D28">
    <w:pPr>
      <w:pStyle w:val="Header"/>
      <w:pBdr>
        <w:bottom w:val="single" w:sz="4" w:space="1" w:color="auto"/>
      </w:pBdr>
      <w:jc w:val="right"/>
      <w:rPr>
        <w:color w:val="26724C" w:themeColor="accent1" w:themeShade="BF"/>
      </w:rPr>
    </w:pPr>
    <w:r w:rsidRPr="00C20EED">
      <w:rPr>
        <w:color w:val="26724C" w:themeColor="accent1" w:themeShade="BF"/>
        <w:lang w:val="fr-CH"/>
      </w:rPr>
      <w:t>Appendice</w:t>
    </w:r>
    <w:r w:rsidRPr="00696FB8">
      <w:rPr>
        <w:color w:val="26724C" w:themeColor="accent1" w:themeShade="BF"/>
      </w:rPr>
      <w:t xml:space="preserve"> I</w:t>
    </w:r>
    <w:r>
      <w:rPr>
        <w:color w:val="26724C" w:themeColor="accent1" w:themeShade="BF"/>
      </w:rPr>
      <w:t xml:space="preserve">II, </w:t>
    </w:r>
    <w:r w:rsidRPr="008B40C0">
      <w:rPr>
        <w:color w:val="26724C" w:themeColor="accent1" w:themeShade="BF"/>
      </w:rPr>
      <w:t xml:space="preserve">page </w:t>
    </w:r>
    <w:sdt>
      <w:sdtPr>
        <w:rPr>
          <w:color w:val="26724C" w:themeColor="accent1" w:themeShade="BF"/>
        </w:rPr>
        <w:id w:val="-781261850"/>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sidR="002F643C">
          <w:rPr>
            <w:noProof/>
            <w:color w:val="26724C" w:themeColor="accent1" w:themeShade="BF"/>
          </w:rPr>
          <w:t>23</w:t>
        </w:r>
        <w:r w:rsidRPr="008B40C0">
          <w:rPr>
            <w:noProof/>
            <w:color w:val="26724C" w:themeColor="accent1" w:themeShade="BF"/>
          </w:rPr>
          <w:fldChar w:fldCharType="end"/>
        </w:r>
      </w:sdtContent>
    </w:sdt>
  </w:p>
  <w:p w14:paraId="5E0C69E7" w14:textId="77777777" w:rsidR="00816372" w:rsidRPr="00277D28" w:rsidRDefault="0000207E" w:rsidP="00277D28">
    <w:pPr>
      <w:pStyle w:val="Header"/>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EC5C" w14:textId="77777777" w:rsidR="00816372" w:rsidRPr="00696FB8" w:rsidRDefault="007D29F8" w:rsidP="00495E48">
    <w:pPr>
      <w:pStyle w:val="Header"/>
      <w:jc w:val="right"/>
      <w:rPr>
        <w:b/>
        <w:color w:val="26724C" w:themeColor="accent1" w:themeShade="BF"/>
      </w:rPr>
    </w:pPr>
    <w:r w:rsidRPr="00696FB8">
      <w:rPr>
        <w:b/>
        <w:color w:val="26724C" w:themeColor="accent1" w:themeShade="BF"/>
      </w:rPr>
      <w:t>UPOV</w:t>
    </w:r>
  </w:p>
  <w:p w14:paraId="38656FAC" w14:textId="77777777" w:rsidR="00816372" w:rsidRPr="00495E48" w:rsidRDefault="007D29F8" w:rsidP="00495E48">
    <w:pPr>
      <w:pStyle w:val="Header"/>
      <w:jc w:val="right"/>
      <w:rPr>
        <w:color w:val="26724C" w:themeColor="accent1" w:themeShade="BF"/>
      </w:rPr>
    </w:pPr>
    <w:r>
      <w:rPr>
        <w:color w:val="26724C" w:themeColor="accent1" w:themeShade="BF"/>
      </w:rPr>
      <w:t xml:space="preserve">Preliminary </w:t>
    </w:r>
    <w:r w:rsidRPr="00696FB8">
      <w:rPr>
        <w:color w:val="26724C" w:themeColor="accent1" w:themeShade="BF"/>
      </w:rPr>
      <w:t xml:space="preserve">Draft </w:t>
    </w:r>
    <w:r w:rsidRPr="00495E48">
      <w:rPr>
        <w:color w:val="26724C" w:themeColor="accent1" w:themeShade="BF"/>
      </w:rPr>
      <w:t xml:space="preserve">Program and Budget </w:t>
    </w:r>
    <w:r>
      <w:rPr>
        <w:color w:val="26724C" w:themeColor="accent1" w:themeShade="BF"/>
      </w:rPr>
      <w:t>2024</w:t>
    </w:r>
    <w:r>
      <w:rPr>
        <w:color w:val="26724C" w:themeColor="accent1" w:themeShade="BF"/>
      </w:rPr>
      <w:noBreakHyphen/>
      <w:t>2025</w:t>
    </w:r>
  </w:p>
  <w:p w14:paraId="2679E2B1" w14:textId="77777777" w:rsidR="00816372" w:rsidRPr="008B40C0" w:rsidRDefault="007D29F8" w:rsidP="008B40C0">
    <w:pPr>
      <w:pStyle w:val="Header"/>
      <w:pBdr>
        <w:bottom w:val="single" w:sz="4" w:space="1" w:color="auto"/>
      </w:pBdr>
      <w:jc w:val="right"/>
      <w:rPr>
        <w:color w:val="26724C" w:themeColor="accent1" w:themeShade="BF"/>
      </w:rPr>
    </w:pPr>
    <w:r w:rsidRPr="00696FB8">
      <w:rPr>
        <w:color w:val="26724C" w:themeColor="accent1" w:themeShade="BF"/>
      </w:rPr>
      <w:t>Appendix I</w:t>
    </w:r>
    <w:r>
      <w:rPr>
        <w:color w:val="26724C" w:themeColor="accent1" w:themeShade="BF"/>
      </w:rPr>
      <w:t xml:space="preserve">II, </w:t>
    </w:r>
    <w:r w:rsidRPr="008B40C0">
      <w:rPr>
        <w:color w:val="26724C" w:themeColor="accent1" w:themeShade="BF"/>
      </w:rPr>
      <w:t xml:space="preserve">page </w:t>
    </w:r>
    <w:sdt>
      <w:sdtPr>
        <w:rPr>
          <w:color w:val="26724C" w:themeColor="accent1" w:themeShade="BF"/>
        </w:rPr>
        <w:id w:val="-1759521486"/>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39</w:t>
        </w:r>
        <w:r w:rsidRPr="008B40C0">
          <w:rPr>
            <w:noProof/>
            <w:color w:val="26724C" w:themeColor="accent1" w:themeShade="BF"/>
          </w:rPr>
          <w:fldChar w:fldCharType="end"/>
        </w:r>
      </w:sdtContent>
    </w:sdt>
  </w:p>
  <w:p w14:paraId="2CFA6589" w14:textId="77777777" w:rsidR="00816372" w:rsidRPr="001522BD" w:rsidRDefault="0000207E" w:rsidP="0005150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13D4" w14:textId="77777777" w:rsidR="007D29F8" w:rsidRPr="00696FB8" w:rsidRDefault="007D29F8" w:rsidP="00495E48">
    <w:pPr>
      <w:pStyle w:val="Header"/>
      <w:jc w:val="right"/>
      <w:rPr>
        <w:b/>
        <w:color w:val="26724C" w:themeColor="accent1" w:themeShade="BF"/>
      </w:rPr>
    </w:pPr>
    <w:r w:rsidRPr="00696FB8">
      <w:rPr>
        <w:b/>
        <w:color w:val="26724C" w:themeColor="accent1" w:themeShade="BF"/>
      </w:rPr>
      <w:t>UPOV</w:t>
    </w:r>
  </w:p>
  <w:p w14:paraId="65E7924A" w14:textId="77777777" w:rsidR="007D29F8" w:rsidRPr="00495E48" w:rsidRDefault="007D29F8" w:rsidP="00495E48">
    <w:pPr>
      <w:pStyle w:val="Header"/>
      <w:jc w:val="right"/>
      <w:rPr>
        <w:color w:val="26724C" w:themeColor="accent1" w:themeShade="BF"/>
      </w:rPr>
    </w:pPr>
    <w:r>
      <w:rPr>
        <w:color w:val="26724C" w:themeColor="accent1" w:themeShade="BF"/>
      </w:rPr>
      <w:t xml:space="preserve">Preliminary </w:t>
    </w:r>
    <w:r w:rsidRPr="00696FB8">
      <w:rPr>
        <w:color w:val="26724C" w:themeColor="accent1" w:themeShade="BF"/>
      </w:rPr>
      <w:t xml:space="preserve">Draft Program </w:t>
    </w:r>
    <w:r>
      <w:rPr>
        <w:color w:val="26724C" w:themeColor="accent1" w:themeShade="BF"/>
      </w:rPr>
      <w:t>and Budget 2024</w:t>
    </w:r>
    <w:r>
      <w:rPr>
        <w:color w:val="26724C" w:themeColor="accent1" w:themeShade="BF"/>
      </w:rPr>
      <w:noBreakHyphen/>
      <w:t>2025</w:t>
    </w:r>
    <w:r w:rsidRPr="00495E48">
      <w:rPr>
        <w:color w:val="26724C" w:themeColor="accent1" w:themeShade="BF"/>
      </w:rPr>
      <w:t> </w:t>
    </w:r>
  </w:p>
  <w:p w14:paraId="7FE41EC2" w14:textId="77777777" w:rsidR="007D29F8" w:rsidRPr="008B40C0" w:rsidRDefault="007D29F8" w:rsidP="008B40C0">
    <w:pPr>
      <w:pStyle w:val="Header"/>
      <w:pBdr>
        <w:bottom w:val="single" w:sz="4" w:space="1" w:color="auto"/>
      </w:pBdr>
      <w:jc w:val="right"/>
      <w:rPr>
        <w:color w:val="26724C" w:themeColor="accent1" w:themeShade="BF"/>
      </w:rPr>
    </w:pPr>
    <w:r w:rsidRPr="008B40C0">
      <w:rPr>
        <w:color w:val="26724C" w:themeColor="accent1" w:themeShade="BF"/>
      </w:rPr>
      <w:t xml:space="preserve">page </w:t>
    </w:r>
    <w:sdt>
      <w:sdtPr>
        <w:rPr>
          <w:color w:val="26724C" w:themeColor="accent1" w:themeShade="BF"/>
        </w:rPr>
        <w:id w:val="-621460889"/>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18</w:t>
        </w:r>
        <w:r w:rsidRPr="008B40C0">
          <w:rPr>
            <w:noProof/>
            <w:color w:val="26724C" w:themeColor="accent1" w:themeShade="BF"/>
          </w:rPr>
          <w:fldChar w:fldCharType="end"/>
        </w:r>
      </w:sdtContent>
    </w:sdt>
  </w:p>
  <w:p w14:paraId="6D7CFEAC" w14:textId="77777777" w:rsidR="007D29F8" w:rsidRPr="00FE0119" w:rsidRDefault="007D29F8" w:rsidP="008224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3AB0" w14:textId="77777777" w:rsidR="007D29F8" w:rsidRPr="004F4000" w:rsidRDefault="007D29F8" w:rsidP="00495E48">
    <w:pPr>
      <w:pStyle w:val="Header"/>
      <w:jc w:val="right"/>
      <w:rPr>
        <w:b/>
        <w:color w:val="26724C" w:themeColor="accent1" w:themeShade="BF"/>
      </w:rPr>
    </w:pPr>
    <w:r w:rsidRPr="004F4000">
      <w:rPr>
        <w:b/>
        <w:color w:val="26724C" w:themeColor="accent1" w:themeShade="BF"/>
      </w:rPr>
      <w:t>UPOV</w:t>
    </w:r>
  </w:p>
  <w:p w14:paraId="3172610F" w14:textId="77777777" w:rsidR="007D29F8" w:rsidRPr="004F4000" w:rsidRDefault="007D29F8" w:rsidP="00495E48">
    <w:pPr>
      <w:pStyle w:val="Header"/>
      <w:jc w:val="right"/>
      <w:rPr>
        <w:color w:val="26724C" w:themeColor="accent1" w:themeShade="BF"/>
      </w:rPr>
    </w:pPr>
    <w:r w:rsidRPr="00510113">
      <w:rPr>
        <w:color w:val="26724C" w:themeColor="accent1" w:themeShade="BF"/>
        <w:lang w:val="fr-FR"/>
      </w:rPr>
      <w:t xml:space="preserve">Projet de programme et budget pour </w:t>
    </w:r>
    <w:r>
      <w:rPr>
        <w:color w:val="26724C" w:themeColor="accent1" w:themeShade="BF"/>
      </w:rPr>
      <w:t>2024</w:t>
    </w:r>
    <w:r>
      <w:rPr>
        <w:color w:val="26724C" w:themeColor="accent1" w:themeShade="BF"/>
      </w:rPr>
      <w:noBreakHyphen/>
      <w:t>2025</w:t>
    </w:r>
  </w:p>
  <w:p w14:paraId="0C023E51" w14:textId="77777777" w:rsidR="007D29F8" w:rsidRPr="008B40C0" w:rsidRDefault="007D29F8" w:rsidP="008B40C0">
    <w:pPr>
      <w:pStyle w:val="Header"/>
      <w:pBdr>
        <w:bottom w:val="single" w:sz="4" w:space="1" w:color="auto"/>
      </w:pBdr>
      <w:jc w:val="right"/>
      <w:rPr>
        <w:color w:val="26724C" w:themeColor="accent1" w:themeShade="BF"/>
      </w:rPr>
    </w:pPr>
    <w:r w:rsidRPr="008B40C0">
      <w:rPr>
        <w:color w:val="26724C" w:themeColor="accent1" w:themeShade="BF"/>
      </w:rPr>
      <w:t xml:space="preserve">page </w:t>
    </w:r>
    <w:sdt>
      <w:sdtPr>
        <w:rPr>
          <w:color w:val="26724C" w:themeColor="accent1" w:themeShade="BF"/>
        </w:rPr>
        <w:id w:val="1569839975"/>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sidR="002F643C">
          <w:rPr>
            <w:noProof/>
            <w:color w:val="26724C" w:themeColor="accent1" w:themeShade="BF"/>
          </w:rPr>
          <w:t>2</w:t>
        </w:r>
        <w:r w:rsidRPr="008B40C0">
          <w:rPr>
            <w:noProof/>
            <w:color w:val="26724C" w:themeColor="accent1" w:themeShade="BF"/>
          </w:rPr>
          <w:fldChar w:fldCharType="end"/>
        </w:r>
      </w:sdtContent>
    </w:sdt>
  </w:p>
  <w:p w14:paraId="4D1D4FF0" w14:textId="77777777" w:rsidR="007D29F8" w:rsidRPr="008B40C0" w:rsidRDefault="007D29F8" w:rsidP="00F82A11">
    <w:pPr>
      <w:pStyle w:val="Header"/>
      <w:jc w:val="right"/>
      <w:rPr>
        <w:color w:val="194C33" w:themeColor="accent1" w:themeShade="8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AFD3" w14:textId="57FB1C8D" w:rsidR="007D29F8" w:rsidRDefault="00DF48CB" w:rsidP="007D29F8">
    <w:pPr>
      <w:pStyle w:val="Header"/>
    </w:pPr>
    <w:r>
      <w:t>C/57/4 Rev.</w:t>
    </w:r>
  </w:p>
  <w:p w14:paraId="52790D70" w14:textId="77777777" w:rsidR="007D29F8" w:rsidRDefault="007D29F8" w:rsidP="007D29F8">
    <w:pPr>
      <w:pStyle w:val="Header"/>
    </w:pPr>
  </w:p>
  <w:p w14:paraId="09056F16" w14:textId="77777777" w:rsidR="007D29F8" w:rsidRDefault="007D29F8" w:rsidP="007D29F8">
    <w:pPr>
      <w:pStyle w:val="Header"/>
    </w:pPr>
    <w:r>
      <w:t>ANNEXE</w:t>
    </w:r>
  </w:p>
  <w:p w14:paraId="308359F6" w14:textId="77777777" w:rsidR="007D29F8" w:rsidRDefault="007D29F8" w:rsidP="007D29F8">
    <w:pPr>
      <w:pStyle w:val="Header"/>
    </w:pPr>
  </w:p>
  <w:p w14:paraId="3A1F0A55" w14:textId="77777777" w:rsidR="007D29F8" w:rsidRPr="007D29F8" w:rsidRDefault="007D29F8" w:rsidP="007D29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90BF" w14:textId="77777777" w:rsidR="007D29F8" w:rsidRPr="00C5280D" w:rsidRDefault="007D29F8" w:rsidP="008224BD">
    <w:pPr>
      <w:pStyle w:val="Header"/>
      <w:rPr>
        <w:rStyle w:val="PageNumber"/>
      </w:rPr>
    </w:pPr>
    <w:r>
      <w:t xml:space="preserve">Preliminary </w:t>
    </w:r>
    <w:r w:rsidRPr="008211E4">
      <w:t xml:space="preserve">Draft Program and Budget for the </w:t>
    </w:r>
    <w:r>
      <w:t>2024</w:t>
    </w:r>
    <w:r>
      <w:noBreakHyphen/>
      <w:t>2025 </w:t>
    </w:r>
    <w:r w:rsidRPr="008211E4">
      <w:t>Biennium</w:t>
    </w:r>
  </w:p>
  <w:p w14:paraId="281AA590" w14:textId="77777777" w:rsidR="007D29F8" w:rsidRPr="00FE0119" w:rsidRDefault="007D29F8" w:rsidP="008224BD">
    <w:pPr>
      <w:pStyle w:val="Header"/>
    </w:pPr>
    <w:r w:rsidRPr="00FE0119">
      <w:t>Annex</w:t>
    </w:r>
    <w:r>
      <w:t xml:space="preserve"> II</w:t>
    </w:r>
    <w:r w:rsidRPr="00FE0119">
      <w:t xml:space="preserve">, page </w:t>
    </w:r>
    <w:sdt>
      <w:sdtPr>
        <w:id w:val="1872650395"/>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214E454E" w14:textId="77777777" w:rsidR="007D29F8" w:rsidRPr="00FE0119" w:rsidRDefault="007D29F8" w:rsidP="008224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5936" w14:textId="77777777" w:rsidR="007D29F8" w:rsidRPr="00696FB8" w:rsidRDefault="007D29F8" w:rsidP="00277D28">
    <w:pPr>
      <w:pStyle w:val="Header"/>
      <w:jc w:val="right"/>
      <w:rPr>
        <w:b/>
        <w:color w:val="26724C" w:themeColor="accent1" w:themeShade="BF"/>
      </w:rPr>
    </w:pPr>
    <w:r w:rsidRPr="00696FB8">
      <w:rPr>
        <w:b/>
        <w:color w:val="26724C" w:themeColor="accent1" w:themeShade="BF"/>
      </w:rPr>
      <w:t>UPOV</w:t>
    </w:r>
  </w:p>
  <w:p w14:paraId="06587969" w14:textId="0CDECC9A" w:rsidR="007D29F8" w:rsidRPr="00495E48" w:rsidRDefault="008C017E" w:rsidP="00277D28">
    <w:pPr>
      <w:pStyle w:val="Header"/>
      <w:jc w:val="right"/>
      <w:rPr>
        <w:color w:val="26724C" w:themeColor="accent1" w:themeShade="BF"/>
      </w:rPr>
    </w:pPr>
    <w:r>
      <w:rPr>
        <w:color w:val="26724C" w:themeColor="accent1" w:themeShade="BF"/>
        <w:lang w:val="fr-FR"/>
      </w:rPr>
      <w:t>P</w:t>
    </w:r>
    <w:r w:rsidR="007D29F8" w:rsidRPr="00510113">
      <w:rPr>
        <w:color w:val="26724C" w:themeColor="accent1" w:themeShade="BF"/>
        <w:lang w:val="fr-FR"/>
      </w:rPr>
      <w:t xml:space="preserve">rogramme et budget pour </w:t>
    </w:r>
    <w:r w:rsidR="007D29F8">
      <w:rPr>
        <w:color w:val="26724C" w:themeColor="accent1" w:themeShade="BF"/>
      </w:rPr>
      <w:t>2024</w:t>
    </w:r>
    <w:r w:rsidR="007D29F8">
      <w:rPr>
        <w:color w:val="26724C" w:themeColor="accent1" w:themeShade="BF"/>
      </w:rPr>
      <w:noBreakHyphen/>
      <w:t>2025</w:t>
    </w:r>
  </w:p>
  <w:p w14:paraId="0B367050" w14:textId="77777777" w:rsidR="007D29F8" w:rsidRPr="008B40C0" w:rsidRDefault="007D29F8" w:rsidP="00277D28">
    <w:pPr>
      <w:pStyle w:val="Header"/>
      <w:pBdr>
        <w:bottom w:val="single" w:sz="4" w:space="1" w:color="auto"/>
      </w:pBdr>
      <w:jc w:val="right"/>
      <w:rPr>
        <w:color w:val="26724C" w:themeColor="accent1" w:themeShade="BF"/>
      </w:rPr>
    </w:pPr>
    <w:r w:rsidRPr="00CF2610">
      <w:rPr>
        <w:color w:val="26724C" w:themeColor="accent1" w:themeShade="BF"/>
        <w:lang w:val="fr-CH"/>
      </w:rPr>
      <w:t>Appendice</w:t>
    </w:r>
    <w:r w:rsidRPr="008B40C0">
      <w:rPr>
        <w:color w:val="26724C" w:themeColor="accent1" w:themeShade="BF"/>
      </w:rPr>
      <w:t xml:space="preserve"> I</w:t>
    </w:r>
    <w:r>
      <w:rPr>
        <w:color w:val="26724C" w:themeColor="accent1" w:themeShade="BF"/>
      </w:rPr>
      <w:t xml:space="preserve">, </w:t>
    </w:r>
    <w:r w:rsidRPr="008B40C0">
      <w:rPr>
        <w:color w:val="26724C" w:themeColor="accent1" w:themeShade="BF"/>
      </w:rPr>
      <w:t xml:space="preserve">page </w:t>
    </w:r>
    <w:sdt>
      <w:sdtPr>
        <w:rPr>
          <w:color w:val="26724C" w:themeColor="accent1" w:themeShade="BF"/>
        </w:rPr>
        <w:id w:val="1225410642"/>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sidR="002F643C">
          <w:rPr>
            <w:noProof/>
            <w:color w:val="26724C" w:themeColor="accent1" w:themeShade="BF"/>
          </w:rPr>
          <w:t>20</w:t>
        </w:r>
        <w:r w:rsidRPr="008B40C0">
          <w:rPr>
            <w:noProof/>
            <w:color w:val="26724C" w:themeColor="accent1" w:themeShade="BF"/>
          </w:rPr>
          <w:fldChar w:fldCharType="end"/>
        </w:r>
      </w:sdtContent>
    </w:sdt>
  </w:p>
  <w:p w14:paraId="427F6542" w14:textId="77777777" w:rsidR="007D29F8" w:rsidRPr="008B40C0" w:rsidRDefault="007D29F8" w:rsidP="00277D28">
    <w:pPr>
      <w:pStyle w:val="Header"/>
      <w:jc w:val="right"/>
      <w:rPr>
        <w:color w:val="26724C" w:themeColor="accent1" w:themeShade="BF"/>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2938" w14:textId="77777777" w:rsidR="007D29F8" w:rsidRPr="00696FB8" w:rsidRDefault="007D29F8" w:rsidP="00495E48">
    <w:pPr>
      <w:pStyle w:val="Header"/>
      <w:jc w:val="right"/>
      <w:rPr>
        <w:b/>
        <w:color w:val="26724C" w:themeColor="accent1" w:themeShade="BF"/>
      </w:rPr>
    </w:pPr>
    <w:r w:rsidRPr="00696FB8">
      <w:rPr>
        <w:b/>
        <w:color w:val="26724C" w:themeColor="accent1" w:themeShade="BF"/>
      </w:rPr>
      <w:t>UPOV</w:t>
    </w:r>
  </w:p>
  <w:p w14:paraId="669BF71F" w14:textId="77777777" w:rsidR="007D29F8" w:rsidRPr="00495E48" w:rsidRDefault="007D29F8" w:rsidP="008B40C0">
    <w:pPr>
      <w:pStyle w:val="Header"/>
      <w:jc w:val="right"/>
      <w:rPr>
        <w:color w:val="26724C" w:themeColor="accent1" w:themeShade="BF"/>
      </w:rPr>
    </w:pPr>
    <w:r>
      <w:rPr>
        <w:color w:val="26724C" w:themeColor="accent1" w:themeShade="BF"/>
      </w:rPr>
      <w:t xml:space="preserve">Preliminary </w:t>
    </w:r>
    <w:r w:rsidRPr="00696FB8">
      <w:rPr>
        <w:color w:val="26724C" w:themeColor="accent1" w:themeShade="BF"/>
      </w:rPr>
      <w:t xml:space="preserve">Draft </w:t>
    </w:r>
    <w:r>
      <w:rPr>
        <w:color w:val="26724C" w:themeColor="accent1" w:themeShade="BF"/>
      </w:rPr>
      <w:t>Program and Budget 2024</w:t>
    </w:r>
    <w:r>
      <w:rPr>
        <w:color w:val="26724C" w:themeColor="accent1" w:themeShade="BF"/>
      </w:rPr>
      <w:noBreakHyphen/>
      <w:t>2025</w:t>
    </w:r>
  </w:p>
  <w:p w14:paraId="08645FCB" w14:textId="77777777" w:rsidR="007D29F8" w:rsidRPr="008B40C0" w:rsidRDefault="007D29F8" w:rsidP="008B40C0">
    <w:pPr>
      <w:pStyle w:val="Header"/>
      <w:pBdr>
        <w:bottom w:val="single" w:sz="4" w:space="1" w:color="auto"/>
      </w:pBdr>
      <w:jc w:val="right"/>
      <w:rPr>
        <w:color w:val="26724C" w:themeColor="accent1" w:themeShade="BF"/>
      </w:rPr>
    </w:pPr>
    <w:r w:rsidRPr="008B40C0">
      <w:rPr>
        <w:color w:val="26724C" w:themeColor="accent1" w:themeShade="BF"/>
      </w:rPr>
      <w:t>Appendix I</w:t>
    </w:r>
    <w:r>
      <w:rPr>
        <w:color w:val="26724C" w:themeColor="accent1" w:themeShade="BF"/>
      </w:rPr>
      <w:t xml:space="preserve">, </w:t>
    </w:r>
    <w:r w:rsidRPr="008B40C0">
      <w:rPr>
        <w:color w:val="26724C" w:themeColor="accent1" w:themeShade="BF"/>
      </w:rPr>
      <w:t xml:space="preserve">page </w:t>
    </w:r>
    <w:sdt>
      <w:sdtPr>
        <w:rPr>
          <w:color w:val="26724C" w:themeColor="accent1" w:themeShade="BF"/>
        </w:rPr>
        <w:id w:val="1728342427"/>
        <w:docPartObj>
          <w:docPartGallery w:val="Page Numbers (Top of Page)"/>
          <w:docPartUnique/>
        </w:docPartObj>
      </w:sdtPr>
      <w:sdtEndPr>
        <w:rPr>
          <w:noProof/>
        </w:rPr>
      </w:sdtEndPr>
      <w:sdtContent>
        <w:r w:rsidRPr="008B40C0">
          <w:rPr>
            <w:color w:val="26724C" w:themeColor="accent1" w:themeShade="BF"/>
          </w:rPr>
          <w:fldChar w:fldCharType="begin"/>
        </w:r>
        <w:r w:rsidRPr="008B40C0">
          <w:rPr>
            <w:color w:val="26724C" w:themeColor="accent1" w:themeShade="BF"/>
          </w:rPr>
          <w:instrText xml:space="preserve"> PAGE   \* MERGEFORMAT </w:instrText>
        </w:r>
        <w:r w:rsidRPr="008B40C0">
          <w:rPr>
            <w:color w:val="26724C" w:themeColor="accent1" w:themeShade="BF"/>
          </w:rPr>
          <w:fldChar w:fldCharType="separate"/>
        </w:r>
        <w:r>
          <w:rPr>
            <w:noProof/>
            <w:color w:val="26724C" w:themeColor="accent1" w:themeShade="BF"/>
          </w:rPr>
          <w:t>38</w:t>
        </w:r>
        <w:r w:rsidRPr="008B40C0">
          <w:rPr>
            <w:noProof/>
            <w:color w:val="26724C" w:themeColor="accent1" w:themeShade="BF"/>
          </w:rPr>
          <w:fldChar w:fldCharType="end"/>
        </w:r>
      </w:sdtContent>
    </w:sdt>
  </w:p>
  <w:p w14:paraId="0DBBB389" w14:textId="77777777" w:rsidR="007D29F8" w:rsidRPr="008B40C0" w:rsidRDefault="007D29F8" w:rsidP="008B40C0">
    <w:pPr>
      <w:pStyle w:val="Header"/>
      <w:jc w:val="right"/>
      <w:rPr>
        <w:color w:val="26724C" w:themeColor="accent1" w:themeShade="BF"/>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0479" w14:textId="77777777" w:rsidR="007D29F8" w:rsidRPr="00C5280D" w:rsidRDefault="007D29F8" w:rsidP="008224BD">
    <w:pPr>
      <w:pStyle w:val="Header"/>
      <w:rPr>
        <w:rStyle w:val="PageNumber"/>
      </w:rPr>
    </w:pPr>
    <w:r>
      <w:t xml:space="preserve">Preliminary </w:t>
    </w:r>
    <w:r w:rsidRPr="008211E4">
      <w:t xml:space="preserve">Draft Program and Budget for the </w:t>
    </w:r>
    <w:r>
      <w:t>2024</w:t>
    </w:r>
    <w:r>
      <w:noBreakHyphen/>
      <w:t>2025 </w:t>
    </w:r>
    <w:r w:rsidRPr="008211E4">
      <w:t>Biennium</w:t>
    </w:r>
  </w:p>
  <w:p w14:paraId="6F375F29" w14:textId="77777777" w:rsidR="007D29F8" w:rsidRPr="00FE0119" w:rsidRDefault="007D29F8" w:rsidP="008224BD">
    <w:pPr>
      <w:pStyle w:val="Header"/>
    </w:pPr>
    <w:r w:rsidRPr="00FE0119">
      <w:t>Annex</w:t>
    </w:r>
    <w:r>
      <w:t xml:space="preserve"> II</w:t>
    </w:r>
    <w:r w:rsidRPr="00FE0119">
      <w:t xml:space="preserve">, page </w:t>
    </w:r>
    <w:sdt>
      <w:sdtPr>
        <w:id w:val="-1138723346"/>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3A4A937E" w14:textId="77777777" w:rsidR="007D29F8" w:rsidRPr="00FE0119" w:rsidRDefault="007D29F8" w:rsidP="008224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5837" w14:textId="77777777" w:rsidR="007D29F8" w:rsidRPr="00C5280D" w:rsidRDefault="007D29F8" w:rsidP="008224BD">
    <w:pPr>
      <w:pStyle w:val="Header"/>
      <w:rPr>
        <w:rStyle w:val="PageNumber"/>
      </w:rPr>
    </w:pPr>
    <w:r>
      <w:t xml:space="preserve">Preliminary </w:t>
    </w:r>
    <w:r w:rsidRPr="008211E4">
      <w:t xml:space="preserve">Draft Program and Budget for the </w:t>
    </w:r>
    <w:r>
      <w:t>2024</w:t>
    </w:r>
    <w:r>
      <w:noBreakHyphen/>
      <w:t>2025 </w:t>
    </w:r>
    <w:r w:rsidRPr="008211E4">
      <w:t>Biennium</w:t>
    </w:r>
  </w:p>
  <w:p w14:paraId="1798ECC1" w14:textId="77777777" w:rsidR="007D29F8" w:rsidRPr="00FE0119" w:rsidRDefault="007D29F8" w:rsidP="008224BD">
    <w:pPr>
      <w:pStyle w:val="Header"/>
    </w:pPr>
    <w:r w:rsidRPr="00FE0119">
      <w:t>Annex</w:t>
    </w:r>
    <w:r>
      <w:t xml:space="preserve"> II</w:t>
    </w:r>
    <w:r w:rsidRPr="00FE0119">
      <w:t xml:space="preserve">, page </w:t>
    </w:r>
    <w:sdt>
      <w:sdtPr>
        <w:id w:val="-2036489505"/>
        <w:docPartObj>
          <w:docPartGallery w:val="Page Numbers (Top of Page)"/>
          <w:docPartUnique/>
        </w:docPartObj>
      </w:sdtPr>
      <w:sdtEndPr>
        <w:rPr>
          <w:noProof/>
        </w:rPr>
      </w:sdtEndPr>
      <w:sdtContent>
        <w:r w:rsidRPr="00FE0119">
          <w:fldChar w:fldCharType="begin"/>
        </w:r>
        <w:r w:rsidRPr="00FE0119">
          <w:instrText xml:space="preserve"> PAGE   \* MERGEFORMAT </w:instrText>
        </w:r>
        <w:r w:rsidRPr="00FE0119">
          <w:fldChar w:fldCharType="separate"/>
        </w:r>
        <w:r>
          <w:rPr>
            <w:noProof/>
          </w:rPr>
          <w:t>39</w:t>
        </w:r>
        <w:r w:rsidRPr="00FE0119">
          <w:rPr>
            <w:noProof/>
          </w:rPr>
          <w:fldChar w:fldCharType="end"/>
        </w:r>
      </w:sdtContent>
    </w:sdt>
  </w:p>
  <w:p w14:paraId="60BF797C" w14:textId="77777777" w:rsidR="007D29F8" w:rsidRPr="00FE0119" w:rsidRDefault="007D29F8" w:rsidP="00822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7553"/>
    <w:multiLevelType w:val="hybridMultilevel"/>
    <w:tmpl w:val="5226D9B2"/>
    <w:lvl w:ilvl="0" w:tplc="31920AC6">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E338E"/>
    <w:multiLevelType w:val="multilevel"/>
    <w:tmpl w:val="09E04FBC"/>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91644D"/>
    <w:multiLevelType w:val="hybridMultilevel"/>
    <w:tmpl w:val="66B2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977894">
    <w:abstractNumId w:val="0"/>
  </w:num>
  <w:num w:numId="2" w16cid:durableId="696006002">
    <w:abstractNumId w:val="3"/>
  </w:num>
  <w:num w:numId="3" w16cid:durableId="911695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1196043">
    <w:abstractNumId w:val="2"/>
  </w:num>
  <w:num w:numId="5" w16cid:durableId="39689964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9F8"/>
    <w:rsid w:val="0000207E"/>
    <w:rsid w:val="00010CF3"/>
    <w:rsid w:val="00011E27"/>
    <w:rsid w:val="000148BC"/>
    <w:rsid w:val="00024AB8"/>
    <w:rsid w:val="00030854"/>
    <w:rsid w:val="00036028"/>
    <w:rsid w:val="00037DD6"/>
    <w:rsid w:val="00044642"/>
    <w:rsid w:val="000446B9"/>
    <w:rsid w:val="00047E21"/>
    <w:rsid w:val="00050E16"/>
    <w:rsid w:val="00085505"/>
    <w:rsid w:val="000C4E25"/>
    <w:rsid w:val="000C7021"/>
    <w:rsid w:val="000D6BBC"/>
    <w:rsid w:val="000D7780"/>
    <w:rsid w:val="000E4E42"/>
    <w:rsid w:val="000E636A"/>
    <w:rsid w:val="000F2F11"/>
    <w:rsid w:val="00105929"/>
    <w:rsid w:val="00110C36"/>
    <w:rsid w:val="001131D5"/>
    <w:rsid w:val="00141DB8"/>
    <w:rsid w:val="00152C64"/>
    <w:rsid w:val="00172084"/>
    <w:rsid w:val="0017474A"/>
    <w:rsid w:val="001758C6"/>
    <w:rsid w:val="00182B99"/>
    <w:rsid w:val="001B1508"/>
    <w:rsid w:val="0021332C"/>
    <w:rsid w:val="00213982"/>
    <w:rsid w:val="00235CD2"/>
    <w:rsid w:val="0024416D"/>
    <w:rsid w:val="00271911"/>
    <w:rsid w:val="002800A0"/>
    <w:rsid w:val="002801B3"/>
    <w:rsid w:val="00281060"/>
    <w:rsid w:val="002940E8"/>
    <w:rsid w:val="00294751"/>
    <w:rsid w:val="002A6E50"/>
    <w:rsid w:val="002B4298"/>
    <w:rsid w:val="002C256A"/>
    <w:rsid w:val="002F643C"/>
    <w:rsid w:val="00305A7F"/>
    <w:rsid w:val="003152FE"/>
    <w:rsid w:val="00327436"/>
    <w:rsid w:val="00327BBA"/>
    <w:rsid w:val="00337C0A"/>
    <w:rsid w:val="00344BD6"/>
    <w:rsid w:val="0035084F"/>
    <w:rsid w:val="0035528D"/>
    <w:rsid w:val="00361821"/>
    <w:rsid w:val="00361E9E"/>
    <w:rsid w:val="003A028E"/>
    <w:rsid w:val="003C7FBE"/>
    <w:rsid w:val="003D227C"/>
    <w:rsid w:val="003D2B4D"/>
    <w:rsid w:val="003E39A6"/>
    <w:rsid w:val="0040557F"/>
    <w:rsid w:val="00444A88"/>
    <w:rsid w:val="00474DA4"/>
    <w:rsid w:val="00476B4D"/>
    <w:rsid w:val="004805FA"/>
    <w:rsid w:val="004935D2"/>
    <w:rsid w:val="004B1215"/>
    <w:rsid w:val="004C38BE"/>
    <w:rsid w:val="004C5AE3"/>
    <w:rsid w:val="004D047D"/>
    <w:rsid w:val="004F1E9E"/>
    <w:rsid w:val="004F305A"/>
    <w:rsid w:val="00512164"/>
    <w:rsid w:val="00515DF6"/>
    <w:rsid w:val="00520297"/>
    <w:rsid w:val="005338F9"/>
    <w:rsid w:val="0054281C"/>
    <w:rsid w:val="00544581"/>
    <w:rsid w:val="00545E42"/>
    <w:rsid w:val="0055268D"/>
    <w:rsid w:val="005720ED"/>
    <w:rsid w:val="00576BE4"/>
    <w:rsid w:val="00597B8C"/>
    <w:rsid w:val="005A28ED"/>
    <w:rsid w:val="005A400A"/>
    <w:rsid w:val="005B4454"/>
    <w:rsid w:val="005E7EA6"/>
    <w:rsid w:val="005F7B92"/>
    <w:rsid w:val="00612379"/>
    <w:rsid w:val="006153B6"/>
    <w:rsid w:val="0061555F"/>
    <w:rsid w:val="00636CA6"/>
    <w:rsid w:val="00641200"/>
    <w:rsid w:val="0064214B"/>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314"/>
    <w:rsid w:val="00777EE5"/>
    <w:rsid w:val="00784836"/>
    <w:rsid w:val="0079023E"/>
    <w:rsid w:val="007924B4"/>
    <w:rsid w:val="007A2854"/>
    <w:rsid w:val="007C1D92"/>
    <w:rsid w:val="007C4CB9"/>
    <w:rsid w:val="007D0B9D"/>
    <w:rsid w:val="007D19B0"/>
    <w:rsid w:val="007D29F8"/>
    <w:rsid w:val="007F498F"/>
    <w:rsid w:val="0080679D"/>
    <w:rsid w:val="008108B0"/>
    <w:rsid w:val="00811B20"/>
    <w:rsid w:val="008211B5"/>
    <w:rsid w:val="0082296E"/>
    <w:rsid w:val="00824099"/>
    <w:rsid w:val="00846D7C"/>
    <w:rsid w:val="00864C55"/>
    <w:rsid w:val="00867AC1"/>
    <w:rsid w:val="00890DF8"/>
    <w:rsid w:val="008A743F"/>
    <w:rsid w:val="008C017E"/>
    <w:rsid w:val="008C0970"/>
    <w:rsid w:val="008D0BC5"/>
    <w:rsid w:val="008D2CF7"/>
    <w:rsid w:val="00900C26"/>
    <w:rsid w:val="0090197F"/>
    <w:rsid w:val="00903242"/>
    <w:rsid w:val="00906DDC"/>
    <w:rsid w:val="00934E09"/>
    <w:rsid w:val="00936253"/>
    <w:rsid w:val="00940D46"/>
    <w:rsid w:val="00952DD4"/>
    <w:rsid w:val="00965AE7"/>
    <w:rsid w:val="00970FED"/>
    <w:rsid w:val="00992D82"/>
    <w:rsid w:val="00997029"/>
    <w:rsid w:val="009A5399"/>
    <w:rsid w:val="009A7339"/>
    <w:rsid w:val="009B440E"/>
    <w:rsid w:val="009D690D"/>
    <w:rsid w:val="009E65B6"/>
    <w:rsid w:val="00A24C10"/>
    <w:rsid w:val="00A42AC3"/>
    <w:rsid w:val="00A430CF"/>
    <w:rsid w:val="00A54309"/>
    <w:rsid w:val="00A706D3"/>
    <w:rsid w:val="00A71548"/>
    <w:rsid w:val="00AB2B93"/>
    <w:rsid w:val="00AB530F"/>
    <w:rsid w:val="00AB5931"/>
    <w:rsid w:val="00AB7E5B"/>
    <w:rsid w:val="00AC2883"/>
    <w:rsid w:val="00AE0EF1"/>
    <w:rsid w:val="00AE2937"/>
    <w:rsid w:val="00B07301"/>
    <w:rsid w:val="00B11F3E"/>
    <w:rsid w:val="00B224DE"/>
    <w:rsid w:val="00B324D4"/>
    <w:rsid w:val="00B45A63"/>
    <w:rsid w:val="00B46575"/>
    <w:rsid w:val="00B61777"/>
    <w:rsid w:val="00B84625"/>
    <w:rsid w:val="00B84BBD"/>
    <w:rsid w:val="00B967FA"/>
    <w:rsid w:val="00BA43FB"/>
    <w:rsid w:val="00BC127D"/>
    <w:rsid w:val="00BC1FE6"/>
    <w:rsid w:val="00C0269B"/>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41B08"/>
    <w:rsid w:val="00D57C96"/>
    <w:rsid w:val="00D57D18"/>
    <w:rsid w:val="00D817CE"/>
    <w:rsid w:val="00D91203"/>
    <w:rsid w:val="00D95174"/>
    <w:rsid w:val="00DA4973"/>
    <w:rsid w:val="00DA6F36"/>
    <w:rsid w:val="00DB596E"/>
    <w:rsid w:val="00DB7773"/>
    <w:rsid w:val="00DC00EA"/>
    <w:rsid w:val="00DC3802"/>
    <w:rsid w:val="00DE20C8"/>
    <w:rsid w:val="00DF48CB"/>
    <w:rsid w:val="00E07D87"/>
    <w:rsid w:val="00E32F7E"/>
    <w:rsid w:val="00E5267B"/>
    <w:rsid w:val="00E63C0E"/>
    <w:rsid w:val="00E72D49"/>
    <w:rsid w:val="00E7593C"/>
    <w:rsid w:val="00E7678A"/>
    <w:rsid w:val="00E935F1"/>
    <w:rsid w:val="00E94A81"/>
    <w:rsid w:val="00EA1FFB"/>
    <w:rsid w:val="00EB048E"/>
    <w:rsid w:val="00EB4E9C"/>
    <w:rsid w:val="00EE34DF"/>
    <w:rsid w:val="00EE6E70"/>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ECCB429"/>
  <w15:docId w15:val="{CA19F209-5B15-4FF0-A244-BC1E97DE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F8"/>
    <w:pPr>
      <w:jc w:val="both"/>
    </w:pPr>
    <w:rPr>
      <w:rFonts w:ascii="Arial" w:hAnsi="Arial"/>
      <w:lang w:val="fr-FR"/>
    </w:rPr>
  </w:style>
  <w:style w:type="paragraph" w:styleId="Heading1">
    <w:name w:val="heading 1"/>
    <w:next w:val="Normal"/>
    <w:qFormat/>
    <w:rsid w:val="007D29F8"/>
    <w:pPr>
      <w:keepNext/>
      <w:numPr>
        <w:numId w:val="5"/>
      </w:numPr>
      <w:outlineLvl w:val="0"/>
    </w:pPr>
    <w:rPr>
      <w:rFonts w:ascii="Arial" w:hAnsi="Arial"/>
      <w:caps/>
      <w:color w:val="26724C" w:themeColor="accent1" w:themeShade="BF"/>
      <w:sz w:val="32"/>
      <w:szCs w:val="24"/>
    </w:rPr>
  </w:style>
  <w:style w:type="paragraph" w:styleId="Heading2">
    <w:name w:val="heading 2"/>
    <w:next w:val="Normal"/>
    <w:qFormat/>
    <w:rsid w:val="007D29F8"/>
    <w:pPr>
      <w:keepNext/>
      <w:ind w:left="2694" w:hanging="2694"/>
      <w:jc w:val="both"/>
      <w:outlineLvl w:val="1"/>
    </w:pPr>
    <w:rPr>
      <w:rFonts w:ascii="Arial" w:hAnsi="Arial"/>
      <w:color w:val="26724C" w:themeColor="accent1" w:themeShade="BF"/>
      <w:sz w:val="28"/>
    </w:rPr>
  </w:style>
  <w:style w:type="paragraph" w:styleId="Heading3">
    <w:name w:val="heading 3"/>
    <w:next w:val="Normal"/>
    <w:link w:val="Heading3Char"/>
    <w:autoRedefine/>
    <w:qFormat/>
    <w:rsid w:val="007D29F8"/>
    <w:pPr>
      <w:keepNext/>
      <w:jc w:val="both"/>
      <w:outlineLvl w:val="2"/>
    </w:pPr>
    <w:rPr>
      <w:rFonts w:ascii="Arial" w:hAnsi="Arial"/>
      <w:b/>
      <w:color w:val="26724C" w:themeColor="accent1" w:themeShade="BF"/>
      <w:sz w:val="22"/>
    </w:rPr>
  </w:style>
  <w:style w:type="paragraph" w:styleId="Heading4">
    <w:name w:val="heading 4"/>
    <w:next w:val="Normal"/>
    <w:autoRedefine/>
    <w:qFormat/>
    <w:rsid w:val="007D29F8"/>
    <w:pPr>
      <w:keepNext/>
      <w:tabs>
        <w:tab w:val="left" w:pos="1418"/>
      </w:tabs>
      <w:ind w:left="567"/>
      <w:jc w:val="both"/>
      <w:outlineLvl w:val="3"/>
    </w:pPr>
    <w:rPr>
      <w:rFonts w:ascii="Arial" w:hAnsi="Arial"/>
      <w:u w:val="single"/>
    </w:rPr>
  </w:style>
  <w:style w:type="paragraph" w:styleId="Heading5">
    <w:name w:val="heading 5"/>
    <w:next w:val="Normal"/>
    <w:autoRedefine/>
    <w:qFormat/>
    <w:rsid w:val="007D29F8"/>
    <w:pPr>
      <w:keepNext/>
      <w:ind w:left="567" w:hanging="567"/>
      <w:jc w:val="both"/>
      <w:outlineLvl w:val="4"/>
    </w:pPr>
    <w:rPr>
      <w:rFonts w:ascii="Arial" w:hAnsi="Arial"/>
      <w:i/>
      <w:color w:val="26724C" w:themeColor="accent1" w:themeShade="BF"/>
    </w:rPr>
  </w:style>
  <w:style w:type="paragraph" w:styleId="Heading6">
    <w:name w:val="heading 6"/>
    <w:basedOn w:val="Normal"/>
    <w:next w:val="Normal"/>
    <w:link w:val="Heading6Char"/>
    <w:semiHidden/>
    <w:unhideWhenUsed/>
    <w:qFormat/>
    <w:rsid w:val="007D29F8"/>
    <w:pPr>
      <w:keepNext/>
      <w:keepLines/>
      <w:spacing w:before="40"/>
      <w:outlineLvl w:val="5"/>
    </w:pPr>
    <w:rPr>
      <w:rFonts w:asciiTheme="majorHAnsi" w:eastAsiaTheme="majorEastAsia" w:hAnsiTheme="majorHAnsi" w:cstheme="majorBidi"/>
      <w:color w:val="194C32" w:themeColor="accent1" w:themeShade="7F"/>
      <w:lang w:val="en-US"/>
    </w:rPr>
  </w:style>
  <w:style w:type="paragraph" w:styleId="Heading9">
    <w:name w:val="heading 9"/>
    <w:basedOn w:val="Heading2"/>
    <w:next w:val="Normal"/>
    <w:qFormat/>
    <w:rsid w:val="007D29F8"/>
    <w:pPr>
      <w:ind w:left="2127" w:hanging="2127"/>
      <w:outlineLvl w:val="8"/>
    </w:pPr>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7D29F8"/>
    <w:pPr>
      <w:jc w:val="center"/>
    </w:pPr>
    <w:rPr>
      <w:rFonts w:ascii="Arial" w:hAnsi="Arial"/>
    </w:rPr>
  </w:style>
  <w:style w:type="paragraph" w:styleId="Footer">
    <w:name w:val="footer"/>
    <w:aliases w:val="doc_path_name"/>
    <w:autoRedefine/>
    <w:rsid w:val="007D29F8"/>
    <w:pPr>
      <w:jc w:val="both"/>
    </w:pPr>
    <w:rPr>
      <w:rFonts w:ascii="Arial" w:hAnsi="Arial"/>
      <w:sz w:val="14"/>
    </w:rPr>
  </w:style>
  <w:style w:type="character" w:styleId="PageNumber">
    <w:name w:val="page number"/>
    <w:basedOn w:val="DefaultParagraphFont"/>
    <w:rsid w:val="007D29F8"/>
    <w:rPr>
      <w:rFonts w:ascii="Arial" w:hAnsi="Arial"/>
      <w:sz w:val="20"/>
    </w:rPr>
  </w:style>
  <w:style w:type="paragraph" w:styleId="Title">
    <w:name w:val="Title"/>
    <w:basedOn w:val="Normal"/>
    <w:qFormat/>
    <w:rsid w:val="007D29F8"/>
    <w:pPr>
      <w:spacing w:after="300"/>
      <w:jc w:val="center"/>
    </w:pPr>
    <w:rPr>
      <w:b/>
      <w:caps/>
      <w:kern w:val="28"/>
      <w:sz w:val="30"/>
    </w:rPr>
  </w:style>
  <w:style w:type="paragraph" w:customStyle="1" w:styleId="preparedby">
    <w:name w:val="preparedby"/>
    <w:basedOn w:val="Normal"/>
    <w:next w:val="Normal"/>
    <w:semiHidden/>
    <w:rsid w:val="007D29F8"/>
    <w:pPr>
      <w:spacing w:after="600"/>
      <w:jc w:val="center"/>
    </w:pPr>
    <w:rPr>
      <w:i/>
    </w:rPr>
  </w:style>
  <w:style w:type="paragraph" w:customStyle="1" w:styleId="Docoriginal">
    <w:name w:val="Doc_original"/>
    <w:basedOn w:val="Code"/>
    <w:link w:val="DocoriginalChar"/>
    <w:rsid w:val="007D29F8"/>
    <w:pPr>
      <w:spacing w:before="240" w:line="240" w:lineRule="exact"/>
      <w:ind w:left="0"/>
      <w:contextualSpacing/>
      <w:jc w:val="left"/>
    </w:pPr>
    <w:rPr>
      <w:sz w:val="18"/>
    </w:rPr>
  </w:style>
  <w:style w:type="paragraph" w:customStyle="1" w:styleId="DecisionParagraphs">
    <w:name w:val="DecisionParagraphs"/>
    <w:basedOn w:val="Normal"/>
    <w:rsid w:val="007D29F8"/>
    <w:pPr>
      <w:tabs>
        <w:tab w:val="left" w:pos="5387"/>
        <w:tab w:val="left" w:pos="5954"/>
      </w:tabs>
      <w:ind w:left="4820"/>
    </w:pPr>
    <w:rPr>
      <w:i/>
    </w:rPr>
  </w:style>
  <w:style w:type="paragraph" w:styleId="FootnoteText">
    <w:name w:val="footnote text"/>
    <w:link w:val="FootnoteTextChar"/>
    <w:autoRedefine/>
    <w:rsid w:val="007D29F8"/>
    <w:pPr>
      <w:spacing w:before="60"/>
      <w:ind w:left="284" w:hanging="284"/>
      <w:jc w:val="both"/>
    </w:pPr>
    <w:rPr>
      <w:rFonts w:ascii="Arial" w:hAnsi="Arial"/>
      <w:sz w:val="16"/>
    </w:rPr>
  </w:style>
  <w:style w:type="character" w:styleId="FootnoteReference">
    <w:name w:val="footnote reference"/>
    <w:basedOn w:val="DefaultParagraphFont"/>
    <w:rsid w:val="007D29F8"/>
    <w:rPr>
      <w:vertAlign w:val="superscript"/>
    </w:rPr>
  </w:style>
  <w:style w:type="paragraph" w:styleId="Closing">
    <w:name w:val="Closing"/>
    <w:basedOn w:val="Normal"/>
    <w:rsid w:val="007D29F8"/>
    <w:pPr>
      <w:ind w:left="4536"/>
      <w:jc w:val="center"/>
    </w:pPr>
  </w:style>
  <w:style w:type="paragraph" w:styleId="Index1">
    <w:name w:val="index 1"/>
    <w:basedOn w:val="Normal"/>
    <w:next w:val="Normal"/>
    <w:semiHidden/>
    <w:rsid w:val="007D29F8"/>
    <w:pPr>
      <w:tabs>
        <w:tab w:val="right" w:leader="dot" w:pos="9071"/>
      </w:tabs>
      <w:ind w:left="284" w:hanging="284"/>
    </w:pPr>
    <w:rPr>
      <w:sz w:val="24"/>
    </w:rPr>
  </w:style>
  <w:style w:type="paragraph" w:styleId="Index2">
    <w:name w:val="index 2"/>
    <w:basedOn w:val="Normal"/>
    <w:next w:val="Normal"/>
    <w:semiHidden/>
    <w:rsid w:val="007D29F8"/>
    <w:pPr>
      <w:tabs>
        <w:tab w:val="right" w:leader="dot" w:pos="9071"/>
      </w:tabs>
      <w:ind w:left="568" w:hanging="284"/>
    </w:pPr>
    <w:rPr>
      <w:sz w:val="24"/>
    </w:rPr>
  </w:style>
  <w:style w:type="paragraph" w:styleId="Index3">
    <w:name w:val="index 3"/>
    <w:basedOn w:val="Normal"/>
    <w:next w:val="Normal"/>
    <w:semiHidden/>
    <w:rsid w:val="007D29F8"/>
    <w:pPr>
      <w:tabs>
        <w:tab w:val="right" w:leader="dot" w:pos="9071"/>
      </w:tabs>
      <w:ind w:left="851" w:hanging="284"/>
    </w:pPr>
    <w:rPr>
      <w:sz w:val="24"/>
    </w:rPr>
  </w:style>
  <w:style w:type="paragraph" w:styleId="MacroText">
    <w:name w:val="macro"/>
    <w:semiHidden/>
    <w:rsid w:val="007D29F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7D29F8"/>
    <w:pPr>
      <w:ind w:left="4536"/>
      <w:jc w:val="center"/>
    </w:pPr>
  </w:style>
  <w:style w:type="character" w:customStyle="1" w:styleId="Doclang">
    <w:name w:val="Doc_lang"/>
    <w:basedOn w:val="DefaultParagraphFont"/>
    <w:rsid w:val="007D29F8"/>
    <w:rPr>
      <w:rFonts w:ascii="Arial" w:hAnsi="Arial"/>
      <w:sz w:val="20"/>
      <w:lang w:val="en-US"/>
    </w:rPr>
  </w:style>
  <w:style w:type="paragraph" w:customStyle="1" w:styleId="Session">
    <w:name w:val="Session"/>
    <w:basedOn w:val="Normal"/>
    <w:semiHidden/>
    <w:rsid w:val="007D29F8"/>
    <w:pPr>
      <w:spacing w:before="60"/>
      <w:jc w:val="center"/>
    </w:pPr>
    <w:rPr>
      <w:b/>
    </w:rPr>
  </w:style>
  <w:style w:type="paragraph" w:customStyle="1" w:styleId="Organizer">
    <w:name w:val="Organizer"/>
    <w:basedOn w:val="Normal"/>
    <w:semiHidden/>
    <w:rsid w:val="007D29F8"/>
    <w:pPr>
      <w:spacing w:after="600"/>
      <w:ind w:left="-993" w:right="-994"/>
      <w:jc w:val="center"/>
    </w:pPr>
    <w:rPr>
      <w:b/>
      <w:caps/>
      <w:kern w:val="26"/>
      <w:sz w:val="26"/>
    </w:rPr>
  </w:style>
  <w:style w:type="paragraph" w:styleId="BodyText">
    <w:name w:val="Body Text"/>
    <w:basedOn w:val="Normal"/>
    <w:link w:val="BodyTextChar"/>
    <w:rsid w:val="007D29F8"/>
  </w:style>
  <w:style w:type="paragraph" w:customStyle="1" w:styleId="Disclaimer">
    <w:name w:val="Disclaimer"/>
    <w:next w:val="Normal"/>
    <w:qFormat/>
    <w:rsid w:val="007D29F8"/>
    <w:pPr>
      <w:spacing w:after="600"/>
    </w:pPr>
    <w:rPr>
      <w:rFonts w:ascii="Arial" w:hAnsi="Arial"/>
      <w:i/>
      <w:iCs/>
      <w:color w:val="A6A6A6" w:themeColor="background1" w:themeShade="A6"/>
    </w:rPr>
  </w:style>
  <w:style w:type="paragraph" w:customStyle="1" w:styleId="upove">
    <w:name w:val="upov_e"/>
    <w:basedOn w:val="Normal"/>
    <w:rsid w:val="007D29F8"/>
    <w:pPr>
      <w:spacing w:before="120"/>
    </w:pPr>
    <w:rPr>
      <w:sz w:val="16"/>
    </w:rPr>
  </w:style>
  <w:style w:type="paragraph" w:customStyle="1" w:styleId="TitleofDoc">
    <w:name w:val="Title of Doc"/>
    <w:basedOn w:val="Normal"/>
    <w:semiHidden/>
    <w:rsid w:val="007D29F8"/>
    <w:pPr>
      <w:spacing w:before="1200"/>
      <w:jc w:val="center"/>
    </w:pPr>
    <w:rPr>
      <w:caps/>
    </w:rPr>
  </w:style>
  <w:style w:type="paragraph" w:customStyle="1" w:styleId="preparedby0">
    <w:name w:val="prepared by"/>
    <w:basedOn w:val="Normal"/>
    <w:semiHidden/>
    <w:rsid w:val="007D29F8"/>
    <w:pPr>
      <w:spacing w:before="600" w:after="600"/>
      <w:jc w:val="center"/>
    </w:pPr>
    <w:rPr>
      <w:i/>
    </w:rPr>
  </w:style>
  <w:style w:type="paragraph" w:customStyle="1" w:styleId="PlaceAndDate">
    <w:name w:val="PlaceAndDate"/>
    <w:basedOn w:val="Session"/>
    <w:semiHidden/>
    <w:rsid w:val="007D29F8"/>
  </w:style>
  <w:style w:type="paragraph" w:styleId="EndnoteText">
    <w:name w:val="endnote text"/>
    <w:basedOn w:val="Normal"/>
    <w:semiHidden/>
    <w:rsid w:val="007D29F8"/>
  </w:style>
  <w:style w:type="character" w:styleId="EndnoteReference">
    <w:name w:val="endnote reference"/>
    <w:basedOn w:val="DefaultParagraphFont"/>
    <w:semiHidden/>
    <w:rsid w:val="007D29F8"/>
    <w:rPr>
      <w:vertAlign w:val="superscript"/>
    </w:rPr>
  </w:style>
  <w:style w:type="paragraph" w:customStyle="1" w:styleId="SessionMeetingPlace">
    <w:name w:val="Session_MeetingPlace"/>
    <w:basedOn w:val="Normal"/>
    <w:semiHidden/>
    <w:rsid w:val="007D29F8"/>
    <w:pPr>
      <w:spacing w:before="480"/>
      <w:jc w:val="center"/>
    </w:pPr>
    <w:rPr>
      <w:b/>
      <w:bCs/>
      <w:kern w:val="28"/>
      <w:sz w:val="24"/>
    </w:rPr>
  </w:style>
  <w:style w:type="paragraph" w:customStyle="1" w:styleId="Original">
    <w:name w:val="Original"/>
    <w:basedOn w:val="Normal"/>
    <w:semiHidden/>
    <w:rsid w:val="007D29F8"/>
    <w:pPr>
      <w:spacing w:before="60"/>
      <w:ind w:left="1276"/>
    </w:pPr>
    <w:rPr>
      <w:b/>
      <w:sz w:val="22"/>
    </w:rPr>
  </w:style>
  <w:style w:type="paragraph" w:styleId="Date">
    <w:name w:val="Date"/>
    <w:basedOn w:val="Normal"/>
    <w:semiHidden/>
    <w:rsid w:val="007D29F8"/>
    <w:pPr>
      <w:spacing w:line="340" w:lineRule="exact"/>
      <w:ind w:left="1276"/>
    </w:pPr>
    <w:rPr>
      <w:b/>
      <w:sz w:val="22"/>
    </w:rPr>
  </w:style>
  <w:style w:type="paragraph" w:customStyle="1" w:styleId="Code">
    <w:name w:val="Code"/>
    <w:basedOn w:val="Normal"/>
    <w:link w:val="CodeChar"/>
    <w:semiHidden/>
    <w:rsid w:val="007D29F8"/>
    <w:pPr>
      <w:spacing w:line="340" w:lineRule="atLeast"/>
      <w:ind w:left="1276"/>
    </w:pPr>
    <w:rPr>
      <w:b/>
      <w:bCs/>
      <w:spacing w:val="10"/>
    </w:rPr>
  </w:style>
  <w:style w:type="paragraph" w:customStyle="1" w:styleId="Country">
    <w:name w:val="Country"/>
    <w:basedOn w:val="Normal"/>
    <w:semiHidden/>
    <w:rsid w:val="007D29F8"/>
    <w:pPr>
      <w:spacing w:before="60" w:after="480"/>
      <w:jc w:val="center"/>
    </w:pPr>
  </w:style>
  <w:style w:type="paragraph" w:customStyle="1" w:styleId="Lettrine">
    <w:name w:val="Lettrine"/>
    <w:basedOn w:val="Normal"/>
    <w:rsid w:val="007D29F8"/>
    <w:pPr>
      <w:spacing w:line="340" w:lineRule="atLeast"/>
      <w:jc w:val="right"/>
    </w:pPr>
    <w:rPr>
      <w:b/>
      <w:bCs/>
      <w:sz w:val="36"/>
    </w:rPr>
  </w:style>
  <w:style w:type="paragraph" w:customStyle="1" w:styleId="LogoUPOV">
    <w:name w:val="LogoUPOV"/>
    <w:basedOn w:val="Normal"/>
    <w:rsid w:val="007D29F8"/>
    <w:pPr>
      <w:spacing w:before="600" w:after="80"/>
      <w:jc w:val="center"/>
    </w:pPr>
    <w:rPr>
      <w:snapToGrid w:val="0"/>
    </w:rPr>
  </w:style>
  <w:style w:type="paragraph" w:customStyle="1" w:styleId="Sessiontc">
    <w:name w:val="Session_tc"/>
    <w:basedOn w:val="StyleSessionAllcaps"/>
    <w:rsid w:val="007D29F8"/>
    <w:pPr>
      <w:spacing w:before="0" w:line="280" w:lineRule="exact"/>
      <w:jc w:val="left"/>
    </w:pPr>
    <w:rPr>
      <w:caps w:val="0"/>
      <w:sz w:val="20"/>
    </w:rPr>
  </w:style>
  <w:style w:type="paragraph" w:customStyle="1" w:styleId="TitreUpov">
    <w:name w:val="TitreUpov"/>
    <w:basedOn w:val="Normal"/>
    <w:semiHidden/>
    <w:rsid w:val="007D29F8"/>
    <w:pPr>
      <w:spacing w:before="60"/>
      <w:jc w:val="center"/>
    </w:pPr>
    <w:rPr>
      <w:b/>
      <w:sz w:val="24"/>
    </w:rPr>
  </w:style>
  <w:style w:type="paragraph" w:customStyle="1" w:styleId="StyleSessionAllcaps">
    <w:name w:val="Style Session + All caps"/>
    <w:basedOn w:val="Session"/>
    <w:semiHidden/>
    <w:rsid w:val="007D29F8"/>
    <w:pPr>
      <w:spacing w:before="480"/>
    </w:pPr>
    <w:rPr>
      <w:bCs/>
      <w:caps/>
      <w:kern w:val="28"/>
      <w:sz w:val="24"/>
    </w:rPr>
  </w:style>
  <w:style w:type="paragraph" w:customStyle="1" w:styleId="plcountry">
    <w:name w:val="plcountry"/>
    <w:basedOn w:val="Normal"/>
    <w:rsid w:val="007D29F8"/>
    <w:pPr>
      <w:keepNext/>
      <w:keepLines/>
      <w:spacing w:before="180" w:after="120"/>
      <w:jc w:val="left"/>
    </w:pPr>
    <w:rPr>
      <w:caps/>
      <w:noProof/>
      <w:snapToGrid w:val="0"/>
      <w:u w:val="single"/>
    </w:rPr>
  </w:style>
  <w:style w:type="paragraph" w:customStyle="1" w:styleId="pldetails">
    <w:name w:val="pldetails"/>
    <w:basedOn w:val="Normal"/>
    <w:rsid w:val="007D29F8"/>
    <w:pPr>
      <w:keepLines/>
      <w:spacing w:before="60" w:after="60"/>
      <w:jc w:val="left"/>
    </w:pPr>
    <w:rPr>
      <w:noProof/>
      <w:snapToGrid w:val="0"/>
    </w:rPr>
  </w:style>
  <w:style w:type="paragraph" w:customStyle="1" w:styleId="plheading">
    <w:name w:val="plheading"/>
    <w:basedOn w:val="Normal"/>
    <w:rsid w:val="007D29F8"/>
    <w:pPr>
      <w:keepNext/>
      <w:spacing w:before="480" w:after="120"/>
      <w:jc w:val="center"/>
    </w:pPr>
    <w:rPr>
      <w:caps/>
      <w:snapToGrid w:val="0"/>
      <w:u w:val="single"/>
    </w:rPr>
  </w:style>
  <w:style w:type="paragraph" w:customStyle="1" w:styleId="Sessiontcplacedate">
    <w:name w:val="Session_tc_place_date"/>
    <w:basedOn w:val="SessionMeetingPlace"/>
    <w:rsid w:val="007D29F8"/>
    <w:pPr>
      <w:spacing w:before="240"/>
      <w:contextualSpacing/>
      <w:jc w:val="left"/>
    </w:pPr>
    <w:rPr>
      <w:sz w:val="20"/>
    </w:rPr>
  </w:style>
  <w:style w:type="paragraph" w:customStyle="1" w:styleId="Titleofdoc0">
    <w:name w:val="Title_of_doc"/>
    <w:basedOn w:val="TitleofDoc"/>
    <w:rsid w:val="007D29F8"/>
    <w:pPr>
      <w:spacing w:before="600" w:after="240"/>
      <w:jc w:val="left"/>
    </w:pPr>
    <w:rPr>
      <w:b/>
    </w:rPr>
  </w:style>
  <w:style w:type="paragraph" w:customStyle="1" w:styleId="preparedby1">
    <w:name w:val="prepared_by"/>
    <w:basedOn w:val="preparedby0"/>
    <w:rsid w:val="007D29F8"/>
    <w:pPr>
      <w:spacing w:before="0" w:after="240"/>
    </w:pPr>
    <w:rPr>
      <w:iCs/>
    </w:rPr>
  </w:style>
  <w:style w:type="character" w:customStyle="1" w:styleId="CodeChar">
    <w:name w:val="Code Char"/>
    <w:basedOn w:val="DefaultParagraphFont"/>
    <w:link w:val="Code"/>
    <w:semiHidden/>
    <w:rsid w:val="007D29F8"/>
    <w:rPr>
      <w:rFonts w:ascii="Arial" w:hAnsi="Arial"/>
      <w:b/>
      <w:bCs/>
      <w:spacing w:val="10"/>
      <w:lang w:val="fr-FR"/>
    </w:rPr>
  </w:style>
  <w:style w:type="paragraph" w:customStyle="1" w:styleId="endofdoc">
    <w:name w:val="end_of_doc"/>
    <w:next w:val="Header"/>
    <w:autoRedefine/>
    <w:rsid w:val="007D29F8"/>
    <w:pPr>
      <w:spacing w:before="360"/>
      <w:ind w:left="567" w:hanging="567"/>
      <w:jc w:val="right"/>
    </w:pPr>
    <w:rPr>
      <w:rFonts w:ascii="Arial" w:hAnsi="Arial"/>
    </w:rPr>
  </w:style>
  <w:style w:type="character" w:customStyle="1" w:styleId="DocoriginalChar">
    <w:name w:val="Doc_original Char"/>
    <w:basedOn w:val="CodeChar"/>
    <w:link w:val="Docoriginal"/>
    <w:rsid w:val="007D29F8"/>
    <w:rPr>
      <w:rFonts w:ascii="Arial" w:hAnsi="Arial"/>
      <w:b/>
      <w:bCs/>
      <w:spacing w:val="10"/>
      <w:sz w:val="18"/>
      <w:lang w:val="fr-FR"/>
    </w:rPr>
  </w:style>
  <w:style w:type="paragraph" w:styleId="TOC2">
    <w:name w:val="toc 2"/>
    <w:next w:val="Normal"/>
    <w:autoRedefine/>
    <w:uiPriority w:val="39"/>
    <w:rsid w:val="007D29F8"/>
    <w:pPr>
      <w:tabs>
        <w:tab w:val="right" w:pos="9629"/>
      </w:tabs>
      <w:spacing w:before="60"/>
      <w:ind w:left="567" w:right="567"/>
    </w:pPr>
    <w:rPr>
      <w:rFonts w:ascii="Arial" w:hAnsi="Arial" w:cstheme="minorHAnsi"/>
      <w:iCs/>
      <w:noProof/>
    </w:rPr>
  </w:style>
  <w:style w:type="paragraph" w:styleId="TOC3">
    <w:name w:val="toc 3"/>
    <w:next w:val="Normal"/>
    <w:autoRedefine/>
    <w:uiPriority w:val="39"/>
    <w:rsid w:val="007D29F8"/>
    <w:pPr>
      <w:tabs>
        <w:tab w:val="right" w:pos="9629"/>
      </w:tabs>
      <w:spacing w:before="120" w:after="120"/>
      <w:ind w:left="1134" w:right="284"/>
      <w:contextualSpacing/>
    </w:pPr>
    <w:rPr>
      <w:rFonts w:ascii="Arial" w:hAnsi="Arial" w:cstheme="minorHAnsi"/>
      <w:i/>
      <w:noProof/>
    </w:rPr>
  </w:style>
  <w:style w:type="character" w:styleId="Hyperlink">
    <w:name w:val="Hyperlink"/>
    <w:basedOn w:val="DefaultParagraphFont"/>
    <w:uiPriority w:val="99"/>
    <w:rsid w:val="007D29F8"/>
    <w:rPr>
      <w:rFonts w:ascii="Arial" w:hAnsi="Arial"/>
      <w:color w:val="0000FF"/>
      <w:u w:val="single"/>
    </w:rPr>
  </w:style>
  <w:style w:type="paragraph" w:styleId="TOC4">
    <w:name w:val="toc 4"/>
    <w:next w:val="Normal"/>
    <w:autoRedefine/>
    <w:uiPriority w:val="39"/>
    <w:rsid w:val="007D29F8"/>
    <w:pPr>
      <w:tabs>
        <w:tab w:val="left" w:pos="2127"/>
        <w:tab w:val="right" w:pos="9629"/>
      </w:tabs>
      <w:spacing w:before="120"/>
      <w:ind w:left="2127" w:right="567" w:hanging="1526"/>
    </w:pPr>
    <w:rPr>
      <w:rFonts w:asciiTheme="minorHAnsi" w:hAnsiTheme="minorHAnsi" w:cstheme="minorHAnsi"/>
      <w:noProof/>
      <w:lang w:val="fr-FR"/>
    </w:rPr>
  </w:style>
  <w:style w:type="paragraph" w:styleId="TOC1">
    <w:name w:val="toc 1"/>
    <w:next w:val="Normal"/>
    <w:autoRedefine/>
    <w:uiPriority w:val="39"/>
    <w:rsid w:val="007D29F8"/>
    <w:pPr>
      <w:tabs>
        <w:tab w:val="left" w:pos="400"/>
        <w:tab w:val="right" w:pos="9629"/>
      </w:tabs>
      <w:spacing w:before="240" w:after="120"/>
      <w:ind w:right="284"/>
    </w:pPr>
    <w:rPr>
      <w:rFonts w:ascii="Arial" w:hAnsi="Arial" w:cstheme="minorHAnsi"/>
      <w:bCs/>
      <w:caps/>
      <w:noProof/>
    </w:rPr>
  </w:style>
  <w:style w:type="paragraph" w:styleId="TOC5">
    <w:name w:val="toc 5"/>
    <w:next w:val="Normal"/>
    <w:autoRedefine/>
    <w:uiPriority w:val="39"/>
    <w:rsid w:val="007D29F8"/>
    <w:pPr>
      <w:ind w:left="800"/>
    </w:pPr>
    <w:rPr>
      <w:rFonts w:asciiTheme="minorHAnsi" w:hAnsiTheme="minorHAnsi" w:cstheme="minorHAnsi"/>
    </w:rPr>
  </w:style>
  <w:style w:type="paragraph" w:styleId="BalloonText">
    <w:name w:val="Balloon Text"/>
    <w:basedOn w:val="Normal"/>
    <w:link w:val="BalloonTextChar"/>
    <w:rsid w:val="007D29F8"/>
    <w:rPr>
      <w:rFonts w:ascii="Tahoma" w:hAnsi="Tahoma" w:cs="Tahoma"/>
      <w:sz w:val="16"/>
      <w:szCs w:val="16"/>
    </w:rPr>
  </w:style>
  <w:style w:type="character" w:customStyle="1" w:styleId="BalloonTextChar">
    <w:name w:val="Balloon Text Char"/>
    <w:basedOn w:val="DefaultParagraphFont"/>
    <w:link w:val="BalloonText"/>
    <w:rsid w:val="007D29F8"/>
    <w:rPr>
      <w:rFonts w:ascii="Tahoma" w:hAnsi="Tahoma" w:cs="Tahoma"/>
      <w:sz w:val="16"/>
      <w:szCs w:val="16"/>
      <w:lang w:val="fr-FR"/>
    </w:rPr>
  </w:style>
  <w:style w:type="paragraph" w:customStyle="1" w:styleId="Doccode">
    <w:name w:val="Doc_code"/>
    <w:qFormat/>
    <w:rsid w:val="007D29F8"/>
    <w:rPr>
      <w:rFonts w:ascii="Arial" w:hAnsi="Arial"/>
      <w:b/>
      <w:bCs/>
      <w:spacing w:val="10"/>
      <w:sz w:val="18"/>
    </w:rPr>
  </w:style>
  <w:style w:type="character" w:customStyle="1" w:styleId="Heading6Char">
    <w:name w:val="Heading 6 Char"/>
    <w:basedOn w:val="DefaultParagraphFont"/>
    <w:link w:val="Heading6"/>
    <w:semiHidden/>
    <w:rsid w:val="007D29F8"/>
    <w:rPr>
      <w:rFonts w:asciiTheme="majorHAnsi" w:eastAsiaTheme="majorEastAsia" w:hAnsiTheme="majorHAnsi" w:cstheme="majorBidi"/>
      <w:color w:val="194C32" w:themeColor="accent1" w:themeShade="7F"/>
    </w:rPr>
  </w:style>
  <w:style w:type="table" w:styleId="TableGrid">
    <w:name w:val="Table Grid"/>
    <w:basedOn w:val="TableNormal"/>
    <w:rsid w:val="007D29F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7D29F8"/>
    <w:pPr>
      <w:spacing w:before="120"/>
      <w:ind w:left="567" w:right="707"/>
    </w:pPr>
    <w:rPr>
      <w:rFonts w:cs="Arial"/>
    </w:rPr>
  </w:style>
  <w:style w:type="paragraph" w:customStyle="1" w:styleId="Inf4Heading4">
    <w:name w:val="Inf_4_Heading_4"/>
    <w:basedOn w:val="Heading4"/>
    <w:next w:val="Normal"/>
    <w:rsid w:val="007D29F8"/>
    <w:pPr>
      <w:spacing w:before="120"/>
      <w:ind w:left="0"/>
    </w:pPr>
    <w:rPr>
      <w:rFonts w:ascii="Times New Roman" w:hAnsi="Times New Roman"/>
      <w:b/>
      <w:bCs/>
      <w:sz w:val="22"/>
      <w:u w:val="none"/>
    </w:rPr>
  </w:style>
  <w:style w:type="paragraph" w:customStyle="1" w:styleId="Inf4Heading6">
    <w:name w:val="Inf_4_Heading_6"/>
    <w:basedOn w:val="Normal"/>
    <w:rsid w:val="007D29F8"/>
    <w:pPr>
      <w:keepNext/>
      <w:spacing w:before="108"/>
      <w:ind w:left="567"/>
      <w:outlineLvl w:val="5"/>
    </w:pPr>
    <w:rPr>
      <w:b/>
      <w:bCs/>
      <w:szCs w:val="24"/>
    </w:rPr>
  </w:style>
  <w:style w:type="paragraph" w:customStyle="1" w:styleId="Inf4Heading3">
    <w:name w:val="Inf_4_Heading_3"/>
    <w:basedOn w:val="Heading3"/>
    <w:rsid w:val="007D29F8"/>
    <w:pPr>
      <w:keepNext w:val="0"/>
      <w:spacing w:before="240"/>
      <w:jc w:val="center"/>
    </w:pPr>
    <w:rPr>
      <w:rFonts w:cs="Arial"/>
      <w:b w:val="0"/>
      <w:bCs/>
      <w:i/>
    </w:rPr>
  </w:style>
  <w:style w:type="character" w:customStyle="1" w:styleId="Heading3Char">
    <w:name w:val="Heading 3 Char"/>
    <w:basedOn w:val="DefaultParagraphFont"/>
    <w:link w:val="Heading3"/>
    <w:rsid w:val="007D29F8"/>
    <w:rPr>
      <w:rFonts w:ascii="Arial" w:hAnsi="Arial"/>
      <w:b/>
      <w:color w:val="26724C" w:themeColor="accent1" w:themeShade="BF"/>
      <w:sz w:val="22"/>
    </w:rPr>
  </w:style>
  <w:style w:type="paragraph" w:customStyle="1" w:styleId="StyleDocoriginalNotBold">
    <w:name w:val="Style Doc_original + Not Bold"/>
    <w:basedOn w:val="Docoriginal"/>
    <w:link w:val="StyleDocoriginalNotBoldChar"/>
    <w:autoRedefine/>
    <w:rsid w:val="007D29F8"/>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7D29F8"/>
    <w:rPr>
      <w:rFonts w:ascii="Arial" w:hAnsi="Arial"/>
      <w:b/>
      <w:bCs/>
      <w:spacing w:val="10"/>
      <w:sz w:val="18"/>
      <w:lang w:val="fr-FR"/>
    </w:rPr>
  </w:style>
  <w:style w:type="paragraph" w:customStyle="1" w:styleId="StyleDocnumber">
    <w:name w:val="Style Doc_number"/>
    <w:basedOn w:val="Docoriginal"/>
    <w:rsid w:val="007D29F8"/>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7D29F8"/>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7D29F8"/>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7D29F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7D29F8"/>
    <w:rPr>
      <w:rFonts w:ascii="Arial" w:hAnsi="Arial"/>
      <w:b w:val="0"/>
      <w:bCs w:val="0"/>
      <w:spacing w:val="10"/>
      <w:sz w:val="18"/>
      <w:lang w:val="fr-FR"/>
    </w:rPr>
  </w:style>
  <w:style w:type="character" w:customStyle="1" w:styleId="StyleDocoriginalNotBold1">
    <w:name w:val="Style Doc_original + Not Bold1"/>
    <w:basedOn w:val="DefaultParagraphFont"/>
    <w:rsid w:val="007D29F8"/>
    <w:rPr>
      <w:rFonts w:ascii="Arial" w:hAnsi="Arial"/>
      <w:b/>
      <w:bCs/>
      <w:spacing w:val="10"/>
      <w:lang w:val="en-US" w:eastAsia="en-US" w:bidi="ar-SA"/>
    </w:rPr>
  </w:style>
  <w:style w:type="character" w:customStyle="1" w:styleId="StyleDoclangBold">
    <w:name w:val="Style Doc_lang + Bold"/>
    <w:basedOn w:val="Doclang"/>
    <w:rsid w:val="007D29F8"/>
    <w:rPr>
      <w:rFonts w:ascii="Arial" w:hAnsi="Arial"/>
      <w:b/>
      <w:bCs/>
      <w:sz w:val="20"/>
      <w:lang w:val="en-US"/>
    </w:rPr>
  </w:style>
  <w:style w:type="paragraph" w:styleId="ListParagraph">
    <w:name w:val="List Paragraph"/>
    <w:basedOn w:val="Normal"/>
    <w:uiPriority w:val="34"/>
    <w:qFormat/>
    <w:rsid w:val="007D29F8"/>
    <w:pPr>
      <w:ind w:left="720"/>
      <w:contextualSpacing/>
    </w:pPr>
  </w:style>
  <w:style w:type="paragraph" w:customStyle="1" w:styleId="ZchnZchn1">
    <w:name w:val="Zchn Zchn1"/>
    <w:basedOn w:val="Normal"/>
    <w:rsid w:val="007D29F8"/>
    <w:pPr>
      <w:spacing w:after="160" w:line="240" w:lineRule="exact"/>
      <w:jc w:val="left"/>
    </w:pPr>
    <w:rPr>
      <w:rFonts w:ascii="Verdana" w:eastAsia="PMingLiU" w:hAnsi="Verdana"/>
    </w:rPr>
  </w:style>
  <w:style w:type="paragraph" w:styleId="Subtitle">
    <w:name w:val="Subtitle"/>
    <w:basedOn w:val="Normal"/>
    <w:link w:val="SubtitleChar"/>
    <w:qFormat/>
    <w:rsid w:val="007D29F8"/>
    <w:pPr>
      <w:jc w:val="center"/>
    </w:pPr>
    <w:rPr>
      <w:rFonts w:ascii="Times New Roman" w:hAnsi="Times New Roman"/>
      <w:b/>
      <w:caps/>
      <w:color w:val="0000FF"/>
      <w:sz w:val="28"/>
    </w:rPr>
  </w:style>
  <w:style w:type="character" w:customStyle="1" w:styleId="SubtitleChar">
    <w:name w:val="Subtitle Char"/>
    <w:basedOn w:val="DefaultParagraphFont"/>
    <w:link w:val="Subtitle"/>
    <w:rsid w:val="007D29F8"/>
    <w:rPr>
      <w:b/>
      <w:caps/>
      <w:color w:val="0000FF"/>
      <w:sz w:val="28"/>
      <w:lang w:val="fr-FR"/>
    </w:rPr>
  </w:style>
  <w:style w:type="paragraph" w:customStyle="1" w:styleId="Endofdocument">
    <w:name w:val="End of document"/>
    <w:basedOn w:val="Normal"/>
    <w:rsid w:val="007D29F8"/>
    <w:pPr>
      <w:ind w:left="4536"/>
      <w:jc w:val="center"/>
    </w:pPr>
    <w:rPr>
      <w:rFonts w:ascii="Times New Roman" w:hAnsi="Times New Roman"/>
      <w:sz w:val="24"/>
    </w:rPr>
  </w:style>
  <w:style w:type="paragraph" w:customStyle="1" w:styleId="BodyTextKeep">
    <w:name w:val="Body Text Keep"/>
    <w:basedOn w:val="BodyText"/>
    <w:rsid w:val="007D29F8"/>
    <w:pPr>
      <w:keepNext/>
      <w:spacing w:after="160"/>
      <w:jc w:val="left"/>
    </w:pPr>
    <w:rPr>
      <w:rFonts w:ascii="Times New Roman" w:hAnsi="Times New Roman"/>
    </w:rPr>
  </w:style>
  <w:style w:type="character" w:styleId="Emphasis">
    <w:name w:val="Emphasis"/>
    <w:basedOn w:val="DefaultParagraphFont"/>
    <w:qFormat/>
    <w:rsid w:val="007D29F8"/>
    <w:rPr>
      <w:i/>
      <w:iCs/>
    </w:rPr>
  </w:style>
  <w:style w:type="character" w:customStyle="1" w:styleId="HeaderChar">
    <w:name w:val="Header Char"/>
    <w:basedOn w:val="DefaultParagraphFont"/>
    <w:link w:val="Header"/>
    <w:uiPriority w:val="99"/>
    <w:rsid w:val="007D29F8"/>
    <w:rPr>
      <w:rFonts w:ascii="Arial" w:hAnsi="Arial"/>
    </w:rPr>
  </w:style>
  <w:style w:type="character" w:styleId="CommentReference">
    <w:name w:val="annotation reference"/>
    <w:basedOn w:val="DefaultParagraphFont"/>
    <w:rsid w:val="007D29F8"/>
    <w:rPr>
      <w:sz w:val="16"/>
      <w:szCs w:val="16"/>
    </w:rPr>
  </w:style>
  <w:style w:type="paragraph" w:styleId="CommentText">
    <w:name w:val="annotation text"/>
    <w:basedOn w:val="Normal"/>
    <w:link w:val="CommentTextChar"/>
    <w:rsid w:val="007D29F8"/>
  </w:style>
  <w:style w:type="character" w:customStyle="1" w:styleId="CommentTextChar">
    <w:name w:val="Comment Text Char"/>
    <w:basedOn w:val="DefaultParagraphFont"/>
    <w:link w:val="CommentText"/>
    <w:rsid w:val="007D29F8"/>
    <w:rPr>
      <w:rFonts w:ascii="Arial" w:hAnsi="Arial"/>
      <w:lang w:val="fr-FR"/>
    </w:rPr>
  </w:style>
  <w:style w:type="paragraph" w:styleId="CommentSubject">
    <w:name w:val="annotation subject"/>
    <w:basedOn w:val="CommentText"/>
    <w:next w:val="CommentText"/>
    <w:link w:val="CommentSubjectChar"/>
    <w:rsid w:val="007D29F8"/>
    <w:rPr>
      <w:b/>
      <w:bCs/>
    </w:rPr>
  </w:style>
  <w:style w:type="character" w:customStyle="1" w:styleId="CommentSubjectChar">
    <w:name w:val="Comment Subject Char"/>
    <w:basedOn w:val="CommentTextChar"/>
    <w:link w:val="CommentSubject"/>
    <w:rsid w:val="007D29F8"/>
    <w:rPr>
      <w:rFonts w:ascii="Arial" w:hAnsi="Arial"/>
      <w:b/>
      <w:bCs/>
      <w:lang w:val="fr-FR"/>
    </w:rPr>
  </w:style>
  <w:style w:type="paragraph" w:styleId="NormalWeb">
    <w:name w:val="Normal (Web)"/>
    <w:basedOn w:val="Normal"/>
    <w:uiPriority w:val="99"/>
    <w:unhideWhenUsed/>
    <w:rsid w:val="007D29F8"/>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7D29F8"/>
    <w:pPr>
      <w:keepLines/>
      <w:spacing w:before="480" w:line="276" w:lineRule="auto"/>
      <w:ind w:left="567" w:hanging="567"/>
      <w:outlineLvl w:val="9"/>
    </w:pPr>
    <w:rPr>
      <w:rFonts w:asciiTheme="majorHAnsi" w:eastAsiaTheme="majorEastAsia" w:hAnsiTheme="majorHAnsi" w:cstheme="majorBidi"/>
      <w:b/>
      <w:bCs/>
      <w:caps w:val="0"/>
      <w:sz w:val="28"/>
      <w:szCs w:val="28"/>
      <w:lang w:eastAsia="ja-JP"/>
    </w:rPr>
  </w:style>
  <w:style w:type="paragraph" w:customStyle="1" w:styleId="figures">
    <w:name w:val="figures"/>
    <w:basedOn w:val="Normal"/>
    <w:next w:val="Normal"/>
    <w:qFormat/>
    <w:rsid w:val="007D29F8"/>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7D29F8"/>
    <w:rPr>
      <w:rFonts w:ascii="Arial" w:hAnsi="Arial"/>
      <w:lang w:val="fr-FR"/>
    </w:rPr>
  </w:style>
  <w:style w:type="paragraph" w:styleId="Caption">
    <w:name w:val="caption"/>
    <w:basedOn w:val="Heading9"/>
    <w:next w:val="Normal"/>
    <w:unhideWhenUsed/>
    <w:qFormat/>
    <w:rsid w:val="007D29F8"/>
    <w:pPr>
      <w:spacing w:after="120"/>
      <w:jc w:val="center"/>
    </w:pPr>
    <w:rPr>
      <w:rFonts w:eastAsiaTheme="minorEastAsia"/>
      <w:bCs/>
      <w:szCs w:val="18"/>
    </w:rPr>
  </w:style>
  <w:style w:type="paragraph" w:styleId="BodyText3">
    <w:name w:val="Body Text 3"/>
    <w:basedOn w:val="Normal"/>
    <w:link w:val="BodyText3Char"/>
    <w:rsid w:val="007D29F8"/>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7D29F8"/>
    <w:rPr>
      <w:sz w:val="16"/>
      <w:szCs w:val="16"/>
      <w:lang w:val="fr-FR"/>
    </w:rPr>
  </w:style>
  <w:style w:type="paragraph" w:customStyle="1" w:styleId="annexiparanumbered">
    <w:name w:val="annex_i_para_numbered"/>
    <w:basedOn w:val="ListParagraph"/>
    <w:qFormat/>
    <w:rsid w:val="007D29F8"/>
    <w:pPr>
      <w:numPr>
        <w:numId w:val="4"/>
      </w:numPr>
    </w:pPr>
  </w:style>
  <w:style w:type="character" w:styleId="FollowedHyperlink">
    <w:name w:val="FollowedHyperlink"/>
    <w:basedOn w:val="DefaultParagraphFont"/>
    <w:semiHidden/>
    <w:unhideWhenUsed/>
    <w:rsid w:val="007D29F8"/>
    <w:rPr>
      <w:color w:val="FFCCCC" w:themeColor="followedHyperlink"/>
      <w:u w:val="single"/>
    </w:rPr>
  </w:style>
  <w:style w:type="paragraph" w:customStyle="1" w:styleId="Default">
    <w:name w:val="Default"/>
    <w:rsid w:val="007D29F8"/>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7D29F8"/>
    <w:rPr>
      <w:rFonts w:ascii="Arial" w:hAnsi="Arial"/>
      <w:sz w:val="16"/>
    </w:rPr>
  </w:style>
  <w:style w:type="paragraph" w:styleId="TOC6">
    <w:name w:val="toc 6"/>
    <w:basedOn w:val="Normal"/>
    <w:next w:val="Normal"/>
    <w:autoRedefine/>
    <w:unhideWhenUsed/>
    <w:rsid w:val="007D29F8"/>
    <w:pPr>
      <w:ind w:left="1000"/>
      <w:jc w:val="left"/>
    </w:pPr>
    <w:rPr>
      <w:rFonts w:asciiTheme="minorHAnsi" w:hAnsiTheme="minorHAnsi" w:cstheme="minorHAnsi"/>
    </w:rPr>
  </w:style>
  <w:style w:type="paragraph" w:styleId="TOC7">
    <w:name w:val="toc 7"/>
    <w:basedOn w:val="Normal"/>
    <w:next w:val="Normal"/>
    <w:autoRedefine/>
    <w:unhideWhenUsed/>
    <w:rsid w:val="007D29F8"/>
    <w:pPr>
      <w:ind w:left="1200"/>
      <w:jc w:val="left"/>
    </w:pPr>
    <w:rPr>
      <w:rFonts w:asciiTheme="minorHAnsi" w:hAnsiTheme="minorHAnsi" w:cstheme="minorHAnsi"/>
    </w:rPr>
  </w:style>
  <w:style w:type="paragraph" w:styleId="TOC8">
    <w:name w:val="toc 8"/>
    <w:basedOn w:val="Normal"/>
    <w:next w:val="Normal"/>
    <w:autoRedefine/>
    <w:unhideWhenUsed/>
    <w:rsid w:val="007D29F8"/>
    <w:pPr>
      <w:ind w:left="1400"/>
      <w:jc w:val="left"/>
    </w:pPr>
    <w:rPr>
      <w:rFonts w:asciiTheme="minorHAnsi" w:hAnsiTheme="minorHAnsi" w:cstheme="minorHAnsi"/>
    </w:rPr>
  </w:style>
  <w:style w:type="paragraph" w:styleId="TOC9">
    <w:name w:val="toc 9"/>
    <w:basedOn w:val="Normal"/>
    <w:next w:val="Normal"/>
    <w:autoRedefine/>
    <w:unhideWhenUsed/>
    <w:rsid w:val="007D29F8"/>
    <w:pPr>
      <w:ind w:left="1600"/>
      <w:jc w:val="left"/>
    </w:pPr>
    <w:rPr>
      <w:rFonts w:asciiTheme="minorHAnsi" w:hAnsiTheme="minorHAnsi" w:cstheme="minorHAnsi"/>
    </w:rPr>
  </w:style>
  <w:style w:type="paragraph" w:styleId="Revision">
    <w:name w:val="Revision"/>
    <w:hidden/>
    <w:uiPriority w:val="99"/>
    <w:semiHidden/>
    <w:rsid w:val="007D29F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header" Target="header14.xml"/><Relationship Id="rId47" Type="http://schemas.openxmlformats.org/officeDocument/2006/relationships/footer" Target="footer17.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footer" Target="footer7.xml"/><Relationship Id="rId11" Type="http://schemas.openxmlformats.org/officeDocument/2006/relationships/image" Target="media/image3.svg"/><Relationship Id="rId24" Type="http://schemas.openxmlformats.org/officeDocument/2006/relationships/footer" Target="footer4.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1.xml"/><Relationship Id="rId49" Type="http://schemas.openxmlformats.org/officeDocument/2006/relationships/footer" Target="footer18.xml"/><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header" Target="header9.xml"/><Relationship Id="rId44"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yperlink" Target="https://www.upov.int/about/fr/faq.html" TargetMode="External"/><Relationship Id="rId14" Type="http://schemas.openxmlformats.org/officeDocument/2006/relationships/image" Target="media/image6.svg"/><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7.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footer" Target="footer16.xml"/><Relationship Id="rId20" Type="http://schemas.openxmlformats.org/officeDocument/2006/relationships/header" Target="header4.xm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7%20(2023)\templates\c_57_FR.dotx" TargetMode="Externa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c_57_FR.dotx</Template>
  <TotalTime>7</TotalTime>
  <Pages>25</Pages>
  <Words>9624</Words>
  <Characters>55003</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C/57/4</vt:lpstr>
    </vt:vector>
  </TitlesOfParts>
  <Company>UPOV</Company>
  <LinksUpToDate>false</LinksUpToDate>
  <CharactersWithSpaces>64499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C/57/4 Rev.</dc:title>
  <dc:creator>SANCHEZ VIZCAINO GOMEZ Rosa Maria</dc:creator>
  <cp:lastModifiedBy>SANCHEZ VIZCAINO GOMEZ Rosa Maria</cp:lastModifiedBy>
  <cp:revision>5</cp:revision>
  <cp:lastPrinted>2016-11-22T15:41:00Z</cp:lastPrinted>
  <dcterms:created xsi:type="dcterms:W3CDTF">2023-11-13T10:36:00Z</dcterms:created>
  <dcterms:modified xsi:type="dcterms:W3CDTF">2023-11-13T10:48:00Z</dcterms:modified>
</cp:coreProperties>
</file>