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EA066D" w:rsidRPr="00815738" w:rsidTr="000123FC">
        <w:tc>
          <w:tcPr>
            <w:tcW w:w="6522" w:type="dxa"/>
          </w:tcPr>
          <w:p w:rsidR="00EA066D" w:rsidRPr="00AC2883" w:rsidRDefault="00EA066D" w:rsidP="000123FC">
            <w:r w:rsidRPr="00D250C5">
              <w:rPr>
                <w:noProof/>
              </w:rPr>
              <w:drawing>
                <wp:inline distT="0" distB="0" distL="0" distR="0" wp14:anchorId="7A14FAD1" wp14:editId="11E72CD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EA066D" w:rsidRPr="007C1D92" w:rsidRDefault="00EA066D" w:rsidP="000123FC">
            <w:pPr>
              <w:pStyle w:val="Lettrine"/>
            </w:pPr>
            <w:r>
              <w:t>F</w:t>
            </w:r>
          </w:p>
        </w:tc>
      </w:tr>
      <w:tr w:rsidR="00EA066D" w:rsidRPr="002D04D9" w:rsidTr="000123FC">
        <w:trPr>
          <w:trHeight w:val="219"/>
        </w:trPr>
        <w:tc>
          <w:tcPr>
            <w:tcW w:w="6522" w:type="dxa"/>
          </w:tcPr>
          <w:p w:rsidR="00EA066D" w:rsidRPr="00EA066D" w:rsidRDefault="00EA066D" w:rsidP="000123FC">
            <w:pPr>
              <w:pStyle w:val="upove"/>
              <w:rPr>
                <w:lang w:val="fr-FR"/>
              </w:rPr>
            </w:pPr>
            <w:r w:rsidRPr="00EA066D">
              <w:rPr>
                <w:lang w:val="fr-FR"/>
              </w:rPr>
              <w:t>Union internationale pour la protection des obtentions végétales</w:t>
            </w:r>
          </w:p>
        </w:tc>
        <w:tc>
          <w:tcPr>
            <w:tcW w:w="3117" w:type="dxa"/>
          </w:tcPr>
          <w:p w:rsidR="00EA066D" w:rsidRPr="00EA066D" w:rsidRDefault="00EA066D" w:rsidP="000123FC">
            <w:pPr>
              <w:rPr>
                <w:lang w:val="fr-FR"/>
              </w:rPr>
            </w:pPr>
          </w:p>
        </w:tc>
      </w:tr>
    </w:tbl>
    <w:p w:rsidR="00EA066D" w:rsidRPr="00EA066D" w:rsidRDefault="00EA066D" w:rsidP="00EA066D">
      <w:pPr>
        <w:rPr>
          <w:lang w:val="fr-FR"/>
        </w:rPr>
      </w:pPr>
    </w:p>
    <w:p w:rsidR="00EA066D" w:rsidRPr="00EA066D" w:rsidRDefault="00EA066D" w:rsidP="00EA066D">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A066D" w:rsidRPr="002D04D9" w:rsidTr="000123FC">
        <w:tc>
          <w:tcPr>
            <w:tcW w:w="6512" w:type="dxa"/>
          </w:tcPr>
          <w:p w:rsidR="00EA066D" w:rsidRPr="00EA066D" w:rsidRDefault="00EA066D" w:rsidP="000123FC">
            <w:pPr>
              <w:pStyle w:val="Sessiontc"/>
              <w:spacing w:line="240" w:lineRule="auto"/>
              <w:rPr>
                <w:lang w:val="fr-FR"/>
              </w:rPr>
            </w:pPr>
            <w:r w:rsidRPr="00EA066D">
              <w:rPr>
                <w:lang w:val="fr-FR"/>
              </w:rPr>
              <w:t>Conseil</w:t>
            </w:r>
          </w:p>
          <w:p w:rsidR="00EA066D" w:rsidRPr="00EA066D" w:rsidRDefault="00EA066D" w:rsidP="000123FC">
            <w:pPr>
              <w:pStyle w:val="Sessiontcplacedate"/>
              <w:rPr>
                <w:sz w:val="22"/>
                <w:lang w:val="fr-FR"/>
              </w:rPr>
            </w:pPr>
            <w:r w:rsidRPr="00EA066D">
              <w:rPr>
                <w:lang w:val="fr-FR"/>
              </w:rPr>
              <w:t>Cinquante</w:t>
            </w:r>
            <w:r>
              <w:rPr>
                <w:lang w:val="fr-FR"/>
              </w:rPr>
              <w:t>-</w:t>
            </w:r>
            <w:r w:rsidRPr="00EA066D">
              <w:rPr>
                <w:lang w:val="fr-FR"/>
              </w:rPr>
              <w:t>six</w:t>
            </w:r>
            <w:r>
              <w:rPr>
                <w:lang w:val="fr-FR"/>
              </w:rPr>
              <w:t>ième session</w:t>
            </w:r>
            <w:r w:rsidRPr="00EA066D">
              <w:rPr>
                <w:lang w:val="fr-FR"/>
              </w:rPr>
              <w:t xml:space="preserve"> ordinaire</w:t>
            </w:r>
            <w:r w:rsidRPr="00EA066D">
              <w:rPr>
                <w:lang w:val="fr-FR"/>
              </w:rPr>
              <w:br/>
              <w:t>Genève, 28</w:t>
            </w:r>
            <w:r>
              <w:rPr>
                <w:lang w:val="fr-FR"/>
              </w:rPr>
              <w:t> </w:t>
            </w:r>
            <w:r w:rsidRPr="00EA066D">
              <w:rPr>
                <w:lang w:val="fr-FR"/>
              </w:rPr>
              <w:t>octobre</w:t>
            </w:r>
            <w:r>
              <w:rPr>
                <w:lang w:val="fr-FR"/>
              </w:rPr>
              <w:t> </w:t>
            </w:r>
            <w:r w:rsidRPr="00EA066D">
              <w:rPr>
                <w:lang w:val="fr-FR"/>
              </w:rPr>
              <w:t>2022</w:t>
            </w:r>
          </w:p>
        </w:tc>
        <w:tc>
          <w:tcPr>
            <w:tcW w:w="3127" w:type="dxa"/>
          </w:tcPr>
          <w:p w:rsidR="00EA066D" w:rsidRPr="00235CD2" w:rsidRDefault="00EA066D" w:rsidP="000123FC">
            <w:pPr>
              <w:pStyle w:val="Doccode"/>
              <w:rPr>
                <w:lang w:val="fr-FR"/>
              </w:rPr>
            </w:pPr>
            <w:r w:rsidRPr="00235CD2">
              <w:rPr>
                <w:lang w:val="fr-FR"/>
              </w:rPr>
              <w:t>C</w:t>
            </w:r>
            <w:r>
              <w:rPr>
                <w:lang w:val="fr-FR"/>
              </w:rPr>
              <w:t>/56</w:t>
            </w:r>
            <w:r w:rsidRPr="00235CD2">
              <w:rPr>
                <w:lang w:val="fr-FR"/>
              </w:rPr>
              <w:t>/</w:t>
            </w:r>
            <w:r>
              <w:rPr>
                <w:lang w:val="fr-FR"/>
              </w:rPr>
              <w:t>3</w:t>
            </w:r>
          </w:p>
          <w:p w:rsidR="00EA066D" w:rsidRPr="00EA066D" w:rsidRDefault="00EA066D" w:rsidP="000123FC">
            <w:pPr>
              <w:pStyle w:val="Docoriginal"/>
              <w:rPr>
                <w:lang w:val="fr-FR"/>
              </w:rPr>
            </w:pPr>
            <w:r w:rsidRPr="00EA066D">
              <w:rPr>
                <w:lang w:val="fr-FR"/>
              </w:rPr>
              <w:t>Original</w:t>
            </w:r>
            <w:r>
              <w:rPr>
                <w:lang w:val="fr-FR"/>
              </w:rPr>
              <w:t> :</w:t>
            </w:r>
            <w:r w:rsidRPr="00EA066D">
              <w:rPr>
                <w:b w:val="0"/>
                <w:spacing w:val="0"/>
                <w:lang w:val="fr-FR"/>
              </w:rPr>
              <w:t xml:space="preserve"> anglais</w:t>
            </w:r>
          </w:p>
          <w:p w:rsidR="00EA066D" w:rsidRPr="00EA066D" w:rsidRDefault="00EA066D" w:rsidP="008A4F8E">
            <w:pPr>
              <w:pStyle w:val="Docoriginal"/>
              <w:rPr>
                <w:lang w:val="fr-FR"/>
              </w:rPr>
            </w:pPr>
            <w:r w:rsidRPr="00EA066D">
              <w:rPr>
                <w:lang w:val="fr-FR"/>
              </w:rPr>
              <w:t>Date</w:t>
            </w:r>
            <w:r>
              <w:rPr>
                <w:lang w:val="fr-FR"/>
              </w:rPr>
              <w:t> :</w:t>
            </w:r>
            <w:r w:rsidRPr="00EA066D">
              <w:rPr>
                <w:b w:val="0"/>
                <w:spacing w:val="0"/>
                <w:lang w:val="fr-FR"/>
              </w:rPr>
              <w:t xml:space="preserve"> </w:t>
            </w:r>
            <w:r w:rsidR="008A4F8E">
              <w:rPr>
                <w:b w:val="0"/>
                <w:spacing w:val="0"/>
                <w:lang w:val="fr-FR"/>
              </w:rPr>
              <w:t>1</w:t>
            </w:r>
            <w:r w:rsidRPr="00EA066D">
              <w:rPr>
                <w:b w:val="0"/>
                <w:spacing w:val="0"/>
                <w:lang w:val="fr-FR"/>
              </w:rPr>
              <w:t>5 juillet 2022</w:t>
            </w:r>
          </w:p>
        </w:tc>
      </w:tr>
    </w:tbl>
    <w:p w:rsidR="00EA066D" w:rsidRPr="00EA066D" w:rsidRDefault="00EA066D" w:rsidP="00EA066D">
      <w:pPr>
        <w:pStyle w:val="Titleofdoc0"/>
        <w:rPr>
          <w:lang w:val="fr-FR"/>
        </w:rPr>
      </w:pPr>
      <w:bookmarkStart w:id="0" w:name="TitleOfDoc"/>
      <w:bookmarkEnd w:id="0"/>
      <w:r w:rsidRPr="00EA066D">
        <w:rPr>
          <w:lang w:val="fr-FR"/>
        </w:rPr>
        <w:t>Adoption de DOCUMENTs</w:t>
      </w:r>
    </w:p>
    <w:p w:rsidR="00EA066D" w:rsidRPr="00EA066D" w:rsidRDefault="00EA066D" w:rsidP="00EA066D">
      <w:pPr>
        <w:pStyle w:val="preparedby1"/>
        <w:jc w:val="left"/>
        <w:rPr>
          <w:lang w:val="fr-FR"/>
        </w:rPr>
      </w:pPr>
      <w:bookmarkStart w:id="1" w:name="Prepared"/>
      <w:bookmarkEnd w:id="1"/>
      <w:r w:rsidRPr="00EA066D">
        <w:rPr>
          <w:lang w:val="fr-FR"/>
        </w:rPr>
        <w:t>Document établi par le Bureau de l</w:t>
      </w:r>
      <w:r>
        <w:rPr>
          <w:lang w:val="fr-FR"/>
        </w:rPr>
        <w:t>’</w:t>
      </w:r>
      <w:r w:rsidRPr="00EA066D">
        <w:rPr>
          <w:lang w:val="fr-FR"/>
        </w:rPr>
        <w:t>Union</w:t>
      </w:r>
    </w:p>
    <w:p w:rsidR="00EA066D" w:rsidRPr="00EA066D" w:rsidRDefault="00EA066D" w:rsidP="00EA066D">
      <w:pPr>
        <w:pStyle w:val="Disclaimer"/>
        <w:rPr>
          <w:lang w:val="fr-FR"/>
        </w:rPr>
      </w:pPr>
      <w:r w:rsidRPr="00EA066D">
        <w:rPr>
          <w:lang w:val="fr-FR"/>
        </w:rPr>
        <w:t>Avertissement</w:t>
      </w:r>
      <w:r>
        <w:rPr>
          <w:lang w:val="fr-FR"/>
        </w:rPr>
        <w:t> :</w:t>
      </w:r>
      <w:r w:rsidRPr="00EA066D">
        <w:rPr>
          <w:lang w:val="fr-FR"/>
        </w:rPr>
        <w:t xml:space="preserve"> le présent document ne représente pas les principes ou les orientations de l</w:t>
      </w:r>
      <w:r>
        <w:rPr>
          <w:lang w:val="fr-FR"/>
        </w:rPr>
        <w:t>’</w:t>
      </w:r>
      <w:r w:rsidRPr="00EA066D">
        <w:rPr>
          <w:lang w:val="fr-FR"/>
        </w:rPr>
        <w:t>UPOV</w:t>
      </w:r>
    </w:p>
    <w:p w:rsidR="00CA67DF" w:rsidRPr="00ED0ED2" w:rsidRDefault="00BE3659" w:rsidP="00CA67DF">
      <w:pPr>
        <w:rPr>
          <w:spacing w:val="-2"/>
          <w:lang w:val="fr-FR"/>
        </w:rPr>
      </w:pPr>
      <w:r w:rsidRPr="00056167">
        <w:fldChar w:fldCharType="begin"/>
      </w:r>
      <w:r w:rsidRPr="00CA67DF">
        <w:rPr>
          <w:lang w:val="fr-FR"/>
        </w:rPr>
        <w:instrText xml:space="preserve"> AUTONUM  </w:instrText>
      </w:r>
      <w:r w:rsidRPr="00056167">
        <w:fldChar w:fldCharType="end"/>
      </w:r>
      <w:r w:rsidRPr="00CA67DF">
        <w:rPr>
          <w:lang w:val="fr-FR"/>
        </w:rPr>
        <w:tab/>
      </w:r>
      <w:r w:rsidR="00CA67DF" w:rsidRPr="00ED0ED2">
        <w:rPr>
          <w:lang w:val="fr-FR"/>
        </w:rPr>
        <w:t>L</w:t>
      </w:r>
      <w:r w:rsidR="00EA066D" w:rsidRPr="00ED0ED2">
        <w:rPr>
          <w:lang w:val="fr-FR"/>
        </w:rPr>
        <w:t>’</w:t>
      </w:r>
      <w:r w:rsidR="00CA67DF" w:rsidRPr="00ED0ED2">
        <w:rPr>
          <w:lang w:val="fr-FR"/>
        </w:rPr>
        <w:t>objet du présent document est de fournir des informations sur les doc</w:t>
      </w:r>
      <w:r w:rsidR="001E0095" w:rsidRPr="00ED0ED2">
        <w:rPr>
          <w:lang w:val="fr-FR"/>
        </w:rPr>
        <w:t>uments ci</w:t>
      </w:r>
      <w:r w:rsidR="00EA066D" w:rsidRPr="00ED0ED2">
        <w:rPr>
          <w:lang w:val="fr-FR"/>
        </w:rPr>
        <w:t>-</w:t>
      </w:r>
      <w:r w:rsidR="001E0095" w:rsidRPr="00ED0ED2">
        <w:rPr>
          <w:lang w:val="fr-FR"/>
        </w:rPr>
        <w:t xml:space="preserve">après qui sont soumis à </w:t>
      </w:r>
      <w:r w:rsidR="00CA67DF" w:rsidRPr="00ED0ED2">
        <w:rPr>
          <w:lang w:val="fr-FR"/>
        </w:rPr>
        <w:t>adoption</w:t>
      </w:r>
      <w:r w:rsidR="00EA066D" w:rsidRPr="00ED0ED2">
        <w:rPr>
          <w:lang w:val="fr-FR"/>
        </w:rPr>
        <w:t> :</w:t>
      </w:r>
    </w:p>
    <w:p w:rsidR="00CA67DF" w:rsidRPr="00ED0ED2" w:rsidRDefault="00CA67DF" w:rsidP="00BE3659">
      <w:pPr>
        <w:ind w:left="2268" w:hanging="1701"/>
        <w:rPr>
          <w:bCs/>
          <w:snapToGrid w:val="0"/>
          <w:lang w:val="fr-FR"/>
        </w:rPr>
      </w:pPr>
    </w:p>
    <w:p w:rsidR="00CA67DF" w:rsidRPr="00ED0ED2" w:rsidRDefault="00CA67DF" w:rsidP="00CA67DF">
      <w:pPr>
        <w:ind w:left="567"/>
        <w:rPr>
          <w:bCs/>
          <w:snapToGrid w:val="0"/>
          <w:u w:val="single"/>
          <w:lang w:val="fr-FR"/>
        </w:rPr>
      </w:pPr>
      <w:r w:rsidRPr="00ED0ED2">
        <w:rPr>
          <w:bCs/>
          <w:snapToGrid w:val="0"/>
          <w:u w:val="single"/>
          <w:lang w:val="fr-FR"/>
        </w:rPr>
        <w:t>Documents d</w:t>
      </w:r>
      <w:r w:rsidR="00EA066D" w:rsidRPr="00ED0ED2">
        <w:rPr>
          <w:bCs/>
          <w:snapToGrid w:val="0"/>
          <w:u w:val="single"/>
          <w:lang w:val="fr-FR"/>
        </w:rPr>
        <w:t>’</w:t>
      </w:r>
      <w:r w:rsidRPr="00ED0ED2">
        <w:rPr>
          <w:bCs/>
          <w:snapToGrid w:val="0"/>
          <w:u w:val="single"/>
          <w:lang w:val="fr-FR"/>
        </w:rPr>
        <w:t>information</w:t>
      </w:r>
    </w:p>
    <w:p w:rsidR="00CA67DF" w:rsidRPr="00ED0ED2" w:rsidRDefault="00CA67DF" w:rsidP="00BE3659">
      <w:pPr>
        <w:rPr>
          <w:lang w:val="fr-FR"/>
        </w:rPr>
      </w:pPr>
    </w:p>
    <w:p w:rsidR="00CA67DF" w:rsidRPr="00ED0ED2" w:rsidRDefault="00CA67DF" w:rsidP="00CA67DF">
      <w:pPr>
        <w:ind w:left="2880" w:hanging="1710"/>
        <w:jc w:val="left"/>
        <w:rPr>
          <w:lang w:val="fr-FR"/>
        </w:rPr>
      </w:pPr>
      <w:r w:rsidRPr="00ED0ED2">
        <w:rPr>
          <w:lang w:val="fr-FR"/>
        </w:rPr>
        <w:t>UP</w:t>
      </w:r>
      <w:r w:rsidR="00ED0ED2">
        <w:rPr>
          <w:lang w:val="fr-FR"/>
        </w:rPr>
        <w:t>OV/INF/16</w:t>
      </w:r>
      <w:r w:rsidR="001E0095" w:rsidRPr="00ED0ED2">
        <w:rPr>
          <w:lang w:val="fr-FR"/>
        </w:rPr>
        <w:tab/>
      </w:r>
      <w:r w:rsidRPr="00ED0ED2">
        <w:rPr>
          <w:lang w:val="fr-FR"/>
        </w:rPr>
        <w:t>Logiciels échangeables (révision)</w:t>
      </w:r>
      <w:r w:rsidR="00ED0ED2">
        <w:rPr>
          <w:lang w:val="fr-FR"/>
        </w:rPr>
        <w:t xml:space="preserve"> (document UPOV/INF/16/11 Draft </w:t>
      </w:r>
      <w:r w:rsidRPr="00ED0ED2">
        <w:rPr>
          <w:lang w:val="fr-FR"/>
        </w:rPr>
        <w:t>1)</w:t>
      </w:r>
    </w:p>
    <w:p w:rsidR="00CA67DF" w:rsidRPr="00ED0ED2" w:rsidRDefault="00CA67DF" w:rsidP="000A132D">
      <w:pPr>
        <w:jc w:val="left"/>
        <w:rPr>
          <w:lang w:val="fr-FR"/>
        </w:rPr>
      </w:pPr>
    </w:p>
    <w:p w:rsidR="00EA066D" w:rsidRPr="00ED0ED2" w:rsidRDefault="00ED0ED2" w:rsidP="00CA67DF">
      <w:pPr>
        <w:ind w:left="2880" w:hanging="1710"/>
        <w:jc w:val="left"/>
        <w:rPr>
          <w:lang w:val="fr-FR"/>
        </w:rPr>
      </w:pPr>
      <w:r>
        <w:rPr>
          <w:lang w:val="fr-FR"/>
        </w:rPr>
        <w:t>UPOV/INF/22</w:t>
      </w:r>
      <w:r w:rsidR="001E0095" w:rsidRPr="00ED0ED2">
        <w:rPr>
          <w:lang w:val="fr-FR"/>
        </w:rPr>
        <w:tab/>
      </w:r>
      <w:r w:rsidR="00CA67DF" w:rsidRPr="00ED0ED2">
        <w:rPr>
          <w:lang w:val="fr-FR"/>
        </w:rPr>
        <w:t>Logiciels et équipements utilisés par les membres de l</w:t>
      </w:r>
      <w:r w:rsidR="00EA066D" w:rsidRPr="00ED0ED2">
        <w:rPr>
          <w:lang w:val="fr-FR"/>
        </w:rPr>
        <w:t>’</w:t>
      </w:r>
      <w:r w:rsidR="00CA67DF" w:rsidRPr="00ED0ED2">
        <w:rPr>
          <w:lang w:val="fr-FR"/>
        </w:rPr>
        <w:t>Union (révision)</w:t>
      </w:r>
    </w:p>
    <w:p w:rsidR="00CA67DF" w:rsidRPr="00ED0ED2" w:rsidRDefault="00CA67DF" w:rsidP="00CA67DF">
      <w:pPr>
        <w:ind w:left="2880"/>
        <w:jc w:val="left"/>
        <w:rPr>
          <w:lang w:val="fr-FR"/>
        </w:rPr>
      </w:pPr>
      <w:r w:rsidRPr="00ED0ED2">
        <w:rPr>
          <w:lang w:val="fr-FR"/>
        </w:rPr>
        <w:t xml:space="preserve">(document </w:t>
      </w:r>
      <w:r w:rsidR="00ED0ED2">
        <w:rPr>
          <w:lang w:val="fr-FR"/>
        </w:rPr>
        <w:t>UPOV/INF/22/9 Draft </w:t>
      </w:r>
      <w:r w:rsidRPr="00ED0ED2">
        <w:rPr>
          <w:lang w:val="fr-FR"/>
        </w:rPr>
        <w:t>1)</w:t>
      </w:r>
    </w:p>
    <w:p w:rsidR="00CA67DF" w:rsidRPr="00ED0ED2" w:rsidRDefault="00CA67DF" w:rsidP="000A132D">
      <w:pPr>
        <w:jc w:val="left"/>
        <w:rPr>
          <w:lang w:val="fr-FR"/>
        </w:rPr>
      </w:pPr>
    </w:p>
    <w:p w:rsidR="00CA67DF" w:rsidRPr="00ED0ED2" w:rsidRDefault="00CA67DF" w:rsidP="00CA67DF">
      <w:pPr>
        <w:ind w:left="2835" w:hanging="1701"/>
        <w:jc w:val="left"/>
        <w:rPr>
          <w:lang w:val="fr-FR"/>
        </w:rPr>
      </w:pPr>
      <w:r w:rsidRPr="00ED0ED2">
        <w:rPr>
          <w:lang w:val="fr-FR"/>
        </w:rPr>
        <w:t>UPOV/INF</w:t>
      </w:r>
      <w:r w:rsidR="00EA066D" w:rsidRPr="00ED0ED2">
        <w:rPr>
          <w:lang w:val="fr-FR"/>
        </w:rPr>
        <w:t>-</w:t>
      </w:r>
      <w:r w:rsidR="00ED0ED2">
        <w:rPr>
          <w:lang w:val="fr-FR"/>
        </w:rPr>
        <w:t>EXN</w:t>
      </w:r>
      <w:r w:rsidR="001E0095" w:rsidRPr="00ED0ED2">
        <w:rPr>
          <w:lang w:val="fr-FR"/>
        </w:rPr>
        <w:tab/>
      </w:r>
      <w:r w:rsidRPr="00ED0ED2">
        <w:rPr>
          <w:lang w:val="fr-FR"/>
        </w:rPr>
        <w:t>Liste des documents UPOV/INF</w:t>
      </w:r>
      <w:r w:rsidR="00EA066D" w:rsidRPr="00ED0ED2">
        <w:rPr>
          <w:lang w:val="fr-FR"/>
        </w:rPr>
        <w:t>-</w:t>
      </w:r>
      <w:r w:rsidRPr="00ED0ED2">
        <w:rPr>
          <w:lang w:val="fr-FR"/>
        </w:rPr>
        <w:t>EXN et date de la version la plus récente de ces documents (révision)</w:t>
      </w:r>
      <w:r w:rsidR="00EC7808" w:rsidRPr="00ED0ED2">
        <w:rPr>
          <w:lang w:val="fr-FR"/>
        </w:rPr>
        <w:t xml:space="preserve"> </w:t>
      </w:r>
      <w:r w:rsidR="00EC7808" w:rsidRPr="00ED0ED2">
        <w:rPr>
          <w:lang w:val="fr-FR"/>
        </w:rPr>
        <w:br/>
      </w:r>
      <w:r w:rsidRPr="00ED0ED2">
        <w:rPr>
          <w:lang w:val="fr-FR"/>
        </w:rPr>
        <w:t>(document UPOV/INF</w:t>
      </w:r>
      <w:r w:rsidR="00EA066D" w:rsidRPr="00ED0ED2">
        <w:rPr>
          <w:lang w:val="fr-FR"/>
        </w:rPr>
        <w:t>-</w:t>
      </w:r>
      <w:r w:rsidR="00ED0ED2">
        <w:rPr>
          <w:lang w:val="fr-FR"/>
        </w:rPr>
        <w:t>EXN/16 Draft </w:t>
      </w:r>
      <w:r w:rsidRPr="00ED0ED2">
        <w:rPr>
          <w:lang w:val="fr-FR"/>
        </w:rPr>
        <w:t>1)</w:t>
      </w:r>
    </w:p>
    <w:p w:rsidR="00CA67DF" w:rsidRPr="00ED0ED2" w:rsidRDefault="00CA67DF" w:rsidP="000A132D">
      <w:pPr>
        <w:ind w:left="2835" w:hanging="1701"/>
        <w:jc w:val="left"/>
        <w:rPr>
          <w:bCs/>
          <w:snapToGrid w:val="0"/>
          <w:lang w:val="fr-FR"/>
        </w:rPr>
      </w:pPr>
    </w:p>
    <w:p w:rsidR="00EA066D" w:rsidRPr="00ED0ED2" w:rsidRDefault="00CA67DF" w:rsidP="00CA67DF">
      <w:pPr>
        <w:ind w:left="567"/>
        <w:rPr>
          <w:bCs/>
          <w:snapToGrid w:val="0"/>
          <w:u w:val="single"/>
          <w:lang w:val="fr-FR"/>
        </w:rPr>
      </w:pPr>
      <w:r w:rsidRPr="00ED0ED2">
        <w:rPr>
          <w:bCs/>
          <w:snapToGrid w:val="0"/>
          <w:u w:val="single"/>
          <w:lang w:val="fr-FR"/>
        </w:rPr>
        <w:t>Notes explicatives</w:t>
      </w:r>
    </w:p>
    <w:p w:rsidR="00CA67DF" w:rsidRPr="00ED0ED2" w:rsidRDefault="00CA67DF" w:rsidP="00BE3659">
      <w:pPr>
        <w:ind w:left="1985" w:hanging="851"/>
        <w:jc w:val="left"/>
        <w:rPr>
          <w:lang w:val="fr-FR"/>
        </w:rPr>
      </w:pPr>
    </w:p>
    <w:p w:rsidR="00CA67DF" w:rsidRPr="00ED0ED2" w:rsidRDefault="00CA67DF" w:rsidP="00CA67DF">
      <w:pPr>
        <w:ind w:left="2880" w:hanging="1710"/>
        <w:jc w:val="left"/>
        <w:rPr>
          <w:lang w:val="fr-FR"/>
        </w:rPr>
      </w:pPr>
      <w:r w:rsidRPr="00ED0ED2">
        <w:rPr>
          <w:lang w:val="fr-FR"/>
        </w:rPr>
        <w:t xml:space="preserve">UPOV/EXN/DEN </w:t>
      </w:r>
      <w:r w:rsidR="00EC7808" w:rsidRPr="00ED0ED2">
        <w:rPr>
          <w:lang w:val="fr-FR"/>
        </w:rPr>
        <w:tab/>
      </w:r>
      <w:r w:rsidRPr="00ED0ED2">
        <w:rPr>
          <w:lang w:val="fr-FR"/>
        </w:rPr>
        <w:t xml:space="preserve">Notes explicatives </w:t>
      </w:r>
      <w:r w:rsidR="00EC7808" w:rsidRPr="00ED0ED2">
        <w:rPr>
          <w:lang w:val="fr-FR"/>
        </w:rPr>
        <w:t>sur</w:t>
      </w:r>
      <w:r w:rsidRPr="00ED0ED2">
        <w:rPr>
          <w:lang w:val="fr-FR"/>
        </w:rPr>
        <w:t xml:space="preserve"> les dénominations variétales en vertu de la </w:t>
      </w:r>
      <w:r w:rsidR="00EA066D" w:rsidRPr="00ED0ED2">
        <w:rPr>
          <w:lang w:val="fr-FR"/>
        </w:rPr>
        <w:t>Convention UPOV</w:t>
      </w:r>
      <w:r w:rsidRPr="00ED0ED2">
        <w:rPr>
          <w:lang w:val="fr-FR"/>
        </w:rPr>
        <w:t xml:space="preserve"> (révision) (document C/56/3, </w:t>
      </w:r>
      <w:r w:rsidR="00EA066D" w:rsidRPr="00ED0ED2">
        <w:rPr>
          <w:lang w:val="fr-FR"/>
        </w:rPr>
        <w:t>annexe I</w:t>
      </w:r>
      <w:r w:rsidRPr="00ED0ED2">
        <w:rPr>
          <w:lang w:val="fr-FR"/>
        </w:rPr>
        <w:t>)</w:t>
      </w:r>
    </w:p>
    <w:p w:rsidR="00CA67DF" w:rsidRPr="00ED0ED2" w:rsidRDefault="00CA67DF" w:rsidP="00BE3659">
      <w:pPr>
        <w:ind w:left="2880" w:hanging="1710"/>
        <w:jc w:val="left"/>
        <w:rPr>
          <w:lang w:val="fr-FR"/>
        </w:rPr>
      </w:pPr>
    </w:p>
    <w:p w:rsidR="00CA67DF" w:rsidRPr="00ED0ED2" w:rsidRDefault="00CA67DF" w:rsidP="00CA67DF">
      <w:pPr>
        <w:ind w:left="2835" w:hanging="1701"/>
        <w:jc w:val="left"/>
        <w:rPr>
          <w:lang w:val="fr-FR"/>
        </w:rPr>
      </w:pPr>
      <w:r w:rsidRPr="00ED0ED2">
        <w:rPr>
          <w:lang w:val="fr-FR"/>
        </w:rPr>
        <w:t>UPOV/EXN/EDV</w:t>
      </w:r>
      <w:r w:rsidRPr="00ED0ED2">
        <w:rPr>
          <w:lang w:val="fr-FR"/>
        </w:rPr>
        <w:tab/>
        <w:t>Notes explicatives sur les variétés essentiellement dérivées selon l</w:t>
      </w:r>
      <w:r w:rsidR="00EA066D" w:rsidRPr="00ED0ED2">
        <w:rPr>
          <w:lang w:val="fr-FR"/>
        </w:rPr>
        <w:t>’</w:t>
      </w:r>
      <w:r w:rsidRPr="00ED0ED2">
        <w:rPr>
          <w:lang w:val="fr-FR"/>
        </w:rPr>
        <w:t xml:space="preserve">Acte </w:t>
      </w:r>
      <w:r w:rsidR="00EA066D" w:rsidRPr="00ED0ED2">
        <w:rPr>
          <w:lang w:val="fr-FR"/>
        </w:rPr>
        <w:t>de 1991</w:t>
      </w:r>
      <w:r w:rsidRPr="00ED0ED2">
        <w:rPr>
          <w:lang w:val="fr-FR"/>
        </w:rPr>
        <w:t xml:space="preserve"> de la </w:t>
      </w:r>
      <w:r w:rsidR="00EA066D" w:rsidRPr="00ED0ED2">
        <w:rPr>
          <w:lang w:val="fr-FR"/>
        </w:rPr>
        <w:t>Convention UPOV</w:t>
      </w:r>
      <w:r w:rsidRPr="00ED0ED2">
        <w:rPr>
          <w:lang w:val="fr-FR"/>
        </w:rPr>
        <w:t xml:space="preserve"> (révision)</w:t>
      </w:r>
      <w:r w:rsidR="00EC7808" w:rsidRPr="00ED0ED2">
        <w:rPr>
          <w:lang w:val="fr-FR"/>
        </w:rPr>
        <w:t xml:space="preserve"> </w:t>
      </w:r>
      <w:r w:rsidR="00EC7808" w:rsidRPr="00ED0ED2">
        <w:rPr>
          <w:lang w:val="fr-FR"/>
        </w:rPr>
        <w:br/>
      </w:r>
      <w:r w:rsidRPr="00ED0ED2">
        <w:rPr>
          <w:lang w:val="fr-FR"/>
        </w:rPr>
        <w:t>(documents C/56/9 et</w:t>
      </w:r>
      <w:r w:rsidR="00ED0ED2">
        <w:rPr>
          <w:lang w:val="fr-FR"/>
        </w:rPr>
        <w:t xml:space="preserve"> UPOV/EXN/EDV/3 Draft </w:t>
      </w:r>
      <w:r w:rsidRPr="00ED0ED2">
        <w:rPr>
          <w:lang w:val="fr-FR"/>
        </w:rPr>
        <w:t>3)</w:t>
      </w:r>
    </w:p>
    <w:p w:rsidR="00CA67DF" w:rsidRPr="00ED0ED2" w:rsidRDefault="00CA67DF" w:rsidP="000A132D">
      <w:pPr>
        <w:ind w:left="2268" w:hanging="1701"/>
        <w:rPr>
          <w:bCs/>
          <w:snapToGrid w:val="0"/>
          <w:lang w:val="fr-FR"/>
        </w:rPr>
      </w:pPr>
    </w:p>
    <w:p w:rsidR="00CA67DF" w:rsidRPr="00ED0ED2" w:rsidRDefault="00CA67DF" w:rsidP="00CA67DF">
      <w:pPr>
        <w:ind w:left="567"/>
        <w:rPr>
          <w:bCs/>
          <w:snapToGrid w:val="0"/>
          <w:lang w:val="fr-FR"/>
        </w:rPr>
      </w:pPr>
      <w:r w:rsidRPr="00ED0ED2">
        <w:rPr>
          <w:bCs/>
          <w:snapToGrid w:val="0"/>
          <w:u w:val="single"/>
          <w:lang w:val="fr-FR"/>
        </w:rPr>
        <w:t>Documents TGP</w:t>
      </w:r>
    </w:p>
    <w:p w:rsidR="00CA67DF" w:rsidRPr="00ED0ED2" w:rsidRDefault="00CA67DF" w:rsidP="00BE3659">
      <w:pPr>
        <w:ind w:left="1985" w:hanging="851"/>
        <w:jc w:val="left"/>
        <w:rPr>
          <w:lang w:val="fr-FR"/>
        </w:rPr>
      </w:pPr>
    </w:p>
    <w:p w:rsidR="00CA67DF" w:rsidRPr="00ED0ED2" w:rsidRDefault="00CA67DF" w:rsidP="00CA67DF">
      <w:pPr>
        <w:ind w:left="1985" w:hanging="851"/>
        <w:jc w:val="left"/>
        <w:rPr>
          <w:lang w:val="fr-FR"/>
        </w:rPr>
      </w:pPr>
      <w:r w:rsidRPr="00ED0ED2">
        <w:rPr>
          <w:lang w:val="fr-FR"/>
        </w:rPr>
        <w:t xml:space="preserve">TGP/5 </w:t>
      </w:r>
      <w:r w:rsidR="00EC7808" w:rsidRPr="00ED0ED2">
        <w:rPr>
          <w:lang w:val="fr-FR"/>
        </w:rPr>
        <w:tab/>
      </w:r>
      <w:r w:rsidRPr="00ED0ED2">
        <w:rPr>
          <w:lang w:val="fr-FR"/>
        </w:rPr>
        <w:t>Expérience et coopération en matière d</w:t>
      </w:r>
      <w:r w:rsidR="00EA066D" w:rsidRPr="00ED0ED2">
        <w:rPr>
          <w:lang w:val="fr-FR"/>
        </w:rPr>
        <w:t>’</w:t>
      </w:r>
      <w:r w:rsidRPr="00ED0ED2">
        <w:rPr>
          <w:lang w:val="fr-FR"/>
        </w:rPr>
        <w:t>examen</w:t>
      </w:r>
      <w:r w:rsidR="00D84E2B" w:rsidRPr="00ED0ED2">
        <w:rPr>
          <w:lang w:val="fr-FR"/>
        </w:rPr>
        <w:t> </w:t>
      </w:r>
      <w:r w:rsidRPr="00ED0ED2">
        <w:rPr>
          <w:lang w:val="fr-FR"/>
        </w:rPr>
        <w:t>DHS</w:t>
      </w:r>
    </w:p>
    <w:p w:rsidR="00CA67DF" w:rsidRPr="00ED0ED2" w:rsidRDefault="00CA67DF" w:rsidP="00BE3659">
      <w:pPr>
        <w:ind w:left="1985" w:hanging="851"/>
        <w:jc w:val="left"/>
        <w:rPr>
          <w:lang w:val="fr-FR"/>
        </w:rPr>
      </w:pPr>
    </w:p>
    <w:p w:rsidR="00CA67DF" w:rsidRPr="00ED0ED2" w:rsidRDefault="00BE3659" w:rsidP="00CA67DF">
      <w:pPr>
        <w:ind w:left="1985" w:hanging="851"/>
        <w:jc w:val="left"/>
        <w:rPr>
          <w:lang w:val="fr-FR"/>
        </w:rPr>
      </w:pPr>
      <w:r w:rsidRPr="00ED0ED2">
        <w:rPr>
          <w:lang w:val="fr-FR"/>
        </w:rPr>
        <w:tab/>
      </w:r>
      <w:r w:rsidR="00EA066D" w:rsidRPr="00ED0ED2">
        <w:rPr>
          <w:lang w:val="fr-FR"/>
        </w:rPr>
        <w:t>Section 6 :</w:t>
      </w:r>
      <w:r w:rsidR="00CA67DF" w:rsidRPr="00ED0ED2">
        <w:rPr>
          <w:lang w:val="fr-FR"/>
        </w:rPr>
        <w:t xml:space="preserve"> Rapport UPOV d</w:t>
      </w:r>
      <w:r w:rsidR="00EA066D" w:rsidRPr="00ED0ED2">
        <w:rPr>
          <w:lang w:val="fr-FR"/>
        </w:rPr>
        <w:t>’</w:t>
      </w:r>
      <w:r w:rsidR="00CA67DF" w:rsidRPr="00ED0ED2">
        <w:rPr>
          <w:lang w:val="fr-FR"/>
        </w:rPr>
        <w:t>examen technique et Formulaire UPOV de description variétale (révision) (document TGP/5</w:t>
      </w:r>
      <w:r w:rsidR="00EA066D" w:rsidRPr="00ED0ED2">
        <w:rPr>
          <w:lang w:val="fr-FR"/>
        </w:rPr>
        <w:t> :</w:t>
      </w:r>
      <w:r w:rsidR="00CA67DF" w:rsidRPr="00ED0ED2">
        <w:rPr>
          <w:lang w:val="fr-FR"/>
        </w:rPr>
        <w:t xml:space="preserve"> </w:t>
      </w:r>
      <w:r w:rsidR="00EA066D" w:rsidRPr="00ED0ED2">
        <w:rPr>
          <w:lang w:val="fr-FR"/>
        </w:rPr>
        <w:t>section 6</w:t>
      </w:r>
      <w:r w:rsidR="00CA67DF" w:rsidRPr="00ED0ED2">
        <w:rPr>
          <w:lang w:val="fr-FR"/>
        </w:rPr>
        <w:t>/4 Draft</w:t>
      </w:r>
      <w:r w:rsidR="00ED0ED2" w:rsidRPr="00ED0ED2">
        <w:rPr>
          <w:lang w:val="fr-FR"/>
        </w:rPr>
        <w:t> </w:t>
      </w:r>
      <w:r w:rsidR="00CA67DF" w:rsidRPr="00ED0ED2">
        <w:rPr>
          <w:lang w:val="fr-FR"/>
        </w:rPr>
        <w:t>1)</w:t>
      </w:r>
    </w:p>
    <w:p w:rsidR="00CA67DF" w:rsidRPr="00ED0ED2" w:rsidRDefault="00CA67DF" w:rsidP="00BE3659">
      <w:pPr>
        <w:ind w:left="1985" w:hanging="851"/>
        <w:jc w:val="left"/>
        <w:rPr>
          <w:bCs/>
          <w:snapToGrid w:val="0"/>
          <w:lang w:val="fr-FR"/>
        </w:rPr>
      </w:pPr>
    </w:p>
    <w:p w:rsidR="00CA67DF" w:rsidRPr="00ED0ED2" w:rsidRDefault="00CA67DF" w:rsidP="00CA67DF">
      <w:pPr>
        <w:ind w:left="1985" w:hanging="851"/>
        <w:jc w:val="left"/>
        <w:rPr>
          <w:rFonts w:cs="Arial"/>
          <w:lang w:val="fr-FR"/>
        </w:rPr>
      </w:pPr>
      <w:r w:rsidRPr="00ED0ED2">
        <w:rPr>
          <w:rFonts w:cs="Arial"/>
          <w:lang w:val="fr-FR"/>
        </w:rPr>
        <w:t xml:space="preserve">TGP/8 </w:t>
      </w:r>
      <w:r w:rsidR="00EC7808" w:rsidRPr="00ED0ED2">
        <w:rPr>
          <w:rFonts w:cs="Arial"/>
          <w:lang w:val="fr-FR"/>
        </w:rPr>
        <w:tab/>
      </w:r>
      <w:r w:rsidRPr="00ED0ED2">
        <w:rPr>
          <w:rFonts w:cs="Arial"/>
          <w:lang w:val="fr-FR"/>
        </w:rPr>
        <w:t>Protocole d</w:t>
      </w:r>
      <w:r w:rsidR="00EA066D" w:rsidRPr="00ED0ED2">
        <w:rPr>
          <w:rFonts w:cs="Arial"/>
          <w:lang w:val="fr-FR"/>
        </w:rPr>
        <w:t>’</w:t>
      </w:r>
      <w:r w:rsidRPr="00ED0ED2">
        <w:rPr>
          <w:rFonts w:cs="Arial"/>
          <w:lang w:val="fr-FR"/>
        </w:rPr>
        <w:t>essai et techniques utilisés dans l</w:t>
      </w:r>
      <w:r w:rsidR="00EA066D" w:rsidRPr="00ED0ED2">
        <w:rPr>
          <w:rFonts w:cs="Arial"/>
          <w:lang w:val="fr-FR"/>
        </w:rPr>
        <w:t>’</w:t>
      </w:r>
      <w:r w:rsidRPr="00ED0ED2">
        <w:rPr>
          <w:rFonts w:cs="Arial"/>
          <w:lang w:val="fr-FR"/>
        </w:rPr>
        <w:t>examen de la distinction, de l</w:t>
      </w:r>
      <w:r w:rsidR="00EA066D" w:rsidRPr="00ED0ED2">
        <w:rPr>
          <w:rFonts w:cs="Arial"/>
          <w:lang w:val="fr-FR"/>
        </w:rPr>
        <w:t>’</w:t>
      </w:r>
      <w:r w:rsidRPr="00ED0ED2">
        <w:rPr>
          <w:rFonts w:cs="Arial"/>
          <w:lang w:val="fr-FR"/>
        </w:rPr>
        <w:t xml:space="preserve">homogénéité et de la stabilité (révision) (document C/56/3, </w:t>
      </w:r>
      <w:r w:rsidR="00EA066D" w:rsidRPr="00ED0ED2">
        <w:rPr>
          <w:rFonts w:cs="Arial"/>
          <w:lang w:val="fr-FR"/>
        </w:rPr>
        <w:t>annexe I</w:t>
      </w:r>
      <w:r w:rsidRPr="00ED0ED2">
        <w:rPr>
          <w:rFonts w:cs="Arial"/>
          <w:lang w:val="fr-FR"/>
        </w:rPr>
        <w:t>I)</w:t>
      </w:r>
    </w:p>
    <w:p w:rsidR="00CA67DF" w:rsidRPr="00ED0ED2" w:rsidRDefault="00CA67DF" w:rsidP="00BE3659">
      <w:pPr>
        <w:ind w:left="2127" w:hanging="993"/>
        <w:jc w:val="left"/>
        <w:rPr>
          <w:lang w:val="fr-FR"/>
        </w:rPr>
      </w:pPr>
    </w:p>
    <w:p w:rsidR="00CA67DF" w:rsidRPr="00ED0ED2" w:rsidRDefault="00D73443" w:rsidP="00D73443">
      <w:pPr>
        <w:ind w:left="1985" w:right="-142" w:hanging="851"/>
        <w:jc w:val="left"/>
        <w:rPr>
          <w:rFonts w:cs="Arial"/>
          <w:lang w:val="fr-FR"/>
        </w:rPr>
      </w:pPr>
      <w:r w:rsidRPr="00ED0ED2">
        <w:rPr>
          <w:rFonts w:cs="Arial"/>
          <w:lang w:val="fr-FR"/>
        </w:rPr>
        <w:t xml:space="preserve">TGP/12 </w:t>
      </w:r>
      <w:r w:rsidR="00EC7808" w:rsidRPr="00ED0ED2">
        <w:rPr>
          <w:rFonts w:cs="Arial"/>
          <w:lang w:val="fr-FR"/>
        </w:rPr>
        <w:tab/>
      </w:r>
      <w:r w:rsidRPr="00ED0ED2">
        <w:rPr>
          <w:rFonts w:cs="Arial"/>
          <w:lang w:val="fr-FR"/>
        </w:rPr>
        <w:t xml:space="preserve">Conseils en ce qui concerne certains caractères physiologiques (révision) (document C/56/3, </w:t>
      </w:r>
      <w:r w:rsidR="00EA066D" w:rsidRPr="00ED0ED2">
        <w:rPr>
          <w:rFonts w:cs="Arial"/>
          <w:lang w:val="fr-FR"/>
        </w:rPr>
        <w:t>annexe I</w:t>
      </w:r>
      <w:r w:rsidRPr="00ED0ED2">
        <w:rPr>
          <w:rFonts w:cs="Arial"/>
          <w:lang w:val="fr-FR"/>
        </w:rPr>
        <w:t>II)</w:t>
      </w:r>
    </w:p>
    <w:p w:rsidR="00CA67DF" w:rsidRPr="00ED0ED2" w:rsidRDefault="00CA67DF" w:rsidP="000A132D">
      <w:pPr>
        <w:ind w:left="2127" w:hanging="993"/>
        <w:jc w:val="left"/>
        <w:rPr>
          <w:lang w:val="fr-FR"/>
        </w:rPr>
      </w:pPr>
    </w:p>
    <w:p w:rsidR="00CA67DF" w:rsidRPr="00ED0ED2" w:rsidRDefault="00D73443" w:rsidP="00D73443">
      <w:pPr>
        <w:ind w:left="1985" w:hanging="851"/>
        <w:jc w:val="left"/>
        <w:rPr>
          <w:bCs/>
          <w:snapToGrid w:val="0"/>
          <w:lang w:val="fr-FR"/>
        </w:rPr>
      </w:pPr>
      <w:r w:rsidRPr="00ED0ED2">
        <w:rPr>
          <w:bCs/>
          <w:snapToGrid w:val="0"/>
          <w:lang w:val="fr-FR"/>
        </w:rPr>
        <w:t>TGP/0 Liste des documents TGP et date de la version la plus récente de ces documents (révision) (document TGP/0/14 Draft</w:t>
      </w:r>
      <w:r w:rsidR="00ED0ED2" w:rsidRPr="00ED0ED2">
        <w:rPr>
          <w:bCs/>
          <w:snapToGrid w:val="0"/>
          <w:lang w:val="fr-FR"/>
        </w:rPr>
        <w:t> </w:t>
      </w:r>
      <w:r w:rsidRPr="00ED0ED2">
        <w:rPr>
          <w:bCs/>
          <w:snapToGrid w:val="0"/>
          <w:lang w:val="fr-FR"/>
        </w:rPr>
        <w:t>1)</w:t>
      </w:r>
    </w:p>
    <w:p w:rsidR="00CA67DF" w:rsidRPr="00ED0ED2" w:rsidRDefault="00CA67DF" w:rsidP="000A132D">
      <w:pPr>
        <w:ind w:left="1985" w:hanging="851"/>
        <w:jc w:val="left"/>
        <w:rPr>
          <w:bCs/>
          <w:snapToGrid w:val="0"/>
          <w:lang w:val="fr-FR"/>
        </w:rPr>
      </w:pPr>
    </w:p>
    <w:p w:rsidR="00CA67DF" w:rsidRPr="00ED0ED2" w:rsidRDefault="00BE3659" w:rsidP="00D73443">
      <w:pPr>
        <w:keepNext/>
        <w:rPr>
          <w:lang w:val="fr-FR"/>
        </w:rPr>
      </w:pPr>
      <w:r w:rsidRPr="00ED0ED2">
        <w:fldChar w:fldCharType="begin"/>
      </w:r>
      <w:r w:rsidRPr="00ED0ED2">
        <w:rPr>
          <w:lang w:val="fr-FR"/>
        </w:rPr>
        <w:instrText xml:space="preserve"> AUTONUM  </w:instrText>
      </w:r>
      <w:r w:rsidRPr="00ED0ED2">
        <w:fldChar w:fldCharType="end"/>
      </w:r>
      <w:r w:rsidRPr="00ED0ED2">
        <w:rPr>
          <w:lang w:val="fr-FR"/>
        </w:rPr>
        <w:tab/>
      </w:r>
      <w:r w:rsidR="00D73443" w:rsidRPr="00ED0ED2">
        <w:rPr>
          <w:lang w:val="fr-FR"/>
        </w:rPr>
        <w:t>Les abréviations ci</w:t>
      </w:r>
      <w:r w:rsidR="00EA066D" w:rsidRPr="00ED0ED2">
        <w:rPr>
          <w:lang w:val="fr-FR"/>
        </w:rPr>
        <w:t>-</w:t>
      </w:r>
      <w:r w:rsidR="00D73443" w:rsidRPr="00ED0ED2">
        <w:rPr>
          <w:lang w:val="fr-FR"/>
        </w:rPr>
        <w:t>après sont utilisées dans le présent document</w:t>
      </w:r>
      <w:r w:rsidR="00EA066D" w:rsidRPr="00ED0ED2">
        <w:rPr>
          <w:lang w:val="fr-FR"/>
        </w:rPr>
        <w:t> :</w:t>
      </w:r>
    </w:p>
    <w:p w:rsidR="00CA67DF" w:rsidRPr="00ED0ED2" w:rsidRDefault="00CA67DF" w:rsidP="00BE3659">
      <w:pPr>
        <w:keepNext/>
        <w:ind w:left="1692" w:hanging="1125"/>
        <w:jc w:val="left"/>
        <w:rPr>
          <w:lang w:val="fr-FR"/>
        </w:rPr>
      </w:pPr>
    </w:p>
    <w:p w:rsidR="00CA67DF" w:rsidRPr="00ED0ED2" w:rsidRDefault="00BE3659" w:rsidP="00D73443">
      <w:pPr>
        <w:keepNext/>
        <w:tabs>
          <w:tab w:val="left" w:pos="567"/>
          <w:tab w:val="left" w:pos="1701"/>
        </w:tabs>
        <w:rPr>
          <w:lang w:val="fr-FR"/>
        </w:rPr>
      </w:pPr>
      <w:r w:rsidRPr="00ED0ED2">
        <w:rPr>
          <w:lang w:val="fr-FR"/>
        </w:rPr>
        <w:tab/>
      </w:r>
      <w:r w:rsidR="00D73443" w:rsidRPr="00ED0ED2">
        <w:rPr>
          <w:lang w:val="fr-FR"/>
        </w:rPr>
        <w:t>CAJ</w:t>
      </w:r>
      <w:r w:rsidR="00EA066D" w:rsidRPr="00ED0ED2">
        <w:rPr>
          <w:lang w:val="fr-FR"/>
        </w:rPr>
        <w:t> :</w:t>
      </w:r>
      <w:r w:rsidR="00DA112E" w:rsidRPr="00ED0ED2">
        <w:rPr>
          <w:lang w:val="fr-FR"/>
        </w:rPr>
        <w:tab/>
      </w:r>
      <w:r w:rsidR="00D73443" w:rsidRPr="00ED0ED2">
        <w:rPr>
          <w:lang w:val="fr-FR"/>
        </w:rPr>
        <w:t>Comité administratif et juridique</w:t>
      </w:r>
    </w:p>
    <w:p w:rsidR="00EA066D" w:rsidRPr="00ED0ED2" w:rsidRDefault="00BE3659" w:rsidP="00D73443">
      <w:pPr>
        <w:tabs>
          <w:tab w:val="left" w:pos="567"/>
          <w:tab w:val="left" w:pos="1701"/>
        </w:tabs>
        <w:rPr>
          <w:lang w:val="fr-FR"/>
        </w:rPr>
      </w:pPr>
      <w:r w:rsidRPr="00ED0ED2">
        <w:rPr>
          <w:lang w:val="fr-FR"/>
        </w:rPr>
        <w:tab/>
      </w:r>
      <w:r w:rsidR="00D73443" w:rsidRPr="00ED0ED2">
        <w:rPr>
          <w:lang w:val="fr-FR"/>
        </w:rPr>
        <w:t>TC</w:t>
      </w:r>
      <w:r w:rsidR="00EA066D" w:rsidRPr="00ED0ED2">
        <w:rPr>
          <w:lang w:val="fr-FR"/>
        </w:rPr>
        <w:t> :</w:t>
      </w:r>
      <w:r w:rsidR="00DA112E" w:rsidRPr="00ED0ED2">
        <w:rPr>
          <w:lang w:val="fr-FR"/>
        </w:rPr>
        <w:tab/>
      </w:r>
      <w:r w:rsidR="00D73443" w:rsidRPr="00ED0ED2">
        <w:rPr>
          <w:lang w:val="fr-FR"/>
        </w:rPr>
        <w:t>Comité technique</w:t>
      </w:r>
    </w:p>
    <w:p w:rsidR="00CA67DF" w:rsidRPr="00ED0ED2" w:rsidRDefault="00CA67DF" w:rsidP="00BE3659">
      <w:pPr>
        <w:tabs>
          <w:tab w:val="left" w:pos="567"/>
          <w:tab w:val="left" w:pos="1701"/>
        </w:tabs>
        <w:rPr>
          <w:lang w:val="fr-FR"/>
        </w:rPr>
      </w:pPr>
    </w:p>
    <w:p w:rsidR="00CA67DF" w:rsidRPr="00ED0ED2" w:rsidRDefault="00CA67DF" w:rsidP="00BE3659">
      <w:pPr>
        <w:tabs>
          <w:tab w:val="left" w:pos="567"/>
          <w:tab w:val="left" w:pos="1701"/>
        </w:tabs>
        <w:rPr>
          <w:lang w:val="fr-FR"/>
        </w:rPr>
      </w:pPr>
    </w:p>
    <w:p w:rsidR="00CA67DF" w:rsidRDefault="00CA67DF" w:rsidP="00BE3659">
      <w:pPr>
        <w:tabs>
          <w:tab w:val="left" w:pos="567"/>
          <w:tab w:val="left" w:pos="1701"/>
        </w:tabs>
        <w:rPr>
          <w:lang w:val="fr-FR"/>
        </w:rPr>
      </w:pPr>
    </w:p>
    <w:p w:rsidR="002D04D9" w:rsidRDefault="002D04D9" w:rsidP="002D04D9">
      <w:pPr>
        <w:tabs>
          <w:tab w:val="left" w:pos="567"/>
          <w:tab w:val="left" w:pos="1701"/>
        </w:tabs>
        <w:jc w:val="center"/>
        <w:rPr>
          <w:lang w:val="fr-FR"/>
        </w:rPr>
      </w:pPr>
      <w:r>
        <w:rPr>
          <w:lang w:val="fr-FR"/>
        </w:rPr>
        <w:t>C/56/3</w:t>
      </w:r>
      <w:r>
        <w:rPr>
          <w:lang w:val="fr-FR"/>
        </w:rPr>
        <w:br/>
        <w:t>page 2</w:t>
      </w:r>
    </w:p>
    <w:p w:rsidR="002D04D9" w:rsidRPr="00ED0ED2" w:rsidRDefault="002D04D9" w:rsidP="00BE3659">
      <w:pPr>
        <w:tabs>
          <w:tab w:val="left" w:pos="567"/>
          <w:tab w:val="left" w:pos="1701"/>
        </w:tabs>
        <w:rPr>
          <w:lang w:val="fr-FR"/>
        </w:rPr>
      </w:pPr>
    </w:p>
    <w:p w:rsidR="00CA67DF" w:rsidRPr="00ED0ED2" w:rsidRDefault="00D73443" w:rsidP="00724CDC">
      <w:pPr>
        <w:pStyle w:val="Heading1"/>
        <w:rPr>
          <w:snapToGrid w:val="0"/>
          <w:lang w:val="fr-FR"/>
        </w:rPr>
      </w:pPr>
      <w:r w:rsidRPr="00ED0ED2">
        <w:rPr>
          <w:snapToGrid w:val="0"/>
          <w:lang w:val="fr-FR"/>
        </w:rPr>
        <w:t>Documents d</w:t>
      </w:r>
      <w:r w:rsidR="00EA066D" w:rsidRPr="00ED0ED2">
        <w:rPr>
          <w:snapToGrid w:val="0"/>
          <w:lang w:val="fr-FR"/>
        </w:rPr>
        <w:t>’</w:t>
      </w:r>
      <w:r w:rsidRPr="00ED0ED2">
        <w:rPr>
          <w:snapToGrid w:val="0"/>
          <w:lang w:val="fr-FR"/>
        </w:rPr>
        <w:t>information</w:t>
      </w:r>
    </w:p>
    <w:p w:rsidR="00CA67DF" w:rsidRPr="00ED0ED2" w:rsidRDefault="00CA67DF" w:rsidP="000A132D">
      <w:pPr>
        <w:keepNext/>
        <w:rPr>
          <w:bCs/>
          <w:snapToGrid w:val="0"/>
          <w:u w:val="single"/>
          <w:lang w:val="fr-FR"/>
        </w:rPr>
      </w:pPr>
    </w:p>
    <w:p w:rsidR="00EA066D" w:rsidRPr="00ED0ED2" w:rsidRDefault="00D73443" w:rsidP="00D73443">
      <w:pPr>
        <w:rPr>
          <w:bCs/>
          <w:snapToGrid w:val="0"/>
          <w:u w:val="single"/>
          <w:lang w:val="fr-FR"/>
        </w:rPr>
      </w:pPr>
      <w:r w:rsidRPr="00ED0ED2">
        <w:rPr>
          <w:bCs/>
          <w:snapToGrid w:val="0"/>
          <w:u w:val="single"/>
          <w:lang w:val="fr-FR"/>
        </w:rPr>
        <w:t>UPOV/INF/16</w:t>
      </w:r>
      <w:r w:rsidR="00EA066D" w:rsidRPr="00ED0ED2">
        <w:rPr>
          <w:bCs/>
          <w:snapToGrid w:val="0"/>
          <w:u w:val="single"/>
          <w:lang w:val="fr-FR"/>
        </w:rPr>
        <w:t> :</w:t>
      </w:r>
      <w:r w:rsidRPr="00ED0ED2">
        <w:rPr>
          <w:bCs/>
          <w:snapToGrid w:val="0"/>
          <w:u w:val="single"/>
          <w:lang w:val="fr-FR"/>
        </w:rPr>
        <w:t xml:space="preserve"> Logiciels échangeables (révision) (document UPOV/INF/16/11 Draft 1)</w:t>
      </w:r>
    </w:p>
    <w:p w:rsidR="00CA67DF" w:rsidRPr="00ED0ED2" w:rsidRDefault="00CA67DF" w:rsidP="00BE3659">
      <w:pPr>
        <w:rPr>
          <w:snapToGrid w:val="0"/>
          <w:lang w:val="fr-FR"/>
        </w:rPr>
      </w:pPr>
    </w:p>
    <w:p w:rsidR="00CA67DF" w:rsidRPr="00ED0ED2" w:rsidRDefault="00BE3659" w:rsidP="00341FAC">
      <w:pPr>
        <w:keepNext/>
        <w:rPr>
          <w:lang w:val="fr-FR"/>
        </w:rPr>
      </w:pPr>
      <w:r w:rsidRPr="00ED0ED2">
        <w:fldChar w:fldCharType="begin"/>
      </w:r>
      <w:r w:rsidRPr="00ED0ED2">
        <w:rPr>
          <w:lang w:val="fr-FR"/>
        </w:rPr>
        <w:instrText xml:space="preserve"> AUTONUM  </w:instrText>
      </w:r>
      <w:r w:rsidRPr="00ED0ED2">
        <w:fldChar w:fldCharType="end"/>
      </w:r>
      <w:r w:rsidRPr="00ED0ED2">
        <w:rPr>
          <w:lang w:val="fr-FR"/>
        </w:rPr>
        <w:tab/>
      </w:r>
      <w:r w:rsidR="00341FAC" w:rsidRPr="00ED0ED2">
        <w:rPr>
          <w:lang w:val="fr-FR"/>
        </w:rPr>
        <w:t>Le</w:t>
      </w:r>
      <w:r w:rsidR="00EA066D" w:rsidRPr="00ED0ED2">
        <w:rPr>
          <w:lang w:val="fr-FR"/>
        </w:rPr>
        <w:t> TC</w:t>
      </w:r>
      <w:r w:rsidR="00341FAC" w:rsidRPr="00ED0ED2">
        <w:rPr>
          <w:lang w:val="fr-FR"/>
        </w:rPr>
        <w:t xml:space="preserve"> et</w:t>
      </w:r>
      <w:r w:rsidR="00EA066D" w:rsidRPr="00ED0ED2">
        <w:rPr>
          <w:lang w:val="fr-FR"/>
        </w:rPr>
        <w:t xml:space="preserve"> le CAJ</w:t>
      </w:r>
      <w:r w:rsidR="00341FAC" w:rsidRPr="00ED0ED2">
        <w:rPr>
          <w:lang w:val="fr-FR"/>
        </w:rPr>
        <w:t xml:space="preserve"> seront invités à approuver les propositions de révision du document UPOV/INF/16/10 “Logiciels échangeables”, qui figurent dans le document UPOV/INF/16/11 Draft 1.</w:t>
      </w:r>
    </w:p>
    <w:p w:rsidR="00CA67DF" w:rsidRPr="00ED0ED2" w:rsidRDefault="00CA67DF" w:rsidP="00BE3659">
      <w:pPr>
        <w:rPr>
          <w:lang w:val="fr-FR"/>
        </w:rPr>
      </w:pPr>
    </w:p>
    <w:p w:rsidR="00CA67DF" w:rsidRPr="00ED0ED2" w:rsidRDefault="00BE3659" w:rsidP="00724CDC">
      <w:pPr>
        <w:pStyle w:val="DecisionParagraphs"/>
        <w:rPr>
          <w:spacing w:val="-2"/>
          <w:lang w:val="fr-FR"/>
        </w:rPr>
      </w:pPr>
      <w:r w:rsidRPr="00ED0ED2">
        <w:rPr>
          <w:lang w:eastAsia="zh-CN"/>
        </w:rPr>
        <w:fldChar w:fldCharType="begin"/>
      </w:r>
      <w:r w:rsidRPr="00ED0ED2">
        <w:rPr>
          <w:lang w:val="fr-FR" w:eastAsia="zh-CN"/>
        </w:rPr>
        <w:instrText xml:space="preserve"> AUTONUM  </w:instrText>
      </w:r>
      <w:r w:rsidRPr="00ED0ED2">
        <w:rPr>
          <w:lang w:eastAsia="zh-CN"/>
        </w:rPr>
        <w:fldChar w:fldCharType="end"/>
      </w:r>
      <w:r w:rsidRPr="00ED0ED2">
        <w:rPr>
          <w:lang w:val="fr-FR" w:eastAsia="zh-CN"/>
        </w:rPr>
        <w:tab/>
      </w:r>
      <w:r w:rsidR="00341FAC" w:rsidRPr="00ED0ED2">
        <w:rPr>
          <w:lang w:val="fr-FR" w:eastAsia="zh-CN"/>
        </w:rPr>
        <w:t xml:space="preserve">Le Conseil est invité à adopter une version révisée du document UPOV/INF/16/10 “Logiciels échangeables” sur la base du document </w:t>
      </w:r>
      <w:bookmarkStart w:id="2" w:name="_GoBack"/>
      <w:bookmarkEnd w:id="2"/>
      <w:r w:rsidR="00341FAC" w:rsidRPr="00ED0ED2">
        <w:rPr>
          <w:lang w:val="fr-FR" w:eastAsia="zh-CN"/>
        </w:rPr>
        <w:t>UPOV/INF/16/11 Draft 1, sous réserve de l</w:t>
      </w:r>
      <w:r w:rsidR="00EA066D" w:rsidRPr="00ED0ED2">
        <w:rPr>
          <w:lang w:val="fr-FR" w:eastAsia="zh-CN"/>
        </w:rPr>
        <w:t>’</w:t>
      </w:r>
      <w:r w:rsidR="00341FAC" w:rsidRPr="00ED0ED2">
        <w:rPr>
          <w:lang w:val="fr-FR" w:eastAsia="zh-CN"/>
        </w:rPr>
        <w:t>accord du</w:t>
      </w:r>
      <w:r w:rsidR="00EA066D" w:rsidRPr="00ED0ED2">
        <w:rPr>
          <w:lang w:val="fr-FR" w:eastAsia="zh-CN"/>
        </w:rPr>
        <w:t> TC</w:t>
      </w:r>
      <w:r w:rsidR="00341FAC" w:rsidRPr="00ED0ED2">
        <w:rPr>
          <w:lang w:val="fr-FR" w:eastAsia="zh-CN"/>
        </w:rPr>
        <w:t xml:space="preserve"> et</w:t>
      </w:r>
      <w:r w:rsidR="00EA066D" w:rsidRPr="00ED0ED2">
        <w:rPr>
          <w:lang w:val="fr-FR" w:eastAsia="zh-CN"/>
        </w:rPr>
        <w:t xml:space="preserve"> du CAJ</w:t>
      </w:r>
      <w:r w:rsidR="00341FAC" w:rsidRPr="00ED0ED2">
        <w:rPr>
          <w:lang w:val="fr-FR" w:eastAsia="zh-CN"/>
        </w:rPr>
        <w:t>.</w:t>
      </w:r>
    </w:p>
    <w:p w:rsidR="00CA67DF" w:rsidRPr="00ED0ED2" w:rsidRDefault="00CA67DF" w:rsidP="00BE3659">
      <w:pPr>
        <w:rPr>
          <w:lang w:val="fr-FR"/>
        </w:rPr>
      </w:pPr>
    </w:p>
    <w:p w:rsidR="00CA67DF" w:rsidRPr="00ED0ED2" w:rsidRDefault="00CA67DF" w:rsidP="004D4C36">
      <w:pPr>
        <w:tabs>
          <w:tab w:val="left" w:pos="5387"/>
          <w:tab w:val="left" w:pos="5954"/>
        </w:tabs>
        <w:rPr>
          <w:i/>
          <w:spacing w:val="-2"/>
          <w:lang w:val="fr-FR"/>
        </w:rPr>
      </w:pPr>
    </w:p>
    <w:p w:rsidR="00EA066D" w:rsidRPr="00ED0ED2" w:rsidRDefault="00341FAC" w:rsidP="00341FAC">
      <w:pPr>
        <w:keepNext/>
        <w:keepLines/>
        <w:rPr>
          <w:lang w:val="fr-FR"/>
        </w:rPr>
      </w:pPr>
      <w:r w:rsidRPr="00ED0ED2">
        <w:rPr>
          <w:u w:val="single"/>
          <w:lang w:val="fr-FR"/>
        </w:rPr>
        <w:t>UPOV/INF/22</w:t>
      </w:r>
      <w:r w:rsidR="00EA066D" w:rsidRPr="00ED0ED2">
        <w:rPr>
          <w:u w:val="single"/>
          <w:lang w:val="fr-FR"/>
        </w:rPr>
        <w:t> :</w:t>
      </w:r>
      <w:r w:rsidRPr="00ED0ED2">
        <w:rPr>
          <w:u w:val="single"/>
          <w:lang w:val="fr-FR"/>
        </w:rPr>
        <w:t xml:space="preserve"> Logiciels et équipements utilisés par les membres de l</w:t>
      </w:r>
      <w:r w:rsidR="00EA066D" w:rsidRPr="00ED0ED2">
        <w:rPr>
          <w:u w:val="single"/>
          <w:lang w:val="fr-FR"/>
        </w:rPr>
        <w:t>’</w:t>
      </w:r>
      <w:r w:rsidRPr="00ED0ED2">
        <w:rPr>
          <w:u w:val="single"/>
          <w:lang w:val="fr-FR"/>
        </w:rPr>
        <w:t>Union (révision) (document UPOV/INF/22/9 Draft 1)</w:t>
      </w:r>
    </w:p>
    <w:p w:rsidR="00CA67DF" w:rsidRPr="00ED0ED2" w:rsidRDefault="00CA67DF" w:rsidP="00BE3659">
      <w:pPr>
        <w:keepNext/>
        <w:keepLines/>
        <w:jc w:val="left"/>
        <w:rPr>
          <w:bCs/>
          <w:snapToGrid w:val="0"/>
          <w:spacing w:val="-4"/>
          <w:u w:val="single"/>
          <w:lang w:val="fr-FR"/>
        </w:rPr>
      </w:pPr>
    </w:p>
    <w:p w:rsidR="00CA67DF" w:rsidRPr="00ED0ED2" w:rsidRDefault="00BE3659" w:rsidP="00341FAC">
      <w:pPr>
        <w:keepNext/>
        <w:rPr>
          <w:lang w:val="fr-FR"/>
        </w:rPr>
      </w:pPr>
      <w:r w:rsidRPr="00ED0ED2">
        <w:fldChar w:fldCharType="begin"/>
      </w:r>
      <w:r w:rsidRPr="00ED0ED2">
        <w:rPr>
          <w:lang w:val="fr-FR"/>
        </w:rPr>
        <w:instrText xml:space="preserve"> AUTONUM  </w:instrText>
      </w:r>
      <w:r w:rsidRPr="00ED0ED2">
        <w:fldChar w:fldCharType="end"/>
      </w:r>
      <w:r w:rsidRPr="00ED0ED2">
        <w:rPr>
          <w:lang w:val="fr-FR"/>
        </w:rPr>
        <w:tab/>
      </w:r>
      <w:r w:rsidR="00341FAC" w:rsidRPr="00ED0ED2">
        <w:rPr>
          <w:lang w:val="fr-FR"/>
        </w:rPr>
        <w:t>Le</w:t>
      </w:r>
      <w:r w:rsidR="00EA066D" w:rsidRPr="00ED0ED2">
        <w:rPr>
          <w:lang w:val="fr-FR"/>
        </w:rPr>
        <w:t> TC</w:t>
      </w:r>
      <w:r w:rsidR="00341FAC" w:rsidRPr="00ED0ED2">
        <w:rPr>
          <w:lang w:val="fr-FR"/>
        </w:rPr>
        <w:t xml:space="preserve"> et</w:t>
      </w:r>
      <w:r w:rsidR="00EA066D" w:rsidRPr="00ED0ED2">
        <w:rPr>
          <w:lang w:val="fr-FR"/>
        </w:rPr>
        <w:t xml:space="preserve"> le CAJ</w:t>
      </w:r>
      <w:r w:rsidR="00341FAC" w:rsidRPr="00ED0ED2">
        <w:rPr>
          <w:lang w:val="fr-FR"/>
        </w:rPr>
        <w:t xml:space="preserve"> seront invités à approuver les propositions de révision du document UPOV/INF/22/8 “Logiciels et équipements utilisés par les membres de l</w:t>
      </w:r>
      <w:r w:rsidR="00EA066D" w:rsidRPr="00ED0ED2">
        <w:rPr>
          <w:lang w:val="fr-FR"/>
        </w:rPr>
        <w:t>’</w:t>
      </w:r>
      <w:r w:rsidR="00341FAC" w:rsidRPr="00ED0ED2">
        <w:rPr>
          <w:lang w:val="fr-FR"/>
        </w:rPr>
        <w:t>Union”, qui figurent dans le document UPOV/INF/22/9 Draft 1.</w:t>
      </w:r>
    </w:p>
    <w:p w:rsidR="00CA67DF" w:rsidRPr="00ED0ED2" w:rsidRDefault="00CA67DF" w:rsidP="00BE3659">
      <w:pPr>
        <w:keepNext/>
        <w:rPr>
          <w:lang w:val="fr-FR"/>
        </w:rPr>
      </w:pPr>
    </w:p>
    <w:p w:rsidR="00CA67DF" w:rsidRPr="00ED0ED2" w:rsidRDefault="00BE3659" w:rsidP="00724CDC">
      <w:pPr>
        <w:pStyle w:val="DecisionParagraphs"/>
        <w:rPr>
          <w:lang w:val="fr-FR"/>
        </w:rPr>
      </w:pPr>
      <w:r w:rsidRPr="00ED0ED2">
        <w:rPr>
          <w:lang w:eastAsia="zh-CN"/>
        </w:rPr>
        <w:fldChar w:fldCharType="begin"/>
      </w:r>
      <w:r w:rsidRPr="00ED0ED2">
        <w:rPr>
          <w:lang w:val="fr-FR" w:eastAsia="zh-CN"/>
        </w:rPr>
        <w:instrText xml:space="preserve"> AUTONUM  </w:instrText>
      </w:r>
      <w:r w:rsidRPr="00ED0ED2">
        <w:rPr>
          <w:lang w:eastAsia="zh-CN"/>
        </w:rPr>
        <w:fldChar w:fldCharType="end"/>
      </w:r>
      <w:r w:rsidRPr="00ED0ED2">
        <w:rPr>
          <w:lang w:val="fr-FR" w:eastAsia="zh-CN"/>
        </w:rPr>
        <w:tab/>
      </w:r>
      <w:r w:rsidR="00341FAC" w:rsidRPr="00ED0ED2">
        <w:rPr>
          <w:lang w:val="fr-FR" w:eastAsia="zh-CN"/>
        </w:rPr>
        <w:t>Le Conseil est invité à adopter une version révisée du document UPOV/INF/22/8 “Logiciels et équipements utilisés par les membres de l</w:t>
      </w:r>
      <w:r w:rsidR="00EA066D" w:rsidRPr="00ED0ED2">
        <w:rPr>
          <w:lang w:val="fr-FR" w:eastAsia="zh-CN"/>
        </w:rPr>
        <w:t>’</w:t>
      </w:r>
      <w:r w:rsidR="00341FAC" w:rsidRPr="00ED0ED2">
        <w:rPr>
          <w:lang w:val="fr-FR" w:eastAsia="zh-CN"/>
        </w:rPr>
        <w:t>Union” sur la base du document UPOV/INF/22/9 Draft 1, sous réserve de l</w:t>
      </w:r>
      <w:r w:rsidR="00EA066D" w:rsidRPr="00ED0ED2">
        <w:rPr>
          <w:lang w:val="fr-FR" w:eastAsia="zh-CN"/>
        </w:rPr>
        <w:t>’</w:t>
      </w:r>
      <w:r w:rsidR="00341FAC" w:rsidRPr="00ED0ED2">
        <w:rPr>
          <w:lang w:val="fr-FR" w:eastAsia="zh-CN"/>
        </w:rPr>
        <w:t>accord du</w:t>
      </w:r>
      <w:r w:rsidR="00EA066D" w:rsidRPr="00ED0ED2">
        <w:rPr>
          <w:lang w:val="fr-FR" w:eastAsia="zh-CN"/>
        </w:rPr>
        <w:t> TC</w:t>
      </w:r>
      <w:r w:rsidR="00341FAC" w:rsidRPr="00ED0ED2">
        <w:rPr>
          <w:lang w:val="fr-FR" w:eastAsia="zh-CN"/>
        </w:rPr>
        <w:t xml:space="preserve"> et</w:t>
      </w:r>
      <w:r w:rsidR="00EA066D" w:rsidRPr="00ED0ED2">
        <w:rPr>
          <w:lang w:val="fr-FR" w:eastAsia="zh-CN"/>
        </w:rPr>
        <w:t xml:space="preserve"> du CAJ</w:t>
      </w:r>
      <w:r w:rsidR="00341FAC" w:rsidRPr="00ED0ED2">
        <w:rPr>
          <w:lang w:val="fr-FR" w:eastAsia="zh-CN"/>
        </w:rPr>
        <w:t>.</w:t>
      </w:r>
    </w:p>
    <w:p w:rsidR="00CA67DF" w:rsidRPr="00ED0ED2" w:rsidRDefault="00CA67DF" w:rsidP="00BE3659">
      <w:pPr>
        <w:rPr>
          <w:lang w:val="fr-FR"/>
        </w:rPr>
      </w:pPr>
    </w:p>
    <w:p w:rsidR="00CA67DF" w:rsidRPr="00ED0ED2" w:rsidRDefault="00CA67DF" w:rsidP="00BE3659">
      <w:pPr>
        <w:rPr>
          <w:lang w:val="fr-FR"/>
        </w:rPr>
      </w:pPr>
    </w:p>
    <w:p w:rsidR="00EA066D" w:rsidRPr="00ED0ED2" w:rsidRDefault="00341FAC" w:rsidP="00341FAC">
      <w:pPr>
        <w:keepNext/>
        <w:rPr>
          <w:lang w:val="fr-FR"/>
        </w:rPr>
      </w:pPr>
      <w:r w:rsidRPr="00ED0ED2">
        <w:rPr>
          <w:u w:val="single"/>
          <w:lang w:val="fr-FR"/>
        </w:rPr>
        <w:t>UPOV/INF</w:t>
      </w:r>
      <w:r w:rsidR="00EA066D" w:rsidRPr="00ED0ED2">
        <w:rPr>
          <w:u w:val="single"/>
          <w:lang w:val="fr-FR"/>
        </w:rPr>
        <w:t>-</w:t>
      </w:r>
      <w:r w:rsidRPr="00ED0ED2">
        <w:rPr>
          <w:u w:val="single"/>
          <w:lang w:val="fr-FR"/>
        </w:rPr>
        <w:t>EXN</w:t>
      </w:r>
      <w:r w:rsidR="00EA066D" w:rsidRPr="00ED0ED2">
        <w:rPr>
          <w:u w:val="single"/>
          <w:lang w:val="fr-FR"/>
        </w:rPr>
        <w:t> :</w:t>
      </w:r>
      <w:r w:rsidRPr="00ED0ED2">
        <w:rPr>
          <w:u w:val="single"/>
          <w:lang w:val="fr-FR"/>
        </w:rPr>
        <w:t xml:space="preserve"> Liste des documents UPOV/INF</w:t>
      </w:r>
      <w:r w:rsidR="00EA066D" w:rsidRPr="00ED0ED2">
        <w:rPr>
          <w:u w:val="single"/>
          <w:lang w:val="fr-FR"/>
        </w:rPr>
        <w:t>-</w:t>
      </w:r>
      <w:r w:rsidRPr="00ED0ED2">
        <w:rPr>
          <w:u w:val="single"/>
          <w:lang w:val="fr-FR"/>
        </w:rPr>
        <w:t>EXN et date de la version la plus récente de ces documents (révision) (document UPOV/INF</w:t>
      </w:r>
      <w:r w:rsidR="00EA066D" w:rsidRPr="00ED0ED2">
        <w:rPr>
          <w:u w:val="single"/>
          <w:lang w:val="fr-FR"/>
        </w:rPr>
        <w:t>-</w:t>
      </w:r>
      <w:r w:rsidRPr="00ED0ED2">
        <w:rPr>
          <w:u w:val="single"/>
          <w:lang w:val="fr-FR"/>
        </w:rPr>
        <w:t>EXN/15 Draft 1)</w:t>
      </w:r>
    </w:p>
    <w:p w:rsidR="00CA67DF" w:rsidRPr="00ED0ED2" w:rsidRDefault="00CA67DF" w:rsidP="00BE3659">
      <w:pPr>
        <w:keepNext/>
        <w:rPr>
          <w:lang w:val="fr-FR"/>
        </w:rPr>
      </w:pPr>
    </w:p>
    <w:p w:rsidR="00CA67DF" w:rsidRPr="00ED0ED2" w:rsidRDefault="00BE3659" w:rsidP="00341FAC">
      <w:pPr>
        <w:keepNext/>
        <w:rPr>
          <w:lang w:val="fr-FR"/>
        </w:rPr>
      </w:pPr>
      <w:r w:rsidRPr="00ED0ED2">
        <w:fldChar w:fldCharType="begin"/>
      </w:r>
      <w:r w:rsidRPr="00ED0ED2">
        <w:rPr>
          <w:lang w:val="fr-FR"/>
        </w:rPr>
        <w:instrText xml:space="preserve"> AUTONUM  </w:instrText>
      </w:r>
      <w:r w:rsidRPr="00ED0ED2">
        <w:fldChar w:fldCharType="end"/>
      </w:r>
      <w:r w:rsidRPr="00ED0ED2">
        <w:rPr>
          <w:lang w:val="fr-FR"/>
        </w:rPr>
        <w:tab/>
      </w:r>
      <w:r w:rsidR="00341FAC" w:rsidRPr="00ED0ED2">
        <w:rPr>
          <w:lang w:val="fr-FR"/>
        </w:rPr>
        <w:t>Parallèlement aux documents d</w:t>
      </w:r>
      <w:r w:rsidR="00EA066D" w:rsidRPr="00ED0ED2">
        <w:rPr>
          <w:lang w:val="fr-FR"/>
        </w:rPr>
        <w:t>’</w:t>
      </w:r>
      <w:r w:rsidR="00341FAC" w:rsidRPr="00ED0ED2">
        <w:rPr>
          <w:lang w:val="fr-FR"/>
        </w:rPr>
        <w:t xml:space="preserve">information que le Conseil sera invité à adopter </w:t>
      </w:r>
      <w:r w:rsidR="00EA066D" w:rsidRPr="00ED0ED2">
        <w:rPr>
          <w:lang w:val="fr-FR"/>
        </w:rPr>
        <w:t>en 2022</w:t>
      </w:r>
      <w:r w:rsidR="00341FAC" w:rsidRPr="00ED0ED2">
        <w:rPr>
          <w:lang w:val="fr-FR"/>
        </w:rPr>
        <w:t>, il est proposé d</w:t>
      </w:r>
      <w:r w:rsidR="00EA066D" w:rsidRPr="00ED0ED2">
        <w:rPr>
          <w:lang w:val="fr-FR"/>
        </w:rPr>
        <w:t>’</w:t>
      </w:r>
      <w:r w:rsidR="00341FAC" w:rsidRPr="00ED0ED2">
        <w:rPr>
          <w:lang w:val="fr-FR"/>
        </w:rPr>
        <w:t>adopter une version révisée du document UPOV/INF</w:t>
      </w:r>
      <w:r w:rsidR="00EA066D" w:rsidRPr="00ED0ED2">
        <w:rPr>
          <w:lang w:val="fr-FR"/>
        </w:rPr>
        <w:t>-</w:t>
      </w:r>
      <w:r w:rsidR="00341FAC" w:rsidRPr="00ED0ED2">
        <w:rPr>
          <w:lang w:val="fr-FR"/>
        </w:rPr>
        <w:t>EXN/15 “Liste des documents UPOV/INF</w:t>
      </w:r>
      <w:r w:rsidR="00EA066D" w:rsidRPr="00ED0ED2">
        <w:rPr>
          <w:lang w:val="fr-FR"/>
        </w:rPr>
        <w:t>-</w:t>
      </w:r>
      <w:r w:rsidR="00341FAC" w:rsidRPr="00ED0ED2">
        <w:rPr>
          <w:lang w:val="fr-FR"/>
        </w:rPr>
        <w:t>EXN et date de la version la plus récente de ces documents” sur la base du document UPOV/INF</w:t>
      </w:r>
      <w:r w:rsidR="00EA066D" w:rsidRPr="00ED0ED2">
        <w:rPr>
          <w:lang w:val="fr-FR"/>
        </w:rPr>
        <w:t>-</w:t>
      </w:r>
      <w:r w:rsidR="00341FAC" w:rsidRPr="00ED0ED2">
        <w:rPr>
          <w:lang w:val="fr-FR"/>
        </w:rPr>
        <w:t>EXN/16 Draft 1.</w:t>
      </w:r>
    </w:p>
    <w:p w:rsidR="00CA67DF" w:rsidRPr="00ED0ED2" w:rsidRDefault="00CA67DF" w:rsidP="00BE3659">
      <w:pPr>
        <w:rPr>
          <w:lang w:val="fr-FR"/>
        </w:rPr>
      </w:pPr>
    </w:p>
    <w:p w:rsidR="00EA066D" w:rsidRPr="00ED0ED2" w:rsidRDefault="00BE3659" w:rsidP="00724CDC">
      <w:pPr>
        <w:pStyle w:val="DecisionParagraphs"/>
        <w:rPr>
          <w:lang w:val="fr-FR"/>
        </w:rPr>
      </w:pPr>
      <w:r w:rsidRPr="00ED0ED2">
        <w:fldChar w:fldCharType="begin"/>
      </w:r>
      <w:r w:rsidRPr="00ED0ED2">
        <w:rPr>
          <w:lang w:val="fr-FR"/>
        </w:rPr>
        <w:instrText xml:space="preserve"> AUTONUM  </w:instrText>
      </w:r>
      <w:r w:rsidRPr="00ED0ED2">
        <w:fldChar w:fldCharType="end"/>
      </w:r>
      <w:r w:rsidRPr="00ED0ED2">
        <w:rPr>
          <w:lang w:val="fr-FR"/>
        </w:rPr>
        <w:tab/>
      </w:r>
      <w:r w:rsidR="00341FAC" w:rsidRPr="00ED0ED2">
        <w:rPr>
          <w:lang w:val="fr-FR"/>
        </w:rPr>
        <w:t>Le Conseil est invité à adopter le document UPOV/INF</w:t>
      </w:r>
      <w:r w:rsidR="00EA066D" w:rsidRPr="00ED0ED2">
        <w:rPr>
          <w:lang w:val="fr-FR"/>
        </w:rPr>
        <w:t>-</w:t>
      </w:r>
      <w:r w:rsidR="00341FAC" w:rsidRPr="00ED0ED2">
        <w:rPr>
          <w:lang w:val="fr-FR"/>
        </w:rPr>
        <w:t>EXN/16 sur la base du document UPOV/INF</w:t>
      </w:r>
      <w:r w:rsidR="00EA066D" w:rsidRPr="00ED0ED2">
        <w:rPr>
          <w:lang w:val="fr-FR"/>
        </w:rPr>
        <w:t>-</w:t>
      </w:r>
      <w:r w:rsidR="00341FAC" w:rsidRPr="00ED0ED2">
        <w:rPr>
          <w:lang w:val="fr-FR"/>
        </w:rPr>
        <w:t>EXN/16 Draft 1, sous réserve de l</w:t>
      </w:r>
      <w:r w:rsidR="00EA066D" w:rsidRPr="00ED0ED2">
        <w:rPr>
          <w:lang w:val="fr-FR"/>
        </w:rPr>
        <w:t>’</w:t>
      </w:r>
      <w:r w:rsidR="00341FAC" w:rsidRPr="00ED0ED2">
        <w:rPr>
          <w:lang w:val="fr-FR"/>
        </w:rPr>
        <w:t>adoption des documents concernés.</w:t>
      </w:r>
    </w:p>
    <w:p w:rsidR="00CA67DF" w:rsidRPr="00ED0ED2" w:rsidRDefault="00CA67DF" w:rsidP="00BE3659">
      <w:pPr>
        <w:rPr>
          <w:lang w:val="fr-FR"/>
        </w:rPr>
      </w:pPr>
    </w:p>
    <w:p w:rsidR="00CA67DF" w:rsidRPr="00ED0ED2" w:rsidRDefault="00CA67DF" w:rsidP="00BE3659">
      <w:pPr>
        <w:rPr>
          <w:lang w:val="fr-FR"/>
        </w:rPr>
      </w:pPr>
    </w:p>
    <w:p w:rsidR="00CA67DF" w:rsidRPr="00ED0ED2" w:rsidRDefault="00CA67DF" w:rsidP="00BE3659">
      <w:pPr>
        <w:rPr>
          <w:lang w:val="fr-FR"/>
        </w:rPr>
      </w:pPr>
    </w:p>
    <w:p w:rsidR="00CA67DF" w:rsidRPr="00ED0ED2" w:rsidRDefault="00341FAC" w:rsidP="00724CDC">
      <w:pPr>
        <w:pStyle w:val="Heading1"/>
        <w:rPr>
          <w:snapToGrid w:val="0"/>
          <w:lang w:val="fr-FR"/>
        </w:rPr>
      </w:pPr>
      <w:r w:rsidRPr="00ED0ED2">
        <w:rPr>
          <w:snapToGrid w:val="0"/>
          <w:lang w:val="fr-FR"/>
        </w:rPr>
        <w:t>Notes explicatives</w:t>
      </w:r>
    </w:p>
    <w:p w:rsidR="00CA67DF" w:rsidRPr="00ED0ED2" w:rsidRDefault="00CA67DF" w:rsidP="00BE3659">
      <w:pPr>
        <w:keepNext/>
        <w:rPr>
          <w:snapToGrid w:val="0"/>
          <w:lang w:val="fr-FR"/>
        </w:rPr>
      </w:pPr>
    </w:p>
    <w:p w:rsidR="00CA67DF" w:rsidRPr="00A0092F" w:rsidRDefault="00341FAC" w:rsidP="00341FAC">
      <w:pPr>
        <w:rPr>
          <w:u w:val="single"/>
          <w:lang w:val="fr-FR"/>
        </w:rPr>
      </w:pPr>
      <w:r w:rsidRPr="00A0092F">
        <w:rPr>
          <w:u w:val="single"/>
          <w:lang w:val="fr-FR"/>
        </w:rPr>
        <w:t>UPOV/EXN/DEN</w:t>
      </w:r>
      <w:r w:rsidR="00EA066D" w:rsidRPr="00A0092F">
        <w:rPr>
          <w:u w:val="single"/>
          <w:lang w:val="fr-FR"/>
        </w:rPr>
        <w:t> :</w:t>
      </w:r>
      <w:r w:rsidRPr="00A0092F">
        <w:rPr>
          <w:u w:val="single"/>
          <w:lang w:val="fr-FR"/>
        </w:rPr>
        <w:t xml:space="preserve"> Notes explicatives </w:t>
      </w:r>
      <w:r w:rsidR="00EC7808" w:rsidRPr="00A0092F">
        <w:rPr>
          <w:u w:val="single"/>
          <w:lang w:val="fr-FR"/>
        </w:rPr>
        <w:t>sur</w:t>
      </w:r>
      <w:r w:rsidRPr="00A0092F">
        <w:rPr>
          <w:u w:val="single"/>
          <w:lang w:val="fr-FR"/>
        </w:rPr>
        <w:t xml:space="preserve"> les dénominations variétales en vertu de la </w:t>
      </w:r>
      <w:r w:rsidR="00EA066D" w:rsidRPr="00A0092F">
        <w:rPr>
          <w:u w:val="single"/>
          <w:lang w:val="fr-FR"/>
        </w:rPr>
        <w:t>Convention UPOV</w:t>
      </w:r>
      <w:r w:rsidRPr="00A0092F">
        <w:rPr>
          <w:u w:val="single"/>
          <w:lang w:val="fr-FR"/>
        </w:rPr>
        <w:t xml:space="preserve"> (révision) (document C/56/3, </w:t>
      </w:r>
      <w:r w:rsidR="00EA066D" w:rsidRPr="00A0092F">
        <w:rPr>
          <w:u w:val="single"/>
          <w:lang w:val="fr-FR"/>
        </w:rPr>
        <w:t>annexe I</w:t>
      </w:r>
      <w:r w:rsidRPr="00A0092F">
        <w:rPr>
          <w:u w:val="single"/>
          <w:lang w:val="fr-FR"/>
        </w:rPr>
        <w:t>)</w:t>
      </w:r>
    </w:p>
    <w:p w:rsidR="00CA67DF" w:rsidRPr="00ED0ED2" w:rsidRDefault="00CA67DF" w:rsidP="00BE3659">
      <w:pPr>
        <w:rPr>
          <w:strike/>
          <w:snapToGrid w:val="0"/>
          <w:lang w:val="fr-FR"/>
        </w:rPr>
      </w:pPr>
    </w:p>
    <w:p w:rsidR="00CA67DF" w:rsidRPr="00ED0ED2" w:rsidRDefault="00632A44" w:rsidP="00341FAC">
      <w:pPr>
        <w:keepNext/>
        <w:rPr>
          <w:lang w:val="fr-FR"/>
        </w:rPr>
      </w:pPr>
      <w:r w:rsidRPr="00ED0ED2">
        <w:fldChar w:fldCharType="begin"/>
      </w:r>
      <w:r w:rsidRPr="00ED0ED2">
        <w:rPr>
          <w:lang w:val="fr-FR"/>
        </w:rPr>
        <w:instrText xml:space="preserve"> AUTONUM  </w:instrText>
      </w:r>
      <w:r w:rsidRPr="00ED0ED2">
        <w:fldChar w:fldCharType="end"/>
      </w:r>
      <w:r w:rsidRPr="00ED0ED2">
        <w:rPr>
          <w:lang w:val="fr-FR"/>
        </w:rPr>
        <w:tab/>
      </w:r>
      <w:r w:rsidR="00341FAC" w:rsidRPr="00ED0ED2">
        <w:rPr>
          <w:lang w:val="fr-FR"/>
        </w:rPr>
        <w:t xml:space="preserve">Le CAJ sera invité à approuver les propositions de révision du document UPOV/EXN/DEN/1 </w:t>
      </w:r>
      <w:r w:rsidR="00EA066D" w:rsidRPr="00ED0ED2">
        <w:rPr>
          <w:lang w:val="fr-FR"/>
        </w:rPr>
        <w:t>“N</w:t>
      </w:r>
      <w:r w:rsidR="00341FAC" w:rsidRPr="00ED0ED2">
        <w:rPr>
          <w:lang w:val="fr-FR"/>
        </w:rPr>
        <w:t xml:space="preserve">otes explicatives </w:t>
      </w:r>
      <w:r w:rsidR="00EC7808" w:rsidRPr="00ED0ED2">
        <w:rPr>
          <w:lang w:val="fr-FR"/>
        </w:rPr>
        <w:t>sur</w:t>
      </w:r>
      <w:r w:rsidR="00341FAC" w:rsidRPr="00ED0ED2">
        <w:rPr>
          <w:lang w:val="fr-FR"/>
        </w:rPr>
        <w:t xml:space="preserve"> les dénominations variétales en vertu de la </w:t>
      </w:r>
      <w:r w:rsidR="00EA066D" w:rsidRPr="00ED0ED2">
        <w:rPr>
          <w:lang w:val="fr-FR"/>
        </w:rPr>
        <w:t>Convention UPOV”</w:t>
      </w:r>
      <w:r w:rsidR="00341FAC" w:rsidRPr="00ED0ED2">
        <w:rPr>
          <w:lang w:val="fr-FR"/>
        </w:rPr>
        <w:t>, qui figurent à l</w:t>
      </w:r>
      <w:r w:rsidR="00EA066D" w:rsidRPr="00ED0ED2">
        <w:rPr>
          <w:lang w:val="fr-FR"/>
        </w:rPr>
        <w:t>’annexe I</w:t>
      </w:r>
      <w:r w:rsidR="00341FAC" w:rsidRPr="00ED0ED2">
        <w:rPr>
          <w:lang w:val="fr-FR"/>
        </w:rPr>
        <w:t xml:space="preserve"> du présent document.</w:t>
      </w:r>
    </w:p>
    <w:p w:rsidR="00CA67DF" w:rsidRPr="00ED0ED2" w:rsidRDefault="00CA67DF" w:rsidP="00632A44">
      <w:pPr>
        <w:keepNext/>
        <w:rPr>
          <w:lang w:val="fr-FR"/>
        </w:rPr>
      </w:pPr>
    </w:p>
    <w:p w:rsidR="00CA67DF" w:rsidRPr="00ED0ED2" w:rsidRDefault="00632A44" w:rsidP="00724CDC">
      <w:pPr>
        <w:pStyle w:val="DecisionParagraphs"/>
        <w:rPr>
          <w:lang w:val="fr-FR"/>
        </w:rPr>
      </w:pPr>
      <w:r w:rsidRPr="00ED0ED2">
        <w:rPr>
          <w:lang w:eastAsia="zh-CN"/>
        </w:rPr>
        <w:fldChar w:fldCharType="begin"/>
      </w:r>
      <w:r w:rsidRPr="00ED0ED2">
        <w:rPr>
          <w:lang w:val="fr-FR" w:eastAsia="zh-CN"/>
        </w:rPr>
        <w:instrText xml:space="preserve"> AUTONUM  </w:instrText>
      </w:r>
      <w:r w:rsidRPr="00ED0ED2">
        <w:rPr>
          <w:lang w:eastAsia="zh-CN"/>
        </w:rPr>
        <w:fldChar w:fldCharType="end"/>
      </w:r>
      <w:r w:rsidRPr="00ED0ED2">
        <w:rPr>
          <w:lang w:val="fr-FR" w:eastAsia="zh-CN"/>
        </w:rPr>
        <w:tab/>
      </w:r>
      <w:r w:rsidR="00341FAC" w:rsidRPr="00ED0ED2">
        <w:rPr>
          <w:lang w:val="fr-FR" w:eastAsia="zh-CN"/>
        </w:rPr>
        <w:t>Le Conseil est invité à adopter une</w:t>
      </w:r>
      <w:r w:rsidR="00DA112E" w:rsidRPr="00ED0ED2">
        <w:rPr>
          <w:lang w:val="fr-FR" w:eastAsia="zh-CN"/>
        </w:rPr>
        <w:t xml:space="preserve"> version révisée</w:t>
      </w:r>
      <w:r w:rsidR="00341FAC" w:rsidRPr="00ED0ED2">
        <w:rPr>
          <w:lang w:val="fr-FR" w:eastAsia="zh-CN"/>
        </w:rPr>
        <w:t xml:space="preserve"> du document UPOV/EXN/DEN/1 </w:t>
      </w:r>
      <w:r w:rsidR="00EA066D" w:rsidRPr="00ED0ED2">
        <w:rPr>
          <w:lang w:val="fr-FR" w:eastAsia="zh-CN"/>
        </w:rPr>
        <w:t>“N</w:t>
      </w:r>
      <w:r w:rsidR="00341FAC" w:rsidRPr="00ED0ED2">
        <w:rPr>
          <w:lang w:val="fr-FR" w:eastAsia="zh-CN"/>
        </w:rPr>
        <w:t xml:space="preserve">otes explicatives </w:t>
      </w:r>
      <w:r w:rsidR="00EC7808" w:rsidRPr="00ED0ED2">
        <w:rPr>
          <w:lang w:val="fr-FR" w:eastAsia="zh-CN"/>
        </w:rPr>
        <w:t>sur</w:t>
      </w:r>
      <w:r w:rsidR="00341FAC" w:rsidRPr="00ED0ED2">
        <w:rPr>
          <w:lang w:val="fr-FR" w:eastAsia="zh-CN"/>
        </w:rPr>
        <w:t xml:space="preserve"> les dénominations variétales en vertu de la </w:t>
      </w:r>
      <w:r w:rsidR="00EA066D" w:rsidRPr="00ED0ED2">
        <w:rPr>
          <w:lang w:val="fr-FR" w:eastAsia="zh-CN"/>
        </w:rPr>
        <w:t>Convention UPOV”</w:t>
      </w:r>
      <w:r w:rsidR="00341FAC" w:rsidRPr="00ED0ED2">
        <w:rPr>
          <w:lang w:val="fr-FR" w:eastAsia="zh-CN"/>
        </w:rPr>
        <w:t xml:space="preserve">, sur la base des propositions de modification </w:t>
      </w:r>
      <w:r w:rsidR="00DA112E" w:rsidRPr="00ED0ED2">
        <w:rPr>
          <w:lang w:val="fr-FR" w:eastAsia="zh-CN"/>
        </w:rPr>
        <w:t>qui figure</w:t>
      </w:r>
      <w:r w:rsidR="00341FAC" w:rsidRPr="00ED0ED2">
        <w:rPr>
          <w:lang w:val="fr-FR" w:eastAsia="zh-CN"/>
        </w:rPr>
        <w:t>nt à l</w:t>
      </w:r>
      <w:r w:rsidR="00EA066D" w:rsidRPr="00ED0ED2">
        <w:rPr>
          <w:lang w:val="fr-FR" w:eastAsia="zh-CN"/>
        </w:rPr>
        <w:t>’annexe I</w:t>
      </w:r>
      <w:r w:rsidR="00341FAC" w:rsidRPr="00ED0ED2">
        <w:rPr>
          <w:lang w:val="fr-FR" w:eastAsia="zh-CN"/>
        </w:rPr>
        <w:t xml:space="preserve"> du présent document, sous réserve de l</w:t>
      </w:r>
      <w:r w:rsidR="00EA066D" w:rsidRPr="00ED0ED2">
        <w:rPr>
          <w:lang w:val="fr-FR" w:eastAsia="zh-CN"/>
        </w:rPr>
        <w:t>’</w:t>
      </w:r>
      <w:r w:rsidR="00341FAC" w:rsidRPr="00ED0ED2">
        <w:rPr>
          <w:lang w:val="fr-FR" w:eastAsia="zh-CN"/>
        </w:rPr>
        <w:t>accord</w:t>
      </w:r>
      <w:r w:rsidR="00EA066D" w:rsidRPr="00ED0ED2">
        <w:rPr>
          <w:lang w:val="fr-FR" w:eastAsia="zh-CN"/>
        </w:rPr>
        <w:t xml:space="preserve"> du CAJ</w:t>
      </w:r>
      <w:r w:rsidR="00341FAC" w:rsidRPr="00ED0ED2">
        <w:rPr>
          <w:lang w:val="fr-FR" w:eastAsia="zh-CN"/>
        </w:rPr>
        <w:t>.</w:t>
      </w:r>
    </w:p>
    <w:p w:rsidR="00CA67DF" w:rsidRPr="00ED0ED2" w:rsidRDefault="00CA67DF" w:rsidP="00632A44">
      <w:pPr>
        <w:ind w:left="1843" w:hanging="1843"/>
        <w:jc w:val="left"/>
        <w:rPr>
          <w:u w:val="single"/>
          <w:lang w:val="fr-FR"/>
        </w:rPr>
      </w:pPr>
    </w:p>
    <w:p w:rsidR="00CA67DF" w:rsidRPr="00ED0ED2" w:rsidRDefault="00CA67DF" w:rsidP="00632A44">
      <w:pPr>
        <w:ind w:left="1843" w:hanging="1843"/>
        <w:jc w:val="left"/>
        <w:rPr>
          <w:u w:val="single"/>
          <w:lang w:val="fr-FR"/>
        </w:rPr>
      </w:pPr>
    </w:p>
    <w:p w:rsidR="00CA67DF" w:rsidRPr="00ED0ED2" w:rsidRDefault="00C47F76" w:rsidP="00ED0ED2">
      <w:pPr>
        <w:keepNext/>
        <w:rPr>
          <w:u w:val="single"/>
          <w:lang w:val="fr-FR"/>
        </w:rPr>
      </w:pPr>
      <w:r w:rsidRPr="00ED0ED2">
        <w:rPr>
          <w:u w:val="single"/>
          <w:lang w:val="fr-FR"/>
        </w:rPr>
        <w:lastRenderedPageBreak/>
        <w:t>UPOV/EXN/EDV</w:t>
      </w:r>
      <w:r w:rsidR="00EA066D" w:rsidRPr="00ED0ED2">
        <w:rPr>
          <w:u w:val="single"/>
          <w:lang w:val="fr-FR"/>
        </w:rPr>
        <w:t> :</w:t>
      </w:r>
      <w:r w:rsidRPr="00ED0ED2">
        <w:rPr>
          <w:u w:val="single"/>
          <w:lang w:val="fr-FR"/>
        </w:rPr>
        <w:t xml:space="preserve"> Notes explicatives sur les variétés essentiellement dérivées selon l</w:t>
      </w:r>
      <w:r w:rsidR="00EA066D" w:rsidRPr="00ED0ED2">
        <w:rPr>
          <w:u w:val="single"/>
          <w:lang w:val="fr-FR"/>
        </w:rPr>
        <w:t>’</w:t>
      </w:r>
      <w:r w:rsidRPr="00ED0ED2">
        <w:rPr>
          <w:u w:val="single"/>
          <w:lang w:val="fr-FR"/>
        </w:rPr>
        <w:t xml:space="preserve">Acte </w:t>
      </w:r>
      <w:r w:rsidR="00EA066D" w:rsidRPr="00ED0ED2">
        <w:rPr>
          <w:u w:val="single"/>
          <w:lang w:val="fr-FR"/>
        </w:rPr>
        <w:t>de 1991</w:t>
      </w:r>
      <w:r w:rsidRPr="00ED0ED2">
        <w:rPr>
          <w:u w:val="single"/>
          <w:lang w:val="fr-FR"/>
        </w:rPr>
        <w:t xml:space="preserve"> de la </w:t>
      </w:r>
      <w:r w:rsidR="00EA066D" w:rsidRPr="00ED0ED2">
        <w:rPr>
          <w:u w:val="single"/>
          <w:lang w:val="fr-FR"/>
        </w:rPr>
        <w:t>Convention UPOV</w:t>
      </w:r>
      <w:r w:rsidRPr="00ED0ED2">
        <w:rPr>
          <w:u w:val="single"/>
          <w:lang w:val="fr-FR"/>
        </w:rPr>
        <w:t xml:space="preserve"> (révision) (documents C/56/9 et UPOV/EXN/EDV/3 Draft 3)</w:t>
      </w:r>
    </w:p>
    <w:p w:rsidR="00CA67DF" w:rsidRPr="00ED0ED2" w:rsidRDefault="00CA67DF" w:rsidP="00ED0ED2">
      <w:pPr>
        <w:keepNext/>
        <w:rPr>
          <w:lang w:val="fr-FR"/>
        </w:rPr>
      </w:pPr>
    </w:p>
    <w:p w:rsidR="00CA67DF" w:rsidRPr="00ED0ED2" w:rsidRDefault="008277D0" w:rsidP="00C47F76">
      <w:pPr>
        <w:rPr>
          <w:lang w:val="fr-FR"/>
        </w:rPr>
      </w:pPr>
      <w:r w:rsidRPr="00ED0ED2">
        <w:rPr>
          <w:rFonts w:cs="Arial"/>
        </w:rPr>
        <w:fldChar w:fldCharType="begin"/>
      </w:r>
      <w:r w:rsidRPr="00ED0ED2">
        <w:rPr>
          <w:rFonts w:cs="Arial"/>
          <w:lang w:val="fr-FR"/>
        </w:rPr>
        <w:instrText xml:space="preserve"> AUTONUM  </w:instrText>
      </w:r>
      <w:r w:rsidRPr="00ED0ED2">
        <w:rPr>
          <w:rFonts w:cs="Arial"/>
        </w:rPr>
        <w:fldChar w:fldCharType="end"/>
      </w:r>
      <w:r w:rsidRPr="00ED0ED2">
        <w:rPr>
          <w:rFonts w:cs="Arial"/>
          <w:lang w:val="fr-FR"/>
        </w:rPr>
        <w:tab/>
      </w:r>
      <w:r w:rsidR="00C47F76" w:rsidRPr="00ED0ED2">
        <w:rPr>
          <w:rFonts w:cs="Arial"/>
          <w:lang w:val="fr-FR"/>
        </w:rPr>
        <w:t xml:space="preserve">Le document C/56/9 </w:t>
      </w:r>
      <w:r w:rsidR="00EA066D" w:rsidRPr="00ED0ED2">
        <w:rPr>
          <w:rFonts w:cs="Arial"/>
          <w:lang w:val="fr-FR"/>
        </w:rPr>
        <w:t>“N</w:t>
      </w:r>
      <w:r w:rsidR="00C47F76" w:rsidRPr="00ED0ED2">
        <w:rPr>
          <w:rFonts w:cs="Arial"/>
          <w:lang w:val="fr-FR"/>
        </w:rPr>
        <w:t>otes explicatives sur les variétés essentiellement dérivées selon l</w:t>
      </w:r>
      <w:r w:rsidR="00EA066D" w:rsidRPr="00ED0ED2">
        <w:rPr>
          <w:rFonts w:cs="Arial"/>
          <w:lang w:val="fr-FR"/>
        </w:rPr>
        <w:t>’</w:t>
      </w:r>
      <w:r w:rsidR="00C47F76" w:rsidRPr="00ED0ED2">
        <w:rPr>
          <w:rFonts w:cs="Arial"/>
          <w:lang w:val="fr-FR"/>
        </w:rPr>
        <w:t xml:space="preserve">Acte </w:t>
      </w:r>
      <w:r w:rsidR="00EA066D" w:rsidRPr="00ED0ED2">
        <w:rPr>
          <w:rFonts w:cs="Arial"/>
          <w:lang w:val="fr-FR"/>
        </w:rPr>
        <w:t>de 1991</w:t>
      </w:r>
      <w:r w:rsidR="00C47F76" w:rsidRPr="00ED0ED2">
        <w:rPr>
          <w:rFonts w:cs="Arial"/>
          <w:lang w:val="fr-FR"/>
        </w:rPr>
        <w:t xml:space="preserve"> de la </w:t>
      </w:r>
      <w:r w:rsidR="00EA066D" w:rsidRPr="00ED0ED2">
        <w:rPr>
          <w:rFonts w:cs="Arial"/>
          <w:lang w:val="fr-FR"/>
        </w:rPr>
        <w:t>Convention UPOV”</w:t>
      </w:r>
      <w:r w:rsidR="00C47F76" w:rsidRPr="00ED0ED2">
        <w:rPr>
          <w:rFonts w:cs="Arial"/>
          <w:lang w:val="fr-FR"/>
        </w:rPr>
        <w:t xml:space="preserve"> contient des informations propres à éclairer le Conseil dans l</w:t>
      </w:r>
      <w:r w:rsidR="00EA066D" w:rsidRPr="00ED0ED2">
        <w:rPr>
          <w:rFonts w:cs="Arial"/>
          <w:lang w:val="fr-FR"/>
        </w:rPr>
        <w:t>’</w:t>
      </w:r>
      <w:r w:rsidR="00C47F76" w:rsidRPr="00ED0ED2">
        <w:rPr>
          <w:rFonts w:cs="Arial"/>
          <w:lang w:val="fr-FR"/>
        </w:rPr>
        <w:t>examen de la</w:t>
      </w:r>
      <w:r w:rsidR="00DA112E" w:rsidRPr="00ED0ED2">
        <w:rPr>
          <w:rFonts w:cs="Arial"/>
          <w:lang w:val="fr-FR"/>
        </w:rPr>
        <w:t xml:space="preserve"> version révisée</w:t>
      </w:r>
      <w:r w:rsidR="00C47F76" w:rsidRPr="00ED0ED2">
        <w:rPr>
          <w:rFonts w:cs="Arial"/>
          <w:lang w:val="fr-FR"/>
        </w:rPr>
        <w:t xml:space="preserve"> du document UPOV/EXN/EDV2 (UPOV/EXN/EDV/3 Draft 3).</w:t>
      </w:r>
      <w:r w:rsidR="00CC04F2" w:rsidRPr="00ED0ED2">
        <w:rPr>
          <w:lang w:val="fr-FR"/>
        </w:rPr>
        <w:tab/>
      </w:r>
    </w:p>
    <w:p w:rsidR="00CA67DF" w:rsidRPr="00ED0ED2" w:rsidRDefault="00CA67DF" w:rsidP="004F5CE1">
      <w:pPr>
        <w:pStyle w:val="DecisionParagraphs"/>
        <w:rPr>
          <w:lang w:val="fr-FR"/>
        </w:rPr>
      </w:pPr>
    </w:p>
    <w:p w:rsidR="00CA67DF" w:rsidRPr="008A4F8E" w:rsidRDefault="00C61CCC" w:rsidP="00724CDC">
      <w:pPr>
        <w:pStyle w:val="DecisionParagraphs"/>
        <w:rPr>
          <w:lang w:val="fr-CH"/>
        </w:rPr>
      </w:pPr>
      <w:r w:rsidRPr="00724CDC">
        <w:fldChar w:fldCharType="begin"/>
      </w:r>
      <w:r w:rsidRPr="008A4F8E">
        <w:rPr>
          <w:lang w:val="fr-CH"/>
        </w:rPr>
        <w:instrText xml:space="preserve"> AUTONUM  </w:instrText>
      </w:r>
      <w:r w:rsidRPr="00724CDC">
        <w:fldChar w:fldCharType="end"/>
      </w:r>
      <w:r w:rsidRPr="008A4F8E">
        <w:rPr>
          <w:lang w:val="fr-CH"/>
        </w:rPr>
        <w:tab/>
      </w:r>
      <w:r w:rsidR="00C47F76" w:rsidRPr="008A4F8E">
        <w:rPr>
          <w:lang w:val="fr-CH"/>
        </w:rPr>
        <w:t xml:space="preserve">Le Conseil est invité à noter que le document C/56/9 contient des informations </w:t>
      </w:r>
      <w:r w:rsidR="00DA112E" w:rsidRPr="008A4F8E">
        <w:rPr>
          <w:lang w:val="fr-CH"/>
        </w:rPr>
        <w:t xml:space="preserve">propres à </w:t>
      </w:r>
      <w:r w:rsidR="00C47F76" w:rsidRPr="008A4F8E">
        <w:rPr>
          <w:lang w:val="fr-CH"/>
        </w:rPr>
        <w:t xml:space="preserve">éclairer </w:t>
      </w:r>
      <w:r w:rsidR="00DA112E" w:rsidRPr="008A4F8E">
        <w:rPr>
          <w:lang w:val="fr-CH"/>
        </w:rPr>
        <w:t xml:space="preserve">le Conseil </w:t>
      </w:r>
      <w:r w:rsidR="00C47F76" w:rsidRPr="008A4F8E">
        <w:rPr>
          <w:lang w:val="fr-CH"/>
        </w:rPr>
        <w:t>dans l</w:t>
      </w:r>
      <w:r w:rsidR="00EA066D" w:rsidRPr="008A4F8E">
        <w:rPr>
          <w:lang w:val="fr-CH"/>
        </w:rPr>
        <w:t>’</w:t>
      </w:r>
      <w:r w:rsidR="00C47F76" w:rsidRPr="008A4F8E">
        <w:rPr>
          <w:lang w:val="fr-CH"/>
        </w:rPr>
        <w:t xml:space="preserve">examen de la </w:t>
      </w:r>
      <w:r w:rsidR="00DA112E" w:rsidRPr="008A4F8E">
        <w:rPr>
          <w:lang w:val="fr-CH"/>
        </w:rPr>
        <w:t>version révisée</w:t>
      </w:r>
      <w:r w:rsidR="00C47F76" w:rsidRPr="008A4F8E">
        <w:rPr>
          <w:lang w:val="fr-CH"/>
        </w:rPr>
        <w:t xml:space="preserve"> du document UPOV/EXN/EDV2 (UPOV/EXN/EDV/3 Draft </w:t>
      </w:r>
      <w:r w:rsidR="00A0092F">
        <w:rPr>
          <w:lang w:val="fr-CH"/>
        </w:rPr>
        <w:t> </w:t>
      </w:r>
      <w:r w:rsidR="00C47F76" w:rsidRPr="008A4F8E">
        <w:rPr>
          <w:lang w:val="fr-CH"/>
        </w:rPr>
        <w:t>3).</w:t>
      </w:r>
    </w:p>
    <w:p w:rsidR="00CA67DF" w:rsidRPr="00ED0ED2" w:rsidRDefault="00CA67DF" w:rsidP="008277D0">
      <w:pPr>
        <w:outlineLvl w:val="0"/>
        <w:rPr>
          <w:caps/>
          <w:snapToGrid w:val="0"/>
          <w:lang w:val="fr-FR"/>
        </w:rPr>
      </w:pPr>
    </w:p>
    <w:p w:rsidR="00CA67DF" w:rsidRPr="00ED0ED2" w:rsidRDefault="00C47F76" w:rsidP="00724CDC">
      <w:pPr>
        <w:pStyle w:val="Heading1"/>
        <w:rPr>
          <w:snapToGrid w:val="0"/>
          <w:lang w:val="fr-FR"/>
        </w:rPr>
      </w:pPr>
      <w:r w:rsidRPr="00ED0ED2">
        <w:rPr>
          <w:snapToGrid w:val="0"/>
          <w:lang w:val="fr-FR"/>
        </w:rPr>
        <w:t>Documents TGP</w:t>
      </w:r>
    </w:p>
    <w:p w:rsidR="00CA67DF" w:rsidRPr="00ED0ED2" w:rsidRDefault="00CA67DF" w:rsidP="00BE3659">
      <w:pPr>
        <w:keepNext/>
        <w:rPr>
          <w:lang w:val="fr-FR"/>
        </w:rPr>
      </w:pPr>
    </w:p>
    <w:p w:rsidR="00EA066D" w:rsidRPr="00ED0ED2" w:rsidRDefault="00C47F76" w:rsidP="00C47F76">
      <w:pPr>
        <w:keepNext/>
        <w:tabs>
          <w:tab w:val="left" w:pos="851"/>
        </w:tabs>
        <w:rPr>
          <w:u w:val="single"/>
          <w:lang w:val="fr-FR"/>
        </w:rPr>
      </w:pPr>
      <w:r w:rsidRPr="00ED0ED2">
        <w:rPr>
          <w:u w:val="single"/>
          <w:lang w:val="fr-FR"/>
        </w:rPr>
        <w:t>TGP/5</w:t>
      </w:r>
      <w:r w:rsidR="00EA066D" w:rsidRPr="00ED0ED2">
        <w:rPr>
          <w:u w:val="single"/>
          <w:lang w:val="fr-FR"/>
        </w:rPr>
        <w:t> :</w:t>
      </w:r>
      <w:r w:rsidRPr="00ED0ED2">
        <w:rPr>
          <w:u w:val="single"/>
          <w:lang w:val="fr-FR"/>
        </w:rPr>
        <w:t xml:space="preserve"> Expérience et coopération en matière d</w:t>
      </w:r>
      <w:r w:rsidR="00EA066D" w:rsidRPr="00ED0ED2">
        <w:rPr>
          <w:u w:val="single"/>
          <w:lang w:val="fr-FR"/>
        </w:rPr>
        <w:t>’</w:t>
      </w:r>
      <w:r w:rsidRPr="00ED0ED2">
        <w:rPr>
          <w:u w:val="single"/>
          <w:lang w:val="fr-FR"/>
        </w:rPr>
        <w:t>examen</w:t>
      </w:r>
      <w:r w:rsidR="00D84E2B" w:rsidRPr="00ED0ED2">
        <w:rPr>
          <w:u w:val="single"/>
          <w:lang w:val="fr-FR"/>
        </w:rPr>
        <w:t> </w:t>
      </w:r>
      <w:r w:rsidRPr="00ED0ED2">
        <w:rPr>
          <w:u w:val="single"/>
          <w:lang w:val="fr-FR"/>
        </w:rPr>
        <w:t xml:space="preserve">DHS, </w:t>
      </w:r>
      <w:r w:rsidR="00EA066D" w:rsidRPr="00ED0ED2">
        <w:rPr>
          <w:u w:val="single"/>
          <w:lang w:val="fr-FR"/>
        </w:rPr>
        <w:t>section 6 :</w:t>
      </w:r>
      <w:r w:rsidRPr="00ED0ED2">
        <w:rPr>
          <w:u w:val="single"/>
          <w:lang w:val="fr-FR"/>
        </w:rPr>
        <w:t xml:space="preserve"> Rapport UPOV d</w:t>
      </w:r>
      <w:r w:rsidR="00EA066D" w:rsidRPr="00ED0ED2">
        <w:rPr>
          <w:u w:val="single"/>
          <w:lang w:val="fr-FR"/>
        </w:rPr>
        <w:t>’</w:t>
      </w:r>
      <w:r w:rsidRPr="00ED0ED2">
        <w:rPr>
          <w:u w:val="single"/>
          <w:lang w:val="fr-FR"/>
        </w:rPr>
        <w:t>examen technique et Formulaire UPOV de description variétale (révision) (document TGP/5</w:t>
      </w:r>
      <w:r w:rsidR="00EA066D" w:rsidRPr="00ED0ED2">
        <w:rPr>
          <w:u w:val="single"/>
          <w:lang w:val="fr-FR"/>
        </w:rPr>
        <w:t> :</w:t>
      </w:r>
      <w:r w:rsidRPr="00ED0ED2">
        <w:rPr>
          <w:u w:val="single"/>
          <w:lang w:val="fr-FR"/>
        </w:rPr>
        <w:t xml:space="preserve"> </w:t>
      </w:r>
      <w:r w:rsidR="00EA066D" w:rsidRPr="00ED0ED2">
        <w:rPr>
          <w:u w:val="single"/>
          <w:lang w:val="fr-FR"/>
        </w:rPr>
        <w:t>section 6</w:t>
      </w:r>
      <w:r w:rsidRPr="00ED0ED2">
        <w:rPr>
          <w:u w:val="single"/>
          <w:lang w:val="fr-FR"/>
        </w:rPr>
        <w:t>/4 Draft</w:t>
      </w:r>
      <w:r w:rsidR="00ED0ED2" w:rsidRPr="00ED0ED2">
        <w:rPr>
          <w:u w:val="single"/>
          <w:lang w:val="fr-FR"/>
        </w:rPr>
        <w:t> </w:t>
      </w:r>
      <w:r w:rsidRPr="00ED0ED2">
        <w:rPr>
          <w:u w:val="single"/>
          <w:lang w:val="fr-FR"/>
        </w:rPr>
        <w:t>1)</w:t>
      </w:r>
    </w:p>
    <w:p w:rsidR="00CA67DF" w:rsidRPr="00ED0ED2" w:rsidRDefault="00CA67DF" w:rsidP="00BE3659">
      <w:pPr>
        <w:keepNext/>
        <w:jc w:val="left"/>
        <w:rPr>
          <w:u w:val="single"/>
          <w:lang w:val="fr-FR"/>
        </w:rPr>
      </w:pPr>
    </w:p>
    <w:p w:rsidR="00CA67DF" w:rsidRPr="00ED0ED2" w:rsidRDefault="008277D0" w:rsidP="007E1B20">
      <w:pPr>
        <w:keepNext/>
        <w:rPr>
          <w:lang w:val="fr-FR"/>
        </w:rPr>
      </w:pPr>
      <w:r w:rsidRPr="00ED0ED2">
        <w:fldChar w:fldCharType="begin"/>
      </w:r>
      <w:r w:rsidRPr="00ED0ED2">
        <w:rPr>
          <w:lang w:val="fr-FR"/>
        </w:rPr>
        <w:instrText xml:space="preserve"> AUTONUM  </w:instrText>
      </w:r>
      <w:r w:rsidRPr="00ED0ED2">
        <w:fldChar w:fldCharType="end"/>
      </w:r>
      <w:r w:rsidRPr="00ED0ED2">
        <w:rPr>
          <w:lang w:val="fr-FR"/>
        </w:rPr>
        <w:tab/>
      </w:r>
      <w:r w:rsidR="007E1B20" w:rsidRPr="00ED0ED2">
        <w:rPr>
          <w:lang w:val="fr-FR"/>
        </w:rPr>
        <w:t>Le</w:t>
      </w:r>
      <w:r w:rsidR="00EA066D" w:rsidRPr="00ED0ED2">
        <w:rPr>
          <w:lang w:val="fr-FR"/>
        </w:rPr>
        <w:t> TC</w:t>
      </w:r>
      <w:r w:rsidR="007E1B20" w:rsidRPr="00ED0ED2">
        <w:rPr>
          <w:lang w:val="fr-FR"/>
        </w:rPr>
        <w:t xml:space="preserve"> et</w:t>
      </w:r>
      <w:r w:rsidR="00EA066D" w:rsidRPr="00ED0ED2">
        <w:rPr>
          <w:lang w:val="fr-FR"/>
        </w:rPr>
        <w:t xml:space="preserve"> le CAJ</w:t>
      </w:r>
      <w:r w:rsidR="007E1B20" w:rsidRPr="00ED0ED2">
        <w:rPr>
          <w:lang w:val="fr-FR"/>
        </w:rPr>
        <w:t xml:space="preserve"> seront invités à approuver les propositions de révision du document TGP/5 </w:t>
      </w:r>
      <w:r w:rsidR="00EA066D" w:rsidRPr="00ED0ED2">
        <w:rPr>
          <w:lang w:val="fr-FR"/>
        </w:rPr>
        <w:t>“E</w:t>
      </w:r>
      <w:r w:rsidR="007E1B20" w:rsidRPr="00ED0ED2">
        <w:rPr>
          <w:lang w:val="fr-FR"/>
        </w:rPr>
        <w:t>xpérience et coopération en matière d</w:t>
      </w:r>
      <w:r w:rsidR="00EA066D" w:rsidRPr="00ED0ED2">
        <w:rPr>
          <w:lang w:val="fr-FR"/>
        </w:rPr>
        <w:t>’</w:t>
      </w:r>
      <w:r w:rsidR="007E1B20" w:rsidRPr="00ED0ED2">
        <w:rPr>
          <w:lang w:val="fr-FR"/>
        </w:rPr>
        <w:t>examen</w:t>
      </w:r>
      <w:r w:rsidR="00D84E2B" w:rsidRPr="00ED0ED2">
        <w:rPr>
          <w:lang w:val="fr-FR"/>
        </w:rPr>
        <w:t> </w:t>
      </w:r>
      <w:r w:rsidR="007E1B20" w:rsidRPr="00ED0ED2">
        <w:rPr>
          <w:lang w:val="fr-FR"/>
        </w:rPr>
        <w:t>DH</w:t>
      </w:r>
      <w:r w:rsidR="00EA066D" w:rsidRPr="00ED0ED2">
        <w:rPr>
          <w:lang w:val="fr-FR"/>
        </w:rPr>
        <w:t>S”</w:t>
      </w:r>
      <w:r w:rsidR="007E1B20" w:rsidRPr="00ED0ED2">
        <w:rPr>
          <w:lang w:val="fr-FR"/>
        </w:rPr>
        <w:t xml:space="preserve">, </w:t>
      </w:r>
      <w:r w:rsidR="00EA066D" w:rsidRPr="00ED0ED2">
        <w:rPr>
          <w:lang w:val="fr-FR"/>
        </w:rPr>
        <w:t>section 6</w:t>
      </w:r>
      <w:r w:rsidR="007E1B20" w:rsidRPr="00ED0ED2">
        <w:rPr>
          <w:lang w:val="fr-FR"/>
        </w:rPr>
        <w:t xml:space="preserve"> </w:t>
      </w:r>
      <w:r w:rsidR="00EA066D" w:rsidRPr="00ED0ED2">
        <w:rPr>
          <w:lang w:val="fr-FR"/>
        </w:rPr>
        <w:t>“R</w:t>
      </w:r>
      <w:r w:rsidR="007E1B20" w:rsidRPr="00ED0ED2">
        <w:rPr>
          <w:lang w:val="fr-FR"/>
        </w:rPr>
        <w:t>apport UPOV d</w:t>
      </w:r>
      <w:r w:rsidR="00EA066D" w:rsidRPr="00ED0ED2">
        <w:rPr>
          <w:lang w:val="fr-FR"/>
        </w:rPr>
        <w:t>’</w:t>
      </w:r>
      <w:r w:rsidR="007E1B20" w:rsidRPr="00ED0ED2">
        <w:rPr>
          <w:lang w:val="fr-FR"/>
        </w:rPr>
        <w:t>examen technique et Formulaire UPOV de description variétal</w:t>
      </w:r>
      <w:r w:rsidR="00EA066D" w:rsidRPr="00ED0ED2">
        <w:rPr>
          <w:lang w:val="fr-FR"/>
        </w:rPr>
        <w:t>e”</w:t>
      </w:r>
      <w:r w:rsidR="007E1B20" w:rsidRPr="00ED0ED2">
        <w:rPr>
          <w:lang w:val="fr-FR"/>
        </w:rPr>
        <w:t>, qui figurent dans le document TGP/5</w:t>
      </w:r>
      <w:r w:rsidR="00EA066D" w:rsidRPr="00ED0ED2">
        <w:rPr>
          <w:lang w:val="fr-FR"/>
        </w:rPr>
        <w:t> :</w:t>
      </w:r>
      <w:r w:rsidR="007E1B20" w:rsidRPr="00ED0ED2">
        <w:rPr>
          <w:lang w:val="fr-FR"/>
        </w:rPr>
        <w:t xml:space="preserve"> </w:t>
      </w:r>
      <w:r w:rsidR="00EA066D" w:rsidRPr="00ED0ED2">
        <w:rPr>
          <w:lang w:val="fr-FR"/>
        </w:rPr>
        <w:t>section 6</w:t>
      </w:r>
      <w:r w:rsidR="007E1B20" w:rsidRPr="00ED0ED2">
        <w:rPr>
          <w:lang w:val="fr-FR"/>
        </w:rPr>
        <w:t>/4 Draft</w:t>
      </w:r>
      <w:r w:rsidR="00ED0ED2" w:rsidRPr="00ED0ED2">
        <w:rPr>
          <w:lang w:val="fr-FR"/>
        </w:rPr>
        <w:t> </w:t>
      </w:r>
      <w:r w:rsidR="007E1B20" w:rsidRPr="00ED0ED2">
        <w:rPr>
          <w:lang w:val="fr-FR"/>
        </w:rPr>
        <w:t>1.</w:t>
      </w:r>
    </w:p>
    <w:p w:rsidR="00CA67DF" w:rsidRPr="00ED0ED2" w:rsidRDefault="00CA67DF" w:rsidP="008277D0">
      <w:pPr>
        <w:keepNext/>
        <w:rPr>
          <w:lang w:val="fr-FR"/>
        </w:rPr>
      </w:pPr>
    </w:p>
    <w:p w:rsidR="00CA67DF" w:rsidRPr="00ED0ED2" w:rsidRDefault="008277D0" w:rsidP="00724CDC">
      <w:pPr>
        <w:pStyle w:val="DecisionParagraphs"/>
        <w:rPr>
          <w:lang w:val="fr-FR"/>
        </w:rPr>
      </w:pPr>
      <w:r w:rsidRPr="00ED0ED2">
        <w:rPr>
          <w:lang w:eastAsia="zh-CN"/>
        </w:rPr>
        <w:fldChar w:fldCharType="begin"/>
      </w:r>
      <w:r w:rsidRPr="00ED0ED2">
        <w:rPr>
          <w:lang w:val="fr-FR" w:eastAsia="zh-CN"/>
        </w:rPr>
        <w:instrText xml:space="preserve"> AUTONUM  </w:instrText>
      </w:r>
      <w:r w:rsidRPr="00ED0ED2">
        <w:rPr>
          <w:lang w:eastAsia="zh-CN"/>
        </w:rPr>
        <w:fldChar w:fldCharType="end"/>
      </w:r>
      <w:r w:rsidRPr="00ED0ED2">
        <w:rPr>
          <w:lang w:val="fr-FR" w:eastAsia="zh-CN"/>
        </w:rPr>
        <w:tab/>
      </w:r>
      <w:r w:rsidR="007E1B20" w:rsidRPr="00ED0ED2">
        <w:rPr>
          <w:lang w:val="fr-FR" w:eastAsia="zh-CN"/>
        </w:rPr>
        <w:t>Le Conseil est invité à adopter la version révisée du document TGP/5 “Expérience et coopération en matière d</w:t>
      </w:r>
      <w:r w:rsidR="00EA066D" w:rsidRPr="00ED0ED2">
        <w:rPr>
          <w:lang w:val="fr-FR" w:eastAsia="zh-CN"/>
        </w:rPr>
        <w:t>’</w:t>
      </w:r>
      <w:r w:rsidR="007E1B20" w:rsidRPr="00ED0ED2">
        <w:rPr>
          <w:lang w:val="fr-FR" w:eastAsia="zh-CN"/>
        </w:rPr>
        <w:t>examen</w:t>
      </w:r>
      <w:r w:rsidR="00D84E2B" w:rsidRPr="00ED0ED2">
        <w:rPr>
          <w:lang w:val="fr-FR" w:eastAsia="zh-CN"/>
        </w:rPr>
        <w:t> </w:t>
      </w:r>
      <w:r w:rsidR="007E1B20" w:rsidRPr="00ED0ED2">
        <w:rPr>
          <w:lang w:val="fr-FR" w:eastAsia="zh-CN"/>
        </w:rPr>
        <w:t xml:space="preserve">DHS”, </w:t>
      </w:r>
      <w:r w:rsidR="00EA066D" w:rsidRPr="00ED0ED2">
        <w:rPr>
          <w:lang w:val="fr-FR" w:eastAsia="zh-CN"/>
        </w:rPr>
        <w:t>section 6</w:t>
      </w:r>
      <w:r w:rsidR="007E1B20" w:rsidRPr="00ED0ED2">
        <w:rPr>
          <w:lang w:val="fr-FR" w:eastAsia="zh-CN"/>
        </w:rPr>
        <w:t>/3 “Rapport UPOV d</w:t>
      </w:r>
      <w:r w:rsidR="00EA066D" w:rsidRPr="00ED0ED2">
        <w:rPr>
          <w:lang w:val="fr-FR" w:eastAsia="zh-CN"/>
        </w:rPr>
        <w:t>’</w:t>
      </w:r>
      <w:r w:rsidR="007E1B20" w:rsidRPr="00ED0ED2">
        <w:rPr>
          <w:lang w:val="fr-FR" w:eastAsia="zh-CN"/>
        </w:rPr>
        <w:t>examen technique et Formulaire UPOV de description variétale”, sur la base du document TGP/5</w:t>
      </w:r>
      <w:r w:rsidR="00EA066D" w:rsidRPr="00ED0ED2">
        <w:rPr>
          <w:lang w:val="fr-FR" w:eastAsia="zh-CN"/>
        </w:rPr>
        <w:t> :</w:t>
      </w:r>
      <w:r w:rsidR="007E1B20" w:rsidRPr="00ED0ED2">
        <w:rPr>
          <w:lang w:val="fr-FR" w:eastAsia="zh-CN"/>
        </w:rPr>
        <w:t xml:space="preserve"> </w:t>
      </w:r>
      <w:r w:rsidR="00EA066D" w:rsidRPr="00ED0ED2">
        <w:rPr>
          <w:lang w:val="fr-FR" w:eastAsia="zh-CN"/>
        </w:rPr>
        <w:t>section 6</w:t>
      </w:r>
      <w:r w:rsidR="007E1B20" w:rsidRPr="00ED0ED2">
        <w:rPr>
          <w:lang w:val="fr-FR" w:eastAsia="zh-CN"/>
        </w:rPr>
        <w:t>/4 Draft 1, sous réserve de l</w:t>
      </w:r>
      <w:r w:rsidR="00EA066D" w:rsidRPr="00ED0ED2">
        <w:rPr>
          <w:lang w:val="fr-FR" w:eastAsia="zh-CN"/>
        </w:rPr>
        <w:t>’</w:t>
      </w:r>
      <w:r w:rsidR="007E1B20" w:rsidRPr="00ED0ED2">
        <w:rPr>
          <w:lang w:val="fr-FR" w:eastAsia="zh-CN"/>
        </w:rPr>
        <w:t>accord du</w:t>
      </w:r>
      <w:r w:rsidR="00EA066D" w:rsidRPr="00ED0ED2">
        <w:rPr>
          <w:lang w:val="fr-FR" w:eastAsia="zh-CN"/>
        </w:rPr>
        <w:t> TC</w:t>
      </w:r>
      <w:r w:rsidR="007E1B20" w:rsidRPr="00ED0ED2">
        <w:rPr>
          <w:lang w:val="fr-FR" w:eastAsia="zh-CN"/>
        </w:rPr>
        <w:t xml:space="preserve"> et</w:t>
      </w:r>
      <w:r w:rsidR="00EA066D" w:rsidRPr="00ED0ED2">
        <w:rPr>
          <w:lang w:val="fr-FR" w:eastAsia="zh-CN"/>
        </w:rPr>
        <w:t xml:space="preserve"> du CAJ</w:t>
      </w:r>
      <w:r w:rsidR="007E1B20" w:rsidRPr="00ED0ED2">
        <w:rPr>
          <w:lang w:val="fr-FR" w:eastAsia="zh-CN"/>
        </w:rPr>
        <w:t>.</w:t>
      </w:r>
    </w:p>
    <w:p w:rsidR="00CA67DF" w:rsidRPr="00ED0ED2" w:rsidRDefault="00CA67DF" w:rsidP="00BE3659">
      <w:pPr>
        <w:jc w:val="left"/>
        <w:rPr>
          <w:bCs/>
          <w:snapToGrid w:val="0"/>
          <w:szCs w:val="24"/>
          <w:u w:val="single"/>
          <w:lang w:val="fr-FR"/>
        </w:rPr>
      </w:pPr>
    </w:p>
    <w:p w:rsidR="00CA67DF" w:rsidRPr="00ED0ED2" w:rsidRDefault="00CA67DF" w:rsidP="00BE3659">
      <w:pPr>
        <w:jc w:val="left"/>
        <w:rPr>
          <w:bCs/>
          <w:snapToGrid w:val="0"/>
          <w:szCs w:val="24"/>
          <w:u w:val="single"/>
          <w:lang w:val="fr-FR"/>
        </w:rPr>
      </w:pPr>
    </w:p>
    <w:p w:rsidR="00CA67DF" w:rsidRPr="00ED0ED2" w:rsidRDefault="007E1B20" w:rsidP="007E1B20">
      <w:pPr>
        <w:keepNext/>
        <w:tabs>
          <w:tab w:val="left" w:pos="851"/>
        </w:tabs>
        <w:rPr>
          <w:rFonts w:cs="Arial"/>
          <w:u w:val="single"/>
          <w:lang w:val="fr-FR"/>
        </w:rPr>
      </w:pPr>
      <w:r w:rsidRPr="00ED0ED2">
        <w:rPr>
          <w:rFonts w:cs="Arial"/>
          <w:u w:val="single"/>
          <w:lang w:val="fr-FR"/>
        </w:rPr>
        <w:t>TGP/8</w:t>
      </w:r>
      <w:r w:rsidR="00EA066D" w:rsidRPr="00ED0ED2">
        <w:rPr>
          <w:rFonts w:cs="Arial"/>
          <w:u w:val="single"/>
          <w:lang w:val="fr-FR"/>
        </w:rPr>
        <w:t> :</w:t>
      </w:r>
      <w:r w:rsidRPr="00ED0ED2">
        <w:rPr>
          <w:rFonts w:cs="Arial"/>
          <w:u w:val="single"/>
          <w:lang w:val="fr-FR"/>
        </w:rPr>
        <w:t xml:space="preserve"> Protocole d</w:t>
      </w:r>
      <w:r w:rsidR="00EA066D" w:rsidRPr="00ED0ED2">
        <w:rPr>
          <w:rFonts w:cs="Arial"/>
          <w:u w:val="single"/>
          <w:lang w:val="fr-FR"/>
        </w:rPr>
        <w:t>’</w:t>
      </w:r>
      <w:r w:rsidRPr="00ED0ED2">
        <w:rPr>
          <w:rFonts w:cs="Arial"/>
          <w:u w:val="single"/>
          <w:lang w:val="fr-FR"/>
        </w:rPr>
        <w:t>essai et techniques utilisés dans l</w:t>
      </w:r>
      <w:r w:rsidR="00EA066D" w:rsidRPr="00ED0ED2">
        <w:rPr>
          <w:rFonts w:cs="Arial"/>
          <w:u w:val="single"/>
          <w:lang w:val="fr-FR"/>
        </w:rPr>
        <w:t>’</w:t>
      </w:r>
      <w:r w:rsidRPr="00ED0ED2">
        <w:rPr>
          <w:rFonts w:cs="Arial"/>
          <w:u w:val="single"/>
          <w:lang w:val="fr-FR"/>
        </w:rPr>
        <w:t>examen de la distinction, de l</w:t>
      </w:r>
      <w:r w:rsidR="00EA066D" w:rsidRPr="00ED0ED2">
        <w:rPr>
          <w:rFonts w:cs="Arial"/>
          <w:u w:val="single"/>
          <w:lang w:val="fr-FR"/>
        </w:rPr>
        <w:t>’</w:t>
      </w:r>
      <w:r w:rsidRPr="00ED0ED2">
        <w:rPr>
          <w:rFonts w:cs="Arial"/>
          <w:u w:val="single"/>
          <w:lang w:val="fr-FR"/>
        </w:rPr>
        <w:t xml:space="preserve">homogénéité et de la stabilité (révision) (document C/56/3, </w:t>
      </w:r>
      <w:r w:rsidR="00EA066D" w:rsidRPr="00ED0ED2">
        <w:rPr>
          <w:rFonts w:cs="Arial"/>
          <w:u w:val="single"/>
          <w:lang w:val="fr-FR"/>
        </w:rPr>
        <w:t>annexe I</w:t>
      </w:r>
      <w:r w:rsidRPr="00ED0ED2">
        <w:rPr>
          <w:rFonts w:cs="Arial"/>
          <w:u w:val="single"/>
          <w:lang w:val="fr-FR"/>
        </w:rPr>
        <w:t>I)</w:t>
      </w:r>
    </w:p>
    <w:p w:rsidR="00CA67DF" w:rsidRPr="00ED0ED2" w:rsidRDefault="00CA67DF" w:rsidP="00DF1DE6">
      <w:pPr>
        <w:rPr>
          <w:lang w:val="fr-FR"/>
        </w:rPr>
      </w:pPr>
    </w:p>
    <w:p w:rsidR="00EA066D" w:rsidRPr="00ED0ED2" w:rsidRDefault="00DF1DE6" w:rsidP="007E1B20">
      <w:pPr>
        <w:keepNext/>
        <w:rPr>
          <w:lang w:val="fr-FR"/>
        </w:rPr>
      </w:pPr>
      <w:r w:rsidRPr="00ED0ED2">
        <w:rPr>
          <w:rFonts w:cs="Arial"/>
        </w:rPr>
        <w:fldChar w:fldCharType="begin"/>
      </w:r>
      <w:r w:rsidRPr="00ED0ED2">
        <w:rPr>
          <w:rFonts w:cs="Arial"/>
          <w:lang w:val="fr-FR"/>
        </w:rPr>
        <w:instrText xml:space="preserve"> AUTONUM  </w:instrText>
      </w:r>
      <w:r w:rsidRPr="00ED0ED2">
        <w:rPr>
          <w:rFonts w:cs="Arial"/>
        </w:rPr>
        <w:fldChar w:fldCharType="end"/>
      </w:r>
      <w:r w:rsidRPr="00ED0ED2">
        <w:rPr>
          <w:rFonts w:cs="Arial"/>
          <w:lang w:val="fr-FR"/>
        </w:rPr>
        <w:tab/>
      </w:r>
      <w:r w:rsidR="007E1B20" w:rsidRPr="00ED0ED2">
        <w:rPr>
          <w:rFonts w:cs="Arial"/>
          <w:lang w:val="fr-FR"/>
        </w:rPr>
        <w:t>Le CAJ sera invité à approuver la proposition du</w:t>
      </w:r>
      <w:r w:rsidR="00EA066D" w:rsidRPr="00ED0ED2">
        <w:rPr>
          <w:rFonts w:cs="Arial"/>
          <w:lang w:val="fr-FR"/>
        </w:rPr>
        <w:t> TC</w:t>
      </w:r>
      <w:r w:rsidR="007E1B20" w:rsidRPr="00ED0ED2">
        <w:rPr>
          <w:rFonts w:cs="Arial"/>
          <w:lang w:val="fr-FR"/>
        </w:rPr>
        <w:t xml:space="preserve">, qui vise à modifier le document TGP/8/4 </w:t>
      </w:r>
      <w:r w:rsidR="00EA066D" w:rsidRPr="00ED0ED2">
        <w:rPr>
          <w:rFonts w:cs="Arial"/>
          <w:lang w:val="fr-FR"/>
        </w:rPr>
        <w:t>“P</w:t>
      </w:r>
      <w:r w:rsidR="007E1B20" w:rsidRPr="00ED0ED2">
        <w:rPr>
          <w:rFonts w:cs="Arial"/>
          <w:lang w:val="fr-FR"/>
        </w:rPr>
        <w:t>rotocole d</w:t>
      </w:r>
      <w:r w:rsidR="00EA066D" w:rsidRPr="00ED0ED2">
        <w:rPr>
          <w:rFonts w:cs="Arial"/>
          <w:lang w:val="fr-FR"/>
        </w:rPr>
        <w:t>’</w:t>
      </w:r>
      <w:r w:rsidR="007E1B20" w:rsidRPr="00ED0ED2">
        <w:rPr>
          <w:rFonts w:cs="Arial"/>
          <w:lang w:val="fr-FR"/>
        </w:rPr>
        <w:t>essai et techniques utilisés dans l</w:t>
      </w:r>
      <w:r w:rsidR="00EA066D" w:rsidRPr="00ED0ED2">
        <w:rPr>
          <w:rFonts w:cs="Arial"/>
          <w:lang w:val="fr-FR"/>
        </w:rPr>
        <w:t>’</w:t>
      </w:r>
      <w:r w:rsidR="007E1B20" w:rsidRPr="00ED0ED2">
        <w:rPr>
          <w:rFonts w:cs="Arial"/>
          <w:lang w:val="fr-FR"/>
        </w:rPr>
        <w:t>examen de la distinction, de l</w:t>
      </w:r>
      <w:r w:rsidR="00EA066D" w:rsidRPr="00ED0ED2">
        <w:rPr>
          <w:rFonts w:cs="Arial"/>
          <w:lang w:val="fr-FR"/>
        </w:rPr>
        <w:t>’</w:t>
      </w:r>
      <w:r w:rsidR="007E1B20" w:rsidRPr="00ED0ED2">
        <w:rPr>
          <w:rFonts w:cs="Arial"/>
          <w:lang w:val="fr-FR"/>
        </w:rPr>
        <w:t>homogénéité et de la stabilit</w:t>
      </w:r>
      <w:r w:rsidR="00EA066D" w:rsidRPr="00ED0ED2">
        <w:rPr>
          <w:rFonts w:cs="Arial"/>
          <w:lang w:val="fr-FR"/>
        </w:rPr>
        <w:t>é”</w:t>
      </w:r>
      <w:r w:rsidR="007E1B20" w:rsidRPr="00ED0ED2">
        <w:rPr>
          <w:rFonts w:cs="Arial"/>
          <w:lang w:val="fr-FR"/>
        </w:rPr>
        <w:t>, qui figure à l</w:t>
      </w:r>
      <w:r w:rsidR="00EA066D" w:rsidRPr="00ED0ED2">
        <w:rPr>
          <w:rFonts w:cs="Arial"/>
          <w:lang w:val="fr-FR"/>
        </w:rPr>
        <w:t>’annexe I</w:t>
      </w:r>
      <w:r w:rsidR="007E1B20" w:rsidRPr="00ED0ED2">
        <w:rPr>
          <w:rFonts w:cs="Arial"/>
          <w:lang w:val="fr-FR"/>
        </w:rPr>
        <w:t>I du présent document.</w:t>
      </w:r>
    </w:p>
    <w:p w:rsidR="00CA67DF" w:rsidRPr="00ED0ED2" w:rsidRDefault="00CA67DF" w:rsidP="00DF1DE6">
      <w:pPr>
        <w:rPr>
          <w:lang w:val="fr-FR"/>
        </w:rPr>
      </w:pPr>
    </w:p>
    <w:p w:rsidR="00CA67DF" w:rsidRPr="00ED0ED2" w:rsidRDefault="00D0044C" w:rsidP="007E1B20">
      <w:pPr>
        <w:pStyle w:val="DecisionParagraphs"/>
        <w:rPr>
          <w:lang w:val="fr-FR"/>
        </w:rPr>
      </w:pPr>
      <w:r w:rsidRPr="00ED0ED2">
        <w:fldChar w:fldCharType="begin"/>
      </w:r>
      <w:r w:rsidRPr="00ED0ED2">
        <w:rPr>
          <w:lang w:val="fr-FR"/>
        </w:rPr>
        <w:instrText xml:space="preserve"> AUTONUM  </w:instrText>
      </w:r>
      <w:r w:rsidRPr="00ED0ED2">
        <w:fldChar w:fldCharType="end"/>
      </w:r>
      <w:r w:rsidRPr="00ED0ED2">
        <w:rPr>
          <w:lang w:val="fr-FR"/>
        </w:rPr>
        <w:tab/>
      </w:r>
      <w:r w:rsidR="007E1B20" w:rsidRPr="00ED0ED2">
        <w:rPr>
          <w:lang w:val="fr-FR"/>
        </w:rPr>
        <w:t xml:space="preserve">Le Conseil est invité à adopter une version révisée du document TGP/8/4 </w:t>
      </w:r>
      <w:r w:rsidR="00EA066D" w:rsidRPr="00ED0ED2">
        <w:rPr>
          <w:lang w:val="fr-FR"/>
        </w:rPr>
        <w:t>“P</w:t>
      </w:r>
      <w:r w:rsidR="007E1B20" w:rsidRPr="00ED0ED2">
        <w:rPr>
          <w:lang w:val="fr-FR"/>
        </w:rPr>
        <w:t>rotocole d</w:t>
      </w:r>
      <w:r w:rsidR="00EA066D" w:rsidRPr="00ED0ED2">
        <w:rPr>
          <w:lang w:val="fr-FR"/>
        </w:rPr>
        <w:t>’</w:t>
      </w:r>
      <w:r w:rsidR="007E1B20" w:rsidRPr="00ED0ED2">
        <w:rPr>
          <w:lang w:val="fr-FR"/>
        </w:rPr>
        <w:t>essai et techniques utilisés dans l</w:t>
      </w:r>
      <w:r w:rsidR="00EA066D" w:rsidRPr="00ED0ED2">
        <w:rPr>
          <w:lang w:val="fr-FR"/>
        </w:rPr>
        <w:t>’</w:t>
      </w:r>
      <w:r w:rsidR="007E1B20" w:rsidRPr="00ED0ED2">
        <w:rPr>
          <w:lang w:val="fr-FR"/>
        </w:rPr>
        <w:t>examen de la distinction, de l</w:t>
      </w:r>
      <w:r w:rsidR="00EA066D" w:rsidRPr="00ED0ED2">
        <w:rPr>
          <w:lang w:val="fr-FR"/>
        </w:rPr>
        <w:t>’</w:t>
      </w:r>
      <w:r w:rsidR="007E1B20" w:rsidRPr="00ED0ED2">
        <w:rPr>
          <w:lang w:val="fr-FR"/>
        </w:rPr>
        <w:t>homogénéité et de la stabilit</w:t>
      </w:r>
      <w:r w:rsidR="00EA066D" w:rsidRPr="00ED0ED2">
        <w:rPr>
          <w:lang w:val="fr-FR"/>
        </w:rPr>
        <w:t>é”</w:t>
      </w:r>
      <w:r w:rsidR="007E1B20" w:rsidRPr="00ED0ED2">
        <w:rPr>
          <w:lang w:val="fr-FR"/>
        </w:rPr>
        <w:t>, qui figure à l</w:t>
      </w:r>
      <w:r w:rsidR="00EA066D" w:rsidRPr="00ED0ED2">
        <w:rPr>
          <w:lang w:val="fr-FR"/>
        </w:rPr>
        <w:t>’annexe I</w:t>
      </w:r>
      <w:r w:rsidR="007E1B20" w:rsidRPr="00ED0ED2">
        <w:rPr>
          <w:lang w:val="fr-FR"/>
        </w:rPr>
        <w:t>I du présent document, sous réserve de l</w:t>
      </w:r>
      <w:r w:rsidR="00EA066D" w:rsidRPr="00ED0ED2">
        <w:rPr>
          <w:lang w:val="fr-FR"/>
        </w:rPr>
        <w:t>’</w:t>
      </w:r>
      <w:r w:rsidR="007E1B20" w:rsidRPr="00ED0ED2">
        <w:rPr>
          <w:lang w:val="fr-FR"/>
        </w:rPr>
        <w:t>accord</w:t>
      </w:r>
      <w:r w:rsidR="00EA066D" w:rsidRPr="00ED0ED2">
        <w:rPr>
          <w:lang w:val="fr-FR"/>
        </w:rPr>
        <w:t xml:space="preserve"> du CAJ</w:t>
      </w:r>
      <w:r w:rsidR="007E1B20" w:rsidRPr="00ED0ED2">
        <w:rPr>
          <w:lang w:val="fr-FR"/>
        </w:rPr>
        <w:t>.</w:t>
      </w:r>
    </w:p>
    <w:p w:rsidR="00CA67DF" w:rsidRPr="00ED0ED2" w:rsidRDefault="00CA67DF" w:rsidP="00D0044C">
      <w:pPr>
        <w:pStyle w:val="DecisionParagraphs"/>
        <w:rPr>
          <w:lang w:val="fr-FR"/>
        </w:rPr>
      </w:pPr>
    </w:p>
    <w:p w:rsidR="00CA67DF" w:rsidRPr="00ED0ED2" w:rsidRDefault="00CA67DF" w:rsidP="00DF1DE6">
      <w:pPr>
        <w:rPr>
          <w:lang w:val="fr-FR"/>
        </w:rPr>
      </w:pPr>
    </w:p>
    <w:p w:rsidR="00CA67DF" w:rsidRPr="00ED0ED2" w:rsidRDefault="00CA67DF" w:rsidP="00DF1DE6">
      <w:pPr>
        <w:rPr>
          <w:lang w:val="fr-FR"/>
        </w:rPr>
      </w:pPr>
    </w:p>
    <w:p w:rsidR="00CA67DF" w:rsidRPr="00ED0ED2" w:rsidRDefault="007E1B20" w:rsidP="007E1B20">
      <w:pPr>
        <w:keepNext/>
        <w:tabs>
          <w:tab w:val="left" w:pos="851"/>
        </w:tabs>
        <w:rPr>
          <w:u w:val="single"/>
          <w:lang w:val="fr-FR"/>
        </w:rPr>
      </w:pPr>
      <w:r w:rsidRPr="00ED0ED2">
        <w:rPr>
          <w:u w:val="single"/>
          <w:lang w:val="fr-FR"/>
        </w:rPr>
        <w:t>TGP/12</w:t>
      </w:r>
      <w:r w:rsidR="00EA066D" w:rsidRPr="00ED0ED2">
        <w:rPr>
          <w:u w:val="single"/>
          <w:lang w:val="fr-FR"/>
        </w:rPr>
        <w:t> :</w:t>
      </w:r>
      <w:r w:rsidRPr="00ED0ED2">
        <w:rPr>
          <w:u w:val="single"/>
          <w:lang w:val="fr-FR"/>
        </w:rPr>
        <w:t xml:space="preserve"> Conseils en ce qui concerne certains caractères physiologiques (révision) </w:t>
      </w:r>
      <w:r w:rsidR="002D04D9">
        <w:rPr>
          <w:u w:val="single"/>
          <w:lang w:val="fr-FR"/>
        </w:rPr>
        <w:br/>
      </w:r>
      <w:r w:rsidRPr="00ED0ED2">
        <w:rPr>
          <w:u w:val="single"/>
          <w:lang w:val="fr-FR"/>
        </w:rPr>
        <w:t>(document C/56/3</w:t>
      </w:r>
      <w:r w:rsidR="00585D5F" w:rsidRPr="00ED0ED2">
        <w:rPr>
          <w:u w:val="single"/>
          <w:lang w:val="fr-FR"/>
        </w:rPr>
        <w:t>, annexe </w:t>
      </w:r>
      <w:r w:rsidRPr="00ED0ED2">
        <w:rPr>
          <w:u w:val="single"/>
          <w:lang w:val="fr-FR"/>
        </w:rPr>
        <w:t>III)</w:t>
      </w:r>
    </w:p>
    <w:p w:rsidR="00CA67DF" w:rsidRPr="00ED0ED2" w:rsidRDefault="00CA67DF" w:rsidP="004D4C36">
      <w:pPr>
        <w:jc w:val="left"/>
        <w:rPr>
          <w:lang w:val="fr-FR"/>
        </w:rPr>
      </w:pPr>
    </w:p>
    <w:p w:rsidR="00EA066D" w:rsidRPr="00ED0ED2" w:rsidRDefault="00D05685" w:rsidP="00BE3625">
      <w:pPr>
        <w:keepNext/>
        <w:rPr>
          <w:lang w:val="fr-FR"/>
        </w:rPr>
      </w:pPr>
      <w:r w:rsidRPr="00ED0ED2">
        <w:fldChar w:fldCharType="begin"/>
      </w:r>
      <w:r w:rsidRPr="00ED0ED2">
        <w:rPr>
          <w:lang w:val="fr-FR"/>
        </w:rPr>
        <w:instrText xml:space="preserve"> AUTONUM  </w:instrText>
      </w:r>
      <w:r w:rsidRPr="00ED0ED2">
        <w:fldChar w:fldCharType="end"/>
      </w:r>
      <w:r w:rsidRPr="00ED0ED2">
        <w:rPr>
          <w:lang w:val="fr-FR"/>
        </w:rPr>
        <w:tab/>
      </w:r>
      <w:r w:rsidR="00BE3625" w:rsidRPr="00ED0ED2">
        <w:rPr>
          <w:lang w:val="fr-FR"/>
        </w:rPr>
        <w:t>Le CAJ sera invité à approuver la proposition du</w:t>
      </w:r>
      <w:r w:rsidR="00EA066D" w:rsidRPr="00ED0ED2">
        <w:rPr>
          <w:lang w:val="fr-FR"/>
        </w:rPr>
        <w:t> TC</w:t>
      </w:r>
      <w:r w:rsidR="00BE3625" w:rsidRPr="00ED0ED2">
        <w:rPr>
          <w:lang w:val="fr-FR"/>
        </w:rPr>
        <w:t xml:space="preserve">, qui vise à modifier le document TGP/12/2 </w:t>
      </w:r>
      <w:r w:rsidR="002D04D9">
        <w:rPr>
          <w:lang w:val="fr-FR"/>
        </w:rPr>
        <w:br/>
      </w:r>
      <w:r w:rsidR="00EA066D" w:rsidRPr="00ED0ED2">
        <w:rPr>
          <w:lang w:val="fr-FR"/>
        </w:rPr>
        <w:t>“C</w:t>
      </w:r>
      <w:r w:rsidR="00BE3625" w:rsidRPr="00ED0ED2">
        <w:rPr>
          <w:lang w:val="fr-FR"/>
        </w:rPr>
        <w:t>onseils en ce qui concerne certains caractères physiologique</w:t>
      </w:r>
      <w:r w:rsidR="00EA066D" w:rsidRPr="00ED0ED2">
        <w:rPr>
          <w:lang w:val="fr-FR"/>
        </w:rPr>
        <w:t>s”</w:t>
      </w:r>
      <w:r w:rsidR="00BE3625" w:rsidRPr="00ED0ED2">
        <w:rPr>
          <w:lang w:val="fr-FR"/>
        </w:rPr>
        <w:t>, qui figure à l</w:t>
      </w:r>
      <w:r w:rsidR="00EA066D" w:rsidRPr="00ED0ED2">
        <w:rPr>
          <w:lang w:val="fr-FR"/>
        </w:rPr>
        <w:t>’annexe I</w:t>
      </w:r>
      <w:r w:rsidR="00BE3625" w:rsidRPr="00ED0ED2">
        <w:rPr>
          <w:lang w:val="fr-FR"/>
        </w:rPr>
        <w:t>II du présent document.</w:t>
      </w:r>
    </w:p>
    <w:p w:rsidR="00CA67DF" w:rsidRPr="00ED0ED2" w:rsidRDefault="00CA67DF" w:rsidP="00D05685">
      <w:pPr>
        <w:keepNext/>
        <w:rPr>
          <w:lang w:val="fr-FR"/>
        </w:rPr>
      </w:pPr>
    </w:p>
    <w:p w:rsidR="00CA67DF" w:rsidRPr="00ED0ED2" w:rsidRDefault="00CA67DF" w:rsidP="002D04D9">
      <w:pPr>
        <w:pStyle w:val="DecisionParagraphs"/>
        <w:rPr>
          <w:lang w:val="fr-FR"/>
        </w:rPr>
      </w:pPr>
    </w:p>
    <w:p w:rsidR="00CA67DF" w:rsidRPr="00ED0ED2" w:rsidRDefault="00DF1DE6" w:rsidP="002D04D9">
      <w:pPr>
        <w:pStyle w:val="DecisionParagraphs"/>
        <w:rPr>
          <w:lang w:val="fr-FR"/>
        </w:rPr>
      </w:pPr>
      <w:r w:rsidRPr="00ED0ED2">
        <w:fldChar w:fldCharType="begin"/>
      </w:r>
      <w:r w:rsidRPr="00ED0ED2">
        <w:rPr>
          <w:lang w:val="fr-FR"/>
        </w:rPr>
        <w:instrText xml:space="preserve"> AUTONUM  </w:instrText>
      </w:r>
      <w:r w:rsidRPr="00ED0ED2">
        <w:fldChar w:fldCharType="end"/>
      </w:r>
      <w:r w:rsidRPr="00ED0ED2">
        <w:rPr>
          <w:lang w:val="fr-FR"/>
        </w:rPr>
        <w:tab/>
      </w:r>
      <w:r w:rsidR="00BE3625" w:rsidRPr="00ED0ED2">
        <w:rPr>
          <w:lang w:val="fr-FR"/>
        </w:rPr>
        <w:t xml:space="preserve">Le Conseil est invité à adopter une version révisée du document TGP/12/2 </w:t>
      </w:r>
      <w:r w:rsidR="00EA066D" w:rsidRPr="00ED0ED2">
        <w:rPr>
          <w:lang w:val="fr-FR"/>
        </w:rPr>
        <w:t>“C</w:t>
      </w:r>
      <w:r w:rsidR="00BE3625" w:rsidRPr="00ED0ED2">
        <w:rPr>
          <w:lang w:val="fr-FR"/>
        </w:rPr>
        <w:t>onseils en ce qui concerne certains caractères physiologique</w:t>
      </w:r>
      <w:r w:rsidR="00EA066D" w:rsidRPr="00ED0ED2">
        <w:rPr>
          <w:lang w:val="fr-FR"/>
        </w:rPr>
        <w:t>s”</w:t>
      </w:r>
      <w:r w:rsidR="00BE3625" w:rsidRPr="00ED0ED2">
        <w:rPr>
          <w:lang w:val="fr-FR"/>
        </w:rPr>
        <w:t>, qui figure à l</w:t>
      </w:r>
      <w:r w:rsidR="00EA066D" w:rsidRPr="00ED0ED2">
        <w:rPr>
          <w:lang w:val="fr-FR"/>
        </w:rPr>
        <w:t>’annexe I</w:t>
      </w:r>
      <w:r w:rsidR="00BE3625" w:rsidRPr="00ED0ED2">
        <w:rPr>
          <w:lang w:val="fr-FR"/>
        </w:rPr>
        <w:t>II du présent document, sous réserve de l</w:t>
      </w:r>
      <w:r w:rsidR="00EA066D" w:rsidRPr="00ED0ED2">
        <w:rPr>
          <w:lang w:val="fr-FR"/>
        </w:rPr>
        <w:t>’</w:t>
      </w:r>
      <w:r w:rsidR="00BE3625" w:rsidRPr="00ED0ED2">
        <w:rPr>
          <w:lang w:val="fr-FR"/>
        </w:rPr>
        <w:t>accord</w:t>
      </w:r>
      <w:r w:rsidR="00EA066D" w:rsidRPr="00ED0ED2">
        <w:rPr>
          <w:lang w:val="fr-FR"/>
        </w:rPr>
        <w:t xml:space="preserve"> du CAJ</w:t>
      </w:r>
      <w:r w:rsidR="00BE3625" w:rsidRPr="00ED0ED2">
        <w:rPr>
          <w:lang w:val="fr-FR"/>
        </w:rPr>
        <w:t>.</w:t>
      </w:r>
    </w:p>
    <w:p w:rsidR="00CA67DF" w:rsidRPr="00ED0ED2" w:rsidRDefault="00CA67DF" w:rsidP="002D04D9">
      <w:pPr>
        <w:pStyle w:val="DecisionParagraphs"/>
        <w:rPr>
          <w:highlight w:val="yellow"/>
          <w:lang w:val="fr-FR"/>
        </w:rPr>
      </w:pPr>
    </w:p>
    <w:p w:rsidR="00CA67DF" w:rsidRPr="00ED0ED2" w:rsidRDefault="00CA67DF" w:rsidP="00DF1DE6">
      <w:pPr>
        <w:rPr>
          <w:highlight w:val="yellow"/>
          <w:lang w:val="fr-FR"/>
        </w:rPr>
      </w:pPr>
    </w:p>
    <w:p w:rsidR="002D04D9" w:rsidRDefault="002D04D9" w:rsidP="002D04D9"/>
    <w:p w:rsidR="002D04D9" w:rsidRPr="002D04D9" w:rsidRDefault="002D04D9" w:rsidP="002D04D9">
      <w:pPr>
        <w:jc w:val="center"/>
        <w:rPr>
          <w:lang w:val="fr-CH"/>
        </w:rPr>
      </w:pPr>
      <w:r>
        <w:rPr>
          <w:lang w:val="fr-CH"/>
        </w:rPr>
        <w:t>C</w:t>
      </w:r>
      <w:r w:rsidRPr="002D04D9">
        <w:rPr>
          <w:lang w:val="fr-CH"/>
        </w:rPr>
        <w:t>/56/3</w:t>
      </w:r>
    </w:p>
    <w:p w:rsidR="002D04D9" w:rsidRPr="002D04D9" w:rsidRDefault="002D04D9" w:rsidP="002D04D9">
      <w:pPr>
        <w:jc w:val="center"/>
        <w:rPr>
          <w:lang w:val="fr-CH"/>
        </w:rPr>
      </w:pPr>
      <w:r w:rsidRPr="002D04D9">
        <w:rPr>
          <w:lang w:val="fr-CH"/>
        </w:rPr>
        <w:t>page 4</w:t>
      </w:r>
    </w:p>
    <w:p w:rsidR="002D04D9" w:rsidRDefault="002D04D9" w:rsidP="00ED0ED2">
      <w:pPr>
        <w:keepNext/>
        <w:jc w:val="left"/>
        <w:rPr>
          <w:bCs/>
          <w:snapToGrid w:val="0"/>
          <w:szCs w:val="24"/>
          <w:u w:val="single"/>
          <w:lang w:val="fr-FR"/>
        </w:rPr>
      </w:pPr>
    </w:p>
    <w:p w:rsidR="002D04D9" w:rsidRDefault="002D04D9" w:rsidP="00ED0ED2">
      <w:pPr>
        <w:keepNext/>
        <w:jc w:val="left"/>
        <w:rPr>
          <w:bCs/>
          <w:snapToGrid w:val="0"/>
          <w:szCs w:val="24"/>
          <w:u w:val="single"/>
          <w:lang w:val="fr-FR"/>
        </w:rPr>
      </w:pPr>
    </w:p>
    <w:p w:rsidR="00EA066D" w:rsidRPr="00ED0ED2" w:rsidRDefault="00BE3625" w:rsidP="002D04D9">
      <w:pPr>
        <w:pStyle w:val="Heading2"/>
        <w:rPr>
          <w:snapToGrid w:val="0"/>
          <w:lang w:val="fr-FR"/>
        </w:rPr>
      </w:pPr>
      <w:r w:rsidRPr="00ED0ED2">
        <w:rPr>
          <w:snapToGrid w:val="0"/>
          <w:lang w:val="fr-FR"/>
        </w:rPr>
        <w:t>TGP/0</w:t>
      </w:r>
      <w:r w:rsidR="00EA066D" w:rsidRPr="00ED0ED2">
        <w:rPr>
          <w:snapToGrid w:val="0"/>
          <w:lang w:val="fr-FR"/>
        </w:rPr>
        <w:t> :</w:t>
      </w:r>
      <w:r w:rsidRPr="00ED0ED2">
        <w:rPr>
          <w:snapToGrid w:val="0"/>
          <w:lang w:val="fr-FR"/>
        </w:rPr>
        <w:t xml:space="preserve"> Liste des documents TGP et date de la version la plus récente de ces documents (révision) </w:t>
      </w:r>
      <w:r w:rsidR="002D04D9">
        <w:rPr>
          <w:snapToGrid w:val="0"/>
          <w:lang w:val="fr-FR"/>
        </w:rPr>
        <w:br/>
      </w:r>
      <w:r w:rsidRPr="00ED0ED2">
        <w:rPr>
          <w:snapToGrid w:val="0"/>
          <w:lang w:val="fr-FR"/>
        </w:rPr>
        <w:t>(document TGP/0/14 Draft</w:t>
      </w:r>
      <w:r w:rsidR="00ED0ED2" w:rsidRPr="00ED0ED2">
        <w:rPr>
          <w:snapToGrid w:val="0"/>
          <w:lang w:val="fr-FR"/>
        </w:rPr>
        <w:t> </w:t>
      </w:r>
      <w:r w:rsidRPr="00ED0ED2">
        <w:rPr>
          <w:snapToGrid w:val="0"/>
          <w:lang w:val="fr-FR"/>
        </w:rPr>
        <w:t>1)</w:t>
      </w:r>
    </w:p>
    <w:p w:rsidR="00CA67DF" w:rsidRPr="00ED0ED2" w:rsidRDefault="00CA67DF" w:rsidP="00BE3659">
      <w:pPr>
        <w:keepNext/>
        <w:rPr>
          <w:lang w:val="fr-FR"/>
        </w:rPr>
      </w:pPr>
    </w:p>
    <w:p w:rsidR="00CA67DF" w:rsidRPr="00ED0ED2" w:rsidRDefault="00BE3659" w:rsidP="00BE3625">
      <w:pPr>
        <w:keepNext/>
        <w:rPr>
          <w:rFonts w:cs="Arial"/>
          <w:lang w:val="fr-FR"/>
        </w:rPr>
      </w:pPr>
      <w:r w:rsidRPr="00ED0ED2">
        <w:fldChar w:fldCharType="begin"/>
      </w:r>
      <w:r w:rsidRPr="00ED0ED2">
        <w:rPr>
          <w:lang w:val="fr-FR"/>
        </w:rPr>
        <w:instrText xml:space="preserve"> AUTONUM  </w:instrText>
      </w:r>
      <w:r w:rsidRPr="00ED0ED2">
        <w:fldChar w:fldCharType="end"/>
      </w:r>
      <w:r w:rsidRPr="00ED0ED2">
        <w:rPr>
          <w:lang w:val="fr-FR"/>
        </w:rPr>
        <w:tab/>
      </w:r>
      <w:r w:rsidR="00BE3625" w:rsidRPr="00ED0ED2">
        <w:rPr>
          <w:lang w:val="fr-FR"/>
        </w:rPr>
        <w:t>Parallèlement à l</w:t>
      </w:r>
      <w:r w:rsidR="00EA066D" w:rsidRPr="00ED0ED2">
        <w:rPr>
          <w:lang w:val="fr-FR"/>
        </w:rPr>
        <w:t>’</w:t>
      </w:r>
      <w:r w:rsidR="00BE3625" w:rsidRPr="00ED0ED2">
        <w:rPr>
          <w:lang w:val="fr-FR"/>
        </w:rPr>
        <w:t xml:space="preserve">adoption de la version révisée du document TGP par le Conseil </w:t>
      </w:r>
      <w:r w:rsidR="00EA066D" w:rsidRPr="00ED0ED2">
        <w:rPr>
          <w:lang w:val="fr-FR"/>
        </w:rPr>
        <w:t>en 2022</w:t>
      </w:r>
      <w:r w:rsidR="00BE3625" w:rsidRPr="00ED0ED2">
        <w:rPr>
          <w:lang w:val="fr-FR"/>
        </w:rPr>
        <w:t>, il est proposé d</w:t>
      </w:r>
      <w:r w:rsidR="00EA066D" w:rsidRPr="00ED0ED2">
        <w:rPr>
          <w:lang w:val="fr-FR"/>
        </w:rPr>
        <w:t>’</w:t>
      </w:r>
      <w:r w:rsidR="00BE3625" w:rsidRPr="00ED0ED2">
        <w:rPr>
          <w:lang w:val="fr-FR"/>
        </w:rPr>
        <w:t>adopter une version révisée du document TGP/0 “Liste des documents TGP et date de la version la plus récente de ces documents” (document TGP/0/13) sur la base du document TGP/0/14 Draft 1.</w:t>
      </w:r>
    </w:p>
    <w:p w:rsidR="00CA67DF" w:rsidRPr="00ED0ED2" w:rsidRDefault="00CA67DF" w:rsidP="00BE3659">
      <w:pPr>
        <w:rPr>
          <w:lang w:val="fr-FR"/>
        </w:rPr>
      </w:pPr>
    </w:p>
    <w:p w:rsidR="00EA066D" w:rsidRPr="00ED0ED2" w:rsidRDefault="00BE3659" w:rsidP="00724CDC">
      <w:pPr>
        <w:pStyle w:val="DecisionParagraphs"/>
        <w:rPr>
          <w:lang w:val="fr-FR"/>
        </w:rPr>
      </w:pPr>
      <w:r w:rsidRPr="00ED0ED2">
        <w:fldChar w:fldCharType="begin"/>
      </w:r>
      <w:r w:rsidRPr="00ED0ED2">
        <w:rPr>
          <w:lang w:val="fr-FR"/>
        </w:rPr>
        <w:instrText xml:space="preserve"> AUTONUM  </w:instrText>
      </w:r>
      <w:r w:rsidRPr="00ED0ED2">
        <w:fldChar w:fldCharType="end"/>
      </w:r>
      <w:r w:rsidRPr="00ED0ED2">
        <w:rPr>
          <w:lang w:val="fr-FR"/>
        </w:rPr>
        <w:tab/>
      </w:r>
      <w:r w:rsidR="00BE3625" w:rsidRPr="00ED0ED2">
        <w:rPr>
          <w:lang w:val="fr-FR"/>
        </w:rPr>
        <w:t>Le Conseil est invité à adopter le document TGP/0/14 Draft 1 “Liste des documents TGP et date de la version la plus récente de ces documents”, sous réserve de l</w:t>
      </w:r>
      <w:r w:rsidR="00EA066D" w:rsidRPr="00ED0ED2">
        <w:rPr>
          <w:lang w:val="fr-FR"/>
        </w:rPr>
        <w:t>’</w:t>
      </w:r>
      <w:r w:rsidR="00BE3625" w:rsidRPr="00ED0ED2">
        <w:rPr>
          <w:lang w:val="fr-FR"/>
        </w:rPr>
        <w:t>adoption des documents concernés.</w:t>
      </w:r>
    </w:p>
    <w:p w:rsidR="00CA67DF" w:rsidRDefault="00CA67DF" w:rsidP="00BE3659">
      <w:pPr>
        <w:rPr>
          <w:lang w:val="fr-FR"/>
        </w:rPr>
      </w:pPr>
    </w:p>
    <w:p w:rsidR="006F6E8E" w:rsidRPr="00ED0ED2" w:rsidRDefault="006F6E8E" w:rsidP="00BE3659">
      <w:pPr>
        <w:rPr>
          <w:lang w:val="fr-FR"/>
        </w:rPr>
      </w:pPr>
    </w:p>
    <w:p w:rsidR="00CA67DF" w:rsidRPr="008A4F8E" w:rsidRDefault="00BE3625" w:rsidP="00BE3625">
      <w:pPr>
        <w:jc w:val="right"/>
        <w:rPr>
          <w:lang w:val="fr-CH"/>
        </w:rPr>
      </w:pPr>
      <w:r w:rsidRPr="008A4F8E">
        <w:rPr>
          <w:lang w:val="fr-CH"/>
        </w:rPr>
        <w:t>[Les annexes suivent]</w:t>
      </w:r>
    </w:p>
    <w:p w:rsidR="00E156CD" w:rsidRPr="008A4F8E" w:rsidRDefault="00E156CD" w:rsidP="00056167">
      <w:pPr>
        <w:jc w:val="right"/>
        <w:rPr>
          <w:lang w:val="fr-CH"/>
        </w:rPr>
      </w:pPr>
    </w:p>
    <w:p w:rsidR="00724CDC" w:rsidRPr="008A4F8E" w:rsidRDefault="00724CDC" w:rsidP="00056167">
      <w:pPr>
        <w:jc w:val="right"/>
        <w:rPr>
          <w:lang w:val="fr-CH"/>
        </w:rPr>
        <w:sectPr w:rsidR="00724CDC" w:rsidRPr="008A4F8E" w:rsidSect="0004198B">
          <w:headerReference w:type="default" r:id="rId9"/>
          <w:pgSz w:w="11907" w:h="16840" w:code="9"/>
          <w:pgMar w:top="510" w:right="1134" w:bottom="1134" w:left="1134" w:header="510" w:footer="680" w:gutter="0"/>
          <w:pgNumType w:start="1"/>
          <w:cols w:space="720"/>
          <w:titlePg/>
        </w:sectPr>
      </w:pPr>
    </w:p>
    <w:p w:rsidR="00724CDC" w:rsidRPr="00E51C73" w:rsidRDefault="00A0092F" w:rsidP="00724CDC">
      <w:pPr>
        <w:jc w:val="center"/>
        <w:rPr>
          <w:lang w:val="fr-FR"/>
        </w:rPr>
      </w:pPr>
      <w:r>
        <w:rPr>
          <w:lang w:val="fr-FR"/>
        </w:rPr>
        <w:lastRenderedPageBreak/>
        <w:t>C/56/3</w:t>
      </w:r>
    </w:p>
    <w:p w:rsidR="00724CDC" w:rsidRPr="00E51C73" w:rsidRDefault="00724CDC" w:rsidP="00724CDC">
      <w:pPr>
        <w:jc w:val="center"/>
        <w:rPr>
          <w:lang w:val="fr-FR"/>
        </w:rPr>
      </w:pPr>
    </w:p>
    <w:p w:rsidR="00724CDC" w:rsidRPr="00E51C73" w:rsidRDefault="00724CDC" w:rsidP="00724CDC">
      <w:pPr>
        <w:jc w:val="center"/>
        <w:rPr>
          <w:lang w:val="fr-FR"/>
        </w:rPr>
      </w:pPr>
      <w:r w:rsidRPr="00E51C73">
        <w:rPr>
          <w:lang w:val="fr-FR"/>
        </w:rPr>
        <w:t>ANNEXE I</w:t>
      </w:r>
    </w:p>
    <w:p w:rsidR="00724CDC" w:rsidRPr="00E51C73" w:rsidRDefault="00724CDC" w:rsidP="00724CDC">
      <w:pPr>
        <w:rPr>
          <w:lang w:val="fr-FR"/>
        </w:rPr>
      </w:pPr>
    </w:p>
    <w:p w:rsidR="00724CDC" w:rsidRPr="00E51C73" w:rsidRDefault="00724CDC" w:rsidP="00724CDC">
      <w:pPr>
        <w:rPr>
          <w:lang w:val="fr-FR"/>
        </w:rPr>
      </w:pPr>
    </w:p>
    <w:p w:rsidR="00724CDC" w:rsidRPr="00E51C73" w:rsidRDefault="00724CDC" w:rsidP="00724CDC">
      <w:pPr>
        <w:rPr>
          <w:u w:val="single"/>
          <w:lang w:val="fr-FR"/>
        </w:rPr>
      </w:pPr>
      <w:r w:rsidRPr="00E51C73">
        <w:rPr>
          <w:u w:val="single"/>
          <w:lang w:val="fr-FR"/>
        </w:rPr>
        <w:t>Document UPOV/EXN/DEN : Notes explicatives concernant les dénominations variétales en vertu de la Convention UPOV (révision)</w:t>
      </w:r>
    </w:p>
    <w:p w:rsidR="00724CDC" w:rsidRPr="00E51C73" w:rsidRDefault="00724CDC" w:rsidP="00724CDC">
      <w:pPr>
        <w:rPr>
          <w:lang w:val="fr-FR"/>
        </w:rPr>
      </w:pPr>
    </w:p>
    <w:p w:rsidR="00724CDC" w:rsidRPr="00E51C73" w:rsidRDefault="00724CDC" w:rsidP="00724CDC">
      <w:pPr>
        <w:rPr>
          <w:i/>
          <w:lang w:val="fr-FR"/>
        </w:rPr>
      </w:pPr>
      <w:r w:rsidRPr="00E51C73">
        <w:rPr>
          <w:i/>
          <w:lang w:val="fr-FR"/>
        </w:rPr>
        <w:t>Révision de la classe de dénomination 201</w:t>
      </w:r>
    </w:p>
    <w:p w:rsidR="00724CDC" w:rsidRPr="00E51C73" w:rsidRDefault="00724CDC" w:rsidP="00724CDC">
      <w:pPr>
        <w:rPr>
          <w:lang w:val="fr-FR"/>
        </w:rPr>
      </w:pPr>
    </w:p>
    <w:p w:rsidR="00724CDC" w:rsidRPr="00E51C73" w:rsidRDefault="00724CDC" w:rsidP="00724CDC">
      <w:pPr>
        <w:rPr>
          <w:lang w:val="fr-FR"/>
        </w:rPr>
      </w:pPr>
      <w:r w:rsidRPr="00E51C73">
        <w:rPr>
          <w:lang w:val="fr-FR"/>
        </w:rPr>
        <w:t>À sa cinquante-septième session tenue par voie électronique les 25 et 26 octobre 2021, le TC a examiné une proposition de révision du document UPOV/EXN/DEN/1, annexe I, deuxième partie “Classes englobant plusieurs genres”, et a décidé de proposer l’inclusion du gène “</w:t>
      </w:r>
      <w:r w:rsidRPr="00E51C73">
        <w:rPr>
          <w:i/>
          <w:lang w:val="fr-FR"/>
        </w:rPr>
        <w:t>×Trititrigia”</w:t>
      </w:r>
      <w:r w:rsidRPr="00E51C73">
        <w:rPr>
          <w:lang w:val="fr-FR"/>
        </w:rPr>
        <w:t xml:space="preserve"> dans la classe 201 des dénominations variétales, comme suit (voir le paragraphe 34 du document TC/57/25 “Compte rendu”) :</w:t>
      </w:r>
    </w:p>
    <w:p w:rsidR="00724CDC" w:rsidRPr="00E51C73" w:rsidRDefault="00724CDC" w:rsidP="00724CDC">
      <w:pPr>
        <w:rPr>
          <w:rFonts w:cs="Arial"/>
          <w:highlight w:val="cyan"/>
          <w:lang w:val="fr-FR"/>
        </w:rPr>
      </w:pPr>
    </w:p>
    <w:p w:rsidR="00724CDC" w:rsidRPr="0060449D" w:rsidRDefault="00724CDC" w:rsidP="00724CDC">
      <w:pPr>
        <w:jc w:val="center"/>
        <w:rPr>
          <w:lang w:val="fr-FR"/>
        </w:rPr>
      </w:pPr>
      <w:r w:rsidRPr="0060449D">
        <w:rPr>
          <w:lang w:val="fr-FR"/>
        </w:rPr>
        <w:t>LISTE DES CLASSES (deuxième partie)</w:t>
      </w:r>
    </w:p>
    <w:p w:rsidR="00724CDC" w:rsidRPr="00E51C73" w:rsidRDefault="00724CDC" w:rsidP="00724CDC">
      <w:pPr>
        <w:rPr>
          <w:lang w:val="fr-FR"/>
        </w:rPr>
      </w:pPr>
    </w:p>
    <w:p w:rsidR="00724CDC" w:rsidRPr="00E51C73" w:rsidRDefault="00724CDC" w:rsidP="00724CDC">
      <w:pPr>
        <w:jc w:val="center"/>
        <w:rPr>
          <w:i/>
          <w:lang w:val="fr-FR"/>
        </w:rPr>
      </w:pPr>
      <w:r w:rsidRPr="00E51C73">
        <w:rPr>
          <w:i/>
          <w:lang w:val="fr-FR"/>
        </w:rPr>
        <w:t>Classes englobant plusieurs genres</w:t>
      </w:r>
    </w:p>
    <w:p w:rsidR="00724CDC" w:rsidRPr="00E51C73" w:rsidRDefault="00724CDC" w:rsidP="00724CDC">
      <w:pPr>
        <w:jc w:val="center"/>
        <w:rPr>
          <w:i/>
          <w:lang w:val="fr-FR"/>
        </w:rPr>
      </w:pPr>
    </w:p>
    <w:tbl>
      <w:tblPr>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7"/>
        <w:gridCol w:w="4473"/>
        <w:gridCol w:w="4034"/>
      </w:tblGrid>
      <w:tr w:rsidR="00724CDC" w:rsidRPr="00E51C73" w:rsidTr="00AE17D1">
        <w:trPr>
          <w:cantSplit/>
          <w:tblHeader/>
        </w:trPr>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24CDC" w:rsidRPr="00E51C73" w:rsidRDefault="00724CDC" w:rsidP="00AE17D1">
            <w:pPr>
              <w:spacing w:before="40" w:after="40"/>
              <w:jc w:val="left"/>
              <w:rPr>
                <w:sz w:val="18"/>
                <w:szCs w:val="18"/>
                <w:u w:val="single"/>
                <w:lang w:val="fr-FR"/>
              </w:rPr>
            </w:pPr>
          </w:p>
        </w:tc>
        <w:tc>
          <w:tcPr>
            <w:tcW w:w="4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4CDC" w:rsidRPr="00E51C73" w:rsidRDefault="00724CDC" w:rsidP="00AE17D1">
            <w:pPr>
              <w:spacing w:before="40" w:after="40"/>
              <w:jc w:val="center"/>
              <w:rPr>
                <w:sz w:val="18"/>
                <w:szCs w:val="18"/>
                <w:lang w:val="fr-FR"/>
              </w:rPr>
            </w:pPr>
            <w:r w:rsidRPr="00E51C73">
              <w:rPr>
                <w:sz w:val="18"/>
                <w:szCs w:val="18"/>
                <w:lang w:val="fr-FR"/>
              </w:rPr>
              <w:t>Noms botaniques</w:t>
            </w:r>
          </w:p>
        </w:tc>
        <w:tc>
          <w:tcPr>
            <w:tcW w:w="4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4CDC" w:rsidRPr="00E51C73" w:rsidRDefault="00724CDC" w:rsidP="00AE17D1">
            <w:pPr>
              <w:spacing w:before="40" w:after="40"/>
              <w:jc w:val="center"/>
              <w:rPr>
                <w:sz w:val="18"/>
                <w:szCs w:val="18"/>
                <w:lang w:val="fr-FR"/>
              </w:rPr>
            </w:pPr>
            <w:r w:rsidRPr="00E51C73">
              <w:rPr>
                <w:sz w:val="18"/>
                <w:szCs w:val="18"/>
                <w:lang w:val="fr-FR"/>
              </w:rPr>
              <w:t>Codes UPOV</w:t>
            </w:r>
          </w:p>
        </w:tc>
      </w:tr>
      <w:tr w:rsidR="00724CDC" w:rsidRPr="00E51C73" w:rsidTr="00AE17D1">
        <w:trPr>
          <w:cantSplit/>
          <w:tblHeader/>
        </w:trPr>
        <w:tc>
          <w:tcPr>
            <w:tcW w:w="1277" w:type="dxa"/>
            <w:tcBorders>
              <w:top w:val="nil"/>
              <w:left w:val="nil"/>
              <w:bottom w:val="nil"/>
              <w:right w:val="nil"/>
            </w:tcBorders>
          </w:tcPr>
          <w:p w:rsidR="00724CDC" w:rsidRPr="00E51C73" w:rsidRDefault="00724CDC" w:rsidP="00AE17D1">
            <w:pPr>
              <w:keepNext/>
              <w:spacing w:before="40" w:after="40"/>
              <w:jc w:val="left"/>
              <w:rPr>
                <w:sz w:val="10"/>
                <w:szCs w:val="18"/>
                <w:lang w:val="fr-FR"/>
              </w:rPr>
            </w:pPr>
          </w:p>
        </w:tc>
        <w:tc>
          <w:tcPr>
            <w:tcW w:w="4473" w:type="dxa"/>
            <w:tcBorders>
              <w:top w:val="nil"/>
              <w:left w:val="nil"/>
              <w:bottom w:val="nil"/>
              <w:right w:val="nil"/>
            </w:tcBorders>
          </w:tcPr>
          <w:p w:rsidR="00724CDC" w:rsidRPr="00E51C73" w:rsidRDefault="00724CDC" w:rsidP="00AE17D1">
            <w:pPr>
              <w:keepNext/>
              <w:spacing w:before="40" w:after="40"/>
              <w:jc w:val="left"/>
              <w:rPr>
                <w:sz w:val="10"/>
                <w:szCs w:val="18"/>
                <w:lang w:val="fr-FR"/>
              </w:rPr>
            </w:pPr>
          </w:p>
        </w:tc>
        <w:tc>
          <w:tcPr>
            <w:tcW w:w="4034" w:type="dxa"/>
            <w:tcBorders>
              <w:top w:val="nil"/>
              <w:left w:val="nil"/>
              <w:bottom w:val="nil"/>
              <w:right w:val="nil"/>
            </w:tcBorders>
          </w:tcPr>
          <w:p w:rsidR="00724CDC" w:rsidRPr="00E51C73" w:rsidRDefault="00724CDC" w:rsidP="00AE17D1">
            <w:pPr>
              <w:keepNext/>
              <w:spacing w:before="40" w:after="40"/>
              <w:jc w:val="left"/>
              <w:rPr>
                <w:sz w:val="10"/>
                <w:szCs w:val="18"/>
                <w:lang w:val="fr-FR"/>
              </w:rPr>
            </w:pPr>
          </w:p>
        </w:tc>
      </w:tr>
      <w:tr w:rsidR="00724CDC" w:rsidRPr="00E51C73" w:rsidTr="00AE17D1">
        <w:trPr>
          <w:cantSplit/>
        </w:trPr>
        <w:tc>
          <w:tcPr>
            <w:tcW w:w="1277" w:type="dxa"/>
            <w:tcBorders>
              <w:top w:val="single" w:sz="4" w:space="0" w:color="auto"/>
              <w:left w:val="single" w:sz="4" w:space="0" w:color="auto"/>
              <w:bottom w:val="single" w:sz="4" w:space="0" w:color="auto"/>
              <w:right w:val="single" w:sz="4" w:space="0" w:color="auto"/>
            </w:tcBorders>
            <w:hideMark/>
          </w:tcPr>
          <w:p w:rsidR="00724CDC" w:rsidRPr="00E51C73" w:rsidRDefault="00724CDC" w:rsidP="00AE17D1">
            <w:pPr>
              <w:spacing w:before="40" w:after="40"/>
              <w:jc w:val="left"/>
              <w:rPr>
                <w:sz w:val="18"/>
                <w:szCs w:val="18"/>
                <w:lang w:val="fr-FR"/>
              </w:rPr>
            </w:pPr>
            <w:r w:rsidRPr="00E51C73">
              <w:rPr>
                <w:sz w:val="18"/>
                <w:szCs w:val="18"/>
                <w:lang w:val="fr-FR"/>
              </w:rPr>
              <w:t>Classe 201</w:t>
            </w:r>
          </w:p>
        </w:tc>
        <w:tc>
          <w:tcPr>
            <w:tcW w:w="4473" w:type="dxa"/>
            <w:tcBorders>
              <w:top w:val="single" w:sz="4" w:space="0" w:color="auto"/>
              <w:left w:val="single" w:sz="4" w:space="0" w:color="auto"/>
              <w:bottom w:val="single" w:sz="4" w:space="0" w:color="auto"/>
              <w:right w:val="single" w:sz="4" w:space="0" w:color="auto"/>
            </w:tcBorders>
            <w:hideMark/>
          </w:tcPr>
          <w:p w:rsidR="00724CDC" w:rsidRPr="00E51C73" w:rsidRDefault="00724CDC" w:rsidP="00AE17D1">
            <w:pPr>
              <w:keepNext/>
              <w:spacing w:before="40" w:after="40"/>
              <w:jc w:val="left"/>
              <w:rPr>
                <w:sz w:val="18"/>
                <w:szCs w:val="18"/>
                <w:lang w:val="fr-FR"/>
              </w:rPr>
            </w:pPr>
            <w:r w:rsidRPr="00E51C73">
              <w:rPr>
                <w:i/>
                <w:sz w:val="18"/>
                <w:szCs w:val="18"/>
                <w:lang w:val="fr-FR"/>
              </w:rPr>
              <w:t>Secale</w:t>
            </w:r>
            <w:r w:rsidRPr="00E51C73">
              <w:rPr>
                <w:sz w:val="18"/>
                <w:szCs w:val="18"/>
                <w:lang w:val="fr-FR"/>
              </w:rPr>
              <w:t xml:space="preserve">, </w:t>
            </w:r>
            <w:r w:rsidRPr="00E51C73">
              <w:rPr>
                <w:i/>
                <w:sz w:val="18"/>
                <w:szCs w:val="18"/>
                <w:lang w:val="fr-FR"/>
              </w:rPr>
              <w:t>Triticale</w:t>
            </w:r>
            <w:r w:rsidRPr="00E51C73">
              <w:rPr>
                <w:sz w:val="18"/>
                <w:szCs w:val="18"/>
                <w:lang w:val="fr-FR"/>
              </w:rPr>
              <w:t xml:space="preserve">, </w:t>
            </w:r>
            <w:r w:rsidRPr="00E51C73">
              <w:rPr>
                <w:i/>
                <w:sz w:val="18"/>
                <w:szCs w:val="18"/>
                <w:lang w:val="fr-FR"/>
              </w:rPr>
              <w:t>Triticum</w:t>
            </w:r>
            <w:r w:rsidRPr="00E51C73">
              <w:rPr>
                <w:sz w:val="18"/>
                <w:szCs w:val="18"/>
                <w:lang w:val="fr-FR"/>
              </w:rPr>
              <w:t xml:space="preserve">, </w:t>
            </w:r>
            <w:r w:rsidRPr="00E51C73">
              <w:rPr>
                <w:rFonts w:cs="Arial"/>
                <w:i/>
                <w:sz w:val="18"/>
                <w:u w:val="single"/>
                <w:shd w:val="pct15" w:color="auto" w:fill="FFFFFF"/>
                <w:lang w:val="fr-FR"/>
              </w:rPr>
              <w:t>×Trititrigia</w:t>
            </w:r>
          </w:p>
        </w:tc>
        <w:tc>
          <w:tcPr>
            <w:tcW w:w="4034" w:type="dxa"/>
            <w:tcBorders>
              <w:top w:val="single" w:sz="4" w:space="0" w:color="auto"/>
              <w:left w:val="single" w:sz="4" w:space="0" w:color="auto"/>
              <w:bottom w:val="single" w:sz="4" w:space="0" w:color="auto"/>
              <w:right w:val="single" w:sz="4" w:space="0" w:color="auto"/>
            </w:tcBorders>
            <w:hideMark/>
          </w:tcPr>
          <w:p w:rsidR="00724CDC" w:rsidRPr="00E51C73" w:rsidRDefault="00724CDC" w:rsidP="00AE17D1">
            <w:pPr>
              <w:keepNext/>
              <w:spacing w:before="40" w:after="40"/>
              <w:jc w:val="left"/>
              <w:rPr>
                <w:sz w:val="18"/>
                <w:szCs w:val="18"/>
                <w:lang w:val="fr-FR"/>
              </w:rPr>
            </w:pPr>
            <w:r w:rsidRPr="00E51C73">
              <w:rPr>
                <w:sz w:val="18"/>
                <w:szCs w:val="18"/>
                <w:lang w:val="fr-FR"/>
              </w:rPr>
              <w:t xml:space="preserve">SECAL, TRITL, TRITI, </w:t>
            </w:r>
            <w:r w:rsidRPr="00E51C73">
              <w:rPr>
                <w:rFonts w:cs="Arial"/>
                <w:sz w:val="18"/>
                <w:u w:val="single"/>
                <w:shd w:val="pct15" w:color="auto" w:fill="FFFFFF"/>
                <w:lang w:val="fr-FR"/>
              </w:rPr>
              <w:t>TRITT</w:t>
            </w:r>
          </w:p>
        </w:tc>
      </w:tr>
    </w:tbl>
    <w:p w:rsidR="00724CDC" w:rsidRPr="00E51C73" w:rsidRDefault="00724CDC" w:rsidP="00724CDC">
      <w:pPr>
        <w:rPr>
          <w:lang w:val="fr-FR"/>
        </w:rPr>
      </w:pPr>
    </w:p>
    <w:p w:rsidR="00724CDC" w:rsidRPr="00E51C73" w:rsidRDefault="00724CDC" w:rsidP="00724CDC">
      <w:pPr>
        <w:rPr>
          <w:lang w:val="fr-FR"/>
        </w:rPr>
      </w:pPr>
    </w:p>
    <w:p w:rsidR="00724CDC" w:rsidRPr="00E51C73" w:rsidRDefault="00724CDC" w:rsidP="00724CDC">
      <w:pPr>
        <w:jc w:val="left"/>
        <w:rPr>
          <w:lang w:val="fr-FR"/>
        </w:rPr>
      </w:pPr>
    </w:p>
    <w:p w:rsidR="00724CDC" w:rsidRPr="00E51C73" w:rsidRDefault="00724CDC" w:rsidP="00724CDC">
      <w:pPr>
        <w:jc w:val="right"/>
        <w:rPr>
          <w:lang w:val="fr-FR"/>
        </w:rPr>
      </w:pPr>
      <w:r w:rsidRPr="00E51C73">
        <w:rPr>
          <w:lang w:val="fr-FR"/>
        </w:rPr>
        <w:t>[L’annexe II suit]</w:t>
      </w:r>
    </w:p>
    <w:p w:rsidR="00724CDC" w:rsidRPr="00E51C73" w:rsidRDefault="00724CDC" w:rsidP="00724CDC">
      <w:pPr>
        <w:rPr>
          <w:lang w:val="fr-FR"/>
        </w:rPr>
        <w:sectPr w:rsidR="00724CDC" w:rsidRPr="00E51C73" w:rsidSect="0004198B">
          <w:headerReference w:type="even" r:id="rId10"/>
          <w:headerReference w:type="default" r:id="rId11"/>
          <w:footerReference w:type="even" r:id="rId12"/>
          <w:footerReference w:type="default" r:id="rId13"/>
          <w:headerReference w:type="first" r:id="rId14"/>
          <w:footerReference w:type="first" r:id="rId15"/>
          <w:pgSz w:w="11907" w:h="16840" w:code="9"/>
          <w:pgMar w:top="510" w:right="1134" w:bottom="1134" w:left="1134" w:header="510" w:footer="680" w:gutter="0"/>
          <w:pgNumType w:start="1"/>
          <w:cols w:space="720"/>
          <w:titlePg/>
        </w:sectPr>
      </w:pPr>
    </w:p>
    <w:p w:rsidR="00724CDC" w:rsidRPr="00E51C73" w:rsidRDefault="00A0092F" w:rsidP="00724CDC">
      <w:pPr>
        <w:jc w:val="center"/>
        <w:rPr>
          <w:lang w:val="fr-FR"/>
        </w:rPr>
      </w:pPr>
      <w:r>
        <w:rPr>
          <w:lang w:val="fr-FR"/>
        </w:rPr>
        <w:lastRenderedPageBreak/>
        <w:t>C/56/3</w:t>
      </w:r>
    </w:p>
    <w:p w:rsidR="00724CDC" w:rsidRPr="00E51C73" w:rsidRDefault="00724CDC" w:rsidP="00724CDC">
      <w:pPr>
        <w:jc w:val="center"/>
        <w:rPr>
          <w:lang w:val="fr-FR"/>
        </w:rPr>
      </w:pPr>
    </w:p>
    <w:p w:rsidR="00724CDC" w:rsidRPr="00E51C73" w:rsidRDefault="00724CDC" w:rsidP="00724CDC">
      <w:pPr>
        <w:jc w:val="center"/>
        <w:rPr>
          <w:lang w:val="fr-FR"/>
        </w:rPr>
      </w:pPr>
      <w:r w:rsidRPr="00E51C73">
        <w:rPr>
          <w:lang w:val="fr-FR"/>
        </w:rPr>
        <w:t>ANNEXE II</w:t>
      </w:r>
    </w:p>
    <w:p w:rsidR="00724CDC" w:rsidRPr="00E51C73" w:rsidRDefault="00724CDC" w:rsidP="00724CDC">
      <w:pPr>
        <w:rPr>
          <w:lang w:val="fr-FR"/>
        </w:rPr>
      </w:pPr>
    </w:p>
    <w:p w:rsidR="00724CDC" w:rsidRPr="00E51C73" w:rsidRDefault="00724CDC" w:rsidP="00724CDC">
      <w:pPr>
        <w:rPr>
          <w:lang w:val="fr-FR"/>
        </w:rPr>
      </w:pPr>
    </w:p>
    <w:p w:rsidR="00724CDC" w:rsidRPr="00E51C73" w:rsidRDefault="00724CDC" w:rsidP="00724CDC">
      <w:pPr>
        <w:rPr>
          <w:u w:val="single"/>
          <w:lang w:val="fr-FR"/>
        </w:rPr>
      </w:pPr>
      <w:r w:rsidRPr="00E51C73">
        <w:rPr>
          <w:u w:val="single"/>
          <w:lang w:val="fr-FR"/>
        </w:rPr>
        <w:t>Document TGP/8 : Protocole d’essai et techniques utilisés dans l’examen de la distinction, de l’homogénéité et de la stabilité (révision)</w:t>
      </w:r>
    </w:p>
    <w:p w:rsidR="00724CDC" w:rsidRPr="00E51C73" w:rsidRDefault="00724CDC" w:rsidP="00724CDC">
      <w:pPr>
        <w:keepNext/>
        <w:rPr>
          <w:lang w:val="fr-FR"/>
        </w:rPr>
      </w:pPr>
    </w:p>
    <w:p w:rsidR="00724CDC" w:rsidRPr="00E51C73" w:rsidRDefault="00724CDC" w:rsidP="00724CDC">
      <w:pPr>
        <w:rPr>
          <w:rFonts w:eastAsia="MS Mincho"/>
          <w:i/>
          <w:lang w:val="fr-FR"/>
        </w:rPr>
      </w:pPr>
      <w:r w:rsidRPr="00E51C73">
        <w:rPr>
          <w:rFonts w:eastAsia="MS Mincho"/>
          <w:i/>
          <w:lang w:val="fr-FR"/>
        </w:rPr>
        <w:t>Traitement des données aux fins de l’élaboration de descriptions variétales concernant des caractères quantitatifs mesurés</w:t>
      </w:r>
    </w:p>
    <w:p w:rsidR="00724CDC" w:rsidRPr="00E51C73" w:rsidRDefault="00724CDC" w:rsidP="00724CDC">
      <w:pPr>
        <w:rPr>
          <w:lang w:val="fr-FR"/>
        </w:rPr>
      </w:pPr>
    </w:p>
    <w:p w:rsidR="00724CDC" w:rsidRPr="00E51C73" w:rsidRDefault="00724CDC" w:rsidP="00724CDC">
      <w:pPr>
        <w:rPr>
          <w:lang w:val="fr-FR"/>
        </w:rPr>
      </w:pPr>
      <w:r w:rsidRPr="00E51C73">
        <w:rPr>
          <w:lang w:val="fr-FR"/>
        </w:rPr>
        <w:t>À sa cinquante-septième session tenue par voie électronique les 25 et 26 octobre 2021, le TC a approuvé l’inclusion d’orientations sur “Les différentes formes que pourraient prendre les descriptions variétales et la pertinence des niveaux d’échelle” dans le document TGP/8, première partie, section 2 “Données à enregistrer” en tant que nouvelle section 2.5, comme suit (voir le paragraphe 27 du document TC/57/25 “Compte rendu”) :</w:t>
      </w:r>
    </w:p>
    <w:p w:rsidR="00724CDC" w:rsidRPr="00E51C73" w:rsidRDefault="00724CDC" w:rsidP="00724CDC">
      <w:pPr>
        <w:keepNext/>
        <w:rPr>
          <w:lang w:val="fr-FR"/>
        </w:rPr>
      </w:pPr>
    </w:p>
    <w:p w:rsidR="00724CDC" w:rsidRPr="00E51C73" w:rsidRDefault="00724CDC" w:rsidP="00724CDC">
      <w:pPr>
        <w:rPr>
          <w:lang w:val="fr-FR"/>
        </w:rPr>
      </w:pPr>
    </w:p>
    <w:p w:rsidR="00724CDC" w:rsidRPr="00E51C73" w:rsidRDefault="00724CDC" w:rsidP="00724CDC">
      <w:pPr>
        <w:ind w:left="567"/>
        <w:jc w:val="center"/>
        <w:rPr>
          <w:sz w:val="18"/>
          <w:lang w:val="fr-FR"/>
        </w:rPr>
      </w:pPr>
      <w:r w:rsidRPr="00E51C73">
        <w:rPr>
          <w:sz w:val="18"/>
          <w:lang w:val="fr-FR"/>
        </w:rPr>
        <w:t>“LES DIFFÉRENTES FORMES QUE POURRAIENT PRENDRE LES DESCRIPTIONS VARIÉTALES</w:t>
      </w:r>
    </w:p>
    <w:p w:rsidR="00724CDC" w:rsidRPr="00E51C73" w:rsidRDefault="00724CDC" w:rsidP="00724CDC">
      <w:pPr>
        <w:ind w:left="567"/>
        <w:jc w:val="center"/>
        <w:rPr>
          <w:sz w:val="18"/>
          <w:lang w:val="fr-FR"/>
        </w:rPr>
      </w:pPr>
      <w:r w:rsidRPr="00E51C73">
        <w:rPr>
          <w:sz w:val="18"/>
          <w:lang w:val="fr-FR"/>
        </w:rPr>
        <w:t>ET LA PERTINENCE DES NIVEAUX D’ÉCHELLE</w:t>
      </w:r>
    </w:p>
    <w:p w:rsidR="00724CDC" w:rsidRPr="00E51C73" w:rsidRDefault="00724CDC" w:rsidP="00724CDC">
      <w:pPr>
        <w:ind w:left="567"/>
        <w:rPr>
          <w:sz w:val="18"/>
          <w:lang w:val="fr-FR"/>
        </w:rPr>
      </w:pPr>
    </w:p>
    <w:p w:rsidR="00724CDC" w:rsidRPr="00E51C73" w:rsidRDefault="00724CDC" w:rsidP="00724CDC">
      <w:pPr>
        <w:ind w:left="567" w:right="567"/>
        <w:rPr>
          <w:rFonts w:cs="Arial"/>
          <w:sz w:val="18"/>
          <w:lang w:val="fr-FR"/>
        </w:rPr>
      </w:pPr>
      <w:r w:rsidRPr="00E51C73">
        <w:rPr>
          <w:rFonts w:cs="Arial"/>
          <w:sz w:val="18"/>
          <w:lang w:val="fr-FR"/>
        </w:rPr>
        <w:t>“Les descriptions variétales peuvent être fondées sur des données différentes selon la finalité de la description.  Des descriptions variétales différentes peuvent être utilisées aux fins de l’évaluation de la distinction ou dans le document officiel sur lequel repose l’octroi de la protection.  Lorsque des descriptions variétales sont utilisées pour l’évaluation de la distinction, il est important de tenir compte des données sur lesquelles les descriptions des différentes variétés sont fondées.  Une attention particulière doit être accordée à l’influence éventuelle des années et des sites.</w:t>
      </w:r>
    </w:p>
    <w:p w:rsidR="00724CDC" w:rsidRPr="00E51C73" w:rsidRDefault="00724CDC" w:rsidP="00724CDC">
      <w:pPr>
        <w:ind w:left="567" w:right="567"/>
        <w:rPr>
          <w:rFonts w:cs="Arial"/>
          <w:sz w:val="18"/>
          <w:lang w:val="fr-FR"/>
        </w:rPr>
      </w:pPr>
    </w:p>
    <w:p w:rsidR="00724CDC" w:rsidRPr="00E51C73" w:rsidRDefault="00724CDC" w:rsidP="00724CDC">
      <w:pPr>
        <w:ind w:left="567" w:right="567"/>
        <w:rPr>
          <w:rFonts w:cs="Arial"/>
          <w:sz w:val="18"/>
          <w:lang w:val="fr-FR"/>
        </w:rPr>
      </w:pPr>
      <w:r w:rsidRPr="00E51C73">
        <w:rPr>
          <w:rFonts w:cs="Arial"/>
          <w:sz w:val="18"/>
          <w:lang w:val="fr-FR"/>
        </w:rPr>
        <w:t>“Les différentes formes de description variétale et leur pertinence pour l’évaluation de la distinction peuvent être classées selon les différents niveaux de processus aux fins de l’examen d’un caractère.  Les niveaux de processus sont définis dans le document TGP/8 : première partie ‘Protocole d’essai DHS et analyse des données’, section 2 ‘Données à enregistrer’ comme suit :</w:t>
      </w:r>
    </w:p>
    <w:p w:rsidR="00724CDC" w:rsidRPr="00E51C73" w:rsidRDefault="00724CDC" w:rsidP="00724CDC">
      <w:pPr>
        <w:rPr>
          <w:rFonts w:cs="Arial"/>
          <w:lang w:val="fr-FR"/>
        </w:rPr>
      </w:pPr>
    </w:p>
    <w:p w:rsidR="00724CDC" w:rsidRPr="00E51C73" w:rsidRDefault="00724CDC" w:rsidP="00724CDC">
      <w:pPr>
        <w:tabs>
          <w:tab w:val="left" w:pos="9072"/>
        </w:tabs>
        <w:autoSpaceDE w:val="0"/>
        <w:autoSpaceDN w:val="0"/>
        <w:adjustRightInd w:val="0"/>
        <w:spacing w:line="271" w:lineRule="exact"/>
        <w:ind w:left="567"/>
        <w:rPr>
          <w:rFonts w:cs="Arial"/>
          <w:sz w:val="18"/>
          <w:lang w:val="fr-FR"/>
        </w:rPr>
      </w:pPr>
      <w:r>
        <w:rPr>
          <w:rFonts w:cs="Arial"/>
          <w:i/>
          <w:sz w:val="18"/>
          <w:lang w:val="fr-FR"/>
        </w:rPr>
        <w:t>“</w:t>
      </w:r>
      <w:r w:rsidRPr="00E51C73">
        <w:rPr>
          <w:rFonts w:cs="Arial"/>
          <w:i/>
          <w:sz w:val="18"/>
          <w:lang w:val="fr-FR"/>
        </w:rPr>
        <w:t>Tableau 5 : Définition des différents niveaux de processus aux fins de l’examen des caractères</w:t>
      </w:r>
    </w:p>
    <w:p w:rsidR="00724CDC" w:rsidRPr="00E51C73" w:rsidRDefault="00724CDC" w:rsidP="00724CDC">
      <w:pPr>
        <w:autoSpaceDE w:val="0"/>
        <w:autoSpaceDN w:val="0"/>
        <w:adjustRightInd w:val="0"/>
        <w:spacing w:before="2" w:line="280" w:lineRule="exact"/>
        <w:rPr>
          <w:rFonts w:cs="Arial"/>
          <w:sz w:val="18"/>
          <w:lang w:val="fr-FR"/>
        </w:rPr>
      </w:pPr>
    </w:p>
    <w:tbl>
      <w:tblPr>
        <w:tblW w:w="0" w:type="auto"/>
        <w:tblInd w:w="572" w:type="dxa"/>
        <w:tblLayout w:type="fixed"/>
        <w:tblCellMar>
          <w:left w:w="0" w:type="dxa"/>
          <w:right w:w="0" w:type="dxa"/>
        </w:tblCellMar>
        <w:tblLook w:val="04A0" w:firstRow="1" w:lastRow="0" w:firstColumn="1" w:lastColumn="0" w:noHBand="0" w:noVBand="1"/>
      </w:tblPr>
      <w:tblGrid>
        <w:gridCol w:w="1833"/>
        <w:gridCol w:w="5092"/>
      </w:tblGrid>
      <w:tr w:rsidR="00724CDC" w:rsidRPr="002D04D9" w:rsidTr="00AE17D1">
        <w:trPr>
          <w:trHeight w:hRule="exact" w:val="343"/>
        </w:trPr>
        <w:tc>
          <w:tcPr>
            <w:tcW w:w="1833" w:type="dxa"/>
            <w:tcBorders>
              <w:top w:val="single" w:sz="4" w:space="0" w:color="auto"/>
              <w:left w:val="single" w:sz="4" w:space="0" w:color="auto"/>
              <w:bottom w:val="single" w:sz="4" w:space="0" w:color="auto"/>
              <w:right w:val="single" w:sz="4" w:space="0" w:color="auto"/>
            </w:tcBorders>
            <w:shd w:val="clear" w:color="auto" w:fill="DFDFDF"/>
            <w:hideMark/>
          </w:tcPr>
          <w:p w:rsidR="00724CDC" w:rsidRPr="00E51C73" w:rsidRDefault="00724CDC" w:rsidP="00AE17D1">
            <w:pPr>
              <w:autoSpaceDE w:val="0"/>
              <w:autoSpaceDN w:val="0"/>
              <w:adjustRightInd w:val="0"/>
              <w:spacing w:before="37"/>
              <w:ind w:left="35"/>
              <w:jc w:val="center"/>
              <w:rPr>
                <w:rFonts w:cs="Arial"/>
                <w:sz w:val="18"/>
                <w:lang w:val="fr-FR"/>
              </w:rPr>
            </w:pPr>
            <w:r w:rsidRPr="00E51C73">
              <w:rPr>
                <w:rFonts w:cs="Arial"/>
                <w:sz w:val="18"/>
                <w:lang w:val="fr-FR"/>
              </w:rPr>
              <w:t>Niveau de processus</w:t>
            </w:r>
          </w:p>
        </w:tc>
        <w:tc>
          <w:tcPr>
            <w:tcW w:w="5092" w:type="dxa"/>
            <w:tcBorders>
              <w:top w:val="single" w:sz="4" w:space="0" w:color="auto"/>
              <w:left w:val="single" w:sz="4" w:space="0" w:color="auto"/>
              <w:bottom w:val="single" w:sz="4" w:space="0" w:color="auto"/>
              <w:right w:val="single" w:sz="4" w:space="0" w:color="auto"/>
            </w:tcBorders>
            <w:shd w:val="clear" w:color="auto" w:fill="DFDFDF"/>
            <w:hideMark/>
          </w:tcPr>
          <w:p w:rsidR="00724CDC" w:rsidRPr="00E51C73" w:rsidRDefault="00724CDC" w:rsidP="00AE17D1">
            <w:pPr>
              <w:autoSpaceDE w:val="0"/>
              <w:autoSpaceDN w:val="0"/>
              <w:adjustRightInd w:val="0"/>
              <w:spacing w:before="37"/>
              <w:ind w:left="231"/>
              <w:rPr>
                <w:rFonts w:cs="Arial"/>
                <w:sz w:val="18"/>
                <w:lang w:val="fr-FR"/>
              </w:rPr>
            </w:pPr>
            <w:r w:rsidRPr="00E51C73">
              <w:rPr>
                <w:rFonts w:cs="Arial"/>
                <w:sz w:val="18"/>
                <w:lang w:val="fr-FR"/>
              </w:rPr>
              <w:t>Description du niveau de processus</w:t>
            </w:r>
          </w:p>
        </w:tc>
      </w:tr>
      <w:tr w:rsidR="00724CDC" w:rsidRPr="002D04D9" w:rsidTr="00AE17D1">
        <w:trPr>
          <w:trHeight w:hRule="exact" w:val="342"/>
        </w:trPr>
        <w:tc>
          <w:tcPr>
            <w:tcW w:w="1833" w:type="dxa"/>
            <w:tcBorders>
              <w:top w:val="single" w:sz="4" w:space="0" w:color="auto"/>
              <w:left w:val="single" w:sz="4" w:space="0" w:color="auto"/>
              <w:bottom w:val="single" w:sz="4" w:space="0" w:color="auto"/>
              <w:right w:val="single" w:sz="4" w:space="0" w:color="auto"/>
            </w:tcBorders>
            <w:hideMark/>
          </w:tcPr>
          <w:p w:rsidR="00724CDC" w:rsidRPr="00E51C73" w:rsidRDefault="00724CDC" w:rsidP="00AE17D1">
            <w:pPr>
              <w:autoSpaceDE w:val="0"/>
              <w:autoSpaceDN w:val="0"/>
              <w:adjustRightInd w:val="0"/>
              <w:spacing w:before="37"/>
              <w:ind w:left="60"/>
              <w:jc w:val="center"/>
              <w:rPr>
                <w:rFonts w:cs="Arial"/>
                <w:sz w:val="18"/>
                <w:lang w:val="fr-FR"/>
              </w:rPr>
            </w:pPr>
            <w:r w:rsidRPr="00E51C73">
              <w:rPr>
                <w:rFonts w:cs="Arial"/>
                <w:sz w:val="18"/>
                <w:lang w:val="fr-FR"/>
              </w:rPr>
              <w:t>1</w:t>
            </w:r>
          </w:p>
        </w:tc>
        <w:tc>
          <w:tcPr>
            <w:tcW w:w="5092" w:type="dxa"/>
            <w:tcBorders>
              <w:top w:val="single" w:sz="4" w:space="0" w:color="auto"/>
              <w:left w:val="single" w:sz="4" w:space="0" w:color="auto"/>
              <w:bottom w:val="single" w:sz="4" w:space="0" w:color="auto"/>
              <w:right w:val="single" w:sz="4" w:space="0" w:color="auto"/>
            </w:tcBorders>
            <w:hideMark/>
          </w:tcPr>
          <w:p w:rsidR="00724CDC" w:rsidRPr="00E51C73" w:rsidRDefault="00724CDC" w:rsidP="00AE17D1">
            <w:pPr>
              <w:autoSpaceDE w:val="0"/>
              <w:autoSpaceDN w:val="0"/>
              <w:adjustRightInd w:val="0"/>
              <w:spacing w:before="37"/>
              <w:ind w:left="231"/>
              <w:rPr>
                <w:rFonts w:cs="Arial"/>
                <w:sz w:val="18"/>
                <w:lang w:val="fr-FR"/>
              </w:rPr>
            </w:pPr>
            <w:r w:rsidRPr="00E51C73">
              <w:rPr>
                <w:rFonts w:cs="Arial"/>
                <w:sz w:val="18"/>
                <w:lang w:val="fr-FR"/>
              </w:rPr>
              <w:t>caractère tel qu’il est exprimé dans l’essai</w:t>
            </w:r>
          </w:p>
        </w:tc>
      </w:tr>
      <w:tr w:rsidR="00724CDC" w:rsidRPr="002D04D9" w:rsidTr="00AE17D1">
        <w:trPr>
          <w:trHeight w:hRule="exact" w:val="343"/>
        </w:trPr>
        <w:tc>
          <w:tcPr>
            <w:tcW w:w="1833" w:type="dxa"/>
            <w:tcBorders>
              <w:top w:val="single" w:sz="4" w:space="0" w:color="auto"/>
              <w:left w:val="single" w:sz="4" w:space="0" w:color="auto"/>
              <w:bottom w:val="single" w:sz="4" w:space="0" w:color="auto"/>
              <w:right w:val="single" w:sz="4" w:space="0" w:color="auto"/>
            </w:tcBorders>
            <w:hideMark/>
          </w:tcPr>
          <w:p w:rsidR="00724CDC" w:rsidRPr="00E51C73" w:rsidRDefault="00724CDC" w:rsidP="00AE17D1">
            <w:pPr>
              <w:autoSpaceDE w:val="0"/>
              <w:autoSpaceDN w:val="0"/>
              <w:adjustRightInd w:val="0"/>
              <w:spacing w:before="37"/>
              <w:ind w:left="60"/>
              <w:jc w:val="center"/>
              <w:rPr>
                <w:rFonts w:cs="Arial"/>
                <w:sz w:val="18"/>
                <w:lang w:val="fr-FR"/>
              </w:rPr>
            </w:pPr>
            <w:r w:rsidRPr="00E51C73">
              <w:rPr>
                <w:rFonts w:cs="Arial"/>
                <w:sz w:val="18"/>
                <w:lang w:val="fr-FR"/>
              </w:rPr>
              <w:t>2</w:t>
            </w:r>
          </w:p>
        </w:tc>
        <w:tc>
          <w:tcPr>
            <w:tcW w:w="5092" w:type="dxa"/>
            <w:tcBorders>
              <w:top w:val="single" w:sz="4" w:space="0" w:color="auto"/>
              <w:left w:val="single" w:sz="4" w:space="0" w:color="auto"/>
              <w:bottom w:val="single" w:sz="4" w:space="0" w:color="auto"/>
              <w:right w:val="single" w:sz="4" w:space="0" w:color="auto"/>
            </w:tcBorders>
            <w:hideMark/>
          </w:tcPr>
          <w:p w:rsidR="00724CDC" w:rsidRPr="00E51C73" w:rsidRDefault="00724CDC" w:rsidP="00AE17D1">
            <w:pPr>
              <w:autoSpaceDE w:val="0"/>
              <w:autoSpaceDN w:val="0"/>
              <w:adjustRightInd w:val="0"/>
              <w:spacing w:before="37"/>
              <w:ind w:left="231"/>
              <w:rPr>
                <w:rFonts w:cs="Arial"/>
                <w:sz w:val="18"/>
                <w:lang w:val="fr-FR"/>
              </w:rPr>
            </w:pPr>
            <w:r w:rsidRPr="00E51C73">
              <w:rPr>
                <w:rFonts w:cs="Arial"/>
                <w:sz w:val="18"/>
                <w:lang w:val="fr-FR"/>
              </w:rPr>
              <w:t>données pour l’évaluation du caractère</w:t>
            </w:r>
          </w:p>
        </w:tc>
      </w:tr>
      <w:tr w:rsidR="00724CDC" w:rsidRPr="00E51C73" w:rsidTr="00AE17D1">
        <w:trPr>
          <w:trHeight w:hRule="exact" w:val="343"/>
        </w:trPr>
        <w:tc>
          <w:tcPr>
            <w:tcW w:w="1833" w:type="dxa"/>
            <w:tcBorders>
              <w:top w:val="single" w:sz="4" w:space="0" w:color="auto"/>
              <w:left w:val="single" w:sz="4" w:space="0" w:color="auto"/>
              <w:bottom w:val="single" w:sz="4" w:space="0" w:color="auto"/>
              <w:right w:val="single" w:sz="4" w:space="0" w:color="auto"/>
            </w:tcBorders>
            <w:hideMark/>
          </w:tcPr>
          <w:p w:rsidR="00724CDC" w:rsidRPr="00E51C73" w:rsidRDefault="00724CDC" w:rsidP="00AE17D1">
            <w:pPr>
              <w:autoSpaceDE w:val="0"/>
              <w:autoSpaceDN w:val="0"/>
              <w:adjustRightInd w:val="0"/>
              <w:spacing w:before="37"/>
              <w:ind w:left="60"/>
              <w:jc w:val="center"/>
              <w:rPr>
                <w:rFonts w:cs="Arial"/>
                <w:sz w:val="18"/>
                <w:lang w:val="fr-FR"/>
              </w:rPr>
            </w:pPr>
            <w:r w:rsidRPr="00E51C73">
              <w:rPr>
                <w:rFonts w:cs="Arial"/>
                <w:sz w:val="18"/>
                <w:lang w:val="fr-FR"/>
              </w:rPr>
              <w:t>3</w:t>
            </w:r>
          </w:p>
        </w:tc>
        <w:tc>
          <w:tcPr>
            <w:tcW w:w="5092" w:type="dxa"/>
            <w:tcBorders>
              <w:top w:val="single" w:sz="4" w:space="0" w:color="auto"/>
              <w:left w:val="single" w:sz="4" w:space="0" w:color="auto"/>
              <w:bottom w:val="single" w:sz="4" w:space="0" w:color="auto"/>
              <w:right w:val="single" w:sz="4" w:space="0" w:color="auto"/>
            </w:tcBorders>
            <w:hideMark/>
          </w:tcPr>
          <w:p w:rsidR="00724CDC" w:rsidRPr="00E51C73" w:rsidRDefault="00724CDC" w:rsidP="00AE17D1">
            <w:pPr>
              <w:autoSpaceDE w:val="0"/>
              <w:autoSpaceDN w:val="0"/>
              <w:adjustRightInd w:val="0"/>
              <w:spacing w:before="37"/>
              <w:ind w:left="231"/>
              <w:rPr>
                <w:rFonts w:cs="Arial"/>
                <w:sz w:val="18"/>
                <w:lang w:val="fr-FR"/>
              </w:rPr>
            </w:pPr>
            <w:r w:rsidRPr="00E51C73">
              <w:rPr>
                <w:rFonts w:cs="Arial"/>
                <w:sz w:val="18"/>
                <w:lang w:val="fr-FR"/>
              </w:rPr>
              <w:t>description variétale</w:t>
            </w:r>
          </w:p>
        </w:tc>
      </w:tr>
    </w:tbl>
    <w:p w:rsidR="00724CDC" w:rsidRPr="00E51C73" w:rsidRDefault="00724CDC" w:rsidP="00724CDC">
      <w:pPr>
        <w:autoSpaceDE w:val="0"/>
        <w:autoSpaceDN w:val="0"/>
        <w:adjustRightInd w:val="0"/>
        <w:spacing w:before="18" w:line="220" w:lineRule="exact"/>
        <w:ind w:left="7797"/>
        <w:rPr>
          <w:rFonts w:cs="Arial"/>
          <w:sz w:val="18"/>
          <w:lang w:val="fr-FR"/>
        </w:rPr>
      </w:pPr>
    </w:p>
    <w:p w:rsidR="00724CDC" w:rsidRPr="00E51C73" w:rsidRDefault="00724CDC" w:rsidP="00724CDC">
      <w:pPr>
        <w:autoSpaceDE w:val="0"/>
        <w:autoSpaceDN w:val="0"/>
        <w:adjustRightInd w:val="0"/>
        <w:spacing w:before="18" w:line="220" w:lineRule="exact"/>
        <w:rPr>
          <w:rFonts w:cs="Arial"/>
          <w:lang w:val="fr-FR"/>
        </w:rPr>
      </w:pPr>
    </w:p>
    <w:p w:rsidR="00724CDC" w:rsidRPr="00E51C73" w:rsidRDefault="00724CDC" w:rsidP="00724CDC">
      <w:pPr>
        <w:ind w:left="567" w:right="567"/>
        <w:rPr>
          <w:rFonts w:cs="Arial"/>
          <w:sz w:val="18"/>
          <w:lang w:val="fr-FR"/>
        </w:rPr>
      </w:pPr>
      <w:r w:rsidRPr="00E51C73">
        <w:rPr>
          <w:rFonts w:cs="Arial"/>
          <w:sz w:val="18"/>
          <w:lang w:val="fr-FR"/>
        </w:rPr>
        <w:t>“Les niveaux de processus pertinents aux fins de l’évaluation de la distinction sont les niveaux 2 et 3.  Toute comparaison entre des variétés au sein d’un même essai (même(s) année(s), même(s) site(s)) est faite sur la base des données réelles enregistrées durant l’essai.  Cette méthode s’applique au niveau de processus 2.  Si les variétés ne sont pas cultivées dans le cadre d’un même essai, elles doivent être comparées sur la base des descriptions variétales qui se rapportent au niveau de processus 3.  En général, l’identification de variétés voisines à inclure dans l’essai en culture (‘gestion de la collection de variétés’) a trait au niveau de processus 3 tandis que l’évaluation des données au sein de l’essai en culture se rapporte au niveau de processus 2.</w:t>
      </w:r>
    </w:p>
    <w:p w:rsidR="00724CDC" w:rsidRPr="00E51C73" w:rsidRDefault="00724CDC" w:rsidP="00724CDC">
      <w:pPr>
        <w:rPr>
          <w:rFonts w:cs="Arial"/>
          <w:lang w:val="fr-FR"/>
        </w:rPr>
      </w:pPr>
    </w:p>
    <w:tbl>
      <w:tblPr>
        <w:tblStyle w:val="TableGrid"/>
        <w:tblW w:w="0" w:type="auto"/>
        <w:tblInd w:w="108" w:type="dxa"/>
        <w:tblLook w:val="04A0" w:firstRow="1" w:lastRow="0" w:firstColumn="1" w:lastColumn="0" w:noHBand="0" w:noVBand="1"/>
      </w:tblPr>
      <w:tblGrid>
        <w:gridCol w:w="1101"/>
        <w:gridCol w:w="2268"/>
        <w:gridCol w:w="2976"/>
        <w:gridCol w:w="2867"/>
      </w:tblGrid>
      <w:tr w:rsidR="00724CDC" w:rsidRPr="00E51C73" w:rsidTr="00AE17D1">
        <w:tc>
          <w:tcPr>
            <w:tcW w:w="1101" w:type="dxa"/>
            <w:tcBorders>
              <w:top w:val="single" w:sz="4" w:space="0" w:color="auto"/>
              <w:left w:val="single" w:sz="4" w:space="0" w:color="auto"/>
              <w:bottom w:val="single" w:sz="4" w:space="0" w:color="auto"/>
              <w:right w:val="single" w:sz="4" w:space="0" w:color="auto"/>
            </w:tcBorders>
            <w:hideMark/>
          </w:tcPr>
          <w:p w:rsidR="00724CDC" w:rsidRPr="00E51C73" w:rsidRDefault="00724CDC" w:rsidP="00AE17D1">
            <w:pPr>
              <w:jc w:val="center"/>
              <w:rPr>
                <w:rFonts w:cs="Arial"/>
                <w:sz w:val="18"/>
                <w:lang w:val="fr-FR"/>
              </w:rPr>
            </w:pPr>
            <w:r w:rsidRPr="00E51C73">
              <w:rPr>
                <w:rFonts w:cs="Arial"/>
                <w:sz w:val="18"/>
                <w:lang w:val="fr-FR"/>
              </w:rPr>
              <w:t>Niveau de processus</w:t>
            </w:r>
          </w:p>
        </w:tc>
        <w:tc>
          <w:tcPr>
            <w:tcW w:w="2268" w:type="dxa"/>
            <w:tcBorders>
              <w:top w:val="single" w:sz="4" w:space="0" w:color="auto"/>
              <w:left w:val="single" w:sz="4" w:space="0" w:color="auto"/>
              <w:bottom w:val="single" w:sz="4" w:space="0" w:color="auto"/>
              <w:right w:val="single" w:sz="4" w:space="0" w:color="auto"/>
            </w:tcBorders>
            <w:hideMark/>
          </w:tcPr>
          <w:p w:rsidR="00724CDC" w:rsidRPr="00E51C73" w:rsidRDefault="00724CDC" w:rsidP="00AE17D1">
            <w:pPr>
              <w:jc w:val="center"/>
              <w:rPr>
                <w:rFonts w:cs="Arial"/>
                <w:sz w:val="18"/>
                <w:lang w:val="fr-FR"/>
              </w:rPr>
            </w:pPr>
            <w:r w:rsidRPr="00E51C73">
              <w:rPr>
                <w:rFonts w:cs="Arial"/>
                <w:sz w:val="18"/>
                <w:lang w:val="fr-FR"/>
              </w:rPr>
              <w:t>Mesures</w:t>
            </w:r>
          </w:p>
          <w:p w:rsidR="00724CDC" w:rsidRPr="00E51C73" w:rsidRDefault="00724CDC" w:rsidP="00AE17D1">
            <w:pPr>
              <w:jc w:val="center"/>
              <w:rPr>
                <w:rFonts w:cs="Arial"/>
                <w:sz w:val="18"/>
                <w:lang w:val="fr-FR"/>
              </w:rPr>
            </w:pPr>
            <w:r w:rsidRPr="00E51C73">
              <w:rPr>
                <w:rFonts w:cs="Arial"/>
                <w:sz w:val="18"/>
                <w:lang w:val="fr-FR"/>
              </w:rPr>
              <w:t>(QN)</w:t>
            </w:r>
          </w:p>
        </w:tc>
        <w:tc>
          <w:tcPr>
            <w:tcW w:w="2976" w:type="dxa"/>
            <w:tcBorders>
              <w:top w:val="single" w:sz="4" w:space="0" w:color="auto"/>
              <w:left w:val="single" w:sz="4" w:space="0" w:color="auto"/>
              <w:bottom w:val="single" w:sz="4" w:space="0" w:color="auto"/>
              <w:right w:val="single" w:sz="4" w:space="0" w:color="auto"/>
            </w:tcBorders>
            <w:hideMark/>
          </w:tcPr>
          <w:p w:rsidR="00724CDC" w:rsidRPr="00E51C73" w:rsidRDefault="00724CDC" w:rsidP="00AE17D1">
            <w:pPr>
              <w:jc w:val="center"/>
              <w:rPr>
                <w:rFonts w:cs="Arial"/>
                <w:sz w:val="18"/>
                <w:lang w:val="fr-FR"/>
              </w:rPr>
            </w:pPr>
            <w:r w:rsidRPr="00E51C73">
              <w:rPr>
                <w:rFonts w:cs="Arial"/>
                <w:sz w:val="18"/>
                <w:lang w:val="fr-FR"/>
              </w:rPr>
              <w:t>Évaluation visuelle</w:t>
            </w:r>
          </w:p>
          <w:p w:rsidR="00724CDC" w:rsidRPr="00E51C73" w:rsidRDefault="00724CDC" w:rsidP="00AE17D1">
            <w:pPr>
              <w:jc w:val="center"/>
              <w:rPr>
                <w:rFonts w:cs="Arial"/>
                <w:sz w:val="18"/>
                <w:lang w:val="fr-FR"/>
              </w:rPr>
            </w:pPr>
            <w:r w:rsidRPr="00E51C73">
              <w:rPr>
                <w:rFonts w:cs="Arial"/>
                <w:sz w:val="18"/>
                <w:lang w:val="fr-FR"/>
              </w:rPr>
              <w:t>(QN/QL/PQ)</w:t>
            </w:r>
          </w:p>
        </w:tc>
        <w:tc>
          <w:tcPr>
            <w:tcW w:w="2867" w:type="dxa"/>
            <w:tcBorders>
              <w:top w:val="single" w:sz="4" w:space="0" w:color="auto"/>
              <w:left w:val="single" w:sz="4" w:space="0" w:color="auto"/>
              <w:bottom w:val="single" w:sz="4" w:space="0" w:color="auto"/>
              <w:right w:val="single" w:sz="4" w:space="0" w:color="auto"/>
            </w:tcBorders>
            <w:hideMark/>
          </w:tcPr>
          <w:p w:rsidR="00724CDC" w:rsidRPr="00E51C73" w:rsidRDefault="00724CDC" w:rsidP="00AE17D1">
            <w:pPr>
              <w:rPr>
                <w:rFonts w:cs="Arial"/>
                <w:sz w:val="18"/>
                <w:lang w:val="fr-FR"/>
              </w:rPr>
            </w:pPr>
            <w:r w:rsidRPr="00E51C73">
              <w:rPr>
                <w:rFonts w:cs="Arial"/>
                <w:sz w:val="18"/>
                <w:lang w:val="fr-FR"/>
              </w:rPr>
              <w:t>Observations</w:t>
            </w:r>
          </w:p>
        </w:tc>
      </w:tr>
      <w:tr w:rsidR="00724CDC" w:rsidRPr="002D04D9" w:rsidTr="00AE17D1">
        <w:tc>
          <w:tcPr>
            <w:tcW w:w="1101" w:type="dxa"/>
            <w:tcBorders>
              <w:top w:val="single" w:sz="4" w:space="0" w:color="auto"/>
              <w:left w:val="single" w:sz="4" w:space="0" w:color="auto"/>
              <w:bottom w:val="single" w:sz="4" w:space="0" w:color="auto"/>
              <w:right w:val="single" w:sz="4" w:space="0" w:color="auto"/>
            </w:tcBorders>
            <w:hideMark/>
          </w:tcPr>
          <w:p w:rsidR="00724CDC" w:rsidRPr="00E51C73" w:rsidRDefault="00724CDC" w:rsidP="00AE17D1">
            <w:pPr>
              <w:spacing w:before="240"/>
              <w:jc w:val="center"/>
              <w:rPr>
                <w:rFonts w:cs="Arial"/>
                <w:sz w:val="18"/>
                <w:lang w:val="fr-FR"/>
              </w:rPr>
            </w:pPr>
            <w:r w:rsidRPr="00E51C73">
              <w:rPr>
                <w:rFonts w:cs="Arial"/>
                <w:sz w:val="18"/>
                <w:lang w:val="fr-FR"/>
              </w:rPr>
              <w:t>2</w:t>
            </w:r>
          </w:p>
        </w:tc>
        <w:tc>
          <w:tcPr>
            <w:tcW w:w="2268" w:type="dxa"/>
            <w:tcBorders>
              <w:top w:val="single" w:sz="4" w:space="0" w:color="auto"/>
              <w:left w:val="single" w:sz="4" w:space="0" w:color="auto"/>
              <w:bottom w:val="single" w:sz="4" w:space="0" w:color="auto"/>
              <w:right w:val="single" w:sz="4" w:space="0" w:color="auto"/>
            </w:tcBorders>
            <w:hideMark/>
          </w:tcPr>
          <w:p w:rsidR="00724CDC" w:rsidRPr="00E51C73" w:rsidRDefault="00724CDC" w:rsidP="00AE17D1">
            <w:pPr>
              <w:rPr>
                <w:rFonts w:cs="Arial"/>
                <w:sz w:val="18"/>
                <w:lang w:val="fr-FR"/>
              </w:rPr>
            </w:pPr>
            <w:r w:rsidRPr="00E51C73">
              <w:rPr>
                <w:noProof/>
              </w:rPr>
              <mc:AlternateContent>
                <mc:Choice Requires="wps">
                  <w:drawing>
                    <wp:anchor distT="0" distB="0" distL="114300" distR="114300" simplePos="0" relativeHeight="251659264" behindDoc="0" locked="0" layoutInCell="1" allowOverlap="1" wp14:anchorId="11B00125" wp14:editId="2828AEF3">
                      <wp:simplePos x="0" y="0"/>
                      <wp:positionH relativeFrom="column">
                        <wp:posOffset>118110</wp:posOffset>
                      </wp:positionH>
                      <wp:positionV relativeFrom="paragraph">
                        <wp:posOffset>396240</wp:posOffset>
                      </wp:positionV>
                      <wp:extent cx="116840" cy="619125"/>
                      <wp:effectExtent l="19050" t="0" r="35560" b="47625"/>
                      <wp:wrapNone/>
                      <wp:docPr id="18" name="Down Arrow 18"/>
                      <wp:cNvGraphicFramePr/>
                      <a:graphic xmlns:a="http://schemas.openxmlformats.org/drawingml/2006/main">
                        <a:graphicData uri="http://schemas.microsoft.com/office/word/2010/wordprocessingShape">
                          <wps:wsp>
                            <wps:cNvSpPr/>
                            <wps:spPr>
                              <a:xfrm flipH="1">
                                <a:off x="0" y="0"/>
                                <a:ext cx="116840" cy="619125"/>
                              </a:xfrm>
                              <a:prstGeom prst="downArrow">
                                <a:avLst/>
                              </a:prstGeom>
                              <a:solidFill>
                                <a:srgbClr val="4F81BD"/>
                              </a:solidFill>
                              <a:ln w="25400" cap="flat" cmpd="sng" algn="ctr">
                                <a:solidFill>
                                  <a:srgbClr val="4F81BD">
                                    <a:shade val="50000"/>
                                  </a:srgbClr>
                                </a:solidFill>
                                <a:prstDash val="solid"/>
                              </a:ln>
                              <a:effectLst/>
                            </wps:spPr>
                            <wps:txbx>
                              <w:txbxContent>
                                <w:p w:rsidR="00724CDC" w:rsidRDefault="00724CDC" w:rsidP="00724C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B0012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left:0;text-align:left;margin-left:9.3pt;margin-top:31.2pt;width:9.2pt;height:48.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" adj="19562" fillcolor="#4f81bd" strokecolor="#385d8a" strokeweight="2pt">
                      <v:textbox>
                        <w:txbxContent>
                          <w:p w:rsidR="00724CDC" w:rsidRDefault="00724CDC" w:rsidP="00724CDC">
                            <w:pPr>
                              <w:jc w:val="center"/>
                            </w:pPr>
                          </w:p>
                        </w:txbxContent>
                      </v:textbox>
                    </v:shape>
                  </w:pict>
                </mc:Fallback>
              </mc:AlternateContent>
            </w:r>
            <w:r w:rsidRPr="00E51C73">
              <w:rPr>
                <w:rFonts w:cs="Arial"/>
                <w:sz w:val="18"/>
                <w:lang w:val="fr-FR"/>
              </w:rPr>
              <w:t>Valeurs</w:t>
            </w:r>
          </w:p>
        </w:tc>
        <w:tc>
          <w:tcPr>
            <w:tcW w:w="2976" w:type="dxa"/>
            <w:tcBorders>
              <w:top w:val="single" w:sz="4" w:space="0" w:color="auto"/>
              <w:left w:val="single" w:sz="4" w:space="0" w:color="auto"/>
              <w:bottom w:val="single" w:sz="4" w:space="0" w:color="auto"/>
              <w:right w:val="single" w:sz="4" w:space="0" w:color="auto"/>
            </w:tcBorders>
            <w:hideMark/>
          </w:tcPr>
          <w:p w:rsidR="00724CDC" w:rsidRPr="00E51C73" w:rsidRDefault="00724CDC" w:rsidP="00AE17D1">
            <w:pPr>
              <w:rPr>
                <w:rFonts w:cs="Arial"/>
                <w:sz w:val="18"/>
                <w:lang w:val="fr-FR"/>
              </w:rPr>
            </w:pPr>
            <w:r w:rsidRPr="00E51C73">
              <w:rPr>
                <w:noProof/>
              </w:rPr>
              <mc:AlternateContent>
                <mc:Choice Requires="wps">
                  <w:drawing>
                    <wp:anchor distT="0" distB="0" distL="114300" distR="114300" simplePos="0" relativeHeight="251660288" behindDoc="0" locked="0" layoutInCell="1" allowOverlap="1" wp14:anchorId="3BCC7732" wp14:editId="2E05879E">
                      <wp:simplePos x="0" y="0"/>
                      <wp:positionH relativeFrom="column">
                        <wp:posOffset>122555</wp:posOffset>
                      </wp:positionH>
                      <wp:positionV relativeFrom="paragraph">
                        <wp:posOffset>396240</wp:posOffset>
                      </wp:positionV>
                      <wp:extent cx="116840" cy="619125"/>
                      <wp:effectExtent l="19050" t="0" r="35560" b="47625"/>
                      <wp:wrapNone/>
                      <wp:docPr id="19" name="Down Arrow 19"/>
                      <wp:cNvGraphicFramePr/>
                      <a:graphic xmlns:a="http://schemas.openxmlformats.org/drawingml/2006/main">
                        <a:graphicData uri="http://schemas.microsoft.com/office/word/2010/wordprocessingShape">
                          <wps:wsp>
                            <wps:cNvSpPr/>
                            <wps:spPr>
                              <a:xfrm flipH="1">
                                <a:off x="0" y="0"/>
                                <a:ext cx="116840" cy="619125"/>
                              </a:xfrm>
                              <a:prstGeom prst="downArrow">
                                <a:avLst/>
                              </a:prstGeom>
                              <a:solidFill>
                                <a:srgbClr val="4F81BD"/>
                              </a:solidFill>
                              <a:ln w="25400" cap="flat" cmpd="sng" algn="ctr">
                                <a:solidFill>
                                  <a:srgbClr val="4F81BD">
                                    <a:shade val="50000"/>
                                  </a:srgbClr>
                                </a:solidFill>
                                <a:prstDash val="solid"/>
                              </a:ln>
                              <a:effectLst/>
                            </wps:spPr>
                            <wps:txbx>
                              <w:txbxContent>
                                <w:p w:rsidR="00724CDC" w:rsidRDefault="00724CDC" w:rsidP="00724C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C7732" id="Down Arrow 19" o:spid="_x0000_s1027" type="#_x0000_t67" style="position:absolute;left:0;text-align:left;margin-left:9.65pt;margin-top:31.2pt;width:9.2pt;height:48.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" adj="19562" fillcolor="#4f81bd" strokecolor="#385d8a" strokeweight="2pt">
                      <v:textbox>
                        <w:txbxContent>
                          <w:p w:rsidR="00724CDC" w:rsidRDefault="00724CDC" w:rsidP="00724CDC">
                            <w:pPr>
                              <w:jc w:val="center"/>
                            </w:pPr>
                          </w:p>
                        </w:txbxContent>
                      </v:textbox>
                    </v:shape>
                  </w:pict>
                </mc:Fallback>
              </mc:AlternateContent>
            </w:r>
            <w:r w:rsidRPr="00E51C73">
              <w:rPr>
                <w:rFonts w:cs="Arial"/>
                <w:sz w:val="18"/>
                <w:lang w:val="fr-FR"/>
              </w:rPr>
              <w:t>Notes</w:t>
            </w:r>
          </w:p>
        </w:tc>
        <w:tc>
          <w:tcPr>
            <w:tcW w:w="2867" w:type="dxa"/>
            <w:tcBorders>
              <w:top w:val="single" w:sz="4" w:space="0" w:color="auto"/>
              <w:left w:val="single" w:sz="4" w:space="0" w:color="auto"/>
              <w:bottom w:val="single" w:sz="4" w:space="0" w:color="auto"/>
              <w:right w:val="single" w:sz="4" w:space="0" w:color="auto"/>
            </w:tcBorders>
          </w:tcPr>
          <w:p w:rsidR="00724CDC" w:rsidRPr="00E51C73" w:rsidRDefault="00724CDC" w:rsidP="00AE17D1">
            <w:pPr>
              <w:spacing w:before="240"/>
              <w:rPr>
                <w:rFonts w:cs="Arial"/>
                <w:sz w:val="18"/>
                <w:lang w:val="fr-FR"/>
              </w:rPr>
            </w:pPr>
            <w:r w:rsidRPr="00E51C73">
              <w:rPr>
                <w:rFonts w:cs="Arial"/>
                <w:sz w:val="18"/>
                <w:lang w:val="fr-FR"/>
              </w:rPr>
              <w:t>Base de la comparaison au sein d’un même essai</w:t>
            </w:r>
          </w:p>
          <w:p w:rsidR="00724CDC" w:rsidRPr="00E51C73" w:rsidRDefault="00724CDC" w:rsidP="00AE17D1">
            <w:pPr>
              <w:rPr>
                <w:rFonts w:cs="Arial"/>
                <w:sz w:val="18"/>
                <w:lang w:val="fr-FR"/>
              </w:rPr>
            </w:pPr>
          </w:p>
        </w:tc>
      </w:tr>
      <w:tr w:rsidR="00724CDC" w:rsidRPr="002D04D9" w:rsidTr="00AE17D1">
        <w:tc>
          <w:tcPr>
            <w:tcW w:w="1101" w:type="dxa"/>
            <w:tcBorders>
              <w:top w:val="single" w:sz="4" w:space="0" w:color="auto"/>
              <w:left w:val="single" w:sz="4" w:space="0" w:color="auto"/>
              <w:bottom w:val="nil"/>
              <w:right w:val="single" w:sz="4" w:space="0" w:color="auto"/>
            </w:tcBorders>
            <w:hideMark/>
          </w:tcPr>
          <w:p w:rsidR="00724CDC" w:rsidRPr="00E51C73" w:rsidRDefault="00724CDC" w:rsidP="00AE17D1">
            <w:pPr>
              <w:spacing w:before="240"/>
              <w:jc w:val="center"/>
              <w:rPr>
                <w:rFonts w:cs="Arial"/>
                <w:sz w:val="18"/>
                <w:lang w:val="fr-FR"/>
              </w:rPr>
            </w:pPr>
            <w:r w:rsidRPr="00E51C73">
              <w:rPr>
                <w:rFonts w:cs="Arial"/>
                <w:sz w:val="18"/>
                <w:lang w:val="fr-FR"/>
              </w:rPr>
              <w:t>3</w:t>
            </w:r>
          </w:p>
        </w:tc>
        <w:tc>
          <w:tcPr>
            <w:tcW w:w="2268" w:type="dxa"/>
            <w:tcBorders>
              <w:top w:val="single" w:sz="4" w:space="0" w:color="auto"/>
              <w:left w:val="single" w:sz="4" w:space="0" w:color="auto"/>
              <w:bottom w:val="nil"/>
              <w:right w:val="single" w:sz="4" w:space="0" w:color="auto"/>
            </w:tcBorders>
            <w:hideMark/>
          </w:tcPr>
          <w:p w:rsidR="00724CDC" w:rsidRPr="00E51C73" w:rsidRDefault="00724CDC" w:rsidP="00AE17D1">
            <w:pPr>
              <w:spacing w:before="120"/>
              <w:ind w:left="600"/>
              <w:rPr>
                <w:rFonts w:cs="Arial"/>
                <w:sz w:val="18"/>
                <w:lang w:val="fr-FR"/>
              </w:rPr>
            </w:pPr>
            <w:r w:rsidRPr="00E51C73">
              <w:rPr>
                <w:rFonts w:cs="Arial"/>
                <w:sz w:val="18"/>
                <w:lang w:val="fr-FR"/>
              </w:rPr>
              <w:t>Conversion en notes</w:t>
            </w:r>
          </w:p>
          <w:p w:rsidR="00724CDC" w:rsidRDefault="00724CDC" w:rsidP="00AE17D1">
            <w:pPr>
              <w:spacing w:before="120"/>
              <w:rPr>
                <w:rFonts w:cs="Arial"/>
                <w:sz w:val="18"/>
                <w:lang w:val="fr-FR"/>
              </w:rPr>
            </w:pPr>
          </w:p>
          <w:p w:rsidR="00724CDC" w:rsidRPr="00E51C73" w:rsidRDefault="00724CDC" w:rsidP="00AE17D1">
            <w:pPr>
              <w:rPr>
                <w:rFonts w:cs="Arial"/>
                <w:sz w:val="18"/>
                <w:lang w:val="fr-FR"/>
              </w:rPr>
            </w:pPr>
            <w:r w:rsidRPr="00E51C73">
              <w:rPr>
                <w:rFonts w:cs="Arial"/>
                <w:sz w:val="18"/>
                <w:lang w:val="fr-FR"/>
              </w:rPr>
              <w:t>Notes</w:t>
            </w:r>
          </w:p>
        </w:tc>
        <w:tc>
          <w:tcPr>
            <w:tcW w:w="2976" w:type="dxa"/>
            <w:tcBorders>
              <w:top w:val="single" w:sz="4" w:space="0" w:color="auto"/>
              <w:left w:val="single" w:sz="4" w:space="0" w:color="auto"/>
              <w:bottom w:val="nil"/>
              <w:right w:val="single" w:sz="4" w:space="0" w:color="auto"/>
            </w:tcBorders>
          </w:tcPr>
          <w:p w:rsidR="00724CDC" w:rsidRPr="00E51C73" w:rsidRDefault="00724CDC" w:rsidP="00AE17D1">
            <w:pPr>
              <w:spacing w:before="120"/>
              <w:ind w:left="459"/>
              <w:rPr>
                <w:rFonts w:cs="Arial"/>
                <w:sz w:val="18"/>
                <w:lang w:val="fr-FR"/>
              </w:rPr>
            </w:pPr>
            <w:r w:rsidRPr="00E51C73">
              <w:rPr>
                <w:rFonts w:cs="Arial"/>
                <w:sz w:val="18"/>
                <w:lang w:val="fr-FR"/>
              </w:rPr>
              <w:t>Mêmes notes que dans le niveau de processus 1</w:t>
            </w:r>
          </w:p>
          <w:p w:rsidR="00724CDC" w:rsidRPr="00E51C73" w:rsidRDefault="00724CDC" w:rsidP="00AE17D1">
            <w:pPr>
              <w:spacing w:before="120"/>
              <w:ind w:left="34"/>
              <w:rPr>
                <w:rFonts w:cs="Arial"/>
                <w:sz w:val="18"/>
                <w:lang w:val="fr-FR"/>
              </w:rPr>
            </w:pPr>
          </w:p>
          <w:p w:rsidR="00724CDC" w:rsidRPr="00E51C73" w:rsidRDefault="00724CDC" w:rsidP="00AE17D1">
            <w:pPr>
              <w:ind w:left="34"/>
              <w:rPr>
                <w:rFonts w:cs="Arial"/>
                <w:sz w:val="18"/>
                <w:lang w:val="fr-FR"/>
              </w:rPr>
            </w:pPr>
            <w:r w:rsidRPr="00E51C73">
              <w:rPr>
                <w:rFonts w:cs="Arial"/>
                <w:sz w:val="18"/>
                <w:lang w:val="fr-FR"/>
              </w:rPr>
              <w:t>Notes</w:t>
            </w:r>
          </w:p>
        </w:tc>
        <w:tc>
          <w:tcPr>
            <w:tcW w:w="2867" w:type="dxa"/>
            <w:tcBorders>
              <w:top w:val="single" w:sz="4" w:space="0" w:color="auto"/>
              <w:left w:val="single" w:sz="4" w:space="0" w:color="auto"/>
              <w:bottom w:val="nil"/>
              <w:right w:val="single" w:sz="4" w:space="0" w:color="auto"/>
            </w:tcBorders>
            <w:hideMark/>
          </w:tcPr>
          <w:p w:rsidR="00724CDC" w:rsidRPr="00E51C73" w:rsidRDefault="00724CDC" w:rsidP="00AE17D1">
            <w:pPr>
              <w:spacing w:before="240"/>
              <w:rPr>
                <w:rFonts w:cs="Arial"/>
                <w:sz w:val="18"/>
                <w:lang w:val="fr-FR"/>
              </w:rPr>
            </w:pPr>
            <w:r w:rsidRPr="00E51C73">
              <w:rPr>
                <w:rFonts w:cs="Arial"/>
                <w:sz w:val="18"/>
                <w:lang w:val="fr-FR"/>
              </w:rPr>
              <w:t>Notes relatives à une année et à un site</w:t>
            </w:r>
          </w:p>
        </w:tc>
      </w:tr>
      <w:tr w:rsidR="00724CDC" w:rsidRPr="002D04D9" w:rsidTr="00AE17D1">
        <w:tc>
          <w:tcPr>
            <w:tcW w:w="1101" w:type="dxa"/>
            <w:tcBorders>
              <w:top w:val="nil"/>
              <w:left w:val="single" w:sz="4" w:space="0" w:color="auto"/>
              <w:bottom w:val="single" w:sz="4" w:space="0" w:color="auto"/>
              <w:right w:val="single" w:sz="4" w:space="0" w:color="auto"/>
            </w:tcBorders>
          </w:tcPr>
          <w:p w:rsidR="00724CDC" w:rsidRPr="00E51C73" w:rsidRDefault="00724CDC" w:rsidP="00AE17D1">
            <w:pPr>
              <w:jc w:val="center"/>
              <w:rPr>
                <w:rFonts w:cs="Arial"/>
                <w:sz w:val="18"/>
                <w:lang w:val="fr-FR"/>
              </w:rPr>
            </w:pPr>
          </w:p>
        </w:tc>
        <w:tc>
          <w:tcPr>
            <w:tcW w:w="5244" w:type="dxa"/>
            <w:gridSpan w:val="2"/>
            <w:tcBorders>
              <w:top w:val="nil"/>
              <w:left w:val="single" w:sz="4" w:space="0" w:color="auto"/>
              <w:bottom w:val="single" w:sz="4" w:space="0" w:color="auto"/>
              <w:right w:val="single" w:sz="4" w:space="0" w:color="auto"/>
            </w:tcBorders>
            <w:hideMark/>
          </w:tcPr>
          <w:p w:rsidR="00724CDC" w:rsidRPr="00E51C73" w:rsidRDefault="00724CDC" w:rsidP="00AE17D1">
            <w:pPr>
              <w:jc w:val="center"/>
              <w:rPr>
                <w:rFonts w:cs="Arial"/>
                <w:sz w:val="18"/>
                <w:lang w:val="fr-FR"/>
              </w:rPr>
            </w:pPr>
            <w:r w:rsidRPr="00E51C73">
              <w:rPr>
                <w:noProof/>
              </w:rPr>
              <mc:AlternateContent>
                <mc:Choice Requires="wps">
                  <w:drawing>
                    <wp:anchor distT="0" distB="0" distL="114300" distR="114300" simplePos="0" relativeHeight="251661312" behindDoc="0" locked="0" layoutInCell="1" allowOverlap="1" wp14:anchorId="253072B2" wp14:editId="4EACD647">
                      <wp:simplePos x="0" y="0"/>
                      <wp:positionH relativeFrom="column">
                        <wp:posOffset>1311621</wp:posOffset>
                      </wp:positionH>
                      <wp:positionV relativeFrom="paragraph">
                        <wp:posOffset>-28824</wp:posOffset>
                      </wp:positionV>
                      <wp:extent cx="116840" cy="314325"/>
                      <wp:effectExtent l="19050" t="0" r="35560" b="47625"/>
                      <wp:wrapNone/>
                      <wp:docPr id="20" name="Down Arrow 20"/>
                      <wp:cNvGraphicFramePr/>
                      <a:graphic xmlns:a="http://schemas.openxmlformats.org/drawingml/2006/main">
                        <a:graphicData uri="http://schemas.microsoft.com/office/word/2010/wordprocessingShape">
                          <wps:wsp>
                            <wps:cNvSpPr/>
                            <wps:spPr>
                              <a:xfrm flipH="1">
                                <a:off x="0" y="0"/>
                                <a:ext cx="116840" cy="314325"/>
                              </a:xfrm>
                              <a:prstGeom prst="downArrow">
                                <a:avLst/>
                              </a:prstGeom>
                              <a:solidFill>
                                <a:srgbClr val="4F81BD"/>
                              </a:solidFill>
                              <a:ln w="25400" cap="flat" cmpd="sng" algn="ctr">
                                <a:solidFill>
                                  <a:srgbClr val="4F81BD">
                                    <a:shade val="50000"/>
                                  </a:srgbClr>
                                </a:solidFill>
                                <a:prstDash val="solid"/>
                              </a:ln>
                              <a:effectLst/>
                            </wps:spPr>
                            <wps:txbx>
                              <w:txbxContent>
                                <w:p w:rsidR="00724CDC" w:rsidRDefault="00724CDC" w:rsidP="00724C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072B2" id="Down Arrow 20" o:spid="_x0000_s1028" type="#_x0000_t67" style="position:absolute;left:0;text-align:left;margin-left:103.3pt;margin-top:-2.25pt;width:9.2pt;height:24.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" adj="17585" fillcolor="#4f81bd" strokecolor="#385d8a" strokeweight="2pt">
                      <v:textbox>
                        <w:txbxContent>
                          <w:p w:rsidR="00724CDC" w:rsidRDefault="00724CDC" w:rsidP="00724CDC">
                            <w:pPr>
                              <w:jc w:val="center"/>
                            </w:pPr>
                          </w:p>
                        </w:txbxContent>
                      </v:textbox>
                    </v:shape>
                  </w:pict>
                </mc:Fallback>
              </mc:AlternateContent>
            </w:r>
          </w:p>
          <w:p w:rsidR="00724CDC" w:rsidRPr="00E51C73" w:rsidRDefault="00724CDC" w:rsidP="00AE17D1">
            <w:pPr>
              <w:spacing w:before="240"/>
              <w:jc w:val="center"/>
              <w:rPr>
                <w:rFonts w:cs="Arial"/>
                <w:sz w:val="18"/>
                <w:lang w:val="fr-FR"/>
              </w:rPr>
            </w:pPr>
            <w:r w:rsidRPr="00E51C73">
              <w:rPr>
                <w:rFonts w:cs="Arial"/>
                <w:b/>
                <w:sz w:val="18"/>
                <w:lang w:val="fr-FR"/>
              </w:rPr>
              <w:t>“Description variétale moyenne”</w:t>
            </w:r>
          </w:p>
          <w:p w:rsidR="00724CDC" w:rsidRPr="00E51C73" w:rsidRDefault="00724CDC" w:rsidP="00AE17D1">
            <w:pPr>
              <w:spacing w:before="120"/>
              <w:jc w:val="center"/>
              <w:rPr>
                <w:rFonts w:cs="Arial"/>
                <w:sz w:val="18"/>
                <w:lang w:val="fr-FR"/>
              </w:rPr>
            </w:pPr>
            <w:r w:rsidRPr="00E51C73">
              <w:rPr>
                <w:rFonts w:cs="Arial"/>
                <w:sz w:val="18"/>
                <w:lang w:val="fr-FR"/>
              </w:rPr>
              <w:t>Si les variétés sont évaluées sur plusieurs essais/années/sites, des descriptions moyennes peuvent être établies.</w:t>
            </w:r>
          </w:p>
        </w:tc>
        <w:tc>
          <w:tcPr>
            <w:tcW w:w="2867" w:type="dxa"/>
            <w:tcBorders>
              <w:top w:val="nil"/>
              <w:left w:val="single" w:sz="4" w:space="0" w:color="auto"/>
              <w:bottom w:val="single" w:sz="4" w:space="0" w:color="auto"/>
              <w:right w:val="single" w:sz="4" w:space="0" w:color="auto"/>
            </w:tcBorders>
          </w:tcPr>
          <w:p w:rsidR="00724CDC" w:rsidRPr="00E51C73" w:rsidRDefault="00724CDC" w:rsidP="00AE17D1">
            <w:pPr>
              <w:spacing w:before="240"/>
              <w:rPr>
                <w:rFonts w:cs="Arial"/>
                <w:sz w:val="18"/>
                <w:lang w:val="fr-FR"/>
              </w:rPr>
            </w:pPr>
          </w:p>
          <w:p w:rsidR="00724CDC" w:rsidRPr="00E51C73" w:rsidRDefault="00724CDC" w:rsidP="00AE17D1">
            <w:pPr>
              <w:spacing w:before="240"/>
              <w:rPr>
                <w:rFonts w:cs="Arial"/>
                <w:sz w:val="18"/>
                <w:lang w:val="fr-FR"/>
              </w:rPr>
            </w:pPr>
            <w:r w:rsidRPr="00E51C73">
              <w:rPr>
                <w:rFonts w:cs="Arial"/>
                <w:sz w:val="18"/>
                <w:lang w:val="fr-FR"/>
              </w:rPr>
              <w:t>Base de la gestion de la collection de variétés</w:t>
            </w:r>
          </w:p>
        </w:tc>
      </w:tr>
    </w:tbl>
    <w:p w:rsidR="00724CDC" w:rsidRPr="00E51C73" w:rsidRDefault="00724CDC" w:rsidP="00724CDC">
      <w:pPr>
        <w:rPr>
          <w:rFonts w:cs="Arial"/>
          <w:sz w:val="18"/>
          <w:lang w:val="fr-FR"/>
        </w:rPr>
      </w:pPr>
    </w:p>
    <w:p w:rsidR="00724CDC" w:rsidRPr="00E51C73" w:rsidRDefault="00724CDC" w:rsidP="00724CDC">
      <w:pPr>
        <w:ind w:left="567" w:right="567"/>
        <w:rPr>
          <w:rFonts w:cs="Arial"/>
          <w:sz w:val="18"/>
          <w:lang w:val="fr-FR"/>
        </w:rPr>
      </w:pPr>
      <w:r w:rsidRPr="00E51C73">
        <w:rPr>
          <w:rFonts w:cs="Arial"/>
          <w:sz w:val="18"/>
          <w:lang w:val="fr-FR"/>
        </w:rPr>
        <w:t>“En général, les caractères quantitatifs sont influencés par le milieu.  Un moyen efficace de réduire l’impact de l’environnement consiste à convertir les mesures réelles en notes.  Les notes représentent une description normalisée des variétés par rapport à des variétés indiquées à titre d’exemple (voir le document TGP/7).</w:t>
      </w:r>
      <w:r w:rsidRPr="00E51C73">
        <w:rPr>
          <w:sz w:val="18"/>
          <w:lang w:val="fr-FR"/>
        </w:rPr>
        <w:t xml:space="preserve">  </w:t>
      </w:r>
      <w:r w:rsidRPr="00E51C73">
        <w:rPr>
          <w:rFonts w:cs="Arial"/>
          <w:sz w:val="18"/>
          <w:lang w:val="fr-FR"/>
        </w:rPr>
        <w:t>De plus, la comparabilité des descriptions pour des variétés qui n’ont pas été examinées dans le cadre d’un même essai peut être améliorée en calculant une description moyenne sur plusieurs cycles de végétation.  En particulier, la description moyenne pour plusieurs cycles de végétation sur le même site peut constituer une description représentative liée au site.  Le calcul d’une description moyenne pour plusieurs sites différents ne devrait être envisagé que si les incidences des sites sont parfaitement connues et que les interactions entre variété et site peuvent être exclues pour tous les caractères.  Le calcul des descriptions moyennes pour plusieurs sites devrait être limité aux cas où ces conditions sont remplies.</w:t>
      </w:r>
    </w:p>
    <w:p w:rsidR="00724CDC" w:rsidRPr="00E51C73" w:rsidRDefault="00724CDC" w:rsidP="00724CDC">
      <w:pPr>
        <w:ind w:left="567" w:right="567"/>
        <w:rPr>
          <w:rFonts w:cs="Arial"/>
          <w:sz w:val="18"/>
          <w:lang w:val="fr-FR"/>
        </w:rPr>
      </w:pPr>
    </w:p>
    <w:p w:rsidR="00724CDC" w:rsidRPr="00E51C73" w:rsidRDefault="00724CDC" w:rsidP="00724CDC">
      <w:pPr>
        <w:keepLines/>
        <w:ind w:left="567" w:right="567"/>
        <w:rPr>
          <w:rFonts w:cs="Arial"/>
          <w:sz w:val="18"/>
          <w:lang w:val="fr-FR"/>
        </w:rPr>
      </w:pPr>
      <w:r w:rsidRPr="00E51C73">
        <w:rPr>
          <w:rFonts w:cs="Arial"/>
          <w:sz w:val="18"/>
          <w:lang w:val="fr-FR"/>
        </w:rPr>
        <w:t>“Si des descriptions variétales établies sur la base de plusieurs essais en culture sont utilisées pour l’évaluation de la distinction – c’est-à-dire pour la gestion des collections de variétés – il est important de tenir compte de l’origine des différentes descriptions de la variété candidate et des variétés notoirement connues.  La comparabilité des descriptions variétales est influencée par de nombreux facteurs, dont les suivants :</w:t>
      </w:r>
    </w:p>
    <w:p w:rsidR="00724CDC" w:rsidRPr="00E51C73" w:rsidRDefault="00724CDC" w:rsidP="00724CDC">
      <w:pPr>
        <w:ind w:left="567" w:right="567"/>
        <w:rPr>
          <w:rFonts w:cs="Arial"/>
          <w:sz w:val="18"/>
          <w:lang w:val="fr-FR"/>
        </w:rPr>
      </w:pPr>
    </w:p>
    <w:p w:rsidR="00724CDC" w:rsidRPr="00E51C73" w:rsidRDefault="00724CDC" w:rsidP="00724CDC">
      <w:pPr>
        <w:ind w:left="567" w:right="567"/>
        <w:rPr>
          <w:rFonts w:cs="Arial"/>
          <w:sz w:val="18"/>
          <w:lang w:val="fr-FR"/>
        </w:rPr>
      </w:pPr>
      <w:r w:rsidRPr="00E51C73">
        <w:rPr>
          <w:rFonts w:cs="Arial"/>
          <w:sz w:val="18"/>
          <w:lang w:val="fr-FR"/>
        </w:rPr>
        <w:t>“-</w:t>
      </w:r>
      <w:r w:rsidRPr="00E51C73">
        <w:rPr>
          <w:rFonts w:cs="Arial"/>
          <w:sz w:val="18"/>
          <w:lang w:val="fr-FR"/>
        </w:rPr>
        <w:tab/>
        <w:t>Description fondée sur une seule année ou sur la moyenne de plusieurs années?</w:t>
      </w:r>
    </w:p>
    <w:p w:rsidR="00724CDC" w:rsidRPr="00E51C73" w:rsidRDefault="00724CDC" w:rsidP="00724CDC">
      <w:pPr>
        <w:ind w:left="567" w:right="567"/>
        <w:rPr>
          <w:rFonts w:cs="Arial"/>
          <w:sz w:val="18"/>
          <w:lang w:val="fr-FR"/>
        </w:rPr>
      </w:pPr>
      <w:r w:rsidRPr="00E51C73">
        <w:rPr>
          <w:rFonts w:cs="Arial"/>
          <w:sz w:val="18"/>
          <w:lang w:val="fr-FR"/>
        </w:rPr>
        <w:t>“-</w:t>
      </w:r>
      <w:r w:rsidRPr="00E51C73">
        <w:rPr>
          <w:rFonts w:cs="Arial"/>
          <w:sz w:val="18"/>
          <w:lang w:val="fr-FR"/>
        </w:rPr>
        <w:tab/>
        <w:t>Description fondée sur un seul site ou sur plusieurs?</w:t>
      </w:r>
    </w:p>
    <w:p w:rsidR="00724CDC" w:rsidRPr="00E51C73" w:rsidRDefault="00724CDC" w:rsidP="00724CDC">
      <w:pPr>
        <w:ind w:left="567" w:right="567"/>
        <w:rPr>
          <w:rFonts w:cs="Arial"/>
          <w:sz w:val="18"/>
          <w:lang w:val="fr-FR"/>
        </w:rPr>
      </w:pPr>
      <w:r w:rsidRPr="00E51C73">
        <w:rPr>
          <w:rFonts w:cs="Arial"/>
          <w:sz w:val="18"/>
          <w:lang w:val="fr-FR"/>
        </w:rPr>
        <w:t>“-</w:t>
      </w:r>
      <w:r w:rsidRPr="00E51C73">
        <w:rPr>
          <w:rFonts w:cs="Arial"/>
          <w:sz w:val="18"/>
          <w:lang w:val="fr-FR"/>
        </w:rPr>
        <w:tab/>
        <w:t>Les incidences du site différent sont-elles connues?</w:t>
      </w:r>
    </w:p>
    <w:p w:rsidR="00724CDC" w:rsidRPr="00E51C73" w:rsidRDefault="00724CDC" w:rsidP="00724CDC">
      <w:pPr>
        <w:ind w:left="1134" w:right="567" w:hanging="567"/>
        <w:rPr>
          <w:rFonts w:cs="Arial"/>
          <w:sz w:val="18"/>
          <w:lang w:val="fr-FR"/>
        </w:rPr>
      </w:pPr>
      <w:r w:rsidRPr="00E51C73">
        <w:rPr>
          <w:rFonts w:cs="Arial"/>
          <w:sz w:val="18"/>
          <w:lang w:val="fr-FR"/>
        </w:rPr>
        <w:t>“-</w:t>
      </w:r>
      <w:r w:rsidRPr="00E51C73">
        <w:rPr>
          <w:rFonts w:cs="Arial"/>
          <w:sz w:val="18"/>
          <w:lang w:val="fr-FR"/>
        </w:rPr>
        <w:tab/>
        <w:t>Variétés décrites par rapport à une même collection de variétés ou collection de variétés couvrant une amplitude de variation différente?</w:t>
      </w:r>
    </w:p>
    <w:p w:rsidR="00724CDC" w:rsidRPr="00E51C73" w:rsidRDefault="00724CDC" w:rsidP="00724CDC">
      <w:pPr>
        <w:ind w:left="567" w:right="567"/>
        <w:rPr>
          <w:rFonts w:cs="Arial"/>
          <w:sz w:val="18"/>
          <w:lang w:val="fr-FR"/>
        </w:rPr>
      </w:pPr>
    </w:p>
    <w:p w:rsidR="00724CDC" w:rsidRPr="00E51C73" w:rsidRDefault="00724CDC" w:rsidP="00724CDC">
      <w:pPr>
        <w:ind w:left="567" w:right="567"/>
        <w:rPr>
          <w:rFonts w:cs="Arial"/>
          <w:sz w:val="18"/>
          <w:lang w:val="fr-FR"/>
        </w:rPr>
      </w:pPr>
      <w:r w:rsidRPr="00E51C73">
        <w:rPr>
          <w:rFonts w:cs="Arial"/>
          <w:sz w:val="18"/>
          <w:lang w:val="fr-FR"/>
        </w:rPr>
        <w:t>“Les différences éventuelles des descriptions variétales liées aux effets du milieu entre les variétés candidates et les variétés de la collection doivent être prises en considération dans le cadre du processus d’examen de la distinction, notamment pour l’identification des variétés notoirement connues à inclure dans l’essai en culture.”</w:t>
      </w:r>
    </w:p>
    <w:p w:rsidR="00724CDC" w:rsidRPr="00E51C73" w:rsidRDefault="00724CDC" w:rsidP="00724CDC">
      <w:pPr>
        <w:ind w:left="567" w:right="567"/>
        <w:rPr>
          <w:rFonts w:cs="Arial"/>
          <w:sz w:val="18"/>
          <w:lang w:val="fr-FR"/>
        </w:rPr>
      </w:pPr>
    </w:p>
    <w:p w:rsidR="00724CDC" w:rsidRPr="00E51C73" w:rsidRDefault="00724CDC" w:rsidP="00724CDC">
      <w:pPr>
        <w:ind w:left="567" w:right="567"/>
        <w:rPr>
          <w:rFonts w:cs="Arial"/>
          <w:sz w:val="18"/>
          <w:lang w:val="fr-FR"/>
        </w:rPr>
      </w:pPr>
    </w:p>
    <w:p w:rsidR="00724CDC" w:rsidRPr="00E51C73" w:rsidRDefault="00724CDC" w:rsidP="00724CDC">
      <w:pPr>
        <w:ind w:left="567" w:right="567"/>
        <w:rPr>
          <w:rFonts w:cs="Arial"/>
          <w:sz w:val="18"/>
          <w:lang w:val="fr-FR"/>
        </w:rPr>
      </w:pPr>
    </w:p>
    <w:p w:rsidR="00724CDC" w:rsidRPr="00E51C73" w:rsidRDefault="00724CDC" w:rsidP="00724CDC">
      <w:pPr>
        <w:jc w:val="right"/>
        <w:rPr>
          <w:lang w:val="fr-FR"/>
        </w:rPr>
      </w:pPr>
      <w:r w:rsidRPr="00E51C73">
        <w:rPr>
          <w:lang w:val="fr-FR"/>
        </w:rPr>
        <w:t>[L’annexe III suit]</w:t>
      </w:r>
    </w:p>
    <w:p w:rsidR="00724CDC" w:rsidRPr="00E51C73" w:rsidRDefault="00724CDC" w:rsidP="00724CDC">
      <w:pPr>
        <w:jc w:val="right"/>
        <w:rPr>
          <w:lang w:val="fr-FR"/>
        </w:rPr>
        <w:sectPr w:rsidR="00724CDC" w:rsidRPr="00E51C73" w:rsidSect="0004198B">
          <w:headerReference w:type="even" r:id="rId16"/>
          <w:headerReference w:type="default" r:id="rId17"/>
          <w:footerReference w:type="even" r:id="rId18"/>
          <w:footerReference w:type="default" r:id="rId19"/>
          <w:headerReference w:type="first" r:id="rId20"/>
          <w:footerReference w:type="first" r:id="rId21"/>
          <w:pgSz w:w="11907" w:h="16840" w:code="9"/>
          <w:pgMar w:top="510" w:right="1134" w:bottom="1134" w:left="1134" w:header="510" w:footer="680" w:gutter="0"/>
          <w:pgNumType w:start="1"/>
          <w:cols w:space="720"/>
          <w:titlePg/>
        </w:sectPr>
      </w:pPr>
    </w:p>
    <w:p w:rsidR="00724CDC" w:rsidRPr="00E51C73" w:rsidRDefault="00A0092F" w:rsidP="00724CDC">
      <w:pPr>
        <w:jc w:val="center"/>
        <w:rPr>
          <w:lang w:val="fr-FR"/>
        </w:rPr>
      </w:pPr>
      <w:r>
        <w:rPr>
          <w:lang w:val="fr-FR"/>
        </w:rPr>
        <w:lastRenderedPageBreak/>
        <w:t>C/56/3</w:t>
      </w:r>
    </w:p>
    <w:p w:rsidR="00724CDC" w:rsidRPr="00E51C73" w:rsidRDefault="00724CDC" w:rsidP="00724CDC">
      <w:pPr>
        <w:jc w:val="center"/>
        <w:rPr>
          <w:lang w:val="fr-FR"/>
        </w:rPr>
      </w:pPr>
    </w:p>
    <w:p w:rsidR="00724CDC" w:rsidRPr="00E51C73" w:rsidRDefault="00724CDC" w:rsidP="00724CDC">
      <w:pPr>
        <w:jc w:val="center"/>
        <w:rPr>
          <w:lang w:val="fr-FR"/>
        </w:rPr>
      </w:pPr>
      <w:r w:rsidRPr="00E51C73">
        <w:rPr>
          <w:lang w:val="fr-FR"/>
        </w:rPr>
        <w:t>ANNEXE III</w:t>
      </w:r>
    </w:p>
    <w:p w:rsidR="00724CDC" w:rsidRPr="00E51C73" w:rsidRDefault="00724CDC" w:rsidP="00724CDC">
      <w:pPr>
        <w:rPr>
          <w:lang w:val="fr-FR"/>
        </w:rPr>
      </w:pPr>
    </w:p>
    <w:p w:rsidR="00724CDC" w:rsidRPr="00E51C73" w:rsidRDefault="00724CDC" w:rsidP="00724CDC">
      <w:pPr>
        <w:rPr>
          <w:lang w:val="fr-FR"/>
        </w:rPr>
      </w:pPr>
    </w:p>
    <w:p w:rsidR="00724CDC" w:rsidRPr="00E51C73" w:rsidRDefault="00724CDC" w:rsidP="00724CDC">
      <w:pPr>
        <w:rPr>
          <w:u w:val="single"/>
          <w:lang w:val="fr-FR"/>
        </w:rPr>
      </w:pPr>
      <w:r w:rsidRPr="00E51C73">
        <w:rPr>
          <w:u w:val="single"/>
          <w:lang w:val="fr-FR"/>
        </w:rPr>
        <w:t>Document TGP/12 : Conseils en ce qui concerne certains caractères physiologiques (révision)</w:t>
      </w:r>
    </w:p>
    <w:p w:rsidR="00724CDC" w:rsidRPr="00E51C73" w:rsidRDefault="00724CDC" w:rsidP="00724CDC">
      <w:pPr>
        <w:rPr>
          <w:u w:val="single"/>
          <w:lang w:val="fr-FR"/>
        </w:rPr>
      </w:pPr>
    </w:p>
    <w:p w:rsidR="00724CDC" w:rsidRPr="00E51C73" w:rsidRDefault="00724CDC" w:rsidP="00724CDC">
      <w:pPr>
        <w:rPr>
          <w:lang w:val="fr-FR"/>
        </w:rPr>
      </w:pPr>
    </w:p>
    <w:p w:rsidR="00724CDC" w:rsidRPr="00E51C73" w:rsidRDefault="00724CDC" w:rsidP="00724CDC">
      <w:pPr>
        <w:rPr>
          <w:snapToGrid w:val="0"/>
          <w:lang w:val="fr-FR"/>
        </w:rPr>
      </w:pPr>
      <w:r w:rsidRPr="00E51C73">
        <w:rPr>
          <w:snapToGrid w:val="0"/>
          <w:lang w:val="fr-FR"/>
        </w:rPr>
        <w:t>À sa cinquante-septième session tenue par voie électronique les 25 et 26 octobre 2021, le TC a décidé de modifier la section 2.3.2 du document TGP/12/2 pour remplacer le niveau d’expression “moyennement résistant” par “intermédiaire” dans l’exemple concernant les caractères de résistance aux maladies avec l’échelle de “1 à 3”, comme suit (voir les paragraphes 44 et 45 du document TC/57/25 “Compte rendu”) :</w:t>
      </w:r>
    </w:p>
    <w:p w:rsidR="00724CDC" w:rsidRPr="00E51C73" w:rsidRDefault="00724CDC" w:rsidP="00724CDC">
      <w:pPr>
        <w:rPr>
          <w:snapToGrid w:val="0"/>
          <w:lang w:val="fr-FR"/>
        </w:rPr>
      </w:pPr>
    </w:p>
    <w:p w:rsidR="00724CDC" w:rsidRPr="00E51C73" w:rsidRDefault="00724CDC" w:rsidP="00724CDC">
      <w:pPr>
        <w:keepNext/>
        <w:keepLines/>
        <w:ind w:left="567"/>
        <w:jc w:val="left"/>
        <w:rPr>
          <w:lang w:val="fr-FR"/>
        </w:rPr>
      </w:pPr>
      <w:r w:rsidRPr="00E51C73">
        <w:rPr>
          <w:u w:val="single"/>
          <w:lang w:val="fr-FR"/>
        </w:rPr>
        <w:t>Exemple avec l’échelle de “1 à 3”</w:t>
      </w:r>
      <w:r w:rsidRPr="00E51C73">
        <w:rPr>
          <w:lang w:val="fr-FR"/>
        </w:rPr>
        <w:t xml:space="preserve"> : </w:t>
      </w:r>
      <w:r w:rsidRPr="00E51C73">
        <w:rPr>
          <w:lang w:val="fr-FR"/>
        </w:rPr>
        <w:tab/>
        <w:t xml:space="preserve">Résistance du melon à </w:t>
      </w:r>
      <w:r w:rsidRPr="00E51C73">
        <w:rPr>
          <w:i/>
          <w:lang w:val="fr-FR"/>
        </w:rPr>
        <w:t>Sphaerotheca fuliginea</w:t>
      </w:r>
      <w:r w:rsidRPr="00E51C73">
        <w:rPr>
          <w:lang w:val="fr-FR"/>
        </w:rPr>
        <w:t xml:space="preserve"> (</w:t>
      </w:r>
      <w:r w:rsidRPr="00E51C73">
        <w:rPr>
          <w:i/>
          <w:lang w:val="fr-FR"/>
        </w:rPr>
        <w:t>Podosphaera xanthii</w:t>
      </w:r>
      <w:r w:rsidRPr="00E51C73">
        <w:rPr>
          <w:lang w:val="fr-FR"/>
        </w:rPr>
        <w:t>) (oïdium) (principes directeurs d’examen de l’UPOV : TG/104/5)</w:t>
      </w:r>
    </w:p>
    <w:p w:rsidR="00724CDC" w:rsidRPr="00E51C73" w:rsidRDefault="00724CDC" w:rsidP="00724CDC">
      <w:pPr>
        <w:keepNext/>
        <w:keepLines/>
        <w:rPr>
          <w:sz w:val="18"/>
          <w:lang w:val="fr-FR"/>
        </w:rPr>
      </w:pPr>
    </w:p>
    <w:tbl>
      <w:tblPr>
        <w:tblW w:w="7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8"/>
        <w:gridCol w:w="425"/>
        <w:gridCol w:w="1733"/>
        <w:gridCol w:w="1734"/>
        <w:gridCol w:w="1342"/>
        <w:gridCol w:w="1134"/>
        <w:gridCol w:w="676"/>
      </w:tblGrid>
      <w:tr w:rsidR="00724CDC" w:rsidRPr="00E51C73" w:rsidTr="00AE17D1">
        <w:trPr>
          <w:cantSplit/>
          <w:tblHeader/>
          <w:jc w:val="center"/>
        </w:trPr>
        <w:tc>
          <w:tcPr>
            <w:tcW w:w="578" w:type="dxa"/>
            <w:tcBorders>
              <w:top w:val="single" w:sz="6" w:space="0" w:color="auto"/>
              <w:left w:val="nil"/>
              <w:bottom w:val="single" w:sz="4" w:space="0" w:color="auto"/>
              <w:right w:val="nil"/>
            </w:tcBorders>
            <w:vAlign w:val="center"/>
          </w:tcPr>
          <w:p w:rsidR="00724CDC" w:rsidRPr="00E51C73" w:rsidRDefault="00724CDC" w:rsidP="00AE17D1">
            <w:pPr>
              <w:keepNext/>
              <w:keepLines/>
              <w:spacing w:before="120" w:after="120"/>
              <w:jc w:val="left"/>
              <w:rPr>
                <w:sz w:val="16"/>
                <w:lang w:val="fr-FR"/>
              </w:rPr>
            </w:pPr>
          </w:p>
        </w:tc>
        <w:tc>
          <w:tcPr>
            <w:tcW w:w="425" w:type="dxa"/>
            <w:tcBorders>
              <w:top w:val="single" w:sz="6" w:space="0" w:color="auto"/>
              <w:left w:val="nil"/>
              <w:bottom w:val="single" w:sz="4" w:space="0" w:color="auto"/>
              <w:right w:val="nil"/>
            </w:tcBorders>
            <w:vAlign w:val="center"/>
          </w:tcPr>
          <w:p w:rsidR="00724CDC" w:rsidRPr="00E51C73" w:rsidRDefault="00724CDC" w:rsidP="00AE17D1">
            <w:pPr>
              <w:keepNext/>
              <w:keepLines/>
              <w:spacing w:before="120" w:after="120"/>
              <w:jc w:val="left"/>
              <w:rPr>
                <w:sz w:val="16"/>
                <w:lang w:val="fr-FR"/>
              </w:rPr>
            </w:pPr>
          </w:p>
        </w:tc>
        <w:tc>
          <w:tcPr>
            <w:tcW w:w="1733" w:type="dxa"/>
            <w:tcBorders>
              <w:top w:val="single" w:sz="6" w:space="0" w:color="auto"/>
              <w:left w:val="nil"/>
              <w:bottom w:val="single" w:sz="4" w:space="0" w:color="auto"/>
              <w:right w:val="nil"/>
            </w:tcBorders>
            <w:vAlign w:val="center"/>
            <w:hideMark/>
          </w:tcPr>
          <w:p w:rsidR="00724CDC" w:rsidRPr="00E51C73" w:rsidRDefault="00724CDC" w:rsidP="00AE17D1">
            <w:pPr>
              <w:keepNext/>
              <w:keepLines/>
              <w:spacing w:before="120" w:after="120"/>
              <w:jc w:val="left"/>
              <w:rPr>
                <w:sz w:val="16"/>
                <w:lang w:val="fr-FR"/>
              </w:rPr>
            </w:pPr>
            <w:r w:rsidRPr="00E51C73">
              <w:rPr>
                <w:sz w:val="16"/>
                <w:lang w:val="fr-FR"/>
              </w:rPr>
              <w:t>Français</w:t>
            </w:r>
          </w:p>
        </w:tc>
        <w:tc>
          <w:tcPr>
            <w:tcW w:w="1734" w:type="dxa"/>
            <w:tcBorders>
              <w:top w:val="single" w:sz="6" w:space="0" w:color="auto"/>
              <w:left w:val="nil"/>
              <w:bottom w:val="single" w:sz="4" w:space="0" w:color="auto"/>
              <w:right w:val="nil"/>
            </w:tcBorders>
            <w:vAlign w:val="center"/>
          </w:tcPr>
          <w:p w:rsidR="00724CDC" w:rsidRPr="00E51C73" w:rsidRDefault="00724CDC" w:rsidP="00AE17D1">
            <w:pPr>
              <w:keepNext/>
              <w:keepLines/>
              <w:spacing w:before="120" w:after="120"/>
              <w:jc w:val="left"/>
              <w:rPr>
                <w:sz w:val="16"/>
                <w:lang w:val="fr-FR"/>
              </w:rPr>
            </w:pPr>
          </w:p>
        </w:tc>
        <w:tc>
          <w:tcPr>
            <w:tcW w:w="1342" w:type="dxa"/>
            <w:tcBorders>
              <w:top w:val="single" w:sz="6" w:space="0" w:color="auto"/>
              <w:left w:val="nil"/>
              <w:bottom w:val="single" w:sz="4" w:space="0" w:color="auto"/>
              <w:right w:val="nil"/>
            </w:tcBorders>
            <w:vAlign w:val="center"/>
          </w:tcPr>
          <w:p w:rsidR="00724CDC" w:rsidRPr="00E51C73" w:rsidRDefault="00724CDC" w:rsidP="00AE17D1">
            <w:pPr>
              <w:keepNext/>
              <w:keepLines/>
              <w:spacing w:before="120" w:after="120"/>
              <w:jc w:val="left"/>
              <w:rPr>
                <w:sz w:val="16"/>
                <w:lang w:val="fr-FR"/>
              </w:rPr>
            </w:pPr>
          </w:p>
        </w:tc>
        <w:tc>
          <w:tcPr>
            <w:tcW w:w="1134" w:type="dxa"/>
            <w:tcBorders>
              <w:top w:val="single" w:sz="6" w:space="0" w:color="auto"/>
              <w:left w:val="nil"/>
              <w:bottom w:val="single" w:sz="4" w:space="0" w:color="auto"/>
              <w:right w:val="nil"/>
            </w:tcBorders>
            <w:vAlign w:val="center"/>
            <w:hideMark/>
          </w:tcPr>
          <w:p w:rsidR="00724CDC" w:rsidRPr="00E51C73" w:rsidRDefault="00724CDC" w:rsidP="00AE17D1">
            <w:pPr>
              <w:keepNext/>
              <w:keepLines/>
              <w:spacing w:before="120" w:after="120"/>
              <w:jc w:val="left"/>
              <w:rPr>
                <w:sz w:val="16"/>
                <w:lang w:val="fr-FR"/>
              </w:rPr>
            </w:pPr>
            <w:r w:rsidRPr="00E51C73">
              <w:rPr>
                <w:sz w:val="16"/>
                <w:lang w:val="fr-FR"/>
              </w:rPr>
              <w:t>Variétés indiquées à titre d’exemples</w:t>
            </w:r>
          </w:p>
        </w:tc>
        <w:tc>
          <w:tcPr>
            <w:tcW w:w="676" w:type="dxa"/>
            <w:tcBorders>
              <w:top w:val="single" w:sz="6" w:space="0" w:color="auto"/>
              <w:left w:val="nil"/>
              <w:bottom w:val="single" w:sz="4" w:space="0" w:color="auto"/>
              <w:right w:val="nil"/>
            </w:tcBorders>
            <w:vAlign w:val="center"/>
            <w:hideMark/>
          </w:tcPr>
          <w:p w:rsidR="00724CDC" w:rsidRPr="00E51C73" w:rsidRDefault="00724CDC" w:rsidP="00AE17D1">
            <w:pPr>
              <w:keepNext/>
              <w:keepLines/>
              <w:spacing w:before="120" w:after="120"/>
              <w:jc w:val="left"/>
              <w:rPr>
                <w:sz w:val="16"/>
                <w:lang w:val="fr-FR"/>
              </w:rPr>
            </w:pPr>
            <w:r w:rsidRPr="00E51C73">
              <w:rPr>
                <w:sz w:val="16"/>
                <w:lang w:val="fr-FR"/>
              </w:rPr>
              <w:t>Note</w:t>
            </w:r>
          </w:p>
        </w:tc>
      </w:tr>
      <w:tr w:rsidR="00724CDC" w:rsidRPr="002D04D9" w:rsidTr="00AE17D1">
        <w:trPr>
          <w:cantSplit/>
          <w:jc w:val="center"/>
        </w:trPr>
        <w:tc>
          <w:tcPr>
            <w:tcW w:w="578" w:type="dxa"/>
            <w:tcBorders>
              <w:top w:val="single" w:sz="4" w:space="0" w:color="auto"/>
              <w:left w:val="nil"/>
              <w:bottom w:val="nil"/>
              <w:right w:val="nil"/>
            </w:tcBorders>
            <w:hideMark/>
          </w:tcPr>
          <w:p w:rsidR="00724CDC" w:rsidRPr="00E51C73" w:rsidRDefault="00724CDC" w:rsidP="00AE17D1">
            <w:pPr>
              <w:keepNext/>
              <w:keepLines/>
              <w:spacing w:before="120" w:after="120"/>
              <w:jc w:val="left"/>
              <w:rPr>
                <w:b/>
                <w:bCs/>
                <w:sz w:val="16"/>
                <w:lang w:val="fr-FR"/>
              </w:rPr>
            </w:pPr>
            <w:r w:rsidRPr="00E51C73">
              <w:rPr>
                <w:b/>
                <w:bCs/>
                <w:sz w:val="16"/>
                <w:lang w:val="fr-FR"/>
              </w:rPr>
              <w:t>70.</w:t>
            </w:r>
          </w:p>
          <w:p w:rsidR="00724CDC" w:rsidRPr="00E51C73" w:rsidRDefault="00724CDC" w:rsidP="00AE17D1">
            <w:pPr>
              <w:keepNext/>
              <w:keepLines/>
              <w:spacing w:before="120" w:after="120"/>
              <w:jc w:val="left"/>
              <w:rPr>
                <w:b/>
                <w:bCs/>
                <w:sz w:val="16"/>
                <w:lang w:val="fr-FR"/>
              </w:rPr>
            </w:pPr>
            <w:r w:rsidRPr="00E51C73">
              <w:rPr>
                <w:b/>
                <w:bCs/>
                <w:sz w:val="16"/>
                <w:lang w:val="fr-FR"/>
              </w:rPr>
              <w:t>(+)</w:t>
            </w:r>
          </w:p>
        </w:tc>
        <w:tc>
          <w:tcPr>
            <w:tcW w:w="425" w:type="dxa"/>
            <w:tcBorders>
              <w:top w:val="single" w:sz="4" w:space="0" w:color="auto"/>
              <w:left w:val="nil"/>
              <w:bottom w:val="nil"/>
              <w:right w:val="nil"/>
            </w:tcBorders>
            <w:hideMark/>
          </w:tcPr>
          <w:p w:rsidR="00724CDC" w:rsidRPr="00E51C73" w:rsidRDefault="00724CDC" w:rsidP="00AE17D1">
            <w:pPr>
              <w:keepNext/>
              <w:keepLines/>
              <w:spacing w:before="120" w:after="120"/>
              <w:jc w:val="left"/>
              <w:rPr>
                <w:b/>
                <w:bCs/>
                <w:sz w:val="16"/>
                <w:lang w:val="fr-FR"/>
              </w:rPr>
            </w:pPr>
            <w:r w:rsidRPr="00E51C73">
              <w:rPr>
                <w:b/>
                <w:bCs/>
                <w:sz w:val="16"/>
                <w:lang w:val="fr-FR"/>
              </w:rPr>
              <w:t>VG</w:t>
            </w:r>
          </w:p>
        </w:tc>
        <w:tc>
          <w:tcPr>
            <w:tcW w:w="1733" w:type="dxa"/>
            <w:tcBorders>
              <w:top w:val="single" w:sz="4" w:space="0" w:color="auto"/>
              <w:left w:val="nil"/>
              <w:bottom w:val="nil"/>
              <w:right w:val="nil"/>
            </w:tcBorders>
            <w:hideMark/>
          </w:tcPr>
          <w:p w:rsidR="00724CDC" w:rsidRPr="00E51C73" w:rsidRDefault="00724CDC" w:rsidP="00AE17D1">
            <w:pPr>
              <w:keepNext/>
              <w:keepLines/>
              <w:spacing w:before="120" w:after="120"/>
              <w:jc w:val="left"/>
              <w:rPr>
                <w:b/>
                <w:bCs/>
                <w:sz w:val="16"/>
                <w:lang w:val="fr-FR"/>
              </w:rPr>
            </w:pPr>
            <w:r w:rsidRPr="00E51C73">
              <w:rPr>
                <w:b/>
                <w:bCs/>
                <w:sz w:val="16"/>
                <w:lang w:val="fr-FR"/>
              </w:rPr>
              <w:t>Résistance à Sphaerotheca fuliginea (Podosphaera xanthii) (Oïdium)</w:t>
            </w:r>
          </w:p>
        </w:tc>
        <w:tc>
          <w:tcPr>
            <w:tcW w:w="1734" w:type="dxa"/>
            <w:tcBorders>
              <w:top w:val="single" w:sz="4" w:space="0" w:color="auto"/>
              <w:left w:val="nil"/>
              <w:bottom w:val="nil"/>
              <w:right w:val="nil"/>
            </w:tcBorders>
          </w:tcPr>
          <w:p w:rsidR="00724CDC" w:rsidRPr="00E51C73" w:rsidRDefault="00724CDC" w:rsidP="00AE17D1">
            <w:pPr>
              <w:keepNext/>
              <w:keepLines/>
              <w:spacing w:before="120" w:after="120"/>
              <w:jc w:val="left"/>
              <w:rPr>
                <w:b/>
                <w:bCs/>
                <w:sz w:val="16"/>
                <w:lang w:val="fr-FR"/>
              </w:rPr>
            </w:pPr>
          </w:p>
        </w:tc>
        <w:tc>
          <w:tcPr>
            <w:tcW w:w="1342" w:type="dxa"/>
            <w:tcBorders>
              <w:top w:val="single" w:sz="4" w:space="0" w:color="auto"/>
              <w:left w:val="nil"/>
              <w:bottom w:val="nil"/>
              <w:right w:val="nil"/>
            </w:tcBorders>
          </w:tcPr>
          <w:p w:rsidR="00724CDC" w:rsidRPr="00E51C73" w:rsidRDefault="00724CDC" w:rsidP="00AE17D1">
            <w:pPr>
              <w:keepNext/>
              <w:keepLines/>
              <w:spacing w:before="120" w:after="120"/>
              <w:jc w:val="left"/>
              <w:rPr>
                <w:b/>
                <w:bCs/>
                <w:sz w:val="16"/>
                <w:lang w:val="fr-FR"/>
              </w:rPr>
            </w:pPr>
          </w:p>
        </w:tc>
        <w:tc>
          <w:tcPr>
            <w:tcW w:w="1134" w:type="dxa"/>
            <w:tcBorders>
              <w:top w:val="single" w:sz="4" w:space="0" w:color="auto"/>
              <w:left w:val="nil"/>
              <w:bottom w:val="nil"/>
              <w:right w:val="nil"/>
            </w:tcBorders>
          </w:tcPr>
          <w:p w:rsidR="00724CDC" w:rsidRPr="00E51C73" w:rsidRDefault="00724CDC" w:rsidP="00AE17D1">
            <w:pPr>
              <w:keepNext/>
              <w:keepLines/>
              <w:spacing w:before="120" w:after="120"/>
              <w:jc w:val="left"/>
              <w:rPr>
                <w:b/>
                <w:bCs/>
                <w:sz w:val="16"/>
                <w:lang w:val="fr-FR"/>
              </w:rPr>
            </w:pPr>
          </w:p>
        </w:tc>
        <w:tc>
          <w:tcPr>
            <w:tcW w:w="676" w:type="dxa"/>
            <w:tcBorders>
              <w:top w:val="single" w:sz="4" w:space="0" w:color="auto"/>
              <w:left w:val="nil"/>
              <w:bottom w:val="nil"/>
              <w:right w:val="nil"/>
            </w:tcBorders>
          </w:tcPr>
          <w:p w:rsidR="00724CDC" w:rsidRPr="00E51C73" w:rsidRDefault="00724CDC" w:rsidP="00AE17D1">
            <w:pPr>
              <w:keepNext/>
              <w:keepLines/>
              <w:spacing w:before="120" w:after="120"/>
              <w:jc w:val="left"/>
              <w:rPr>
                <w:b/>
                <w:bCs/>
                <w:sz w:val="16"/>
                <w:lang w:val="fr-FR"/>
              </w:rPr>
            </w:pPr>
          </w:p>
        </w:tc>
      </w:tr>
      <w:tr w:rsidR="00724CDC" w:rsidRPr="00E51C73" w:rsidTr="00AE17D1">
        <w:trPr>
          <w:cantSplit/>
          <w:jc w:val="center"/>
        </w:trPr>
        <w:tc>
          <w:tcPr>
            <w:tcW w:w="578" w:type="dxa"/>
            <w:tcBorders>
              <w:top w:val="nil"/>
              <w:left w:val="nil"/>
              <w:bottom w:val="nil"/>
              <w:right w:val="nil"/>
            </w:tcBorders>
            <w:hideMark/>
          </w:tcPr>
          <w:p w:rsidR="00724CDC" w:rsidRPr="00E51C73" w:rsidRDefault="00724CDC" w:rsidP="00AE17D1">
            <w:pPr>
              <w:keepNext/>
              <w:keepLines/>
              <w:spacing w:before="120" w:after="120"/>
              <w:jc w:val="left"/>
              <w:rPr>
                <w:b/>
                <w:sz w:val="16"/>
                <w:lang w:val="fr-FR"/>
              </w:rPr>
            </w:pPr>
            <w:r w:rsidRPr="00E51C73">
              <w:rPr>
                <w:b/>
                <w:sz w:val="16"/>
                <w:lang w:val="fr-FR"/>
              </w:rPr>
              <w:t>70.1</w:t>
            </w:r>
          </w:p>
        </w:tc>
        <w:tc>
          <w:tcPr>
            <w:tcW w:w="425" w:type="dxa"/>
            <w:tcBorders>
              <w:top w:val="nil"/>
              <w:left w:val="nil"/>
              <w:bottom w:val="nil"/>
              <w:right w:val="nil"/>
            </w:tcBorders>
          </w:tcPr>
          <w:p w:rsidR="00724CDC" w:rsidRPr="00E51C73" w:rsidRDefault="00724CDC" w:rsidP="00AE17D1">
            <w:pPr>
              <w:keepNext/>
              <w:keepLines/>
              <w:spacing w:before="120" w:after="120"/>
              <w:jc w:val="left"/>
              <w:rPr>
                <w:b/>
                <w:sz w:val="16"/>
                <w:lang w:val="fr-FR"/>
              </w:rPr>
            </w:pPr>
          </w:p>
        </w:tc>
        <w:tc>
          <w:tcPr>
            <w:tcW w:w="1733" w:type="dxa"/>
            <w:tcBorders>
              <w:top w:val="nil"/>
              <w:left w:val="nil"/>
              <w:bottom w:val="nil"/>
              <w:right w:val="nil"/>
            </w:tcBorders>
            <w:hideMark/>
          </w:tcPr>
          <w:p w:rsidR="00724CDC" w:rsidRPr="00E51C73" w:rsidRDefault="00724CDC" w:rsidP="00AE17D1">
            <w:pPr>
              <w:keepNext/>
              <w:keepLines/>
              <w:spacing w:before="120" w:after="120"/>
              <w:jc w:val="left"/>
              <w:rPr>
                <w:b/>
                <w:sz w:val="16"/>
                <w:lang w:val="fr-FR"/>
              </w:rPr>
            </w:pPr>
            <w:r w:rsidRPr="00E51C73">
              <w:rPr>
                <w:b/>
                <w:sz w:val="16"/>
                <w:lang w:val="fr-FR"/>
              </w:rPr>
              <w:t>Pathotype 1</w:t>
            </w:r>
          </w:p>
        </w:tc>
        <w:tc>
          <w:tcPr>
            <w:tcW w:w="1734" w:type="dxa"/>
            <w:tcBorders>
              <w:top w:val="nil"/>
              <w:left w:val="nil"/>
              <w:bottom w:val="nil"/>
              <w:right w:val="nil"/>
            </w:tcBorders>
          </w:tcPr>
          <w:p w:rsidR="00724CDC" w:rsidRPr="00E51C73" w:rsidRDefault="00724CDC" w:rsidP="00AE17D1">
            <w:pPr>
              <w:keepNext/>
              <w:keepLines/>
              <w:spacing w:before="120" w:after="120"/>
              <w:jc w:val="left"/>
              <w:rPr>
                <w:b/>
                <w:sz w:val="16"/>
                <w:lang w:val="fr-FR"/>
              </w:rPr>
            </w:pPr>
          </w:p>
        </w:tc>
        <w:tc>
          <w:tcPr>
            <w:tcW w:w="1342" w:type="dxa"/>
            <w:tcBorders>
              <w:top w:val="nil"/>
              <w:left w:val="nil"/>
              <w:bottom w:val="nil"/>
              <w:right w:val="nil"/>
            </w:tcBorders>
          </w:tcPr>
          <w:p w:rsidR="00724CDC" w:rsidRPr="00E51C73" w:rsidRDefault="00724CDC" w:rsidP="00AE17D1">
            <w:pPr>
              <w:keepNext/>
              <w:keepLines/>
              <w:spacing w:before="120" w:after="120"/>
              <w:jc w:val="left"/>
              <w:rPr>
                <w:b/>
                <w:sz w:val="16"/>
                <w:lang w:val="fr-FR"/>
              </w:rPr>
            </w:pPr>
          </w:p>
        </w:tc>
        <w:tc>
          <w:tcPr>
            <w:tcW w:w="1134" w:type="dxa"/>
            <w:tcBorders>
              <w:top w:val="nil"/>
              <w:left w:val="nil"/>
              <w:bottom w:val="nil"/>
              <w:right w:val="nil"/>
            </w:tcBorders>
          </w:tcPr>
          <w:p w:rsidR="00724CDC" w:rsidRPr="00E51C73" w:rsidRDefault="00724CDC" w:rsidP="00AE17D1">
            <w:pPr>
              <w:keepNext/>
              <w:keepLines/>
              <w:spacing w:before="120" w:after="120"/>
              <w:jc w:val="left"/>
              <w:rPr>
                <w:sz w:val="16"/>
                <w:lang w:val="fr-FR"/>
              </w:rPr>
            </w:pPr>
          </w:p>
        </w:tc>
        <w:tc>
          <w:tcPr>
            <w:tcW w:w="676" w:type="dxa"/>
            <w:tcBorders>
              <w:top w:val="nil"/>
              <w:left w:val="nil"/>
              <w:bottom w:val="nil"/>
              <w:right w:val="nil"/>
            </w:tcBorders>
          </w:tcPr>
          <w:p w:rsidR="00724CDC" w:rsidRPr="00E51C73" w:rsidRDefault="00724CDC" w:rsidP="00AE17D1">
            <w:pPr>
              <w:keepNext/>
              <w:keepLines/>
              <w:spacing w:before="120" w:after="120"/>
              <w:jc w:val="left"/>
              <w:rPr>
                <w:sz w:val="16"/>
                <w:lang w:val="fr-FR"/>
              </w:rPr>
            </w:pPr>
          </w:p>
        </w:tc>
      </w:tr>
      <w:tr w:rsidR="00724CDC" w:rsidRPr="00E51C73" w:rsidTr="00AE17D1">
        <w:trPr>
          <w:cantSplit/>
          <w:jc w:val="center"/>
        </w:trPr>
        <w:tc>
          <w:tcPr>
            <w:tcW w:w="578" w:type="dxa"/>
            <w:tcBorders>
              <w:top w:val="nil"/>
              <w:left w:val="nil"/>
              <w:bottom w:val="nil"/>
              <w:right w:val="nil"/>
            </w:tcBorders>
            <w:hideMark/>
          </w:tcPr>
          <w:p w:rsidR="00724CDC" w:rsidRPr="00E51C73" w:rsidRDefault="00724CDC" w:rsidP="00AE17D1">
            <w:pPr>
              <w:keepNext/>
              <w:keepLines/>
              <w:spacing w:before="120" w:after="120"/>
              <w:jc w:val="left"/>
              <w:rPr>
                <w:sz w:val="16"/>
                <w:lang w:val="fr-FR"/>
              </w:rPr>
            </w:pPr>
            <w:r w:rsidRPr="00E51C73">
              <w:rPr>
                <w:sz w:val="16"/>
                <w:lang w:val="fr-FR"/>
              </w:rPr>
              <w:t>QN</w:t>
            </w:r>
          </w:p>
        </w:tc>
        <w:tc>
          <w:tcPr>
            <w:tcW w:w="425" w:type="dxa"/>
            <w:tcBorders>
              <w:top w:val="nil"/>
              <w:left w:val="nil"/>
              <w:bottom w:val="nil"/>
              <w:right w:val="nil"/>
            </w:tcBorders>
          </w:tcPr>
          <w:p w:rsidR="00724CDC" w:rsidRPr="00E51C73" w:rsidRDefault="00724CDC" w:rsidP="00AE17D1">
            <w:pPr>
              <w:keepNext/>
              <w:keepLines/>
              <w:spacing w:before="120" w:after="120"/>
              <w:jc w:val="left"/>
              <w:rPr>
                <w:sz w:val="16"/>
                <w:lang w:val="fr-FR"/>
              </w:rPr>
            </w:pPr>
          </w:p>
        </w:tc>
        <w:tc>
          <w:tcPr>
            <w:tcW w:w="1733" w:type="dxa"/>
            <w:tcBorders>
              <w:top w:val="nil"/>
              <w:left w:val="nil"/>
              <w:bottom w:val="nil"/>
              <w:right w:val="nil"/>
            </w:tcBorders>
            <w:hideMark/>
          </w:tcPr>
          <w:p w:rsidR="00724CDC" w:rsidRPr="00E51C73" w:rsidRDefault="00724CDC" w:rsidP="00AE17D1">
            <w:pPr>
              <w:keepNext/>
              <w:keepLines/>
              <w:spacing w:before="120" w:after="120"/>
              <w:jc w:val="left"/>
              <w:rPr>
                <w:sz w:val="16"/>
                <w:lang w:val="fr-FR"/>
              </w:rPr>
            </w:pPr>
            <w:r w:rsidRPr="00E51C73">
              <w:rPr>
                <w:sz w:val="16"/>
                <w:lang w:val="fr-FR"/>
              </w:rPr>
              <w:t>sensible</w:t>
            </w:r>
          </w:p>
        </w:tc>
        <w:tc>
          <w:tcPr>
            <w:tcW w:w="1734" w:type="dxa"/>
            <w:tcBorders>
              <w:top w:val="nil"/>
              <w:left w:val="nil"/>
              <w:bottom w:val="nil"/>
              <w:right w:val="nil"/>
            </w:tcBorders>
          </w:tcPr>
          <w:p w:rsidR="00724CDC" w:rsidRPr="00E51C73" w:rsidRDefault="00724CDC" w:rsidP="00AE17D1">
            <w:pPr>
              <w:keepNext/>
              <w:keepLines/>
              <w:spacing w:before="120" w:after="120"/>
              <w:jc w:val="left"/>
              <w:rPr>
                <w:sz w:val="16"/>
                <w:lang w:val="fr-FR"/>
              </w:rPr>
            </w:pPr>
          </w:p>
        </w:tc>
        <w:tc>
          <w:tcPr>
            <w:tcW w:w="1342" w:type="dxa"/>
            <w:tcBorders>
              <w:top w:val="nil"/>
              <w:left w:val="nil"/>
              <w:bottom w:val="nil"/>
              <w:right w:val="nil"/>
            </w:tcBorders>
          </w:tcPr>
          <w:p w:rsidR="00724CDC" w:rsidRPr="00E51C73" w:rsidRDefault="00724CDC" w:rsidP="00AE17D1">
            <w:pPr>
              <w:keepNext/>
              <w:keepLines/>
              <w:spacing w:before="120" w:after="120"/>
              <w:jc w:val="left"/>
              <w:rPr>
                <w:sz w:val="16"/>
                <w:lang w:val="fr-FR"/>
              </w:rPr>
            </w:pPr>
          </w:p>
        </w:tc>
        <w:tc>
          <w:tcPr>
            <w:tcW w:w="1134" w:type="dxa"/>
            <w:tcBorders>
              <w:top w:val="nil"/>
              <w:left w:val="nil"/>
              <w:bottom w:val="nil"/>
              <w:right w:val="nil"/>
            </w:tcBorders>
            <w:hideMark/>
          </w:tcPr>
          <w:p w:rsidR="00724CDC" w:rsidRPr="00E51C73" w:rsidRDefault="00724CDC" w:rsidP="00AE17D1">
            <w:pPr>
              <w:keepNext/>
              <w:keepLines/>
              <w:spacing w:before="120" w:after="120"/>
              <w:jc w:val="left"/>
              <w:rPr>
                <w:sz w:val="16"/>
                <w:lang w:val="fr-FR"/>
              </w:rPr>
            </w:pPr>
            <w:r w:rsidRPr="00E51C73">
              <w:rPr>
                <w:sz w:val="16"/>
                <w:lang w:val="fr-FR"/>
              </w:rPr>
              <w:t>[…]</w:t>
            </w:r>
          </w:p>
        </w:tc>
        <w:tc>
          <w:tcPr>
            <w:tcW w:w="676" w:type="dxa"/>
            <w:tcBorders>
              <w:top w:val="nil"/>
              <w:left w:val="nil"/>
              <w:bottom w:val="nil"/>
              <w:right w:val="nil"/>
            </w:tcBorders>
            <w:hideMark/>
          </w:tcPr>
          <w:p w:rsidR="00724CDC" w:rsidRPr="00E51C73" w:rsidRDefault="00724CDC" w:rsidP="00AE17D1">
            <w:pPr>
              <w:keepNext/>
              <w:keepLines/>
              <w:spacing w:before="120" w:after="120"/>
              <w:jc w:val="left"/>
              <w:rPr>
                <w:sz w:val="16"/>
                <w:lang w:val="fr-FR"/>
              </w:rPr>
            </w:pPr>
            <w:r w:rsidRPr="00E51C73">
              <w:rPr>
                <w:sz w:val="16"/>
                <w:lang w:val="fr-FR"/>
              </w:rPr>
              <w:t>1</w:t>
            </w:r>
          </w:p>
        </w:tc>
      </w:tr>
      <w:tr w:rsidR="00724CDC" w:rsidRPr="00E51C73" w:rsidTr="00AE17D1">
        <w:trPr>
          <w:cantSplit/>
          <w:jc w:val="center"/>
        </w:trPr>
        <w:tc>
          <w:tcPr>
            <w:tcW w:w="578" w:type="dxa"/>
            <w:tcBorders>
              <w:top w:val="nil"/>
              <w:left w:val="nil"/>
              <w:bottom w:val="nil"/>
              <w:right w:val="nil"/>
            </w:tcBorders>
          </w:tcPr>
          <w:p w:rsidR="00724CDC" w:rsidRPr="00E51C73" w:rsidRDefault="00724CDC" w:rsidP="00AE17D1">
            <w:pPr>
              <w:keepNext/>
              <w:keepLines/>
              <w:spacing w:before="120" w:after="120"/>
              <w:jc w:val="left"/>
              <w:rPr>
                <w:sz w:val="16"/>
                <w:lang w:val="fr-FR"/>
              </w:rPr>
            </w:pPr>
          </w:p>
        </w:tc>
        <w:tc>
          <w:tcPr>
            <w:tcW w:w="425" w:type="dxa"/>
            <w:tcBorders>
              <w:top w:val="nil"/>
              <w:left w:val="nil"/>
              <w:bottom w:val="nil"/>
              <w:right w:val="nil"/>
            </w:tcBorders>
          </w:tcPr>
          <w:p w:rsidR="00724CDC" w:rsidRPr="00E51C73" w:rsidRDefault="00724CDC" w:rsidP="00AE17D1">
            <w:pPr>
              <w:keepNext/>
              <w:keepLines/>
              <w:spacing w:before="120" w:after="120"/>
              <w:jc w:val="left"/>
              <w:rPr>
                <w:sz w:val="16"/>
                <w:lang w:val="fr-FR"/>
              </w:rPr>
            </w:pPr>
          </w:p>
        </w:tc>
        <w:tc>
          <w:tcPr>
            <w:tcW w:w="3467" w:type="dxa"/>
            <w:gridSpan w:val="2"/>
            <w:tcBorders>
              <w:top w:val="nil"/>
              <w:left w:val="nil"/>
              <w:bottom w:val="nil"/>
              <w:right w:val="nil"/>
            </w:tcBorders>
            <w:hideMark/>
          </w:tcPr>
          <w:p w:rsidR="00724CDC" w:rsidRPr="00E51C73" w:rsidRDefault="00724CDC" w:rsidP="00AE17D1">
            <w:pPr>
              <w:keepNext/>
              <w:keepLines/>
              <w:spacing w:before="120" w:after="120"/>
              <w:jc w:val="left"/>
              <w:rPr>
                <w:sz w:val="16"/>
                <w:lang w:val="fr-FR"/>
              </w:rPr>
            </w:pPr>
            <w:r w:rsidRPr="00E51C73">
              <w:rPr>
                <w:strike/>
                <w:sz w:val="16"/>
                <w:highlight w:val="lightGray"/>
                <w:lang w:val="fr-FR"/>
              </w:rPr>
              <w:t xml:space="preserve">moyennement résistant </w:t>
            </w:r>
            <w:r w:rsidRPr="00E51C73">
              <w:rPr>
                <w:sz w:val="16"/>
                <w:highlight w:val="lightGray"/>
                <w:u w:val="single"/>
                <w:lang w:val="fr-FR"/>
              </w:rPr>
              <w:t>intermédiaire</w:t>
            </w:r>
            <w:r w:rsidRPr="00E51C73">
              <w:rPr>
                <w:rStyle w:val="FootnoteReference"/>
                <w:sz w:val="16"/>
                <w:lang w:val="fr-FR"/>
              </w:rPr>
              <w:footnoteReference w:id="2"/>
            </w:r>
            <w:r w:rsidRPr="00E51C73">
              <w:rPr>
                <w:sz w:val="16"/>
                <w:lang w:val="fr-FR"/>
              </w:rPr>
              <w:t xml:space="preserve"> </w:t>
            </w:r>
          </w:p>
        </w:tc>
        <w:tc>
          <w:tcPr>
            <w:tcW w:w="1342" w:type="dxa"/>
            <w:tcBorders>
              <w:top w:val="nil"/>
              <w:left w:val="nil"/>
              <w:bottom w:val="nil"/>
              <w:right w:val="nil"/>
            </w:tcBorders>
          </w:tcPr>
          <w:p w:rsidR="00724CDC" w:rsidRPr="00E51C73" w:rsidRDefault="00724CDC" w:rsidP="00AE17D1">
            <w:pPr>
              <w:keepNext/>
              <w:keepLines/>
              <w:spacing w:before="120" w:after="120"/>
              <w:jc w:val="left"/>
              <w:rPr>
                <w:sz w:val="16"/>
                <w:lang w:val="fr-FR"/>
              </w:rPr>
            </w:pPr>
          </w:p>
        </w:tc>
        <w:tc>
          <w:tcPr>
            <w:tcW w:w="1134" w:type="dxa"/>
            <w:tcBorders>
              <w:top w:val="nil"/>
              <w:left w:val="nil"/>
              <w:bottom w:val="nil"/>
              <w:right w:val="nil"/>
            </w:tcBorders>
            <w:hideMark/>
          </w:tcPr>
          <w:p w:rsidR="00724CDC" w:rsidRPr="00E51C73" w:rsidRDefault="00724CDC" w:rsidP="00AE17D1">
            <w:pPr>
              <w:keepNext/>
              <w:keepLines/>
              <w:spacing w:before="120" w:after="120"/>
              <w:jc w:val="left"/>
              <w:rPr>
                <w:sz w:val="16"/>
                <w:lang w:val="fr-FR"/>
              </w:rPr>
            </w:pPr>
            <w:r w:rsidRPr="00E51C73">
              <w:rPr>
                <w:sz w:val="16"/>
                <w:lang w:val="fr-FR"/>
              </w:rPr>
              <w:t>[…]</w:t>
            </w:r>
          </w:p>
        </w:tc>
        <w:tc>
          <w:tcPr>
            <w:tcW w:w="676" w:type="dxa"/>
            <w:tcBorders>
              <w:top w:val="nil"/>
              <w:left w:val="nil"/>
              <w:bottom w:val="nil"/>
              <w:right w:val="nil"/>
            </w:tcBorders>
            <w:hideMark/>
          </w:tcPr>
          <w:p w:rsidR="00724CDC" w:rsidRPr="00E51C73" w:rsidRDefault="00724CDC" w:rsidP="00AE17D1">
            <w:pPr>
              <w:keepNext/>
              <w:keepLines/>
              <w:spacing w:before="120" w:after="120"/>
              <w:jc w:val="left"/>
              <w:rPr>
                <w:sz w:val="16"/>
                <w:lang w:val="fr-FR"/>
              </w:rPr>
            </w:pPr>
            <w:r w:rsidRPr="00E51C73">
              <w:rPr>
                <w:sz w:val="16"/>
                <w:lang w:val="fr-FR"/>
              </w:rPr>
              <w:t>2</w:t>
            </w:r>
          </w:p>
        </w:tc>
      </w:tr>
      <w:tr w:rsidR="00724CDC" w:rsidRPr="00E51C73" w:rsidTr="00AE17D1">
        <w:trPr>
          <w:cantSplit/>
          <w:jc w:val="center"/>
        </w:trPr>
        <w:tc>
          <w:tcPr>
            <w:tcW w:w="578" w:type="dxa"/>
            <w:tcBorders>
              <w:top w:val="nil"/>
              <w:left w:val="nil"/>
              <w:bottom w:val="single" w:sz="4" w:space="0" w:color="auto"/>
              <w:right w:val="nil"/>
            </w:tcBorders>
          </w:tcPr>
          <w:p w:rsidR="00724CDC" w:rsidRPr="00E51C73" w:rsidRDefault="00724CDC" w:rsidP="00AE17D1">
            <w:pPr>
              <w:keepNext/>
              <w:keepLines/>
              <w:spacing w:before="120" w:after="120"/>
              <w:jc w:val="left"/>
              <w:rPr>
                <w:sz w:val="16"/>
                <w:lang w:val="fr-FR"/>
              </w:rPr>
            </w:pPr>
          </w:p>
        </w:tc>
        <w:tc>
          <w:tcPr>
            <w:tcW w:w="425" w:type="dxa"/>
            <w:tcBorders>
              <w:top w:val="nil"/>
              <w:left w:val="nil"/>
              <w:bottom w:val="single" w:sz="4" w:space="0" w:color="auto"/>
              <w:right w:val="nil"/>
            </w:tcBorders>
          </w:tcPr>
          <w:p w:rsidR="00724CDC" w:rsidRPr="00E51C73" w:rsidRDefault="00724CDC" w:rsidP="00AE17D1">
            <w:pPr>
              <w:keepNext/>
              <w:keepLines/>
              <w:spacing w:before="120" w:after="120"/>
              <w:jc w:val="left"/>
              <w:rPr>
                <w:sz w:val="16"/>
                <w:lang w:val="fr-FR"/>
              </w:rPr>
            </w:pPr>
          </w:p>
        </w:tc>
        <w:tc>
          <w:tcPr>
            <w:tcW w:w="1733" w:type="dxa"/>
            <w:tcBorders>
              <w:top w:val="nil"/>
              <w:left w:val="nil"/>
              <w:bottom w:val="single" w:sz="4" w:space="0" w:color="auto"/>
              <w:right w:val="nil"/>
            </w:tcBorders>
            <w:hideMark/>
          </w:tcPr>
          <w:p w:rsidR="00724CDC" w:rsidRPr="00E51C73" w:rsidRDefault="00724CDC" w:rsidP="00AE17D1">
            <w:pPr>
              <w:keepNext/>
              <w:keepLines/>
              <w:spacing w:before="120" w:after="120"/>
              <w:jc w:val="left"/>
              <w:rPr>
                <w:sz w:val="16"/>
                <w:lang w:val="fr-FR"/>
              </w:rPr>
            </w:pPr>
            <w:r w:rsidRPr="00E51C73">
              <w:rPr>
                <w:sz w:val="16"/>
                <w:lang w:val="fr-FR"/>
              </w:rPr>
              <w:t>hautement résistant</w:t>
            </w:r>
          </w:p>
        </w:tc>
        <w:tc>
          <w:tcPr>
            <w:tcW w:w="1734" w:type="dxa"/>
            <w:tcBorders>
              <w:top w:val="nil"/>
              <w:left w:val="nil"/>
              <w:bottom w:val="single" w:sz="4" w:space="0" w:color="auto"/>
              <w:right w:val="nil"/>
            </w:tcBorders>
          </w:tcPr>
          <w:p w:rsidR="00724CDC" w:rsidRPr="00E51C73" w:rsidRDefault="00724CDC" w:rsidP="00AE17D1">
            <w:pPr>
              <w:keepNext/>
              <w:keepLines/>
              <w:spacing w:before="120" w:after="120"/>
              <w:jc w:val="left"/>
              <w:rPr>
                <w:sz w:val="16"/>
                <w:lang w:val="fr-FR"/>
              </w:rPr>
            </w:pPr>
          </w:p>
        </w:tc>
        <w:tc>
          <w:tcPr>
            <w:tcW w:w="1342" w:type="dxa"/>
            <w:tcBorders>
              <w:top w:val="nil"/>
              <w:left w:val="nil"/>
              <w:bottom w:val="single" w:sz="4" w:space="0" w:color="auto"/>
              <w:right w:val="nil"/>
            </w:tcBorders>
          </w:tcPr>
          <w:p w:rsidR="00724CDC" w:rsidRPr="00E51C73" w:rsidRDefault="00724CDC" w:rsidP="00AE17D1">
            <w:pPr>
              <w:keepNext/>
              <w:keepLines/>
              <w:spacing w:before="120" w:after="120"/>
              <w:jc w:val="left"/>
              <w:rPr>
                <w:sz w:val="16"/>
                <w:lang w:val="fr-FR"/>
              </w:rPr>
            </w:pPr>
          </w:p>
        </w:tc>
        <w:tc>
          <w:tcPr>
            <w:tcW w:w="1134" w:type="dxa"/>
            <w:tcBorders>
              <w:top w:val="nil"/>
              <w:left w:val="nil"/>
              <w:bottom w:val="single" w:sz="4" w:space="0" w:color="auto"/>
              <w:right w:val="nil"/>
            </w:tcBorders>
            <w:hideMark/>
          </w:tcPr>
          <w:p w:rsidR="00724CDC" w:rsidRPr="00E51C73" w:rsidRDefault="00724CDC" w:rsidP="00AE17D1">
            <w:pPr>
              <w:keepNext/>
              <w:keepLines/>
              <w:spacing w:before="120" w:after="120"/>
              <w:jc w:val="left"/>
              <w:rPr>
                <w:sz w:val="16"/>
                <w:lang w:val="fr-FR"/>
              </w:rPr>
            </w:pPr>
            <w:r w:rsidRPr="00E51C73">
              <w:rPr>
                <w:sz w:val="16"/>
                <w:lang w:val="fr-FR"/>
              </w:rPr>
              <w:t>[…]</w:t>
            </w:r>
          </w:p>
        </w:tc>
        <w:tc>
          <w:tcPr>
            <w:tcW w:w="676" w:type="dxa"/>
            <w:tcBorders>
              <w:top w:val="nil"/>
              <w:left w:val="nil"/>
              <w:bottom w:val="single" w:sz="4" w:space="0" w:color="auto"/>
              <w:right w:val="nil"/>
            </w:tcBorders>
            <w:hideMark/>
          </w:tcPr>
          <w:p w:rsidR="00724CDC" w:rsidRPr="00E51C73" w:rsidRDefault="00724CDC" w:rsidP="00AE17D1">
            <w:pPr>
              <w:keepNext/>
              <w:keepLines/>
              <w:spacing w:before="120" w:after="120"/>
              <w:jc w:val="left"/>
              <w:rPr>
                <w:sz w:val="16"/>
                <w:lang w:val="fr-FR"/>
              </w:rPr>
            </w:pPr>
            <w:r w:rsidRPr="00E51C73">
              <w:rPr>
                <w:sz w:val="16"/>
                <w:lang w:val="fr-FR"/>
              </w:rPr>
              <w:t>3</w:t>
            </w:r>
          </w:p>
        </w:tc>
      </w:tr>
    </w:tbl>
    <w:p w:rsidR="00724CDC" w:rsidRPr="00E51C73" w:rsidRDefault="00724CDC" w:rsidP="00724CDC">
      <w:pPr>
        <w:rPr>
          <w:lang w:val="fr-FR"/>
        </w:rPr>
      </w:pPr>
    </w:p>
    <w:p w:rsidR="00724CDC" w:rsidRPr="00E51C73" w:rsidRDefault="00724CDC" w:rsidP="00724CDC">
      <w:pPr>
        <w:rPr>
          <w:lang w:val="fr-FR"/>
        </w:rPr>
      </w:pPr>
    </w:p>
    <w:p w:rsidR="00724CDC" w:rsidRPr="00E51C73" w:rsidRDefault="00724CDC" w:rsidP="00724CDC">
      <w:pPr>
        <w:rPr>
          <w:lang w:val="fr-FR"/>
        </w:rPr>
      </w:pPr>
    </w:p>
    <w:p w:rsidR="00724CDC" w:rsidRPr="00E51C73" w:rsidRDefault="00724CDC" w:rsidP="00724CDC">
      <w:pPr>
        <w:jc w:val="right"/>
        <w:rPr>
          <w:lang w:val="fr-FR"/>
        </w:rPr>
      </w:pPr>
      <w:r w:rsidRPr="00E51C73">
        <w:rPr>
          <w:lang w:val="fr-FR"/>
        </w:rPr>
        <w:t>[Fin de l’annexe III et du document]</w:t>
      </w:r>
    </w:p>
    <w:p w:rsidR="00724CDC" w:rsidRPr="00724CDC" w:rsidRDefault="00724CDC" w:rsidP="00724CDC">
      <w:pPr>
        <w:jc w:val="left"/>
        <w:rPr>
          <w:lang w:val="fr-FR"/>
        </w:rPr>
      </w:pPr>
    </w:p>
    <w:sectPr w:rsidR="00724CDC" w:rsidRPr="00724CDC" w:rsidSect="0004198B">
      <w:headerReference w:type="default" r:id="rId22"/>
      <w:headerReference w:type="first" r:id="rId2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234" w:rsidRDefault="00B27234" w:rsidP="006655D3">
      <w:r>
        <w:separator/>
      </w:r>
    </w:p>
    <w:p w:rsidR="00B27234" w:rsidRDefault="00B27234" w:rsidP="006655D3"/>
    <w:p w:rsidR="00B27234" w:rsidRDefault="00B27234" w:rsidP="006655D3"/>
  </w:endnote>
  <w:endnote w:type="continuationSeparator" w:id="0">
    <w:p w:rsidR="00B27234" w:rsidRDefault="00B27234" w:rsidP="006655D3">
      <w:r>
        <w:separator/>
      </w:r>
    </w:p>
    <w:p w:rsidR="00B27234" w:rsidRPr="00294751" w:rsidRDefault="00B27234">
      <w:pPr>
        <w:pStyle w:val="Footer"/>
        <w:spacing w:after="60"/>
        <w:rPr>
          <w:sz w:val="18"/>
          <w:lang w:val="fr-FR"/>
        </w:rPr>
      </w:pPr>
      <w:r w:rsidRPr="00294751">
        <w:rPr>
          <w:sz w:val="18"/>
          <w:lang w:val="fr-FR"/>
        </w:rPr>
        <w:t>[Suite de la note de la page précédente]</w:t>
      </w:r>
    </w:p>
    <w:p w:rsidR="00B27234" w:rsidRPr="00294751" w:rsidRDefault="00B27234" w:rsidP="006655D3">
      <w:pPr>
        <w:rPr>
          <w:lang w:val="fr-FR"/>
        </w:rPr>
      </w:pPr>
    </w:p>
    <w:p w:rsidR="00B27234" w:rsidRPr="00294751" w:rsidRDefault="00B27234" w:rsidP="006655D3">
      <w:pPr>
        <w:rPr>
          <w:lang w:val="fr-FR"/>
        </w:rPr>
      </w:pPr>
    </w:p>
  </w:endnote>
  <w:endnote w:type="continuationNotice" w:id="1">
    <w:p w:rsidR="00B27234" w:rsidRPr="00294751" w:rsidRDefault="00B27234" w:rsidP="006655D3">
      <w:pPr>
        <w:rPr>
          <w:lang w:val="fr-FR"/>
        </w:rPr>
      </w:pPr>
      <w:r w:rsidRPr="00294751">
        <w:rPr>
          <w:lang w:val="fr-FR"/>
        </w:rPr>
        <w:t>[Suite de la note page suivante]</w:t>
      </w:r>
    </w:p>
    <w:p w:rsidR="00B27234" w:rsidRPr="00294751" w:rsidRDefault="00B27234" w:rsidP="006655D3">
      <w:pPr>
        <w:rPr>
          <w:lang w:val="fr-FR"/>
        </w:rPr>
      </w:pPr>
    </w:p>
    <w:p w:rsidR="00B27234" w:rsidRPr="00294751" w:rsidRDefault="00B2723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CDC" w:rsidRDefault="00724CDC" w:rsidP="00C30490">
    <w:pPr>
      <w:pStyle w:val="Footer"/>
    </w:pPr>
    <w:r>
      <w:rPr>
        <w:noProof/>
      </w:rPr>
      <mc:AlternateContent>
        <mc:Choice Requires="wps">
          <w:drawing>
            <wp:anchor distT="558800" distB="0" distL="114300" distR="114300" simplePos="0" relativeHeight="251664384" behindDoc="0" locked="0" layoutInCell="0" allowOverlap="1" wp14:anchorId="2D19E99C" wp14:editId="5623CB94">
              <wp:simplePos x="0" y="0"/>
              <wp:positionH relativeFrom="margin">
                <wp:align>center</wp:align>
              </wp:positionH>
              <wp:positionV relativeFrom="bottomMargin">
                <wp:posOffset>558800</wp:posOffset>
              </wp:positionV>
              <wp:extent cx="7620000" cy="317500"/>
              <wp:effectExtent l="0" t="0" r="0" b="6350"/>
              <wp:wrapNone/>
              <wp:docPr id="10"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24CDC" w:rsidRDefault="00724CDC" w:rsidP="00C30490">
                          <w:pPr>
                            <w:jc w:val="center"/>
                          </w:pPr>
                          <w:r w:rsidRPr="007B5EF3">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19E99C" id="_x0000_t202" coordsize="21600,21600" o:spt="202" path="m,l,21600r21600,l21600,xe">
              <v:stroke joinstyle="miter"/>
              <v:path gradientshapeok="t" o:connecttype="rect"/>
            </v:shapetype>
            <v:shape id="TITUSE3footer" o:spid="_x0000_s1029"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frESVqgIAAGUFAAAOAAAAAAAAAAAAAAAA&#10;AC4CAABkcnMvZTJvRG9jLnhtbFBLAQItABQABgAIAAAAIQDN8vMo2gAAAAgBAAAPAAAAAAAAAAAA&#10;AAAAAAQFAABkcnMvZG93bnJldi54bWxQSwUGAAAAAAQABADzAAAACwYAAAAA&#10;" o:allowincell="f" filled="f" stroked="f" strokeweight=".5pt">
              <v:path arrowok="t"/>
              <v:textbox>
                <w:txbxContent>
                  <w:p w:rsidR="00724CDC" w:rsidRDefault="00724CDC" w:rsidP="00C30490">
                    <w:pPr>
                      <w:jc w:val="center"/>
                    </w:pPr>
                    <w:r w:rsidRPr="007B5EF3">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CDC" w:rsidRDefault="00724CDC">
    <w:pPr>
      <w:pStyle w:val="Footer"/>
    </w:pPr>
    <w:r>
      <w:rPr>
        <w:noProof/>
      </w:rPr>
      <mc:AlternateContent>
        <mc:Choice Requires="wps">
          <w:drawing>
            <wp:anchor distT="558800" distB="0" distL="114300" distR="114300" simplePos="0" relativeHeight="251663360" behindDoc="0" locked="0" layoutInCell="0" allowOverlap="1" wp14:anchorId="3645D8AA" wp14:editId="3095BAD0">
              <wp:simplePos x="0" y="0"/>
              <wp:positionH relativeFrom="margin">
                <wp:align>center</wp:align>
              </wp:positionH>
              <wp:positionV relativeFrom="bottomMargin">
                <wp:posOffset>558800</wp:posOffset>
              </wp:positionV>
              <wp:extent cx="7620000" cy="317500"/>
              <wp:effectExtent l="0" t="0" r="0" b="6350"/>
              <wp:wrapNone/>
              <wp:docPr id="9"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24CDC" w:rsidRDefault="00724CDC" w:rsidP="00C30490">
                          <w:pPr>
                            <w:jc w:val="center"/>
                          </w:pPr>
                          <w:r w:rsidRPr="007B5EF3">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45D8AA" id="_x0000_t202" coordsize="21600,21600" o:spt="202" path="m,l,21600r21600,l21600,xe">
              <v:stroke joinstyle="miter"/>
              <v:path gradientshapeok="t" o:connecttype="rect"/>
            </v:shapetype>
            <v:shape id="TITUSO3footer" o:spid="_x0000_s1030"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sz/qgIAAGQ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3usz/qgIAAGQFAAAOAAAAAAAAAAAAAAAA&#10;AC4CAABkcnMvZTJvRG9jLnhtbFBLAQItABQABgAIAAAAIQDN8vMo2gAAAAgBAAAPAAAAAAAAAAAA&#10;AAAAAAQFAABkcnMvZG93bnJldi54bWxQSwUGAAAAAAQABADzAAAACwYAAAAA&#10;" o:allowincell="f" filled="f" stroked="f" strokeweight=".5pt">
              <v:path arrowok="t"/>
              <v:textbox>
                <w:txbxContent>
                  <w:p w:rsidR="00724CDC" w:rsidRDefault="00724CDC" w:rsidP="00C30490">
                    <w:pPr>
                      <w:jc w:val="center"/>
                    </w:pPr>
                    <w:r w:rsidRPr="007B5EF3">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CDC" w:rsidRDefault="00724C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CDC" w:rsidRDefault="00724CDC" w:rsidP="00C304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CDC" w:rsidRDefault="00724CD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CDC" w:rsidRDefault="00724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234" w:rsidRDefault="00B27234" w:rsidP="006655D3">
      <w:r>
        <w:separator/>
      </w:r>
    </w:p>
  </w:footnote>
  <w:footnote w:type="continuationSeparator" w:id="0">
    <w:p w:rsidR="00B27234" w:rsidRDefault="00B27234" w:rsidP="006655D3">
      <w:r>
        <w:separator/>
      </w:r>
    </w:p>
  </w:footnote>
  <w:footnote w:type="continuationNotice" w:id="1">
    <w:p w:rsidR="00B27234" w:rsidRPr="00AB530F" w:rsidRDefault="00B27234" w:rsidP="00AB530F">
      <w:pPr>
        <w:pStyle w:val="Footer"/>
      </w:pPr>
    </w:p>
  </w:footnote>
  <w:footnote w:id="2">
    <w:p w:rsidR="00724CDC" w:rsidRPr="003E3E05" w:rsidRDefault="00724CDC" w:rsidP="00724CDC">
      <w:pPr>
        <w:pStyle w:val="FootnoteText"/>
        <w:tabs>
          <w:tab w:val="left" w:pos="567"/>
        </w:tabs>
        <w:rPr>
          <w:lang w:val="fr-FR"/>
        </w:rPr>
      </w:pPr>
      <w:r>
        <w:rPr>
          <w:rStyle w:val="FootnoteReference"/>
        </w:rPr>
        <w:footnoteRef/>
      </w:r>
      <w:r w:rsidRPr="003E3E05">
        <w:rPr>
          <w:lang w:val="fr-FR"/>
        </w:rPr>
        <w:t xml:space="preserve"> </w:t>
      </w:r>
      <w:r w:rsidRPr="003E3E05">
        <w:rPr>
          <w:lang w:val="fr-FR"/>
        </w:rPr>
        <w:tab/>
      </w:r>
      <w:r w:rsidRPr="003E3E05">
        <w:rPr>
          <w:color w:val="000000"/>
          <w:lang w:val="fr-FR"/>
        </w:rPr>
        <w:t>À</w:t>
      </w:r>
      <w:r w:rsidRPr="003E3E05">
        <w:rPr>
          <w:lang w:val="fr-FR"/>
        </w:rPr>
        <w:t xml:space="preserve"> sa cinquante</w:t>
      </w:r>
      <w:r>
        <w:rPr>
          <w:lang w:val="fr-FR"/>
        </w:rPr>
        <w:t>-</w:t>
      </w:r>
      <w:r w:rsidRPr="003E3E05">
        <w:rPr>
          <w:lang w:val="fr-FR"/>
        </w:rPr>
        <w:t>six</w:t>
      </w:r>
      <w:r>
        <w:rPr>
          <w:lang w:val="fr-FR"/>
        </w:rPr>
        <w:t>ième session</w:t>
      </w:r>
      <w:r w:rsidRPr="003E3E05">
        <w:rPr>
          <w:lang w:val="fr-FR"/>
        </w:rPr>
        <w:t xml:space="preserve"> tenue par voie électronique du 18 au 22</w:t>
      </w:r>
      <w:r>
        <w:rPr>
          <w:lang w:val="fr-FR"/>
        </w:rPr>
        <w:t> </w:t>
      </w:r>
      <w:r w:rsidRPr="003E3E05">
        <w:rPr>
          <w:lang w:val="fr-FR"/>
        </w:rPr>
        <w:t>avril</w:t>
      </w:r>
      <w:r>
        <w:rPr>
          <w:lang w:val="fr-FR"/>
        </w:rPr>
        <w:t> </w:t>
      </w:r>
      <w:r w:rsidRPr="003E3E05">
        <w:rPr>
          <w:lang w:val="fr-FR"/>
        </w:rPr>
        <w:t xml:space="preserve">2022, </w:t>
      </w:r>
      <w:r w:rsidRPr="003E3E05">
        <w:rPr>
          <w:color w:val="000000"/>
          <w:lang w:val="fr-FR"/>
        </w:rPr>
        <w:t>le</w:t>
      </w:r>
      <w:r>
        <w:rPr>
          <w:lang w:val="fr-FR"/>
        </w:rPr>
        <w:t> </w:t>
      </w:r>
      <w:r w:rsidRPr="003E3E05">
        <w:rPr>
          <w:color w:val="000000"/>
          <w:lang w:val="fr-FR"/>
        </w:rPr>
        <w:t>TWV a décidé</w:t>
      </w:r>
      <w:r w:rsidRPr="003E3E05">
        <w:rPr>
          <w:lang w:val="fr-FR"/>
        </w:rPr>
        <w:t xml:space="preserve"> que le terme </w:t>
      </w:r>
      <w:r>
        <w:rPr>
          <w:lang w:val="fr-FR"/>
        </w:rPr>
        <w:t>“</w:t>
      </w:r>
      <w:r w:rsidRPr="003E3E05">
        <w:rPr>
          <w:color w:val="000000"/>
          <w:lang w:val="fr-FR"/>
        </w:rPr>
        <w:t>moyennement résistant</w:t>
      </w:r>
      <w:r>
        <w:rPr>
          <w:color w:val="000000"/>
          <w:lang w:val="fr-FR"/>
        </w:rPr>
        <w:t>”</w:t>
      </w:r>
      <w:r w:rsidRPr="003E3E05">
        <w:rPr>
          <w:lang w:val="fr-FR"/>
        </w:rPr>
        <w:t xml:space="preserve"> dans l</w:t>
      </w:r>
      <w:r>
        <w:rPr>
          <w:lang w:val="fr-FR"/>
        </w:rPr>
        <w:t>’</w:t>
      </w:r>
      <w:r w:rsidRPr="003E3E05">
        <w:rPr>
          <w:lang w:val="fr-FR"/>
        </w:rPr>
        <w:t>exemple fourni au paragraphe</w:t>
      </w:r>
      <w:r>
        <w:rPr>
          <w:lang w:val="fr-FR"/>
        </w:rPr>
        <w:t> </w:t>
      </w:r>
      <w:r w:rsidRPr="003E3E05">
        <w:rPr>
          <w:lang w:val="fr-FR"/>
        </w:rPr>
        <w:t>28 du document TWP/6/1 d</w:t>
      </w:r>
      <w:r w:rsidRPr="003E3E05">
        <w:rPr>
          <w:color w:val="000000"/>
          <w:lang w:val="fr-FR"/>
        </w:rPr>
        <w:t>eva</w:t>
      </w:r>
      <w:r>
        <w:rPr>
          <w:color w:val="000000"/>
          <w:lang w:val="fr-FR"/>
        </w:rPr>
        <w:t>i</w:t>
      </w:r>
      <w:r w:rsidRPr="003E3E05">
        <w:rPr>
          <w:lang w:val="fr-FR"/>
        </w:rPr>
        <w:t xml:space="preserve">t être remplacé par </w:t>
      </w:r>
      <w:r>
        <w:rPr>
          <w:lang w:val="fr-FR"/>
        </w:rPr>
        <w:t>“</w:t>
      </w:r>
      <w:r w:rsidRPr="003E3E05">
        <w:rPr>
          <w:color w:val="000000"/>
          <w:lang w:val="fr-FR"/>
        </w:rPr>
        <w:t>intermédiaire</w:t>
      </w:r>
      <w:r>
        <w:rPr>
          <w:color w:val="000000"/>
          <w:lang w:val="fr-FR"/>
        </w:rPr>
        <w:t>”</w:t>
      </w:r>
      <w:r w:rsidRPr="003E3E05">
        <w:rPr>
          <w:lang w:val="fr-FR"/>
        </w:rPr>
        <w:t xml:space="preserve"> (voir le paragraphe</w:t>
      </w:r>
      <w:r>
        <w:rPr>
          <w:lang w:val="fr-FR"/>
        </w:rPr>
        <w:t> </w:t>
      </w:r>
      <w:r w:rsidRPr="003E3E05">
        <w:rPr>
          <w:lang w:val="fr-FR"/>
        </w:rPr>
        <w:t xml:space="preserve">20 du document TWV/56/22 </w:t>
      </w:r>
      <w:r>
        <w:rPr>
          <w:lang w:val="fr-FR"/>
        </w:rPr>
        <w:t>“</w:t>
      </w:r>
      <w:r w:rsidRPr="003E3E05">
        <w:rPr>
          <w:color w:val="000000"/>
          <w:lang w:val="fr-FR"/>
        </w:rPr>
        <w:t>Compte rendu</w:t>
      </w:r>
      <w:r>
        <w:rPr>
          <w:color w:val="000000"/>
          <w:lang w:val="fr-FR"/>
        </w:rPr>
        <w:t>”</w:t>
      </w:r>
      <w:r w:rsidRPr="003E3E05">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4D9" w:rsidRDefault="002D04D9">
    <w:pPr>
      <w:pStyle w:val="Header"/>
      <w:rPr>
        <w:lang w:val="fr-CH"/>
      </w:rPr>
    </w:pPr>
    <w:r>
      <w:rPr>
        <w:lang w:val="fr-CH"/>
      </w:rPr>
      <w:t>C/56/3</w:t>
    </w:r>
  </w:p>
  <w:p w:rsidR="002D04D9" w:rsidRDefault="002D04D9">
    <w:pPr>
      <w:pStyle w:val="Header"/>
      <w:rPr>
        <w:lang w:val="fr-CH"/>
      </w:rPr>
    </w:pPr>
    <w:r>
      <w:rPr>
        <w:lang w:val="fr-CH"/>
      </w:rPr>
      <w:t>page 3</w:t>
    </w:r>
  </w:p>
  <w:p w:rsidR="002D04D9" w:rsidRDefault="002D04D9">
    <w:pPr>
      <w:pStyle w:val="Header"/>
      <w:rPr>
        <w:lang w:val="fr-CH"/>
      </w:rPr>
    </w:pPr>
  </w:p>
  <w:p w:rsidR="002D04D9" w:rsidRPr="002D04D9" w:rsidRDefault="002D04D9">
    <w:pPr>
      <w:pStyle w:val="Head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CDC" w:rsidRPr="00C5280D" w:rsidRDefault="00724CDC" w:rsidP="00C30490">
    <w:pPr>
      <w:pStyle w:val="Header"/>
      <w:rPr>
        <w:rStyle w:val="PageNumber"/>
        <w:lang w:val="en-US"/>
      </w:rPr>
    </w:pPr>
    <w:r>
      <w:rPr>
        <w:rStyle w:val="PageNumber"/>
        <w:lang w:val="en-US"/>
      </w:rPr>
      <w:t>TC/58/4</w:t>
    </w:r>
  </w:p>
  <w:p w:rsidR="00724CDC" w:rsidRPr="00C5280D" w:rsidRDefault="00724CDC" w:rsidP="00C30490">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w:t>
    </w:r>
    <w:r w:rsidRPr="00C5280D">
      <w:rPr>
        <w:rStyle w:val="PageNumber"/>
        <w:lang w:val="en-US"/>
      </w:rPr>
      <w:fldChar w:fldCharType="end"/>
    </w:r>
  </w:p>
  <w:p w:rsidR="00724CDC" w:rsidRPr="00C5280D" w:rsidRDefault="00724CDC" w:rsidP="00C3049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CDC" w:rsidRPr="00C5280D" w:rsidRDefault="00724CDC" w:rsidP="00EB048E">
    <w:pPr>
      <w:pStyle w:val="Header"/>
      <w:rPr>
        <w:rStyle w:val="PageNumber"/>
        <w:lang w:val="en-US"/>
      </w:rPr>
    </w:pPr>
    <w:r>
      <w:rPr>
        <w:rStyle w:val="PageNumber"/>
        <w:lang w:val="en-US"/>
      </w:rPr>
      <w:t>TC/58/4</w:t>
    </w:r>
  </w:p>
  <w:p w:rsidR="00724CDC" w:rsidRPr="00C5280D" w:rsidRDefault="00724CDC" w:rsidP="00C30490">
    <w:pPr>
      <w:pStyle w:val="Header"/>
      <w:rPr>
        <w:lang w:val="en-US"/>
      </w:rPr>
    </w:pPr>
    <w:r w:rsidRPr="003E3E05">
      <w:rPr>
        <w:color w:val="FF00FF"/>
        <w:lang w:val="en-US"/>
      </w:rPr>
      <w:t>Page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w:t>
    </w:r>
    <w:r w:rsidRPr="00C5280D">
      <w:rPr>
        <w:rStyle w:val="PageNumber"/>
        <w:lang w:val="en-US"/>
      </w:rPr>
      <w:fldChar w:fldCharType="end"/>
    </w:r>
  </w:p>
  <w:p w:rsidR="00724CDC" w:rsidRPr="00C5280D" w:rsidRDefault="00724CDC"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CDC" w:rsidRPr="0004198B" w:rsidRDefault="00724CDC" w:rsidP="000419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CDC" w:rsidRPr="00C5280D" w:rsidRDefault="00A0092F" w:rsidP="00C30490">
    <w:pPr>
      <w:pStyle w:val="Header"/>
      <w:rPr>
        <w:rStyle w:val="PageNumber"/>
        <w:lang w:val="en-US"/>
      </w:rPr>
    </w:pPr>
    <w:r>
      <w:rPr>
        <w:rStyle w:val="PageNumber"/>
        <w:lang w:val="en-US"/>
      </w:rPr>
      <w:t>C/56/3</w:t>
    </w:r>
  </w:p>
  <w:p w:rsidR="00724CDC" w:rsidRPr="00C5280D" w:rsidRDefault="00724CDC" w:rsidP="00C30490">
    <w:pPr>
      <w:pStyle w:val="Header"/>
      <w:rPr>
        <w:lang w:val="en-US"/>
      </w:rPr>
    </w:pPr>
    <w:r>
      <w:rPr>
        <w:lang w:val="en-US"/>
      </w:rPr>
      <w:t xml:space="preserve">Annexe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D04D9">
      <w:rPr>
        <w:rStyle w:val="PageNumber"/>
        <w:noProof/>
        <w:lang w:val="en-US"/>
      </w:rPr>
      <w:t>2</w:t>
    </w:r>
    <w:r w:rsidRPr="00C5280D">
      <w:rPr>
        <w:rStyle w:val="PageNumber"/>
        <w:lang w:val="en-US"/>
      </w:rPr>
      <w:fldChar w:fldCharType="end"/>
    </w:r>
  </w:p>
  <w:p w:rsidR="00724CDC" w:rsidRPr="00C5280D" w:rsidRDefault="00724CDC" w:rsidP="00C30490"/>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CDC" w:rsidRPr="00E51C73" w:rsidRDefault="00724CDC" w:rsidP="00EB048E">
    <w:pPr>
      <w:pStyle w:val="Header"/>
      <w:rPr>
        <w:rStyle w:val="PageNumber"/>
        <w:lang w:val="en-US"/>
      </w:rPr>
    </w:pPr>
    <w:r w:rsidRPr="00E51C73">
      <w:rPr>
        <w:rStyle w:val="PageNumber"/>
        <w:lang w:val="en-US"/>
      </w:rPr>
      <w:t>TC/58/4</w:t>
    </w:r>
  </w:p>
  <w:p w:rsidR="00724CDC" w:rsidRPr="00E51C73" w:rsidRDefault="00724CDC" w:rsidP="00C30490">
    <w:pPr>
      <w:pStyle w:val="Header"/>
      <w:rPr>
        <w:lang w:val="en-US"/>
      </w:rPr>
    </w:pPr>
    <w:r w:rsidRPr="00E51C73">
      <w:rPr>
        <w:lang w:val="en-US"/>
      </w:rPr>
      <w:t>Annexe II, page </w:t>
    </w:r>
    <w:r w:rsidRPr="00E51C73">
      <w:rPr>
        <w:rStyle w:val="PageNumber"/>
        <w:lang w:val="en-US"/>
      </w:rPr>
      <w:fldChar w:fldCharType="begin"/>
    </w:r>
    <w:r w:rsidRPr="00E51C73">
      <w:rPr>
        <w:rStyle w:val="PageNumber"/>
        <w:lang w:val="en-US"/>
      </w:rPr>
      <w:instrText xml:space="preserve"> PAGE </w:instrText>
    </w:r>
    <w:r w:rsidRPr="00E51C73">
      <w:rPr>
        <w:rStyle w:val="PageNumber"/>
        <w:lang w:val="en-US"/>
      </w:rPr>
      <w:fldChar w:fldCharType="separate"/>
    </w:r>
    <w:r>
      <w:rPr>
        <w:rStyle w:val="PageNumber"/>
        <w:noProof/>
        <w:lang w:val="en-US"/>
      </w:rPr>
      <w:t>2</w:t>
    </w:r>
    <w:r w:rsidRPr="00E51C73">
      <w:rPr>
        <w:rStyle w:val="PageNumber"/>
        <w:lang w:val="en-US"/>
      </w:rPr>
      <w:fldChar w:fldCharType="end"/>
    </w:r>
  </w:p>
  <w:p w:rsidR="00724CDC" w:rsidRPr="00E51C73" w:rsidRDefault="00724CDC" w:rsidP="00E41222">
    <w:pP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CDC" w:rsidRPr="00E51C73" w:rsidRDefault="00724CDC" w:rsidP="0004198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490" w:rsidRPr="00C5280D" w:rsidRDefault="006F6E8E" w:rsidP="00EB048E">
    <w:pPr>
      <w:pStyle w:val="Header"/>
      <w:rPr>
        <w:rStyle w:val="PageNumber"/>
        <w:lang w:val="en-US"/>
      </w:rPr>
    </w:pPr>
    <w:r>
      <w:rPr>
        <w:rStyle w:val="PageNumber"/>
        <w:lang w:val="en-US"/>
      </w:rPr>
      <w:t>TC/58/4</w:t>
    </w:r>
  </w:p>
  <w:p w:rsidR="00C30490" w:rsidRPr="00C5280D" w:rsidRDefault="006F6E8E"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C30490" w:rsidRPr="00C5280D" w:rsidRDefault="002D04D9" w:rsidP="006655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490" w:rsidRPr="0004198B" w:rsidRDefault="002D04D9"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B71EE"/>
    <w:multiLevelType w:val="hybridMultilevel"/>
    <w:tmpl w:val="DDACCD44"/>
    <w:lvl w:ilvl="0" w:tplc="06286B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Ad-hoc\Glossaires|TextBase TMs\WorkspaceFTS\Ad-hoc\Assembli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B27234"/>
    <w:rsid w:val="00010CF3"/>
    <w:rsid w:val="00011E27"/>
    <w:rsid w:val="000148BC"/>
    <w:rsid w:val="00024AB8"/>
    <w:rsid w:val="00030854"/>
    <w:rsid w:val="00036028"/>
    <w:rsid w:val="0004198B"/>
    <w:rsid w:val="00044642"/>
    <w:rsid w:val="000446B9"/>
    <w:rsid w:val="00047E21"/>
    <w:rsid w:val="00050E16"/>
    <w:rsid w:val="00056167"/>
    <w:rsid w:val="0008271E"/>
    <w:rsid w:val="00085505"/>
    <w:rsid w:val="000A132D"/>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B4B81"/>
    <w:rsid w:val="001C1525"/>
    <w:rsid w:val="001D736D"/>
    <w:rsid w:val="001E0095"/>
    <w:rsid w:val="0021332C"/>
    <w:rsid w:val="00213982"/>
    <w:rsid w:val="00243FD3"/>
    <w:rsid w:val="0024416D"/>
    <w:rsid w:val="00271911"/>
    <w:rsid w:val="00273187"/>
    <w:rsid w:val="002800A0"/>
    <w:rsid w:val="002801B3"/>
    <w:rsid w:val="00281060"/>
    <w:rsid w:val="00285BD0"/>
    <w:rsid w:val="002940E8"/>
    <w:rsid w:val="00294751"/>
    <w:rsid w:val="002A6E50"/>
    <w:rsid w:val="002B4298"/>
    <w:rsid w:val="002B7A36"/>
    <w:rsid w:val="002C256A"/>
    <w:rsid w:val="002D04D9"/>
    <w:rsid w:val="002D465A"/>
    <w:rsid w:val="002D5226"/>
    <w:rsid w:val="00305A7F"/>
    <w:rsid w:val="003152FE"/>
    <w:rsid w:val="00321ABA"/>
    <w:rsid w:val="00327436"/>
    <w:rsid w:val="00341FAC"/>
    <w:rsid w:val="00344BD6"/>
    <w:rsid w:val="0035528D"/>
    <w:rsid w:val="00361821"/>
    <w:rsid w:val="00361E9E"/>
    <w:rsid w:val="003753EE"/>
    <w:rsid w:val="003A0835"/>
    <w:rsid w:val="003A5AAF"/>
    <w:rsid w:val="003B700A"/>
    <w:rsid w:val="003C7FBE"/>
    <w:rsid w:val="003D227C"/>
    <w:rsid w:val="003D2B4D"/>
    <w:rsid w:val="003F37F5"/>
    <w:rsid w:val="00412EBD"/>
    <w:rsid w:val="00444A88"/>
    <w:rsid w:val="0046041E"/>
    <w:rsid w:val="00474DA4"/>
    <w:rsid w:val="00476B4D"/>
    <w:rsid w:val="004805FA"/>
    <w:rsid w:val="004935D2"/>
    <w:rsid w:val="004B1215"/>
    <w:rsid w:val="004D047D"/>
    <w:rsid w:val="004D4C36"/>
    <w:rsid w:val="004F1E9E"/>
    <w:rsid w:val="004F305A"/>
    <w:rsid w:val="004F5CE1"/>
    <w:rsid w:val="00512164"/>
    <w:rsid w:val="005159E4"/>
    <w:rsid w:val="00520297"/>
    <w:rsid w:val="005338F9"/>
    <w:rsid w:val="0054281C"/>
    <w:rsid w:val="00544581"/>
    <w:rsid w:val="0055268D"/>
    <w:rsid w:val="0056466D"/>
    <w:rsid w:val="00567C6E"/>
    <w:rsid w:val="00572934"/>
    <w:rsid w:val="00575DE2"/>
    <w:rsid w:val="00576BE4"/>
    <w:rsid w:val="005779DB"/>
    <w:rsid w:val="00585D5F"/>
    <w:rsid w:val="005A400A"/>
    <w:rsid w:val="005B269D"/>
    <w:rsid w:val="005F7B92"/>
    <w:rsid w:val="00605662"/>
    <w:rsid w:val="00612379"/>
    <w:rsid w:val="006153B6"/>
    <w:rsid w:val="0061555F"/>
    <w:rsid w:val="006245ED"/>
    <w:rsid w:val="00632A44"/>
    <w:rsid w:val="00636CA6"/>
    <w:rsid w:val="00641200"/>
    <w:rsid w:val="00645CA8"/>
    <w:rsid w:val="006655D3"/>
    <w:rsid w:val="00667404"/>
    <w:rsid w:val="00676EFE"/>
    <w:rsid w:val="006868F8"/>
    <w:rsid w:val="00687EB4"/>
    <w:rsid w:val="00695C56"/>
    <w:rsid w:val="006A5CDE"/>
    <w:rsid w:val="006A644A"/>
    <w:rsid w:val="006B17D2"/>
    <w:rsid w:val="006C224E"/>
    <w:rsid w:val="006C4A97"/>
    <w:rsid w:val="006D780A"/>
    <w:rsid w:val="006F5505"/>
    <w:rsid w:val="006F6E8E"/>
    <w:rsid w:val="0071271E"/>
    <w:rsid w:val="00724CDC"/>
    <w:rsid w:val="00732DEC"/>
    <w:rsid w:val="00735BD5"/>
    <w:rsid w:val="007451EC"/>
    <w:rsid w:val="00751613"/>
    <w:rsid w:val="00753EE9"/>
    <w:rsid w:val="007546B2"/>
    <w:rsid w:val="007556F6"/>
    <w:rsid w:val="00760EEF"/>
    <w:rsid w:val="00777EE5"/>
    <w:rsid w:val="00784836"/>
    <w:rsid w:val="0079023E"/>
    <w:rsid w:val="007A2854"/>
    <w:rsid w:val="007C1D92"/>
    <w:rsid w:val="007C4CB9"/>
    <w:rsid w:val="007D0B9D"/>
    <w:rsid w:val="007D19B0"/>
    <w:rsid w:val="007E1B20"/>
    <w:rsid w:val="007F498F"/>
    <w:rsid w:val="0080679D"/>
    <w:rsid w:val="008108B0"/>
    <w:rsid w:val="00811B20"/>
    <w:rsid w:val="00812609"/>
    <w:rsid w:val="008211B5"/>
    <w:rsid w:val="0082296E"/>
    <w:rsid w:val="00824099"/>
    <w:rsid w:val="008274CC"/>
    <w:rsid w:val="008277D0"/>
    <w:rsid w:val="00827ED2"/>
    <w:rsid w:val="00846D7C"/>
    <w:rsid w:val="00867AC1"/>
    <w:rsid w:val="008751DE"/>
    <w:rsid w:val="00890DF8"/>
    <w:rsid w:val="008A0ADE"/>
    <w:rsid w:val="008A4F8E"/>
    <w:rsid w:val="008A743F"/>
    <w:rsid w:val="008C0970"/>
    <w:rsid w:val="008D0BC5"/>
    <w:rsid w:val="008D2CF7"/>
    <w:rsid w:val="00900C26"/>
    <w:rsid w:val="0090197F"/>
    <w:rsid w:val="00903264"/>
    <w:rsid w:val="00906DDC"/>
    <w:rsid w:val="009308D4"/>
    <w:rsid w:val="00934E09"/>
    <w:rsid w:val="00936253"/>
    <w:rsid w:val="00940D46"/>
    <w:rsid w:val="009413F1"/>
    <w:rsid w:val="00952DD4"/>
    <w:rsid w:val="009561F4"/>
    <w:rsid w:val="00965AE7"/>
    <w:rsid w:val="00970FED"/>
    <w:rsid w:val="00992D82"/>
    <w:rsid w:val="00997029"/>
    <w:rsid w:val="009A7339"/>
    <w:rsid w:val="009B440E"/>
    <w:rsid w:val="009D690D"/>
    <w:rsid w:val="009E65B6"/>
    <w:rsid w:val="009F0A51"/>
    <w:rsid w:val="009F77CF"/>
    <w:rsid w:val="00A0092F"/>
    <w:rsid w:val="00A24C10"/>
    <w:rsid w:val="00A42AC3"/>
    <w:rsid w:val="00A430CF"/>
    <w:rsid w:val="00A54309"/>
    <w:rsid w:val="00A610A9"/>
    <w:rsid w:val="00A80F2A"/>
    <w:rsid w:val="00A9099F"/>
    <w:rsid w:val="00A96C33"/>
    <w:rsid w:val="00AA13A2"/>
    <w:rsid w:val="00AB2B93"/>
    <w:rsid w:val="00AB530F"/>
    <w:rsid w:val="00AB7E5B"/>
    <w:rsid w:val="00AC2883"/>
    <w:rsid w:val="00AE0EF1"/>
    <w:rsid w:val="00AE2937"/>
    <w:rsid w:val="00AF3CC0"/>
    <w:rsid w:val="00B06733"/>
    <w:rsid w:val="00B07301"/>
    <w:rsid w:val="00B11F3E"/>
    <w:rsid w:val="00B17279"/>
    <w:rsid w:val="00B224DE"/>
    <w:rsid w:val="00B27234"/>
    <w:rsid w:val="00B324D4"/>
    <w:rsid w:val="00B46575"/>
    <w:rsid w:val="00B61777"/>
    <w:rsid w:val="00B622E6"/>
    <w:rsid w:val="00B632A2"/>
    <w:rsid w:val="00B83E82"/>
    <w:rsid w:val="00B84BBD"/>
    <w:rsid w:val="00BA43FB"/>
    <w:rsid w:val="00BC127D"/>
    <w:rsid w:val="00BC1FE6"/>
    <w:rsid w:val="00BE3625"/>
    <w:rsid w:val="00BE3659"/>
    <w:rsid w:val="00C061B6"/>
    <w:rsid w:val="00C2446C"/>
    <w:rsid w:val="00C36AE5"/>
    <w:rsid w:val="00C41F17"/>
    <w:rsid w:val="00C47F76"/>
    <w:rsid w:val="00C527FA"/>
    <w:rsid w:val="00C5280D"/>
    <w:rsid w:val="00C53EB3"/>
    <w:rsid w:val="00C5791C"/>
    <w:rsid w:val="00C61CCC"/>
    <w:rsid w:val="00C66290"/>
    <w:rsid w:val="00C72B7A"/>
    <w:rsid w:val="00C973F2"/>
    <w:rsid w:val="00CA0F03"/>
    <w:rsid w:val="00CA304C"/>
    <w:rsid w:val="00CA67DF"/>
    <w:rsid w:val="00CA774A"/>
    <w:rsid w:val="00CB4921"/>
    <w:rsid w:val="00CC04F2"/>
    <w:rsid w:val="00CC11B0"/>
    <w:rsid w:val="00CC2841"/>
    <w:rsid w:val="00CF1330"/>
    <w:rsid w:val="00CF7E36"/>
    <w:rsid w:val="00D0044C"/>
    <w:rsid w:val="00D05685"/>
    <w:rsid w:val="00D22011"/>
    <w:rsid w:val="00D3708D"/>
    <w:rsid w:val="00D40426"/>
    <w:rsid w:val="00D52F5C"/>
    <w:rsid w:val="00D57C96"/>
    <w:rsid w:val="00D57D18"/>
    <w:rsid w:val="00D70E65"/>
    <w:rsid w:val="00D73443"/>
    <w:rsid w:val="00D84E2B"/>
    <w:rsid w:val="00D91203"/>
    <w:rsid w:val="00D95174"/>
    <w:rsid w:val="00DA112E"/>
    <w:rsid w:val="00DA4973"/>
    <w:rsid w:val="00DA6F36"/>
    <w:rsid w:val="00DB0C62"/>
    <w:rsid w:val="00DB596E"/>
    <w:rsid w:val="00DB7773"/>
    <w:rsid w:val="00DC00EA"/>
    <w:rsid w:val="00DC3802"/>
    <w:rsid w:val="00DC6A83"/>
    <w:rsid w:val="00DD6208"/>
    <w:rsid w:val="00DE3773"/>
    <w:rsid w:val="00DF1DE6"/>
    <w:rsid w:val="00DF4D0B"/>
    <w:rsid w:val="00DF7E99"/>
    <w:rsid w:val="00E07D87"/>
    <w:rsid w:val="00E156CD"/>
    <w:rsid w:val="00E249C8"/>
    <w:rsid w:val="00E32F7E"/>
    <w:rsid w:val="00E5267B"/>
    <w:rsid w:val="00E559F0"/>
    <w:rsid w:val="00E63C0E"/>
    <w:rsid w:val="00E72D49"/>
    <w:rsid w:val="00E7593C"/>
    <w:rsid w:val="00E7678A"/>
    <w:rsid w:val="00E935F1"/>
    <w:rsid w:val="00E94A81"/>
    <w:rsid w:val="00EA066D"/>
    <w:rsid w:val="00EA1FFB"/>
    <w:rsid w:val="00EB048E"/>
    <w:rsid w:val="00EB4E9C"/>
    <w:rsid w:val="00EC7808"/>
    <w:rsid w:val="00ED0ED2"/>
    <w:rsid w:val="00EE34DF"/>
    <w:rsid w:val="00EF2F89"/>
    <w:rsid w:val="00EF6D30"/>
    <w:rsid w:val="00F03E98"/>
    <w:rsid w:val="00F1237A"/>
    <w:rsid w:val="00F22CBD"/>
    <w:rsid w:val="00F272F1"/>
    <w:rsid w:val="00F31412"/>
    <w:rsid w:val="00F45372"/>
    <w:rsid w:val="00F560F7"/>
    <w:rsid w:val="00F56C35"/>
    <w:rsid w:val="00F6334D"/>
    <w:rsid w:val="00F63599"/>
    <w:rsid w:val="00F71781"/>
    <w:rsid w:val="00FA49AB"/>
    <w:rsid w:val="00FB671D"/>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7E5E883"/>
  <w15:docId w15:val="{5D5F1204-87AF-40BA-9A30-B439CDF8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68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08271E"/>
    <w:pPr>
      <w:spacing w:before="60"/>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basedOn w:val="DefaultParagraphFont"/>
    <w:link w:val="Titleofdoc0"/>
    <w:rsid w:val="00BE3659"/>
    <w:rPr>
      <w:rFonts w:ascii="Arial" w:hAnsi="Arial"/>
      <w:b/>
      <w:caps/>
    </w:rPr>
  </w:style>
  <w:style w:type="character" w:customStyle="1" w:styleId="FootnoteTextChar">
    <w:name w:val="Footnote Text Char"/>
    <w:basedOn w:val="DefaultParagraphFont"/>
    <w:link w:val="FootnoteText"/>
    <w:rsid w:val="0008271E"/>
    <w:rPr>
      <w:rFonts w:ascii="Arial" w:hAnsi="Arial"/>
      <w:sz w:val="16"/>
    </w:rPr>
  </w:style>
  <w:style w:type="character" w:customStyle="1" w:styleId="HeaderChar">
    <w:name w:val="Header Char"/>
    <w:basedOn w:val="DefaultParagraphFont"/>
    <w:link w:val="Header"/>
    <w:uiPriority w:val="99"/>
    <w:rsid w:val="00BE3659"/>
    <w:rPr>
      <w:rFonts w:ascii="Arial" w:hAnsi="Arial"/>
      <w:lang w:val="fr-FR"/>
    </w:rPr>
  </w:style>
  <w:style w:type="paragraph" w:styleId="ListParagraph">
    <w:name w:val="List Paragraph"/>
    <w:aliases w:val="auto_list_(i),List Paragraph1"/>
    <w:basedOn w:val="Normal"/>
    <w:link w:val="ListParagraphChar"/>
    <w:uiPriority w:val="34"/>
    <w:qFormat/>
    <w:rsid w:val="008277D0"/>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8277D0"/>
    <w:rPr>
      <w:rFonts w:ascii="Arial" w:hAnsi="Arial"/>
    </w:rPr>
  </w:style>
  <w:style w:type="table" w:styleId="TableGrid">
    <w:name w:val="Table Grid"/>
    <w:basedOn w:val="TableNormal"/>
    <w:uiPriority w:val="59"/>
    <w:rsid w:val="00243FD3"/>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0865">
      <w:bodyDiv w:val="1"/>
      <w:marLeft w:val="0"/>
      <w:marRight w:val="0"/>
      <w:marTop w:val="0"/>
      <w:marBottom w:val="0"/>
      <w:divBdr>
        <w:top w:val="none" w:sz="0" w:space="0" w:color="auto"/>
        <w:left w:val="none" w:sz="0" w:space="0" w:color="auto"/>
        <w:bottom w:val="none" w:sz="0" w:space="0" w:color="auto"/>
        <w:right w:val="none" w:sz="0" w:space="0" w:color="auto"/>
      </w:divBdr>
    </w:div>
    <w:div w:id="1310862050">
      <w:bodyDiv w:val="1"/>
      <w:marLeft w:val="0"/>
      <w:marRight w:val="0"/>
      <w:marTop w:val="0"/>
      <w:marBottom w:val="0"/>
      <w:divBdr>
        <w:top w:val="none" w:sz="0" w:space="0" w:color="auto"/>
        <w:left w:val="none" w:sz="0" w:space="0" w:color="auto"/>
        <w:bottom w:val="none" w:sz="0" w:space="0" w:color="auto"/>
        <w:right w:val="none" w:sz="0" w:space="0" w:color="auto"/>
      </w:divBdr>
    </w:div>
    <w:div w:id="1817332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49A5D-FEDA-4DD8-9C26-2FB2AD3E7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9</Pages>
  <Words>2231</Words>
  <Characters>12973</Characters>
  <Application>Microsoft Office Word</Application>
  <DocSecurity>0</DocSecurity>
  <Lines>498</Lines>
  <Paragraphs>266</Paragraphs>
  <ScaleCrop>false</ScaleCrop>
  <HeadingPairs>
    <vt:vector size="2" baseType="variant">
      <vt:variant>
        <vt:lpstr>Title</vt:lpstr>
      </vt:variant>
      <vt:variant>
        <vt:i4>1</vt:i4>
      </vt:variant>
    </vt:vector>
  </HeadingPairs>
  <TitlesOfParts>
    <vt:vector size="1" baseType="lpstr">
      <vt:lpstr>C/56/3</vt:lpstr>
    </vt:vector>
  </TitlesOfParts>
  <Company>UPOV</Company>
  <LinksUpToDate>false</LinksUpToDate>
  <CharactersWithSpaces>14938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C/56/3</dc:title>
  <dc:creator>SANCHEZ VIZCAINO GOMEZ Rosa Maria</dc:creator>
  <cp:keywords>FOR OFFICIAL USE ONLY</cp:keywords>
  <cp:lastModifiedBy>NICOLO Laurianne</cp:lastModifiedBy>
  <cp:revision>13</cp:revision>
  <cp:lastPrinted>2016-11-22T15:41:00Z</cp:lastPrinted>
  <dcterms:created xsi:type="dcterms:W3CDTF">2022-07-20T13:46:00Z</dcterms:created>
  <dcterms:modified xsi:type="dcterms:W3CDTF">2022-07-29T16:00:00Z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84f4f4ef-2afb-4716-af39-46513ac56f0c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