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B57D6" w:rsidTr="00EB4E9C">
        <w:tc>
          <w:tcPr>
            <w:tcW w:w="6522" w:type="dxa"/>
          </w:tcPr>
          <w:p w:rsidR="00DC3802" w:rsidRPr="00EB57D6" w:rsidRDefault="00DC3802" w:rsidP="00AC2883">
            <w:r w:rsidRPr="00EB57D6">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B57D6" w:rsidRDefault="00A706D3" w:rsidP="00AC2883">
            <w:pPr>
              <w:pStyle w:val="Lettrine"/>
            </w:pPr>
            <w:r w:rsidRPr="00EB57D6">
              <w:t>F</w:t>
            </w:r>
          </w:p>
        </w:tc>
      </w:tr>
      <w:tr w:rsidR="00DC3802" w:rsidRPr="00EB57D6" w:rsidTr="00645CA8">
        <w:trPr>
          <w:trHeight w:val="219"/>
        </w:trPr>
        <w:tc>
          <w:tcPr>
            <w:tcW w:w="6522" w:type="dxa"/>
          </w:tcPr>
          <w:p w:rsidR="00DC3802" w:rsidRPr="00EB57D6" w:rsidRDefault="00DC3802" w:rsidP="00A706D3">
            <w:pPr>
              <w:pStyle w:val="upove"/>
            </w:pPr>
            <w:r w:rsidRPr="00EB57D6">
              <w:t xml:space="preserve">Union </w:t>
            </w:r>
            <w:r w:rsidR="00A706D3" w:rsidRPr="00EB57D6">
              <w:t>internationale pour la protection des obtentions végétales</w:t>
            </w:r>
          </w:p>
        </w:tc>
        <w:tc>
          <w:tcPr>
            <w:tcW w:w="3117" w:type="dxa"/>
          </w:tcPr>
          <w:p w:rsidR="00DC3802" w:rsidRPr="00EB57D6" w:rsidRDefault="00DC3802" w:rsidP="00DA4973"/>
        </w:tc>
      </w:tr>
    </w:tbl>
    <w:p w:rsidR="00DC3802" w:rsidRPr="00EB57D6" w:rsidRDefault="00DC3802" w:rsidP="00DC3802"/>
    <w:p w:rsidR="00DA4973" w:rsidRPr="00EB57D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B57D6" w:rsidTr="00EB4E9C">
        <w:tc>
          <w:tcPr>
            <w:tcW w:w="6512" w:type="dxa"/>
          </w:tcPr>
          <w:p w:rsidR="00EB4E9C" w:rsidRPr="00EB57D6" w:rsidRDefault="00AB5931" w:rsidP="00AC2883">
            <w:pPr>
              <w:pStyle w:val="Sessiontc"/>
              <w:spacing w:line="240" w:lineRule="auto"/>
            </w:pPr>
            <w:r w:rsidRPr="00EB57D6">
              <w:t>Conseil</w:t>
            </w:r>
          </w:p>
          <w:p w:rsidR="00EB4E9C" w:rsidRPr="00EB57D6" w:rsidRDefault="00AB5931" w:rsidP="007B4801">
            <w:pPr>
              <w:pStyle w:val="Sessiontcplacedate"/>
              <w:rPr>
                <w:sz w:val="22"/>
              </w:rPr>
            </w:pPr>
            <w:r w:rsidRPr="00EB57D6">
              <w:t>Cinquante</w:t>
            </w:r>
            <w:r w:rsidR="005E7EA6" w:rsidRPr="00EB57D6">
              <w:t>-</w:t>
            </w:r>
            <w:r w:rsidR="007B4801">
              <w:t>cinqu</w:t>
            </w:r>
            <w:r w:rsidR="005E7EA6" w:rsidRPr="00EB57D6">
              <w:t>ième</w:t>
            </w:r>
            <w:r w:rsidRPr="00EB57D6">
              <w:t xml:space="preserve"> </w:t>
            </w:r>
            <w:r w:rsidR="00A706D3" w:rsidRPr="00EB57D6">
              <w:t>s</w:t>
            </w:r>
            <w:r w:rsidR="00EB4E9C" w:rsidRPr="00EB57D6">
              <w:t>ession</w:t>
            </w:r>
            <w:r w:rsidRPr="00EB57D6">
              <w:t xml:space="preserve"> ordinaire</w:t>
            </w:r>
            <w:r w:rsidR="00EB4E9C" w:rsidRPr="00EB57D6">
              <w:br/>
              <w:t>Gen</w:t>
            </w:r>
            <w:r w:rsidR="00A706D3" w:rsidRPr="00EB57D6">
              <w:t>è</w:t>
            </w:r>
            <w:r w:rsidR="00EB4E9C" w:rsidRPr="00EB57D6">
              <w:t>v</w:t>
            </w:r>
            <w:r w:rsidR="00A706D3" w:rsidRPr="00EB57D6">
              <w:t>e</w:t>
            </w:r>
            <w:r w:rsidR="00EB4E9C" w:rsidRPr="00EB57D6">
              <w:t xml:space="preserve">, </w:t>
            </w:r>
            <w:r w:rsidR="007B4801">
              <w:t>29 octobre 2021</w:t>
            </w:r>
          </w:p>
        </w:tc>
        <w:tc>
          <w:tcPr>
            <w:tcW w:w="3127" w:type="dxa"/>
          </w:tcPr>
          <w:p w:rsidR="00EB4E9C" w:rsidRPr="00EB57D6" w:rsidRDefault="007B4801" w:rsidP="003C7FBE">
            <w:pPr>
              <w:pStyle w:val="Doccode"/>
              <w:rPr>
                <w:lang w:val="fr-FR"/>
              </w:rPr>
            </w:pPr>
            <w:r>
              <w:rPr>
                <w:lang w:val="fr-FR"/>
              </w:rPr>
              <w:t>C/55/INF/4</w:t>
            </w:r>
          </w:p>
          <w:p w:rsidR="00EB4E9C" w:rsidRPr="00EB57D6" w:rsidRDefault="00EB4E9C" w:rsidP="003C7FBE">
            <w:pPr>
              <w:pStyle w:val="Docoriginal"/>
            </w:pPr>
            <w:r w:rsidRPr="00EB57D6">
              <w:t>Original:</w:t>
            </w:r>
            <w:r w:rsidRPr="00EB57D6">
              <w:rPr>
                <w:b w:val="0"/>
                <w:spacing w:val="0"/>
              </w:rPr>
              <w:t xml:space="preserve">  </w:t>
            </w:r>
            <w:r w:rsidR="00A706D3" w:rsidRPr="00EB57D6">
              <w:rPr>
                <w:b w:val="0"/>
                <w:spacing w:val="0"/>
              </w:rPr>
              <w:t>anglais</w:t>
            </w:r>
            <w:r w:rsidR="00845D57" w:rsidRPr="00EB57D6">
              <w:rPr>
                <w:b w:val="0"/>
                <w:spacing w:val="0"/>
              </w:rPr>
              <w:t>/allemand</w:t>
            </w:r>
            <w:r w:rsidR="007B4801">
              <w:rPr>
                <w:b w:val="0"/>
                <w:spacing w:val="0"/>
              </w:rPr>
              <w:t>/espagnol</w:t>
            </w:r>
          </w:p>
          <w:p w:rsidR="00EB4E9C" w:rsidRPr="00EB57D6" w:rsidRDefault="00EB4E9C" w:rsidP="007B4801">
            <w:pPr>
              <w:pStyle w:val="Docoriginal"/>
            </w:pPr>
            <w:r w:rsidRPr="00EB57D6">
              <w:t>Date:</w:t>
            </w:r>
            <w:r w:rsidRPr="00EB57D6">
              <w:rPr>
                <w:b w:val="0"/>
                <w:spacing w:val="0"/>
              </w:rPr>
              <w:t xml:space="preserve">  </w:t>
            </w:r>
            <w:r w:rsidR="007B4801">
              <w:rPr>
                <w:b w:val="0"/>
                <w:spacing w:val="0"/>
              </w:rPr>
              <w:t>4 octobre 2021</w:t>
            </w:r>
          </w:p>
        </w:tc>
      </w:tr>
    </w:tbl>
    <w:p w:rsidR="00845D57" w:rsidRPr="00EB57D6" w:rsidRDefault="00845D57" w:rsidP="00845D57">
      <w:pPr>
        <w:pStyle w:val="Titleofdoc0"/>
      </w:pPr>
      <w:r w:rsidRPr="00EB57D6">
        <w:t>RAPPORTS DES REPRÉSENTANTS DES MEMBRES ET DES OBSERVATEURS SUR LA SITUATION DANS LES DOMAINES LÉGISLATIF, ADMINISTRATIF ET TECHNIQUE</w:t>
      </w:r>
    </w:p>
    <w:p w:rsidR="00845D57" w:rsidRPr="00EB57D6" w:rsidRDefault="00845D57" w:rsidP="00845D57">
      <w:pPr>
        <w:pStyle w:val="preparedby1"/>
        <w:jc w:val="left"/>
      </w:pPr>
      <w:r w:rsidRPr="00EB57D6">
        <w:t>Document établi par le Bureau de l’Union</w:t>
      </w:r>
    </w:p>
    <w:p w:rsidR="00845D57" w:rsidRPr="00EB57D6" w:rsidRDefault="00845D57" w:rsidP="00845D57">
      <w:pPr>
        <w:pStyle w:val="Disclaimer"/>
      </w:pPr>
      <w:r w:rsidRPr="00EB57D6">
        <w:t>Avertissement : le présent document ne représente pas les principes ou les orientations de l’UPOV</w:t>
      </w:r>
    </w:p>
    <w:p w:rsidR="00845D57" w:rsidRPr="00EB57D6" w:rsidRDefault="00845D57" w:rsidP="00845D57">
      <w:pPr>
        <w:rPr>
          <w:snapToGrid w:val="0"/>
        </w:rPr>
      </w:pPr>
      <w:r w:rsidRPr="00EB57D6">
        <w:rPr>
          <w:snapToGrid w:val="0"/>
        </w:rPr>
        <w:t>1.</w:t>
      </w:r>
      <w:r w:rsidRPr="00EB57D6">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845D57" w:rsidRPr="00EB57D6" w:rsidRDefault="00845D57" w:rsidP="00845D57">
      <w:pPr>
        <w:rPr>
          <w:snapToGrid w:val="0"/>
        </w:rPr>
      </w:pPr>
    </w:p>
    <w:p w:rsidR="00845D57" w:rsidRPr="00EB57D6" w:rsidRDefault="00845D57" w:rsidP="00845D57">
      <w:pPr>
        <w:rPr>
          <w:snapToGrid w:val="0"/>
        </w:rPr>
      </w:pPr>
      <w:r w:rsidRPr="00EB57D6">
        <w:rPr>
          <w:snapToGrid w:val="0"/>
        </w:rPr>
        <w:t>2.</w:t>
      </w:r>
      <w:r w:rsidRPr="00EB57D6">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35084F" w:rsidRPr="00EB57D6" w:rsidRDefault="0035084F">
      <w:pPr>
        <w:jc w:val="left"/>
      </w:pPr>
    </w:p>
    <w:p w:rsidR="00845D57" w:rsidRPr="00EB57D6" w:rsidRDefault="00845D57" w:rsidP="00845D57">
      <w:pPr>
        <w:ind w:left="567"/>
        <w:rPr>
          <w:szCs w:val="24"/>
        </w:rPr>
      </w:pPr>
      <w:r w:rsidRPr="007B4801">
        <w:rPr>
          <w:snapToGrid w:val="0"/>
          <w:spacing w:val="-2"/>
          <w:u w:val="single"/>
        </w:rPr>
        <w:t>Membres</w:t>
      </w:r>
      <w:r w:rsidRPr="007B4801">
        <w:rPr>
          <w:snapToGrid w:val="0"/>
          <w:spacing w:val="-2"/>
        </w:rPr>
        <w:t xml:space="preserve"> : annexes I à XVI : </w:t>
      </w:r>
      <w:r w:rsidR="007B4801" w:rsidRPr="007B4801">
        <w:rPr>
          <w:spacing w:val="-2"/>
        </w:rPr>
        <w:t xml:space="preserve">Allemagne, Brésil, Danemark, Hongrie, Lituanie, Mexique, </w:t>
      </w:r>
      <w:r w:rsidR="007B4801" w:rsidRPr="007B4801">
        <w:rPr>
          <w:spacing w:val="-2"/>
        </w:rPr>
        <w:t>Nouvelle</w:t>
      </w:r>
      <w:r w:rsidR="007B4801" w:rsidRPr="007B4801">
        <w:rPr>
          <w:spacing w:val="-2"/>
        </w:rPr>
        <w:noBreakHyphen/>
      </w:r>
      <w:r w:rsidR="007B4801" w:rsidRPr="007B4801">
        <w:rPr>
          <w:spacing w:val="-2"/>
        </w:rPr>
        <w:t xml:space="preserve">Zélande, </w:t>
      </w:r>
      <w:r w:rsidR="007B4801" w:rsidRPr="002F5002">
        <w:t>Pologne</w:t>
      </w:r>
      <w:r w:rsidR="007B4801">
        <w:t xml:space="preserve">, </w:t>
      </w:r>
      <w:r w:rsidR="007B4801" w:rsidRPr="002F5002">
        <w:t>République de Corée</w:t>
      </w:r>
      <w:r w:rsidR="007B4801">
        <w:t xml:space="preserve">, </w:t>
      </w:r>
      <w:r w:rsidR="007B4801" w:rsidRPr="002F5002">
        <w:t>République de Moldova</w:t>
      </w:r>
      <w:r w:rsidR="007B4801">
        <w:t xml:space="preserve">, </w:t>
      </w:r>
      <w:r w:rsidR="007B4801" w:rsidRPr="002F5002">
        <w:t>Roumanie</w:t>
      </w:r>
      <w:r w:rsidR="007B4801">
        <w:t xml:space="preserve">, Royaume-Uni, </w:t>
      </w:r>
      <w:r w:rsidR="007B4801" w:rsidRPr="002F5002">
        <w:t>Serbie</w:t>
      </w:r>
      <w:r w:rsidR="007B4801">
        <w:t xml:space="preserve">, </w:t>
      </w:r>
      <w:r w:rsidR="007B4801" w:rsidRPr="002F5002">
        <w:t>Singapour</w:t>
      </w:r>
      <w:r w:rsidR="007B4801">
        <w:t xml:space="preserve">, </w:t>
      </w:r>
      <w:r w:rsidR="007B4801" w:rsidRPr="00B37D4F">
        <w:t>Ukraine</w:t>
      </w:r>
      <w:r w:rsidR="007B4801">
        <w:t xml:space="preserve"> et</w:t>
      </w:r>
      <w:r w:rsidR="007B4801" w:rsidRPr="002F5002">
        <w:t xml:space="preserve"> Union européenne</w:t>
      </w:r>
    </w:p>
    <w:p w:rsidR="00845D57" w:rsidRPr="00EB57D6" w:rsidRDefault="00845D57" w:rsidP="00845D57">
      <w:pPr>
        <w:rPr>
          <w:snapToGrid w:val="0"/>
        </w:rPr>
      </w:pPr>
    </w:p>
    <w:p w:rsidR="00845D57" w:rsidRPr="00EB57D6" w:rsidRDefault="00845D57" w:rsidP="00845D57">
      <w:pPr>
        <w:rPr>
          <w:snapToGrid w:val="0"/>
        </w:rPr>
      </w:pPr>
      <w:r w:rsidRPr="00EB57D6">
        <w:rPr>
          <w:snapToGrid w:val="0"/>
        </w:rPr>
        <w:t>3.</w:t>
      </w:r>
      <w:r w:rsidRPr="00EB57D6">
        <w:rPr>
          <w:snapToGrid w:val="0"/>
        </w:rPr>
        <w:tab/>
        <w:t>Les rapports reçus après le 2</w:t>
      </w:r>
      <w:r w:rsidR="007B4801">
        <w:rPr>
          <w:snapToGrid w:val="0"/>
        </w:rPr>
        <w:t>0 septembre 2021</w:t>
      </w:r>
      <w:r w:rsidRPr="00EB57D6">
        <w:rPr>
          <w:snapToGrid w:val="0"/>
        </w:rPr>
        <w:t xml:space="preserve"> seront inclus dans un additif à ce document, qui sera publié après la session du Conseil.</w:t>
      </w:r>
    </w:p>
    <w:p w:rsidR="00845D57" w:rsidRPr="00EB57D6" w:rsidRDefault="00845D57" w:rsidP="00845D57">
      <w:pPr>
        <w:tabs>
          <w:tab w:val="left" w:pos="567"/>
          <w:tab w:val="left" w:pos="2694"/>
        </w:tabs>
      </w:pPr>
    </w:p>
    <w:p w:rsidR="00845D57" w:rsidRPr="00EB57D6" w:rsidRDefault="00845D57" w:rsidP="00845D57">
      <w:pPr>
        <w:tabs>
          <w:tab w:val="left" w:pos="567"/>
          <w:tab w:val="left" w:pos="2694"/>
        </w:tabs>
      </w:pPr>
    </w:p>
    <w:p w:rsidR="00845D57" w:rsidRPr="00EB57D6" w:rsidRDefault="00845D57" w:rsidP="00845D57"/>
    <w:p w:rsidR="00845D57" w:rsidRPr="00EB57D6" w:rsidRDefault="00845D57" w:rsidP="00845D57">
      <w:pPr>
        <w:jc w:val="right"/>
      </w:pPr>
      <w:r w:rsidRPr="00EB57D6">
        <w:t>[Les annexes suivent]</w:t>
      </w:r>
    </w:p>
    <w:p w:rsidR="00845D57" w:rsidRPr="00EB57D6" w:rsidRDefault="00845D57" w:rsidP="00845D57">
      <w:pPr>
        <w:jc w:val="left"/>
      </w:pPr>
    </w:p>
    <w:p w:rsidR="00845D57" w:rsidRPr="00EB57D6" w:rsidRDefault="00845D57" w:rsidP="00845D57">
      <w:pPr>
        <w:sectPr w:rsidR="00845D57" w:rsidRPr="00EB57D6" w:rsidSect="00906DDC">
          <w:headerReference w:type="default" r:id="rId9"/>
          <w:pgSz w:w="11907" w:h="16840" w:code="9"/>
          <w:pgMar w:top="510" w:right="1134" w:bottom="1134" w:left="1134" w:header="510" w:footer="680" w:gutter="0"/>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I</w:t>
      </w:r>
    </w:p>
    <w:p w:rsidR="00845D57" w:rsidRPr="00EB57D6" w:rsidRDefault="00845D57" w:rsidP="00845D57">
      <w:pPr>
        <w:jc w:val="center"/>
      </w:pPr>
    </w:p>
    <w:p w:rsidR="00845D57" w:rsidRPr="00EB57D6" w:rsidRDefault="00845D57" w:rsidP="00845D57">
      <w:pPr>
        <w:jc w:val="center"/>
      </w:pPr>
    </w:p>
    <w:p w:rsidR="000450E3" w:rsidRPr="00EB57D6" w:rsidRDefault="007B4801" w:rsidP="000450E3">
      <w:pPr>
        <w:jc w:val="center"/>
        <w:rPr>
          <w:color w:val="000000"/>
          <w:sz w:val="18"/>
          <w:szCs w:val="24"/>
        </w:rPr>
      </w:pPr>
      <w:r>
        <w:rPr>
          <w:szCs w:val="24"/>
        </w:rPr>
        <w:t>ALLEMAGNE</w:t>
      </w:r>
    </w:p>
    <w:p w:rsidR="000450E3" w:rsidRPr="00EB57D6" w:rsidRDefault="000450E3" w:rsidP="000450E3">
      <w:pPr>
        <w:rPr>
          <w:sz w:val="18"/>
        </w:rPr>
      </w:pPr>
    </w:p>
    <w:p w:rsidR="000450E3" w:rsidRPr="00EB57D6" w:rsidRDefault="000450E3" w:rsidP="000450E3">
      <w:pPr>
        <w:jc w:val="left"/>
        <w:rPr>
          <w:sz w:val="18"/>
        </w:rPr>
      </w:pPr>
    </w:p>
    <w:p w:rsidR="000C6FB5" w:rsidRPr="00845C1F" w:rsidRDefault="000C6FB5" w:rsidP="000C6FB5">
      <w:r w:rsidRPr="00845C1F">
        <w:t xml:space="preserve">I. </w:t>
      </w:r>
      <w:r w:rsidRPr="00845C1F">
        <w:tab/>
        <w:t>PROTECTION DES OBTENTIONS VÉGÉTALES</w:t>
      </w:r>
    </w:p>
    <w:p w:rsidR="000C6FB5" w:rsidRPr="00845C1F" w:rsidRDefault="000C6FB5" w:rsidP="000C6FB5"/>
    <w:p w:rsidR="000C6FB5" w:rsidRPr="00845C1F" w:rsidRDefault="000C6FB5" w:rsidP="000C6FB5">
      <w:r w:rsidRPr="00845C1F">
        <w:t>1.</w:t>
      </w:r>
      <w:r w:rsidRPr="00845C1F">
        <w:tab/>
      </w:r>
      <w:r w:rsidRPr="00845C1F">
        <w:rPr>
          <w:u w:val="single"/>
        </w:rPr>
        <w:t>Situation dans le domaine législatif</w:t>
      </w:r>
    </w:p>
    <w:p w:rsidR="000C6FB5" w:rsidRPr="00845C1F" w:rsidRDefault="000C6FB5" w:rsidP="000C6FB5"/>
    <w:p w:rsidR="000C6FB5" w:rsidRPr="00845C1F" w:rsidRDefault="000C6FB5" w:rsidP="000C6FB5">
      <w:pPr>
        <w:ind w:left="567" w:hanging="567"/>
      </w:pPr>
      <w:r w:rsidRPr="00845C1F">
        <w:t>1.1</w:t>
      </w:r>
      <w:r w:rsidRPr="00845C1F">
        <w:tab/>
        <w:t>Sur la base de la loi fédérale sur les taxes, le “Règlement spécial du Ministère fédéral de l’alimentation et de l’agriculture sur les taxes relatives aux services publics fournis par des particuliers dans son domaine de compétence” a été rédigé et publié le 21 juillet 2021 au Journal officiel (Partie I n° 45).</w:t>
      </w:r>
    </w:p>
    <w:p w:rsidR="000C6FB5" w:rsidRPr="00845C1F" w:rsidRDefault="000C6FB5" w:rsidP="000C6FB5">
      <w:pPr>
        <w:ind w:left="567" w:hanging="567"/>
      </w:pPr>
    </w:p>
    <w:p w:rsidR="000C6FB5" w:rsidRPr="00845C1F" w:rsidRDefault="000C6FB5" w:rsidP="000C6FB5">
      <w:pPr>
        <w:pStyle w:val="BodyText"/>
        <w:ind w:left="567" w:right="108"/>
      </w:pPr>
      <w:r w:rsidRPr="00845C1F">
        <w:t>Le règlement entrera en vigueur le 1</w:t>
      </w:r>
      <w:r w:rsidRPr="00845C1F">
        <w:rPr>
          <w:vertAlign w:val="superscript"/>
        </w:rPr>
        <w:t>er</w:t>
      </w:r>
      <w:r w:rsidRPr="00845C1F">
        <w:t> octobre 2021 et remplacera le barème de</w:t>
      </w:r>
      <w:r>
        <w:t>s</w:t>
      </w:r>
      <w:r w:rsidRPr="00845C1F">
        <w:t xml:space="preserve"> taxes actuel de l’Office fédéral des variétés végétales du 1</w:t>
      </w:r>
      <w:r w:rsidRPr="00845C1F">
        <w:rPr>
          <w:vertAlign w:val="superscript"/>
        </w:rPr>
        <w:t>er</w:t>
      </w:r>
      <w:r w:rsidRPr="00845C1F">
        <w:t> novembre 2019 (n° 20/19).</w:t>
      </w:r>
    </w:p>
    <w:p w:rsidR="000C6FB5" w:rsidRPr="00845C1F" w:rsidRDefault="000C6FB5" w:rsidP="000C6FB5">
      <w:pPr>
        <w:ind w:left="567" w:hanging="567"/>
      </w:pPr>
    </w:p>
    <w:p w:rsidR="000C6FB5" w:rsidRPr="00845C1F" w:rsidRDefault="000C6FB5" w:rsidP="000C6FB5">
      <w:pPr>
        <w:ind w:left="567" w:hanging="567"/>
      </w:pPr>
      <w:r w:rsidRPr="00845C1F">
        <w:t>1.2</w:t>
      </w:r>
      <w:r w:rsidRPr="00845C1F">
        <w:tab/>
        <w:t>Aucun élément nouveau.</w:t>
      </w:r>
    </w:p>
    <w:p w:rsidR="000C6FB5" w:rsidRPr="00845C1F" w:rsidRDefault="000C6FB5" w:rsidP="000C6FB5">
      <w:pPr>
        <w:ind w:left="567" w:hanging="567"/>
      </w:pPr>
    </w:p>
    <w:p w:rsidR="000C6FB5" w:rsidRPr="00845C1F" w:rsidRDefault="000C6FB5" w:rsidP="000C6FB5">
      <w:pPr>
        <w:ind w:left="567" w:hanging="567"/>
      </w:pPr>
      <w:r w:rsidRPr="00845C1F">
        <w:t>1.3</w:t>
      </w:r>
      <w:r w:rsidRPr="00845C1F">
        <w:tab/>
        <w:t>Aucun élément nouveau.</w:t>
      </w:r>
    </w:p>
    <w:p w:rsidR="000C6FB5" w:rsidRPr="00845C1F" w:rsidRDefault="000C6FB5" w:rsidP="000C6FB5"/>
    <w:p w:rsidR="000C6FB5" w:rsidRPr="00845C1F" w:rsidRDefault="000C6FB5" w:rsidP="000C6FB5">
      <w:pPr>
        <w:rPr>
          <w:u w:val="single"/>
        </w:rPr>
      </w:pPr>
      <w:r w:rsidRPr="00845C1F">
        <w:t>2.</w:t>
      </w:r>
      <w:r w:rsidRPr="00845C1F">
        <w:tab/>
      </w:r>
      <w:r w:rsidRPr="00845C1F">
        <w:rPr>
          <w:u w:val="single"/>
        </w:rPr>
        <w:t>Coopération en matière d’examen</w:t>
      </w:r>
    </w:p>
    <w:p w:rsidR="000C6FB5" w:rsidRPr="00845C1F" w:rsidRDefault="000C6FB5" w:rsidP="000C6FB5"/>
    <w:p w:rsidR="000C6FB5" w:rsidRPr="00845C1F" w:rsidRDefault="000C6FB5" w:rsidP="000C6FB5">
      <w:pPr>
        <w:pStyle w:val="ListParagraph"/>
        <w:ind w:left="567"/>
        <w:rPr>
          <w:lang w:val="fr-FR"/>
        </w:rPr>
      </w:pPr>
      <w:r w:rsidRPr="00845C1F">
        <w:rPr>
          <w:lang w:val="fr-FR"/>
        </w:rPr>
        <w:t>Aucun élément nouveau.</w:t>
      </w:r>
    </w:p>
    <w:p w:rsidR="000C6FB5" w:rsidRPr="00845C1F" w:rsidRDefault="000C6FB5" w:rsidP="000C6FB5"/>
    <w:p w:rsidR="000C6FB5" w:rsidRPr="00845C1F" w:rsidRDefault="000C6FB5" w:rsidP="000C6FB5">
      <w:pPr>
        <w:rPr>
          <w:u w:val="single"/>
        </w:rPr>
      </w:pPr>
      <w:r w:rsidRPr="00845C1F">
        <w:t>3.</w:t>
      </w:r>
      <w:r w:rsidRPr="00845C1F">
        <w:tab/>
      </w:r>
      <w:r w:rsidRPr="00845C1F">
        <w:rPr>
          <w:u w:val="single"/>
        </w:rPr>
        <w:t>Situation dans le domaine administratif</w:t>
      </w:r>
    </w:p>
    <w:p w:rsidR="000C6FB5" w:rsidRPr="00845C1F" w:rsidRDefault="000C6FB5" w:rsidP="000C6FB5"/>
    <w:p w:rsidR="000C6FB5" w:rsidRPr="00845C1F" w:rsidRDefault="000C6FB5" w:rsidP="000C6FB5">
      <w:pPr>
        <w:pStyle w:val="ListParagraph"/>
        <w:ind w:left="567"/>
        <w:rPr>
          <w:lang w:val="fr-FR"/>
        </w:rPr>
      </w:pPr>
      <w:r w:rsidRPr="00845C1F">
        <w:rPr>
          <w:lang w:val="fr-FR"/>
        </w:rPr>
        <w:t>Aucun élément nouveau.</w:t>
      </w:r>
    </w:p>
    <w:p w:rsidR="000C6FB5" w:rsidRPr="00845C1F" w:rsidRDefault="000C6FB5" w:rsidP="000C6FB5"/>
    <w:p w:rsidR="000C6FB5" w:rsidRPr="00845C1F" w:rsidRDefault="000C6FB5" w:rsidP="000C6FB5">
      <w:pPr>
        <w:rPr>
          <w:u w:val="single"/>
        </w:rPr>
      </w:pPr>
      <w:r w:rsidRPr="00845C1F">
        <w:t>4.</w:t>
      </w:r>
      <w:r w:rsidRPr="00845C1F">
        <w:tab/>
      </w:r>
      <w:r w:rsidRPr="00845C1F">
        <w:rPr>
          <w:u w:val="single"/>
        </w:rPr>
        <w:t>Situation dans le domaine technique</w:t>
      </w:r>
    </w:p>
    <w:p w:rsidR="000C6FB5" w:rsidRPr="00845C1F" w:rsidRDefault="000C6FB5" w:rsidP="000C6FB5"/>
    <w:p w:rsidR="000C6FB5" w:rsidRPr="00845C1F" w:rsidRDefault="000C6FB5" w:rsidP="000C6FB5">
      <w:pPr>
        <w:rPr>
          <w:lang w:val="fr-CH"/>
        </w:rPr>
      </w:pPr>
      <w:r w:rsidRPr="00845C1F">
        <w:rPr>
          <w:lang w:val="fr-CH"/>
        </w:rPr>
        <w:t>L’Office fédéral des variétés végétales modernise et étend ses installations opérationnelles, notamment à Hanovre, pour la conduite de</w:t>
      </w:r>
      <w:r>
        <w:rPr>
          <w:lang w:val="fr-CH"/>
        </w:rPr>
        <w:t xml:space="preserve">s examens </w:t>
      </w:r>
      <w:r w:rsidRPr="00845C1F">
        <w:rPr>
          <w:lang w:val="fr-CH"/>
        </w:rPr>
        <w:t>et dans le domaine informatique.</w:t>
      </w:r>
    </w:p>
    <w:p w:rsidR="000C6FB5" w:rsidRPr="00845C1F" w:rsidRDefault="000C6FB5" w:rsidP="000C6FB5">
      <w:pPr>
        <w:rPr>
          <w:lang w:val="fr-CH"/>
        </w:rPr>
      </w:pPr>
    </w:p>
    <w:p w:rsidR="000C6FB5" w:rsidRPr="00845C1F" w:rsidRDefault="000C6FB5" w:rsidP="000C6FB5">
      <w:pPr>
        <w:rPr>
          <w:u w:val="single"/>
        </w:rPr>
      </w:pPr>
      <w:r w:rsidRPr="00845C1F">
        <w:t>5.</w:t>
      </w:r>
      <w:r w:rsidRPr="00845C1F">
        <w:tab/>
      </w:r>
      <w:r w:rsidRPr="00845C1F">
        <w:rPr>
          <w:u w:val="single"/>
        </w:rPr>
        <w:t>Activités de promotion de la protection des obtentions végétales</w:t>
      </w:r>
    </w:p>
    <w:p w:rsidR="000C6FB5" w:rsidRPr="00845C1F" w:rsidRDefault="000C6FB5" w:rsidP="000C6FB5"/>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276"/>
        <w:gridCol w:w="1436"/>
        <w:gridCol w:w="832"/>
        <w:gridCol w:w="3959"/>
        <w:gridCol w:w="2278"/>
      </w:tblGrid>
      <w:tr w:rsidR="000C6FB5" w:rsidRPr="00845C1F" w:rsidTr="000C6FB5">
        <w:tc>
          <w:tcPr>
            <w:tcW w:w="1276" w:type="dxa"/>
            <w:vAlign w:val="center"/>
          </w:tcPr>
          <w:p w:rsidR="000C6FB5" w:rsidRPr="000C6FB5" w:rsidRDefault="000C6FB5" w:rsidP="00AA577D">
            <w:pPr>
              <w:pStyle w:val="TableParagraph"/>
              <w:ind w:left="0"/>
              <w:rPr>
                <w:sz w:val="16"/>
                <w:szCs w:val="16"/>
                <w:lang w:val="fr-FR"/>
              </w:rPr>
            </w:pPr>
            <w:r w:rsidRPr="000C6FB5">
              <w:rPr>
                <w:sz w:val="16"/>
                <w:szCs w:val="16"/>
                <w:lang w:val="fr-FR"/>
              </w:rPr>
              <w:t>Type d’activité</w:t>
            </w:r>
          </w:p>
        </w:tc>
        <w:tc>
          <w:tcPr>
            <w:tcW w:w="1436" w:type="dxa"/>
            <w:vAlign w:val="center"/>
          </w:tcPr>
          <w:p w:rsidR="000C6FB5" w:rsidRPr="000C6FB5" w:rsidRDefault="000C6FB5" w:rsidP="00AA577D">
            <w:pPr>
              <w:pStyle w:val="TableParagraph"/>
              <w:ind w:left="0"/>
              <w:rPr>
                <w:sz w:val="16"/>
                <w:szCs w:val="16"/>
                <w:lang w:val="fr-FR"/>
              </w:rPr>
            </w:pPr>
            <w:r w:rsidRPr="000C6FB5">
              <w:rPr>
                <w:sz w:val="16"/>
                <w:szCs w:val="16"/>
                <w:lang w:val="fr-FR"/>
              </w:rPr>
              <w:t>Date</w:t>
            </w:r>
          </w:p>
        </w:tc>
        <w:tc>
          <w:tcPr>
            <w:tcW w:w="832" w:type="dxa"/>
            <w:vAlign w:val="center"/>
          </w:tcPr>
          <w:p w:rsidR="000C6FB5" w:rsidRPr="000C6FB5" w:rsidRDefault="000C6FB5" w:rsidP="00AA577D">
            <w:pPr>
              <w:pStyle w:val="TableParagraph"/>
              <w:ind w:left="0"/>
              <w:rPr>
                <w:sz w:val="16"/>
                <w:szCs w:val="16"/>
                <w:lang w:val="fr-FR"/>
              </w:rPr>
            </w:pPr>
            <w:r w:rsidRPr="000C6FB5">
              <w:rPr>
                <w:sz w:val="16"/>
                <w:szCs w:val="16"/>
                <w:lang w:val="fr-FR"/>
              </w:rPr>
              <w:t>Lieu</w:t>
            </w:r>
          </w:p>
        </w:tc>
        <w:tc>
          <w:tcPr>
            <w:tcW w:w="3959" w:type="dxa"/>
            <w:vAlign w:val="center"/>
          </w:tcPr>
          <w:p w:rsidR="000C6FB5" w:rsidRPr="000C6FB5" w:rsidRDefault="000C6FB5" w:rsidP="00AA577D">
            <w:pPr>
              <w:pStyle w:val="TableParagraph"/>
              <w:ind w:left="0"/>
              <w:rPr>
                <w:sz w:val="16"/>
                <w:szCs w:val="16"/>
                <w:lang w:val="fr-FR"/>
              </w:rPr>
            </w:pPr>
            <w:r w:rsidRPr="000C6FB5">
              <w:rPr>
                <w:sz w:val="16"/>
                <w:szCs w:val="16"/>
                <w:lang w:val="fr-FR"/>
              </w:rPr>
              <w:t>But de l’activité</w:t>
            </w:r>
          </w:p>
        </w:tc>
        <w:tc>
          <w:tcPr>
            <w:tcW w:w="2278" w:type="dxa"/>
            <w:vAlign w:val="center"/>
          </w:tcPr>
          <w:p w:rsidR="000C6FB5" w:rsidRPr="000C6FB5" w:rsidRDefault="000C6FB5" w:rsidP="00AA577D">
            <w:pPr>
              <w:pStyle w:val="TableParagraph"/>
              <w:ind w:left="0"/>
              <w:rPr>
                <w:sz w:val="16"/>
                <w:szCs w:val="16"/>
                <w:lang w:val="fr-FR"/>
              </w:rPr>
            </w:pPr>
            <w:r w:rsidRPr="000C6FB5">
              <w:rPr>
                <w:sz w:val="16"/>
                <w:szCs w:val="16"/>
                <w:lang w:val="fr-FR"/>
              </w:rPr>
              <w:t>Pays/organisations participants (nombre de participants de chacun d’eux)</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Formation</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Octobre 2020</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sz w:val="16"/>
                <w:szCs w:val="16"/>
                <w:lang w:val="fr-FR"/>
              </w:rPr>
            </w:pPr>
            <w:r w:rsidRPr="000C6FB5">
              <w:rPr>
                <w:sz w:val="16"/>
                <w:szCs w:val="16"/>
                <w:lang w:val="fr-FR"/>
              </w:rPr>
              <w:t>Projet IP Key en Chine</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France, Pays-Bas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Atelier</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Octobre 2020</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iCs/>
                <w:sz w:val="16"/>
                <w:szCs w:val="16"/>
                <w:lang w:val="fr-FR"/>
              </w:rPr>
            </w:pPr>
            <w:r w:rsidRPr="000C6FB5">
              <w:rPr>
                <w:iCs/>
                <w:sz w:val="16"/>
                <w:szCs w:val="16"/>
                <w:lang w:val="fr-FR"/>
              </w:rPr>
              <w:t>Gestion des données relatives à l’examen DHS</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Inde</w:t>
            </w:r>
          </w:p>
          <w:p w:rsidR="000C6FB5" w:rsidRPr="000C6FB5" w:rsidRDefault="000C6FB5" w:rsidP="00AA577D">
            <w:pPr>
              <w:pStyle w:val="TableParagraph"/>
              <w:ind w:left="0"/>
              <w:rPr>
                <w:sz w:val="16"/>
                <w:szCs w:val="16"/>
                <w:lang w:val="fr-FR"/>
              </w:rPr>
            </w:pPr>
            <w:r w:rsidRPr="000C6FB5">
              <w:rPr>
                <w:sz w:val="16"/>
                <w:szCs w:val="16"/>
                <w:lang w:val="fr-FR"/>
              </w:rPr>
              <w:t>(300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Échange</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Novembre 2020</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sz w:val="16"/>
                <w:szCs w:val="16"/>
                <w:lang w:val="fr-FR"/>
              </w:rPr>
            </w:pPr>
            <w:r w:rsidRPr="000C6FB5">
              <w:rPr>
                <w:sz w:val="16"/>
                <w:szCs w:val="16"/>
                <w:lang w:val="fr-FR"/>
              </w:rPr>
              <w:t>Projet de loi de la Mongolie sur les obtentions végétales et les semences</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Mongolie</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Échange</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Novembre 2020</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sz w:val="16"/>
                <w:szCs w:val="16"/>
                <w:lang w:val="fr-FR"/>
              </w:rPr>
            </w:pPr>
            <w:r w:rsidRPr="000C6FB5">
              <w:rPr>
                <w:sz w:val="16"/>
                <w:szCs w:val="16"/>
                <w:lang w:val="fr-FR"/>
              </w:rPr>
              <w:t>Projet de principes directeurs de l’Éthiopie pour la conduite des essais VCU sur l’orge et le blé</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Éthiopie</w:t>
            </w:r>
          </w:p>
          <w:p w:rsidR="000C6FB5" w:rsidRPr="000C6FB5" w:rsidRDefault="000C6FB5" w:rsidP="00AA577D">
            <w:pPr>
              <w:pStyle w:val="TableParagraph"/>
              <w:ind w:left="0"/>
              <w:rPr>
                <w:sz w:val="16"/>
                <w:szCs w:val="16"/>
                <w:lang w:val="fr-FR"/>
              </w:rPr>
            </w:pPr>
            <w:r w:rsidRPr="000C6FB5">
              <w:rPr>
                <w:sz w:val="16"/>
                <w:szCs w:val="16"/>
                <w:lang w:val="fr-FR"/>
              </w:rPr>
              <w:t>(10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Atelier</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Décembre 2020</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iCs/>
                <w:sz w:val="16"/>
                <w:szCs w:val="16"/>
                <w:lang w:val="fr-FR"/>
              </w:rPr>
            </w:pPr>
            <w:r w:rsidRPr="000C6FB5">
              <w:rPr>
                <w:iCs/>
                <w:sz w:val="16"/>
                <w:szCs w:val="16"/>
                <w:lang w:val="fr-FR"/>
              </w:rPr>
              <w:t>Nouveau règlement phytosanitaire de l’Union européenne</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Inde</w:t>
            </w:r>
          </w:p>
          <w:p w:rsidR="000C6FB5" w:rsidRPr="000C6FB5" w:rsidRDefault="000C6FB5" w:rsidP="00AA577D">
            <w:pPr>
              <w:pStyle w:val="TableParagraph"/>
              <w:ind w:left="0"/>
              <w:rPr>
                <w:sz w:val="16"/>
                <w:szCs w:val="16"/>
                <w:lang w:val="fr-FR"/>
              </w:rPr>
            </w:pPr>
            <w:r w:rsidRPr="000C6FB5">
              <w:rPr>
                <w:sz w:val="16"/>
                <w:szCs w:val="16"/>
                <w:lang w:val="fr-FR"/>
              </w:rPr>
              <w:t>(70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Atelier</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Avril 2021</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iCs/>
                <w:sz w:val="16"/>
                <w:szCs w:val="16"/>
                <w:lang w:val="fr-FR"/>
              </w:rPr>
            </w:pPr>
            <w:r w:rsidRPr="000C6FB5">
              <w:rPr>
                <w:iCs/>
                <w:sz w:val="16"/>
                <w:szCs w:val="16"/>
                <w:lang w:val="fr-FR"/>
              </w:rPr>
              <w:t>Échanges sur les mesures de contrôle après l’octroi de la protection des obtentions végétales</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Inde</w:t>
            </w:r>
          </w:p>
          <w:p w:rsidR="000C6FB5" w:rsidRPr="000C6FB5" w:rsidRDefault="000C6FB5" w:rsidP="00AA577D">
            <w:pPr>
              <w:pStyle w:val="TableParagraph"/>
              <w:ind w:left="0"/>
              <w:rPr>
                <w:sz w:val="16"/>
                <w:szCs w:val="16"/>
                <w:lang w:val="fr-FR"/>
              </w:rPr>
            </w:pPr>
            <w:r w:rsidRPr="000C6FB5">
              <w:rPr>
                <w:sz w:val="16"/>
                <w:szCs w:val="16"/>
                <w:lang w:val="fr-FR"/>
              </w:rPr>
              <w:t>(200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Échange</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Avril 2021</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iCs/>
                <w:sz w:val="16"/>
                <w:szCs w:val="16"/>
                <w:lang w:val="fr-FR"/>
              </w:rPr>
            </w:pPr>
            <w:r w:rsidRPr="000C6FB5">
              <w:rPr>
                <w:iCs/>
                <w:sz w:val="16"/>
                <w:szCs w:val="16"/>
                <w:lang w:val="fr-FR"/>
              </w:rPr>
              <w:t>Réalisation d’essais DHS + VCU sur les variétés</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Éthiopie</w:t>
            </w:r>
          </w:p>
          <w:p w:rsidR="000C6FB5" w:rsidRPr="000C6FB5" w:rsidRDefault="000C6FB5" w:rsidP="00AA577D">
            <w:pPr>
              <w:pStyle w:val="TableParagraph"/>
              <w:ind w:left="0"/>
              <w:rPr>
                <w:sz w:val="16"/>
                <w:szCs w:val="16"/>
                <w:lang w:val="fr-FR"/>
              </w:rPr>
            </w:pPr>
            <w:r w:rsidRPr="000C6FB5">
              <w:rPr>
                <w:sz w:val="16"/>
                <w:szCs w:val="16"/>
                <w:lang w:val="fr-FR"/>
              </w:rPr>
              <w:t>(10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Échange</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Avril 2021</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iCs/>
                <w:sz w:val="16"/>
                <w:szCs w:val="16"/>
                <w:lang w:val="fr-FR"/>
              </w:rPr>
            </w:pPr>
            <w:r w:rsidRPr="000C6FB5">
              <w:rPr>
                <w:iCs/>
                <w:sz w:val="16"/>
                <w:szCs w:val="16"/>
                <w:lang w:val="fr-FR"/>
              </w:rPr>
              <w:t>Présentation du système d’examen des obtentions végétales de l’Allemagne</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Ouzbékistan</w:t>
            </w:r>
          </w:p>
          <w:p w:rsidR="000C6FB5" w:rsidRPr="000C6FB5" w:rsidRDefault="000C6FB5" w:rsidP="00AA577D">
            <w:pPr>
              <w:pStyle w:val="TableParagraph"/>
              <w:ind w:left="0"/>
              <w:rPr>
                <w:sz w:val="16"/>
                <w:szCs w:val="16"/>
                <w:lang w:val="fr-FR"/>
              </w:rPr>
            </w:pPr>
            <w:r w:rsidRPr="000C6FB5">
              <w:rPr>
                <w:sz w:val="16"/>
                <w:szCs w:val="16"/>
                <w:lang w:val="fr-FR"/>
              </w:rPr>
              <w:t>(10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Échange</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Juin 2021</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iCs/>
                <w:sz w:val="16"/>
                <w:szCs w:val="16"/>
                <w:lang w:val="fr-FR"/>
              </w:rPr>
            </w:pPr>
            <w:r w:rsidRPr="000C6FB5">
              <w:rPr>
                <w:iCs/>
                <w:sz w:val="16"/>
                <w:szCs w:val="16"/>
                <w:lang w:val="fr-FR"/>
              </w:rPr>
              <w:t>Présentation du système d’examen des obtentions végétales de l’Ouzbékistan</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Ouzbékistan</w:t>
            </w:r>
          </w:p>
          <w:p w:rsidR="000C6FB5" w:rsidRPr="000C6FB5" w:rsidRDefault="000C6FB5" w:rsidP="00AA577D">
            <w:pPr>
              <w:pStyle w:val="TableParagraph"/>
              <w:ind w:left="0"/>
              <w:rPr>
                <w:sz w:val="16"/>
                <w:szCs w:val="16"/>
                <w:lang w:val="fr-FR"/>
              </w:rPr>
            </w:pPr>
            <w:r w:rsidRPr="000C6FB5">
              <w:rPr>
                <w:sz w:val="16"/>
                <w:szCs w:val="16"/>
                <w:lang w:val="fr-FR"/>
              </w:rPr>
              <w:t>(10 participants)</w:t>
            </w:r>
          </w:p>
        </w:tc>
      </w:tr>
      <w:tr w:rsidR="000C6FB5" w:rsidRPr="00845C1F" w:rsidTr="000C6FB5">
        <w:tc>
          <w:tcPr>
            <w:tcW w:w="1276" w:type="dxa"/>
          </w:tcPr>
          <w:p w:rsidR="000C6FB5" w:rsidRPr="000C6FB5" w:rsidRDefault="000C6FB5" w:rsidP="00AA577D">
            <w:pPr>
              <w:pStyle w:val="TableParagraph"/>
              <w:ind w:left="0"/>
              <w:rPr>
                <w:sz w:val="16"/>
                <w:szCs w:val="16"/>
                <w:lang w:val="fr-FR"/>
              </w:rPr>
            </w:pPr>
            <w:r w:rsidRPr="000C6FB5">
              <w:rPr>
                <w:sz w:val="16"/>
                <w:szCs w:val="16"/>
                <w:lang w:val="fr-FR"/>
              </w:rPr>
              <w:t>Atelier</w:t>
            </w:r>
          </w:p>
        </w:tc>
        <w:tc>
          <w:tcPr>
            <w:tcW w:w="1436" w:type="dxa"/>
          </w:tcPr>
          <w:p w:rsidR="000C6FB5" w:rsidRPr="000C6FB5" w:rsidRDefault="000C6FB5" w:rsidP="00AA577D">
            <w:pPr>
              <w:pStyle w:val="TableParagraph"/>
              <w:ind w:left="0"/>
              <w:rPr>
                <w:sz w:val="16"/>
                <w:szCs w:val="16"/>
                <w:lang w:val="fr-FR"/>
              </w:rPr>
            </w:pPr>
            <w:r w:rsidRPr="000C6FB5">
              <w:rPr>
                <w:sz w:val="16"/>
                <w:szCs w:val="16"/>
                <w:lang w:val="fr-FR"/>
              </w:rPr>
              <w:t>Juillet 2021</w:t>
            </w:r>
          </w:p>
        </w:tc>
        <w:tc>
          <w:tcPr>
            <w:tcW w:w="832" w:type="dxa"/>
          </w:tcPr>
          <w:p w:rsidR="000C6FB5" w:rsidRPr="000C6FB5" w:rsidRDefault="000C6FB5" w:rsidP="00AA577D">
            <w:pPr>
              <w:pStyle w:val="TableParagraph"/>
              <w:ind w:left="0"/>
              <w:rPr>
                <w:sz w:val="16"/>
                <w:szCs w:val="16"/>
                <w:lang w:val="fr-FR"/>
              </w:rPr>
            </w:pPr>
            <w:r w:rsidRPr="000C6FB5">
              <w:rPr>
                <w:sz w:val="16"/>
                <w:szCs w:val="16"/>
                <w:lang w:val="fr-FR"/>
              </w:rPr>
              <w:t>En ligne</w:t>
            </w:r>
          </w:p>
        </w:tc>
        <w:tc>
          <w:tcPr>
            <w:tcW w:w="3959" w:type="dxa"/>
          </w:tcPr>
          <w:p w:rsidR="000C6FB5" w:rsidRPr="000C6FB5" w:rsidRDefault="000C6FB5" w:rsidP="00AA577D">
            <w:pPr>
              <w:pStyle w:val="TableParagraph"/>
              <w:ind w:left="0"/>
              <w:rPr>
                <w:sz w:val="16"/>
                <w:szCs w:val="16"/>
                <w:lang w:val="fr-FR"/>
              </w:rPr>
            </w:pPr>
            <w:r w:rsidRPr="000C6FB5">
              <w:rPr>
                <w:sz w:val="16"/>
                <w:szCs w:val="16"/>
                <w:lang w:val="fr-FR"/>
              </w:rPr>
              <w:t>Examen pour la protection des variétés végétales – pommier</w:t>
            </w:r>
          </w:p>
        </w:tc>
        <w:tc>
          <w:tcPr>
            <w:tcW w:w="2278" w:type="dxa"/>
          </w:tcPr>
          <w:p w:rsidR="000C6FB5" w:rsidRPr="000C6FB5" w:rsidRDefault="000C6FB5" w:rsidP="00AA577D">
            <w:pPr>
              <w:pStyle w:val="TableParagraph"/>
              <w:ind w:left="0"/>
              <w:rPr>
                <w:sz w:val="16"/>
                <w:szCs w:val="16"/>
                <w:lang w:val="fr-FR"/>
              </w:rPr>
            </w:pPr>
            <w:r w:rsidRPr="000C6FB5">
              <w:rPr>
                <w:sz w:val="16"/>
                <w:szCs w:val="16"/>
                <w:lang w:val="fr-FR"/>
              </w:rPr>
              <w:t>Ouzbékistan</w:t>
            </w:r>
          </w:p>
          <w:p w:rsidR="000C6FB5" w:rsidRPr="000C6FB5" w:rsidRDefault="000C6FB5" w:rsidP="00AA577D">
            <w:pPr>
              <w:pStyle w:val="TableParagraph"/>
              <w:ind w:left="0"/>
              <w:rPr>
                <w:sz w:val="16"/>
                <w:szCs w:val="16"/>
                <w:lang w:val="fr-FR"/>
              </w:rPr>
            </w:pPr>
            <w:r w:rsidRPr="000C6FB5">
              <w:rPr>
                <w:sz w:val="16"/>
                <w:szCs w:val="16"/>
                <w:lang w:val="fr-FR"/>
              </w:rPr>
              <w:t>(10 participants)</w:t>
            </w:r>
          </w:p>
        </w:tc>
      </w:tr>
    </w:tbl>
    <w:p w:rsidR="000C6FB5" w:rsidRPr="00845C1F" w:rsidRDefault="000C6FB5" w:rsidP="000C6FB5"/>
    <w:p w:rsidR="000C6FB5" w:rsidRPr="00845C1F" w:rsidRDefault="000C6FB5" w:rsidP="000C6FB5"/>
    <w:p w:rsidR="000C6FB5" w:rsidRPr="00845C1F" w:rsidRDefault="000C6FB5" w:rsidP="000C6FB5">
      <w:pPr>
        <w:keepNext/>
      </w:pPr>
      <w:r w:rsidRPr="00845C1F">
        <w:t xml:space="preserve">II. </w:t>
      </w:r>
      <w:r w:rsidRPr="00845C1F">
        <w:tab/>
        <w:t>AUTRES ÉLÉMENTS NOUVEAUX PRÉSENTANT UN INTÉRÊT POUR L’UPOV</w:t>
      </w:r>
    </w:p>
    <w:p w:rsidR="000C6FB5" w:rsidRPr="00845C1F" w:rsidRDefault="000C6FB5" w:rsidP="000C6FB5">
      <w:pPr>
        <w:keepNext/>
      </w:pPr>
    </w:p>
    <w:p w:rsidR="000C6FB5" w:rsidRPr="00845C1F" w:rsidRDefault="000C6FB5" w:rsidP="000C6FB5">
      <w:pPr>
        <w:pStyle w:val="ListParagraph"/>
        <w:keepNext/>
        <w:ind w:left="567"/>
        <w:rPr>
          <w:lang w:val="fr-CH"/>
        </w:rPr>
      </w:pPr>
      <w:r w:rsidRPr="00845C1F">
        <w:rPr>
          <w:lang w:val="fr-CH"/>
        </w:rPr>
        <w:t>Aucun élément nouveau.</w:t>
      </w:r>
    </w:p>
    <w:p w:rsidR="000C6FB5" w:rsidRPr="00845C1F" w:rsidRDefault="000C6FB5" w:rsidP="000C6FB5">
      <w:pPr>
        <w:keepNext/>
        <w:rPr>
          <w:lang w:val="fr-CH"/>
        </w:rPr>
      </w:pPr>
    </w:p>
    <w:p w:rsidR="00845D57" w:rsidRPr="00EB57D6" w:rsidRDefault="00845D57" w:rsidP="00845D57">
      <w:pPr>
        <w:jc w:val="left"/>
      </w:pPr>
    </w:p>
    <w:p w:rsidR="00845D57" w:rsidRPr="00EB57D6" w:rsidRDefault="00845D57" w:rsidP="000C6FB5">
      <w:pPr>
        <w:jc w:val="right"/>
      </w:pPr>
      <w:r w:rsidRPr="00EB57D6">
        <w:t>[L’annexe II suit]</w:t>
      </w:r>
    </w:p>
    <w:p w:rsidR="00845D57" w:rsidRPr="00EB57D6" w:rsidRDefault="00845D57" w:rsidP="00845D57">
      <w:pPr>
        <w:jc w:val="left"/>
        <w:sectPr w:rsidR="00845D57" w:rsidRPr="00EB57D6" w:rsidSect="000C6FB5">
          <w:headerReference w:type="default" r:id="rId10"/>
          <w:pgSz w:w="11907" w:h="16840" w:code="9"/>
          <w:pgMar w:top="510" w:right="1134" w:bottom="993"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II</w:t>
      </w:r>
    </w:p>
    <w:p w:rsidR="00845D57" w:rsidRPr="00EB57D6" w:rsidRDefault="00845D57" w:rsidP="00845D57">
      <w:pPr>
        <w:jc w:val="center"/>
      </w:pPr>
    </w:p>
    <w:p w:rsidR="00845D57" w:rsidRPr="00EB57D6" w:rsidRDefault="00845D57" w:rsidP="00845D57">
      <w:pPr>
        <w:jc w:val="center"/>
      </w:pPr>
    </w:p>
    <w:p w:rsidR="00D203BE" w:rsidRPr="00EB57D6" w:rsidRDefault="007B4801" w:rsidP="00D203BE">
      <w:pPr>
        <w:jc w:val="center"/>
      </w:pPr>
      <w:r>
        <w:t>BRÉSIL</w:t>
      </w:r>
    </w:p>
    <w:p w:rsidR="00D203BE" w:rsidRPr="00EB57D6" w:rsidRDefault="00D203BE" w:rsidP="00D203BE"/>
    <w:p w:rsidR="00D203BE" w:rsidRPr="00EB57D6" w:rsidRDefault="00D203BE" w:rsidP="00D203BE"/>
    <w:p w:rsidR="000C03ED" w:rsidRPr="00C46339" w:rsidRDefault="000C03ED" w:rsidP="000C03ED">
      <w:pPr>
        <w:rPr>
          <w:rFonts w:cs="Arial"/>
        </w:rPr>
      </w:pPr>
      <w:r w:rsidRPr="00C46339">
        <w:rPr>
          <w:rFonts w:cs="Arial"/>
        </w:rPr>
        <w:t>I.</w:t>
      </w:r>
      <w:r w:rsidRPr="00C46339">
        <w:rPr>
          <w:rFonts w:cs="Arial"/>
        </w:rPr>
        <w:tab/>
        <w:t>PROTECTION DES OBTENTIONS VÉGÉTALES</w:t>
      </w:r>
    </w:p>
    <w:p w:rsidR="000C03ED" w:rsidRPr="00C46339" w:rsidRDefault="000C03ED" w:rsidP="000C03ED">
      <w:pPr>
        <w:rPr>
          <w:rFonts w:cs="Arial"/>
        </w:rPr>
      </w:pPr>
    </w:p>
    <w:p w:rsidR="000C03ED" w:rsidRPr="00C46339" w:rsidRDefault="000C03ED" w:rsidP="000C03ED">
      <w:pPr>
        <w:tabs>
          <w:tab w:val="left" w:pos="426"/>
          <w:tab w:val="left" w:pos="1276"/>
        </w:tabs>
      </w:pPr>
      <w:r w:rsidRPr="00C46339">
        <w:t>1.</w:t>
      </w:r>
      <w:r w:rsidRPr="00C46339">
        <w:tab/>
      </w:r>
      <w:r w:rsidRPr="00C46339">
        <w:rPr>
          <w:u w:val="single"/>
        </w:rPr>
        <w:t>Situation dans le domaine législatif</w:t>
      </w:r>
    </w:p>
    <w:p w:rsidR="000C03ED" w:rsidRPr="00C46339" w:rsidRDefault="000C03ED" w:rsidP="000C03ED"/>
    <w:p w:rsidR="000C03ED" w:rsidRPr="00C46339" w:rsidRDefault="000C03ED" w:rsidP="000C03ED">
      <w:r w:rsidRPr="00C46339">
        <w:tab/>
        <w:t>1.1</w:t>
      </w:r>
      <w:r w:rsidRPr="00C46339">
        <w:tab/>
        <w:t>Modifications de la loi et des textes d’application : aucun élément nouveau.</w:t>
      </w:r>
    </w:p>
    <w:p w:rsidR="000C03ED" w:rsidRPr="00C46339" w:rsidRDefault="000C03ED" w:rsidP="000C03ED"/>
    <w:p w:rsidR="000C03ED" w:rsidRPr="00C46339" w:rsidRDefault="000C03ED" w:rsidP="000C03ED">
      <w:r w:rsidRPr="00C46339">
        <w:tab/>
        <w:t>1.2</w:t>
      </w:r>
      <w:r w:rsidRPr="00C46339">
        <w:tab/>
        <w:t>Extension de la protection à d’autres genres et espèces (effectuée ou prévue) :</w:t>
      </w:r>
    </w:p>
    <w:p w:rsidR="000C03ED" w:rsidRPr="00C46339" w:rsidRDefault="000C03ED" w:rsidP="000C03ED">
      <w:pPr>
        <w:rPr>
          <w:rFonts w:cs="Arial"/>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gridCol w:w="2269"/>
      </w:tblGrid>
      <w:tr w:rsidR="000C03ED" w:rsidRPr="00C46339" w:rsidTr="00AA577D">
        <w:trPr>
          <w:trHeight w:val="314"/>
        </w:trPr>
        <w:tc>
          <w:tcPr>
            <w:tcW w:w="6805" w:type="dxa"/>
            <w:vAlign w:val="center"/>
          </w:tcPr>
          <w:p w:rsidR="000C03ED" w:rsidRPr="00C46339" w:rsidRDefault="000C03ED" w:rsidP="00AA577D">
            <w:pPr>
              <w:pStyle w:val="TableParagraph"/>
              <w:spacing w:line="292" w:lineRule="exact"/>
              <w:ind w:left="3011" w:right="3005"/>
              <w:rPr>
                <w:b/>
                <w:sz w:val="20"/>
                <w:szCs w:val="20"/>
                <w:lang w:val="fr-FR"/>
              </w:rPr>
            </w:pPr>
            <w:r w:rsidRPr="00C46339">
              <w:rPr>
                <w:b/>
                <w:sz w:val="20"/>
                <w:szCs w:val="20"/>
                <w:lang w:val="fr-FR"/>
              </w:rPr>
              <w:t>Espèce</w:t>
            </w:r>
          </w:p>
        </w:tc>
        <w:tc>
          <w:tcPr>
            <w:tcW w:w="2269" w:type="dxa"/>
            <w:vAlign w:val="center"/>
          </w:tcPr>
          <w:p w:rsidR="000C03ED" w:rsidRPr="00C46339" w:rsidRDefault="000C03ED" w:rsidP="00AA577D">
            <w:pPr>
              <w:pStyle w:val="TableParagraph"/>
              <w:spacing w:line="292" w:lineRule="exact"/>
              <w:ind w:left="530"/>
              <w:rPr>
                <w:b/>
                <w:sz w:val="20"/>
                <w:szCs w:val="20"/>
                <w:lang w:val="fr-FR"/>
              </w:rPr>
            </w:pPr>
            <w:r w:rsidRPr="00C46339">
              <w:rPr>
                <w:b/>
                <w:sz w:val="20"/>
                <w:szCs w:val="20"/>
                <w:lang w:val="fr-FR"/>
              </w:rPr>
              <w:t>CODE UPOV</w:t>
            </w:r>
          </w:p>
        </w:tc>
      </w:tr>
      <w:tr w:rsidR="000C03ED" w:rsidRPr="00C46339" w:rsidTr="00AA577D">
        <w:trPr>
          <w:trHeight w:val="316"/>
        </w:trPr>
        <w:tc>
          <w:tcPr>
            <w:tcW w:w="6805" w:type="dxa"/>
            <w:vAlign w:val="center"/>
          </w:tcPr>
          <w:p w:rsidR="000C03ED" w:rsidRPr="00C46339" w:rsidRDefault="000C03ED" w:rsidP="00AA577D">
            <w:pPr>
              <w:pStyle w:val="TableParagraph"/>
              <w:spacing w:before="1"/>
              <w:ind w:left="69"/>
              <w:rPr>
                <w:sz w:val="20"/>
                <w:szCs w:val="20"/>
                <w:lang w:val="de-CH"/>
              </w:rPr>
            </w:pPr>
            <w:proofErr w:type="spellStart"/>
            <w:r w:rsidRPr="00C46339">
              <w:rPr>
                <w:i/>
                <w:sz w:val="20"/>
                <w:szCs w:val="20"/>
                <w:lang w:val="de-CH"/>
              </w:rPr>
              <w:t>Adenium</w:t>
            </w:r>
            <w:proofErr w:type="spellEnd"/>
            <w:r w:rsidRPr="00C46339">
              <w:rPr>
                <w:i/>
                <w:sz w:val="20"/>
                <w:szCs w:val="20"/>
                <w:lang w:val="de-CH"/>
              </w:rPr>
              <w:t xml:space="preserve"> </w:t>
            </w:r>
            <w:proofErr w:type="spellStart"/>
            <w:r w:rsidRPr="00C46339">
              <w:rPr>
                <w:i/>
                <w:sz w:val="20"/>
                <w:szCs w:val="20"/>
                <w:lang w:val="de-CH"/>
              </w:rPr>
              <w:t>obesum</w:t>
            </w:r>
            <w:proofErr w:type="spellEnd"/>
            <w:r w:rsidRPr="00C46339">
              <w:rPr>
                <w:i/>
                <w:sz w:val="20"/>
                <w:szCs w:val="20"/>
                <w:lang w:val="de-CH"/>
              </w:rPr>
              <w:t xml:space="preserve"> </w:t>
            </w:r>
            <w:r w:rsidRPr="00C46339">
              <w:rPr>
                <w:sz w:val="20"/>
                <w:szCs w:val="20"/>
                <w:lang w:val="de-CH"/>
              </w:rPr>
              <w:t>(</w:t>
            </w:r>
            <w:proofErr w:type="spellStart"/>
            <w:r w:rsidRPr="00C46339">
              <w:rPr>
                <w:sz w:val="20"/>
                <w:szCs w:val="20"/>
                <w:lang w:val="de-CH"/>
              </w:rPr>
              <w:t>Forssk</w:t>
            </w:r>
            <w:proofErr w:type="spellEnd"/>
            <w:r w:rsidRPr="00C46339">
              <w:rPr>
                <w:sz w:val="20"/>
                <w:szCs w:val="20"/>
                <w:lang w:val="de-CH"/>
              </w:rPr>
              <w:t xml:space="preserve">.) </w:t>
            </w:r>
            <w:proofErr w:type="spellStart"/>
            <w:r w:rsidRPr="00C46339">
              <w:rPr>
                <w:sz w:val="20"/>
                <w:szCs w:val="20"/>
                <w:lang w:val="de-CH"/>
              </w:rPr>
              <w:t>Roem.</w:t>
            </w:r>
            <w:proofErr w:type="spellEnd"/>
            <w:r w:rsidRPr="00C46339">
              <w:rPr>
                <w:sz w:val="20"/>
                <w:szCs w:val="20"/>
                <w:lang w:val="de-CH"/>
              </w:rPr>
              <w:t xml:space="preserve"> et Schult.].</w:t>
            </w:r>
          </w:p>
        </w:tc>
        <w:tc>
          <w:tcPr>
            <w:tcW w:w="2269" w:type="dxa"/>
            <w:vAlign w:val="center"/>
          </w:tcPr>
          <w:p w:rsidR="000C03ED" w:rsidRPr="00C46339" w:rsidRDefault="000C03ED" w:rsidP="00AA577D">
            <w:pPr>
              <w:pStyle w:val="TableParagraph"/>
              <w:spacing w:before="23" w:line="273" w:lineRule="exact"/>
              <w:ind w:left="69"/>
              <w:rPr>
                <w:sz w:val="20"/>
                <w:szCs w:val="20"/>
                <w:lang w:val="fr-FR"/>
              </w:rPr>
            </w:pPr>
            <w:r w:rsidRPr="00C46339">
              <w:rPr>
                <w:sz w:val="20"/>
                <w:szCs w:val="20"/>
                <w:lang w:val="fr-FR"/>
              </w:rPr>
              <w:t>ADENI_OBE</w:t>
            </w:r>
          </w:p>
        </w:tc>
      </w:tr>
      <w:tr w:rsidR="000C03ED" w:rsidRPr="00C46339" w:rsidTr="00AA577D">
        <w:trPr>
          <w:trHeight w:val="313"/>
        </w:trPr>
        <w:tc>
          <w:tcPr>
            <w:tcW w:w="6805" w:type="dxa"/>
            <w:vAlign w:val="center"/>
          </w:tcPr>
          <w:p w:rsidR="000C03ED" w:rsidRPr="00C46339" w:rsidRDefault="000C03ED" w:rsidP="00AA577D">
            <w:pPr>
              <w:pStyle w:val="TableParagraph"/>
              <w:spacing w:line="292" w:lineRule="exact"/>
              <w:ind w:left="69"/>
              <w:rPr>
                <w:sz w:val="20"/>
                <w:szCs w:val="20"/>
                <w:lang w:val="fr-FR"/>
              </w:rPr>
            </w:pPr>
            <w:r w:rsidRPr="00C46339">
              <w:rPr>
                <w:i/>
                <w:sz w:val="20"/>
                <w:szCs w:val="20"/>
                <w:lang w:val="fr-FR"/>
              </w:rPr>
              <w:t xml:space="preserve">Bouvardia </w:t>
            </w:r>
            <w:proofErr w:type="spellStart"/>
            <w:r w:rsidRPr="00C46339">
              <w:rPr>
                <w:sz w:val="20"/>
                <w:szCs w:val="20"/>
                <w:lang w:val="fr-FR"/>
              </w:rPr>
              <w:t>Salisb</w:t>
            </w:r>
            <w:proofErr w:type="spellEnd"/>
            <w:r w:rsidRPr="00C46339">
              <w:rPr>
                <w:sz w:val="20"/>
                <w:szCs w:val="20"/>
                <w:lang w:val="fr-FR"/>
              </w:rPr>
              <w:t>.</w:t>
            </w:r>
          </w:p>
        </w:tc>
        <w:tc>
          <w:tcPr>
            <w:tcW w:w="2269" w:type="dxa"/>
            <w:vAlign w:val="center"/>
          </w:tcPr>
          <w:p w:rsidR="000C03ED" w:rsidRPr="00C46339" w:rsidRDefault="000C03ED" w:rsidP="00AA577D">
            <w:pPr>
              <w:pStyle w:val="TableParagraph"/>
              <w:spacing w:line="292" w:lineRule="exact"/>
              <w:ind w:left="69"/>
              <w:rPr>
                <w:sz w:val="20"/>
                <w:szCs w:val="20"/>
                <w:lang w:val="fr-FR"/>
              </w:rPr>
            </w:pPr>
            <w:r w:rsidRPr="00C46339">
              <w:rPr>
                <w:sz w:val="20"/>
                <w:szCs w:val="20"/>
                <w:lang w:val="fr-FR"/>
              </w:rPr>
              <w:t>BOUVA</w:t>
            </w:r>
          </w:p>
        </w:tc>
      </w:tr>
      <w:tr w:rsidR="000C03ED" w:rsidRPr="00C46339" w:rsidTr="00AA577D">
        <w:trPr>
          <w:trHeight w:val="316"/>
        </w:trPr>
        <w:tc>
          <w:tcPr>
            <w:tcW w:w="6805" w:type="dxa"/>
            <w:vAlign w:val="center"/>
          </w:tcPr>
          <w:p w:rsidR="000C03ED" w:rsidRPr="00C46339" w:rsidRDefault="000C03ED" w:rsidP="00AA577D">
            <w:pPr>
              <w:pStyle w:val="TableParagraph"/>
              <w:spacing w:line="292" w:lineRule="exact"/>
              <w:ind w:left="69"/>
              <w:rPr>
                <w:sz w:val="20"/>
                <w:szCs w:val="20"/>
                <w:lang w:val="fr-FR"/>
              </w:rPr>
            </w:pPr>
            <w:proofErr w:type="spellStart"/>
            <w:r w:rsidRPr="00C46339">
              <w:rPr>
                <w:i/>
                <w:sz w:val="20"/>
                <w:szCs w:val="20"/>
                <w:lang w:val="fr-FR"/>
              </w:rPr>
              <w:t>Eriobotrya</w:t>
            </w:r>
            <w:proofErr w:type="spellEnd"/>
            <w:r w:rsidRPr="00C46339">
              <w:rPr>
                <w:i/>
                <w:sz w:val="20"/>
                <w:szCs w:val="20"/>
                <w:lang w:val="fr-FR"/>
              </w:rPr>
              <w:t xml:space="preserve"> </w:t>
            </w:r>
            <w:proofErr w:type="spellStart"/>
            <w:r w:rsidRPr="00C46339">
              <w:rPr>
                <w:i/>
                <w:sz w:val="20"/>
                <w:szCs w:val="20"/>
                <w:lang w:val="fr-FR"/>
              </w:rPr>
              <w:t>japonica</w:t>
            </w:r>
            <w:proofErr w:type="spellEnd"/>
            <w:r w:rsidRPr="00C46339">
              <w:rPr>
                <w:i/>
                <w:sz w:val="20"/>
                <w:szCs w:val="20"/>
                <w:lang w:val="fr-FR"/>
              </w:rPr>
              <w:t xml:space="preserve"> </w:t>
            </w:r>
            <w:r w:rsidRPr="00C46339">
              <w:rPr>
                <w:sz w:val="20"/>
                <w:szCs w:val="20"/>
                <w:lang w:val="fr-FR"/>
              </w:rPr>
              <w:t>(</w:t>
            </w:r>
            <w:proofErr w:type="spellStart"/>
            <w:r w:rsidRPr="00C46339">
              <w:rPr>
                <w:sz w:val="20"/>
                <w:szCs w:val="20"/>
                <w:lang w:val="fr-FR"/>
              </w:rPr>
              <w:t>Thunb</w:t>
            </w:r>
            <w:proofErr w:type="spellEnd"/>
            <w:r w:rsidRPr="00C46339">
              <w:rPr>
                <w:sz w:val="20"/>
                <w:szCs w:val="20"/>
                <w:lang w:val="fr-FR"/>
              </w:rPr>
              <w:t xml:space="preserve">.) </w:t>
            </w:r>
            <w:proofErr w:type="spellStart"/>
            <w:r w:rsidRPr="00C46339">
              <w:rPr>
                <w:sz w:val="20"/>
                <w:szCs w:val="20"/>
                <w:lang w:val="fr-FR"/>
              </w:rPr>
              <w:t>Lindl</w:t>
            </w:r>
            <w:proofErr w:type="spellEnd"/>
            <w:r w:rsidRPr="00C46339">
              <w:rPr>
                <w:sz w:val="20"/>
                <w:szCs w:val="20"/>
                <w:lang w:val="fr-FR"/>
              </w:rPr>
              <w:t>.</w:t>
            </w:r>
          </w:p>
        </w:tc>
        <w:tc>
          <w:tcPr>
            <w:tcW w:w="2269" w:type="dxa"/>
            <w:vAlign w:val="center"/>
          </w:tcPr>
          <w:p w:rsidR="000C03ED" w:rsidRPr="00C46339" w:rsidRDefault="000C03ED" w:rsidP="00AA577D">
            <w:pPr>
              <w:pStyle w:val="TableParagraph"/>
              <w:spacing w:line="292" w:lineRule="exact"/>
              <w:ind w:left="69"/>
              <w:rPr>
                <w:sz w:val="20"/>
                <w:szCs w:val="20"/>
                <w:lang w:val="fr-FR"/>
              </w:rPr>
            </w:pPr>
            <w:r w:rsidRPr="00C46339">
              <w:rPr>
                <w:sz w:val="20"/>
                <w:szCs w:val="20"/>
                <w:lang w:val="fr-FR"/>
              </w:rPr>
              <w:t>ERIOB_JAP</w:t>
            </w:r>
          </w:p>
        </w:tc>
      </w:tr>
      <w:tr w:rsidR="000C03ED" w:rsidRPr="00C46339" w:rsidTr="00AA577D">
        <w:trPr>
          <w:trHeight w:val="313"/>
        </w:trPr>
        <w:tc>
          <w:tcPr>
            <w:tcW w:w="6805" w:type="dxa"/>
            <w:vAlign w:val="center"/>
          </w:tcPr>
          <w:p w:rsidR="000C03ED" w:rsidRPr="00C46339" w:rsidRDefault="000C03ED" w:rsidP="00AA577D">
            <w:pPr>
              <w:pStyle w:val="TableParagraph"/>
              <w:spacing w:line="292" w:lineRule="exact"/>
              <w:ind w:left="69"/>
              <w:rPr>
                <w:sz w:val="20"/>
                <w:szCs w:val="20"/>
                <w:lang w:val="fr-FR"/>
              </w:rPr>
            </w:pPr>
            <w:r w:rsidRPr="00C46339">
              <w:rPr>
                <w:i/>
                <w:sz w:val="20"/>
                <w:szCs w:val="20"/>
                <w:lang w:val="fr-FR"/>
              </w:rPr>
              <w:t xml:space="preserve">Macadamia </w:t>
            </w:r>
            <w:proofErr w:type="spellStart"/>
            <w:r w:rsidRPr="00C46339">
              <w:rPr>
                <w:i/>
                <w:sz w:val="20"/>
                <w:szCs w:val="20"/>
                <w:lang w:val="fr-FR"/>
              </w:rPr>
              <w:t>integrifolia</w:t>
            </w:r>
            <w:proofErr w:type="spellEnd"/>
            <w:r w:rsidRPr="00C46339">
              <w:rPr>
                <w:i/>
                <w:sz w:val="20"/>
                <w:szCs w:val="20"/>
                <w:lang w:val="fr-FR"/>
              </w:rPr>
              <w:t xml:space="preserve"> </w:t>
            </w:r>
            <w:r w:rsidRPr="00C46339">
              <w:rPr>
                <w:sz w:val="20"/>
                <w:szCs w:val="20"/>
                <w:lang w:val="fr-FR"/>
              </w:rPr>
              <w:t xml:space="preserve">Maiden et </w:t>
            </w:r>
            <w:proofErr w:type="spellStart"/>
            <w:r w:rsidRPr="00C46339">
              <w:rPr>
                <w:sz w:val="20"/>
                <w:szCs w:val="20"/>
                <w:lang w:val="fr-FR"/>
              </w:rPr>
              <w:t>Betche</w:t>
            </w:r>
            <w:proofErr w:type="spellEnd"/>
          </w:p>
        </w:tc>
        <w:tc>
          <w:tcPr>
            <w:tcW w:w="2269" w:type="dxa"/>
            <w:vAlign w:val="center"/>
          </w:tcPr>
          <w:p w:rsidR="000C03ED" w:rsidRPr="00C46339" w:rsidRDefault="000C03ED" w:rsidP="00AA577D">
            <w:pPr>
              <w:pStyle w:val="TableParagraph"/>
              <w:spacing w:line="292" w:lineRule="exact"/>
              <w:ind w:left="69"/>
              <w:rPr>
                <w:sz w:val="20"/>
                <w:szCs w:val="20"/>
                <w:lang w:val="fr-FR"/>
              </w:rPr>
            </w:pPr>
            <w:r w:rsidRPr="00C46339">
              <w:rPr>
                <w:sz w:val="20"/>
                <w:szCs w:val="20"/>
                <w:lang w:val="fr-FR"/>
              </w:rPr>
              <w:t>MACAD_INT</w:t>
            </w:r>
          </w:p>
        </w:tc>
      </w:tr>
      <w:tr w:rsidR="000C03ED" w:rsidRPr="00C46339" w:rsidTr="00AA577D">
        <w:trPr>
          <w:trHeight w:val="314"/>
        </w:trPr>
        <w:tc>
          <w:tcPr>
            <w:tcW w:w="6805" w:type="dxa"/>
            <w:vAlign w:val="center"/>
          </w:tcPr>
          <w:p w:rsidR="000C03ED" w:rsidRPr="00C46339" w:rsidRDefault="000C03ED" w:rsidP="00AA577D">
            <w:pPr>
              <w:pStyle w:val="TableParagraph"/>
              <w:spacing w:line="292" w:lineRule="exact"/>
              <w:ind w:left="69"/>
              <w:rPr>
                <w:sz w:val="20"/>
                <w:szCs w:val="20"/>
                <w:lang w:val="fr-FR"/>
              </w:rPr>
            </w:pPr>
            <w:r w:rsidRPr="00C46339">
              <w:rPr>
                <w:i/>
                <w:sz w:val="20"/>
                <w:szCs w:val="20"/>
                <w:lang w:val="fr-FR"/>
              </w:rPr>
              <w:t xml:space="preserve">Macadamia </w:t>
            </w:r>
            <w:proofErr w:type="spellStart"/>
            <w:r w:rsidRPr="00C46339">
              <w:rPr>
                <w:i/>
                <w:sz w:val="20"/>
                <w:szCs w:val="20"/>
                <w:lang w:val="fr-FR"/>
              </w:rPr>
              <w:t>tetraphylla</w:t>
            </w:r>
            <w:proofErr w:type="spellEnd"/>
            <w:r w:rsidRPr="00C46339">
              <w:rPr>
                <w:i/>
                <w:sz w:val="20"/>
                <w:szCs w:val="20"/>
                <w:lang w:val="fr-FR"/>
              </w:rPr>
              <w:t xml:space="preserve"> </w:t>
            </w:r>
            <w:r w:rsidRPr="00C46339">
              <w:rPr>
                <w:sz w:val="20"/>
                <w:szCs w:val="20"/>
                <w:lang w:val="fr-FR"/>
              </w:rPr>
              <w:t>L</w:t>
            </w:r>
            <w:r w:rsidRPr="00C46339">
              <w:rPr>
                <w:i/>
                <w:sz w:val="20"/>
                <w:lang w:val="fr-FR"/>
              </w:rPr>
              <w:t>.</w:t>
            </w:r>
            <w:r w:rsidRPr="00C46339">
              <w:rPr>
                <w:i/>
                <w:sz w:val="20"/>
                <w:szCs w:val="20"/>
                <w:lang w:val="fr-FR"/>
              </w:rPr>
              <w:t> </w:t>
            </w:r>
            <w:r w:rsidRPr="00C46339">
              <w:rPr>
                <w:sz w:val="20"/>
                <w:szCs w:val="20"/>
                <w:lang w:val="fr-FR"/>
              </w:rPr>
              <w:t>Johns.</w:t>
            </w:r>
          </w:p>
        </w:tc>
        <w:tc>
          <w:tcPr>
            <w:tcW w:w="2269" w:type="dxa"/>
            <w:vAlign w:val="center"/>
          </w:tcPr>
          <w:p w:rsidR="000C03ED" w:rsidRPr="00C46339" w:rsidRDefault="000C03ED" w:rsidP="00AA577D">
            <w:pPr>
              <w:pStyle w:val="TableParagraph"/>
              <w:spacing w:line="292" w:lineRule="exact"/>
              <w:ind w:left="69"/>
              <w:rPr>
                <w:sz w:val="20"/>
                <w:szCs w:val="20"/>
                <w:lang w:val="fr-FR"/>
              </w:rPr>
            </w:pPr>
            <w:r w:rsidRPr="00C46339">
              <w:rPr>
                <w:sz w:val="20"/>
                <w:szCs w:val="20"/>
                <w:lang w:val="fr-FR"/>
              </w:rPr>
              <w:t>MACAD_TET</w:t>
            </w:r>
          </w:p>
        </w:tc>
      </w:tr>
      <w:tr w:rsidR="000C03ED" w:rsidRPr="00C46339" w:rsidTr="00AA577D">
        <w:trPr>
          <w:trHeight w:val="316"/>
        </w:trPr>
        <w:tc>
          <w:tcPr>
            <w:tcW w:w="6805" w:type="dxa"/>
            <w:vAlign w:val="center"/>
          </w:tcPr>
          <w:p w:rsidR="000C03ED" w:rsidRPr="00C46339" w:rsidRDefault="000C03ED" w:rsidP="00AA577D">
            <w:pPr>
              <w:pStyle w:val="TableParagraph"/>
              <w:spacing w:before="1"/>
              <w:ind w:left="69"/>
              <w:rPr>
                <w:sz w:val="20"/>
                <w:szCs w:val="20"/>
                <w:lang w:val="fr-FR"/>
              </w:rPr>
            </w:pPr>
            <w:proofErr w:type="spellStart"/>
            <w:r w:rsidRPr="00C46339">
              <w:rPr>
                <w:i/>
                <w:sz w:val="20"/>
                <w:szCs w:val="20"/>
                <w:lang w:val="fr-FR"/>
              </w:rPr>
              <w:t>Ononis</w:t>
            </w:r>
            <w:proofErr w:type="spellEnd"/>
            <w:r w:rsidRPr="00C46339">
              <w:rPr>
                <w:i/>
                <w:sz w:val="20"/>
                <w:szCs w:val="20"/>
                <w:lang w:val="fr-FR"/>
              </w:rPr>
              <w:t xml:space="preserve"> </w:t>
            </w:r>
            <w:proofErr w:type="spellStart"/>
            <w:r w:rsidRPr="00C46339">
              <w:rPr>
                <w:i/>
                <w:sz w:val="20"/>
                <w:szCs w:val="20"/>
                <w:lang w:val="fr-FR"/>
              </w:rPr>
              <w:t>alopecuroides</w:t>
            </w:r>
            <w:proofErr w:type="spellEnd"/>
            <w:r w:rsidRPr="00C46339">
              <w:rPr>
                <w:i/>
                <w:sz w:val="20"/>
                <w:szCs w:val="20"/>
                <w:lang w:val="fr-FR"/>
              </w:rPr>
              <w:t xml:space="preserve"> </w:t>
            </w:r>
            <w:r w:rsidRPr="00C46339">
              <w:rPr>
                <w:sz w:val="20"/>
                <w:szCs w:val="20"/>
                <w:lang w:val="fr-FR"/>
              </w:rPr>
              <w:t>L.</w:t>
            </w:r>
          </w:p>
        </w:tc>
        <w:tc>
          <w:tcPr>
            <w:tcW w:w="2269" w:type="dxa"/>
            <w:vAlign w:val="center"/>
          </w:tcPr>
          <w:p w:rsidR="000C03ED" w:rsidRPr="00C46339" w:rsidRDefault="000C03ED" w:rsidP="00AA577D">
            <w:pPr>
              <w:pStyle w:val="TableParagraph"/>
              <w:spacing w:before="1"/>
              <w:ind w:left="69"/>
              <w:rPr>
                <w:sz w:val="20"/>
                <w:szCs w:val="20"/>
                <w:lang w:val="fr-FR"/>
              </w:rPr>
            </w:pPr>
            <w:r w:rsidRPr="00C46339">
              <w:rPr>
                <w:sz w:val="20"/>
                <w:szCs w:val="20"/>
                <w:lang w:val="fr-FR"/>
              </w:rPr>
              <w:t>ONONI_ALO</w:t>
            </w:r>
          </w:p>
        </w:tc>
      </w:tr>
      <w:tr w:rsidR="000C03ED" w:rsidRPr="00C46339" w:rsidTr="00AA577D">
        <w:trPr>
          <w:trHeight w:val="313"/>
        </w:trPr>
        <w:tc>
          <w:tcPr>
            <w:tcW w:w="6805" w:type="dxa"/>
            <w:vAlign w:val="center"/>
          </w:tcPr>
          <w:p w:rsidR="000C03ED" w:rsidRPr="00C46339" w:rsidRDefault="000C03ED" w:rsidP="00AA577D">
            <w:pPr>
              <w:pStyle w:val="TableParagraph"/>
              <w:spacing w:line="292" w:lineRule="exact"/>
              <w:ind w:left="69"/>
              <w:rPr>
                <w:sz w:val="20"/>
                <w:szCs w:val="20"/>
                <w:lang w:val="fr-FR"/>
              </w:rPr>
            </w:pPr>
            <w:proofErr w:type="spellStart"/>
            <w:r w:rsidRPr="00C46339">
              <w:rPr>
                <w:i/>
                <w:sz w:val="20"/>
                <w:szCs w:val="20"/>
                <w:lang w:val="fr-FR"/>
              </w:rPr>
              <w:t>Linum</w:t>
            </w:r>
            <w:proofErr w:type="spellEnd"/>
            <w:r w:rsidRPr="00C46339">
              <w:rPr>
                <w:i/>
                <w:sz w:val="20"/>
                <w:szCs w:val="20"/>
                <w:lang w:val="fr-FR"/>
              </w:rPr>
              <w:t xml:space="preserve"> </w:t>
            </w:r>
            <w:proofErr w:type="spellStart"/>
            <w:r w:rsidRPr="00C46339">
              <w:rPr>
                <w:i/>
                <w:sz w:val="20"/>
                <w:szCs w:val="20"/>
                <w:lang w:val="fr-FR"/>
              </w:rPr>
              <w:t>usitatissimum</w:t>
            </w:r>
            <w:proofErr w:type="spellEnd"/>
            <w:r w:rsidRPr="00C46339">
              <w:rPr>
                <w:i/>
                <w:sz w:val="20"/>
                <w:szCs w:val="20"/>
                <w:lang w:val="fr-FR"/>
              </w:rPr>
              <w:t xml:space="preserve"> </w:t>
            </w:r>
            <w:r w:rsidRPr="00C46339">
              <w:rPr>
                <w:sz w:val="20"/>
                <w:szCs w:val="20"/>
                <w:lang w:val="fr-FR"/>
              </w:rPr>
              <w:t>L.</w:t>
            </w:r>
          </w:p>
        </w:tc>
        <w:tc>
          <w:tcPr>
            <w:tcW w:w="2269" w:type="dxa"/>
            <w:vAlign w:val="center"/>
          </w:tcPr>
          <w:p w:rsidR="000C03ED" w:rsidRPr="00C46339" w:rsidRDefault="000C03ED" w:rsidP="00AA577D">
            <w:pPr>
              <w:pStyle w:val="TableParagraph"/>
              <w:spacing w:line="292" w:lineRule="exact"/>
              <w:ind w:left="69"/>
              <w:rPr>
                <w:sz w:val="20"/>
                <w:szCs w:val="20"/>
                <w:lang w:val="fr-FR"/>
              </w:rPr>
            </w:pPr>
            <w:hyperlink r:id="rId11">
              <w:r w:rsidRPr="00C46339">
                <w:rPr>
                  <w:sz w:val="20"/>
                  <w:szCs w:val="20"/>
                  <w:u w:val="single"/>
                  <w:lang w:val="fr-FR"/>
                </w:rPr>
                <w:t>LINUM_USI</w:t>
              </w:r>
            </w:hyperlink>
          </w:p>
        </w:tc>
      </w:tr>
      <w:tr w:rsidR="000C03ED" w:rsidRPr="00C46339" w:rsidTr="00AA577D">
        <w:trPr>
          <w:trHeight w:val="316"/>
        </w:trPr>
        <w:tc>
          <w:tcPr>
            <w:tcW w:w="6805" w:type="dxa"/>
            <w:vAlign w:val="center"/>
          </w:tcPr>
          <w:p w:rsidR="000C03ED" w:rsidRPr="00C46339" w:rsidRDefault="000C03ED" w:rsidP="00AA577D">
            <w:pPr>
              <w:pStyle w:val="TableParagraph"/>
              <w:spacing w:line="292" w:lineRule="exact"/>
              <w:ind w:left="69"/>
              <w:rPr>
                <w:sz w:val="20"/>
                <w:szCs w:val="20"/>
                <w:lang w:val="fr-FR"/>
              </w:rPr>
            </w:pPr>
            <w:proofErr w:type="spellStart"/>
            <w:r w:rsidRPr="00C46339">
              <w:rPr>
                <w:i/>
                <w:sz w:val="20"/>
                <w:szCs w:val="20"/>
                <w:lang w:val="fr-FR"/>
              </w:rPr>
              <w:t>Solanum</w:t>
            </w:r>
            <w:proofErr w:type="spellEnd"/>
            <w:r w:rsidRPr="00C46339">
              <w:rPr>
                <w:i/>
                <w:sz w:val="20"/>
                <w:szCs w:val="20"/>
                <w:lang w:val="fr-FR"/>
              </w:rPr>
              <w:t xml:space="preserve"> </w:t>
            </w:r>
            <w:proofErr w:type="spellStart"/>
            <w:r w:rsidRPr="00C46339">
              <w:rPr>
                <w:i/>
                <w:sz w:val="20"/>
                <w:szCs w:val="20"/>
                <w:lang w:val="fr-FR"/>
              </w:rPr>
              <w:t>glaucophyllum</w:t>
            </w:r>
            <w:proofErr w:type="spellEnd"/>
            <w:r w:rsidRPr="00C46339">
              <w:rPr>
                <w:i/>
                <w:sz w:val="20"/>
                <w:szCs w:val="20"/>
                <w:lang w:val="fr-FR"/>
              </w:rPr>
              <w:t xml:space="preserve"> </w:t>
            </w:r>
            <w:proofErr w:type="spellStart"/>
            <w:r w:rsidRPr="00C46339">
              <w:rPr>
                <w:sz w:val="20"/>
                <w:szCs w:val="20"/>
                <w:lang w:val="fr-FR"/>
              </w:rPr>
              <w:t>Desf</w:t>
            </w:r>
            <w:proofErr w:type="spellEnd"/>
          </w:p>
        </w:tc>
        <w:tc>
          <w:tcPr>
            <w:tcW w:w="2269" w:type="dxa"/>
            <w:vAlign w:val="center"/>
          </w:tcPr>
          <w:p w:rsidR="000C03ED" w:rsidRPr="00C46339" w:rsidRDefault="000C03ED" w:rsidP="00AA577D">
            <w:pPr>
              <w:pStyle w:val="TableParagraph"/>
              <w:spacing w:line="292" w:lineRule="exact"/>
              <w:ind w:left="69"/>
              <w:rPr>
                <w:sz w:val="20"/>
                <w:szCs w:val="20"/>
                <w:lang w:val="fr-FR"/>
              </w:rPr>
            </w:pPr>
            <w:r w:rsidRPr="00C46339">
              <w:rPr>
                <w:sz w:val="20"/>
                <w:szCs w:val="20"/>
                <w:lang w:val="fr-FR"/>
              </w:rPr>
              <w:t>SOLAN_GLA</w:t>
            </w:r>
          </w:p>
        </w:tc>
      </w:tr>
    </w:tbl>
    <w:p w:rsidR="000C03ED" w:rsidRPr="00C46339" w:rsidRDefault="000C03ED" w:rsidP="000C03ED">
      <w:pPr>
        <w:rPr>
          <w:rFonts w:cs="Arial"/>
        </w:rPr>
      </w:pPr>
    </w:p>
    <w:p w:rsidR="000C03ED" w:rsidRPr="00C46339" w:rsidRDefault="000C03ED" w:rsidP="000C03ED">
      <w:pPr>
        <w:rPr>
          <w:rFonts w:cs="Arial"/>
        </w:rPr>
      </w:pPr>
    </w:p>
    <w:p w:rsidR="000C03ED" w:rsidRPr="00C46339" w:rsidRDefault="000C03ED" w:rsidP="000C03ED">
      <w:r w:rsidRPr="00C46339">
        <w:t>1.3</w:t>
      </w:r>
      <w:r w:rsidRPr="00C46339">
        <w:tab/>
        <w:t>Jurisprudence : aucun élément nouveau.</w:t>
      </w:r>
    </w:p>
    <w:p w:rsidR="000C03ED" w:rsidRPr="00C46339" w:rsidRDefault="000C03ED" w:rsidP="000C03ED"/>
    <w:p w:rsidR="000C03ED" w:rsidRPr="00C46339" w:rsidRDefault="000C03ED" w:rsidP="000C03ED">
      <w:pPr>
        <w:jc w:val="left"/>
      </w:pPr>
    </w:p>
    <w:p w:rsidR="000C03ED" w:rsidRPr="00C46339" w:rsidRDefault="000C03ED" w:rsidP="000C03ED">
      <w:pPr>
        <w:rPr>
          <w:u w:val="single"/>
        </w:rPr>
      </w:pPr>
      <w:r w:rsidRPr="00C46339">
        <w:t>2.</w:t>
      </w:r>
      <w:r w:rsidRPr="00C46339">
        <w:tab/>
      </w:r>
      <w:r w:rsidRPr="00C46339">
        <w:rPr>
          <w:u w:val="single"/>
        </w:rPr>
        <w:t>Coopération en matière d’examen</w:t>
      </w:r>
    </w:p>
    <w:p w:rsidR="000C03ED" w:rsidRPr="00C46339" w:rsidRDefault="000C03ED" w:rsidP="000C03ED"/>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94"/>
        <w:gridCol w:w="1560"/>
        <w:gridCol w:w="2269"/>
      </w:tblGrid>
      <w:tr w:rsidR="000C03ED" w:rsidRPr="00C46339" w:rsidTr="00AA577D">
        <w:trPr>
          <w:trHeight w:val="611"/>
        </w:trPr>
        <w:tc>
          <w:tcPr>
            <w:tcW w:w="5094" w:type="dxa"/>
          </w:tcPr>
          <w:p w:rsidR="000C03ED" w:rsidRPr="00C46339" w:rsidRDefault="000C03ED" w:rsidP="00AA577D">
            <w:pPr>
              <w:pStyle w:val="TableParagraph"/>
              <w:spacing w:before="186"/>
              <w:ind w:left="1784" w:right="1770"/>
              <w:jc w:val="center"/>
              <w:rPr>
                <w:b/>
                <w:sz w:val="20"/>
                <w:szCs w:val="20"/>
                <w:lang w:val="fr-FR"/>
              </w:rPr>
            </w:pPr>
            <w:r w:rsidRPr="00C46339">
              <w:rPr>
                <w:b/>
                <w:sz w:val="20"/>
                <w:szCs w:val="20"/>
                <w:lang w:val="fr-FR"/>
              </w:rPr>
              <w:t>Nom botanique</w:t>
            </w:r>
          </w:p>
        </w:tc>
        <w:tc>
          <w:tcPr>
            <w:tcW w:w="1560" w:type="dxa"/>
          </w:tcPr>
          <w:p w:rsidR="000C03ED" w:rsidRPr="00C46339" w:rsidRDefault="000C03ED" w:rsidP="00AA577D">
            <w:pPr>
              <w:pStyle w:val="TableParagraph"/>
              <w:spacing w:before="186"/>
              <w:ind w:left="179"/>
              <w:rPr>
                <w:b/>
                <w:sz w:val="20"/>
                <w:szCs w:val="20"/>
                <w:lang w:val="fr-FR"/>
              </w:rPr>
            </w:pPr>
            <w:r w:rsidRPr="00C46339">
              <w:rPr>
                <w:b/>
                <w:sz w:val="20"/>
                <w:szCs w:val="20"/>
                <w:lang w:val="fr-FR"/>
              </w:rPr>
              <w:t>CODE UPOV</w:t>
            </w:r>
          </w:p>
        </w:tc>
        <w:tc>
          <w:tcPr>
            <w:tcW w:w="2269" w:type="dxa"/>
          </w:tcPr>
          <w:p w:rsidR="000C03ED" w:rsidRPr="00C46339" w:rsidRDefault="000C03ED" w:rsidP="00AA577D">
            <w:pPr>
              <w:pStyle w:val="TableParagraph"/>
              <w:spacing w:before="71"/>
              <w:ind w:left="253" w:right="220" w:firstLine="7"/>
              <w:rPr>
                <w:b/>
                <w:sz w:val="20"/>
                <w:szCs w:val="20"/>
                <w:lang w:val="fr-FR"/>
              </w:rPr>
            </w:pPr>
            <w:r w:rsidRPr="00C46339">
              <w:rPr>
                <w:b/>
                <w:sz w:val="20"/>
                <w:szCs w:val="20"/>
                <w:lang w:val="fr-FR"/>
              </w:rPr>
              <w:t>Service fournisseur/service examinateur</w:t>
            </w:r>
          </w:p>
        </w:tc>
      </w:tr>
      <w:tr w:rsidR="000C03ED" w:rsidRPr="00C46339" w:rsidTr="00AA577D">
        <w:trPr>
          <w:trHeight w:val="256"/>
        </w:trPr>
        <w:tc>
          <w:tcPr>
            <w:tcW w:w="5094" w:type="dxa"/>
            <w:shd w:val="clear" w:color="auto" w:fill="E4B8B7"/>
          </w:tcPr>
          <w:p w:rsidR="000C03ED" w:rsidRPr="00C46339" w:rsidRDefault="000C03ED" w:rsidP="00AA577D">
            <w:pPr>
              <w:pStyle w:val="TableParagraph"/>
              <w:spacing w:line="227" w:lineRule="exact"/>
              <w:ind w:left="79"/>
              <w:rPr>
                <w:sz w:val="20"/>
                <w:szCs w:val="20"/>
                <w:lang w:val="fr-FR"/>
              </w:rPr>
            </w:pPr>
            <w:proofErr w:type="spellStart"/>
            <w:r w:rsidRPr="00C46339">
              <w:rPr>
                <w:sz w:val="20"/>
                <w:szCs w:val="20"/>
                <w:lang w:val="fr-FR"/>
              </w:rPr>
              <w:t>Petunia</w:t>
            </w:r>
            <w:proofErr w:type="spellEnd"/>
            <w:r w:rsidRPr="00C46339">
              <w:rPr>
                <w:sz w:val="20"/>
                <w:szCs w:val="20"/>
                <w:lang w:val="fr-FR"/>
              </w:rPr>
              <w:t xml:space="preserve"> </w:t>
            </w:r>
            <w:proofErr w:type="spellStart"/>
            <w:r w:rsidRPr="00C46339">
              <w:rPr>
                <w:sz w:val="20"/>
                <w:szCs w:val="20"/>
                <w:lang w:val="fr-FR"/>
              </w:rPr>
              <w:t>Juss</w:t>
            </w:r>
            <w:proofErr w:type="spellEnd"/>
            <w:r w:rsidRPr="00C46339">
              <w:rPr>
                <w:sz w:val="20"/>
                <w:szCs w:val="20"/>
                <w:lang w:val="fr-FR"/>
              </w:rPr>
              <w:t>.</w:t>
            </w:r>
          </w:p>
        </w:tc>
        <w:tc>
          <w:tcPr>
            <w:tcW w:w="1560" w:type="dxa"/>
            <w:shd w:val="clear" w:color="auto" w:fill="E4B8B7"/>
          </w:tcPr>
          <w:p w:rsidR="000C03ED" w:rsidRPr="00C46339" w:rsidRDefault="000C03ED" w:rsidP="00AA577D">
            <w:pPr>
              <w:pStyle w:val="TableParagraph"/>
              <w:spacing w:line="227" w:lineRule="exact"/>
              <w:ind w:left="73"/>
              <w:rPr>
                <w:sz w:val="20"/>
                <w:szCs w:val="20"/>
                <w:lang w:val="fr-FR"/>
              </w:rPr>
            </w:pPr>
            <w:r w:rsidRPr="00C46339">
              <w:rPr>
                <w:sz w:val="20"/>
                <w:szCs w:val="20"/>
                <w:lang w:val="fr-FR"/>
              </w:rPr>
              <w:t>PETUN</w:t>
            </w:r>
          </w:p>
        </w:tc>
        <w:tc>
          <w:tcPr>
            <w:tcW w:w="2269" w:type="dxa"/>
            <w:shd w:val="clear" w:color="auto" w:fill="E4B8B7"/>
          </w:tcPr>
          <w:p w:rsidR="000C03ED" w:rsidRPr="00C46339" w:rsidRDefault="000C03ED" w:rsidP="00AA577D">
            <w:pPr>
              <w:pStyle w:val="TableParagraph"/>
              <w:spacing w:line="227" w:lineRule="exact"/>
              <w:rPr>
                <w:sz w:val="20"/>
                <w:szCs w:val="20"/>
                <w:lang w:val="fr-FR"/>
              </w:rPr>
            </w:pPr>
            <w:r w:rsidRPr="00C46339">
              <w:rPr>
                <w:sz w:val="20"/>
                <w:szCs w:val="20"/>
                <w:lang w:val="fr-FR"/>
              </w:rPr>
              <w:t xml:space="preserve"> OCVV</w:t>
            </w:r>
          </w:p>
        </w:tc>
      </w:tr>
      <w:tr w:rsidR="000C03ED" w:rsidRPr="00C46339" w:rsidTr="00AA577D">
        <w:trPr>
          <w:trHeight w:val="263"/>
        </w:trPr>
        <w:tc>
          <w:tcPr>
            <w:tcW w:w="5094" w:type="dxa"/>
            <w:shd w:val="clear" w:color="auto" w:fill="E4B8B7"/>
          </w:tcPr>
          <w:p w:rsidR="000C03ED" w:rsidRPr="00C46339" w:rsidRDefault="000C03ED" w:rsidP="00AA577D">
            <w:pPr>
              <w:pStyle w:val="TableParagraph"/>
              <w:spacing w:line="244" w:lineRule="exact"/>
              <w:ind w:left="79"/>
              <w:rPr>
                <w:sz w:val="20"/>
                <w:szCs w:val="20"/>
                <w:lang w:val="es-AR"/>
              </w:rPr>
            </w:pPr>
            <w:proofErr w:type="spellStart"/>
            <w:r w:rsidRPr="00C46339">
              <w:rPr>
                <w:i/>
                <w:sz w:val="20"/>
                <w:szCs w:val="20"/>
                <w:lang w:val="es-AR"/>
              </w:rPr>
              <w:t>Zamioculcas</w:t>
            </w:r>
            <w:proofErr w:type="spellEnd"/>
            <w:r w:rsidRPr="00C46339">
              <w:rPr>
                <w:i/>
                <w:sz w:val="20"/>
                <w:szCs w:val="20"/>
                <w:lang w:val="es-AR"/>
              </w:rPr>
              <w:t xml:space="preserve"> </w:t>
            </w:r>
            <w:proofErr w:type="spellStart"/>
            <w:r w:rsidRPr="00C46339">
              <w:rPr>
                <w:i/>
                <w:sz w:val="20"/>
                <w:szCs w:val="20"/>
                <w:lang w:val="es-AR"/>
              </w:rPr>
              <w:t>zamiifolia</w:t>
            </w:r>
            <w:proofErr w:type="spellEnd"/>
            <w:r w:rsidRPr="00C46339">
              <w:rPr>
                <w:i/>
                <w:sz w:val="20"/>
                <w:szCs w:val="20"/>
                <w:lang w:val="es-AR"/>
              </w:rPr>
              <w:t xml:space="preserve"> </w:t>
            </w:r>
            <w:r w:rsidRPr="00C46339">
              <w:rPr>
                <w:sz w:val="20"/>
                <w:szCs w:val="20"/>
                <w:lang w:val="es-AR"/>
              </w:rPr>
              <w:t>(</w:t>
            </w:r>
            <w:proofErr w:type="spellStart"/>
            <w:r w:rsidRPr="00C46339">
              <w:rPr>
                <w:sz w:val="20"/>
                <w:szCs w:val="20"/>
                <w:lang w:val="es-AR"/>
              </w:rPr>
              <w:t>Lodd</w:t>
            </w:r>
            <w:proofErr w:type="spellEnd"/>
            <w:r w:rsidRPr="00C46339">
              <w:rPr>
                <w:sz w:val="20"/>
                <w:szCs w:val="20"/>
                <w:lang w:val="es-AR"/>
              </w:rPr>
              <w:t xml:space="preserve">. et al.) </w:t>
            </w:r>
            <w:proofErr w:type="spellStart"/>
            <w:r w:rsidRPr="00C46339">
              <w:rPr>
                <w:sz w:val="20"/>
                <w:szCs w:val="20"/>
                <w:lang w:val="es-AR"/>
              </w:rPr>
              <w:t>Engl</w:t>
            </w:r>
            <w:proofErr w:type="spellEnd"/>
          </w:p>
        </w:tc>
        <w:tc>
          <w:tcPr>
            <w:tcW w:w="1560" w:type="dxa"/>
            <w:shd w:val="clear" w:color="auto" w:fill="E4B8B7"/>
          </w:tcPr>
          <w:p w:rsidR="000C03ED" w:rsidRPr="00C46339" w:rsidRDefault="000C03ED" w:rsidP="00AA577D">
            <w:pPr>
              <w:pStyle w:val="TableParagraph"/>
              <w:spacing w:line="227" w:lineRule="exact"/>
              <w:ind w:left="73"/>
              <w:rPr>
                <w:sz w:val="20"/>
                <w:szCs w:val="20"/>
                <w:lang w:val="fr-FR"/>
              </w:rPr>
            </w:pPr>
            <w:r w:rsidRPr="00C46339">
              <w:rPr>
                <w:sz w:val="20"/>
                <w:szCs w:val="20"/>
                <w:lang w:val="fr-FR"/>
              </w:rPr>
              <w:t>ZAMIO</w:t>
            </w:r>
          </w:p>
        </w:tc>
        <w:tc>
          <w:tcPr>
            <w:tcW w:w="2269" w:type="dxa"/>
            <w:shd w:val="clear" w:color="auto" w:fill="E4B8B7"/>
          </w:tcPr>
          <w:p w:rsidR="000C03ED" w:rsidRPr="00C46339" w:rsidRDefault="000C03ED" w:rsidP="00AA577D">
            <w:pPr>
              <w:pStyle w:val="TableParagraph"/>
              <w:spacing w:line="227" w:lineRule="exact"/>
              <w:rPr>
                <w:sz w:val="20"/>
                <w:szCs w:val="20"/>
                <w:lang w:val="fr-FR"/>
              </w:rPr>
            </w:pPr>
            <w:r w:rsidRPr="00C46339">
              <w:rPr>
                <w:sz w:val="20"/>
                <w:szCs w:val="20"/>
                <w:lang w:val="fr-FR"/>
              </w:rPr>
              <w:t xml:space="preserve"> OCVV</w:t>
            </w:r>
          </w:p>
        </w:tc>
      </w:tr>
      <w:tr w:rsidR="000C03ED" w:rsidRPr="00C46339" w:rsidTr="00AA577D">
        <w:trPr>
          <w:trHeight w:val="242"/>
        </w:trPr>
        <w:tc>
          <w:tcPr>
            <w:tcW w:w="5094" w:type="dxa"/>
            <w:shd w:val="clear" w:color="auto" w:fill="E4B8B7"/>
          </w:tcPr>
          <w:p w:rsidR="000C03ED" w:rsidRPr="00C46339" w:rsidRDefault="000C03ED" w:rsidP="00AA577D">
            <w:pPr>
              <w:pStyle w:val="TableParagraph"/>
              <w:spacing w:line="223" w:lineRule="exact"/>
              <w:ind w:left="79"/>
              <w:rPr>
                <w:sz w:val="20"/>
                <w:szCs w:val="20"/>
                <w:lang w:val="fr-FR"/>
              </w:rPr>
            </w:pPr>
            <w:r w:rsidRPr="00C46339">
              <w:rPr>
                <w:sz w:val="20"/>
                <w:szCs w:val="20"/>
                <w:lang w:val="fr-FR"/>
              </w:rPr>
              <w:t>Rosa L.</w:t>
            </w:r>
          </w:p>
        </w:tc>
        <w:tc>
          <w:tcPr>
            <w:tcW w:w="1560" w:type="dxa"/>
            <w:shd w:val="clear" w:color="auto" w:fill="E4B8B7"/>
          </w:tcPr>
          <w:p w:rsidR="000C03ED" w:rsidRPr="00C46339" w:rsidRDefault="000C03ED" w:rsidP="00AA577D">
            <w:pPr>
              <w:pStyle w:val="TableParagraph"/>
              <w:spacing w:line="223" w:lineRule="exact"/>
              <w:ind w:left="73"/>
              <w:rPr>
                <w:sz w:val="20"/>
                <w:szCs w:val="20"/>
                <w:lang w:val="fr-FR"/>
              </w:rPr>
            </w:pPr>
            <w:r w:rsidRPr="00C46339">
              <w:rPr>
                <w:sz w:val="20"/>
                <w:szCs w:val="20"/>
                <w:lang w:val="fr-FR"/>
              </w:rPr>
              <w:t>ROSAA</w:t>
            </w:r>
          </w:p>
        </w:tc>
        <w:tc>
          <w:tcPr>
            <w:tcW w:w="2269" w:type="dxa"/>
            <w:shd w:val="clear" w:color="auto" w:fill="E4B8B7"/>
          </w:tcPr>
          <w:p w:rsidR="000C03ED" w:rsidRPr="00C46339" w:rsidRDefault="000C03ED" w:rsidP="00AA577D">
            <w:pPr>
              <w:pStyle w:val="TableParagraph"/>
              <w:spacing w:line="223" w:lineRule="exact"/>
              <w:ind w:left="73"/>
              <w:rPr>
                <w:sz w:val="20"/>
                <w:szCs w:val="20"/>
                <w:lang w:val="fr-FR"/>
              </w:rPr>
            </w:pPr>
            <w:r w:rsidRPr="00C46339">
              <w:rPr>
                <w:sz w:val="20"/>
                <w:szCs w:val="20"/>
                <w:lang w:val="fr-FR"/>
              </w:rPr>
              <w:t>Pays-Bas</w:t>
            </w:r>
          </w:p>
        </w:tc>
      </w:tr>
      <w:tr w:rsidR="000C03ED" w:rsidRPr="00C46339" w:rsidTr="00AA577D">
        <w:trPr>
          <w:trHeight w:val="268"/>
        </w:trPr>
        <w:tc>
          <w:tcPr>
            <w:tcW w:w="5094" w:type="dxa"/>
            <w:shd w:val="clear" w:color="auto" w:fill="E4B8B7"/>
          </w:tcPr>
          <w:p w:rsidR="000C03ED" w:rsidRPr="00C46339" w:rsidRDefault="000C03ED" w:rsidP="00AA577D">
            <w:pPr>
              <w:pStyle w:val="TableParagraph"/>
              <w:spacing w:before="8"/>
              <w:ind w:left="79"/>
              <w:rPr>
                <w:sz w:val="20"/>
                <w:szCs w:val="20"/>
                <w:lang w:val="fr-FR"/>
              </w:rPr>
            </w:pPr>
            <w:proofErr w:type="spellStart"/>
            <w:r w:rsidRPr="00C46339">
              <w:rPr>
                <w:sz w:val="20"/>
                <w:szCs w:val="20"/>
                <w:lang w:val="fr-FR"/>
              </w:rPr>
              <w:t>Solanum</w:t>
            </w:r>
            <w:proofErr w:type="spellEnd"/>
            <w:r w:rsidRPr="00C46339">
              <w:rPr>
                <w:sz w:val="20"/>
                <w:szCs w:val="20"/>
                <w:lang w:val="fr-FR"/>
              </w:rPr>
              <w:t xml:space="preserve"> </w:t>
            </w:r>
            <w:proofErr w:type="spellStart"/>
            <w:r w:rsidRPr="00C46339">
              <w:rPr>
                <w:sz w:val="20"/>
                <w:szCs w:val="20"/>
                <w:lang w:val="fr-FR"/>
              </w:rPr>
              <w:t>tuberosum</w:t>
            </w:r>
            <w:proofErr w:type="spellEnd"/>
            <w:r w:rsidRPr="00C46339">
              <w:rPr>
                <w:sz w:val="20"/>
                <w:szCs w:val="20"/>
                <w:lang w:val="fr-FR"/>
              </w:rPr>
              <w:t xml:space="preserve"> L.</w:t>
            </w:r>
          </w:p>
        </w:tc>
        <w:tc>
          <w:tcPr>
            <w:tcW w:w="1560" w:type="dxa"/>
            <w:shd w:val="clear" w:color="auto" w:fill="E4B8B7"/>
          </w:tcPr>
          <w:p w:rsidR="000C03ED" w:rsidRPr="00C46339" w:rsidRDefault="000C03ED" w:rsidP="00AA577D">
            <w:pPr>
              <w:pStyle w:val="TableParagraph"/>
              <w:spacing w:before="8"/>
              <w:ind w:left="73"/>
              <w:rPr>
                <w:sz w:val="20"/>
                <w:szCs w:val="20"/>
                <w:lang w:val="fr-FR"/>
              </w:rPr>
            </w:pPr>
            <w:r w:rsidRPr="00C46339">
              <w:rPr>
                <w:sz w:val="20"/>
                <w:szCs w:val="20"/>
                <w:lang w:val="fr-FR"/>
              </w:rPr>
              <w:t>SOLAN_TUB</w:t>
            </w:r>
          </w:p>
        </w:tc>
        <w:tc>
          <w:tcPr>
            <w:tcW w:w="2269" w:type="dxa"/>
            <w:shd w:val="clear" w:color="auto" w:fill="E4B8B7"/>
          </w:tcPr>
          <w:p w:rsidR="000C03ED" w:rsidRPr="00C46339" w:rsidRDefault="000C03ED" w:rsidP="00AA577D">
            <w:pPr>
              <w:pStyle w:val="TableParagraph"/>
              <w:spacing w:before="8"/>
              <w:ind w:left="73"/>
              <w:rPr>
                <w:sz w:val="20"/>
                <w:szCs w:val="20"/>
                <w:lang w:val="fr-FR"/>
              </w:rPr>
            </w:pPr>
            <w:r w:rsidRPr="00C46339">
              <w:rPr>
                <w:sz w:val="20"/>
                <w:szCs w:val="20"/>
                <w:lang w:val="fr-FR"/>
              </w:rPr>
              <w:t>Australie</w:t>
            </w:r>
          </w:p>
        </w:tc>
      </w:tr>
    </w:tbl>
    <w:p w:rsidR="000C03ED" w:rsidRPr="00C46339" w:rsidRDefault="000C03ED" w:rsidP="000C03ED">
      <w:pPr>
        <w:rPr>
          <w:rFonts w:cs="Arial"/>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tblGrid>
      <w:tr w:rsidR="000C03ED" w:rsidRPr="005C1178" w:rsidTr="00AA577D">
        <w:trPr>
          <w:trHeight w:val="230"/>
        </w:trPr>
        <w:tc>
          <w:tcPr>
            <w:tcW w:w="4249" w:type="dxa"/>
            <w:shd w:val="clear" w:color="auto" w:fill="D5E2BB"/>
          </w:tcPr>
          <w:p w:rsidR="000C03ED" w:rsidRPr="00C46339" w:rsidRDefault="000C03ED" w:rsidP="00AA577D">
            <w:pPr>
              <w:pStyle w:val="TableParagraph"/>
              <w:spacing w:line="210" w:lineRule="exact"/>
              <w:ind w:left="107"/>
              <w:rPr>
                <w:sz w:val="20"/>
                <w:szCs w:val="20"/>
                <w:lang w:val="fr-FR"/>
              </w:rPr>
            </w:pPr>
            <w:r w:rsidRPr="00C46339">
              <w:rPr>
                <w:sz w:val="20"/>
                <w:szCs w:val="20"/>
                <w:lang w:val="fr-FR"/>
              </w:rPr>
              <w:t>Accords de coopération en matière d’examen</w:t>
            </w:r>
          </w:p>
        </w:tc>
      </w:tr>
      <w:tr w:rsidR="000C03ED" w:rsidRPr="005C1178" w:rsidTr="00AA577D">
        <w:trPr>
          <w:trHeight w:val="230"/>
        </w:trPr>
        <w:tc>
          <w:tcPr>
            <w:tcW w:w="4249" w:type="dxa"/>
            <w:shd w:val="clear" w:color="auto" w:fill="E4B8B7"/>
          </w:tcPr>
          <w:p w:rsidR="000C03ED" w:rsidRPr="00C46339" w:rsidRDefault="000C03ED" w:rsidP="00AA577D">
            <w:pPr>
              <w:pStyle w:val="TableParagraph"/>
              <w:spacing w:line="210" w:lineRule="exact"/>
              <w:ind w:left="107"/>
              <w:rPr>
                <w:sz w:val="20"/>
                <w:szCs w:val="20"/>
                <w:lang w:val="fr-FR"/>
              </w:rPr>
            </w:pPr>
            <w:r w:rsidRPr="00C46339">
              <w:rPr>
                <w:sz w:val="20"/>
                <w:szCs w:val="20"/>
                <w:lang w:val="fr-FR"/>
              </w:rPr>
              <w:t>Utilisation des rapports d’examen DHS existants</w:t>
            </w:r>
          </w:p>
        </w:tc>
      </w:tr>
    </w:tbl>
    <w:p w:rsidR="000C03ED" w:rsidRPr="00C46339" w:rsidRDefault="000C03ED" w:rsidP="000C03ED">
      <w:pPr>
        <w:spacing w:before="9"/>
        <w:rPr>
          <w:rFonts w:cs="Arial"/>
        </w:rPr>
      </w:pPr>
    </w:p>
    <w:p w:rsidR="000C03ED" w:rsidRPr="00C46339" w:rsidRDefault="000C03ED" w:rsidP="000C03ED">
      <w:pPr>
        <w:rPr>
          <w:rFonts w:cs="Arial"/>
        </w:rPr>
      </w:pPr>
    </w:p>
    <w:p w:rsidR="000C03ED" w:rsidRPr="00C46339" w:rsidRDefault="000C03ED" w:rsidP="000C03ED">
      <w:r w:rsidRPr="00C46339">
        <w:t>3.</w:t>
      </w:r>
      <w:r w:rsidRPr="00C46339">
        <w:tab/>
      </w:r>
      <w:r w:rsidRPr="00C46339">
        <w:rPr>
          <w:u w:val="single"/>
        </w:rPr>
        <w:t>Situation dans le domaine administratif</w:t>
      </w:r>
      <w:r w:rsidRPr="00C46339">
        <w:t> : aucun élément nouveau.</w:t>
      </w:r>
    </w:p>
    <w:p w:rsidR="000C03ED" w:rsidRPr="00C46339" w:rsidRDefault="000C03ED" w:rsidP="000C03ED"/>
    <w:p w:rsidR="000C03ED" w:rsidRPr="00C46339" w:rsidRDefault="000C03ED" w:rsidP="000C03ED"/>
    <w:p w:rsidR="000C03ED" w:rsidRPr="00C46339" w:rsidRDefault="000C03ED" w:rsidP="000C03ED">
      <w:r w:rsidRPr="00C46339">
        <w:t>4.</w:t>
      </w:r>
      <w:r w:rsidRPr="00C46339">
        <w:tab/>
      </w:r>
      <w:r w:rsidRPr="00C46339">
        <w:rPr>
          <w:u w:val="single"/>
        </w:rPr>
        <w:t>Situation dans le domaine technique</w:t>
      </w:r>
      <w:r w:rsidRPr="00C46339">
        <w:t> : aucun élément nouveau.</w:t>
      </w:r>
    </w:p>
    <w:p w:rsidR="000C03ED" w:rsidRPr="00C46339" w:rsidRDefault="000C03ED" w:rsidP="000C03ED"/>
    <w:p w:rsidR="000C03ED" w:rsidRPr="00C46339" w:rsidRDefault="000C03ED" w:rsidP="000C03ED"/>
    <w:p w:rsidR="000C03ED" w:rsidRPr="00C46339" w:rsidRDefault="000C03ED" w:rsidP="000C03ED">
      <w:pPr>
        <w:jc w:val="left"/>
      </w:pPr>
      <w:r w:rsidRPr="00C46339">
        <w:br w:type="page"/>
      </w:r>
    </w:p>
    <w:p w:rsidR="000C03ED" w:rsidRPr="00C46339" w:rsidRDefault="000C03ED" w:rsidP="000C03ED">
      <w:pPr>
        <w:rPr>
          <w:u w:val="single"/>
        </w:rPr>
      </w:pPr>
      <w:r w:rsidRPr="00C46339">
        <w:lastRenderedPageBreak/>
        <w:t>5.</w:t>
      </w:r>
      <w:r w:rsidRPr="00C46339">
        <w:tab/>
      </w:r>
      <w:r w:rsidRPr="00C46339">
        <w:rPr>
          <w:u w:val="single"/>
        </w:rPr>
        <w:t>Activités de promotion de la protection des obtentions végétales</w:t>
      </w:r>
    </w:p>
    <w:p w:rsidR="000C03ED" w:rsidRPr="00C46339" w:rsidRDefault="000C03ED" w:rsidP="000C03ED">
      <w:pPr>
        <w:rPr>
          <w:sz w:val="16"/>
          <w:szCs w:val="1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245"/>
        <w:gridCol w:w="1165"/>
        <w:gridCol w:w="1276"/>
        <w:gridCol w:w="1276"/>
        <w:gridCol w:w="1558"/>
        <w:gridCol w:w="2269"/>
        <w:gridCol w:w="1134"/>
      </w:tblGrid>
      <w:tr w:rsidR="000C03ED" w:rsidRPr="00C46339" w:rsidTr="001A4833">
        <w:trPr>
          <w:trHeight w:val="621"/>
        </w:trPr>
        <w:tc>
          <w:tcPr>
            <w:tcW w:w="1245" w:type="dxa"/>
          </w:tcPr>
          <w:p w:rsidR="000C03ED" w:rsidRPr="000C03ED" w:rsidRDefault="000C03ED" w:rsidP="00EB653E">
            <w:pPr>
              <w:pStyle w:val="TableParagraph"/>
              <w:ind w:left="0"/>
              <w:rPr>
                <w:sz w:val="16"/>
                <w:szCs w:val="16"/>
                <w:lang w:val="fr-FR"/>
              </w:rPr>
            </w:pPr>
            <w:r w:rsidRPr="000C03ED">
              <w:rPr>
                <w:sz w:val="16"/>
                <w:szCs w:val="16"/>
                <w:lang w:val="fr-FR"/>
              </w:rPr>
              <w:t>Intitulé de l’activité</w:t>
            </w:r>
          </w:p>
        </w:tc>
        <w:tc>
          <w:tcPr>
            <w:tcW w:w="1165" w:type="dxa"/>
          </w:tcPr>
          <w:p w:rsidR="000C03ED" w:rsidRPr="000C03ED" w:rsidRDefault="000C03ED" w:rsidP="00EB653E">
            <w:pPr>
              <w:pStyle w:val="TableParagraph"/>
              <w:ind w:left="0"/>
              <w:rPr>
                <w:sz w:val="16"/>
                <w:szCs w:val="16"/>
                <w:lang w:val="fr-FR"/>
              </w:rPr>
            </w:pPr>
            <w:r w:rsidRPr="000C03ED">
              <w:rPr>
                <w:sz w:val="16"/>
                <w:szCs w:val="16"/>
                <w:lang w:val="fr-FR"/>
              </w:rPr>
              <w:t>Date</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Lieu</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Organisateur(s)</w:t>
            </w:r>
          </w:p>
        </w:tc>
        <w:tc>
          <w:tcPr>
            <w:tcW w:w="1558" w:type="dxa"/>
          </w:tcPr>
          <w:p w:rsidR="000C03ED" w:rsidRPr="000C03ED" w:rsidRDefault="000C03ED" w:rsidP="00EB653E">
            <w:pPr>
              <w:pStyle w:val="TableParagraph"/>
              <w:ind w:left="0"/>
              <w:rPr>
                <w:sz w:val="16"/>
                <w:szCs w:val="16"/>
                <w:lang w:val="fr-FR"/>
              </w:rPr>
            </w:pPr>
            <w:r w:rsidRPr="000C03ED">
              <w:rPr>
                <w:sz w:val="16"/>
                <w:szCs w:val="16"/>
                <w:lang w:val="fr-FR"/>
              </w:rPr>
              <w:t>But de l’activité</w:t>
            </w:r>
          </w:p>
        </w:tc>
        <w:tc>
          <w:tcPr>
            <w:tcW w:w="2269" w:type="dxa"/>
          </w:tcPr>
          <w:p w:rsidR="000C03ED" w:rsidRPr="000C03ED" w:rsidRDefault="000C03ED" w:rsidP="00EB653E">
            <w:pPr>
              <w:pStyle w:val="TableParagraph"/>
              <w:ind w:left="0"/>
              <w:rPr>
                <w:sz w:val="16"/>
                <w:szCs w:val="16"/>
                <w:lang w:val="fr-FR"/>
              </w:rPr>
            </w:pPr>
            <w:r w:rsidRPr="000C03ED">
              <w:rPr>
                <w:sz w:val="16"/>
                <w:szCs w:val="16"/>
                <w:lang w:val="fr-FR"/>
              </w:rPr>
              <w:t>Pays/organisations participants (nombre de participants de chacun d’eux)</w:t>
            </w:r>
          </w:p>
        </w:tc>
        <w:tc>
          <w:tcPr>
            <w:tcW w:w="1134" w:type="dxa"/>
          </w:tcPr>
          <w:p w:rsidR="000C03ED" w:rsidRPr="000C03ED" w:rsidRDefault="000C03ED" w:rsidP="00EB653E">
            <w:pPr>
              <w:pStyle w:val="TableParagraph"/>
              <w:ind w:left="0"/>
              <w:rPr>
                <w:sz w:val="16"/>
                <w:szCs w:val="16"/>
                <w:lang w:val="fr-FR"/>
              </w:rPr>
            </w:pPr>
            <w:r w:rsidRPr="000C03ED">
              <w:rPr>
                <w:sz w:val="16"/>
                <w:szCs w:val="16"/>
                <w:lang w:val="fr-FR"/>
              </w:rPr>
              <w:t>Observations</w:t>
            </w:r>
          </w:p>
        </w:tc>
      </w:tr>
      <w:tr w:rsidR="000C03ED" w:rsidRPr="00C46339" w:rsidTr="001A4833">
        <w:trPr>
          <w:trHeight w:val="1465"/>
        </w:trPr>
        <w:tc>
          <w:tcPr>
            <w:tcW w:w="1245" w:type="dxa"/>
          </w:tcPr>
          <w:p w:rsidR="000C03ED" w:rsidRPr="000C03ED" w:rsidRDefault="000C03ED" w:rsidP="00EB653E">
            <w:pPr>
              <w:pStyle w:val="TableParagraph"/>
              <w:ind w:left="0"/>
              <w:rPr>
                <w:sz w:val="16"/>
                <w:szCs w:val="16"/>
                <w:lang w:val="fr-FR"/>
              </w:rPr>
            </w:pPr>
            <w:r w:rsidRPr="000C03ED">
              <w:rPr>
                <w:sz w:val="16"/>
                <w:szCs w:val="16"/>
                <w:lang w:val="fr-FR"/>
              </w:rPr>
              <w:t>1. La protection des obtentions végétales au Brésil</w:t>
            </w:r>
          </w:p>
        </w:tc>
        <w:tc>
          <w:tcPr>
            <w:tcW w:w="1165" w:type="dxa"/>
          </w:tcPr>
          <w:p w:rsidR="000C03ED" w:rsidRPr="000C03ED" w:rsidRDefault="000C03ED" w:rsidP="00EB653E">
            <w:pPr>
              <w:pStyle w:val="TableParagraph"/>
              <w:ind w:left="0"/>
              <w:rPr>
                <w:sz w:val="16"/>
                <w:szCs w:val="16"/>
                <w:lang w:val="fr-FR"/>
              </w:rPr>
            </w:pPr>
            <w:r w:rsidRPr="000C03ED">
              <w:rPr>
                <w:sz w:val="16"/>
                <w:szCs w:val="16"/>
                <w:lang w:val="fr-FR"/>
              </w:rPr>
              <w:t>1</w:t>
            </w:r>
            <w:r w:rsidR="00EB653E">
              <w:rPr>
                <w:sz w:val="16"/>
                <w:szCs w:val="16"/>
                <w:lang w:val="fr-FR"/>
              </w:rPr>
              <w:t xml:space="preserve">1 novembre </w:t>
            </w:r>
            <w:r w:rsidRPr="000C03ED">
              <w:rPr>
                <w:sz w:val="16"/>
                <w:szCs w:val="16"/>
                <w:lang w:val="fr-FR"/>
              </w:rPr>
              <w:t>2020</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Exposé en ligne (disponible sur YouTube </w:t>
            </w:r>
            <w:hyperlink r:id="rId12">
              <w:r w:rsidRPr="00EB653E">
                <w:rPr>
                  <w:rStyle w:val="Hyperlink"/>
                  <w:sz w:val="16"/>
                </w:rPr>
                <w:t>https://yout</w:t>
              </w:r>
            </w:hyperlink>
            <w:hyperlink r:id="rId13">
              <w:r w:rsidRPr="00EB653E">
                <w:rPr>
                  <w:rStyle w:val="Hyperlink"/>
                  <w:sz w:val="16"/>
                </w:rPr>
                <w:t>ube/S9J5</w:t>
              </w:r>
            </w:hyperlink>
            <w:hyperlink r:id="rId14">
              <w:r w:rsidRPr="00EB653E">
                <w:rPr>
                  <w:rStyle w:val="Hyperlink"/>
                  <w:sz w:val="16"/>
                </w:rPr>
                <w:t>atZWZYo</w:t>
              </w:r>
            </w:hyperlink>
            <w:r w:rsidRPr="00EB653E">
              <w:rPr>
                <w:sz w:val="16"/>
              </w:rPr>
              <w:t>)</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Université fédérale de Paraná</w:t>
            </w:r>
          </w:p>
        </w:tc>
        <w:tc>
          <w:tcPr>
            <w:tcW w:w="1558" w:type="dxa"/>
          </w:tcPr>
          <w:p w:rsidR="000C03ED" w:rsidRPr="000C03ED" w:rsidRDefault="000C03ED" w:rsidP="00EB653E">
            <w:pPr>
              <w:pStyle w:val="TableParagraph"/>
              <w:ind w:left="0"/>
              <w:rPr>
                <w:sz w:val="16"/>
                <w:szCs w:val="16"/>
                <w:lang w:val="fr-FR"/>
              </w:rPr>
            </w:pPr>
            <w:r w:rsidRPr="000C03ED">
              <w:rPr>
                <w:sz w:val="16"/>
                <w:szCs w:val="16"/>
                <w:lang w:val="fr-FR"/>
              </w:rPr>
              <w:t>Cours général sur la gestion de l’innovation avec un module sur la protection des obtentions végétales</w:t>
            </w:r>
          </w:p>
        </w:tc>
        <w:tc>
          <w:tcPr>
            <w:tcW w:w="2269" w:type="dxa"/>
          </w:tcPr>
          <w:p w:rsidR="000C03ED" w:rsidRPr="000C03ED" w:rsidRDefault="000C03ED" w:rsidP="00EB653E">
            <w:pPr>
              <w:pStyle w:val="TableParagraph"/>
              <w:ind w:left="0"/>
              <w:rPr>
                <w:sz w:val="16"/>
                <w:szCs w:val="16"/>
                <w:lang w:val="fr-FR"/>
              </w:rPr>
            </w:pPr>
            <w:r w:rsidRPr="000C03ED">
              <w:rPr>
                <w:sz w:val="16"/>
                <w:szCs w:val="16"/>
                <w:lang w:val="fr-FR"/>
              </w:rPr>
              <w:t>Brésil (806 vues jusqu’au 27 août 2021)</w:t>
            </w:r>
          </w:p>
        </w:tc>
        <w:tc>
          <w:tcPr>
            <w:tcW w:w="1134" w:type="dxa"/>
          </w:tcPr>
          <w:p w:rsidR="000C03ED" w:rsidRPr="000C03ED" w:rsidRDefault="000C03ED" w:rsidP="00EB653E">
            <w:pPr>
              <w:pStyle w:val="TableParagraph"/>
              <w:ind w:left="0"/>
              <w:rPr>
                <w:rFonts w:ascii="Times New Roman"/>
                <w:sz w:val="16"/>
                <w:szCs w:val="16"/>
                <w:lang w:val="fr-FR"/>
              </w:rPr>
            </w:pPr>
          </w:p>
        </w:tc>
      </w:tr>
      <w:tr w:rsidR="000C03ED" w:rsidRPr="00C46339" w:rsidTr="001A4833">
        <w:trPr>
          <w:trHeight w:val="1832"/>
        </w:trPr>
        <w:tc>
          <w:tcPr>
            <w:tcW w:w="1245" w:type="dxa"/>
          </w:tcPr>
          <w:p w:rsidR="000C03ED" w:rsidRPr="000C03ED" w:rsidRDefault="000C03ED" w:rsidP="00EB653E">
            <w:pPr>
              <w:pStyle w:val="TableParagraph"/>
              <w:ind w:left="0"/>
              <w:rPr>
                <w:sz w:val="16"/>
                <w:szCs w:val="16"/>
                <w:lang w:val="fr-FR"/>
              </w:rPr>
            </w:pPr>
            <w:r w:rsidRPr="000C03ED">
              <w:rPr>
                <w:sz w:val="16"/>
                <w:szCs w:val="16"/>
                <w:lang w:val="fr-FR"/>
              </w:rPr>
              <w:t>2. La protection des obtentions végétales au Brésil – Cours d’été de l’OMPI – La propriété intellectuelle pour le secteur agroalimentaire</w:t>
            </w:r>
          </w:p>
        </w:tc>
        <w:tc>
          <w:tcPr>
            <w:tcW w:w="1165" w:type="dxa"/>
          </w:tcPr>
          <w:p w:rsidR="000C03ED" w:rsidRPr="000C03ED" w:rsidRDefault="000C03ED" w:rsidP="00EB653E">
            <w:pPr>
              <w:pStyle w:val="TableParagraph"/>
              <w:ind w:left="0"/>
              <w:rPr>
                <w:sz w:val="16"/>
                <w:szCs w:val="16"/>
                <w:lang w:val="fr-FR"/>
              </w:rPr>
            </w:pPr>
            <w:r w:rsidRPr="000C03ED">
              <w:rPr>
                <w:sz w:val="16"/>
                <w:szCs w:val="16"/>
                <w:lang w:val="fr-FR"/>
              </w:rPr>
              <w:t>14 janvier</w:t>
            </w:r>
            <w:r w:rsidR="00EB653E">
              <w:rPr>
                <w:sz w:val="16"/>
                <w:szCs w:val="16"/>
                <w:lang w:val="fr-FR"/>
              </w:rPr>
              <w:t xml:space="preserve"> </w:t>
            </w:r>
            <w:r w:rsidRPr="000C03ED">
              <w:rPr>
                <w:sz w:val="16"/>
                <w:szCs w:val="16"/>
                <w:lang w:val="fr-FR"/>
              </w:rPr>
              <w:t>2021</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 xml:space="preserve">Exposé en ligne (disponible sur YouTube </w:t>
            </w:r>
            <w:hyperlink r:id="rId15">
              <w:r w:rsidRPr="00EB653E">
                <w:rPr>
                  <w:rStyle w:val="Hyperlink"/>
                  <w:sz w:val="16"/>
                </w:rPr>
                <w:t>https://yout</w:t>
              </w:r>
            </w:hyperlink>
            <w:hyperlink r:id="rId16">
              <w:r w:rsidRPr="00EB653E">
                <w:rPr>
                  <w:rStyle w:val="Hyperlink"/>
                  <w:sz w:val="16"/>
                </w:rPr>
                <w:t>ube/ATgTt</w:t>
              </w:r>
            </w:hyperlink>
            <w:hyperlink r:id="rId17">
              <w:r w:rsidRPr="00EB653E">
                <w:rPr>
                  <w:rStyle w:val="Hyperlink"/>
                  <w:sz w:val="16"/>
                </w:rPr>
                <w:t>FiLAiA</w:t>
              </w:r>
            </w:hyperlink>
            <w:r w:rsidRPr="00EB653E">
              <w:rPr>
                <w:sz w:val="16"/>
              </w:rPr>
              <w:t>)</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INPI (Office des brevets et des marques) Association brésilienne de la propriété intellectuelle (ABPI)</w:t>
            </w:r>
          </w:p>
        </w:tc>
        <w:tc>
          <w:tcPr>
            <w:tcW w:w="1558" w:type="dxa"/>
          </w:tcPr>
          <w:p w:rsidR="000C03ED" w:rsidRPr="000C03ED" w:rsidRDefault="000C03ED" w:rsidP="00EB653E">
            <w:pPr>
              <w:pStyle w:val="TableParagraph"/>
              <w:ind w:left="0"/>
              <w:rPr>
                <w:sz w:val="16"/>
                <w:szCs w:val="16"/>
                <w:lang w:val="fr-FR"/>
              </w:rPr>
            </w:pPr>
            <w:r w:rsidRPr="000C03ED">
              <w:rPr>
                <w:sz w:val="16"/>
                <w:szCs w:val="16"/>
                <w:lang w:val="fr-FR"/>
              </w:rPr>
              <w:t>Informations de base sur la protection des obtentions végétales à l’intention des avocats, des mandataires en propriété intellectuelle et d’autres spécialistes du sujet</w:t>
            </w:r>
          </w:p>
        </w:tc>
        <w:tc>
          <w:tcPr>
            <w:tcW w:w="2269" w:type="dxa"/>
          </w:tcPr>
          <w:p w:rsidR="000C03ED" w:rsidRPr="000C03ED" w:rsidRDefault="000C03ED" w:rsidP="00EB653E">
            <w:pPr>
              <w:pStyle w:val="TableParagraph"/>
              <w:ind w:left="0"/>
              <w:rPr>
                <w:sz w:val="16"/>
                <w:szCs w:val="16"/>
                <w:lang w:val="fr-FR"/>
              </w:rPr>
            </w:pPr>
            <w:r w:rsidRPr="000C03ED">
              <w:rPr>
                <w:sz w:val="16"/>
                <w:szCs w:val="16"/>
                <w:lang w:val="fr-FR"/>
              </w:rPr>
              <w:t>Brésil (722 vues jusqu’au 27 août 2021)</w:t>
            </w:r>
          </w:p>
        </w:tc>
        <w:tc>
          <w:tcPr>
            <w:tcW w:w="1134" w:type="dxa"/>
          </w:tcPr>
          <w:p w:rsidR="000C03ED" w:rsidRPr="000C03ED" w:rsidRDefault="000C03ED" w:rsidP="00EB653E">
            <w:pPr>
              <w:pStyle w:val="TableParagraph"/>
              <w:ind w:left="0"/>
              <w:rPr>
                <w:rFonts w:ascii="Times New Roman"/>
                <w:sz w:val="16"/>
                <w:szCs w:val="16"/>
                <w:lang w:val="fr-FR"/>
              </w:rPr>
            </w:pPr>
          </w:p>
        </w:tc>
      </w:tr>
      <w:tr w:rsidR="000C03ED" w:rsidRPr="00C46339" w:rsidTr="001A4833">
        <w:trPr>
          <w:trHeight w:val="2019"/>
        </w:trPr>
        <w:tc>
          <w:tcPr>
            <w:tcW w:w="1245" w:type="dxa"/>
          </w:tcPr>
          <w:p w:rsidR="000C03ED" w:rsidRPr="000C03ED" w:rsidRDefault="000C03ED" w:rsidP="00EB653E">
            <w:pPr>
              <w:pStyle w:val="TableParagraph"/>
              <w:ind w:left="0"/>
              <w:rPr>
                <w:sz w:val="16"/>
                <w:szCs w:val="16"/>
                <w:lang w:val="fr-FR"/>
              </w:rPr>
            </w:pPr>
            <w:r w:rsidRPr="000C03ED">
              <w:rPr>
                <w:sz w:val="16"/>
                <w:szCs w:val="16"/>
                <w:lang w:val="fr-FR"/>
              </w:rPr>
              <w:t>3. Protection des obtentions végétales</w:t>
            </w:r>
          </w:p>
        </w:tc>
        <w:tc>
          <w:tcPr>
            <w:tcW w:w="1165" w:type="dxa"/>
          </w:tcPr>
          <w:p w:rsidR="000C03ED" w:rsidRPr="000C03ED" w:rsidRDefault="000C03ED" w:rsidP="00EB653E">
            <w:pPr>
              <w:pStyle w:val="TableParagraph"/>
              <w:ind w:left="0"/>
              <w:rPr>
                <w:sz w:val="16"/>
                <w:szCs w:val="16"/>
                <w:lang w:val="fr-FR"/>
              </w:rPr>
            </w:pPr>
            <w:r w:rsidRPr="000C03ED">
              <w:rPr>
                <w:sz w:val="16"/>
                <w:szCs w:val="16"/>
                <w:lang w:val="fr-FR"/>
              </w:rPr>
              <w:t>3</w:t>
            </w:r>
            <w:r w:rsidR="00EB653E">
              <w:rPr>
                <w:sz w:val="16"/>
                <w:szCs w:val="16"/>
                <w:lang w:val="fr-FR"/>
              </w:rPr>
              <w:t xml:space="preserve">0 juillet </w:t>
            </w:r>
            <w:r w:rsidRPr="000C03ED">
              <w:rPr>
                <w:sz w:val="16"/>
                <w:szCs w:val="16"/>
                <w:lang w:val="fr-FR"/>
              </w:rPr>
              <w:t>2021</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 xml:space="preserve">Exposé en ligne (mis à disposition sur la chaîne YouTube du ministère </w:t>
            </w:r>
            <w:hyperlink r:id="rId18">
              <w:r w:rsidRPr="00EB653E">
                <w:rPr>
                  <w:rStyle w:val="Hyperlink"/>
                  <w:sz w:val="16"/>
                </w:rPr>
                <w:t>https://yout</w:t>
              </w:r>
            </w:hyperlink>
            <w:hyperlink r:id="rId19">
              <w:r w:rsidRPr="00EB653E">
                <w:rPr>
                  <w:rStyle w:val="Hyperlink"/>
                  <w:sz w:val="16"/>
                </w:rPr>
                <w:t>ube/GRMl</w:t>
              </w:r>
            </w:hyperlink>
            <w:hyperlink r:id="rId20">
              <w:r w:rsidRPr="00EB653E">
                <w:rPr>
                  <w:rStyle w:val="Hyperlink"/>
                  <w:sz w:val="16"/>
                </w:rPr>
                <w:t>PeLhLSo</w:t>
              </w:r>
            </w:hyperlink>
            <w:r w:rsidRPr="00EB653E">
              <w:rPr>
                <w:sz w:val="16"/>
              </w:rPr>
              <w:t>)</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Ministère de l’agriculture, de l’élevage et de l’approvisionnement alimentaire</w:t>
            </w:r>
          </w:p>
        </w:tc>
        <w:tc>
          <w:tcPr>
            <w:tcW w:w="1558" w:type="dxa"/>
          </w:tcPr>
          <w:p w:rsidR="000C03ED" w:rsidRPr="000C03ED" w:rsidRDefault="000C03ED" w:rsidP="00EB653E">
            <w:pPr>
              <w:pStyle w:val="TableParagraph"/>
              <w:ind w:left="0"/>
              <w:rPr>
                <w:sz w:val="16"/>
                <w:szCs w:val="16"/>
                <w:lang w:val="fr-FR"/>
              </w:rPr>
            </w:pPr>
            <w:r w:rsidRPr="000C03ED">
              <w:rPr>
                <w:sz w:val="16"/>
                <w:szCs w:val="16"/>
                <w:lang w:val="fr-FR"/>
              </w:rPr>
              <w:t>Informations de base sur la protection des obtentions végétales</w:t>
            </w:r>
          </w:p>
        </w:tc>
        <w:tc>
          <w:tcPr>
            <w:tcW w:w="2269" w:type="dxa"/>
          </w:tcPr>
          <w:p w:rsidR="000C03ED" w:rsidRPr="000C03ED" w:rsidRDefault="000C03ED" w:rsidP="00EB653E">
            <w:pPr>
              <w:pStyle w:val="TableParagraph"/>
              <w:ind w:left="0"/>
              <w:rPr>
                <w:sz w:val="16"/>
                <w:szCs w:val="16"/>
                <w:lang w:val="fr-FR"/>
              </w:rPr>
            </w:pPr>
            <w:r w:rsidRPr="000C03ED">
              <w:rPr>
                <w:sz w:val="16"/>
                <w:szCs w:val="16"/>
                <w:lang w:val="fr-FR"/>
              </w:rPr>
              <w:t>Brésil (263 vues jusqu’au 27 août 2021)</w:t>
            </w:r>
          </w:p>
        </w:tc>
        <w:tc>
          <w:tcPr>
            <w:tcW w:w="1134" w:type="dxa"/>
          </w:tcPr>
          <w:p w:rsidR="000C03ED" w:rsidRPr="000C03ED" w:rsidRDefault="000C03ED" w:rsidP="00EB653E">
            <w:pPr>
              <w:pStyle w:val="TableParagraph"/>
              <w:ind w:left="0"/>
              <w:rPr>
                <w:rFonts w:ascii="Times New Roman"/>
                <w:sz w:val="16"/>
                <w:szCs w:val="16"/>
                <w:lang w:val="fr-FR"/>
              </w:rPr>
            </w:pPr>
          </w:p>
        </w:tc>
      </w:tr>
      <w:tr w:rsidR="000C03ED" w:rsidRPr="005C1178" w:rsidTr="001A4833">
        <w:trPr>
          <w:trHeight w:val="1418"/>
        </w:trPr>
        <w:tc>
          <w:tcPr>
            <w:tcW w:w="1245" w:type="dxa"/>
          </w:tcPr>
          <w:p w:rsidR="000C03ED" w:rsidRPr="000C03ED" w:rsidRDefault="000C03ED" w:rsidP="00EB653E">
            <w:pPr>
              <w:pStyle w:val="TableParagraph"/>
              <w:ind w:left="0"/>
              <w:rPr>
                <w:sz w:val="16"/>
                <w:szCs w:val="16"/>
                <w:lang w:val="fr-FR"/>
              </w:rPr>
            </w:pPr>
            <w:r w:rsidRPr="000C03ED">
              <w:rPr>
                <w:sz w:val="16"/>
                <w:szCs w:val="16"/>
                <w:lang w:val="fr-FR"/>
              </w:rPr>
              <w:t>4. Cours général sur la propriété intellectuelle</w:t>
            </w:r>
          </w:p>
        </w:tc>
        <w:tc>
          <w:tcPr>
            <w:tcW w:w="1165" w:type="dxa"/>
          </w:tcPr>
          <w:p w:rsidR="000C03ED" w:rsidRPr="000C03ED" w:rsidRDefault="000C03ED" w:rsidP="00EB653E">
            <w:pPr>
              <w:pStyle w:val="TableParagraph"/>
              <w:ind w:left="0"/>
              <w:rPr>
                <w:sz w:val="16"/>
                <w:szCs w:val="16"/>
                <w:lang w:val="fr-FR"/>
              </w:rPr>
            </w:pPr>
            <w:r w:rsidRPr="000C03ED">
              <w:rPr>
                <w:sz w:val="16"/>
                <w:szCs w:val="16"/>
                <w:lang w:val="fr-FR"/>
              </w:rPr>
              <w:t xml:space="preserve">2 février – </w:t>
            </w:r>
            <w:r w:rsidR="00EB653E">
              <w:rPr>
                <w:sz w:val="16"/>
                <w:szCs w:val="16"/>
                <w:lang w:val="fr-FR"/>
              </w:rPr>
              <w:t xml:space="preserve">2 avril </w:t>
            </w:r>
            <w:r w:rsidRPr="000C03ED">
              <w:rPr>
                <w:sz w:val="16"/>
                <w:szCs w:val="16"/>
                <w:lang w:val="fr-FR"/>
              </w:rPr>
              <w:t>2021</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Cours d’enseignement à distance</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INPI (Office des brevets et des marques)</w:t>
            </w:r>
          </w:p>
          <w:p w:rsidR="000C03ED" w:rsidRPr="000C03ED" w:rsidRDefault="000C03ED" w:rsidP="00EB653E">
            <w:pPr>
              <w:pStyle w:val="TableParagraph"/>
              <w:ind w:left="0"/>
              <w:rPr>
                <w:sz w:val="16"/>
                <w:szCs w:val="16"/>
                <w:lang w:val="fr-FR"/>
              </w:rPr>
            </w:pPr>
            <w:r w:rsidRPr="000C03ED">
              <w:rPr>
                <w:sz w:val="16"/>
                <w:szCs w:val="16"/>
                <w:lang w:val="fr-FR"/>
              </w:rPr>
              <w:t>OMPI</w:t>
            </w:r>
          </w:p>
        </w:tc>
        <w:tc>
          <w:tcPr>
            <w:tcW w:w="1558" w:type="dxa"/>
          </w:tcPr>
          <w:p w:rsidR="000C03ED" w:rsidRPr="000C03ED" w:rsidRDefault="000C03ED" w:rsidP="00EB653E">
            <w:pPr>
              <w:pStyle w:val="TableParagraph"/>
              <w:ind w:left="0"/>
              <w:rPr>
                <w:sz w:val="16"/>
                <w:szCs w:val="16"/>
                <w:lang w:val="fr-FR"/>
              </w:rPr>
            </w:pPr>
            <w:r w:rsidRPr="000C03ED">
              <w:rPr>
                <w:sz w:val="16"/>
                <w:szCs w:val="16"/>
                <w:lang w:val="fr-FR"/>
              </w:rPr>
              <w:t>Cours général sur la propriété intellectuelle avec un chapitre sur la protection des obtentions végétales</w:t>
            </w:r>
          </w:p>
        </w:tc>
        <w:tc>
          <w:tcPr>
            <w:tcW w:w="2269" w:type="dxa"/>
          </w:tcPr>
          <w:p w:rsidR="000C03ED" w:rsidRPr="000C03ED" w:rsidRDefault="000C03ED" w:rsidP="00EB653E">
            <w:pPr>
              <w:pStyle w:val="TableParagraph"/>
              <w:ind w:left="0"/>
              <w:rPr>
                <w:sz w:val="16"/>
                <w:szCs w:val="16"/>
                <w:lang w:val="fr-FR"/>
              </w:rPr>
            </w:pPr>
            <w:r w:rsidRPr="000C03ED">
              <w:rPr>
                <w:sz w:val="16"/>
                <w:szCs w:val="16"/>
                <w:lang w:val="fr-FR"/>
              </w:rPr>
              <w:t>Environ 2000 participants (brésiliens) de domaines divers (étudiants, avocats, mandataires, fonctionnaires, scientifiques, etc.)</w:t>
            </w:r>
          </w:p>
        </w:tc>
        <w:tc>
          <w:tcPr>
            <w:tcW w:w="1134" w:type="dxa"/>
          </w:tcPr>
          <w:p w:rsidR="000C03ED" w:rsidRPr="000C03ED" w:rsidRDefault="000C03ED" w:rsidP="00EB653E">
            <w:pPr>
              <w:pStyle w:val="TableParagraph"/>
              <w:ind w:left="0"/>
              <w:rPr>
                <w:sz w:val="16"/>
                <w:szCs w:val="16"/>
                <w:lang w:val="fr-FR"/>
              </w:rPr>
            </w:pPr>
            <w:r w:rsidRPr="000C03ED">
              <w:rPr>
                <w:sz w:val="16"/>
                <w:szCs w:val="16"/>
                <w:lang w:val="fr-FR"/>
              </w:rPr>
              <w:t>Les examinateurs du SNPC ont joué le rôle de formateurs au cours des débats sur la protection des obtentions végétales</w:t>
            </w:r>
          </w:p>
        </w:tc>
      </w:tr>
      <w:tr w:rsidR="000C03ED" w:rsidRPr="005C1178" w:rsidTr="001A4833">
        <w:trPr>
          <w:trHeight w:val="1344"/>
        </w:trPr>
        <w:tc>
          <w:tcPr>
            <w:tcW w:w="1245" w:type="dxa"/>
          </w:tcPr>
          <w:p w:rsidR="000C03ED" w:rsidRPr="000C03ED" w:rsidRDefault="000C03ED" w:rsidP="00EB653E">
            <w:pPr>
              <w:pStyle w:val="TableParagraph"/>
              <w:ind w:left="0"/>
              <w:rPr>
                <w:sz w:val="16"/>
                <w:szCs w:val="16"/>
                <w:lang w:val="fr-FR"/>
              </w:rPr>
            </w:pPr>
            <w:r w:rsidRPr="000C03ED">
              <w:rPr>
                <w:sz w:val="16"/>
                <w:szCs w:val="16"/>
                <w:lang w:val="fr-FR"/>
              </w:rPr>
              <w:t>5. Cours général sur la propriété intellectuelle</w:t>
            </w:r>
          </w:p>
        </w:tc>
        <w:tc>
          <w:tcPr>
            <w:tcW w:w="1165" w:type="dxa"/>
          </w:tcPr>
          <w:p w:rsidR="000C03ED" w:rsidRPr="000C03ED" w:rsidRDefault="000C03ED" w:rsidP="00EB653E">
            <w:pPr>
              <w:pStyle w:val="TableParagraph"/>
              <w:ind w:left="0"/>
              <w:rPr>
                <w:sz w:val="16"/>
                <w:szCs w:val="16"/>
                <w:lang w:val="fr-FR"/>
              </w:rPr>
            </w:pPr>
            <w:r w:rsidRPr="000C03ED">
              <w:rPr>
                <w:sz w:val="16"/>
                <w:szCs w:val="16"/>
                <w:lang w:val="fr-FR"/>
              </w:rPr>
              <w:t>27 avril - 2</w:t>
            </w:r>
            <w:r w:rsidR="00EB653E">
              <w:rPr>
                <w:sz w:val="16"/>
                <w:szCs w:val="16"/>
                <w:lang w:val="fr-FR"/>
              </w:rPr>
              <w:t xml:space="preserve">5 juin </w:t>
            </w:r>
            <w:r w:rsidRPr="000C03ED">
              <w:rPr>
                <w:sz w:val="16"/>
                <w:szCs w:val="16"/>
                <w:lang w:val="fr-FR"/>
              </w:rPr>
              <w:t>2021 (en cours)</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Cours d’enseignement à distance</w:t>
            </w:r>
          </w:p>
        </w:tc>
        <w:tc>
          <w:tcPr>
            <w:tcW w:w="1276" w:type="dxa"/>
          </w:tcPr>
          <w:p w:rsidR="000C03ED" w:rsidRPr="000C03ED" w:rsidRDefault="000C03ED" w:rsidP="00EB653E">
            <w:pPr>
              <w:pStyle w:val="TableParagraph"/>
              <w:ind w:left="0"/>
              <w:rPr>
                <w:sz w:val="16"/>
                <w:szCs w:val="16"/>
                <w:lang w:val="fr-FR"/>
              </w:rPr>
            </w:pPr>
            <w:r w:rsidRPr="000C03ED">
              <w:rPr>
                <w:sz w:val="16"/>
                <w:szCs w:val="16"/>
                <w:lang w:val="fr-FR"/>
              </w:rPr>
              <w:t>INPI (Office des brevets et des marques)</w:t>
            </w:r>
          </w:p>
          <w:p w:rsidR="000C03ED" w:rsidRPr="000C03ED" w:rsidRDefault="000C03ED" w:rsidP="00EB653E">
            <w:pPr>
              <w:pStyle w:val="TableParagraph"/>
              <w:ind w:left="0"/>
              <w:rPr>
                <w:sz w:val="16"/>
                <w:szCs w:val="16"/>
                <w:lang w:val="fr-FR"/>
              </w:rPr>
            </w:pPr>
            <w:r w:rsidRPr="000C03ED">
              <w:rPr>
                <w:sz w:val="16"/>
                <w:szCs w:val="16"/>
                <w:lang w:val="fr-FR"/>
              </w:rPr>
              <w:t>OMPI</w:t>
            </w:r>
          </w:p>
        </w:tc>
        <w:tc>
          <w:tcPr>
            <w:tcW w:w="1558" w:type="dxa"/>
          </w:tcPr>
          <w:p w:rsidR="000C03ED" w:rsidRPr="000C03ED" w:rsidRDefault="000C03ED" w:rsidP="00EB653E">
            <w:pPr>
              <w:pStyle w:val="TableParagraph"/>
              <w:ind w:left="0"/>
              <w:rPr>
                <w:sz w:val="16"/>
                <w:szCs w:val="16"/>
                <w:lang w:val="fr-FR"/>
              </w:rPr>
            </w:pPr>
            <w:r w:rsidRPr="000C03ED">
              <w:rPr>
                <w:sz w:val="16"/>
                <w:szCs w:val="16"/>
                <w:lang w:val="fr-FR"/>
              </w:rPr>
              <w:t>Cours général sur la propriété intellectuelle avec un chapitre sur la protection des obtentions végétales</w:t>
            </w:r>
          </w:p>
        </w:tc>
        <w:tc>
          <w:tcPr>
            <w:tcW w:w="2269" w:type="dxa"/>
          </w:tcPr>
          <w:p w:rsidR="000C03ED" w:rsidRPr="000C03ED" w:rsidRDefault="000C03ED" w:rsidP="00EB653E">
            <w:pPr>
              <w:pStyle w:val="TableParagraph"/>
              <w:ind w:left="0"/>
              <w:rPr>
                <w:sz w:val="16"/>
                <w:szCs w:val="16"/>
                <w:lang w:val="fr-FR"/>
              </w:rPr>
            </w:pPr>
            <w:r w:rsidRPr="000C03ED">
              <w:rPr>
                <w:sz w:val="16"/>
                <w:szCs w:val="16"/>
                <w:lang w:val="fr-FR"/>
              </w:rPr>
              <w:t>Environ 2000 participants (brésiliens) de domaines divers (étudiants, avocats, mandataires, fonctionnaires, scientifiques, etc.)</w:t>
            </w:r>
          </w:p>
        </w:tc>
        <w:tc>
          <w:tcPr>
            <w:tcW w:w="1134" w:type="dxa"/>
          </w:tcPr>
          <w:p w:rsidR="000C03ED" w:rsidRPr="000C03ED" w:rsidRDefault="000C03ED" w:rsidP="00EB653E">
            <w:pPr>
              <w:pStyle w:val="TableParagraph"/>
              <w:ind w:left="0"/>
              <w:rPr>
                <w:sz w:val="16"/>
                <w:szCs w:val="16"/>
                <w:lang w:val="fr-FR"/>
              </w:rPr>
            </w:pPr>
            <w:r w:rsidRPr="000C03ED">
              <w:rPr>
                <w:sz w:val="16"/>
                <w:szCs w:val="16"/>
                <w:lang w:val="fr-FR"/>
              </w:rPr>
              <w:t>Les examinateurs du SNPC ont joué le rôle de formateurs au cours des débats sur la protection des obtentions végétales</w:t>
            </w:r>
          </w:p>
        </w:tc>
      </w:tr>
    </w:tbl>
    <w:p w:rsidR="000C03ED" w:rsidRPr="00C46339" w:rsidRDefault="000C03ED" w:rsidP="000C03ED"/>
    <w:p w:rsidR="000C03ED" w:rsidRPr="00C46339" w:rsidRDefault="000C03ED" w:rsidP="000C03ED"/>
    <w:p w:rsidR="000C03ED" w:rsidRPr="00EB653E" w:rsidRDefault="000C03ED" w:rsidP="000C03ED">
      <w:r w:rsidRPr="00EB653E">
        <w:t>II.</w:t>
      </w:r>
      <w:r w:rsidRPr="00EB653E">
        <w:tab/>
        <w:t>AUTRES ÉLÉMENTS NOUVEAUX PRÉSENTANT UN INTÉRÊT POUR L’UPOV</w:t>
      </w:r>
    </w:p>
    <w:p w:rsidR="000C03ED" w:rsidRPr="00C46339" w:rsidRDefault="000C03ED" w:rsidP="000C03ED"/>
    <w:p w:rsidR="000C03ED" w:rsidRPr="00C46339" w:rsidRDefault="000C03ED" w:rsidP="000C03ED">
      <w:pPr>
        <w:ind w:left="1134" w:hanging="709"/>
      </w:pPr>
      <w:r w:rsidRPr="00C46339">
        <w:t>Aucun élément nouveau.</w:t>
      </w:r>
    </w:p>
    <w:p w:rsidR="00D203BE" w:rsidRPr="00EB57D6" w:rsidRDefault="00D203BE" w:rsidP="00D203BE"/>
    <w:p w:rsidR="00845D57" w:rsidRDefault="00845D57" w:rsidP="00845D57">
      <w:pPr>
        <w:jc w:val="left"/>
      </w:pPr>
    </w:p>
    <w:p w:rsidR="001A4833" w:rsidRPr="00EB57D6" w:rsidRDefault="001A4833" w:rsidP="00845D57">
      <w:pPr>
        <w:jc w:val="left"/>
      </w:pPr>
    </w:p>
    <w:p w:rsidR="00845D57" w:rsidRPr="00EB57D6" w:rsidRDefault="00845D57" w:rsidP="00845D57">
      <w:pPr>
        <w:jc w:val="right"/>
      </w:pPr>
      <w:r w:rsidRPr="00EB57D6">
        <w:t>[L’annexe III suit]</w:t>
      </w:r>
    </w:p>
    <w:p w:rsidR="00845D57" w:rsidRPr="00EB57D6" w:rsidRDefault="00845D57" w:rsidP="00845D57"/>
    <w:p w:rsidR="00845D57" w:rsidRPr="00EB57D6" w:rsidRDefault="00845D57" w:rsidP="00845D57">
      <w:pPr>
        <w:jc w:val="left"/>
        <w:sectPr w:rsidR="00845D57" w:rsidRPr="00EB57D6" w:rsidSect="009B2909">
          <w:headerReference w:type="default" r:id="rId21"/>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III</w:t>
      </w:r>
    </w:p>
    <w:p w:rsidR="00845D57" w:rsidRPr="00EB57D6" w:rsidRDefault="00845D57" w:rsidP="00845D57">
      <w:pPr>
        <w:jc w:val="center"/>
      </w:pPr>
    </w:p>
    <w:p w:rsidR="00845D57" w:rsidRPr="00EB57D6" w:rsidRDefault="00845D57" w:rsidP="00845D57">
      <w:pPr>
        <w:jc w:val="center"/>
      </w:pPr>
    </w:p>
    <w:p w:rsidR="001B1C5F" w:rsidRPr="00EB57D6" w:rsidRDefault="007B4801" w:rsidP="001B1C5F">
      <w:pPr>
        <w:jc w:val="center"/>
        <w:rPr>
          <w:sz w:val="18"/>
        </w:rPr>
      </w:pPr>
      <w:r>
        <w:t>DANEMARK</w:t>
      </w:r>
    </w:p>
    <w:p w:rsidR="001B1C5F" w:rsidRPr="00EB57D6" w:rsidRDefault="001B1C5F" w:rsidP="001B1C5F">
      <w:pPr>
        <w:jc w:val="left"/>
        <w:rPr>
          <w:sz w:val="18"/>
        </w:rPr>
      </w:pPr>
    </w:p>
    <w:p w:rsidR="001B1C5F" w:rsidRPr="00EB57D6" w:rsidRDefault="001B1C5F" w:rsidP="001B1C5F">
      <w:pPr>
        <w:jc w:val="left"/>
        <w:rPr>
          <w:sz w:val="18"/>
        </w:rPr>
      </w:pPr>
    </w:p>
    <w:p w:rsidR="00886025" w:rsidRPr="00C46339" w:rsidRDefault="00886025" w:rsidP="00886025">
      <w:r w:rsidRPr="00C46339">
        <w:t>I.</w:t>
      </w:r>
      <w:r w:rsidRPr="00C46339">
        <w:tab/>
        <w:t>PROTECTION DES OBTENTIONS VÉGÉTALES</w:t>
      </w:r>
    </w:p>
    <w:p w:rsidR="00886025" w:rsidRPr="00C46339" w:rsidRDefault="00886025" w:rsidP="00886025"/>
    <w:p w:rsidR="00886025" w:rsidRPr="00C46339" w:rsidRDefault="00886025" w:rsidP="00886025">
      <w:r w:rsidRPr="00C46339">
        <w:t>1.</w:t>
      </w:r>
      <w:r w:rsidRPr="00C46339">
        <w:tab/>
      </w:r>
      <w:r w:rsidRPr="00C46339">
        <w:rPr>
          <w:u w:val="single"/>
        </w:rPr>
        <w:t>Situation dans le domaine législatif</w:t>
      </w:r>
    </w:p>
    <w:p w:rsidR="00886025" w:rsidRPr="00C46339" w:rsidRDefault="00886025" w:rsidP="00886025"/>
    <w:p w:rsidR="00886025" w:rsidRPr="00C46339" w:rsidRDefault="00886025" w:rsidP="00886025">
      <w:r w:rsidRPr="00C46339">
        <w:tab/>
        <w:t>1.1</w:t>
      </w:r>
      <w:r w:rsidRPr="00C46339">
        <w:tab/>
        <w:t>Modifications de la loi et des textes d’application : aucune modification.</w:t>
      </w:r>
    </w:p>
    <w:p w:rsidR="00886025" w:rsidRPr="00C46339" w:rsidRDefault="00886025" w:rsidP="00886025"/>
    <w:p w:rsidR="00886025" w:rsidRPr="00C46339" w:rsidRDefault="00886025" w:rsidP="00886025">
      <w:r w:rsidRPr="00C46339">
        <w:tab/>
        <w:t xml:space="preserve">1.2 </w:t>
      </w:r>
      <w:r w:rsidRPr="00C46339">
        <w:tab/>
        <w:t>Extension de la protection à d’autres genres et espèces : aucune modification.</w:t>
      </w:r>
    </w:p>
    <w:p w:rsidR="00886025" w:rsidRPr="00C46339" w:rsidRDefault="00886025" w:rsidP="00886025"/>
    <w:p w:rsidR="00886025" w:rsidRPr="00C46339" w:rsidRDefault="00886025" w:rsidP="00886025">
      <w:r w:rsidRPr="00C46339">
        <w:tab/>
        <w:t>1.3</w:t>
      </w:r>
      <w:r w:rsidRPr="00C46339">
        <w:tab/>
        <w:t>Jurisprudence : pas de jurisprudence.</w:t>
      </w:r>
    </w:p>
    <w:p w:rsidR="00886025" w:rsidRPr="00C46339" w:rsidRDefault="00886025" w:rsidP="00886025"/>
    <w:p w:rsidR="00886025" w:rsidRPr="00C46339" w:rsidRDefault="00886025" w:rsidP="00886025"/>
    <w:p w:rsidR="00886025" w:rsidRPr="00C46339" w:rsidRDefault="00886025" w:rsidP="00886025">
      <w:r w:rsidRPr="00C46339">
        <w:t>2.</w:t>
      </w:r>
      <w:r w:rsidRPr="00C46339">
        <w:tab/>
      </w:r>
      <w:r w:rsidRPr="00C46339">
        <w:rPr>
          <w:u w:val="single"/>
        </w:rPr>
        <w:t>Coopération en matière d’examen</w:t>
      </w:r>
      <w:r w:rsidRPr="00C46339">
        <w:t> :</w:t>
      </w:r>
    </w:p>
    <w:p w:rsidR="00886025" w:rsidRPr="00C46339" w:rsidRDefault="00886025" w:rsidP="00886025"/>
    <w:p w:rsidR="00886025" w:rsidRPr="00C46339" w:rsidRDefault="00886025" w:rsidP="00886025">
      <w:pPr>
        <w:ind w:left="567"/>
      </w:pPr>
      <w:r w:rsidRPr="00C46339">
        <w:t>Aucun élément nouveau.</w:t>
      </w:r>
    </w:p>
    <w:p w:rsidR="00886025" w:rsidRPr="00C46339" w:rsidRDefault="00886025" w:rsidP="00886025">
      <w:pPr>
        <w:tabs>
          <w:tab w:val="left" w:pos="426"/>
          <w:tab w:val="left" w:pos="851"/>
        </w:tabs>
      </w:pPr>
    </w:p>
    <w:p w:rsidR="00886025" w:rsidRPr="00C46339" w:rsidRDefault="00886025" w:rsidP="00886025"/>
    <w:p w:rsidR="00886025" w:rsidRPr="00C46339" w:rsidRDefault="00886025" w:rsidP="00886025">
      <w:pPr>
        <w:rPr>
          <w:u w:val="single"/>
        </w:rPr>
      </w:pPr>
      <w:r w:rsidRPr="00C46339">
        <w:t>3.</w:t>
      </w:r>
      <w:r w:rsidRPr="00C46339">
        <w:tab/>
      </w:r>
      <w:r w:rsidRPr="00C46339">
        <w:rPr>
          <w:u w:val="single"/>
        </w:rPr>
        <w:t>Situation dans le domaine administratif</w:t>
      </w:r>
    </w:p>
    <w:p w:rsidR="00886025" w:rsidRPr="00C46339" w:rsidRDefault="00886025" w:rsidP="00886025"/>
    <w:p w:rsidR="00886025" w:rsidRPr="00C46339" w:rsidRDefault="00886025" w:rsidP="00886025">
      <w:pPr>
        <w:ind w:left="567"/>
      </w:pPr>
      <w:r w:rsidRPr="00C46339">
        <w:t>Aucun élément nouveau.</w:t>
      </w:r>
    </w:p>
    <w:p w:rsidR="00886025" w:rsidRPr="00C46339" w:rsidRDefault="00886025" w:rsidP="00886025"/>
    <w:p w:rsidR="00886025" w:rsidRPr="00C46339" w:rsidRDefault="00886025" w:rsidP="00886025"/>
    <w:p w:rsidR="00886025" w:rsidRPr="00C46339" w:rsidRDefault="00886025" w:rsidP="00886025">
      <w:r w:rsidRPr="00C46339">
        <w:t>4.</w:t>
      </w:r>
      <w:r w:rsidRPr="00C46339">
        <w:tab/>
      </w:r>
      <w:r w:rsidRPr="00C46339">
        <w:rPr>
          <w:u w:val="single"/>
        </w:rPr>
        <w:t>Situation dans le domaine technique</w:t>
      </w:r>
    </w:p>
    <w:p w:rsidR="00886025" w:rsidRPr="00C46339" w:rsidRDefault="00886025" w:rsidP="00886025"/>
    <w:p w:rsidR="00886025" w:rsidRPr="00C46339" w:rsidRDefault="00886025" w:rsidP="00886025">
      <w:r w:rsidRPr="00C46339">
        <w:t xml:space="preserve">Essais DHS permettant de surveiller le développement des plantes grâce à des évaluations manuelles, à des analyses d’images et à des enregistrements par drone et </w:t>
      </w:r>
      <w:proofErr w:type="spellStart"/>
      <w:r w:rsidRPr="00C46339">
        <w:t>multispectraux</w:t>
      </w:r>
      <w:proofErr w:type="spellEnd"/>
      <w:r w:rsidRPr="00C46339">
        <w:t>.</w:t>
      </w:r>
    </w:p>
    <w:p w:rsidR="00886025" w:rsidRPr="00C46339" w:rsidRDefault="00886025" w:rsidP="00886025"/>
    <w:p w:rsidR="00886025" w:rsidRPr="00C46339" w:rsidRDefault="00886025" w:rsidP="00886025"/>
    <w:p w:rsidR="00886025" w:rsidRPr="00C46339" w:rsidRDefault="00886025" w:rsidP="00886025">
      <w:r w:rsidRPr="00C46339">
        <w:t>5.</w:t>
      </w:r>
      <w:r w:rsidRPr="00C46339">
        <w:tab/>
      </w:r>
      <w:r w:rsidRPr="00C46339">
        <w:rPr>
          <w:u w:val="single"/>
        </w:rPr>
        <w:t>Activités de promotion de la protection des obtentions végétales</w:t>
      </w:r>
      <w:r w:rsidRPr="00C46339">
        <w:t> : aucune observation.</w:t>
      </w:r>
    </w:p>
    <w:p w:rsidR="00886025" w:rsidRPr="00C46339" w:rsidRDefault="00886025" w:rsidP="00886025"/>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973"/>
        <w:gridCol w:w="1098"/>
        <w:gridCol w:w="1326"/>
        <w:gridCol w:w="3534"/>
        <w:gridCol w:w="2845"/>
      </w:tblGrid>
      <w:tr w:rsidR="00886025" w:rsidRPr="005C1178" w:rsidTr="00886025">
        <w:tc>
          <w:tcPr>
            <w:tcW w:w="973" w:type="dxa"/>
          </w:tcPr>
          <w:p w:rsidR="00886025" w:rsidRPr="00886025" w:rsidRDefault="00886025" w:rsidP="00886025">
            <w:pPr>
              <w:jc w:val="left"/>
              <w:rPr>
                <w:sz w:val="16"/>
              </w:rPr>
            </w:pPr>
            <w:r w:rsidRPr="00886025">
              <w:rPr>
                <w:sz w:val="16"/>
              </w:rPr>
              <w:t>Date</w:t>
            </w:r>
          </w:p>
        </w:tc>
        <w:tc>
          <w:tcPr>
            <w:tcW w:w="1098" w:type="dxa"/>
          </w:tcPr>
          <w:p w:rsidR="00886025" w:rsidRPr="00886025" w:rsidRDefault="00886025" w:rsidP="00886025">
            <w:pPr>
              <w:jc w:val="left"/>
              <w:rPr>
                <w:sz w:val="16"/>
              </w:rPr>
            </w:pPr>
            <w:r w:rsidRPr="00886025">
              <w:rPr>
                <w:sz w:val="16"/>
              </w:rPr>
              <w:t>Lieu</w:t>
            </w:r>
          </w:p>
        </w:tc>
        <w:tc>
          <w:tcPr>
            <w:tcW w:w="1326" w:type="dxa"/>
          </w:tcPr>
          <w:p w:rsidR="00886025" w:rsidRPr="00886025" w:rsidRDefault="00886025" w:rsidP="00886025">
            <w:pPr>
              <w:jc w:val="left"/>
              <w:rPr>
                <w:sz w:val="16"/>
              </w:rPr>
            </w:pPr>
            <w:r w:rsidRPr="00886025">
              <w:rPr>
                <w:sz w:val="16"/>
              </w:rPr>
              <w:t>Organisateur(s)</w:t>
            </w:r>
          </w:p>
        </w:tc>
        <w:tc>
          <w:tcPr>
            <w:tcW w:w="3534" w:type="dxa"/>
          </w:tcPr>
          <w:p w:rsidR="00886025" w:rsidRPr="00886025" w:rsidRDefault="00886025" w:rsidP="00886025">
            <w:pPr>
              <w:jc w:val="left"/>
              <w:rPr>
                <w:sz w:val="16"/>
              </w:rPr>
            </w:pPr>
            <w:r w:rsidRPr="00886025">
              <w:rPr>
                <w:sz w:val="16"/>
              </w:rPr>
              <w:t>But de l’activité</w:t>
            </w:r>
          </w:p>
        </w:tc>
        <w:tc>
          <w:tcPr>
            <w:tcW w:w="2845" w:type="dxa"/>
          </w:tcPr>
          <w:p w:rsidR="00886025" w:rsidRPr="00886025" w:rsidRDefault="00886025" w:rsidP="00886025">
            <w:pPr>
              <w:jc w:val="left"/>
              <w:rPr>
                <w:sz w:val="16"/>
              </w:rPr>
            </w:pPr>
            <w:r w:rsidRPr="00886025">
              <w:rPr>
                <w:sz w:val="16"/>
              </w:rPr>
              <w:t>Pays/organisations participants (nombre de participants de chacun d’eux)</w:t>
            </w:r>
          </w:p>
        </w:tc>
      </w:tr>
      <w:tr w:rsidR="00886025" w:rsidRPr="00C46339" w:rsidTr="00886025">
        <w:tc>
          <w:tcPr>
            <w:tcW w:w="973" w:type="dxa"/>
          </w:tcPr>
          <w:p w:rsidR="00886025" w:rsidRPr="00886025" w:rsidRDefault="00886025" w:rsidP="00886025">
            <w:pPr>
              <w:jc w:val="left"/>
              <w:rPr>
                <w:sz w:val="16"/>
              </w:rPr>
            </w:pPr>
            <w:r w:rsidRPr="00886025">
              <w:rPr>
                <w:sz w:val="16"/>
              </w:rPr>
              <w:t>3 mars 2021</w:t>
            </w:r>
          </w:p>
        </w:tc>
        <w:tc>
          <w:tcPr>
            <w:tcW w:w="1098" w:type="dxa"/>
          </w:tcPr>
          <w:p w:rsidR="00886025" w:rsidRPr="00886025" w:rsidRDefault="00886025" w:rsidP="00886025">
            <w:pPr>
              <w:jc w:val="left"/>
              <w:rPr>
                <w:sz w:val="16"/>
              </w:rPr>
            </w:pPr>
            <w:proofErr w:type="spellStart"/>
            <w:r w:rsidRPr="00886025">
              <w:rPr>
                <w:sz w:val="16"/>
              </w:rPr>
              <w:t>Kobæk</w:t>
            </w:r>
            <w:proofErr w:type="spellEnd"/>
            <w:r w:rsidRPr="00886025">
              <w:rPr>
                <w:sz w:val="16"/>
              </w:rPr>
              <w:t xml:space="preserve"> Strand</w:t>
            </w:r>
          </w:p>
        </w:tc>
        <w:tc>
          <w:tcPr>
            <w:tcW w:w="1326" w:type="dxa"/>
          </w:tcPr>
          <w:p w:rsidR="00886025" w:rsidRPr="00886025" w:rsidRDefault="00886025" w:rsidP="00886025">
            <w:pPr>
              <w:jc w:val="left"/>
              <w:rPr>
                <w:sz w:val="16"/>
              </w:rPr>
            </w:pPr>
            <w:proofErr w:type="spellStart"/>
            <w:r w:rsidRPr="00886025">
              <w:rPr>
                <w:sz w:val="16"/>
              </w:rPr>
              <w:t>DanSeed</w:t>
            </w:r>
            <w:proofErr w:type="spellEnd"/>
          </w:p>
        </w:tc>
        <w:tc>
          <w:tcPr>
            <w:tcW w:w="3534" w:type="dxa"/>
          </w:tcPr>
          <w:p w:rsidR="00886025" w:rsidRPr="00886025" w:rsidRDefault="00886025" w:rsidP="00886025">
            <w:pPr>
              <w:jc w:val="left"/>
              <w:rPr>
                <w:sz w:val="16"/>
              </w:rPr>
            </w:pPr>
            <w:r w:rsidRPr="00886025">
              <w:rPr>
                <w:sz w:val="16"/>
              </w:rPr>
              <w:t>Protection des plantes par la propriété intellectuelle au moyen de droits d’obtenteur ou de brevets</w:t>
            </w:r>
          </w:p>
        </w:tc>
        <w:tc>
          <w:tcPr>
            <w:tcW w:w="2845" w:type="dxa"/>
          </w:tcPr>
          <w:p w:rsidR="00886025" w:rsidRPr="00886025" w:rsidRDefault="00886025" w:rsidP="00886025">
            <w:pPr>
              <w:jc w:val="left"/>
              <w:rPr>
                <w:sz w:val="16"/>
              </w:rPr>
            </w:pPr>
            <w:r w:rsidRPr="00886025">
              <w:rPr>
                <w:sz w:val="16"/>
              </w:rPr>
              <w:t>Ressortissants danois</w:t>
            </w:r>
          </w:p>
        </w:tc>
      </w:tr>
    </w:tbl>
    <w:p w:rsidR="00886025" w:rsidRPr="00C46339" w:rsidRDefault="00886025" w:rsidP="00886025"/>
    <w:p w:rsidR="00886025" w:rsidRPr="00C46339" w:rsidRDefault="00886025" w:rsidP="00886025"/>
    <w:p w:rsidR="00886025" w:rsidRPr="00886025" w:rsidRDefault="00886025" w:rsidP="00886025">
      <w:r w:rsidRPr="00886025">
        <w:t>II.</w:t>
      </w:r>
      <w:r w:rsidRPr="00886025">
        <w:tab/>
        <w:t>AUTRES ÉLÉMENTS NOUVEAUX PRÉSENTANT UN INTÉRÊT POUR L’UPOV</w:t>
      </w:r>
    </w:p>
    <w:p w:rsidR="00886025" w:rsidRPr="00C46339" w:rsidRDefault="00886025" w:rsidP="00886025"/>
    <w:p w:rsidR="00886025" w:rsidRPr="00C46339" w:rsidRDefault="00886025" w:rsidP="00886025">
      <w:pPr>
        <w:ind w:left="567"/>
      </w:pPr>
      <w:r w:rsidRPr="00C46339">
        <w:t>Aucune observation.</w:t>
      </w:r>
    </w:p>
    <w:p w:rsidR="001B1C5F" w:rsidRPr="00EB57D6" w:rsidRDefault="001B1C5F" w:rsidP="001B1C5F">
      <w:pPr>
        <w:rPr>
          <w:sz w:val="18"/>
        </w:rPr>
      </w:pPr>
    </w:p>
    <w:p w:rsidR="00845D57" w:rsidRPr="00EB57D6" w:rsidRDefault="00845D57" w:rsidP="00845D57">
      <w:pPr>
        <w:jc w:val="left"/>
      </w:pPr>
    </w:p>
    <w:p w:rsidR="001B1C5F" w:rsidRPr="00EB57D6" w:rsidRDefault="001B1C5F" w:rsidP="00845D57">
      <w:pPr>
        <w:jc w:val="left"/>
      </w:pPr>
    </w:p>
    <w:p w:rsidR="00845D57" w:rsidRPr="00EB57D6" w:rsidRDefault="00845D57" w:rsidP="00845D57">
      <w:pPr>
        <w:jc w:val="right"/>
      </w:pPr>
      <w:r w:rsidRPr="00EB57D6">
        <w:t>[L’annexe IV suit]</w:t>
      </w:r>
    </w:p>
    <w:p w:rsidR="00845D57" w:rsidRPr="00EB57D6" w:rsidRDefault="00845D57" w:rsidP="00845D57"/>
    <w:p w:rsidR="00845D57" w:rsidRPr="00EB57D6" w:rsidRDefault="00845D57" w:rsidP="00845D57">
      <w:pPr>
        <w:jc w:val="left"/>
        <w:sectPr w:rsidR="00845D57" w:rsidRPr="00EB57D6" w:rsidSect="009B2909">
          <w:headerReference w:type="default" r:id="rId22"/>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IV</w:t>
      </w:r>
    </w:p>
    <w:p w:rsidR="00845D57" w:rsidRPr="00EB57D6" w:rsidRDefault="00845D57" w:rsidP="00845D57">
      <w:pPr>
        <w:jc w:val="center"/>
      </w:pPr>
    </w:p>
    <w:p w:rsidR="00845D57" w:rsidRPr="00EB57D6" w:rsidRDefault="00845D57" w:rsidP="00845D57">
      <w:pPr>
        <w:jc w:val="center"/>
      </w:pPr>
    </w:p>
    <w:p w:rsidR="00F06BA1" w:rsidRPr="00EB57D6" w:rsidRDefault="007B4801" w:rsidP="00F06BA1">
      <w:pPr>
        <w:jc w:val="center"/>
        <w:rPr>
          <w:sz w:val="18"/>
        </w:rPr>
      </w:pPr>
      <w:r>
        <w:t>HONGRIE</w:t>
      </w:r>
    </w:p>
    <w:p w:rsidR="00F06BA1" w:rsidRPr="00EB57D6" w:rsidRDefault="00F06BA1" w:rsidP="00F06BA1">
      <w:pPr>
        <w:jc w:val="center"/>
        <w:rPr>
          <w:sz w:val="18"/>
        </w:rPr>
      </w:pPr>
    </w:p>
    <w:p w:rsidR="00F06BA1" w:rsidRPr="00EB57D6" w:rsidRDefault="00F06BA1" w:rsidP="00F06BA1">
      <w:pPr>
        <w:jc w:val="center"/>
        <w:rPr>
          <w:sz w:val="18"/>
        </w:rPr>
      </w:pPr>
    </w:p>
    <w:p w:rsidR="003363F6" w:rsidRPr="00C46339" w:rsidRDefault="003363F6" w:rsidP="003363F6">
      <w:r w:rsidRPr="00C46339">
        <w:t>I.</w:t>
      </w:r>
      <w:r w:rsidRPr="00C46339">
        <w:tab/>
        <w:t>PROTECTION DES OBTENTIONS VÉGÉTALES</w:t>
      </w:r>
    </w:p>
    <w:p w:rsidR="003363F6" w:rsidRPr="00C46339" w:rsidRDefault="003363F6" w:rsidP="003363F6"/>
    <w:p w:rsidR="003363F6" w:rsidRPr="00C46339" w:rsidRDefault="003363F6" w:rsidP="003363F6">
      <w:r w:rsidRPr="00C46339">
        <w:t xml:space="preserve">1. </w:t>
      </w:r>
      <w:r w:rsidRPr="00C46339">
        <w:tab/>
      </w:r>
      <w:r w:rsidRPr="00C46339">
        <w:rPr>
          <w:u w:val="single"/>
        </w:rPr>
        <w:t>Situation dans le domaine législatif</w:t>
      </w:r>
    </w:p>
    <w:p w:rsidR="003363F6" w:rsidRPr="00C46339" w:rsidRDefault="003363F6" w:rsidP="003363F6"/>
    <w:p w:rsidR="003363F6" w:rsidRPr="00C46339" w:rsidRDefault="003363F6" w:rsidP="003363F6">
      <w:r w:rsidRPr="00C46339">
        <w:tab/>
        <w:t>1.1</w:t>
      </w:r>
      <w:r w:rsidRPr="00C46339">
        <w:tab/>
        <w:t>Modifications de la loi et des textes d’application : aucune modification.</w:t>
      </w:r>
    </w:p>
    <w:p w:rsidR="003363F6" w:rsidRPr="00C46339" w:rsidRDefault="003363F6" w:rsidP="003363F6"/>
    <w:p w:rsidR="003363F6" w:rsidRPr="00C46339" w:rsidRDefault="003363F6" w:rsidP="003363F6">
      <w:r w:rsidRPr="00C46339">
        <w:tab/>
        <w:t xml:space="preserve">1.2 </w:t>
      </w:r>
      <w:r w:rsidRPr="00C46339">
        <w:tab/>
        <w:t>Extension de la protection à d’autres genres et espèces</w:t>
      </w:r>
    </w:p>
    <w:p w:rsidR="003363F6" w:rsidRPr="00C46339" w:rsidRDefault="003363F6" w:rsidP="003363F6">
      <w:pPr>
        <w:ind w:left="567"/>
      </w:pPr>
    </w:p>
    <w:p w:rsidR="003363F6" w:rsidRPr="00C46339" w:rsidRDefault="003363F6" w:rsidP="003363F6">
      <w:pPr>
        <w:ind w:left="567"/>
      </w:pPr>
      <w:r w:rsidRPr="00C46339">
        <w:t>Aucune modification.  Conformément aux règles en vigueur, la protection des obtentions végétales s’étend à tous les genres et espèces du règne végétal.</w:t>
      </w:r>
    </w:p>
    <w:p w:rsidR="003363F6" w:rsidRPr="00C46339" w:rsidRDefault="003363F6" w:rsidP="003363F6"/>
    <w:p w:rsidR="003363F6" w:rsidRPr="00C46339" w:rsidRDefault="003363F6" w:rsidP="003363F6">
      <w:r w:rsidRPr="00C46339">
        <w:tab/>
        <w:t>1.3</w:t>
      </w:r>
      <w:r w:rsidRPr="00C46339">
        <w:tab/>
        <w:t>Jurisprudence : aucune donnée.</w:t>
      </w:r>
    </w:p>
    <w:p w:rsidR="003363F6" w:rsidRPr="00C46339" w:rsidRDefault="003363F6" w:rsidP="003363F6"/>
    <w:p w:rsidR="003363F6" w:rsidRPr="00C46339" w:rsidRDefault="003363F6" w:rsidP="003363F6"/>
    <w:p w:rsidR="003363F6" w:rsidRPr="00C46339" w:rsidRDefault="003363F6" w:rsidP="003363F6">
      <w:r w:rsidRPr="00C46339">
        <w:t>2.</w:t>
      </w:r>
      <w:r w:rsidRPr="00C46339">
        <w:tab/>
      </w:r>
      <w:r w:rsidRPr="00C46339">
        <w:rPr>
          <w:u w:val="single"/>
        </w:rPr>
        <w:t>Coopération en matière d’examen</w:t>
      </w:r>
    </w:p>
    <w:p w:rsidR="003363F6" w:rsidRPr="00C46339" w:rsidRDefault="003363F6" w:rsidP="003363F6">
      <w:pPr>
        <w:tabs>
          <w:tab w:val="left" w:pos="426"/>
          <w:tab w:val="left" w:pos="851"/>
        </w:tabs>
      </w:pPr>
    </w:p>
    <w:p w:rsidR="003363F6" w:rsidRPr="00C46339" w:rsidRDefault="003363F6" w:rsidP="003363F6">
      <w:pPr>
        <w:tabs>
          <w:tab w:val="left" w:pos="426"/>
          <w:tab w:val="left" w:pos="851"/>
        </w:tabs>
      </w:pPr>
      <w:r w:rsidRPr="00C46339">
        <w:t>Aucune modification.  En vertu des paragraphes 3) et 4) de l’article 114/R de la loi sur les brevets, les résultats des essais expérimentaux (rapport d’examen DHS) effectués par un organisme étranger compétent peuvent être pris en considération avec l’assentiment de celui-ci.  Le coût de l’essai expérimental est supporté par le demandeur.  L’Office hongrois de la propriété intellectuelle (HIPO) a donc pris des mesures pour conclure des accords avec des offices nationaux et régionaux afin que l’office concerné lui envoie des rapports sur l’examen technique DHS.</w:t>
      </w:r>
    </w:p>
    <w:p w:rsidR="003363F6" w:rsidRPr="00C46339" w:rsidRDefault="003363F6" w:rsidP="003363F6">
      <w:pPr>
        <w:tabs>
          <w:tab w:val="left" w:pos="426"/>
          <w:tab w:val="left" w:pos="851"/>
        </w:tabs>
      </w:pPr>
    </w:p>
    <w:p w:rsidR="003363F6" w:rsidRPr="00C46339" w:rsidRDefault="003363F6" w:rsidP="003363F6">
      <w:pPr>
        <w:tabs>
          <w:tab w:val="left" w:pos="426"/>
          <w:tab w:val="left" w:pos="851"/>
        </w:tabs>
      </w:pPr>
      <w:r w:rsidRPr="00C46339">
        <w:t xml:space="preserve">L’Office hongrois de la propriété intellectuelle a conclu des accords de communication de rapports d’examen technique DHS avec l’Office communautaire des variétés végétales (OCVV), le </w:t>
      </w:r>
      <w:proofErr w:type="spellStart"/>
      <w:r w:rsidRPr="00C46339">
        <w:t>Bundessortenamt</w:t>
      </w:r>
      <w:proofErr w:type="spellEnd"/>
      <w:r w:rsidRPr="00C46339">
        <w:t xml:space="preserve"> (Allemagne) et le Comité du droit d’obtenteur du Ministère de l’agriculture, de la nature et de la qualité des produits alimentaires (Pays-Bas).</w:t>
      </w:r>
    </w:p>
    <w:p w:rsidR="003363F6" w:rsidRPr="00C46339" w:rsidRDefault="003363F6" w:rsidP="003363F6"/>
    <w:p w:rsidR="003363F6" w:rsidRPr="00C46339" w:rsidRDefault="003363F6" w:rsidP="003363F6"/>
    <w:p w:rsidR="003363F6" w:rsidRPr="00C46339" w:rsidRDefault="003363F6" w:rsidP="003363F6">
      <w:pPr>
        <w:rPr>
          <w:u w:val="single"/>
        </w:rPr>
      </w:pPr>
      <w:r w:rsidRPr="00C46339">
        <w:t>3.</w:t>
      </w:r>
      <w:r w:rsidRPr="00C46339">
        <w:tab/>
      </w:r>
      <w:r w:rsidRPr="00C46339">
        <w:rPr>
          <w:u w:val="single"/>
        </w:rPr>
        <w:t>Situation dans le domaine administratif</w:t>
      </w:r>
    </w:p>
    <w:p w:rsidR="003363F6" w:rsidRPr="00C46339" w:rsidRDefault="003363F6" w:rsidP="003363F6"/>
    <w:p w:rsidR="003363F6" w:rsidRPr="00C46339" w:rsidRDefault="003363F6" w:rsidP="003363F6">
      <w:r w:rsidRPr="00C46339">
        <w:t>Aucune modification.  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 DHS).</w:t>
      </w:r>
    </w:p>
    <w:p w:rsidR="003363F6" w:rsidRPr="00C46339" w:rsidRDefault="003363F6" w:rsidP="003363F6"/>
    <w:p w:rsidR="003363F6" w:rsidRPr="00C46339" w:rsidRDefault="003363F6" w:rsidP="003363F6"/>
    <w:p w:rsidR="003363F6" w:rsidRPr="00C46339" w:rsidRDefault="003363F6" w:rsidP="003363F6">
      <w:pPr>
        <w:rPr>
          <w:u w:val="single"/>
        </w:rPr>
      </w:pPr>
      <w:r w:rsidRPr="00C46339">
        <w:t>4.</w:t>
      </w:r>
      <w:r w:rsidRPr="00C46339">
        <w:tab/>
      </w:r>
      <w:r w:rsidRPr="00C46339">
        <w:rPr>
          <w:u w:val="single"/>
        </w:rPr>
        <w:t>Situation dans le domaine technique</w:t>
      </w:r>
    </w:p>
    <w:p w:rsidR="003363F6" w:rsidRPr="00C46339" w:rsidRDefault="003363F6" w:rsidP="003363F6"/>
    <w:p w:rsidR="003363F6" w:rsidRPr="00C46339" w:rsidRDefault="003363F6" w:rsidP="003363F6">
      <w:r w:rsidRPr="00C46339">
        <w:t>L’examen technique est effectué par l’Office national de sécurité de la chaîne alimentaire.</w:t>
      </w:r>
    </w:p>
    <w:p w:rsidR="003363F6" w:rsidRPr="00C46339" w:rsidRDefault="003363F6" w:rsidP="003363F6"/>
    <w:p w:rsidR="00F06BA1" w:rsidRPr="00EB57D6" w:rsidRDefault="00F06BA1" w:rsidP="00845D57">
      <w:pPr>
        <w:jc w:val="left"/>
      </w:pPr>
    </w:p>
    <w:p w:rsidR="00F06BA1" w:rsidRPr="00EB57D6" w:rsidRDefault="00F06BA1" w:rsidP="00845D57">
      <w:pPr>
        <w:jc w:val="left"/>
      </w:pPr>
    </w:p>
    <w:p w:rsidR="00845D57" w:rsidRPr="00EB57D6" w:rsidRDefault="00845D57" w:rsidP="00845D57">
      <w:pPr>
        <w:jc w:val="right"/>
      </w:pPr>
      <w:r w:rsidRPr="00EB57D6">
        <w:t>[L’annexe V suit]</w:t>
      </w:r>
    </w:p>
    <w:p w:rsidR="00845D57" w:rsidRPr="00EB57D6" w:rsidRDefault="00845D57" w:rsidP="00845D57"/>
    <w:p w:rsidR="00845D57" w:rsidRPr="00EB57D6" w:rsidRDefault="00845D57" w:rsidP="00845D57">
      <w:pPr>
        <w:jc w:val="left"/>
        <w:sectPr w:rsidR="00845D57" w:rsidRPr="00EB57D6" w:rsidSect="009B2909">
          <w:headerReference w:type="default" r:id="rId23"/>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V</w:t>
      </w:r>
    </w:p>
    <w:p w:rsidR="00845D57" w:rsidRPr="00EB57D6" w:rsidRDefault="00845D57" w:rsidP="00845D57">
      <w:pPr>
        <w:jc w:val="center"/>
      </w:pPr>
    </w:p>
    <w:p w:rsidR="00845D57" w:rsidRPr="00EB57D6" w:rsidRDefault="00845D57" w:rsidP="00845D57">
      <w:pPr>
        <w:jc w:val="center"/>
      </w:pPr>
    </w:p>
    <w:p w:rsidR="00AE5439" w:rsidRPr="00EB57D6" w:rsidRDefault="007B4801" w:rsidP="00AE5439">
      <w:pPr>
        <w:jc w:val="center"/>
        <w:rPr>
          <w:sz w:val="18"/>
        </w:rPr>
      </w:pPr>
      <w:r>
        <w:t>LITUANIE</w:t>
      </w:r>
    </w:p>
    <w:p w:rsidR="00AE5439" w:rsidRPr="00EB57D6" w:rsidRDefault="00AE5439" w:rsidP="00AE5439">
      <w:pPr>
        <w:jc w:val="center"/>
        <w:rPr>
          <w:sz w:val="18"/>
        </w:rPr>
      </w:pPr>
    </w:p>
    <w:p w:rsidR="00AE5439" w:rsidRPr="00EB57D6" w:rsidRDefault="00AE5439" w:rsidP="00AE5439">
      <w:pPr>
        <w:jc w:val="center"/>
        <w:rPr>
          <w:sz w:val="18"/>
        </w:rPr>
      </w:pPr>
    </w:p>
    <w:p w:rsidR="006D313F" w:rsidRPr="006D313F" w:rsidRDefault="006D313F" w:rsidP="006D313F">
      <w:r w:rsidRPr="006D313F">
        <w:t>I.</w:t>
      </w:r>
      <w:r w:rsidRPr="006D313F">
        <w:tab/>
        <w:t>PROTECTION DES OBTENTIONS VÉGÉTALES</w:t>
      </w:r>
    </w:p>
    <w:p w:rsidR="006D313F" w:rsidRPr="006D313F" w:rsidRDefault="006D313F" w:rsidP="006D313F"/>
    <w:p w:rsidR="006D313F" w:rsidRPr="006D313F" w:rsidRDefault="006D313F" w:rsidP="006D313F">
      <w:pPr>
        <w:rPr>
          <w:rFonts w:cs="Arial"/>
        </w:rPr>
      </w:pPr>
      <w:r w:rsidRPr="006D313F">
        <w:rPr>
          <w:rFonts w:cs="Arial"/>
        </w:rPr>
        <w:t>1.</w:t>
      </w:r>
      <w:r w:rsidRPr="006D313F">
        <w:rPr>
          <w:rFonts w:cs="Arial"/>
        </w:rPr>
        <w:tab/>
      </w:r>
      <w:r w:rsidRPr="006D313F">
        <w:rPr>
          <w:rFonts w:cs="Arial"/>
          <w:u w:val="single"/>
        </w:rPr>
        <w:t>Situation dans le domaine législatif</w:t>
      </w:r>
    </w:p>
    <w:p w:rsidR="006D313F" w:rsidRPr="006D313F" w:rsidRDefault="006D313F" w:rsidP="006D313F">
      <w:pPr>
        <w:rPr>
          <w:rFonts w:cs="Arial"/>
        </w:rPr>
      </w:pPr>
    </w:p>
    <w:p w:rsidR="006D313F" w:rsidRPr="006D313F" w:rsidRDefault="006D313F" w:rsidP="006D313F">
      <w:pPr>
        <w:rPr>
          <w:rFonts w:cs="Arial"/>
        </w:rPr>
      </w:pPr>
      <w:r w:rsidRPr="006D313F">
        <w:rPr>
          <w:rFonts w:cs="Arial"/>
        </w:rPr>
        <w:t>1.1</w:t>
      </w:r>
      <w:r w:rsidRPr="006D313F">
        <w:rPr>
          <w:rFonts w:cs="Arial"/>
        </w:rPr>
        <w:tab/>
        <w:t>Modifications de la loi et des textes d’application :</w:t>
      </w:r>
    </w:p>
    <w:p w:rsidR="006D313F" w:rsidRPr="006D313F" w:rsidRDefault="006D313F" w:rsidP="006D313F">
      <w:pPr>
        <w:rPr>
          <w:rFonts w:cs="Arial"/>
        </w:rPr>
      </w:pPr>
    </w:p>
    <w:p w:rsidR="006D313F" w:rsidRPr="006D313F" w:rsidRDefault="006D313F" w:rsidP="006D313F">
      <w:pPr>
        <w:ind w:left="567" w:hanging="567"/>
      </w:pPr>
      <w:r w:rsidRPr="006D313F">
        <w:rPr>
          <w:rFonts w:cs="Arial"/>
        </w:rPr>
        <w:t>–</w:t>
      </w:r>
      <w:r w:rsidRPr="006D313F">
        <w:tab/>
        <w:t>Loi sur la protection des obtentions végétales de la République de Lituanie n° IX-618 du 22 novembre 2001, modifiée en dernier lieu le 15 avril 2021;</w:t>
      </w:r>
    </w:p>
    <w:p w:rsidR="006D313F" w:rsidRPr="006D313F" w:rsidRDefault="006D313F" w:rsidP="006D313F">
      <w:pPr>
        <w:ind w:left="567" w:hanging="567"/>
      </w:pPr>
    </w:p>
    <w:p w:rsidR="006D313F" w:rsidRPr="006D313F" w:rsidRDefault="006D313F" w:rsidP="006D313F">
      <w:pPr>
        <w:ind w:left="567" w:hanging="567"/>
      </w:pPr>
      <w:r w:rsidRPr="006D313F">
        <w:rPr>
          <w:rFonts w:cs="Arial"/>
        </w:rPr>
        <w:t>–</w:t>
      </w:r>
      <w:r w:rsidRPr="006D313F">
        <w:tab/>
        <w:t>Règlement n° 1458 du Gouvernement de la République de Lituanie du 15 décembre 2000 relatif au montant des taxes;</w:t>
      </w:r>
    </w:p>
    <w:p w:rsidR="006D313F" w:rsidRPr="006D313F" w:rsidRDefault="006D313F" w:rsidP="006D313F">
      <w:pPr>
        <w:ind w:left="567" w:hanging="567"/>
      </w:pPr>
    </w:p>
    <w:p w:rsidR="006D313F" w:rsidRPr="006D313F" w:rsidRDefault="006D313F" w:rsidP="006D313F">
      <w:pPr>
        <w:ind w:left="567" w:hanging="567"/>
      </w:pPr>
      <w:r w:rsidRPr="006D313F">
        <w:rPr>
          <w:rFonts w:cs="Arial"/>
        </w:rPr>
        <w:t>–</w:t>
      </w:r>
      <w:r w:rsidRPr="006D313F">
        <w:tab/>
        <w:t>Décision n° A1-50 du directeur du Service des obtentions végétales du Ministère de l’agriculture du 8 août 2010, relative à l’approbation du formulaire de demande de protection des obtentions végétales;</w:t>
      </w:r>
    </w:p>
    <w:p w:rsidR="006D313F" w:rsidRPr="006D313F" w:rsidRDefault="006D313F" w:rsidP="006D313F">
      <w:pPr>
        <w:ind w:left="567" w:hanging="567"/>
      </w:pPr>
    </w:p>
    <w:p w:rsidR="006D313F" w:rsidRPr="006D313F" w:rsidRDefault="006D313F" w:rsidP="006D313F">
      <w:pPr>
        <w:ind w:left="567" w:hanging="567"/>
      </w:pPr>
      <w:r w:rsidRPr="006D313F">
        <w:rPr>
          <w:rFonts w:cs="Arial"/>
        </w:rPr>
        <w:t>–</w:t>
      </w:r>
      <w:r w:rsidRPr="006D313F">
        <w:tab/>
        <w:t>Décret n° 3 D 371 du ministre de l’agriculture de la République de Lituanie du 23 juin 2004 relatif à la rémunération.</w:t>
      </w:r>
    </w:p>
    <w:p w:rsidR="006D313F" w:rsidRPr="006D313F" w:rsidRDefault="006D313F" w:rsidP="006D313F">
      <w:pPr>
        <w:ind w:left="567" w:hanging="567"/>
      </w:pPr>
    </w:p>
    <w:p w:rsidR="006D313F" w:rsidRPr="006D313F" w:rsidRDefault="006D313F" w:rsidP="006D313F">
      <w:pPr>
        <w:rPr>
          <w:rFonts w:cs="Arial"/>
        </w:rPr>
      </w:pPr>
      <w:r w:rsidRPr="006D313F">
        <w:rPr>
          <w:rFonts w:cs="Arial"/>
        </w:rPr>
        <w:t>1.2</w:t>
      </w:r>
      <w:r w:rsidRPr="006D313F">
        <w:rPr>
          <w:rFonts w:cs="Arial"/>
        </w:rPr>
        <w:tab/>
        <w:t>Extension de la protection à d’autres genres et espèces (effectuée ou prévue) :</w:t>
      </w:r>
    </w:p>
    <w:p w:rsidR="006D313F" w:rsidRPr="006D313F" w:rsidRDefault="006D313F" w:rsidP="006D313F">
      <w:pPr>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Conformément aux modifications de la loi sur la protection des obtentions végétales de la République de Lituanie en date du 26 avril 2012, les variétés de tous les genres et espèces pourraient être protégées en République de Lituanie.</w:t>
      </w:r>
    </w:p>
    <w:p w:rsidR="006D313F" w:rsidRPr="006D313F" w:rsidRDefault="006D313F" w:rsidP="006D313F">
      <w:pPr>
        <w:ind w:left="567" w:hanging="567"/>
        <w:rPr>
          <w:rFonts w:cs="Arial"/>
        </w:rPr>
      </w:pPr>
    </w:p>
    <w:p w:rsidR="006D313F" w:rsidRPr="006D313F" w:rsidRDefault="006D313F" w:rsidP="006D313F">
      <w:pPr>
        <w:rPr>
          <w:rFonts w:cs="Arial"/>
        </w:rPr>
      </w:pPr>
      <w:r w:rsidRPr="006D313F">
        <w:rPr>
          <w:rFonts w:cs="Arial"/>
        </w:rPr>
        <w:t>1.3</w:t>
      </w:r>
      <w:r w:rsidRPr="006D313F">
        <w:rPr>
          <w:rFonts w:cs="Arial"/>
        </w:rPr>
        <w:tab/>
        <w:t>Jurisprudence :</w:t>
      </w:r>
    </w:p>
    <w:p w:rsidR="006D313F" w:rsidRPr="006D313F" w:rsidRDefault="006D313F" w:rsidP="006D313F">
      <w:pPr>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Il n’existe pas de jurisprudence relative à la protection des obtentions végétales en Lituanie pour 2020.</w:t>
      </w:r>
    </w:p>
    <w:p w:rsidR="006D313F" w:rsidRPr="006D313F" w:rsidRDefault="006D313F" w:rsidP="006D313F">
      <w:pPr>
        <w:ind w:left="567" w:hanging="567"/>
        <w:rPr>
          <w:rFonts w:cs="Arial"/>
        </w:rPr>
      </w:pPr>
    </w:p>
    <w:p w:rsidR="006D313F" w:rsidRPr="006D313F" w:rsidRDefault="006D313F" w:rsidP="006D313F">
      <w:pPr>
        <w:ind w:left="567" w:hanging="567"/>
        <w:rPr>
          <w:rFonts w:cs="Arial"/>
        </w:rPr>
      </w:pPr>
    </w:p>
    <w:p w:rsidR="006D313F" w:rsidRPr="006D313F" w:rsidRDefault="006D313F" w:rsidP="006D313F">
      <w:pPr>
        <w:rPr>
          <w:rFonts w:cs="Arial"/>
          <w:u w:val="single"/>
        </w:rPr>
      </w:pPr>
      <w:r w:rsidRPr="006D313F">
        <w:rPr>
          <w:rFonts w:cs="Arial"/>
        </w:rPr>
        <w:t>2.</w:t>
      </w:r>
      <w:r w:rsidRPr="006D313F">
        <w:rPr>
          <w:rFonts w:cs="Arial"/>
        </w:rPr>
        <w:tab/>
      </w:r>
      <w:r w:rsidRPr="006D313F">
        <w:rPr>
          <w:rFonts w:cs="Arial"/>
          <w:u w:val="single"/>
        </w:rPr>
        <w:t>Coopération en matière d’examen</w:t>
      </w:r>
    </w:p>
    <w:p w:rsidR="006D313F" w:rsidRPr="006D313F" w:rsidRDefault="006D313F" w:rsidP="006D313F">
      <w:pPr>
        <w:rPr>
          <w:rFonts w:cs="Arial"/>
        </w:rPr>
      </w:pPr>
    </w:p>
    <w:p w:rsidR="006D313F" w:rsidRPr="006D313F" w:rsidRDefault="006D313F" w:rsidP="006D313F">
      <w:pPr>
        <w:rPr>
          <w:rFonts w:cs="Arial"/>
        </w:rPr>
      </w:pPr>
      <w:r w:rsidRPr="006D313F">
        <w:rPr>
          <w:rFonts w:cs="Arial"/>
        </w:rPr>
        <w:t>Deux accords de coopération en matière d’examen ont été signés en Lituanie :</w:t>
      </w:r>
    </w:p>
    <w:p w:rsidR="006D313F" w:rsidRPr="006D313F" w:rsidRDefault="006D313F" w:rsidP="006D313F">
      <w:pPr>
        <w:rPr>
          <w:rFonts w:cs="Arial"/>
        </w:rPr>
      </w:pPr>
    </w:p>
    <w:p w:rsidR="006D313F" w:rsidRPr="006D313F" w:rsidRDefault="006D313F" w:rsidP="006D313F">
      <w:pPr>
        <w:ind w:left="567" w:hanging="567"/>
      </w:pPr>
      <w:r w:rsidRPr="006D313F">
        <w:rPr>
          <w:rFonts w:cs="Arial"/>
        </w:rPr>
        <w:t>–</w:t>
      </w:r>
      <w:r w:rsidRPr="006D313F">
        <w:tab/>
        <w:t>L’accord bilatéral du 11 août 2000 avec le Centre de recherche polonais pour les essais de cultivars (COBORU), relatif aux essais DHS, a été modifié le 14 novembre 2012 par l’accord d’administration n° 1/2012/19T-247;</w:t>
      </w:r>
    </w:p>
    <w:p w:rsidR="006D313F" w:rsidRPr="006D313F" w:rsidRDefault="006D313F" w:rsidP="006D313F">
      <w:pPr>
        <w:ind w:left="567" w:hanging="567"/>
      </w:pPr>
    </w:p>
    <w:p w:rsidR="006D313F" w:rsidRPr="006D313F" w:rsidRDefault="006D313F" w:rsidP="006D313F">
      <w:pPr>
        <w:ind w:left="567" w:hanging="567"/>
      </w:pPr>
      <w:r w:rsidRPr="006D313F">
        <w:rPr>
          <w:rFonts w:cs="Arial"/>
        </w:rPr>
        <w:t>–</w:t>
      </w:r>
      <w:r w:rsidRPr="006D313F">
        <w:tab/>
        <w:t xml:space="preserve">L’accord n° 10 signé le 30 juin 2006 avec le </w:t>
      </w:r>
      <w:proofErr w:type="spellStart"/>
      <w:r w:rsidRPr="006D313F">
        <w:t>Bundessortenamt</w:t>
      </w:r>
      <w:proofErr w:type="spellEnd"/>
      <w:r w:rsidRPr="006D313F">
        <w:t xml:space="preserve"> (Office fédéral des variétés végétales), Allemagne, relatif à la transmission des résultats d’examens techniques pour ce qui est des examens DHS, a été modifié le 18 octobre 2010 par l’accord n° 19T-98.</w:t>
      </w:r>
    </w:p>
    <w:p w:rsidR="006D313F" w:rsidRPr="006D313F" w:rsidRDefault="006D313F" w:rsidP="006D313F">
      <w:pPr>
        <w:ind w:left="567" w:hanging="567"/>
      </w:pPr>
    </w:p>
    <w:p w:rsidR="006D313F" w:rsidRPr="006D313F" w:rsidRDefault="006D313F" w:rsidP="006D313F">
      <w:pPr>
        <w:ind w:left="567" w:hanging="567"/>
      </w:pPr>
    </w:p>
    <w:p w:rsidR="006D313F" w:rsidRPr="006D313F" w:rsidRDefault="006D313F" w:rsidP="006D313F">
      <w:pPr>
        <w:rPr>
          <w:rFonts w:cs="Arial"/>
          <w:u w:val="single"/>
        </w:rPr>
      </w:pPr>
      <w:r w:rsidRPr="006D313F">
        <w:rPr>
          <w:rFonts w:cs="Arial"/>
        </w:rPr>
        <w:t>3.</w:t>
      </w:r>
      <w:r w:rsidRPr="006D313F">
        <w:rPr>
          <w:rFonts w:cs="Arial"/>
        </w:rPr>
        <w:tab/>
      </w:r>
      <w:r w:rsidRPr="006D313F">
        <w:rPr>
          <w:rFonts w:cs="Arial"/>
          <w:u w:val="single"/>
        </w:rPr>
        <w:t>Situation dans le domaine administratif</w:t>
      </w:r>
    </w:p>
    <w:p w:rsidR="006D313F" w:rsidRPr="006D313F" w:rsidRDefault="006D313F" w:rsidP="006D313F">
      <w:pPr>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La Division des obtentions végétales relevant du Service des obtentions végétales du Ministère de l’agriculture de la République de Lituanie est responsable des essais, de l’établissement de la liste et de la protection juridique des variétés végétales;</w:t>
      </w:r>
    </w:p>
    <w:p w:rsidR="006D313F" w:rsidRPr="006D313F" w:rsidRDefault="006D313F" w:rsidP="006D313F">
      <w:pPr>
        <w:ind w:left="567" w:hanging="567"/>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La Commission pour l’évaluation des demandes de protection des obtentions, approuvée le 6 mai 2011 par la décision n° A1-141 du directeur du Service des obtentions végétales du Ministère de l’agriculture de la République de Lituanie, a été modifiée le 9 octobre 2020 par la décision n° </w:t>
      </w:r>
      <w:r w:rsidRPr="006D313F">
        <w:rPr>
          <w:rFonts w:cs="Arial"/>
          <w:lang w:val="fr-CH"/>
        </w:rPr>
        <w:t xml:space="preserve">A1-489 </w:t>
      </w:r>
      <w:r w:rsidRPr="006D313F">
        <w:rPr>
          <w:rFonts w:cs="Arial"/>
        </w:rPr>
        <w:t>du directeur du Service des obtentions végétales du Ministère de l’agriculture de la République de Lituanie;</w:t>
      </w:r>
    </w:p>
    <w:p w:rsidR="006D313F" w:rsidRPr="006D313F" w:rsidRDefault="006D313F" w:rsidP="006D313F">
      <w:pPr>
        <w:ind w:left="567" w:hanging="567"/>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L’octroi de la protection des obtentions végétales doit être approuvé par décision du directeur du Service des obtentions végétales du Ministère de l’agriculture de la République de Lituanie;</w:t>
      </w:r>
    </w:p>
    <w:p w:rsidR="006D313F" w:rsidRPr="006D313F" w:rsidRDefault="006D313F" w:rsidP="006D313F">
      <w:pPr>
        <w:ind w:left="567" w:hanging="567"/>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Les procédures et le système de protection des obtentions végétales sont définis par la loi sur la protection des obtentions végétales de la République de Lituanie.</w:t>
      </w:r>
    </w:p>
    <w:p w:rsidR="006D313F" w:rsidRPr="006D313F" w:rsidRDefault="006D313F" w:rsidP="006D313F">
      <w:pPr>
        <w:keepNext/>
        <w:rPr>
          <w:rFonts w:cs="Arial"/>
        </w:rPr>
      </w:pPr>
      <w:r w:rsidRPr="006D313F">
        <w:rPr>
          <w:rFonts w:cs="Arial"/>
        </w:rPr>
        <w:lastRenderedPageBreak/>
        <w:t>4.</w:t>
      </w:r>
      <w:r w:rsidRPr="006D313F">
        <w:rPr>
          <w:rFonts w:cs="Arial"/>
        </w:rPr>
        <w:tab/>
      </w:r>
      <w:r w:rsidRPr="006D313F">
        <w:rPr>
          <w:rFonts w:cs="Arial"/>
          <w:u w:val="single"/>
        </w:rPr>
        <w:t>Situation dans le domaine technique</w:t>
      </w:r>
    </w:p>
    <w:p w:rsidR="006D313F" w:rsidRPr="006D313F" w:rsidRDefault="006D313F" w:rsidP="006D313F">
      <w:pPr>
        <w:keepNext/>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Les examens DHS sont effectués par le Centre de recherche polonais pour les essais de cultivars (COBORU), conformément à l’accord d’administration n° 1/2012/19T-247, modifié le 14 novembre 2012, ou par l’autre autorité compétente de l’Union européenne conformément à la demande des obtenteurs.</w:t>
      </w:r>
    </w:p>
    <w:p w:rsidR="006D313F" w:rsidRPr="006D313F" w:rsidRDefault="006D313F" w:rsidP="006D313F">
      <w:pPr>
        <w:ind w:left="567" w:hanging="567"/>
        <w:rPr>
          <w:rFonts w:cs="Arial"/>
        </w:rPr>
      </w:pPr>
    </w:p>
    <w:p w:rsidR="006D313F" w:rsidRPr="006D313F" w:rsidRDefault="006D313F" w:rsidP="006D313F">
      <w:pPr>
        <w:ind w:left="567" w:hanging="567"/>
        <w:rPr>
          <w:rFonts w:cs="Arial"/>
        </w:rPr>
      </w:pPr>
    </w:p>
    <w:p w:rsidR="006D313F" w:rsidRPr="006D313F" w:rsidRDefault="006D313F" w:rsidP="006D313F">
      <w:pPr>
        <w:rPr>
          <w:rFonts w:cs="Arial"/>
          <w:u w:val="single"/>
        </w:rPr>
      </w:pPr>
      <w:r w:rsidRPr="006D313F">
        <w:rPr>
          <w:rFonts w:cs="Arial"/>
        </w:rPr>
        <w:t>5.</w:t>
      </w:r>
      <w:r w:rsidRPr="006D313F">
        <w:rPr>
          <w:rFonts w:cs="Arial"/>
        </w:rPr>
        <w:tab/>
      </w:r>
      <w:r w:rsidRPr="006D313F">
        <w:rPr>
          <w:rFonts w:cs="Arial"/>
          <w:u w:val="single"/>
        </w:rPr>
        <w:t>Activités de promotion de la protection des obtentions végétales</w:t>
      </w:r>
    </w:p>
    <w:p w:rsidR="006D313F" w:rsidRPr="006D313F" w:rsidRDefault="006D313F" w:rsidP="006D313F">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5"/>
        <w:gridCol w:w="850"/>
        <w:gridCol w:w="1560"/>
        <w:gridCol w:w="1842"/>
        <w:gridCol w:w="2410"/>
      </w:tblGrid>
      <w:tr w:rsidR="006D313F" w:rsidRPr="006D313F" w:rsidTr="00AA577D">
        <w:tc>
          <w:tcPr>
            <w:tcW w:w="1809" w:type="dxa"/>
            <w:shd w:val="clear" w:color="auto" w:fill="auto"/>
            <w:tcMar>
              <w:top w:w="28" w:type="dxa"/>
              <w:left w:w="57" w:type="dxa"/>
              <w:bottom w:w="28" w:type="dxa"/>
              <w:right w:w="57" w:type="dxa"/>
            </w:tcMar>
          </w:tcPr>
          <w:p w:rsidR="006D313F" w:rsidRPr="006D313F" w:rsidRDefault="006D313F" w:rsidP="00AA577D">
            <w:pPr>
              <w:jc w:val="left"/>
              <w:rPr>
                <w:rFonts w:cs="Arial"/>
                <w:sz w:val="16"/>
              </w:rPr>
            </w:pPr>
            <w:r w:rsidRPr="006D313F">
              <w:rPr>
                <w:rFonts w:cs="Arial"/>
                <w:sz w:val="16"/>
              </w:rPr>
              <w:t>Intitulé de l’activité</w:t>
            </w:r>
          </w:p>
        </w:tc>
        <w:tc>
          <w:tcPr>
            <w:tcW w:w="1305" w:type="dxa"/>
            <w:shd w:val="clear" w:color="auto" w:fill="auto"/>
            <w:tcMar>
              <w:top w:w="28" w:type="dxa"/>
              <w:left w:w="57" w:type="dxa"/>
              <w:bottom w:w="28" w:type="dxa"/>
              <w:right w:w="57" w:type="dxa"/>
            </w:tcMar>
          </w:tcPr>
          <w:p w:rsidR="006D313F" w:rsidRPr="006D313F" w:rsidRDefault="006D313F" w:rsidP="00AA577D">
            <w:pPr>
              <w:jc w:val="left"/>
              <w:rPr>
                <w:rFonts w:cs="Arial"/>
                <w:sz w:val="16"/>
              </w:rPr>
            </w:pPr>
            <w:r w:rsidRPr="006D313F">
              <w:rPr>
                <w:rFonts w:cs="Arial"/>
                <w:sz w:val="16"/>
              </w:rPr>
              <w:t>Date</w:t>
            </w:r>
          </w:p>
        </w:tc>
        <w:tc>
          <w:tcPr>
            <w:tcW w:w="850" w:type="dxa"/>
            <w:shd w:val="clear" w:color="auto" w:fill="auto"/>
            <w:tcMar>
              <w:top w:w="28" w:type="dxa"/>
              <w:left w:w="57" w:type="dxa"/>
              <w:bottom w:w="28" w:type="dxa"/>
              <w:right w:w="57" w:type="dxa"/>
            </w:tcMar>
          </w:tcPr>
          <w:p w:rsidR="006D313F" w:rsidRPr="006D313F" w:rsidRDefault="006D313F" w:rsidP="00AA577D">
            <w:pPr>
              <w:jc w:val="left"/>
              <w:rPr>
                <w:rFonts w:cs="Arial"/>
                <w:sz w:val="16"/>
              </w:rPr>
            </w:pPr>
            <w:r w:rsidRPr="006D313F">
              <w:rPr>
                <w:rFonts w:cs="Arial"/>
                <w:sz w:val="16"/>
              </w:rPr>
              <w:t>Lieu</w:t>
            </w:r>
          </w:p>
        </w:tc>
        <w:tc>
          <w:tcPr>
            <w:tcW w:w="1560" w:type="dxa"/>
            <w:shd w:val="clear" w:color="auto" w:fill="auto"/>
            <w:tcMar>
              <w:top w:w="28" w:type="dxa"/>
              <w:left w:w="57" w:type="dxa"/>
              <w:bottom w:w="28" w:type="dxa"/>
              <w:right w:w="57" w:type="dxa"/>
            </w:tcMar>
          </w:tcPr>
          <w:p w:rsidR="006D313F" w:rsidRPr="006D313F" w:rsidRDefault="006D313F" w:rsidP="00AA577D">
            <w:pPr>
              <w:jc w:val="left"/>
              <w:rPr>
                <w:rFonts w:cs="Arial"/>
                <w:sz w:val="16"/>
              </w:rPr>
            </w:pPr>
            <w:r w:rsidRPr="006D313F">
              <w:rPr>
                <w:rFonts w:cs="Arial"/>
                <w:sz w:val="16"/>
              </w:rPr>
              <w:t>Organisateur(s)</w:t>
            </w:r>
          </w:p>
        </w:tc>
        <w:tc>
          <w:tcPr>
            <w:tcW w:w="1842" w:type="dxa"/>
            <w:shd w:val="clear" w:color="auto" w:fill="auto"/>
            <w:tcMar>
              <w:top w:w="28" w:type="dxa"/>
              <w:left w:w="57" w:type="dxa"/>
              <w:bottom w:w="28" w:type="dxa"/>
              <w:right w:w="57" w:type="dxa"/>
            </w:tcMar>
          </w:tcPr>
          <w:p w:rsidR="006D313F" w:rsidRPr="006D313F" w:rsidRDefault="006D313F" w:rsidP="00AA577D">
            <w:pPr>
              <w:jc w:val="left"/>
              <w:rPr>
                <w:rFonts w:cs="Arial"/>
                <w:sz w:val="16"/>
              </w:rPr>
            </w:pPr>
            <w:r w:rsidRPr="006D313F">
              <w:rPr>
                <w:rFonts w:cs="Arial"/>
                <w:sz w:val="16"/>
              </w:rPr>
              <w:t>But de l’activité</w:t>
            </w:r>
          </w:p>
        </w:tc>
        <w:tc>
          <w:tcPr>
            <w:tcW w:w="2410" w:type="dxa"/>
            <w:shd w:val="clear" w:color="auto" w:fill="auto"/>
            <w:tcMar>
              <w:top w:w="28" w:type="dxa"/>
              <w:left w:w="57" w:type="dxa"/>
              <w:bottom w:w="28" w:type="dxa"/>
              <w:right w:w="57" w:type="dxa"/>
            </w:tcMar>
          </w:tcPr>
          <w:p w:rsidR="006D313F" w:rsidRPr="006D313F" w:rsidRDefault="006D313F" w:rsidP="00AA577D">
            <w:pPr>
              <w:jc w:val="left"/>
              <w:rPr>
                <w:rFonts w:cs="Arial"/>
                <w:sz w:val="16"/>
              </w:rPr>
            </w:pPr>
            <w:r w:rsidRPr="006D313F">
              <w:rPr>
                <w:rFonts w:cs="Arial"/>
                <w:sz w:val="16"/>
              </w:rPr>
              <w:t>Pays/organisations participants (nombre de participants de chacun d’eux)</w:t>
            </w:r>
          </w:p>
        </w:tc>
      </w:tr>
      <w:tr w:rsidR="006D313F" w:rsidRPr="006D313F" w:rsidTr="00AA577D">
        <w:tc>
          <w:tcPr>
            <w:tcW w:w="1809"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1. Réunion virtuelle du Conseil d’administration de l’OCVV</w:t>
            </w:r>
          </w:p>
        </w:tc>
        <w:tc>
          <w:tcPr>
            <w:tcW w:w="1305"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30</w:t>
            </w:r>
            <w:r>
              <w:rPr>
                <w:sz w:val="16"/>
              </w:rPr>
              <w:t xml:space="preserve"> </w:t>
            </w:r>
            <w:r w:rsidRPr="006D313F">
              <w:rPr>
                <w:sz w:val="16"/>
              </w:rPr>
              <w:t>septembre</w:t>
            </w:r>
            <w:r>
              <w:rPr>
                <w:sz w:val="16"/>
              </w:rPr>
              <w:t xml:space="preserve"> </w:t>
            </w:r>
            <w:r w:rsidRPr="006D313F">
              <w:rPr>
                <w:sz w:val="16"/>
              </w:rPr>
              <w:t>2020</w:t>
            </w:r>
          </w:p>
        </w:tc>
        <w:tc>
          <w:tcPr>
            <w:tcW w:w="85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Angers (France)</w:t>
            </w:r>
          </w:p>
        </w:tc>
        <w:tc>
          <w:tcPr>
            <w:tcW w:w="156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OCVV</w:t>
            </w:r>
          </w:p>
        </w:tc>
        <w:tc>
          <w:tcPr>
            <w:tcW w:w="1842"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Examiner les principales questions concernant la protection des obtentions végétales</w:t>
            </w:r>
          </w:p>
        </w:tc>
        <w:tc>
          <w:tcPr>
            <w:tcW w:w="241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Commission européenne (2), OCVV (7), UPOV (1), observateurs et États membres (32 au total)</w:t>
            </w:r>
          </w:p>
        </w:tc>
      </w:tr>
      <w:tr w:rsidR="006D313F" w:rsidRPr="006D313F" w:rsidTr="00AA577D">
        <w:tc>
          <w:tcPr>
            <w:tcW w:w="1809"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 xml:space="preserve">2. Réunion virtuelle du Comité administratif et juridique de l’UPOV </w:t>
            </w:r>
          </w:p>
        </w:tc>
        <w:tc>
          <w:tcPr>
            <w:tcW w:w="1305"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28</w:t>
            </w:r>
            <w:r>
              <w:rPr>
                <w:sz w:val="16"/>
              </w:rPr>
              <w:t xml:space="preserve"> </w:t>
            </w:r>
            <w:r w:rsidRPr="006D313F">
              <w:rPr>
                <w:sz w:val="16"/>
              </w:rPr>
              <w:t>octobre</w:t>
            </w:r>
            <w:r>
              <w:rPr>
                <w:sz w:val="16"/>
              </w:rPr>
              <w:t xml:space="preserve"> </w:t>
            </w:r>
            <w:r w:rsidRPr="006D313F">
              <w:rPr>
                <w:sz w:val="16"/>
              </w:rPr>
              <w:t>2020</w:t>
            </w:r>
          </w:p>
        </w:tc>
        <w:tc>
          <w:tcPr>
            <w:tcW w:w="85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Genève (Suisse)</w:t>
            </w:r>
          </w:p>
        </w:tc>
        <w:tc>
          <w:tcPr>
            <w:tcW w:w="156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UPOV</w:t>
            </w:r>
          </w:p>
        </w:tc>
        <w:tc>
          <w:tcPr>
            <w:tcW w:w="1842"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Examiner les principales questions concernant la protection des obtentions végétales</w:t>
            </w:r>
          </w:p>
        </w:tc>
        <w:tc>
          <w:tcPr>
            <w:tcW w:w="241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UPOV (7), Commission européenne (2), OCVV (3), parties contractantes, observateurs et organisations (68 au total)</w:t>
            </w:r>
          </w:p>
        </w:tc>
      </w:tr>
      <w:tr w:rsidR="006D313F" w:rsidRPr="006D313F" w:rsidTr="00AA577D">
        <w:tc>
          <w:tcPr>
            <w:tcW w:w="1809"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 xml:space="preserve">3. Réunion virtuelle du Comité consultatif de l’UPOV </w:t>
            </w:r>
          </w:p>
        </w:tc>
        <w:tc>
          <w:tcPr>
            <w:tcW w:w="1305"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29</w:t>
            </w:r>
            <w:r>
              <w:rPr>
                <w:sz w:val="16"/>
              </w:rPr>
              <w:t xml:space="preserve"> </w:t>
            </w:r>
            <w:r w:rsidRPr="006D313F">
              <w:rPr>
                <w:sz w:val="16"/>
              </w:rPr>
              <w:t>octobre</w:t>
            </w:r>
            <w:r>
              <w:rPr>
                <w:sz w:val="16"/>
              </w:rPr>
              <w:t xml:space="preserve"> </w:t>
            </w:r>
            <w:r w:rsidRPr="006D313F">
              <w:rPr>
                <w:sz w:val="16"/>
              </w:rPr>
              <w:t>2020</w:t>
            </w:r>
          </w:p>
        </w:tc>
        <w:tc>
          <w:tcPr>
            <w:tcW w:w="85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Genève (Suisse)</w:t>
            </w:r>
          </w:p>
        </w:tc>
        <w:tc>
          <w:tcPr>
            <w:tcW w:w="156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UPOV</w:t>
            </w:r>
          </w:p>
        </w:tc>
        <w:tc>
          <w:tcPr>
            <w:tcW w:w="1842"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Examiner les principales questions concernant la protection des obtentions végétales</w:t>
            </w:r>
          </w:p>
        </w:tc>
        <w:tc>
          <w:tcPr>
            <w:tcW w:w="241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UPOV (7), Commission européenne (2), OCVV (3), parties contractantes, observateurs et organisations (68 au total)</w:t>
            </w:r>
          </w:p>
        </w:tc>
      </w:tr>
      <w:tr w:rsidR="006D313F" w:rsidRPr="006D313F" w:rsidTr="00AA577D">
        <w:tc>
          <w:tcPr>
            <w:tcW w:w="1809"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 xml:space="preserve">4. Réunion virtuelle du Conseil de l’UPOV </w:t>
            </w:r>
          </w:p>
        </w:tc>
        <w:tc>
          <w:tcPr>
            <w:tcW w:w="1305"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30</w:t>
            </w:r>
            <w:r>
              <w:rPr>
                <w:sz w:val="16"/>
              </w:rPr>
              <w:t xml:space="preserve"> </w:t>
            </w:r>
            <w:r w:rsidRPr="006D313F">
              <w:rPr>
                <w:sz w:val="16"/>
              </w:rPr>
              <w:t>octobre</w:t>
            </w:r>
            <w:r>
              <w:rPr>
                <w:sz w:val="16"/>
              </w:rPr>
              <w:t xml:space="preserve"> </w:t>
            </w:r>
            <w:r w:rsidRPr="006D313F">
              <w:rPr>
                <w:sz w:val="16"/>
              </w:rPr>
              <w:t>2020</w:t>
            </w:r>
          </w:p>
        </w:tc>
        <w:tc>
          <w:tcPr>
            <w:tcW w:w="85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Genève (Suisse)</w:t>
            </w:r>
          </w:p>
        </w:tc>
        <w:tc>
          <w:tcPr>
            <w:tcW w:w="156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UPOV</w:t>
            </w:r>
          </w:p>
        </w:tc>
        <w:tc>
          <w:tcPr>
            <w:tcW w:w="1842"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Examiner les principales questions concernant la protection des obtentions végétales</w:t>
            </w:r>
          </w:p>
        </w:tc>
        <w:tc>
          <w:tcPr>
            <w:tcW w:w="241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UPOV (7), Commission européenne (2), OCVV (3), parties contractantes, observateurs et organisations (68 au total)</w:t>
            </w:r>
          </w:p>
        </w:tc>
      </w:tr>
      <w:tr w:rsidR="006D313F" w:rsidRPr="006D313F" w:rsidTr="00AA577D">
        <w:tc>
          <w:tcPr>
            <w:tcW w:w="1809"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Réunion virtuelle de l’OCVV avec les services d’examen</w:t>
            </w:r>
          </w:p>
        </w:tc>
        <w:tc>
          <w:tcPr>
            <w:tcW w:w="1305"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23</w:t>
            </w:r>
            <w:r>
              <w:rPr>
                <w:sz w:val="16"/>
              </w:rPr>
              <w:t xml:space="preserve"> </w:t>
            </w:r>
            <w:r w:rsidRPr="006D313F">
              <w:rPr>
                <w:sz w:val="16"/>
              </w:rPr>
              <w:t>décembre</w:t>
            </w:r>
            <w:r>
              <w:rPr>
                <w:sz w:val="16"/>
              </w:rPr>
              <w:t xml:space="preserve"> </w:t>
            </w:r>
            <w:r w:rsidRPr="006D313F">
              <w:rPr>
                <w:sz w:val="16"/>
              </w:rPr>
              <w:t>2020</w:t>
            </w:r>
          </w:p>
        </w:tc>
        <w:tc>
          <w:tcPr>
            <w:tcW w:w="85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Angers (France)</w:t>
            </w:r>
          </w:p>
          <w:p w:rsidR="006D313F" w:rsidRPr="006D313F" w:rsidRDefault="006D313F" w:rsidP="00AA577D">
            <w:pPr>
              <w:jc w:val="left"/>
              <w:rPr>
                <w:sz w:val="16"/>
              </w:rPr>
            </w:pPr>
          </w:p>
        </w:tc>
        <w:tc>
          <w:tcPr>
            <w:tcW w:w="156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OCVV</w:t>
            </w:r>
          </w:p>
        </w:tc>
        <w:tc>
          <w:tcPr>
            <w:tcW w:w="1842"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Examiner les principales questions concernant la protection des obtentions végétales</w:t>
            </w:r>
          </w:p>
        </w:tc>
        <w:tc>
          <w:tcPr>
            <w:tcW w:w="2410" w:type="dxa"/>
            <w:shd w:val="clear" w:color="auto" w:fill="auto"/>
            <w:tcMar>
              <w:top w:w="28" w:type="dxa"/>
              <w:left w:w="57" w:type="dxa"/>
              <w:bottom w:w="28" w:type="dxa"/>
              <w:right w:w="57" w:type="dxa"/>
            </w:tcMar>
          </w:tcPr>
          <w:p w:rsidR="006D313F" w:rsidRPr="006D313F" w:rsidRDefault="006D313F" w:rsidP="00AA577D">
            <w:pPr>
              <w:jc w:val="left"/>
              <w:rPr>
                <w:sz w:val="16"/>
              </w:rPr>
            </w:pPr>
            <w:r w:rsidRPr="006D313F">
              <w:rPr>
                <w:sz w:val="16"/>
              </w:rPr>
              <w:t>Commission européenne (2), OCVV (7), observateurs et États membres (71 au total)</w:t>
            </w:r>
          </w:p>
        </w:tc>
      </w:tr>
    </w:tbl>
    <w:p w:rsidR="006D313F" w:rsidRPr="006D313F" w:rsidRDefault="006D313F" w:rsidP="006D313F">
      <w:pPr>
        <w:rPr>
          <w:rFonts w:cs="Arial"/>
        </w:rPr>
      </w:pPr>
    </w:p>
    <w:p w:rsidR="006D313F" w:rsidRPr="006D313F" w:rsidRDefault="006D313F" w:rsidP="006D313F">
      <w:pPr>
        <w:ind w:left="567" w:hanging="567"/>
        <w:rPr>
          <w:rFonts w:cs="Arial"/>
        </w:rPr>
      </w:pPr>
      <w:r w:rsidRPr="006D313F">
        <w:rPr>
          <w:rFonts w:cs="Arial"/>
        </w:rPr>
        <w:t>–</w:t>
      </w:r>
      <w:r w:rsidRPr="006D313F">
        <w:rPr>
          <w:rFonts w:cs="Arial"/>
        </w:rPr>
        <w:tab/>
        <w:t>Le Bulletin d’information sur les droits d’obtenteur et la liste nationale des obtentions végétales n° 1 (33) relevant du Service des obtentions végétales du Ministère de l’agriculture de la République de Lituanie a été publié le 20 janvier 2020, et le n° 2 (34), le 1</w:t>
      </w:r>
      <w:r w:rsidRPr="006D313F">
        <w:rPr>
          <w:rFonts w:cs="Arial"/>
          <w:vertAlign w:val="superscript"/>
        </w:rPr>
        <w:t>er</w:t>
      </w:r>
      <w:r w:rsidRPr="006D313F">
        <w:rPr>
          <w:rFonts w:cs="Arial"/>
        </w:rPr>
        <w:t> juin 2020.</w:t>
      </w:r>
    </w:p>
    <w:p w:rsidR="006D313F" w:rsidRPr="006D313F" w:rsidRDefault="006D313F" w:rsidP="006D313F"/>
    <w:p w:rsidR="006D313F" w:rsidRPr="006D313F" w:rsidRDefault="006D313F" w:rsidP="006D313F"/>
    <w:p w:rsidR="006D313F" w:rsidRPr="006D313F" w:rsidRDefault="006D313F" w:rsidP="006D313F">
      <w:r w:rsidRPr="006D313F">
        <w:t>II.</w:t>
      </w:r>
      <w:r w:rsidRPr="006D313F">
        <w:tab/>
        <w:t>AUTRES ÉLÉMENTS NOUVEAUX PRÉSENTANT UN INTÉRÊT POUR L’UPOV</w:t>
      </w:r>
    </w:p>
    <w:p w:rsidR="006D313F" w:rsidRPr="006D313F" w:rsidRDefault="006D313F" w:rsidP="006D313F"/>
    <w:p w:rsidR="006D313F" w:rsidRPr="006D313F" w:rsidRDefault="006D313F" w:rsidP="006D313F">
      <w:pPr>
        <w:ind w:left="567" w:hanging="567"/>
        <w:rPr>
          <w:rFonts w:cs="Arial"/>
        </w:rPr>
      </w:pPr>
      <w:r w:rsidRPr="006D313F">
        <w:rPr>
          <w:rFonts w:cs="Arial"/>
        </w:rPr>
        <w:t>–</w:t>
      </w:r>
      <w:r w:rsidRPr="006D313F">
        <w:rPr>
          <w:rFonts w:cs="Arial"/>
        </w:rPr>
        <w:tab/>
        <w:t>La liste nationale des variétés végétales 2020 a été approuvée le 27 février 2020 par décision n° A1-75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6D313F" w:rsidRPr="006D313F" w:rsidRDefault="006D313F" w:rsidP="006D313F">
      <w:pPr>
        <w:rPr>
          <w:rFonts w:cs="Arial"/>
        </w:rPr>
      </w:pPr>
    </w:p>
    <w:p w:rsidR="00AE5439" w:rsidRPr="00EB57D6" w:rsidRDefault="00AE5439" w:rsidP="00AE5439">
      <w:pPr>
        <w:rPr>
          <w:sz w:val="18"/>
        </w:rPr>
      </w:pPr>
    </w:p>
    <w:p w:rsidR="00AE5439" w:rsidRPr="00EB57D6" w:rsidRDefault="00AE5439" w:rsidP="00845D57">
      <w:pPr>
        <w:jc w:val="left"/>
      </w:pPr>
    </w:p>
    <w:p w:rsidR="00845D57" w:rsidRPr="00EB57D6" w:rsidRDefault="00845D57" w:rsidP="00845D57">
      <w:pPr>
        <w:jc w:val="right"/>
      </w:pPr>
      <w:r w:rsidRPr="00EB57D6">
        <w:t>[L’annexe VI suit]</w:t>
      </w:r>
    </w:p>
    <w:p w:rsidR="00845D57" w:rsidRPr="00EB57D6" w:rsidRDefault="00845D57" w:rsidP="00845D57"/>
    <w:p w:rsidR="00845D57" w:rsidRPr="00EB57D6" w:rsidRDefault="00845D57" w:rsidP="00845D57">
      <w:pPr>
        <w:jc w:val="left"/>
        <w:sectPr w:rsidR="00845D57" w:rsidRPr="00EB57D6" w:rsidSect="009B2909">
          <w:headerReference w:type="default" r:id="rId24"/>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VI</w:t>
      </w:r>
    </w:p>
    <w:p w:rsidR="00845D57" w:rsidRPr="00EB57D6" w:rsidRDefault="00845D57" w:rsidP="00845D57">
      <w:pPr>
        <w:jc w:val="center"/>
      </w:pPr>
    </w:p>
    <w:p w:rsidR="00845D57" w:rsidRDefault="00845D57" w:rsidP="00845D57">
      <w:pPr>
        <w:jc w:val="center"/>
      </w:pPr>
    </w:p>
    <w:p w:rsidR="007B4801" w:rsidRDefault="007B4801" w:rsidP="00845D57">
      <w:pPr>
        <w:jc w:val="center"/>
      </w:pPr>
      <w:r>
        <w:t>MEXIQUE</w:t>
      </w:r>
    </w:p>
    <w:p w:rsidR="007B4801" w:rsidRDefault="007B4801" w:rsidP="00845D57">
      <w:pPr>
        <w:jc w:val="center"/>
      </w:pPr>
    </w:p>
    <w:p w:rsidR="007B4801" w:rsidRPr="00EB57D6" w:rsidRDefault="007B4801" w:rsidP="00845D57">
      <w:pPr>
        <w:jc w:val="center"/>
      </w:pPr>
    </w:p>
    <w:p w:rsidR="0002181C" w:rsidRPr="00281E02" w:rsidRDefault="0002181C" w:rsidP="0002181C">
      <w:r w:rsidRPr="00281E02">
        <w:t>PROTECTION DES OBTENTIONS VÉGÉTALES</w:t>
      </w:r>
    </w:p>
    <w:p w:rsidR="0002181C" w:rsidRPr="00281E02" w:rsidRDefault="0002181C" w:rsidP="0002181C"/>
    <w:p w:rsidR="0002181C" w:rsidRPr="00281E02" w:rsidRDefault="0002181C" w:rsidP="0002181C">
      <w:pPr>
        <w:rPr>
          <w:u w:val="single"/>
        </w:rPr>
      </w:pPr>
      <w:r w:rsidRPr="00281E02">
        <w:t>1.</w:t>
      </w:r>
      <w:r w:rsidRPr="00281E02">
        <w:tab/>
      </w:r>
      <w:r w:rsidRPr="00281E02">
        <w:rPr>
          <w:u w:val="single"/>
        </w:rPr>
        <w:t>Situation dans le domaine législatif</w:t>
      </w:r>
    </w:p>
    <w:p w:rsidR="0002181C" w:rsidRPr="00281E02" w:rsidRDefault="0002181C" w:rsidP="0002181C">
      <w:pPr>
        <w:rPr>
          <w:u w:val="single"/>
        </w:rPr>
      </w:pPr>
    </w:p>
    <w:p w:rsidR="0002181C" w:rsidRPr="00281E02" w:rsidRDefault="0002181C" w:rsidP="0002181C">
      <w:r w:rsidRPr="00281E02">
        <w:t xml:space="preserve">Le Mexique est partie à la Convention UPOV depuis août 1997 et la législation actuelle est conforme à l’Acte de 1978.  Toutefois, ces dernières années, des travaux ont été menés sur des propositions visant à modifier la loi fédérale de 1996 sur les </w:t>
      </w:r>
      <w:r>
        <w:t>variétés</w:t>
      </w:r>
      <w:r w:rsidRPr="00281E02">
        <w:t xml:space="preserve"> végétales.</w:t>
      </w:r>
    </w:p>
    <w:p w:rsidR="0002181C" w:rsidRPr="00281E02" w:rsidRDefault="0002181C" w:rsidP="0002181C"/>
    <w:p w:rsidR="0002181C" w:rsidRPr="00281E02" w:rsidRDefault="0002181C" w:rsidP="0002181C">
      <w:r>
        <w:t>1.1</w:t>
      </w:r>
      <w:r>
        <w:tab/>
      </w:r>
      <w:r w:rsidRPr="00281E02">
        <w:t>Modifications de la loi et du règlement</w:t>
      </w:r>
    </w:p>
    <w:p w:rsidR="0002181C" w:rsidRPr="00281E02" w:rsidRDefault="0002181C" w:rsidP="0002181C">
      <w:pPr>
        <w:ind w:left="567"/>
      </w:pPr>
    </w:p>
    <w:p w:rsidR="0002181C" w:rsidRPr="00281E02" w:rsidRDefault="0002181C" w:rsidP="0002181C">
      <w:pPr>
        <w:jc w:val="left"/>
      </w:pPr>
      <w:r w:rsidRPr="00281E02">
        <w:t xml:space="preserve">Le barème des taxes est mis à jour chaque année et peut être consulté à l’adresse suivante : </w:t>
      </w:r>
      <w:hyperlink r:id="rId25" w:history="1">
        <w:r w:rsidRPr="00281E02">
          <w:rPr>
            <w:rStyle w:val="Hyperlink"/>
            <w:rFonts w:cs="Arial"/>
          </w:rPr>
          <w:t>https://www.gob.mx/cms/uploads/attachment/file/606574/Cuotas-Derechos-2021.pdf</w:t>
        </w:r>
      </w:hyperlink>
      <w:r w:rsidRPr="00281E02">
        <w:t>.</w:t>
      </w:r>
    </w:p>
    <w:p w:rsidR="0002181C" w:rsidRPr="00281E02" w:rsidRDefault="0002181C" w:rsidP="0002181C"/>
    <w:p w:rsidR="0002181C" w:rsidRPr="00281E02" w:rsidRDefault="0002181C" w:rsidP="0002181C">
      <w:r>
        <w:t>1.2</w:t>
      </w:r>
      <w:r>
        <w:tab/>
      </w:r>
      <w:r w:rsidRPr="00281E02">
        <w:t>Extension de la protection à d’autres genres et espèces (effectuée ou prévue)</w:t>
      </w:r>
    </w:p>
    <w:p w:rsidR="0002181C" w:rsidRPr="00281E02" w:rsidRDefault="0002181C" w:rsidP="0002181C"/>
    <w:p w:rsidR="0002181C" w:rsidRPr="00281E02" w:rsidRDefault="0002181C" w:rsidP="0002181C">
      <w:r w:rsidRPr="00281E02">
        <w:t>Tous les genres et espèces sont protégés au Mexique depuis la publication de la loi.</w:t>
      </w:r>
    </w:p>
    <w:p w:rsidR="0002181C" w:rsidRPr="00281E02" w:rsidRDefault="0002181C" w:rsidP="0002181C"/>
    <w:p w:rsidR="0002181C" w:rsidRPr="00281E02" w:rsidRDefault="0002181C" w:rsidP="0002181C"/>
    <w:p w:rsidR="0002181C" w:rsidRPr="00281E02" w:rsidRDefault="0002181C" w:rsidP="0002181C">
      <w:pPr>
        <w:rPr>
          <w:u w:val="single"/>
        </w:rPr>
      </w:pPr>
      <w:r w:rsidRPr="00281E02">
        <w:t>2.</w:t>
      </w:r>
      <w:r w:rsidRPr="00281E02">
        <w:tab/>
      </w:r>
      <w:r w:rsidRPr="00281E02">
        <w:rPr>
          <w:u w:val="single"/>
        </w:rPr>
        <w:t>Coopération en matière d’examen</w:t>
      </w:r>
    </w:p>
    <w:p w:rsidR="0002181C" w:rsidRPr="00281E02" w:rsidRDefault="0002181C" w:rsidP="0002181C">
      <w:pPr>
        <w:rPr>
          <w:u w:val="single"/>
        </w:rPr>
      </w:pPr>
    </w:p>
    <w:p w:rsidR="0002181C" w:rsidRPr="00281E02" w:rsidRDefault="0002181C" w:rsidP="00276ED8">
      <w:pPr>
        <w:pStyle w:val="ListParagraph"/>
        <w:numPr>
          <w:ilvl w:val="0"/>
          <w:numId w:val="5"/>
        </w:numPr>
        <w:tabs>
          <w:tab w:val="left" w:pos="426"/>
        </w:tabs>
        <w:ind w:left="0" w:firstLine="0"/>
        <w:contextualSpacing/>
        <w:jc w:val="both"/>
        <w:rPr>
          <w:lang w:val="fr-FR"/>
        </w:rPr>
      </w:pPr>
      <w:r w:rsidRPr="00281E02">
        <w:rPr>
          <w:lang w:val="fr-FR"/>
        </w:rPr>
        <w:t>Amendements aux accords existants</w:t>
      </w:r>
    </w:p>
    <w:p w:rsidR="0002181C" w:rsidRPr="00281E02" w:rsidRDefault="0002181C" w:rsidP="0002181C">
      <w:pPr>
        <w:tabs>
          <w:tab w:val="left" w:pos="426"/>
        </w:tabs>
      </w:pPr>
    </w:p>
    <w:p w:rsidR="0002181C" w:rsidRPr="00281E02" w:rsidRDefault="0002181C" w:rsidP="0002181C">
      <w:pPr>
        <w:tabs>
          <w:tab w:val="left" w:pos="426"/>
        </w:tabs>
      </w:pPr>
      <w:r w:rsidRPr="00281E02">
        <w:t xml:space="preserve">L’accord de coopération technique entre l’Office communautaire des variétés végétales (OCVV) et le Service national d’inspection et de certification des semences (SNICS), signé en 2008, a été actualisé à </w:t>
      </w:r>
      <w:r>
        <w:t>plusieurs reprises;  l</w:t>
      </w:r>
      <w:r w:rsidRPr="00281E02">
        <w:t xml:space="preserve">a dernière </w:t>
      </w:r>
      <w:r>
        <w:t>extension</w:t>
      </w:r>
      <w:r w:rsidRPr="00281E02">
        <w:t xml:space="preserve"> couvre la période 2020-2025.  Dans le cadre de l’accord, l’examen de la distinction, de l’</w:t>
      </w:r>
      <w:r>
        <w:t>homogénéité et de la stabilité</w:t>
      </w:r>
      <w:r w:rsidRPr="00281E02">
        <w:t xml:space="preserve"> est effectué pour l’avocatier, le goyavier, le pignon de pin mexicain et le fruit du dragon.</w:t>
      </w:r>
    </w:p>
    <w:p w:rsidR="0002181C" w:rsidRPr="00281E02" w:rsidRDefault="0002181C" w:rsidP="0002181C"/>
    <w:p w:rsidR="0002181C" w:rsidRPr="00281E02" w:rsidRDefault="0002181C" w:rsidP="0002181C">
      <w:r w:rsidRPr="00281E02">
        <w:t xml:space="preserve">3. </w:t>
      </w:r>
      <w:r w:rsidRPr="00281E02">
        <w:tab/>
      </w:r>
      <w:r w:rsidRPr="00281E02">
        <w:rPr>
          <w:u w:val="single"/>
        </w:rPr>
        <w:t>Situation dans le domaine administratif</w:t>
      </w:r>
      <w:r w:rsidRPr="00281E02">
        <w:t> : Aucun élément nouveau.</w:t>
      </w:r>
    </w:p>
    <w:p w:rsidR="0002181C" w:rsidRPr="00281E02" w:rsidRDefault="0002181C" w:rsidP="0002181C"/>
    <w:p w:rsidR="0002181C" w:rsidRPr="00281E02" w:rsidRDefault="0002181C" w:rsidP="0002181C">
      <w:r w:rsidRPr="00281E02">
        <w:t xml:space="preserve">4. </w:t>
      </w:r>
      <w:r w:rsidRPr="00281E02">
        <w:tab/>
      </w:r>
      <w:r w:rsidRPr="00281E02">
        <w:rPr>
          <w:u w:val="single"/>
        </w:rPr>
        <w:t>Situation dans le domaine technique</w:t>
      </w:r>
      <w:r w:rsidRPr="00281E02">
        <w:t> : Aucun élément nouveau.</w:t>
      </w:r>
    </w:p>
    <w:p w:rsidR="0002181C" w:rsidRPr="00281E02" w:rsidRDefault="0002181C" w:rsidP="0002181C"/>
    <w:p w:rsidR="0002181C" w:rsidRPr="00281E02" w:rsidRDefault="0002181C" w:rsidP="0002181C">
      <w:pPr>
        <w:rPr>
          <w:u w:val="single"/>
        </w:rPr>
      </w:pPr>
      <w:r w:rsidRPr="00281E02">
        <w:t>5.</w:t>
      </w:r>
      <w:r w:rsidRPr="00281E02">
        <w:tab/>
      </w:r>
      <w:r w:rsidRPr="00281E02">
        <w:rPr>
          <w:u w:val="single"/>
        </w:rPr>
        <w:t>Activités de promotion de la protection des obtentions végétales</w:t>
      </w:r>
    </w:p>
    <w:p w:rsidR="0002181C" w:rsidRPr="00281E02" w:rsidRDefault="0002181C" w:rsidP="0002181C"/>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271"/>
        <w:gridCol w:w="992"/>
        <w:gridCol w:w="625"/>
        <w:gridCol w:w="1417"/>
        <w:gridCol w:w="2211"/>
        <w:gridCol w:w="1701"/>
        <w:gridCol w:w="1701"/>
      </w:tblGrid>
      <w:tr w:rsidR="0002181C" w:rsidRPr="00281E02" w:rsidTr="0002181C">
        <w:tc>
          <w:tcPr>
            <w:tcW w:w="1271" w:type="dxa"/>
          </w:tcPr>
          <w:p w:rsidR="0002181C" w:rsidRPr="00281E02" w:rsidRDefault="0002181C" w:rsidP="00AA577D">
            <w:pPr>
              <w:jc w:val="left"/>
              <w:rPr>
                <w:sz w:val="16"/>
                <w:szCs w:val="18"/>
              </w:rPr>
            </w:pPr>
            <w:r w:rsidRPr="00281E02">
              <w:rPr>
                <w:sz w:val="16"/>
                <w:szCs w:val="18"/>
              </w:rPr>
              <w:t>Intitulé de l’activité</w:t>
            </w:r>
          </w:p>
        </w:tc>
        <w:tc>
          <w:tcPr>
            <w:tcW w:w="992" w:type="dxa"/>
          </w:tcPr>
          <w:p w:rsidR="0002181C" w:rsidRPr="00281E02" w:rsidRDefault="0002181C" w:rsidP="00AA577D">
            <w:pPr>
              <w:jc w:val="left"/>
              <w:rPr>
                <w:sz w:val="16"/>
                <w:szCs w:val="18"/>
              </w:rPr>
            </w:pPr>
            <w:r w:rsidRPr="00281E02">
              <w:rPr>
                <w:sz w:val="16"/>
                <w:szCs w:val="18"/>
              </w:rPr>
              <w:t>Date</w:t>
            </w:r>
          </w:p>
        </w:tc>
        <w:tc>
          <w:tcPr>
            <w:tcW w:w="625" w:type="dxa"/>
          </w:tcPr>
          <w:p w:rsidR="0002181C" w:rsidRPr="00281E02" w:rsidRDefault="0002181C" w:rsidP="00AA577D">
            <w:pPr>
              <w:jc w:val="left"/>
              <w:rPr>
                <w:sz w:val="16"/>
                <w:szCs w:val="18"/>
              </w:rPr>
            </w:pPr>
            <w:r w:rsidRPr="00281E02">
              <w:rPr>
                <w:sz w:val="16"/>
                <w:szCs w:val="18"/>
              </w:rPr>
              <w:t>Lieu</w:t>
            </w:r>
          </w:p>
        </w:tc>
        <w:tc>
          <w:tcPr>
            <w:tcW w:w="1417" w:type="dxa"/>
          </w:tcPr>
          <w:p w:rsidR="0002181C" w:rsidRPr="00281E02" w:rsidRDefault="0002181C" w:rsidP="00AA577D">
            <w:pPr>
              <w:jc w:val="left"/>
              <w:rPr>
                <w:sz w:val="16"/>
                <w:szCs w:val="18"/>
              </w:rPr>
            </w:pPr>
            <w:r w:rsidRPr="00281E02">
              <w:rPr>
                <w:sz w:val="16"/>
                <w:szCs w:val="18"/>
              </w:rPr>
              <w:t>Organisateur(s)</w:t>
            </w:r>
          </w:p>
        </w:tc>
        <w:tc>
          <w:tcPr>
            <w:tcW w:w="2211" w:type="dxa"/>
          </w:tcPr>
          <w:p w:rsidR="0002181C" w:rsidRPr="00281E02" w:rsidRDefault="0002181C" w:rsidP="00AA577D">
            <w:pPr>
              <w:jc w:val="left"/>
              <w:rPr>
                <w:sz w:val="16"/>
                <w:szCs w:val="18"/>
              </w:rPr>
            </w:pPr>
            <w:r w:rsidRPr="00281E02">
              <w:rPr>
                <w:sz w:val="16"/>
                <w:szCs w:val="18"/>
              </w:rPr>
              <w:t>But de l’activité</w:t>
            </w:r>
          </w:p>
        </w:tc>
        <w:tc>
          <w:tcPr>
            <w:tcW w:w="1701" w:type="dxa"/>
          </w:tcPr>
          <w:p w:rsidR="0002181C" w:rsidRPr="00281E02" w:rsidRDefault="0002181C" w:rsidP="00AA577D">
            <w:pPr>
              <w:jc w:val="left"/>
              <w:rPr>
                <w:sz w:val="16"/>
                <w:szCs w:val="18"/>
              </w:rPr>
            </w:pPr>
            <w:r w:rsidRPr="00281E02">
              <w:rPr>
                <w:sz w:val="16"/>
                <w:szCs w:val="18"/>
              </w:rPr>
              <w:t>Pays/organisations participants (nombre de participants de chacun d’eux)</w:t>
            </w:r>
          </w:p>
        </w:tc>
        <w:tc>
          <w:tcPr>
            <w:tcW w:w="1701" w:type="dxa"/>
          </w:tcPr>
          <w:p w:rsidR="0002181C" w:rsidRPr="00281E02" w:rsidRDefault="0002181C" w:rsidP="00AA577D">
            <w:pPr>
              <w:jc w:val="left"/>
              <w:rPr>
                <w:sz w:val="16"/>
                <w:szCs w:val="18"/>
              </w:rPr>
            </w:pPr>
            <w:r w:rsidRPr="00281E02">
              <w:rPr>
                <w:sz w:val="16"/>
                <w:szCs w:val="18"/>
              </w:rPr>
              <w:t>Observations</w:t>
            </w:r>
          </w:p>
        </w:tc>
      </w:tr>
      <w:tr w:rsidR="0002181C" w:rsidRPr="00281E02" w:rsidTr="0002181C">
        <w:tc>
          <w:tcPr>
            <w:tcW w:w="1271" w:type="dxa"/>
          </w:tcPr>
          <w:p w:rsidR="0002181C" w:rsidRPr="00281E02" w:rsidRDefault="0002181C" w:rsidP="00AA577D">
            <w:pPr>
              <w:jc w:val="left"/>
              <w:rPr>
                <w:sz w:val="16"/>
                <w:szCs w:val="16"/>
              </w:rPr>
            </w:pPr>
            <w:r w:rsidRPr="00281E02">
              <w:rPr>
                <w:sz w:val="16"/>
                <w:szCs w:val="16"/>
              </w:rPr>
              <w:t>Forum sur l’application des droits d’obtenteur concernant les plantes potagères et les plantes ornementales</w:t>
            </w:r>
          </w:p>
        </w:tc>
        <w:tc>
          <w:tcPr>
            <w:tcW w:w="992" w:type="dxa"/>
          </w:tcPr>
          <w:p w:rsidR="0002181C" w:rsidRPr="00281E02" w:rsidRDefault="0002181C" w:rsidP="00AA577D">
            <w:pPr>
              <w:jc w:val="left"/>
              <w:rPr>
                <w:sz w:val="16"/>
                <w:szCs w:val="16"/>
              </w:rPr>
            </w:pPr>
            <w:r w:rsidRPr="00281E02">
              <w:rPr>
                <w:sz w:val="16"/>
                <w:szCs w:val="16"/>
              </w:rPr>
              <w:t>20 et 2</w:t>
            </w:r>
            <w:r>
              <w:rPr>
                <w:sz w:val="16"/>
                <w:szCs w:val="16"/>
              </w:rPr>
              <w:t xml:space="preserve">1 mai </w:t>
            </w:r>
            <w:r w:rsidRPr="00281E02">
              <w:rPr>
                <w:sz w:val="16"/>
                <w:szCs w:val="16"/>
              </w:rPr>
              <w:t>2021</w:t>
            </w:r>
          </w:p>
        </w:tc>
        <w:tc>
          <w:tcPr>
            <w:tcW w:w="625" w:type="dxa"/>
          </w:tcPr>
          <w:p w:rsidR="0002181C" w:rsidRPr="00281E02" w:rsidRDefault="0002181C" w:rsidP="00AA577D">
            <w:pPr>
              <w:jc w:val="left"/>
              <w:rPr>
                <w:sz w:val="16"/>
                <w:szCs w:val="16"/>
              </w:rPr>
            </w:pPr>
            <w:r w:rsidRPr="00281E02">
              <w:rPr>
                <w:sz w:val="16"/>
                <w:szCs w:val="16"/>
              </w:rPr>
              <w:t>Mexico, en ligne</w:t>
            </w:r>
          </w:p>
        </w:tc>
        <w:tc>
          <w:tcPr>
            <w:tcW w:w="1417" w:type="dxa"/>
          </w:tcPr>
          <w:p w:rsidR="0002181C" w:rsidRPr="00281E02" w:rsidRDefault="0002181C" w:rsidP="00AA577D">
            <w:pPr>
              <w:jc w:val="left"/>
              <w:rPr>
                <w:sz w:val="16"/>
                <w:szCs w:val="16"/>
              </w:rPr>
            </w:pPr>
            <w:r w:rsidRPr="00281E02">
              <w:rPr>
                <w:sz w:val="16"/>
                <w:szCs w:val="16"/>
              </w:rPr>
              <w:t>Le SNICS, le Comité mexicain du système de production des fleurs et des plantes ornementales, l’ambassade des Pays-Bas et le Service d’inspection de l’horticulture des Pays-Bas</w:t>
            </w:r>
          </w:p>
        </w:tc>
        <w:tc>
          <w:tcPr>
            <w:tcW w:w="2211" w:type="dxa"/>
          </w:tcPr>
          <w:p w:rsidR="0002181C" w:rsidRPr="00281E02" w:rsidRDefault="0002181C" w:rsidP="00AA577D">
            <w:pPr>
              <w:jc w:val="left"/>
              <w:rPr>
                <w:sz w:val="16"/>
                <w:szCs w:val="16"/>
              </w:rPr>
            </w:pPr>
            <w:r w:rsidRPr="00281E02">
              <w:rPr>
                <w:sz w:val="16"/>
                <w:szCs w:val="16"/>
              </w:rPr>
              <w:t xml:space="preserve">Analyser les facteurs stratégiques et réglementaires qui permettent le transfert et l’utilisation des innovations végétales au Mexique, </w:t>
            </w:r>
            <w:r>
              <w:rPr>
                <w:sz w:val="16"/>
                <w:szCs w:val="16"/>
              </w:rPr>
              <w:t>et promouvoir</w:t>
            </w:r>
            <w:r w:rsidRPr="00281E02">
              <w:rPr>
                <w:sz w:val="16"/>
                <w:szCs w:val="16"/>
              </w:rPr>
              <w:t xml:space="preserve"> l’utilisation de semences certifiées</w:t>
            </w:r>
          </w:p>
        </w:tc>
        <w:tc>
          <w:tcPr>
            <w:tcW w:w="1701" w:type="dxa"/>
          </w:tcPr>
          <w:p w:rsidR="0002181C" w:rsidRPr="00281E02" w:rsidRDefault="0002181C" w:rsidP="00AA577D">
            <w:pPr>
              <w:jc w:val="left"/>
              <w:rPr>
                <w:sz w:val="16"/>
                <w:szCs w:val="16"/>
              </w:rPr>
            </w:pPr>
            <w:r w:rsidRPr="00281E02">
              <w:rPr>
                <w:sz w:val="16"/>
                <w:szCs w:val="16"/>
              </w:rPr>
              <w:t>Mexique, Chili, Colombie</w:t>
            </w:r>
            <w:r>
              <w:rPr>
                <w:sz w:val="16"/>
                <w:szCs w:val="16"/>
              </w:rPr>
              <w:t>,</w:t>
            </w:r>
            <w:r w:rsidRPr="00281E02">
              <w:rPr>
                <w:sz w:val="16"/>
                <w:szCs w:val="16"/>
              </w:rPr>
              <w:t xml:space="preserve"> Équateur, République dominicaine, Pérou et Pays-Bas</w:t>
            </w:r>
          </w:p>
        </w:tc>
        <w:tc>
          <w:tcPr>
            <w:tcW w:w="1701" w:type="dxa"/>
          </w:tcPr>
          <w:p w:rsidR="0002181C" w:rsidRPr="00281E02" w:rsidRDefault="0002181C" w:rsidP="00AA577D">
            <w:pPr>
              <w:jc w:val="left"/>
              <w:rPr>
                <w:sz w:val="16"/>
                <w:szCs w:val="16"/>
              </w:rPr>
            </w:pPr>
            <w:r w:rsidRPr="00281E02">
              <w:rPr>
                <w:sz w:val="16"/>
                <w:szCs w:val="16"/>
              </w:rPr>
              <w:t xml:space="preserve">Il a été convenu lors du forum de créer un groupe de travail composé des différentes parties prenantes de la chaîne de valeur des plantes ornementales.  Des propositions ont également été examinées </w:t>
            </w:r>
            <w:r>
              <w:rPr>
                <w:sz w:val="16"/>
                <w:szCs w:val="16"/>
              </w:rPr>
              <w:t>sur</w:t>
            </w:r>
            <w:r w:rsidRPr="00281E02">
              <w:rPr>
                <w:sz w:val="16"/>
                <w:szCs w:val="16"/>
              </w:rPr>
              <w:t xml:space="preserve"> la manière de garantir l’application effective des droits d’obtenteur.</w:t>
            </w:r>
          </w:p>
        </w:tc>
      </w:tr>
    </w:tbl>
    <w:p w:rsidR="0002181C" w:rsidRPr="00281E02" w:rsidRDefault="0002181C" w:rsidP="0002181C"/>
    <w:p w:rsidR="00845D57" w:rsidRPr="00EB57D6" w:rsidRDefault="00845D57" w:rsidP="00845D57">
      <w:pPr>
        <w:jc w:val="left"/>
      </w:pPr>
    </w:p>
    <w:p w:rsidR="00900EAF" w:rsidRPr="00EB57D6" w:rsidRDefault="00900EAF" w:rsidP="00845D57">
      <w:pPr>
        <w:jc w:val="left"/>
      </w:pPr>
    </w:p>
    <w:p w:rsidR="00845D57" w:rsidRPr="00EB57D6" w:rsidRDefault="00845D57" w:rsidP="00845D57">
      <w:pPr>
        <w:jc w:val="right"/>
      </w:pPr>
      <w:r w:rsidRPr="00EB57D6">
        <w:t>[L’annexe VII suit]</w:t>
      </w:r>
    </w:p>
    <w:p w:rsidR="00845D57" w:rsidRPr="00EB57D6" w:rsidRDefault="00845D57" w:rsidP="00845D57"/>
    <w:p w:rsidR="00845D57" w:rsidRPr="00EB57D6" w:rsidRDefault="00845D57" w:rsidP="00845D57">
      <w:pPr>
        <w:jc w:val="left"/>
        <w:sectPr w:rsidR="00845D57" w:rsidRPr="00EB57D6" w:rsidSect="009B2909">
          <w:headerReference w:type="default" r:id="rId26"/>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VII</w:t>
      </w:r>
    </w:p>
    <w:p w:rsidR="00845D57" w:rsidRPr="00EB57D6" w:rsidRDefault="00845D57" w:rsidP="00845D57">
      <w:pPr>
        <w:jc w:val="center"/>
      </w:pPr>
    </w:p>
    <w:p w:rsidR="00845D57" w:rsidRPr="00EB57D6" w:rsidRDefault="00845D57" w:rsidP="00845D57">
      <w:pPr>
        <w:jc w:val="center"/>
      </w:pPr>
    </w:p>
    <w:p w:rsidR="00301CEC" w:rsidRPr="00EB57D6" w:rsidRDefault="007B4801" w:rsidP="00301CEC">
      <w:pPr>
        <w:jc w:val="center"/>
        <w:rPr>
          <w:sz w:val="18"/>
        </w:rPr>
      </w:pPr>
      <w:r>
        <w:t>NOUVELLE-ZÉLANDE</w:t>
      </w:r>
    </w:p>
    <w:p w:rsidR="00301CEC" w:rsidRPr="00EB57D6" w:rsidRDefault="00301CEC" w:rsidP="00301CEC">
      <w:pPr>
        <w:rPr>
          <w:sz w:val="18"/>
        </w:rPr>
      </w:pPr>
    </w:p>
    <w:p w:rsidR="00301CEC" w:rsidRPr="00EB57D6" w:rsidRDefault="00301CEC" w:rsidP="00301CEC">
      <w:pPr>
        <w:rPr>
          <w:sz w:val="18"/>
        </w:rPr>
      </w:pPr>
    </w:p>
    <w:p w:rsidR="00985D71" w:rsidRPr="00985D71" w:rsidRDefault="00985D71" w:rsidP="00985D71">
      <w:r w:rsidRPr="00985D71">
        <w:t>PROTECTION DES OBTENTIONS VÉGÉTALES</w:t>
      </w:r>
    </w:p>
    <w:p w:rsidR="00985D71" w:rsidRPr="00985D71" w:rsidRDefault="00985D71" w:rsidP="00985D71"/>
    <w:p w:rsidR="00985D71" w:rsidRPr="00985D71" w:rsidRDefault="00985D71" w:rsidP="00985D71">
      <w:r w:rsidRPr="00985D71">
        <w:t>1.</w:t>
      </w:r>
      <w:r w:rsidRPr="00985D71">
        <w:tab/>
      </w:r>
      <w:r w:rsidRPr="00985D71">
        <w:rPr>
          <w:u w:val="single"/>
        </w:rPr>
        <w:t>Situation dans le domaine législatif</w:t>
      </w:r>
    </w:p>
    <w:p w:rsidR="00985D71" w:rsidRPr="00985D71" w:rsidRDefault="00985D71" w:rsidP="00985D71"/>
    <w:p w:rsidR="00985D71" w:rsidRPr="00985D71" w:rsidRDefault="00985D71" w:rsidP="00985D71">
      <w:r w:rsidRPr="00985D71">
        <w:t>La loi de 1987 sur la protection des obtentions végétales reste en vigueur et est conforme à l’Acte de 1978 de la Convention.</w:t>
      </w:r>
    </w:p>
    <w:p w:rsidR="00985D71" w:rsidRPr="00985D71" w:rsidRDefault="00985D71" w:rsidP="00985D71"/>
    <w:p w:rsidR="00985D71" w:rsidRPr="00985D71" w:rsidRDefault="00985D71" w:rsidP="00985D71">
      <w:r w:rsidRPr="00985D71">
        <w:t>Le Gouvernement de la Nouvelle-Zélande a poursuivi la révision de la loi de 1987 sur la protection des obtentions végétales, mais les progrès prévus en 2020 ont été retardés par la pandémie.  Le nouveau projet de loi sur la protection des obtentions végétales a été présenté au Parlement en mai 2021 et a fait l’objet d’une première lecture.  Il a maintenant été renvoyé au Comité restreint du développement économique, de la science et de l’innovation pour examen.  Un document de réflexion concernant le nouveau règlement a été publié en août 2021 et des options et des conseils devraient être présentés au ministre à la fin de l’année 2021.  Des informations détaillées sur l’examen de la loi sur la protection des obtentions végétales sont disponibles à l’adresse</w:t>
      </w:r>
      <w:r>
        <w:t> :</w:t>
      </w:r>
    </w:p>
    <w:p w:rsidR="00985D71" w:rsidRPr="00985D71" w:rsidRDefault="00985D71" w:rsidP="00985D71">
      <w:hyperlink r:id="rId27" w:history="1">
        <w:r w:rsidRPr="00985D71">
          <w:rPr>
            <w:rStyle w:val="Hyperlink"/>
          </w:rPr>
          <w:t>https://www.mbie.govt.nz/business-and-employment/business/intellectual-property/plant-variety-rights/plant-variety-rights-act-review/</w:t>
        </w:r>
      </w:hyperlink>
      <w:r w:rsidRPr="00985D71">
        <w:t>.</w:t>
      </w:r>
    </w:p>
    <w:p w:rsidR="00985D71" w:rsidRPr="00985D71" w:rsidRDefault="00985D71" w:rsidP="00985D71"/>
    <w:p w:rsidR="00985D71" w:rsidRPr="00985D71" w:rsidRDefault="00985D71" w:rsidP="00985D71">
      <w:r w:rsidRPr="00985D71">
        <w:t>L’Office de la propriété intellectuelle de la Nouvelle-Zélande (IPONZ) a entamé un examen des taxes relatives aux droits d’obtenteur.  Un document de réflexion a été diffusé à des utilisateurs ciblés en août 2021 afin de recueillir des informations et de contribuer à l’élaboration d’options en matière de taxes.  Les options finales seront publiées pour une consultation publique plus large à la fin de 2021 ou au début de 2022.</w:t>
      </w:r>
    </w:p>
    <w:p w:rsidR="00985D71" w:rsidRPr="00985D71" w:rsidRDefault="00985D71" w:rsidP="00985D71"/>
    <w:p w:rsidR="00985D71" w:rsidRPr="00985D71" w:rsidRDefault="00985D71" w:rsidP="00985D71">
      <w:r w:rsidRPr="00985D71">
        <w:t>L’entrée en vigueur du nouveau règlement, tout comme de la majorité des dispositions du projet de loi et du nouveau barème des taxes relatives aux droits d’obtenteur, est prévue à la mi-2022.</w:t>
      </w:r>
    </w:p>
    <w:p w:rsidR="00985D71" w:rsidRPr="00985D71" w:rsidRDefault="00985D71" w:rsidP="00985D71"/>
    <w:p w:rsidR="00985D71" w:rsidRPr="00985D71" w:rsidRDefault="00985D71" w:rsidP="00985D71"/>
    <w:p w:rsidR="00985D71" w:rsidRPr="00985D71" w:rsidRDefault="00985D71" w:rsidP="00985D71">
      <w:pPr>
        <w:rPr>
          <w:u w:val="single"/>
        </w:rPr>
      </w:pPr>
      <w:r w:rsidRPr="00985D71">
        <w:t>2.</w:t>
      </w:r>
      <w:r w:rsidRPr="00985D71">
        <w:tab/>
      </w:r>
      <w:r w:rsidRPr="00985D71">
        <w:rPr>
          <w:u w:val="single"/>
        </w:rPr>
        <w:t>Coopération en matière d’examen</w:t>
      </w:r>
    </w:p>
    <w:p w:rsidR="00985D71" w:rsidRPr="00985D71" w:rsidRDefault="00985D71" w:rsidP="00985D71">
      <w:pPr>
        <w:rPr>
          <w:u w:val="single"/>
        </w:rPr>
      </w:pPr>
    </w:p>
    <w:p w:rsidR="00985D71" w:rsidRPr="00985D71" w:rsidRDefault="00985D71" w:rsidP="00985D71">
      <w:r w:rsidRPr="00985D71">
        <w:t>La Nouvelle-Zélande continue de se procurer des rapports d’examen auprès d’États membres, pour certaines espèces et sur demande, conformément aux dispositions générales de la Convention.  La Nouvelle-Zélande continue de fournir un rapport d’examen, sur demande d’une autorité et gratuitement.</w:t>
      </w:r>
    </w:p>
    <w:p w:rsidR="00985D71" w:rsidRPr="00985D71" w:rsidRDefault="00985D71" w:rsidP="00985D71"/>
    <w:p w:rsidR="00985D71" w:rsidRPr="00985D71" w:rsidRDefault="00985D71" w:rsidP="00985D71"/>
    <w:p w:rsidR="00985D71" w:rsidRPr="00985D71" w:rsidRDefault="00985D71" w:rsidP="00985D71">
      <w:pPr>
        <w:rPr>
          <w:u w:val="single"/>
        </w:rPr>
      </w:pPr>
      <w:r w:rsidRPr="00985D71">
        <w:t>3.</w:t>
      </w:r>
      <w:r w:rsidRPr="00985D71">
        <w:tab/>
      </w:r>
      <w:r w:rsidRPr="00985D71">
        <w:rPr>
          <w:u w:val="single"/>
        </w:rPr>
        <w:t>Situation dans le domaine administratif</w:t>
      </w:r>
    </w:p>
    <w:p w:rsidR="00985D71" w:rsidRPr="00985D71" w:rsidRDefault="00985D71" w:rsidP="00985D71"/>
    <w:p w:rsidR="00985D71" w:rsidRPr="00985D71" w:rsidRDefault="00985D71" w:rsidP="00985D71">
      <w:r w:rsidRPr="00985D71">
        <w:t>Durant l’exercice financier clos au 30 juin 2021, 116 demandes de droits d’o</w:t>
      </w:r>
      <w:r>
        <w:t>btenteur ont été acceptées (25% </w:t>
      </w:r>
      <w:r w:rsidRPr="00985D71">
        <w:t>de moins que l’année précédente), 88 titres ont été délivrés (11% de moins que l’année précédente) et 93 titres ont expiré (9% de moins que l’année précédente).  Au 30 juin 2021, 1289 </w:t>
      </w:r>
      <w:r>
        <w:t>titres étaient en vigueur (en </w:t>
      </w:r>
      <w:r w:rsidRPr="00985D71">
        <w:t>légère augmentation par rapport à l’année précédente).</w:t>
      </w:r>
    </w:p>
    <w:p w:rsidR="00985D71" w:rsidRPr="00985D71" w:rsidRDefault="00985D71" w:rsidP="00985D71"/>
    <w:p w:rsidR="00985D71" w:rsidRPr="00985D71" w:rsidRDefault="00985D71" w:rsidP="00985D71">
      <w:r w:rsidRPr="00985D71">
        <w:t>La baisse constante, ces dernières années, du nombre de demandes pour des variétés appartenant à des espèces utilisées comme plantes ornementales s’est inversée avec une augmentation de 50% du nombre de demandes pour ces variétés au cours de l’année écoulée.</w:t>
      </w:r>
    </w:p>
    <w:p w:rsidR="00985D71" w:rsidRPr="00985D71" w:rsidRDefault="00985D71" w:rsidP="00985D71"/>
    <w:p w:rsidR="00985D71" w:rsidRPr="00985D71" w:rsidRDefault="00985D71" w:rsidP="00985D71">
      <w:r w:rsidRPr="00985D71">
        <w:t>Les préparatifs ont commencé pour les changements opérationnels rendus nécessaires par l’application de la nouvelle loi attendue pour la mi-2022.  Cela fait suite à un vaste examen des activités opérationnelles et des fonctions du service qui a été mené en 2020 et 2021.  Les modifications des processus et des pratiques découleront des nouveaux éléments de la législation et de l’amélioration des pratiques existantes.</w:t>
      </w:r>
    </w:p>
    <w:p w:rsidR="00985D71" w:rsidRPr="00985D71" w:rsidRDefault="00985D71" w:rsidP="00985D71"/>
    <w:p w:rsidR="00985D71" w:rsidRPr="00985D71" w:rsidRDefault="00985D71" w:rsidP="00985D71">
      <w:r w:rsidRPr="00985D71">
        <w:t>En 2020, 40% des effectifs du service de protection des obtentions végétales ont changé, ce qui constitue un événement important pour une petite organisation.  Cela a été l’occasion de revoir la charge de travail des quatre examinateurs et de répartir l’expérience et les connaissances requises concernant les espèces entre plusieurs examinateurs.</w:t>
      </w:r>
    </w:p>
    <w:p w:rsidR="00985D71" w:rsidRPr="00985D71" w:rsidRDefault="00985D71" w:rsidP="00985D71"/>
    <w:p w:rsidR="00985D71" w:rsidRPr="00985D71" w:rsidRDefault="00985D71" w:rsidP="00985D71"/>
    <w:p w:rsidR="00985D71" w:rsidRPr="00985D71" w:rsidRDefault="00985D71" w:rsidP="00985D71">
      <w:pPr>
        <w:keepNext/>
        <w:keepLines/>
      </w:pPr>
      <w:r w:rsidRPr="00985D71">
        <w:lastRenderedPageBreak/>
        <w:t>4.</w:t>
      </w:r>
      <w:r w:rsidRPr="00985D71">
        <w:tab/>
      </w:r>
      <w:r w:rsidRPr="00985D71">
        <w:rPr>
          <w:u w:val="single"/>
        </w:rPr>
        <w:t>Situation dans le domaine technique</w:t>
      </w:r>
    </w:p>
    <w:p w:rsidR="00985D71" w:rsidRPr="00985D71" w:rsidRDefault="00985D71" w:rsidP="00985D71">
      <w:pPr>
        <w:keepNext/>
        <w:keepLines/>
      </w:pPr>
    </w:p>
    <w:p w:rsidR="00985D71" w:rsidRPr="00985D71" w:rsidRDefault="00985D71" w:rsidP="00985D71">
      <w:pPr>
        <w:keepNext/>
        <w:keepLines/>
      </w:pPr>
      <w:r w:rsidRPr="00985D71">
        <w:t xml:space="preserve">L’utilisation de rapports d’examen étrangers pour les variétés fruitières sélectionnées à l’étranger continue d’être un sujet de discussion important entre les demandeurs étrangers et les examinateurs.  Une série d’explications figure déjà sur le site Web, mais des informations supplémentaires semblent nécessaires.  Pour la première fois en 2020, un rapport d’examen étranger pour une variété de pommier a été utilisé pour la décision de la Nouvelle-Zélande.  Un projet d’évaluation de l’utilisation des rapports d’examen étrangers pour les variétés </w:t>
      </w:r>
      <w:r w:rsidRPr="00985D71">
        <w:rPr>
          <w:i/>
        </w:rPr>
        <w:t>Rubus</w:t>
      </w:r>
      <w:r w:rsidRPr="00985D71">
        <w:t xml:space="preserve"> sélectionnées à l’étranger est sur le point d’aboutir, le but étant de fournir une base plus objective concernant la possibilité d’utiliser ou non un rapport d’examen étranger pour une variété </w:t>
      </w:r>
      <w:r w:rsidRPr="00985D71">
        <w:rPr>
          <w:i/>
        </w:rPr>
        <w:t>Rubus</w:t>
      </w:r>
      <w:r w:rsidRPr="00985D71">
        <w:t xml:space="preserve"> donnée.</w:t>
      </w:r>
    </w:p>
    <w:p w:rsidR="00985D71" w:rsidRPr="00985D71" w:rsidRDefault="00985D71" w:rsidP="00985D71"/>
    <w:p w:rsidR="00985D71" w:rsidRPr="00985D71" w:rsidRDefault="00985D71" w:rsidP="00985D71">
      <w:r w:rsidRPr="00985D71">
        <w:t>Le Service de protection des obtentions végétales et le Ministère des industries primaires ont initié des réunions trimestrielles concernant l’importation de plantes et les exigences en matière de biosécurité.  Les réunions permettent d’améliorer l’information du service concernant l’évolution des exigences en matière d’importation et de quarantaine, et de mieux informer le ministère des espèces pour lesquelles des obtenteurs étrangers déposent des demandes de droit d’obtenteur.  L’examen par le ministère du protocole d’importation d’une espèce pourrait indiquer au service que l’examen des variétés étrangères de ce genre pourrait être retardé en raison des difficultés d’accès au matériel végétal de cette espèce.  Une augmentation des demandes de droits d’obtenteur pour les variétés d’une certaine espèce pourrait indiquer au ministère qu’il faut peut-être prêter attention aux règles d’importation pour cette espèce.  Les exigences en matière de biosécurité et la disponibilité du matériel végétal pour les variétés sélectionnées à l’étranger continuent d’être considérées comme un problème pour les importateurs de variétés et les obtenteurs nationaux.</w:t>
      </w:r>
    </w:p>
    <w:p w:rsidR="00985D71" w:rsidRPr="00985D71" w:rsidRDefault="00985D71" w:rsidP="00985D71"/>
    <w:p w:rsidR="00845D57" w:rsidRPr="00EB57D6" w:rsidRDefault="00845D57" w:rsidP="00845D57">
      <w:pPr>
        <w:jc w:val="left"/>
      </w:pPr>
    </w:p>
    <w:p w:rsidR="00301CEC" w:rsidRPr="00EB57D6" w:rsidRDefault="00301CEC" w:rsidP="00845D57">
      <w:pPr>
        <w:jc w:val="left"/>
      </w:pPr>
    </w:p>
    <w:p w:rsidR="00845D57" w:rsidRPr="00EB57D6" w:rsidRDefault="00845D57" w:rsidP="00845D57">
      <w:pPr>
        <w:jc w:val="right"/>
      </w:pPr>
      <w:r w:rsidRPr="00EB57D6">
        <w:t>[L’annexe VIII suit]</w:t>
      </w:r>
    </w:p>
    <w:p w:rsidR="00845D57" w:rsidRPr="00EB57D6" w:rsidRDefault="00845D57" w:rsidP="00845D57"/>
    <w:p w:rsidR="00845D57" w:rsidRPr="00EB57D6" w:rsidRDefault="00845D57" w:rsidP="00845D57">
      <w:pPr>
        <w:jc w:val="left"/>
        <w:sectPr w:rsidR="00845D57" w:rsidRPr="00EB57D6" w:rsidSect="009B2909">
          <w:headerReference w:type="default" r:id="rId28"/>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VIII</w:t>
      </w:r>
    </w:p>
    <w:p w:rsidR="00845D57" w:rsidRPr="00EB57D6" w:rsidRDefault="00845D57" w:rsidP="00845D57">
      <w:pPr>
        <w:jc w:val="center"/>
      </w:pPr>
    </w:p>
    <w:p w:rsidR="00845D57" w:rsidRPr="00EB57D6" w:rsidRDefault="00845D57" w:rsidP="00845D57">
      <w:pPr>
        <w:jc w:val="center"/>
      </w:pPr>
    </w:p>
    <w:p w:rsidR="005917D2" w:rsidRPr="00EB57D6" w:rsidRDefault="007B4801" w:rsidP="005917D2">
      <w:pPr>
        <w:jc w:val="center"/>
        <w:rPr>
          <w:sz w:val="18"/>
        </w:rPr>
      </w:pPr>
      <w:r>
        <w:t>POLOGNE</w:t>
      </w:r>
    </w:p>
    <w:p w:rsidR="003A266F" w:rsidRPr="003A266F" w:rsidRDefault="003A266F" w:rsidP="003A266F">
      <w:pPr>
        <w:tabs>
          <w:tab w:val="left" w:pos="4962"/>
        </w:tabs>
        <w:jc w:val="center"/>
        <w:rPr>
          <w:rFonts w:cs="Arial"/>
        </w:rPr>
      </w:pPr>
      <w:r w:rsidRPr="003A266F">
        <w:rPr>
          <w:rFonts w:cs="Arial"/>
        </w:rPr>
        <w:t>Période : 1</w:t>
      </w:r>
      <w:r w:rsidRPr="003A266F">
        <w:rPr>
          <w:rFonts w:cs="Arial"/>
          <w:vertAlign w:val="superscript"/>
        </w:rPr>
        <w:t>er</w:t>
      </w:r>
      <w:r w:rsidRPr="003A266F">
        <w:rPr>
          <w:rFonts w:cs="Arial"/>
        </w:rPr>
        <w:t> septembre 2020 – 31 août 2021</w:t>
      </w:r>
    </w:p>
    <w:p w:rsidR="003A266F" w:rsidRPr="003A266F" w:rsidRDefault="003A266F" w:rsidP="003A266F">
      <w:pPr>
        <w:tabs>
          <w:tab w:val="left" w:pos="4962"/>
        </w:tabs>
        <w:jc w:val="center"/>
        <w:rPr>
          <w:rFonts w:cs="Arial"/>
        </w:rPr>
      </w:pPr>
    </w:p>
    <w:p w:rsidR="003A266F" w:rsidRPr="003A266F" w:rsidRDefault="003A266F" w:rsidP="003A266F">
      <w:pPr>
        <w:tabs>
          <w:tab w:val="left" w:pos="4962"/>
        </w:tabs>
        <w:jc w:val="center"/>
        <w:rPr>
          <w:rFonts w:cs="Arial"/>
        </w:rPr>
      </w:pPr>
    </w:p>
    <w:p w:rsidR="003A266F" w:rsidRPr="003A266F" w:rsidRDefault="003A266F" w:rsidP="003A266F">
      <w:r w:rsidRPr="003A266F">
        <w:t>I.</w:t>
      </w:r>
      <w:r w:rsidRPr="003A266F">
        <w:tab/>
        <w:t>PROTECTION DES OBTENTIONS VÉGÉTALES</w:t>
      </w:r>
    </w:p>
    <w:p w:rsidR="003A266F" w:rsidRPr="003A266F" w:rsidRDefault="003A266F" w:rsidP="003A266F">
      <w:pPr>
        <w:tabs>
          <w:tab w:val="left" w:pos="4962"/>
        </w:tabs>
        <w:rPr>
          <w:rFonts w:cs="Arial"/>
          <w:u w:val="single"/>
        </w:rPr>
      </w:pPr>
    </w:p>
    <w:p w:rsidR="003A266F" w:rsidRPr="003A266F" w:rsidRDefault="003A266F" w:rsidP="003A266F">
      <w:pPr>
        <w:tabs>
          <w:tab w:val="left" w:pos="567"/>
          <w:tab w:val="left" w:pos="4962"/>
        </w:tabs>
        <w:rPr>
          <w:rFonts w:cs="Arial"/>
          <w:u w:val="single"/>
        </w:rPr>
      </w:pPr>
      <w:r w:rsidRPr="003A266F">
        <w:rPr>
          <w:rFonts w:cs="Arial"/>
        </w:rPr>
        <w:t>1.</w:t>
      </w:r>
      <w:r w:rsidRPr="003A266F">
        <w:rPr>
          <w:rFonts w:cs="Arial"/>
        </w:rPr>
        <w:tab/>
      </w:r>
      <w:r w:rsidRPr="003A266F">
        <w:rPr>
          <w:rFonts w:cs="Arial"/>
          <w:u w:val="single"/>
        </w:rPr>
        <w:t>Situation dans le domaine législatif</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La loi du 26 juin 2003 sur la protection juridique des variétés végétales (texte consolidé : Journal officiel de 2018, point 432, modifiée par le Journal officiel de 2020, point 288) constitue la base juridique du système de protection du droit d’obtenteur en Pologne.  Sa version consolidée a été publiée au Journal officiel de 2021, point 213.</w:t>
      </w:r>
    </w:p>
    <w:p w:rsidR="003A266F" w:rsidRPr="003A266F" w:rsidRDefault="003A266F" w:rsidP="003A266F">
      <w:pPr>
        <w:tabs>
          <w:tab w:val="left" w:pos="4962"/>
        </w:tabs>
        <w:rPr>
          <w:rFonts w:cs="Arial"/>
        </w:rPr>
      </w:pPr>
    </w:p>
    <w:p w:rsidR="003A266F" w:rsidRPr="003A266F" w:rsidRDefault="003A266F" w:rsidP="003A266F">
      <w:pPr>
        <w:rPr>
          <w:rFonts w:cs="Arial"/>
        </w:rPr>
      </w:pPr>
      <w:r w:rsidRPr="003A266F">
        <w:rPr>
          <w:rFonts w:cs="Arial"/>
        </w:rPr>
        <w:t xml:space="preserve">En vertu de la </w:t>
      </w:r>
      <w:r w:rsidRPr="003A266F">
        <w:rPr>
          <w:rFonts w:cs="Arial"/>
          <w:i/>
        </w:rPr>
        <w:t>loi du 13 février 2020 portant modification de la loi – Code de procédure civile et quelques autres lois</w:t>
      </w:r>
      <w:r w:rsidRPr="003A266F">
        <w:rPr>
          <w:rFonts w:cs="Arial"/>
        </w:rPr>
        <w:t xml:space="preserve"> (Journal officiel de 2020, point 288), qui est entrée en vigueur le 1</w:t>
      </w:r>
      <w:r w:rsidRPr="003A266F">
        <w:rPr>
          <w:rFonts w:cs="Arial"/>
          <w:vertAlign w:val="superscript"/>
        </w:rPr>
        <w:t>er</w:t>
      </w:r>
      <w:r w:rsidRPr="003A266F">
        <w:rPr>
          <w:rFonts w:cs="Arial"/>
        </w:rPr>
        <w:t> juillet 2020, le tribunal du district de Varsovie a été désigné juridiction compétente en matière de droits de propriété intellectuelle.</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La loi polonaise sur la protection des obtentions végétales est fondée sur l’Acte de 1991 de la Convention UPOV.  Depuis le 1</w:t>
      </w:r>
      <w:r w:rsidRPr="003A266F">
        <w:rPr>
          <w:rFonts w:cs="Arial"/>
          <w:vertAlign w:val="superscript"/>
        </w:rPr>
        <w:t>er</w:t>
      </w:r>
      <w:r w:rsidRPr="003A266F">
        <w:rPr>
          <w:rFonts w:cs="Arial"/>
        </w:rPr>
        <w:t> novembre 2000, tous les genres et espèces peuvent bénéficier de la protection prévue au titre des droits d’obtenteur en Pologne.</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En ce qui concerne les taxes, le décret du Ministère de l’agriculture et du développement rural du 17 février 2004 sur le montant des taxes pour le dépôt d’une demande de protection, l’examen DHS et la délivrance et le maintien des droits exclusifs (</w:t>
      </w:r>
      <w:hyperlink r:id="rId29" w:tgtFrame="_blank" w:history="1">
        <w:r w:rsidRPr="003A266F">
          <w:rPr>
            <w:rStyle w:val="Hyperlink"/>
            <w:rFonts w:cs="Arial"/>
            <w:color w:val="auto"/>
            <w:u w:val="none"/>
          </w:rPr>
          <w:t>Journal officiel n° 60 de 2004, point 567</w:t>
        </w:r>
      </w:hyperlink>
      <w:r w:rsidRPr="003A266F">
        <w:rPr>
          <w:rFonts w:cs="Arial"/>
        </w:rPr>
        <w:t xml:space="preserve">;  </w:t>
      </w:r>
      <w:hyperlink r:id="rId30" w:tgtFrame="_blank" w:history="1">
        <w:r w:rsidRPr="003A266F">
          <w:rPr>
            <w:rStyle w:val="Hyperlink"/>
            <w:rFonts w:cs="Arial"/>
            <w:color w:val="auto"/>
            <w:u w:val="none"/>
          </w:rPr>
          <w:t>Journal officiel de 2015, point 2166</w:t>
        </w:r>
      </w:hyperlink>
      <w:r w:rsidRPr="003A266F">
        <w:rPr>
          <w:rFonts w:cs="Arial"/>
        </w:rPr>
        <w:t>) s’applique.</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La Pologne est devenue membre de l’UPOV le 11 novembre 1989 et a été le vingt-quatrième État à adhérer à l’Acte de 1991 de la Convention UPOV, le 15 août 2003.</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p>
    <w:p w:rsidR="003A266F" w:rsidRPr="003A266F" w:rsidRDefault="003A266F" w:rsidP="003A266F">
      <w:pPr>
        <w:tabs>
          <w:tab w:val="left" w:pos="567"/>
          <w:tab w:val="left" w:pos="4962"/>
        </w:tabs>
        <w:rPr>
          <w:rFonts w:cs="Arial"/>
          <w:u w:val="single"/>
        </w:rPr>
      </w:pPr>
      <w:r w:rsidRPr="003A266F">
        <w:rPr>
          <w:rFonts w:cs="Arial"/>
        </w:rPr>
        <w:t>2.</w:t>
      </w:r>
      <w:r w:rsidRPr="003A266F">
        <w:rPr>
          <w:rFonts w:cs="Arial"/>
        </w:rPr>
        <w:tab/>
      </w:r>
      <w:r w:rsidRPr="003A266F">
        <w:rPr>
          <w:rFonts w:cs="Arial"/>
          <w:u w:val="single"/>
        </w:rPr>
        <w:t>Coopération en matière d’examen</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 xml:space="preserve">Le Centre de recherche pour l’examen des cultivars (COBORU) de </w:t>
      </w:r>
      <w:proofErr w:type="spellStart"/>
      <w:r w:rsidRPr="003A266F">
        <w:rPr>
          <w:rFonts w:cs="Arial"/>
        </w:rPr>
        <w:t>Słupia</w:t>
      </w:r>
      <w:proofErr w:type="spellEnd"/>
      <w:r w:rsidRPr="003A266F">
        <w:rPr>
          <w:rFonts w:cs="Arial"/>
        </w:rPr>
        <w:t xml:space="preserve"> </w:t>
      </w:r>
      <w:proofErr w:type="spellStart"/>
      <w:r w:rsidRPr="003A266F">
        <w:rPr>
          <w:rFonts w:cs="Arial"/>
        </w:rPr>
        <w:t>Wielka</w:t>
      </w:r>
      <w:proofErr w:type="spellEnd"/>
      <w:r w:rsidRPr="003A266F">
        <w:rPr>
          <w:rFonts w:cs="Arial"/>
        </w:rPr>
        <w:t xml:space="preserve"> continue de collaborer avec différents pays dans le domaine de l’examen technique.</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 xml:space="preserve">La Pologne a conclu des accords bilatéraux en matière d’examen DHS avec la Hongrie, la République tchèque et la Slovaquie.  Des accords unilatéraux avec le </w:t>
      </w:r>
      <w:proofErr w:type="spellStart"/>
      <w:r w:rsidRPr="003A266F">
        <w:rPr>
          <w:rFonts w:cs="Arial"/>
        </w:rPr>
        <w:t>Bélarus</w:t>
      </w:r>
      <w:proofErr w:type="spellEnd"/>
      <w:r w:rsidRPr="003A266F">
        <w:rPr>
          <w:rFonts w:cs="Arial"/>
        </w:rPr>
        <w:t>, l’Estonie, la Fédération de Russie, la Lettonie, la Lituanie, la Roumanie, la Slovénie, et l’Ukraine sont en vigueur.</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Pendant la période considérée, la Pologne a procédé à des examens DHS pour le compte des services des pays suivants : Autriche (2 variétés), Belgique (2 variétés), Estonie (18 variétés), Fédération de Russie (1 variété), France (1 variété), Hongrie (19 variétés), Lettonie (5 variétés), Lituanie (69 variétés), République tchèque (23 variétés), Roumanie (1 variété), Royaume-Uni (1 variété), Slovénie (9 variétés), Suède (1 variété), Suisse (23 variétés), ainsi que pour l’OCVV (109 variétés).</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Ces examens portaient sur différentes espèces de plantes agricoles (133 variétés), potagères (23 variétés), ornementales (93 variétés) et fruitières (35 variétés).</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Au total, 284 variétés ont fait l’objet d’un examen à la demande de ces services.</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Comme les années précédentes, certains services (Autriche, Canada, Danemark, Estonie, Fédération de Russie, France, Iran (République islamique d’), Lettonie, Lituanie, OCVV, Pays-Bas, République de Moldova, République tchèque, Roumanie, Royaume-Uni, Serbie, Slovénie, Suède, Suisse et Turquie) ont utilisé les résultats d’examens techniques du COBORU pour fonder leurs décisions dans le cadre de leurs procédures nationales.</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La Pologne a participé activement aux travaux relatifs à l’élaboration des protocoles techniques lors des réunions organisées par l’OCVV.</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p>
    <w:p w:rsidR="003A266F" w:rsidRPr="003A266F" w:rsidRDefault="003A266F" w:rsidP="003A266F">
      <w:pPr>
        <w:keepNext/>
        <w:tabs>
          <w:tab w:val="left" w:pos="567"/>
        </w:tabs>
        <w:rPr>
          <w:rFonts w:cs="Arial"/>
          <w:u w:val="single"/>
        </w:rPr>
      </w:pPr>
      <w:r w:rsidRPr="003A266F">
        <w:rPr>
          <w:rFonts w:cs="Arial"/>
        </w:rPr>
        <w:lastRenderedPageBreak/>
        <w:t xml:space="preserve">3. et 4. </w:t>
      </w:r>
      <w:r w:rsidRPr="003A266F">
        <w:rPr>
          <w:rFonts w:cs="Arial"/>
        </w:rPr>
        <w:tab/>
      </w:r>
      <w:r w:rsidRPr="003A266F">
        <w:rPr>
          <w:rFonts w:cs="Arial"/>
          <w:u w:val="single"/>
        </w:rPr>
        <w:t>Situation dans les domaines administratif et technique</w:t>
      </w:r>
    </w:p>
    <w:p w:rsidR="003A266F" w:rsidRPr="003A266F" w:rsidRDefault="003A266F" w:rsidP="003A266F">
      <w:pPr>
        <w:keepNext/>
        <w:tabs>
          <w:tab w:val="left" w:pos="567"/>
          <w:tab w:val="left" w:pos="4962"/>
        </w:tabs>
        <w:rPr>
          <w:rFonts w:cs="Arial"/>
          <w:u w:val="single"/>
        </w:rPr>
      </w:pPr>
    </w:p>
    <w:p w:rsidR="003A266F" w:rsidRPr="003A266F" w:rsidRDefault="003A266F" w:rsidP="003A266F">
      <w:pPr>
        <w:rPr>
          <w:rFonts w:cs="Arial"/>
        </w:rPr>
      </w:pPr>
      <w:r w:rsidRPr="003A266F">
        <w:rPr>
          <w:rFonts w:cs="Arial"/>
        </w:rPr>
        <w:t>Le COBORU procède aux essais aux fins de l’examen DHS des variétés dans 13 stations d’essais expérimentales qui sont réparties dans l’ensemble du pays.  Dans le cas des variétés fruitières, des essais sont également menés à l’Institut de recherche sur l’horticulture à Skierniewice.</w:t>
      </w:r>
    </w:p>
    <w:p w:rsidR="003A266F" w:rsidRPr="003A266F" w:rsidRDefault="003A266F" w:rsidP="003A266F">
      <w:pPr>
        <w:rPr>
          <w:rFonts w:cs="Arial"/>
        </w:rPr>
      </w:pPr>
    </w:p>
    <w:p w:rsidR="003A266F" w:rsidRPr="003A266F" w:rsidRDefault="003A266F" w:rsidP="003A266F">
      <w:pPr>
        <w:tabs>
          <w:tab w:val="left" w:pos="567"/>
          <w:tab w:val="left" w:pos="4962"/>
        </w:tabs>
        <w:rPr>
          <w:rFonts w:cs="Arial"/>
        </w:rPr>
      </w:pPr>
      <w:r w:rsidRPr="003A266F">
        <w:rPr>
          <w:rFonts w:cs="Arial"/>
        </w:rPr>
        <w:t>En 2020, 14 102 variétés relevant de 190 espèces végétales ont fait l’objet d’un examen (dont 12 931 variétés répertoriées dans des collections de référence vivantes et 1171 variétés candidates).</w:t>
      </w:r>
    </w:p>
    <w:p w:rsidR="003A266F" w:rsidRPr="003A266F" w:rsidRDefault="003A266F" w:rsidP="003A266F">
      <w:pPr>
        <w:tabs>
          <w:tab w:val="left" w:pos="567"/>
          <w:tab w:val="left" w:pos="4962"/>
        </w:tabs>
        <w:rPr>
          <w:rFonts w:cs="Arial"/>
        </w:rPr>
      </w:pPr>
    </w:p>
    <w:p w:rsidR="003A266F" w:rsidRPr="003A266F" w:rsidRDefault="003A266F" w:rsidP="003A266F">
      <w:pPr>
        <w:tabs>
          <w:tab w:val="left" w:pos="567"/>
          <w:tab w:val="left" w:pos="4962"/>
        </w:tabs>
        <w:rPr>
          <w:rFonts w:cs="Arial"/>
        </w:rPr>
      </w:pPr>
      <w:r w:rsidRPr="003A266F">
        <w:rPr>
          <w:rFonts w:cs="Arial"/>
        </w:rPr>
        <w:t>Le nombre de variétés ayant fait l’objet d’un examen DHS en Pologne est indiqué dans le graphique ci-dessous.</w:t>
      </w:r>
    </w:p>
    <w:p w:rsidR="003A266F" w:rsidRPr="003A266F" w:rsidRDefault="003A266F" w:rsidP="003A266F">
      <w:pPr>
        <w:tabs>
          <w:tab w:val="left" w:pos="567"/>
          <w:tab w:val="left" w:pos="4962"/>
        </w:tabs>
        <w:jc w:val="right"/>
        <w:rPr>
          <w:rFonts w:cs="Arial"/>
        </w:rPr>
      </w:pPr>
    </w:p>
    <w:p w:rsidR="003A266F" w:rsidRPr="003A266F" w:rsidRDefault="003A266F" w:rsidP="003A266F">
      <w:pPr>
        <w:pStyle w:val="Heading8"/>
        <w:rPr>
          <w:rFonts w:cs="Arial"/>
          <w:lang w:val="fr-FR"/>
        </w:rPr>
      </w:pPr>
      <w:r w:rsidRPr="003A266F">
        <w:rPr>
          <w:rFonts w:cs="Arial"/>
          <w:lang w:val="fr-FR"/>
        </w:rPr>
        <w:t>Nombre de variétés ayant fait l’objet d’un examen DHS en 2020</w:t>
      </w:r>
    </w:p>
    <w:p w:rsidR="003A266F" w:rsidRPr="003A266F" w:rsidRDefault="003A266F" w:rsidP="003A266F">
      <w:pPr>
        <w:rPr>
          <w:rFonts w:cs="Arial"/>
        </w:rPr>
      </w:pPr>
    </w:p>
    <w:p w:rsidR="003A266F" w:rsidRPr="003A266F" w:rsidRDefault="003A266F" w:rsidP="003A266F">
      <w:pPr>
        <w:jc w:val="center"/>
        <w:rPr>
          <w:rFonts w:cs="Arial"/>
        </w:rPr>
      </w:pPr>
      <w:r w:rsidRPr="003A266F">
        <w:drawing>
          <wp:inline distT="0" distB="0" distL="0" distR="0">
            <wp:extent cx="5565600" cy="354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65600" cy="3546000"/>
                    </a:xfrm>
                    <a:prstGeom prst="rect">
                      <a:avLst/>
                    </a:prstGeom>
                    <a:noFill/>
                    <a:ln>
                      <a:noFill/>
                    </a:ln>
                  </pic:spPr>
                </pic:pic>
              </a:graphicData>
            </a:graphic>
          </wp:inline>
        </w:drawing>
      </w:r>
    </w:p>
    <w:p w:rsidR="003A266F" w:rsidRPr="003A266F" w:rsidRDefault="003A266F" w:rsidP="003A266F">
      <w:pPr>
        <w:rPr>
          <w:rFonts w:cs="Arial"/>
        </w:rPr>
      </w:pPr>
    </w:p>
    <w:p w:rsidR="003A266F" w:rsidRPr="003A266F" w:rsidRDefault="003A266F" w:rsidP="003A266F">
      <w:pPr>
        <w:pStyle w:val="BodyText"/>
        <w:rPr>
          <w:rFonts w:cs="Arial"/>
        </w:rPr>
      </w:pPr>
      <w:r w:rsidRPr="003A266F">
        <w:rPr>
          <w:rFonts w:cs="Arial"/>
        </w:rPr>
        <w:t>En 2020, le COBORU a reçu au total 148 demandes de protection nationale du droit d’obtenteur, soit 21 demandes de plus que l’année précédente.</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Du 1</w:t>
      </w:r>
      <w:r w:rsidRPr="003A266F">
        <w:rPr>
          <w:rFonts w:cs="Arial"/>
          <w:vertAlign w:val="superscript"/>
        </w:rPr>
        <w:t>er</w:t>
      </w:r>
      <w:r w:rsidRPr="003A266F">
        <w:rPr>
          <w:rFonts w:cs="Arial"/>
        </w:rPr>
        <w:t> janvier au 1</w:t>
      </w:r>
      <w:r w:rsidRPr="003A266F">
        <w:rPr>
          <w:rFonts w:cs="Arial"/>
          <w:vertAlign w:val="superscript"/>
        </w:rPr>
        <w:t>er</w:t>
      </w:r>
      <w:r w:rsidRPr="003A266F">
        <w:rPr>
          <w:rFonts w:cs="Arial"/>
        </w:rPr>
        <w:t> septembre 2021, 94 nouvelles demandes droit d’obtenteur national, dont 65 demandes nationales et 29 étrangères, ont été déposées, soit 4 de moins qu’au cours de la période de référence précédente (98).</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En 2020, le COBORU a octroyé 101 titres de protection nationale (12 titres de plus qu’en 2019).</w:t>
      </w:r>
      <w:r w:rsidRPr="003A266F">
        <w:t xml:space="preserve"> </w:t>
      </w:r>
      <w:r w:rsidRPr="003A266F">
        <w:rPr>
          <w:rFonts w:cs="Arial"/>
        </w:rPr>
        <w:t xml:space="preserve"> À la fin de 2020, 1292 titres nationaux étaient en vigueur, soit une augmentation considérable de 61 variétés par rapport à l’année précédente.</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Du 1</w:t>
      </w:r>
      <w:r w:rsidRPr="003A266F">
        <w:rPr>
          <w:rFonts w:cs="Arial"/>
          <w:vertAlign w:val="superscript"/>
        </w:rPr>
        <w:t>er</w:t>
      </w:r>
      <w:r w:rsidRPr="003A266F">
        <w:rPr>
          <w:rFonts w:cs="Arial"/>
        </w:rPr>
        <w:t> janvier au 1</w:t>
      </w:r>
      <w:r w:rsidRPr="003A266F">
        <w:rPr>
          <w:rFonts w:cs="Arial"/>
          <w:vertAlign w:val="superscript"/>
        </w:rPr>
        <w:t>er</w:t>
      </w:r>
      <w:r w:rsidRPr="003A266F">
        <w:rPr>
          <w:rFonts w:cs="Arial"/>
        </w:rPr>
        <w:t> septembre 2021, 88 titres de protection du droit d’obtenteur ont été octroyés.  Au total, 1327 variétés sont protégées en Pologne (au 1</w:t>
      </w:r>
      <w:r w:rsidRPr="003A266F">
        <w:rPr>
          <w:rFonts w:cs="Arial"/>
          <w:vertAlign w:val="superscript"/>
        </w:rPr>
        <w:t>er</w:t>
      </w:r>
      <w:r w:rsidRPr="003A266F">
        <w:rPr>
          <w:rFonts w:cs="Arial"/>
        </w:rPr>
        <w:t> septembre 2021).</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On trouvera des statistiques détaillées dans le tableau ci-après.</w:t>
      </w:r>
    </w:p>
    <w:p w:rsidR="003A266F" w:rsidRPr="003A266F" w:rsidRDefault="003A266F" w:rsidP="003A266F">
      <w:pPr>
        <w:pStyle w:val="BodyText2"/>
        <w:jc w:val="both"/>
        <w:rPr>
          <w:rFonts w:ascii="Arial" w:hAnsi="Arial" w:cs="Arial"/>
          <w:sz w:val="20"/>
          <w:lang w:val="fr-FR"/>
        </w:rPr>
      </w:pPr>
    </w:p>
    <w:p w:rsidR="003A266F" w:rsidRPr="003A266F" w:rsidRDefault="003A266F" w:rsidP="003A266F">
      <w:pPr>
        <w:jc w:val="left"/>
        <w:rPr>
          <w:rFonts w:cs="Arial"/>
          <w:lang w:eastAsia="pl-PL"/>
        </w:rPr>
      </w:pPr>
      <w:r w:rsidRPr="003A266F">
        <w:rPr>
          <w:rFonts w:cs="Arial"/>
        </w:rPr>
        <w:br w:type="page"/>
      </w:r>
    </w:p>
    <w:p w:rsidR="003A266F" w:rsidRPr="003A266F" w:rsidRDefault="003A266F" w:rsidP="003A266F">
      <w:pPr>
        <w:pStyle w:val="BodyText2"/>
        <w:keepNext/>
        <w:jc w:val="both"/>
        <w:rPr>
          <w:rFonts w:ascii="Arial" w:hAnsi="Arial" w:cs="Arial"/>
          <w:sz w:val="20"/>
          <w:lang w:val="fr-FR"/>
        </w:rPr>
      </w:pPr>
      <w:r w:rsidRPr="003A266F">
        <w:rPr>
          <w:rFonts w:ascii="Arial" w:hAnsi="Arial" w:cs="Arial"/>
          <w:sz w:val="20"/>
          <w:lang w:val="fr-FR"/>
        </w:rPr>
        <w:lastRenderedPageBreak/>
        <w:t>Dans la colonne intitulée “Titres ayant expiré” figurent 8 variétés pour lesquelles – pendant la période considérée – des titres nationaux d’obtenteur ont expiré.</w:t>
      </w:r>
    </w:p>
    <w:p w:rsidR="003A266F" w:rsidRPr="003A266F" w:rsidRDefault="003A266F" w:rsidP="003A266F">
      <w:pPr>
        <w:pStyle w:val="BodyText2"/>
        <w:keepNext/>
        <w:jc w:val="both"/>
        <w:rPr>
          <w:rFonts w:ascii="Arial" w:hAnsi="Arial" w:cs="Arial"/>
          <w:sz w:val="20"/>
          <w:lang w:val="fr-FR"/>
        </w:rPr>
      </w:pPr>
    </w:p>
    <w:tbl>
      <w:tblPr>
        <w:tblW w:w="9606" w:type="dxa"/>
        <w:tblLayout w:type="fixed"/>
        <w:tblCellMar>
          <w:left w:w="70" w:type="dxa"/>
          <w:right w:w="70" w:type="dxa"/>
        </w:tblCellMar>
        <w:tblLook w:val="0000" w:firstRow="0" w:lastRow="0" w:firstColumn="0" w:lastColumn="0" w:noHBand="0" w:noVBand="0"/>
      </w:tblPr>
      <w:tblGrid>
        <w:gridCol w:w="1630"/>
        <w:gridCol w:w="1052"/>
        <w:gridCol w:w="1138"/>
        <w:gridCol w:w="653"/>
        <w:gridCol w:w="1052"/>
        <w:gridCol w:w="1130"/>
        <w:gridCol w:w="661"/>
        <w:gridCol w:w="894"/>
        <w:gridCol w:w="1396"/>
      </w:tblGrid>
      <w:tr w:rsidR="003A266F" w:rsidRPr="003A266F" w:rsidTr="00AA577D">
        <w:tc>
          <w:tcPr>
            <w:tcW w:w="1630" w:type="dxa"/>
            <w:tcBorders>
              <w:top w:val="single" w:sz="4" w:space="0" w:color="auto"/>
              <w:left w:val="single" w:sz="6" w:space="0" w:color="auto"/>
            </w:tcBorders>
          </w:tcPr>
          <w:p w:rsidR="003A266F" w:rsidRPr="003A266F" w:rsidRDefault="003A266F" w:rsidP="00AA577D">
            <w:pPr>
              <w:keepNext/>
              <w:jc w:val="center"/>
              <w:rPr>
                <w:rFonts w:cs="Arial"/>
              </w:rPr>
            </w:pPr>
          </w:p>
          <w:p w:rsidR="003A266F" w:rsidRPr="003A266F" w:rsidRDefault="003A266F" w:rsidP="00AA577D">
            <w:pPr>
              <w:keepNext/>
              <w:jc w:val="center"/>
              <w:rPr>
                <w:rFonts w:cs="Arial"/>
              </w:rPr>
            </w:pPr>
            <w:r w:rsidRPr="003A266F">
              <w:rPr>
                <w:rFonts w:cs="Arial"/>
              </w:rPr>
              <w:t>Espèces</w:t>
            </w:r>
          </w:p>
          <w:p w:rsidR="003A266F" w:rsidRPr="003A266F" w:rsidRDefault="003A266F" w:rsidP="00AA577D">
            <w:pPr>
              <w:keepNext/>
              <w:jc w:val="center"/>
              <w:rPr>
                <w:rFonts w:cs="Arial"/>
              </w:rPr>
            </w:pPr>
            <w:r w:rsidRPr="003A266F">
              <w:rPr>
                <w:rFonts w:cs="Arial"/>
              </w:rPr>
              <w:t>végétales</w:t>
            </w:r>
          </w:p>
        </w:tc>
        <w:tc>
          <w:tcPr>
            <w:tcW w:w="2843" w:type="dxa"/>
            <w:gridSpan w:val="3"/>
            <w:tcBorders>
              <w:top w:val="single" w:sz="4" w:space="0" w:color="auto"/>
              <w:left w:val="single" w:sz="12" w:space="0" w:color="auto"/>
              <w:right w:val="single" w:sz="12" w:space="0" w:color="auto"/>
            </w:tcBorders>
          </w:tcPr>
          <w:p w:rsidR="003A266F" w:rsidRPr="003A266F" w:rsidRDefault="003A266F" w:rsidP="00AA577D">
            <w:pPr>
              <w:keepNext/>
              <w:jc w:val="center"/>
              <w:rPr>
                <w:rFonts w:cs="Arial"/>
              </w:rPr>
            </w:pPr>
            <w:r w:rsidRPr="003A266F">
              <w:rPr>
                <w:rFonts w:cs="Arial"/>
              </w:rPr>
              <w:t>Demandes de titre de protection</w:t>
            </w:r>
          </w:p>
          <w:p w:rsidR="003A266F" w:rsidRPr="003A266F" w:rsidRDefault="003A266F" w:rsidP="00AA577D">
            <w:pPr>
              <w:keepNext/>
              <w:jc w:val="center"/>
              <w:rPr>
                <w:rFonts w:cs="Arial"/>
              </w:rPr>
            </w:pPr>
            <w:r w:rsidRPr="003A266F">
              <w:rPr>
                <w:rFonts w:cs="Arial"/>
              </w:rPr>
              <w:t>1</w:t>
            </w:r>
            <w:r w:rsidRPr="003A266F">
              <w:rPr>
                <w:rFonts w:cs="Arial"/>
                <w:vertAlign w:val="superscript"/>
              </w:rPr>
              <w:t>er</w:t>
            </w:r>
            <w:r w:rsidRPr="003A266F">
              <w:rPr>
                <w:rFonts w:cs="Arial"/>
              </w:rPr>
              <w:t> janvier – 1</w:t>
            </w:r>
            <w:r w:rsidRPr="003A266F">
              <w:rPr>
                <w:rFonts w:cs="Arial"/>
                <w:vertAlign w:val="superscript"/>
              </w:rPr>
              <w:t>er</w:t>
            </w:r>
            <w:r w:rsidRPr="003A266F">
              <w:rPr>
                <w:rFonts w:cs="Arial"/>
              </w:rPr>
              <w:t> sept. 2021</w:t>
            </w:r>
          </w:p>
        </w:tc>
        <w:tc>
          <w:tcPr>
            <w:tcW w:w="2843" w:type="dxa"/>
            <w:gridSpan w:val="3"/>
            <w:tcBorders>
              <w:top w:val="single" w:sz="4" w:space="0" w:color="auto"/>
              <w:left w:val="nil"/>
              <w:right w:val="single" w:sz="12" w:space="0" w:color="auto"/>
            </w:tcBorders>
            <w:shd w:val="clear" w:color="auto" w:fill="FFFFFF"/>
          </w:tcPr>
          <w:p w:rsidR="003A266F" w:rsidRPr="003A266F" w:rsidRDefault="003A266F" w:rsidP="00AA577D">
            <w:pPr>
              <w:keepNext/>
              <w:shd w:val="clear" w:color="auto" w:fill="FFFFFF"/>
              <w:jc w:val="center"/>
              <w:rPr>
                <w:rFonts w:cs="Arial"/>
              </w:rPr>
            </w:pPr>
            <w:r w:rsidRPr="003A266F">
              <w:rPr>
                <w:rFonts w:cs="Arial"/>
              </w:rPr>
              <w:t>Titres de protection délivrés</w:t>
            </w:r>
          </w:p>
          <w:p w:rsidR="003A266F" w:rsidRPr="003A266F" w:rsidRDefault="003A266F" w:rsidP="00AA577D">
            <w:pPr>
              <w:keepNext/>
              <w:shd w:val="clear" w:color="auto" w:fill="FFFFFF"/>
              <w:jc w:val="center"/>
              <w:rPr>
                <w:rFonts w:cs="Arial"/>
              </w:rPr>
            </w:pPr>
            <w:r w:rsidRPr="003A266F">
              <w:rPr>
                <w:rFonts w:cs="Arial"/>
              </w:rPr>
              <w:t>1</w:t>
            </w:r>
            <w:r w:rsidRPr="003A266F">
              <w:rPr>
                <w:rFonts w:cs="Arial"/>
                <w:vertAlign w:val="superscript"/>
              </w:rPr>
              <w:t>er</w:t>
            </w:r>
            <w:r w:rsidRPr="003A266F">
              <w:rPr>
                <w:rFonts w:cs="Arial"/>
              </w:rPr>
              <w:t> janvier – 1</w:t>
            </w:r>
            <w:r w:rsidRPr="003A266F">
              <w:rPr>
                <w:rFonts w:cs="Arial"/>
                <w:vertAlign w:val="superscript"/>
              </w:rPr>
              <w:t>er</w:t>
            </w:r>
            <w:r w:rsidRPr="003A266F">
              <w:rPr>
                <w:rFonts w:cs="Arial"/>
              </w:rPr>
              <w:t> sept. 2021</w:t>
            </w:r>
          </w:p>
        </w:tc>
        <w:tc>
          <w:tcPr>
            <w:tcW w:w="894" w:type="dxa"/>
            <w:tcBorders>
              <w:top w:val="single" w:sz="4" w:space="0" w:color="auto"/>
              <w:left w:val="nil"/>
              <w:right w:val="single" w:sz="12" w:space="0" w:color="auto"/>
            </w:tcBorders>
          </w:tcPr>
          <w:p w:rsidR="003A266F" w:rsidRPr="003A266F" w:rsidRDefault="003A266F" w:rsidP="00AA577D">
            <w:pPr>
              <w:keepNext/>
              <w:jc w:val="center"/>
              <w:rPr>
                <w:rFonts w:cs="Arial"/>
              </w:rPr>
            </w:pPr>
            <w:r w:rsidRPr="003A266F">
              <w:rPr>
                <w:rFonts w:cs="Arial"/>
              </w:rPr>
              <w:t>Titres</w:t>
            </w:r>
          </w:p>
          <w:p w:rsidR="003A266F" w:rsidRPr="003A266F" w:rsidRDefault="003A266F" w:rsidP="00AA577D">
            <w:pPr>
              <w:keepNext/>
              <w:jc w:val="center"/>
              <w:rPr>
                <w:rFonts w:cs="Arial"/>
              </w:rPr>
            </w:pPr>
            <w:r w:rsidRPr="003A266F">
              <w:rPr>
                <w:rFonts w:cs="Arial"/>
              </w:rPr>
              <w:t>ayant expiré</w:t>
            </w:r>
          </w:p>
        </w:tc>
        <w:tc>
          <w:tcPr>
            <w:tcW w:w="1396" w:type="dxa"/>
            <w:tcBorders>
              <w:top w:val="single" w:sz="4" w:space="0" w:color="auto"/>
              <w:left w:val="nil"/>
              <w:right w:val="single" w:sz="6" w:space="0" w:color="auto"/>
            </w:tcBorders>
            <w:shd w:val="clear" w:color="auto" w:fill="FFFFFF"/>
          </w:tcPr>
          <w:p w:rsidR="003A266F" w:rsidRPr="003A266F" w:rsidRDefault="003A266F" w:rsidP="00AA577D">
            <w:pPr>
              <w:keepNext/>
              <w:ind w:right="-6"/>
              <w:jc w:val="center"/>
              <w:rPr>
                <w:rFonts w:cs="Arial"/>
              </w:rPr>
            </w:pPr>
            <w:r w:rsidRPr="003A266F">
              <w:rPr>
                <w:rFonts w:cs="Arial"/>
              </w:rPr>
              <w:t>Titres en vigueur au 1</w:t>
            </w:r>
            <w:r w:rsidRPr="003A266F">
              <w:rPr>
                <w:rFonts w:cs="Arial"/>
                <w:vertAlign w:val="superscript"/>
              </w:rPr>
              <w:t>er</w:t>
            </w:r>
            <w:r w:rsidRPr="003A266F">
              <w:rPr>
                <w:rFonts w:cs="Arial"/>
              </w:rPr>
              <w:t> sept. 2021</w:t>
            </w:r>
          </w:p>
        </w:tc>
      </w:tr>
      <w:tr w:rsidR="003A266F" w:rsidRPr="003A266F" w:rsidTr="00AA577D">
        <w:tc>
          <w:tcPr>
            <w:tcW w:w="1630" w:type="dxa"/>
            <w:tcBorders>
              <w:left w:val="single" w:sz="6" w:space="0" w:color="auto"/>
              <w:right w:val="single" w:sz="12" w:space="0" w:color="auto"/>
            </w:tcBorders>
          </w:tcPr>
          <w:p w:rsidR="003A266F" w:rsidRPr="003A266F" w:rsidRDefault="003A266F" w:rsidP="00AA577D">
            <w:pPr>
              <w:rPr>
                <w:rFonts w:cs="Arial"/>
              </w:rPr>
            </w:pPr>
          </w:p>
        </w:tc>
        <w:tc>
          <w:tcPr>
            <w:tcW w:w="1052" w:type="dxa"/>
            <w:tcBorders>
              <w:top w:val="single" w:sz="6" w:space="0" w:color="auto"/>
              <w:left w:val="nil"/>
              <w:right w:val="single" w:sz="6" w:space="0" w:color="auto"/>
            </w:tcBorders>
          </w:tcPr>
          <w:p w:rsidR="003A266F" w:rsidRPr="003A266F" w:rsidRDefault="003A266F" w:rsidP="00AA577D">
            <w:pPr>
              <w:jc w:val="center"/>
              <w:rPr>
                <w:rFonts w:cs="Arial"/>
              </w:rPr>
            </w:pPr>
            <w:r w:rsidRPr="003A266F">
              <w:rPr>
                <w:rFonts w:cs="Arial"/>
              </w:rPr>
              <w:t>nationales</w:t>
            </w:r>
          </w:p>
        </w:tc>
        <w:tc>
          <w:tcPr>
            <w:tcW w:w="1138" w:type="dxa"/>
            <w:tcBorders>
              <w:top w:val="single" w:sz="6" w:space="0" w:color="auto"/>
              <w:left w:val="nil"/>
              <w:right w:val="single" w:sz="6" w:space="0" w:color="auto"/>
            </w:tcBorders>
          </w:tcPr>
          <w:p w:rsidR="003A266F" w:rsidRPr="003A266F" w:rsidRDefault="003A266F" w:rsidP="00AA577D">
            <w:pPr>
              <w:jc w:val="center"/>
              <w:rPr>
                <w:rFonts w:cs="Arial"/>
              </w:rPr>
            </w:pPr>
            <w:r w:rsidRPr="003A266F">
              <w:rPr>
                <w:rFonts w:cs="Arial"/>
              </w:rPr>
              <w:t>étrangères</w:t>
            </w:r>
          </w:p>
        </w:tc>
        <w:tc>
          <w:tcPr>
            <w:tcW w:w="653" w:type="dxa"/>
            <w:tcBorders>
              <w:top w:val="single" w:sz="6" w:space="0" w:color="auto"/>
              <w:left w:val="nil"/>
              <w:right w:val="single" w:sz="12" w:space="0" w:color="auto"/>
            </w:tcBorders>
          </w:tcPr>
          <w:p w:rsidR="003A266F" w:rsidRPr="003A266F" w:rsidRDefault="003A266F" w:rsidP="00AA577D">
            <w:pPr>
              <w:jc w:val="center"/>
              <w:rPr>
                <w:rFonts w:cs="Arial"/>
              </w:rPr>
            </w:pPr>
            <w:r w:rsidRPr="003A266F">
              <w:rPr>
                <w:rFonts w:cs="Arial"/>
              </w:rPr>
              <w:t>total</w:t>
            </w:r>
          </w:p>
        </w:tc>
        <w:tc>
          <w:tcPr>
            <w:tcW w:w="1052" w:type="dxa"/>
            <w:tcBorders>
              <w:top w:val="single" w:sz="6" w:space="0" w:color="auto"/>
              <w:left w:val="nil"/>
              <w:right w:val="single" w:sz="6" w:space="0" w:color="auto"/>
            </w:tcBorders>
          </w:tcPr>
          <w:p w:rsidR="003A266F" w:rsidRPr="003A266F" w:rsidRDefault="003A266F" w:rsidP="00AA577D">
            <w:pPr>
              <w:jc w:val="center"/>
              <w:rPr>
                <w:rFonts w:cs="Arial"/>
              </w:rPr>
            </w:pPr>
            <w:r w:rsidRPr="003A266F">
              <w:rPr>
                <w:rFonts w:cs="Arial"/>
              </w:rPr>
              <w:t>nationaux</w:t>
            </w:r>
          </w:p>
        </w:tc>
        <w:tc>
          <w:tcPr>
            <w:tcW w:w="1130" w:type="dxa"/>
            <w:tcBorders>
              <w:top w:val="single" w:sz="6" w:space="0" w:color="auto"/>
              <w:left w:val="nil"/>
              <w:right w:val="single" w:sz="6" w:space="0" w:color="auto"/>
            </w:tcBorders>
          </w:tcPr>
          <w:p w:rsidR="003A266F" w:rsidRPr="003A266F" w:rsidRDefault="003A266F" w:rsidP="00AA577D">
            <w:pPr>
              <w:jc w:val="center"/>
              <w:rPr>
                <w:rFonts w:cs="Arial"/>
              </w:rPr>
            </w:pPr>
            <w:r w:rsidRPr="003A266F">
              <w:rPr>
                <w:rFonts w:cs="Arial"/>
              </w:rPr>
              <w:t>étrangers</w:t>
            </w:r>
          </w:p>
        </w:tc>
        <w:tc>
          <w:tcPr>
            <w:tcW w:w="661" w:type="dxa"/>
            <w:tcBorders>
              <w:top w:val="single" w:sz="6" w:space="0" w:color="auto"/>
              <w:left w:val="nil"/>
              <w:right w:val="single" w:sz="12" w:space="0" w:color="auto"/>
            </w:tcBorders>
          </w:tcPr>
          <w:p w:rsidR="003A266F" w:rsidRPr="003A266F" w:rsidRDefault="003A266F" w:rsidP="00AA577D">
            <w:pPr>
              <w:jc w:val="center"/>
              <w:rPr>
                <w:rFonts w:cs="Arial"/>
              </w:rPr>
            </w:pPr>
            <w:r w:rsidRPr="003A266F">
              <w:rPr>
                <w:rFonts w:cs="Arial"/>
              </w:rPr>
              <w:t>total</w:t>
            </w:r>
          </w:p>
        </w:tc>
        <w:tc>
          <w:tcPr>
            <w:tcW w:w="894" w:type="dxa"/>
            <w:tcBorders>
              <w:left w:val="nil"/>
              <w:right w:val="single" w:sz="12" w:space="0" w:color="auto"/>
            </w:tcBorders>
          </w:tcPr>
          <w:p w:rsidR="003A266F" w:rsidRPr="003A266F" w:rsidRDefault="003A266F" w:rsidP="00AA577D">
            <w:pPr>
              <w:jc w:val="center"/>
              <w:rPr>
                <w:rFonts w:cs="Arial"/>
              </w:rPr>
            </w:pPr>
          </w:p>
        </w:tc>
        <w:tc>
          <w:tcPr>
            <w:tcW w:w="1396" w:type="dxa"/>
            <w:tcBorders>
              <w:left w:val="nil"/>
              <w:right w:val="single" w:sz="6" w:space="0" w:color="auto"/>
            </w:tcBorders>
            <w:shd w:val="clear" w:color="auto" w:fill="FFFFFF"/>
          </w:tcPr>
          <w:p w:rsidR="003A266F" w:rsidRPr="003A266F" w:rsidRDefault="003A266F" w:rsidP="00AA577D">
            <w:pPr>
              <w:jc w:val="center"/>
              <w:rPr>
                <w:rFonts w:cs="Arial"/>
              </w:rPr>
            </w:pPr>
          </w:p>
        </w:tc>
      </w:tr>
      <w:tr w:rsidR="003A266F" w:rsidRPr="003A266F" w:rsidTr="00AA577D">
        <w:tc>
          <w:tcPr>
            <w:tcW w:w="1630" w:type="dxa"/>
            <w:tcBorders>
              <w:top w:val="single" w:sz="12" w:space="0" w:color="auto"/>
              <w:left w:val="single" w:sz="6" w:space="0" w:color="auto"/>
              <w:bottom w:val="single" w:sz="6" w:space="0" w:color="auto"/>
              <w:right w:val="single" w:sz="12" w:space="0" w:color="auto"/>
            </w:tcBorders>
          </w:tcPr>
          <w:p w:rsidR="003A266F" w:rsidRPr="003A266F" w:rsidRDefault="003A266F" w:rsidP="00AA577D">
            <w:pPr>
              <w:spacing w:before="120"/>
              <w:jc w:val="center"/>
              <w:rPr>
                <w:rFonts w:cs="Arial"/>
              </w:rPr>
            </w:pPr>
            <w:r w:rsidRPr="003A266F">
              <w:rPr>
                <w:rFonts w:cs="Arial"/>
              </w:rPr>
              <w:t>Plantes agricoles</w:t>
            </w:r>
          </w:p>
        </w:tc>
        <w:tc>
          <w:tcPr>
            <w:tcW w:w="1052" w:type="dxa"/>
            <w:tcBorders>
              <w:top w:val="single" w:sz="12" w:space="0" w:color="auto"/>
              <w:left w:val="nil"/>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35</w:t>
            </w:r>
          </w:p>
        </w:tc>
        <w:tc>
          <w:tcPr>
            <w:tcW w:w="1138" w:type="dxa"/>
            <w:tcBorders>
              <w:top w:val="single" w:sz="12" w:space="0" w:color="auto"/>
              <w:left w:val="single" w:sz="6" w:space="0" w:color="auto"/>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5</w:t>
            </w:r>
          </w:p>
        </w:tc>
        <w:tc>
          <w:tcPr>
            <w:tcW w:w="653" w:type="dxa"/>
            <w:tcBorders>
              <w:top w:val="single" w:sz="12" w:space="0" w:color="auto"/>
              <w:left w:val="single" w:sz="6" w:space="0" w:color="auto"/>
              <w:bottom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40</w:t>
            </w:r>
          </w:p>
        </w:tc>
        <w:tc>
          <w:tcPr>
            <w:tcW w:w="1052" w:type="dxa"/>
            <w:tcBorders>
              <w:top w:val="single" w:sz="12" w:space="0" w:color="auto"/>
              <w:left w:val="nil"/>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3</w:t>
            </w:r>
          </w:p>
        </w:tc>
        <w:tc>
          <w:tcPr>
            <w:tcW w:w="1130" w:type="dxa"/>
            <w:tcBorders>
              <w:top w:val="single" w:sz="12" w:space="0" w:color="auto"/>
              <w:left w:val="single" w:sz="6" w:space="0" w:color="auto"/>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39</w:t>
            </w:r>
          </w:p>
        </w:tc>
        <w:tc>
          <w:tcPr>
            <w:tcW w:w="661" w:type="dxa"/>
            <w:tcBorders>
              <w:top w:val="single" w:sz="12" w:space="0" w:color="auto"/>
              <w:left w:val="single" w:sz="6" w:space="0" w:color="auto"/>
              <w:bottom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42</w:t>
            </w:r>
          </w:p>
        </w:tc>
        <w:tc>
          <w:tcPr>
            <w:tcW w:w="894" w:type="dxa"/>
            <w:tcBorders>
              <w:top w:val="single" w:sz="12" w:space="0" w:color="auto"/>
              <w:left w:val="nil"/>
              <w:bottom w:val="single" w:sz="6" w:space="0" w:color="auto"/>
              <w:right w:val="single" w:sz="12" w:space="0" w:color="auto"/>
            </w:tcBorders>
          </w:tcPr>
          <w:p w:rsidR="003A266F" w:rsidRPr="003A266F" w:rsidRDefault="003A266F" w:rsidP="00AA577D">
            <w:pPr>
              <w:spacing w:before="120"/>
              <w:jc w:val="center"/>
              <w:rPr>
                <w:rFonts w:cs="Arial"/>
              </w:rPr>
            </w:pPr>
            <w:r w:rsidRPr="003A266F">
              <w:rPr>
                <w:rFonts w:cs="Arial"/>
              </w:rPr>
              <w:t>30</w:t>
            </w:r>
          </w:p>
        </w:tc>
        <w:tc>
          <w:tcPr>
            <w:tcW w:w="1396" w:type="dxa"/>
            <w:tcBorders>
              <w:top w:val="single" w:sz="12" w:space="0" w:color="auto"/>
              <w:left w:val="nil"/>
              <w:bottom w:val="single" w:sz="6" w:space="0" w:color="auto"/>
              <w:right w:val="single" w:sz="6" w:space="0" w:color="auto"/>
            </w:tcBorders>
            <w:shd w:val="clear" w:color="auto" w:fill="D9D9D9"/>
          </w:tcPr>
          <w:p w:rsidR="003A266F" w:rsidRPr="003A266F" w:rsidRDefault="003A266F" w:rsidP="00AA577D">
            <w:pPr>
              <w:spacing w:before="120"/>
              <w:jc w:val="center"/>
              <w:rPr>
                <w:rFonts w:cs="Arial"/>
              </w:rPr>
            </w:pPr>
            <w:r w:rsidRPr="003A266F">
              <w:rPr>
                <w:rFonts w:cs="Arial"/>
              </w:rPr>
              <w:t>739</w:t>
            </w:r>
          </w:p>
        </w:tc>
      </w:tr>
      <w:tr w:rsidR="003A266F" w:rsidRPr="003A266F" w:rsidTr="00AA577D">
        <w:tc>
          <w:tcPr>
            <w:tcW w:w="1630" w:type="dxa"/>
            <w:tcBorders>
              <w:top w:val="single" w:sz="6" w:space="0" w:color="auto"/>
              <w:left w:val="single" w:sz="6" w:space="0" w:color="auto"/>
              <w:bottom w:val="single" w:sz="6" w:space="0" w:color="auto"/>
              <w:right w:val="single" w:sz="12" w:space="0" w:color="auto"/>
            </w:tcBorders>
          </w:tcPr>
          <w:p w:rsidR="003A266F" w:rsidRPr="003A266F" w:rsidRDefault="003A266F" w:rsidP="00AA577D">
            <w:pPr>
              <w:spacing w:before="120"/>
              <w:jc w:val="center"/>
              <w:rPr>
                <w:rFonts w:cs="Arial"/>
              </w:rPr>
            </w:pPr>
            <w:r w:rsidRPr="003A266F">
              <w:rPr>
                <w:rFonts w:cs="Arial"/>
              </w:rPr>
              <w:t>Plantes potagères</w:t>
            </w:r>
          </w:p>
        </w:tc>
        <w:tc>
          <w:tcPr>
            <w:tcW w:w="1052" w:type="dxa"/>
            <w:tcBorders>
              <w:top w:val="single" w:sz="6" w:space="0" w:color="auto"/>
              <w:left w:val="nil"/>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12</w:t>
            </w:r>
          </w:p>
        </w:tc>
        <w:tc>
          <w:tcPr>
            <w:tcW w:w="1138" w:type="dxa"/>
            <w:tcBorders>
              <w:top w:val="single" w:sz="6" w:space="0" w:color="auto"/>
              <w:left w:val="single" w:sz="6" w:space="0" w:color="auto"/>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1</w:t>
            </w:r>
          </w:p>
        </w:tc>
        <w:tc>
          <w:tcPr>
            <w:tcW w:w="653" w:type="dxa"/>
            <w:tcBorders>
              <w:top w:val="single" w:sz="6" w:space="0" w:color="auto"/>
              <w:left w:val="single" w:sz="6" w:space="0" w:color="auto"/>
              <w:bottom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13</w:t>
            </w:r>
          </w:p>
        </w:tc>
        <w:tc>
          <w:tcPr>
            <w:tcW w:w="1052" w:type="dxa"/>
            <w:tcBorders>
              <w:top w:val="single" w:sz="6" w:space="0" w:color="auto"/>
              <w:left w:val="nil"/>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16</w:t>
            </w:r>
          </w:p>
        </w:tc>
        <w:tc>
          <w:tcPr>
            <w:tcW w:w="1130" w:type="dxa"/>
            <w:tcBorders>
              <w:top w:val="single" w:sz="6" w:space="0" w:color="auto"/>
              <w:left w:val="single" w:sz="6" w:space="0" w:color="auto"/>
              <w:bottom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1</w:t>
            </w:r>
          </w:p>
        </w:tc>
        <w:tc>
          <w:tcPr>
            <w:tcW w:w="661" w:type="dxa"/>
            <w:tcBorders>
              <w:top w:val="single" w:sz="6" w:space="0" w:color="auto"/>
              <w:left w:val="single" w:sz="6" w:space="0" w:color="auto"/>
              <w:bottom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17</w:t>
            </w:r>
          </w:p>
        </w:tc>
        <w:tc>
          <w:tcPr>
            <w:tcW w:w="894" w:type="dxa"/>
            <w:tcBorders>
              <w:top w:val="single" w:sz="6" w:space="0" w:color="auto"/>
              <w:left w:val="nil"/>
              <w:bottom w:val="single" w:sz="6" w:space="0" w:color="auto"/>
              <w:right w:val="single" w:sz="12" w:space="0" w:color="auto"/>
            </w:tcBorders>
          </w:tcPr>
          <w:p w:rsidR="003A266F" w:rsidRPr="003A266F" w:rsidRDefault="003A266F" w:rsidP="00AA577D">
            <w:pPr>
              <w:spacing w:before="120"/>
              <w:jc w:val="center"/>
              <w:rPr>
                <w:rFonts w:cs="Arial"/>
              </w:rPr>
            </w:pPr>
            <w:r w:rsidRPr="003A266F">
              <w:rPr>
                <w:rFonts w:cs="Arial"/>
              </w:rPr>
              <w:t>11</w:t>
            </w:r>
          </w:p>
        </w:tc>
        <w:tc>
          <w:tcPr>
            <w:tcW w:w="1396" w:type="dxa"/>
            <w:tcBorders>
              <w:top w:val="single" w:sz="6" w:space="0" w:color="auto"/>
              <w:left w:val="nil"/>
              <w:bottom w:val="single" w:sz="6" w:space="0" w:color="auto"/>
              <w:right w:val="single" w:sz="6" w:space="0" w:color="auto"/>
            </w:tcBorders>
            <w:shd w:val="clear" w:color="auto" w:fill="D9D9D9"/>
          </w:tcPr>
          <w:p w:rsidR="003A266F" w:rsidRPr="003A266F" w:rsidRDefault="003A266F" w:rsidP="00AA577D">
            <w:pPr>
              <w:spacing w:before="120"/>
              <w:jc w:val="center"/>
              <w:rPr>
                <w:rFonts w:cs="Arial"/>
              </w:rPr>
            </w:pPr>
            <w:r w:rsidRPr="003A266F">
              <w:rPr>
                <w:rFonts w:cs="Arial"/>
              </w:rPr>
              <w:t>209</w:t>
            </w:r>
          </w:p>
        </w:tc>
      </w:tr>
      <w:tr w:rsidR="003A266F" w:rsidRPr="003A266F" w:rsidTr="00AA577D">
        <w:tc>
          <w:tcPr>
            <w:tcW w:w="1630" w:type="dxa"/>
            <w:tcBorders>
              <w:top w:val="single" w:sz="6" w:space="0" w:color="auto"/>
              <w:left w:val="single" w:sz="6" w:space="0" w:color="auto"/>
              <w:right w:val="single" w:sz="12" w:space="0" w:color="auto"/>
            </w:tcBorders>
          </w:tcPr>
          <w:p w:rsidR="003A266F" w:rsidRPr="003A266F" w:rsidRDefault="003A266F" w:rsidP="00AA577D">
            <w:pPr>
              <w:spacing w:before="120"/>
              <w:jc w:val="center"/>
              <w:rPr>
                <w:rFonts w:cs="Arial"/>
              </w:rPr>
            </w:pPr>
            <w:r w:rsidRPr="003A266F">
              <w:rPr>
                <w:rFonts w:cs="Arial"/>
              </w:rPr>
              <w:t>Plantes ornementales</w:t>
            </w:r>
          </w:p>
        </w:tc>
        <w:tc>
          <w:tcPr>
            <w:tcW w:w="1052" w:type="dxa"/>
            <w:tcBorders>
              <w:top w:val="single" w:sz="6" w:space="0" w:color="auto"/>
              <w:left w:val="nil"/>
              <w:right w:val="single" w:sz="6" w:space="0" w:color="auto"/>
            </w:tcBorders>
          </w:tcPr>
          <w:p w:rsidR="003A266F" w:rsidRPr="003A266F" w:rsidRDefault="003A266F" w:rsidP="00AA577D">
            <w:pPr>
              <w:spacing w:before="120"/>
              <w:jc w:val="center"/>
              <w:rPr>
                <w:rFonts w:cs="Arial"/>
              </w:rPr>
            </w:pPr>
            <w:r w:rsidRPr="003A266F">
              <w:rPr>
                <w:rFonts w:cs="Arial"/>
              </w:rPr>
              <w:t>14</w:t>
            </w:r>
          </w:p>
        </w:tc>
        <w:tc>
          <w:tcPr>
            <w:tcW w:w="1138" w:type="dxa"/>
            <w:tcBorders>
              <w:top w:val="single" w:sz="6" w:space="0" w:color="auto"/>
              <w:left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22</w:t>
            </w:r>
          </w:p>
        </w:tc>
        <w:tc>
          <w:tcPr>
            <w:tcW w:w="653" w:type="dxa"/>
            <w:tcBorders>
              <w:top w:val="single" w:sz="6" w:space="0" w:color="auto"/>
              <w:left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36</w:t>
            </w:r>
          </w:p>
        </w:tc>
        <w:tc>
          <w:tcPr>
            <w:tcW w:w="1052" w:type="dxa"/>
            <w:tcBorders>
              <w:top w:val="single" w:sz="6" w:space="0" w:color="auto"/>
              <w:left w:val="nil"/>
              <w:right w:val="single" w:sz="6" w:space="0" w:color="auto"/>
            </w:tcBorders>
          </w:tcPr>
          <w:p w:rsidR="003A266F" w:rsidRPr="003A266F" w:rsidRDefault="003A266F" w:rsidP="00AA577D">
            <w:pPr>
              <w:spacing w:before="120"/>
              <w:jc w:val="center"/>
              <w:rPr>
                <w:rFonts w:cs="Arial"/>
              </w:rPr>
            </w:pPr>
            <w:r w:rsidRPr="003A266F">
              <w:rPr>
                <w:rFonts w:cs="Arial"/>
              </w:rPr>
              <w:t>13</w:t>
            </w:r>
          </w:p>
        </w:tc>
        <w:tc>
          <w:tcPr>
            <w:tcW w:w="1130" w:type="dxa"/>
            <w:tcBorders>
              <w:top w:val="single" w:sz="6" w:space="0" w:color="auto"/>
              <w:left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9</w:t>
            </w:r>
          </w:p>
        </w:tc>
        <w:tc>
          <w:tcPr>
            <w:tcW w:w="661" w:type="dxa"/>
            <w:tcBorders>
              <w:top w:val="single" w:sz="6" w:space="0" w:color="auto"/>
              <w:left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22</w:t>
            </w:r>
          </w:p>
        </w:tc>
        <w:tc>
          <w:tcPr>
            <w:tcW w:w="894" w:type="dxa"/>
            <w:tcBorders>
              <w:top w:val="single" w:sz="6" w:space="0" w:color="auto"/>
              <w:left w:val="nil"/>
              <w:right w:val="single" w:sz="12" w:space="0" w:color="auto"/>
            </w:tcBorders>
          </w:tcPr>
          <w:p w:rsidR="003A266F" w:rsidRPr="003A266F" w:rsidRDefault="003A266F" w:rsidP="00AA577D">
            <w:pPr>
              <w:spacing w:before="120"/>
              <w:jc w:val="center"/>
              <w:rPr>
                <w:rFonts w:cs="Arial"/>
              </w:rPr>
            </w:pPr>
            <w:r w:rsidRPr="003A266F">
              <w:rPr>
                <w:rFonts w:cs="Arial"/>
              </w:rPr>
              <w:t>9</w:t>
            </w:r>
          </w:p>
        </w:tc>
        <w:tc>
          <w:tcPr>
            <w:tcW w:w="1396" w:type="dxa"/>
            <w:tcBorders>
              <w:top w:val="single" w:sz="6" w:space="0" w:color="auto"/>
              <w:left w:val="nil"/>
              <w:right w:val="single" w:sz="6" w:space="0" w:color="auto"/>
            </w:tcBorders>
            <w:shd w:val="clear" w:color="auto" w:fill="D9D9D9"/>
          </w:tcPr>
          <w:p w:rsidR="003A266F" w:rsidRPr="003A266F" w:rsidRDefault="003A266F" w:rsidP="00AA577D">
            <w:pPr>
              <w:spacing w:before="120"/>
              <w:jc w:val="center"/>
              <w:rPr>
                <w:rFonts w:cs="Arial"/>
              </w:rPr>
            </w:pPr>
            <w:r w:rsidRPr="003A266F">
              <w:rPr>
                <w:rFonts w:cs="Arial"/>
              </w:rPr>
              <w:t>260</w:t>
            </w:r>
          </w:p>
        </w:tc>
      </w:tr>
      <w:tr w:rsidR="003A266F" w:rsidRPr="003A266F" w:rsidTr="00AA577D">
        <w:tc>
          <w:tcPr>
            <w:tcW w:w="1630" w:type="dxa"/>
            <w:tcBorders>
              <w:top w:val="single" w:sz="6" w:space="0" w:color="auto"/>
              <w:left w:val="single" w:sz="6" w:space="0" w:color="auto"/>
              <w:right w:val="single" w:sz="12" w:space="0" w:color="auto"/>
            </w:tcBorders>
          </w:tcPr>
          <w:p w:rsidR="003A266F" w:rsidRPr="003A266F" w:rsidRDefault="003A266F" w:rsidP="00AA577D">
            <w:pPr>
              <w:spacing w:before="120"/>
              <w:jc w:val="center"/>
              <w:rPr>
                <w:rFonts w:cs="Arial"/>
              </w:rPr>
            </w:pPr>
            <w:r w:rsidRPr="003A266F">
              <w:rPr>
                <w:rFonts w:cs="Arial"/>
              </w:rPr>
              <w:t xml:space="preserve">Plantes </w:t>
            </w:r>
            <w:r>
              <w:rPr>
                <w:rFonts w:cs="Arial"/>
              </w:rPr>
              <w:br/>
            </w:r>
            <w:r w:rsidRPr="003A266F">
              <w:rPr>
                <w:rFonts w:cs="Arial"/>
              </w:rPr>
              <w:t>fruitières</w:t>
            </w:r>
          </w:p>
        </w:tc>
        <w:tc>
          <w:tcPr>
            <w:tcW w:w="1052" w:type="dxa"/>
            <w:tcBorders>
              <w:top w:val="single" w:sz="6" w:space="0" w:color="auto"/>
              <w:left w:val="nil"/>
              <w:right w:val="single" w:sz="6" w:space="0" w:color="auto"/>
            </w:tcBorders>
          </w:tcPr>
          <w:p w:rsidR="003A266F" w:rsidRPr="003A266F" w:rsidRDefault="003A266F" w:rsidP="00AA577D">
            <w:pPr>
              <w:spacing w:before="120"/>
              <w:jc w:val="center"/>
              <w:rPr>
                <w:rFonts w:cs="Arial"/>
              </w:rPr>
            </w:pPr>
            <w:r w:rsidRPr="003A266F">
              <w:rPr>
                <w:rFonts w:cs="Arial"/>
              </w:rPr>
              <w:t>4</w:t>
            </w:r>
          </w:p>
        </w:tc>
        <w:tc>
          <w:tcPr>
            <w:tcW w:w="1138" w:type="dxa"/>
            <w:tcBorders>
              <w:top w:val="single" w:sz="6" w:space="0" w:color="auto"/>
              <w:left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1</w:t>
            </w:r>
          </w:p>
        </w:tc>
        <w:tc>
          <w:tcPr>
            <w:tcW w:w="653" w:type="dxa"/>
            <w:tcBorders>
              <w:top w:val="single" w:sz="6" w:space="0" w:color="auto"/>
              <w:left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5</w:t>
            </w:r>
          </w:p>
        </w:tc>
        <w:tc>
          <w:tcPr>
            <w:tcW w:w="1052" w:type="dxa"/>
            <w:tcBorders>
              <w:top w:val="single" w:sz="6" w:space="0" w:color="auto"/>
              <w:left w:val="nil"/>
              <w:right w:val="single" w:sz="6" w:space="0" w:color="auto"/>
            </w:tcBorders>
          </w:tcPr>
          <w:p w:rsidR="003A266F" w:rsidRPr="003A266F" w:rsidRDefault="003A266F" w:rsidP="00AA577D">
            <w:pPr>
              <w:pStyle w:val="Footer"/>
              <w:spacing w:before="120"/>
              <w:jc w:val="center"/>
              <w:rPr>
                <w:rFonts w:cs="Arial"/>
                <w:sz w:val="20"/>
                <w:lang w:val="fr-FR"/>
              </w:rPr>
            </w:pPr>
            <w:r w:rsidRPr="003A266F">
              <w:rPr>
                <w:rFonts w:cs="Arial"/>
                <w:sz w:val="20"/>
                <w:lang w:val="fr-FR"/>
              </w:rPr>
              <w:t>6</w:t>
            </w:r>
          </w:p>
        </w:tc>
        <w:tc>
          <w:tcPr>
            <w:tcW w:w="1130" w:type="dxa"/>
            <w:tcBorders>
              <w:top w:val="single" w:sz="6" w:space="0" w:color="auto"/>
              <w:left w:val="single" w:sz="6" w:space="0" w:color="auto"/>
              <w:right w:val="single" w:sz="6" w:space="0" w:color="auto"/>
            </w:tcBorders>
          </w:tcPr>
          <w:p w:rsidR="003A266F" w:rsidRPr="003A266F" w:rsidRDefault="003A266F" w:rsidP="00AA577D">
            <w:pPr>
              <w:spacing w:before="120"/>
              <w:jc w:val="center"/>
              <w:rPr>
                <w:rFonts w:cs="Arial"/>
              </w:rPr>
            </w:pPr>
            <w:r w:rsidRPr="003A266F">
              <w:rPr>
                <w:rFonts w:cs="Arial"/>
              </w:rPr>
              <w:t>1</w:t>
            </w:r>
          </w:p>
        </w:tc>
        <w:tc>
          <w:tcPr>
            <w:tcW w:w="661" w:type="dxa"/>
            <w:tcBorders>
              <w:top w:val="single" w:sz="6" w:space="0" w:color="auto"/>
              <w:left w:val="single" w:sz="6" w:space="0" w:color="auto"/>
              <w:right w:val="single" w:sz="12" w:space="0" w:color="auto"/>
            </w:tcBorders>
            <w:shd w:val="clear" w:color="auto" w:fill="D9D9D9"/>
          </w:tcPr>
          <w:p w:rsidR="003A266F" w:rsidRPr="003A266F" w:rsidRDefault="003A266F" w:rsidP="00AA577D">
            <w:pPr>
              <w:spacing w:before="120"/>
              <w:jc w:val="center"/>
              <w:rPr>
                <w:rFonts w:cs="Arial"/>
              </w:rPr>
            </w:pPr>
            <w:r w:rsidRPr="003A266F">
              <w:rPr>
                <w:rFonts w:cs="Arial"/>
              </w:rPr>
              <w:t>7</w:t>
            </w:r>
          </w:p>
        </w:tc>
        <w:tc>
          <w:tcPr>
            <w:tcW w:w="894" w:type="dxa"/>
            <w:tcBorders>
              <w:top w:val="single" w:sz="6" w:space="0" w:color="auto"/>
              <w:left w:val="nil"/>
              <w:right w:val="single" w:sz="12" w:space="0" w:color="auto"/>
            </w:tcBorders>
          </w:tcPr>
          <w:p w:rsidR="003A266F" w:rsidRPr="003A266F" w:rsidRDefault="003A266F" w:rsidP="00AA577D">
            <w:pPr>
              <w:spacing w:before="120"/>
              <w:jc w:val="center"/>
              <w:rPr>
                <w:rFonts w:cs="Arial"/>
              </w:rPr>
            </w:pPr>
            <w:r w:rsidRPr="003A266F">
              <w:rPr>
                <w:rFonts w:cs="Arial"/>
              </w:rPr>
              <w:t>3</w:t>
            </w:r>
          </w:p>
        </w:tc>
        <w:tc>
          <w:tcPr>
            <w:tcW w:w="1396" w:type="dxa"/>
            <w:tcBorders>
              <w:top w:val="single" w:sz="6" w:space="0" w:color="auto"/>
              <w:left w:val="nil"/>
              <w:right w:val="single" w:sz="6" w:space="0" w:color="auto"/>
            </w:tcBorders>
            <w:shd w:val="clear" w:color="auto" w:fill="D9D9D9"/>
          </w:tcPr>
          <w:p w:rsidR="003A266F" w:rsidRPr="003A266F" w:rsidRDefault="003A266F" w:rsidP="00AA577D">
            <w:pPr>
              <w:spacing w:before="120"/>
              <w:jc w:val="center"/>
              <w:rPr>
                <w:rFonts w:cs="Arial"/>
              </w:rPr>
            </w:pPr>
            <w:r w:rsidRPr="003A266F">
              <w:rPr>
                <w:rFonts w:cs="Arial"/>
              </w:rPr>
              <w:t>119</w:t>
            </w:r>
          </w:p>
        </w:tc>
      </w:tr>
      <w:tr w:rsidR="003A266F" w:rsidRPr="003A266F" w:rsidTr="00AA577D">
        <w:tc>
          <w:tcPr>
            <w:tcW w:w="1630" w:type="dxa"/>
            <w:tcBorders>
              <w:top w:val="single" w:sz="12" w:space="0" w:color="auto"/>
              <w:left w:val="single" w:sz="6" w:space="0" w:color="auto"/>
              <w:bottom w:val="single" w:sz="6" w:space="0" w:color="auto"/>
              <w:right w:val="single" w:sz="12" w:space="0" w:color="auto"/>
            </w:tcBorders>
            <w:shd w:val="clear" w:color="auto" w:fill="FFFFFF"/>
          </w:tcPr>
          <w:p w:rsidR="003A266F" w:rsidRPr="003A266F" w:rsidRDefault="003A266F" w:rsidP="00AA577D">
            <w:pPr>
              <w:spacing w:before="120"/>
              <w:jc w:val="center"/>
              <w:rPr>
                <w:rFonts w:cs="Arial"/>
              </w:rPr>
            </w:pPr>
            <w:r w:rsidRPr="003A266F">
              <w:rPr>
                <w:rFonts w:cs="Arial"/>
                <w:b/>
              </w:rPr>
              <w:t>Total</w:t>
            </w:r>
          </w:p>
        </w:tc>
        <w:tc>
          <w:tcPr>
            <w:tcW w:w="1052" w:type="dxa"/>
            <w:tcBorders>
              <w:top w:val="single" w:sz="12" w:space="0" w:color="auto"/>
              <w:left w:val="nil"/>
              <w:bottom w:val="single" w:sz="6" w:space="0" w:color="auto"/>
              <w:right w:val="single" w:sz="6" w:space="0" w:color="auto"/>
            </w:tcBorders>
            <w:shd w:val="clear" w:color="auto" w:fill="D9D9D9"/>
          </w:tcPr>
          <w:p w:rsidR="003A266F" w:rsidRPr="003A266F" w:rsidRDefault="003A266F" w:rsidP="00AA577D">
            <w:pPr>
              <w:spacing w:before="120"/>
              <w:jc w:val="center"/>
              <w:rPr>
                <w:rFonts w:cs="Arial"/>
                <w:b/>
              </w:rPr>
            </w:pPr>
            <w:r w:rsidRPr="003A266F">
              <w:rPr>
                <w:rFonts w:cs="Arial"/>
                <w:b/>
              </w:rPr>
              <w:t>65</w:t>
            </w:r>
          </w:p>
        </w:tc>
        <w:tc>
          <w:tcPr>
            <w:tcW w:w="1138" w:type="dxa"/>
            <w:tcBorders>
              <w:top w:val="single" w:sz="12" w:space="0" w:color="auto"/>
              <w:left w:val="single" w:sz="6" w:space="0" w:color="auto"/>
              <w:bottom w:val="single" w:sz="6" w:space="0" w:color="auto"/>
              <w:right w:val="single" w:sz="6" w:space="0" w:color="auto"/>
            </w:tcBorders>
            <w:shd w:val="clear" w:color="auto" w:fill="D9D9D9"/>
          </w:tcPr>
          <w:p w:rsidR="003A266F" w:rsidRPr="003A266F" w:rsidRDefault="003A266F" w:rsidP="00AA577D">
            <w:pPr>
              <w:spacing w:before="120"/>
              <w:jc w:val="center"/>
              <w:rPr>
                <w:rFonts w:cs="Arial"/>
                <w:b/>
              </w:rPr>
            </w:pPr>
            <w:r w:rsidRPr="003A266F">
              <w:rPr>
                <w:rFonts w:cs="Arial"/>
                <w:b/>
              </w:rPr>
              <w:t>29</w:t>
            </w:r>
          </w:p>
        </w:tc>
        <w:tc>
          <w:tcPr>
            <w:tcW w:w="653" w:type="dxa"/>
            <w:tcBorders>
              <w:top w:val="single" w:sz="12" w:space="0" w:color="auto"/>
              <w:left w:val="single" w:sz="6" w:space="0" w:color="auto"/>
              <w:bottom w:val="single" w:sz="6" w:space="0" w:color="auto"/>
              <w:right w:val="single" w:sz="12" w:space="0" w:color="auto"/>
            </w:tcBorders>
            <w:shd w:val="clear" w:color="auto" w:fill="D9D9D9"/>
          </w:tcPr>
          <w:p w:rsidR="003A266F" w:rsidRPr="003A266F" w:rsidRDefault="003A266F" w:rsidP="00AA577D">
            <w:pPr>
              <w:spacing w:before="120"/>
              <w:jc w:val="center"/>
              <w:rPr>
                <w:rFonts w:cs="Arial"/>
                <w:b/>
              </w:rPr>
            </w:pPr>
            <w:r w:rsidRPr="003A266F">
              <w:rPr>
                <w:rFonts w:cs="Arial"/>
                <w:b/>
              </w:rPr>
              <w:t>94</w:t>
            </w:r>
          </w:p>
        </w:tc>
        <w:tc>
          <w:tcPr>
            <w:tcW w:w="1052" w:type="dxa"/>
            <w:tcBorders>
              <w:top w:val="single" w:sz="12" w:space="0" w:color="auto"/>
              <w:left w:val="nil"/>
              <w:bottom w:val="single" w:sz="6" w:space="0" w:color="auto"/>
              <w:right w:val="single" w:sz="6" w:space="0" w:color="auto"/>
            </w:tcBorders>
            <w:shd w:val="clear" w:color="auto" w:fill="D9D9D9"/>
          </w:tcPr>
          <w:p w:rsidR="003A266F" w:rsidRPr="003A266F" w:rsidRDefault="003A266F" w:rsidP="00AA577D">
            <w:pPr>
              <w:spacing w:before="120"/>
              <w:jc w:val="center"/>
              <w:rPr>
                <w:rFonts w:cs="Arial"/>
                <w:b/>
              </w:rPr>
            </w:pPr>
            <w:r w:rsidRPr="003A266F">
              <w:rPr>
                <w:rFonts w:cs="Arial"/>
                <w:b/>
              </w:rPr>
              <w:t>38</w:t>
            </w:r>
          </w:p>
        </w:tc>
        <w:tc>
          <w:tcPr>
            <w:tcW w:w="1130" w:type="dxa"/>
            <w:tcBorders>
              <w:top w:val="single" w:sz="12" w:space="0" w:color="auto"/>
              <w:left w:val="single" w:sz="6" w:space="0" w:color="auto"/>
              <w:bottom w:val="single" w:sz="6" w:space="0" w:color="auto"/>
              <w:right w:val="single" w:sz="6" w:space="0" w:color="auto"/>
            </w:tcBorders>
            <w:shd w:val="clear" w:color="auto" w:fill="D9D9D9"/>
          </w:tcPr>
          <w:p w:rsidR="003A266F" w:rsidRPr="003A266F" w:rsidRDefault="003A266F" w:rsidP="00AA577D">
            <w:pPr>
              <w:spacing w:before="120"/>
              <w:jc w:val="center"/>
              <w:rPr>
                <w:rFonts w:cs="Arial"/>
                <w:b/>
              </w:rPr>
            </w:pPr>
            <w:r w:rsidRPr="003A266F">
              <w:rPr>
                <w:rFonts w:cs="Arial"/>
                <w:b/>
              </w:rPr>
              <w:t>50</w:t>
            </w:r>
          </w:p>
        </w:tc>
        <w:tc>
          <w:tcPr>
            <w:tcW w:w="661" w:type="dxa"/>
            <w:tcBorders>
              <w:top w:val="single" w:sz="12" w:space="0" w:color="auto"/>
              <w:left w:val="single" w:sz="6" w:space="0" w:color="auto"/>
              <w:bottom w:val="single" w:sz="6" w:space="0" w:color="auto"/>
              <w:right w:val="single" w:sz="12" w:space="0" w:color="auto"/>
            </w:tcBorders>
            <w:shd w:val="clear" w:color="auto" w:fill="D9D9D9"/>
          </w:tcPr>
          <w:p w:rsidR="003A266F" w:rsidRPr="003A266F" w:rsidRDefault="003A266F" w:rsidP="00AA577D">
            <w:pPr>
              <w:spacing w:before="120"/>
              <w:jc w:val="center"/>
              <w:rPr>
                <w:rFonts w:cs="Arial"/>
                <w:b/>
              </w:rPr>
            </w:pPr>
            <w:r w:rsidRPr="003A266F">
              <w:rPr>
                <w:rFonts w:cs="Arial"/>
                <w:b/>
              </w:rPr>
              <w:t>88</w:t>
            </w:r>
          </w:p>
        </w:tc>
        <w:tc>
          <w:tcPr>
            <w:tcW w:w="894" w:type="dxa"/>
            <w:tcBorders>
              <w:top w:val="single" w:sz="12" w:space="0" w:color="auto"/>
              <w:left w:val="nil"/>
              <w:bottom w:val="single" w:sz="6" w:space="0" w:color="auto"/>
              <w:right w:val="single" w:sz="12" w:space="0" w:color="auto"/>
            </w:tcBorders>
            <w:shd w:val="clear" w:color="auto" w:fill="D9D9D9"/>
          </w:tcPr>
          <w:p w:rsidR="003A266F" w:rsidRPr="003A266F" w:rsidRDefault="003A266F" w:rsidP="00AA577D">
            <w:pPr>
              <w:spacing w:before="120"/>
              <w:jc w:val="center"/>
              <w:rPr>
                <w:rFonts w:cs="Arial"/>
                <w:b/>
              </w:rPr>
            </w:pPr>
            <w:r w:rsidRPr="003A266F">
              <w:rPr>
                <w:rFonts w:cs="Arial"/>
                <w:b/>
              </w:rPr>
              <w:t>53</w:t>
            </w:r>
          </w:p>
        </w:tc>
        <w:tc>
          <w:tcPr>
            <w:tcW w:w="1396" w:type="dxa"/>
            <w:tcBorders>
              <w:top w:val="single" w:sz="12" w:space="0" w:color="auto"/>
              <w:left w:val="nil"/>
              <w:bottom w:val="single" w:sz="6" w:space="0" w:color="auto"/>
              <w:right w:val="single" w:sz="6" w:space="0" w:color="auto"/>
            </w:tcBorders>
            <w:shd w:val="clear" w:color="auto" w:fill="D9D9D9"/>
          </w:tcPr>
          <w:p w:rsidR="003A266F" w:rsidRPr="003A266F" w:rsidRDefault="003A266F" w:rsidP="00AA577D">
            <w:pPr>
              <w:spacing w:before="120"/>
              <w:jc w:val="center"/>
              <w:rPr>
                <w:rFonts w:cs="Arial"/>
                <w:b/>
              </w:rPr>
            </w:pPr>
            <w:r w:rsidRPr="003A266F">
              <w:rPr>
                <w:rFonts w:cs="Arial"/>
                <w:b/>
              </w:rPr>
              <w:t>1327</w:t>
            </w:r>
          </w:p>
        </w:tc>
      </w:tr>
    </w:tbl>
    <w:p w:rsidR="003A266F" w:rsidRPr="003A266F" w:rsidRDefault="003A266F" w:rsidP="003A266F">
      <w:pPr>
        <w:tabs>
          <w:tab w:val="left" w:pos="4962"/>
        </w:tabs>
        <w:rPr>
          <w:rFonts w:cs="Arial"/>
          <w:u w:val="single"/>
        </w:rPr>
      </w:pPr>
    </w:p>
    <w:p w:rsidR="003A266F" w:rsidRPr="003A266F" w:rsidRDefault="003A266F" w:rsidP="003A266F">
      <w:pPr>
        <w:tabs>
          <w:tab w:val="left" w:pos="4962"/>
        </w:tabs>
        <w:rPr>
          <w:rFonts w:cs="Arial"/>
          <w:u w:val="single"/>
        </w:rPr>
      </w:pPr>
    </w:p>
    <w:p w:rsidR="003A266F" w:rsidRPr="003A266F" w:rsidRDefault="003A266F" w:rsidP="003A266F">
      <w:pPr>
        <w:tabs>
          <w:tab w:val="left" w:pos="567"/>
          <w:tab w:val="left" w:pos="4962"/>
        </w:tabs>
        <w:rPr>
          <w:rFonts w:cs="Arial"/>
          <w:u w:val="single"/>
        </w:rPr>
      </w:pPr>
      <w:r w:rsidRPr="003A266F">
        <w:rPr>
          <w:rFonts w:cs="Arial"/>
        </w:rPr>
        <w:t>5.</w:t>
      </w:r>
      <w:r w:rsidRPr="003A266F">
        <w:rPr>
          <w:rFonts w:cs="Arial"/>
        </w:rPr>
        <w:tab/>
      </w:r>
      <w:r w:rsidRPr="003A266F">
        <w:rPr>
          <w:rFonts w:cs="Arial"/>
          <w:u w:val="single"/>
        </w:rPr>
        <w:t>Activités de promotion de la protection des obtentions végétales</w:t>
      </w:r>
    </w:p>
    <w:p w:rsidR="003A266F" w:rsidRPr="003A266F" w:rsidRDefault="003A266F" w:rsidP="003A266F">
      <w:pPr>
        <w:tabs>
          <w:tab w:val="left" w:pos="567"/>
          <w:tab w:val="left" w:pos="4962"/>
        </w:tabs>
        <w:rPr>
          <w:rFonts w:cs="Arial"/>
          <w:u w:val="single"/>
        </w:rPr>
      </w:pPr>
    </w:p>
    <w:p w:rsidR="003A266F" w:rsidRPr="003A266F" w:rsidRDefault="003A266F" w:rsidP="003A266F">
      <w:pPr>
        <w:pStyle w:val="BodyText"/>
        <w:rPr>
          <w:rFonts w:cs="Arial"/>
        </w:rPr>
      </w:pPr>
      <w:r w:rsidRPr="003A266F">
        <w:rPr>
          <w:rFonts w:cs="Arial"/>
        </w:rPr>
        <w:t>Des représentants de la Pologne participent régulièrement aux sessions des organes de l’UPOV et aux groupes de travail techniques de l’UPOV.</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En outre, des représentants de la Pologne participent aux réunions du Comité permanent sur les droits d’obtenteur de la DG SANTE à Bruxelles, ainsi qu’aux réunions du Conseil d’administration de l’OCVV.</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Pendant la période considérée, le cours d’enseignement à distance de l’UPOV “Introduction au système UPOV de protection des obtentions végétales selon la Convention UPOV” (DL-205) a été suivi avec succès par un examinateur DHS et le cours d’enseignement à distance de l’UPOV “Examen des demandes de droits d’obtenteur” (DL-305) a été suivi avec succès par deux experts du COBORU.</w:t>
      </w:r>
    </w:p>
    <w:p w:rsidR="003A266F" w:rsidRPr="003A266F" w:rsidRDefault="003A266F" w:rsidP="003A266F">
      <w:pPr>
        <w:tabs>
          <w:tab w:val="left" w:pos="4962"/>
        </w:tabs>
        <w:rPr>
          <w:rFonts w:cs="Arial"/>
        </w:rPr>
      </w:pPr>
    </w:p>
    <w:p w:rsidR="003A266F" w:rsidRPr="003A266F" w:rsidRDefault="003A266F" w:rsidP="003A266F">
      <w:pPr>
        <w:pStyle w:val="BodyText"/>
        <w:tabs>
          <w:tab w:val="left" w:pos="567"/>
        </w:tabs>
        <w:rPr>
          <w:rFonts w:cs="Arial"/>
          <w:i/>
          <w:iCs/>
        </w:rPr>
      </w:pPr>
      <w:r w:rsidRPr="003A266F">
        <w:rPr>
          <w:rFonts w:cs="Arial"/>
          <w:i/>
          <w:iCs/>
        </w:rPr>
        <w:t>Publications</w:t>
      </w:r>
    </w:p>
    <w:p w:rsidR="003A266F" w:rsidRPr="003A266F" w:rsidRDefault="003A266F" w:rsidP="003A266F">
      <w:pPr>
        <w:pStyle w:val="BodyText"/>
        <w:rPr>
          <w:rFonts w:cs="Arial"/>
          <w:u w:val="single"/>
        </w:rPr>
      </w:pPr>
    </w:p>
    <w:p w:rsidR="003A266F" w:rsidRPr="003A266F" w:rsidRDefault="003A266F" w:rsidP="003A266F">
      <w:pPr>
        <w:pStyle w:val="BodyText"/>
        <w:rPr>
          <w:rFonts w:cs="Arial"/>
        </w:rPr>
      </w:pPr>
      <w:r w:rsidRPr="003A266F">
        <w:rPr>
          <w:rFonts w:cs="Arial"/>
        </w:rPr>
        <w:t>Tous les deux mois, le COBORU publie la Gazette polonaise pour les droits d’obtenteur et la liste nationale (</w:t>
      </w:r>
      <w:proofErr w:type="spellStart"/>
      <w:r w:rsidRPr="003A266F">
        <w:rPr>
          <w:rFonts w:cs="Arial"/>
        </w:rPr>
        <w:t>Diariusz</w:t>
      </w:r>
      <w:proofErr w:type="spellEnd"/>
      <w:r w:rsidRPr="003A266F">
        <w:rPr>
          <w:rFonts w:cs="Arial"/>
        </w:rPr>
        <w:t>), qui contient des informations détaillées sur les systèmes nationaux de protection du droit d’obtenteur et d’établissement de la listes.</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La liste des variétés protégées par des droits d’obtenteur au niveau national (y compris les droits provisoires, valable au 30 juin 2021, a été publiée dans le troisième numéro de la Gazette pour les droits d’obtenteur et la liste nationale, à savoir la liste n° No 3(164)2021.</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La Gazette officielle figure également sur notre site Internet dans la section Publications.</w:t>
      </w:r>
    </w:p>
    <w:p w:rsidR="003A266F" w:rsidRPr="003A266F" w:rsidRDefault="003A266F" w:rsidP="003A266F">
      <w:pPr>
        <w:pStyle w:val="BodyText"/>
        <w:rPr>
          <w:rFonts w:cs="Arial"/>
        </w:rPr>
      </w:pPr>
    </w:p>
    <w:p w:rsidR="003A266F" w:rsidRPr="003A266F" w:rsidRDefault="003A266F" w:rsidP="003A266F">
      <w:pPr>
        <w:pStyle w:val="BodyText"/>
        <w:rPr>
          <w:rFonts w:cs="Arial"/>
        </w:rPr>
      </w:pPr>
      <w:r w:rsidRPr="003A266F">
        <w:rPr>
          <w:rFonts w:cs="Arial"/>
        </w:rPr>
        <w:t>De plus, le Centre de recherche pour l’examen des cultivars tient à jour et actualise systématiquement un site Internet (</w:t>
      </w:r>
      <w:hyperlink r:id="rId32" w:history="1">
        <w:r w:rsidRPr="003A266F">
          <w:rPr>
            <w:rStyle w:val="Hyperlink"/>
          </w:rPr>
          <w:t>www.coboru.gov.pl</w:t>
        </w:r>
      </w:hyperlink>
      <w:r w:rsidRPr="003A266F">
        <w:rPr>
          <w:rFonts w:cs="Arial"/>
        </w:rPr>
        <w:t>) contenant des renseignements officiels sur les questions touchant à la protection des obtentions végétales en Pologne.</w:t>
      </w:r>
    </w:p>
    <w:p w:rsidR="003A266F" w:rsidRPr="003A266F" w:rsidRDefault="003A266F" w:rsidP="003A266F">
      <w:pPr>
        <w:tabs>
          <w:tab w:val="left" w:pos="4962"/>
        </w:tabs>
        <w:rPr>
          <w:rFonts w:cs="Arial"/>
        </w:rPr>
      </w:pPr>
    </w:p>
    <w:p w:rsidR="003A266F" w:rsidRPr="003A266F" w:rsidRDefault="003A266F" w:rsidP="003A266F">
      <w:pPr>
        <w:tabs>
          <w:tab w:val="left" w:pos="4962"/>
        </w:tabs>
        <w:rPr>
          <w:rFonts w:cs="Arial"/>
        </w:rPr>
      </w:pPr>
      <w:r w:rsidRPr="003A266F">
        <w:rPr>
          <w:rFonts w:cs="Arial"/>
        </w:rPr>
        <w:t>Pendant la période considérée, le COBORU a participé aux activités de promotion suivantes :</w:t>
      </w:r>
    </w:p>
    <w:p w:rsidR="003A266F" w:rsidRPr="003A266F" w:rsidRDefault="003A266F" w:rsidP="003A266F">
      <w:pPr>
        <w:tabs>
          <w:tab w:val="left" w:pos="4962"/>
        </w:tabs>
        <w:rPr>
          <w:rFonts w:cs="Arial"/>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3"/>
        <w:gridCol w:w="1124"/>
        <w:gridCol w:w="1124"/>
        <w:gridCol w:w="1418"/>
        <w:gridCol w:w="2551"/>
        <w:gridCol w:w="1853"/>
      </w:tblGrid>
      <w:tr w:rsidR="003A266F" w:rsidRPr="003A266F" w:rsidTr="00AA577D">
        <w:trPr>
          <w:cantSplit/>
          <w:tblHeader/>
        </w:trPr>
        <w:tc>
          <w:tcPr>
            <w:tcW w:w="1843" w:type="dxa"/>
            <w:hideMark/>
          </w:tcPr>
          <w:p w:rsidR="003A266F" w:rsidRPr="003A266F" w:rsidRDefault="003A266F" w:rsidP="00AA577D">
            <w:pPr>
              <w:jc w:val="left"/>
              <w:rPr>
                <w:sz w:val="16"/>
              </w:rPr>
            </w:pPr>
            <w:r w:rsidRPr="003A266F">
              <w:rPr>
                <w:sz w:val="16"/>
              </w:rPr>
              <w:t>Intitulé de l’activité</w:t>
            </w:r>
          </w:p>
        </w:tc>
        <w:tc>
          <w:tcPr>
            <w:tcW w:w="1124" w:type="dxa"/>
            <w:hideMark/>
          </w:tcPr>
          <w:p w:rsidR="003A266F" w:rsidRPr="003A266F" w:rsidRDefault="003A266F" w:rsidP="00AA577D">
            <w:pPr>
              <w:jc w:val="left"/>
              <w:rPr>
                <w:sz w:val="16"/>
              </w:rPr>
            </w:pPr>
            <w:r w:rsidRPr="003A266F">
              <w:rPr>
                <w:sz w:val="16"/>
              </w:rPr>
              <w:t>Date</w:t>
            </w:r>
          </w:p>
        </w:tc>
        <w:tc>
          <w:tcPr>
            <w:tcW w:w="1124" w:type="dxa"/>
            <w:hideMark/>
          </w:tcPr>
          <w:p w:rsidR="003A266F" w:rsidRPr="003A266F" w:rsidRDefault="003A266F" w:rsidP="00AA577D">
            <w:pPr>
              <w:jc w:val="left"/>
              <w:rPr>
                <w:sz w:val="16"/>
              </w:rPr>
            </w:pPr>
            <w:r w:rsidRPr="003A266F">
              <w:rPr>
                <w:sz w:val="16"/>
              </w:rPr>
              <w:t>Lieu</w:t>
            </w:r>
          </w:p>
        </w:tc>
        <w:tc>
          <w:tcPr>
            <w:tcW w:w="1418" w:type="dxa"/>
            <w:hideMark/>
          </w:tcPr>
          <w:p w:rsidR="003A266F" w:rsidRPr="003A266F" w:rsidRDefault="003A266F" w:rsidP="00AA577D">
            <w:pPr>
              <w:jc w:val="left"/>
              <w:rPr>
                <w:sz w:val="16"/>
              </w:rPr>
            </w:pPr>
            <w:r w:rsidRPr="003A266F">
              <w:rPr>
                <w:sz w:val="16"/>
              </w:rPr>
              <w:t>Organisateur(s)</w:t>
            </w:r>
          </w:p>
        </w:tc>
        <w:tc>
          <w:tcPr>
            <w:tcW w:w="2551" w:type="dxa"/>
            <w:hideMark/>
          </w:tcPr>
          <w:p w:rsidR="003A266F" w:rsidRPr="003A266F" w:rsidRDefault="003A266F" w:rsidP="00AA577D">
            <w:pPr>
              <w:jc w:val="left"/>
              <w:rPr>
                <w:sz w:val="16"/>
              </w:rPr>
            </w:pPr>
            <w:r w:rsidRPr="003A266F">
              <w:rPr>
                <w:sz w:val="16"/>
              </w:rPr>
              <w:t>But de l’activité</w:t>
            </w:r>
          </w:p>
        </w:tc>
        <w:tc>
          <w:tcPr>
            <w:tcW w:w="1853" w:type="dxa"/>
            <w:hideMark/>
          </w:tcPr>
          <w:p w:rsidR="003A266F" w:rsidRPr="003A266F" w:rsidRDefault="003A266F" w:rsidP="00AA577D">
            <w:pPr>
              <w:jc w:val="left"/>
              <w:rPr>
                <w:sz w:val="16"/>
              </w:rPr>
            </w:pPr>
            <w:r w:rsidRPr="003A266F">
              <w:rPr>
                <w:sz w:val="16"/>
              </w:rPr>
              <w:t>Pays/organisations participants (nombre de participants de chacun d’eux)</w:t>
            </w:r>
          </w:p>
        </w:tc>
      </w:tr>
      <w:tr w:rsidR="003A266F" w:rsidRPr="003A266F" w:rsidTr="00AA577D">
        <w:trPr>
          <w:cantSplit/>
        </w:trPr>
        <w:tc>
          <w:tcPr>
            <w:tcW w:w="1843" w:type="dxa"/>
          </w:tcPr>
          <w:p w:rsidR="003A266F" w:rsidRPr="003A266F" w:rsidRDefault="003A266F" w:rsidP="00AA577D">
            <w:pPr>
              <w:jc w:val="left"/>
              <w:rPr>
                <w:sz w:val="16"/>
              </w:rPr>
            </w:pPr>
            <w:r w:rsidRPr="003A266F">
              <w:rPr>
                <w:sz w:val="16"/>
              </w:rPr>
              <w:t>1. Réunion de coopération : Institut ukrainien chargé de l’examen des obtentions végétales (UIBOR)/COBORU</w:t>
            </w:r>
          </w:p>
        </w:tc>
        <w:tc>
          <w:tcPr>
            <w:tcW w:w="1124" w:type="dxa"/>
          </w:tcPr>
          <w:p w:rsidR="003A266F" w:rsidRPr="003A266F" w:rsidRDefault="003A266F" w:rsidP="00AA577D">
            <w:pPr>
              <w:jc w:val="left"/>
              <w:rPr>
                <w:sz w:val="16"/>
              </w:rPr>
            </w:pPr>
            <w:r w:rsidRPr="003A266F">
              <w:rPr>
                <w:sz w:val="16"/>
              </w:rPr>
              <w:t>21 décembre</w:t>
            </w:r>
          </w:p>
          <w:p w:rsidR="003A266F" w:rsidRPr="003A266F" w:rsidRDefault="003A266F" w:rsidP="00AA577D">
            <w:pPr>
              <w:jc w:val="left"/>
              <w:rPr>
                <w:sz w:val="16"/>
              </w:rPr>
            </w:pPr>
            <w:r w:rsidRPr="003A266F">
              <w:rPr>
                <w:sz w:val="16"/>
              </w:rPr>
              <w:t>2020</w:t>
            </w:r>
          </w:p>
        </w:tc>
        <w:tc>
          <w:tcPr>
            <w:tcW w:w="1124" w:type="dxa"/>
          </w:tcPr>
          <w:p w:rsidR="003A266F" w:rsidRPr="003A266F" w:rsidRDefault="003A266F" w:rsidP="00AA577D">
            <w:pPr>
              <w:jc w:val="left"/>
              <w:rPr>
                <w:sz w:val="16"/>
              </w:rPr>
            </w:pPr>
            <w:r w:rsidRPr="003A266F">
              <w:rPr>
                <w:sz w:val="16"/>
              </w:rPr>
              <w:t>Réunion en ligne</w:t>
            </w:r>
          </w:p>
        </w:tc>
        <w:tc>
          <w:tcPr>
            <w:tcW w:w="1418" w:type="dxa"/>
          </w:tcPr>
          <w:p w:rsidR="003A266F" w:rsidRPr="003A266F" w:rsidRDefault="003A266F" w:rsidP="00AA577D">
            <w:pPr>
              <w:jc w:val="left"/>
              <w:rPr>
                <w:sz w:val="16"/>
              </w:rPr>
            </w:pPr>
            <w:r w:rsidRPr="003A266F">
              <w:rPr>
                <w:sz w:val="16"/>
              </w:rPr>
              <w:t>COBORU</w:t>
            </w:r>
          </w:p>
        </w:tc>
        <w:tc>
          <w:tcPr>
            <w:tcW w:w="2551" w:type="dxa"/>
          </w:tcPr>
          <w:p w:rsidR="003A266F" w:rsidRPr="003A266F" w:rsidRDefault="003A266F" w:rsidP="00AA577D">
            <w:pPr>
              <w:jc w:val="left"/>
              <w:rPr>
                <w:sz w:val="16"/>
              </w:rPr>
            </w:pPr>
            <w:r w:rsidRPr="003A266F">
              <w:rPr>
                <w:sz w:val="16"/>
              </w:rPr>
              <w:t>Nouvel accord de coopération</w:t>
            </w:r>
          </w:p>
        </w:tc>
        <w:tc>
          <w:tcPr>
            <w:tcW w:w="1853" w:type="dxa"/>
          </w:tcPr>
          <w:p w:rsidR="003A266F" w:rsidRPr="003A266F" w:rsidRDefault="003A266F" w:rsidP="00AA577D">
            <w:pPr>
              <w:jc w:val="left"/>
              <w:rPr>
                <w:sz w:val="16"/>
              </w:rPr>
            </w:pPr>
            <w:r w:rsidRPr="003A266F">
              <w:rPr>
                <w:sz w:val="16"/>
              </w:rPr>
              <w:t>PL : 8</w:t>
            </w:r>
          </w:p>
          <w:p w:rsidR="003A266F" w:rsidRPr="003A266F" w:rsidRDefault="003A266F" w:rsidP="00AA577D">
            <w:pPr>
              <w:jc w:val="left"/>
              <w:rPr>
                <w:sz w:val="16"/>
              </w:rPr>
            </w:pPr>
            <w:r w:rsidRPr="003A266F">
              <w:rPr>
                <w:sz w:val="16"/>
              </w:rPr>
              <w:t>UA : 9</w:t>
            </w:r>
          </w:p>
        </w:tc>
      </w:tr>
      <w:tr w:rsidR="003A266F" w:rsidRPr="003A266F" w:rsidTr="00AA577D">
        <w:trPr>
          <w:cantSplit/>
        </w:trPr>
        <w:tc>
          <w:tcPr>
            <w:tcW w:w="1843" w:type="dxa"/>
          </w:tcPr>
          <w:p w:rsidR="003A266F" w:rsidRPr="003A266F" w:rsidRDefault="003A266F" w:rsidP="00AA577D">
            <w:pPr>
              <w:jc w:val="left"/>
              <w:rPr>
                <w:sz w:val="16"/>
              </w:rPr>
            </w:pPr>
            <w:r w:rsidRPr="003A266F">
              <w:rPr>
                <w:sz w:val="16"/>
              </w:rPr>
              <w:lastRenderedPageBreak/>
              <w:t>2. Réunion entre la Commission nationale de l’Ouzbékistan chargée de l’examen des plantes agricoles et le COBORU</w:t>
            </w:r>
          </w:p>
        </w:tc>
        <w:tc>
          <w:tcPr>
            <w:tcW w:w="1124" w:type="dxa"/>
          </w:tcPr>
          <w:p w:rsidR="003A266F" w:rsidRPr="003A266F" w:rsidRDefault="003A266F" w:rsidP="00AA577D">
            <w:pPr>
              <w:jc w:val="left"/>
              <w:rPr>
                <w:sz w:val="16"/>
              </w:rPr>
            </w:pPr>
            <w:r w:rsidRPr="003A266F">
              <w:rPr>
                <w:sz w:val="16"/>
              </w:rPr>
              <w:t>17 mars 2021</w:t>
            </w:r>
          </w:p>
        </w:tc>
        <w:tc>
          <w:tcPr>
            <w:tcW w:w="1124" w:type="dxa"/>
          </w:tcPr>
          <w:p w:rsidR="003A266F" w:rsidRPr="003A266F" w:rsidRDefault="003A266F" w:rsidP="00AA577D">
            <w:pPr>
              <w:jc w:val="left"/>
              <w:rPr>
                <w:sz w:val="16"/>
              </w:rPr>
            </w:pPr>
            <w:r w:rsidRPr="003A266F">
              <w:rPr>
                <w:sz w:val="16"/>
              </w:rPr>
              <w:t>Réunion en ligne</w:t>
            </w:r>
          </w:p>
        </w:tc>
        <w:tc>
          <w:tcPr>
            <w:tcW w:w="1418" w:type="dxa"/>
          </w:tcPr>
          <w:p w:rsidR="003A266F" w:rsidRPr="003A266F" w:rsidRDefault="003A266F" w:rsidP="00AA577D">
            <w:pPr>
              <w:jc w:val="left"/>
              <w:rPr>
                <w:sz w:val="16"/>
              </w:rPr>
            </w:pPr>
            <w:r w:rsidRPr="003A266F">
              <w:rPr>
                <w:sz w:val="16"/>
              </w:rPr>
              <w:t>COBORU</w:t>
            </w:r>
          </w:p>
        </w:tc>
        <w:tc>
          <w:tcPr>
            <w:tcW w:w="2551" w:type="dxa"/>
          </w:tcPr>
          <w:p w:rsidR="003A266F" w:rsidRPr="003A266F" w:rsidRDefault="003A266F" w:rsidP="00AA577D">
            <w:pPr>
              <w:jc w:val="left"/>
              <w:rPr>
                <w:sz w:val="16"/>
              </w:rPr>
            </w:pPr>
            <w:r w:rsidRPr="003A266F">
              <w:rPr>
                <w:sz w:val="16"/>
              </w:rPr>
              <w:t>Réunion de lancement de la coopération future</w:t>
            </w:r>
          </w:p>
        </w:tc>
        <w:tc>
          <w:tcPr>
            <w:tcW w:w="1853" w:type="dxa"/>
          </w:tcPr>
          <w:p w:rsidR="003A266F" w:rsidRPr="003A266F" w:rsidRDefault="003A266F" w:rsidP="00AA577D">
            <w:pPr>
              <w:jc w:val="left"/>
              <w:rPr>
                <w:sz w:val="16"/>
              </w:rPr>
            </w:pPr>
            <w:r w:rsidRPr="003A266F">
              <w:rPr>
                <w:sz w:val="16"/>
              </w:rPr>
              <w:t>PL : 2</w:t>
            </w:r>
          </w:p>
          <w:p w:rsidR="003A266F" w:rsidRPr="003A266F" w:rsidRDefault="003A266F" w:rsidP="00AA577D">
            <w:pPr>
              <w:jc w:val="left"/>
              <w:rPr>
                <w:sz w:val="16"/>
              </w:rPr>
            </w:pPr>
            <w:r w:rsidRPr="003A266F">
              <w:rPr>
                <w:sz w:val="16"/>
              </w:rPr>
              <w:t>UZ : 3</w:t>
            </w:r>
          </w:p>
        </w:tc>
      </w:tr>
      <w:tr w:rsidR="003A266F" w:rsidRPr="003A266F" w:rsidTr="00AA577D">
        <w:trPr>
          <w:cantSplit/>
        </w:trPr>
        <w:tc>
          <w:tcPr>
            <w:tcW w:w="1843" w:type="dxa"/>
          </w:tcPr>
          <w:p w:rsidR="003A266F" w:rsidRPr="003A266F" w:rsidRDefault="003A266F" w:rsidP="00AA577D">
            <w:pPr>
              <w:jc w:val="left"/>
              <w:rPr>
                <w:sz w:val="16"/>
              </w:rPr>
            </w:pPr>
            <w:r w:rsidRPr="003A266F">
              <w:rPr>
                <w:sz w:val="16"/>
              </w:rPr>
              <w:t>3. Groupe de travail Pologne/Ukraine</w:t>
            </w:r>
          </w:p>
        </w:tc>
        <w:tc>
          <w:tcPr>
            <w:tcW w:w="1124" w:type="dxa"/>
          </w:tcPr>
          <w:p w:rsidR="003A266F" w:rsidRPr="003A266F" w:rsidRDefault="003A266F" w:rsidP="00AA577D">
            <w:pPr>
              <w:jc w:val="left"/>
              <w:rPr>
                <w:sz w:val="16"/>
              </w:rPr>
            </w:pPr>
            <w:r w:rsidRPr="003A266F">
              <w:rPr>
                <w:sz w:val="16"/>
              </w:rPr>
              <w:t>24 mars 2021</w:t>
            </w:r>
          </w:p>
        </w:tc>
        <w:tc>
          <w:tcPr>
            <w:tcW w:w="1124" w:type="dxa"/>
          </w:tcPr>
          <w:p w:rsidR="003A266F" w:rsidRPr="003A266F" w:rsidRDefault="003A266F" w:rsidP="00AA577D">
            <w:pPr>
              <w:jc w:val="left"/>
              <w:rPr>
                <w:sz w:val="16"/>
              </w:rPr>
            </w:pPr>
            <w:r w:rsidRPr="003A266F">
              <w:rPr>
                <w:sz w:val="16"/>
              </w:rPr>
              <w:t>Réunion en ligne</w:t>
            </w:r>
          </w:p>
        </w:tc>
        <w:tc>
          <w:tcPr>
            <w:tcW w:w="1418" w:type="dxa"/>
          </w:tcPr>
          <w:p w:rsidR="003A266F" w:rsidRPr="003A266F" w:rsidRDefault="003A266F" w:rsidP="00AA577D">
            <w:pPr>
              <w:jc w:val="left"/>
              <w:rPr>
                <w:sz w:val="16"/>
              </w:rPr>
            </w:pPr>
            <w:r w:rsidRPr="003A266F">
              <w:rPr>
                <w:sz w:val="16"/>
              </w:rPr>
              <w:t>Ministère de l’agriculture et du développement rural – Pologne</w:t>
            </w:r>
          </w:p>
        </w:tc>
        <w:tc>
          <w:tcPr>
            <w:tcW w:w="2551" w:type="dxa"/>
          </w:tcPr>
          <w:p w:rsidR="003A266F" w:rsidRPr="003A266F" w:rsidRDefault="003A266F" w:rsidP="00AA577D">
            <w:pPr>
              <w:jc w:val="left"/>
              <w:rPr>
                <w:rFonts w:cs="Arial"/>
                <w:sz w:val="16"/>
                <w:szCs w:val="16"/>
              </w:rPr>
            </w:pPr>
            <w:r w:rsidRPr="003A266F">
              <w:rPr>
                <w:rFonts w:cs="Arial"/>
                <w:sz w:val="16"/>
                <w:szCs w:val="16"/>
              </w:rPr>
              <w:t>Examen de la situation et des perspectives en matière de coopération dans le domaine :</w:t>
            </w:r>
          </w:p>
          <w:p w:rsidR="003A266F" w:rsidRPr="003A266F" w:rsidRDefault="003A266F" w:rsidP="00AA577D">
            <w:pPr>
              <w:jc w:val="left"/>
              <w:rPr>
                <w:sz w:val="16"/>
              </w:rPr>
            </w:pPr>
            <w:r w:rsidRPr="003A266F">
              <w:rPr>
                <w:sz w:val="16"/>
              </w:rPr>
              <w:t>du commerce des produits agroalimentaires, des questions phytosanitaires et vétérinaires, du développement rural, de la production et de la commercialisation de produits biologiques, de la production de semences et de la protection des obtentions végétales</w:t>
            </w:r>
          </w:p>
        </w:tc>
        <w:tc>
          <w:tcPr>
            <w:tcW w:w="1853" w:type="dxa"/>
          </w:tcPr>
          <w:p w:rsidR="003A266F" w:rsidRPr="003A266F" w:rsidRDefault="003A266F" w:rsidP="00AA577D">
            <w:pPr>
              <w:jc w:val="left"/>
              <w:rPr>
                <w:sz w:val="16"/>
              </w:rPr>
            </w:pPr>
            <w:r w:rsidRPr="003A266F">
              <w:rPr>
                <w:sz w:val="16"/>
              </w:rPr>
              <w:t>PL : 16</w:t>
            </w:r>
          </w:p>
          <w:p w:rsidR="003A266F" w:rsidRPr="003A266F" w:rsidRDefault="003A266F" w:rsidP="00AA577D">
            <w:pPr>
              <w:jc w:val="left"/>
              <w:rPr>
                <w:sz w:val="16"/>
              </w:rPr>
            </w:pPr>
            <w:r w:rsidRPr="003A266F">
              <w:rPr>
                <w:sz w:val="16"/>
              </w:rPr>
              <w:t>UA : 9</w:t>
            </w:r>
          </w:p>
        </w:tc>
      </w:tr>
      <w:tr w:rsidR="003A266F" w:rsidRPr="003A266F" w:rsidTr="00AA577D">
        <w:trPr>
          <w:cantSplit/>
        </w:trPr>
        <w:tc>
          <w:tcPr>
            <w:tcW w:w="1843" w:type="dxa"/>
            <w:vMerge w:val="restart"/>
          </w:tcPr>
          <w:p w:rsidR="003A266F" w:rsidRPr="003A266F" w:rsidRDefault="003A266F" w:rsidP="00AA577D">
            <w:pPr>
              <w:jc w:val="left"/>
              <w:rPr>
                <w:sz w:val="16"/>
              </w:rPr>
            </w:pPr>
            <w:r w:rsidRPr="003A266F">
              <w:rPr>
                <w:sz w:val="16"/>
              </w:rPr>
              <w:t xml:space="preserve">4. Réunions du projet </w:t>
            </w:r>
            <w:proofErr w:type="spellStart"/>
            <w:r w:rsidRPr="003A266F">
              <w:rPr>
                <w:sz w:val="16"/>
              </w:rPr>
              <w:t>Twining</w:t>
            </w:r>
            <w:proofErr w:type="spellEnd"/>
            <w:r w:rsidRPr="003A266F">
              <w:rPr>
                <w:sz w:val="16"/>
              </w:rPr>
              <w:t> :</w:t>
            </w:r>
          </w:p>
          <w:p w:rsidR="003A266F" w:rsidRPr="003A266F" w:rsidRDefault="003A266F" w:rsidP="00AA577D">
            <w:pPr>
              <w:jc w:val="left"/>
              <w:rPr>
                <w:sz w:val="16"/>
              </w:rPr>
            </w:pPr>
            <w:r w:rsidRPr="003A266F">
              <w:rPr>
                <w:sz w:val="16"/>
              </w:rPr>
              <w:t xml:space="preserve">Délégation de l’UE pour l’Ukraine, Service public de protection des plantes (SPPS) (Lettonie), </w:t>
            </w:r>
            <w:proofErr w:type="spellStart"/>
            <w:r w:rsidRPr="003A266F">
              <w:rPr>
                <w:sz w:val="16"/>
              </w:rPr>
              <w:t>Naktuinbouw</w:t>
            </w:r>
            <w:proofErr w:type="spellEnd"/>
            <w:r w:rsidRPr="003A266F">
              <w:rPr>
                <w:sz w:val="16"/>
              </w:rPr>
              <w:t xml:space="preserve"> (Pays-Bas), Service public de santé des plantes et d’inspection des semences (Pologne), COBORU (Pologne)</w:t>
            </w:r>
          </w:p>
        </w:tc>
        <w:tc>
          <w:tcPr>
            <w:tcW w:w="1124" w:type="dxa"/>
          </w:tcPr>
          <w:p w:rsidR="003A266F" w:rsidRPr="003A266F" w:rsidRDefault="003A266F" w:rsidP="00AA577D">
            <w:pPr>
              <w:jc w:val="left"/>
              <w:rPr>
                <w:sz w:val="16"/>
              </w:rPr>
            </w:pPr>
            <w:r w:rsidRPr="003A266F">
              <w:rPr>
                <w:sz w:val="16"/>
              </w:rPr>
              <w:t>15 décembre</w:t>
            </w:r>
          </w:p>
          <w:p w:rsidR="003A266F" w:rsidRPr="003A266F" w:rsidRDefault="003A266F" w:rsidP="00AA577D">
            <w:pPr>
              <w:jc w:val="left"/>
              <w:rPr>
                <w:sz w:val="16"/>
              </w:rPr>
            </w:pPr>
            <w:r w:rsidRPr="003A266F">
              <w:rPr>
                <w:sz w:val="16"/>
              </w:rPr>
              <w:t>2020</w:t>
            </w:r>
          </w:p>
          <w:p w:rsidR="003A266F" w:rsidRPr="003A266F" w:rsidRDefault="003A266F" w:rsidP="00AA577D">
            <w:pPr>
              <w:jc w:val="left"/>
              <w:rPr>
                <w:sz w:val="16"/>
              </w:rPr>
            </w:pPr>
            <w:r w:rsidRPr="003A266F">
              <w:rPr>
                <w:sz w:val="16"/>
              </w:rPr>
              <w:t>15 avril 2021</w:t>
            </w:r>
          </w:p>
          <w:p w:rsidR="003A266F" w:rsidRPr="003A266F" w:rsidRDefault="003A266F" w:rsidP="00AA577D">
            <w:pPr>
              <w:jc w:val="left"/>
              <w:rPr>
                <w:sz w:val="16"/>
              </w:rPr>
            </w:pPr>
            <w:r w:rsidRPr="003A266F">
              <w:rPr>
                <w:sz w:val="16"/>
              </w:rPr>
              <w:t>14 juin 2021</w:t>
            </w:r>
          </w:p>
          <w:p w:rsidR="003A266F" w:rsidRPr="003A266F" w:rsidRDefault="003A266F" w:rsidP="00AA577D">
            <w:pPr>
              <w:jc w:val="left"/>
              <w:rPr>
                <w:sz w:val="16"/>
              </w:rPr>
            </w:pPr>
            <w:r w:rsidRPr="003A266F">
              <w:rPr>
                <w:sz w:val="16"/>
              </w:rPr>
              <w:t>28 juillet 2021</w:t>
            </w:r>
          </w:p>
          <w:p w:rsidR="003A266F" w:rsidRPr="003A266F" w:rsidRDefault="003A266F" w:rsidP="00AA577D">
            <w:pPr>
              <w:jc w:val="left"/>
              <w:rPr>
                <w:sz w:val="16"/>
              </w:rPr>
            </w:pPr>
          </w:p>
        </w:tc>
        <w:tc>
          <w:tcPr>
            <w:tcW w:w="1124" w:type="dxa"/>
          </w:tcPr>
          <w:p w:rsidR="003A266F" w:rsidRPr="003A266F" w:rsidRDefault="003A266F" w:rsidP="00AA577D">
            <w:pPr>
              <w:jc w:val="left"/>
              <w:rPr>
                <w:sz w:val="16"/>
              </w:rPr>
            </w:pPr>
            <w:r w:rsidRPr="003A266F">
              <w:rPr>
                <w:sz w:val="16"/>
              </w:rPr>
              <w:t>Réunion d’organisation en ligne</w:t>
            </w:r>
          </w:p>
        </w:tc>
        <w:tc>
          <w:tcPr>
            <w:tcW w:w="1418" w:type="dxa"/>
          </w:tcPr>
          <w:p w:rsidR="003A266F" w:rsidRPr="003A266F" w:rsidRDefault="003A266F" w:rsidP="00AA577D">
            <w:pPr>
              <w:jc w:val="left"/>
              <w:rPr>
                <w:sz w:val="16"/>
              </w:rPr>
            </w:pPr>
            <w:r w:rsidRPr="003A266F">
              <w:rPr>
                <w:sz w:val="16"/>
              </w:rPr>
              <w:t>Commission européenne,</w:t>
            </w:r>
          </w:p>
          <w:p w:rsidR="003A266F" w:rsidRPr="003A266F" w:rsidRDefault="003A266F" w:rsidP="00AA577D">
            <w:pPr>
              <w:jc w:val="left"/>
              <w:rPr>
                <w:rFonts w:eastAsia="CIDFont+F2"/>
                <w:sz w:val="16"/>
              </w:rPr>
            </w:pPr>
            <w:r w:rsidRPr="003A266F">
              <w:rPr>
                <w:rFonts w:eastAsia="CIDFont+F2"/>
                <w:sz w:val="16"/>
              </w:rPr>
              <w:t>SPPS (Lettonie),</w:t>
            </w:r>
          </w:p>
          <w:p w:rsidR="003A266F" w:rsidRPr="003A266F" w:rsidRDefault="003A266F" w:rsidP="00AA577D">
            <w:pPr>
              <w:jc w:val="left"/>
              <w:rPr>
                <w:sz w:val="16"/>
              </w:rPr>
            </w:pPr>
            <w:r w:rsidRPr="003A266F">
              <w:rPr>
                <w:rFonts w:eastAsia="CIDFont+F2"/>
                <w:sz w:val="16"/>
              </w:rPr>
              <w:t>UIBOR (Ukraine),</w:t>
            </w:r>
          </w:p>
          <w:p w:rsidR="003A266F" w:rsidRPr="003A266F" w:rsidRDefault="003A266F" w:rsidP="00AA577D">
            <w:pPr>
              <w:jc w:val="left"/>
              <w:rPr>
                <w:sz w:val="16"/>
              </w:rPr>
            </w:pPr>
            <w:r w:rsidRPr="003A266F">
              <w:rPr>
                <w:sz w:val="16"/>
              </w:rPr>
              <w:t>Ministère des affaires étrangères de la République de Pologne</w:t>
            </w:r>
          </w:p>
          <w:p w:rsidR="003A266F" w:rsidRPr="003A266F" w:rsidRDefault="003A266F" w:rsidP="00AA577D">
            <w:pPr>
              <w:jc w:val="left"/>
              <w:rPr>
                <w:sz w:val="16"/>
              </w:rPr>
            </w:pPr>
          </w:p>
        </w:tc>
        <w:tc>
          <w:tcPr>
            <w:tcW w:w="2551" w:type="dxa"/>
          </w:tcPr>
          <w:p w:rsidR="003A266F" w:rsidRPr="003A266F" w:rsidRDefault="003A266F" w:rsidP="00AA577D">
            <w:pPr>
              <w:jc w:val="left"/>
              <w:rPr>
                <w:sz w:val="16"/>
              </w:rPr>
            </w:pPr>
            <w:r w:rsidRPr="003A266F">
              <w:rPr>
                <w:sz w:val="16"/>
              </w:rPr>
              <w:t xml:space="preserve">Projet </w:t>
            </w:r>
            <w:proofErr w:type="spellStart"/>
            <w:r w:rsidRPr="003A266F">
              <w:rPr>
                <w:sz w:val="16"/>
              </w:rPr>
              <w:t>Twinning</w:t>
            </w:r>
            <w:proofErr w:type="spellEnd"/>
            <w:r w:rsidRPr="003A266F">
              <w:rPr>
                <w:sz w:val="16"/>
              </w:rPr>
              <w:t> :</w:t>
            </w:r>
          </w:p>
          <w:p w:rsidR="003A266F" w:rsidRPr="003A266F" w:rsidRDefault="003A266F" w:rsidP="00AA577D">
            <w:pPr>
              <w:jc w:val="left"/>
              <w:rPr>
                <w:sz w:val="16"/>
              </w:rPr>
            </w:pPr>
            <w:r w:rsidRPr="003A266F">
              <w:rPr>
                <w:sz w:val="16"/>
              </w:rPr>
              <w:t>“Harmonisation de la législation nationale de l’Ukraine dans les domaines de la surveillance (contrôle) par l’État des OGM dans les systèmes ouverts, de la protection des droits d’obtenteur et de la production de semences et de plants conformément aux normes et standards de l’UE”.</w:t>
            </w:r>
          </w:p>
          <w:p w:rsidR="003A266F" w:rsidRPr="003A266F" w:rsidRDefault="003A266F" w:rsidP="00AA577D">
            <w:pPr>
              <w:jc w:val="left"/>
              <w:rPr>
                <w:sz w:val="16"/>
              </w:rPr>
            </w:pPr>
          </w:p>
        </w:tc>
        <w:tc>
          <w:tcPr>
            <w:tcW w:w="1853" w:type="dxa"/>
          </w:tcPr>
          <w:p w:rsidR="003A266F" w:rsidRPr="003A266F" w:rsidRDefault="003A266F" w:rsidP="00AA577D">
            <w:pPr>
              <w:jc w:val="left"/>
              <w:rPr>
                <w:sz w:val="16"/>
              </w:rPr>
            </w:pPr>
            <w:r w:rsidRPr="003A266F">
              <w:rPr>
                <w:sz w:val="16"/>
              </w:rPr>
              <w:t>EU : 2</w:t>
            </w:r>
          </w:p>
          <w:p w:rsidR="003A266F" w:rsidRPr="003A266F" w:rsidRDefault="003A266F" w:rsidP="00AA577D">
            <w:pPr>
              <w:jc w:val="left"/>
              <w:rPr>
                <w:sz w:val="16"/>
              </w:rPr>
            </w:pPr>
            <w:r w:rsidRPr="003A266F">
              <w:rPr>
                <w:sz w:val="16"/>
              </w:rPr>
              <w:t>LV : 3</w:t>
            </w:r>
          </w:p>
          <w:p w:rsidR="003A266F" w:rsidRPr="003A266F" w:rsidRDefault="003A266F" w:rsidP="00AA577D">
            <w:pPr>
              <w:jc w:val="left"/>
              <w:rPr>
                <w:sz w:val="16"/>
              </w:rPr>
            </w:pPr>
            <w:r w:rsidRPr="003A266F">
              <w:rPr>
                <w:sz w:val="16"/>
              </w:rPr>
              <w:t>NL : 2</w:t>
            </w:r>
          </w:p>
          <w:p w:rsidR="003A266F" w:rsidRPr="003A266F" w:rsidRDefault="003A266F" w:rsidP="00AA577D">
            <w:pPr>
              <w:jc w:val="left"/>
              <w:rPr>
                <w:sz w:val="16"/>
              </w:rPr>
            </w:pPr>
            <w:r w:rsidRPr="003A266F">
              <w:rPr>
                <w:sz w:val="16"/>
              </w:rPr>
              <w:t>PL : 4</w:t>
            </w:r>
          </w:p>
          <w:p w:rsidR="003A266F" w:rsidRPr="003A266F" w:rsidRDefault="003A266F" w:rsidP="00AA577D">
            <w:pPr>
              <w:jc w:val="left"/>
              <w:rPr>
                <w:sz w:val="16"/>
              </w:rPr>
            </w:pPr>
            <w:r w:rsidRPr="003A266F">
              <w:rPr>
                <w:sz w:val="16"/>
              </w:rPr>
              <w:t>UA : 4</w:t>
            </w:r>
          </w:p>
          <w:p w:rsidR="003A266F" w:rsidRPr="003A266F" w:rsidRDefault="003A266F" w:rsidP="00AA577D">
            <w:pPr>
              <w:jc w:val="left"/>
              <w:rPr>
                <w:sz w:val="16"/>
              </w:rPr>
            </w:pPr>
            <w:r w:rsidRPr="003A266F">
              <w:rPr>
                <w:sz w:val="16"/>
              </w:rPr>
              <w:t>DE : 1</w:t>
            </w:r>
          </w:p>
          <w:p w:rsidR="003A266F" w:rsidRPr="003A266F" w:rsidRDefault="003A266F" w:rsidP="00AA577D">
            <w:pPr>
              <w:jc w:val="left"/>
              <w:rPr>
                <w:sz w:val="16"/>
              </w:rPr>
            </w:pPr>
          </w:p>
        </w:tc>
      </w:tr>
      <w:tr w:rsidR="003A266F" w:rsidRPr="003A266F" w:rsidTr="00AA577D">
        <w:trPr>
          <w:cantSplit/>
        </w:trPr>
        <w:tc>
          <w:tcPr>
            <w:tcW w:w="1843" w:type="dxa"/>
            <w:vMerge/>
          </w:tcPr>
          <w:p w:rsidR="003A266F" w:rsidRPr="003A266F" w:rsidRDefault="003A266F" w:rsidP="00AA577D">
            <w:pPr>
              <w:jc w:val="left"/>
              <w:rPr>
                <w:sz w:val="16"/>
              </w:rPr>
            </w:pPr>
          </w:p>
        </w:tc>
        <w:tc>
          <w:tcPr>
            <w:tcW w:w="1124" w:type="dxa"/>
          </w:tcPr>
          <w:p w:rsidR="003A266F" w:rsidRPr="003A266F" w:rsidRDefault="003A266F" w:rsidP="00AA577D">
            <w:pPr>
              <w:jc w:val="left"/>
              <w:rPr>
                <w:sz w:val="16"/>
              </w:rPr>
            </w:pPr>
            <w:r w:rsidRPr="003A266F">
              <w:rPr>
                <w:sz w:val="16"/>
              </w:rPr>
              <w:t>1</w:t>
            </w:r>
            <w:r w:rsidRPr="003A266F">
              <w:rPr>
                <w:sz w:val="16"/>
                <w:vertAlign w:val="superscript"/>
              </w:rPr>
              <w:t>er</w:t>
            </w:r>
            <w:r w:rsidRPr="003A266F">
              <w:rPr>
                <w:sz w:val="16"/>
              </w:rPr>
              <w:t> juillet 2021</w:t>
            </w:r>
          </w:p>
          <w:p w:rsidR="003A266F" w:rsidRPr="003A266F" w:rsidRDefault="003A266F" w:rsidP="00AA577D">
            <w:pPr>
              <w:jc w:val="left"/>
              <w:rPr>
                <w:sz w:val="16"/>
              </w:rPr>
            </w:pPr>
            <w:r w:rsidRPr="003A266F">
              <w:rPr>
                <w:sz w:val="16"/>
              </w:rPr>
              <w:t>9 juillet 2021</w:t>
            </w:r>
          </w:p>
          <w:p w:rsidR="003A266F" w:rsidRPr="003A266F" w:rsidRDefault="003A266F" w:rsidP="00AA577D">
            <w:pPr>
              <w:jc w:val="left"/>
              <w:rPr>
                <w:sz w:val="16"/>
              </w:rPr>
            </w:pPr>
          </w:p>
        </w:tc>
        <w:tc>
          <w:tcPr>
            <w:tcW w:w="1124" w:type="dxa"/>
          </w:tcPr>
          <w:p w:rsidR="003A266F" w:rsidRPr="003A266F" w:rsidRDefault="003A266F" w:rsidP="00AA577D">
            <w:pPr>
              <w:jc w:val="left"/>
              <w:rPr>
                <w:sz w:val="16"/>
              </w:rPr>
            </w:pPr>
            <w:r w:rsidRPr="003A266F">
              <w:rPr>
                <w:sz w:val="16"/>
              </w:rPr>
              <w:t>Réunions de travail en ligne</w:t>
            </w:r>
          </w:p>
        </w:tc>
        <w:tc>
          <w:tcPr>
            <w:tcW w:w="1418" w:type="dxa"/>
          </w:tcPr>
          <w:p w:rsidR="003A266F" w:rsidRPr="003A266F" w:rsidRDefault="003A266F" w:rsidP="00AA577D">
            <w:pPr>
              <w:jc w:val="left"/>
              <w:rPr>
                <w:sz w:val="16"/>
              </w:rPr>
            </w:pPr>
          </w:p>
        </w:tc>
        <w:tc>
          <w:tcPr>
            <w:tcW w:w="2551" w:type="dxa"/>
          </w:tcPr>
          <w:p w:rsidR="003A266F" w:rsidRPr="003A266F" w:rsidRDefault="003A266F" w:rsidP="00AA577D">
            <w:pPr>
              <w:jc w:val="left"/>
              <w:rPr>
                <w:sz w:val="16"/>
              </w:rPr>
            </w:pPr>
            <w:r w:rsidRPr="003A266F">
              <w:rPr>
                <w:sz w:val="16"/>
              </w:rPr>
              <w:t xml:space="preserve">Comparaison de la loi de l’Ukraine “sur la protection des droits d’obtenteur” avec la législation européenne applicable </w:t>
            </w:r>
          </w:p>
        </w:tc>
        <w:tc>
          <w:tcPr>
            <w:tcW w:w="1853" w:type="dxa"/>
          </w:tcPr>
          <w:p w:rsidR="003A266F" w:rsidRPr="003A266F" w:rsidRDefault="003A266F" w:rsidP="00AA577D">
            <w:pPr>
              <w:jc w:val="left"/>
              <w:rPr>
                <w:sz w:val="16"/>
              </w:rPr>
            </w:pPr>
            <w:r w:rsidRPr="003A266F">
              <w:rPr>
                <w:sz w:val="16"/>
              </w:rPr>
              <w:t>PL : 1</w:t>
            </w:r>
          </w:p>
          <w:p w:rsidR="003A266F" w:rsidRPr="003A266F" w:rsidRDefault="003A266F" w:rsidP="00AA577D">
            <w:pPr>
              <w:jc w:val="left"/>
              <w:rPr>
                <w:sz w:val="16"/>
              </w:rPr>
            </w:pPr>
            <w:r w:rsidRPr="003A266F">
              <w:rPr>
                <w:sz w:val="16"/>
              </w:rPr>
              <w:t>NL : 1</w:t>
            </w:r>
          </w:p>
          <w:p w:rsidR="003A266F" w:rsidRPr="003A266F" w:rsidRDefault="003A266F" w:rsidP="00AA577D">
            <w:pPr>
              <w:jc w:val="left"/>
              <w:rPr>
                <w:sz w:val="16"/>
              </w:rPr>
            </w:pPr>
            <w:r w:rsidRPr="003A266F">
              <w:rPr>
                <w:sz w:val="16"/>
              </w:rPr>
              <w:t>UA : 3</w:t>
            </w:r>
          </w:p>
          <w:p w:rsidR="003A266F" w:rsidRPr="003A266F" w:rsidRDefault="003A266F" w:rsidP="00AA577D">
            <w:pPr>
              <w:jc w:val="left"/>
              <w:rPr>
                <w:sz w:val="16"/>
              </w:rPr>
            </w:pPr>
            <w:r w:rsidRPr="003A266F">
              <w:rPr>
                <w:sz w:val="16"/>
              </w:rPr>
              <w:t>LV : 1</w:t>
            </w:r>
          </w:p>
        </w:tc>
      </w:tr>
    </w:tbl>
    <w:p w:rsidR="003A266F" w:rsidRPr="003A266F" w:rsidRDefault="003A266F" w:rsidP="003A266F">
      <w:pPr>
        <w:tabs>
          <w:tab w:val="left" w:pos="567"/>
          <w:tab w:val="left" w:pos="4962"/>
        </w:tabs>
        <w:rPr>
          <w:rFonts w:cs="Arial"/>
        </w:rPr>
      </w:pPr>
    </w:p>
    <w:p w:rsidR="003A266F" w:rsidRPr="003A266F" w:rsidRDefault="003A266F" w:rsidP="003A266F">
      <w:pPr>
        <w:tabs>
          <w:tab w:val="left" w:pos="567"/>
          <w:tab w:val="left" w:pos="4962"/>
        </w:tabs>
        <w:rPr>
          <w:rFonts w:cs="Arial"/>
        </w:rPr>
      </w:pPr>
    </w:p>
    <w:p w:rsidR="003A266F" w:rsidRPr="003A266F" w:rsidRDefault="003A266F" w:rsidP="003A266F">
      <w:r w:rsidRPr="003A266F">
        <w:t>II.</w:t>
      </w:r>
      <w:r w:rsidRPr="003A266F">
        <w:tab/>
        <w:t>AUTRES ÉLÉMENTS NOUVEAUX PRÉSENTANT UN INTÉRÊT POUR L’UPOV</w:t>
      </w:r>
    </w:p>
    <w:p w:rsidR="003A266F" w:rsidRPr="003A266F" w:rsidRDefault="003A266F" w:rsidP="003A266F">
      <w:pPr>
        <w:rPr>
          <w:rFonts w:cs="Arial"/>
        </w:rPr>
      </w:pPr>
    </w:p>
    <w:p w:rsidR="003A266F" w:rsidRPr="003A266F" w:rsidRDefault="003A266F" w:rsidP="003A266F">
      <w:pPr>
        <w:pStyle w:val="BodyText"/>
        <w:rPr>
          <w:rFonts w:cs="Arial"/>
          <w:i/>
          <w:iCs/>
        </w:rPr>
      </w:pPr>
      <w:r w:rsidRPr="003A266F">
        <w:rPr>
          <w:rFonts w:cs="Arial"/>
        </w:rPr>
        <w:t>La liste nationale polonaise des variétés de plantes agricoles, la liste nationale polonaise des variétés de plantes potagères et la liste nationale polonaise des variétés de plantes fruitières ont été publiées en mai 2021.</w:t>
      </w:r>
      <w:r w:rsidRPr="003A266F">
        <w:t xml:space="preserve"> </w:t>
      </w:r>
      <w:r w:rsidRPr="003A266F">
        <w:rPr>
          <w:rFonts w:cs="Arial"/>
        </w:rPr>
        <w:t xml:space="preserve"> Ces listes officielles et les listes actualisées de variétés sont également disponibles à l’adresse suivante : </w:t>
      </w:r>
      <w:hyperlink r:id="rId33" w:history="1">
        <w:r w:rsidRPr="009D782F">
          <w:rPr>
            <w:rStyle w:val="Hyperlink"/>
          </w:rPr>
          <w:t>www.coboru.gov.pl</w:t>
        </w:r>
      </w:hyperlink>
      <w:r w:rsidRPr="003A266F">
        <w:rPr>
          <w:rFonts w:cs="Arial"/>
        </w:rPr>
        <w:t>.</w:t>
      </w:r>
    </w:p>
    <w:p w:rsidR="003A266F" w:rsidRPr="003A266F" w:rsidRDefault="003A266F" w:rsidP="003A266F">
      <w:pPr>
        <w:tabs>
          <w:tab w:val="left" w:pos="567"/>
          <w:tab w:val="left" w:pos="4962"/>
        </w:tabs>
        <w:rPr>
          <w:rFonts w:cs="Arial"/>
        </w:rPr>
      </w:pPr>
    </w:p>
    <w:p w:rsidR="00845D57" w:rsidRPr="00EB57D6" w:rsidRDefault="00845D57" w:rsidP="00845D57">
      <w:pPr>
        <w:jc w:val="left"/>
      </w:pPr>
    </w:p>
    <w:p w:rsidR="005917D2" w:rsidRPr="00EB57D6" w:rsidRDefault="005917D2" w:rsidP="00845D57">
      <w:pPr>
        <w:jc w:val="left"/>
      </w:pPr>
    </w:p>
    <w:p w:rsidR="00845D57" w:rsidRPr="00EB57D6" w:rsidRDefault="00845D57" w:rsidP="00845D57">
      <w:pPr>
        <w:jc w:val="right"/>
      </w:pPr>
      <w:r w:rsidRPr="00EB57D6">
        <w:t>[L’annexe IX suit]</w:t>
      </w:r>
    </w:p>
    <w:p w:rsidR="00845D57" w:rsidRPr="00EB57D6" w:rsidRDefault="00845D57" w:rsidP="00845D57"/>
    <w:p w:rsidR="00845D57" w:rsidRPr="00EB57D6" w:rsidRDefault="00845D57" w:rsidP="00845D57">
      <w:pPr>
        <w:jc w:val="left"/>
        <w:sectPr w:rsidR="00845D57" w:rsidRPr="00EB57D6" w:rsidSect="009B2909">
          <w:headerReference w:type="default" r:id="rId34"/>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IX</w:t>
      </w:r>
    </w:p>
    <w:p w:rsidR="00845D57" w:rsidRPr="00EB57D6" w:rsidRDefault="00845D57" w:rsidP="00845D57">
      <w:pPr>
        <w:jc w:val="center"/>
      </w:pPr>
    </w:p>
    <w:p w:rsidR="00845D57" w:rsidRPr="00EB57D6" w:rsidRDefault="00845D57" w:rsidP="00845D57">
      <w:pPr>
        <w:jc w:val="center"/>
      </w:pPr>
    </w:p>
    <w:p w:rsidR="0036395D" w:rsidRPr="00EB57D6" w:rsidRDefault="007B4801" w:rsidP="0036395D">
      <w:pPr>
        <w:jc w:val="center"/>
        <w:rPr>
          <w:sz w:val="18"/>
        </w:rPr>
      </w:pPr>
      <w:r>
        <w:t>RÉPUBLIQUE DE CORÉE</w:t>
      </w:r>
    </w:p>
    <w:p w:rsidR="0036395D" w:rsidRPr="00EB57D6" w:rsidRDefault="0036395D" w:rsidP="0036395D">
      <w:pPr>
        <w:rPr>
          <w:sz w:val="18"/>
        </w:rPr>
      </w:pPr>
    </w:p>
    <w:p w:rsidR="0036395D" w:rsidRPr="00EB57D6" w:rsidRDefault="0036395D" w:rsidP="0036395D">
      <w:pPr>
        <w:rPr>
          <w:sz w:val="18"/>
        </w:rPr>
      </w:pPr>
    </w:p>
    <w:p w:rsidR="006D1059" w:rsidRPr="00C46339" w:rsidRDefault="006D1059" w:rsidP="006D1059">
      <w:r w:rsidRPr="00C46339">
        <w:t>I.</w:t>
      </w:r>
      <w:r w:rsidRPr="00C46339">
        <w:tab/>
        <w:t>PROTECTION DES OBTENTIONS VÉGÉTALES</w:t>
      </w:r>
    </w:p>
    <w:p w:rsidR="006D1059" w:rsidRPr="00C46339" w:rsidRDefault="006D1059" w:rsidP="006D1059"/>
    <w:p w:rsidR="006D1059" w:rsidRPr="00C46339" w:rsidRDefault="006D1059" w:rsidP="006D1059">
      <w:r w:rsidRPr="00C46339">
        <w:t xml:space="preserve">1. </w:t>
      </w:r>
      <w:r w:rsidRPr="00C46339">
        <w:tab/>
      </w:r>
      <w:r w:rsidRPr="00C46339">
        <w:rPr>
          <w:u w:val="single"/>
        </w:rPr>
        <w:t>Situation dans le domaine législatif</w:t>
      </w:r>
      <w:r w:rsidRPr="00C46339">
        <w:t> : aucun élément nouveau</w:t>
      </w:r>
    </w:p>
    <w:p w:rsidR="006D1059" w:rsidRPr="00C46339" w:rsidRDefault="006D1059" w:rsidP="006D1059"/>
    <w:p w:rsidR="006D1059" w:rsidRPr="00C46339" w:rsidRDefault="006D1059" w:rsidP="006D1059"/>
    <w:p w:rsidR="006D1059" w:rsidRPr="00C46339" w:rsidRDefault="006D1059" w:rsidP="006D1059">
      <w:r w:rsidRPr="00C46339">
        <w:t>2.</w:t>
      </w:r>
      <w:r w:rsidRPr="00C46339">
        <w:tab/>
      </w:r>
      <w:r w:rsidRPr="00C46339">
        <w:rPr>
          <w:u w:val="single"/>
        </w:rPr>
        <w:t>Coopération en matière d’examen</w:t>
      </w:r>
    </w:p>
    <w:p w:rsidR="006D1059" w:rsidRPr="00C46339" w:rsidRDefault="006D1059" w:rsidP="006D1059"/>
    <w:p w:rsidR="006D1059" w:rsidRPr="006D1059" w:rsidRDefault="006D1059" w:rsidP="006D1059">
      <w:pPr>
        <w:ind w:left="567"/>
      </w:pPr>
      <w:r w:rsidRPr="00C46339">
        <w:t xml:space="preserve">Sur la base du mémorandum d’accord conclu entre l’Office de la propriété intellectuelle de Singapour (IPOS) et le Service coréen des semences et des variétés (KSVS), le KSVS effectue l’examen technique pour le compte de l’IPOS et envoie les résultats au Département de la production des obtentions </w:t>
      </w:r>
      <w:r w:rsidRPr="006D1059">
        <w:t>végétales du Viet Nam, conformément au mémorandum d’accord conclu entre les deux autorités.</w:t>
      </w:r>
    </w:p>
    <w:p w:rsidR="006D1059" w:rsidRPr="00C46339" w:rsidRDefault="006D1059" w:rsidP="006D1059"/>
    <w:p w:rsidR="006D1059" w:rsidRPr="00C46339" w:rsidRDefault="006D1059" w:rsidP="006D1059"/>
    <w:p w:rsidR="006D1059" w:rsidRPr="00C46339" w:rsidRDefault="006D1059" w:rsidP="006D1059">
      <w:r w:rsidRPr="00C46339">
        <w:t>3.</w:t>
      </w:r>
      <w:r w:rsidRPr="00C46339">
        <w:tab/>
      </w:r>
      <w:r w:rsidRPr="00C46339">
        <w:rPr>
          <w:u w:val="single"/>
        </w:rPr>
        <w:t>Situation dans le domaine administratif</w:t>
      </w:r>
      <w:r w:rsidRPr="00C46339">
        <w:t> : aucun élément nouveau</w:t>
      </w:r>
    </w:p>
    <w:p w:rsidR="006D1059" w:rsidRPr="00C46339" w:rsidRDefault="006D1059" w:rsidP="006D1059"/>
    <w:p w:rsidR="006D1059" w:rsidRPr="00C46339" w:rsidRDefault="006D1059" w:rsidP="006D1059"/>
    <w:p w:rsidR="006D1059" w:rsidRPr="00C46339" w:rsidRDefault="006D1059" w:rsidP="006D1059">
      <w:r w:rsidRPr="00C46339">
        <w:t>4.</w:t>
      </w:r>
      <w:r w:rsidRPr="00C46339">
        <w:tab/>
      </w:r>
      <w:r w:rsidRPr="00C46339">
        <w:rPr>
          <w:u w:val="single"/>
        </w:rPr>
        <w:t>Situation dans le domaine technique</w:t>
      </w:r>
    </w:p>
    <w:p w:rsidR="006D1059" w:rsidRPr="00C46339" w:rsidRDefault="006D1059" w:rsidP="006D1059">
      <w:pPr>
        <w:rPr>
          <w:rFonts w:eastAsia="함초롬바탕"/>
        </w:rPr>
      </w:pPr>
    </w:p>
    <w:p w:rsidR="006D1059" w:rsidRPr="00C46339" w:rsidRDefault="006D1059" w:rsidP="006D1059">
      <w:pPr>
        <w:ind w:left="567"/>
      </w:pPr>
      <w:r w:rsidRPr="00C46339">
        <w:rPr>
          <w:rFonts w:eastAsia="함초롬바탕"/>
        </w:rPr>
        <w:t>Le KSVS a mis au point un logiciel d’analyse d’image pour obtenir des données phénotypiques à partir des photos de l’examen DHS.  Le programme permet d’effectuer des mesures automatiques de la taille des feuilles, des fleurs et des graines.  Cette année, le KSVS a commencé à utiliser les données pour les rapports d’examen.  Ce logiciel dispose de fonctions conviviales telles que la gestion des données relatives aux photos, l’édition de photos et l’analyse automatique.  Nous ajouterons également un programme de couleurs correspondant à la couleur des pétales et le numéro de référence du code RHS des couleurs.</w:t>
      </w:r>
    </w:p>
    <w:p w:rsidR="006D1059" w:rsidRPr="00C46339" w:rsidRDefault="006D1059" w:rsidP="006D1059"/>
    <w:p w:rsidR="006D1059" w:rsidRPr="00C46339" w:rsidRDefault="006D1059" w:rsidP="006D1059"/>
    <w:p w:rsidR="006D1059" w:rsidRPr="00C46339" w:rsidRDefault="006D1059" w:rsidP="006D1059">
      <w:r w:rsidRPr="00C46339">
        <w:t>5.</w:t>
      </w:r>
      <w:r w:rsidRPr="00C46339">
        <w:tab/>
      </w:r>
      <w:r w:rsidRPr="00C46339">
        <w:rPr>
          <w:u w:val="single"/>
        </w:rPr>
        <w:t>Activités de promotion de la protection des obtentions végétales</w:t>
      </w:r>
      <w:r w:rsidRPr="00C46339">
        <w:t> : aucun élément nouveau</w:t>
      </w:r>
    </w:p>
    <w:p w:rsidR="006D1059" w:rsidRPr="00C46339" w:rsidRDefault="006D1059" w:rsidP="006D1059"/>
    <w:p w:rsidR="006D1059" w:rsidRPr="00C46339" w:rsidRDefault="006D1059" w:rsidP="006D1059"/>
    <w:p w:rsidR="006D1059" w:rsidRPr="006D1059" w:rsidRDefault="006D1059" w:rsidP="006D1059">
      <w:r w:rsidRPr="006D1059">
        <w:t>II.</w:t>
      </w:r>
      <w:r w:rsidRPr="006D1059">
        <w:tab/>
        <w:t>AUTRES ÉLÉMENTS NOUVEAUX PRÉSENTANT UN INTÉRÊT POUR L’UPOV</w:t>
      </w:r>
    </w:p>
    <w:p w:rsidR="006D1059" w:rsidRPr="00C46339" w:rsidRDefault="006D1059" w:rsidP="006D1059"/>
    <w:p w:rsidR="006D1059" w:rsidRPr="00C46339" w:rsidRDefault="006D1059" w:rsidP="006D1059">
      <w:r w:rsidRPr="00C46339">
        <w:t>Aucun élément nouveau.</w:t>
      </w:r>
    </w:p>
    <w:p w:rsidR="0036395D" w:rsidRPr="00EB57D6" w:rsidRDefault="0036395D" w:rsidP="0036395D">
      <w:pPr>
        <w:rPr>
          <w:rFonts w:cs="Arial"/>
          <w:sz w:val="18"/>
        </w:rPr>
      </w:pPr>
    </w:p>
    <w:p w:rsidR="0036395D" w:rsidRPr="00EB57D6" w:rsidRDefault="0036395D" w:rsidP="0036395D">
      <w:pPr>
        <w:rPr>
          <w:rFonts w:cs="Arial"/>
          <w:sz w:val="18"/>
        </w:rPr>
      </w:pPr>
    </w:p>
    <w:p w:rsidR="00845D57" w:rsidRPr="00EB57D6" w:rsidRDefault="00845D57" w:rsidP="00845D57">
      <w:pPr>
        <w:jc w:val="left"/>
      </w:pPr>
    </w:p>
    <w:p w:rsidR="00845D57" w:rsidRPr="00EB57D6" w:rsidRDefault="00845D57" w:rsidP="00845D57">
      <w:pPr>
        <w:jc w:val="right"/>
      </w:pPr>
      <w:r w:rsidRPr="00EB57D6">
        <w:t>[L’annexe X suit]</w:t>
      </w:r>
    </w:p>
    <w:p w:rsidR="00845D57" w:rsidRPr="00EB57D6" w:rsidRDefault="00845D57" w:rsidP="00845D57"/>
    <w:p w:rsidR="00845D57" w:rsidRPr="00EB57D6" w:rsidRDefault="00845D57" w:rsidP="00845D57">
      <w:pPr>
        <w:jc w:val="left"/>
        <w:sectPr w:rsidR="00845D57" w:rsidRPr="00EB57D6" w:rsidSect="009B2909">
          <w:headerReference w:type="default" r:id="rId35"/>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X</w:t>
      </w:r>
    </w:p>
    <w:p w:rsidR="00845D57" w:rsidRPr="00EB57D6" w:rsidRDefault="00845D57" w:rsidP="00845D57">
      <w:pPr>
        <w:jc w:val="center"/>
      </w:pPr>
    </w:p>
    <w:p w:rsidR="00845D57" w:rsidRPr="00EB57D6" w:rsidRDefault="00845D57" w:rsidP="00845D57">
      <w:pPr>
        <w:jc w:val="center"/>
      </w:pPr>
    </w:p>
    <w:p w:rsidR="003272E7" w:rsidRPr="00EB57D6" w:rsidRDefault="007B4801" w:rsidP="003272E7">
      <w:pPr>
        <w:jc w:val="center"/>
        <w:rPr>
          <w:sz w:val="18"/>
        </w:rPr>
      </w:pPr>
      <w:r>
        <w:t>RÉPUBLIQUE DE MOLDOVA</w:t>
      </w:r>
    </w:p>
    <w:p w:rsidR="003272E7" w:rsidRPr="00EB57D6" w:rsidRDefault="003272E7" w:rsidP="003272E7">
      <w:pPr>
        <w:rPr>
          <w:sz w:val="18"/>
        </w:rPr>
      </w:pPr>
    </w:p>
    <w:p w:rsidR="003272E7" w:rsidRPr="00EB57D6" w:rsidRDefault="003272E7" w:rsidP="003272E7">
      <w:pPr>
        <w:rPr>
          <w:sz w:val="18"/>
        </w:rPr>
      </w:pPr>
    </w:p>
    <w:p w:rsidR="006A7273" w:rsidRPr="006A7273" w:rsidRDefault="006A7273" w:rsidP="006A7273">
      <w:r w:rsidRPr="006A7273">
        <w:t>I.</w:t>
      </w:r>
      <w:r w:rsidRPr="006A7273">
        <w:tab/>
        <w:t>PROTECTION DES OBTENTIONS VÉGÉTALES</w:t>
      </w:r>
    </w:p>
    <w:p w:rsidR="006A7273" w:rsidRPr="006A7273" w:rsidRDefault="006A7273" w:rsidP="006A7273">
      <w:pPr>
        <w:tabs>
          <w:tab w:val="left" w:pos="4962"/>
        </w:tabs>
        <w:rPr>
          <w:rFonts w:cs="Arial"/>
          <w:u w:val="single"/>
        </w:rPr>
      </w:pPr>
    </w:p>
    <w:p w:rsidR="006A7273" w:rsidRPr="006A7273" w:rsidRDefault="006A7273" w:rsidP="006A7273">
      <w:pPr>
        <w:rPr>
          <w:u w:val="single"/>
        </w:rPr>
      </w:pPr>
      <w:r w:rsidRPr="006A7273">
        <w:t>1.</w:t>
      </w:r>
      <w:r w:rsidRPr="006A7273">
        <w:tab/>
      </w:r>
      <w:r w:rsidRPr="006A7273">
        <w:rPr>
          <w:u w:val="single"/>
        </w:rPr>
        <w:t>Situation dans le domaine législatif</w:t>
      </w:r>
    </w:p>
    <w:p w:rsidR="006A7273" w:rsidRPr="006A7273" w:rsidRDefault="006A7273" w:rsidP="006A7273"/>
    <w:p w:rsidR="006A7273" w:rsidRPr="006A7273" w:rsidRDefault="006A7273" w:rsidP="006A7273">
      <w:r w:rsidRPr="006A7273">
        <w:t>1.1</w:t>
      </w:r>
      <w:r w:rsidRPr="006A7273">
        <w:tab/>
        <w:t>Modifications de la loi et des textes d’application : aucune modification.</w:t>
      </w:r>
    </w:p>
    <w:p w:rsidR="006A7273" w:rsidRPr="006A7273" w:rsidRDefault="006A7273" w:rsidP="006A7273"/>
    <w:p w:rsidR="006A7273" w:rsidRPr="006A7273" w:rsidRDefault="006A7273" w:rsidP="006A7273">
      <w:r w:rsidRPr="006A7273">
        <w:t>1.2.</w:t>
      </w:r>
      <w:r w:rsidRPr="006A7273">
        <w:tab/>
        <w:t>Extension de la protection à d’autres genres et espèces</w:t>
      </w:r>
    </w:p>
    <w:p w:rsidR="006A7273" w:rsidRPr="006A7273" w:rsidRDefault="006A7273" w:rsidP="006A7273"/>
    <w:p w:rsidR="006A7273" w:rsidRPr="006A7273" w:rsidRDefault="006A7273" w:rsidP="006A7273">
      <w:pPr>
        <w:ind w:left="567"/>
      </w:pPr>
      <w:r w:rsidRPr="006A7273">
        <w:t>En vertu de la loi n° 39-XVI/2008 sur la protection des obtentions végétales, la protection a été étendue aux variétés de tous les genres et espèces botaniques, y compris les hybrides entre genres et espèces.</w:t>
      </w:r>
    </w:p>
    <w:p w:rsidR="006A7273" w:rsidRPr="006A7273" w:rsidRDefault="006A7273" w:rsidP="006A7273"/>
    <w:p w:rsidR="006A7273" w:rsidRPr="006A7273" w:rsidRDefault="006A7273" w:rsidP="006A7273">
      <w:r w:rsidRPr="006A7273">
        <w:t>1.3.</w:t>
      </w:r>
      <w:r w:rsidRPr="006A7273">
        <w:tab/>
        <w:t>Jurisprudence</w:t>
      </w:r>
    </w:p>
    <w:p w:rsidR="006A7273" w:rsidRPr="006A7273" w:rsidRDefault="006A7273" w:rsidP="006A7273"/>
    <w:p w:rsidR="006A7273" w:rsidRPr="006A7273" w:rsidRDefault="006A7273" w:rsidP="006A7273">
      <w:pPr>
        <w:ind w:left="567"/>
      </w:pPr>
      <w:r w:rsidRPr="006A7273">
        <w:t>Il n’existe aucun précédent en matière de protection du droit d’obtenteur.</w:t>
      </w:r>
    </w:p>
    <w:p w:rsidR="006A7273" w:rsidRPr="006A7273" w:rsidRDefault="006A7273" w:rsidP="006A7273"/>
    <w:p w:rsidR="006A7273" w:rsidRPr="006A7273" w:rsidRDefault="006A7273" w:rsidP="006A7273"/>
    <w:p w:rsidR="006A7273" w:rsidRPr="006A7273" w:rsidRDefault="006A7273" w:rsidP="006A7273">
      <w:r w:rsidRPr="006A7273">
        <w:t>2.</w:t>
      </w:r>
      <w:r w:rsidRPr="006A7273">
        <w:tab/>
      </w:r>
      <w:r w:rsidRPr="006A7273">
        <w:rPr>
          <w:u w:val="single"/>
        </w:rPr>
        <w:t>Coopération en matière d’examen</w:t>
      </w:r>
    </w:p>
    <w:p w:rsidR="006A7273" w:rsidRPr="006A7273" w:rsidRDefault="006A7273" w:rsidP="006A7273"/>
    <w:p w:rsidR="006A7273" w:rsidRPr="006A7273" w:rsidRDefault="006A7273" w:rsidP="006A7273">
      <w:r w:rsidRPr="006A7273">
        <w:t>Utilisation du rapport DHS existant proposée par :</w:t>
      </w:r>
    </w:p>
    <w:p w:rsidR="006A7273" w:rsidRPr="006A7273" w:rsidRDefault="006A7273" w:rsidP="00276ED8">
      <w:pPr>
        <w:numPr>
          <w:ilvl w:val="0"/>
          <w:numId w:val="6"/>
        </w:numPr>
      </w:pPr>
      <w:r w:rsidRPr="006A7273">
        <w:t xml:space="preserve">GEVES, </w:t>
      </w:r>
      <w:proofErr w:type="spellStart"/>
      <w:r w:rsidRPr="006A7273">
        <w:t>Beaucouzé</w:t>
      </w:r>
      <w:proofErr w:type="spellEnd"/>
      <w:r w:rsidRPr="006A7273">
        <w:t>, FR</w:t>
      </w:r>
    </w:p>
    <w:p w:rsidR="006A7273" w:rsidRPr="006A7273" w:rsidRDefault="006A7273" w:rsidP="00276ED8">
      <w:pPr>
        <w:numPr>
          <w:ilvl w:val="0"/>
          <w:numId w:val="6"/>
        </w:numPr>
        <w:rPr>
          <w:bCs/>
        </w:rPr>
      </w:pPr>
      <w:r w:rsidRPr="006A7273">
        <w:rPr>
          <w:bCs/>
        </w:rPr>
        <w:t>Centre de recherche pour l’examen des cultivars, PL</w:t>
      </w:r>
    </w:p>
    <w:p w:rsidR="006A7273" w:rsidRPr="006A7273" w:rsidRDefault="006A7273" w:rsidP="006A7273"/>
    <w:p w:rsidR="006A7273" w:rsidRPr="006A7273" w:rsidRDefault="006A7273" w:rsidP="006A7273"/>
    <w:p w:rsidR="006A7273" w:rsidRPr="006A7273" w:rsidRDefault="006A7273" w:rsidP="006A7273">
      <w:r w:rsidRPr="006A7273">
        <w:t>3.</w:t>
      </w:r>
      <w:r w:rsidRPr="006A7273">
        <w:tab/>
      </w:r>
      <w:r w:rsidRPr="006A7273">
        <w:rPr>
          <w:u w:val="single"/>
        </w:rPr>
        <w:t>Situation dans le domaine administratif</w:t>
      </w:r>
      <w:r w:rsidRPr="006A7273">
        <w:t> : aucune modification.</w:t>
      </w:r>
    </w:p>
    <w:p w:rsidR="006A7273" w:rsidRPr="006A7273" w:rsidRDefault="006A7273" w:rsidP="006A7273"/>
    <w:p w:rsidR="006A7273" w:rsidRPr="006A7273" w:rsidRDefault="006A7273" w:rsidP="006A7273">
      <w:pPr>
        <w:rPr>
          <w:i/>
        </w:rPr>
      </w:pPr>
      <w:r w:rsidRPr="006A7273">
        <w:rPr>
          <w:i/>
        </w:rPr>
        <w:t>Modifications des procédures et du système de protection</w:t>
      </w:r>
    </w:p>
    <w:p w:rsidR="006A7273" w:rsidRPr="006A7273" w:rsidRDefault="006A7273" w:rsidP="006A7273"/>
    <w:p w:rsidR="006A7273" w:rsidRPr="006A7273" w:rsidRDefault="006A7273" w:rsidP="006A7273">
      <w:r w:rsidRPr="006A7273">
        <w:t>Deux (2) documents contenant des principes directeurs d’examen nationaux ont été élaborés pour les variétés suivantes :</w:t>
      </w:r>
    </w:p>
    <w:p w:rsidR="006A7273" w:rsidRPr="006A7273" w:rsidRDefault="006A7273" w:rsidP="00276ED8">
      <w:pPr>
        <w:numPr>
          <w:ilvl w:val="0"/>
          <w:numId w:val="6"/>
        </w:numPr>
        <w:rPr>
          <w:bCs/>
          <w:shd w:val="clear" w:color="auto" w:fill="FFFFFF"/>
        </w:rPr>
      </w:pPr>
      <w:proofErr w:type="spellStart"/>
      <w:r w:rsidRPr="006A7273">
        <w:rPr>
          <w:bCs/>
          <w:i/>
          <w:shd w:val="clear" w:color="auto" w:fill="FFFFFF"/>
        </w:rPr>
        <w:t>Paeonia</w:t>
      </w:r>
      <w:proofErr w:type="spellEnd"/>
      <w:r w:rsidRPr="006A7273">
        <w:rPr>
          <w:bCs/>
          <w:i/>
          <w:shd w:val="clear" w:color="auto" w:fill="FFFFFF"/>
        </w:rPr>
        <w:t xml:space="preserve"> </w:t>
      </w:r>
      <w:proofErr w:type="spellStart"/>
      <w:r w:rsidRPr="006A7273">
        <w:rPr>
          <w:bCs/>
          <w:i/>
          <w:shd w:val="clear" w:color="auto" w:fill="FFFFFF"/>
        </w:rPr>
        <w:t>lactiflora</w:t>
      </w:r>
      <w:proofErr w:type="spellEnd"/>
      <w:r w:rsidRPr="006A7273">
        <w:rPr>
          <w:bCs/>
          <w:shd w:val="clear" w:color="auto" w:fill="FFFFFF"/>
        </w:rPr>
        <w:t xml:space="preserve"> </w:t>
      </w:r>
      <w:proofErr w:type="spellStart"/>
      <w:r w:rsidRPr="006A7273">
        <w:rPr>
          <w:bCs/>
          <w:shd w:val="clear" w:color="auto" w:fill="FFFFFF"/>
        </w:rPr>
        <w:t>Pall</w:t>
      </w:r>
      <w:proofErr w:type="spellEnd"/>
      <w:r w:rsidRPr="006A7273">
        <w:rPr>
          <w:bCs/>
          <w:shd w:val="clear" w:color="auto" w:fill="FFFFFF"/>
        </w:rPr>
        <w:t>. MTG 19-1</w:t>
      </w:r>
    </w:p>
    <w:p w:rsidR="006A7273" w:rsidRPr="006A7273" w:rsidRDefault="006A7273" w:rsidP="00276ED8">
      <w:pPr>
        <w:numPr>
          <w:ilvl w:val="0"/>
          <w:numId w:val="6"/>
        </w:numPr>
        <w:rPr>
          <w:lang w:val="es-AR"/>
        </w:rPr>
      </w:pPr>
      <w:proofErr w:type="spellStart"/>
      <w:r w:rsidRPr="006A7273">
        <w:rPr>
          <w:i/>
          <w:lang w:val="es-AR"/>
        </w:rPr>
        <w:t>Mentha</w:t>
      </w:r>
      <w:proofErr w:type="spellEnd"/>
      <w:r w:rsidRPr="006A7273">
        <w:rPr>
          <w:i/>
          <w:lang w:val="es-AR"/>
        </w:rPr>
        <w:t xml:space="preserve"> x </w:t>
      </w:r>
      <w:proofErr w:type="spellStart"/>
      <w:r w:rsidRPr="006A7273">
        <w:rPr>
          <w:i/>
          <w:lang w:val="es-AR"/>
        </w:rPr>
        <w:t>verticillata</w:t>
      </w:r>
      <w:proofErr w:type="spellEnd"/>
      <w:r w:rsidRPr="006A7273">
        <w:rPr>
          <w:lang w:val="es-AR"/>
        </w:rPr>
        <w:t xml:space="preserve"> L. MTG 20-1</w:t>
      </w:r>
    </w:p>
    <w:p w:rsidR="006A7273" w:rsidRPr="006A7273" w:rsidRDefault="006A7273" w:rsidP="006A7273">
      <w:pPr>
        <w:rPr>
          <w:lang w:val="es-AR"/>
        </w:rPr>
      </w:pPr>
    </w:p>
    <w:p w:rsidR="006A7273" w:rsidRPr="006A7273" w:rsidRDefault="006A7273" w:rsidP="006A7273">
      <w:pPr>
        <w:rPr>
          <w:i/>
        </w:rPr>
      </w:pPr>
      <w:r w:rsidRPr="006A7273">
        <w:rPr>
          <w:i/>
        </w:rPr>
        <w:t>Statistiques</w:t>
      </w:r>
    </w:p>
    <w:p w:rsidR="006A7273" w:rsidRPr="006A7273" w:rsidRDefault="006A7273" w:rsidP="006A7273"/>
    <w:p w:rsidR="006A7273" w:rsidRPr="006A7273" w:rsidRDefault="006A7273" w:rsidP="006A7273">
      <w:r w:rsidRPr="006A7273">
        <w:t>Du 1</w:t>
      </w:r>
      <w:r w:rsidRPr="006A7273">
        <w:rPr>
          <w:vertAlign w:val="superscript"/>
        </w:rPr>
        <w:t>er</w:t>
      </w:r>
      <w:r w:rsidRPr="006A7273">
        <w:t> janvier 2020 au 31 décembre 2020 :</w:t>
      </w:r>
    </w:p>
    <w:p w:rsidR="006A7273" w:rsidRPr="006A7273" w:rsidRDefault="006A7273" w:rsidP="006A7273"/>
    <w:p w:rsidR="006A7273" w:rsidRPr="006A7273" w:rsidRDefault="006A7273" w:rsidP="00276ED8">
      <w:pPr>
        <w:numPr>
          <w:ilvl w:val="0"/>
          <w:numId w:val="6"/>
        </w:numPr>
        <w:ind w:left="567" w:hanging="283"/>
      </w:pPr>
      <w:r w:rsidRPr="006A7273">
        <w:t>31 demandes ont été reçues (24 demandes nationales et 7 demandes étrangères), comme indiqué ci-après :</w:t>
      </w:r>
    </w:p>
    <w:p w:rsidR="006A7273" w:rsidRPr="006A7273" w:rsidRDefault="006A7273" w:rsidP="006A7273">
      <w:pPr>
        <w:ind w:left="567"/>
      </w:pPr>
    </w:p>
    <w:p w:rsidR="006A7273" w:rsidRPr="006A7273" w:rsidRDefault="006A7273" w:rsidP="006A7273">
      <w:pPr>
        <w:ind w:left="567"/>
      </w:pPr>
      <w:r w:rsidRPr="006A7273">
        <w:t>Pommier (</w:t>
      </w:r>
      <w:r w:rsidRPr="006A7273">
        <w:rPr>
          <w:i/>
        </w:rPr>
        <w:t xml:space="preserve">Malus </w:t>
      </w:r>
      <w:proofErr w:type="spellStart"/>
      <w:r w:rsidRPr="006A7273">
        <w:rPr>
          <w:i/>
        </w:rPr>
        <w:t>domestica</w:t>
      </w:r>
      <w:proofErr w:type="spellEnd"/>
      <w:r w:rsidRPr="006A7273">
        <w:t xml:space="preserve"> </w:t>
      </w:r>
      <w:proofErr w:type="spellStart"/>
      <w:r w:rsidRPr="006A7273">
        <w:t>Borkh</w:t>
      </w:r>
      <w:proofErr w:type="spellEnd"/>
      <w:r w:rsidRPr="006A7273">
        <w:t>) – 1</w:t>
      </w:r>
    </w:p>
    <w:p w:rsidR="006A7273" w:rsidRPr="006A7273" w:rsidRDefault="006A7273" w:rsidP="006A7273">
      <w:pPr>
        <w:ind w:left="567"/>
      </w:pPr>
      <w:r w:rsidRPr="006A7273">
        <w:t>Orge (</w:t>
      </w:r>
      <w:proofErr w:type="spellStart"/>
      <w:r w:rsidRPr="006A7273">
        <w:rPr>
          <w:i/>
        </w:rPr>
        <w:t>Hordeum</w:t>
      </w:r>
      <w:proofErr w:type="spellEnd"/>
      <w:r w:rsidRPr="006A7273">
        <w:rPr>
          <w:i/>
        </w:rPr>
        <w:t xml:space="preserve"> </w:t>
      </w:r>
      <w:proofErr w:type="spellStart"/>
      <w:r w:rsidRPr="006A7273">
        <w:rPr>
          <w:i/>
        </w:rPr>
        <w:t>vulgare</w:t>
      </w:r>
      <w:proofErr w:type="spellEnd"/>
      <w:r w:rsidRPr="006A7273">
        <w:t xml:space="preserve"> L.) – 1</w:t>
      </w:r>
    </w:p>
    <w:p w:rsidR="006A7273" w:rsidRPr="006A7273" w:rsidRDefault="006A7273" w:rsidP="006A7273">
      <w:pPr>
        <w:ind w:left="567"/>
      </w:pPr>
      <w:r w:rsidRPr="006A7273">
        <w:t>Haricot (</w:t>
      </w:r>
      <w:proofErr w:type="spellStart"/>
      <w:r w:rsidRPr="006A7273">
        <w:rPr>
          <w:i/>
        </w:rPr>
        <w:t>Phaseolus</w:t>
      </w:r>
      <w:proofErr w:type="spellEnd"/>
      <w:r w:rsidRPr="006A7273">
        <w:rPr>
          <w:i/>
        </w:rPr>
        <w:t xml:space="preserve"> </w:t>
      </w:r>
      <w:proofErr w:type="spellStart"/>
      <w:r w:rsidRPr="006A7273">
        <w:rPr>
          <w:i/>
        </w:rPr>
        <w:t>vulgaris</w:t>
      </w:r>
      <w:proofErr w:type="spellEnd"/>
      <w:r w:rsidRPr="006A7273">
        <w:t xml:space="preserve"> L.) – 1</w:t>
      </w:r>
    </w:p>
    <w:p w:rsidR="006A7273" w:rsidRPr="006A7273" w:rsidRDefault="006A7273" w:rsidP="006A7273">
      <w:pPr>
        <w:ind w:left="567"/>
      </w:pPr>
      <w:r w:rsidRPr="006A7273">
        <w:t>Ronce fruitière (</w:t>
      </w:r>
      <w:r w:rsidRPr="006A7273">
        <w:rPr>
          <w:i/>
        </w:rPr>
        <w:t xml:space="preserve">Rubus </w:t>
      </w:r>
      <w:proofErr w:type="spellStart"/>
      <w:r w:rsidRPr="006A7273">
        <w:rPr>
          <w:i/>
        </w:rPr>
        <w:t>fruticosus</w:t>
      </w:r>
      <w:proofErr w:type="spellEnd"/>
      <w:r w:rsidRPr="006A7273">
        <w:t xml:space="preserve"> L.) – 1</w:t>
      </w:r>
    </w:p>
    <w:p w:rsidR="006A7273" w:rsidRPr="006A7273" w:rsidRDefault="006A7273" w:rsidP="006A7273">
      <w:pPr>
        <w:ind w:left="567"/>
      </w:pPr>
      <w:r w:rsidRPr="006A7273">
        <w:t>Blé dur (</w:t>
      </w:r>
      <w:proofErr w:type="spellStart"/>
      <w:r w:rsidRPr="006A7273">
        <w:rPr>
          <w:i/>
        </w:rPr>
        <w:t>Triticum</w:t>
      </w:r>
      <w:proofErr w:type="spellEnd"/>
      <w:r w:rsidRPr="006A7273">
        <w:rPr>
          <w:i/>
        </w:rPr>
        <w:t xml:space="preserve"> </w:t>
      </w:r>
      <w:proofErr w:type="spellStart"/>
      <w:r w:rsidRPr="006A7273">
        <w:rPr>
          <w:i/>
        </w:rPr>
        <w:t>durum</w:t>
      </w:r>
      <w:proofErr w:type="spellEnd"/>
      <w:r w:rsidRPr="006A7273">
        <w:t xml:space="preserve"> </w:t>
      </w:r>
      <w:proofErr w:type="spellStart"/>
      <w:r w:rsidRPr="006A7273">
        <w:t>Desf</w:t>
      </w:r>
      <w:proofErr w:type="spellEnd"/>
      <w:r w:rsidRPr="006A7273">
        <w:t>.) – 1</w:t>
      </w:r>
    </w:p>
    <w:p w:rsidR="006A7273" w:rsidRPr="006A7273" w:rsidRDefault="006A7273" w:rsidP="006A7273">
      <w:pPr>
        <w:ind w:left="567"/>
      </w:pPr>
      <w:r w:rsidRPr="006A7273">
        <w:t>Miscanthus géant (</w:t>
      </w:r>
      <w:proofErr w:type="spellStart"/>
      <w:r w:rsidRPr="006A7273">
        <w:rPr>
          <w:i/>
        </w:rPr>
        <w:t>Miscanthus×giganteus</w:t>
      </w:r>
      <w:proofErr w:type="spellEnd"/>
      <w:r w:rsidRPr="006A7273">
        <w:rPr>
          <w:i/>
        </w:rPr>
        <w:t xml:space="preserve"> </w:t>
      </w:r>
      <w:r w:rsidRPr="006A7273">
        <w:t>J</w:t>
      </w:r>
      <w:r w:rsidRPr="006A7273">
        <w:rPr>
          <w:i/>
        </w:rPr>
        <w:t>. </w:t>
      </w:r>
      <w:r w:rsidRPr="006A7273">
        <w:t>M. </w:t>
      </w:r>
      <w:proofErr w:type="spellStart"/>
      <w:r w:rsidRPr="006A7273">
        <w:t>Greef</w:t>
      </w:r>
      <w:proofErr w:type="spellEnd"/>
      <w:r w:rsidRPr="006A7273">
        <w:t xml:space="preserve"> &amp; </w:t>
      </w:r>
      <w:proofErr w:type="spellStart"/>
      <w:r w:rsidRPr="006A7273">
        <w:t>Deuter</w:t>
      </w:r>
      <w:proofErr w:type="spellEnd"/>
      <w:r w:rsidRPr="006A7273">
        <w:t xml:space="preserve"> ex </w:t>
      </w:r>
      <w:proofErr w:type="spellStart"/>
      <w:r w:rsidRPr="006A7273">
        <w:t>Hodk</w:t>
      </w:r>
      <w:proofErr w:type="spellEnd"/>
      <w:r w:rsidRPr="006A7273">
        <w:t xml:space="preserve">. &amp; </w:t>
      </w:r>
      <w:proofErr w:type="spellStart"/>
      <w:r w:rsidRPr="006A7273">
        <w:t>Renvoize</w:t>
      </w:r>
      <w:proofErr w:type="spellEnd"/>
      <w:r w:rsidRPr="006A7273">
        <w:t>) – 1</w:t>
      </w:r>
    </w:p>
    <w:p w:rsidR="006A7273" w:rsidRPr="006A7273" w:rsidRDefault="006A7273" w:rsidP="006A7273">
      <w:pPr>
        <w:ind w:left="567"/>
      </w:pPr>
      <w:r w:rsidRPr="006A7273">
        <w:t>Vigne (</w:t>
      </w:r>
      <w:r w:rsidRPr="006A7273">
        <w:rPr>
          <w:i/>
        </w:rPr>
        <w:t xml:space="preserve">Vitis </w:t>
      </w:r>
      <w:proofErr w:type="spellStart"/>
      <w:r w:rsidRPr="006A7273">
        <w:rPr>
          <w:i/>
        </w:rPr>
        <w:t>vinifera</w:t>
      </w:r>
      <w:proofErr w:type="spellEnd"/>
      <w:r w:rsidRPr="006A7273">
        <w:t xml:space="preserve"> L. </w:t>
      </w:r>
      <w:proofErr w:type="spellStart"/>
      <w:r w:rsidRPr="006A7273">
        <w:t>ssp</w:t>
      </w:r>
      <w:proofErr w:type="spellEnd"/>
      <w:r w:rsidRPr="006A7273">
        <w:t xml:space="preserve">. </w:t>
      </w:r>
      <w:proofErr w:type="spellStart"/>
      <w:r w:rsidRPr="006A7273">
        <w:rPr>
          <w:i/>
        </w:rPr>
        <w:t>sativa</w:t>
      </w:r>
      <w:proofErr w:type="spellEnd"/>
      <w:r w:rsidRPr="006A7273">
        <w:rPr>
          <w:i/>
        </w:rPr>
        <w:t xml:space="preserve"> </w:t>
      </w:r>
      <w:r w:rsidRPr="006A7273">
        <w:t xml:space="preserve">D.C. x </w:t>
      </w:r>
      <w:proofErr w:type="spellStart"/>
      <w:r w:rsidRPr="006A7273">
        <w:rPr>
          <w:i/>
        </w:rPr>
        <w:t>Muscadinia</w:t>
      </w:r>
      <w:proofErr w:type="spellEnd"/>
      <w:r w:rsidRPr="006A7273">
        <w:rPr>
          <w:i/>
        </w:rPr>
        <w:t xml:space="preserve"> </w:t>
      </w:r>
      <w:proofErr w:type="spellStart"/>
      <w:r w:rsidRPr="006A7273">
        <w:rPr>
          <w:i/>
        </w:rPr>
        <w:t>rotundifolia</w:t>
      </w:r>
      <w:proofErr w:type="spellEnd"/>
      <w:r w:rsidRPr="006A7273">
        <w:rPr>
          <w:i/>
        </w:rPr>
        <w:t xml:space="preserve"> </w:t>
      </w:r>
      <w:proofErr w:type="spellStart"/>
      <w:r w:rsidRPr="006A7273">
        <w:t>Michx</w:t>
      </w:r>
      <w:proofErr w:type="spellEnd"/>
      <w:r w:rsidRPr="006A7273">
        <w:t>.) – 2</w:t>
      </w:r>
    </w:p>
    <w:p w:rsidR="006A7273" w:rsidRPr="006A7273" w:rsidRDefault="006A7273" w:rsidP="006A7273">
      <w:pPr>
        <w:ind w:left="567"/>
      </w:pPr>
      <w:r w:rsidRPr="006A7273">
        <w:t>Origan grec (</w:t>
      </w:r>
      <w:proofErr w:type="spellStart"/>
      <w:r w:rsidRPr="006A7273">
        <w:rPr>
          <w:i/>
        </w:rPr>
        <w:t>Origanum</w:t>
      </w:r>
      <w:proofErr w:type="spellEnd"/>
      <w:r w:rsidRPr="006A7273">
        <w:rPr>
          <w:i/>
        </w:rPr>
        <w:t xml:space="preserve"> </w:t>
      </w:r>
      <w:proofErr w:type="spellStart"/>
      <w:r w:rsidRPr="006A7273">
        <w:rPr>
          <w:i/>
        </w:rPr>
        <w:t>vulgare</w:t>
      </w:r>
      <w:proofErr w:type="spellEnd"/>
      <w:r w:rsidRPr="006A7273">
        <w:rPr>
          <w:i/>
        </w:rPr>
        <w:t xml:space="preserve"> </w:t>
      </w:r>
      <w:r w:rsidRPr="006A7273">
        <w:t>L</w:t>
      </w:r>
      <w:r w:rsidRPr="006A7273">
        <w:rPr>
          <w:i/>
        </w:rPr>
        <w:t>. </w:t>
      </w:r>
      <w:proofErr w:type="spellStart"/>
      <w:r w:rsidRPr="006A7273">
        <w:t>ssp</w:t>
      </w:r>
      <w:proofErr w:type="spellEnd"/>
      <w:r w:rsidRPr="006A7273">
        <w:t xml:space="preserve">. </w:t>
      </w:r>
      <w:proofErr w:type="spellStart"/>
      <w:r w:rsidRPr="006A7273">
        <w:rPr>
          <w:i/>
        </w:rPr>
        <w:t>hirtum</w:t>
      </w:r>
      <w:proofErr w:type="spellEnd"/>
      <w:r w:rsidRPr="006A7273">
        <w:rPr>
          <w:i/>
        </w:rPr>
        <w:t xml:space="preserve"> </w:t>
      </w:r>
      <w:proofErr w:type="spellStart"/>
      <w:r w:rsidRPr="006A7273">
        <w:t>Ietsw</w:t>
      </w:r>
      <w:proofErr w:type="spellEnd"/>
      <w:r w:rsidRPr="006A7273">
        <w:t>.) – 1</w:t>
      </w:r>
    </w:p>
    <w:p w:rsidR="006A7273" w:rsidRPr="006A7273" w:rsidRDefault="006A7273" w:rsidP="006A7273">
      <w:pPr>
        <w:ind w:left="567"/>
      </w:pPr>
      <w:r w:rsidRPr="006A7273">
        <w:t>Coing japonais (</w:t>
      </w:r>
      <w:proofErr w:type="spellStart"/>
      <w:r w:rsidRPr="006A7273">
        <w:rPr>
          <w:i/>
        </w:rPr>
        <w:t>Chaenomeles</w:t>
      </w:r>
      <w:proofErr w:type="spellEnd"/>
      <w:r w:rsidRPr="006A7273">
        <w:rPr>
          <w:i/>
        </w:rPr>
        <w:t xml:space="preserve"> </w:t>
      </w:r>
      <w:proofErr w:type="spellStart"/>
      <w:r w:rsidRPr="006A7273">
        <w:rPr>
          <w:i/>
        </w:rPr>
        <w:t>japonica</w:t>
      </w:r>
      <w:proofErr w:type="spellEnd"/>
      <w:r w:rsidRPr="006A7273">
        <w:t xml:space="preserve"> (</w:t>
      </w:r>
      <w:proofErr w:type="spellStart"/>
      <w:r w:rsidRPr="006A7273">
        <w:t>Thunb</w:t>
      </w:r>
      <w:proofErr w:type="spellEnd"/>
      <w:r w:rsidRPr="006A7273">
        <w:t xml:space="preserve">.) </w:t>
      </w:r>
      <w:proofErr w:type="spellStart"/>
      <w:r w:rsidRPr="006A7273">
        <w:t>Lindl</w:t>
      </w:r>
      <w:proofErr w:type="spellEnd"/>
      <w:r w:rsidRPr="006A7273">
        <w:t>.) – 1</w:t>
      </w:r>
    </w:p>
    <w:p w:rsidR="006A7273" w:rsidRPr="006A7273" w:rsidRDefault="006A7273" w:rsidP="006A7273">
      <w:pPr>
        <w:ind w:left="567"/>
      </w:pPr>
      <w:r w:rsidRPr="006A7273">
        <w:t>Maïs (</w:t>
      </w:r>
      <w:proofErr w:type="spellStart"/>
      <w:r w:rsidRPr="006A7273">
        <w:rPr>
          <w:i/>
        </w:rPr>
        <w:t>Zea</w:t>
      </w:r>
      <w:proofErr w:type="spellEnd"/>
      <w:r w:rsidRPr="006A7273">
        <w:rPr>
          <w:i/>
        </w:rPr>
        <w:t xml:space="preserve"> </w:t>
      </w:r>
      <w:proofErr w:type="spellStart"/>
      <w:r w:rsidRPr="006A7273">
        <w:rPr>
          <w:i/>
        </w:rPr>
        <w:t>mays</w:t>
      </w:r>
      <w:proofErr w:type="spellEnd"/>
      <w:r w:rsidRPr="006A7273">
        <w:t xml:space="preserve"> L.) – 2</w:t>
      </w:r>
    </w:p>
    <w:p w:rsidR="006A7273" w:rsidRPr="006A7273" w:rsidRDefault="006A7273" w:rsidP="006A7273">
      <w:pPr>
        <w:ind w:left="567"/>
        <w:rPr>
          <w:lang w:val="de-CH"/>
        </w:rPr>
      </w:pPr>
      <w:proofErr w:type="spellStart"/>
      <w:r w:rsidRPr="006A7273">
        <w:rPr>
          <w:lang w:val="de-CH"/>
        </w:rPr>
        <w:t>Origan</w:t>
      </w:r>
      <w:proofErr w:type="spellEnd"/>
      <w:r w:rsidRPr="006A7273">
        <w:rPr>
          <w:lang w:val="de-CH"/>
        </w:rPr>
        <w:t xml:space="preserve"> (</w:t>
      </w:r>
      <w:r w:rsidRPr="006A7273">
        <w:rPr>
          <w:i/>
          <w:lang w:val="de-CH"/>
        </w:rPr>
        <w:t xml:space="preserve">Origanum </w:t>
      </w:r>
      <w:proofErr w:type="spellStart"/>
      <w:r w:rsidRPr="006A7273">
        <w:rPr>
          <w:i/>
          <w:lang w:val="de-CH"/>
        </w:rPr>
        <w:t>vulgare</w:t>
      </w:r>
      <w:proofErr w:type="spellEnd"/>
      <w:r w:rsidRPr="006A7273">
        <w:rPr>
          <w:lang w:val="de-CH"/>
        </w:rPr>
        <w:t xml:space="preserve"> L. </w:t>
      </w:r>
      <w:proofErr w:type="spellStart"/>
      <w:r w:rsidRPr="006A7273">
        <w:rPr>
          <w:lang w:val="de-CH"/>
        </w:rPr>
        <w:t>ssp</w:t>
      </w:r>
      <w:proofErr w:type="spellEnd"/>
      <w:r w:rsidRPr="006A7273">
        <w:rPr>
          <w:lang w:val="de-CH"/>
        </w:rPr>
        <w:t xml:space="preserve">. </w:t>
      </w:r>
      <w:proofErr w:type="spellStart"/>
      <w:r w:rsidRPr="006A7273">
        <w:rPr>
          <w:i/>
          <w:lang w:val="de-CH"/>
        </w:rPr>
        <w:t>vulgare</w:t>
      </w:r>
      <w:proofErr w:type="spellEnd"/>
      <w:r w:rsidRPr="006A7273">
        <w:rPr>
          <w:lang w:val="de-CH"/>
        </w:rPr>
        <w:t xml:space="preserve"> L.) – 1</w:t>
      </w:r>
    </w:p>
    <w:p w:rsidR="006A7273" w:rsidRPr="006A7273" w:rsidRDefault="006A7273" w:rsidP="006A7273">
      <w:pPr>
        <w:ind w:left="567"/>
        <w:rPr>
          <w:lang w:val="es-AR"/>
        </w:rPr>
      </w:pPr>
      <w:proofErr w:type="spellStart"/>
      <w:r w:rsidRPr="006A7273">
        <w:rPr>
          <w:lang w:val="es-AR"/>
        </w:rPr>
        <w:t>Paulownia</w:t>
      </w:r>
      <w:proofErr w:type="spellEnd"/>
      <w:r w:rsidRPr="006A7273">
        <w:rPr>
          <w:lang w:val="es-AR"/>
        </w:rPr>
        <w:t xml:space="preserve"> (</w:t>
      </w:r>
      <w:proofErr w:type="spellStart"/>
      <w:r w:rsidRPr="006A7273">
        <w:rPr>
          <w:i/>
          <w:lang w:val="es-AR"/>
        </w:rPr>
        <w:t>Paulownia</w:t>
      </w:r>
      <w:proofErr w:type="spellEnd"/>
      <w:r w:rsidRPr="006A7273">
        <w:rPr>
          <w:lang w:val="es-AR"/>
        </w:rPr>
        <w:t>) – 1</w:t>
      </w:r>
    </w:p>
    <w:p w:rsidR="006A7273" w:rsidRPr="006A7273" w:rsidRDefault="006A7273" w:rsidP="006A7273">
      <w:pPr>
        <w:ind w:left="567"/>
        <w:rPr>
          <w:lang w:val="es-AR"/>
        </w:rPr>
      </w:pPr>
      <w:proofErr w:type="spellStart"/>
      <w:r w:rsidRPr="006A7273">
        <w:rPr>
          <w:lang w:val="es-AR"/>
        </w:rPr>
        <w:t>Sauge</w:t>
      </w:r>
      <w:proofErr w:type="spellEnd"/>
      <w:r w:rsidRPr="006A7273">
        <w:rPr>
          <w:lang w:val="es-AR"/>
        </w:rPr>
        <w:t xml:space="preserve"> (</w:t>
      </w:r>
      <w:r w:rsidRPr="006A7273">
        <w:rPr>
          <w:i/>
          <w:lang w:val="es-AR"/>
        </w:rPr>
        <w:t xml:space="preserve">Salvia </w:t>
      </w:r>
      <w:proofErr w:type="spellStart"/>
      <w:r w:rsidRPr="006A7273">
        <w:rPr>
          <w:i/>
          <w:lang w:val="es-AR"/>
        </w:rPr>
        <w:t>sclarea</w:t>
      </w:r>
      <w:proofErr w:type="spellEnd"/>
      <w:r w:rsidRPr="006A7273">
        <w:rPr>
          <w:lang w:val="es-AR"/>
        </w:rPr>
        <w:t xml:space="preserve"> L.) – 1</w:t>
      </w:r>
    </w:p>
    <w:p w:rsidR="006A7273" w:rsidRPr="006A7273" w:rsidRDefault="006A7273" w:rsidP="006A7273">
      <w:pPr>
        <w:ind w:left="567"/>
      </w:pPr>
      <w:r w:rsidRPr="006A7273">
        <w:t>Sorgho (</w:t>
      </w:r>
      <w:proofErr w:type="spellStart"/>
      <w:r w:rsidRPr="006A7273">
        <w:rPr>
          <w:i/>
        </w:rPr>
        <w:t>Sorghum</w:t>
      </w:r>
      <w:proofErr w:type="spellEnd"/>
      <w:r w:rsidRPr="006A7273">
        <w:rPr>
          <w:i/>
        </w:rPr>
        <w:t xml:space="preserve"> bicolor</w:t>
      </w:r>
      <w:r w:rsidRPr="006A7273">
        <w:t xml:space="preserve"> (L.) </w:t>
      </w:r>
      <w:proofErr w:type="spellStart"/>
      <w:r w:rsidRPr="006A7273">
        <w:t>Moench</w:t>
      </w:r>
      <w:proofErr w:type="spellEnd"/>
      <w:r w:rsidRPr="006A7273">
        <w:t xml:space="preserve"> var. </w:t>
      </w:r>
      <w:proofErr w:type="spellStart"/>
      <w:r w:rsidRPr="006A7273">
        <w:rPr>
          <w:i/>
        </w:rPr>
        <w:t>caffrorum</w:t>
      </w:r>
      <w:proofErr w:type="spellEnd"/>
      <w:r w:rsidRPr="006A7273">
        <w:t xml:space="preserve"> (L.) </w:t>
      </w:r>
      <w:proofErr w:type="spellStart"/>
      <w:r w:rsidRPr="006A7273">
        <w:t>subvar</w:t>
      </w:r>
      <w:proofErr w:type="spellEnd"/>
      <w:r w:rsidRPr="006A7273">
        <w:t xml:space="preserve">. </w:t>
      </w:r>
      <w:proofErr w:type="spellStart"/>
      <w:r w:rsidRPr="006A7273">
        <w:rPr>
          <w:i/>
        </w:rPr>
        <w:t>oryzoidum</w:t>
      </w:r>
      <w:proofErr w:type="spellEnd"/>
      <w:r w:rsidRPr="006A7273">
        <w:t>) – 1</w:t>
      </w:r>
    </w:p>
    <w:p w:rsidR="006A7273" w:rsidRPr="006A7273" w:rsidRDefault="006A7273" w:rsidP="006A7273">
      <w:pPr>
        <w:ind w:left="567"/>
      </w:pPr>
      <w:r w:rsidRPr="006A7273">
        <w:t>Sorgho x Herbe du Soudan (</w:t>
      </w:r>
      <w:proofErr w:type="spellStart"/>
      <w:r w:rsidRPr="006A7273">
        <w:rPr>
          <w:i/>
        </w:rPr>
        <w:t>Sorghum</w:t>
      </w:r>
      <w:proofErr w:type="spellEnd"/>
      <w:r w:rsidRPr="006A7273">
        <w:rPr>
          <w:i/>
        </w:rPr>
        <w:t xml:space="preserve"> bicolor</w:t>
      </w:r>
      <w:r w:rsidRPr="006A7273">
        <w:t xml:space="preserve"> (L.) x </w:t>
      </w:r>
      <w:proofErr w:type="spellStart"/>
      <w:r w:rsidRPr="006A7273">
        <w:rPr>
          <w:i/>
        </w:rPr>
        <w:t>Sorghum</w:t>
      </w:r>
      <w:proofErr w:type="spellEnd"/>
      <w:r w:rsidRPr="006A7273">
        <w:rPr>
          <w:i/>
        </w:rPr>
        <w:t xml:space="preserve"> bicolor</w:t>
      </w:r>
      <w:r w:rsidRPr="006A7273">
        <w:t xml:space="preserve"> (L.) var. </w:t>
      </w:r>
      <w:proofErr w:type="spellStart"/>
      <w:r w:rsidRPr="006A7273">
        <w:rPr>
          <w:i/>
        </w:rPr>
        <w:t>sudanse</w:t>
      </w:r>
      <w:proofErr w:type="spellEnd"/>
      <w:r w:rsidRPr="006A7273">
        <w:t>) – 1</w:t>
      </w:r>
    </w:p>
    <w:p w:rsidR="006A7273" w:rsidRPr="006A7273" w:rsidRDefault="006A7273" w:rsidP="006A7273">
      <w:pPr>
        <w:ind w:left="567"/>
      </w:pPr>
      <w:r w:rsidRPr="006A7273">
        <w:t>Soja (</w:t>
      </w:r>
      <w:r w:rsidRPr="006A7273">
        <w:rPr>
          <w:i/>
        </w:rPr>
        <w:t>Glycine max</w:t>
      </w:r>
      <w:r w:rsidRPr="006A7273">
        <w:t>. (L.) Merrill) – 3</w:t>
      </w:r>
    </w:p>
    <w:p w:rsidR="006A7273" w:rsidRPr="006A7273" w:rsidRDefault="006A7273" w:rsidP="006A7273">
      <w:pPr>
        <w:ind w:left="567"/>
      </w:pPr>
      <w:r w:rsidRPr="006A7273">
        <w:t>Cerisier doux (</w:t>
      </w:r>
      <w:r w:rsidRPr="006A7273">
        <w:rPr>
          <w:i/>
        </w:rPr>
        <w:t xml:space="preserve">Prunus </w:t>
      </w:r>
      <w:proofErr w:type="spellStart"/>
      <w:r w:rsidRPr="006A7273">
        <w:rPr>
          <w:i/>
        </w:rPr>
        <w:t>avium</w:t>
      </w:r>
      <w:proofErr w:type="spellEnd"/>
      <w:r w:rsidRPr="006A7273">
        <w:t xml:space="preserve"> L.) – 2</w:t>
      </w:r>
    </w:p>
    <w:p w:rsidR="006A7273" w:rsidRPr="006A7273" w:rsidRDefault="006A7273" w:rsidP="006A7273">
      <w:pPr>
        <w:ind w:left="567"/>
      </w:pPr>
      <w:r w:rsidRPr="006A7273">
        <w:t>Sorgho doux (</w:t>
      </w:r>
      <w:proofErr w:type="spellStart"/>
      <w:r w:rsidRPr="006A7273">
        <w:rPr>
          <w:i/>
        </w:rPr>
        <w:t>Sorghum</w:t>
      </w:r>
      <w:proofErr w:type="spellEnd"/>
      <w:r w:rsidRPr="006A7273">
        <w:rPr>
          <w:i/>
        </w:rPr>
        <w:t xml:space="preserve"> bicolor</w:t>
      </w:r>
      <w:r w:rsidRPr="006A7273">
        <w:t xml:space="preserve"> (L.) </w:t>
      </w:r>
      <w:proofErr w:type="spellStart"/>
      <w:r w:rsidRPr="006A7273">
        <w:t>Moench</w:t>
      </w:r>
      <w:proofErr w:type="spellEnd"/>
      <w:r w:rsidRPr="006A7273">
        <w:t xml:space="preserve"> var. </w:t>
      </w:r>
      <w:proofErr w:type="spellStart"/>
      <w:r w:rsidRPr="006A7273">
        <w:rPr>
          <w:i/>
        </w:rPr>
        <w:t>saccharatum</w:t>
      </w:r>
      <w:proofErr w:type="spellEnd"/>
      <w:r w:rsidRPr="006A7273">
        <w:t xml:space="preserve"> (L.)) – 2</w:t>
      </w:r>
    </w:p>
    <w:p w:rsidR="006A7273" w:rsidRPr="006A7273" w:rsidRDefault="006A7273" w:rsidP="006A7273">
      <w:pPr>
        <w:ind w:left="567"/>
      </w:pPr>
      <w:r w:rsidRPr="006A7273">
        <w:lastRenderedPageBreak/>
        <w:t>Tomate (</w:t>
      </w:r>
      <w:proofErr w:type="spellStart"/>
      <w:r w:rsidRPr="006A7273">
        <w:rPr>
          <w:i/>
        </w:rPr>
        <w:t>Solanum</w:t>
      </w:r>
      <w:proofErr w:type="spellEnd"/>
      <w:r w:rsidRPr="006A7273">
        <w:rPr>
          <w:i/>
        </w:rPr>
        <w:t xml:space="preserve"> </w:t>
      </w:r>
      <w:proofErr w:type="spellStart"/>
      <w:r w:rsidRPr="006A7273">
        <w:rPr>
          <w:i/>
        </w:rPr>
        <w:t>lycopersicum</w:t>
      </w:r>
      <w:proofErr w:type="spellEnd"/>
      <w:r w:rsidRPr="006A7273">
        <w:rPr>
          <w:i/>
        </w:rPr>
        <w:t xml:space="preserve"> </w:t>
      </w:r>
      <w:r w:rsidRPr="006A7273">
        <w:t>L) – 1</w:t>
      </w:r>
    </w:p>
    <w:p w:rsidR="006A7273" w:rsidRPr="006A7273" w:rsidRDefault="006A7273" w:rsidP="006A7273">
      <w:pPr>
        <w:ind w:left="567"/>
      </w:pPr>
      <w:r w:rsidRPr="006A7273">
        <w:t>Topinambour (</w:t>
      </w:r>
      <w:proofErr w:type="spellStart"/>
      <w:r w:rsidRPr="006A7273">
        <w:rPr>
          <w:i/>
        </w:rPr>
        <w:t>Helianthus</w:t>
      </w:r>
      <w:proofErr w:type="spellEnd"/>
      <w:r w:rsidRPr="006A7273">
        <w:rPr>
          <w:i/>
        </w:rPr>
        <w:t xml:space="preserve"> </w:t>
      </w:r>
      <w:proofErr w:type="spellStart"/>
      <w:r w:rsidRPr="006A7273">
        <w:rPr>
          <w:i/>
        </w:rPr>
        <w:t>tuberosus</w:t>
      </w:r>
      <w:proofErr w:type="spellEnd"/>
      <w:r w:rsidRPr="006A7273">
        <w:rPr>
          <w:i/>
        </w:rPr>
        <w:t xml:space="preserve"> </w:t>
      </w:r>
      <w:r w:rsidRPr="006A7273">
        <w:t>L.) – 1</w:t>
      </w:r>
    </w:p>
    <w:p w:rsidR="006A7273" w:rsidRPr="006A7273" w:rsidRDefault="006A7273" w:rsidP="006A7273">
      <w:pPr>
        <w:ind w:left="567"/>
      </w:pPr>
      <w:r w:rsidRPr="006A7273">
        <w:t>Triticale (</w:t>
      </w:r>
      <w:proofErr w:type="spellStart"/>
      <w:r w:rsidRPr="006A7273">
        <w:rPr>
          <w:bCs/>
          <w:i/>
        </w:rPr>
        <w:t>Triticosecale</w:t>
      </w:r>
      <w:proofErr w:type="spellEnd"/>
      <w:r w:rsidRPr="006A7273">
        <w:rPr>
          <w:bCs/>
          <w:i/>
        </w:rPr>
        <w:t xml:space="preserve"> </w:t>
      </w:r>
      <w:r w:rsidRPr="006A7273">
        <w:rPr>
          <w:bCs/>
        </w:rPr>
        <w:t>Witt</w:t>
      </w:r>
      <w:r w:rsidRPr="006A7273">
        <w:t>) – 1</w:t>
      </w:r>
    </w:p>
    <w:p w:rsidR="006A7273" w:rsidRPr="006A7273" w:rsidRDefault="006A7273" w:rsidP="006A7273">
      <w:pPr>
        <w:ind w:left="567"/>
        <w:rPr>
          <w:rFonts w:eastAsia="Calibri"/>
          <w:bCs/>
          <w:i/>
          <w:iCs/>
        </w:rPr>
      </w:pPr>
      <w:r w:rsidRPr="006A7273">
        <w:t>Blé (</w:t>
      </w:r>
      <w:proofErr w:type="spellStart"/>
      <w:r w:rsidRPr="006A7273">
        <w:rPr>
          <w:i/>
        </w:rPr>
        <w:t>Triticum</w:t>
      </w:r>
      <w:proofErr w:type="spellEnd"/>
      <w:r w:rsidRPr="006A7273">
        <w:rPr>
          <w:i/>
        </w:rPr>
        <w:t xml:space="preserve"> </w:t>
      </w:r>
      <w:proofErr w:type="spellStart"/>
      <w:r w:rsidRPr="006A7273">
        <w:rPr>
          <w:i/>
        </w:rPr>
        <w:t>aestivum</w:t>
      </w:r>
      <w:proofErr w:type="spellEnd"/>
      <w:r w:rsidRPr="006A7273">
        <w:t xml:space="preserve"> L.) – 4</w:t>
      </w:r>
    </w:p>
    <w:p w:rsidR="006A7273" w:rsidRPr="006A7273" w:rsidRDefault="006A7273" w:rsidP="006A7273"/>
    <w:p w:rsidR="006A7273" w:rsidRPr="006A7273" w:rsidRDefault="006A7273" w:rsidP="00276ED8">
      <w:pPr>
        <w:numPr>
          <w:ilvl w:val="0"/>
          <w:numId w:val="6"/>
        </w:numPr>
        <w:ind w:left="567" w:hanging="283"/>
      </w:pPr>
      <w:r w:rsidRPr="006A7273">
        <w:t>43 brevets d’obtention végétale (37 brevets nationaux et 6 brevets étrangers) ont été octroyés comme indiqué ci-après :</w:t>
      </w:r>
    </w:p>
    <w:p w:rsidR="006A7273" w:rsidRPr="006A7273" w:rsidRDefault="006A7273" w:rsidP="006A7273">
      <w:pPr>
        <w:ind w:left="567"/>
      </w:pPr>
    </w:p>
    <w:p w:rsidR="006A7273" w:rsidRPr="006A7273" w:rsidRDefault="006A7273" w:rsidP="006A7273">
      <w:pPr>
        <w:ind w:left="567"/>
      </w:pPr>
      <w:r w:rsidRPr="006A7273">
        <w:t>Abricotier (</w:t>
      </w:r>
      <w:r w:rsidRPr="006A7273">
        <w:rPr>
          <w:i/>
        </w:rPr>
        <w:t xml:space="preserve">Prunus </w:t>
      </w:r>
      <w:proofErr w:type="spellStart"/>
      <w:r w:rsidRPr="006A7273">
        <w:rPr>
          <w:i/>
        </w:rPr>
        <w:t>armeniaca</w:t>
      </w:r>
      <w:proofErr w:type="spellEnd"/>
      <w:r w:rsidRPr="006A7273">
        <w:t xml:space="preserve"> L.) -1</w:t>
      </w:r>
    </w:p>
    <w:p w:rsidR="006A7273" w:rsidRPr="006A7273" w:rsidRDefault="006A7273" w:rsidP="006A7273">
      <w:pPr>
        <w:ind w:left="567"/>
        <w:rPr>
          <w:iCs/>
        </w:rPr>
      </w:pPr>
      <w:r w:rsidRPr="006A7273">
        <w:rPr>
          <w:iCs/>
        </w:rPr>
        <w:t>Orge (</w:t>
      </w:r>
      <w:proofErr w:type="spellStart"/>
      <w:r w:rsidRPr="006A7273">
        <w:rPr>
          <w:i/>
          <w:iCs/>
        </w:rPr>
        <w:t>Hordeum</w:t>
      </w:r>
      <w:proofErr w:type="spellEnd"/>
      <w:r w:rsidRPr="006A7273">
        <w:rPr>
          <w:i/>
          <w:iCs/>
        </w:rPr>
        <w:t xml:space="preserve"> </w:t>
      </w:r>
      <w:proofErr w:type="spellStart"/>
      <w:r w:rsidRPr="006A7273">
        <w:rPr>
          <w:i/>
          <w:iCs/>
        </w:rPr>
        <w:t>vulgare</w:t>
      </w:r>
      <w:proofErr w:type="spellEnd"/>
      <w:r w:rsidRPr="006A7273">
        <w:rPr>
          <w:iCs/>
        </w:rPr>
        <w:t xml:space="preserve"> L.) – 1</w:t>
      </w:r>
    </w:p>
    <w:p w:rsidR="006A7273" w:rsidRPr="006A7273" w:rsidRDefault="006A7273" w:rsidP="006A7273">
      <w:pPr>
        <w:ind w:left="567"/>
        <w:rPr>
          <w:iCs/>
        </w:rPr>
      </w:pPr>
      <w:r w:rsidRPr="006A7273">
        <w:rPr>
          <w:iCs/>
        </w:rPr>
        <w:t>Noisetier (</w:t>
      </w:r>
      <w:proofErr w:type="spellStart"/>
      <w:r w:rsidRPr="006A7273">
        <w:rPr>
          <w:i/>
          <w:iCs/>
        </w:rPr>
        <w:t>Corylus</w:t>
      </w:r>
      <w:proofErr w:type="spellEnd"/>
      <w:r w:rsidRPr="006A7273">
        <w:rPr>
          <w:i/>
          <w:iCs/>
        </w:rPr>
        <w:t xml:space="preserve"> </w:t>
      </w:r>
      <w:proofErr w:type="spellStart"/>
      <w:r w:rsidRPr="006A7273">
        <w:rPr>
          <w:i/>
          <w:iCs/>
        </w:rPr>
        <w:t>avellana</w:t>
      </w:r>
      <w:proofErr w:type="spellEnd"/>
      <w:r w:rsidRPr="006A7273">
        <w:rPr>
          <w:iCs/>
        </w:rPr>
        <w:t xml:space="preserve"> L.) – 1</w:t>
      </w:r>
    </w:p>
    <w:p w:rsidR="006A7273" w:rsidRPr="006A7273" w:rsidRDefault="006A7273" w:rsidP="006A7273">
      <w:pPr>
        <w:ind w:left="567"/>
        <w:rPr>
          <w:iCs/>
        </w:rPr>
      </w:pPr>
      <w:r w:rsidRPr="006A7273">
        <w:rPr>
          <w:iCs/>
        </w:rPr>
        <w:t>Blé dur (</w:t>
      </w:r>
      <w:proofErr w:type="spellStart"/>
      <w:r w:rsidRPr="006A7273">
        <w:rPr>
          <w:i/>
          <w:iCs/>
        </w:rPr>
        <w:t>Triticum</w:t>
      </w:r>
      <w:proofErr w:type="spellEnd"/>
      <w:r w:rsidRPr="006A7273">
        <w:rPr>
          <w:i/>
          <w:iCs/>
        </w:rPr>
        <w:t xml:space="preserve"> </w:t>
      </w:r>
      <w:proofErr w:type="spellStart"/>
      <w:r w:rsidRPr="006A7273">
        <w:rPr>
          <w:i/>
          <w:iCs/>
        </w:rPr>
        <w:t>durum</w:t>
      </w:r>
      <w:proofErr w:type="spellEnd"/>
      <w:r w:rsidRPr="006A7273">
        <w:rPr>
          <w:iCs/>
        </w:rPr>
        <w:t xml:space="preserve"> </w:t>
      </w:r>
      <w:proofErr w:type="spellStart"/>
      <w:r w:rsidRPr="006A7273">
        <w:rPr>
          <w:iCs/>
        </w:rPr>
        <w:t>Desf</w:t>
      </w:r>
      <w:proofErr w:type="spellEnd"/>
      <w:r w:rsidRPr="006A7273">
        <w:rPr>
          <w:iCs/>
        </w:rPr>
        <w:t>.) – 1</w:t>
      </w:r>
    </w:p>
    <w:p w:rsidR="006A7273" w:rsidRPr="006A7273" w:rsidRDefault="006A7273" w:rsidP="006A7273">
      <w:pPr>
        <w:ind w:left="567"/>
      </w:pPr>
      <w:r w:rsidRPr="006A7273">
        <w:t>Prunier européen (</w:t>
      </w:r>
      <w:r w:rsidRPr="006A7273">
        <w:rPr>
          <w:i/>
        </w:rPr>
        <w:t xml:space="preserve">Prunus </w:t>
      </w:r>
      <w:proofErr w:type="spellStart"/>
      <w:r w:rsidRPr="006A7273">
        <w:rPr>
          <w:i/>
        </w:rPr>
        <w:t>domestica</w:t>
      </w:r>
      <w:proofErr w:type="spellEnd"/>
      <w:r w:rsidRPr="006A7273">
        <w:t xml:space="preserve"> L.) – 2</w:t>
      </w:r>
    </w:p>
    <w:p w:rsidR="006A7273" w:rsidRPr="006A7273" w:rsidRDefault="006A7273" w:rsidP="006A7273">
      <w:pPr>
        <w:ind w:left="567"/>
      </w:pPr>
      <w:r w:rsidRPr="006A7273">
        <w:t>Miscanthus géant (</w:t>
      </w:r>
      <w:proofErr w:type="spellStart"/>
      <w:r w:rsidRPr="006A7273">
        <w:rPr>
          <w:i/>
        </w:rPr>
        <w:t>Miscanthus×giganteus</w:t>
      </w:r>
      <w:proofErr w:type="spellEnd"/>
      <w:r w:rsidRPr="006A7273">
        <w:rPr>
          <w:i/>
        </w:rPr>
        <w:t xml:space="preserve"> </w:t>
      </w:r>
      <w:r w:rsidRPr="006A7273">
        <w:t>J</w:t>
      </w:r>
      <w:r w:rsidRPr="006A7273">
        <w:rPr>
          <w:i/>
        </w:rPr>
        <w:t>. </w:t>
      </w:r>
      <w:r w:rsidRPr="006A7273">
        <w:t>M. </w:t>
      </w:r>
      <w:proofErr w:type="spellStart"/>
      <w:r w:rsidRPr="006A7273">
        <w:t>Greef</w:t>
      </w:r>
      <w:proofErr w:type="spellEnd"/>
      <w:r w:rsidRPr="006A7273">
        <w:t xml:space="preserve"> &amp; </w:t>
      </w:r>
      <w:proofErr w:type="spellStart"/>
      <w:r w:rsidRPr="006A7273">
        <w:t>Deuter</w:t>
      </w:r>
      <w:proofErr w:type="spellEnd"/>
      <w:r w:rsidRPr="006A7273">
        <w:t xml:space="preserve"> ex </w:t>
      </w:r>
      <w:proofErr w:type="spellStart"/>
      <w:r w:rsidRPr="006A7273">
        <w:t>Hodk</w:t>
      </w:r>
      <w:proofErr w:type="spellEnd"/>
      <w:r w:rsidRPr="006A7273">
        <w:t xml:space="preserve">. &amp; </w:t>
      </w:r>
      <w:proofErr w:type="spellStart"/>
      <w:r w:rsidRPr="006A7273">
        <w:t>Renvoize</w:t>
      </w:r>
      <w:proofErr w:type="spellEnd"/>
      <w:r w:rsidRPr="006A7273">
        <w:t>) – 1</w:t>
      </w:r>
    </w:p>
    <w:p w:rsidR="006A7273" w:rsidRPr="006A7273" w:rsidRDefault="006A7273" w:rsidP="006A7273">
      <w:pPr>
        <w:ind w:left="567"/>
      </w:pPr>
      <w:r w:rsidRPr="006A7273">
        <w:t>Vigne (</w:t>
      </w:r>
      <w:r w:rsidRPr="006A7273">
        <w:rPr>
          <w:i/>
        </w:rPr>
        <w:t xml:space="preserve">Vitis </w:t>
      </w:r>
      <w:proofErr w:type="spellStart"/>
      <w:r w:rsidRPr="006A7273">
        <w:rPr>
          <w:i/>
        </w:rPr>
        <w:t>vinifera</w:t>
      </w:r>
      <w:proofErr w:type="spellEnd"/>
      <w:r w:rsidRPr="006A7273">
        <w:rPr>
          <w:i/>
        </w:rPr>
        <w:t xml:space="preserve"> </w:t>
      </w:r>
      <w:r w:rsidRPr="006A7273">
        <w:t>L.) – 4</w:t>
      </w:r>
    </w:p>
    <w:p w:rsidR="006A7273" w:rsidRPr="006A7273" w:rsidRDefault="006A7273" w:rsidP="006A7273">
      <w:pPr>
        <w:ind w:left="567"/>
        <w:rPr>
          <w:iCs/>
        </w:rPr>
      </w:pPr>
      <w:r w:rsidRPr="006A7273">
        <w:rPr>
          <w:iCs/>
        </w:rPr>
        <w:t>Menthe à longue feuille (</w:t>
      </w:r>
      <w:proofErr w:type="spellStart"/>
      <w:r w:rsidRPr="006A7273">
        <w:rPr>
          <w:i/>
          <w:iCs/>
        </w:rPr>
        <w:t>Mentha</w:t>
      </w:r>
      <w:proofErr w:type="spellEnd"/>
      <w:r w:rsidRPr="006A7273">
        <w:rPr>
          <w:i/>
          <w:iCs/>
        </w:rPr>
        <w:t xml:space="preserve"> </w:t>
      </w:r>
      <w:proofErr w:type="spellStart"/>
      <w:r w:rsidRPr="006A7273">
        <w:rPr>
          <w:i/>
          <w:iCs/>
        </w:rPr>
        <w:t>longifolia</w:t>
      </w:r>
      <w:proofErr w:type="spellEnd"/>
      <w:r w:rsidRPr="006A7273">
        <w:rPr>
          <w:iCs/>
        </w:rPr>
        <w:t xml:space="preserve"> L. </w:t>
      </w:r>
      <w:proofErr w:type="spellStart"/>
      <w:r w:rsidRPr="006A7273">
        <w:rPr>
          <w:iCs/>
        </w:rPr>
        <w:t>Huds</w:t>
      </w:r>
      <w:proofErr w:type="spellEnd"/>
      <w:r w:rsidRPr="006A7273">
        <w:rPr>
          <w:iCs/>
        </w:rPr>
        <w:t>.) – 1</w:t>
      </w:r>
    </w:p>
    <w:p w:rsidR="006A7273" w:rsidRPr="006A7273" w:rsidRDefault="006A7273" w:rsidP="006A7273">
      <w:pPr>
        <w:ind w:left="567"/>
        <w:rPr>
          <w:iCs/>
        </w:rPr>
      </w:pPr>
      <w:r w:rsidRPr="006A7273">
        <w:rPr>
          <w:iCs/>
        </w:rPr>
        <w:t>Maïs (</w:t>
      </w:r>
      <w:proofErr w:type="spellStart"/>
      <w:r w:rsidRPr="006A7273">
        <w:rPr>
          <w:i/>
          <w:iCs/>
        </w:rPr>
        <w:t>Zea</w:t>
      </w:r>
      <w:proofErr w:type="spellEnd"/>
      <w:r w:rsidRPr="006A7273">
        <w:rPr>
          <w:i/>
          <w:iCs/>
        </w:rPr>
        <w:t xml:space="preserve"> </w:t>
      </w:r>
      <w:proofErr w:type="spellStart"/>
      <w:r w:rsidRPr="006A7273">
        <w:rPr>
          <w:i/>
          <w:iCs/>
        </w:rPr>
        <w:t>mays</w:t>
      </w:r>
      <w:proofErr w:type="spellEnd"/>
      <w:r w:rsidRPr="006A7273">
        <w:rPr>
          <w:iCs/>
        </w:rPr>
        <w:t xml:space="preserve"> L.) – 6</w:t>
      </w:r>
    </w:p>
    <w:p w:rsidR="006A7273" w:rsidRPr="006A7273" w:rsidRDefault="006A7273" w:rsidP="006A7273">
      <w:pPr>
        <w:ind w:left="567"/>
        <w:rPr>
          <w:iCs/>
        </w:rPr>
      </w:pPr>
      <w:r w:rsidRPr="006A7273">
        <w:rPr>
          <w:iCs/>
        </w:rPr>
        <w:t>Oignon (</w:t>
      </w:r>
      <w:r w:rsidRPr="006A7273">
        <w:rPr>
          <w:i/>
          <w:iCs/>
        </w:rPr>
        <w:t xml:space="preserve">Allium </w:t>
      </w:r>
      <w:proofErr w:type="spellStart"/>
      <w:r w:rsidRPr="006A7273">
        <w:rPr>
          <w:i/>
          <w:iCs/>
        </w:rPr>
        <w:t>cepa</w:t>
      </w:r>
      <w:proofErr w:type="spellEnd"/>
      <w:r w:rsidRPr="006A7273">
        <w:rPr>
          <w:iCs/>
        </w:rPr>
        <w:t>) – 3</w:t>
      </w:r>
    </w:p>
    <w:p w:rsidR="006A7273" w:rsidRPr="006A7273" w:rsidRDefault="006A7273" w:rsidP="006A7273">
      <w:pPr>
        <w:ind w:left="567"/>
        <w:rPr>
          <w:iCs/>
        </w:rPr>
      </w:pPr>
      <w:r w:rsidRPr="006A7273">
        <w:rPr>
          <w:iCs/>
        </w:rPr>
        <w:t>Poirier (</w:t>
      </w:r>
      <w:proofErr w:type="spellStart"/>
      <w:r w:rsidRPr="006A7273">
        <w:rPr>
          <w:i/>
          <w:iCs/>
        </w:rPr>
        <w:t>Pyrus</w:t>
      </w:r>
      <w:proofErr w:type="spellEnd"/>
      <w:r w:rsidRPr="006A7273">
        <w:rPr>
          <w:i/>
          <w:iCs/>
        </w:rPr>
        <w:t xml:space="preserve"> </w:t>
      </w:r>
      <w:proofErr w:type="spellStart"/>
      <w:r w:rsidRPr="006A7273">
        <w:rPr>
          <w:i/>
          <w:iCs/>
        </w:rPr>
        <w:t>communis</w:t>
      </w:r>
      <w:proofErr w:type="spellEnd"/>
      <w:r w:rsidRPr="006A7273">
        <w:rPr>
          <w:iCs/>
        </w:rPr>
        <w:t xml:space="preserve"> L.) – 1</w:t>
      </w:r>
    </w:p>
    <w:p w:rsidR="006A7273" w:rsidRPr="006A7273" w:rsidRDefault="006A7273" w:rsidP="006A7273">
      <w:pPr>
        <w:ind w:left="567"/>
      </w:pPr>
      <w:r w:rsidRPr="006A7273">
        <w:t>Pois (</w:t>
      </w:r>
      <w:proofErr w:type="spellStart"/>
      <w:r w:rsidRPr="006A7273">
        <w:rPr>
          <w:i/>
        </w:rPr>
        <w:t>Pisum</w:t>
      </w:r>
      <w:proofErr w:type="spellEnd"/>
      <w:r w:rsidRPr="006A7273">
        <w:rPr>
          <w:i/>
        </w:rPr>
        <w:t xml:space="preserve"> </w:t>
      </w:r>
      <w:proofErr w:type="spellStart"/>
      <w:r w:rsidRPr="006A7273">
        <w:rPr>
          <w:i/>
        </w:rPr>
        <w:t>sativum</w:t>
      </w:r>
      <w:proofErr w:type="spellEnd"/>
      <w:r w:rsidRPr="006A7273">
        <w:t xml:space="preserve"> L. (</w:t>
      </w:r>
      <w:proofErr w:type="spellStart"/>
      <w:r w:rsidRPr="006A7273">
        <w:t>partim</w:t>
      </w:r>
      <w:proofErr w:type="spellEnd"/>
      <w:r w:rsidRPr="006A7273">
        <w:t>)) – 1</w:t>
      </w:r>
    </w:p>
    <w:p w:rsidR="006A7273" w:rsidRPr="006A7273" w:rsidRDefault="006A7273" w:rsidP="006A7273">
      <w:pPr>
        <w:ind w:left="567"/>
        <w:rPr>
          <w:iCs/>
        </w:rPr>
      </w:pPr>
      <w:r w:rsidRPr="006A7273">
        <w:rPr>
          <w:iCs/>
        </w:rPr>
        <w:t>Menthe poivrée (</w:t>
      </w:r>
      <w:proofErr w:type="spellStart"/>
      <w:r w:rsidRPr="006A7273">
        <w:rPr>
          <w:i/>
          <w:iCs/>
        </w:rPr>
        <w:t>Mentha</w:t>
      </w:r>
      <w:proofErr w:type="spellEnd"/>
      <w:r w:rsidRPr="006A7273">
        <w:rPr>
          <w:i/>
          <w:iCs/>
        </w:rPr>
        <w:t xml:space="preserve"> </w:t>
      </w:r>
      <w:proofErr w:type="spellStart"/>
      <w:r w:rsidRPr="006A7273">
        <w:rPr>
          <w:i/>
          <w:iCs/>
        </w:rPr>
        <w:t>piperita</w:t>
      </w:r>
      <w:proofErr w:type="spellEnd"/>
      <w:r w:rsidRPr="006A7273">
        <w:rPr>
          <w:iCs/>
        </w:rPr>
        <w:t xml:space="preserve"> L.) – 1</w:t>
      </w:r>
    </w:p>
    <w:p w:rsidR="006A7273" w:rsidRPr="006A7273" w:rsidRDefault="006A7273" w:rsidP="006A7273">
      <w:pPr>
        <w:ind w:left="567"/>
      </w:pPr>
      <w:r w:rsidRPr="006A7273">
        <w:t>Sauge (</w:t>
      </w:r>
      <w:proofErr w:type="spellStart"/>
      <w:r w:rsidRPr="006A7273">
        <w:rPr>
          <w:i/>
        </w:rPr>
        <w:t>Salvia</w:t>
      </w:r>
      <w:proofErr w:type="spellEnd"/>
      <w:r w:rsidRPr="006A7273">
        <w:rPr>
          <w:i/>
        </w:rPr>
        <w:t xml:space="preserve"> </w:t>
      </w:r>
      <w:proofErr w:type="spellStart"/>
      <w:r w:rsidRPr="006A7273">
        <w:rPr>
          <w:i/>
        </w:rPr>
        <w:t>sclarea</w:t>
      </w:r>
      <w:proofErr w:type="spellEnd"/>
      <w:r w:rsidRPr="006A7273">
        <w:t xml:space="preserve"> L.) – 1</w:t>
      </w:r>
    </w:p>
    <w:p w:rsidR="006A7273" w:rsidRPr="006A7273" w:rsidRDefault="006A7273" w:rsidP="006A7273">
      <w:pPr>
        <w:ind w:left="567"/>
      </w:pPr>
      <w:r w:rsidRPr="006A7273">
        <w:t>Sorgho d’Argentine (</w:t>
      </w:r>
      <w:proofErr w:type="spellStart"/>
      <w:r w:rsidRPr="006A7273">
        <w:rPr>
          <w:i/>
        </w:rPr>
        <w:t>Sorghum</w:t>
      </w:r>
      <w:proofErr w:type="spellEnd"/>
      <w:r w:rsidRPr="006A7273">
        <w:rPr>
          <w:i/>
        </w:rPr>
        <w:t xml:space="preserve"> </w:t>
      </w:r>
      <w:proofErr w:type="spellStart"/>
      <w:r w:rsidRPr="006A7273">
        <w:rPr>
          <w:i/>
        </w:rPr>
        <w:t>almum</w:t>
      </w:r>
      <w:proofErr w:type="spellEnd"/>
      <w:r w:rsidRPr="006A7273">
        <w:t xml:space="preserve"> Parodi) – 1</w:t>
      </w:r>
    </w:p>
    <w:p w:rsidR="006A7273" w:rsidRPr="006A7273" w:rsidRDefault="006A7273" w:rsidP="006A7273">
      <w:pPr>
        <w:ind w:left="567"/>
      </w:pPr>
      <w:r w:rsidRPr="006A7273">
        <w:t>Cerisier acide (</w:t>
      </w:r>
      <w:r w:rsidRPr="006A7273">
        <w:rPr>
          <w:i/>
        </w:rPr>
        <w:t xml:space="preserve">Prunus </w:t>
      </w:r>
      <w:proofErr w:type="spellStart"/>
      <w:r w:rsidRPr="006A7273">
        <w:rPr>
          <w:i/>
        </w:rPr>
        <w:t>cerasus</w:t>
      </w:r>
      <w:proofErr w:type="spellEnd"/>
      <w:r w:rsidRPr="006A7273">
        <w:t xml:space="preserve"> L.) – 1</w:t>
      </w:r>
    </w:p>
    <w:p w:rsidR="006A7273" w:rsidRPr="006A7273" w:rsidRDefault="006A7273" w:rsidP="006A7273">
      <w:pPr>
        <w:ind w:left="567"/>
        <w:rPr>
          <w:iCs/>
        </w:rPr>
      </w:pPr>
      <w:r w:rsidRPr="006A7273">
        <w:rPr>
          <w:iCs/>
        </w:rPr>
        <w:t>Poivron, piment (</w:t>
      </w:r>
      <w:proofErr w:type="spellStart"/>
      <w:r w:rsidRPr="006A7273">
        <w:rPr>
          <w:i/>
          <w:iCs/>
        </w:rPr>
        <w:t>Capsicum</w:t>
      </w:r>
      <w:proofErr w:type="spellEnd"/>
      <w:r w:rsidRPr="006A7273">
        <w:rPr>
          <w:i/>
          <w:iCs/>
        </w:rPr>
        <w:t xml:space="preserve"> </w:t>
      </w:r>
      <w:proofErr w:type="spellStart"/>
      <w:r w:rsidRPr="006A7273">
        <w:rPr>
          <w:i/>
          <w:iCs/>
        </w:rPr>
        <w:t>annuum</w:t>
      </w:r>
      <w:proofErr w:type="spellEnd"/>
      <w:r w:rsidRPr="006A7273">
        <w:rPr>
          <w:iCs/>
        </w:rPr>
        <w:t xml:space="preserve"> L.) – 7</w:t>
      </w:r>
    </w:p>
    <w:p w:rsidR="006A7273" w:rsidRPr="006A7273" w:rsidRDefault="006A7273" w:rsidP="006A7273">
      <w:pPr>
        <w:ind w:left="567"/>
      </w:pPr>
      <w:r w:rsidRPr="006A7273">
        <w:t>Tomate (</w:t>
      </w:r>
      <w:proofErr w:type="spellStart"/>
      <w:r w:rsidRPr="006A7273">
        <w:rPr>
          <w:i/>
        </w:rPr>
        <w:t>Solanum</w:t>
      </w:r>
      <w:proofErr w:type="spellEnd"/>
      <w:r w:rsidRPr="006A7273">
        <w:rPr>
          <w:i/>
        </w:rPr>
        <w:t xml:space="preserve"> </w:t>
      </w:r>
      <w:proofErr w:type="spellStart"/>
      <w:r w:rsidRPr="006A7273">
        <w:rPr>
          <w:i/>
        </w:rPr>
        <w:t>lycopersicum</w:t>
      </w:r>
      <w:proofErr w:type="spellEnd"/>
      <w:r w:rsidRPr="006A7273">
        <w:rPr>
          <w:i/>
        </w:rPr>
        <w:t xml:space="preserve"> </w:t>
      </w:r>
      <w:r w:rsidRPr="006A7273">
        <w:t>L) – 1</w:t>
      </w:r>
    </w:p>
    <w:p w:rsidR="006A7273" w:rsidRPr="006A7273" w:rsidRDefault="006A7273" w:rsidP="006A7273">
      <w:pPr>
        <w:ind w:left="567"/>
      </w:pPr>
      <w:r w:rsidRPr="006A7273">
        <w:t>Noyer (</w:t>
      </w:r>
      <w:proofErr w:type="spellStart"/>
      <w:r w:rsidRPr="006A7273">
        <w:rPr>
          <w:i/>
        </w:rPr>
        <w:t>Juglans</w:t>
      </w:r>
      <w:proofErr w:type="spellEnd"/>
      <w:r w:rsidRPr="006A7273">
        <w:t xml:space="preserve"> </w:t>
      </w:r>
      <w:proofErr w:type="spellStart"/>
      <w:r w:rsidRPr="006A7273">
        <w:t>regia</w:t>
      </w:r>
      <w:proofErr w:type="spellEnd"/>
      <w:r w:rsidRPr="006A7273">
        <w:t>) – 4</w:t>
      </w:r>
    </w:p>
    <w:p w:rsidR="006A7273" w:rsidRPr="006A7273" w:rsidRDefault="006A7273" w:rsidP="006A7273">
      <w:pPr>
        <w:ind w:left="567"/>
        <w:rPr>
          <w:iCs/>
        </w:rPr>
      </w:pPr>
      <w:r w:rsidRPr="006A7273">
        <w:rPr>
          <w:iCs/>
        </w:rPr>
        <w:t>Blé (</w:t>
      </w:r>
      <w:proofErr w:type="spellStart"/>
      <w:r w:rsidRPr="006A7273">
        <w:rPr>
          <w:i/>
          <w:iCs/>
        </w:rPr>
        <w:t>Triticum</w:t>
      </w:r>
      <w:proofErr w:type="spellEnd"/>
      <w:r w:rsidRPr="006A7273">
        <w:rPr>
          <w:i/>
          <w:iCs/>
        </w:rPr>
        <w:t xml:space="preserve"> </w:t>
      </w:r>
      <w:proofErr w:type="spellStart"/>
      <w:r w:rsidRPr="006A7273">
        <w:rPr>
          <w:i/>
          <w:iCs/>
        </w:rPr>
        <w:t>aestivum</w:t>
      </w:r>
      <w:proofErr w:type="spellEnd"/>
      <w:r w:rsidRPr="006A7273">
        <w:rPr>
          <w:iCs/>
        </w:rPr>
        <w:t xml:space="preserve"> L.) – 4</w:t>
      </w:r>
    </w:p>
    <w:p w:rsidR="006A7273" w:rsidRPr="006A7273" w:rsidRDefault="006A7273" w:rsidP="006A7273">
      <w:pPr>
        <w:ind w:left="567"/>
      </w:pPr>
    </w:p>
    <w:p w:rsidR="006A7273" w:rsidRPr="006A7273" w:rsidRDefault="006A7273" w:rsidP="006A7273">
      <w:pPr>
        <w:ind w:left="567"/>
      </w:pPr>
      <w:r w:rsidRPr="006A7273">
        <w:t>Au 31 décembre 2020, 273 brevets d’obtention végétale étaient en vigueur.</w:t>
      </w:r>
    </w:p>
    <w:p w:rsidR="006A7273" w:rsidRPr="006A7273" w:rsidRDefault="006A7273" w:rsidP="006A7273"/>
    <w:p w:rsidR="006A7273" w:rsidRPr="006A7273" w:rsidRDefault="006A7273" w:rsidP="006A7273"/>
    <w:p w:rsidR="006A7273" w:rsidRPr="006A7273" w:rsidRDefault="006A7273" w:rsidP="006A7273">
      <w:r w:rsidRPr="006A7273">
        <w:t>4.</w:t>
      </w:r>
      <w:r w:rsidRPr="006A7273">
        <w:tab/>
      </w:r>
      <w:r w:rsidRPr="006A7273">
        <w:rPr>
          <w:u w:val="single"/>
        </w:rPr>
        <w:t>Situation dans le domaine technique</w:t>
      </w:r>
      <w:r w:rsidRPr="006A7273">
        <w:t> : aucune modification.</w:t>
      </w:r>
    </w:p>
    <w:p w:rsidR="006A7273" w:rsidRPr="006A7273" w:rsidRDefault="006A7273" w:rsidP="006A7273"/>
    <w:p w:rsidR="006A7273" w:rsidRPr="006A7273" w:rsidRDefault="006A7273" w:rsidP="006A7273"/>
    <w:p w:rsidR="006A7273" w:rsidRPr="006A7273" w:rsidRDefault="006A7273" w:rsidP="006A7273">
      <w:pPr>
        <w:rPr>
          <w:u w:val="single"/>
        </w:rPr>
      </w:pPr>
      <w:r w:rsidRPr="006A7273">
        <w:t>5.</w:t>
      </w:r>
      <w:r w:rsidRPr="006A7273">
        <w:tab/>
      </w:r>
      <w:r w:rsidRPr="006A7273">
        <w:rPr>
          <w:u w:val="single"/>
        </w:rPr>
        <w:t>Activités de promotion de la protection des obtentions végétales</w:t>
      </w:r>
    </w:p>
    <w:p w:rsidR="006A7273" w:rsidRPr="006A7273" w:rsidRDefault="006A7273" w:rsidP="006A7273">
      <w:pPr>
        <w:rPr>
          <w:sz w:val="25"/>
          <w:szCs w:val="25"/>
        </w:rPr>
      </w:pPr>
    </w:p>
    <w:p w:rsidR="006A7273" w:rsidRPr="006A7273" w:rsidRDefault="006A7273" w:rsidP="006A7273">
      <w:r w:rsidRPr="006A7273">
        <w:t xml:space="preserve">L’AGEPI tient à jour régulièrement, en anglais, roumain et russe, le site Web </w:t>
      </w:r>
      <w:hyperlink r:id="rId36" w:history="1">
        <w:r w:rsidRPr="006A7273">
          <w:rPr>
            <w:rStyle w:val="Hyperlink"/>
          </w:rPr>
          <w:t>www.agepi.gov.md</w:t>
        </w:r>
      </w:hyperlink>
      <w:r w:rsidRPr="006A7273">
        <w:t>, où l’on trouve la législation nationale dans le domaine de la protection des obtentions végétales, le formulaire de demande d’un brevet d’obtention végétale, ainsi que des informations utiles pour les demandeurs et les obtenteurs.</w:t>
      </w:r>
    </w:p>
    <w:p w:rsidR="006A7273" w:rsidRPr="006A7273" w:rsidRDefault="006A7273" w:rsidP="006A7273"/>
    <w:p w:rsidR="006A7273" w:rsidRPr="006A7273" w:rsidRDefault="006A7273" w:rsidP="006A7273">
      <w:r w:rsidRPr="006A7273">
        <w:t>Le matériel d’information relatif à la protection des obtentions végétales est distribué dans le cadre des différentes activités organisées par l’AGEPI ou auxquelles l’AGEPI prend part, telles que séminaires, campagnes de sensibilisation à la propriété intellectuelle et expositions.</w:t>
      </w:r>
    </w:p>
    <w:p w:rsidR="006A7273" w:rsidRPr="006A7273" w:rsidRDefault="006A7273" w:rsidP="006A7273"/>
    <w:p w:rsidR="006A7273" w:rsidRPr="006A7273" w:rsidRDefault="006A7273" w:rsidP="006A7273">
      <w:r w:rsidRPr="006A7273">
        <w:t>Depuis 2016, la République de Moldova, représentée par l’AGEPI, participe en tant que membre au projet de l’UPOV relatif à l’élaboration d’un formulaire de demande électronique (UPOV PRISMA).</w:t>
      </w:r>
    </w:p>
    <w:p w:rsidR="006A7273" w:rsidRPr="006A7273" w:rsidRDefault="006A7273" w:rsidP="006A7273">
      <w:pPr>
        <w:jc w:val="left"/>
      </w:pPr>
    </w:p>
    <w:p w:rsidR="003272E7" w:rsidRPr="00EB57D6" w:rsidRDefault="003272E7" w:rsidP="003272E7">
      <w:pPr>
        <w:rPr>
          <w:rFonts w:cs="Mangal"/>
          <w:sz w:val="18"/>
          <w:lang w:bidi="ne-NP"/>
        </w:rPr>
      </w:pPr>
    </w:p>
    <w:p w:rsidR="00845D57" w:rsidRPr="00EB57D6" w:rsidRDefault="00845D57" w:rsidP="00845D57">
      <w:pPr>
        <w:jc w:val="left"/>
      </w:pPr>
    </w:p>
    <w:p w:rsidR="00845D57" w:rsidRPr="00EB57D6" w:rsidRDefault="00845D57" w:rsidP="00845D57">
      <w:pPr>
        <w:jc w:val="right"/>
      </w:pPr>
      <w:r w:rsidRPr="00EB57D6">
        <w:t>[L’annexe XI suit]</w:t>
      </w:r>
    </w:p>
    <w:p w:rsidR="00845D57" w:rsidRPr="00EB57D6" w:rsidRDefault="00845D57" w:rsidP="00845D57"/>
    <w:p w:rsidR="00845D57" w:rsidRPr="00EB57D6" w:rsidRDefault="00845D57" w:rsidP="00845D57">
      <w:pPr>
        <w:jc w:val="left"/>
        <w:sectPr w:rsidR="00845D57" w:rsidRPr="00EB57D6" w:rsidSect="009B2909">
          <w:headerReference w:type="default" r:id="rId37"/>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XI</w:t>
      </w:r>
    </w:p>
    <w:p w:rsidR="00845D57" w:rsidRPr="00EB57D6" w:rsidRDefault="00845D57" w:rsidP="00845D57">
      <w:pPr>
        <w:jc w:val="center"/>
      </w:pPr>
    </w:p>
    <w:p w:rsidR="00845D57" w:rsidRPr="00EB57D6" w:rsidRDefault="00845D57" w:rsidP="00845D57">
      <w:pPr>
        <w:jc w:val="center"/>
      </w:pPr>
    </w:p>
    <w:p w:rsidR="009B2909" w:rsidRPr="00EB57D6" w:rsidRDefault="007B4801" w:rsidP="009B2909">
      <w:pPr>
        <w:jc w:val="center"/>
        <w:rPr>
          <w:sz w:val="18"/>
        </w:rPr>
      </w:pPr>
      <w:r>
        <w:t>ROUMANIE</w:t>
      </w:r>
    </w:p>
    <w:p w:rsidR="009B2909" w:rsidRPr="00EB57D6" w:rsidRDefault="009B2909" w:rsidP="009B2909"/>
    <w:p w:rsidR="00845D57" w:rsidRPr="00EB57D6" w:rsidRDefault="00845D57" w:rsidP="00845D57">
      <w:pPr>
        <w:jc w:val="left"/>
      </w:pPr>
    </w:p>
    <w:p w:rsidR="005C0113" w:rsidRPr="00C46339" w:rsidRDefault="005C0113" w:rsidP="005C0113">
      <w:r w:rsidRPr="00C46339">
        <w:t>PROTECTION DES OBTENTIONS VÉGÉTALES</w:t>
      </w:r>
    </w:p>
    <w:p w:rsidR="005C0113" w:rsidRPr="00C46339" w:rsidRDefault="005C0113" w:rsidP="005C0113"/>
    <w:p w:rsidR="005C0113" w:rsidRPr="00C46339" w:rsidRDefault="005C0113" w:rsidP="005C0113">
      <w:r w:rsidRPr="00C46339">
        <w:t xml:space="preserve">1. </w:t>
      </w:r>
      <w:r w:rsidRPr="00C46339">
        <w:tab/>
      </w:r>
      <w:r w:rsidRPr="00C46339">
        <w:rPr>
          <w:u w:val="single"/>
        </w:rPr>
        <w:t>Situation dans le domaine législatif</w:t>
      </w:r>
    </w:p>
    <w:p w:rsidR="005C0113" w:rsidRPr="00C46339" w:rsidRDefault="005C0113" w:rsidP="005C0113"/>
    <w:p w:rsidR="005C0113" w:rsidRPr="00C46339" w:rsidRDefault="005C0113" w:rsidP="005C0113">
      <w:r w:rsidRPr="00C46339">
        <w:t>Décret ministériel n° 1/2020 portant modification du décret ministériel n° 1348/2005 pour l’approbation des règles concernant les essais et l’enregistrement des plantes agricoles et du décret n° 1349/2005 pour l’approbation des règles concernant les essais et l’enregistrement des plantes potagères.</w:t>
      </w:r>
    </w:p>
    <w:p w:rsidR="005C0113" w:rsidRPr="00C46339" w:rsidRDefault="005C0113" w:rsidP="005C0113"/>
    <w:p w:rsidR="005C0113" w:rsidRPr="00C46339" w:rsidRDefault="005C0113" w:rsidP="005C0113">
      <w:r w:rsidRPr="00C46339">
        <w:t>Ce décret est conforme à la nouvelle directive d’exécution (UE) 2019/1985 de la Commission du 28 novembre 2019 concernant les essais et l’enregistrement des obtentions végétales.</w:t>
      </w:r>
    </w:p>
    <w:p w:rsidR="005C0113" w:rsidRPr="00C46339" w:rsidRDefault="005C0113" w:rsidP="005C0113"/>
    <w:p w:rsidR="005C0113" w:rsidRPr="00C46339" w:rsidRDefault="005C0113" w:rsidP="005C0113"/>
    <w:p w:rsidR="005C0113" w:rsidRPr="00C46339" w:rsidRDefault="005C0113" w:rsidP="005C0113">
      <w:r w:rsidRPr="00C46339">
        <w:t>2.</w:t>
      </w:r>
      <w:r w:rsidRPr="00C46339">
        <w:tab/>
      </w:r>
      <w:r w:rsidRPr="00C46339">
        <w:rPr>
          <w:u w:val="single"/>
        </w:rPr>
        <w:t>Coopération en matière d’examen</w:t>
      </w:r>
    </w:p>
    <w:p w:rsidR="005C0113" w:rsidRPr="00C46339" w:rsidRDefault="005C0113" w:rsidP="005C0113"/>
    <w:p w:rsidR="005C0113" w:rsidRPr="00C46339" w:rsidRDefault="005C0113" w:rsidP="005C0113">
      <w:r w:rsidRPr="00C46339">
        <w:t>La coopération avec l’UKZUZ (République tchèque) dans le domaine des examens DHS s’est poursuivie, de même que l’échange d’échantillons de semences avec d’autres services de l’Union européenne.</w:t>
      </w:r>
    </w:p>
    <w:p w:rsidR="005C0113" w:rsidRPr="00C46339" w:rsidRDefault="005C0113" w:rsidP="005C0113"/>
    <w:p w:rsidR="005C0113" w:rsidRPr="00C46339" w:rsidRDefault="005C0113" w:rsidP="005C0113">
      <w:r w:rsidRPr="00C46339">
        <w:t>La vente de rapports techniques d’examen (DHS) aux services de l’Union européenne ou d’autres pays européens s’est également poursuivie.</w:t>
      </w:r>
    </w:p>
    <w:p w:rsidR="005C0113" w:rsidRPr="00C46339" w:rsidRDefault="005C0113" w:rsidP="005C0113"/>
    <w:p w:rsidR="005C0113" w:rsidRPr="00C46339" w:rsidRDefault="005C0113" w:rsidP="005C0113"/>
    <w:p w:rsidR="005C0113" w:rsidRPr="00C46339" w:rsidRDefault="005C0113" w:rsidP="005C0113">
      <w:pPr>
        <w:rPr>
          <w:u w:val="single"/>
        </w:rPr>
      </w:pPr>
      <w:r w:rsidRPr="00C46339">
        <w:t>3.</w:t>
      </w:r>
      <w:r w:rsidRPr="00C46339">
        <w:tab/>
      </w:r>
      <w:r w:rsidRPr="00C46339">
        <w:rPr>
          <w:u w:val="single"/>
        </w:rPr>
        <w:t>Situation dans le domaine administratif</w:t>
      </w:r>
    </w:p>
    <w:p w:rsidR="005C0113" w:rsidRPr="00C46339" w:rsidRDefault="005C0113" w:rsidP="005C0113"/>
    <w:p w:rsidR="005C0113" w:rsidRPr="00C46339" w:rsidRDefault="005C0113" w:rsidP="005C0113">
      <w:r w:rsidRPr="00C46339">
        <w:t>Pas de modifications de la structure administrative ni des procédures et systèmes.</w:t>
      </w:r>
    </w:p>
    <w:p w:rsidR="005C0113" w:rsidRPr="00C46339" w:rsidRDefault="005C0113" w:rsidP="005C0113"/>
    <w:p w:rsidR="005C0113" w:rsidRPr="00C46339" w:rsidRDefault="005C0113" w:rsidP="005C0113">
      <w:r w:rsidRPr="00C46339">
        <w:t>La construction d’une nouvelle chambre froide pour les espèces agricoles a été achevée afin d’élargir la collection de référence.</w:t>
      </w:r>
    </w:p>
    <w:p w:rsidR="005C0113" w:rsidRPr="00C46339" w:rsidRDefault="005C0113" w:rsidP="005C0113"/>
    <w:p w:rsidR="005C0113" w:rsidRPr="00C46339" w:rsidRDefault="005C0113" w:rsidP="005C0113"/>
    <w:p w:rsidR="005C0113" w:rsidRPr="00C46339" w:rsidRDefault="005C0113" w:rsidP="005C0113">
      <w:r w:rsidRPr="00C46339">
        <w:t>4.</w:t>
      </w:r>
      <w:r w:rsidRPr="00C46339">
        <w:tab/>
      </w:r>
      <w:r w:rsidRPr="00C46339">
        <w:rPr>
          <w:u w:val="single"/>
        </w:rPr>
        <w:t>Situation dans le domaine technique</w:t>
      </w:r>
    </w:p>
    <w:p w:rsidR="005C0113" w:rsidRPr="00C46339" w:rsidRDefault="005C0113" w:rsidP="005C0113"/>
    <w:p w:rsidR="005C0113" w:rsidRPr="00C46339" w:rsidRDefault="005C0113" w:rsidP="005C0113">
      <w:r w:rsidRPr="00C46339">
        <w:t>En 2020, 1169 variétés ont été soumises à des essais : 947 espèces de plantes agricoles, 123 de plantes potagères, 14 de plantes ornementales, 42 d’arbres et arbustes fruitiers, 43 de variétés de vigne;  et 297 variétés étaient inscrites à notre catalogue officiel national, à savoir 252 variétés</w:t>
      </w:r>
      <w:r>
        <w:t xml:space="preserve"> de plantes agricoles, 35 </w:t>
      </w:r>
      <w:r w:rsidRPr="00C46339">
        <w:t>de plantes potagères, 8 d’arbres et arbustes fruitiers et 2 de vigne.</w:t>
      </w:r>
    </w:p>
    <w:p w:rsidR="005C0113" w:rsidRPr="00C46339" w:rsidRDefault="005C0113" w:rsidP="005C0113">
      <w:pPr>
        <w:rPr>
          <w:sz w:val="16"/>
          <w:szCs w:val="16"/>
        </w:rPr>
      </w:pPr>
    </w:p>
    <w:p w:rsidR="005C0113" w:rsidRPr="00C46339" w:rsidRDefault="005C0113" w:rsidP="005C0113">
      <w:r w:rsidRPr="00C46339">
        <w:t>En outre, concernant les droits d’obtenteur, 50 demandes de protection ont été enregistrées et 40 titres de protection ont été délivrés.</w:t>
      </w:r>
    </w:p>
    <w:p w:rsidR="005C0113" w:rsidRPr="00C46339" w:rsidRDefault="005C0113" w:rsidP="005C0113">
      <w:pPr>
        <w:jc w:val="left"/>
      </w:pPr>
    </w:p>
    <w:p w:rsidR="009B2909" w:rsidRDefault="009B2909" w:rsidP="00845D57">
      <w:pPr>
        <w:jc w:val="left"/>
      </w:pPr>
    </w:p>
    <w:p w:rsidR="005C0113" w:rsidRPr="00EB57D6" w:rsidRDefault="005C0113" w:rsidP="00845D57">
      <w:pPr>
        <w:jc w:val="left"/>
      </w:pPr>
    </w:p>
    <w:p w:rsidR="00845D57" w:rsidRPr="00EB57D6" w:rsidRDefault="00845D57" w:rsidP="00845D57">
      <w:pPr>
        <w:jc w:val="right"/>
      </w:pPr>
      <w:r w:rsidRPr="00EB57D6">
        <w:t>[L’annexe XII suit]</w:t>
      </w:r>
    </w:p>
    <w:p w:rsidR="00845D57" w:rsidRPr="00EB57D6" w:rsidRDefault="00845D57" w:rsidP="00845D57"/>
    <w:p w:rsidR="00845D57" w:rsidRPr="00EB57D6" w:rsidRDefault="00845D57" w:rsidP="00845D57">
      <w:pPr>
        <w:jc w:val="left"/>
        <w:sectPr w:rsidR="00845D57" w:rsidRPr="00EB57D6" w:rsidSect="009B2909">
          <w:headerReference w:type="default" r:id="rId38"/>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XII</w:t>
      </w:r>
    </w:p>
    <w:p w:rsidR="00845D57" w:rsidRPr="00EB57D6" w:rsidRDefault="00845D57" w:rsidP="00845D57">
      <w:pPr>
        <w:jc w:val="center"/>
      </w:pPr>
    </w:p>
    <w:p w:rsidR="00845D57" w:rsidRPr="00EB57D6" w:rsidRDefault="00845D57" w:rsidP="00845D57">
      <w:pPr>
        <w:jc w:val="center"/>
      </w:pPr>
    </w:p>
    <w:p w:rsidR="006865B4" w:rsidRPr="00EB57D6" w:rsidRDefault="007B4801" w:rsidP="006865B4">
      <w:pPr>
        <w:jc w:val="center"/>
        <w:rPr>
          <w:sz w:val="18"/>
        </w:rPr>
      </w:pPr>
      <w:r>
        <w:t>ROYAUME-UNI</w:t>
      </w:r>
    </w:p>
    <w:p w:rsidR="006865B4" w:rsidRPr="00EB57D6" w:rsidRDefault="006865B4" w:rsidP="006865B4">
      <w:pPr>
        <w:rPr>
          <w:rFonts w:cs="Arial"/>
          <w:sz w:val="18"/>
        </w:rPr>
      </w:pPr>
    </w:p>
    <w:p w:rsidR="006865B4" w:rsidRPr="00EB57D6" w:rsidRDefault="006865B4" w:rsidP="006865B4">
      <w:pPr>
        <w:rPr>
          <w:rFonts w:cs="Arial"/>
          <w:sz w:val="18"/>
        </w:rPr>
      </w:pPr>
    </w:p>
    <w:p w:rsidR="00FF4AF9" w:rsidRPr="00FF4AF9" w:rsidRDefault="00FF4AF9" w:rsidP="00FF4AF9">
      <w:r w:rsidRPr="00FF4AF9">
        <w:t>I.</w:t>
      </w:r>
      <w:r w:rsidRPr="00FF4AF9">
        <w:tab/>
        <w:t>PROTECTION DES OBTENTIONS VÉGÉTALES</w:t>
      </w:r>
    </w:p>
    <w:p w:rsidR="00FF4AF9" w:rsidRPr="00FF4AF9" w:rsidRDefault="00FF4AF9" w:rsidP="00FF4AF9"/>
    <w:p w:rsidR="00FF4AF9" w:rsidRPr="00FF4AF9" w:rsidRDefault="00FF4AF9" w:rsidP="00FF4AF9">
      <w:r w:rsidRPr="00FF4AF9">
        <w:t xml:space="preserve">1. </w:t>
      </w:r>
      <w:r w:rsidRPr="00FF4AF9">
        <w:tab/>
      </w:r>
      <w:r w:rsidRPr="00FF4AF9">
        <w:rPr>
          <w:u w:val="single"/>
        </w:rPr>
        <w:t>Situation dans le domaine législatif</w:t>
      </w:r>
    </w:p>
    <w:p w:rsidR="00FF4AF9" w:rsidRPr="00FF4AF9" w:rsidRDefault="00FF4AF9" w:rsidP="00FF4AF9"/>
    <w:p w:rsidR="00FF4AF9" w:rsidRPr="00FF4AF9" w:rsidRDefault="00FF4AF9" w:rsidP="00FF4AF9">
      <w:r w:rsidRPr="00FF4AF9">
        <w:t>1.1</w:t>
      </w:r>
      <w:r w:rsidRPr="00FF4AF9">
        <w:tab/>
        <w:t>Modifications de la loi et des textes d’application</w:t>
      </w:r>
    </w:p>
    <w:p w:rsidR="00FF4AF9" w:rsidRPr="00FF4AF9" w:rsidRDefault="00FF4AF9" w:rsidP="00FF4AF9"/>
    <w:p w:rsidR="00FF4AF9" w:rsidRPr="00FF4AF9" w:rsidRDefault="00FF4AF9" w:rsidP="00FF4AF9">
      <w:r w:rsidRPr="00FF4AF9">
        <w:t>La législation a été mise en œuvre dans le cadre de la sortie du Royaume-Uni de l’Union européenne :</w:t>
      </w:r>
    </w:p>
    <w:p w:rsidR="00FF4AF9" w:rsidRPr="00FF4AF9" w:rsidRDefault="00FF4AF9" w:rsidP="00FF4AF9"/>
    <w:p w:rsidR="00FF4AF9" w:rsidRPr="00FF4AF9" w:rsidRDefault="00FF4AF9" w:rsidP="00FF4AF9">
      <w:r w:rsidRPr="00FF4AF9">
        <w:t>Règlement 2019 sur le droit d’obtenteur (amendement, etc.) (sortie de l’UE) – Ce texte législatif prévoit le maintien de la protection au Royaume-Uni pour les variétés qui bénéficiaient d’une protection communautaire avant le jour de la sortie de l’Union européenne et permet aux titulaires potentiels de demander un droit d’obtenteur britannique pour les demandes de droit d’obtenteur communautaire qui sont en instance le jour de la sortie.  Le règlement apporte des modifications pratiques à la loi sur les variétés végétales de 1997 et à ses dispositions d’application.  Le règlement du Conseil n° 2100/94 et ses textes d’application sont abrogés.</w:t>
      </w:r>
    </w:p>
    <w:p w:rsidR="00FF4AF9" w:rsidRPr="00FF4AF9" w:rsidRDefault="00FF4AF9" w:rsidP="00FF4AF9"/>
    <w:p w:rsidR="00FF4AF9" w:rsidRPr="00FF4AF9" w:rsidRDefault="00FF4AF9" w:rsidP="00FF4AF9">
      <w:r w:rsidRPr="00FF4AF9">
        <w:t>Règlement 2020 sur la protection des obtentions végétales (amendement) (sortie de l’UE) – Ce règlement met en œuvre les articles 54 à 61 sur le retrait du Royaume-Uni de Grande-Bretagne et d’Irlande du Nord de l’Union européenne et de la Communauté européenne de l’énergie atomique, qui concernent la propriété intellectuelle et incluent la protection communautaire des obtentions végétales.  L’objectif principal des modifications est de garantir que les variétés bénéficiant d’une protection communautaire à la fin de la période de transition restent protégées au Royaume-Uni en leur conférant un droit correspondant en vertu de la législation britannique.</w:t>
      </w:r>
    </w:p>
    <w:p w:rsidR="00FF4AF9" w:rsidRPr="00FF4AF9" w:rsidRDefault="00FF4AF9" w:rsidP="00FF4AF9"/>
    <w:p w:rsidR="00FF4AF9" w:rsidRPr="00FF4AF9" w:rsidRDefault="00FF4AF9" w:rsidP="00FF4AF9">
      <w:r w:rsidRPr="00FF4AF9">
        <w:t>1.2</w:t>
      </w:r>
      <w:r w:rsidRPr="00FF4AF9">
        <w:tab/>
        <w:t>Extension de la protection à d’autres genres et espèces : aucun élément nouveau.</w:t>
      </w:r>
    </w:p>
    <w:p w:rsidR="00FF4AF9" w:rsidRPr="00FF4AF9" w:rsidRDefault="00FF4AF9" w:rsidP="00FF4AF9"/>
    <w:p w:rsidR="00FF4AF9" w:rsidRPr="00FF4AF9" w:rsidRDefault="00FF4AF9" w:rsidP="00FF4AF9">
      <w:pPr>
        <w:rPr>
          <w:iCs/>
        </w:rPr>
      </w:pPr>
      <w:r w:rsidRPr="00FF4AF9">
        <w:t>1.3</w:t>
      </w:r>
      <w:r w:rsidRPr="00FF4AF9">
        <w:tab/>
        <w:t xml:space="preserve">Jurisprudence : </w:t>
      </w:r>
      <w:r w:rsidRPr="00FF4AF9">
        <w:rPr>
          <w:iCs/>
        </w:rPr>
        <w:t>aucun élément nouveau.</w:t>
      </w:r>
    </w:p>
    <w:p w:rsidR="00FF4AF9" w:rsidRPr="00FF4AF9" w:rsidRDefault="00FF4AF9" w:rsidP="00FF4AF9"/>
    <w:p w:rsidR="00FF4AF9" w:rsidRPr="00FF4AF9" w:rsidRDefault="00FF4AF9" w:rsidP="00FF4AF9"/>
    <w:p w:rsidR="00FF4AF9" w:rsidRPr="00FF4AF9" w:rsidRDefault="00FF4AF9" w:rsidP="00FF4AF9">
      <w:pPr>
        <w:rPr>
          <w:iCs/>
        </w:rPr>
      </w:pPr>
      <w:r w:rsidRPr="00FF4AF9">
        <w:t>2.</w:t>
      </w:r>
      <w:r w:rsidRPr="00FF4AF9">
        <w:tab/>
      </w:r>
      <w:r w:rsidRPr="00FF4AF9">
        <w:rPr>
          <w:u w:val="single"/>
        </w:rPr>
        <w:t>Coopération en matière d’examen</w:t>
      </w:r>
      <w:r w:rsidRPr="00FF4AF9">
        <w:t xml:space="preserve"> : </w:t>
      </w:r>
      <w:r w:rsidRPr="00FF4AF9">
        <w:rPr>
          <w:iCs/>
        </w:rPr>
        <w:t>aucun élément nouveau.</w:t>
      </w:r>
    </w:p>
    <w:p w:rsidR="00FF4AF9" w:rsidRPr="00FF4AF9" w:rsidRDefault="00FF4AF9" w:rsidP="00FF4AF9">
      <w:pPr>
        <w:rPr>
          <w:iCs/>
        </w:rPr>
      </w:pPr>
    </w:p>
    <w:p w:rsidR="00FF4AF9" w:rsidRPr="00FF4AF9" w:rsidRDefault="00FF4AF9" w:rsidP="00FF4AF9">
      <w:pPr>
        <w:rPr>
          <w:iCs/>
        </w:rPr>
      </w:pPr>
    </w:p>
    <w:p w:rsidR="00FF4AF9" w:rsidRPr="00FF4AF9" w:rsidRDefault="00FF4AF9" w:rsidP="00FF4AF9">
      <w:r w:rsidRPr="00FF4AF9">
        <w:t>3.</w:t>
      </w:r>
      <w:r w:rsidRPr="00FF4AF9">
        <w:tab/>
      </w:r>
      <w:r w:rsidRPr="00FF4AF9">
        <w:rPr>
          <w:u w:val="single"/>
        </w:rPr>
        <w:t>Situation dans le domaine administratif</w:t>
      </w:r>
    </w:p>
    <w:p w:rsidR="00FF4AF9" w:rsidRPr="00FF4AF9" w:rsidRDefault="00FF4AF9" w:rsidP="00FF4AF9"/>
    <w:p w:rsidR="00FF4AF9" w:rsidRPr="00FF4AF9" w:rsidRDefault="00FF4AF9" w:rsidP="00FF4AF9">
      <w:r w:rsidRPr="00FF4AF9">
        <w:t>Les taxes administratives par demande ont été réduites de 741 à 450 livres sterling.  Les demandes combinées d’inscription dans le répertoire national et de droit d’obtenteur ne donnent désormais lieu qu’à une seule taxe administrative de 450 livres sterling au lieu de deux, mais uniquement si elles sont présentées simultanément.</w:t>
      </w:r>
    </w:p>
    <w:p w:rsidR="00FF4AF9" w:rsidRPr="00FF4AF9" w:rsidRDefault="00FF4AF9" w:rsidP="00FF4AF9"/>
    <w:p w:rsidR="00FF4AF9" w:rsidRPr="00FF4AF9" w:rsidRDefault="00FF4AF9" w:rsidP="00FF4AF9"/>
    <w:p w:rsidR="00FF4AF9" w:rsidRPr="00FF4AF9" w:rsidRDefault="00FF4AF9" w:rsidP="00FF4AF9">
      <w:r w:rsidRPr="00FF4AF9">
        <w:t>4.</w:t>
      </w:r>
      <w:r w:rsidRPr="00FF4AF9">
        <w:tab/>
      </w:r>
      <w:r w:rsidRPr="00FF4AF9">
        <w:rPr>
          <w:u w:val="single"/>
        </w:rPr>
        <w:t>Situation dans le domaine technique</w:t>
      </w:r>
      <w:r w:rsidRPr="00FF4AF9">
        <w:t> : aucun élément nouveau.</w:t>
      </w:r>
    </w:p>
    <w:p w:rsidR="00FF4AF9" w:rsidRPr="00FF4AF9" w:rsidRDefault="00FF4AF9" w:rsidP="00FF4AF9"/>
    <w:p w:rsidR="00FF4AF9" w:rsidRPr="00FF4AF9" w:rsidRDefault="00FF4AF9" w:rsidP="00FF4AF9"/>
    <w:p w:rsidR="00FF4AF9" w:rsidRPr="00FF4AF9" w:rsidRDefault="00FF4AF9" w:rsidP="00FF4AF9">
      <w:r w:rsidRPr="00FF4AF9">
        <w:t>5.</w:t>
      </w:r>
      <w:r w:rsidRPr="00FF4AF9">
        <w:tab/>
      </w:r>
      <w:r w:rsidRPr="00FF4AF9">
        <w:rPr>
          <w:u w:val="single"/>
        </w:rPr>
        <w:t>Activités de promotion de la protection des obtentions végétales</w:t>
      </w:r>
      <w:r w:rsidRPr="00FF4AF9">
        <w:t> : aucun élément nouveau.</w:t>
      </w:r>
    </w:p>
    <w:p w:rsidR="00FF4AF9" w:rsidRPr="00FF4AF9" w:rsidRDefault="00FF4AF9" w:rsidP="00FF4AF9"/>
    <w:p w:rsidR="006865B4" w:rsidRPr="00EB57D6" w:rsidRDefault="006865B4" w:rsidP="006865B4">
      <w:pPr>
        <w:jc w:val="left"/>
        <w:rPr>
          <w:sz w:val="18"/>
        </w:rPr>
      </w:pPr>
    </w:p>
    <w:p w:rsidR="00845D57" w:rsidRPr="00EB57D6" w:rsidRDefault="00845D57" w:rsidP="00845D57">
      <w:pPr>
        <w:jc w:val="left"/>
      </w:pPr>
    </w:p>
    <w:p w:rsidR="00845D57" w:rsidRPr="00EB57D6" w:rsidRDefault="00845D57" w:rsidP="00845D57">
      <w:pPr>
        <w:jc w:val="right"/>
      </w:pPr>
      <w:r w:rsidRPr="00EB57D6">
        <w:t>[L’annexe XIII suit]</w:t>
      </w:r>
    </w:p>
    <w:p w:rsidR="00845D57" w:rsidRPr="00EB57D6" w:rsidRDefault="00845D57" w:rsidP="00845D57"/>
    <w:p w:rsidR="00845D57" w:rsidRPr="00EB57D6" w:rsidRDefault="00845D57" w:rsidP="00845D57">
      <w:pPr>
        <w:jc w:val="left"/>
        <w:sectPr w:rsidR="00845D57" w:rsidRPr="00EB57D6" w:rsidSect="009B2909">
          <w:headerReference w:type="default" r:id="rId39"/>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XIII</w:t>
      </w:r>
    </w:p>
    <w:p w:rsidR="00845D57" w:rsidRPr="00EB57D6" w:rsidRDefault="00845D57" w:rsidP="00845D57">
      <w:pPr>
        <w:jc w:val="center"/>
      </w:pPr>
    </w:p>
    <w:p w:rsidR="00845D57" w:rsidRPr="00EB57D6" w:rsidRDefault="00845D57" w:rsidP="00845D57">
      <w:pPr>
        <w:jc w:val="center"/>
      </w:pPr>
    </w:p>
    <w:p w:rsidR="00FD4F25" w:rsidRPr="00EB57D6" w:rsidRDefault="007B4801" w:rsidP="00FD4F25">
      <w:pPr>
        <w:jc w:val="center"/>
        <w:rPr>
          <w:sz w:val="18"/>
        </w:rPr>
      </w:pPr>
      <w:r>
        <w:t>SERBIE</w:t>
      </w:r>
    </w:p>
    <w:p w:rsidR="00FD4F25" w:rsidRPr="00EB57D6" w:rsidRDefault="00FD4F25" w:rsidP="00FD4F25">
      <w:pPr>
        <w:jc w:val="center"/>
        <w:rPr>
          <w:sz w:val="18"/>
        </w:rPr>
      </w:pPr>
    </w:p>
    <w:p w:rsidR="00FD4F25" w:rsidRPr="00EB57D6" w:rsidRDefault="00FD4F25" w:rsidP="00FD4F25">
      <w:pPr>
        <w:jc w:val="center"/>
        <w:rPr>
          <w:sz w:val="18"/>
        </w:rPr>
      </w:pPr>
    </w:p>
    <w:p w:rsidR="00FF4AF9" w:rsidRPr="00C46339" w:rsidRDefault="00FF4AF9" w:rsidP="00FF4AF9">
      <w:r w:rsidRPr="00C46339">
        <w:t>I.</w:t>
      </w:r>
      <w:r w:rsidRPr="00C46339">
        <w:tab/>
        <w:t>PROTECTION DES OBTENTIONS VÉGÉTALES</w:t>
      </w:r>
    </w:p>
    <w:p w:rsidR="00FF4AF9" w:rsidRPr="00C46339" w:rsidRDefault="00FF4AF9" w:rsidP="00FF4AF9"/>
    <w:p w:rsidR="00FF4AF9" w:rsidRPr="00C46339" w:rsidRDefault="00FF4AF9" w:rsidP="00FF4AF9">
      <w:pPr>
        <w:rPr>
          <w:u w:val="single"/>
        </w:rPr>
      </w:pPr>
      <w:r w:rsidRPr="00C46339">
        <w:t xml:space="preserve">1. </w:t>
      </w:r>
      <w:r w:rsidRPr="00C46339">
        <w:tab/>
      </w:r>
      <w:r w:rsidRPr="00C46339">
        <w:rPr>
          <w:u w:val="single"/>
        </w:rPr>
        <w:t>Situation dans le domaine législatif</w:t>
      </w:r>
    </w:p>
    <w:p w:rsidR="00FF4AF9" w:rsidRPr="00C46339" w:rsidRDefault="00FF4AF9" w:rsidP="00FF4AF9"/>
    <w:p w:rsidR="00FF4AF9" w:rsidRPr="00C46339" w:rsidRDefault="00FF4AF9" w:rsidP="00FF4AF9">
      <w:pPr>
        <w:ind w:left="567"/>
        <w:rPr>
          <w:rFonts w:cs="Arial"/>
        </w:rPr>
      </w:pPr>
      <w:r w:rsidRPr="00C46339">
        <w:rPr>
          <w:rFonts w:cs="Arial"/>
        </w:rPr>
        <w:t>1.1</w:t>
      </w:r>
      <w:r w:rsidRPr="00C46339">
        <w:rPr>
          <w:rFonts w:cs="Arial"/>
        </w:rPr>
        <w:tab/>
        <w:t>Modifications de la loi et des textes d’application : aucun changement.</w:t>
      </w:r>
    </w:p>
    <w:p w:rsidR="00FF4AF9" w:rsidRPr="00C46339" w:rsidRDefault="00FF4AF9" w:rsidP="00FF4AF9">
      <w:pPr>
        <w:ind w:left="567"/>
      </w:pPr>
    </w:p>
    <w:p w:rsidR="00FF4AF9" w:rsidRPr="00C46339" w:rsidRDefault="00FF4AF9" w:rsidP="00276ED8">
      <w:pPr>
        <w:pStyle w:val="ListParagraph"/>
        <w:numPr>
          <w:ilvl w:val="0"/>
          <w:numId w:val="7"/>
        </w:numPr>
        <w:rPr>
          <w:lang w:val="fr-FR"/>
        </w:rPr>
      </w:pPr>
      <w:r w:rsidRPr="00C46339">
        <w:rPr>
          <w:lang w:val="fr-FR"/>
        </w:rPr>
        <w:t>Autres modifications, y compris pour les taxes</w:t>
      </w:r>
    </w:p>
    <w:p w:rsidR="00FF4AF9" w:rsidRPr="00C46339" w:rsidRDefault="00FF4AF9" w:rsidP="00FF4AF9">
      <w:pPr>
        <w:ind w:left="567"/>
      </w:pPr>
    </w:p>
    <w:p w:rsidR="00FF4AF9" w:rsidRPr="00C46339" w:rsidRDefault="00FF4AF9" w:rsidP="00FF4AF9">
      <w:pPr>
        <w:ind w:left="567"/>
      </w:pPr>
      <w:r w:rsidRPr="00C46339">
        <w:t>Les nouvelles taxes relatives aux droits d’obtenteur sont publiées dans la loi sur les taxes administratives (Gazette officielle de la République de Serbie n° 62/21, texte consolidé), qui sont en vigueur depuis le 1</w:t>
      </w:r>
      <w:r w:rsidRPr="00C46339">
        <w:rPr>
          <w:vertAlign w:val="superscript"/>
        </w:rPr>
        <w:t>er</w:t>
      </w:r>
      <w:r w:rsidRPr="00C46339">
        <w:t> juillet 2021.</w:t>
      </w:r>
    </w:p>
    <w:p w:rsidR="00FF4AF9" w:rsidRPr="00C46339" w:rsidRDefault="00FF4AF9" w:rsidP="00FF4AF9"/>
    <w:p w:rsidR="00FF4AF9" w:rsidRPr="00C46339" w:rsidRDefault="00FF4AF9" w:rsidP="00FF4AF9">
      <w:pPr>
        <w:ind w:left="567"/>
      </w:pPr>
      <w:r w:rsidRPr="00C46339">
        <w:t>1.2</w:t>
      </w:r>
      <w:r w:rsidRPr="00C46339">
        <w:tab/>
        <w:t>Extension de la protection à d’autres genres et espèces</w:t>
      </w:r>
    </w:p>
    <w:p w:rsidR="00FF4AF9" w:rsidRPr="00C46339" w:rsidRDefault="00FF4AF9" w:rsidP="00FF4AF9">
      <w:pPr>
        <w:ind w:left="567"/>
      </w:pPr>
    </w:p>
    <w:p w:rsidR="00FF4AF9" w:rsidRPr="00C46339" w:rsidRDefault="00FF4AF9" w:rsidP="00FF4AF9">
      <w:pPr>
        <w:ind w:left="567"/>
        <w:rPr>
          <w:rFonts w:cs="Arial"/>
        </w:rPr>
      </w:pPr>
      <w:r w:rsidRPr="00C46339">
        <w:rPr>
          <w:rFonts w:cs="Arial"/>
        </w:rPr>
        <w:t>En vertu de la législation nationale en vigueur sur la protection du droit d’obtenteur, la protection s’applique à tous les genres et espèces (“Gazette officielle de la République de Serbie” n</w:t>
      </w:r>
      <w:r w:rsidRPr="00C46339">
        <w:rPr>
          <w:rFonts w:cs="Arial"/>
          <w:vertAlign w:val="superscript"/>
        </w:rPr>
        <w:t>os </w:t>
      </w:r>
      <w:r w:rsidRPr="00C46339">
        <w:rPr>
          <w:rFonts w:cs="Arial"/>
        </w:rPr>
        <w:t>41/2009 et 88/2011).</w:t>
      </w:r>
    </w:p>
    <w:p w:rsidR="00FF4AF9" w:rsidRPr="00C46339" w:rsidRDefault="00FF4AF9" w:rsidP="00FF4AF9"/>
    <w:p w:rsidR="00FF4AF9" w:rsidRPr="00C46339" w:rsidRDefault="00FF4AF9" w:rsidP="00FF4AF9"/>
    <w:p w:rsidR="00FF4AF9" w:rsidRPr="00C46339" w:rsidRDefault="00FF4AF9" w:rsidP="00FF4AF9">
      <w:r w:rsidRPr="00C46339">
        <w:t>2.</w:t>
      </w:r>
      <w:r w:rsidRPr="00C46339">
        <w:tab/>
      </w:r>
      <w:r w:rsidRPr="00C46339">
        <w:rPr>
          <w:u w:val="single"/>
        </w:rPr>
        <w:t>Coopération en matière d’examen</w:t>
      </w:r>
      <w:r w:rsidRPr="00C46339">
        <w:t> : aucun changement.</w:t>
      </w:r>
    </w:p>
    <w:p w:rsidR="00FF4AF9" w:rsidRPr="00C46339" w:rsidRDefault="00FF4AF9" w:rsidP="00FF4AF9"/>
    <w:p w:rsidR="00FF4AF9" w:rsidRPr="00C46339" w:rsidRDefault="00FF4AF9" w:rsidP="00FF4AF9"/>
    <w:p w:rsidR="00FF4AF9" w:rsidRPr="00C46339" w:rsidRDefault="00FF4AF9" w:rsidP="00FF4AF9">
      <w:pPr>
        <w:rPr>
          <w:u w:val="single"/>
        </w:rPr>
      </w:pPr>
      <w:r w:rsidRPr="00C46339">
        <w:t>3.</w:t>
      </w:r>
      <w:r w:rsidRPr="00C46339">
        <w:tab/>
      </w:r>
      <w:r w:rsidRPr="00C46339">
        <w:rPr>
          <w:u w:val="single"/>
        </w:rPr>
        <w:t>Situation dans le domaine administratif</w:t>
      </w:r>
    </w:p>
    <w:p w:rsidR="00FF4AF9" w:rsidRPr="00C46339" w:rsidRDefault="00FF4AF9" w:rsidP="00FF4AF9"/>
    <w:p w:rsidR="00FF4AF9" w:rsidRPr="00C46339" w:rsidRDefault="00FF4AF9" w:rsidP="00FF4AF9">
      <w:pPr>
        <w:ind w:left="567"/>
        <w:rPr>
          <w:rFonts w:cs="Arial"/>
        </w:rPr>
      </w:pPr>
      <w:r w:rsidRPr="00C46339">
        <w:rPr>
          <w:rFonts w:cs="Arial"/>
        </w:rPr>
        <w:t xml:space="preserve">- </w:t>
      </w:r>
      <w:r w:rsidRPr="00C46339">
        <w:rPr>
          <w:rFonts w:cs="Arial"/>
        </w:rPr>
        <w:tab/>
        <w:t>Modifications concernant la structure administrative : aucune modification.</w:t>
      </w:r>
    </w:p>
    <w:p w:rsidR="00FF4AF9" w:rsidRPr="00C46339" w:rsidRDefault="00FF4AF9" w:rsidP="00FF4AF9">
      <w:pPr>
        <w:rPr>
          <w:rFonts w:cs="Arial"/>
        </w:rPr>
      </w:pPr>
    </w:p>
    <w:p w:rsidR="00FF4AF9" w:rsidRPr="00C46339" w:rsidRDefault="00FF4AF9" w:rsidP="00FF4AF9">
      <w:pPr>
        <w:ind w:left="567"/>
        <w:rPr>
          <w:rFonts w:cs="Arial"/>
        </w:rPr>
      </w:pPr>
      <w:r w:rsidRPr="00C46339">
        <w:rPr>
          <w:rFonts w:cs="Arial"/>
        </w:rPr>
        <w:t>La Direction de la protection des obtentions végétales du Ministère de l’agriculture, de la foresterie et de la gestion des eaux est le service désigné pour la protection du droit d’obtenteur en République de Serbie.  Elle accomplit également des tâches liées notamment à : la protection des plantes contre les organismes nuisibles, l’autorisation et le contrôle des produits de protection et de nutrition des plantes, l’enregistrement des variétés végétales sur la Liste nationale, la sécurité biologique (OGM), les inspections phytosanitaires.  Au sein de la direction, le Groupe chargé de la protection des obtentions végétales et de la sécurité biologique applique les procédures administratives liées aux dispositions de la loi sur la protection des droits d’obtenteur et à l’octroi des droits d’obtenteur, tâches qui sont aussi en rapport avec la sécurité biologique (OGM).</w:t>
      </w:r>
    </w:p>
    <w:p w:rsidR="00FF4AF9" w:rsidRPr="00C46339" w:rsidRDefault="00FF4AF9" w:rsidP="00FF4AF9"/>
    <w:p w:rsidR="00FF4AF9" w:rsidRPr="00C46339" w:rsidRDefault="00FF4AF9" w:rsidP="00FF4AF9">
      <w:pPr>
        <w:ind w:left="567"/>
        <w:rPr>
          <w:rFonts w:cs="Arial"/>
        </w:rPr>
      </w:pPr>
      <w:r w:rsidRPr="00C46339">
        <w:rPr>
          <w:rFonts w:cs="Arial"/>
        </w:rPr>
        <w:t xml:space="preserve">- </w:t>
      </w:r>
      <w:r w:rsidRPr="00C46339">
        <w:rPr>
          <w:rFonts w:cs="Arial"/>
        </w:rPr>
        <w:tab/>
        <w:t>Modification des procédures et des systèmes : aucune modification.</w:t>
      </w:r>
    </w:p>
    <w:p w:rsidR="00FF4AF9" w:rsidRPr="00C46339" w:rsidRDefault="00FF4AF9" w:rsidP="00FF4AF9"/>
    <w:p w:rsidR="00FF4AF9" w:rsidRPr="00C46339" w:rsidRDefault="00FF4AF9" w:rsidP="00FF4AF9"/>
    <w:p w:rsidR="00FF4AF9" w:rsidRPr="00C46339" w:rsidRDefault="00FF4AF9" w:rsidP="00FF4AF9">
      <w:r w:rsidRPr="00C46339">
        <w:t>4.</w:t>
      </w:r>
      <w:r w:rsidRPr="00C46339">
        <w:tab/>
      </w:r>
      <w:r w:rsidRPr="00C46339">
        <w:rPr>
          <w:u w:val="single"/>
        </w:rPr>
        <w:t>Situation dans le domaine technique</w:t>
      </w:r>
    </w:p>
    <w:p w:rsidR="00FF4AF9" w:rsidRPr="00C46339" w:rsidRDefault="00FF4AF9" w:rsidP="00FF4AF9"/>
    <w:p w:rsidR="00FF4AF9" w:rsidRPr="00C46339" w:rsidRDefault="00FF4AF9" w:rsidP="00FF4AF9">
      <w:pPr>
        <w:rPr>
          <w:rFonts w:cs="Arial"/>
          <w:spacing w:val="-2"/>
        </w:rPr>
      </w:pPr>
      <w:r w:rsidRPr="00C46339">
        <w:rPr>
          <w:rFonts w:cs="Arial"/>
          <w:spacing w:val="-2"/>
        </w:rPr>
        <w:t>La Serbie participe au projet sur l’outil de demande de droit d’obtenteur UPOV PRISMA.</w:t>
      </w:r>
    </w:p>
    <w:p w:rsidR="00FF4AF9" w:rsidRPr="00C46339" w:rsidRDefault="00FF4AF9" w:rsidP="00FF4AF9">
      <w:pPr>
        <w:rPr>
          <w:rFonts w:cs="Arial"/>
          <w:spacing w:val="-2"/>
        </w:rPr>
      </w:pPr>
    </w:p>
    <w:p w:rsidR="00FF4AF9" w:rsidRPr="00C46339" w:rsidRDefault="00FF4AF9" w:rsidP="00FF4AF9">
      <w:pPr>
        <w:rPr>
          <w:rFonts w:cs="Arial"/>
          <w:kern w:val="28"/>
        </w:rPr>
      </w:pPr>
      <w:r w:rsidRPr="00C46339">
        <w:rPr>
          <w:rFonts w:cs="Arial"/>
          <w:kern w:val="28"/>
        </w:rPr>
        <w:t>Durant la période de septembre 2020 à septembre 2021, le droit d’obtenteur a été octroyé pour 54 variétés, sur la base des résultats de l’examen de variétés et des propositions de l’organe spécial de la Direction de la protection des obtentions végétales du Ministère de l’agriculture, des forêts et de la gestion de l’eau, à savoir le Conseil d’experts pour la protection du droit d’obtenteur.</w:t>
      </w:r>
    </w:p>
    <w:p w:rsidR="00FF4AF9" w:rsidRPr="00C46339" w:rsidRDefault="00FF4AF9" w:rsidP="00FF4AF9">
      <w:pPr>
        <w:rPr>
          <w:rFonts w:cs="Arial"/>
        </w:rPr>
      </w:pPr>
    </w:p>
    <w:p w:rsidR="00FF4AF9" w:rsidRDefault="00FF4AF9" w:rsidP="00FF4AF9">
      <w:pPr>
        <w:rPr>
          <w:rFonts w:cs="Arial"/>
        </w:rPr>
      </w:pPr>
      <w:r w:rsidRPr="00C46339">
        <w:rPr>
          <w:rFonts w:cs="Arial"/>
        </w:rPr>
        <w:t>Les registres de la protection des obtentions végétales, ainsi que d’autres informations relatives aux droits d’obtenteur, sont disponibles sur la page Web :</w:t>
      </w:r>
    </w:p>
    <w:p w:rsidR="00FF4AF9" w:rsidRPr="00C46339" w:rsidRDefault="00FF4AF9" w:rsidP="00FF4AF9">
      <w:pPr>
        <w:rPr>
          <w:rFonts w:cs="Arial"/>
        </w:rPr>
      </w:pPr>
      <w:hyperlink r:id="rId40" w:history="1">
        <w:r w:rsidRPr="00C46339">
          <w:rPr>
            <w:rStyle w:val="Hyperlink"/>
            <w:rFonts w:cs="Arial"/>
          </w:rPr>
          <w:t>https://www.uzb.minpolj.gov.rs/index.php?option=com_content&amp;view=article&amp;id=61&amp;Itemid=14&amp;lang=en</w:t>
        </w:r>
      </w:hyperlink>
      <w:r w:rsidRPr="00C46339">
        <w:rPr>
          <w:rFonts w:cs="Arial"/>
        </w:rPr>
        <w:t>.</w:t>
      </w:r>
    </w:p>
    <w:p w:rsidR="00FF4AF9" w:rsidRPr="00C46339" w:rsidRDefault="00FF4AF9" w:rsidP="00FF4AF9"/>
    <w:p w:rsidR="00FD4F25" w:rsidRPr="00EB57D6" w:rsidRDefault="00FD4F25" w:rsidP="00FD4F25">
      <w:pPr>
        <w:jc w:val="left"/>
        <w:rPr>
          <w:sz w:val="18"/>
        </w:rPr>
      </w:pPr>
    </w:p>
    <w:p w:rsidR="00845D57" w:rsidRPr="00EB57D6" w:rsidRDefault="00845D57" w:rsidP="00845D57">
      <w:pPr>
        <w:jc w:val="left"/>
      </w:pPr>
    </w:p>
    <w:p w:rsidR="00845D57" w:rsidRPr="00EB57D6" w:rsidRDefault="00845D57" w:rsidP="00845D57">
      <w:pPr>
        <w:jc w:val="right"/>
      </w:pPr>
      <w:r w:rsidRPr="00EB57D6">
        <w:t>[L’annexe XIV suit]</w:t>
      </w:r>
    </w:p>
    <w:p w:rsidR="00845D57" w:rsidRPr="00EB57D6" w:rsidRDefault="00845D57" w:rsidP="00845D57"/>
    <w:p w:rsidR="00845D57" w:rsidRPr="00EB57D6" w:rsidRDefault="00845D57" w:rsidP="00845D57">
      <w:pPr>
        <w:jc w:val="left"/>
        <w:sectPr w:rsidR="00845D57" w:rsidRPr="00EB57D6" w:rsidSect="009B2909">
          <w:headerReference w:type="default" r:id="rId41"/>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845D57" w:rsidP="00845D57">
      <w:pPr>
        <w:jc w:val="center"/>
      </w:pPr>
      <w:r w:rsidRPr="00EB57D6">
        <w:t>ANNEXE XIV</w:t>
      </w:r>
    </w:p>
    <w:p w:rsidR="00845D57" w:rsidRPr="00EB57D6" w:rsidRDefault="00845D57" w:rsidP="00845D57">
      <w:pPr>
        <w:jc w:val="center"/>
      </w:pPr>
    </w:p>
    <w:p w:rsidR="00845D57" w:rsidRPr="00EB57D6" w:rsidRDefault="00845D57" w:rsidP="00845D57">
      <w:pPr>
        <w:jc w:val="center"/>
      </w:pPr>
    </w:p>
    <w:p w:rsidR="00FD4F25" w:rsidRPr="00EB57D6" w:rsidRDefault="00FD4F25" w:rsidP="00FD4F25">
      <w:pPr>
        <w:jc w:val="center"/>
        <w:rPr>
          <w:sz w:val="18"/>
        </w:rPr>
      </w:pPr>
      <w:r w:rsidRPr="00EB57D6">
        <w:t>SINGAPOUR</w:t>
      </w:r>
    </w:p>
    <w:p w:rsidR="00FD4F25" w:rsidRPr="00EB57D6" w:rsidRDefault="00FD4F25" w:rsidP="00FD4F25">
      <w:pPr>
        <w:jc w:val="center"/>
        <w:rPr>
          <w:sz w:val="18"/>
        </w:rPr>
      </w:pPr>
    </w:p>
    <w:p w:rsidR="00FD4F25" w:rsidRPr="00EB57D6" w:rsidRDefault="00FD4F25" w:rsidP="00FD4F25">
      <w:pPr>
        <w:jc w:val="center"/>
        <w:rPr>
          <w:sz w:val="18"/>
        </w:rPr>
      </w:pPr>
    </w:p>
    <w:p w:rsidR="005E5154" w:rsidRPr="005E5154" w:rsidRDefault="005E5154" w:rsidP="005E5154">
      <w:r w:rsidRPr="005E5154">
        <w:t>I.</w:t>
      </w:r>
      <w:r w:rsidRPr="005E5154">
        <w:tab/>
        <w:t>PROTECTION DES OBTENTIONS VÉGÉTALES</w:t>
      </w:r>
    </w:p>
    <w:p w:rsidR="005E5154" w:rsidRPr="005E5154" w:rsidRDefault="005E5154" w:rsidP="005E5154"/>
    <w:p w:rsidR="005E5154" w:rsidRPr="005E5154" w:rsidRDefault="005E5154" w:rsidP="005E5154">
      <w:r w:rsidRPr="005E5154">
        <w:t xml:space="preserve">1. </w:t>
      </w:r>
      <w:r w:rsidRPr="005E5154">
        <w:tab/>
      </w:r>
      <w:r w:rsidRPr="005E5154">
        <w:rPr>
          <w:u w:val="single"/>
        </w:rPr>
        <w:t>Situation dans le domaine législatif</w:t>
      </w:r>
    </w:p>
    <w:p w:rsidR="005E5154" w:rsidRPr="005E5154" w:rsidRDefault="005E5154" w:rsidP="005E5154"/>
    <w:p w:rsidR="005E5154" w:rsidRPr="005E5154" w:rsidRDefault="005E5154" w:rsidP="005E5154">
      <w:pPr>
        <w:ind w:left="567"/>
      </w:pPr>
      <w:r w:rsidRPr="005E5154">
        <w:t>1.1</w:t>
      </w:r>
      <w:r w:rsidRPr="005E5154">
        <w:tab/>
        <w:t>Modifications de la loi et des textes d’application</w:t>
      </w:r>
    </w:p>
    <w:p w:rsidR="005E5154" w:rsidRPr="005E5154" w:rsidRDefault="005E5154" w:rsidP="005E5154">
      <w:pPr>
        <w:ind w:left="567"/>
      </w:pPr>
    </w:p>
    <w:p w:rsidR="005E5154" w:rsidRPr="005E5154" w:rsidRDefault="005E5154" w:rsidP="005E5154">
      <w:pPr>
        <w:ind w:left="567"/>
      </w:pPr>
      <w:r w:rsidRPr="005E5154">
        <w:t>Aucune modification n’a été apportée à la loi de Singapour sur la protection des obtentions végétales après le rapport au Conseil en 2020.</w:t>
      </w:r>
    </w:p>
    <w:p w:rsidR="005E5154" w:rsidRPr="005E5154" w:rsidRDefault="005E5154" w:rsidP="005E5154">
      <w:pPr>
        <w:ind w:left="567"/>
      </w:pPr>
    </w:p>
    <w:p w:rsidR="005E5154" w:rsidRPr="005E5154" w:rsidRDefault="005E5154" w:rsidP="005E5154">
      <w:pPr>
        <w:ind w:left="567"/>
      </w:pPr>
      <w:r w:rsidRPr="005E5154">
        <w:t>Les derniers textes législatifs de Singapour sur la protection des obtentions végétales sont les suivants :</w:t>
      </w:r>
    </w:p>
    <w:p w:rsidR="005E5154" w:rsidRPr="005E5154" w:rsidRDefault="005E5154" w:rsidP="005E5154">
      <w:pPr>
        <w:ind w:left="567"/>
      </w:pPr>
    </w:p>
    <w:p w:rsidR="005E5154" w:rsidRPr="005E5154" w:rsidRDefault="005E5154" w:rsidP="00276ED8">
      <w:pPr>
        <w:numPr>
          <w:ilvl w:val="0"/>
          <w:numId w:val="8"/>
        </w:numPr>
        <w:ind w:left="1287"/>
        <w:jc w:val="left"/>
      </w:pPr>
      <w:r w:rsidRPr="005E5154">
        <w:t>loi de Singapour sur la protection des obtentions végétales</w:t>
      </w:r>
    </w:p>
    <w:p w:rsidR="005E5154" w:rsidRPr="005E5154" w:rsidRDefault="005E5154" w:rsidP="00276ED8">
      <w:pPr>
        <w:numPr>
          <w:ilvl w:val="0"/>
          <w:numId w:val="8"/>
        </w:numPr>
        <w:ind w:left="1287"/>
        <w:jc w:val="left"/>
      </w:pPr>
      <w:r w:rsidRPr="005E5154">
        <w:t>règlement de Singapour sur la protection des obtentions végétales</w:t>
      </w:r>
    </w:p>
    <w:p w:rsidR="005E5154" w:rsidRPr="005E5154" w:rsidRDefault="005E5154" w:rsidP="005E5154">
      <w:pPr>
        <w:ind w:left="567"/>
      </w:pPr>
    </w:p>
    <w:p w:rsidR="005E5154" w:rsidRPr="005E5154" w:rsidRDefault="005E5154" w:rsidP="005E5154">
      <w:pPr>
        <w:ind w:left="567"/>
      </w:pPr>
      <w:r w:rsidRPr="005E5154">
        <w:t>1.2</w:t>
      </w:r>
      <w:r w:rsidRPr="005E5154">
        <w:tab/>
        <w:t>Extension de la protection à d’autres genres et espèces</w:t>
      </w:r>
    </w:p>
    <w:p w:rsidR="005E5154" w:rsidRPr="005E5154" w:rsidRDefault="005E5154" w:rsidP="005E5154">
      <w:pPr>
        <w:ind w:left="567"/>
      </w:pPr>
    </w:p>
    <w:p w:rsidR="005E5154" w:rsidRPr="005E5154" w:rsidRDefault="005E5154" w:rsidP="005E5154">
      <w:pPr>
        <w:ind w:left="567"/>
      </w:pPr>
      <w:r w:rsidRPr="005E5154">
        <w:t>Singapour autorise la protection de tous les genres et espèces végétaux depuis le 30 juillet 2014.</w:t>
      </w:r>
    </w:p>
    <w:p w:rsidR="005E5154" w:rsidRPr="005E5154" w:rsidRDefault="005E5154" w:rsidP="005E5154">
      <w:pPr>
        <w:ind w:left="567"/>
      </w:pPr>
    </w:p>
    <w:p w:rsidR="005E5154" w:rsidRPr="005E5154" w:rsidRDefault="005E5154" w:rsidP="005E5154">
      <w:pPr>
        <w:ind w:left="567"/>
      </w:pPr>
      <w:r w:rsidRPr="005E5154">
        <w:t>1.3</w:t>
      </w:r>
      <w:r w:rsidRPr="005E5154">
        <w:tab/>
        <w:t>Jurisprudence : aucun élément nouveau.</w:t>
      </w:r>
    </w:p>
    <w:p w:rsidR="005E5154" w:rsidRPr="005E5154" w:rsidRDefault="005E5154" w:rsidP="005E5154"/>
    <w:p w:rsidR="005E5154" w:rsidRPr="005E5154" w:rsidRDefault="005E5154" w:rsidP="005E5154"/>
    <w:p w:rsidR="005E5154" w:rsidRPr="005E5154" w:rsidRDefault="005E5154" w:rsidP="005E5154">
      <w:r w:rsidRPr="005E5154">
        <w:t>2.</w:t>
      </w:r>
      <w:r w:rsidRPr="005E5154">
        <w:tab/>
      </w:r>
      <w:r w:rsidRPr="005E5154">
        <w:rPr>
          <w:u w:val="single"/>
        </w:rPr>
        <w:t>Coopération en matière d’examen</w:t>
      </w:r>
      <w:r w:rsidRPr="005E5154">
        <w:t> : aucun élément nouveau.</w:t>
      </w:r>
    </w:p>
    <w:p w:rsidR="005E5154" w:rsidRPr="005E5154" w:rsidRDefault="005E5154" w:rsidP="005E5154"/>
    <w:p w:rsidR="005E5154" w:rsidRPr="005E5154" w:rsidRDefault="005E5154" w:rsidP="005E5154"/>
    <w:p w:rsidR="005E5154" w:rsidRPr="005E5154" w:rsidRDefault="005E5154" w:rsidP="005E5154">
      <w:r w:rsidRPr="005E5154">
        <w:t>3.</w:t>
      </w:r>
      <w:r w:rsidRPr="005E5154">
        <w:tab/>
      </w:r>
      <w:r w:rsidRPr="005E5154">
        <w:rPr>
          <w:u w:val="single"/>
        </w:rPr>
        <w:t>Situation dans le domaine administratif</w:t>
      </w:r>
      <w:r w:rsidRPr="005E5154">
        <w:t> : aucun élément nouveau.</w:t>
      </w:r>
    </w:p>
    <w:p w:rsidR="005E5154" w:rsidRPr="005E5154" w:rsidRDefault="005E5154" w:rsidP="005E5154"/>
    <w:p w:rsidR="005E5154" w:rsidRPr="005E5154" w:rsidRDefault="005E5154" w:rsidP="005E5154"/>
    <w:p w:rsidR="005E5154" w:rsidRPr="005E5154" w:rsidRDefault="005E5154" w:rsidP="005E5154">
      <w:r w:rsidRPr="005E5154">
        <w:t>4.</w:t>
      </w:r>
      <w:r w:rsidRPr="005E5154">
        <w:tab/>
      </w:r>
      <w:r w:rsidRPr="005E5154">
        <w:rPr>
          <w:u w:val="single"/>
        </w:rPr>
        <w:t>Situation dans le domaine technique</w:t>
      </w:r>
      <w:r w:rsidRPr="005E5154">
        <w:t> : aucun élément nouveau.</w:t>
      </w:r>
    </w:p>
    <w:p w:rsidR="005E5154" w:rsidRPr="005E5154" w:rsidRDefault="005E5154" w:rsidP="005E5154"/>
    <w:p w:rsidR="005E5154" w:rsidRPr="005E5154" w:rsidRDefault="005E5154" w:rsidP="005E5154"/>
    <w:p w:rsidR="005E5154" w:rsidRPr="005E5154" w:rsidRDefault="005E5154" w:rsidP="005E5154">
      <w:r w:rsidRPr="005E5154">
        <w:t>5.</w:t>
      </w:r>
      <w:r w:rsidRPr="005E5154">
        <w:tab/>
      </w:r>
      <w:r w:rsidRPr="005E5154">
        <w:rPr>
          <w:u w:val="single"/>
        </w:rPr>
        <w:t>Activités de promotion de la protection des obtentions végétales</w:t>
      </w:r>
      <w:r w:rsidRPr="005E5154">
        <w:t> : aucun élément nouveau.</w:t>
      </w:r>
    </w:p>
    <w:p w:rsidR="005E5154" w:rsidRPr="005E5154" w:rsidRDefault="005E5154" w:rsidP="005E5154"/>
    <w:p w:rsidR="005E5154" w:rsidRPr="005E5154" w:rsidRDefault="005E5154" w:rsidP="005E5154"/>
    <w:p w:rsidR="005E5154" w:rsidRPr="005E5154" w:rsidRDefault="005E5154" w:rsidP="005E5154">
      <w:r w:rsidRPr="005E5154">
        <w:t>II.</w:t>
      </w:r>
      <w:r w:rsidRPr="005E5154">
        <w:tab/>
        <w:t>AUTRES ÉLÉMENTS NOUVEAUX PRÉSENTANT UN INTÉRÊT POUR L’UPOV</w:t>
      </w:r>
    </w:p>
    <w:p w:rsidR="005E5154" w:rsidRPr="005E5154" w:rsidRDefault="005E5154" w:rsidP="005E5154"/>
    <w:p w:rsidR="005E5154" w:rsidRPr="005E5154" w:rsidRDefault="005E5154" w:rsidP="005E5154">
      <w:r w:rsidRPr="005E5154">
        <w:tab/>
        <w:t>Aucun élément nouveau.</w:t>
      </w:r>
    </w:p>
    <w:p w:rsidR="00FD4F25" w:rsidRPr="00EB57D6" w:rsidRDefault="00FD4F25" w:rsidP="00FD4F25">
      <w:pPr>
        <w:rPr>
          <w:sz w:val="18"/>
        </w:rPr>
      </w:pPr>
    </w:p>
    <w:p w:rsidR="00FD4F25" w:rsidRPr="00EB57D6" w:rsidRDefault="00FD4F25" w:rsidP="00FD4F25">
      <w:pPr>
        <w:rPr>
          <w:sz w:val="18"/>
        </w:rPr>
      </w:pPr>
    </w:p>
    <w:p w:rsidR="00845D57" w:rsidRPr="00EB57D6" w:rsidRDefault="00845D57" w:rsidP="00845D57">
      <w:pPr>
        <w:jc w:val="left"/>
      </w:pPr>
    </w:p>
    <w:p w:rsidR="00845D57" w:rsidRPr="00EB57D6" w:rsidRDefault="00845D57" w:rsidP="00845D57">
      <w:pPr>
        <w:jc w:val="right"/>
      </w:pPr>
      <w:r w:rsidRPr="00EB57D6">
        <w:t>[L’annexe XV suit]</w:t>
      </w:r>
    </w:p>
    <w:p w:rsidR="00845D57" w:rsidRPr="00EB57D6" w:rsidRDefault="00845D57" w:rsidP="00845D57"/>
    <w:p w:rsidR="00845D57" w:rsidRPr="00EB57D6" w:rsidRDefault="00845D57" w:rsidP="00845D57">
      <w:pPr>
        <w:jc w:val="left"/>
        <w:sectPr w:rsidR="00845D57" w:rsidRPr="00EB57D6" w:rsidSect="009B2909">
          <w:headerReference w:type="default" r:id="rId42"/>
          <w:pgSz w:w="11907" w:h="16840" w:code="9"/>
          <w:pgMar w:top="510" w:right="1134" w:bottom="1134" w:left="1134" w:header="510" w:footer="680" w:gutter="0"/>
          <w:pgNumType w:start="1"/>
          <w:cols w:space="720"/>
          <w:titlePg/>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7B4801" w:rsidP="00845D57">
      <w:pPr>
        <w:jc w:val="center"/>
      </w:pPr>
      <w:r>
        <w:t>ANNEXE XV</w:t>
      </w:r>
    </w:p>
    <w:p w:rsidR="00845D57" w:rsidRPr="00EB57D6" w:rsidRDefault="00845D57" w:rsidP="00845D57">
      <w:pPr>
        <w:jc w:val="center"/>
      </w:pPr>
    </w:p>
    <w:p w:rsidR="00845D57" w:rsidRPr="00EB57D6" w:rsidRDefault="00845D57" w:rsidP="00845D57">
      <w:pPr>
        <w:jc w:val="center"/>
      </w:pPr>
    </w:p>
    <w:p w:rsidR="00845D57" w:rsidRPr="00EB57D6" w:rsidRDefault="00845D57" w:rsidP="00845D57">
      <w:pPr>
        <w:jc w:val="center"/>
      </w:pPr>
      <w:r w:rsidRPr="00EB57D6">
        <w:t>UKRAINE</w:t>
      </w:r>
    </w:p>
    <w:p w:rsidR="00845D57" w:rsidRPr="00EB57D6" w:rsidRDefault="00845D57" w:rsidP="00845D57"/>
    <w:p w:rsidR="00845D57" w:rsidRPr="00EB57D6" w:rsidRDefault="00845D57" w:rsidP="00845D57"/>
    <w:p w:rsidR="00A16AE0" w:rsidRPr="00C46339" w:rsidRDefault="00A16AE0" w:rsidP="00A16AE0">
      <w:r w:rsidRPr="00C46339">
        <w:t>I.</w:t>
      </w:r>
      <w:r w:rsidRPr="00C46339">
        <w:tab/>
        <w:t>PROTECTION DES OBTENTIONS VÉGÉTALES</w:t>
      </w:r>
    </w:p>
    <w:p w:rsidR="00A16AE0" w:rsidRPr="00C46339" w:rsidRDefault="00A16AE0" w:rsidP="00A16AE0"/>
    <w:p w:rsidR="00A16AE0" w:rsidRPr="00C46339" w:rsidRDefault="00A16AE0" w:rsidP="00A16AE0">
      <w:r w:rsidRPr="00C46339">
        <w:t xml:space="preserve">1. </w:t>
      </w:r>
      <w:r w:rsidRPr="00C46339">
        <w:tab/>
      </w:r>
      <w:r w:rsidRPr="00C46339">
        <w:rPr>
          <w:u w:val="single"/>
        </w:rPr>
        <w:t>Situation dans le domaine législatif</w:t>
      </w:r>
    </w:p>
    <w:p w:rsidR="00A16AE0" w:rsidRPr="00C46339" w:rsidRDefault="00A16AE0" w:rsidP="00A16AE0"/>
    <w:p w:rsidR="00A16AE0" w:rsidRPr="00C46339" w:rsidRDefault="00A16AE0" w:rsidP="00A16AE0">
      <w:r w:rsidRPr="00C46339">
        <w:t>1.1</w:t>
      </w:r>
      <w:r w:rsidRPr="00C46339">
        <w:tab/>
        <w:t>Modifications de la législation et application des normes juridiques</w:t>
      </w:r>
    </w:p>
    <w:p w:rsidR="00A16AE0" w:rsidRPr="00C46339" w:rsidRDefault="00A16AE0" w:rsidP="00A16AE0"/>
    <w:p w:rsidR="00A16AE0" w:rsidRPr="00C46339" w:rsidRDefault="00A16AE0" w:rsidP="00A16AE0">
      <w:r w:rsidRPr="00C46339">
        <w:t>La résolution du Conseil des ministres de l’Ukraine n° 1344 du 28 décembre 2020 “Questions d’optimisation du système des organes exécutifs centraux” a annulé la décision sur la réorganisation du Ministère ukrainien de la politique agricole et de l’alimentation.</w:t>
      </w:r>
    </w:p>
    <w:p w:rsidR="00A16AE0" w:rsidRPr="00C46339" w:rsidRDefault="00A16AE0" w:rsidP="00A16AE0"/>
    <w:p w:rsidR="00A16AE0" w:rsidRPr="00C46339" w:rsidRDefault="00A16AE0" w:rsidP="00A16AE0">
      <w:r w:rsidRPr="00C46339">
        <w:t>Conformément aux points 1 et 3 du règlement relatif au Ministère de la politique agricole et de l’alimentation de l’Ukraine, approuvé par la résolution du Conseil des ministres de l’Ukraine n° 124 du 17 février 2021 intitulée “Questions relatives aux activités des organes exécutifs centraux”, le Ministère de la politique agricole et de l’alimentation de l’Ukraine est investi des pouvoirs de l’organe exécutif central, qui assure l’élaboration et la mise en œuvre de la politique agricole nationale dans le domaine de la protection des obtentions végétales.</w:t>
      </w:r>
    </w:p>
    <w:p w:rsidR="00A16AE0" w:rsidRPr="00C46339" w:rsidRDefault="00A16AE0" w:rsidP="00A16AE0"/>
    <w:p w:rsidR="00A16AE0" w:rsidRPr="00C46339" w:rsidRDefault="00A16AE0" w:rsidP="00A16AE0">
      <w:r w:rsidRPr="00C46339">
        <w:t>Par conséquent, les modifications correspondantes à apporter à la réglementation dans le domaine de la protection des obtentions végétales en ce qui concerne la partie relative au changement de l’organe compétent sont prévues pour 2021.</w:t>
      </w:r>
    </w:p>
    <w:p w:rsidR="00A16AE0" w:rsidRPr="00C46339" w:rsidRDefault="00A16AE0" w:rsidP="00A16AE0"/>
    <w:p w:rsidR="00A16AE0" w:rsidRPr="00C46339" w:rsidRDefault="00A16AE0" w:rsidP="00A16AE0">
      <w:r w:rsidRPr="00C46339">
        <w:t>2.</w:t>
      </w:r>
      <w:r w:rsidRPr="00C46339">
        <w:tab/>
      </w:r>
      <w:r w:rsidRPr="00C46339">
        <w:rPr>
          <w:u w:val="single"/>
        </w:rPr>
        <w:t>Coopération en matière d’examen</w:t>
      </w:r>
    </w:p>
    <w:p w:rsidR="00A16AE0" w:rsidRPr="00C46339" w:rsidRDefault="00A16AE0" w:rsidP="00A16AE0"/>
    <w:p w:rsidR="00A16AE0" w:rsidRPr="00C46339" w:rsidRDefault="00A16AE0" w:rsidP="00A16AE0">
      <w:r w:rsidRPr="00C46339">
        <w:t>Au cours de l’année 2020, l’Ukraine a échangé 125 rapports sur les résultats des essais en plein champ dans le cadre de l’examen DHS.  L’Ukraine a utilisé les rapports d’examen DHS des pays suivants : Autriche, Espagne, États-Unis d’Amérique, Hongrie, Italie, Pays-Bas, République tchèque, Roumanie, Royaume-Uni, Serbie et Slovaquie, et a fourni des rapports à la Fédération de Russie, à la Serbie et à la Turquie.</w:t>
      </w:r>
    </w:p>
    <w:p w:rsidR="00A16AE0" w:rsidRPr="00C46339" w:rsidRDefault="00A16AE0" w:rsidP="00A16AE0"/>
    <w:p w:rsidR="00A16AE0" w:rsidRPr="00C46339" w:rsidRDefault="00A16AE0" w:rsidP="00A16AE0">
      <w:pPr>
        <w:rPr>
          <w:u w:val="single"/>
        </w:rPr>
      </w:pPr>
      <w:r w:rsidRPr="00C46339">
        <w:t>3.</w:t>
      </w:r>
      <w:r w:rsidRPr="00C46339">
        <w:tab/>
      </w:r>
      <w:r w:rsidRPr="00C46339">
        <w:rPr>
          <w:u w:val="single"/>
        </w:rPr>
        <w:t>Situation dans le domaine administratif</w:t>
      </w:r>
    </w:p>
    <w:p w:rsidR="00A16AE0" w:rsidRPr="00C46339" w:rsidRDefault="00A16AE0" w:rsidP="00A16AE0"/>
    <w:p w:rsidR="00A16AE0" w:rsidRPr="00C46339" w:rsidRDefault="00A16AE0" w:rsidP="00A16AE0">
      <w:r w:rsidRPr="00C46339">
        <w:t>En 2020, le Ministère de la politique agricole et de l’alimentation de l’Ukraine, l’organe compétent pour l’enregistrement des droits d’obtenteur en Ukraine, a été rétabli.</w:t>
      </w:r>
    </w:p>
    <w:p w:rsidR="00A16AE0" w:rsidRPr="00C46339" w:rsidRDefault="00A16AE0" w:rsidP="00A16AE0">
      <w:pPr>
        <w:rPr>
          <w:u w:val="single"/>
        </w:rPr>
      </w:pPr>
    </w:p>
    <w:p w:rsidR="00A16AE0" w:rsidRPr="00C46339" w:rsidRDefault="00A16AE0" w:rsidP="00A16AE0">
      <w:r w:rsidRPr="00C46339">
        <w:t>4.</w:t>
      </w:r>
      <w:r w:rsidRPr="00C46339">
        <w:tab/>
      </w:r>
      <w:r w:rsidRPr="00C46339">
        <w:rPr>
          <w:u w:val="single"/>
        </w:rPr>
        <w:t>Situation dans le domaine technique</w:t>
      </w:r>
    </w:p>
    <w:p w:rsidR="00A16AE0" w:rsidRPr="00C46339" w:rsidRDefault="00A16AE0" w:rsidP="00A16AE0"/>
    <w:p w:rsidR="00A16AE0" w:rsidRPr="00C46339" w:rsidRDefault="00A16AE0" w:rsidP="00A16AE0">
      <w:pPr>
        <w:spacing w:after="120"/>
      </w:pPr>
      <w:r w:rsidRPr="00C46339">
        <w:t>Des modifications ont été apportées aux principes directeurs d’examen de la distinction, de l’homogénéité et de la stabilité des variétés végétales pour :</w:t>
      </w:r>
    </w:p>
    <w:p w:rsidR="00A16AE0" w:rsidRPr="00C46339" w:rsidRDefault="00A16AE0" w:rsidP="00276ED8">
      <w:pPr>
        <w:numPr>
          <w:ilvl w:val="0"/>
          <w:numId w:val="9"/>
        </w:numPr>
      </w:pPr>
      <w:r w:rsidRPr="00C46339">
        <w:t>Céréales;</w:t>
      </w:r>
    </w:p>
    <w:p w:rsidR="00A16AE0" w:rsidRPr="00C46339" w:rsidRDefault="00A16AE0" w:rsidP="00276ED8">
      <w:pPr>
        <w:numPr>
          <w:ilvl w:val="0"/>
          <w:numId w:val="9"/>
        </w:numPr>
      </w:pPr>
      <w:r w:rsidRPr="00C46339">
        <w:t xml:space="preserve">Sarrasin </w:t>
      </w:r>
      <w:r w:rsidRPr="00C46339">
        <w:rPr>
          <w:i/>
        </w:rPr>
        <w:t>(</w:t>
      </w:r>
      <w:proofErr w:type="spellStart"/>
      <w:r w:rsidRPr="00C46339">
        <w:rPr>
          <w:i/>
        </w:rPr>
        <w:t>Fagopyrum</w:t>
      </w:r>
      <w:proofErr w:type="spellEnd"/>
      <w:r w:rsidRPr="00C46339">
        <w:rPr>
          <w:i/>
        </w:rPr>
        <w:t xml:space="preserve"> </w:t>
      </w:r>
      <w:proofErr w:type="spellStart"/>
      <w:r w:rsidRPr="00C46339">
        <w:rPr>
          <w:i/>
        </w:rPr>
        <w:t>esculentum</w:t>
      </w:r>
      <w:proofErr w:type="spellEnd"/>
      <w:r w:rsidRPr="00C46339">
        <w:rPr>
          <w:i/>
        </w:rPr>
        <w:t xml:space="preserve"> </w:t>
      </w:r>
      <w:proofErr w:type="spellStart"/>
      <w:r w:rsidRPr="00C46339">
        <w:t>Moench</w:t>
      </w:r>
      <w:proofErr w:type="spellEnd"/>
      <w:r w:rsidRPr="00C46339">
        <w:t>);</w:t>
      </w:r>
    </w:p>
    <w:p w:rsidR="00A16AE0" w:rsidRPr="00C46339" w:rsidRDefault="00A16AE0" w:rsidP="00276ED8">
      <w:pPr>
        <w:numPr>
          <w:ilvl w:val="0"/>
          <w:numId w:val="9"/>
        </w:numPr>
      </w:pPr>
      <w:r w:rsidRPr="00C46339">
        <w:t>Lin, graine de lin (</w:t>
      </w:r>
      <w:proofErr w:type="spellStart"/>
      <w:r w:rsidRPr="00C46339">
        <w:rPr>
          <w:i/>
        </w:rPr>
        <w:t>Linum</w:t>
      </w:r>
      <w:proofErr w:type="spellEnd"/>
      <w:r w:rsidRPr="00C46339">
        <w:rPr>
          <w:i/>
        </w:rPr>
        <w:t xml:space="preserve"> </w:t>
      </w:r>
      <w:proofErr w:type="spellStart"/>
      <w:r w:rsidRPr="00C46339">
        <w:rPr>
          <w:i/>
        </w:rPr>
        <w:t>usitatissimum</w:t>
      </w:r>
      <w:proofErr w:type="spellEnd"/>
      <w:r w:rsidRPr="00C46339">
        <w:t xml:space="preserve"> L.);</w:t>
      </w:r>
    </w:p>
    <w:p w:rsidR="00A16AE0" w:rsidRPr="00C46339" w:rsidRDefault="00A16AE0" w:rsidP="00276ED8">
      <w:pPr>
        <w:numPr>
          <w:ilvl w:val="0"/>
          <w:numId w:val="9"/>
        </w:numPr>
      </w:pPr>
      <w:r w:rsidRPr="00C46339">
        <w:t xml:space="preserve">Fétuque rouge, fétuque ovine, fétuque bovine, fétuque à feuilles fines, fétuque durette, fétuque </w:t>
      </w:r>
      <w:proofErr w:type="spellStart"/>
      <w:r w:rsidRPr="00C46339">
        <w:t>hétérophylle</w:t>
      </w:r>
      <w:proofErr w:type="spellEnd"/>
      <w:r w:rsidRPr="00C46339">
        <w:t xml:space="preserve">, fétuque </w:t>
      </w:r>
      <w:proofErr w:type="spellStart"/>
      <w:r w:rsidRPr="00C46339">
        <w:t>pseudovine</w:t>
      </w:r>
      <w:proofErr w:type="spellEnd"/>
      <w:r w:rsidRPr="00C46339">
        <w:t xml:space="preserve">, fétuque rupicole </w:t>
      </w:r>
      <w:r w:rsidRPr="00C46339">
        <w:rPr>
          <w:i/>
        </w:rPr>
        <w:t>(</w:t>
      </w:r>
      <w:proofErr w:type="spellStart"/>
      <w:r w:rsidRPr="00C46339">
        <w:rPr>
          <w:i/>
        </w:rPr>
        <w:t>Festuca</w:t>
      </w:r>
      <w:proofErr w:type="spellEnd"/>
      <w:r w:rsidRPr="00C46339">
        <w:rPr>
          <w:i/>
        </w:rPr>
        <w:t xml:space="preserve"> </w:t>
      </w:r>
      <w:proofErr w:type="spellStart"/>
      <w:r w:rsidRPr="00C46339">
        <w:rPr>
          <w:i/>
        </w:rPr>
        <w:t>rubra</w:t>
      </w:r>
      <w:proofErr w:type="spellEnd"/>
      <w:r w:rsidRPr="00C46339">
        <w:rPr>
          <w:i/>
        </w:rPr>
        <w:t xml:space="preserve"> </w:t>
      </w:r>
      <w:r w:rsidRPr="00C46339">
        <w:t xml:space="preserve">L., </w:t>
      </w:r>
      <w:proofErr w:type="spellStart"/>
      <w:r w:rsidRPr="00C46339">
        <w:rPr>
          <w:i/>
        </w:rPr>
        <w:t>Festuca</w:t>
      </w:r>
      <w:proofErr w:type="spellEnd"/>
      <w:r w:rsidRPr="00C46339">
        <w:rPr>
          <w:i/>
        </w:rPr>
        <w:t xml:space="preserve"> </w:t>
      </w:r>
      <w:proofErr w:type="spellStart"/>
      <w:r w:rsidRPr="00C46339">
        <w:rPr>
          <w:i/>
        </w:rPr>
        <w:t>ovina</w:t>
      </w:r>
      <w:proofErr w:type="spellEnd"/>
      <w:r w:rsidRPr="00C46339">
        <w:rPr>
          <w:i/>
        </w:rPr>
        <w:t xml:space="preserve"> </w:t>
      </w:r>
      <w:r w:rsidRPr="00C46339">
        <w:t xml:space="preserve">L., </w:t>
      </w:r>
      <w:proofErr w:type="spellStart"/>
      <w:r w:rsidRPr="00C46339">
        <w:rPr>
          <w:i/>
        </w:rPr>
        <w:t>Festuca</w:t>
      </w:r>
      <w:proofErr w:type="spellEnd"/>
      <w:r w:rsidRPr="00C46339">
        <w:rPr>
          <w:i/>
        </w:rPr>
        <w:t xml:space="preserve"> </w:t>
      </w:r>
      <w:proofErr w:type="spellStart"/>
      <w:r w:rsidRPr="00C46339">
        <w:rPr>
          <w:i/>
        </w:rPr>
        <w:t>filiformis</w:t>
      </w:r>
      <w:proofErr w:type="spellEnd"/>
      <w:r w:rsidRPr="00C46339">
        <w:rPr>
          <w:i/>
        </w:rPr>
        <w:t xml:space="preserve"> </w:t>
      </w:r>
      <w:proofErr w:type="spellStart"/>
      <w:r w:rsidRPr="00C46339">
        <w:t>Pourr</w:t>
      </w:r>
      <w:proofErr w:type="spellEnd"/>
      <w:r w:rsidRPr="00C46339">
        <w:t xml:space="preserve">., </w:t>
      </w:r>
      <w:proofErr w:type="spellStart"/>
      <w:r w:rsidRPr="00C46339">
        <w:rPr>
          <w:i/>
        </w:rPr>
        <w:t>Festuca</w:t>
      </w:r>
      <w:proofErr w:type="spellEnd"/>
      <w:r w:rsidRPr="00C46339">
        <w:rPr>
          <w:i/>
        </w:rPr>
        <w:t xml:space="preserve"> </w:t>
      </w:r>
      <w:proofErr w:type="spellStart"/>
      <w:r w:rsidRPr="00C46339">
        <w:rPr>
          <w:i/>
        </w:rPr>
        <w:t>brevipila</w:t>
      </w:r>
      <w:proofErr w:type="spellEnd"/>
      <w:r w:rsidRPr="00C46339">
        <w:rPr>
          <w:i/>
        </w:rPr>
        <w:t xml:space="preserve"> </w:t>
      </w:r>
      <w:r w:rsidRPr="00C46339">
        <w:t>R</w:t>
      </w:r>
      <w:r w:rsidRPr="00C46339">
        <w:rPr>
          <w:i/>
        </w:rPr>
        <w:t>. </w:t>
      </w:r>
      <w:r w:rsidRPr="00C46339">
        <w:t xml:space="preserve">Tracey, </w:t>
      </w:r>
      <w:proofErr w:type="spellStart"/>
      <w:r w:rsidRPr="00C46339">
        <w:rPr>
          <w:i/>
        </w:rPr>
        <w:t>Festuca</w:t>
      </w:r>
      <w:proofErr w:type="spellEnd"/>
      <w:r w:rsidRPr="00C46339">
        <w:rPr>
          <w:i/>
        </w:rPr>
        <w:t xml:space="preserve"> </w:t>
      </w:r>
      <w:proofErr w:type="spellStart"/>
      <w:r w:rsidRPr="00C46339">
        <w:rPr>
          <w:i/>
        </w:rPr>
        <w:t>heterophylla</w:t>
      </w:r>
      <w:proofErr w:type="spellEnd"/>
      <w:r w:rsidRPr="00C46339">
        <w:rPr>
          <w:i/>
        </w:rPr>
        <w:t xml:space="preserve"> </w:t>
      </w:r>
      <w:proofErr w:type="spellStart"/>
      <w:r w:rsidRPr="00C46339">
        <w:t>Lam</w:t>
      </w:r>
      <w:proofErr w:type="spellEnd"/>
      <w:r w:rsidRPr="00C46339">
        <w:t xml:space="preserve">., </w:t>
      </w:r>
      <w:proofErr w:type="spellStart"/>
      <w:r w:rsidRPr="00C46339">
        <w:rPr>
          <w:i/>
        </w:rPr>
        <w:t>Festuca</w:t>
      </w:r>
      <w:proofErr w:type="spellEnd"/>
      <w:r w:rsidRPr="00C46339">
        <w:rPr>
          <w:i/>
        </w:rPr>
        <w:t xml:space="preserve"> </w:t>
      </w:r>
      <w:proofErr w:type="spellStart"/>
      <w:r w:rsidRPr="00C46339">
        <w:rPr>
          <w:i/>
        </w:rPr>
        <w:t>pseudovina</w:t>
      </w:r>
      <w:proofErr w:type="spellEnd"/>
      <w:r w:rsidRPr="00C46339">
        <w:rPr>
          <w:i/>
        </w:rPr>
        <w:t xml:space="preserve"> </w:t>
      </w:r>
      <w:r w:rsidRPr="00C46339">
        <w:t xml:space="preserve">Hack. ex </w:t>
      </w:r>
      <w:proofErr w:type="spellStart"/>
      <w:r w:rsidRPr="00C46339">
        <w:t>Wiesb</w:t>
      </w:r>
      <w:proofErr w:type="spellEnd"/>
      <w:r w:rsidRPr="00C46339">
        <w:t xml:space="preserve">., </w:t>
      </w:r>
      <w:proofErr w:type="spellStart"/>
      <w:r w:rsidRPr="00C46339">
        <w:rPr>
          <w:i/>
        </w:rPr>
        <w:t>Festuca</w:t>
      </w:r>
      <w:proofErr w:type="spellEnd"/>
      <w:r w:rsidRPr="00C46339">
        <w:rPr>
          <w:i/>
        </w:rPr>
        <w:t xml:space="preserve"> </w:t>
      </w:r>
      <w:proofErr w:type="spellStart"/>
      <w:r w:rsidRPr="00C46339">
        <w:rPr>
          <w:i/>
        </w:rPr>
        <w:t>rupicola</w:t>
      </w:r>
      <w:proofErr w:type="spellEnd"/>
      <w:r w:rsidRPr="00C46339">
        <w:rPr>
          <w:i/>
        </w:rPr>
        <w:t xml:space="preserve"> </w:t>
      </w:r>
      <w:proofErr w:type="spellStart"/>
      <w:r w:rsidRPr="00C46339">
        <w:t>Heuff</w:t>
      </w:r>
      <w:proofErr w:type="spellEnd"/>
      <w:r w:rsidRPr="00C46339">
        <w:t>.);</w:t>
      </w:r>
    </w:p>
    <w:p w:rsidR="00A16AE0" w:rsidRPr="00C46339" w:rsidRDefault="00A16AE0" w:rsidP="00276ED8">
      <w:pPr>
        <w:numPr>
          <w:ilvl w:val="0"/>
          <w:numId w:val="9"/>
        </w:numPr>
      </w:pPr>
      <w:r w:rsidRPr="00C46339">
        <w:t>Pâturin des prés (</w:t>
      </w:r>
      <w:proofErr w:type="spellStart"/>
      <w:r w:rsidRPr="00C46339">
        <w:rPr>
          <w:i/>
        </w:rPr>
        <w:t>Poa</w:t>
      </w:r>
      <w:proofErr w:type="spellEnd"/>
      <w:r w:rsidRPr="00C46339">
        <w:rPr>
          <w:i/>
        </w:rPr>
        <w:t xml:space="preserve"> </w:t>
      </w:r>
      <w:proofErr w:type="spellStart"/>
      <w:r w:rsidRPr="00C46339">
        <w:rPr>
          <w:i/>
        </w:rPr>
        <w:t>pratensis</w:t>
      </w:r>
      <w:proofErr w:type="spellEnd"/>
      <w:r w:rsidRPr="00C46339">
        <w:t xml:space="preserve"> L.);</w:t>
      </w:r>
    </w:p>
    <w:p w:rsidR="00A16AE0" w:rsidRPr="00C46339" w:rsidRDefault="00A16AE0" w:rsidP="00276ED8">
      <w:pPr>
        <w:numPr>
          <w:ilvl w:val="0"/>
          <w:numId w:val="9"/>
        </w:numPr>
      </w:pPr>
      <w:r w:rsidRPr="00C46339">
        <w:t xml:space="preserve">Chou chinois </w:t>
      </w:r>
      <w:r w:rsidRPr="00C46339">
        <w:rPr>
          <w:i/>
        </w:rPr>
        <w:t>(</w:t>
      </w:r>
      <w:proofErr w:type="spellStart"/>
      <w:r w:rsidRPr="00C46339">
        <w:rPr>
          <w:i/>
        </w:rPr>
        <w:t>Brassica</w:t>
      </w:r>
      <w:proofErr w:type="spellEnd"/>
      <w:r w:rsidRPr="00C46339">
        <w:rPr>
          <w:i/>
        </w:rPr>
        <w:t xml:space="preserve"> </w:t>
      </w:r>
      <w:proofErr w:type="spellStart"/>
      <w:r w:rsidRPr="00C46339">
        <w:rPr>
          <w:i/>
        </w:rPr>
        <w:t>rapa</w:t>
      </w:r>
      <w:proofErr w:type="spellEnd"/>
      <w:r w:rsidRPr="00C46339">
        <w:rPr>
          <w:i/>
        </w:rPr>
        <w:t xml:space="preserve"> </w:t>
      </w:r>
      <w:r w:rsidRPr="00C46339">
        <w:t>L</w:t>
      </w:r>
      <w:r w:rsidRPr="00C46339">
        <w:rPr>
          <w:i/>
        </w:rPr>
        <w:t>. </w:t>
      </w:r>
      <w:r w:rsidRPr="00C46339">
        <w:t xml:space="preserve">var. </w:t>
      </w:r>
      <w:proofErr w:type="spellStart"/>
      <w:r w:rsidRPr="00C46339">
        <w:rPr>
          <w:i/>
        </w:rPr>
        <w:t>pekinensis</w:t>
      </w:r>
      <w:proofErr w:type="spellEnd"/>
      <w:r w:rsidRPr="00C46339">
        <w:rPr>
          <w:i/>
        </w:rPr>
        <w:t xml:space="preserve"> </w:t>
      </w:r>
      <w:r w:rsidRPr="00C46339">
        <w:t xml:space="preserve">(Lo </w:t>
      </w:r>
      <w:proofErr w:type="spellStart"/>
      <w:r w:rsidRPr="00C46339">
        <w:t>ur</w:t>
      </w:r>
      <w:proofErr w:type="spellEnd"/>
      <w:r w:rsidRPr="00C46339">
        <w:t xml:space="preserve">.) </w:t>
      </w:r>
      <w:proofErr w:type="spellStart"/>
      <w:r w:rsidRPr="00C46339">
        <w:t>Kitam</w:t>
      </w:r>
      <w:proofErr w:type="spellEnd"/>
      <w:r w:rsidRPr="00C46339">
        <w:t>.);</w:t>
      </w:r>
    </w:p>
    <w:p w:rsidR="00A16AE0" w:rsidRPr="00C46339" w:rsidRDefault="00A16AE0" w:rsidP="00276ED8">
      <w:pPr>
        <w:numPr>
          <w:ilvl w:val="0"/>
          <w:numId w:val="9"/>
        </w:numPr>
      </w:pPr>
      <w:r w:rsidRPr="00C46339">
        <w:t>Laitue (</w:t>
      </w:r>
      <w:r w:rsidRPr="00C46339">
        <w:rPr>
          <w:i/>
        </w:rPr>
        <w:t xml:space="preserve">Lactuca </w:t>
      </w:r>
      <w:proofErr w:type="spellStart"/>
      <w:r w:rsidRPr="00C46339">
        <w:rPr>
          <w:i/>
        </w:rPr>
        <w:t>sativa</w:t>
      </w:r>
      <w:proofErr w:type="spellEnd"/>
      <w:r w:rsidRPr="00C46339">
        <w:rPr>
          <w:i/>
        </w:rPr>
        <w:t xml:space="preserve"> </w:t>
      </w:r>
      <w:r w:rsidRPr="00C46339">
        <w:t>L.);</w:t>
      </w:r>
    </w:p>
    <w:p w:rsidR="00A16AE0" w:rsidRPr="00C46339" w:rsidRDefault="00A16AE0" w:rsidP="00276ED8">
      <w:pPr>
        <w:numPr>
          <w:ilvl w:val="0"/>
          <w:numId w:val="9"/>
        </w:numPr>
      </w:pPr>
      <w:r w:rsidRPr="00C46339">
        <w:t>Myrtilles et bleuets (</w:t>
      </w:r>
      <w:r w:rsidRPr="00C46339">
        <w:rPr>
          <w:i/>
        </w:rPr>
        <w:t xml:space="preserve">Vaccinium </w:t>
      </w:r>
      <w:proofErr w:type="spellStart"/>
      <w:r w:rsidRPr="00C46339">
        <w:rPr>
          <w:i/>
        </w:rPr>
        <w:t>angustifolium</w:t>
      </w:r>
      <w:proofErr w:type="spellEnd"/>
      <w:r w:rsidRPr="00C46339">
        <w:rPr>
          <w:i/>
        </w:rPr>
        <w:t xml:space="preserve"> </w:t>
      </w:r>
      <w:proofErr w:type="spellStart"/>
      <w:r w:rsidRPr="00C46339">
        <w:t>Aiton</w:t>
      </w:r>
      <w:proofErr w:type="spellEnd"/>
      <w:r w:rsidRPr="00C46339">
        <w:t>;  V. </w:t>
      </w:r>
      <w:proofErr w:type="spellStart"/>
      <w:r w:rsidRPr="00C46339">
        <w:rPr>
          <w:i/>
        </w:rPr>
        <w:t>corymbosum</w:t>
      </w:r>
      <w:proofErr w:type="spellEnd"/>
      <w:r w:rsidRPr="00C46339">
        <w:rPr>
          <w:i/>
        </w:rPr>
        <w:t xml:space="preserve"> </w:t>
      </w:r>
      <w:r w:rsidRPr="00C46339">
        <w:t>L.;  V. </w:t>
      </w:r>
      <w:proofErr w:type="spellStart"/>
      <w:r w:rsidRPr="00C46339">
        <w:rPr>
          <w:i/>
        </w:rPr>
        <w:t>formosum</w:t>
      </w:r>
      <w:proofErr w:type="spellEnd"/>
      <w:r w:rsidRPr="00C46339">
        <w:rPr>
          <w:i/>
        </w:rPr>
        <w:t xml:space="preserve"> </w:t>
      </w:r>
      <w:r w:rsidRPr="00C46339">
        <w:t>Andrews;  V. </w:t>
      </w:r>
      <w:proofErr w:type="spellStart"/>
      <w:r w:rsidRPr="00C46339">
        <w:rPr>
          <w:i/>
        </w:rPr>
        <w:t>myrtilloides</w:t>
      </w:r>
      <w:proofErr w:type="spellEnd"/>
      <w:r w:rsidRPr="00C46339">
        <w:rPr>
          <w:i/>
        </w:rPr>
        <w:t xml:space="preserve"> </w:t>
      </w:r>
      <w:proofErr w:type="spellStart"/>
      <w:r w:rsidRPr="00C46339">
        <w:t>Michx</w:t>
      </w:r>
      <w:proofErr w:type="spellEnd"/>
      <w:r w:rsidRPr="00C46339">
        <w:t>. ;  V. </w:t>
      </w:r>
      <w:proofErr w:type="spellStart"/>
      <w:r w:rsidRPr="00C46339">
        <w:rPr>
          <w:i/>
        </w:rPr>
        <w:t>myrtillus</w:t>
      </w:r>
      <w:proofErr w:type="spellEnd"/>
      <w:r w:rsidRPr="00C46339">
        <w:rPr>
          <w:i/>
        </w:rPr>
        <w:t xml:space="preserve"> </w:t>
      </w:r>
      <w:r w:rsidRPr="00C46339">
        <w:t>L.;  V. </w:t>
      </w:r>
      <w:proofErr w:type="spellStart"/>
      <w:r w:rsidRPr="00C46339">
        <w:rPr>
          <w:i/>
        </w:rPr>
        <w:t>virgatum</w:t>
      </w:r>
      <w:proofErr w:type="spellEnd"/>
      <w:r w:rsidRPr="00C46339">
        <w:rPr>
          <w:i/>
        </w:rPr>
        <w:t xml:space="preserve"> </w:t>
      </w:r>
      <w:proofErr w:type="spellStart"/>
      <w:r w:rsidRPr="00C46339">
        <w:t>Aiton</w:t>
      </w:r>
      <w:proofErr w:type="spellEnd"/>
      <w:r w:rsidRPr="00C46339">
        <w:t>;  V. </w:t>
      </w:r>
      <w:proofErr w:type="spellStart"/>
      <w:r w:rsidRPr="00C46339">
        <w:rPr>
          <w:i/>
        </w:rPr>
        <w:t>simulatum</w:t>
      </w:r>
      <w:proofErr w:type="spellEnd"/>
      <w:r w:rsidRPr="00C46339">
        <w:rPr>
          <w:i/>
        </w:rPr>
        <w:t xml:space="preserve"> </w:t>
      </w:r>
      <w:r w:rsidRPr="00C46339">
        <w:t>Small);</w:t>
      </w:r>
    </w:p>
    <w:p w:rsidR="00A16AE0" w:rsidRPr="00C46339" w:rsidRDefault="00A16AE0" w:rsidP="00276ED8">
      <w:pPr>
        <w:numPr>
          <w:ilvl w:val="0"/>
          <w:numId w:val="9"/>
        </w:numPr>
      </w:pPr>
      <w:r w:rsidRPr="00C46339">
        <w:t>Genre chrysanthème (</w:t>
      </w:r>
      <w:proofErr w:type="spellStart"/>
      <w:r w:rsidRPr="00C46339">
        <w:rPr>
          <w:i/>
        </w:rPr>
        <w:t>Chrysanthemum</w:t>
      </w:r>
      <w:proofErr w:type="spellEnd"/>
      <w:r w:rsidRPr="00C46339">
        <w:t xml:space="preserve"> L.);</w:t>
      </w:r>
    </w:p>
    <w:p w:rsidR="00A16AE0" w:rsidRPr="00C46339" w:rsidRDefault="00A16AE0" w:rsidP="00276ED8">
      <w:pPr>
        <w:numPr>
          <w:ilvl w:val="0"/>
          <w:numId w:val="9"/>
        </w:numPr>
      </w:pPr>
      <w:r w:rsidRPr="00C46339">
        <w:t>Cumin noir (</w:t>
      </w:r>
      <w:proofErr w:type="spellStart"/>
      <w:r w:rsidRPr="00C46339">
        <w:rPr>
          <w:i/>
        </w:rPr>
        <w:t>Nigella</w:t>
      </w:r>
      <w:proofErr w:type="spellEnd"/>
      <w:r w:rsidRPr="00C46339">
        <w:rPr>
          <w:i/>
        </w:rPr>
        <w:t xml:space="preserve"> </w:t>
      </w:r>
      <w:proofErr w:type="spellStart"/>
      <w:r w:rsidRPr="00C46339">
        <w:rPr>
          <w:i/>
        </w:rPr>
        <w:t>sativa</w:t>
      </w:r>
      <w:proofErr w:type="spellEnd"/>
      <w:r w:rsidRPr="00C46339">
        <w:t xml:space="preserve"> L.);</w:t>
      </w:r>
    </w:p>
    <w:p w:rsidR="00A16AE0" w:rsidRPr="00C46339" w:rsidRDefault="00A16AE0" w:rsidP="00276ED8">
      <w:pPr>
        <w:numPr>
          <w:ilvl w:val="0"/>
          <w:numId w:val="9"/>
        </w:numPr>
      </w:pPr>
      <w:r w:rsidRPr="00C46339">
        <w:t>Sauge gentiane (</w:t>
      </w:r>
      <w:proofErr w:type="spellStart"/>
      <w:r w:rsidRPr="00C46339">
        <w:rPr>
          <w:i/>
        </w:rPr>
        <w:t>Salvia</w:t>
      </w:r>
      <w:proofErr w:type="spellEnd"/>
      <w:r w:rsidRPr="00C46339">
        <w:rPr>
          <w:i/>
        </w:rPr>
        <w:t xml:space="preserve"> patens </w:t>
      </w:r>
      <w:proofErr w:type="spellStart"/>
      <w:r w:rsidRPr="00C46339">
        <w:t>Cav</w:t>
      </w:r>
      <w:proofErr w:type="spellEnd"/>
      <w:r w:rsidRPr="00C46339">
        <w:t>.).</w:t>
      </w:r>
    </w:p>
    <w:p w:rsidR="00A16AE0" w:rsidRPr="00C46339" w:rsidRDefault="00A16AE0" w:rsidP="00A16AE0">
      <w:pPr>
        <w:spacing w:before="120" w:after="120"/>
        <w:ind w:left="357"/>
      </w:pPr>
      <w:r w:rsidRPr="00C46339">
        <w:t>Les principes directeurs concernant l’examen de la distinction, de l’homogénéité et de la stabilité des obtentions végétales ont été élaborés pour :</w:t>
      </w:r>
    </w:p>
    <w:p w:rsidR="00A16AE0" w:rsidRPr="00C46339" w:rsidRDefault="00A16AE0" w:rsidP="00276ED8">
      <w:pPr>
        <w:numPr>
          <w:ilvl w:val="0"/>
          <w:numId w:val="9"/>
        </w:numPr>
      </w:pPr>
      <w:r w:rsidRPr="00C46339">
        <w:t xml:space="preserve">Quinoa </w:t>
      </w:r>
      <w:r w:rsidRPr="00C46339">
        <w:rPr>
          <w:i/>
        </w:rPr>
        <w:t>(</w:t>
      </w:r>
      <w:proofErr w:type="spellStart"/>
      <w:r w:rsidRPr="00C46339">
        <w:rPr>
          <w:i/>
        </w:rPr>
        <w:t>Chenopodium</w:t>
      </w:r>
      <w:proofErr w:type="spellEnd"/>
      <w:r w:rsidRPr="00C46339">
        <w:rPr>
          <w:i/>
        </w:rPr>
        <w:t xml:space="preserve"> quinoa </w:t>
      </w:r>
      <w:proofErr w:type="spellStart"/>
      <w:r w:rsidRPr="00C46339">
        <w:t>Willd</w:t>
      </w:r>
      <w:proofErr w:type="spellEnd"/>
      <w:r w:rsidRPr="00C46339">
        <w:t>.);</w:t>
      </w:r>
    </w:p>
    <w:p w:rsidR="00A16AE0" w:rsidRPr="00C46339" w:rsidRDefault="00A16AE0" w:rsidP="00276ED8">
      <w:pPr>
        <w:numPr>
          <w:ilvl w:val="0"/>
          <w:numId w:val="9"/>
        </w:numPr>
      </w:pPr>
      <w:r w:rsidRPr="00C46339">
        <w:t>Patate douce (</w:t>
      </w:r>
      <w:proofErr w:type="spellStart"/>
      <w:r w:rsidRPr="00C46339">
        <w:rPr>
          <w:i/>
        </w:rPr>
        <w:t>Ipomoea</w:t>
      </w:r>
      <w:proofErr w:type="spellEnd"/>
      <w:r w:rsidRPr="00C46339">
        <w:rPr>
          <w:i/>
        </w:rPr>
        <w:t xml:space="preserve"> </w:t>
      </w:r>
      <w:proofErr w:type="spellStart"/>
      <w:r w:rsidRPr="00C46339">
        <w:rPr>
          <w:i/>
        </w:rPr>
        <w:t>batatas</w:t>
      </w:r>
      <w:proofErr w:type="spellEnd"/>
      <w:r w:rsidRPr="00C46339">
        <w:rPr>
          <w:i/>
        </w:rPr>
        <w:t xml:space="preserve"> </w:t>
      </w:r>
      <w:r w:rsidRPr="00C46339">
        <w:t xml:space="preserve">(L.)) </w:t>
      </w:r>
      <w:proofErr w:type="spellStart"/>
      <w:r w:rsidRPr="00C46339">
        <w:t>Lam</w:t>
      </w:r>
      <w:proofErr w:type="spellEnd"/>
      <w:r w:rsidRPr="00C46339">
        <w:t>.);</w:t>
      </w:r>
    </w:p>
    <w:p w:rsidR="00845D57" w:rsidRPr="00EB57D6" w:rsidRDefault="00A16AE0" w:rsidP="00276ED8">
      <w:pPr>
        <w:numPr>
          <w:ilvl w:val="0"/>
          <w:numId w:val="9"/>
        </w:numPr>
        <w:jc w:val="left"/>
      </w:pPr>
      <w:r w:rsidRPr="00C46339">
        <w:t>Gingembre commun (</w:t>
      </w:r>
      <w:proofErr w:type="spellStart"/>
      <w:r w:rsidRPr="00A16AE0">
        <w:rPr>
          <w:i/>
        </w:rPr>
        <w:t>Zingiber</w:t>
      </w:r>
      <w:proofErr w:type="spellEnd"/>
      <w:r w:rsidRPr="00A16AE0">
        <w:rPr>
          <w:i/>
        </w:rPr>
        <w:t xml:space="preserve"> officinale </w:t>
      </w:r>
      <w:r w:rsidRPr="00C46339">
        <w:t>Rose.).</w:t>
      </w:r>
    </w:p>
    <w:p w:rsidR="00EB57D6" w:rsidRPr="00EB57D6" w:rsidRDefault="00EB57D6" w:rsidP="00845D57">
      <w:pPr>
        <w:jc w:val="left"/>
        <w:sectPr w:rsidR="00EB57D6" w:rsidRPr="00EB57D6" w:rsidSect="00A16AE0">
          <w:headerReference w:type="default" r:id="rId43"/>
          <w:pgSz w:w="11907" w:h="16840" w:code="9"/>
          <w:pgMar w:top="510" w:right="1134" w:bottom="709" w:left="1134" w:header="510" w:footer="680" w:gutter="0"/>
          <w:pgNumType w:start="1"/>
          <w:cols w:space="720"/>
          <w:titlePg/>
        </w:sectPr>
      </w:pPr>
    </w:p>
    <w:p w:rsidR="00EB57D6" w:rsidRPr="00EB57D6" w:rsidRDefault="00EB57D6" w:rsidP="00EB57D6">
      <w:pPr>
        <w:rPr>
          <w:sz w:val="18"/>
          <w:u w:val="single"/>
        </w:rPr>
      </w:pPr>
      <w:r w:rsidRPr="00EB57D6">
        <w:lastRenderedPageBreak/>
        <w:t>5.</w:t>
      </w:r>
      <w:r w:rsidRPr="00EB57D6">
        <w:tab/>
      </w:r>
      <w:r w:rsidRPr="00EB57D6">
        <w:rPr>
          <w:u w:val="single"/>
        </w:rPr>
        <w:t>Activités de promotion de la protection des obtentions végétales</w:t>
      </w:r>
    </w:p>
    <w:p w:rsidR="00EB57D6" w:rsidRPr="00EB57D6" w:rsidRDefault="00EB57D6" w:rsidP="00EB57D6"/>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006"/>
        <w:gridCol w:w="1134"/>
        <w:gridCol w:w="1276"/>
        <w:gridCol w:w="2977"/>
        <w:gridCol w:w="2976"/>
        <w:gridCol w:w="2269"/>
        <w:gridCol w:w="1417"/>
      </w:tblGrid>
      <w:tr w:rsidR="008879D1" w:rsidRPr="009D2CEA" w:rsidTr="008879D1">
        <w:trPr>
          <w:tblHeader/>
        </w:trPr>
        <w:tc>
          <w:tcPr>
            <w:tcW w:w="3006" w:type="dxa"/>
            <w:shd w:val="clear" w:color="auto" w:fill="auto"/>
            <w:tcMar>
              <w:top w:w="28" w:type="dxa"/>
              <w:left w:w="28" w:type="dxa"/>
              <w:bottom w:w="28" w:type="dxa"/>
              <w:right w:w="28" w:type="dxa"/>
            </w:tcMar>
            <w:vAlign w:val="center"/>
            <w:hideMark/>
          </w:tcPr>
          <w:p w:rsidR="008879D1" w:rsidRPr="008879D1" w:rsidRDefault="008879D1" w:rsidP="00AA577D">
            <w:pPr>
              <w:keepNext/>
              <w:jc w:val="left"/>
              <w:rPr>
                <w:rFonts w:cs="Arial"/>
                <w:sz w:val="16"/>
                <w:szCs w:val="16"/>
                <w:lang w:eastAsia="uk-UA"/>
              </w:rPr>
            </w:pPr>
            <w:r w:rsidRPr="008879D1">
              <w:rPr>
                <w:rFonts w:cs="Arial"/>
                <w:sz w:val="16"/>
                <w:szCs w:val="16"/>
                <w:lang w:eastAsia="uk-UA"/>
              </w:rPr>
              <w:t>Intitulé de l’activité</w:t>
            </w:r>
          </w:p>
        </w:tc>
        <w:tc>
          <w:tcPr>
            <w:tcW w:w="1134" w:type="dxa"/>
            <w:shd w:val="clear" w:color="auto" w:fill="auto"/>
            <w:tcMar>
              <w:top w:w="28" w:type="dxa"/>
              <w:left w:w="28" w:type="dxa"/>
              <w:bottom w:w="28" w:type="dxa"/>
              <w:right w:w="28" w:type="dxa"/>
            </w:tcMar>
            <w:vAlign w:val="center"/>
            <w:hideMark/>
          </w:tcPr>
          <w:p w:rsidR="008879D1" w:rsidRPr="008879D1" w:rsidRDefault="008879D1" w:rsidP="00AA577D">
            <w:pPr>
              <w:jc w:val="left"/>
              <w:rPr>
                <w:rFonts w:cs="Arial"/>
                <w:sz w:val="16"/>
                <w:szCs w:val="16"/>
              </w:rPr>
            </w:pPr>
            <w:r w:rsidRPr="008879D1">
              <w:rPr>
                <w:rFonts w:cs="Arial"/>
                <w:sz w:val="16"/>
                <w:szCs w:val="16"/>
              </w:rPr>
              <w:t>Date</w:t>
            </w:r>
          </w:p>
        </w:tc>
        <w:tc>
          <w:tcPr>
            <w:tcW w:w="1276" w:type="dxa"/>
            <w:shd w:val="clear" w:color="auto" w:fill="auto"/>
            <w:tcMar>
              <w:top w:w="28" w:type="dxa"/>
              <w:left w:w="28" w:type="dxa"/>
              <w:bottom w:w="28" w:type="dxa"/>
              <w:right w:w="28" w:type="dxa"/>
            </w:tcMar>
            <w:vAlign w:val="center"/>
            <w:hideMark/>
          </w:tcPr>
          <w:p w:rsidR="008879D1" w:rsidRPr="008879D1" w:rsidRDefault="008879D1" w:rsidP="00AA577D">
            <w:pPr>
              <w:jc w:val="left"/>
              <w:rPr>
                <w:rFonts w:cs="Arial"/>
                <w:sz w:val="16"/>
                <w:szCs w:val="16"/>
              </w:rPr>
            </w:pPr>
            <w:r w:rsidRPr="008879D1">
              <w:rPr>
                <w:rFonts w:cs="Arial"/>
                <w:sz w:val="16"/>
                <w:szCs w:val="16"/>
              </w:rPr>
              <w:t>Lieu</w:t>
            </w:r>
          </w:p>
        </w:tc>
        <w:tc>
          <w:tcPr>
            <w:tcW w:w="2977" w:type="dxa"/>
            <w:shd w:val="clear" w:color="auto" w:fill="auto"/>
            <w:tcMar>
              <w:top w:w="28" w:type="dxa"/>
              <w:left w:w="28" w:type="dxa"/>
              <w:bottom w:w="28" w:type="dxa"/>
              <w:right w:w="28" w:type="dxa"/>
            </w:tcMar>
            <w:vAlign w:val="center"/>
            <w:hideMark/>
          </w:tcPr>
          <w:p w:rsidR="008879D1" w:rsidRPr="008879D1" w:rsidRDefault="008879D1" w:rsidP="00AA577D">
            <w:pPr>
              <w:jc w:val="left"/>
              <w:rPr>
                <w:rFonts w:cs="Arial"/>
                <w:sz w:val="16"/>
                <w:szCs w:val="16"/>
              </w:rPr>
            </w:pPr>
            <w:r w:rsidRPr="008879D1">
              <w:rPr>
                <w:rFonts w:cs="Arial"/>
                <w:sz w:val="16"/>
                <w:szCs w:val="16"/>
              </w:rPr>
              <w:t>Organisateur(s)</w:t>
            </w:r>
          </w:p>
        </w:tc>
        <w:tc>
          <w:tcPr>
            <w:tcW w:w="2976" w:type="dxa"/>
            <w:shd w:val="clear" w:color="auto" w:fill="auto"/>
            <w:tcMar>
              <w:top w:w="28" w:type="dxa"/>
              <w:left w:w="28" w:type="dxa"/>
              <w:bottom w:w="28" w:type="dxa"/>
              <w:right w:w="28" w:type="dxa"/>
            </w:tcMar>
            <w:vAlign w:val="center"/>
            <w:hideMark/>
          </w:tcPr>
          <w:p w:rsidR="008879D1" w:rsidRPr="008879D1" w:rsidRDefault="008879D1" w:rsidP="00AA577D">
            <w:pPr>
              <w:jc w:val="left"/>
              <w:rPr>
                <w:rFonts w:cs="Arial"/>
                <w:sz w:val="16"/>
                <w:szCs w:val="16"/>
              </w:rPr>
            </w:pPr>
            <w:r w:rsidRPr="008879D1">
              <w:rPr>
                <w:rFonts w:cs="Arial"/>
                <w:sz w:val="16"/>
                <w:szCs w:val="16"/>
              </w:rPr>
              <w:t>But de l’activité</w:t>
            </w:r>
          </w:p>
        </w:tc>
        <w:tc>
          <w:tcPr>
            <w:tcW w:w="2269" w:type="dxa"/>
            <w:shd w:val="clear" w:color="auto" w:fill="auto"/>
            <w:tcMar>
              <w:top w:w="28" w:type="dxa"/>
              <w:left w:w="28" w:type="dxa"/>
              <w:bottom w:w="28" w:type="dxa"/>
              <w:right w:w="28" w:type="dxa"/>
            </w:tcMar>
            <w:vAlign w:val="center"/>
            <w:hideMark/>
          </w:tcPr>
          <w:p w:rsidR="008879D1" w:rsidRPr="008879D1" w:rsidRDefault="008879D1" w:rsidP="00AA577D">
            <w:pPr>
              <w:jc w:val="left"/>
              <w:rPr>
                <w:rFonts w:cs="Arial"/>
                <w:sz w:val="16"/>
                <w:szCs w:val="16"/>
              </w:rPr>
            </w:pPr>
            <w:r w:rsidRPr="008879D1">
              <w:rPr>
                <w:rFonts w:cs="Arial"/>
                <w:sz w:val="16"/>
                <w:szCs w:val="16"/>
              </w:rPr>
              <w:t>Pays/organisations participants (nombre de participants de chacun d’eux)</w:t>
            </w:r>
          </w:p>
        </w:tc>
        <w:tc>
          <w:tcPr>
            <w:tcW w:w="1417" w:type="dxa"/>
            <w:shd w:val="clear" w:color="auto" w:fill="auto"/>
            <w:tcMar>
              <w:top w:w="28" w:type="dxa"/>
              <w:left w:w="28" w:type="dxa"/>
              <w:bottom w:w="28" w:type="dxa"/>
              <w:right w:w="28" w:type="dxa"/>
            </w:tcMar>
            <w:vAlign w:val="center"/>
            <w:hideMark/>
          </w:tcPr>
          <w:p w:rsidR="008879D1" w:rsidRPr="008879D1" w:rsidRDefault="008879D1" w:rsidP="00AA577D">
            <w:pPr>
              <w:jc w:val="left"/>
              <w:rPr>
                <w:rFonts w:cs="Arial"/>
                <w:sz w:val="16"/>
                <w:szCs w:val="16"/>
              </w:rPr>
            </w:pPr>
            <w:r w:rsidRPr="008879D1">
              <w:rPr>
                <w:rFonts w:cs="Arial"/>
                <w:sz w:val="16"/>
                <w:szCs w:val="16"/>
              </w:rPr>
              <w:t>Commentaires</w:t>
            </w:r>
          </w:p>
        </w:tc>
      </w:tr>
      <w:tr w:rsidR="008879D1" w:rsidRPr="009D2CEA" w:rsidTr="008879D1">
        <w:tc>
          <w:tcPr>
            <w:tcW w:w="300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 xml:space="preserve">“Plant </w:t>
            </w:r>
            <w:proofErr w:type="spellStart"/>
            <w:r w:rsidRPr="008879D1">
              <w:rPr>
                <w:rFonts w:cs="Arial"/>
                <w:sz w:val="16"/>
                <w:szCs w:val="16"/>
              </w:rPr>
              <w:t>Varieties</w:t>
            </w:r>
            <w:proofErr w:type="spellEnd"/>
            <w:r w:rsidRPr="008879D1">
              <w:rPr>
                <w:rFonts w:cs="Arial"/>
                <w:sz w:val="16"/>
                <w:szCs w:val="16"/>
              </w:rPr>
              <w:t xml:space="preserve"> </w:t>
            </w:r>
            <w:proofErr w:type="spellStart"/>
            <w:r w:rsidRPr="008879D1">
              <w:rPr>
                <w:rFonts w:cs="Arial"/>
                <w:sz w:val="16"/>
                <w:szCs w:val="16"/>
              </w:rPr>
              <w:t>Studying</w:t>
            </w:r>
            <w:proofErr w:type="spellEnd"/>
            <w:r w:rsidRPr="008879D1">
              <w:rPr>
                <w:rFonts w:cs="Arial"/>
                <w:sz w:val="16"/>
                <w:szCs w:val="16"/>
              </w:rPr>
              <w:t xml:space="preserve"> and Protection”</w:t>
            </w:r>
          </w:p>
          <w:p w:rsidR="008879D1" w:rsidRPr="008879D1" w:rsidRDefault="008879D1" w:rsidP="00AA577D">
            <w:pPr>
              <w:jc w:val="left"/>
              <w:rPr>
                <w:rFonts w:cs="Arial"/>
                <w:sz w:val="16"/>
                <w:szCs w:val="16"/>
              </w:rPr>
            </w:pPr>
            <w:proofErr w:type="spellStart"/>
            <w:r w:rsidRPr="008879D1">
              <w:rPr>
                <w:rFonts w:cs="Arial"/>
                <w:sz w:val="16"/>
                <w:szCs w:val="16"/>
              </w:rPr>
              <w:t>Print</w:t>
            </w:r>
            <w:proofErr w:type="spellEnd"/>
            <w:r w:rsidRPr="008879D1">
              <w:rPr>
                <w:rFonts w:cs="Arial"/>
                <w:sz w:val="16"/>
                <w:szCs w:val="16"/>
              </w:rPr>
              <w:t xml:space="preserve"> ISSN 2518-1017</w:t>
            </w:r>
          </w:p>
          <w:p w:rsidR="008879D1" w:rsidRPr="008879D1" w:rsidRDefault="008879D1" w:rsidP="00AA577D">
            <w:pPr>
              <w:jc w:val="left"/>
              <w:rPr>
                <w:rFonts w:cs="Arial"/>
                <w:sz w:val="16"/>
                <w:szCs w:val="16"/>
              </w:rPr>
            </w:pPr>
            <w:r w:rsidRPr="008879D1">
              <w:rPr>
                <w:rFonts w:cs="Arial"/>
                <w:sz w:val="16"/>
                <w:szCs w:val="16"/>
              </w:rPr>
              <w:t>Online ISSN 2518-7457</w:t>
            </w:r>
          </w:p>
          <w:p w:rsidR="008879D1" w:rsidRPr="008879D1" w:rsidRDefault="008879D1" w:rsidP="00AA577D">
            <w:pPr>
              <w:jc w:val="left"/>
              <w:rPr>
                <w:rFonts w:cs="Arial"/>
                <w:sz w:val="16"/>
                <w:szCs w:val="16"/>
              </w:rPr>
            </w:pPr>
            <w:r w:rsidRPr="008879D1">
              <w:rPr>
                <w:rFonts w:cs="Arial"/>
                <w:sz w:val="16"/>
                <w:szCs w:val="16"/>
              </w:rPr>
              <w:t>n</w:t>
            </w:r>
            <w:r w:rsidRPr="008879D1">
              <w:rPr>
                <w:rFonts w:cs="Arial"/>
                <w:sz w:val="16"/>
                <w:szCs w:val="16"/>
                <w:vertAlign w:val="superscript"/>
              </w:rPr>
              <w:t>os</w:t>
            </w:r>
            <w:r w:rsidRPr="008879D1">
              <w:rPr>
                <w:rFonts w:cs="Arial"/>
                <w:sz w:val="16"/>
                <w:szCs w:val="16"/>
              </w:rPr>
              <w:t> 1, 2, 3, 4, volume 16, 2020</w:t>
            </w:r>
          </w:p>
          <w:p w:rsidR="008879D1" w:rsidRPr="008879D1" w:rsidRDefault="008879D1" w:rsidP="00AA577D">
            <w:pPr>
              <w:jc w:val="left"/>
              <w:rPr>
                <w:rStyle w:val="Hyperlink"/>
                <w:rFonts w:cs="Arial"/>
                <w:sz w:val="16"/>
                <w:szCs w:val="16"/>
              </w:rPr>
            </w:pPr>
            <w:hyperlink r:id="rId44" w:history="1">
              <w:r w:rsidRPr="008879D1">
                <w:rPr>
                  <w:rStyle w:val="Hyperlink"/>
                  <w:rFonts w:cs="Arial"/>
                  <w:sz w:val="16"/>
                  <w:szCs w:val="16"/>
                </w:rPr>
                <w:t>http://journal.sops.gov.ua/</w:t>
              </w:r>
            </w:hyperlink>
          </w:p>
        </w:tc>
        <w:tc>
          <w:tcPr>
            <w:tcW w:w="1134"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Trimestriel</w:t>
            </w:r>
          </w:p>
        </w:tc>
        <w:tc>
          <w:tcPr>
            <w:tcW w:w="127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Kiev</w:t>
            </w:r>
          </w:p>
          <w:p w:rsidR="008879D1" w:rsidRPr="008879D1" w:rsidRDefault="008879D1" w:rsidP="00AA577D">
            <w:pPr>
              <w:jc w:val="left"/>
              <w:rPr>
                <w:rFonts w:cs="Arial"/>
                <w:sz w:val="16"/>
                <w:szCs w:val="16"/>
              </w:rPr>
            </w:pPr>
            <w:r w:rsidRPr="008879D1">
              <w:rPr>
                <w:rFonts w:cs="Arial"/>
                <w:sz w:val="16"/>
                <w:szCs w:val="16"/>
              </w:rPr>
              <w:t>(Ukraine)</w:t>
            </w:r>
          </w:p>
        </w:tc>
        <w:tc>
          <w:tcPr>
            <w:tcW w:w="2977"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Institut ukrainien chargé de l’examen des obtentions végétales,</w:t>
            </w:r>
          </w:p>
          <w:p w:rsidR="008879D1" w:rsidRPr="008879D1" w:rsidRDefault="008879D1" w:rsidP="00AA577D">
            <w:pPr>
              <w:jc w:val="left"/>
              <w:rPr>
                <w:rFonts w:cs="Arial"/>
                <w:sz w:val="16"/>
                <w:szCs w:val="16"/>
              </w:rPr>
            </w:pPr>
            <w:r w:rsidRPr="008879D1">
              <w:rPr>
                <w:rFonts w:cs="Arial"/>
                <w:sz w:val="16"/>
                <w:szCs w:val="16"/>
              </w:rPr>
              <w:t xml:space="preserve">Institut de sélection végétale et de </w:t>
            </w:r>
            <w:proofErr w:type="spellStart"/>
            <w:r w:rsidRPr="008879D1">
              <w:rPr>
                <w:rFonts w:cs="Arial"/>
                <w:sz w:val="16"/>
                <w:szCs w:val="16"/>
              </w:rPr>
              <w:t>phytogénétique</w:t>
            </w:r>
            <w:proofErr w:type="spellEnd"/>
            <w:r w:rsidRPr="008879D1">
              <w:rPr>
                <w:rFonts w:cs="Arial"/>
                <w:sz w:val="16"/>
                <w:szCs w:val="16"/>
              </w:rPr>
              <w:t xml:space="preserve"> – Centre national pour l’étude des semences et des cultivars de l’Académie nationale des sciences agricoles (NAAS),</w:t>
            </w:r>
          </w:p>
          <w:p w:rsidR="008879D1" w:rsidRPr="008879D1" w:rsidRDefault="008879D1" w:rsidP="00AA577D">
            <w:pPr>
              <w:jc w:val="left"/>
              <w:rPr>
                <w:rFonts w:cs="Arial"/>
                <w:sz w:val="16"/>
                <w:szCs w:val="16"/>
              </w:rPr>
            </w:pPr>
            <w:r w:rsidRPr="008879D1">
              <w:rPr>
                <w:rFonts w:cs="Arial"/>
                <w:sz w:val="16"/>
                <w:szCs w:val="16"/>
              </w:rPr>
              <w:t xml:space="preserve">Institut de physiologie végétale et de </w:t>
            </w:r>
            <w:proofErr w:type="spellStart"/>
            <w:r w:rsidRPr="008879D1">
              <w:rPr>
                <w:rFonts w:cs="Arial"/>
                <w:sz w:val="16"/>
                <w:szCs w:val="16"/>
              </w:rPr>
              <w:t>phytogénétique</w:t>
            </w:r>
            <w:proofErr w:type="spellEnd"/>
            <w:r w:rsidRPr="008879D1">
              <w:rPr>
                <w:rFonts w:cs="Arial"/>
                <w:sz w:val="16"/>
                <w:szCs w:val="16"/>
              </w:rPr>
              <w:t>, Académie nationale des sciences d’Ukraine</w:t>
            </w:r>
          </w:p>
        </w:tc>
        <w:tc>
          <w:tcPr>
            <w:tcW w:w="297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Publications concernant l’étude des variétés végétales et les sciences, la sélection et la production des semences, la physiologie végétale, la biotechnologie et la biosécurité, la production de variétés, la commercialisation des variétés, la protection des obtentions végétales, la coopération internationale, les systèmes et technologies de l’information, le point de vue des jeunes scientifiques, l’histoire des sciences, les commémorations</w:t>
            </w:r>
          </w:p>
        </w:tc>
        <w:tc>
          <w:tcPr>
            <w:tcW w:w="2269"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Ukraine</w:t>
            </w:r>
          </w:p>
        </w:tc>
        <w:tc>
          <w:tcPr>
            <w:tcW w:w="1417"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p>
        </w:tc>
      </w:tr>
      <w:tr w:rsidR="008879D1" w:rsidRPr="009D2CEA" w:rsidTr="008879D1">
        <w:tc>
          <w:tcPr>
            <w:tcW w:w="300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 xml:space="preserve">Bulletin “Plant </w:t>
            </w:r>
            <w:proofErr w:type="spellStart"/>
            <w:r w:rsidRPr="008879D1">
              <w:rPr>
                <w:rFonts w:cs="Arial"/>
                <w:sz w:val="16"/>
                <w:szCs w:val="16"/>
              </w:rPr>
              <w:t>Varieties</w:t>
            </w:r>
            <w:proofErr w:type="spellEnd"/>
            <w:r w:rsidRPr="008879D1">
              <w:rPr>
                <w:rFonts w:cs="Arial"/>
                <w:sz w:val="16"/>
                <w:szCs w:val="16"/>
              </w:rPr>
              <w:t xml:space="preserve"> Protection”, n° 1, n° 2, n° 3, n° 4, n° 5, n° 6, 2020.</w:t>
            </w:r>
          </w:p>
          <w:p w:rsidR="008879D1" w:rsidRPr="008879D1" w:rsidRDefault="008879D1" w:rsidP="00AA577D">
            <w:pPr>
              <w:jc w:val="left"/>
              <w:rPr>
                <w:rStyle w:val="Hyperlink"/>
                <w:rFonts w:cs="Arial"/>
                <w:sz w:val="16"/>
                <w:szCs w:val="16"/>
              </w:rPr>
            </w:pPr>
            <w:hyperlink r:id="rId45" w:history="1">
              <w:r w:rsidRPr="008879D1">
                <w:rPr>
                  <w:rStyle w:val="Hyperlink"/>
                  <w:rFonts w:cs="Arial"/>
                  <w:sz w:val="16"/>
                  <w:szCs w:val="16"/>
                </w:rPr>
                <w:t>https://sops.gov.ua/uploads/page/buleten/B_3_2020.pdf</w:t>
              </w:r>
            </w:hyperlink>
          </w:p>
        </w:tc>
        <w:tc>
          <w:tcPr>
            <w:tcW w:w="1134"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Trimestriel</w:t>
            </w:r>
          </w:p>
        </w:tc>
        <w:tc>
          <w:tcPr>
            <w:tcW w:w="127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Kiev</w:t>
            </w:r>
          </w:p>
          <w:p w:rsidR="008879D1" w:rsidRPr="008879D1" w:rsidRDefault="008879D1" w:rsidP="00AA577D">
            <w:pPr>
              <w:jc w:val="left"/>
              <w:rPr>
                <w:rFonts w:cs="Arial"/>
                <w:sz w:val="16"/>
                <w:szCs w:val="16"/>
              </w:rPr>
            </w:pPr>
            <w:r w:rsidRPr="008879D1">
              <w:rPr>
                <w:rFonts w:cs="Arial"/>
                <w:sz w:val="16"/>
                <w:szCs w:val="16"/>
              </w:rPr>
              <w:t>(Ukraine)</w:t>
            </w:r>
          </w:p>
        </w:tc>
        <w:tc>
          <w:tcPr>
            <w:tcW w:w="2977"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Institut ukrainien chargé de l’examen des obtentions végétales</w:t>
            </w:r>
          </w:p>
        </w:tc>
        <w:tc>
          <w:tcPr>
            <w:tcW w:w="297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Bulletin publié conformément à la législation ukrainienne en matière de protection des obtentions végétales en vue de fournir des informations officielles concernant les droits relatifs aux obtentions végétales et de satisfaire aux obligations découlant de l’adhésion de l’Ukraine à l’Union internationale pour la protection des obtentions végétales (UPOV)</w:t>
            </w:r>
          </w:p>
        </w:tc>
        <w:tc>
          <w:tcPr>
            <w:tcW w:w="2269"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 xml:space="preserve">Ukraine </w:t>
            </w:r>
          </w:p>
        </w:tc>
        <w:tc>
          <w:tcPr>
            <w:tcW w:w="1417"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p>
        </w:tc>
      </w:tr>
      <w:tr w:rsidR="008879D1" w:rsidRPr="007C1107" w:rsidTr="008879D1">
        <w:tc>
          <w:tcPr>
            <w:tcW w:w="3006" w:type="dxa"/>
            <w:shd w:val="clear" w:color="auto" w:fill="auto"/>
            <w:tcMar>
              <w:top w:w="28" w:type="dxa"/>
              <w:left w:w="28" w:type="dxa"/>
              <w:bottom w:w="28" w:type="dxa"/>
              <w:right w:w="28" w:type="dxa"/>
            </w:tcMar>
            <w:hideMark/>
          </w:tcPr>
          <w:p w:rsidR="008879D1" w:rsidRPr="008879D1" w:rsidRDefault="008879D1" w:rsidP="00AA577D">
            <w:pPr>
              <w:jc w:val="left"/>
              <w:rPr>
                <w:rStyle w:val="Hyperlink"/>
                <w:rFonts w:cs="Arial"/>
                <w:color w:val="auto"/>
                <w:sz w:val="16"/>
                <w:szCs w:val="16"/>
              </w:rPr>
            </w:pPr>
            <w:r w:rsidRPr="008879D1">
              <w:rPr>
                <w:rStyle w:val="Hyperlink"/>
                <w:rFonts w:cs="Arial"/>
                <w:color w:val="auto"/>
                <w:sz w:val="16"/>
                <w:szCs w:val="16"/>
                <w:u w:val="none"/>
              </w:rPr>
              <w:t>VIII</w:t>
            </w:r>
            <w:r w:rsidRPr="008879D1">
              <w:rPr>
                <w:rStyle w:val="Hyperlink"/>
                <w:rFonts w:cs="Arial"/>
                <w:color w:val="auto"/>
                <w:sz w:val="16"/>
                <w:szCs w:val="16"/>
                <w:u w:val="none"/>
                <w:vertAlign w:val="superscript"/>
              </w:rPr>
              <w:t>e</w:t>
            </w:r>
            <w:r w:rsidRPr="008879D1">
              <w:rPr>
                <w:rStyle w:val="Hyperlink"/>
                <w:rFonts w:cs="Arial"/>
                <w:color w:val="auto"/>
                <w:sz w:val="16"/>
                <w:szCs w:val="16"/>
                <w:u w:val="none"/>
              </w:rPr>
              <w:t xml:space="preserve"> Conférence internationale </w:t>
            </w:r>
            <w:r w:rsidRPr="008879D1">
              <w:rPr>
                <w:rStyle w:val="Hyperlink"/>
                <w:rFonts w:cs="Arial"/>
                <w:color w:val="000000"/>
                <w:sz w:val="16"/>
                <w:szCs w:val="16"/>
                <w:u w:val="none"/>
              </w:rPr>
              <w:t>des jeunes scientifiques et spécialistes de la recherche appliquée intitulée</w:t>
            </w:r>
            <w:r w:rsidRPr="008879D1">
              <w:rPr>
                <w:rStyle w:val="Hyperlink"/>
                <w:rFonts w:cs="Arial"/>
                <w:color w:val="auto"/>
                <w:sz w:val="16"/>
                <w:szCs w:val="16"/>
                <w:u w:val="none"/>
              </w:rPr>
              <w:t xml:space="preserve"> “Sélection, génétique et technologies pour </w:t>
            </w:r>
            <w:r w:rsidRPr="008879D1">
              <w:rPr>
                <w:rStyle w:val="Hyperlink"/>
                <w:rFonts w:cs="Arial"/>
                <w:color w:val="000000"/>
                <w:sz w:val="16"/>
                <w:szCs w:val="16"/>
                <w:u w:val="none"/>
              </w:rPr>
              <w:t xml:space="preserve">la </w:t>
            </w:r>
            <w:r w:rsidRPr="008879D1">
              <w:rPr>
                <w:rStyle w:val="Hyperlink"/>
                <w:rFonts w:cs="Arial"/>
                <w:color w:val="auto"/>
                <w:sz w:val="16"/>
                <w:szCs w:val="16"/>
                <w:u w:val="none"/>
              </w:rPr>
              <w:t>culture de</w:t>
            </w:r>
            <w:r w:rsidRPr="008879D1">
              <w:rPr>
                <w:rStyle w:val="Hyperlink"/>
                <w:rFonts w:cs="Arial"/>
                <w:color w:val="000000"/>
                <w:sz w:val="16"/>
                <w:szCs w:val="16"/>
                <w:u w:val="none"/>
              </w:rPr>
              <w:t>s plantes”</w:t>
            </w:r>
            <w:r w:rsidRPr="008879D1">
              <w:rPr>
                <w:rStyle w:val="Hyperlink"/>
                <w:rFonts w:cs="Arial"/>
                <w:color w:val="auto"/>
                <w:sz w:val="16"/>
                <w:szCs w:val="16"/>
                <w:u w:val="none"/>
              </w:rPr>
              <w:t> </w:t>
            </w:r>
            <w:hyperlink r:id="rId46" w:history="1">
              <w:r w:rsidRPr="008879D1">
                <w:rPr>
                  <w:rStyle w:val="Hyperlink"/>
                  <w:rFonts w:cs="Arial"/>
                  <w:sz w:val="16"/>
                  <w:szCs w:val="16"/>
                  <w:lang w:val="fr-CH"/>
                </w:rPr>
                <w:t>https://sops.gov.ua/uploads/page/5ea14c5ce8a3e.pdf</w:t>
              </w:r>
            </w:hyperlink>
          </w:p>
        </w:tc>
        <w:tc>
          <w:tcPr>
            <w:tcW w:w="1134"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24.04.2020</w:t>
            </w:r>
          </w:p>
        </w:tc>
        <w:tc>
          <w:tcPr>
            <w:tcW w:w="127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 xml:space="preserve">village </w:t>
            </w:r>
            <w:proofErr w:type="spellStart"/>
            <w:r w:rsidRPr="008879D1">
              <w:rPr>
                <w:rFonts w:cs="Arial"/>
                <w:sz w:val="16"/>
                <w:szCs w:val="16"/>
              </w:rPr>
              <w:t>Centralne</w:t>
            </w:r>
            <w:proofErr w:type="spellEnd"/>
            <w:r w:rsidRPr="008879D1">
              <w:rPr>
                <w:rFonts w:cs="Arial"/>
                <w:sz w:val="16"/>
                <w:szCs w:val="16"/>
              </w:rPr>
              <w:t>, région de Kiev</w:t>
            </w:r>
          </w:p>
        </w:tc>
        <w:tc>
          <w:tcPr>
            <w:tcW w:w="2977"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proofErr w:type="spellStart"/>
            <w:r w:rsidRPr="008879D1">
              <w:rPr>
                <w:rFonts w:cs="Arial"/>
                <w:sz w:val="16"/>
                <w:szCs w:val="16"/>
              </w:rPr>
              <w:t>V.M.Remeslo</w:t>
            </w:r>
            <w:proofErr w:type="spellEnd"/>
            <w:r w:rsidRPr="008879D1">
              <w:rPr>
                <w:rFonts w:cs="Arial"/>
                <w:sz w:val="16"/>
                <w:szCs w:val="16"/>
              </w:rPr>
              <w:t xml:space="preserve"> Institut du blé de </w:t>
            </w:r>
            <w:proofErr w:type="spellStart"/>
            <w:r w:rsidRPr="008879D1">
              <w:rPr>
                <w:rFonts w:cs="Arial"/>
                <w:sz w:val="16"/>
                <w:szCs w:val="16"/>
              </w:rPr>
              <w:t>Myronivka</w:t>
            </w:r>
            <w:proofErr w:type="spellEnd"/>
            <w:r w:rsidRPr="008879D1">
              <w:rPr>
                <w:rFonts w:cs="Arial"/>
                <w:sz w:val="16"/>
                <w:szCs w:val="16"/>
              </w:rPr>
              <w:t>,</w:t>
            </w:r>
          </w:p>
          <w:p w:rsidR="008879D1" w:rsidRPr="008879D1" w:rsidRDefault="008879D1" w:rsidP="00AA577D">
            <w:pPr>
              <w:jc w:val="left"/>
              <w:rPr>
                <w:rFonts w:cs="Arial"/>
                <w:sz w:val="16"/>
                <w:szCs w:val="16"/>
              </w:rPr>
            </w:pPr>
            <w:r w:rsidRPr="008879D1">
              <w:rPr>
                <w:rFonts w:cs="Arial"/>
                <w:sz w:val="16"/>
                <w:szCs w:val="16"/>
              </w:rPr>
              <w:t>Académie nationale des sciences agricoles de l’Ukraine;</w:t>
            </w:r>
          </w:p>
          <w:p w:rsidR="008879D1" w:rsidRPr="008879D1" w:rsidRDefault="008879D1" w:rsidP="00AA577D">
            <w:pPr>
              <w:jc w:val="left"/>
              <w:rPr>
                <w:rFonts w:cs="Arial"/>
                <w:sz w:val="16"/>
                <w:szCs w:val="16"/>
              </w:rPr>
            </w:pPr>
            <w:r w:rsidRPr="008879D1">
              <w:rPr>
                <w:rFonts w:cs="Arial"/>
                <w:sz w:val="16"/>
                <w:szCs w:val="16"/>
              </w:rPr>
              <w:t>Institut ukrainien chargé de l’examen des obtentions végétales</w:t>
            </w:r>
          </w:p>
        </w:tc>
        <w:tc>
          <w:tcPr>
            <w:tcW w:w="2976"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Définition des tendances modernes en matière de recherche agricole et d’évaluation des variétés végétales</w:t>
            </w:r>
          </w:p>
        </w:tc>
        <w:tc>
          <w:tcPr>
            <w:tcW w:w="2269"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 xml:space="preserve">Ukraine, </w:t>
            </w:r>
            <w:proofErr w:type="spellStart"/>
            <w:r w:rsidRPr="008879D1">
              <w:rPr>
                <w:rFonts w:cs="Arial"/>
                <w:sz w:val="16"/>
                <w:szCs w:val="16"/>
              </w:rPr>
              <w:t>Bélarus</w:t>
            </w:r>
            <w:proofErr w:type="spellEnd"/>
            <w:r w:rsidRPr="008879D1">
              <w:rPr>
                <w:rFonts w:cs="Arial"/>
                <w:sz w:val="16"/>
                <w:szCs w:val="16"/>
              </w:rPr>
              <w:t>, Moldova, Azerbaïdjan (162 participants)</w:t>
            </w:r>
          </w:p>
        </w:tc>
        <w:tc>
          <w:tcPr>
            <w:tcW w:w="1417" w:type="dxa"/>
            <w:shd w:val="clear" w:color="auto" w:fill="auto"/>
            <w:tcMar>
              <w:top w:w="28" w:type="dxa"/>
              <w:left w:w="28" w:type="dxa"/>
              <w:bottom w:w="28" w:type="dxa"/>
              <w:right w:w="28" w:type="dxa"/>
            </w:tcMar>
            <w:hideMark/>
          </w:tcPr>
          <w:p w:rsidR="008879D1" w:rsidRPr="008879D1" w:rsidRDefault="008879D1" w:rsidP="00AA577D">
            <w:pPr>
              <w:jc w:val="left"/>
              <w:rPr>
                <w:rFonts w:cs="Arial"/>
                <w:sz w:val="16"/>
                <w:szCs w:val="16"/>
              </w:rPr>
            </w:pPr>
            <w:r w:rsidRPr="008879D1">
              <w:rPr>
                <w:rFonts w:cs="Arial"/>
                <w:sz w:val="16"/>
                <w:szCs w:val="16"/>
              </w:rPr>
              <w:t>Les documents de la conférence ont été publiés.</w:t>
            </w:r>
          </w:p>
        </w:tc>
      </w:tr>
      <w:tr w:rsidR="008879D1" w:rsidRPr="007C1107" w:rsidTr="008879D1">
        <w:tc>
          <w:tcPr>
            <w:tcW w:w="3006"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color w:val="000000"/>
                <w:sz w:val="16"/>
                <w:szCs w:val="16"/>
              </w:rPr>
              <w:t>Première</w:t>
            </w:r>
            <w:r w:rsidRPr="008879D1">
              <w:rPr>
                <w:rFonts w:cs="Arial"/>
                <w:sz w:val="16"/>
                <w:szCs w:val="16"/>
              </w:rPr>
              <w:t xml:space="preserve"> Conférence internationale sur les sciences appliquées “Les nouvelles </w:t>
            </w:r>
            <w:proofErr w:type="spellStart"/>
            <w:r w:rsidRPr="008879D1">
              <w:rPr>
                <w:rFonts w:cs="Arial"/>
                <w:sz w:val="16"/>
                <w:szCs w:val="16"/>
              </w:rPr>
              <w:t>agrotechnologies</w:t>
            </w:r>
            <w:proofErr w:type="spellEnd"/>
            <w:r w:rsidRPr="008879D1">
              <w:rPr>
                <w:rFonts w:cs="Arial"/>
                <w:sz w:val="16"/>
                <w:szCs w:val="16"/>
              </w:rPr>
              <w:t>”.</w:t>
            </w:r>
          </w:p>
          <w:p w:rsidR="008879D1" w:rsidRPr="008879D1" w:rsidRDefault="008879D1" w:rsidP="00AA577D">
            <w:pPr>
              <w:jc w:val="left"/>
              <w:rPr>
                <w:rFonts w:cs="Arial"/>
                <w:sz w:val="16"/>
                <w:szCs w:val="16"/>
              </w:rPr>
            </w:pPr>
          </w:p>
          <w:p w:rsidR="008879D1" w:rsidRPr="008879D1" w:rsidRDefault="008879D1" w:rsidP="00AA577D">
            <w:pPr>
              <w:jc w:val="left"/>
              <w:rPr>
                <w:rStyle w:val="Hyperlink"/>
                <w:rFonts w:cs="Arial"/>
                <w:spacing w:val="-4"/>
                <w:sz w:val="16"/>
                <w:szCs w:val="16"/>
              </w:rPr>
            </w:pPr>
            <w:hyperlink r:id="rId47" w:history="1">
              <w:r w:rsidRPr="008879D1">
                <w:rPr>
                  <w:rStyle w:val="Hyperlink"/>
                  <w:rFonts w:cs="Arial"/>
                  <w:spacing w:val="-4"/>
                  <w:sz w:val="16"/>
                  <w:szCs w:val="16"/>
                </w:rPr>
                <w:t>https://conference.ukragroexpert.com.ua</w:t>
              </w:r>
            </w:hyperlink>
          </w:p>
          <w:p w:rsidR="008879D1" w:rsidRPr="008879D1" w:rsidRDefault="008879D1" w:rsidP="00AA577D">
            <w:pPr>
              <w:jc w:val="left"/>
              <w:rPr>
                <w:rFonts w:cs="Arial"/>
                <w:sz w:val="16"/>
                <w:szCs w:val="16"/>
              </w:rPr>
            </w:pPr>
          </w:p>
          <w:p w:rsidR="008879D1" w:rsidRPr="008879D1" w:rsidRDefault="008879D1" w:rsidP="00AA577D">
            <w:pPr>
              <w:jc w:val="left"/>
              <w:rPr>
                <w:rStyle w:val="Hyperlink"/>
                <w:rFonts w:cs="Arial"/>
                <w:sz w:val="16"/>
                <w:szCs w:val="16"/>
              </w:rPr>
            </w:pPr>
            <w:hyperlink r:id="rId48" w:history="1">
              <w:r w:rsidRPr="008879D1">
                <w:rPr>
                  <w:rStyle w:val="Hyperlink"/>
                  <w:rFonts w:cs="Arial"/>
                  <w:sz w:val="16"/>
                  <w:szCs w:val="16"/>
                </w:rPr>
                <w:t>https://conference-ua.ukragroexpert.com.ua/wp-content/uploads/2020/09/%D0%97%D0%B1%D1%96%D1%80%D0%BD%D0%B8%D0%BA.pdf</w:t>
              </w:r>
            </w:hyperlink>
          </w:p>
        </w:tc>
        <w:tc>
          <w:tcPr>
            <w:tcW w:w="1134"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10.09.2020</w:t>
            </w:r>
          </w:p>
        </w:tc>
        <w:tc>
          <w:tcPr>
            <w:tcW w:w="1276"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Kiev</w:t>
            </w:r>
          </w:p>
        </w:tc>
        <w:tc>
          <w:tcPr>
            <w:tcW w:w="2977"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Institut ukrainien chargé de l’examen des obtentions végétales (Ukraine);  Université nationale des sciences de la vie et de l’environnement de l’Ukraine (Ukraine);</w:t>
            </w:r>
          </w:p>
          <w:p w:rsidR="008879D1" w:rsidRPr="008879D1" w:rsidRDefault="008879D1" w:rsidP="00AA577D">
            <w:pPr>
              <w:jc w:val="left"/>
              <w:rPr>
                <w:rFonts w:cs="Arial"/>
                <w:sz w:val="16"/>
                <w:szCs w:val="16"/>
              </w:rPr>
            </w:pPr>
            <w:r w:rsidRPr="008879D1">
              <w:rPr>
                <w:rFonts w:cs="Arial"/>
                <w:sz w:val="16"/>
                <w:szCs w:val="16"/>
              </w:rPr>
              <w:t xml:space="preserve">Institut des cultures bioénergétiques et de la betterave sucrière de l’Académie nationale des sciences agricoles (Ukraine);  Université agraire nationale de Bila </w:t>
            </w:r>
            <w:proofErr w:type="spellStart"/>
            <w:r w:rsidRPr="008879D1">
              <w:rPr>
                <w:rFonts w:cs="Arial"/>
                <w:sz w:val="16"/>
                <w:szCs w:val="16"/>
              </w:rPr>
              <w:t>Tserkva</w:t>
            </w:r>
            <w:proofErr w:type="spellEnd"/>
            <w:r w:rsidRPr="008879D1">
              <w:rPr>
                <w:rFonts w:cs="Arial"/>
                <w:sz w:val="16"/>
                <w:szCs w:val="16"/>
              </w:rPr>
              <w:t xml:space="preserve"> (Ukraine);</w:t>
            </w:r>
          </w:p>
          <w:p w:rsidR="008879D1" w:rsidRPr="008879D1" w:rsidRDefault="008879D1" w:rsidP="00AA577D">
            <w:pPr>
              <w:jc w:val="left"/>
              <w:rPr>
                <w:rFonts w:cs="Arial"/>
                <w:sz w:val="16"/>
                <w:szCs w:val="16"/>
              </w:rPr>
            </w:pPr>
            <w:r w:rsidRPr="008879D1">
              <w:rPr>
                <w:rFonts w:cs="Arial"/>
                <w:sz w:val="16"/>
                <w:szCs w:val="16"/>
              </w:rPr>
              <w:t xml:space="preserve">Institut de physiologie végétale et de </w:t>
            </w:r>
            <w:proofErr w:type="spellStart"/>
            <w:r w:rsidRPr="008879D1">
              <w:rPr>
                <w:rFonts w:cs="Arial"/>
                <w:sz w:val="16"/>
                <w:szCs w:val="16"/>
              </w:rPr>
              <w:t>phytogénétique</w:t>
            </w:r>
            <w:proofErr w:type="spellEnd"/>
            <w:r w:rsidRPr="008879D1">
              <w:rPr>
                <w:rFonts w:cs="Arial"/>
                <w:sz w:val="16"/>
                <w:szCs w:val="16"/>
              </w:rPr>
              <w:t>, Académie nationale des sciences (Ukraine);  Institut national de la recherche agronomique (Ukraine);  Université de Sarajevo Est (Bosnie-et-Herzégovine)</w:t>
            </w:r>
          </w:p>
        </w:tc>
        <w:tc>
          <w:tcPr>
            <w:tcW w:w="2976"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Établissement et approfondissement de liens scientifiques, échange de données d’expérience et diffusion de connaissances sur l’importance de l’approche scientifique dans l’agriculture, et recherche de solutions aux tâches pratiques et théoriques dans le secteur agricole et l’examen des obtentions végétales</w:t>
            </w:r>
          </w:p>
        </w:tc>
        <w:tc>
          <w:tcPr>
            <w:tcW w:w="2269"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Ukraine, Hongrie (32 participants)</w:t>
            </w:r>
          </w:p>
        </w:tc>
        <w:tc>
          <w:tcPr>
            <w:tcW w:w="1417"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Les documents de la conférence ont été publiés.</w:t>
            </w:r>
          </w:p>
        </w:tc>
      </w:tr>
      <w:tr w:rsidR="008879D1" w:rsidRPr="007C1107" w:rsidTr="008879D1">
        <w:tc>
          <w:tcPr>
            <w:tcW w:w="3006"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lastRenderedPageBreak/>
              <w:t>IV</w:t>
            </w:r>
            <w:r w:rsidRPr="008879D1">
              <w:rPr>
                <w:rFonts w:cs="Arial"/>
                <w:sz w:val="16"/>
                <w:szCs w:val="16"/>
                <w:vertAlign w:val="superscript"/>
              </w:rPr>
              <w:t>e</w:t>
            </w:r>
            <w:r w:rsidRPr="008879D1">
              <w:rPr>
                <w:rFonts w:cs="Arial"/>
                <w:sz w:val="16"/>
                <w:szCs w:val="16"/>
              </w:rPr>
              <w:t> Conférence Internet des jeunes scientifiques intitulée “Génétique et sélection des plantes agricoles – de la molécule à la variété”</w:t>
            </w:r>
          </w:p>
          <w:p w:rsidR="008879D1" w:rsidRPr="008879D1" w:rsidRDefault="008879D1" w:rsidP="00AA577D">
            <w:pPr>
              <w:jc w:val="left"/>
              <w:rPr>
                <w:rStyle w:val="Hyperlink"/>
                <w:rFonts w:cs="Arial"/>
                <w:sz w:val="16"/>
                <w:szCs w:val="16"/>
              </w:rPr>
            </w:pPr>
            <w:hyperlink r:id="rId49" w:history="1">
              <w:r w:rsidRPr="008879D1">
                <w:rPr>
                  <w:rStyle w:val="Hyperlink"/>
                  <w:rFonts w:cs="Arial"/>
                  <w:sz w:val="16"/>
                  <w:szCs w:val="16"/>
                </w:rPr>
                <w:t>https://sops.gov.ua/uploads/page/5f634fd4031cc.pdf</w:t>
              </w:r>
            </w:hyperlink>
          </w:p>
        </w:tc>
        <w:tc>
          <w:tcPr>
            <w:tcW w:w="1134"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18.09.2020</w:t>
            </w:r>
          </w:p>
        </w:tc>
        <w:tc>
          <w:tcPr>
            <w:tcW w:w="1276"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Kiev, Odessa</w:t>
            </w:r>
          </w:p>
        </w:tc>
        <w:tc>
          <w:tcPr>
            <w:tcW w:w="2977"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Institut ukrainien chargé de l’examen des obtentions végétales</w:t>
            </w:r>
          </w:p>
          <w:p w:rsidR="008879D1" w:rsidRPr="008879D1" w:rsidRDefault="008879D1" w:rsidP="00AA577D">
            <w:pPr>
              <w:jc w:val="left"/>
              <w:rPr>
                <w:rFonts w:cs="Arial"/>
                <w:sz w:val="16"/>
                <w:szCs w:val="16"/>
              </w:rPr>
            </w:pPr>
            <w:r w:rsidRPr="008879D1">
              <w:rPr>
                <w:rFonts w:cs="Arial"/>
                <w:sz w:val="16"/>
                <w:szCs w:val="16"/>
              </w:rPr>
              <w:t xml:space="preserve">Institut de sélection végétale et de </w:t>
            </w:r>
            <w:proofErr w:type="spellStart"/>
            <w:r w:rsidRPr="008879D1">
              <w:rPr>
                <w:rFonts w:cs="Arial"/>
                <w:sz w:val="16"/>
                <w:szCs w:val="16"/>
              </w:rPr>
              <w:t>phytogénétique</w:t>
            </w:r>
            <w:proofErr w:type="spellEnd"/>
            <w:r w:rsidRPr="008879D1">
              <w:rPr>
                <w:rFonts w:cs="Arial"/>
                <w:sz w:val="16"/>
                <w:szCs w:val="16"/>
              </w:rPr>
              <w:t xml:space="preserve"> – Centre national pour l’étude des semences et des cultivars de l’Académie nationale des sciences agricoles (NAAS)</w:t>
            </w:r>
          </w:p>
        </w:tc>
        <w:tc>
          <w:tcPr>
            <w:tcW w:w="2976"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Application des méthodes modernes de biotechnologie et de génétique dans l’agriculture et l’examen des variétés</w:t>
            </w:r>
          </w:p>
        </w:tc>
        <w:tc>
          <w:tcPr>
            <w:tcW w:w="2269"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Ukraine</w:t>
            </w:r>
          </w:p>
          <w:p w:rsidR="008879D1" w:rsidRPr="008879D1" w:rsidRDefault="008879D1" w:rsidP="00AA577D">
            <w:pPr>
              <w:jc w:val="left"/>
              <w:rPr>
                <w:rFonts w:cs="Arial"/>
                <w:sz w:val="16"/>
                <w:szCs w:val="16"/>
              </w:rPr>
            </w:pPr>
            <w:r w:rsidRPr="008879D1">
              <w:rPr>
                <w:rFonts w:cs="Arial"/>
                <w:sz w:val="16"/>
                <w:szCs w:val="16"/>
              </w:rPr>
              <w:t>(34 participants)</w:t>
            </w:r>
          </w:p>
        </w:tc>
        <w:tc>
          <w:tcPr>
            <w:tcW w:w="1417" w:type="dxa"/>
            <w:shd w:val="clear" w:color="auto" w:fill="auto"/>
            <w:tcMar>
              <w:top w:w="28" w:type="dxa"/>
              <w:left w:w="28" w:type="dxa"/>
              <w:bottom w:w="28" w:type="dxa"/>
              <w:right w:w="28" w:type="dxa"/>
            </w:tcMar>
          </w:tcPr>
          <w:p w:rsidR="008879D1" w:rsidRPr="008879D1" w:rsidRDefault="008879D1" w:rsidP="00AA577D">
            <w:pPr>
              <w:jc w:val="left"/>
              <w:rPr>
                <w:rFonts w:cs="Arial"/>
                <w:sz w:val="16"/>
                <w:szCs w:val="16"/>
              </w:rPr>
            </w:pPr>
            <w:r w:rsidRPr="008879D1">
              <w:rPr>
                <w:rFonts w:cs="Arial"/>
                <w:sz w:val="16"/>
                <w:szCs w:val="16"/>
              </w:rPr>
              <w:t>Les documents de la conférence ont été publiés.</w:t>
            </w:r>
          </w:p>
        </w:tc>
      </w:tr>
    </w:tbl>
    <w:p w:rsidR="00EB57D6" w:rsidRPr="00EB57D6" w:rsidRDefault="00EB57D6" w:rsidP="00EB57D6">
      <w:pPr>
        <w:rPr>
          <w:sz w:val="18"/>
        </w:rPr>
      </w:pPr>
    </w:p>
    <w:p w:rsidR="00845D57" w:rsidRDefault="00845D57" w:rsidP="00845D57">
      <w:pPr>
        <w:jc w:val="left"/>
      </w:pPr>
    </w:p>
    <w:p w:rsidR="00EB57D6" w:rsidRPr="00EB57D6" w:rsidRDefault="00EB57D6" w:rsidP="00845D57">
      <w:pPr>
        <w:jc w:val="left"/>
      </w:pPr>
    </w:p>
    <w:p w:rsidR="00EB57D6" w:rsidRPr="00EB57D6" w:rsidRDefault="00EB57D6" w:rsidP="00845D57">
      <w:pPr>
        <w:jc w:val="left"/>
        <w:sectPr w:rsidR="00EB57D6" w:rsidRPr="00EB57D6" w:rsidSect="008879D1">
          <w:pgSz w:w="16840" w:h="11907" w:orient="landscape" w:code="9"/>
          <w:pgMar w:top="510" w:right="1134" w:bottom="993" w:left="1134" w:header="510" w:footer="680" w:gutter="0"/>
          <w:cols w:space="720"/>
          <w:docGrid w:linePitch="272"/>
        </w:sectPr>
      </w:pPr>
    </w:p>
    <w:p w:rsidR="00D36011" w:rsidRPr="00BE70A2" w:rsidRDefault="00D36011" w:rsidP="00D36011">
      <w:pPr>
        <w:rPr>
          <w:sz w:val="18"/>
          <w:lang w:val="fr-CH"/>
        </w:rPr>
      </w:pPr>
      <w:r w:rsidRPr="00743BEC">
        <w:rPr>
          <w:lang w:val="fr-CH"/>
        </w:rPr>
        <w:lastRenderedPageBreak/>
        <w:t xml:space="preserve">II. </w:t>
      </w:r>
      <w:r>
        <w:rPr>
          <w:lang w:val="fr-CH"/>
        </w:rPr>
        <w:tab/>
      </w:r>
      <w:r w:rsidRPr="00743BEC">
        <w:rPr>
          <w:lang w:val="fr-CH"/>
        </w:rPr>
        <w:t>DOMAINES D</w:t>
      </w:r>
      <w:r>
        <w:rPr>
          <w:lang w:val="fr-CH"/>
        </w:rPr>
        <w:t>’</w:t>
      </w:r>
      <w:r w:rsidRPr="00743BEC">
        <w:rPr>
          <w:lang w:val="fr-CH"/>
        </w:rPr>
        <w:t>ACTIVITÉ CONNEXES PRÉSENTANT UN INTÉRÊT POUR L</w:t>
      </w:r>
      <w:r>
        <w:rPr>
          <w:lang w:val="fr-CH"/>
        </w:rPr>
        <w:t>’</w:t>
      </w:r>
      <w:r w:rsidRPr="00743BEC">
        <w:rPr>
          <w:lang w:val="fr-CH"/>
        </w:rPr>
        <w:t>UPOV</w:t>
      </w:r>
    </w:p>
    <w:p w:rsidR="00D36011" w:rsidRPr="00BE70A2" w:rsidRDefault="00D36011" w:rsidP="00D36011">
      <w:pPr>
        <w:rPr>
          <w:sz w:val="18"/>
          <w:lang w:val="fr-CH"/>
        </w:rPr>
      </w:pPr>
    </w:p>
    <w:p w:rsidR="00A16AE0" w:rsidRPr="00C46339" w:rsidRDefault="00A16AE0" w:rsidP="00A16AE0">
      <w:r w:rsidRPr="00C46339">
        <w:t xml:space="preserve">Les données statistiques relatives à la protection des obtentions végétales en Ukraine pour les années 2001 à 2020 ont été envoyées par courrier électronique à l’adresse </w:t>
      </w:r>
      <w:hyperlink r:id="rId50">
        <w:r w:rsidRPr="00C46339">
          <w:rPr>
            <w:rStyle w:val="Hyperlink"/>
            <w:rFonts w:cs="Arial"/>
          </w:rPr>
          <w:t>upov.mail@upov.int</w:t>
        </w:r>
      </w:hyperlink>
      <w:r w:rsidRPr="00C46339">
        <w:t>.</w:t>
      </w:r>
    </w:p>
    <w:p w:rsidR="00D36011" w:rsidRPr="00EB57D6" w:rsidRDefault="00D36011" w:rsidP="00D36011">
      <w:pPr>
        <w:jc w:val="left"/>
      </w:pPr>
    </w:p>
    <w:p w:rsidR="00EB57D6" w:rsidRDefault="00EB57D6" w:rsidP="00845D57">
      <w:pPr>
        <w:jc w:val="left"/>
      </w:pPr>
    </w:p>
    <w:p w:rsidR="00D36011" w:rsidRPr="00EB57D6" w:rsidRDefault="00D36011" w:rsidP="00845D57">
      <w:pPr>
        <w:jc w:val="left"/>
      </w:pPr>
    </w:p>
    <w:p w:rsidR="00845D57" w:rsidRPr="00EB57D6" w:rsidRDefault="00845D57" w:rsidP="00845D57">
      <w:pPr>
        <w:jc w:val="right"/>
      </w:pPr>
      <w:r w:rsidRPr="00EB57D6">
        <w:t>[L’annexe XVI suit]</w:t>
      </w:r>
    </w:p>
    <w:p w:rsidR="00845D57" w:rsidRPr="00EB57D6" w:rsidRDefault="00845D57" w:rsidP="00845D57"/>
    <w:p w:rsidR="00845D57" w:rsidRPr="00EB57D6" w:rsidRDefault="00845D57" w:rsidP="00845D57">
      <w:pPr>
        <w:jc w:val="left"/>
        <w:sectPr w:rsidR="00845D57" w:rsidRPr="00EB57D6" w:rsidSect="00EB57D6">
          <w:pgSz w:w="11907" w:h="16840" w:code="9"/>
          <w:pgMar w:top="510" w:right="1134" w:bottom="1134" w:left="1134" w:header="510" w:footer="680" w:gutter="0"/>
          <w:cols w:space="720"/>
          <w:docGrid w:linePitch="272"/>
        </w:sectPr>
      </w:pPr>
    </w:p>
    <w:p w:rsidR="00845D57" w:rsidRPr="00EB57D6" w:rsidRDefault="007B4801" w:rsidP="00845D57">
      <w:pPr>
        <w:jc w:val="center"/>
      </w:pPr>
      <w:r>
        <w:lastRenderedPageBreak/>
        <w:t>C/55/INF/4</w:t>
      </w:r>
    </w:p>
    <w:p w:rsidR="00845D57" w:rsidRPr="00EB57D6" w:rsidRDefault="00845D57" w:rsidP="00845D57">
      <w:pPr>
        <w:jc w:val="center"/>
      </w:pPr>
    </w:p>
    <w:p w:rsidR="00845D57" w:rsidRPr="00EB57D6" w:rsidRDefault="007B4801" w:rsidP="00845D57">
      <w:pPr>
        <w:jc w:val="center"/>
      </w:pPr>
      <w:r>
        <w:t>ANNEXE XVI</w:t>
      </w:r>
    </w:p>
    <w:p w:rsidR="00845D57" w:rsidRPr="00EB57D6" w:rsidRDefault="00845D57" w:rsidP="00845D57">
      <w:pPr>
        <w:jc w:val="center"/>
      </w:pPr>
    </w:p>
    <w:p w:rsidR="00845D57" w:rsidRPr="00EB57D6" w:rsidRDefault="00845D57" w:rsidP="00845D57">
      <w:pPr>
        <w:jc w:val="center"/>
      </w:pPr>
    </w:p>
    <w:p w:rsidR="006C5CF8" w:rsidRPr="00BE70A2" w:rsidRDefault="006C5CF8" w:rsidP="006C5CF8">
      <w:pPr>
        <w:jc w:val="center"/>
        <w:rPr>
          <w:sz w:val="18"/>
          <w:lang w:val="fr-CH"/>
        </w:rPr>
      </w:pPr>
      <w:r w:rsidRPr="00743BEC">
        <w:rPr>
          <w:lang w:val="fr-CH"/>
        </w:rPr>
        <w:t>UNION EUROPÉENNE</w:t>
      </w:r>
      <w:r w:rsidRPr="00743BEC">
        <w:rPr>
          <w:rStyle w:val="EndnoteReference"/>
        </w:rPr>
        <w:endnoteReference w:id="2"/>
      </w:r>
    </w:p>
    <w:p w:rsidR="00276ED8" w:rsidRPr="00081E64" w:rsidRDefault="00276ED8" w:rsidP="00276ED8">
      <w:pPr>
        <w:shd w:val="clear" w:color="auto" w:fill="FFFFFF"/>
        <w:ind w:left="1134" w:right="1134"/>
        <w:contextualSpacing/>
        <w:jc w:val="center"/>
        <w:rPr>
          <w:rFonts w:cs="Arial"/>
          <w:lang w:val="fr-CH"/>
        </w:rPr>
      </w:pPr>
      <w:r w:rsidRPr="00081E64">
        <w:rPr>
          <w:rFonts w:cs="Arial"/>
          <w:lang w:val="fr-CH"/>
        </w:rPr>
        <w:t>Période</w:t>
      </w:r>
      <w:r>
        <w:rPr>
          <w:rFonts w:cs="Arial"/>
          <w:lang w:val="fr-CH"/>
        </w:rPr>
        <w:t> :</w:t>
      </w:r>
      <w:r w:rsidRPr="00081E64">
        <w:rPr>
          <w:rFonts w:cs="Arial"/>
          <w:lang w:val="fr-CH"/>
        </w:rPr>
        <w:t xml:space="preserve"> juillet 2020 – juillet 2021</w:t>
      </w:r>
    </w:p>
    <w:p w:rsidR="00276ED8" w:rsidRPr="00081E64" w:rsidRDefault="00276ED8" w:rsidP="00276ED8">
      <w:pPr>
        <w:shd w:val="clear" w:color="auto" w:fill="FFFFFF"/>
        <w:contextualSpacing/>
        <w:jc w:val="center"/>
        <w:rPr>
          <w:rFonts w:cs="Arial"/>
          <w:lang w:val="fr-CH"/>
        </w:rPr>
      </w:pPr>
    </w:p>
    <w:p w:rsidR="00276ED8" w:rsidRPr="00081E64" w:rsidRDefault="00276ED8" w:rsidP="00276ED8">
      <w:pPr>
        <w:shd w:val="clear" w:color="auto" w:fill="FFFFFF"/>
        <w:contextualSpacing/>
        <w:jc w:val="center"/>
        <w:rPr>
          <w:rFonts w:cs="Arial"/>
        </w:rPr>
      </w:pPr>
      <w:r w:rsidRPr="00081E64">
        <w:rPr>
          <w:rFonts w:cs="Arial"/>
        </w:rPr>
        <w:t xml:space="preserve">(Rapport établi par la Commission européenne en étroite collaboration avec </w:t>
      </w:r>
      <w:r>
        <w:rPr>
          <w:rFonts w:cs="Arial"/>
        </w:rPr>
        <w:br/>
      </w:r>
      <w:r w:rsidRPr="00081E64">
        <w:rPr>
          <w:rFonts w:cs="Arial"/>
        </w:rPr>
        <w:t>l</w:t>
      </w:r>
      <w:r>
        <w:rPr>
          <w:rFonts w:cs="Arial"/>
        </w:rPr>
        <w:t>’</w:t>
      </w:r>
      <w:r w:rsidRPr="00081E64">
        <w:rPr>
          <w:rFonts w:cs="Arial"/>
        </w:rPr>
        <w:t>Office communautaire des variétés végétales)</w:t>
      </w:r>
    </w:p>
    <w:p w:rsidR="00276ED8" w:rsidRPr="00081E64" w:rsidRDefault="00276ED8" w:rsidP="00276ED8">
      <w:pPr>
        <w:shd w:val="clear" w:color="auto" w:fill="FFFFFF"/>
        <w:contextualSpacing/>
        <w:jc w:val="center"/>
        <w:rPr>
          <w:rFonts w:cs="Arial"/>
        </w:rPr>
      </w:pPr>
    </w:p>
    <w:p w:rsidR="00276ED8" w:rsidRPr="00081E64" w:rsidRDefault="00276ED8" w:rsidP="00276ED8">
      <w:pPr>
        <w:shd w:val="clear" w:color="auto" w:fill="FFFFFF"/>
        <w:contextualSpacing/>
        <w:jc w:val="center"/>
        <w:rPr>
          <w:rFonts w:cs="Arial"/>
        </w:rPr>
      </w:pPr>
    </w:p>
    <w:p w:rsidR="00276ED8" w:rsidRPr="00081E64" w:rsidRDefault="00276ED8" w:rsidP="00276ED8">
      <w:r w:rsidRPr="00081E64">
        <w:t>PROTECTION DES OBTENTIONS VÉGÉTALES</w:t>
      </w:r>
    </w:p>
    <w:p w:rsidR="00276ED8" w:rsidRPr="00081E64" w:rsidRDefault="00276ED8" w:rsidP="00276ED8">
      <w:pPr>
        <w:rPr>
          <w:rFonts w:cs="Arial"/>
        </w:rPr>
      </w:pPr>
    </w:p>
    <w:p w:rsidR="00276ED8" w:rsidRPr="00081E64" w:rsidRDefault="00276ED8" w:rsidP="00276ED8">
      <w:pPr>
        <w:rPr>
          <w:rFonts w:cs="Arial"/>
        </w:rPr>
      </w:pPr>
      <w:r w:rsidRPr="00081E64">
        <w:rPr>
          <w:rFonts w:cs="Arial"/>
        </w:rPr>
        <w:t>1)</w:t>
      </w:r>
      <w:r w:rsidRPr="00081E64">
        <w:rPr>
          <w:rFonts w:cs="Arial"/>
        </w:rPr>
        <w:tab/>
      </w:r>
      <w:r w:rsidRPr="00081E64">
        <w:rPr>
          <w:rFonts w:cs="Arial"/>
          <w:u w:val="single"/>
        </w:rPr>
        <w:t>Législation</w:t>
      </w:r>
    </w:p>
    <w:p w:rsidR="00276ED8" w:rsidRPr="00081E64" w:rsidRDefault="00276ED8" w:rsidP="00276ED8">
      <w:pPr>
        <w:rPr>
          <w:rFonts w:cs="Arial"/>
        </w:rPr>
      </w:pPr>
    </w:p>
    <w:p w:rsidR="00276ED8" w:rsidRPr="00081E64" w:rsidRDefault="00276ED8" w:rsidP="00276ED8">
      <w:pPr>
        <w:rPr>
          <w:rFonts w:cs="Arial"/>
          <w:u w:val="single"/>
        </w:rPr>
      </w:pPr>
      <w:r w:rsidRPr="00081E64">
        <w:rPr>
          <w:rFonts w:cs="Arial"/>
          <w:u w:val="single"/>
        </w:rPr>
        <w:t>1.0 Informations générales</w:t>
      </w:r>
      <w:r>
        <w:rPr>
          <w:rFonts w:cs="Arial"/>
        </w:rPr>
        <w:t> :</w:t>
      </w:r>
    </w:p>
    <w:p w:rsidR="00276ED8" w:rsidRPr="00081E64" w:rsidRDefault="00276ED8" w:rsidP="00276ED8">
      <w:pPr>
        <w:contextualSpacing/>
        <w:rPr>
          <w:rFonts w:cs="Arial"/>
        </w:rPr>
      </w:pPr>
    </w:p>
    <w:p w:rsidR="00276ED8" w:rsidRPr="00081E64" w:rsidRDefault="00276ED8" w:rsidP="00276ED8">
      <w:pPr>
        <w:contextualSpacing/>
        <w:rPr>
          <w:rFonts w:cs="Arial"/>
          <w:lang w:val="fr-CH"/>
        </w:rPr>
      </w:pPr>
      <w:r w:rsidRPr="00081E64">
        <w:rPr>
          <w:rFonts w:cs="Arial"/>
          <w:lang w:val="fr-CH"/>
        </w:rPr>
        <w:t>Le Royaume</w:t>
      </w:r>
      <w:r>
        <w:rPr>
          <w:rFonts w:cs="Arial"/>
          <w:lang w:val="fr-CH"/>
        </w:rPr>
        <w:t>-</w:t>
      </w:r>
      <w:r w:rsidRPr="00081E64">
        <w:rPr>
          <w:rFonts w:cs="Arial"/>
          <w:lang w:val="fr-CH"/>
        </w:rPr>
        <w:t>Uni est sorti de l</w:t>
      </w:r>
      <w:r>
        <w:rPr>
          <w:rFonts w:cs="Arial"/>
          <w:lang w:val="fr-CH"/>
        </w:rPr>
        <w:t>’</w:t>
      </w:r>
      <w:r w:rsidRPr="00081E64">
        <w:rPr>
          <w:rFonts w:cs="Arial"/>
          <w:lang w:val="fr-CH"/>
        </w:rPr>
        <w:t>Union européenne avec une période de transition courant jusqu</w:t>
      </w:r>
      <w:r>
        <w:rPr>
          <w:rFonts w:cs="Arial"/>
          <w:lang w:val="fr-CH"/>
        </w:rPr>
        <w:t>’</w:t>
      </w:r>
      <w:r w:rsidRPr="00081E64">
        <w:rPr>
          <w:rFonts w:cs="Arial"/>
          <w:lang w:val="fr-CH"/>
        </w:rPr>
        <w:t>au 31 décembre 2021.</w:t>
      </w:r>
      <w:r w:rsidRPr="00081E64">
        <w:rPr>
          <w:lang w:val="fr-CH"/>
        </w:rPr>
        <w:t xml:space="preserve"> </w:t>
      </w:r>
      <w:r w:rsidRPr="00081E64">
        <w:rPr>
          <w:rFonts w:cs="Arial"/>
          <w:lang w:val="fr-CH"/>
        </w:rPr>
        <w:t xml:space="preserve"> Par conséquent, il ne participe plus au système communautaire de protection des obtentions végétales</w:t>
      </w:r>
      <w:r>
        <w:rPr>
          <w:rFonts w:cs="Arial"/>
          <w:lang w:val="fr-CH"/>
        </w:rPr>
        <w:t xml:space="preserve">.  </w:t>
      </w:r>
      <w:r w:rsidRPr="00081E64">
        <w:rPr>
          <w:rFonts w:cs="Arial"/>
          <w:lang w:val="fr-CH"/>
        </w:rPr>
        <w:t>Tous les titres de protection communautaire des obtentions végétales en vigueur dans l</w:t>
      </w:r>
      <w:r>
        <w:rPr>
          <w:rFonts w:cs="Arial"/>
          <w:lang w:val="fr-CH"/>
        </w:rPr>
        <w:t>’</w:t>
      </w:r>
      <w:r w:rsidRPr="00081E64">
        <w:rPr>
          <w:rFonts w:cs="Arial"/>
          <w:lang w:val="fr-CH"/>
        </w:rPr>
        <w:t>UE jusqu</w:t>
      </w:r>
      <w:r>
        <w:rPr>
          <w:rFonts w:cs="Arial"/>
          <w:lang w:val="fr-CH"/>
        </w:rPr>
        <w:t>’</w:t>
      </w:r>
      <w:r w:rsidRPr="00081E64">
        <w:rPr>
          <w:rFonts w:cs="Arial"/>
          <w:lang w:val="fr-CH"/>
        </w:rPr>
        <w:t>au 31 décembre 2021 ont été convertis en titres de protection nationale des obtentions végétales du Royaume</w:t>
      </w:r>
      <w:r>
        <w:rPr>
          <w:rFonts w:cs="Arial"/>
          <w:lang w:val="fr-CH"/>
        </w:rPr>
        <w:t>-</w:t>
      </w:r>
      <w:r w:rsidRPr="00081E64">
        <w:rPr>
          <w:rFonts w:cs="Arial"/>
          <w:lang w:val="fr-CH"/>
        </w:rPr>
        <w:t>Uni.</w:t>
      </w:r>
    </w:p>
    <w:p w:rsidR="00276ED8" w:rsidRPr="00081E64" w:rsidRDefault="00276ED8" w:rsidP="00276ED8">
      <w:pPr>
        <w:contextualSpacing/>
        <w:rPr>
          <w:rFonts w:cs="Arial"/>
          <w:lang w:val="fr-CH"/>
        </w:rPr>
      </w:pPr>
    </w:p>
    <w:p w:rsidR="00276ED8" w:rsidRPr="00081E64" w:rsidRDefault="00276ED8" w:rsidP="00276ED8">
      <w:pPr>
        <w:contextualSpacing/>
        <w:rPr>
          <w:rFonts w:cs="Arial"/>
          <w:u w:val="single"/>
          <w:lang w:val="fr-CH"/>
        </w:rPr>
      </w:pPr>
      <w:r w:rsidRPr="00081E64">
        <w:rPr>
          <w:rFonts w:cs="Arial"/>
          <w:u w:val="single"/>
          <w:lang w:val="fr-CH"/>
        </w:rPr>
        <w:t>1.1 Modifications de la loi et des textes d</w:t>
      </w:r>
      <w:r>
        <w:rPr>
          <w:rFonts w:cs="Arial"/>
          <w:u w:val="single"/>
          <w:lang w:val="fr-CH"/>
        </w:rPr>
        <w:t>’</w:t>
      </w:r>
      <w:r w:rsidRPr="00081E64">
        <w:rPr>
          <w:rFonts w:cs="Arial"/>
          <w:u w:val="single"/>
          <w:lang w:val="fr-CH"/>
        </w:rPr>
        <w:t>application</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La Commission européenne a adopté une proposition de règlement du Parlement européen et du Conseil portant prorogation de 25 à 30 ans de la durée de la protection communautaire des obtentions végétales pour les espèces d</w:t>
      </w:r>
      <w:r>
        <w:rPr>
          <w:rFonts w:cs="Arial"/>
          <w:lang w:val="fr-CH"/>
        </w:rPr>
        <w:t>’</w:t>
      </w:r>
      <w:r w:rsidRPr="00081E64">
        <w:rPr>
          <w:rFonts w:cs="Arial"/>
          <w:lang w:val="fr-CH"/>
        </w:rPr>
        <w:t>asperges, ainsi que pour les groupes d</w:t>
      </w:r>
      <w:r>
        <w:rPr>
          <w:rFonts w:cs="Arial"/>
          <w:lang w:val="fr-CH"/>
        </w:rPr>
        <w:t>’</w:t>
      </w:r>
      <w:r w:rsidRPr="00081E64">
        <w:rPr>
          <w:rFonts w:cs="Arial"/>
          <w:lang w:val="fr-CH"/>
        </w:rPr>
        <w:t>espèces des bulbes à fleurs, des plantes ligneuses à petits fruits et des plantes ligneuses ornementales</w:t>
      </w:r>
      <w:r>
        <w:rPr>
          <w:rFonts w:cs="Arial"/>
          <w:lang w:val="fr-CH"/>
        </w:rPr>
        <w:t xml:space="preserve">.  </w:t>
      </w:r>
      <w:r w:rsidRPr="00081E64">
        <w:rPr>
          <w:rFonts w:cs="Arial"/>
          <w:lang w:val="fr-CH"/>
        </w:rPr>
        <w:t>Un accord a été trouvé entre les institutions et le règlement devrait être adopté avant la fin de 2021.</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r w:rsidRPr="00081E64">
        <w:rPr>
          <w:rFonts w:cs="Arial"/>
          <w:u w:val="single"/>
          <w:lang w:val="fr-CH"/>
        </w:rPr>
        <w:t>1.2 Jurisprudence</w:t>
      </w:r>
    </w:p>
    <w:p w:rsidR="00276ED8" w:rsidRPr="00081E64" w:rsidRDefault="00276ED8" w:rsidP="00276ED8">
      <w:pPr>
        <w:pStyle w:val="Default"/>
        <w:ind w:right="141"/>
        <w:contextualSpacing/>
        <w:jc w:val="both"/>
        <w:rPr>
          <w:i/>
          <w:color w:val="auto"/>
          <w:sz w:val="20"/>
          <w:szCs w:val="20"/>
          <w:lang w:val="fr-CH" w:eastAsia="fr-FR"/>
        </w:rPr>
      </w:pPr>
    </w:p>
    <w:p w:rsidR="00276ED8" w:rsidRPr="00081E64" w:rsidRDefault="00276ED8" w:rsidP="00276ED8">
      <w:pPr>
        <w:pStyle w:val="Default"/>
        <w:ind w:right="141"/>
        <w:contextualSpacing/>
        <w:jc w:val="both"/>
        <w:rPr>
          <w:i/>
          <w:color w:val="auto"/>
          <w:sz w:val="20"/>
          <w:szCs w:val="20"/>
          <w:lang w:val="fr-CH" w:eastAsia="fr-FR"/>
        </w:rPr>
      </w:pPr>
      <w:r w:rsidRPr="00081E64">
        <w:rPr>
          <w:i/>
          <w:color w:val="auto"/>
          <w:sz w:val="20"/>
          <w:szCs w:val="20"/>
          <w:lang w:val="fr-CH" w:eastAsia="fr-FR"/>
        </w:rPr>
        <w:t>Arrêt du Tribunal du 14 juillet 2021 dans l</w:t>
      </w:r>
      <w:r>
        <w:rPr>
          <w:i/>
          <w:color w:val="auto"/>
          <w:sz w:val="20"/>
          <w:szCs w:val="20"/>
          <w:lang w:val="fr-CH" w:eastAsia="fr-FR"/>
        </w:rPr>
        <w:t>’</w:t>
      </w:r>
      <w:r w:rsidRPr="00081E64">
        <w:rPr>
          <w:i/>
          <w:color w:val="auto"/>
          <w:sz w:val="20"/>
          <w:szCs w:val="20"/>
          <w:lang w:val="fr-CH" w:eastAsia="fr-FR"/>
        </w:rPr>
        <w:t>affaire T</w:t>
      </w:r>
      <w:r>
        <w:rPr>
          <w:i/>
          <w:color w:val="auto"/>
          <w:sz w:val="20"/>
          <w:szCs w:val="20"/>
          <w:lang w:val="fr-CH" w:eastAsia="fr-FR"/>
        </w:rPr>
        <w:t>-</w:t>
      </w:r>
      <w:r w:rsidRPr="00081E64">
        <w:rPr>
          <w:i/>
          <w:color w:val="auto"/>
          <w:sz w:val="20"/>
          <w:szCs w:val="20"/>
          <w:lang w:val="fr-CH" w:eastAsia="fr-FR"/>
        </w:rPr>
        <w:t xml:space="preserve">181/20 “Stark </w:t>
      </w:r>
      <w:proofErr w:type="spellStart"/>
      <w:r w:rsidRPr="00081E64">
        <w:rPr>
          <w:i/>
          <w:color w:val="auto"/>
          <w:sz w:val="20"/>
          <w:szCs w:val="20"/>
          <w:lang w:val="fr-CH" w:eastAsia="fr-FR"/>
        </w:rPr>
        <w:t>Gugger</w:t>
      </w:r>
      <w:proofErr w:type="spellEnd"/>
      <w:r w:rsidRPr="00081E64">
        <w:rPr>
          <w:i/>
          <w:color w:val="auto"/>
          <w:sz w:val="20"/>
          <w:szCs w:val="20"/>
          <w:lang w:val="fr-CH" w:eastAsia="fr-FR"/>
        </w:rPr>
        <w:t>”.</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Par un arrêt du 14 juillet 2021, le Tribunal a rejeté le recours introduit par la requérante dans son intégralité et l</w:t>
      </w:r>
      <w:r>
        <w:rPr>
          <w:color w:val="auto"/>
          <w:sz w:val="20"/>
          <w:szCs w:val="20"/>
          <w:lang w:val="fr-CH" w:eastAsia="fr-FR"/>
        </w:rPr>
        <w:t>’</w:t>
      </w:r>
      <w:r w:rsidRPr="00081E64">
        <w:rPr>
          <w:color w:val="auto"/>
          <w:sz w:val="20"/>
          <w:szCs w:val="20"/>
          <w:lang w:val="fr-CH" w:eastAsia="fr-FR"/>
        </w:rPr>
        <w:t>a condamnée aux dépens.</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 xml:space="preserve">Le Tribunal a confirmé les conclusions de la chambre de recours sur la détermination du lieu des essais pour la variété candidate </w:t>
      </w:r>
      <w:r w:rsidRPr="00081E64">
        <w:rPr>
          <w:i/>
          <w:color w:val="auto"/>
          <w:sz w:val="20"/>
          <w:szCs w:val="20"/>
          <w:lang w:val="fr-CH" w:eastAsia="fr-FR"/>
        </w:rPr>
        <w:t xml:space="preserve">Malus </w:t>
      </w:r>
      <w:proofErr w:type="spellStart"/>
      <w:r w:rsidRPr="00081E64">
        <w:rPr>
          <w:i/>
          <w:color w:val="auto"/>
          <w:sz w:val="20"/>
          <w:szCs w:val="20"/>
          <w:lang w:val="fr-CH" w:eastAsia="fr-FR"/>
        </w:rPr>
        <w:t>domestica</w:t>
      </w:r>
      <w:proofErr w:type="spellEnd"/>
      <w:r w:rsidRPr="00081E64">
        <w:rPr>
          <w:color w:val="auto"/>
          <w:sz w:val="20"/>
          <w:szCs w:val="20"/>
          <w:lang w:val="fr-CH" w:eastAsia="fr-FR"/>
        </w:rPr>
        <w:t xml:space="preserve"> </w:t>
      </w:r>
      <w:proofErr w:type="spellStart"/>
      <w:r w:rsidRPr="00081E64">
        <w:rPr>
          <w:color w:val="auto"/>
          <w:sz w:val="20"/>
          <w:szCs w:val="20"/>
          <w:lang w:val="fr-CH" w:eastAsia="fr-FR"/>
        </w:rPr>
        <w:t>Borkh</w:t>
      </w:r>
      <w:proofErr w:type="spellEnd"/>
      <w:r w:rsidRPr="00081E64">
        <w:rPr>
          <w:color w:val="auto"/>
          <w:sz w:val="20"/>
          <w:szCs w:val="20"/>
          <w:lang w:val="fr-CH" w:eastAsia="fr-FR"/>
        </w:rPr>
        <w:t xml:space="preserve"> </w:t>
      </w:r>
      <w:r>
        <w:rPr>
          <w:color w:val="auto"/>
          <w:sz w:val="20"/>
          <w:szCs w:val="20"/>
          <w:lang w:val="fr-CH" w:eastAsia="fr-FR"/>
        </w:rPr>
        <w:t>‘</w:t>
      </w:r>
      <w:r w:rsidRPr="00081E64">
        <w:rPr>
          <w:color w:val="auto"/>
          <w:sz w:val="20"/>
          <w:szCs w:val="20"/>
          <w:lang w:val="fr-CH" w:eastAsia="fr-FR"/>
        </w:rPr>
        <w:t xml:space="preserve">Stark </w:t>
      </w:r>
      <w:proofErr w:type="spellStart"/>
      <w:r w:rsidRPr="00081E64">
        <w:rPr>
          <w:color w:val="auto"/>
          <w:sz w:val="20"/>
          <w:szCs w:val="20"/>
          <w:lang w:val="fr-CH" w:eastAsia="fr-FR"/>
        </w:rPr>
        <w:t>Gugger</w:t>
      </w:r>
      <w:proofErr w:type="spellEnd"/>
      <w:r>
        <w:rPr>
          <w:color w:val="auto"/>
          <w:sz w:val="20"/>
          <w:szCs w:val="20"/>
          <w:lang w:val="fr-CH" w:eastAsia="fr-FR"/>
        </w:rPr>
        <w:t>’</w:t>
      </w:r>
      <w:r w:rsidRPr="00081E64">
        <w:rPr>
          <w:color w:val="auto"/>
          <w:sz w:val="20"/>
          <w:szCs w:val="20"/>
          <w:lang w:val="fr-CH" w:eastAsia="fr-FR"/>
        </w:rPr>
        <w:t>.</w:t>
      </w:r>
      <w:r w:rsidRPr="00081E64">
        <w:rPr>
          <w:color w:val="auto"/>
          <w:sz w:val="20"/>
          <w:lang w:val="fr-CH"/>
        </w:rPr>
        <w:t xml:space="preserve"> </w:t>
      </w:r>
      <w:r w:rsidRPr="00081E64">
        <w:rPr>
          <w:color w:val="auto"/>
          <w:sz w:val="20"/>
          <w:szCs w:val="20"/>
          <w:lang w:val="fr-CH" w:eastAsia="fr-FR"/>
        </w:rPr>
        <w:t xml:space="preserve"> Après le rejet de sa demande, la requérante a affirmé que la méthode de taille utilisée par le service d</w:t>
      </w:r>
      <w:r>
        <w:rPr>
          <w:color w:val="auto"/>
          <w:sz w:val="20"/>
          <w:szCs w:val="20"/>
          <w:lang w:val="fr-CH" w:eastAsia="fr-FR"/>
        </w:rPr>
        <w:t>’</w:t>
      </w:r>
      <w:r w:rsidRPr="00081E64">
        <w:rPr>
          <w:color w:val="auto"/>
          <w:sz w:val="20"/>
          <w:szCs w:val="20"/>
          <w:lang w:val="fr-CH" w:eastAsia="fr-FR"/>
        </w:rPr>
        <w:t xml:space="preserve">examen et le lieu des essais, le </w:t>
      </w:r>
      <w:proofErr w:type="spellStart"/>
      <w:r w:rsidRPr="00081E64">
        <w:rPr>
          <w:color w:val="auto"/>
          <w:sz w:val="20"/>
          <w:szCs w:val="20"/>
          <w:lang w:val="fr-CH" w:eastAsia="fr-FR"/>
        </w:rPr>
        <w:t>Geves</w:t>
      </w:r>
      <w:proofErr w:type="spellEnd"/>
      <w:r w:rsidRPr="00081E64">
        <w:rPr>
          <w:color w:val="auto"/>
          <w:sz w:val="20"/>
          <w:szCs w:val="20"/>
          <w:lang w:val="fr-CH" w:eastAsia="fr-FR"/>
        </w:rPr>
        <w:t xml:space="preserve"> à Angers, n</w:t>
      </w:r>
      <w:r>
        <w:rPr>
          <w:color w:val="auto"/>
          <w:sz w:val="20"/>
          <w:szCs w:val="20"/>
          <w:lang w:val="fr-CH" w:eastAsia="fr-FR"/>
        </w:rPr>
        <w:t>’</w:t>
      </w:r>
      <w:r w:rsidRPr="00081E64">
        <w:rPr>
          <w:color w:val="auto"/>
          <w:sz w:val="20"/>
          <w:szCs w:val="20"/>
          <w:lang w:val="fr-CH" w:eastAsia="fr-FR"/>
        </w:rPr>
        <w:t>étaient pas appropriés pour l</w:t>
      </w:r>
      <w:r>
        <w:rPr>
          <w:color w:val="auto"/>
          <w:sz w:val="20"/>
          <w:szCs w:val="20"/>
          <w:lang w:val="fr-CH" w:eastAsia="fr-FR"/>
        </w:rPr>
        <w:t>’</w:t>
      </w:r>
      <w:r w:rsidRPr="00081E64">
        <w:rPr>
          <w:color w:val="auto"/>
          <w:sz w:val="20"/>
          <w:szCs w:val="20"/>
          <w:lang w:val="fr-CH" w:eastAsia="fr-FR"/>
        </w:rPr>
        <w:t>évaluation de la distinction conformément à l</w:t>
      </w:r>
      <w:r>
        <w:rPr>
          <w:color w:val="auto"/>
          <w:sz w:val="20"/>
          <w:szCs w:val="20"/>
          <w:lang w:val="fr-CH" w:eastAsia="fr-FR"/>
        </w:rPr>
        <w:t>’</w:t>
      </w:r>
      <w:r w:rsidRPr="00081E64">
        <w:rPr>
          <w:color w:val="auto"/>
          <w:sz w:val="20"/>
          <w:szCs w:val="20"/>
          <w:lang w:val="fr-CH" w:eastAsia="fr-FR"/>
        </w:rPr>
        <w:t>article 7 du règlement sur la protection communautaire des obtentions végétales, notamment en raison des différences entre les conditions climatiques du lieu du service d</w:t>
      </w:r>
      <w:r>
        <w:rPr>
          <w:color w:val="auto"/>
          <w:sz w:val="20"/>
          <w:szCs w:val="20"/>
          <w:lang w:val="fr-CH" w:eastAsia="fr-FR"/>
        </w:rPr>
        <w:t>’</w:t>
      </w:r>
      <w:r w:rsidRPr="00081E64">
        <w:rPr>
          <w:color w:val="auto"/>
          <w:sz w:val="20"/>
          <w:szCs w:val="20"/>
          <w:lang w:val="fr-CH" w:eastAsia="fr-FR"/>
        </w:rPr>
        <w:t>examen et celles du lieu de création de la variété.</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Le Tribunal est parvenu à la même conclusion que le Conseil d</w:t>
      </w:r>
      <w:r>
        <w:rPr>
          <w:color w:val="auto"/>
          <w:sz w:val="20"/>
          <w:szCs w:val="20"/>
          <w:lang w:val="fr-CH" w:eastAsia="fr-FR"/>
        </w:rPr>
        <w:t>’</w:t>
      </w:r>
      <w:r w:rsidRPr="00081E64">
        <w:rPr>
          <w:color w:val="auto"/>
          <w:sz w:val="20"/>
          <w:szCs w:val="20"/>
          <w:lang w:val="fr-CH" w:eastAsia="fr-FR"/>
        </w:rPr>
        <w:t>administration de l</w:t>
      </w:r>
      <w:r>
        <w:rPr>
          <w:color w:val="auto"/>
          <w:sz w:val="20"/>
          <w:szCs w:val="20"/>
          <w:lang w:val="fr-CH" w:eastAsia="fr-FR"/>
        </w:rPr>
        <w:t>’</w:t>
      </w:r>
      <w:r w:rsidRPr="00081E64">
        <w:rPr>
          <w:color w:val="auto"/>
          <w:sz w:val="20"/>
          <w:szCs w:val="20"/>
          <w:lang w:val="fr-CH" w:eastAsia="fr-FR"/>
        </w:rPr>
        <w:t xml:space="preserve">Office communautaire des variétés végétales (OCVV), </w:t>
      </w:r>
      <w:r>
        <w:rPr>
          <w:color w:val="auto"/>
          <w:sz w:val="20"/>
          <w:szCs w:val="20"/>
          <w:lang w:val="fr-CH" w:eastAsia="fr-FR"/>
        </w:rPr>
        <w:t>à savoir</w:t>
      </w:r>
      <w:r w:rsidRPr="00081E64">
        <w:rPr>
          <w:color w:val="auto"/>
          <w:sz w:val="20"/>
          <w:szCs w:val="20"/>
          <w:lang w:val="fr-CH" w:eastAsia="fr-FR"/>
        </w:rPr>
        <w:t xml:space="preserve"> que l</w:t>
      </w:r>
      <w:r>
        <w:rPr>
          <w:color w:val="auto"/>
          <w:sz w:val="20"/>
          <w:szCs w:val="20"/>
          <w:lang w:val="fr-CH" w:eastAsia="fr-FR"/>
        </w:rPr>
        <w:t>’</w:t>
      </w:r>
      <w:r w:rsidRPr="00081E64">
        <w:rPr>
          <w:color w:val="auto"/>
          <w:sz w:val="20"/>
          <w:szCs w:val="20"/>
          <w:lang w:val="fr-CH" w:eastAsia="fr-FR"/>
        </w:rPr>
        <w:t>Office n</w:t>
      </w:r>
      <w:r>
        <w:rPr>
          <w:color w:val="auto"/>
          <w:sz w:val="20"/>
          <w:szCs w:val="20"/>
          <w:lang w:val="fr-CH" w:eastAsia="fr-FR"/>
        </w:rPr>
        <w:t>’</w:t>
      </w:r>
      <w:r w:rsidRPr="00081E64">
        <w:rPr>
          <w:color w:val="auto"/>
          <w:sz w:val="20"/>
          <w:szCs w:val="20"/>
          <w:lang w:val="fr-CH" w:eastAsia="fr-FR"/>
        </w:rPr>
        <w:t>avait ni raison ni obligation d</w:t>
      </w:r>
      <w:r>
        <w:rPr>
          <w:color w:val="auto"/>
          <w:sz w:val="20"/>
          <w:szCs w:val="20"/>
          <w:lang w:val="fr-CH" w:eastAsia="fr-FR"/>
        </w:rPr>
        <w:t>’</w:t>
      </w:r>
      <w:r w:rsidRPr="00081E64">
        <w:rPr>
          <w:color w:val="auto"/>
          <w:sz w:val="20"/>
          <w:szCs w:val="20"/>
          <w:lang w:val="fr-CH" w:eastAsia="fr-FR"/>
        </w:rPr>
        <w:t>appliquer la méthode de taille suggérée par la requérante, ni de changer de centre d</w:t>
      </w:r>
      <w:r>
        <w:rPr>
          <w:color w:val="auto"/>
          <w:sz w:val="20"/>
          <w:szCs w:val="20"/>
          <w:lang w:val="fr-CH" w:eastAsia="fr-FR"/>
        </w:rPr>
        <w:t>’</w:t>
      </w:r>
      <w:r w:rsidRPr="00081E64">
        <w:rPr>
          <w:color w:val="auto"/>
          <w:sz w:val="20"/>
          <w:szCs w:val="20"/>
          <w:lang w:val="fr-CH" w:eastAsia="fr-FR"/>
        </w:rPr>
        <w:t>examen</w:t>
      </w:r>
      <w:r>
        <w:rPr>
          <w:color w:val="auto"/>
          <w:sz w:val="20"/>
          <w:szCs w:val="20"/>
          <w:lang w:val="fr-CH" w:eastAsia="fr-FR"/>
        </w:rPr>
        <w:t xml:space="preserve">.  </w:t>
      </w:r>
      <w:r w:rsidRPr="00081E64">
        <w:rPr>
          <w:color w:val="auto"/>
          <w:sz w:val="20"/>
          <w:szCs w:val="20"/>
          <w:lang w:val="fr-CH" w:eastAsia="fr-FR"/>
        </w:rPr>
        <w:t>À cet égard, le Tribunal a fait valoir qu</w:t>
      </w:r>
      <w:r>
        <w:rPr>
          <w:color w:val="auto"/>
          <w:sz w:val="20"/>
          <w:szCs w:val="20"/>
          <w:lang w:val="fr-CH" w:eastAsia="fr-FR"/>
        </w:rPr>
        <w:t>’</w:t>
      </w:r>
      <w:r w:rsidRPr="00081E64">
        <w:rPr>
          <w:color w:val="auto"/>
          <w:sz w:val="20"/>
          <w:szCs w:val="20"/>
          <w:lang w:val="fr-CH" w:eastAsia="fr-FR"/>
        </w:rPr>
        <w:t>il appartenait au Conseil d</w:t>
      </w:r>
      <w:r>
        <w:rPr>
          <w:color w:val="auto"/>
          <w:sz w:val="20"/>
          <w:szCs w:val="20"/>
          <w:lang w:val="fr-CH" w:eastAsia="fr-FR"/>
        </w:rPr>
        <w:t>’</w:t>
      </w:r>
      <w:r w:rsidRPr="00081E64">
        <w:rPr>
          <w:color w:val="auto"/>
          <w:sz w:val="20"/>
          <w:szCs w:val="20"/>
          <w:lang w:val="fr-CH" w:eastAsia="fr-FR"/>
        </w:rPr>
        <w:t>administration de l</w:t>
      </w:r>
      <w:r>
        <w:rPr>
          <w:color w:val="auto"/>
          <w:sz w:val="20"/>
          <w:szCs w:val="20"/>
          <w:lang w:val="fr-CH" w:eastAsia="fr-FR"/>
        </w:rPr>
        <w:t>’</w:t>
      </w:r>
      <w:r w:rsidRPr="00081E64">
        <w:rPr>
          <w:color w:val="auto"/>
          <w:sz w:val="20"/>
          <w:szCs w:val="20"/>
          <w:lang w:val="fr-CH" w:eastAsia="fr-FR"/>
        </w:rPr>
        <w:t>OCVV de confier aux services compétents la responsabilité de l</w:t>
      </w:r>
      <w:r>
        <w:rPr>
          <w:color w:val="auto"/>
          <w:sz w:val="20"/>
          <w:szCs w:val="20"/>
          <w:lang w:val="fr-CH" w:eastAsia="fr-FR"/>
        </w:rPr>
        <w:t>’</w:t>
      </w:r>
      <w:r w:rsidRPr="00081E64">
        <w:rPr>
          <w:color w:val="auto"/>
          <w:sz w:val="20"/>
          <w:szCs w:val="20"/>
          <w:lang w:val="fr-CH" w:eastAsia="fr-FR"/>
        </w:rPr>
        <w:t>examen technique des variétés candidates, conformément à l</w:t>
      </w:r>
      <w:r>
        <w:rPr>
          <w:color w:val="auto"/>
          <w:sz w:val="20"/>
          <w:szCs w:val="20"/>
          <w:lang w:val="fr-CH" w:eastAsia="fr-FR"/>
        </w:rPr>
        <w:t>’</w:t>
      </w:r>
      <w:r w:rsidRPr="00081E64">
        <w:rPr>
          <w:color w:val="auto"/>
          <w:sz w:val="20"/>
          <w:szCs w:val="20"/>
          <w:lang w:val="fr-CH" w:eastAsia="fr-FR"/>
        </w:rPr>
        <w:t>article 55.1 du règlement sur la protection communautaire des obtentions végétales et à l</w:t>
      </w:r>
      <w:r>
        <w:rPr>
          <w:color w:val="auto"/>
          <w:sz w:val="20"/>
          <w:szCs w:val="20"/>
          <w:lang w:val="fr-CH" w:eastAsia="fr-FR"/>
        </w:rPr>
        <w:t>’</w:t>
      </w:r>
      <w:r w:rsidRPr="00081E64">
        <w:rPr>
          <w:color w:val="auto"/>
          <w:sz w:val="20"/>
          <w:szCs w:val="20"/>
          <w:lang w:val="fr-CH" w:eastAsia="fr-FR"/>
        </w:rPr>
        <w:t>article 13.1 du règlement (CE) n° 874/2009 de la Commission</w:t>
      </w:r>
      <w:r>
        <w:rPr>
          <w:color w:val="auto"/>
          <w:sz w:val="20"/>
          <w:szCs w:val="20"/>
          <w:lang w:val="fr-CH" w:eastAsia="fr-FR"/>
        </w:rPr>
        <w:t xml:space="preserve">.  </w:t>
      </w:r>
      <w:r w:rsidRPr="00081E64">
        <w:rPr>
          <w:color w:val="auto"/>
          <w:sz w:val="20"/>
          <w:szCs w:val="20"/>
          <w:lang w:val="fr-CH" w:eastAsia="fr-FR"/>
        </w:rPr>
        <w:t>Le choix du lieu des essais était sans ambiguïté et préalable à la demande considérée</w:t>
      </w:r>
      <w:r>
        <w:rPr>
          <w:color w:val="auto"/>
          <w:sz w:val="20"/>
          <w:szCs w:val="20"/>
          <w:lang w:val="fr-CH" w:eastAsia="fr-FR"/>
        </w:rPr>
        <w:t xml:space="preserve">.  </w:t>
      </w:r>
      <w:r w:rsidRPr="00081E64">
        <w:rPr>
          <w:color w:val="auto"/>
          <w:sz w:val="20"/>
          <w:szCs w:val="20"/>
          <w:lang w:val="fr-CH" w:eastAsia="fr-FR"/>
        </w:rPr>
        <w:t>En outre, l</w:t>
      </w:r>
      <w:r>
        <w:rPr>
          <w:color w:val="auto"/>
          <w:sz w:val="20"/>
          <w:szCs w:val="20"/>
          <w:lang w:val="fr-CH" w:eastAsia="fr-FR"/>
        </w:rPr>
        <w:t>’</w:t>
      </w:r>
      <w:r w:rsidRPr="00081E64">
        <w:rPr>
          <w:color w:val="auto"/>
          <w:sz w:val="20"/>
          <w:szCs w:val="20"/>
          <w:lang w:val="fr-CH" w:eastAsia="fr-FR"/>
        </w:rPr>
        <w:t>OCVV n</w:t>
      </w:r>
      <w:r>
        <w:rPr>
          <w:color w:val="auto"/>
          <w:sz w:val="20"/>
          <w:szCs w:val="20"/>
          <w:lang w:val="fr-CH" w:eastAsia="fr-FR"/>
        </w:rPr>
        <w:t>’</w:t>
      </w:r>
      <w:r w:rsidRPr="00081E64">
        <w:rPr>
          <w:color w:val="auto"/>
          <w:sz w:val="20"/>
          <w:szCs w:val="20"/>
          <w:lang w:val="fr-CH" w:eastAsia="fr-FR"/>
        </w:rPr>
        <w:t>avait pas eu son mot à dire dans le changement de l</w:t>
      </w:r>
      <w:r>
        <w:rPr>
          <w:color w:val="auto"/>
          <w:sz w:val="20"/>
          <w:szCs w:val="20"/>
          <w:lang w:val="fr-CH" w:eastAsia="fr-FR"/>
        </w:rPr>
        <w:t>’</w:t>
      </w:r>
      <w:r w:rsidRPr="00081E64">
        <w:rPr>
          <w:color w:val="auto"/>
          <w:sz w:val="20"/>
          <w:szCs w:val="20"/>
          <w:lang w:val="fr-CH" w:eastAsia="fr-FR"/>
        </w:rPr>
        <w:t>installation d</w:t>
      </w:r>
      <w:r>
        <w:rPr>
          <w:color w:val="auto"/>
          <w:sz w:val="20"/>
          <w:szCs w:val="20"/>
          <w:lang w:val="fr-CH" w:eastAsia="fr-FR"/>
        </w:rPr>
        <w:t>’</w:t>
      </w:r>
      <w:r w:rsidRPr="00081E64">
        <w:rPr>
          <w:color w:val="auto"/>
          <w:sz w:val="20"/>
          <w:szCs w:val="20"/>
          <w:lang w:val="fr-CH" w:eastAsia="fr-FR"/>
        </w:rPr>
        <w:t>essai, qui avait été désignée pour toutes les espèces ou variétés appartenant au même groupe de mutation, ainsi qu</w:t>
      </w:r>
      <w:r>
        <w:rPr>
          <w:color w:val="auto"/>
          <w:sz w:val="20"/>
          <w:szCs w:val="20"/>
          <w:lang w:val="fr-CH" w:eastAsia="fr-FR"/>
        </w:rPr>
        <w:t>’</w:t>
      </w:r>
      <w:r w:rsidRPr="00081E64">
        <w:rPr>
          <w:color w:val="auto"/>
          <w:sz w:val="20"/>
          <w:szCs w:val="20"/>
          <w:lang w:val="fr-CH" w:eastAsia="fr-FR"/>
        </w:rPr>
        <w:t>il résultait de l</w:t>
      </w:r>
      <w:r>
        <w:rPr>
          <w:color w:val="auto"/>
          <w:sz w:val="20"/>
          <w:szCs w:val="20"/>
          <w:lang w:val="fr-CH" w:eastAsia="fr-FR"/>
        </w:rPr>
        <w:t>’</w:t>
      </w:r>
      <w:r w:rsidRPr="00081E64">
        <w:rPr>
          <w:color w:val="auto"/>
          <w:sz w:val="20"/>
          <w:szCs w:val="20"/>
          <w:lang w:val="fr-CH" w:eastAsia="fr-FR"/>
        </w:rPr>
        <w:t>annonce du Conseil d</w:t>
      </w:r>
      <w:r>
        <w:rPr>
          <w:color w:val="auto"/>
          <w:sz w:val="20"/>
          <w:szCs w:val="20"/>
          <w:lang w:val="fr-CH" w:eastAsia="fr-FR"/>
        </w:rPr>
        <w:t>’</w:t>
      </w:r>
      <w:r w:rsidRPr="00081E64">
        <w:rPr>
          <w:color w:val="auto"/>
          <w:sz w:val="20"/>
          <w:szCs w:val="20"/>
          <w:lang w:val="fr-CH" w:eastAsia="fr-FR"/>
        </w:rPr>
        <w:t>administration.</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En outre, le Tribunal a considéré que les données relatives à la proximité génétique n</w:t>
      </w:r>
      <w:r>
        <w:rPr>
          <w:color w:val="auto"/>
          <w:sz w:val="20"/>
          <w:szCs w:val="20"/>
          <w:lang w:val="fr-CH" w:eastAsia="fr-FR"/>
        </w:rPr>
        <w:t>’</w:t>
      </w:r>
      <w:r w:rsidRPr="00081E64">
        <w:rPr>
          <w:color w:val="auto"/>
          <w:sz w:val="20"/>
          <w:szCs w:val="20"/>
          <w:lang w:val="fr-CH" w:eastAsia="fr-FR"/>
        </w:rPr>
        <w:t>avaient aucune incidence sur l</w:t>
      </w:r>
      <w:r>
        <w:rPr>
          <w:color w:val="auto"/>
          <w:sz w:val="20"/>
          <w:szCs w:val="20"/>
          <w:lang w:val="fr-CH" w:eastAsia="fr-FR"/>
        </w:rPr>
        <w:t>’</w:t>
      </w:r>
      <w:r w:rsidRPr="00081E64">
        <w:rPr>
          <w:color w:val="auto"/>
          <w:sz w:val="20"/>
          <w:szCs w:val="20"/>
          <w:lang w:val="fr-CH" w:eastAsia="fr-FR"/>
        </w:rPr>
        <w:t>appréciation de la distinction et il a rejeté dans leur intégralité les moyens relatifs à un prétendu défaut de motivation par le Conseil d</w:t>
      </w:r>
      <w:r>
        <w:rPr>
          <w:color w:val="auto"/>
          <w:sz w:val="20"/>
          <w:szCs w:val="20"/>
          <w:lang w:val="fr-CH" w:eastAsia="fr-FR"/>
        </w:rPr>
        <w:t>’</w:t>
      </w:r>
      <w:r w:rsidRPr="00081E64">
        <w:rPr>
          <w:color w:val="auto"/>
          <w:sz w:val="20"/>
          <w:szCs w:val="20"/>
          <w:lang w:val="fr-CH" w:eastAsia="fr-FR"/>
        </w:rPr>
        <w:t>administration et à une prétendue méconnaissance du droit d</w:t>
      </w:r>
      <w:r>
        <w:rPr>
          <w:color w:val="auto"/>
          <w:sz w:val="20"/>
          <w:szCs w:val="20"/>
          <w:lang w:val="fr-CH" w:eastAsia="fr-FR"/>
        </w:rPr>
        <w:t>’</w:t>
      </w:r>
      <w:r w:rsidRPr="00081E64">
        <w:rPr>
          <w:color w:val="auto"/>
          <w:sz w:val="20"/>
          <w:szCs w:val="20"/>
          <w:lang w:val="fr-CH" w:eastAsia="fr-FR"/>
        </w:rPr>
        <w:t>être entendu.</w:t>
      </w:r>
    </w:p>
    <w:p w:rsidR="00276ED8" w:rsidRPr="00081E64" w:rsidRDefault="00276ED8" w:rsidP="00276ED8">
      <w:pPr>
        <w:pStyle w:val="Default"/>
        <w:ind w:right="141"/>
        <w:contextualSpacing/>
        <w:jc w:val="both"/>
        <w:rPr>
          <w:i/>
          <w:color w:val="auto"/>
          <w:sz w:val="20"/>
          <w:szCs w:val="20"/>
          <w:lang w:val="fr-CH" w:eastAsia="fr-FR"/>
        </w:rPr>
      </w:pPr>
    </w:p>
    <w:p w:rsidR="00276ED8" w:rsidRPr="00081E64" w:rsidRDefault="00276ED8" w:rsidP="00276ED8">
      <w:pPr>
        <w:pStyle w:val="Default"/>
        <w:keepNext/>
        <w:keepLines/>
        <w:ind w:right="142"/>
        <w:contextualSpacing/>
        <w:jc w:val="both"/>
        <w:rPr>
          <w:i/>
          <w:color w:val="auto"/>
          <w:sz w:val="20"/>
          <w:szCs w:val="20"/>
          <w:lang w:val="fr-CH" w:eastAsia="fr-FR"/>
        </w:rPr>
      </w:pPr>
      <w:r w:rsidRPr="00081E64">
        <w:rPr>
          <w:i/>
          <w:color w:val="auto"/>
          <w:sz w:val="20"/>
          <w:szCs w:val="20"/>
          <w:lang w:val="fr-CH" w:eastAsia="fr-FR"/>
        </w:rPr>
        <w:t>Arrêt du Tribunal du 14 juillet 2021 dans l</w:t>
      </w:r>
      <w:r>
        <w:rPr>
          <w:i/>
          <w:color w:val="auto"/>
          <w:sz w:val="20"/>
          <w:szCs w:val="20"/>
          <w:lang w:val="fr-CH" w:eastAsia="fr-FR"/>
        </w:rPr>
        <w:t>’</w:t>
      </w:r>
      <w:r w:rsidRPr="00081E64">
        <w:rPr>
          <w:i/>
          <w:color w:val="auto"/>
          <w:sz w:val="20"/>
          <w:szCs w:val="20"/>
          <w:lang w:val="fr-CH" w:eastAsia="fr-FR"/>
        </w:rPr>
        <w:t>affaire T</w:t>
      </w:r>
      <w:r>
        <w:rPr>
          <w:i/>
          <w:color w:val="auto"/>
          <w:sz w:val="20"/>
          <w:szCs w:val="20"/>
          <w:lang w:val="fr-CH" w:eastAsia="fr-FR"/>
        </w:rPr>
        <w:t>-</w:t>
      </w:r>
      <w:r w:rsidRPr="00081E64">
        <w:rPr>
          <w:i/>
          <w:color w:val="auto"/>
          <w:sz w:val="20"/>
          <w:szCs w:val="20"/>
          <w:lang w:val="fr-CH" w:eastAsia="fr-FR"/>
        </w:rPr>
        <w:t xml:space="preserve">182/20 “Gala </w:t>
      </w:r>
      <w:proofErr w:type="spellStart"/>
      <w:r w:rsidRPr="00081E64">
        <w:rPr>
          <w:i/>
          <w:color w:val="auto"/>
          <w:sz w:val="20"/>
          <w:szCs w:val="20"/>
          <w:lang w:val="fr-CH" w:eastAsia="fr-FR"/>
        </w:rPr>
        <w:t>Perathoner</w:t>
      </w:r>
      <w:proofErr w:type="spellEnd"/>
      <w:r w:rsidRPr="00081E64">
        <w:rPr>
          <w:i/>
          <w:color w:val="auto"/>
          <w:sz w:val="20"/>
          <w:szCs w:val="20"/>
          <w:lang w:val="fr-CH" w:eastAsia="fr-FR"/>
        </w:rPr>
        <w:t>”.</w:t>
      </w:r>
    </w:p>
    <w:p w:rsidR="00276ED8" w:rsidRPr="00081E64" w:rsidRDefault="00276ED8" w:rsidP="00276ED8">
      <w:pPr>
        <w:pStyle w:val="Default"/>
        <w:keepNext/>
        <w:keepLines/>
        <w:ind w:right="142"/>
        <w:contextualSpacing/>
        <w:jc w:val="both"/>
        <w:rPr>
          <w:color w:val="auto"/>
          <w:sz w:val="20"/>
          <w:szCs w:val="20"/>
          <w:lang w:val="fr-CH" w:eastAsia="fr-FR"/>
        </w:rPr>
      </w:pPr>
    </w:p>
    <w:p w:rsidR="00276ED8" w:rsidRPr="00081E64" w:rsidRDefault="00276ED8" w:rsidP="00466EA4">
      <w:pPr>
        <w:pStyle w:val="Default"/>
        <w:keepLines/>
        <w:ind w:right="142"/>
        <w:contextualSpacing/>
        <w:jc w:val="both"/>
        <w:rPr>
          <w:color w:val="auto"/>
          <w:sz w:val="20"/>
          <w:szCs w:val="20"/>
          <w:lang w:val="fr-CH" w:eastAsia="fr-FR"/>
        </w:rPr>
      </w:pPr>
      <w:r w:rsidRPr="00081E64">
        <w:rPr>
          <w:color w:val="auto"/>
          <w:sz w:val="20"/>
          <w:szCs w:val="20"/>
          <w:lang w:val="fr-CH" w:eastAsia="fr-FR"/>
        </w:rPr>
        <w:t>Par un arrêt du 14 juillet 2021, le Tribunal a rejeté le recours introduit par la requérante dans son intégralité et a condamné la requérante aux dépens.</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lastRenderedPageBreak/>
        <w:t xml:space="preserve">Le Tribunal a confirmé les conclusions de la chambre de recours sur la détermination du lieu des essais pour la variété candidate </w:t>
      </w:r>
      <w:r w:rsidRPr="00081E64">
        <w:rPr>
          <w:i/>
          <w:color w:val="auto"/>
          <w:sz w:val="20"/>
          <w:szCs w:val="20"/>
          <w:lang w:val="fr-CH" w:eastAsia="fr-FR"/>
        </w:rPr>
        <w:t xml:space="preserve">Malus </w:t>
      </w:r>
      <w:proofErr w:type="spellStart"/>
      <w:r w:rsidRPr="00081E64">
        <w:rPr>
          <w:i/>
          <w:color w:val="auto"/>
          <w:sz w:val="20"/>
          <w:szCs w:val="20"/>
          <w:lang w:val="fr-CH" w:eastAsia="fr-FR"/>
        </w:rPr>
        <w:t>domestica</w:t>
      </w:r>
      <w:proofErr w:type="spellEnd"/>
      <w:r w:rsidRPr="00081E64">
        <w:rPr>
          <w:color w:val="auto"/>
          <w:sz w:val="20"/>
          <w:szCs w:val="20"/>
          <w:lang w:val="fr-CH" w:eastAsia="fr-FR"/>
        </w:rPr>
        <w:t xml:space="preserve"> </w:t>
      </w:r>
      <w:proofErr w:type="spellStart"/>
      <w:r w:rsidRPr="00081E64">
        <w:rPr>
          <w:color w:val="auto"/>
          <w:sz w:val="20"/>
          <w:szCs w:val="20"/>
          <w:lang w:val="fr-CH" w:eastAsia="fr-FR"/>
        </w:rPr>
        <w:t>Borkh</w:t>
      </w:r>
      <w:proofErr w:type="spellEnd"/>
      <w:r>
        <w:rPr>
          <w:color w:val="auto"/>
          <w:sz w:val="20"/>
          <w:szCs w:val="20"/>
          <w:lang w:val="fr-CH" w:eastAsia="fr-FR"/>
        </w:rPr>
        <w:t xml:space="preserve"> ‘</w:t>
      </w:r>
      <w:r w:rsidRPr="00081E64">
        <w:rPr>
          <w:color w:val="auto"/>
          <w:sz w:val="20"/>
          <w:szCs w:val="20"/>
          <w:lang w:val="fr-CH" w:eastAsia="fr-FR"/>
        </w:rPr>
        <w:t xml:space="preserve">Gala </w:t>
      </w:r>
      <w:proofErr w:type="spellStart"/>
      <w:r w:rsidRPr="00081E64">
        <w:rPr>
          <w:color w:val="auto"/>
          <w:sz w:val="20"/>
          <w:szCs w:val="20"/>
          <w:lang w:val="fr-CH" w:eastAsia="fr-FR"/>
        </w:rPr>
        <w:t>Perathoner</w:t>
      </w:r>
      <w:proofErr w:type="spellEnd"/>
      <w:r>
        <w:rPr>
          <w:color w:val="auto"/>
          <w:sz w:val="20"/>
          <w:szCs w:val="20"/>
          <w:lang w:val="fr-CH" w:eastAsia="fr-FR"/>
        </w:rPr>
        <w:t>’</w:t>
      </w:r>
      <w:r w:rsidRPr="00081E64">
        <w:rPr>
          <w:color w:val="auto"/>
          <w:sz w:val="20"/>
          <w:szCs w:val="20"/>
          <w:lang w:val="fr-CH" w:eastAsia="fr-FR"/>
        </w:rPr>
        <w:t>.</w:t>
      </w:r>
      <w:r w:rsidRPr="00081E64">
        <w:rPr>
          <w:color w:val="auto"/>
          <w:sz w:val="20"/>
          <w:lang w:val="fr-CH"/>
        </w:rPr>
        <w:t xml:space="preserve"> </w:t>
      </w:r>
      <w:r w:rsidRPr="00081E64">
        <w:rPr>
          <w:color w:val="auto"/>
          <w:sz w:val="20"/>
          <w:szCs w:val="20"/>
          <w:lang w:val="fr-CH" w:eastAsia="fr-FR"/>
        </w:rPr>
        <w:t xml:space="preserve"> Après le rejet de sa demande, la requérante a affirmé que le service d</w:t>
      </w:r>
      <w:r>
        <w:rPr>
          <w:color w:val="auto"/>
          <w:sz w:val="20"/>
          <w:szCs w:val="20"/>
          <w:lang w:val="fr-CH" w:eastAsia="fr-FR"/>
        </w:rPr>
        <w:t>’</w:t>
      </w:r>
      <w:r w:rsidRPr="00081E64">
        <w:rPr>
          <w:color w:val="auto"/>
          <w:sz w:val="20"/>
          <w:szCs w:val="20"/>
          <w:lang w:val="fr-CH" w:eastAsia="fr-FR"/>
        </w:rPr>
        <w:t>examen avait déterminé de manière erronée le temps de cueillette des fruits de la variété candidate</w:t>
      </w:r>
      <w:r>
        <w:rPr>
          <w:color w:val="auto"/>
          <w:sz w:val="20"/>
          <w:szCs w:val="20"/>
          <w:lang w:val="fr-CH" w:eastAsia="fr-FR"/>
        </w:rPr>
        <w:t xml:space="preserve">.  </w:t>
      </w:r>
      <w:r w:rsidRPr="00081E64">
        <w:rPr>
          <w:color w:val="auto"/>
          <w:sz w:val="20"/>
          <w:szCs w:val="20"/>
          <w:lang w:val="fr-CH" w:eastAsia="fr-FR"/>
        </w:rPr>
        <w:t>Selon la requérante, le moment optimal pour la récolte de la variété candidate devait être déterminé au moyen de l</w:t>
      </w:r>
      <w:r>
        <w:rPr>
          <w:color w:val="auto"/>
          <w:sz w:val="20"/>
          <w:szCs w:val="20"/>
          <w:lang w:val="fr-CH" w:eastAsia="fr-FR"/>
        </w:rPr>
        <w:t>’</w:t>
      </w:r>
      <w:r w:rsidRPr="00081E64">
        <w:rPr>
          <w:color w:val="auto"/>
          <w:sz w:val="20"/>
          <w:szCs w:val="20"/>
          <w:lang w:val="fr-CH" w:eastAsia="fr-FR"/>
        </w:rPr>
        <w:t>indice de régression de l</w:t>
      </w:r>
      <w:r>
        <w:rPr>
          <w:color w:val="auto"/>
          <w:sz w:val="20"/>
          <w:szCs w:val="20"/>
          <w:lang w:val="fr-CH" w:eastAsia="fr-FR"/>
        </w:rPr>
        <w:t>’</w:t>
      </w:r>
      <w:r w:rsidRPr="00081E64">
        <w:rPr>
          <w:color w:val="auto"/>
          <w:sz w:val="20"/>
          <w:szCs w:val="20"/>
          <w:lang w:val="fr-CH" w:eastAsia="fr-FR"/>
        </w:rPr>
        <w:t>amidon.</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 xml:space="preserve">En outre, la requérante a fait valoir que le lieu des essais, le </w:t>
      </w:r>
      <w:proofErr w:type="spellStart"/>
      <w:r w:rsidRPr="00081E64">
        <w:rPr>
          <w:color w:val="auto"/>
          <w:sz w:val="20"/>
          <w:szCs w:val="20"/>
          <w:lang w:val="fr-CH" w:eastAsia="fr-FR"/>
        </w:rPr>
        <w:t>Geves</w:t>
      </w:r>
      <w:proofErr w:type="spellEnd"/>
      <w:r w:rsidRPr="00081E64">
        <w:rPr>
          <w:color w:val="auto"/>
          <w:sz w:val="20"/>
          <w:szCs w:val="20"/>
          <w:lang w:val="fr-CH" w:eastAsia="fr-FR"/>
        </w:rPr>
        <w:t xml:space="preserve"> à Angers, n</w:t>
      </w:r>
      <w:r>
        <w:rPr>
          <w:color w:val="auto"/>
          <w:sz w:val="20"/>
          <w:szCs w:val="20"/>
          <w:lang w:val="fr-CH" w:eastAsia="fr-FR"/>
        </w:rPr>
        <w:t>’</w:t>
      </w:r>
      <w:r w:rsidRPr="00081E64">
        <w:rPr>
          <w:color w:val="auto"/>
          <w:sz w:val="20"/>
          <w:szCs w:val="20"/>
          <w:lang w:val="fr-CH" w:eastAsia="fr-FR"/>
        </w:rPr>
        <w:t>était pas approprié pour l</w:t>
      </w:r>
      <w:r>
        <w:rPr>
          <w:color w:val="auto"/>
          <w:sz w:val="20"/>
          <w:szCs w:val="20"/>
          <w:lang w:val="fr-CH" w:eastAsia="fr-FR"/>
        </w:rPr>
        <w:t>’</w:t>
      </w:r>
      <w:r w:rsidRPr="00081E64">
        <w:rPr>
          <w:color w:val="auto"/>
          <w:sz w:val="20"/>
          <w:szCs w:val="20"/>
          <w:lang w:val="fr-CH" w:eastAsia="fr-FR"/>
        </w:rPr>
        <w:t>évaluation de la distinction conformément à l</w:t>
      </w:r>
      <w:r>
        <w:rPr>
          <w:color w:val="auto"/>
          <w:sz w:val="20"/>
          <w:szCs w:val="20"/>
          <w:lang w:val="fr-CH" w:eastAsia="fr-FR"/>
        </w:rPr>
        <w:t>’</w:t>
      </w:r>
      <w:r w:rsidRPr="00081E64">
        <w:rPr>
          <w:color w:val="auto"/>
          <w:sz w:val="20"/>
          <w:szCs w:val="20"/>
          <w:lang w:val="fr-CH" w:eastAsia="fr-FR"/>
        </w:rPr>
        <w:t>article 7 du règlement sur la protection communautaire des obtentions végétales, notamment en raison des différences entre les conditions climatiques du lieu du service d</w:t>
      </w:r>
      <w:r>
        <w:rPr>
          <w:color w:val="auto"/>
          <w:sz w:val="20"/>
          <w:szCs w:val="20"/>
          <w:lang w:val="fr-CH" w:eastAsia="fr-FR"/>
        </w:rPr>
        <w:t>’</w:t>
      </w:r>
      <w:r w:rsidRPr="00081E64">
        <w:rPr>
          <w:color w:val="auto"/>
          <w:sz w:val="20"/>
          <w:szCs w:val="20"/>
          <w:lang w:val="fr-CH" w:eastAsia="fr-FR"/>
        </w:rPr>
        <w:t>examen et celles du lieu de création de sa variété.</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Le Tribunal est parvenu à la conclusion que le service d</w:t>
      </w:r>
      <w:r>
        <w:rPr>
          <w:color w:val="auto"/>
          <w:sz w:val="20"/>
          <w:szCs w:val="20"/>
          <w:lang w:val="fr-CH" w:eastAsia="fr-FR"/>
        </w:rPr>
        <w:t>’</w:t>
      </w:r>
      <w:r w:rsidRPr="00081E64">
        <w:rPr>
          <w:color w:val="auto"/>
          <w:sz w:val="20"/>
          <w:szCs w:val="20"/>
          <w:lang w:val="fr-CH" w:eastAsia="fr-FR"/>
        </w:rPr>
        <w:t>examen avait correctement appliqué le protocole technique pertinent à l</w:t>
      </w:r>
      <w:r>
        <w:rPr>
          <w:color w:val="auto"/>
          <w:sz w:val="20"/>
          <w:szCs w:val="20"/>
          <w:lang w:val="fr-CH" w:eastAsia="fr-FR"/>
        </w:rPr>
        <w:t>’</w:t>
      </w:r>
      <w:r w:rsidRPr="00081E64">
        <w:rPr>
          <w:color w:val="auto"/>
          <w:sz w:val="20"/>
          <w:szCs w:val="20"/>
          <w:lang w:val="fr-CH" w:eastAsia="fr-FR"/>
        </w:rPr>
        <w:t>examen DHS de la variété candidate (protocole TP/14/2 de l</w:t>
      </w:r>
      <w:r>
        <w:rPr>
          <w:color w:val="auto"/>
          <w:sz w:val="20"/>
          <w:szCs w:val="20"/>
          <w:lang w:val="fr-CH" w:eastAsia="fr-FR"/>
        </w:rPr>
        <w:t>’</w:t>
      </w:r>
      <w:r w:rsidRPr="00081E64">
        <w:rPr>
          <w:color w:val="auto"/>
          <w:sz w:val="20"/>
          <w:szCs w:val="20"/>
          <w:lang w:val="fr-CH" w:eastAsia="fr-FR"/>
        </w:rPr>
        <w:t>OCVV), qui ne prévoyait pas l</w:t>
      </w:r>
      <w:r>
        <w:rPr>
          <w:color w:val="auto"/>
          <w:sz w:val="20"/>
          <w:szCs w:val="20"/>
          <w:lang w:val="fr-CH" w:eastAsia="fr-FR"/>
        </w:rPr>
        <w:t>’</w:t>
      </w:r>
      <w:r w:rsidRPr="00081E64">
        <w:rPr>
          <w:color w:val="auto"/>
          <w:sz w:val="20"/>
          <w:szCs w:val="20"/>
          <w:lang w:val="fr-CH" w:eastAsia="fr-FR"/>
        </w:rPr>
        <w:t>utilisation de la régression de l</w:t>
      </w:r>
      <w:r>
        <w:rPr>
          <w:color w:val="auto"/>
          <w:sz w:val="20"/>
          <w:szCs w:val="20"/>
          <w:lang w:val="fr-CH" w:eastAsia="fr-FR"/>
        </w:rPr>
        <w:t>’</w:t>
      </w:r>
      <w:r w:rsidRPr="00081E64">
        <w:rPr>
          <w:color w:val="auto"/>
          <w:sz w:val="20"/>
          <w:szCs w:val="20"/>
          <w:lang w:val="fr-CH" w:eastAsia="fr-FR"/>
        </w:rPr>
        <w:t>amidon comme seul moyen de déterminer le moment optimal de la récolte du matériel</w:t>
      </w:r>
      <w:r>
        <w:rPr>
          <w:color w:val="auto"/>
          <w:sz w:val="20"/>
          <w:szCs w:val="20"/>
          <w:lang w:val="fr-CH" w:eastAsia="fr-FR"/>
        </w:rPr>
        <w:t xml:space="preserve">.  </w:t>
      </w:r>
      <w:r w:rsidRPr="00081E64">
        <w:rPr>
          <w:color w:val="auto"/>
          <w:sz w:val="20"/>
          <w:szCs w:val="20"/>
          <w:lang w:val="fr-CH" w:eastAsia="fr-FR"/>
        </w:rPr>
        <w:t>En ce qui concerne ce moyen, le Tribunal a également confirmé que le Conseil d</w:t>
      </w:r>
      <w:r>
        <w:rPr>
          <w:color w:val="auto"/>
          <w:sz w:val="20"/>
          <w:szCs w:val="20"/>
          <w:lang w:val="fr-CH" w:eastAsia="fr-FR"/>
        </w:rPr>
        <w:t>’</w:t>
      </w:r>
      <w:r w:rsidRPr="00081E64">
        <w:rPr>
          <w:color w:val="auto"/>
          <w:sz w:val="20"/>
          <w:szCs w:val="20"/>
          <w:lang w:val="fr-CH" w:eastAsia="fr-FR"/>
        </w:rPr>
        <w:t>administration avait correctement fondé son argumentation sur le protocole technique applicable pour rejeter le recours et, par conséquent, n</w:t>
      </w:r>
      <w:r>
        <w:rPr>
          <w:color w:val="auto"/>
          <w:sz w:val="20"/>
          <w:szCs w:val="20"/>
          <w:lang w:val="fr-CH" w:eastAsia="fr-FR"/>
        </w:rPr>
        <w:t>’</w:t>
      </w:r>
      <w:r w:rsidRPr="00081E64">
        <w:rPr>
          <w:color w:val="auto"/>
          <w:sz w:val="20"/>
          <w:szCs w:val="20"/>
          <w:lang w:val="fr-CH" w:eastAsia="fr-FR"/>
        </w:rPr>
        <w:t>avait pas méconnu le droit d</w:t>
      </w:r>
      <w:r>
        <w:rPr>
          <w:color w:val="auto"/>
          <w:sz w:val="20"/>
          <w:szCs w:val="20"/>
          <w:lang w:val="fr-CH" w:eastAsia="fr-FR"/>
        </w:rPr>
        <w:t>’</w:t>
      </w:r>
      <w:r w:rsidRPr="00081E64">
        <w:rPr>
          <w:color w:val="auto"/>
          <w:sz w:val="20"/>
          <w:szCs w:val="20"/>
          <w:lang w:val="fr-CH" w:eastAsia="fr-FR"/>
        </w:rPr>
        <w:t>être entendu de la requérante ni violé son obligation de motivation.</w:t>
      </w:r>
    </w:p>
    <w:p w:rsidR="00276ED8" w:rsidRPr="00081E64" w:rsidRDefault="00276ED8" w:rsidP="00276ED8">
      <w:pPr>
        <w:pStyle w:val="Default"/>
        <w:ind w:right="141"/>
        <w:contextualSpacing/>
        <w:jc w:val="both"/>
        <w:rPr>
          <w:color w:val="auto"/>
          <w:sz w:val="20"/>
          <w:szCs w:val="20"/>
          <w:lang w:val="fr-CH" w:eastAsia="fr-FR"/>
        </w:rPr>
      </w:pPr>
    </w:p>
    <w:p w:rsidR="00276ED8" w:rsidRPr="00081E64" w:rsidRDefault="00276ED8" w:rsidP="00276ED8">
      <w:pPr>
        <w:pStyle w:val="Default"/>
        <w:ind w:right="141"/>
        <w:contextualSpacing/>
        <w:jc w:val="both"/>
        <w:rPr>
          <w:color w:val="auto"/>
          <w:sz w:val="20"/>
          <w:szCs w:val="20"/>
          <w:lang w:val="fr-CH" w:eastAsia="fr-FR"/>
        </w:rPr>
      </w:pPr>
      <w:r w:rsidRPr="00081E64">
        <w:rPr>
          <w:color w:val="auto"/>
          <w:sz w:val="20"/>
          <w:szCs w:val="20"/>
          <w:lang w:val="fr-CH" w:eastAsia="fr-FR"/>
        </w:rPr>
        <w:t>Le Tribunal, suivant le raisonnement de l</w:t>
      </w:r>
      <w:r>
        <w:rPr>
          <w:color w:val="auto"/>
          <w:sz w:val="20"/>
          <w:szCs w:val="20"/>
          <w:lang w:val="fr-CH" w:eastAsia="fr-FR"/>
        </w:rPr>
        <w:t>’</w:t>
      </w:r>
      <w:r w:rsidRPr="00081E64">
        <w:rPr>
          <w:color w:val="auto"/>
          <w:sz w:val="20"/>
          <w:szCs w:val="20"/>
          <w:lang w:val="fr-CH" w:eastAsia="fr-FR"/>
        </w:rPr>
        <w:t>OCVV, a déclaré qu</w:t>
      </w:r>
      <w:r>
        <w:rPr>
          <w:color w:val="auto"/>
          <w:sz w:val="20"/>
          <w:szCs w:val="20"/>
          <w:lang w:val="fr-CH" w:eastAsia="fr-FR"/>
        </w:rPr>
        <w:t>’</w:t>
      </w:r>
      <w:r w:rsidRPr="00081E64">
        <w:rPr>
          <w:color w:val="auto"/>
          <w:sz w:val="20"/>
          <w:szCs w:val="20"/>
          <w:lang w:val="fr-CH" w:eastAsia="fr-FR"/>
        </w:rPr>
        <w:t>il appartenait au Conseil d</w:t>
      </w:r>
      <w:r>
        <w:rPr>
          <w:color w:val="auto"/>
          <w:sz w:val="20"/>
          <w:szCs w:val="20"/>
          <w:lang w:val="fr-CH" w:eastAsia="fr-FR"/>
        </w:rPr>
        <w:t>’</w:t>
      </w:r>
      <w:r w:rsidRPr="00081E64">
        <w:rPr>
          <w:color w:val="auto"/>
          <w:sz w:val="20"/>
          <w:szCs w:val="20"/>
          <w:lang w:val="fr-CH" w:eastAsia="fr-FR"/>
        </w:rPr>
        <w:t>administration de l</w:t>
      </w:r>
      <w:r>
        <w:rPr>
          <w:color w:val="auto"/>
          <w:sz w:val="20"/>
          <w:szCs w:val="20"/>
          <w:lang w:val="fr-CH" w:eastAsia="fr-FR"/>
        </w:rPr>
        <w:t>’</w:t>
      </w:r>
      <w:r w:rsidRPr="00081E64">
        <w:rPr>
          <w:color w:val="auto"/>
          <w:sz w:val="20"/>
          <w:szCs w:val="20"/>
          <w:lang w:val="fr-CH" w:eastAsia="fr-FR"/>
        </w:rPr>
        <w:t>OCVV de confier aux services compétents la responsabilité de l</w:t>
      </w:r>
      <w:r>
        <w:rPr>
          <w:color w:val="auto"/>
          <w:sz w:val="20"/>
          <w:szCs w:val="20"/>
          <w:lang w:val="fr-CH" w:eastAsia="fr-FR"/>
        </w:rPr>
        <w:t>’</w:t>
      </w:r>
      <w:r w:rsidRPr="00081E64">
        <w:rPr>
          <w:color w:val="auto"/>
          <w:sz w:val="20"/>
          <w:szCs w:val="20"/>
          <w:lang w:val="fr-CH" w:eastAsia="fr-FR"/>
        </w:rPr>
        <w:t>examen technique des variétés candidates, conformément à l</w:t>
      </w:r>
      <w:r>
        <w:rPr>
          <w:color w:val="auto"/>
          <w:sz w:val="20"/>
          <w:szCs w:val="20"/>
          <w:lang w:val="fr-CH" w:eastAsia="fr-FR"/>
        </w:rPr>
        <w:t>’</w:t>
      </w:r>
      <w:r w:rsidRPr="00081E64">
        <w:rPr>
          <w:color w:val="auto"/>
          <w:sz w:val="20"/>
          <w:szCs w:val="20"/>
          <w:lang w:val="fr-CH" w:eastAsia="fr-FR"/>
        </w:rPr>
        <w:t>article 55.1 du règlement sur la protection communautaire des obtentions végétales et à l</w:t>
      </w:r>
      <w:r>
        <w:rPr>
          <w:color w:val="auto"/>
          <w:sz w:val="20"/>
          <w:szCs w:val="20"/>
          <w:lang w:val="fr-CH" w:eastAsia="fr-FR"/>
        </w:rPr>
        <w:t>’</w:t>
      </w:r>
      <w:r w:rsidRPr="00081E64">
        <w:rPr>
          <w:color w:val="auto"/>
          <w:sz w:val="20"/>
          <w:szCs w:val="20"/>
          <w:lang w:val="fr-CH" w:eastAsia="fr-FR"/>
        </w:rPr>
        <w:t>article 13.1 du règlement (CE) n° 874/2009 de la Commission</w:t>
      </w:r>
      <w:r>
        <w:rPr>
          <w:color w:val="auto"/>
          <w:sz w:val="20"/>
          <w:szCs w:val="20"/>
          <w:lang w:val="fr-CH" w:eastAsia="fr-FR"/>
        </w:rPr>
        <w:t xml:space="preserve">.  </w:t>
      </w:r>
      <w:r w:rsidRPr="00081E64">
        <w:rPr>
          <w:color w:val="auto"/>
          <w:sz w:val="20"/>
          <w:szCs w:val="20"/>
          <w:lang w:val="fr-CH" w:eastAsia="fr-FR"/>
        </w:rPr>
        <w:t>Le choix du lieu des essais était sans ambiguïté et préalable à la demande spécifique en question</w:t>
      </w:r>
      <w:r>
        <w:rPr>
          <w:color w:val="auto"/>
          <w:sz w:val="20"/>
          <w:szCs w:val="20"/>
          <w:lang w:val="fr-CH" w:eastAsia="fr-FR"/>
        </w:rPr>
        <w:t xml:space="preserve">.  </w:t>
      </w:r>
      <w:r w:rsidRPr="00081E64">
        <w:rPr>
          <w:color w:val="auto"/>
          <w:sz w:val="20"/>
          <w:szCs w:val="20"/>
          <w:lang w:val="fr-CH" w:eastAsia="fr-FR"/>
        </w:rPr>
        <w:t>En outre, l</w:t>
      </w:r>
      <w:r>
        <w:rPr>
          <w:color w:val="auto"/>
          <w:sz w:val="20"/>
          <w:szCs w:val="20"/>
          <w:lang w:val="fr-CH" w:eastAsia="fr-FR"/>
        </w:rPr>
        <w:t>’</w:t>
      </w:r>
      <w:r w:rsidRPr="00081E64">
        <w:rPr>
          <w:color w:val="auto"/>
          <w:sz w:val="20"/>
          <w:szCs w:val="20"/>
          <w:lang w:val="fr-CH" w:eastAsia="fr-FR"/>
        </w:rPr>
        <w:t>OCVV n</w:t>
      </w:r>
      <w:r>
        <w:rPr>
          <w:color w:val="auto"/>
          <w:sz w:val="20"/>
          <w:szCs w:val="20"/>
          <w:lang w:val="fr-CH" w:eastAsia="fr-FR"/>
        </w:rPr>
        <w:t>’</w:t>
      </w:r>
      <w:r w:rsidRPr="00081E64">
        <w:rPr>
          <w:color w:val="auto"/>
          <w:sz w:val="20"/>
          <w:szCs w:val="20"/>
          <w:lang w:val="fr-CH" w:eastAsia="fr-FR"/>
        </w:rPr>
        <w:t>avait pas eu son mot à dire dans le changement de l</w:t>
      </w:r>
      <w:r>
        <w:rPr>
          <w:color w:val="auto"/>
          <w:sz w:val="20"/>
          <w:szCs w:val="20"/>
          <w:lang w:val="fr-CH" w:eastAsia="fr-FR"/>
        </w:rPr>
        <w:t>’</w:t>
      </w:r>
      <w:r w:rsidRPr="00081E64">
        <w:rPr>
          <w:color w:val="auto"/>
          <w:sz w:val="20"/>
          <w:szCs w:val="20"/>
          <w:lang w:val="fr-CH" w:eastAsia="fr-FR"/>
        </w:rPr>
        <w:t>installation d</w:t>
      </w:r>
      <w:r>
        <w:rPr>
          <w:color w:val="auto"/>
          <w:sz w:val="20"/>
          <w:szCs w:val="20"/>
          <w:lang w:val="fr-CH" w:eastAsia="fr-FR"/>
        </w:rPr>
        <w:t>’</w:t>
      </w:r>
      <w:r w:rsidRPr="00081E64">
        <w:rPr>
          <w:color w:val="auto"/>
          <w:sz w:val="20"/>
          <w:szCs w:val="20"/>
          <w:lang w:val="fr-CH" w:eastAsia="fr-FR"/>
        </w:rPr>
        <w:t>essai, qui avait été désignée pour toutes les espèces ou variétés appartenant au même groupe de mutation, ainsi qu</w:t>
      </w:r>
      <w:r>
        <w:rPr>
          <w:color w:val="auto"/>
          <w:sz w:val="20"/>
          <w:szCs w:val="20"/>
          <w:lang w:val="fr-CH" w:eastAsia="fr-FR"/>
        </w:rPr>
        <w:t>’</w:t>
      </w:r>
      <w:r w:rsidRPr="00081E64">
        <w:rPr>
          <w:color w:val="auto"/>
          <w:sz w:val="20"/>
          <w:szCs w:val="20"/>
          <w:lang w:val="fr-CH" w:eastAsia="fr-FR"/>
        </w:rPr>
        <w:t>il résultait de l</w:t>
      </w:r>
      <w:r>
        <w:rPr>
          <w:color w:val="auto"/>
          <w:sz w:val="20"/>
          <w:szCs w:val="20"/>
          <w:lang w:val="fr-CH" w:eastAsia="fr-FR"/>
        </w:rPr>
        <w:t>’</w:t>
      </w:r>
      <w:r w:rsidRPr="00081E64">
        <w:rPr>
          <w:color w:val="auto"/>
          <w:sz w:val="20"/>
          <w:szCs w:val="20"/>
          <w:lang w:val="fr-CH" w:eastAsia="fr-FR"/>
        </w:rPr>
        <w:t>annonce du Conseil d</w:t>
      </w:r>
      <w:r>
        <w:rPr>
          <w:color w:val="auto"/>
          <w:sz w:val="20"/>
          <w:szCs w:val="20"/>
          <w:lang w:val="fr-CH" w:eastAsia="fr-FR"/>
        </w:rPr>
        <w:t>’</w:t>
      </w:r>
      <w:r w:rsidRPr="00081E64">
        <w:rPr>
          <w:color w:val="auto"/>
          <w:sz w:val="20"/>
          <w:szCs w:val="20"/>
          <w:lang w:val="fr-CH" w:eastAsia="fr-FR"/>
        </w:rPr>
        <w:t>administration.</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2)</w:t>
      </w:r>
      <w:r w:rsidRPr="00081E64">
        <w:rPr>
          <w:rFonts w:cs="Arial"/>
          <w:lang w:val="fr-CH"/>
        </w:rPr>
        <w:tab/>
      </w:r>
      <w:r w:rsidRPr="00081E64">
        <w:rPr>
          <w:rFonts w:cs="Arial"/>
          <w:u w:val="single"/>
          <w:lang w:val="fr-CH"/>
        </w:rPr>
        <w:t>Coopération en matière d</w:t>
      </w:r>
      <w:r>
        <w:rPr>
          <w:rFonts w:cs="Arial"/>
          <w:u w:val="single"/>
          <w:lang w:val="fr-CH"/>
        </w:rPr>
        <w:t>’</w:t>
      </w:r>
      <w:r w:rsidRPr="00081E64">
        <w:rPr>
          <w:rFonts w:cs="Arial"/>
          <w:u w:val="single"/>
          <w:lang w:val="fr-CH"/>
        </w:rPr>
        <w:t>examen</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r w:rsidRPr="00081E64">
        <w:rPr>
          <w:rFonts w:cs="Arial"/>
          <w:u w:val="single"/>
          <w:lang w:val="fr-CH"/>
        </w:rPr>
        <w:t>2.1 Conclusion de nouveaux accords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Le Conseil d</w:t>
      </w:r>
      <w:r>
        <w:rPr>
          <w:rFonts w:cs="Arial"/>
          <w:lang w:val="fr-CH"/>
        </w:rPr>
        <w:t>’</w:t>
      </w:r>
      <w:r w:rsidRPr="00081E64">
        <w:rPr>
          <w:rFonts w:cs="Arial"/>
          <w:lang w:val="fr-CH"/>
        </w:rPr>
        <w:t>administration de l</w:t>
      </w:r>
      <w:r>
        <w:rPr>
          <w:rFonts w:cs="Arial"/>
          <w:lang w:val="fr-CH"/>
        </w:rPr>
        <w:t>’</w:t>
      </w:r>
      <w:r w:rsidRPr="00081E64">
        <w:rPr>
          <w:rFonts w:cs="Arial"/>
          <w:lang w:val="fr-CH"/>
        </w:rPr>
        <w:t>OCVV a accepté en avril 2021 que l</w:t>
      </w:r>
      <w:r>
        <w:rPr>
          <w:rFonts w:cs="Arial"/>
          <w:lang w:val="fr-CH"/>
        </w:rPr>
        <w:t>’</w:t>
      </w:r>
      <w:r w:rsidRPr="00081E64">
        <w:rPr>
          <w:rFonts w:cs="Arial"/>
          <w:lang w:val="fr-CH"/>
        </w:rPr>
        <w:t>OCVV conclue un accord avec le Ministère japonais de l</w:t>
      </w:r>
      <w:r>
        <w:rPr>
          <w:rFonts w:cs="Arial"/>
          <w:lang w:val="fr-CH"/>
        </w:rPr>
        <w:t>’</w:t>
      </w:r>
      <w:r w:rsidRPr="00081E64">
        <w:rPr>
          <w:rFonts w:cs="Arial"/>
          <w:lang w:val="fr-CH"/>
        </w:rPr>
        <w:t>agriculture, des forêts et de la pêche, afin de reprendre les rapports DHS et d</w:t>
      </w:r>
      <w:r>
        <w:rPr>
          <w:rFonts w:cs="Arial"/>
          <w:lang w:val="fr-CH"/>
        </w:rPr>
        <w:t>’</w:t>
      </w:r>
      <w:r w:rsidRPr="00081E64">
        <w:rPr>
          <w:rFonts w:cs="Arial"/>
          <w:lang w:val="fr-CH"/>
        </w:rPr>
        <w:t>effectuer l</w:t>
      </w:r>
      <w:r>
        <w:rPr>
          <w:rFonts w:cs="Arial"/>
          <w:lang w:val="fr-CH"/>
        </w:rPr>
        <w:t>’</w:t>
      </w:r>
      <w:r w:rsidRPr="00081E64">
        <w:rPr>
          <w:rFonts w:cs="Arial"/>
          <w:lang w:val="fr-CH"/>
        </w:rPr>
        <w:t>examen technique au nom de l</w:t>
      </w:r>
      <w:r>
        <w:rPr>
          <w:rFonts w:cs="Arial"/>
          <w:lang w:val="fr-CH"/>
        </w:rPr>
        <w:t>’</w:t>
      </w:r>
      <w:r w:rsidRPr="00081E64">
        <w:rPr>
          <w:rFonts w:cs="Arial"/>
          <w:lang w:val="fr-CH"/>
        </w:rPr>
        <w:t>OCVV pour l</w:t>
      </w:r>
      <w:r>
        <w:rPr>
          <w:rFonts w:cs="Arial"/>
          <w:lang w:val="fr-CH"/>
        </w:rPr>
        <w:t>’</w:t>
      </w:r>
      <w:r w:rsidRPr="00081E64">
        <w:rPr>
          <w:rFonts w:cs="Arial"/>
          <w:lang w:val="fr-CH"/>
        </w:rPr>
        <w:t xml:space="preserve">espèce </w:t>
      </w:r>
      <w:proofErr w:type="spellStart"/>
      <w:r w:rsidRPr="00081E64">
        <w:rPr>
          <w:rFonts w:cs="Arial"/>
          <w:i/>
          <w:lang w:val="fr-CH"/>
        </w:rPr>
        <w:t>Eutrema</w:t>
      </w:r>
      <w:proofErr w:type="spellEnd"/>
      <w:r w:rsidRPr="00081E64">
        <w:rPr>
          <w:rFonts w:cs="Arial"/>
          <w:i/>
          <w:lang w:val="fr-CH"/>
        </w:rPr>
        <w:t xml:space="preserve"> </w:t>
      </w:r>
      <w:proofErr w:type="spellStart"/>
      <w:r w:rsidRPr="00081E64">
        <w:rPr>
          <w:rFonts w:cs="Arial"/>
          <w:i/>
          <w:lang w:val="fr-CH"/>
        </w:rPr>
        <w:t>japonicum</w:t>
      </w:r>
      <w:proofErr w:type="spellEnd"/>
      <w:r w:rsidRPr="00081E64">
        <w:rPr>
          <w:rFonts w:cs="Arial"/>
          <w:lang w:val="fr-CH"/>
        </w:rPr>
        <w:t xml:space="preserve"> (</w:t>
      </w:r>
      <w:proofErr w:type="spellStart"/>
      <w:r w:rsidRPr="00081E64">
        <w:rPr>
          <w:rFonts w:cs="Arial"/>
          <w:lang w:val="fr-CH"/>
        </w:rPr>
        <w:t>Miq</w:t>
      </w:r>
      <w:proofErr w:type="spellEnd"/>
      <w:r w:rsidRPr="00081E64">
        <w:rPr>
          <w:rFonts w:cs="Arial"/>
          <w:lang w:val="fr-CH"/>
        </w:rPr>
        <w:t xml:space="preserve">.) </w:t>
      </w:r>
      <w:proofErr w:type="spellStart"/>
      <w:r w:rsidRPr="00081E64">
        <w:rPr>
          <w:rFonts w:cs="Arial"/>
          <w:lang w:val="fr-CH"/>
        </w:rPr>
        <w:t>Koidz</w:t>
      </w:r>
      <w:proofErr w:type="spellEnd"/>
      <w:r w:rsidRPr="00081E64">
        <w:rPr>
          <w:rFonts w:cs="Arial"/>
          <w:lang w:val="fr-CH"/>
        </w:rPr>
        <w:t>.</w:t>
      </w:r>
      <w:r w:rsidRPr="00081E64">
        <w:rPr>
          <w:lang w:val="fr-CH"/>
        </w:rPr>
        <w:t xml:space="preserve"> </w:t>
      </w:r>
      <w:r w:rsidRPr="00081E64">
        <w:rPr>
          <w:rFonts w:cs="Arial"/>
          <w:lang w:val="fr-CH"/>
        </w:rPr>
        <w:t>(syn</w:t>
      </w:r>
      <w:r>
        <w:rPr>
          <w:rFonts w:cs="Arial"/>
          <w:lang w:val="fr-CH"/>
        </w:rPr>
        <w:t xml:space="preserve">.  </w:t>
      </w:r>
      <w:proofErr w:type="spellStart"/>
      <w:r w:rsidRPr="00081E64">
        <w:rPr>
          <w:rFonts w:cs="Arial"/>
          <w:i/>
          <w:iCs/>
          <w:lang w:val="fr-CH"/>
        </w:rPr>
        <w:t>Wasabia</w:t>
      </w:r>
      <w:proofErr w:type="spellEnd"/>
      <w:r w:rsidRPr="00081E64">
        <w:rPr>
          <w:rFonts w:cs="Arial"/>
          <w:i/>
          <w:iCs/>
          <w:lang w:val="fr-CH"/>
        </w:rPr>
        <w:t xml:space="preserve"> </w:t>
      </w:r>
      <w:proofErr w:type="spellStart"/>
      <w:r w:rsidRPr="00081E64">
        <w:rPr>
          <w:rFonts w:cs="Arial"/>
          <w:i/>
          <w:iCs/>
          <w:lang w:val="fr-CH"/>
        </w:rPr>
        <w:t>japonica</w:t>
      </w:r>
      <w:proofErr w:type="spellEnd"/>
      <w:r w:rsidRPr="00081E64">
        <w:rPr>
          <w:rFonts w:cs="Arial"/>
          <w:i/>
          <w:iCs/>
          <w:lang w:val="fr-CH"/>
        </w:rPr>
        <w:t xml:space="preserve"> </w:t>
      </w:r>
      <w:r w:rsidRPr="00081E64">
        <w:rPr>
          <w:rFonts w:cs="Arial"/>
          <w:lang w:val="fr-CH"/>
        </w:rPr>
        <w:t>(</w:t>
      </w:r>
      <w:proofErr w:type="spellStart"/>
      <w:r w:rsidRPr="00081E64">
        <w:rPr>
          <w:rFonts w:cs="Arial"/>
          <w:lang w:val="fr-CH"/>
        </w:rPr>
        <w:t>Miq</w:t>
      </w:r>
      <w:proofErr w:type="spellEnd"/>
      <w:r w:rsidRPr="00081E64">
        <w:rPr>
          <w:rFonts w:cs="Arial"/>
          <w:lang w:val="fr-CH"/>
        </w:rPr>
        <w:t xml:space="preserve">.) </w:t>
      </w:r>
      <w:proofErr w:type="spellStart"/>
      <w:r w:rsidRPr="00081E64">
        <w:rPr>
          <w:rFonts w:cs="Arial"/>
          <w:lang w:val="fr-CH"/>
        </w:rPr>
        <w:t>Matsum</w:t>
      </w:r>
      <w:proofErr w:type="spellEnd"/>
      <w:r w:rsidRPr="00081E64">
        <w:rPr>
          <w:rFonts w:cs="Arial"/>
          <w:lang w:val="fr-CH"/>
        </w:rPr>
        <w:t>.)</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u w:val="single"/>
          <w:lang w:val="fr-CH"/>
        </w:rPr>
        <w:t>2.2 Modification d</w:t>
      </w:r>
      <w:r>
        <w:rPr>
          <w:rFonts w:cs="Arial"/>
          <w:u w:val="single"/>
          <w:lang w:val="fr-CH"/>
        </w:rPr>
        <w:t>’</w:t>
      </w:r>
      <w:r w:rsidRPr="00081E64">
        <w:rPr>
          <w:rFonts w:cs="Arial"/>
          <w:u w:val="single"/>
          <w:lang w:val="fr-CH"/>
        </w:rPr>
        <w:t>accords existants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Prolongation de l</w:t>
      </w:r>
      <w:r>
        <w:rPr>
          <w:rFonts w:cs="Arial"/>
          <w:lang w:val="fr-CH"/>
        </w:rPr>
        <w:t>’</w:t>
      </w:r>
      <w:r w:rsidRPr="00081E64">
        <w:rPr>
          <w:rFonts w:cs="Arial"/>
          <w:lang w:val="fr-CH"/>
        </w:rPr>
        <w:t>accord avec le Service national d</w:t>
      </w:r>
      <w:r>
        <w:rPr>
          <w:rFonts w:cs="Arial"/>
          <w:lang w:val="fr-CH"/>
        </w:rPr>
        <w:t>’</w:t>
      </w:r>
      <w:r w:rsidRPr="00081E64">
        <w:rPr>
          <w:rFonts w:cs="Arial"/>
          <w:lang w:val="fr-CH"/>
        </w:rPr>
        <w:t>inspection et de certification des semences (SNICS) du Mexique concernant l</w:t>
      </w:r>
      <w:r>
        <w:rPr>
          <w:rFonts w:cs="Arial"/>
          <w:lang w:val="fr-CH"/>
        </w:rPr>
        <w:t>’</w:t>
      </w:r>
      <w:r w:rsidRPr="00081E64">
        <w:rPr>
          <w:rFonts w:cs="Arial"/>
          <w:lang w:val="fr-CH"/>
        </w:rPr>
        <w:t>examen DHS pour l</w:t>
      </w:r>
      <w:r>
        <w:rPr>
          <w:rFonts w:cs="Arial"/>
          <w:lang w:val="fr-CH"/>
        </w:rPr>
        <w:t>’</w:t>
      </w:r>
      <w:r w:rsidRPr="00081E64">
        <w:rPr>
          <w:rFonts w:cs="Arial"/>
          <w:lang w:val="fr-CH"/>
        </w:rPr>
        <w:t xml:space="preserve">espèce </w:t>
      </w:r>
      <w:proofErr w:type="spellStart"/>
      <w:r w:rsidRPr="00081E64">
        <w:rPr>
          <w:rFonts w:cs="Arial"/>
          <w:lang w:val="fr-CH"/>
        </w:rPr>
        <w:t>Psidium</w:t>
      </w:r>
      <w:proofErr w:type="spellEnd"/>
      <w:r w:rsidRPr="00081E64">
        <w:rPr>
          <w:rFonts w:cs="Arial"/>
          <w:lang w:val="fr-CH"/>
        </w:rPr>
        <w:t> </w:t>
      </w:r>
      <w:proofErr w:type="spellStart"/>
      <w:r w:rsidRPr="00081E64">
        <w:rPr>
          <w:rFonts w:cs="Arial"/>
          <w:lang w:val="fr-CH"/>
        </w:rPr>
        <w:t>gujava</w:t>
      </w:r>
      <w:proofErr w:type="spellEnd"/>
      <w:r w:rsidRPr="00081E64">
        <w:rPr>
          <w:rFonts w:cs="Arial"/>
          <w:lang w:val="fr-CH"/>
        </w:rPr>
        <w:t>.</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u w:val="single"/>
          <w:lang w:val="fr-CH"/>
        </w:rPr>
        <w:t>2.3 Mémorandum d</w:t>
      </w:r>
      <w:r>
        <w:rPr>
          <w:rFonts w:cs="Arial"/>
          <w:u w:val="single"/>
          <w:lang w:val="fr-CH"/>
        </w:rPr>
        <w:t>’</w:t>
      </w:r>
      <w:r w:rsidRPr="00081E64">
        <w:rPr>
          <w:rFonts w:cs="Arial"/>
          <w:u w:val="single"/>
          <w:lang w:val="fr-CH"/>
        </w:rPr>
        <w:t>accord avec des pays tiers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Voir le point 2.1, rien d</w:t>
      </w:r>
      <w:r>
        <w:rPr>
          <w:rFonts w:cs="Arial"/>
          <w:lang w:val="fr-CH"/>
        </w:rPr>
        <w:t>’</w:t>
      </w:r>
      <w:r w:rsidRPr="00081E64">
        <w:rPr>
          <w:rFonts w:cs="Arial"/>
          <w:lang w:val="fr-CH"/>
        </w:rPr>
        <w:t>autre à signaler.</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r w:rsidRPr="00081E64">
        <w:rPr>
          <w:rFonts w:cs="Arial"/>
          <w:lang w:val="fr-CH"/>
        </w:rPr>
        <w:t>3)</w:t>
      </w:r>
      <w:r w:rsidRPr="00081E64">
        <w:rPr>
          <w:rFonts w:cs="Arial"/>
          <w:lang w:val="fr-CH"/>
        </w:rPr>
        <w:tab/>
      </w:r>
      <w:r w:rsidRPr="00081E64">
        <w:rPr>
          <w:rFonts w:cs="Arial"/>
          <w:u w:val="single"/>
          <w:lang w:val="fr-CH"/>
        </w:rPr>
        <w:t>Situation dans le domaine administratif</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Aucun élément nouveau.</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keepNext/>
        <w:keepLines/>
        <w:contextualSpacing/>
        <w:rPr>
          <w:rFonts w:cs="Arial"/>
          <w:lang w:val="fr-CH"/>
        </w:rPr>
      </w:pPr>
      <w:r w:rsidRPr="00081E64">
        <w:rPr>
          <w:rFonts w:cs="Arial"/>
          <w:lang w:val="fr-CH"/>
        </w:rPr>
        <w:t>4)</w:t>
      </w:r>
      <w:r w:rsidRPr="00081E64">
        <w:rPr>
          <w:rFonts w:cs="Arial"/>
          <w:lang w:val="fr-CH"/>
        </w:rPr>
        <w:tab/>
      </w:r>
      <w:r w:rsidRPr="00081E64">
        <w:rPr>
          <w:rFonts w:cs="Arial"/>
          <w:u w:val="single"/>
          <w:lang w:val="fr-CH"/>
        </w:rPr>
        <w:t>Situation dans le domaine technique</w:t>
      </w:r>
    </w:p>
    <w:p w:rsidR="00276ED8" w:rsidRPr="00081E64" w:rsidRDefault="00276ED8" w:rsidP="00276ED8">
      <w:pPr>
        <w:keepNext/>
        <w:keepLines/>
        <w:contextualSpacing/>
        <w:rPr>
          <w:rFonts w:cs="Arial"/>
          <w:lang w:val="fr-CH"/>
        </w:rPr>
      </w:pPr>
    </w:p>
    <w:p w:rsidR="00276ED8" w:rsidRPr="00081E64" w:rsidRDefault="00276ED8" w:rsidP="00276ED8">
      <w:pPr>
        <w:keepNext/>
        <w:keepLines/>
        <w:contextualSpacing/>
        <w:rPr>
          <w:rFonts w:cs="Arial"/>
          <w:u w:val="single"/>
          <w:lang w:val="fr-CH"/>
        </w:rPr>
      </w:pPr>
      <w:r w:rsidRPr="00081E64">
        <w:rPr>
          <w:rFonts w:cs="Arial"/>
          <w:u w:val="single"/>
          <w:lang w:val="fr-CH"/>
        </w:rPr>
        <w:t>4.1 Informations concernant le fonctionnement de la protection des obtentions végétales dans l</w:t>
      </w:r>
      <w:r>
        <w:rPr>
          <w:rFonts w:cs="Arial"/>
          <w:u w:val="single"/>
          <w:lang w:val="fr-CH"/>
        </w:rPr>
        <w:t>’</w:t>
      </w:r>
      <w:r w:rsidRPr="00081E64">
        <w:rPr>
          <w:rFonts w:cs="Arial"/>
          <w:u w:val="single"/>
          <w:lang w:val="fr-CH"/>
        </w:rPr>
        <w:t>Union européenne</w:t>
      </w:r>
    </w:p>
    <w:p w:rsidR="00276ED8" w:rsidRPr="00081E64" w:rsidRDefault="00276ED8" w:rsidP="00276ED8">
      <w:pPr>
        <w:keepNext/>
        <w:keepLines/>
        <w:contextualSpacing/>
        <w:rPr>
          <w:rFonts w:cs="Arial"/>
          <w:bCs/>
          <w:u w:val="single"/>
          <w:lang w:val="fr-CH"/>
        </w:rPr>
      </w:pPr>
    </w:p>
    <w:p w:rsidR="00276ED8" w:rsidRPr="00081E64" w:rsidRDefault="00276ED8" w:rsidP="00276ED8">
      <w:pPr>
        <w:keepNext/>
        <w:keepLines/>
        <w:contextualSpacing/>
        <w:rPr>
          <w:rFonts w:cs="Arial"/>
          <w:bCs/>
          <w:u w:val="single"/>
          <w:lang w:val="fr-CH"/>
        </w:rPr>
      </w:pPr>
      <w:r w:rsidRPr="00081E64">
        <w:rPr>
          <w:rFonts w:cs="Arial"/>
          <w:bCs/>
          <w:u w:val="single"/>
          <w:lang w:val="fr-CH"/>
        </w:rPr>
        <w:t>a.</w:t>
      </w:r>
      <w:r w:rsidRPr="00081E64">
        <w:rPr>
          <w:u w:val="single"/>
          <w:lang w:val="fr-CH"/>
        </w:rPr>
        <w:t xml:space="preserve"> </w:t>
      </w:r>
      <w:r w:rsidRPr="00081E64">
        <w:rPr>
          <w:rFonts w:cs="Arial"/>
          <w:bCs/>
          <w:u w:val="single"/>
          <w:lang w:val="fr-CH"/>
        </w:rPr>
        <w:t>Relation avec les services d</w:t>
      </w:r>
      <w:r>
        <w:rPr>
          <w:rFonts w:cs="Arial"/>
          <w:bCs/>
          <w:u w:val="single"/>
          <w:lang w:val="fr-CH"/>
        </w:rPr>
        <w:t>’</w:t>
      </w:r>
      <w:r w:rsidRPr="00081E64">
        <w:rPr>
          <w:rFonts w:cs="Arial"/>
          <w:bCs/>
          <w:u w:val="single"/>
          <w:lang w:val="fr-CH"/>
        </w:rPr>
        <w:t>examen</w:t>
      </w:r>
    </w:p>
    <w:p w:rsidR="00276ED8" w:rsidRPr="00081E64" w:rsidRDefault="00276ED8" w:rsidP="00276ED8">
      <w:pPr>
        <w:keepNext/>
        <w:keepLines/>
        <w:rPr>
          <w:lang w:val="fr-CH"/>
        </w:rPr>
      </w:pPr>
    </w:p>
    <w:p w:rsidR="00276ED8" w:rsidRPr="00081E64" w:rsidRDefault="00276ED8" w:rsidP="00466EA4">
      <w:pPr>
        <w:rPr>
          <w:lang w:val="fr-CH"/>
        </w:rPr>
      </w:pPr>
      <w:r w:rsidRPr="00081E64">
        <w:rPr>
          <w:lang w:val="fr-CH"/>
        </w:rPr>
        <w:t>En décembre 2020, l</w:t>
      </w:r>
      <w:r>
        <w:rPr>
          <w:lang w:val="fr-CH"/>
        </w:rPr>
        <w:t>’</w:t>
      </w:r>
      <w:r w:rsidRPr="00081E64">
        <w:rPr>
          <w:lang w:val="fr-CH"/>
        </w:rPr>
        <w:t>OCVV a tenu avec ses services d</w:t>
      </w:r>
      <w:r>
        <w:rPr>
          <w:lang w:val="fr-CH"/>
        </w:rPr>
        <w:t>’</w:t>
      </w:r>
      <w:r w:rsidRPr="00081E64">
        <w:rPr>
          <w:lang w:val="fr-CH"/>
        </w:rPr>
        <w:t>examen sa 24</w:t>
      </w:r>
      <w:r w:rsidRPr="00081E64">
        <w:rPr>
          <w:vertAlign w:val="superscript"/>
          <w:lang w:val="fr-CH"/>
        </w:rPr>
        <w:t>è</w:t>
      </w:r>
      <w:r w:rsidRPr="00081E64">
        <w:rPr>
          <w:lang w:val="fr-CH"/>
        </w:rPr>
        <w:t> réunion annuelle, à laquelle ont également assisté des représentants de la Commission européenne, du Bureau de l</w:t>
      </w:r>
      <w:r>
        <w:rPr>
          <w:lang w:val="fr-CH"/>
        </w:rPr>
        <w:t>’</w:t>
      </w:r>
      <w:r w:rsidRPr="00081E64">
        <w:rPr>
          <w:lang w:val="fr-CH"/>
        </w:rPr>
        <w:t>UPOV, de l</w:t>
      </w:r>
      <w:r>
        <w:rPr>
          <w:lang w:val="fr-CH"/>
        </w:rPr>
        <w:t>’</w:t>
      </w:r>
      <w:r w:rsidRPr="00081E64">
        <w:rPr>
          <w:lang w:val="fr-CH"/>
        </w:rPr>
        <w:t>Office européen des brevets et d</w:t>
      </w:r>
      <w:r>
        <w:rPr>
          <w:lang w:val="fr-CH"/>
        </w:rPr>
        <w:t>’</w:t>
      </w:r>
      <w:r w:rsidRPr="00081E64">
        <w:rPr>
          <w:lang w:val="fr-CH"/>
        </w:rPr>
        <w:t>organisations d</w:t>
      </w:r>
      <w:r>
        <w:rPr>
          <w:lang w:val="fr-CH"/>
        </w:rPr>
        <w:t>’</w:t>
      </w:r>
      <w:r w:rsidRPr="00081E64">
        <w:rPr>
          <w:lang w:val="fr-CH"/>
        </w:rPr>
        <w:t xml:space="preserve">obtenteurs (CIOPORA, </w:t>
      </w:r>
      <w:proofErr w:type="spellStart"/>
      <w:r w:rsidRPr="00081E64">
        <w:rPr>
          <w:lang w:val="fr-CH"/>
        </w:rPr>
        <w:t>Euroseeds</w:t>
      </w:r>
      <w:proofErr w:type="spellEnd"/>
      <w:r w:rsidRPr="00081E64">
        <w:rPr>
          <w:lang w:val="fr-CH"/>
        </w:rPr>
        <w:t xml:space="preserve">, </w:t>
      </w:r>
      <w:proofErr w:type="spellStart"/>
      <w:r w:rsidRPr="00081E64">
        <w:rPr>
          <w:lang w:val="fr-CH"/>
        </w:rPr>
        <w:t>Plantum</w:t>
      </w:r>
      <w:proofErr w:type="spellEnd"/>
      <w:r w:rsidRPr="00081E64">
        <w:rPr>
          <w:lang w:val="fr-CH"/>
        </w:rPr>
        <w:t xml:space="preserve"> et ECO</w:t>
      </w:r>
      <w:r>
        <w:rPr>
          <w:lang w:val="fr-CH"/>
        </w:rPr>
        <w:t>-</w:t>
      </w:r>
      <w:r w:rsidRPr="00081E64">
        <w:rPr>
          <w:lang w:val="fr-CH"/>
        </w:rPr>
        <w:t>PB), ainsi que des représentants de la Suisse et de la Norvège en tant que services de délivrance des droits d</w:t>
      </w:r>
      <w:r>
        <w:rPr>
          <w:lang w:val="fr-CH"/>
        </w:rPr>
        <w:t>’</w:t>
      </w:r>
      <w:r w:rsidRPr="00081E64">
        <w:rPr>
          <w:lang w:val="fr-CH"/>
        </w:rPr>
        <w:t xml:space="preserve">obtenteur </w:t>
      </w:r>
      <w:r w:rsidRPr="00081E64">
        <w:rPr>
          <w:lang w:val="fr-CH"/>
        </w:rPr>
        <w:lastRenderedPageBreak/>
        <w:t>n</w:t>
      </w:r>
      <w:r>
        <w:rPr>
          <w:lang w:val="fr-CH"/>
        </w:rPr>
        <w:t>’</w:t>
      </w:r>
      <w:r w:rsidRPr="00081E64">
        <w:rPr>
          <w:lang w:val="fr-CH"/>
        </w:rPr>
        <w:t>appartenant pas à l</w:t>
      </w:r>
      <w:r>
        <w:rPr>
          <w:lang w:val="fr-CH"/>
        </w:rPr>
        <w:t>’</w:t>
      </w:r>
      <w:r w:rsidRPr="00081E64">
        <w:rPr>
          <w:lang w:val="fr-CH"/>
        </w:rPr>
        <w:t>UE.  La réunion s</w:t>
      </w:r>
      <w:r>
        <w:rPr>
          <w:lang w:val="fr-CH"/>
        </w:rPr>
        <w:t>’</w:t>
      </w:r>
      <w:r w:rsidRPr="00081E64">
        <w:rPr>
          <w:lang w:val="fr-CH"/>
        </w:rPr>
        <w:t>est déroulée en vidéoconférence</w:t>
      </w:r>
      <w:r>
        <w:rPr>
          <w:lang w:val="fr-CH"/>
        </w:rPr>
        <w:t xml:space="preserve">.  </w:t>
      </w:r>
      <w:r w:rsidRPr="00081E64">
        <w:rPr>
          <w:lang w:val="fr-CH"/>
        </w:rPr>
        <w:t>Les principaux sujets de discussion ont été les suivants</w:t>
      </w:r>
      <w:r>
        <w:rPr>
          <w:lang w:val="fr-CH"/>
        </w:rPr>
        <w:t> :</w:t>
      </w:r>
    </w:p>
    <w:p w:rsidR="00276ED8" w:rsidRPr="00081E64" w:rsidRDefault="00276ED8" w:rsidP="00276ED8">
      <w:pPr>
        <w:rPr>
          <w:lang w:val="fr-CH"/>
        </w:rPr>
      </w:pPr>
    </w:p>
    <w:p w:rsidR="00276ED8" w:rsidRPr="00081E64" w:rsidRDefault="00276ED8" w:rsidP="00276ED8">
      <w:pPr>
        <w:widowControl w:val="0"/>
        <w:numPr>
          <w:ilvl w:val="0"/>
          <w:numId w:val="13"/>
        </w:numPr>
        <w:shd w:val="clear" w:color="auto" w:fill="FFFFFF"/>
        <w:autoSpaceDE w:val="0"/>
        <w:autoSpaceDN w:val="0"/>
        <w:adjustRightInd w:val="0"/>
        <w:contextualSpacing/>
        <w:textAlignment w:val="center"/>
        <w:rPr>
          <w:rFonts w:cs="Arial"/>
          <w:lang w:val="fr-CH"/>
        </w:rPr>
      </w:pPr>
      <w:r w:rsidRPr="00081E64">
        <w:rPr>
          <w:rFonts w:cs="Arial"/>
          <w:lang w:val="fr-CH"/>
        </w:rPr>
        <w:t>Utilisation de protocoles nationaux pour les demandes de protection communautaire des obtentions végétales;</w:t>
      </w:r>
    </w:p>
    <w:p w:rsidR="00276ED8" w:rsidRPr="00081E64" w:rsidRDefault="00276ED8" w:rsidP="00276ED8">
      <w:pPr>
        <w:widowControl w:val="0"/>
        <w:numPr>
          <w:ilvl w:val="0"/>
          <w:numId w:val="13"/>
        </w:numPr>
        <w:shd w:val="clear" w:color="auto" w:fill="FFFFFF"/>
        <w:autoSpaceDE w:val="0"/>
        <w:autoSpaceDN w:val="0"/>
        <w:adjustRightInd w:val="0"/>
        <w:contextualSpacing/>
        <w:textAlignment w:val="center"/>
        <w:rPr>
          <w:rFonts w:cs="Arial"/>
          <w:lang w:val="fr-CH"/>
        </w:rPr>
      </w:pPr>
      <w:r w:rsidRPr="00081E64">
        <w:rPr>
          <w:rFonts w:cs="Arial"/>
          <w:lang w:val="fr-CH"/>
        </w:rPr>
        <w:t>Calendrier d</w:t>
      </w:r>
      <w:r>
        <w:rPr>
          <w:rFonts w:cs="Arial"/>
          <w:lang w:val="fr-CH"/>
        </w:rPr>
        <w:t>’</w:t>
      </w:r>
      <w:r w:rsidRPr="00081E64">
        <w:rPr>
          <w:rFonts w:cs="Arial"/>
          <w:lang w:val="fr-CH"/>
        </w:rPr>
        <w:t>adoption des protocoles techniques de l</w:t>
      </w:r>
      <w:r>
        <w:rPr>
          <w:rFonts w:cs="Arial"/>
          <w:lang w:val="fr-CH"/>
        </w:rPr>
        <w:t>’</w:t>
      </w:r>
      <w:r w:rsidRPr="00081E64">
        <w:rPr>
          <w:rFonts w:cs="Arial"/>
          <w:lang w:val="fr-CH"/>
        </w:rPr>
        <w:t>OCVV;</w:t>
      </w:r>
    </w:p>
    <w:p w:rsidR="00276ED8" w:rsidRPr="00081E64" w:rsidRDefault="00276ED8" w:rsidP="00276ED8">
      <w:pPr>
        <w:widowControl w:val="0"/>
        <w:numPr>
          <w:ilvl w:val="0"/>
          <w:numId w:val="13"/>
        </w:numPr>
        <w:shd w:val="clear" w:color="auto" w:fill="FFFFFF"/>
        <w:autoSpaceDE w:val="0"/>
        <w:autoSpaceDN w:val="0"/>
        <w:adjustRightInd w:val="0"/>
        <w:contextualSpacing/>
        <w:textAlignment w:val="center"/>
        <w:rPr>
          <w:rFonts w:cs="Arial"/>
          <w:lang w:val="fr-CH"/>
        </w:rPr>
      </w:pPr>
      <w:r w:rsidRPr="00081E64">
        <w:rPr>
          <w:rFonts w:cs="Arial"/>
          <w:lang w:val="fr-CH"/>
        </w:rPr>
        <w:t>Caractères observés une seule fois lors des essais pluriannuels;</w:t>
      </w:r>
    </w:p>
    <w:p w:rsidR="00276ED8" w:rsidRPr="00081E64" w:rsidRDefault="00276ED8" w:rsidP="00276ED8">
      <w:pPr>
        <w:keepNext/>
        <w:widowControl w:val="0"/>
        <w:numPr>
          <w:ilvl w:val="0"/>
          <w:numId w:val="13"/>
        </w:numPr>
        <w:shd w:val="clear" w:color="auto" w:fill="FFFFFF"/>
        <w:autoSpaceDE w:val="0"/>
        <w:autoSpaceDN w:val="0"/>
        <w:adjustRightInd w:val="0"/>
        <w:contextualSpacing/>
        <w:textAlignment w:val="center"/>
        <w:rPr>
          <w:rFonts w:cs="Arial"/>
          <w:lang w:val="fr-CH"/>
        </w:rPr>
      </w:pPr>
      <w:r w:rsidRPr="00081E64">
        <w:rPr>
          <w:rFonts w:cs="Arial"/>
          <w:lang w:val="fr-CH"/>
        </w:rPr>
        <w:t>Reprise des rapports issus des procédures DHS nationales;</w:t>
      </w:r>
    </w:p>
    <w:p w:rsidR="00276ED8" w:rsidRPr="00081E64" w:rsidRDefault="00276ED8" w:rsidP="00276ED8">
      <w:pPr>
        <w:widowControl w:val="0"/>
        <w:numPr>
          <w:ilvl w:val="0"/>
          <w:numId w:val="13"/>
        </w:numPr>
        <w:shd w:val="clear" w:color="auto" w:fill="FFFFFF"/>
        <w:autoSpaceDE w:val="0"/>
        <w:autoSpaceDN w:val="0"/>
        <w:adjustRightInd w:val="0"/>
        <w:contextualSpacing/>
        <w:textAlignment w:val="center"/>
        <w:rPr>
          <w:rFonts w:cs="Arial"/>
          <w:lang w:val="fr-CH"/>
        </w:rPr>
      </w:pPr>
      <w:r w:rsidRPr="00081E64">
        <w:rPr>
          <w:rFonts w:cs="Arial"/>
          <w:lang w:val="fr-CH"/>
        </w:rPr>
        <w:t>Élaboration d</w:t>
      </w:r>
      <w:r>
        <w:rPr>
          <w:rFonts w:cs="Arial"/>
          <w:lang w:val="fr-CH"/>
        </w:rPr>
        <w:t>’</w:t>
      </w:r>
      <w:r w:rsidRPr="00081E64">
        <w:rPr>
          <w:rFonts w:cs="Arial"/>
          <w:lang w:val="fr-CH"/>
        </w:rPr>
        <w:t>orientations pour les contrats entre les services d</w:t>
      </w:r>
      <w:r>
        <w:rPr>
          <w:rFonts w:cs="Arial"/>
          <w:lang w:val="fr-CH"/>
        </w:rPr>
        <w:t>’</w:t>
      </w:r>
      <w:r w:rsidRPr="00081E64">
        <w:rPr>
          <w:rFonts w:cs="Arial"/>
          <w:lang w:val="fr-CH"/>
        </w:rPr>
        <w:t>examen et les organismes possédant les compétences techniques.</w:t>
      </w:r>
    </w:p>
    <w:p w:rsidR="00276ED8" w:rsidRPr="00081E64" w:rsidRDefault="00276ED8" w:rsidP="00276ED8">
      <w:pPr>
        <w:shd w:val="clear" w:color="auto" w:fill="FFFFFF"/>
        <w:tabs>
          <w:tab w:val="left" w:pos="567"/>
          <w:tab w:val="left" w:pos="9072"/>
          <w:tab w:val="left" w:pos="9214"/>
        </w:tabs>
        <w:contextualSpacing/>
        <w:rPr>
          <w:rFonts w:cs="Arial"/>
          <w:lang w:val="fr-CH"/>
        </w:rPr>
      </w:pPr>
    </w:p>
    <w:p w:rsidR="00276ED8" w:rsidRPr="00081E64" w:rsidRDefault="00276ED8" w:rsidP="00276ED8">
      <w:pPr>
        <w:shd w:val="clear" w:color="auto" w:fill="FFFFFF"/>
        <w:tabs>
          <w:tab w:val="left" w:pos="567"/>
          <w:tab w:val="left" w:pos="9072"/>
          <w:tab w:val="left" w:pos="9214"/>
        </w:tabs>
        <w:contextualSpacing/>
        <w:rPr>
          <w:rFonts w:cs="Arial"/>
          <w:lang w:val="fr-CH"/>
        </w:rPr>
      </w:pPr>
      <w:r w:rsidRPr="00081E64">
        <w:rPr>
          <w:rFonts w:cs="Arial"/>
          <w:lang w:val="fr-CH"/>
        </w:rPr>
        <w:t>En outre, les participants ont été informés de l</w:t>
      </w:r>
      <w:r>
        <w:rPr>
          <w:rFonts w:cs="Arial"/>
          <w:lang w:val="fr-CH"/>
        </w:rPr>
        <w:t>’</w:t>
      </w:r>
      <w:r w:rsidRPr="00081E64">
        <w:rPr>
          <w:rFonts w:cs="Arial"/>
          <w:lang w:val="fr-CH"/>
        </w:rPr>
        <w:t>état d</w:t>
      </w:r>
      <w:r>
        <w:rPr>
          <w:rFonts w:cs="Arial"/>
          <w:lang w:val="fr-CH"/>
        </w:rPr>
        <w:t>’</w:t>
      </w:r>
      <w:r w:rsidRPr="00081E64">
        <w:rPr>
          <w:rFonts w:cs="Arial"/>
          <w:lang w:val="fr-CH"/>
        </w:rPr>
        <w:t>avancement des projets de recherche</w:t>
      </w:r>
      <w:r>
        <w:rPr>
          <w:rFonts w:cs="Arial"/>
          <w:lang w:val="fr-CH"/>
        </w:rPr>
        <w:t>-</w:t>
      </w:r>
      <w:r w:rsidRPr="00081E64">
        <w:rPr>
          <w:rFonts w:cs="Arial"/>
          <w:lang w:val="fr-CH"/>
        </w:rPr>
        <w:t>développement, des projets informatiques et du calcul des coûts par les services d</w:t>
      </w:r>
      <w:r>
        <w:rPr>
          <w:rFonts w:cs="Arial"/>
          <w:lang w:val="fr-CH"/>
        </w:rPr>
        <w:t>’</w:t>
      </w:r>
      <w:r w:rsidRPr="00081E64">
        <w:rPr>
          <w:rFonts w:cs="Arial"/>
          <w:lang w:val="fr-CH"/>
        </w:rPr>
        <w:t>examen.</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r w:rsidRPr="00081E64">
        <w:rPr>
          <w:rFonts w:cs="Arial"/>
          <w:u w:val="single"/>
          <w:lang w:val="fr-CH"/>
        </w:rPr>
        <w:t>b.</w:t>
      </w:r>
      <w:r w:rsidRPr="00081E64">
        <w:rPr>
          <w:u w:val="single"/>
          <w:lang w:val="fr-CH"/>
        </w:rPr>
        <w:t xml:space="preserve"> </w:t>
      </w:r>
      <w:r w:rsidRPr="00081E64">
        <w:rPr>
          <w:rFonts w:cs="Arial"/>
          <w:u w:val="single"/>
          <w:lang w:val="fr-CH"/>
        </w:rPr>
        <w:t>Élaboration de protocoles de l</w:t>
      </w:r>
      <w:r>
        <w:rPr>
          <w:rFonts w:cs="Arial"/>
          <w:u w:val="single"/>
          <w:lang w:val="fr-CH"/>
        </w:rPr>
        <w:t>’</w:t>
      </w:r>
      <w:r w:rsidRPr="00081E64">
        <w:rPr>
          <w:rFonts w:cs="Arial"/>
          <w:u w:val="single"/>
          <w:lang w:val="fr-CH"/>
        </w:rPr>
        <w:t>OCVV</w:t>
      </w:r>
    </w:p>
    <w:p w:rsidR="00276ED8" w:rsidRPr="00081E64" w:rsidRDefault="00276ED8" w:rsidP="00276ED8">
      <w:pPr>
        <w:ind w:right="43"/>
        <w:contextualSpacing/>
        <w:rPr>
          <w:rFonts w:cs="Arial"/>
          <w:lang w:val="fr-CH"/>
        </w:rPr>
      </w:pPr>
    </w:p>
    <w:p w:rsidR="00276ED8" w:rsidRPr="00081E64" w:rsidRDefault="00276ED8" w:rsidP="00276ED8">
      <w:pPr>
        <w:ind w:right="43"/>
        <w:contextualSpacing/>
        <w:rPr>
          <w:rFonts w:cs="Arial"/>
          <w:lang w:val="fr-CH"/>
        </w:rPr>
      </w:pPr>
      <w:r w:rsidRPr="00081E64">
        <w:rPr>
          <w:rFonts w:cs="Arial"/>
          <w:lang w:val="fr-CH"/>
        </w:rPr>
        <w:t>En 2020, des experts des services d</w:t>
      </w:r>
      <w:r>
        <w:rPr>
          <w:rFonts w:cs="Arial"/>
          <w:lang w:val="fr-CH"/>
        </w:rPr>
        <w:t>’</w:t>
      </w:r>
      <w:r w:rsidRPr="00081E64">
        <w:rPr>
          <w:rFonts w:cs="Arial"/>
          <w:lang w:val="fr-CH"/>
        </w:rPr>
        <w:t>examen des États membres de l</w:t>
      </w:r>
      <w:r>
        <w:rPr>
          <w:rFonts w:cs="Arial"/>
          <w:lang w:val="fr-CH"/>
        </w:rPr>
        <w:t>’</w:t>
      </w:r>
      <w:r w:rsidRPr="00081E64">
        <w:rPr>
          <w:rFonts w:cs="Arial"/>
          <w:lang w:val="fr-CH"/>
        </w:rPr>
        <w:t>UE ont été invités à collaborer à l</w:t>
      </w:r>
      <w:r>
        <w:rPr>
          <w:rFonts w:cs="Arial"/>
          <w:lang w:val="fr-CH"/>
        </w:rPr>
        <w:t>’</w:t>
      </w:r>
      <w:r w:rsidRPr="00081E64">
        <w:rPr>
          <w:rFonts w:cs="Arial"/>
          <w:lang w:val="fr-CH"/>
        </w:rPr>
        <w:t>élaboration ou à la révision des protocoles techniques pour les essais DHS qui ont été approuvés par la suite par le Conseil d</w:t>
      </w:r>
      <w:r>
        <w:rPr>
          <w:rFonts w:cs="Arial"/>
          <w:lang w:val="fr-CH"/>
        </w:rPr>
        <w:t>’</w:t>
      </w:r>
      <w:r w:rsidRPr="00081E64">
        <w:rPr>
          <w:rFonts w:cs="Arial"/>
          <w:lang w:val="fr-CH"/>
        </w:rPr>
        <w:t>administration ou qui devraient l</w:t>
      </w:r>
      <w:r>
        <w:rPr>
          <w:rFonts w:cs="Arial"/>
          <w:lang w:val="fr-CH"/>
        </w:rPr>
        <w:t>’</w:t>
      </w:r>
      <w:r w:rsidRPr="00081E64">
        <w:rPr>
          <w:rFonts w:cs="Arial"/>
          <w:lang w:val="fr-CH"/>
        </w:rPr>
        <w:t>être en 2021.</w:t>
      </w:r>
      <w:r w:rsidRPr="00081E64">
        <w:rPr>
          <w:lang w:val="fr-CH"/>
        </w:rPr>
        <w:t xml:space="preserve"> </w:t>
      </w:r>
      <w:r w:rsidRPr="00081E64">
        <w:rPr>
          <w:rFonts w:cs="Arial"/>
          <w:lang w:val="fr-CH"/>
        </w:rPr>
        <w:t xml:space="preserve"> Des réunions d</w:t>
      </w:r>
      <w:r>
        <w:rPr>
          <w:rFonts w:cs="Arial"/>
          <w:lang w:val="fr-CH"/>
        </w:rPr>
        <w:t>’</w:t>
      </w:r>
      <w:r w:rsidRPr="00081E64">
        <w:rPr>
          <w:rFonts w:cs="Arial"/>
          <w:lang w:val="fr-CH"/>
        </w:rPr>
        <w:t>experts ont eu lieu pour examiner les protocoles techniques des plantes suivantes</w:t>
      </w:r>
      <w:r>
        <w:rPr>
          <w:rFonts w:cs="Arial"/>
          <w:lang w:val="fr-CH"/>
        </w:rPr>
        <w:t> :</w:t>
      </w:r>
    </w:p>
    <w:p w:rsidR="00276ED8" w:rsidRPr="00081E64" w:rsidRDefault="00276ED8" w:rsidP="00276ED8">
      <w:pPr>
        <w:ind w:right="43"/>
        <w:contextualSpacing/>
        <w:rPr>
          <w:rFonts w:cs="Arial"/>
          <w:lang w:val="fr-CH"/>
        </w:rPr>
      </w:pPr>
    </w:p>
    <w:p w:rsidR="00276ED8" w:rsidRPr="00081E64" w:rsidRDefault="00276ED8" w:rsidP="00276ED8">
      <w:pPr>
        <w:numPr>
          <w:ilvl w:val="0"/>
          <w:numId w:val="14"/>
        </w:numPr>
        <w:ind w:right="43"/>
        <w:contextualSpacing/>
        <w:rPr>
          <w:rFonts w:cs="Arial"/>
          <w:lang w:val="fr-CH"/>
        </w:rPr>
      </w:pPr>
      <w:r w:rsidRPr="00081E64">
        <w:rPr>
          <w:rFonts w:cs="Arial"/>
          <w:lang w:val="fr-CH"/>
        </w:rPr>
        <w:t>Plantes agricoles</w:t>
      </w:r>
      <w:r>
        <w:rPr>
          <w:rFonts w:cs="Arial"/>
          <w:lang w:val="fr-CH"/>
        </w:rPr>
        <w:t> :</w:t>
      </w:r>
      <w:r w:rsidRPr="00081E64">
        <w:rPr>
          <w:rFonts w:cs="Arial"/>
          <w:lang w:val="fr-CH"/>
        </w:rPr>
        <w:t xml:space="preserve"> dactyle, cotonnier et quinoa.</w:t>
      </w:r>
    </w:p>
    <w:p w:rsidR="00276ED8" w:rsidRPr="00081E64" w:rsidRDefault="00276ED8" w:rsidP="00276ED8">
      <w:pPr>
        <w:numPr>
          <w:ilvl w:val="0"/>
          <w:numId w:val="14"/>
        </w:numPr>
        <w:ind w:right="4"/>
        <w:contextualSpacing/>
        <w:rPr>
          <w:rFonts w:cs="Arial"/>
          <w:lang w:val="fr-CH"/>
        </w:rPr>
      </w:pPr>
      <w:r w:rsidRPr="00081E64">
        <w:rPr>
          <w:rFonts w:cs="Arial"/>
          <w:lang w:val="fr-CH"/>
        </w:rPr>
        <w:t>Plantes potagères</w:t>
      </w:r>
      <w:r>
        <w:rPr>
          <w:rFonts w:cs="Arial"/>
          <w:lang w:val="fr-CH"/>
        </w:rPr>
        <w:t> :</w:t>
      </w:r>
      <w:r w:rsidRPr="00081E64">
        <w:rPr>
          <w:rFonts w:cs="Arial"/>
          <w:lang w:val="fr-CH"/>
        </w:rPr>
        <w:t xml:space="preserve"> fenouil, bette à cardes, melon, pastèque, tomate, porte</w:t>
      </w:r>
      <w:r>
        <w:rPr>
          <w:rFonts w:cs="Arial"/>
          <w:lang w:val="fr-CH"/>
        </w:rPr>
        <w:t>-</w:t>
      </w:r>
      <w:r w:rsidRPr="00081E64">
        <w:rPr>
          <w:rFonts w:cs="Arial"/>
          <w:lang w:val="fr-CH"/>
        </w:rPr>
        <w:t>greffe de tomate, chou, chicorée à feuilles et laitue.</w:t>
      </w:r>
    </w:p>
    <w:p w:rsidR="00276ED8" w:rsidRPr="00081E64" w:rsidRDefault="00276ED8" w:rsidP="00276ED8">
      <w:pPr>
        <w:numPr>
          <w:ilvl w:val="0"/>
          <w:numId w:val="14"/>
        </w:numPr>
        <w:ind w:right="4"/>
        <w:contextualSpacing/>
        <w:rPr>
          <w:rFonts w:cs="Arial"/>
        </w:rPr>
      </w:pPr>
      <w:r w:rsidRPr="00081E64">
        <w:rPr>
          <w:rFonts w:cs="Arial"/>
        </w:rPr>
        <w:t>Plantes ornementales</w:t>
      </w:r>
      <w:r>
        <w:rPr>
          <w:rFonts w:cs="Arial"/>
        </w:rPr>
        <w:t> :</w:t>
      </w:r>
      <w:r w:rsidRPr="00081E64">
        <w:rPr>
          <w:rFonts w:cs="Arial"/>
        </w:rPr>
        <w:t xml:space="preserve"> </w:t>
      </w:r>
      <w:proofErr w:type="spellStart"/>
      <w:r w:rsidRPr="00081E64">
        <w:rPr>
          <w:rFonts w:cs="Arial"/>
          <w:i/>
        </w:rPr>
        <w:t>Alstroemeria</w:t>
      </w:r>
      <w:proofErr w:type="spellEnd"/>
      <w:r w:rsidRPr="00081E64">
        <w:rPr>
          <w:rFonts w:cs="Arial"/>
        </w:rPr>
        <w:t xml:space="preserve"> L., </w:t>
      </w:r>
      <w:proofErr w:type="spellStart"/>
      <w:r w:rsidRPr="00081E64">
        <w:rPr>
          <w:rFonts w:cs="Arial"/>
          <w:i/>
        </w:rPr>
        <w:t>Phalaenopsis</w:t>
      </w:r>
      <w:proofErr w:type="spellEnd"/>
      <w:r w:rsidRPr="00081E64">
        <w:rPr>
          <w:rFonts w:cs="Arial"/>
        </w:rPr>
        <w:t xml:space="preserve"> </w:t>
      </w:r>
      <w:proofErr w:type="spellStart"/>
      <w:r w:rsidRPr="00081E64">
        <w:rPr>
          <w:rFonts w:cs="Arial"/>
        </w:rPr>
        <w:t>Blume</w:t>
      </w:r>
      <w:proofErr w:type="spellEnd"/>
      <w:r w:rsidRPr="00081E64">
        <w:rPr>
          <w:rFonts w:cs="Arial"/>
        </w:rPr>
        <w:t xml:space="preserve">, </w:t>
      </w:r>
      <w:proofErr w:type="spellStart"/>
      <w:r w:rsidRPr="00081E64">
        <w:rPr>
          <w:rFonts w:cs="Arial"/>
          <w:i/>
        </w:rPr>
        <w:t>Anigozanthos</w:t>
      </w:r>
      <w:proofErr w:type="spellEnd"/>
      <w:r w:rsidRPr="00081E64">
        <w:rPr>
          <w:rFonts w:cs="Arial"/>
        </w:rPr>
        <w:t xml:space="preserve"> </w:t>
      </w:r>
      <w:proofErr w:type="spellStart"/>
      <w:r w:rsidRPr="00081E64">
        <w:rPr>
          <w:rFonts w:cs="Arial"/>
        </w:rPr>
        <w:t>Labill</w:t>
      </w:r>
      <w:proofErr w:type="spellEnd"/>
      <w:r w:rsidRPr="00081E64">
        <w:rPr>
          <w:rFonts w:cs="Arial"/>
        </w:rPr>
        <w:t xml:space="preserve">. et </w:t>
      </w:r>
      <w:proofErr w:type="spellStart"/>
      <w:r w:rsidRPr="00081E64">
        <w:rPr>
          <w:rFonts w:cs="Arial"/>
          <w:i/>
        </w:rPr>
        <w:t>Macropidia</w:t>
      </w:r>
      <w:proofErr w:type="spellEnd"/>
      <w:r w:rsidRPr="00081E64">
        <w:rPr>
          <w:rFonts w:cs="Arial"/>
          <w:i/>
        </w:rPr>
        <w:t xml:space="preserve"> </w:t>
      </w:r>
      <w:proofErr w:type="spellStart"/>
      <w:r w:rsidRPr="00081E64">
        <w:rPr>
          <w:rFonts w:cs="Arial"/>
          <w:i/>
        </w:rPr>
        <w:t>fuliginosa</w:t>
      </w:r>
      <w:proofErr w:type="spellEnd"/>
      <w:r w:rsidRPr="00081E64">
        <w:rPr>
          <w:rFonts w:cs="Arial"/>
        </w:rPr>
        <w:t xml:space="preserve"> (</w:t>
      </w:r>
      <w:proofErr w:type="spellStart"/>
      <w:r w:rsidRPr="00081E64">
        <w:rPr>
          <w:rFonts w:cs="Arial"/>
        </w:rPr>
        <w:t>Hook</w:t>
      </w:r>
      <w:proofErr w:type="spellEnd"/>
      <w:r w:rsidRPr="00081E64">
        <w:rPr>
          <w:rFonts w:cs="Arial"/>
        </w:rPr>
        <w:t xml:space="preserve">.) </w:t>
      </w:r>
      <w:proofErr w:type="spellStart"/>
      <w:r w:rsidRPr="00081E64">
        <w:rPr>
          <w:rFonts w:cs="Arial"/>
        </w:rPr>
        <w:t>Druce</w:t>
      </w:r>
      <w:proofErr w:type="spellEnd"/>
      <w:r w:rsidRPr="00081E64">
        <w:rPr>
          <w:rFonts w:cs="Arial"/>
        </w:rPr>
        <w:t>.</w:t>
      </w:r>
    </w:p>
    <w:p w:rsidR="00276ED8" w:rsidRPr="00081E64" w:rsidRDefault="00276ED8" w:rsidP="00276ED8">
      <w:pPr>
        <w:numPr>
          <w:ilvl w:val="0"/>
          <w:numId w:val="14"/>
        </w:numPr>
        <w:contextualSpacing/>
        <w:rPr>
          <w:rFonts w:cs="Arial"/>
          <w:lang w:val="fr-CH"/>
        </w:rPr>
      </w:pPr>
      <w:r w:rsidRPr="00081E64">
        <w:rPr>
          <w:rFonts w:cs="Arial"/>
          <w:lang w:val="fr-CH"/>
        </w:rPr>
        <w:t>Plantes fruitières</w:t>
      </w:r>
      <w:r>
        <w:rPr>
          <w:rFonts w:cs="Arial"/>
          <w:lang w:val="fr-CH"/>
        </w:rPr>
        <w:t> :</w:t>
      </w:r>
      <w:r w:rsidRPr="00081E64">
        <w:rPr>
          <w:rFonts w:cs="Arial"/>
          <w:lang w:val="fr-CH"/>
        </w:rPr>
        <w:t xml:space="preserve"> myrtille, noix et kiwi.</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r w:rsidRPr="00081E64">
        <w:rPr>
          <w:rFonts w:cs="Arial"/>
          <w:u w:val="single"/>
          <w:lang w:val="fr-CH"/>
        </w:rPr>
        <w:t xml:space="preserve">c. Poursuite de la mise au point de la base de données </w:t>
      </w:r>
      <w:proofErr w:type="spellStart"/>
      <w:r w:rsidRPr="00081E64">
        <w:rPr>
          <w:rFonts w:cs="Arial"/>
          <w:u w:val="single"/>
          <w:lang w:val="fr-CH"/>
        </w:rPr>
        <w:t>Variety</w:t>
      </w:r>
      <w:proofErr w:type="spellEnd"/>
      <w:r w:rsidRPr="00081E64">
        <w:rPr>
          <w:rFonts w:cs="Arial"/>
          <w:u w:val="single"/>
          <w:lang w:val="fr-CH"/>
        </w:rPr>
        <w:t xml:space="preserve"> Finder de l</w:t>
      </w:r>
      <w:r>
        <w:rPr>
          <w:rFonts w:cs="Arial"/>
          <w:u w:val="single"/>
          <w:lang w:val="fr-CH"/>
        </w:rPr>
        <w:t>’</w:t>
      </w:r>
      <w:r w:rsidRPr="00081E64">
        <w:rPr>
          <w:rFonts w:cs="Arial"/>
          <w:u w:val="single"/>
          <w:lang w:val="fr-CH"/>
        </w:rPr>
        <w:t>OCVV</w:t>
      </w:r>
    </w:p>
    <w:p w:rsidR="00276ED8" w:rsidRPr="00081E64" w:rsidRDefault="00276ED8" w:rsidP="00276ED8">
      <w:pPr>
        <w:widowControl w:val="0"/>
        <w:autoSpaceDE w:val="0"/>
        <w:autoSpaceDN w:val="0"/>
        <w:adjustRightInd w:val="0"/>
        <w:contextualSpacing/>
        <w:textAlignment w:val="center"/>
        <w:rPr>
          <w:rFonts w:cs="Arial"/>
          <w:lang w:val="fr-CH"/>
        </w:rPr>
      </w:pPr>
    </w:p>
    <w:p w:rsidR="00276ED8" w:rsidRPr="00081E64" w:rsidRDefault="00276ED8" w:rsidP="00276ED8">
      <w:pPr>
        <w:widowControl w:val="0"/>
        <w:autoSpaceDE w:val="0"/>
        <w:autoSpaceDN w:val="0"/>
        <w:adjustRightInd w:val="0"/>
        <w:contextualSpacing/>
        <w:textAlignment w:val="center"/>
        <w:rPr>
          <w:rFonts w:cs="Arial"/>
          <w:lang w:val="fr-CH" w:eastAsia="zh-CN"/>
        </w:rPr>
      </w:pPr>
      <w:r w:rsidRPr="00081E64">
        <w:rPr>
          <w:rFonts w:cs="Arial"/>
          <w:lang w:val="fr-CH"/>
        </w:rPr>
        <w:t>Gérée et développée par l</w:t>
      </w:r>
      <w:r>
        <w:rPr>
          <w:rFonts w:cs="Arial"/>
          <w:lang w:val="fr-CH"/>
        </w:rPr>
        <w:t>’</w:t>
      </w:r>
      <w:r w:rsidRPr="00081E64">
        <w:rPr>
          <w:rFonts w:cs="Arial"/>
          <w:lang w:val="fr-CH"/>
        </w:rPr>
        <w:t xml:space="preserve">OCVV depuis 2005, la base de données en ligne </w:t>
      </w:r>
      <w:proofErr w:type="spellStart"/>
      <w:r w:rsidRPr="00081E64">
        <w:rPr>
          <w:rFonts w:cs="Arial"/>
          <w:lang w:val="fr-CH"/>
        </w:rPr>
        <w:t>Variety</w:t>
      </w:r>
      <w:proofErr w:type="spellEnd"/>
      <w:r w:rsidRPr="00081E64">
        <w:rPr>
          <w:rFonts w:cs="Arial"/>
          <w:lang w:val="fr-CH"/>
        </w:rPr>
        <w:t xml:space="preserve"> Finder contient des informations sur les registres de plus de 70 pays et un outil de recherche général</w:t>
      </w:r>
      <w:r>
        <w:rPr>
          <w:rFonts w:cs="Arial"/>
          <w:lang w:val="fr-CH"/>
        </w:rPr>
        <w:t xml:space="preserve">.  </w:t>
      </w:r>
      <w:r w:rsidRPr="00081E64">
        <w:rPr>
          <w:rFonts w:cs="Arial"/>
          <w:lang w:val="fr-CH"/>
        </w:rPr>
        <w:t>Elle inclut également un outil de recherche de similitude afin de tester l</w:t>
      </w:r>
      <w:r>
        <w:rPr>
          <w:rFonts w:cs="Arial"/>
          <w:lang w:val="fr-CH"/>
        </w:rPr>
        <w:t>’</w:t>
      </w:r>
      <w:r w:rsidRPr="00081E64">
        <w:rPr>
          <w:rFonts w:cs="Arial"/>
          <w:lang w:val="fr-CH"/>
        </w:rPr>
        <w:t>éligibilité des dénominations variétales</w:t>
      </w:r>
      <w:r>
        <w:rPr>
          <w:rFonts w:cs="Arial"/>
          <w:lang w:val="fr-CH"/>
        </w:rPr>
        <w:t xml:space="preserve">.  </w:t>
      </w:r>
      <w:r w:rsidRPr="00081E64">
        <w:rPr>
          <w:rFonts w:cs="Arial"/>
          <w:lang w:val="fr-CH"/>
        </w:rPr>
        <w:t>Le principe général consiste à mettre à jour la base de données dès que les données sont officiellement publiées</w:t>
      </w:r>
      <w:r>
        <w:rPr>
          <w:rFonts w:cs="Arial"/>
          <w:lang w:val="fr-CH"/>
        </w:rPr>
        <w:t xml:space="preserve">.  </w:t>
      </w:r>
      <w:r w:rsidRPr="00081E64">
        <w:rPr>
          <w:rFonts w:cs="Arial"/>
          <w:lang w:val="fr-CH"/>
        </w:rPr>
        <w:t>Un mémorandum d</w:t>
      </w:r>
      <w:r>
        <w:rPr>
          <w:rFonts w:cs="Arial"/>
          <w:lang w:val="fr-CH"/>
        </w:rPr>
        <w:t>’</w:t>
      </w:r>
      <w:r w:rsidRPr="00081E64">
        <w:rPr>
          <w:rFonts w:cs="Arial"/>
          <w:lang w:val="fr-CH"/>
        </w:rPr>
        <w:t>accord a été signé avec l</w:t>
      </w:r>
      <w:r>
        <w:rPr>
          <w:rFonts w:cs="Arial"/>
          <w:lang w:val="fr-CH"/>
        </w:rPr>
        <w:t>’</w:t>
      </w:r>
      <w:r w:rsidRPr="00081E64">
        <w:rPr>
          <w:rFonts w:cs="Arial"/>
          <w:lang w:val="fr-CH"/>
        </w:rPr>
        <w:t>UPOV afin de partager la tâche de la collecte de données provenant des États membres de l</w:t>
      </w:r>
      <w:r>
        <w:rPr>
          <w:rFonts w:cs="Arial"/>
          <w:lang w:val="fr-CH"/>
        </w:rPr>
        <w:t>’</w:t>
      </w:r>
      <w:r w:rsidRPr="00081E64">
        <w:rPr>
          <w:rFonts w:cs="Arial"/>
          <w:lang w:val="fr-CH"/>
        </w:rPr>
        <w:t>UE et de pays non membres de l</w:t>
      </w:r>
      <w:r>
        <w:rPr>
          <w:rFonts w:cs="Arial"/>
          <w:lang w:val="fr-CH"/>
        </w:rPr>
        <w:t>’</w:t>
      </w:r>
      <w:r w:rsidRPr="00081E64">
        <w:rPr>
          <w:rFonts w:cs="Arial"/>
          <w:lang w:val="fr-CH"/>
        </w:rPr>
        <w:t>UE, et de garantir un échange de données régulier.</w:t>
      </w:r>
    </w:p>
    <w:p w:rsidR="00276ED8" w:rsidRPr="00081E64" w:rsidRDefault="00276ED8" w:rsidP="00276ED8">
      <w:pPr>
        <w:widowControl w:val="0"/>
        <w:autoSpaceDE w:val="0"/>
        <w:autoSpaceDN w:val="0"/>
        <w:adjustRightInd w:val="0"/>
        <w:contextualSpacing/>
        <w:textAlignment w:val="center"/>
        <w:rPr>
          <w:rFonts w:cs="Arial"/>
          <w:lang w:val="fr-CH"/>
        </w:rPr>
      </w:pPr>
    </w:p>
    <w:p w:rsidR="00276ED8" w:rsidRPr="00081E64" w:rsidRDefault="00276ED8" w:rsidP="00276ED8">
      <w:pPr>
        <w:widowControl w:val="0"/>
        <w:autoSpaceDE w:val="0"/>
        <w:autoSpaceDN w:val="0"/>
        <w:adjustRightInd w:val="0"/>
        <w:contextualSpacing/>
        <w:textAlignment w:val="center"/>
        <w:rPr>
          <w:rFonts w:cs="Arial"/>
          <w:lang w:val="fr-CH"/>
        </w:rPr>
      </w:pPr>
      <w:r w:rsidRPr="00081E64">
        <w:rPr>
          <w:rFonts w:cs="Arial"/>
          <w:lang w:val="fr-CH"/>
        </w:rPr>
        <w:t>Au total, plus d</w:t>
      </w:r>
      <w:r>
        <w:rPr>
          <w:rFonts w:cs="Arial"/>
          <w:lang w:val="fr-CH"/>
        </w:rPr>
        <w:t>’</w:t>
      </w:r>
      <w:r w:rsidRPr="00081E64">
        <w:rPr>
          <w:rFonts w:cs="Arial"/>
          <w:lang w:val="fr-CH"/>
        </w:rPr>
        <w:t>un million d</w:t>
      </w:r>
      <w:r>
        <w:rPr>
          <w:rFonts w:cs="Arial"/>
          <w:lang w:val="fr-CH"/>
        </w:rPr>
        <w:t>’</w:t>
      </w:r>
      <w:r w:rsidRPr="00081E64">
        <w:rPr>
          <w:rFonts w:cs="Arial"/>
          <w:lang w:val="fr-CH"/>
        </w:rPr>
        <w:t>archives provenant des États membres de l</w:t>
      </w:r>
      <w:r>
        <w:rPr>
          <w:rFonts w:cs="Arial"/>
          <w:lang w:val="fr-CH"/>
        </w:rPr>
        <w:t>’</w:t>
      </w:r>
      <w:r w:rsidRPr="00081E64">
        <w:rPr>
          <w:rFonts w:cs="Arial"/>
          <w:lang w:val="fr-CH"/>
        </w:rPr>
        <w:t>UE et de l</w:t>
      </w:r>
      <w:r>
        <w:rPr>
          <w:rFonts w:cs="Arial"/>
          <w:lang w:val="fr-CH"/>
        </w:rPr>
        <w:t>’</w:t>
      </w:r>
      <w:r w:rsidRPr="00081E64">
        <w:rPr>
          <w:rFonts w:cs="Arial"/>
          <w:lang w:val="fr-CH"/>
        </w:rPr>
        <w:t xml:space="preserve">UPOV ont été incluses dans </w:t>
      </w:r>
      <w:proofErr w:type="spellStart"/>
      <w:r w:rsidRPr="00081E64">
        <w:rPr>
          <w:rFonts w:cs="Arial"/>
          <w:lang w:val="fr-CH"/>
        </w:rPr>
        <w:t>Variety</w:t>
      </w:r>
      <w:proofErr w:type="spellEnd"/>
      <w:r w:rsidRPr="00081E64">
        <w:rPr>
          <w:rFonts w:cs="Arial"/>
          <w:lang w:val="fr-CH"/>
        </w:rPr>
        <w:t xml:space="preserve"> Finder</w:t>
      </w:r>
      <w:r>
        <w:rPr>
          <w:rFonts w:cs="Arial"/>
          <w:lang w:val="fr-CH"/>
        </w:rPr>
        <w:t xml:space="preserve">.  </w:t>
      </w:r>
      <w:r w:rsidRPr="00081E64">
        <w:rPr>
          <w:rFonts w:cs="Arial"/>
          <w:lang w:val="fr-CH"/>
        </w:rPr>
        <w:t>Ces dernières années, l</w:t>
      </w:r>
      <w:r>
        <w:rPr>
          <w:rFonts w:cs="Arial"/>
          <w:lang w:val="fr-CH"/>
        </w:rPr>
        <w:t>’</w:t>
      </w:r>
      <w:r w:rsidRPr="00081E64">
        <w:rPr>
          <w:rFonts w:cs="Arial"/>
          <w:lang w:val="fr-CH"/>
        </w:rPr>
        <w:t xml:space="preserve">utilisation du </w:t>
      </w:r>
      <w:proofErr w:type="spellStart"/>
      <w:r w:rsidRPr="00081E64">
        <w:rPr>
          <w:rFonts w:cs="Arial"/>
          <w:lang w:val="fr-CH"/>
        </w:rPr>
        <w:t>Variety</w:t>
      </w:r>
      <w:proofErr w:type="spellEnd"/>
      <w:r w:rsidRPr="00081E64">
        <w:rPr>
          <w:rFonts w:cs="Arial"/>
          <w:lang w:val="fr-CH"/>
        </w:rPr>
        <w:t xml:space="preserve"> Finder est en constante augmentation</w:t>
      </w:r>
      <w:r>
        <w:rPr>
          <w:rFonts w:cs="Arial"/>
          <w:lang w:val="fr-CH"/>
        </w:rPr>
        <w:t xml:space="preserve">.  </w:t>
      </w:r>
      <w:r w:rsidRPr="00081E64">
        <w:rPr>
          <w:rFonts w:cs="Arial"/>
          <w:lang w:val="fr-CH" w:eastAsia="zh-CN"/>
        </w:rPr>
        <w:t>Les clients de l</w:t>
      </w:r>
      <w:r>
        <w:rPr>
          <w:rFonts w:cs="Arial"/>
          <w:lang w:val="fr-CH" w:eastAsia="zh-CN"/>
        </w:rPr>
        <w:t>’</w:t>
      </w:r>
      <w:r w:rsidRPr="00081E64">
        <w:rPr>
          <w:rFonts w:cs="Arial"/>
          <w:lang w:val="fr-CH" w:eastAsia="zh-CN"/>
        </w:rPr>
        <w:t>OCVV représentant la majorité des utilisateurs avec plus de 50% de tests de similitude lancés</w:t>
      </w:r>
      <w:r>
        <w:rPr>
          <w:rFonts w:cs="Arial"/>
          <w:lang w:val="fr-CH" w:eastAsia="zh-CN"/>
        </w:rPr>
        <w:t xml:space="preserve">.  </w:t>
      </w:r>
      <w:r w:rsidRPr="00081E64">
        <w:rPr>
          <w:rFonts w:cs="Arial"/>
          <w:lang w:val="fr-CH" w:eastAsia="zh-CN"/>
        </w:rPr>
        <w:t>Environ 80 000 tests de similitude de dénomination sont lancés chaque année.</w:t>
      </w:r>
    </w:p>
    <w:p w:rsidR="00276ED8" w:rsidRPr="00081E64" w:rsidRDefault="00276ED8" w:rsidP="00276ED8">
      <w:pPr>
        <w:widowControl w:val="0"/>
        <w:autoSpaceDE w:val="0"/>
        <w:autoSpaceDN w:val="0"/>
        <w:adjustRightInd w:val="0"/>
        <w:contextualSpacing/>
        <w:textAlignment w:val="center"/>
        <w:rPr>
          <w:rFonts w:cs="Arial"/>
          <w:lang w:val="fr-CH"/>
        </w:rPr>
      </w:pPr>
    </w:p>
    <w:p w:rsidR="00276ED8" w:rsidRPr="00081E64" w:rsidRDefault="00276ED8" w:rsidP="00276ED8">
      <w:pPr>
        <w:widowControl w:val="0"/>
        <w:autoSpaceDE w:val="0"/>
        <w:autoSpaceDN w:val="0"/>
        <w:adjustRightInd w:val="0"/>
        <w:contextualSpacing/>
        <w:textAlignment w:val="center"/>
        <w:rPr>
          <w:rFonts w:cs="Arial"/>
          <w:lang w:val="fr-CH"/>
        </w:rPr>
      </w:pPr>
      <w:r w:rsidRPr="00081E64">
        <w:rPr>
          <w:rFonts w:cs="Arial"/>
          <w:lang w:val="fr-CH"/>
        </w:rPr>
        <w:t>Le graphique ci</w:t>
      </w:r>
      <w:r>
        <w:rPr>
          <w:rFonts w:cs="Arial"/>
          <w:lang w:val="fr-CH"/>
        </w:rPr>
        <w:t>-</w:t>
      </w:r>
      <w:r w:rsidRPr="00081E64">
        <w:rPr>
          <w:rFonts w:cs="Arial"/>
          <w:lang w:val="fr-CH"/>
        </w:rPr>
        <w:t>après donne un aperçu du contenu de la base de données, avec le nombre d</w:t>
      </w:r>
      <w:r>
        <w:rPr>
          <w:rFonts w:cs="Arial"/>
          <w:lang w:val="fr-CH"/>
        </w:rPr>
        <w:t>’</w:t>
      </w:r>
      <w:r w:rsidRPr="00081E64">
        <w:rPr>
          <w:rFonts w:cs="Arial"/>
          <w:lang w:val="fr-CH"/>
        </w:rPr>
        <w:t>enregistrements par type de registre.</w:t>
      </w:r>
    </w:p>
    <w:p w:rsidR="00276ED8" w:rsidRPr="00081E64" w:rsidRDefault="00276ED8" w:rsidP="00276ED8">
      <w:pPr>
        <w:widowControl w:val="0"/>
        <w:autoSpaceDE w:val="0"/>
        <w:autoSpaceDN w:val="0"/>
        <w:adjustRightInd w:val="0"/>
        <w:contextualSpacing/>
        <w:textAlignment w:val="center"/>
        <w:rPr>
          <w:rFonts w:cs="Arial"/>
          <w:lang w:val="fr-CH"/>
        </w:rPr>
      </w:pPr>
    </w:p>
    <w:p w:rsidR="00276ED8" w:rsidRPr="00081E64" w:rsidRDefault="00466EA4" w:rsidP="00276ED8">
      <w:pPr>
        <w:widowControl w:val="0"/>
        <w:autoSpaceDE w:val="0"/>
        <w:autoSpaceDN w:val="0"/>
        <w:adjustRightInd w:val="0"/>
        <w:contextualSpacing/>
        <w:jc w:val="center"/>
        <w:textAlignment w:val="center"/>
        <w:rPr>
          <w:rFonts w:cs="Arial"/>
        </w:rPr>
      </w:pPr>
      <w:r w:rsidRPr="00466EA4">
        <w:drawing>
          <wp:inline distT="0" distB="0" distL="0" distR="0">
            <wp:extent cx="4931513" cy="2830881"/>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37341" cy="2834227"/>
                    </a:xfrm>
                    <a:prstGeom prst="rect">
                      <a:avLst/>
                    </a:prstGeom>
                    <a:noFill/>
                    <a:ln>
                      <a:noFill/>
                    </a:ln>
                  </pic:spPr>
                </pic:pic>
              </a:graphicData>
            </a:graphic>
          </wp:inline>
        </w:drawing>
      </w:r>
    </w:p>
    <w:p w:rsidR="00276ED8" w:rsidRPr="00081E64" w:rsidRDefault="00276ED8" w:rsidP="00276ED8">
      <w:pPr>
        <w:contextualSpacing/>
        <w:rPr>
          <w:rFonts w:cs="Arial"/>
        </w:rPr>
      </w:pPr>
    </w:p>
    <w:p w:rsidR="00276ED8" w:rsidRPr="00081E64" w:rsidRDefault="00276ED8" w:rsidP="00276ED8">
      <w:pPr>
        <w:keepNext/>
        <w:tabs>
          <w:tab w:val="left" w:pos="142"/>
        </w:tabs>
        <w:autoSpaceDE w:val="0"/>
        <w:autoSpaceDN w:val="0"/>
        <w:adjustRightInd w:val="0"/>
        <w:contextualSpacing/>
        <w:rPr>
          <w:rFonts w:cs="Arial"/>
          <w:u w:val="single"/>
          <w:lang w:val="fr-CH"/>
        </w:rPr>
      </w:pPr>
      <w:r w:rsidRPr="00081E64">
        <w:rPr>
          <w:rFonts w:cs="Arial"/>
          <w:u w:val="single"/>
          <w:lang w:val="fr-CH"/>
        </w:rPr>
        <w:t>d. Coopération avec les États membres de l</w:t>
      </w:r>
      <w:r>
        <w:rPr>
          <w:rFonts w:cs="Arial"/>
          <w:u w:val="single"/>
          <w:lang w:val="fr-CH"/>
        </w:rPr>
        <w:t>’</w:t>
      </w:r>
      <w:r w:rsidRPr="00081E64">
        <w:rPr>
          <w:rFonts w:cs="Arial"/>
          <w:u w:val="single"/>
          <w:lang w:val="fr-CH"/>
        </w:rPr>
        <w:t>Union européenne en matière d</w:t>
      </w:r>
      <w:r>
        <w:rPr>
          <w:rFonts w:cs="Arial"/>
          <w:u w:val="single"/>
          <w:lang w:val="fr-CH"/>
        </w:rPr>
        <w:t>’</w:t>
      </w:r>
      <w:r w:rsidRPr="00081E64">
        <w:rPr>
          <w:rFonts w:cs="Arial"/>
          <w:u w:val="single"/>
          <w:lang w:val="fr-CH"/>
        </w:rPr>
        <w:t>essais de dénomination</w:t>
      </w:r>
    </w:p>
    <w:p w:rsidR="00276ED8" w:rsidRPr="00081E64" w:rsidRDefault="00276ED8" w:rsidP="00276ED8">
      <w:pPr>
        <w:keepNext/>
        <w:tabs>
          <w:tab w:val="left" w:pos="142"/>
        </w:tabs>
        <w:autoSpaceDE w:val="0"/>
        <w:autoSpaceDN w:val="0"/>
        <w:adjustRightInd w:val="0"/>
        <w:contextualSpacing/>
        <w:rPr>
          <w:rFonts w:cs="Arial"/>
          <w:lang w:val="fr-CH"/>
        </w:rPr>
      </w:pPr>
    </w:p>
    <w:p w:rsidR="00276ED8" w:rsidRDefault="00276ED8" w:rsidP="00276ED8">
      <w:pPr>
        <w:keepNext/>
        <w:tabs>
          <w:tab w:val="left" w:pos="142"/>
        </w:tabs>
        <w:autoSpaceDE w:val="0"/>
        <w:autoSpaceDN w:val="0"/>
        <w:adjustRightInd w:val="0"/>
        <w:contextualSpacing/>
        <w:jc w:val="left"/>
        <w:rPr>
          <w:rFonts w:cs="Arial"/>
          <w:lang w:val="fr-CH"/>
        </w:rPr>
      </w:pPr>
      <w:r w:rsidRPr="00081E64">
        <w:rPr>
          <w:rFonts w:cs="Arial"/>
          <w:lang w:val="fr-CH"/>
        </w:rPr>
        <w:t>Nombre de demandes d</w:t>
      </w:r>
      <w:r>
        <w:rPr>
          <w:rFonts w:cs="Arial"/>
          <w:lang w:val="fr-CH"/>
        </w:rPr>
        <w:t>’</w:t>
      </w:r>
      <w:r w:rsidRPr="00081E64">
        <w:rPr>
          <w:rFonts w:cs="Arial"/>
          <w:lang w:val="fr-CH"/>
        </w:rPr>
        <w:t>analyse reçues et de services nationaux fournissant des données au 31 décembre 2019 (2012</w:t>
      </w:r>
      <w:r>
        <w:rPr>
          <w:rFonts w:cs="Arial"/>
          <w:lang w:val="fr-CH"/>
        </w:rPr>
        <w:t>-</w:t>
      </w:r>
      <w:r w:rsidRPr="00081E64">
        <w:rPr>
          <w:rFonts w:cs="Arial"/>
          <w:lang w:val="fr-CH"/>
        </w:rPr>
        <w:t>2019)</w:t>
      </w:r>
    </w:p>
    <w:p w:rsidR="00466EA4" w:rsidRPr="00081E64" w:rsidRDefault="00466EA4" w:rsidP="00276ED8">
      <w:pPr>
        <w:keepNext/>
        <w:tabs>
          <w:tab w:val="left" w:pos="142"/>
        </w:tabs>
        <w:autoSpaceDE w:val="0"/>
        <w:autoSpaceDN w:val="0"/>
        <w:adjustRightInd w:val="0"/>
        <w:contextualSpacing/>
        <w:jc w:val="left"/>
        <w:rPr>
          <w:rFonts w:cs="Arial"/>
          <w:lang w:val="fr-CH"/>
        </w:rPr>
      </w:pPr>
    </w:p>
    <w:p w:rsidR="00276ED8" w:rsidRPr="00081E64" w:rsidRDefault="00466EA4" w:rsidP="00466EA4">
      <w:pPr>
        <w:tabs>
          <w:tab w:val="left" w:pos="142"/>
        </w:tabs>
        <w:autoSpaceDE w:val="0"/>
        <w:autoSpaceDN w:val="0"/>
        <w:adjustRightInd w:val="0"/>
        <w:contextualSpacing/>
        <w:jc w:val="center"/>
        <w:rPr>
          <w:rFonts w:cs="Arial"/>
        </w:rPr>
      </w:pPr>
      <w:r w:rsidRPr="00466EA4">
        <w:drawing>
          <wp:inline distT="0" distB="0" distL="0" distR="0">
            <wp:extent cx="5180390" cy="311318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83863" cy="3115276"/>
                    </a:xfrm>
                    <a:prstGeom prst="rect">
                      <a:avLst/>
                    </a:prstGeom>
                    <a:noFill/>
                    <a:ln>
                      <a:noFill/>
                    </a:ln>
                  </pic:spPr>
                </pic:pic>
              </a:graphicData>
            </a:graphic>
          </wp:inline>
        </w:drawing>
      </w:r>
    </w:p>
    <w:p w:rsidR="00276ED8" w:rsidRPr="00081E64" w:rsidRDefault="00276ED8" w:rsidP="00276ED8">
      <w:pPr>
        <w:tabs>
          <w:tab w:val="left" w:pos="142"/>
        </w:tabs>
        <w:autoSpaceDE w:val="0"/>
        <w:autoSpaceDN w:val="0"/>
        <w:adjustRightInd w:val="0"/>
        <w:contextualSpacing/>
        <w:rPr>
          <w:rFonts w:eastAsia="MyriadPro-Light" w:cs="Arial"/>
        </w:rPr>
      </w:pPr>
    </w:p>
    <w:p w:rsidR="00276ED8" w:rsidRPr="00081E64" w:rsidRDefault="00276ED8" w:rsidP="00276ED8">
      <w:pPr>
        <w:tabs>
          <w:tab w:val="left" w:pos="142"/>
        </w:tabs>
        <w:autoSpaceDE w:val="0"/>
        <w:autoSpaceDN w:val="0"/>
        <w:adjustRightInd w:val="0"/>
        <w:contextualSpacing/>
        <w:rPr>
          <w:rFonts w:eastAsia="MyriadPro-Light" w:cs="Arial"/>
          <w:lang w:val="fr-CH"/>
        </w:rPr>
      </w:pPr>
      <w:r w:rsidRPr="00081E64">
        <w:rPr>
          <w:rFonts w:eastAsia="MyriadPro-Light" w:cs="Arial"/>
          <w:lang w:val="fr-CH"/>
        </w:rPr>
        <w:t>Malgré un léger recul du nombre de demandes d</w:t>
      </w:r>
      <w:r>
        <w:rPr>
          <w:rFonts w:eastAsia="MyriadPro-Light" w:cs="Arial"/>
          <w:lang w:val="fr-CH"/>
        </w:rPr>
        <w:t>’</w:t>
      </w:r>
      <w:r w:rsidRPr="00081E64">
        <w:rPr>
          <w:rFonts w:eastAsia="MyriadPro-Light" w:cs="Arial"/>
          <w:lang w:val="fr-CH"/>
        </w:rPr>
        <w:t>opinion en 2019, la coopération en matière d</w:t>
      </w:r>
      <w:r>
        <w:rPr>
          <w:rFonts w:eastAsia="MyriadPro-Light" w:cs="Arial"/>
          <w:lang w:val="fr-CH"/>
        </w:rPr>
        <w:t>’</w:t>
      </w:r>
      <w:r w:rsidRPr="00081E64">
        <w:rPr>
          <w:rFonts w:eastAsia="MyriadPro-Light" w:cs="Arial"/>
          <w:lang w:val="fr-CH"/>
        </w:rPr>
        <w:t>essais de dénomination a fait preuve d</w:t>
      </w:r>
      <w:r>
        <w:rPr>
          <w:rFonts w:eastAsia="MyriadPro-Light" w:cs="Arial"/>
          <w:lang w:val="fr-CH"/>
        </w:rPr>
        <w:t>’</w:t>
      </w:r>
      <w:r w:rsidRPr="00081E64">
        <w:rPr>
          <w:rFonts w:eastAsia="MyriadPro-Light" w:cs="Arial"/>
          <w:lang w:val="fr-CH"/>
        </w:rPr>
        <w:t>une grande vitalité au fil du temps</w:t>
      </w:r>
      <w:r>
        <w:rPr>
          <w:rFonts w:eastAsia="MyriadPro-Light" w:cs="Arial"/>
          <w:lang w:val="fr-CH"/>
        </w:rPr>
        <w:t xml:space="preserve">.  </w:t>
      </w:r>
      <w:r w:rsidRPr="00081E64">
        <w:rPr>
          <w:rFonts w:eastAsia="MyriadPro-Light" w:cs="Arial"/>
          <w:lang w:val="fr-CH"/>
        </w:rPr>
        <w:t>Ce service assure l</w:t>
      </w:r>
      <w:r>
        <w:rPr>
          <w:rFonts w:eastAsia="MyriadPro-Light" w:cs="Arial"/>
          <w:lang w:val="fr-CH"/>
        </w:rPr>
        <w:t>’</w:t>
      </w:r>
      <w:r w:rsidRPr="00081E64">
        <w:rPr>
          <w:rFonts w:eastAsia="MyriadPro-Light" w:cs="Arial"/>
          <w:lang w:val="fr-CH"/>
        </w:rPr>
        <w:t>harmonisation des approches et une plus grande convergence dans l</w:t>
      </w:r>
      <w:r>
        <w:rPr>
          <w:rFonts w:eastAsia="MyriadPro-Light" w:cs="Arial"/>
          <w:lang w:val="fr-CH"/>
        </w:rPr>
        <w:t>’</w:t>
      </w:r>
      <w:r w:rsidRPr="00081E64">
        <w:rPr>
          <w:rFonts w:eastAsia="MyriadPro-Light" w:cs="Arial"/>
          <w:lang w:val="fr-CH"/>
        </w:rPr>
        <w:t>application et la mise en œuvre des règles en matière de dénomination, au bénéfice du système de protection des obtentions végétales et des parties concernées</w:t>
      </w:r>
      <w:r>
        <w:rPr>
          <w:rFonts w:eastAsia="MyriadPro-Light" w:cs="Arial"/>
          <w:lang w:val="fr-CH"/>
        </w:rPr>
        <w:t xml:space="preserve">.  </w:t>
      </w:r>
      <w:r w:rsidRPr="00081E64">
        <w:rPr>
          <w:rFonts w:eastAsia="MyriadPro-Light" w:cs="Arial"/>
          <w:lang w:val="fr-CH"/>
        </w:rPr>
        <w:t>Le service de coopération est fondé sur un processus dynamique et collaboratif qui permet de rester réactif en ce qui concerne l</w:t>
      </w:r>
      <w:r>
        <w:rPr>
          <w:rFonts w:eastAsia="MyriadPro-Light" w:cs="Arial"/>
          <w:lang w:val="fr-CH"/>
        </w:rPr>
        <w:t>’</w:t>
      </w:r>
      <w:r w:rsidRPr="00081E64">
        <w:rPr>
          <w:rFonts w:eastAsia="MyriadPro-Light" w:cs="Arial"/>
          <w:lang w:val="fr-CH"/>
        </w:rPr>
        <w:t>interprétation des règles et les besoins d</w:t>
      </w:r>
      <w:r>
        <w:rPr>
          <w:rFonts w:eastAsia="MyriadPro-Light" w:cs="Arial"/>
          <w:lang w:val="fr-CH"/>
        </w:rPr>
        <w:t>’</w:t>
      </w:r>
      <w:r w:rsidRPr="00081E64">
        <w:rPr>
          <w:rFonts w:eastAsia="MyriadPro-Light" w:cs="Arial"/>
          <w:lang w:val="fr-CH"/>
        </w:rPr>
        <w:t>évolution.</w:t>
      </w:r>
    </w:p>
    <w:p w:rsidR="00276ED8" w:rsidRPr="00081E64" w:rsidRDefault="00276ED8" w:rsidP="00276ED8">
      <w:pPr>
        <w:contextualSpacing/>
        <w:rPr>
          <w:rFonts w:cs="Arial"/>
          <w:u w:val="single"/>
          <w:lang w:val="fr-CH"/>
        </w:rPr>
      </w:pPr>
    </w:p>
    <w:p w:rsidR="00276ED8" w:rsidRPr="00081E64" w:rsidRDefault="00276ED8" w:rsidP="00466EA4">
      <w:pPr>
        <w:keepNext/>
        <w:contextualSpacing/>
        <w:rPr>
          <w:rFonts w:cs="Arial"/>
          <w:u w:val="single"/>
          <w:lang w:val="fr-CH"/>
        </w:rPr>
      </w:pPr>
      <w:r w:rsidRPr="00081E64">
        <w:rPr>
          <w:rFonts w:cs="Arial"/>
          <w:u w:val="single"/>
          <w:lang w:val="fr-CH"/>
        </w:rPr>
        <w:t>4.2 Réunion d</w:t>
      </w:r>
      <w:r>
        <w:rPr>
          <w:rFonts w:cs="Arial"/>
          <w:u w:val="single"/>
          <w:lang w:val="fr-CH"/>
        </w:rPr>
        <w:t>’</w:t>
      </w:r>
      <w:r w:rsidRPr="00081E64">
        <w:rPr>
          <w:rFonts w:cs="Arial"/>
          <w:u w:val="single"/>
          <w:lang w:val="fr-CH"/>
        </w:rPr>
        <w:t>experts de plantes</w:t>
      </w:r>
    </w:p>
    <w:p w:rsidR="00276ED8" w:rsidRPr="00081E64" w:rsidRDefault="00276ED8" w:rsidP="00466EA4">
      <w:pPr>
        <w:keepNext/>
        <w:autoSpaceDE w:val="0"/>
        <w:autoSpaceDN w:val="0"/>
        <w:adjustRightInd w:val="0"/>
        <w:contextualSpacing/>
        <w:rPr>
          <w:rFonts w:cs="Arial"/>
          <w:lang w:val="fr-CH" w:eastAsia="en-GB"/>
        </w:rPr>
      </w:pPr>
    </w:p>
    <w:p w:rsidR="00276ED8" w:rsidRPr="00081E64" w:rsidRDefault="00276ED8" w:rsidP="00466EA4">
      <w:pPr>
        <w:keepNext/>
        <w:autoSpaceDE w:val="0"/>
        <w:autoSpaceDN w:val="0"/>
        <w:adjustRightInd w:val="0"/>
        <w:contextualSpacing/>
        <w:rPr>
          <w:rFonts w:cs="Arial"/>
          <w:lang w:val="fr-CH" w:eastAsia="en-GB"/>
        </w:rPr>
      </w:pPr>
      <w:r w:rsidRPr="00081E64">
        <w:rPr>
          <w:rFonts w:cs="Arial"/>
          <w:lang w:val="fr-CH" w:eastAsia="en-GB"/>
        </w:rPr>
        <w:t>Une réunion d</w:t>
      </w:r>
      <w:r>
        <w:rPr>
          <w:rFonts w:cs="Arial"/>
          <w:lang w:val="fr-CH" w:eastAsia="en-GB"/>
        </w:rPr>
        <w:t>’</w:t>
      </w:r>
      <w:r w:rsidRPr="00081E64">
        <w:rPr>
          <w:rFonts w:cs="Arial"/>
          <w:lang w:val="fr-CH" w:eastAsia="en-GB"/>
        </w:rPr>
        <w:t>experts agricoles s</w:t>
      </w:r>
      <w:r>
        <w:rPr>
          <w:rFonts w:cs="Arial"/>
          <w:lang w:val="fr-CH" w:eastAsia="en-GB"/>
        </w:rPr>
        <w:t>’</w:t>
      </w:r>
      <w:r w:rsidRPr="00081E64">
        <w:rPr>
          <w:rFonts w:cs="Arial"/>
          <w:lang w:val="fr-CH" w:eastAsia="en-GB"/>
        </w:rPr>
        <w:t>est tenue en octobre 2020 pour débattre des points suivants</w:t>
      </w:r>
      <w:r>
        <w:rPr>
          <w:rFonts w:cs="Arial"/>
          <w:lang w:val="fr-CH" w:eastAsia="en-GB"/>
        </w:rPr>
        <w:t> :</w:t>
      </w:r>
    </w:p>
    <w:p w:rsidR="00276ED8" w:rsidRPr="00081E64" w:rsidRDefault="00276ED8" w:rsidP="00466EA4">
      <w:pPr>
        <w:keepNext/>
        <w:autoSpaceDE w:val="0"/>
        <w:autoSpaceDN w:val="0"/>
        <w:adjustRightInd w:val="0"/>
        <w:contextualSpacing/>
        <w:rPr>
          <w:rFonts w:cs="Arial"/>
          <w:lang w:val="fr-CH" w:eastAsia="en-GB"/>
        </w:rPr>
      </w:pP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examen des blés hybrides et la prise en considération des plantes allongées comme une nouvelle forme de hors</w:t>
      </w:r>
      <w:r>
        <w:rPr>
          <w:rFonts w:cs="Arial"/>
          <w:lang w:val="fr-CH"/>
        </w:rPr>
        <w:t>-</w:t>
      </w:r>
      <w:r w:rsidRPr="00081E64">
        <w:rPr>
          <w:rFonts w:cs="Arial"/>
          <w:lang w:val="fr-CH"/>
        </w:rPr>
        <w:t>type dans le blé,</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observation de certains caractères une seule fois dans les essais pluriannuels,</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remplacement des numéros de la FAO par l</w:t>
      </w:r>
      <w:r>
        <w:rPr>
          <w:rFonts w:cs="Arial"/>
          <w:lang w:val="fr-CH"/>
        </w:rPr>
        <w:t>’</w:t>
      </w:r>
      <w:r w:rsidRPr="00081E64">
        <w:rPr>
          <w:rFonts w:cs="Arial"/>
          <w:lang w:val="fr-CH"/>
        </w:rPr>
        <w:t>époque de floraison du maïs,</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méthodes de plantation cyclique dans les essais concernant les graminées,</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la mise à jour de la stratégie de recherche</w:t>
      </w:r>
      <w:r>
        <w:rPr>
          <w:rFonts w:cs="Arial"/>
          <w:lang w:val="fr-CH"/>
        </w:rPr>
        <w:t>-</w:t>
      </w:r>
      <w:r w:rsidRPr="00081E64">
        <w:rPr>
          <w:rFonts w:cs="Arial"/>
          <w:lang w:val="fr-CH"/>
        </w:rPr>
        <w:t>développement de l</w:t>
      </w:r>
      <w:r>
        <w:rPr>
          <w:rFonts w:cs="Arial"/>
          <w:lang w:val="fr-CH"/>
        </w:rPr>
        <w:t>’</w:t>
      </w:r>
      <w:r w:rsidRPr="00081E64">
        <w:rPr>
          <w:rFonts w:cs="Arial"/>
          <w:lang w:val="fr-CH"/>
        </w:rPr>
        <w:t>office a été fournie,</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révision de plusieurs protocoles techniques et nouveaux protocoles techniques.</w:t>
      </w:r>
    </w:p>
    <w:p w:rsidR="00276ED8" w:rsidRPr="00081E64" w:rsidRDefault="00276ED8" w:rsidP="00276ED8">
      <w:pPr>
        <w:autoSpaceDE w:val="0"/>
        <w:autoSpaceDN w:val="0"/>
        <w:adjustRightInd w:val="0"/>
        <w:contextualSpacing/>
        <w:rPr>
          <w:rFonts w:cs="Arial"/>
          <w:lang w:val="fr-CH" w:eastAsia="en-GB"/>
        </w:rPr>
      </w:pPr>
    </w:p>
    <w:p w:rsidR="00276ED8" w:rsidRPr="00081E64" w:rsidRDefault="00276ED8" w:rsidP="00276ED8">
      <w:pPr>
        <w:autoSpaceDE w:val="0"/>
        <w:autoSpaceDN w:val="0"/>
        <w:adjustRightInd w:val="0"/>
        <w:contextualSpacing/>
        <w:rPr>
          <w:rFonts w:cs="Arial"/>
          <w:lang w:val="fr-CH" w:eastAsia="en-GB"/>
        </w:rPr>
      </w:pPr>
      <w:r w:rsidRPr="00081E64">
        <w:rPr>
          <w:rFonts w:cs="Arial"/>
          <w:lang w:val="fr-CH" w:eastAsia="en-GB"/>
        </w:rPr>
        <w:t>Une réunion d</w:t>
      </w:r>
      <w:r>
        <w:rPr>
          <w:rFonts w:cs="Arial"/>
          <w:lang w:val="fr-CH" w:eastAsia="en-GB"/>
        </w:rPr>
        <w:t>’</w:t>
      </w:r>
      <w:r w:rsidRPr="00081E64">
        <w:rPr>
          <w:rFonts w:cs="Arial"/>
          <w:lang w:val="fr-CH" w:eastAsia="en-GB"/>
        </w:rPr>
        <w:t>experts des plantes potagères a été organisée les 2 et 3 décembre 2020 pour débattre des points suivants</w:t>
      </w:r>
      <w:r>
        <w:rPr>
          <w:rFonts w:cs="Arial"/>
          <w:lang w:val="fr-CH" w:eastAsia="en-GB"/>
        </w:rPr>
        <w:t> :</w:t>
      </w:r>
    </w:p>
    <w:p w:rsidR="00276ED8" w:rsidRPr="00081E64" w:rsidRDefault="00276ED8" w:rsidP="00276ED8">
      <w:pPr>
        <w:autoSpaceDE w:val="0"/>
        <w:autoSpaceDN w:val="0"/>
        <w:adjustRightInd w:val="0"/>
        <w:contextualSpacing/>
        <w:rPr>
          <w:rFonts w:cs="Arial"/>
          <w:lang w:val="fr-CH" w:eastAsia="en-GB"/>
        </w:rPr>
      </w:pPr>
    </w:p>
    <w:p w:rsidR="00276ED8" w:rsidRPr="00081E64" w:rsidRDefault="00276ED8" w:rsidP="00276ED8">
      <w:pPr>
        <w:numPr>
          <w:ilvl w:val="0"/>
          <w:numId w:val="4"/>
        </w:numPr>
        <w:autoSpaceDE w:val="0"/>
        <w:autoSpaceDN w:val="0"/>
        <w:adjustRightInd w:val="0"/>
        <w:contextualSpacing/>
        <w:rPr>
          <w:rFonts w:cs="Arial"/>
          <w:lang w:val="fr-CH"/>
        </w:rPr>
      </w:pPr>
      <w:r w:rsidRPr="00081E64">
        <w:rPr>
          <w:rFonts w:cs="Arial"/>
          <w:lang w:val="fr-CH"/>
        </w:rPr>
        <w:t>fusion de la Gazette S2 et S3 de l</w:t>
      </w:r>
      <w:r>
        <w:rPr>
          <w:rFonts w:cs="Arial"/>
          <w:lang w:val="fr-CH"/>
        </w:rPr>
        <w:t>’</w:t>
      </w:r>
      <w:r w:rsidRPr="00081E64">
        <w:rPr>
          <w:rFonts w:cs="Arial"/>
          <w:lang w:val="fr-CH"/>
        </w:rPr>
        <w:t>office et ses conséquences sur les types d</w:t>
      </w:r>
      <w:r>
        <w:rPr>
          <w:rFonts w:cs="Arial"/>
          <w:lang w:val="fr-CH"/>
        </w:rPr>
        <w:t>’</w:t>
      </w:r>
      <w:r w:rsidRPr="00081E64">
        <w:rPr>
          <w:rFonts w:cs="Arial"/>
          <w:lang w:val="fr-CH"/>
        </w:rPr>
        <w:t>habilitation et de culture,</w:t>
      </w:r>
    </w:p>
    <w:p w:rsidR="00276ED8" w:rsidRPr="00081E64" w:rsidRDefault="00276ED8" w:rsidP="00276ED8">
      <w:pPr>
        <w:numPr>
          <w:ilvl w:val="0"/>
          <w:numId w:val="4"/>
        </w:numPr>
        <w:autoSpaceDE w:val="0"/>
        <w:autoSpaceDN w:val="0"/>
        <w:adjustRightInd w:val="0"/>
        <w:contextualSpacing/>
        <w:rPr>
          <w:rFonts w:cs="Arial"/>
          <w:lang w:val="fr-CH"/>
        </w:rPr>
      </w:pPr>
      <w:r w:rsidRPr="00081E64">
        <w:rPr>
          <w:rFonts w:cs="Arial"/>
          <w:lang w:val="fr-CH"/>
        </w:rPr>
        <w:t>passeport et certificats phytosanitaires de l</w:t>
      </w:r>
      <w:r>
        <w:rPr>
          <w:rFonts w:cs="Arial"/>
          <w:lang w:val="fr-CH"/>
        </w:rPr>
        <w:t>’</w:t>
      </w:r>
      <w:r w:rsidRPr="00081E64">
        <w:rPr>
          <w:rFonts w:cs="Arial"/>
          <w:lang w:val="fr-CH"/>
        </w:rPr>
        <w:t>UE,</w:t>
      </w:r>
    </w:p>
    <w:p w:rsidR="00276ED8" w:rsidRPr="00081E64" w:rsidRDefault="00276ED8" w:rsidP="00276ED8">
      <w:pPr>
        <w:numPr>
          <w:ilvl w:val="0"/>
          <w:numId w:val="4"/>
        </w:numPr>
        <w:autoSpaceDE w:val="0"/>
        <w:autoSpaceDN w:val="0"/>
        <w:adjustRightInd w:val="0"/>
        <w:contextualSpacing/>
        <w:rPr>
          <w:rFonts w:cs="Arial"/>
          <w:lang w:val="fr-CH"/>
        </w:rPr>
      </w:pPr>
      <w:r w:rsidRPr="00081E64">
        <w:rPr>
          <w:rFonts w:cs="Arial"/>
          <w:lang w:val="fr-CH"/>
        </w:rPr>
        <w:t>adoption et publication de protocoles techniques nationaux par l</w:t>
      </w:r>
      <w:r>
        <w:rPr>
          <w:rFonts w:cs="Arial"/>
          <w:lang w:val="fr-CH"/>
        </w:rPr>
        <w:t>’</w:t>
      </w:r>
      <w:r w:rsidRPr="00081E64">
        <w:rPr>
          <w:rFonts w:cs="Arial"/>
          <w:lang w:val="fr-CH"/>
        </w:rPr>
        <w:t>OCVV,</w:t>
      </w:r>
    </w:p>
    <w:p w:rsidR="00276ED8" w:rsidRPr="00081E64" w:rsidRDefault="00276ED8" w:rsidP="00276ED8">
      <w:pPr>
        <w:numPr>
          <w:ilvl w:val="0"/>
          <w:numId w:val="4"/>
        </w:numPr>
        <w:autoSpaceDE w:val="0"/>
        <w:autoSpaceDN w:val="0"/>
        <w:adjustRightInd w:val="0"/>
        <w:contextualSpacing/>
        <w:rPr>
          <w:rFonts w:cs="Arial"/>
          <w:lang w:val="fr-CH" w:eastAsia="en-GB"/>
        </w:rPr>
      </w:pPr>
      <w:r w:rsidRPr="00081E64">
        <w:rPr>
          <w:rFonts w:cs="Arial"/>
          <w:lang w:val="fr-CH" w:eastAsia="en-GB"/>
        </w:rPr>
        <w:t>nouveau modèle de lettre pour l</w:t>
      </w:r>
      <w:r>
        <w:rPr>
          <w:rFonts w:cs="Arial"/>
          <w:lang w:val="fr-CH" w:eastAsia="en-GB"/>
        </w:rPr>
        <w:t>’</w:t>
      </w:r>
      <w:r w:rsidRPr="00081E64">
        <w:rPr>
          <w:rFonts w:cs="Arial"/>
          <w:lang w:val="fr-CH" w:eastAsia="en-GB"/>
        </w:rPr>
        <w:t>obtention de variétés de référence ou organisation de réunions d</w:t>
      </w:r>
      <w:r>
        <w:rPr>
          <w:rFonts w:cs="Arial"/>
          <w:lang w:val="fr-CH" w:eastAsia="en-GB"/>
        </w:rPr>
        <w:t>’</w:t>
      </w:r>
      <w:r w:rsidRPr="00081E64">
        <w:rPr>
          <w:rFonts w:cs="Arial"/>
          <w:lang w:val="fr-CH" w:eastAsia="en-GB"/>
        </w:rPr>
        <w:t>experts sur le terrain,</w:t>
      </w:r>
    </w:p>
    <w:p w:rsidR="00276ED8" w:rsidRPr="00081E64" w:rsidRDefault="00276ED8" w:rsidP="00276ED8">
      <w:pPr>
        <w:numPr>
          <w:ilvl w:val="0"/>
          <w:numId w:val="4"/>
        </w:numPr>
        <w:autoSpaceDE w:val="0"/>
        <w:autoSpaceDN w:val="0"/>
        <w:adjustRightInd w:val="0"/>
        <w:contextualSpacing/>
        <w:rPr>
          <w:rFonts w:cs="Arial"/>
          <w:lang w:val="fr-CH" w:eastAsia="en-GB"/>
        </w:rPr>
      </w:pPr>
      <w:r w:rsidRPr="00081E64">
        <w:rPr>
          <w:rFonts w:cs="Arial"/>
          <w:lang w:val="fr-CH" w:eastAsia="en-GB"/>
        </w:rPr>
        <w:t>révisions de plusieurs protocoles techniques relatifs aux cultures potagères.</w:t>
      </w:r>
    </w:p>
    <w:p w:rsidR="00276ED8" w:rsidRPr="00081E64" w:rsidRDefault="00276ED8" w:rsidP="00276ED8">
      <w:pPr>
        <w:autoSpaceDE w:val="0"/>
        <w:autoSpaceDN w:val="0"/>
        <w:adjustRightInd w:val="0"/>
        <w:contextualSpacing/>
        <w:rPr>
          <w:rFonts w:cs="Arial"/>
          <w:lang w:val="fr-CH" w:eastAsia="en-GB"/>
        </w:rPr>
      </w:pPr>
    </w:p>
    <w:p w:rsidR="00276ED8" w:rsidRPr="00081E64" w:rsidRDefault="00276ED8" w:rsidP="00276ED8">
      <w:pPr>
        <w:autoSpaceDE w:val="0"/>
        <w:autoSpaceDN w:val="0"/>
        <w:adjustRightInd w:val="0"/>
        <w:contextualSpacing/>
        <w:rPr>
          <w:rFonts w:cs="Arial"/>
          <w:lang w:val="fr-CH" w:eastAsia="en-GB"/>
        </w:rPr>
      </w:pPr>
      <w:r w:rsidRPr="00081E64">
        <w:rPr>
          <w:rFonts w:cs="Arial"/>
          <w:lang w:val="fr-CH" w:eastAsia="en-GB"/>
        </w:rPr>
        <w:t>Une réunion d</w:t>
      </w:r>
      <w:r>
        <w:rPr>
          <w:rFonts w:cs="Arial"/>
          <w:lang w:val="fr-CH" w:eastAsia="en-GB"/>
        </w:rPr>
        <w:t>’</w:t>
      </w:r>
      <w:r w:rsidRPr="00081E64">
        <w:rPr>
          <w:rFonts w:cs="Arial"/>
          <w:lang w:val="fr-CH" w:eastAsia="en-GB"/>
        </w:rPr>
        <w:t>experts des plantes fruitières a eu lieu en novembre 2020 pour débattre entre autres des points suivants</w:t>
      </w:r>
      <w:r>
        <w:rPr>
          <w:rFonts w:cs="Arial"/>
          <w:lang w:val="fr-CH" w:eastAsia="en-GB"/>
        </w:rPr>
        <w:t> :</w:t>
      </w:r>
    </w:p>
    <w:p w:rsidR="00276ED8" w:rsidRPr="00081E64" w:rsidRDefault="00276ED8" w:rsidP="00276ED8">
      <w:pPr>
        <w:autoSpaceDE w:val="0"/>
        <w:autoSpaceDN w:val="0"/>
        <w:adjustRightInd w:val="0"/>
        <w:contextualSpacing/>
        <w:rPr>
          <w:rFonts w:cs="Arial"/>
          <w:lang w:val="fr-CH" w:eastAsia="en-GB"/>
        </w:rPr>
      </w:pP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analyse des groupes de mutation du pommier,</w:t>
      </w:r>
    </w:p>
    <w:p w:rsidR="00276ED8" w:rsidRPr="00466EA4" w:rsidRDefault="00276ED8" w:rsidP="00466EA4">
      <w:pPr>
        <w:numPr>
          <w:ilvl w:val="0"/>
          <w:numId w:val="4"/>
        </w:numPr>
        <w:autoSpaceDE w:val="0"/>
        <w:autoSpaceDN w:val="0"/>
        <w:adjustRightInd w:val="0"/>
        <w:contextualSpacing/>
        <w:rPr>
          <w:rFonts w:cs="Arial"/>
          <w:lang w:val="fr-CH"/>
        </w:rPr>
      </w:pPr>
      <w:r w:rsidRPr="00466EA4">
        <w:rPr>
          <w:rFonts w:cs="Arial"/>
          <w:lang w:val="fr-CH"/>
        </w:rPr>
        <w:t>vérifications techniques,</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confirmation aux demandeurs de la réception du matériel végétal,</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lastRenderedPageBreak/>
        <w:t>obtention de variétés de référence pour l</w:t>
      </w:r>
      <w:r>
        <w:rPr>
          <w:rFonts w:cs="Arial"/>
          <w:lang w:val="fr-CH"/>
        </w:rPr>
        <w:t>’</w:t>
      </w:r>
      <w:r w:rsidRPr="00081E64">
        <w:rPr>
          <w:rFonts w:cs="Arial"/>
          <w:lang w:val="fr-CH"/>
        </w:rPr>
        <w:t>examen DHS,</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observation de certains caractères une seule fois dans les essais pluriannuels,</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nombre de plantes de la variété de référence à évaluer,</w:t>
      </w:r>
    </w:p>
    <w:p w:rsidR="00276ED8" w:rsidRPr="00081E64" w:rsidRDefault="00276ED8" w:rsidP="00466EA4">
      <w:pPr>
        <w:numPr>
          <w:ilvl w:val="0"/>
          <w:numId w:val="4"/>
        </w:numPr>
        <w:autoSpaceDE w:val="0"/>
        <w:autoSpaceDN w:val="0"/>
        <w:adjustRightInd w:val="0"/>
        <w:contextualSpacing/>
        <w:rPr>
          <w:rFonts w:cs="Arial"/>
          <w:lang w:val="fr-CH"/>
        </w:rPr>
      </w:pPr>
      <w:r w:rsidRPr="00081E64">
        <w:rPr>
          <w:rFonts w:cs="Arial"/>
          <w:lang w:val="fr-CH"/>
        </w:rPr>
        <w:t>questions phytosanitaires et projets de recherche</w:t>
      </w:r>
      <w:r>
        <w:rPr>
          <w:rFonts w:cs="Arial"/>
          <w:lang w:val="fr-CH"/>
        </w:rPr>
        <w:t>-</w:t>
      </w:r>
      <w:r w:rsidRPr="00081E64">
        <w:rPr>
          <w:rFonts w:cs="Arial"/>
          <w:lang w:val="fr-CH"/>
        </w:rPr>
        <w:t>développement.</w:t>
      </w:r>
    </w:p>
    <w:p w:rsidR="00276ED8" w:rsidRPr="00081E64" w:rsidRDefault="00276ED8" w:rsidP="00276ED8">
      <w:pPr>
        <w:autoSpaceDE w:val="0"/>
        <w:autoSpaceDN w:val="0"/>
        <w:adjustRightInd w:val="0"/>
        <w:contextualSpacing/>
        <w:rPr>
          <w:rFonts w:cs="Arial"/>
          <w:lang w:val="fr-CH" w:eastAsia="en-GB"/>
        </w:rPr>
      </w:pPr>
    </w:p>
    <w:p w:rsidR="00276ED8" w:rsidRPr="00081E64" w:rsidRDefault="00276ED8" w:rsidP="00276ED8">
      <w:pPr>
        <w:autoSpaceDE w:val="0"/>
        <w:autoSpaceDN w:val="0"/>
        <w:adjustRightInd w:val="0"/>
        <w:contextualSpacing/>
        <w:rPr>
          <w:rFonts w:cs="Arial"/>
          <w:lang w:val="fr-CH" w:eastAsia="en-GB"/>
        </w:rPr>
      </w:pPr>
      <w:r w:rsidRPr="00081E64">
        <w:rPr>
          <w:rFonts w:cs="Arial"/>
          <w:lang w:val="fr-CH" w:eastAsia="en-GB"/>
        </w:rPr>
        <w:t>Une réunion d</w:t>
      </w:r>
      <w:r>
        <w:rPr>
          <w:rFonts w:cs="Arial"/>
          <w:lang w:val="fr-CH" w:eastAsia="en-GB"/>
        </w:rPr>
        <w:t>’</w:t>
      </w:r>
      <w:r w:rsidRPr="00081E64">
        <w:rPr>
          <w:rFonts w:cs="Arial"/>
          <w:lang w:val="fr-CH" w:eastAsia="en-GB"/>
        </w:rPr>
        <w:t>experts des plantes ornementales a eu lieu les 8 et 9 octobre 2020 pour débattre entre autres des points suivants</w:t>
      </w:r>
      <w:r>
        <w:rPr>
          <w:rFonts w:cs="Arial"/>
          <w:lang w:val="fr-CH" w:eastAsia="en-GB"/>
        </w:rPr>
        <w:t> :</w:t>
      </w:r>
    </w:p>
    <w:p w:rsidR="00276ED8" w:rsidRPr="00081E64" w:rsidRDefault="00276ED8" w:rsidP="00276ED8">
      <w:pPr>
        <w:autoSpaceDE w:val="0"/>
        <w:autoSpaceDN w:val="0"/>
        <w:adjustRightInd w:val="0"/>
        <w:contextualSpacing/>
        <w:rPr>
          <w:rFonts w:cs="Arial"/>
          <w:lang w:val="fr-CH" w:eastAsia="en-GB"/>
        </w:rPr>
      </w:pPr>
    </w:p>
    <w:p w:rsidR="00276ED8" w:rsidRPr="00081E64" w:rsidRDefault="00276ED8" w:rsidP="00276ED8">
      <w:pPr>
        <w:numPr>
          <w:ilvl w:val="0"/>
          <w:numId w:val="10"/>
        </w:numPr>
        <w:autoSpaceDE w:val="0"/>
        <w:autoSpaceDN w:val="0"/>
        <w:adjustRightInd w:val="0"/>
        <w:ind w:left="709"/>
        <w:contextualSpacing/>
        <w:rPr>
          <w:rFonts w:cs="Arial"/>
          <w:lang w:val="fr-CH" w:eastAsia="en-GB"/>
        </w:rPr>
      </w:pPr>
      <w:r w:rsidRPr="00081E64">
        <w:rPr>
          <w:rFonts w:cs="Arial"/>
          <w:lang w:val="fr-CH" w:eastAsia="en-GB"/>
        </w:rPr>
        <w:t>nombre de plantes des variétés de référence,</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observation de certains caractères une seule fois dans les essais pluriannuels,</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adoption et publication des protocoles nationaux – procédure en cours de discussion,</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interprétation des méthodes MS/MG et conséquences potentielles sur la décision en matière de distinction,</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prise en considération éventuelle des résistances aux maladies dans les protocoles de l</w:t>
      </w:r>
      <w:r>
        <w:rPr>
          <w:rFonts w:cs="Arial"/>
          <w:lang w:val="fr-CH"/>
        </w:rPr>
        <w:t>’</w:t>
      </w:r>
      <w:r w:rsidRPr="00081E64">
        <w:rPr>
          <w:rFonts w:cs="Arial"/>
          <w:lang w:val="fr-CH"/>
        </w:rPr>
        <w:t>OCVV pour les plantes ornementales,</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obtention de variétés de référence pour l</w:t>
      </w:r>
      <w:r>
        <w:rPr>
          <w:rFonts w:cs="Arial"/>
          <w:lang w:val="fr-CH"/>
        </w:rPr>
        <w:t>’</w:t>
      </w:r>
      <w:r w:rsidRPr="00081E64">
        <w:rPr>
          <w:rFonts w:cs="Arial"/>
          <w:lang w:val="fr-CH"/>
        </w:rPr>
        <w:t>examen DHS – nouveau modèle,</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étape supplémentaire de propagation pour certaines plantes – échange de données d</w:t>
      </w:r>
      <w:r>
        <w:rPr>
          <w:rFonts w:cs="Arial"/>
          <w:lang w:val="fr-CH"/>
        </w:rPr>
        <w:t>’</w:t>
      </w:r>
      <w:r w:rsidRPr="00081E64">
        <w:rPr>
          <w:rFonts w:cs="Arial"/>
          <w:lang w:val="fr-CH"/>
        </w:rPr>
        <w:t>expérience,</w:t>
      </w:r>
    </w:p>
    <w:p w:rsidR="00276ED8" w:rsidRPr="00081E64" w:rsidRDefault="00276ED8" w:rsidP="00276ED8">
      <w:pPr>
        <w:numPr>
          <w:ilvl w:val="0"/>
          <w:numId w:val="12"/>
        </w:numPr>
        <w:autoSpaceDE w:val="0"/>
        <w:autoSpaceDN w:val="0"/>
        <w:adjustRightInd w:val="0"/>
        <w:contextualSpacing/>
        <w:rPr>
          <w:rFonts w:cs="Arial"/>
          <w:lang w:val="fr-CH"/>
        </w:rPr>
      </w:pPr>
      <w:r w:rsidRPr="00081E64">
        <w:rPr>
          <w:rFonts w:cs="Arial"/>
          <w:lang w:val="fr-CH"/>
        </w:rPr>
        <w:t>commentaires des services d</w:t>
      </w:r>
      <w:r>
        <w:rPr>
          <w:rFonts w:cs="Arial"/>
          <w:lang w:val="fr-CH"/>
        </w:rPr>
        <w:t>’</w:t>
      </w:r>
      <w:r w:rsidRPr="00081E64">
        <w:rPr>
          <w:rFonts w:cs="Arial"/>
          <w:lang w:val="fr-CH"/>
        </w:rPr>
        <w:t>examen concernant le passeport/certificat phytosanitaire.</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u w:val="single"/>
          <w:lang w:val="fr-CH"/>
        </w:rPr>
      </w:pPr>
      <w:r w:rsidRPr="00081E64">
        <w:rPr>
          <w:rFonts w:cs="Arial"/>
          <w:u w:val="single"/>
          <w:lang w:val="fr-CH"/>
        </w:rPr>
        <w:t>4.3 Service d</w:t>
      </w:r>
      <w:r>
        <w:rPr>
          <w:rFonts w:cs="Arial"/>
          <w:u w:val="single"/>
          <w:lang w:val="fr-CH"/>
        </w:rPr>
        <w:t>’</w:t>
      </w:r>
      <w:r w:rsidRPr="00081E64">
        <w:rPr>
          <w:rFonts w:cs="Arial"/>
          <w:u w:val="single"/>
          <w:lang w:val="fr-CH"/>
        </w:rPr>
        <w:t>audit qualité</w:t>
      </w:r>
    </w:p>
    <w:p w:rsidR="00276ED8" w:rsidRPr="00081E64" w:rsidRDefault="00276ED8" w:rsidP="00276ED8">
      <w:pPr>
        <w:contextualSpacing/>
        <w:rPr>
          <w:rFonts w:cs="Arial"/>
          <w:u w:val="single"/>
          <w:lang w:val="fr-CH"/>
        </w:rPr>
      </w:pPr>
    </w:p>
    <w:p w:rsidR="00276ED8" w:rsidRPr="00081E64" w:rsidRDefault="00276ED8" w:rsidP="00276ED8">
      <w:pPr>
        <w:contextualSpacing/>
        <w:rPr>
          <w:rFonts w:cs="Arial"/>
          <w:lang w:val="fr-CH"/>
        </w:rPr>
      </w:pPr>
      <w:r w:rsidRPr="00081E64">
        <w:rPr>
          <w:rFonts w:cs="Arial"/>
          <w:lang w:val="fr-CH"/>
        </w:rPr>
        <w:t>Le service d</w:t>
      </w:r>
      <w:r>
        <w:rPr>
          <w:rFonts w:cs="Arial"/>
          <w:lang w:val="fr-CH"/>
        </w:rPr>
        <w:t>’</w:t>
      </w:r>
      <w:r w:rsidRPr="00081E64">
        <w:rPr>
          <w:rFonts w:cs="Arial"/>
          <w:lang w:val="fr-CH"/>
        </w:rPr>
        <w:t>audit qualité a été fortement touché par la pandémie de Covid</w:t>
      </w:r>
      <w:r>
        <w:rPr>
          <w:rFonts w:cs="Arial"/>
          <w:lang w:val="fr-CH"/>
        </w:rPr>
        <w:t>-</w:t>
      </w:r>
      <w:r w:rsidRPr="00081E64">
        <w:rPr>
          <w:rFonts w:cs="Arial"/>
          <w:lang w:val="fr-CH"/>
        </w:rPr>
        <w:t>19 et a dû adapter en conséquence sa méthode de travail et son calendrier d</w:t>
      </w:r>
      <w:r>
        <w:rPr>
          <w:rFonts w:cs="Arial"/>
          <w:lang w:val="fr-CH"/>
        </w:rPr>
        <w:t>’</w:t>
      </w:r>
      <w:r w:rsidRPr="00081E64">
        <w:rPr>
          <w:rFonts w:cs="Arial"/>
          <w:lang w:val="fr-CH"/>
        </w:rPr>
        <w:t>évaluation aux services d</w:t>
      </w:r>
      <w:r>
        <w:rPr>
          <w:rFonts w:cs="Arial"/>
          <w:lang w:val="fr-CH"/>
        </w:rPr>
        <w:t>’</w:t>
      </w:r>
      <w:r w:rsidRPr="00081E64">
        <w:rPr>
          <w:rFonts w:cs="Arial"/>
          <w:lang w:val="fr-CH"/>
        </w:rPr>
        <w:t>examen de l</w:t>
      </w:r>
      <w:r>
        <w:rPr>
          <w:rFonts w:cs="Arial"/>
          <w:lang w:val="fr-CH"/>
        </w:rPr>
        <w:t>’</w:t>
      </w:r>
      <w:r w:rsidRPr="00081E64">
        <w:rPr>
          <w:rFonts w:cs="Arial"/>
          <w:lang w:val="fr-CH"/>
        </w:rPr>
        <w:t>UE habilités</w:t>
      </w:r>
      <w:r>
        <w:rPr>
          <w:rFonts w:cs="Arial"/>
          <w:lang w:val="fr-CH"/>
        </w:rPr>
        <w:t xml:space="preserve">.  </w:t>
      </w:r>
      <w:r w:rsidRPr="00081E64">
        <w:rPr>
          <w:rFonts w:cs="Arial"/>
          <w:lang w:val="fr-CH"/>
        </w:rPr>
        <w:t>Alors que neuf évaluations avaient été programmées pour toute l</w:t>
      </w:r>
      <w:r>
        <w:rPr>
          <w:rFonts w:cs="Arial"/>
          <w:lang w:val="fr-CH"/>
        </w:rPr>
        <w:t>’</w:t>
      </w:r>
      <w:r w:rsidRPr="00081E64">
        <w:rPr>
          <w:rFonts w:cs="Arial"/>
          <w:lang w:val="fr-CH"/>
        </w:rPr>
        <w:t>année 2020, seulement deux d</w:t>
      </w:r>
      <w:r>
        <w:rPr>
          <w:rFonts w:cs="Arial"/>
          <w:lang w:val="fr-CH"/>
        </w:rPr>
        <w:t>’</w:t>
      </w:r>
      <w:r w:rsidRPr="00081E64">
        <w:rPr>
          <w:rFonts w:cs="Arial"/>
          <w:lang w:val="fr-CH"/>
        </w:rPr>
        <w:t xml:space="preserve">entre elles ont pu être réalisées en septembre 2020. </w:t>
      </w:r>
      <w:r w:rsidRPr="00081E64">
        <w:rPr>
          <w:lang w:val="fr-CH"/>
        </w:rPr>
        <w:t xml:space="preserve"> </w:t>
      </w:r>
      <w:r w:rsidRPr="00081E64">
        <w:rPr>
          <w:rFonts w:cs="Arial"/>
          <w:lang w:val="fr-CH"/>
        </w:rPr>
        <w:t>Compte tenu des circonstances, le Conseil d</w:t>
      </w:r>
      <w:r>
        <w:rPr>
          <w:rFonts w:cs="Arial"/>
          <w:lang w:val="fr-CH"/>
        </w:rPr>
        <w:t>’</w:t>
      </w:r>
      <w:r w:rsidRPr="00081E64">
        <w:rPr>
          <w:rFonts w:cs="Arial"/>
          <w:lang w:val="fr-CH"/>
        </w:rPr>
        <w:t>administration de l</w:t>
      </w:r>
      <w:r>
        <w:rPr>
          <w:rFonts w:cs="Arial"/>
          <w:lang w:val="fr-CH"/>
        </w:rPr>
        <w:t>’</w:t>
      </w:r>
      <w:r w:rsidRPr="00081E64">
        <w:rPr>
          <w:rFonts w:cs="Arial"/>
          <w:lang w:val="fr-CH"/>
        </w:rPr>
        <w:t>OCVV a convenu en septembre 2020 de prolonger d</w:t>
      </w:r>
      <w:r>
        <w:rPr>
          <w:rFonts w:cs="Arial"/>
          <w:lang w:val="fr-CH"/>
        </w:rPr>
        <w:t>’</w:t>
      </w:r>
      <w:r w:rsidRPr="00081E64">
        <w:rPr>
          <w:rFonts w:cs="Arial"/>
          <w:lang w:val="fr-CH"/>
        </w:rPr>
        <w:t>un an le cycle actuel d</w:t>
      </w:r>
      <w:r>
        <w:rPr>
          <w:rFonts w:cs="Arial"/>
          <w:lang w:val="fr-CH"/>
        </w:rPr>
        <w:t>’</w:t>
      </w:r>
      <w:r w:rsidRPr="00081E64">
        <w:rPr>
          <w:rFonts w:cs="Arial"/>
          <w:lang w:val="fr-CH"/>
        </w:rPr>
        <w:t>évaluation du service d</w:t>
      </w:r>
      <w:r>
        <w:rPr>
          <w:rFonts w:cs="Arial"/>
          <w:lang w:val="fr-CH"/>
        </w:rPr>
        <w:t>’</w:t>
      </w:r>
      <w:r w:rsidRPr="00081E64">
        <w:rPr>
          <w:rFonts w:cs="Arial"/>
          <w:lang w:val="fr-CH"/>
        </w:rPr>
        <w:t>audit qualité, jusqu</w:t>
      </w:r>
      <w:r>
        <w:rPr>
          <w:rFonts w:cs="Arial"/>
          <w:lang w:val="fr-CH"/>
        </w:rPr>
        <w:t>’</w:t>
      </w:r>
      <w:r w:rsidRPr="00081E64">
        <w:rPr>
          <w:rFonts w:cs="Arial"/>
          <w:lang w:val="fr-CH"/>
        </w:rPr>
        <w:t>à la fin de 2022.</w:t>
      </w:r>
      <w:r w:rsidRPr="00081E64">
        <w:rPr>
          <w:lang w:val="fr-CH"/>
        </w:rPr>
        <w:t xml:space="preserve"> </w:t>
      </w:r>
      <w:r w:rsidRPr="00081E64">
        <w:rPr>
          <w:rFonts w:cs="Arial"/>
          <w:lang w:val="fr-CH"/>
        </w:rPr>
        <w:t xml:space="preserve"> La pandémie de Covid</w:t>
      </w:r>
      <w:r>
        <w:rPr>
          <w:rFonts w:cs="Arial"/>
          <w:lang w:val="fr-CH"/>
        </w:rPr>
        <w:t>-</w:t>
      </w:r>
      <w:r w:rsidRPr="00081E64">
        <w:rPr>
          <w:rFonts w:cs="Arial"/>
          <w:lang w:val="fr-CH"/>
        </w:rPr>
        <w:t>19 s</w:t>
      </w:r>
      <w:r>
        <w:rPr>
          <w:rFonts w:cs="Arial"/>
          <w:lang w:val="fr-CH"/>
        </w:rPr>
        <w:t>’</w:t>
      </w:r>
      <w:r w:rsidRPr="00081E64">
        <w:rPr>
          <w:rFonts w:cs="Arial"/>
          <w:lang w:val="fr-CH"/>
        </w:rPr>
        <w:t>étant poursuivie en 2021 et des restrictions en matière de déplacements ayant été imposées, le service d</w:t>
      </w:r>
      <w:r>
        <w:rPr>
          <w:rFonts w:cs="Arial"/>
          <w:lang w:val="fr-CH"/>
        </w:rPr>
        <w:t>’</w:t>
      </w:r>
      <w:r w:rsidRPr="00081E64">
        <w:rPr>
          <w:rFonts w:cs="Arial"/>
          <w:lang w:val="fr-CH"/>
        </w:rPr>
        <w:t>audit qualité a élaboré un “plan B” pour réaliser des évaluations virtuelles dans les services d</w:t>
      </w:r>
      <w:r>
        <w:rPr>
          <w:rFonts w:cs="Arial"/>
          <w:lang w:val="fr-CH"/>
        </w:rPr>
        <w:t>’</w:t>
      </w:r>
      <w:r w:rsidRPr="00081E64">
        <w:rPr>
          <w:rFonts w:cs="Arial"/>
          <w:lang w:val="fr-CH"/>
        </w:rPr>
        <w:t>examen grâce à des installations de téléconférence</w:t>
      </w:r>
      <w:r>
        <w:rPr>
          <w:rFonts w:cs="Arial"/>
          <w:lang w:val="fr-CH"/>
        </w:rPr>
        <w:t xml:space="preserve">.  </w:t>
      </w:r>
      <w:r w:rsidRPr="00081E64">
        <w:rPr>
          <w:rFonts w:cs="Arial"/>
          <w:lang w:val="fr-CH"/>
        </w:rPr>
        <w:t>Au cours du premier semestre de 2021, le service d</w:t>
      </w:r>
      <w:r>
        <w:rPr>
          <w:rFonts w:cs="Arial"/>
          <w:lang w:val="fr-CH"/>
        </w:rPr>
        <w:t>’</w:t>
      </w:r>
      <w:r w:rsidRPr="00081E64">
        <w:rPr>
          <w:rFonts w:cs="Arial"/>
          <w:lang w:val="fr-CH"/>
        </w:rPr>
        <w:t>audit qualité a effectué quatre évaluations virtuelles et, une fois que le programme de vaccination dans l</w:t>
      </w:r>
      <w:r>
        <w:rPr>
          <w:rFonts w:cs="Arial"/>
          <w:lang w:val="fr-CH"/>
        </w:rPr>
        <w:t>’</w:t>
      </w:r>
      <w:r w:rsidRPr="00081E64">
        <w:rPr>
          <w:rFonts w:cs="Arial"/>
          <w:lang w:val="fr-CH"/>
        </w:rPr>
        <w:t xml:space="preserve">UE a été mis en œuvre avec le certificat numérique </w:t>
      </w:r>
      <w:proofErr w:type="spellStart"/>
      <w:r w:rsidRPr="00081E64">
        <w:rPr>
          <w:rFonts w:cs="Arial"/>
          <w:lang w:val="fr-CH"/>
        </w:rPr>
        <w:t>Covid</w:t>
      </w:r>
      <w:proofErr w:type="spellEnd"/>
      <w:r w:rsidRPr="00081E64">
        <w:rPr>
          <w:rFonts w:cs="Arial"/>
          <w:lang w:val="fr-CH"/>
        </w:rPr>
        <w:t xml:space="preserve"> de l</w:t>
      </w:r>
      <w:r>
        <w:rPr>
          <w:rFonts w:cs="Arial"/>
          <w:lang w:val="fr-CH"/>
        </w:rPr>
        <w:t>’</w:t>
      </w:r>
      <w:r w:rsidRPr="00081E64">
        <w:rPr>
          <w:rFonts w:cs="Arial"/>
          <w:lang w:val="fr-CH"/>
        </w:rPr>
        <w:t>UE, il a pu réaliser trois évaluations sur place dans les services d</w:t>
      </w:r>
      <w:r>
        <w:rPr>
          <w:rFonts w:cs="Arial"/>
          <w:lang w:val="fr-CH"/>
        </w:rPr>
        <w:t>’</w:t>
      </w:r>
      <w:r w:rsidRPr="00081E64">
        <w:rPr>
          <w:rFonts w:cs="Arial"/>
          <w:lang w:val="fr-CH"/>
        </w:rPr>
        <w:t>examen</w:t>
      </w:r>
      <w:r>
        <w:rPr>
          <w:rFonts w:cs="Arial"/>
          <w:lang w:val="fr-CH"/>
        </w:rPr>
        <w:t xml:space="preserve">.  </w:t>
      </w:r>
      <w:r w:rsidRPr="00081E64">
        <w:rPr>
          <w:rFonts w:cs="Arial"/>
          <w:lang w:val="fr-CH"/>
        </w:rPr>
        <w:t>Avec la mise en œuvre du plan B pour les évaluations virtuelles et les évaluations régulières sur site, le service d</w:t>
      </w:r>
      <w:r>
        <w:rPr>
          <w:rFonts w:cs="Arial"/>
          <w:lang w:val="fr-CH"/>
        </w:rPr>
        <w:t>’</w:t>
      </w:r>
      <w:r w:rsidRPr="00081E64">
        <w:rPr>
          <w:rFonts w:cs="Arial"/>
          <w:lang w:val="fr-CH"/>
        </w:rPr>
        <w:t>audit qualité est en bonne voie pour réaliser toutes les évaluations prévues pour 2021.</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Au cours du premier semestre de 2021, le processus de révision des exigences de l</w:t>
      </w:r>
      <w:r>
        <w:rPr>
          <w:rFonts w:cs="Arial"/>
          <w:lang w:val="fr-CH"/>
        </w:rPr>
        <w:t>’</w:t>
      </w:r>
      <w:r w:rsidRPr="00081E64">
        <w:rPr>
          <w:rFonts w:cs="Arial"/>
          <w:lang w:val="fr-CH"/>
        </w:rPr>
        <w:t>OCVV en matière d</w:t>
      </w:r>
      <w:r>
        <w:rPr>
          <w:rFonts w:cs="Arial"/>
          <w:lang w:val="fr-CH"/>
        </w:rPr>
        <w:t>’</w:t>
      </w:r>
      <w:r w:rsidRPr="00081E64">
        <w:rPr>
          <w:rFonts w:cs="Arial"/>
          <w:lang w:val="fr-CH"/>
        </w:rPr>
        <w:t>habilitation pour les services d</w:t>
      </w:r>
      <w:r>
        <w:rPr>
          <w:rFonts w:cs="Arial"/>
          <w:lang w:val="fr-CH"/>
        </w:rPr>
        <w:t>’</w:t>
      </w:r>
      <w:r w:rsidRPr="00081E64">
        <w:rPr>
          <w:rFonts w:cs="Arial"/>
          <w:lang w:val="fr-CH"/>
        </w:rPr>
        <w:t>examen, notamment en ce qui concerne l</w:t>
      </w:r>
      <w:r>
        <w:rPr>
          <w:rFonts w:cs="Arial"/>
          <w:lang w:val="fr-CH"/>
        </w:rPr>
        <w:t>’</w:t>
      </w:r>
      <w:r w:rsidRPr="00081E64">
        <w:rPr>
          <w:rFonts w:cs="Arial"/>
          <w:lang w:val="fr-CH"/>
        </w:rPr>
        <w:t>organisation et la procédure des examens DHS, a été lancé</w:t>
      </w:r>
      <w:r>
        <w:rPr>
          <w:rFonts w:cs="Arial"/>
          <w:lang w:val="fr-CH"/>
        </w:rPr>
        <w:t xml:space="preserve">.  </w:t>
      </w:r>
      <w:r w:rsidRPr="00081E64">
        <w:rPr>
          <w:rFonts w:cs="Arial"/>
          <w:lang w:val="fr-CH"/>
        </w:rPr>
        <w:t>Il est mis en œuvre en consultation avec les parties prenantes (services d</w:t>
      </w:r>
      <w:r>
        <w:rPr>
          <w:rFonts w:cs="Arial"/>
          <w:lang w:val="fr-CH"/>
        </w:rPr>
        <w:t>’</w:t>
      </w:r>
      <w:r w:rsidRPr="00081E64">
        <w:rPr>
          <w:rFonts w:cs="Arial"/>
          <w:lang w:val="fr-CH"/>
        </w:rPr>
        <w:t>examen habilités, organisations d</w:t>
      </w:r>
      <w:r>
        <w:rPr>
          <w:rFonts w:cs="Arial"/>
          <w:lang w:val="fr-CH"/>
        </w:rPr>
        <w:t>’</w:t>
      </w:r>
      <w:r w:rsidRPr="00081E64">
        <w:rPr>
          <w:rFonts w:cs="Arial"/>
          <w:lang w:val="fr-CH"/>
        </w:rPr>
        <w:t>obtenteurs et experts techniques du service d</w:t>
      </w:r>
      <w:r>
        <w:rPr>
          <w:rFonts w:cs="Arial"/>
          <w:lang w:val="fr-CH"/>
        </w:rPr>
        <w:t>’</w:t>
      </w:r>
      <w:r w:rsidRPr="00081E64">
        <w:rPr>
          <w:rFonts w:cs="Arial"/>
          <w:lang w:val="fr-CH"/>
        </w:rPr>
        <w:t>audit qualité) pour tenir compte des évolutions et des améliorations en matière d</w:t>
      </w:r>
      <w:r>
        <w:rPr>
          <w:rFonts w:cs="Arial"/>
          <w:lang w:val="fr-CH"/>
        </w:rPr>
        <w:t>’</w:t>
      </w:r>
      <w:r w:rsidRPr="00081E64">
        <w:rPr>
          <w:rFonts w:cs="Arial"/>
          <w:lang w:val="fr-CH"/>
        </w:rPr>
        <w:t>examen DHS</w:t>
      </w:r>
      <w:r>
        <w:rPr>
          <w:rFonts w:cs="Arial"/>
          <w:lang w:val="fr-CH"/>
        </w:rPr>
        <w:t xml:space="preserve">.  </w:t>
      </w:r>
      <w:r w:rsidRPr="00081E64">
        <w:rPr>
          <w:rFonts w:cs="Arial"/>
          <w:lang w:val="fr-CH"/>
        </w:rPr>
        <w:t>Le processus de révision devrait être achevé à la fin de l</w:t>
      </w:r>
      <w:r>
        <w:rPr>
          <w:rFonts w:cs="Arial"/>
          <w:lang w:val="fr-CH"/>
        </w:rPr>
        <w:t>’</w:t>
      </w:r>
      <w:r w:rsidRPr="00081E64">
        <w:rPr>
          <w:rFonts w:cs="Arial"/>
          <w:lang w:val="fr-CH"/>
        </w:rPr>
        <w:t>année 2021 pour être approuvé par le Conseil d</w:t>
      </w:r>
      <w:r>
        <w:rPr>
          <w:rFonts w:cs="Arial"/>
          <w:lang w:val="fr-CH"/>
        </w:rPr>
        <w:t>’</w:t>
      </w:r>
      <w:r w:rsidRPr="00081E64">
        <w:rPr>
          <w:rFonts w:cs="Arial"/>
          <w:lang w:val="fr-CH"/>
        </w:rPr>
        <w:t>administration en mars</w:t>
      </w:r>
      <w:r>
        <w:rPr>
          <w:rFonts w:cs="Arial"/>
          <w:lang w:val="fr-CH"/>
        </w:rPr>
        <w:t>-</w:t>
      </w:r>
      <w:r w:rsidRPr="00081E64">
        <w:rPr>
          <w:rFonts w:cs="Arial"/>
          <w:lang w:val="fr-CH"/>
        </w:rPr>
        <w:t>avril 2022.</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Les activités d</w:t>
      </w:r>
      <w:r>
        <w:rPr>
          <w:rFonts w:cs="Arial"/>
          <w:lang w:val="fr-CH"/>
        </w:rPr>
        <w:t>’</w:t>
      </w:r>
      <w:r w:rsidRPr="00081E64">
        <w:rPr>
          <w:rFonts w:cs="Arial"/>
          <w:lang w:val="fr-CH"/>
        </w:rPr>
        <w:t>évaluation en cours ont été entreprises par le service d</w:t>
      </w:r>
      <w:r>
        <w:rPr>
          <w:rFonts w:cs="Arial"/>
          <w:lang w:val="fr-CH"/>
        </w:rPr>
        <w:t>’</w:t>
      </w:r>
      <w:r w:rsidRPr="00081E64">
        <w:rPr>
          <w:rFonts w:cs="Arial"/>
          <w:lang w:val="fr-CH"/>
        </w:rPr>
        <w:t>audit qualité au cours du second semestre de 2020 et du premier semestre de 2021 en relation avec le projet de l</w:t>
      </w:r>
      <w:r>
        <w:rPr>
          <w:rFonts w:cs="Arial"/>
          <w:lang w:val="fr-CH"/>
        </w:rPr>
        <w:t>’</w:t>
      </w:r>
      <w:r w:rsidRPr="00081E64">
        <w:rPr>
          <w:rFonts w:cs="Arial"/>
          <w:lang w:val="fr-CH"/>
        </w:rPr>
        <w:t>OAPI grâce à des moyens de téléconférence et à leurs services d</w:t>
      </w:r>
      <w:r>
        <w:rPr>
          <w:rFonts w:cs="Arial"/>
          <w:lang w:val="fr-CH"/>
        </w:rPr>
        <w:t>’</w:t>
      </w:r>
      <w:r w:rsidRPr="00081E64">
        <w:rPr>
          <w:rFonts w:cs="Arial"/>
          <w:lang w:val="fr-CH"/>
        </w:rPr>
        <w:t>examen désignés au Cameroun, au Sénégal, en Côte d</w:t>
      </w:r>
      <w:r>
        <w:rPr>
          <w:rFonts w:cs="Arial"/>
          <w:lang w:val="fr-CH"/>
        </w:rPr>
        <w:t>’</w:t>
      </w:r>
      <w:r w:rsidRPr="00081E64">
        <w:rPr>
          <w:rFonts w:cs="Arial"/>
          <w:lang w:val="fr-CH"/>
        </w:rPr>
        <w:t>Ivoire et au Burkina Faso</w:t>
      </w:r>
      <w:r>
        <w:rPr>
          <w:rFonts w:cs="Arial"/>
          <w:lang w:val="fr-CH"/>
        </w:rPr>
        <w:t xml:space="preserve">.  </w:t>
      </w:r>
      <w:r w:rsidRPr="00081E64">
        <w:rPr>
          <w:rFonts w:cs="Arial"/>
          <w:lang w:val="fr-CH"/>
        </w:rPr>
        <w:t>Au cours de cette période, le service d</w:t>
      </w:r>
      <w:r>
        <w:rPr>
          <w:rFonts w:cs="Arial"/>
          <w:lang w:val="fr-CH"/>
        </w:rPr>
        <w:t>’</w:t>
      </w:r>
      <w:r w:rsidRPr="00081E64">
        <w:rPr>
          <w:rFonts w:cs="Arial"/>
          <w:lang w:val="fr-CH"/>
        </w:rPr>
        <w:t xml:space="preserve">audit qualité a également dispensé une formation au moyen de séminaires virtuels dans le cadre des projets </w:t>
      </w:r>
      <w:proofErr w:type="spellStart"/>
      <w:r w:rsidRPr="00081E64">
        <w:rPr>
          <w:rFonts w:cs="Arial"/>
          <w:lang w:val="fr-CH"/>
        </w:rPr>
        <w:t>IPKey</w:t>
      </w:r>
      <w:proofErr w:type="spellEnd"/>
      <w:r w:rsidRPr="00081E64">
        <w:rPr>
          <w:rFonts w:cs="Arial"/>
          <w:lang w:val="fr-CH"/>
        </w:rPr>
        <w:t xml:space="preserve"> Amérique latine et </w:t>
      </w:r>
      <w:proofErr w:type="spellStart"/>
      <w:r w:rsidRPr="00081E64">
        <w:rPr>
          <w:rFonts w:cs="Arial"/>
          <w:lang w:val="fr-CH"/>
        </w:rPr>
        <w:t>CarIPI</w:t>
      </w:r>
      <w:proofErr w:type="spellEnd"/>
      <w:r w:rsidRPr="00081E64">
        <w:rPr>
          <w:rFonts w:cs="Arial"/>
          <w:lang w:val="fr-CH"/>
        </w:rPr>
        <w:t xml:space="preserve"> à de nombreux pays d</w:t>
      </w:r>
      <w:r>
        <w:rPr>
          <w:rFonts w:cs="Arial"/>
          <w:lang w:val="fr-CH"/>
        </w:rPr>
        <w:t>’</w:t>
      </w:r>
      <w:r w:rsidRPr="00081E64">
        <w:rPr>
          <w:rFonts w:cs="Arial"/>
          <w:lang w:val="fr-CH"/>
        </w:rPr>
        <w:t>Amérique centrale et du Sud sur l</w:t>
      </w:r>
      <w:r>
        <w:rPr>
          <w:rFonts w:cs="Arial"/>
          <w:lang w:val="fr-CH"/>
        </w:rPr>
        <w:t>’</w:t>
      </w:r>
      <w:r w:rsidRPr="00081E64">
        <w:rPr>
          <w:rFonts w:cs="Arial"/>
          <w:lang w:val="fr-CH"/>
        </w:rPr>
        <w:t>organisation de l</w:t>
      </w:r>
      <w:r>
        <w:rPr>
          <w:rFonts w:cs="Arial"/>
          <w:lang w:val="fr-CH"/>
        </w:rPr>
        <w:t>’</w:t>
      </w:r>
      <w:r w:rsidRPr="00081E64">
        <w:rPr>
          <w:rFonts w:cs="Arial"/>
          <w:lang w:val="fr-CH"/>
        </w:rPr>
        <w:t>examen DHS afin de garantir l</w:t>
      </w:r>
      <w:r>
        <w:rPr>
          <w:rFonts w:cs="Arial"/>
          <w:lang w:val="fr-CH"/>
        </w:rPr>
        <w:t>’</w:t>
      </w:r>
      <w:r w:rsidRPr="00081E64">
        <w:rPr>
          <w:rFonts w:cs="Arial"/>
          <w:lang w:val="fr-CH"/>
        </w:rPr>
        <w:t>indépendance et l</w:t>
      </w:r>
      <w:r>
        <w:rPr>
          <w:rFonts w:cs="Arial"/>
          <w:lang w:val="fr-CH"/>
        </w:rPr>
        <w:t>’</w:t>
      </w:r>
      <w:r w:rsidRPr="00081E64">
        <w:rPr>
          <w:rFonts w:cs="Arial"/>
          <w:lang w:val="fr-CH"/>
        </w:rPr>
        <w:t>impartialité des vérifications techniques.</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contextualSpacing/>
        <w:rPr>
          <w:rFonts w:cs="Arial"/>
          <w:u w:val="single"/>
          <w:lang w:val="fr-CH"/>
        </w:rPr>
      </w:pPr>
      <w:r w:rsidRPr="00081E64">
        <w:rPr>
          <w:rFonts w:cs="Arial"/>
          <w:lang w:val="fr-CH"/>
        </w:rPr>
        <w:t>5)</w:t>
      </w:r>
      <w:r w:rsidRPr="00081E64">
        <w:rPr>
          <w:rFonts w:cs="Arial"/>
          <w:lang w:val="fr-CH"/>
        </w:rPr>
        <w:tab/>
      </w:r>
      <w:r w:rsidRPr="00081E64">
        <w:rPr>
          <w:rFonts w:cs="Arial"/>
          <w:u w:val="single"/>
          <w:lang w:val="fr-CH"/>
        </w:rPr>
        <w:t>Activités de promotion de la protection des obtentions végétales</w:t>
      </w:r>
    </w:p>
    <w:p w:rsidR="00276ED8" w:rsidRPr="00081E64" w:rsidRDefault="00276ED8" w:rsidP="00276ED8">
      <w:pPr>
        <w:pStyle w:val="NormalWeb"/>
        <w:spacing w:before="0" w:beforeAutospacing="0" w:after="0" w:afterAutospacing="0"/>
        <w:contextualSpacing/>
        <w:jc w:val="both"/>
        <w:rPr>
          <w:rFonts w:ascii="Arial" w:hAnsi="Arial" w:cs="Arial"/>
          <w:sz w:val="20"/>
          <w:szCs w:val="20"/>
          <w:u w:val="single"/>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u w:val="single"/>
          <w:lang w:val="fr-CH"/>
        </w:rPr>
      </w:pPr>
      <w:r w:rsidRPr="00081E64">
        <w:rPr>
          <w:rFonts w:ascii="Arial" w:hAnsi="Arial" w:cs="Arial"/>
          <w:sz w:val="20"/>
          <w:szCs w:val="20"/>
          <w:u w:val="single"/>
          <w:lang w:val="fr-CH"/>
        </w:rPr>
        <w:t>5.1 Coopération internationale</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Le 4 octobre 2017, l</w:t>
      </w:r>
      <w:r>
        <w:rPr>
          <w:rFonts w:ascii="Arial" w:hAnsi="Arial" w:cs="Arial"/>
          <w:sz w:val="20"/>
          <w:szCs w:val="20"/>
          <w:lang w:val="fr-CH"/>
        </w:rPr>
        <w:t>’</w:t>
      </w:r>
      <w:r w:rsidRPr="00081E64">
        <w:rPr>
          <w:rFonts w:ascii="Arial" w:hAnsi="Arial" w:cs="Arial"/>
          <w:sz w:val="20"/>
          <w:szCs w:val="20"/>
          <w:lang w:val="fr-CH"/>
        </w:rPr>
        <w:t>OCVV a adopté sa stratégie de coopération internationale conformément à la politique commerciale de l</w:t>
      </w:r>
      <w:r>
        <w:rPr>
          <w:rFonts w:ascii="Arial" w:hAnsi="Arial" w:cs="Arial"/>
          <w:sz w:val="20"/>
          <w:szCs w:val="20"/>
          <w:lang w:val="fr-CH"/>
        </w:rPr>
        <w:t>’</w:t>
      </w:r>
      <w:r w:rsidRPr="00081E64">
        <w:rPr>
          <w:rFonts w:ascii="Arial" w:hAnsi="Arial" w:cs="Arial"/>
          <w:sz w:val="20"/>
          <w:szCs w:val="20"/>
          <w:lang w:val="fr-CH"/>
        </w:rPr>
        <w:t>UE en matière de droits de propriété intellectuelle afin d</w:t>
      </w:r>
      <w:r>
        <w:rPr>
          <w:rFonts w:ascii="Arial" w:hAnsi="Arial" w:cs="Arial"/>
          <w:sz w:val="20"/>
          <w:szCs w:val="20"/>
          <w:lang w:val="fr-CH"/>
        </w:rPr>
        <w:t>’</w:t>
      </w:r>
      <w:r w:rsidRPr="00081E64">
        <w:rPr>
          <w:rFonts w:ascii="Arial" w:hAnsi="Arial" w:cs="Arial"/>
          <w:sz w:val="20"/>
          <w:szCs w:val="20"/>
          <w:lang w:val="fr-CH"/>
        </w:rPr>
        <w:t>appuyer la dimension extérieure des politiques européennes</w:t>
      </w:r>
      <w:r>
        <w:rPr>
          <w:rFonts w:ascii="Arial" w:hAnsi="Arial" w:cs="Arial"/>
          <w:sz w:val="20"/>
          <w:szCs w:val="20"/>
          <w:lang w:val="fr-CH"/>
        </w:rPr>
        <w:t xml:space="preserve">.  </w:t>
      </w:r>
      <w:r w:rsidRPr="00081E64">
        <w:rPr>
          <w:rFonts w:ascii="Arial" w:hAnsi="Arial" w:cs="Arial"/>
          <w:sz w:val="20"/>
          <w:szCs w:val="20"/>
          <w:lang w:val="fr-CH"/>
        </w:rPr>
        <w:t>Dans le cadre de cette stratégie, l</w:t>
      </w:r>
      <w:r>
        <w:rPr>
          <w:rFonts w:ascii="Arial" w:hAnsi="Arial" w:cs="Arial"/>
          <w:sz w:val="20"/>
          <w:szCs w:val="20"/>
          <w:lang w:val="fr-CH"/>
        </w:rPr>
        <w:t>’</w:t>
      </w:r>
      <w:r w:rsidRPr="00081E64">
        <w:rPr>
          <w:rFonts w:ascii="Arial" w:hAnsi="Arial" w:cs="Arial"/>
          <w:sz w:val="20"/>
          <w:szCs w:val="20"/>
          <w:lang w:val="fr-CH"/>
        </w:rPr>
        <w:t xml:space="preserve">OCVV est devenu partie prenante des projets de coopération internationale </w:t>
      </w:r>
      <w:proofErr w:type="spellStart"/>
      <w:r w:rsidRPr="00081E64">
        <w:rPr>
          <w:rFonts w:ascii="Arial" w:hAnsi="Arial" w:cs="Arial"/>
          <w:sz w:val="20"/>
          <w:szCs w:val="20"/>
          <w:lang w:val="fr-CH"/>
        </w:rPr>
        <w:t>IPKey</w:t>
      </w:r>
      <w:proofErr w:type="spellEnd"/>
      <w:r w:rsidRPr="00081E64">
        <w:rPr>
          <w:rFonts w:ascii="Arial" w:hAnsi="Arial" w:cs="Arial"/>
          <w:sz w:val="20"/>
          <w:szCs w:val="20"/>
          <w:lang w:val="fr-CH"/>
        </w:rPr>
        <w:t>.</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 xml:space="preserve">Les projets de coopération internationale </w:t>
      </w:r>
      <w:proofErr w:type="spellStart"/>
      <w:r w:rsidRPr="00081E64">
        <w:rPr>
          <w:rFonts w:ascii="Arial" w:hAnsi="Arial" w:cs="Arial"/>
          <w:sz w:val="20"/>
          <w:szCs w:val="20"/>
          <w:lang w:val="fr-CH"/>
        </w:rPr>
        <w:t>IPKey</w:t>
      </w:r>
      <w:proofErr w:type="spellEnd"/>
      <w:r w:rsidRPr="00081E64">
        <w:rPr>
          <w:rFonts w:ascii="Arial" w:hAnsi="Arial" w:cs="Arial"/>
          <w:sz w:val="20"/>
          <w:szCs w:val="20"/>
          <w:lang w:val="fr-CH"/>
        </w:rPr>
        <w:t xml:space="preserve"> sont dirigés par la Commission européenne et mis en œuvre en collaboration avec l</w:t>
      </w:r>
      <w:r>
        <w:rPr>
          <w:rFonts w:ascii="Arial" w:hAnsi="Arial" w:cs="Arial"/>
          <w:sz w:val="20"/>
          <w:szCs w:val="20"/>
          <w:lang w:val="fr-CH"/>
        </w:rPr>
        <w:t>’</w:t>
      </w:r>
      <w:r w:rsidRPr="00081E64">
        <w:rPr>
          <w:rFonts w:ascii="Arial" w:hAnsi="Arial" w:cs="Arial"/>
          <w:sz w:val="20"/>
          <w:szCs w:val="20"/>
          <w:lang w:val="fr-CH"/>
        </w:rPr>
        <w:t>Office de l</w:t>
      </w:r>
      <w:r>
        <w:rPr>
          <w:rFonts w:ascii="Arial" w:hAnsi="Arial" w:cs="Arial"/>
          <w:sz w:val="20"/>
          <w:szCs w:val="20"/>
          <w:lang w:val="fr-CH"/>
        </w:rPr>
        <w:t>’</w:t>
      </w:r>
      <w:r w:rsidRPr="00081E64">
        <w:rPr>
          <w:rFonts w:ascii="Arial" w:hAnsi="Arial" w:cs="Arial"/>
          <w:sz w:val="20"/>
          <w:szCs w:val="20"/>
          <w:lang w:val="fr-CH"/>
        </w:rPr>
        <w:t>Union européenne pour la propriété intellectuelle (EUIPO) afin de renforcer la protection de la propriété intellectuelle en Chine, en Amérique latine et dans les pays de l</w:t>
      </w:r>
      <w:r>
        <w:rPr>
          <w:rFonts w:ascii="Arial" w:hAnsi="Arial" w:cs="Arial"/>
          <w:sz w:val="20"/>
          <w:szCs w:val="20"/>
          <w:lang w:val="fr-CH"/>
        </w:rPr>
        <w:t>’</w:t>
      </w:r>
      <w:r w:rsidRPr="00081E64">
        <w:rPr>
          <w:rFonts w:ascii="Arial" w:hAnsi="Arial" w:cs="Arial"/>
          <w:sz w:val="20"/>
          <w:szCs w:val="20"/>
          <w:lang w:val="fr-CH"/>
        </w:rPr>
        <w:t>ASEAN</w:t>
      </w:r>
      <w:r>
        <w:rPr>
          <w:rFonts w:ascii="Arial" w:hAnsi="Arial" w:cs="Arial"/>
          <w:sz w:val="20"/>
          <w:szCs w:val="20"/>
          <w:lang w:val="fr-CH"/>
        </w:rPr>
        <w:t xml:space="preserve">.  </w:t>
      </w:r>
      <w:r w:rsidRPr="00081E64">
        <w:rPr>
          <w:rFonts w:ascii="Arial" w:hAnsi="Arial" w:cs="Arial"/>
          <w:sz w:val="20"/>
          <w:szCs w:val="20"/>
          <w:lang w:val="fr-CH"/>
        </w:rPr>
        <w:t xml:space="preserve">En plus des projets IP Key, la Commission européenne a commencé la mise en œuvre des projets </w:t>
      </w:r>
      <w:proofErr w:type="spellStart"/>
      <w:r w:rsidRPr="00081E64">
        <w:rPr>
          <w:rFonts w:ascii="Arial" w:hAnsi="Arial" w:cs="Arial"/>
          <w:sz w:val="20"/>
          <w:szCs w:val="20"/>
          <w:lang w:val="fr-CH"/>
        </w:rPr>
        <w:t>CarIPI</w:t>
      </w:r>
      <w:proofErr w:type="spellEnd"/>
      <w:r w:rsidRPr="00081E64">
        <w:rPr>
          <w:rFonts w:ascii="Arial" w:hAnsi="Arial" w:cs="Arial"/>
          <w:sz w:val="20"/>
          <w:szCs w:val="20"/>
          <w:lang w:val="fr-CH"/>
        </w:rPr>
        <w:t xml:space="preserve"> dans la </w:t>
      </w:r>
      <w:r w:rsidRPr="00081E64">
        <w:rPr>
          <w:rFonts w:ascii="Arial" w:hAnsi="Arial" w:cs="Arial"/>
          <w:sz w:val="20"/>
          <w:szCs w:val="20"/>
          <w:lang w:val="fr-CH"/>
        </w:rPr>
        <w:lastRenderedPageBreak/>
        <w:t xml:space="preserve">région des Caraïbes et </w:t>
      </w:r>
      <w:proofErr w:type="spellStart"/>
      <w:r w:rsidRPr="00081E64">
        <w:rPr>
          <w:rFonts w:ascii="Arial" w:hAnsi="Arial" w:cs="Arial"/>
          <w:sz w:val="20"/>
          <w:szCs w:val="20"/>
          <w:lang w:val="fr-CH"/>
        </w:rPr>
        <w:t>AfrIPI</w:t>
      </w:r>
      <w:proofErr w:type="spellEnd"/>
      <w:r w:rsidRPr="00081E64">
        <w:rPr>
          <w:rFonts w:ascii="Arial" w:hAnsi="Arial" w:cs="Arial"/>
          <w:sz w:val="20"/>
          <w:szCs w:val="20"/>
          <w:lang w:val="fr-CH"/>
        </w:rPr>
        <w:t xml:space="preserve"> en Afrique</w:t>
      </w:r>
      <w:r>
        <w:rPr>
          <w:rFonts w:ascii="Arial" w:hAnsi="Arial" w:cs="Arial"/>
          <w:sz w:val="20"/>
          <w:szCs w:val="20"/>
          <w:lang w:val="fr-CH"/>
        </w:rPr>
        <w:t xml:space="preserve">.  </w:t>
      </w:r>
      <w:r w:rsidRPr="00081E64">
        <w:rPr>
          <w:rFonts w:ascii="Arial" w:hAnsi="Arial" w:cs="Arial"/>
          <w:sz w:val="20"/>
          <w:szCs w:val="20"/>
          <w:lang w:val="fr-CH"/>
        </w:rPr>
        <w:t>Parmi les activités menées dans le cadre de ces projets figurent l</w:t>
      </w:r>
      <w:r>
        <w:rPr>
          <w:rFonts w:ascii="Arial" w:hAnsi="Arial" w:cs="Arial"/>
          <w:sz w:val="20"/>
          <w:szCs w:val="20"/>
          <w:lang w:val="fr-CH"/>
        </w:rPr>
        <w:t>’</w:t>
      </w:r>
      <w:r w:rsidRPr="00081E64">
        <w:rPr>
          <w:rFonts w:ascii="Arial" w:hAnsi="Arial" w:cs="Arial"/>
          <w:sz w:val="20"/>
          <w:szCs w:val="20"/>
          <w:lang w:val="fr-CH"/>
        </w:rPr>
        <w:t>organisation de séminaires et de formations mutuelles, ainsi que la fourniture d</w:t>
      </w:r>
      <w:r>
        <w:rPr>
          <w:rFonts w:ascii="Arial" w:hAnsi="Arial" w:cs="Arial"/>
          <w:sz w:val="20"/>
          <w:szCs w:val="20"/>
          <w:lang w:val="fr-CH"/>
        </w:rPr>
        <w:t>’</w:t>
      </w:r>
      <w:r w:rsidRPr="00081E64">
        <w:rPr>
          <w:rFonts w:ascii="Arial" w:hAnsi="Arial" w:cs="Arial"/>
          <w:sz w:val="20"/>
          <w:szCs w:val="20"/>
          <w:lang w:val="fr-CH"/>
        </w:rPr>
        <w:t>études et d</w:t>
      </w:r>
      <w:r>
        <w:rPr>
          <w:rFonts w:ascii="Arial" w:hAnsi="Arial" w:cs="Arial"/>
          <w:sz w:val="20"/>
          <w:szCs w:val="20"/>
          <w:lang w:val="fr-CH"/>
        </w:rPr>
        <w:t>’</w:t>
      </w:r>
      <w:r w:rsidRPr="00081E64">
        <w:rPr>
          <w:rFonts w:ascii="Arial" w:hAnsi="Arial" w:cs="Arial"/>
          <w:sz w:val="20"/>
          <w:szCs w:val="20"/>
          <w:lang w:val="fr-CH"/>
        </w:rPr>
        <w:t>une assistance juridique aux pays bénéficiaires.</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Le déclenchement de la pandémie de Covid</w:t>
      </w:r>
      <w:r>
        <w:rPr>
          <w:rFonts w:ascii="Arial" w:hAnsi="Arial" w:cs="Arial"/>
          <w:sz w:val="20"/>
          <w:szCs w:val="20"/>
          <w:lang w:val="fr-CH"/>
        </w:rPr>
        <w:t>-</w:t>
      </w:r>
      <w:r w:rsidRPr="00081E64">
        <w:rPr>
          <w:rFonts w:ascii="Arial" w:hAnsi="Arial" w:cs="Arial"/>
          <w:sz w:val="20"/>
          <w:szCs w:val="20"/>
          <w:lang w:val="fr-CH"/>
        </w:rPr>
        <w:t>19 a entravé la mise en œuvre des activités de tous les projets de coopération internationale</w:t>
      </w:r>
      <w:r>
        <w:rPr>
          <w:rFonts w:ascii="Arial" w:hAnsi="Arial" w:cs="Arial"/>
          <w:sz w:val="20"/>
          <w:szCs w:val="20"/>
          <w:lang w:val="fr-CH"/>
        </w:rPr>
        <w:t xml:space="preserve">.  </w:t>
      </w:r>
      <w:r w:rsidRPr="00081E64">
        <w:rPr>
          <w:rFonts w:ascii="Arial" w:hAnsi="Arial" w:cs="Arial"/>
          <w:sz w:val="20"/>
          <w:szCs w:val="20"/>
          <w:lang w:val="fr-CH"/>
        </w:rPr>
        <w:t>La plupart des activités ont été transformées en événements en ligne.</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keepLines/>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Dans le cadre d</w:t>
      </w:r>
      <w:r>
        <w:rPr>
          <w:rFonts w:ascii="Arial" w:hAnsi="Arial" w:cs="Arial"/>
          <w:sz w:val="20"/>
          <w:szCs w:val="20"/>
          <w:lang w:val="fr-CH"/>
        </w:rPr>
        <w:t>’</w:t>
      </w:r>
      <w:proofErr w:type="spellStart"/>
      <w:r w:rsidRPr="00081E64">
        <w:rPr>
          <w:rFonts w:ascii="Arial" w:hAnsi="Arial" w:cs="Arial"/>
          <w:b/>
          <w:sz w:val="20"/>
          <w:szCs w:val="20"/>
          <w:lang w:val="fr-CH"/>
        </w:rPr>
        <w:t>IPKey</w:t>
      </w:r>
      <w:proofErr w:type="spellEnd"/>
      <w:r w:rsidRPr="00081E64">
        <w:rPr>
          <w:rFonts w:ascii="Arial" w:hAnsi="Arial" w:cs="Arial"/>
          <w:b/>
          <w:sz w:val="20"/>
          <w:szCs w:val="20"/>
          <w:lang w:val="fr-CH"/>
        </w:rPr>
        <w:t xml:space="preserve"> en Chine</w:t>
      </w:r>
      <w:r w:rsidRPr="00081E64">
        <w:rPr>
          <w:rFonts w:ascii="Arial" w:hAnsi="Arial" w:cs="Arial"/>
          <w:sz w:val="20"/>
          <w:szCs w:val="20"/>
          <w:lang w:val="fr-CH"/>
        </w:rPr>
        <w:t>, ces dernières années, des experts chinois ont eu l</w:t>
      </w:r>
      <w:r>
        <w:rPr>
          <w:rFonts w:ascii="Arial" w:hAnsi="Arial" w:cs="Arial"/>
          <w:sz w:val="20"/>
          <w:szCs w:val="20"/>
          <w:lang w:val="fr-CH"/>
        </w:rPr>
        <w:t>’</w:t>
      </w:r>
      <w:r w:rsidRPr="00081E64">
        <w:rPr>
          <w:rFonts w:ascii="Arial" w:hAnsi="Arial" w:cs="Arial"/>
          <w:sz w:val="20"/>
          <w:szCs w:val="20"/>
          <w:lang w:val="fr-CH"/>
        </w:rPr>
        <w:t>occasion de participer à une session de formation de deux semaines sur l</w:t>
      </w:r>
      <w:r>
        <w:rPr>
          <w:rFonts w:ascii="Arial" w:hAnsi="Arial" w:cs="Arial"/>
          <w:sz w:val="20"/>
          <w:szCs w:val="20"/>
          <w:lang w:val="fr-CH"/>
        </w:rPr>
        <w:t>’</w:t>
      </w:r>
      <w:r w:rsidRPr="00081E64">
        <w:rPr>
          <w:rFonts w:ascii="Arial" w:hAnsi="Arial" w:cs="Arial"/>
          <w:sz w:val="20"/>
          <w:szCs w:val="20"/>
          <w:lang w:val="fr-CH"/>
        </w:rPr>
        <w:t>examen DHS, qui s</w:t>
      </w:r>
      <w:r>
        <w:rPr>
          <w:rFonts w:ascii="Arial" w:hAnsi="Arial" w:cs="Arial"/>
          <w:sz w:val="20"/>
          <w:szCs w:val="20"/>
          <w:lang w:val="fr-CH"/>
        </w:rPr>
        <w:t>’</w:t>
      </w:r>
      <w:r w:rsidRPr="00081E64">
        <w:rPr>
          <w:rFonts w:ascii="Arial" w:hAnsi="Arial" w:cs="Arial"/>
          <w:sz w:val="20"/>
          <w:szCs w:val="20"/>
          <w:lang w:val="fr-CH"/>
        </w:rPr>
        <w:t>est déroulée en présentiel dans les locaux des services d</w:t>
      </w:r>
      <w:r>
        <w:rPr>
          <w:rFonts w:ascii="Arial" w:hAnsi="Arial" w:cs="Arial"/>
          <w:sz w:val="20"/>
          <w:szCs w:val="20"/>
          <w:lang w:val="fr-CH"/>
        </w:rPr>
        <w:t>’</w:t>
      </w:r>
      <w:r w:rsidRPr="00081E64">
        <w:rPr>
          <w:rFonts w:ascii="Arial" w:hAnsi="Arial" w:cs="Arial"/>
          <w:sz w:val="20"/>
          <w:szCs w:val="20"/>
          <w:lang w:val="fr-CH"/>
        </w:rPr>
        <w:t>examen de l</w:t>
      </w:r>
      <w:r>
        <w:rPr>
          <w:rFonts w:ascii="Arial" w:hAnsi="Arial" w:cs="Arial"/>
          <w:sz w:val="20"/>
          <w:szCs w:val="20"/>
          <w:lang w:val="fr-CH"/>
        </w:rPr>
        <w:t>’</w:t>
      </w:r>
      <w:r w:rsidRPr="00081E64">
        <w:rPr>
          <w:rFonts w:ascii="Arial" w:hAnsi="Arial" w:cs="Arial"/>
          <w:sz w:val="20"/>
          <w:szCs w:val="20"/>
          <w:lang w:val="fr-CH"/>
        </w:rPr>
        <w:t>UE.</w:t>
      </w:r>
      <w:r w:rsidRPr="00081E64">
        <w:rPr>
          <w:rFonts w:ascii="Arial" w:hAnsi="Arial"/>
          <w:sz w:val="20"/>
          <w:lang w:val="fr-CH"/>
        </w:rPr>
        <w:t xml:space="preserve"> </w:t>
      </w:r>
      <w:r w:rsidRPr="00081E64">
        <w:rPr>
          <w:rFonts w:ascii="Arial" w:hAnsi="Arial" w:cs="Arial"/>
          <w:sz w:val="20"/>
          <w:szCs w:val="20"/>
          <w:lang w:val="fr-CH"/>
        </w:rPr>
        <w:t xml:space="preserve"> En octobre 2020, grâce à l</w:t>
      </w:r>
      <w:r>
        <w:rPr>
          <w:rFonts w:ascii="Arial" w:hAnsi="Arial" w:cs="Arial"/>
          <w:sz w:val="20"/>
          <w:szCs w:val="20"/>
          <w:lang w:val="fr-CH"/>
        </w:rPr>
        <w:t>’</w:t>
      </w:r>
      <w:r w:rsidRPr="00081E64">
        <w:rPr>
          <w:rFonts w:ascii="Arial" w:hAnsi="Arial" w:cs="Arial"/>
          <w:sz w:val="20"/>
          <w:szCs w:val="20"/>
          <w:lang w:val="fr-CH"/>
        </w:rPr>
        <w:t>effort combiné de six services d</w:t>
      </w:r>
      <w:r>
        <w:rPr>
          <w:rFonts w:ascii="Arial" w:hAnsi="Arial" w:cs="Arial"/>
          <w:sz w:val="20"/>
          <w:szCs w:val="20"/>
          <w:lang w:val="fr-CH"/>
        </w:rPr>
        <w:t>’</w:t>
      </w:r>
      <w:r w:rsidRPr="00081E64">
        <w:rPr>
          <w:rFonts w:ascii="Arial" w:hAnsi="Arial" w:cs="Arial"/>
          <w:sz w:val="20"/>
          <w:szCs w:val="20"/>
          <w:lang w:val="fr-CH"/>
        </w:rPr>
        <w:t>examen des États membres de l</w:t>
      </w:r>
      <w:r>
        <w:rPr>
          <w:rFonts w:ascii="Arial" w:hAnsi="Arial" w:cs="Arial"/>
          <w:sz w:val="20"/>
          <w:szCs w:val="20"/>
          <w:lang w:val="fr-CH"/>
        </w:rPr>
        <w:t>’</w:t>
      </w:r>
      <w:r w:rsidRPr="00081E64">
        <w:rPr>
          <w:rFonts w:ascii="Arial" w:hAnsi="Arial" w:cs="Arial"/>
          <w:sz w:val="20"/>
          <w:szCs w:val="20"/>
          <w:lang w:val="fr-CH"/>
        </w:rPr>
        <w:t>UE (Allemagne, Espagne, France, Hongrie, Pays</w:t>
      </w:r>
      <w:r>
        <w:rPr>
          <w:rFonts w:ascii="Arial" w:hAnsi="Arial" w:cs="Arial"/>
          <w:sz w:val="20"/>
          <w:szCs w:val="20"/>
          <w:lang w:val="fr-CH"/>
        </w:rPr>
        <w:t>-</w:t>
      </w:r>
      <w:r w:rsidRPr="00081E64">
        <w:rPr>
          <w:rFonts w:ascii="Arial" w:hAnsi="Arial" w:cs="Arial"/>
          <w:sz w:val="20"/>
          <w:szCs w:val="20"/>
          <w:lang w:val="fr-CH"/>
        </w:rPr>
        <w:t>Bas et République tchèque) et de l</w:t>
      </w:r>
      <w:r>
        <w:rPr>
          <w:rFonts w:ascii="Arial" w:hAnsi="Arial" w:cs="Arial"/>
          <w:sz w:val="20"/>
          <w:szCs w:val="20"/>
          <w:lang w:val="fr-CH"/>
        </w:rPr>
        <w:t>’</w:t>
      </w:r>
      <w:r w:rsidRPr="00081E64">
        <w:rPr>
          <w:rFonts w:ascii="Arial" w:hAnsi="Arial" w:cs="Arial"/>
          <w:sz w:val="20"/>
          <w:szCs w:val="20"/>
          <w:lang w:val="fr-CH"/>
        </w:rPr>
        <w:t>OCVV, l</w:t>
      </w:r>
      <w:r>
        <w:rPr>
          <w:rFonts w:ascii="Arial" w:hAnsi="Arial" w:cs="Arial"/>
          <w:sz w:val="20"/>
          <w:szCs w:val="20"/>
          <w:lang w:val="fr-CH"/>
        </w:rPr>
        <w:t>’</w:t>
      </w:r>
      <w:r w:rsidRPr="00081E64">
        <w:rPr>
          <w:rFonts w:ascii="Arial" w:hAnsi="Arial" w:cs="Arial"/>
          <w:sz w:val="20"/>
          <w:szCs w:val="20"/>
          <w:lang w:val="fr-CH"/>
        </w:rPr>
        <w:t>événement a été transformé en un séminaire en ligne</w:t>
      </w:r>
      <w:r>
        <w:rPr>
          <w:rFonts w:ascii="Arial" w:hAnsi="Arial" w:cs="Arial"/>
          <w:sz w:val="20"/>
          <w:szCs w:val="20"/>
          <w:lang w:val="fr-CH"/>
        </w:rPr>
        <w:t xml:space="preserve">.  </w:t>
      </w:r>
      <w:r w:rsidRPr="00081E64">
        <w:rPr>
          <w:rFonts w:ascii="Arial" w:hAnsi="Arial" w:cs="Arial"/>
          <w:sz w:val="20"/>
          <w:szCs w:val="20"/>
          <w:lang w:val="fr-CH"/>
        </w:rPr>
        <w:t>Plus de 60 experts du Ministère chinois de l</w:t>
      </w:r>
      <w:r>
        <w:rPr>
          <w:rFonts w:ascii="Arial" w:hAnsi="Arial" w:cs="Arial"/>
          <w:sz w:val="20"/>
          <w:szCs w:val="20"/>
          <w:lang w:val="fr-CH"/>
        </w:rPr>
        <w:t>’</w:t>
      </w:r>
      <w:r w:rsidRPr="00081E64">
        <w:rPr>
          <w:rFonts w:ascii="Arial" w:hAnsi="Arial" w:cs="Arial"/>
          <w:sz w:val="20"/>
          <w:szCs w:val="20"/>
          <w:lang w:val="fr-CH"/>
        </w:rPr>
        <w:t>agriculture et des affaires rurales et de l</w:t>
      </w:r>
      <w:r>
        <w:rPr>
          <w:rFonts w:ascii="Arial" w:hAnsi="Arial" w:cs="Arial"/>
          <w:sz w:val="20"/>
          <w:szCs w:val="20"/>
          <w:lang w:val="fr-CH"/>
        </w:rPr>
        <w:t>’</w:t>
      </w:r>
      <w:r w:rsidRPr="00081E64">
        <w:rPr>
          <w:rFonts w:ascii="Arial" w:hAnsi="Arial" w:cs="Arial"/>
          <w:sz w:val="20"/>
          <w:szCs w:val="20"/>
          <w:lang w:val="fr-CH"/>
        </w:rPr>
        <w:t>Administration nationale des forêts et des pâturages ont participé à cette formation</w:t>
      </w:r>
      <w:r>
        <w:rPr>
          <w:rFonts w:ascii="Arial" w:hAnsi="Arial" w:cs="Arial"/>
          <w:sz w:val="20"/>
          <w:szCs w:val="20"/>
          <w:lang w:val="fr-CH"/>
        </w:rPr>
        <w:t xml:space="preserve">.  </w:t>
      </w:r>
      <w:r w:rsidRPr="00081E64">
        <w:rPr>
          <w:rFonts w:ascii="Arial" w:hAnsi="Arial" w:cs="Arial"/>
          <w:sz w:val="20"/>
          <w:szCs w:val="20"/>
          <w:lang w:val="fr-CH"/>
        </w:rPr>
        <w:t>En novembre 2020, plus de 150 participants et intervenants de l</w:t>
      </w:r>
      <w:r>
        <w:rPr>
          <w:rFonts w:ascii="Arial" w:hAnsi="Arial" w:cs="Arial"/>
          <w:sz w:val="20"/>
          <w:szCs w:val="20"/>
          <w:lang w:val="fr-CH"/>
        </w:rPr>
        <w:t>’</w:t>
      </w:r>
      <w:r w:rsidRPr="00081E64">
        <w:rPr>
          <w:rFonts w:ascii="Arial" w:hAnsi="Arial" w:cs="Arial"/>
          <w:sz w:val="20"/>
          <w:szCs w:val="20"/>
          <w:lang w:val="fr-CH"/>
        </w:rPr>
        <w:t>UE et de la Chine ont assisté à un séminaire en ligne sur l</w:t>
      </w:r>
      <w:r>
        <w:rPr>
          <w:rFonts w:ascii="Arial" w:hAnsi="Arial" w:cs="Arial"/>
          <w:sz w:val="20"/>
          <w:szCs w:val="20"/>
          <w:lang w:val="fr-CH"/>
        </w:rPr>
        <w:t>’</w:t>
      </w:r>
      <w:r w:rsidRPr="00081E64">
        <w:rPr>
          <w:rFonts w:ascii="Arial" w:hAnsi="Arial" w:cs="Arial"/>
          <w:sz w:val="20"/>
          <w:szCs w:val="20"/>
          <w:lang w:val="fr-CH"/>
        </w:rPr>
        <w:t>application des droits d</w:t>
      </w:r>
      <w:r>
        <w:rPr>
          <w:rFonts w:ascii="Arial" w:hAnsi="Arial" w:cs="Arial"/>
          <w:sz w:val="20"/>
          <w:szCs w:val="20"/>
          <w:lang w:val="fr-CH"/>
        </w:rPr>
        <w:t>’</w:t>
      </w:r>
      <w:r w:rsidRPr="00081E64">
        <w:rPr>
          <w:rFonts w:ascii="Arial" w:hAnsi="Arial" w:cs="Arial"/>
          <w:sz w:val="20"/>
          <w:szCs w:val="20"/>
          <w:lang w:val="fr-CH"/>
        </w:rPr>
        <w:t>obtenteur</w:t>
      </w:r>
      <w:r>
        <w:rPr>
          <w:rFonts w:ascii="Arial" w:hAnsi="Arial" w:cs="Arial"/>
          <w:sz w:val="20"/>
          <w:szCs w:val="20"/>
          <w:lang w:val="fr-CH"/>
        </w:rPr>
        <w:t xml:space="preserve">.  </w:t>
      </w:r>
      <w:r w:rsidRPr="00081E64">
        <w:rPr>
          <w:rFonts w:ascii="Arial" w:hAnsi="Arial" w:cs="Arial"/>
          <w:sz w:val="20"/>
          <w:szCs w:val="20"/>
          <w:lang w:val="fr-CH"/>
        </w:rPr>
        <w:t>Cette activité a permis aux deux parties de partager des données d</w:t>
      </w:r>
      <w:r>
        <w:rPr>
          <w:rFonts w:ascii="Arial" w:hAnsi="Arial" w:cs="Arial"/>
          <w:sz w:val="20"/>
          <w:szCs w:val="20"/>
          <w:lang w:val="fr-CH"/>
        </w:rPr>
        <w:t>’</w:t>
      </w:r>
      <w:r w:rsidRPr="00081E64">
        <w:rPr>
          <w:rFonts w:ascii="Arial" w:hAnsi="Arial" w:cs="Arial"/>
          <w:sz w:val="20"/>
          <w:szCs w:val="20"/>
          <w:lang w:val="fr-CH"/>
        </w:rPr>
        <w:t>expérience, grâce à la participation de toutes les parties prenantes impliquées dans les activités d</w:t>
      </w:r>
      <w:r>
        <w:rPr>
          <w:rFonts w:ascii="Arial" w:hAnsi="Arial" w:cs="Arial"/>
          <w:sz w:val="20"/>
          <w:szCs w:val="20"/>
          <w:lang w:val="fr-CH"/>
        </w:rPr>
        <w:t>’</w:t>
      </w:r>
      <w:r w:rsidRPr="00081E64">
        <w:rPr>
          <w:rFonts w:ascii="Arial" w:hAnsi="Arial" w:cs="Arial"/>
          <w:sz w:val="20"/>
          <w:szCs w:val="20"/>
          <w:lang w:val="fr-CH"/>
        </w:rPr>
        <w:t>application des droits, et d</w:t>
      </w:r>
      <w:r>
        <w:rPr>
          <w:rFonts w:ascii="Arial" w:hAnsi="Arial" w:cs="Arial"/>
          <w:sz w:val="20"/>
          <w:szCs w:val="20"/>
          <w:lang w:val="fr-CH"/>
        </w:rPr>
        <w:t>’</w:t>
      </w:r>
      <w:r w:rsidRPr="00081E64">
        <w:rPr>
          <w:rFonts w:ascii="Arial" w:hAnsi="Arial" w:cs="Arial"/>
          <w:sz w:val="20"/>
          <w:szCs w:val="20"/>
          <w:lang w:val="fr-CH"/>
        </w:rPr>
        <w:t>examiner les faits nouveaux en matière de législation sur la protection des variétés végétales.</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Dans le cadre d</w:t>
      </w:r>
      <w:r>
        <w:rPr>
          <w:rFonts w:ascii="Arial" w:hAnsi="Arial" w:cs="Arial"/>
          <w:sz w:val="20"/>
          <w:szCs w:val="20"/>
          <w:lang w:val="fr-CH"/>
        </w:rPr>
        <w:t>’</w:t>
      </w:r>
      <w:proofErr w:type="spellStart"/>
      <w:r w:rsidRPr="00081E64">
        <w:rPr>
          <w:rFonts w:ascii="Arial" w:hAnsi="Arial" w:cs="Arial"/>
          <w:b/>
          <w:sz w:val="20"/>
          <w:szCs w:val="20"/>
          <w:lang w:val="fr-CH"/>
        </w:rPr>
        <w:t>IPKey</w:t>
      </w:r>
      <w:proofErr w:type="spellEnd"/>
      <w:r w:rsidRPr="00081E64">
        <w:rPr>
          <w:rFonts w:ascii="Arial" w:hAnsi="Arial" w:cs="Arial"/>
          <w:b/>
          <w:sz w:val="20"/>
          <w:szCs w:val="20"/>
          <w:lang w:val="fr-CH"/>
        </w:rPr>
        <w:t xml:space="preserve"> en Asie du Sud</w:t>
      </w:r>
      <w:r>
        <w:rPr>
          <w:rFonts w:ascii="Arial" w:hAnsi="Arial" w:cs="Arial"/>
          <w:b/>
          <w:sz w:val="20"/>
          <w:szCs w:val="20"/>
          <w:lang w:val="fr-CH"/>
        </w:rPr>
        <w:t>-</w:t>
      </w:r>
      <w:r w:rsidRPr="00081E64">
        <w:rPr>
          <w:rFonts w:ascii="Arial" w:hAnsi="Arial" w:cs="Arial"/>
          <w:b/>
          <w:sz w:val="20"/>
          <w:szCs w:val="20"/>
          <w:lang w:val="fr-CH"/>
        </w:rPr>
        <w:t>Est</w:t>
      </w:r>
      <w:r w:rsidRPr="00081E64">
        <w:rPr>
          <w:rFonts w:ascii="Arial" w:hAnsi="Arial" w:cs="Arial"/>
          <w:sz w:val="20"/>
          <w:szCs w:val="20"/>
          <w:lang w:val="fr-CH"/>
        </w:rPr>
        <w:t>, l</w:t>
      </w:r>
      <w:r>
        <w:rPr>
          <w:rFonts w:ascii="Arial" w:hAnsi="Arial" w:cs="Arial"/>
          <w:sz w:val="20"/>
          <w:szCs w:val="20"/>
          <w:lang w:val="fr-CH"/>
        </w:rPr>
        <w:t>’</w:t>
      </w:r>
      <w:r w:rsidRPr="00081E64">
        <w:rPr>
          <w:rFonts w:ascii="Arial" w:hAnsi="Arial" w:cs="Arial"/>
          <w:sz w:val="20"/>
          <w:szCs w:val="20"/>
          <w:lang w:val="fr-CH"/>
        </w:rPr>
        <w:t>OCVV a participé à la mise en place de plusieurs webinaires et formations techniques à l</w:t>
      </w:r>
      <w:r>
        <w:rPr>
          <w:rFonts w:ascii="Arial" w:hAnsi="Arial" w:cs="Arial"/>
          <w:sz w:val="20"/>
          <w:szCs w:val="20"/>
          <w:lang w:val="fr-CH"/>
        </w:rPr>
        <w:t>’</w:t>
      </w:r>
      <w:r w:rsidRPr="00081E64">
        <w:rPr>
          <w:rFonts w:ascii="Arial" w:hAnsi="Arial" w:cs="Arial"/>
          <w:sz w:val="20"/>
          <w:szCs w:val="20"/>
          <w:lang w:val="fr-CH"/>
        </w:rPr>
        <w:t>intention des fonctionnaires des offices de propriété intellectuelle, portant principalement sur l</w:t>
      </w:r>
      <w:r>
        <w:rPr>
          <w:rFonts w:ascii="Arial" w:hAnsi="Arial" w:cs="Arial"/>
          <w:sz w:val="20"/>
          <w:szCs w:val="20"/>
          <w:lang w:val="fr-CH"/>
        </w:rPr>
        <w:t>’</w:t>
      </w:r>
      <w:r w:rsidRPr="00081E64">
        <w:rPr>
          <w:rFonts w:ascii="Arial" w:hAnsi="Arial" w:cs="Arial"/>
          <w:sz w:val="20"/>
          <w:szCs w:val="20"/>
          <w:lang w:val="fr-CH"/>
        </w:rPr>
        <w:t xml:space="preserve">Acte de 1991 de la </w:t>
      </w:r>
      <w:r>
        <w:rPr>
          <w:rFonts w:ascii="Arial" w:hAnsi="Arial" w:cs="Arial"/>
          <w:sz w:val="20"/>
          <w:szCs w:val="20"/>
          <w:lang w:val="fr-CH"/>
        </w:rPr>
        <w:t>Convention UPOV</w:t>
      </w:r>
      <w:r w:rsidRPr="00081E64">
        <w:rPr>
          <w:rFonts w:ascii="Arial" w:hAnsi="Arial" w:cs="Arial"/>
          <w:sz w:val="20"/>
          <w:szCs w:val="20"/>
          <w:lang w:val="fr-CH"/>
        </w:rPr>
        <w:t xml:space="preserve"> et les avantages du système de l</w:t>
      </w:r>
      <w:r>
        <w:rPr>
          <w:rFonts w:ascii="Arial" w:hAnsi="Arial" w:cs="Arial"/>
          <w:sz w:val="20"/>
          <w:szCs w:val="20"/>
          <w:lang w:val="fr-CH"/>
        </w:rPr>
        <w:t>’</w:t>
      </w:r>
      <w:r w:rsidRPr="00081E64">
        <w:rPr>
          <w:rFonts w:ascii="Arial" w:hAnsi="Arial" w:cs="Arial"/>
          <w:sz w:val="20"/>
          <w:szCs w:val="20"/>
          <w:lang w:val="fr-CH"/>
        </w:rPr>
        <w:t>UPOV</w:t>
      </w:r>
      <w:r>
        <w:rPr>
          <w:rFonts w:ascii="Arial" w:hAnsi="Arial" w:cs="Arial"/>
          <w:sz w:val="20"/>
          <w:szCs w:val="20"/>
          <w:lang w:val="fr-CH"/>
        </w:rPr>
        <w:t xml:space="preserve">.  </w:t>
      </w:r>
      <w:r w:rsidRPr="00081E64">
        <w:rPr>
          <w:rFonts w:ascii="Arial" w:hAnsi="Arial" w:cs="Arial"/>
          <w:sz w:val="20"/>
          <w:szCs w:val="20"/>
          <w:lang w:val="fr-CH"/>
        </w:rPr>
        <w:t>Deux séries de webinaires, l</w:t>
      </w:r>
      <w:r>
        <w:rPr>
          <w:rFonts w:ascii="Arial" w:hAnsi="Arial" w:cs="Arial"/>
          <w:sz w:val="20"/>
          <w:szCs w:val="20"/>
          <w:lang w:val="fr-CH"/>
        </w:rPr>
        <w:t>’</w:t>
      </w:r>
      <w:r w:rsidRPr="00081E64">
        <w:rPr>
          <w:rFonts w:ascii="Arial" w:hAnsi="Arial" w:cs="Arial"/>
          <w:sz w:val="20"/>
          <w:szCs w:val="20"/>
          <w:lang w:val="fr-CH"/>
        </w:rPr>
        <w:t>une en novembre 2020 et l</w:t>
      </w:r>
      <w:r>
        <w:rPr>
          <w:rFonts w:ascii="Arial" w:hAnsi="Arial" w:cs="Arial"/>
          <w:sz w:val="20"/>
          <w:szCs w:val="20"/>
          <w:lang w:val="fr-CH"/>
        </w:rPr>
        <w:t>’</w:t>
      </w:r>
      <w:r w:rsidRPr="00081E64">
        <w:rPr>
          <w:rFonts w:ascii="Arial" w:hAnsi="Arial" w:cs="Arial"/>
          <w:sz w:val="20"/>
          <w:szCs w:val="20"/>
          <w:lang w:val="fr-CH"/>
        </w:rPr>
        <w:t>autre en juin 2021, ont porté sur les avantages des systèmes de droits d</w:t>
      </w:r>
      <w:r>
        <w:rPr>
          <w:rFonts w:ascii="Arial" w:hAnsi="Arial" w:cs="Arial"/>
          <w:sz w:val="20"/>
          <w:szCs w:val="20"/>
          <w:lang w:val="fr-CH"/>
        </w:rPr>
        <w:t>’</w:t>
      </w:r>
      <w:r w:rsidRPr="00081E64">
        <w:rPr>
          <w:rFonts w:ascii="Arial" w:hAnsi="Arial" w:cs="Arial"/>
          <w:sz w:val="20"/>
          <w:szCs w:val="20"/>
          <w:lang w:val="fr-CH"/>
        </w:rPr>
        <w:t>obtenteur pour l</w:t>
      </w:r>
      <w:r>
        <w:rPr>
          <w:rFonts w:ascii="Arial" w:hAnsi="Arial" w:cs="Arial"/>
          <w:sz w:val="20"/>
          <w:szCs w:val="20"/>
          <w:lang w:val="fr-CH"/>
        </w:rPr>
        <w:t>’</w:t>
      </w:r>
      <w:r w:rsidRPr="00081E64">
        <w:rPr>
          <w:rFonts w:ascii="Arial" w:hAnsi="Arial" w:cs="Arial"/>
          <w:sz w:val="20"/>
          <w:szCs w:val="20"/>
          <w:lang w:val="fr-CH"/>
        </w:rPr>
        <w:t>agriculture durable et la sécurité alimentaire mondiale</w:t>
      </w:r>
      <w:r>
        <w:rPr>
          <w:rFonts w:ascii="Arial" w:hAnsi="Arial" w:cs="Arial"/>
          <w:sz w:val="20"/>
          <w:szCs w:val="20"/>
          <w:lang w:val="fr-CH"/>
        </w:rPr>
        <w:t xml:space="preserve">.  </w:t>
      </w:r>
      <w:r w:rsidRPr="00081E64">
        <w:rPr>
          <w:rFonts w:ascii="Arial" w:hAnsi="Arial" w:cs="Arial"/>
          <w:sz w:val="20"/>
          <w:szCs w:val="20"/>
          <w:lang w:val="fr-CH"/>
        </w:rPr>
        <w:t>Ces séries de webinaires ont été une occasion utile d</w:t>
      </w:r>
      <w:r>
        <w:rPr>
          <w:rFonts w:ascii="Arial" w:hAnsi="Arial" w:cs="Arial"/>
          <w:sz w:val="20"/>
          <w:szCs w:val="20"/>
          <w:lang w:val="fr-CH"/>
        </w:rPr>
        <w:t>’</w:t>
      </w:r>
      <w:r w:rsidRPr="00081E64">
        <w:rPr>
          <w:rFonts w:ascii="Arial" w:hAnsi="Arial" w:cs="Arial"/>
          <w:sz w:val="20"/>
          <w:szCs w:val="20"/>
          <w:lang w:val="fr-CH"/>
        </w:rPr>
        <w:t>échanger des points de vue sur les avantages de l</w:t>
      </w:r>
      <w:r>
        <w:rPr>
          <w:rFonts w:ascii="Arial" w:hAnsi="Arial" w:cs="Arial"/>
          <w:sz w:val="20"/>
          <w:szCs w:val="20"/>
          <w:lang w:val="fr-CH"/>
        </w:rPr>
        <w:t>’</w:t>
      </w:r>
      <w:r w:rsidRPr="00081E64">
        <w:rPr>
          <w:rFonts w:ascii="Arial" w:hAnsi="Arial" w:cs="Arial"/>
          <w:sz w:val="20"/>
          <w:szCs w:val="20"/>
          <w:lang w:val="fr-CH"/>
        </w:rPr>
        <w:t>adhésion à l</w:t>
      </w:r>
      <w:r>
        <w:rPr>
          <w:rFonts w:ascii="Arial" w:hAnsi="Arial" w:cs="Arial"/>
          <w:sz w:val="20"/>
          <w:szCs w:val="20"/>
          <w:lang w:val="fr-CH"/>
        </w:rPr>
        <w:t>’</w:t>
      </w:r>
      <w:r w:rsidRPr="00081E64">
        <w:rPr>
          <w:rFonts w:ascii="Arial" w:hAnsi="Arial" w:cs="Arial"/>
          <w:sz w:val="20"/>
          <w:szCs w:val="20"/>
          <w:lang w:val="fr-CH"/>
        </w:rPr>
        <w:t xml:space="preserve">Acte de 1991 de la </w:t>
      </w:r>
      <w:r>
        <w:rPr>
          <w:rFonts w:ascii="Arial" w:hAnsi="Arial" w:cs="Arial"/>
          <w:sz w:val="20"/>
          <w:szCs w:val="20"/>
          <w:lang w:val="fr-CH"/>
        </w:rPr>
        <w:t>Convention UPOV</w:t>
      </w:r>
      <w:r w:rsidRPr="00081E64">
        <w:rPr>
          <w:rFonts w:ascii="Arial" w:hAnsi="Arial" w:cs="Arial"/>
          <w:sz w:val="20"/>
          <w:szCs w:val="20"/>
          <w:lang w:val="fr-CH"/>
        </w:rPr>
        <w:t xml:space="preserve"> pour les agriculteurs et les obtenteurs, ainsi que sur les questions les plus urgentes concernant la protection des obtentions végétales en Asie du Sud</w:t>
      </w:r>
      <w:r>
        <w:rPr>
          <w:rFonts w:ascii="Arial" w:hAnsi="Arial" w:cs="Arial"/>
          <w:sz w:val="20"/>
          <w:szCs w:val="20"/>
          <w:lang w:val="fr-CH"/>
        </w:rPr>
        <w:t>-</w:t>
      </w:r>
      <w:r w:rsidRPr="00081E64">
        <w:rPr>
          <w:rFonts w:ascii="Arial" w:hAnsi="Arial" w:cs="Arial"/>
          <w:sz w:val="20"/>
          <w:szCs w:val="20"/>
          <w:lang w:val="fr-CH"/>
        </w:rPr>
        <w:t>Est</w:t>
      </w:r>
      <w:r>
        <w:rPr>
          <w:rFonts w:ascii="Arial" w:hAnsi="Arial" w:cs="Arial"/>
          <w:sz w:val="20"/>
          <w:szCs w:val="20"/>
          <w:lang w:val="fr-CH"/>
        </w:rPr>
        <w:t xml:space="preserve">.  </w:t>
      </w:r>
      <w:r w:rsidRPr="00081E64">
        <w:rPr>
          <w:rFonts w:ascii="Arial" w:hAnsi="Arial" w:cs="Arial"/>
          <w:sz w:val="20"/>
          <w:szCs w:val="20"/>
          <w:lang w:val="fr-CH"/>
        </w:rPr>
        <w:t>La deuxième activité menée en 2021 était une formation juridique pour les fonctionnaires thaïlandais, dispensée conjointement avec l</w:t>
      </w:r>
      <w:r>
        <w:rPr>
          <w:rFonts w:ascii="Arial" w:hAnsi="Arial" w:cs="Arial"/>
          <w:sz w:val="20"/>
          <w:szCs w:val="20"/>
          <w:lang w:val="fr-CH"/>
        </w:rPr>
        <w:t>’</w:t>
      </w:r>
      <w:r w:rsidRPr="00081E64">
        <w:rPr>
          <w:rFonts w:ascii="Arial" w:hAnsi="Arial" w:cs="Arial"/>
          <w:sz w:val="20"/>
          <w:szCs w:val="20"/>
          <w:lang w:val="fr-CH"/>
        </w:rPr>
        <w:t xml:space="preserve">UPOV, sur différents aspects de la </w:t>
      </w:r>
      <w:r>
        <w:rPr>
          <w:rFonts w:ascii="Arial" w:hAnsi="Arial" w:cs="Arial"/>
          <w:sz w:val="20"/>
          <w:szCs w:val="20"/>
          <w:lang w:val="fr-CH"/>
        </w:rPr>
        <w:t>Convention UPOV</w:t>
      </w:r>
      <w:r w:rsidRPr="00081E64">
        <w:rPr>
          <w:rFonts w:ascii="Arial" w:hAnsi="Arial" w:cs="Arial"/>
          <w:sz w:val="20"/>
          <w:szCs w:val="20"/>
          <w:lang w:val="fr-CH"/>
        </w:rPr>
        <w:t>.</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Dans le cadre d</w:t>
      </w:r>
      <w:r>
        <w:rPr>
          <w:rFonts w:ascii="Arial" w:hAnsi="Arial" w:cs="Arial"/>
          <w:sz w:val="20"/>
          <w:szCs w:val="20"/>
          <w:lang w:val="fr-CH"/>
        </w:rPr>
        <w:t>’</w:t>
      </w:r>
      <w:proofErr w:type="spellStart"/>
      <w:r w:rsidRPr="00081E64">
        <w:rPr>
          <w:rFonts w:ascii="Arial" w:hAnsi="Arial" w:cs="Arial"/>
          <w:b/>
          <w:sz w:val="20"/>
          <w:szCs w:val="20"/>
          <w:lang w:val="fr-CH"/>
        </w:rPr>
        <w:t>IPKey</w:t>
      </w:r>
      <w:proofErr w:type="spellEnd"/>
      <w:r w:rsidRPr="00081E64">
        <w:rPr>
          <w:rFonts w:ascii="Arial" w:hAnsi="Arial" w:cs="Arial"/>
          <w:b/>
          <w:sz w:val="20"/>
          <w:szCs w:val="20"/>
          <w:lang w:val="fr-CH"/>
        </w:rPr>
        <w:t xml:space="preserve"> en Amérique latine</w:t>
      </w:r>
      <w:r w:rsidRPr="00081E64">
        <w:rPr>
          <w:rFonts w:ascii="Arial" w:hAnsi="Arial" w:cs="Arial"/>
          <w:sz w:val="20"/>
          <w:szCs w:val="20"/>
          <w:lang w:val="fr-CH"/>
        </w:rPr>
        <w:t>, en novembre 2020, un atelier régional sur la coopération en matière d</w:t>
      </w:r>
      <w:r>
        <w:rPr>
          <w:rFonts w:ascii="Arial" w:hAnsi="Arial" w:cs="Arial"/>
          <w:sz w:val="20"/>
          <w:szCs w:val="20"/>
          <w:lang w:val="fr-CH"/>
        </w:rPr>
        <w:t>’</w:t>
      </w:r>
      <w:r w:rsidRPr="00081E64">
        <w:rPr>
          <w:rFonts w:ascii="Arial" w:hAnsi="Arial" w:cs="Arial"/>
          <w:sz w:val="20"/>
          <w:szCs w:val="20"/>
          <w:lang w:val="fr-CH"/>
        </w:rPr>
        <w:t>examen des demandes de protection des obtentions végétales, axé sur l</w:t>
      </w:r>
      <w:r>
        <w:rPr>
          <w:rFonts w:ascii="Arial" w:hAnsi="Arial" w:cs="Arial"/>
          <w:sz w:val="20"/>
          <w:szCs w:val="20"/>
          <w:lang w:val="fr-CH"/>
        </w:rPr>
        <w:t>’</w:t>
      </w:r>
      <w:r w:rsidRPr="00081E64">
        <w:rPr>
          <w:rFonts w:ascii="Arial" w:hAnsi="Arial" w:cs="Arial"/>
          <w:sz w:val="20"/>
          <w:szCs w:val="20"/>
          <w:lang w:val="fr-CH"/>
        </w:rPr>
        <w:t>indépendance dans la réalisation de l</w:t>
      </w:r>
      <w:r>
        <w:rPr>
          <w:rFonts w:ascii="Arial" w:hAnsi="Arial" w:cs="Arial"/>
          <w:sz w:val="20"/>
          <w:szCs w:val="20"/>
          <w:lang w:val="fr-CH"/>
        </w:rPr>
        <w:t>’</w:t>
      </w:r>
      <w:r w:rsidRPr="00081E64">
        <w:rPr>
          <w:rFonts w:ascii="Arial" w:hAnsi="Arial" w:cs="Arial"/>
          <w:sz w:val="20"/>
          <w:szCs w:val="20"/>
          <w:lang w:val="fr-CH"/>
        </w:rPr>
        <w:t>examen DHS et sur l</w:t>
      </w:r>
      <w:r>
        <w:rPr>
          <w:rFonts w:ascii="Arial" w:hAnsi="Arial" w:cs="Arial"/>
          <w:sz w:val="20"/>
          <w:szCs w:val="20"/>
          <w:lang w:val="fr-CH"/>
        </w:rPr>
        <w:t>’</w:t>
      </w:r>
      <w:r w:rsidRPr="00081E64">
        <w:rPr>
          <w:rFonts w:ascii="Arial" w:hAnsi="Arial" w:cs="Arial"/>
          <w:sz w:val="20"/>
          <w:szCs w:val="20"/>
          <w:lang w:val="fr-CH"/>
        </w:rPr>
        <w:t>identification et la prévention des conflits d</w:t>
      </w:r>
      <w:r>
        <w:rPr>
          <w:rFonts w:ascii="Arial" w:hAnsi="Arial" w:cs="Arial"/>
          <w:sz w:val="20"/>
          <w:szCs w:val="20"/>
          <w:lang w:val="fr-CH"/>
        </w:rPr>
        <w:t>’</w:t>
      </w:r>
      <w:r w:rsidRPr="00081E64">
        <w:rPr>
          <w:rFonts w:ascii="Arial" w:hAnsi="Arial" w:cs="Arial"/>
          <w:sz w:val="20"/>
          <w:szCs w:val="20"/>
          <w:lang w:val="fr-CH"/>
        </w:rPr>
        <w:t>intérêts, a réuni l</w:t>
      </w:r>
      <w:r>
        <w:rPr>
          <w:rFonts w:ascii="Arial" w:hAnsi="Arial" w:cs="Arial"/>
          <w:sz w:val="20"/>
          <w:szCs w:val="20"/>
          <w:lang w:val="fr-CH"/>
        </w:rPr>
        <w:t>’</w:t>
      </w:r>
      <w:r w:rsidRPr="00081E64">
        <w:rPr>
          <w:rFonts w:ascii="Arial" w:hAnsi="Arial" w:cs="Arial"/>
          <w:sz w:val="20"/>
          <w:szCs w:val="20"/>
          <w:lang w:val="fr-CH"/>
        </w:rPr>
        <w:t>OCVV, l</w:t>
      </w:r>
      <w:r>
        <w:rPr>
          <w:rFonts w:ascii="Arial" w:hAnsi="Arial" w:cs="Arial"/>
          <w:sz w:val="20"/>
          <w:szCs w:val="20"/>
          <w:lang w:val="fr-CH"/>
        </w:rPr>
        <w:t>’</w:t>
      </w:r>
      <w:r w:rsidRPr="00081E64">
        <w:rPr>
          <w:rFonts w:ascii="Arial" w:hAnsi="Arial" w:cs="Arial"/>
          <w:sz w:val="20"/>
          <w:szCs w:val="20"/>
          <w:lang w:val="fr-CH"/>
        </w:rPr>
        <w:t>UPOV et l</w:t>
      </w:r>
      <w:r>
        <w:rPr>
          <w:rFonts w:ascii="Arial" w:hAnsi="Arial" w:cs="Arial"/>
          <w:sz w:val="20"/>
          <w:szCs w:val="20"/>
          <w:lang w:val="fr-CH"/>
        </w:rPr>
        <w:t>’</w:t>
      </w:r>
      <w:r w:rsidRPr="00081E64">
        <w:rPr>
          <w:rFonts w:ascii="Arial" w:hAnsi="Arial" w:cs="Arial"/>
          <w:sz w:val="20"/>
          <w:szCs w:val="20"/>
          <w:lang w:val="fr-CH"/>
        </w:rPr>
        <w:t>Office espagnol des variétés végétales (OEVV).</w:t>
      </w:r>
      <w:r w:rsidRPr="00081E64">
        <w:rPr>
          <w:rFonts w:ascii="Arial" w:hAnsi="Arial"/>
          <w:sz w:val="20"/>
          <w:lang w:val="fr-CH"/>
        </w:rPr>
        <w:t xml:space="preserve"> </w:t>
      </w:r>
      <w:r w:rsidRPr="00081E64">
        <w:rPr>
          <w:rFonts w:ascii="Arial" w:hAnsi="Arial" w:cs="Arial"/>
          <w:sz w:val="20"/>
          <w:szCs w:val="20"/>
          <w:lang w:val="fr-CH"/>
        </w:rPr>
        <w:t xml:space="preserve"> L</w:t>
      </w:r>
      <w:r>
        <w:rPr>
          <w:rFonts w:ascii="Arial" w:hAnsi="Arial" w:cs="Arial"/>
          <w:sz w:val="20"/>
          <w:szCs w:val="20"/>
          <w:lang w:val="fr-CH"/>
        </w:rPr>
        <w:t>’</w:t>
      </w:r>
      <w:r w:rsidRPr="00081E64">
        <w:rPr>
          <w:rFonts w:ascii="Arial" w:hAnsi="Arial" w:cs="Arial"/>
          <w:sz w:val="20"/>
          <w:szCs w:val="20"/>
          <w:lang w:val="fr-CH"/>
        </w:rPr>
        <w:t>atelier régional a été une très bonne occasion pour les participants de partager des données d</w:t>
      </w:r>
      <w:r>
        <w:rPr>
          <w:rFonts w:ascii="Arial" w:hAnsi="Arial" w:cs="Arial"/>
          <w:sz w:val="20"/>
          <w:szCs w:val="20"/>
          <w:lang w:val="fr-CH"/>
        </w:rPr>
        <w:t>’</w:t>
      </w:r>
      <w:r w:rsidRPr="00081E64">
        <w:rPr>
          <w:rFonts w:ascii="Arial" w:hAnsi="Arial" w:cs="Arial"/>
          <w:sz w:val="20"/>
          <w:szCs w:val="20"/>
          <w:lang w:val="fr-CH"/>
        </w:rPr>
        <w:t>expérience entre eux, avec l</w:t>
      </w:r>
      <w:r>
        <w:rPr>
          <w:rFonts w:ascii="Arial" w:hAnsi="Arial" w:cs="Arial"/>
          <w:sz w:val="20"/>
          <w:szCs w:val="20"/>
          <w:lang w:val="fr-CH"/>
        </w:rPr>
        <w:t>’</w:t>
      </w:r>
      <w:r w:rsidRPr="00081E64">
        <w:rPr>
          <w:rFonts w:ascii="Arial" w:hAnsi="Arial" w:cs="Arial"/>
          <w:sz w:val="20"/>
          <w:szCs w:val="20"/>
          <w:lang w:val="fr-CH"/>
        </w:rPr>
        <w:t>UE et les partenaires internationaux</w:t>
      </w:r>
      <w:r>
        <w:rPr>
          <w:rFonts w:ascii="Arial" w:hAnsi="Arial" w:cs="Arial"/>
          <w:sz w:val="20"/>
          <w:szCs w:val="20"/>
          <w:lang w:val="fr-CH"/>
        </w:rPr>
        <w:t xml:space="preserve">.  </w:t>
      </w:r>
      <w:r w:rsidRPr="00081E64">
        <w:rPr>
          <w:rFonts w:ascii="Arial" w:hAnsi="Arial" w:cs="Arial"/>
          <w:sz w:val="20"/>
          <w:szCs w:val="20"/>
          <w:lang w:val="fr-CH"/>
        </w:rPr>
        <w:t>Au cours de l</w:t>
      </w:r>
      <w:r>
        <w:rPr>
          <w:rFonts w:ascii="Arial" w:hAnsi="Arial" w:cs="Arial"/>
          <w:sz w:val="20"/>
          <w:szCs w:val="20"/>
          <w:lang w:val="fr-CH"/>
        </w:rPr>
        <w:t>’</w:t>
      </w:r>
      <w:r w:rsidRPr="00081E64">
        <w:rPr>
          <w:rFonts w:ascii="Arial" w:hAnsi="Arial" w:cs="Arial"/>
          <w:sz w:val="20"/>
          <w:szCs w:val="20"/>
          <w:lang w:val="fr-CH"/>
        </w:rPr>
        <w:t>événement, plusieurs pays ont exprimé leur souhait de poursuivre les débats sur les systèmes de qualité dans la gestion des examens DHS.</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 xml:space="preserve">En ce qui concerne le projet </w:t>
      </w:r>
      <w:proofErr w:type="spellStart"/>
      <w:r w:rsidRPr="00081E64">
        <w:rPr>
          <w:rFonts w:ascii="Arial" w:hAnsi="Arial" w:cs="Arial"/>
          <w:b/>
          <w:sz w:val="20"/>
          <w:szCs w:val="20"/>
          <w:lang w:val="fr-CH"/>
        </w:rPr>
        <w:t>CarIPI</w:t>
      </w:r>
      <w:proofErr w:type="spellEnd"/>
      <w:r w:rsidRPr="00081E64">
        <w:rPr>
          <w:rFonts w:ascii="Arial" w:hAnsi="Arial" w:cs="Arial"/>
          <w:sz w:val="20"/>
          <w:szCs w:val="20"/>
          <w:lang w:val="fr-CH"/>
        </w:rPr>
        <w:t>, l</w:t>
      </w:r>
      <w:r>
        <w:rPr>
          <w:rFonts w:ascii="Arial" w:hAnsi="Arial" w:cs="Arial"/>
          <w:sz w:val="20"/>
          <w:szCs w:val="20"/>
          <w:lang w:val="fr-CH"/>
        </w:rPr>
        <w:t>’</w:t>
      </w:r>
      <w:r w:rsidRPr="00081E64">
        <w:rPr>
          <w:rFonts w:ascii="Arial" w:hAnsi="Arial" w:cs="Arial"/>
          <w:sz w:val="20"/>
          <w:szCs w:val="20"/>
          <w:lang w:val="fr-CH"/>
        </w:rPr>
        <w:t>OCVV a participé à la mise en œuvre de deux activités en avril 2021.</w:t>
      </w:r>
      <w:r w:rsidRPr="00081E64">
        <w:rPr>
          <w:rFonts w:ascii="Arial" w:hAnsi="Arial"/>
          <w:sz w:val="20"/>
          <w:lang w:val="fr-CH"/>
        </w:rPr>
        <w:t xml:space="preserve"> </w:t>
      </w:r>
      <w:r w:rsidRPr="00081E64">
        <w:rPr>
          <w:rFonts w:ascii="Arial" w:hAnsi="Arial" w:cs="Arial"/>
          <w:sz w:val="20"/>
          <w:szCs w:val="20"/>
          <w:lang w:val="fr-CH"/>
        </w:rPr>
        <w:t xml:space="preserve"> Le premier webinaire portait sur l</w:t>
      </w:r>
      <w:r>
        <w:rPr>
          <w:rFonts w:ascii="Arial" w:hAnsi="Arial" w:cs="Arial"/>
          <w:sz w:val="20"/>
          <w:szCs w:val="20"/>
          <w:lang w:val="fr-CH"/>
        </w:rPr>
        <w:t>’</w:t>
      </w:r>
      <w:r w:rsidRPr="00081E64">
        <w:rPr>
          <w:rFonts w:ascii="Arial" w:hAnsi="Arial" w:cs="Arial"/>
          <w:sz w:val="20"/>
          <w:szCs w:val="20"/>
          <w:lang w:val="fr-CH"/>
        </w:rPr>
        <w:t>indépendance dans la conduite de l</w:t>
      </w:r>
      <w:r>
        <w:rPr>
          <w:rFonts w:ascii="Arial" w:hAnsi="Arial" w:cs="Arial"/>
          <w:sz w:val="20"/>
          <w:szCs w:val="20"/>
          <w:lang w:val="fr-CH"/>
        </w:rPr>
        <w:t>’</w:t>
      </w:r>
      <w:r w:rsidRPr="00081E64">
        <w:rPr>
          <w:rFonts w:ascii="Arial" w:hAnsi="Arial" w:cs="Arial"/>
          <w:sz w:val="20"/>
          <w:szCs w:val="20"/>
          <w:lang w:val="fr-CH"/>
        </w:rPr>
        <w:t>examen DHS et la gestion des conflits d</w:t>
      </w:r>
      <w:r>
        <w:rPr>
          <w:rFonts w:ascii="Arial" w:hAnsi="Arial" w:cs="Arial"/>
          <w:sz w:val="20"/>
          <w:szCs w:val="20"/>
          <w:lang w:val="fr-CH"/>
        </w:rPr>
        <w:t>’</w:t>
      </w:r>
      <w:r w:rsidRPr="00081E64">
        <w:rPr>
          <w:rFonts w:ascii="Arial" w:hAnsi="Arial" w:cs="Arial"/>
          <w:sz w:val="20"/>
          <w:szCs w:val="20"/>
          <w:lang w:val="fr-CH"/>
        </w:rPr>
        <w:t>intérêts dans les services d</w:t>
      </w:r>
      <w:r>
        <w:rPr>
          <w:rFonts w:ascii="Arial" w:hAnsi="Arial" w:cs="Arial"/>
          <w:sz w:val="20"/>
          <w:szCs w:val="20"/>
          <w:lang w:val="fr-CH"/>
        </w:rPr>
        <w:t>’</w:t>
      </w:r>
      <w:r w:rsidRPr="00081E64">
        <w:rPr>
          <w:rFonts w:ascii="Arial" w:hAnsi="Arial" w:cs="Arial"/>
          <w:sz w:val="20"/>
          <w:szCs w:val="20"/>
          <w:lang w:val="fr-CH"/>
        </w:rPr>
        <w:t>examen</w:t>
      </w:r>
      <w:r>
        <w:rPr>
          <w:rFonts w:ascii="Arial" w:hAnsi="Arial" w:cs="Arial"/>
          <w:sz w:val="20"/>
          <w:szCs w:val="20"/>
          <w:lang w:val="fr-CH"/>
        </w:rPr>
        <w:t xml:space="preserve">.  </w:t>
      </w:r>
      <w:r w:rsidRPr="00081E64">
        <w:rPr>
          <w:rFonts w:ascii="Arial" w:hAnsi="Arial" w:cs="Arial"/>
          <w:sz w:val="20"/>
          <w:szCs w:val="20"/>
          <w:lang w:val="fr-CH"/>
        </w:rPr>
        <w:t>Le groupe cible était principalement constitué des offices de propriété intellectuelle et des services de protection des obtentions végétales, ainsi que des organismes techniques participant à la recherche</w:t>
      </w:r>
      <w:r>
        <w:rPr>
          <w:rFonts w:ascii="Arial" w:hAnsi="Arial" w:cs="Arial"/>
          <w:sz w:val="20"/>
          <w:szCs w:val="20"/>
          <w:lang w:val="fr-CH"/>
        </w:rPr>
        <w:t>-</w:t>
      </w:r>
      <w:r w:rsidRPr="00081E64">
        <w:rPr>
          <w:rFonts w:ascii="Arial" w:hAnsi="Arial" w:cs="Arial"/>
          <w:sz w:val="20"/>
          <w:szCs w:val="20"/>
          <w:lang w:val="fr-CH"/>
        </w:rPr>
        <w:t>développement et à l</w:t>
      </w:r>
      <w:r>
        <w:rPr>
          <w:rFonts w:ascii="Arial" w:hAnsi="Arial" w:cs="Arial"/>
          <w:sz w:val="20"/>
          <w:szCs w:val="20"/>
          <w:lang w:val="fr-CH"/>
        </w:rPr>
        <w:t>’</w:t>
      </w:r>
      <w:r w:rsidRPr="00081E64">
        <w:rPr>
          <w:rFonts w:ascii="Arial" w:hAnsi="Arial" w:cs="Arial"/>
          <w:sz w:val="20"/>
          <w:szCs w:val="20"/>
          <w:lang w:val="fr-CH"/>
        </w:rPr>
        <w:t>examen DHS en République dominicaine, à Saint</w:t>
      </w:r>
      <w:r>
        <w:rPr>
          <w:rFonts w:ascii="Arial" w:hAnsi="Arial" w:cs="Arial"/>
          <w:sz w:val="20"/>
          <w:szCs w:val="20"/>
          <w:lang w:val="fr-CH"/>
        </w:rPr>
        <w:t>-</w:t>
      </w:r>
      <w:r w:rsidRPr="00081E64">
        <w:rPr>
          <w:rFonts w:ascii="Arial" w:hAnsi="Arial" w:cs="Arial"/>
          <w:sz w:val="20"/>
          <w:szCs w:val="20"/>
          <w:lang w:val="fr-CH"/>
        </w:rPr>
        <w:t>Vincent</w:t>
      </w:r>
      <w:r>
        <w:rPr>
          <w:rFonts w:ascii="Arial" w:hAnsi="Arial" w:cs="Arial"/>
          <w:sz w:val="20"/>
          <w:szCs w:val="20"/>
          <w:lang w:val="fr-CH"/>
        </w:rPr>
        <w:t>-</w:t>
      </w:r>
      <w:r w:rsidRPr="00081E64">
        <w:rPr>
          <w:rFonts w:ascii="Arial" w:hAnsi="Arial" w:cs="Arial"/>
          <w:sz w:val="20"/>
          <w:szCs w:val="20"/>
          <w:lang w:val="fr-CH"/>
        </w:rPr>
        <w:t>et</w:t>
      </w:r>
      <w:r>
        <w:rPr>
          <w:rFonts w:ascii="Arial" w:hAnsi="Arial" w:cs="Arial"/>
          <w:sz w:val="20"/>
          <w:szCs w:val="20"/>
          <w:lang w:val="fr-CH"/>
        </w:rPr>
        <w:t>-</w:t>
      </w:r>
      <w:r w:rsidRPr="00081E64">
        <w:rPr>
          <w:rFonts w:ascii="Arial" w:hAnsi="Arial" w:cs="Arial"/>
          <w:sz w:val="20"/>
          <w:szCs w:val="20"/>
          <w:lang w:val="fr-CH"/>
        </w:rPr>
        <w:t>les Grenadines et à la Trinité</w:t>
      </w:r>
      <w:r>
        <w:rPr>
          <w:rFonts w:ascii="Arial" w:hAnsi="Arial" w:cs="Arial"/>
          <w:sz w:val="20"/>
          <w:szCs w:val="20"/>
          <w:lang w:val="fr-CH"/>
        </w:rPr>
        <w:t>-</w:t>
      </w:r>
      <w:r w:rsidRPr="00081E64">
        <w:rPr>
          <w:rFonts w:ascii="Arial" w:hAnsi="Arial" w:cs="Arial"/>
          <w:sz w:val="20"/>
          <w:szCs w:val="20"/>
          <w:lang w:val="fr-CH"/>
        </w:rPr>
        <w:t>et</w:t>
      </w:r>
      <w:r>
        <w:rPr>
          <w:rFonts w:ascii="Arial" w:hAnsi="Arial" w:cs="Arial"/>
          <w:sz w:val="20"/>
          <w:szCs w:val="20"/>
          <w:lang w:val="fr-CH"/>
        </w:rPr>
        <w:t>-</w:t>
      </w:r>
      <w:r w:rsidRPr="00081E64">
        <w:rPr>
          <w:rFonts w:ascii="Arial" w:hAnsi="Arial" w:cs="Arial"/>
          <w:sz w:val="20"/>
          <w:szCs w:val="20"/>
          <w:lang w:val="fr-CH"/>
        </w:rPr>
        <w:t>Tobago</w:t>
      </w:r>
      <w:r>
        <w:rPr>
          <w:rFonts w:ascii="Arial" w:hAnsi="Arial" w:cs="Arial"/>
          <w:sz w:val="20"/>
          <w:szCs w:val="20"/>
          <w:lang w:val="fr-CH"/>
        </w:rPr>
        <w:t xml:space="preserve">.  </w:t>
      </w:r>
      <w:r w:rsidRPr="00081E64">
        <w:rPr>
          <w:rFonts w:ascii="Arial" w:hAnsi="Arial" w:cs="Arial"/>
          <w:sz w:val="20"/>
          <w:szCs w:val="20"/>
          <w:lang w:val="fr-CH"/>
        </w:rPr>
        <w:t>Néanmoins, l</w:t>
      </w:r>
      <w:r>
        <w:rPr>
          <w:rFonts w:ascii="Arial" w:hAnsi="Arial" w:cs="Arial"/>
          <w:sz w:val="20"/>
          <w:szCs w:val="20"/>
          <w:lang w:val="fr-CH"/>
        </w:rPr>
        <w:t>’</w:t>
      </w:r>
      <w:r w:rsidRPr="00081E64">
        <w:rPr>
          <w:rFonts w:ascii="Arial" w:hAnsi="Arial" w:cs="Arial"/>
          <w:sz w:val="20"/>
          <w:szCs w:val="20"/>
          <w:lang w:val="fr-CH"/>
        </w:rPr>
        <w:t>activité était ouverte aux autres pays du CARIFORUM</w:t>
      </w:r>
      <w:r>
        <w:rPr>
          <w:rFonts w:ascii="Arial" w:hAnsi="Arial" w:cs="Arial"/>
          <w:sz w:val="20"/>
          <w:szCs w:val="20"/>
          <w:lang w:val="fr-CH"/>
        </w:rPr>
        <w:t xml:space="preserve">.  </w:t>
      </w:r>
      <w:r w:rsidRPr="00081E64">
        <w:rPr>
          <w:rFonts w:ascii="Arial" w:hAnsi="Arial" w:cs="Arial"/>
          <w:sz w:val="20"/>
          <w:szCs w:val="20"/>
          <w:lang w:val="fr-CH"/>
        </w:rPr>
        <w:t>La deuxième activité portait sur le partage des données d</w:t>
      </w:r>
      <w:r>
        <w:rPr>
          <w:rFonts w:ascii="Arial" w:hAnsi="Arial" w:cs="Arial"/>
          <w:sz w:val="20"/>
          <w:szCs w:val="20"/>
          <w:lang w:val="fr-CH"/>
        </w:rPr>
        <w:t>’</w:t>
      </w:r>
      <w:r w:rsidRPr="00081E64">
        <w:rPr>
          <w:rFonts w:ascii="Arial" w:hAnsi="Arial" w:cs="Arial"/>
          <w:sz w:val="20"/>
          <w:szCs w:val="20"/>
          <w:lang w:val="fr-CH"/>
        </w:rPr>
        <w:t>expérience de la République dominicaine concernant la mise en œuvre d</w:t>
      </w:r>
      <w:r>
        <w:rPr>
          <w:rFonts w:ascii="Arial" w:hAnsi="Arial" w:cs="Arial"/>
          <w:sz w:val="20"/>
          <w:szCs w:val="20"/>
          <w:lang w:val="fr-CH"/>
        </w:rPr>
        <w:t>’</w:t>
      </w:r>
      <w:r w:rsidRPr="00081E64">
        <w:rPr>
          <w:rFonts w:ascii="Arial" w:hAnsi="Arial" w:cs="Arial"/>
          <w:sz w:val="20"/>
          <w:szCs w:val="20"/>
          <w:lang w:val="fr-CH"/>
        </w:rPr>
        <w:t>un système de protection des obtentions végétales, et faisait suite à l</w:t>
      </w:r>
      <w:r>
        <w:rPr>
          <w:rFonts w:ascii="Arial" w:hAnsi="Arial" w:cs="Arial"/>
          <w:sz w:val="20"/>
          <w:szCs w:val="20"/>
          <w:lang w:val="fr-CH"/>
        </w:rPr>
        <w:t>’</w:t>
      </w:r>
      <w:r w:rsidRPr="00081E64">
        <w:rPr>
          <w:rFonts w:ascii="Arial" w:hAnsi="Arial" w:cs="Arial"/>
          <w:sz w:val="20"/>
          <w:szCs w:val="20"/>
          <w:lang w:val="fr-CH"/>
        </w:rPr>
        <w:t>activité réalisée en mai 2020 sur la révision de la législation relative à la protection des obtentions végétales</w:t>
      </w:r>
      <w:r>
        <w:rPr>
          <w:rFonts w:ascii="Arial" w:hAnsi="Arial" w:cs="Arial"/>
          <w:sz w:val="20"/>
          <w:szCs w:val="20"/>
          <w:lang w:val="fr-CH"/>
        </w:rPr>
        <w:t xml:space="preserve">.  </w:t>
      </w:r>
      <w:r w:rsidRPr="00081E64">
        <w:rPr>
          <w:rFonts w:ascii="Arial" w:hAnsi="Arial" w:cs="Arial"/>
          <w:sz w:val="20"/>
          <w:szCs w:val="20"/>
          <w:lang w:val="fr-CH"/>
        </w:rPr>
        <w:t>Le webinaire s</w:t>
      </w:r>
      <w:r>
        <w:rPr>
          <w:rFonts w:ascii="Arial" w:hAnsi="Arial" w:cs="Arial"/>
          <w:sz w:val="20"/>
          <w:szCs w:val="20"/>
          <w:lang w:val="fr-CH"/>
        </w:rPr>
        <w:t>’</w:t>
      </w:r>
      <w:r w:rsidRPr="00081E64">
        <w:rPr>
          <w:rFonts w:ascii="Arial" w:hAnsi="Arial" w:cs="Arial"/>
          <w:sz w:val="20"/>
          <w:szCs w:val="20"/>
          <w:lang w:val="fr-CH"/>
        </w:rPr>
        <w:t>adressait à tous les États du CARIFORUM et présentait un intérêt particulier pour les pays qui venaient d</w:t>
      </w:r>
      <w:r>
        <w:rPr>
          <w:rFonts w:ascii="Arial" w:hAnsi="Arial" w:cs="Arial"/>
          <w:sz w:val="20"/>
          <w:szCs w:val="20"/>
          <w:lang w:val="fr-CH"/>
        </w:rPr>
        <w:t>’</w:t>
      </w:r>
      <w:r w:rsidRPr="00081E64">
        <w:rPr>
          <w:rFonts w:ascii="Arial" w:hAnsi="Arial" w:cs="Arial"/>
          <w:sz w:val="20"/>
          <w:szCs w:val="20"/>
          <w:lang w:val="fr-CH"/>
        </w:rPr>
        <w:t>adhérer au système UPOV, comme Saint</w:t>
      </w:r>
      <w:r>
        <w:rPr>
          <w:rFonts w:ascii="Arial" w:hAnsi="Arial" w:cs="Arial"/>
          <w:sz w:val="20"/>
          <w:szCs w:val="20"/>
          <w:lang w:val="fr-CH"/>
        </w:rPr>
        <w:t>-</w:t>
      </w:r>
      <w:r w:rsidRPr="00081E64">
        <w:rPr>
          <w:rFonts w:ascii="Arial" w:hAnsi="Arial" w:cs="Arial"/>
          <w:sz w:val="20"/>
          <w:szCs w:val="20"/>
          <w:lang w:val="fr-CH"/>
        </w:rPr>
        <w:t>Vincent</w:t>
      </w:r>
      <w:r>
        <w:rPr>
          <w:rFonts w:ascii="Arial" w:hAnsi="Arial" w:cs="Arial"/>
          <w:sz w:val="20"/>
          <w:szCs w:val="20"/>
          <w:lang w:val="fr-CH"/>
        </w:rPr>
        <w:t>-</w:t>
      </w:r>
      <w:r w:rsidRPr="00081E64">
        <w:rPr>
          <w:rFonts w:ascii="Arial" w:hAnsi="Arial" w:cs="Arial"/>
          <w:sz w:val="20"/>
          <w:szCs w:val="20"/>
          <w:lang w:val="fr-CH"/>
        </w:rPr>
        <w:t>et</w:t>
      </w:r>
      <w:r>
        <w:rPr>
          <w:rFonts w:ascii="Arial" w:hAnsi="Arial" w:cs="Arial"/>
          <w:sz w:val="20"/>
          <w:szCs w:val="20"/>
          <w:lang w:val="fr-CH"/>
        </w:rPr>
        <w:t>-</w:t>
      </w:r>
      <w:r w:rsidRPr="00081E64">
        <w:rPr>
          <w:rFonts w:ascii="Arial" w:hAnsi="Arial" w:cs="Arial"/>
          <w:sz w:val="20"/>
          <w:szCs w:val="20"/>
          <w:lang w:val="fr-CH"/>
        </w:rPr>
        <w:t>les Grenadines.</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Après que Saint</w:t>
      </w:r>
      <w:r>
        <w:rPr>
          <w:rFonts w:ascii="Arial" w:hAnsi="Arial" w:cs="Arial"/>
          <w:sz w:val="20"/>
          <w:szCs w:val="20"/>
          <w:lang w:val="fr-CH"/>
        </w:rPr>
        <w:t>-</w:t>
      </w:r>
      <w:r w:rsidRPr="00081E64">
        <w:rPr>
          <w:rFonts w:ascii="Arial" w:hAnsi="Arial" w:cs="Arial"/>
          <w:sz w:val="20"/>
          <w:szCs w:val="20"/>
          <w:lang w:val="fr-CH"/>
        </w:rPr>
        <w:t>Vincent</w:t>
      </w:r>
      <w:r>
        <w:rPr>
          <w:rFonts w:ascii="Arial" w:hAnsi="Arial" w:cs="Arial"/>
          <w:sz w:val="20"/>
          <w:szCs w:val="20"/>
          <w:lang w:val="fr-CH"/>
        </w:rPr>
        <w:t>-</w:t>
      </w:r>
      <w:r w:rsidRPr="00081E64">
        <w:rPr>
          <w:rFonts w:ascii="Arial" w:hAnsi="Arial" w:cs="Arial"/>
          <w:sz w:val="20"/>
          <w:szCs w:val="20"/>
          <w:lang w:val="fr-CH"/>
        </w:rPr>
        <w:t>et</w:t>
      </w:r>
      <w:r>
        <w:rPr>
          <w:rFonts w:ascii="Arial" w:hAnsi="Arial" w:cs="Arial"/>
          <w:sz w:val="20"/>
          <w:szCs w:val="20"/>
          <w:lang w:val="fr-CH"/>
        </w:rPr>
        <w:t>-</w:t>
      </w:r>
      <w:r w:rsidRPr="00081E64">
        <w:rPr>
          <w:rFonts w:ascii="Arial" w:hAnsi="Arial" w:cs="Arial"/>
          <w:sz w:val="20"/>
          <w:szCs w:val="20"/>
          <w:lang w:val="fr-CH"/>
        </w:rPr>
        <w:t>les Grenadines a déposé son instrument d</w:t>
      </w:r>
      <w:r>
        <w:rPr>
          <w:rFonts w:ascii="Arial" w:hAnsi="Arial" w:cs="Arial"/>
          <w:sz w:val="20"/>
          <w:szCs w:val="20"/>
          <w:lang w:val="fr-CH"/>
        </w:rPr>
        <w:t>’</w:t>
      </w:r>
      <w:r w:rsidRPr="00081E64">
        <w:rPr>
          <w:rFonts w:ascii="Arial" w:hAnsi="Arial" w:cs="Arial"/>
          <w:sz w:val="20"/>
          <w:szCs w:val="20"/>
          <w:lang w:val="fr-CH"/>
        </w:rPr>
        <w:t>adhésion à l</w:t>
      </w:r>
      <w:r>
        <w:rPr>
          <w:rFonts w:ascii="Arial" w:hAnsi="Arial" w:cs="Arial"/>
          <w:sz w:val="20"/>
          <w:szCs w:val="20"/>
          <w:lang w:val="fr-CH"/>
        </w:rPr>
        <w:t>’</w:t>
      </w:r>
      <w:r w:rsidRPr="00081E64">
        <w:rPr>
          <w:rFonts w:ascii="Arial" w:hAnsi="Arial" w:cs="Arial"/>
          <w:sz w:val="20"/>
          <w:szCs w:val="20"/>
          <w:lang w:val="fr-CH"/>
        </w:rPr>
        <w:t>UPOV le 22 février 2021, le 22 mars 2021, cet État est devenu le soixante</w:t>
      </w:r>
      <w:r>
        <w:rPr>
          <w:rFonts w:ascii="Arial" w:hAnsi="Arial" w:cs="Arial"/>
          <w:sz w:val="20"/>
          <w:szCs w:val="20"/>
          <w:lang w:val="fr-CH"/>
        </w:rPr>
        <w:t>-</w:t>
      </w:r>
      <w:r w:rsidRPr="00081E64">
        <w:rPr>
          <w:rFonts w:ascii="Arial" w:hAnsi="Arial" w:cs="Arial"/>
          <w:sz w:val="20"/>
          <w:szCs w:val="20"/>
          <w:lang w:val="fr-CH"/>
        </w:rPr>
        <w:t>dix</w:t>
      </w:r>
      <w:r>
        <w:rPr>
          <w:rFonts w:ascii="Arial" w:hAnsi="Arial" w:cs="Arial"/>
          <w:sz w:val="20"/>
          <w:szCs w:val="20"/>
          <w:lang w:val="fr-CH"/>
        </w:rPr>
        <w:t>-</w:t>
      </w:r>
      <w:r w:rsidRPr="00081E64">
        <w:rPr>
          <w:rFonts w:ascii="Arial" w:hAnsi="Arial" w:cs="Arial"/>
          <w:sz w:val="20"/>
          <w:szCs w:val="20"/>
          <w:lang w:val="fr-CH"/>
        </w:rPr>
        <w:t>septième membre de l</w:t>
      </w:r>
      <w:r>
        <w:rPr>
          <w:rFonts w:ascii="Arial" w:hAnsi="Arial" w:cs="Arial"/>
          <w:sz w:val="20"/>
          <w:szCs w:val="20"/>
          <w:lang w:val="fr-CH"/>
        </w:rPr>
        <w:t>’</w:t>
      </w:r>
      <w:r w:rsidRPr="00081E64">
        <w:rPr>
          <w:rFonts w:ascii="Arial" w:hAnsi="Arial" w:cs="Arial"/>
          <w:sz w:val="20"/>
          <w:szCs w:val="20"/>
          <w:lang w:val="fr-CH"/>
        </w:rPr>
        <w:t>UPOV</w:t>
      </w:r>
      <w:r>
        <w:rPr>
          <w:rFonts w:ascii="Arial" w:hAnsi="Arial" w:cs="Arial"/>
          <w:sz w:val="20"/>
          <w:szCs w:val="20"/>
          <w:lang w:val="fr-CH"/>
        </w:rPr>
        <w:t xml:space="preserve">.  </w:t>
      </w:r>
      <w:r w:rsidRPr="00081E64">
        <w:rPr>
          <w:rFonts w:ascii="Arial" w:hAnsi="Arial" w:cs="Arial"/>
          <w:sz w:val="20"/>
          <w:szCs w:val="20"/>
          <w:lang w:val="fr-CH"/>
        </w:rPr>
        <w:t>En juin 2021, une activité a été lancée pour aider le pays à adapter sa législation et à mettre en œuvre les dispositions administratives pertinentes.</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Le</w:t>
      </w:r>
      <w:r>
        <w:rPr>
          <w:rFonts w:ascii="Arial" w:hAnsi="Arial" w:cs="Arial"/>
          <w:sz w:val="20"/>
          <w:szCs w:val="20"/>
          <w:lang w:val="fr-CH"/>
        </w:rPr>
        <w:t xml:space="preserve"> 1</w:t>
      </w:r>
      <w:r w:rsidRPr="0046017D">
        <w:rPr>
          <w:rFonts w:ascii="Arial" w:hAnsi="Arial" w:cs="Arial"/>
          <w:sz w:val="20"/>
          <w:szCs w:val="20"/>
          <w:vertAlign w:val="superscript"/>
          <w:lang w:val="fr-CH"/>
        </w:rPr>
        <w:t>er</w:t>
      </w:r>
      <w:r>
        <w:rPr>
          <w:rFonts w:ascii="Arial" w:hAnsi="Arial" w:cs="Arial"/>
          <w:sz w:val="20"/>
          <w:szCs w:val="20"/>
          <w:lang w:val="fr-CH"/>
        </w:rPr>
        <w:t> </w:t>
      </w:r>
      <w:r w:rsidRPr="00081E64">
        <w:rPr>
          <w:rFonts w:ascii="Arial" w:hAnsi="Arial" w:cs="Arial"/>
          <w:sz w:val="20"/>
          <w:szCs w:val="20"/>
          <w:lang w:val="fr-CH"/>
        </w:rPr>
        <w:t xml:space="preserve">février 2020, le projet </w:t>
      </w:r>
      <w:proofErr w:type="spellStart"/>
      <w:r w:rsidRPr="00081E64">
        <w:rPr>
          <w:rFonts w:ascii="Arial" w:hAnsi="Arial" w:cs="Arial"/>
          <w:b/>
          <w:sz w:val="20"/>
          <w:szCs w:val="20"/>
          <w:lang w:val="fr-CH"/>
        </w:rPr>
        <w:t>AfrIPI</w:t>
      </w:r>
      <w:proofErr w:type="spellEnd"/>
      <w:r w:rsidRPr="00081E64">
        <w:rPr>
          <w:rFonts w:ascii="Arial" w:hAnsi="Arial" w:cs="Arial"/>
          <w:sz w:val="20"/>
          <w:szCs w:val="20"/>
          <w:lang w:val="fr-CH"/>
        </w:rPr>
        <w:t xml:space="preserve"> (plan d</w:t>
      </w:r>
      <w:r>
        <w:rPr>
          <w:rFonts w:ascii="Arial" w:hAnsi="Arial" w:cs="Arial"/>
          <w:sz w:val="20"/>
          <w:szCs w:val="20"/>
          <w:lang w:val="fr-CH"/>
        </w:rPr>
        <w:t>’</w:t>
      </w:r>
      <w:r w:rsidRPr="00081E64">
        <w:rPr>
          <w:rFonts w:ascii="Arial" w:hAnsi="Arial" w:cs="Arial"/>
          <w:sz w:val="20"/>
          <w:szCs w:val="20"/>
          <w:lang w:val="fr-CH"/>
        </w:rPr>
        <w:t>action pour les droits de propriété intellectuelle en Afrique) a débuté par une phase de démarrage de sept mois et s</w:t>
      </w:r>
      <w:r>
        <w:rPr>
          <w:rFonts w:ascii="Arial" w:hAnsi="Arial" w:cs="Arial"/>
          <w:sz w:val="20"/>
          <w:szCs w:val="20"/>
          <w:lang w:val="fr-CH"/>
        </w:rPr>
        <w:t>’</w:t>
      </w:r>
      <w:r w:rsidRPr="00081E64">
        <w:rPr>
          <w:rFonts w:ascii="Arial" w:hAnsi="Arial" w:cs="Arial"/>
          <w:sz w:val="20"/>
          <w:szCs w:val="20"/>
          <w:lang w:val="fr-CH"/>
        </w:rPr>
        <w:t>étendra sur quatre ans</w:t>
      </w:r>
      <w:r>
        <w:rPr>
          <w:rFonts w:ascii="Arial" w:hAnsi="Arial" w:cs="Arial"/>
          <w:sz w:val="20"/>
          <w:szCs w:val="20"/>
          <w:lang w:val="fr-CH"/>
        </w:rPr>
        <w:t xml:space="preserve">.  </w:t>
      </w:r>
      <w:r w:rsidRPr="00081E64">
        <w:rPr>
          <w:rFonts w:ascii="Arial" w:hAnsi="Arial" w:cs="Arial"/>
          <w:sz w:val="20"/>
          <w:szCs w:val="20"/>
          <w:lang w:val="fr-CH"/>
        </w:rPr>
        <w:t>Le projet est financé par le programme panafricain et mis en œuvre par l</w:t>
      </w:r>
      <w:r>
        <w:rPr>
          <w:rFonts w:ascii="Arial" w:hAnsi="Arial" w:cs="Arial"/>
          <w:sz w:val="20"/>
          <w:szCs w:val="20"/>
          <w:lang w:val="fr-CH"/>
        </w:rPr>
        <w:t>’</w:t>
      </w:r>
      <w:r w:rsidRPr="00081E64">
        <w:rPr>
          <w:rFonts w:ascii="Arial" w:hAnsi="Arial" w:cs="Arial"/>
          <w:sz w:val="20"/>
          <w:szCs w:val="20"/>
          <w:lang w:val="fr-CH"/>
        </w:rPr>
        <w:t>EUIPO</w:t>
      </w:r>
      <w:r>
        <w:rPr>
          <w:rFonts w:ascii="Arial" w:hAnsi="Arial" w:cs="Arial"/>
          <w:sz w:val="20"/>
          <w:szCs w:val="20"/>
          <w:lang w:val="fr-CH"/>
        </w:rPr>
        <w:t xml:space="preserve">.  </w:t>
      </w:r>
      <w:r w:rsidRPr="00081E64">
        <w:rPr>
          <w:rFonts w:ascii="Arial" w:hAnsi="Arial" w:cs="Arial"/>
          <w:sz w:val="20"/>
          <w:szCs w:val="20"/>
          <w:lang w:val="fr-CH"/>
        </w:rPr>
        <w:t>La phase de démarrage du projet a été fortement affectée par la pandémie de Covid</w:t>
      </w:r>
      <w:r>
        <w:rPr>
          <w:rFonts w:ascii="Arial" w:hAnsi="Arial" w:cs="Arial"/>
          <w:sz w:val="20"/>
          <w:szCs w:val="20"/>
          <w:lang w:val="fr-CH"/>
        </w:rPr>
        <w:t>-</w:t>
      </w:r>
      <w:r w:rsidRPr="00081E64">
        <w:rPr>
          <w:rFonts w:ascii="Arial" w:hAnsi="Arial" w:cs="Arial"/>
          <w:sz w:val="20"/>
          <w:szCs w:val="20"/>
          <w:lang w:val="fr-CH"/>
        </w:rPr>
        <w:t>19, rendant très difficile la collecte d</w:t>
      </w:r>
      <w:r>
        <w:rPr>
          <w:rFonts w:ascii="Arial" w:hAnsi="Arial" w:cs="Arial"/>
          <w:sz w:val="20"/>
          <w:szCs w:val="20"/>
          <w:lang w:val="fr-CH"/>
        </w:rPr>
        <w:t>’</w:t>
      </w:r>
      <w:r w:rsidRPr="00081E64">
        <w:rPr>
          <w:rFonts w:ascii="Arial" w:hAnsi="Arial" w:cs="Arial"/>
          <w:sz w:val="20"/>
          <w:szCs w:val="20"/>
          <w:lang w:val="fr-CH"/>
        </w:rPr>
        <w:t>informations auprès des pays bénéficiaires</w:t>
      </w:r>
      <w:r>
        <w:rPr>
          <w:rFonts w:ascii="Arial" w:hAnsi="Arial" w:cs="Arial"/>
          <w:sz w:val="20"/>
          <w:szCs w:val="20"/>
          <w:lang w:val="fr-CH"/>
        </w:rPr>
        <w:t xml:space="preserve">.  </w:t>
      </w:r>
      <w:r w:rsidRPr="00081E64">
        <w:rPr>
          <w:rFonts w:ascii="Arial" w:hAnsi="Arial" w:cs="Arial"/>
          <w:sz w:val="20"/>
          <w:szCs w:val="20"/>
          <w:lang w:val="fr-CH"/>
        </w:rPr>
        <w:t>Dans le premier programme de travail annuel du projet, il était prévu que l</w:t>
      </w:r>
      <w:r>
        <w:rPr>
          <w:rFonts w:ascii="Arial" w:hAnsi="Arial" w:cs="Arial"/>
          <w:sz w:val="20"/>
          <w:szCs w:val="20"/>
          <w:lang w:val="fr-CH"/>
        </w:rPr>
        <w:t>’</w:t>
      </w:r>
      <w:r w:rsidRPr="00081E64">
        <w:rPr>
          <w:rFonts w:ascii="Arial" w:hAnsi="Arial" w:cs="Arial"/>
          <w:sz w:val="20"/>
          <w:szCs w:val="20"/>
          <w:lang w:val="fr-CH"/>
        </w:rPr>
        <w:t>OCVV participe à la mise en œuvre d</w:t>
      </w:r>
      <w:r>
        <w:rPr>
          <w:rFonts w:ascii="Arial" w:hAnsi="Arial" w:cs="Arial"/>
          <w:sz w:val="20"/>
          <w:szCs w:val="20"/>
          <w:lang w:val="fr-CH"/>
        </w:rPr>
        <w:t>’</w:t>
      </w:r>
      <w:r w:rsidRPr="00081E64">
        <w:rPr>
          <w:rFonts w:ascii="Arial" w:hAnsi="Arial" w:cs="Arial"/>
          <w:sz w:val="20"/>
          <w:szCs w:val="20"/>
          <w:lang w:val="fr-CH"/>
        </w:rPr>
        <w:t>une activité de promotion du Protocole d</w:t>
      </w:r>
      <w:r>
        <w:rPr>
          <w:rFonts w:ascii="Arial" w:hAnsi="Arial" w:cs="Arial"/>
          <w:sz w:val="20"/>
          <w:szCs w:val="20"/>
          <w:lang w:val="fr-CH"/>
        </w:rPr>
        <w:t>’</w:t>
      </w:r>
      <w:r w:rsidRPr="00081E64">
        <w:rPr>
          <w:rFonts w:ascii="Arial" w:hAnsi="Arial" w:cs="Arial"/>
          <w:sz w:val="20"/>
          <w:szCs w:val="20"/>
          <w:lang w:val="fr-CH"/>
        </w:rPr>
        <w:t>Arusha</w:t>
      </w:r>
      <w:r>
        <w:rPr>
          <w:rFonts w:ascii="Arial" w:hAnsi="Arial" w:cs="Arial"/>
          <w:sz w:val="20"/>
          <w:szCs w:val="20"/>
          <w:lang w:val="fr-CH"/>
        </w:rPr>
        <w:t xml:space="preserve">.  </w:t>
      </w:r>
      <w:r w:rsidRPr="00081E64">
        <w:rPr>
          <w:rFonts w:ascii="Arial" w:hAnsi="Arial" w:cs="Arial"/>
          <w:sz w:val="20"/>
          <w:szCs w:val="20"/>
          <w:lang w:val="fr-CH"/>
        </w:rPr>
        <w:t>L</w:t>
      </w:r>
      <w:r>
        <w:rPr>
          <w:rFonts w:ascii="Arial" w:hAnsi="Arial" w:cs="Arial"/>
          <w:sz w:val="20"/>
          <w:szCs w:val="20"/>
          <w:lang w:val="fr-CH"/>
        </w:rPr>
        <w:t>’</w:t>
      </w:r>
      <w:r w:rsidRPr="00081E64">
        <w:rPr>
          <w:rFonts w:ascii="Arial" w:hAnsi="Arial" w:cs="Arial"/>
          <w:sz w:val="20"/>
          <w:szCs w:val="20"/>
          <w:lang w:val="fr-CH"/>
        </w:rPr>
        <w:t>atelier devait initialement avoir lieu en octobre 2020, mais il a été reporté au troisième trimestre de 2021.</w:t>
      </w:r>
      <w:r w:rsidRPr="00081E64">
        <w:rPr>
          <w:rFonts w:ascii="Arial" w:hAnsi="Arial"/>
          <w:sz w:val="20"/>
          <w:lang w:val="fr-CH"/>
        </w:rPr>
        <w:t xml:space="preserve"> </w:t>
      </w:r>
      <w:r w:rsidRPr="00081E64">
        <w:rPr>
          <w:rFonts w:ascii="Arial" w:hAnsi="Arial" w:cs="Arial"/>
          <w:sz w:val="20"/>
          <w:szCs w:val="20"/>
          <w:lang w:val="fr-CH"/>
        </w:rPr>
        <w:t xml:space="preserve"> En juillet 2021, l</w:t>
      </w:r>
      <w:r>
        <w:rPr>
          <w:rFonts w:ascii="Arial" w:hAnsi="Arial" w:cs="Arial"/>
          <w:sz w:val="20"/>
          <w:szCs w:val="20"/>
          <w:lang w:val="fr-CH"/>
        </w:rPr>
        <w:t>’</w:t>
      </w:r>
      <w:r w:rsidRPr="00081E64">
        <w:rPr>
          <w:rFonts w:ascii="Arial" w:hAnsi="Arial" w:cs="Arial"/>
          <w:sz w:val="20"/>
          <w:szCs w:val="20"/>
          <w:lang w:val="fr-CH"/>
        </w:rPr>
        <w:t>OCVV a proposé, en coopération avec l</w:t>
      </w:r>
      <w:r>
        <w:rPr>
          <w:rFonts w:ascii="Arial" w:hAnsi="Arial" w:cs="Arial"/>
          <w:sz w:val="20"/>
          <w:szCs w:val="20"/>
          <w:lang w:val="fr-CH"/>
        </w:rPr>
        <w:t>’</w:t>
      </w:r>
      <w:r w:rsidRPr="00081E64">
        <w:rPr>
          <w:rFonts w:ascii="Arial" w:hAnsi="Arial" w:cs="Arial"/>
          <w:sz w:val="20"/>
          <w:szCs w:val="20"/>
          <w:lang w:val="fr-CH"/>
        </w:rPr>
        <w:t xml:space="preserve">UPOV, trois activités à inclure dans le deuxième programme de travail annuel du projet </w:t>
      </w:r>
      <w:proofErr w:type="spellStart"/>
      <w:r w:rsidRPr="00081E64">
        <w:rPr>
          <w:rFonts w:ascii="Arial" w:hAnsi="Arial" w:cs="Arial"/>
          <w:sz w:val="20"/>
          <w:szCs w:val="20"/>
          <w:lang w:val="fr-CH"/>
        </w:rPr>
        <w:t>AfrIPI</w:t>
      </w:r>
      <w:proofErr w:type="spellEnd"/>
      <w:r w:rsidRPr="00081E64">
        <w:rPr>
          <w:rFonts w:ascii="Arial" w:hAnsi="Arial" w:cs="Arial"/>
          <w:sz w:val="20"/>
          <w:szCs w:val="20"/>
          <w:lang w:val="fr-CH"/>
        </w:rPr>
        <w:t>.</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lastRenderedPageBreak/>
        <w:t xml:space="preserve">Outre les projets </w:t>
      </w:r>
      <w:proofErr w:type="spellStart"/>
      <w:r w:rsidRPr="00081E64">
        <w:rPr>
          <w:rFonts w:ascii="Arial" w:hAnsi="Arial" w:cs="Arial"/>
          <w:sz w:val="20"/>
          <w:szCs w:val="20"/>
          <w:lang w:val="fr-CH"/>
        </w:rPr>
        <w:t>IPKey</w:t>
      </w:r>
      <w:proofErr w:type="spellEnd"/>
      <w:r w:rsidRPr="00081E64">
        <w:rPr>
          <w:rFonts w:ascii="Arial" w:hAnsi="Arial" w:cs="Arial"/>
          <w:sz w:val="20"/>
          <w:szCs w:val="20"/>
          <w:lang w:val="fr-CH"/>
        </w:rPr>
        <w:t>, le 22 juillet 2021, l</w:t>
      </w:r>
      <w:r>
        <w:rPr>
          <w:rFonts w:ascii="Arial" w:hAnsi="Arial" w:cs="Arial"/>
          <w:sz w:val="20"/>
          <w:szCs w:val="20"/>
          <w:lang w:val="fr-CH"/>
        </w:rPr>
        <w:t>’</w:t>
      </w:r>
      <w:r w:rsidRPr="00081E64">
        <w:rPr>
          <w:rFonts w:ascii="Arial" w:hAnsi="Arial" w:cs="Arial"/>
          <w:sz w:val="20"/>
          <w:szCs w:val="20"/>
          <w:lang w:val="fr-CH"/>
        </w:rPr>
        <w:t>OCVV a été invité en tant que conférencier au Colloque international sur la conservation des obtentions végétales organisé par l</w:t>
      </w:r>
      <w:r>
        <w:rPr>
          <w:rFonts w:ascii="Arial" w:hAnsi="Arial" w:cs="Arial"/>
          <w:sz w:val="20"/>
          <w:szCs w:val="20"/>
          <w:lang w:val="fr-CH"/>
        </w:rPr>
        <w:t>’</w:t>
      </w:r>
      <w:r w:rsidRPr="00081E64">
        <w:rPr>
          <w:rFonts w:ascii="Arial" w:hAnsi="Arial" w:cs="Arial"/>
          <w:sz w:val="20"/>
          <w:szCs w:val="20"/>
          <w:lang w:val="fr-CH"/>
        </w:rPr>
        <w:t>Académie chinoise des forêts</w:t>
      </w:r>
      <w:r>
        <w:rPr>
          <w:rFonts w:ascii="Arial" w:hAnsi="Arial" w:cs="Arial"/>
          <w:sz w:val="20"/>
          <w:szCs w:val="20"/>
          <w:lang w:val="fr-CH"/>
        </w:rPr>
        <w:t xml:space="preserve">.  </w:t>
      </w:r>
      <w:r w:rsidRPr="00081E64">
        <w:rPr>
          <w:rFonts w:ascii="Arial" w:hAnsi="Arial" w:cs="Arial"/>
          <w:sz w:val="20"/>
          <w:szCs w:val="20"/>
          <w:lang w:val="fr-CH"/>
        </w:rPr>
        <w:t>Le séminaire portait sur différents concepts clés de l</w:t>
      </w:r>
      <w:r>
        <w:rPr>
          <w:rFonts w:ascii="Arial" w:hAnsi="Arial" w:cs="Arial"/>
          <w:sz w:val="20"/>
          <w:szCs w:val="20"/>
          <w:lang w:val="fr-CH"/>
        </w:rPr>
        <w:t>’</w:t>
      </w:r>
      <w:r w:rsidRPr="00081E64">
        <w:rPr>
          <w:rFonts w:ascii="Arial" w:hAnsi="Arial" w:cs="Arial"/>
          <w:sz w:val="20"/>
          <w:szCs w:val="20"/>
          <w:lang w:val="fr-CH"/>
        </w:rPr>
        <w:t xml:space="preserve">Acte de 1991 de la </w:t>
      </w:r>
      <w:r>
        <w:rPr>
          <w:rFonts w:ascii="Arial" w:hAnsi="Arial" w:cs="Arial"/>
          <w:sz w:val="20"/>
          <w:szCs w:val="20"/>
          <w:lang w:val="fr-CH"/>
        </w:rPr>
        <w:t>Convention UPOV</w:t>
      </w:r>
      <w:r w:rsidRPr="00081E64">
        <w:rPr>
          <w:rFonts w:ascii="Arial" w:hAnsi="Arial" w:cs="Arial"/>
          <w:sz w:val="20"/>
          <w:szCs w:val="20"/>
          <w:lang w:val="fr-CH"/>
        </w:rPr>
        <w:t>, tels que les variétés essentiellement dérivées, la nouveauté et les variétés notoirement connues, ainsi que la protection du produit de la récolte</w:t>
      </w:r>
      <w:r>
        <w:rPr>
          <w:rFonts w:ascii="Arial" w:hAnsi="Arial" w:cs="Arial"/>
          <w:sz w:val="20"/>
          <w:szCs w:val="20"/>
          <w:lang w:val="fr-CH"/>
        </w:rPr>
        <w:t xml:space="preserve">.  </w:t>
      </w:r>
      <w:r w:rsidRPr="00081E64">
        <w:rPr>
          <w:rFonts w:ascii="Arial" w:hAnsi="Arial" w:cs="Arial"/>
          <w:sz w:val="20"/>
          <w:szCs w:val="20"/>
          <w:lang w:val="fr-CH"/>
        </w:rPr>
        <w:t>Des représentants de la Chine ont également participé à l</w:t>
      </w:r>
      <w:r>
        <w:rPr>
          <w:rFonts w:ascii="Arial" w:hAnsi="Arial" w:cs="Arial"/>
          <w:sz w:val="20"/>
          <w:szCs w:val="20"/>
          <w:lang w:val="fr-CH"/>
        </w:rPr>
        <w:t>’</w:t>
      </w:r>
      <w:r w:rsidRPr="00081E64">
        <w:rPr>
          <w:rFonts w:ascii="Arial" w:hAnsi="Arial" w:cs="Arial"/>
          <w:sz w:val="20"/>
          <w:szCs w:val="20"/>
          <w:lang w:val="fr-CH"/>
        </w:rPr>
        <w:t>événement pour expliquer les droits des agriculteurs dans le cadre du système chinois de protection des obtentions végétales et les différents scénarios d</w:t>
      </w:r>
      <w:r>
        <w:rPr>
          <w:rFonts w:ascii="Arial" w:hAnsi="Arial" w:cs="Arial"/>
          <w:sz w:val="20"/>
          <w:szCs w:val="20"/>
          <w:lang w:val="fr-CH"/>
        </w:rPr>
        <w:t>’</w:t>
      </w:r>
      <w:r w:rsidRPr="00081E64">
        <w:rPr>
          <w:rFonts w:ascii="Arial" w:hAnsi="Arial" w:cs="Arial"/>
          <w:sz w:val="20"/>
          <w:szCs w:val="20"/>
          <w:lang w:val="fr-CH"/>
        </w:rPr>
        <w:t>utilisation des techniques moléculaires dans le cadre de ce système.</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u w:val="single"/>
          <w:lang w:val="fr-CH"/>
        </w:rPr>
      </w:pPr>
      <w:r w:rsidRPr="00081E64">
        <w:rPr>
          <w:rFonts w:cs="Arial"/>
          <w:u w:val="single"/>
          <w:lang w:val="fr-CH"/>
        </w:rPr>
        <w:t>Réunions de l</w:t>
      </w:r>
      <w:r>
        <w:rPr>
          <w:rFonts w:cs="Arial"/>
          <w:u w:val="single"/>
          <w:lang w:val="fr-CH"/>
        </w:rPr>
        <w:t>’</w:t>
      </w:r>
      <w:r w:rsidRPr="00081E64">
        <w:rPr>
          <w:rFonts w:cs="Arial"/>
          <w:u w:val="single"/>
          <w:lang w:val="fr-CH"/>
        </w:rPr>
        <w:t>UPOV</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Les représentants de la Commission européenne et de l</w:t>
      </w:r>
      <w:r>
        <w:rPr>
          <w:rFonts w:ascii="Arial" w:hAnsi="Arial" w:cs="Arial"/>
          <w:sz w:val="20"/>
          <w:szCs w:val="20"/>
          <w:lang w:val="fr-CH"/>
        </w:rPr>
        <w:t>’</w:t>
      </w:r>
      <w:r w:rsidRPr="00081E64">
        <w:rPr>
          <w:rFonts w:ascii="Arial" w:hAnsi="Arial" w:cs="Arial"/>
          <w:sz w:val="20"/>
          <w:szCs w:val="20"/>
          <w:lang w:val="fr-CH"/>
        </w:rPr>
        <w:t>OCVV ont participé aux réunions du Conseil de l</w:t>
      </w:r>
      <w:r>
        <w:rPr>
          <w:rFonts w:ascii="Arial" w:hAnsi="Arial" w:cs="Arial"/>
          <w:sz w:val="20"/>
          <w:szCs w:val="20"/>
          <w:lang w:val="fr-CH"/>
        </w:rPr>
        <w:t>’</w:t>
      </w:r>
      <w:r w:rsidRPr="00081E64">
        <w:rPr>
          <w:rFonts w:ascii="Arial" w:hAnsi="Arial" w:cs="Arial"/>
          <w:sz w:val="20"/>
          <w:szCs w:val="20"/>
          <w:lang w:val="fr-CH"/>
        </w:rPr>
        <w:t>UPOV, du Comité consultatif, du Comité juridique et administratif et des groupes de travail sur la coopération internationale, le formulaire de demande électronique, les dénominations variétales, ainsi que des groupes de travail techniques.</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keepNext/>
        <w:autoSpaceDE w:val="0"/>
        <w:autoSpaceDN w:val="0"/>
        <w:adjustRightInd w:val="0"/>
        <w:contextualSpacing/>
        <w:rPr>
          <w:rFonts w:cs="Arial"/>
          <w:u w:val="single"/>
          <w:lang w:val="fr-CH"/>
        </w:rPr>
      </w:pPr>
      <w:r w:rsidRPr="00081E64">
        <w:rPr>
          <w:rFonts w:cs="Arial"/>
          <w:u w:val="single"/>
          <w:lang w:val="fr-CH"/>
        </w:rPr>
        <w:t>Forum EAPVP</w:t>
      </w:r>
    </w:p>
    <w:p w:rsidR="00276ED8" w:rsidRPr="00081E64" w:rsidRDefault="00276ED8" w:rsidP="00276ED8">
      <w:pPr>
        <w:keepNext/>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En raison de la pandémie de COVID</w:t>
      </w:r>
      <w:r>
        <w:rPr>
          <w:rFonts w:cs="Arial"/>
          <w:lang w:val="fr-CH"/>
        </w:rPr>
        <w:t>-</w:t>
      </w:r>
      <w:r w:rsidRPr="00081E64">
        <w:rPr>
          <w:rFonts w:cs="Arial"/>
          <w:lang w:val="fr-CH"/>
        </w:rPr>
        <w:t>19, la 13</w:t>
      </w:r>
      <w:r w:rsidRPr="00081E64">
        <w:rPr>
          <w:rFonts w:cs="Arial"/>
          <w:vertAlign w:val="superscript"/>
          <w:lang w:val="fr-CH"/>
        </w:rPr>
        <w:t>è</w:t>
      </w:r>
      <w:r w:rsidRPr="00081E64">
        <w:rPr>
          <w:rFonts w:cs="Arial"/>
          <w:lang w:val="fr-CH"/>
        </w:rPr>
        <w:t xml:space="preserve"> réunion du Forum sur la protection des obtentions végétales en Asie orientale (Forum EAPVP) a été reportée et s</w:t>
      </w:r>
      <w:r>
        <w:rPr>
          <w:rFonts w:cs="Arial"/>
          <w:lang w:val="fr-CH"/>
        </w:rPr>
        <w:t>’</w:t>
      </w:r>
      <w:r w:rsidRPr="00081E64">
        <w:rPr>
          <w:rFonts w:cs="Arial"/>
          <w:lang w:val="fr-CH"/>
        </w:rPr>
        <w:t>est tenue en novembre 2020.</w:t>
      </w:r>
      <w:r w:rsidRPr="00081E64">
        <w:rPr>
          <w:lang w:val="fr-CH"/>
        </w:rPr>
        <w:t xml:space="preserve"> </w:t>
      </w:r>
      <w:r w:rsidRPr="00081E64">
        <w:rPr>
          <w:rFonts w:cs="Arial"/>
          <w:lang w:val="fr-CH"/>
        </w:rPr>
        <w:t xml:space="preserve"> La 14</w:t>
      </w:r>
      <w:r w:rsidRPr="00081E64">
        <w:rPr>
          <w:rFonts w:cs="Arial"/>
          <w:vertAlign w:val="superscript"/>
          <w:lang w:val="fr-CH"/>
        </w:rPr>
        <w:t>è</w:t>
      </w:r>
      <w:r w:rsidRPr="00081E64">
        <w:rPr>
          <w:rFonts w:cs="Arial"/>
          <w:lang w:val="fr-CH"/>
        </w:rPr>
        <w:t> réunion annuelle du forum est prévue en août</w:t>
      </w:r>
      <w:r>
        <w:rPr>
          <w:rFonts w:cs="Arial"/>
          <w:lang w:val="fr-CH"/>
        </w:rPr>
        <w:t>-</w:t>
      </w:r>
      <w:r w:rsidRPr="00081E64">
        <w:rPr>
          <w:rFonts w:cs="Arial"/>
          <w:lang w:val="fr-CH"/>
        </w:rPr>
        <w:t>septembre 2021 et sera organisée par le Japon</w:t>
      </w:r>
      <w:r>
        <w:rPr>
          <w:rFonts w:cs="Arial"/>
          <w:lang w:val="fr-CH"/>
        </w:rPr>
        <w:t xml:space="preserve">.  </w:t>
      </w:r>
      <w:r w:rsidRPr="00081E64">
        <w:rPr>
          <w:rFonts w:cs="Arial"/>
          <w:lang w:val="fr-CH"/>
        </w:rPr>
        <w:t>La réunion annuelle du Forum EAPVP a pour but de rendre compte des activités de l</w:t>
      </w:r>
      <w:r>
        <w:rPr>
          <w:rFonts w:cs="Arial"/>
          <w:lang w:val="fr-CH"/>
        </w:rPr>
        <w:t>’</w:t>
      </w:r>
      <w:r w:rsidRPr="00081E64">
        <w:rPr>
          <w:rFonts w:cs="Arial"/>
          <w:lang w:val="fr-CH"/>
        </w:rPr>
        <w:t xml:space="preserve">année précédente et de planifier les futures initiatives en matière de coopération, </w:t>
      </w:r>
      <w:r>
        <w:rPr>
          <w:rFonts w:cs="Arial"/>
          <w:lang w:val="fr-CH"/>
        </w:rPr>
        <w:t>y compris</w:t>
      </w:r>
      <w:r w:rsidRPr="00081E64">
        <w:rPr>
          <w:rFonts w:cs="Arial"/>
          <w:lang w:val="fr-CH"/>
        </w:rPr>
        <w:t xml:space="preserve"> les mises à jour du projet pilote EAPVP sur la création d</w:t>
      </w:r>
      <w:r>
        <w:rPr>
          <w:rFonts w:cs="Arial"/>
          <w:lang w:val="fr-CH"/>
        </w:rPr>
        <w:t>’</w:t>
      </w:r>
      <w:r w:rsidRPr="00081E64">
        <w:rPr>
          <w:rFonts w:cs="Arial"/>
          <w:lang w:val="fr-CH"/>
        </w:rPr>
        <w:t>une plateforme e</w:t>
      </w:r>
      <w:r>
        <w:rPr>
          <w:rFonts w:cs="Arial"/>
          <w:lang w:val="fr-CH"/>
        </w:rPr>
        <w:t>-</w:t>
      </w:r>
      <w:r w:rsidRPr="00081E64">
        <w:rPr>
          <w:rFonts w:cs="Arial"/>
          <w:lang w:val="fr-CH"/>
        </w:rPr>
        <w:t>PVP.</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u w:val="single"/>
          <w:lang w:val="fr-CH"/>
        </w:rPr>
      </w:pPr>
      <w:r w:rsidRPr="00081E64">
        <w:rPr>
          <w:rFonts w:cs="Arial"/>
          <w:u w:val="single"/>
          <w:lang w:val="fr-CH"/>
        </w:rPr>
        <w:t>OCVV – Office européen des brevets</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L</w:t>
      </w:r>
      <w:r>
        <w:rPr>
          <w:rFonts w:cs="Arial"/>
          <w:lang w:val="fr-CH"/>
        </w:rPr>
        <w:t>’</w:t>
      </w:r>
      <w:r w:rsidRPr="00081E64">
        <w:rPr>
          <w:rFonts w:cs="Arial"/>
          <w:lang w:val="fr-CH"/>
        </w:rPr>
        <w:t>OCVV et l</w:t>
      </w:r>
      <w:r>
        <w:rPr>
          <w:rFonts w:cs="Arial"/>
          <w:lang w:val="fr-CH"/>
        </w:rPr>
        <w:t>’</w:t>
      </w:r>
      <w:r w:rsidRPr="00081E64">
        <w:rPr>
          <w:rFonts w:cs="Arial"/>
          <w:lang w:val="fr-CH"/>
        </w:rPr>
        <w:t xml:space="preserve">Office européen des brevets (OEB) coopèrent sans cesse en vertu de deux accords, </w:t>
      </w:r>
      <w:r>
        <w:rPr>
          <w:rFonts w:cs="Arial"/>
          <w:lang w:val="fr-CH"/>
        </w:rPr>
        <w:t>à savoir</w:t>
      </w:r>
      <w:r w:rsidRPr="00081E64">
        <w:rPr>
          <w:rFonts w:cs="Arial"/>
          <w:lang w:val="fr-CH"/>
        </w:rPr>
        <w:t xml:space="preserve"> l</w:t>
      </w:r>
      <w:r>
        <w:rPr>
          <w:rFonts w:cs="Arial"/>
          <w:lang w:val="fr-CH"/>
        </w:rPr>
        <w:t>’</w:t>
      </w:r>
      <w:r w:rsidRPr="00081E64">
        <w:rPr>
          <w:rFonts w:cs="Arial"/>
          <w:lang w:val="fr-CH"/>
        </w:rPr>
        <w:t>accord administratif n° 2016/0009 signé le 11 février 2016, visant à améliorer la coopération bilatérale en ce qui concerne l</w:t>
      </w:r>
      <w:r>
        <w:rPr>
          <w:rFonts w:cs="Arial"/>
          <w:lang w:val="fr-CH"/>
        </w:rPr>
        <w:t>’</w:t>
      </w:r>
      <w:r w:rsidRPr="00081E64">
        <w:rPr>
          <w:rFonts w:cs="Arial"/>
          <w:lang w:val="fr-CH"/>
        </w:rPr>
        <w:t>échange d</w:t>
      </w:r>
      <w:r>
        <w:rPr>
          <w:rFonts w:cs="Arial"/>
          <w:lang w:val="fr-CH"/>
        </w:rPr>
        <w:t>’</w:t>
      </w:r>
      <w:r w:rsidRPr="00081E64">
        <w:rPr>
          <w:rFonts w:cs="Arial"/>
          <w:lang w:val="fr-CH"/>
        </w:rPr>
        <w:t>informations et de bonnes pratiques dans le domaine des brevets de plantes et des droits d</w:t>
      </w:r>
      <w:r>
        <w:rPr>
          <w:rFonts w:cs="Arial"/>
          <w:lang w:val="fr-CH"/>
        </w:rPr>
        <w:t>’</w:t>
      </w:r>
      <w:r w:rsidRPr="00081E64">
        <w:rPr>
          <w:rFonts w:cs="Arial"/>
          <w:lang w:val="fr-CH"/>
        </w:rPr>
        <w:t>obtenteur, et l</w:t>
      </w:r>
      <w:r>
        <w:rPr>
          <w:rFonts w:cs="Arial"/>
          <w:lang w:val="fr-CH"/>
        </w:rPr>
        <w:t>’</w:t>
      </w:r>
      <w:r w:rsidRPr="00081E64">
        <w:rPr>
          <w:rFonts w:cs="Arial"/>
          <w:lang w:val="fr-CH"/>
        </w:rPr>
        <w:t>accord n° 2018/0264 sur les aspects pratiques de la mise en œuvre de l</w:t>
      </w:r>
      <w:r>
        <w:rPr>
          <w:rFonts w:cs="Arial"/>
          <w:lang w:val="fr-CH"/>
        </w:rPr>
        <w:t>’</w:t>
      </w:r>
      <w:r w:rsidRPr="00081E64">
        <w:rPr>
          <w:rFonts w:cs="Arial"/>
          <w:lang w:val="fr-CH"/>
        </w:rPr>
        <w:t>accord administratif</w:t>
      </w:r>
      <w:r>
        <w:rPr>
          <w:rFonts w:cs="Arial"/>
          <w:lang w:val="fr-CH"/>
        </w:rPr>
        <w:t xml:space="preserve">.  </w:t>
      </w:r>
      <w:r w:rsidRPr="00081E64">
        <w:rPr>
          <w:rFonts w:cs="Arial"/>
          <w:lang w:val="fr-CH"/>
        </w:rPr>
        <w:t>Les deux accords expireront en février 2022 et des discussions pour leur renouvellement sont actuellement en cours.</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Pour mettre en œuvre cet accord, les deux organisations ont proposé en janvier 2021 un atelier conjoint sur les résultats de l</w:t>
      </w:r>
      <w:r>
        <w:rPr>
          <w:rFonts w:cs="Arial"/>
          <w:lang w:val="fr-CH"/>
        </w:rPr>
        <w:t>’</w:t>
      </w:r>
      <w:r w:rsidRPr="00081E64">
        <w:rPr>
          <w:rFonts w:cs="Arial"/>
          <w:lang w:val="fr-CH"/>
        </w:rPr>
        <w:t>avis G3/19 de la Grande Chambre de recours de l</w:t>
      </w:r>
      <w:r>
        <w:rPr>
          <w:rFonts w:cs="Arial"/>
          <w:lang w:val="fr-CH"/>
        </w:rPr>
        <w:t>’</w:t>
      </w:r>
      <w:r w:rsidRPr="00081E64">
        <w:rPr>
          <w:rFonts w:cs="Arial"/>
          <w:lang w:val="fr-CH"/>
        </w:rPr>
        <w:t>OEB</w:t>
      </w:r>
      <w:r>
        <w:rPr>
          <w:rFonts w:cs="Arial"/>
          <w:lang w:val="fr-CH"/>
        </w:rPr>
        <w:t xml:space="preserve">.  </w:t>
      </w:r>
      <w:r w:rsidRPr="00081E64">
        <w:rPr>
          <w:rFonts w:cs="Arial"/>
          <w:lang w:val="fr-CH"/>
        </w:rPr>
        <w:t>La principale question concernait la brevetabilité du processus de mutagenèse et des produits obtenus</w:t>
      </w:r>
      <w:r>
        <w:rPr>
          <w:rFonts w:cs="Arial"/>
          <w:lang w:val="fr-CH"/>
        </w:rPr>
        <w:t xml:space="preserve">.  </w:t>
      </w:r>
      <w:r w:rsidRPr="00081E64">
        <w:rPr>
          <w:rFonts w:cs="Arial"/>
          <w:lang w:val="fr-CH"/>
        </w:rPr>
        <w:t>La réunion a également été l</w:t>
      </w:r>
      <w:r>
        <w:rPr>
          <w:rFonts w:cs="Arial"/>
          <w:lang w:val="fr-CH"/>
        </w:rPr>
        <w:t>’</w:t>
      </w:r>
      <w:r w:rsidRPr="00081E64">
        <w:rPr>
          <w:rFonts w:cs="Arial"/>
          <w:lang w:val="fr-CH"/>
        </w:rPr>
        <w:t>occasion d</w:t>
      </w:r>
      <w:r>
        <w:rPr>
          <w:rFonts w:cs="Arial"/>
          <w:lang w:val="fr-CH"/>
        </w:rPr>
        <w:t>’</w:t>
      </w:r>
      <w:r w:rsidRPr="00081E64">
        <w:rPr>
          <w:rFonts w:cs="Arial"/>
          <w:lang w:val="fr-CH"/>
        </w:rPr>
        <w:t>approfondir le cadre juridique des audiences par vidéoconférence, pour faire face à des situations inédites comme la pandémie de Covid</w:t>
      </w:r>
      <w:r>
        <w:rPr>
          <w:rFonts w:cs="Arial"/>
          <w:lang w:val="fr-CH"/>
        </w:rPr>
        <w:t>-</w:t>
      </w:r>
      <w:r w:rsidRPr="00081E64">
        <w:rPr>
          <w:rFonts w:cs="Arial"/>
          <w:lang w:val="fr-CH"/>
        </w:rPr>
        <w:t>19 et utiliser les possibilités offertes par les nouvelles technologies.</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u w:val="single"/>
          <w:lang w:val="fr-CH"/>
        </w:rPr>
      </w:pPr>
      <w:r w:rsidRPr="00081E64">
        <w:rPr>
          <w:rFonts w:cs="Arial"/>
          <w:u w:val="single"/>
          <w:lang w:val="fr-CH"/>
        </w:rPr>
        <w:t>OAPI</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Au début du mois de juillet 2019, la Commission européenne a signé avec l</w:t>
      </w:r>
      <w:r>
        <w:rPr>
          <w:rFonts w:ascii="Arial" w:hAnsi="Arial" w:cs="Arial"/>
          <w:sz w:val="20"/>
          <w:szCs w:val="20"/>
          <w:lang w:val="fr-CH"/>
        </w:rPr>
        <w:t>’</w:t>
      </w:r>
      <w:r w:rsidRPr="00081E64">
        <w:rPr>
          <w:rFonts w:ascii="Arial" w:hAnsi="Arial" w:cs="Arial"/>
          <w:sz w:val="20"/>
          <w:szCs w:val="20"/>
          <w:lang w:val="fr-CH"/>
        </w:rPr>
        <w:t>Organisation africaine de la propriété intellectuelle (OAPI), à Genève, un contrat prévoyant des fonds pour une feuille de route visant à promouvoir la propriété intellectuelle pour encourager la création de nouvelles variétés adaptées au marché africain et faciliter l</w:t>
      </w:r>
      <w:r>
        <w:rPr>
          <w:rFonts w:ascii="Arial" w:hAnsi="Arial" w:cs="Arial"/>
          <w:sz w:val="20"/>
          <w:szCs w:val="20"/>
          <w:lang w:val="fr-CH"/>
        </w:rPr>
        <w:t>’</w:t>
      </w:r>
      <w:r w:rsidRPr="00081E64">
        <w:rPr>
          <w:rFonts w:ascii="Arial" w:hAnsi="Arial" w:cs="Arial"/>
          <w:sz w:val="20"/>
          <w:szCs w:val="20"/>
          <w:lang w:val="fr-CH"/>
        </w:rPr>
        <w:t>utilisation dans les pays de l</w:t>
      </w:r>
      <w:r>
        <w:rPr>
          <w:rFonts w:ascii="Arial" w:hAnsi="Arial" w:cs="Arial"/>
          <w:sz w:val="20"/>
          <w:szCs w:val="20"/>
          <w:lang w:val="fr-CH"/>
        </w:rPr>
        <w:t>’</w:t>
      </w:r>
      <w:r w:rsidRPr="00081E64">
        <w:rPr>
          <w:rFonts w:ascii="Arial" w:hAnsi="Arial" w:cs="Arial"/>
          <w:sz w:val="20"/>
          <w:szCs w:val="20"/>
          <w:lang w:val="fr-CH"/>
        </w:rPr>
        <w:t>OAPI de variétés supérieures existant ailleurs</w:t>
      </w:r>
      <w:r>
        <w:rPr>
          <w:rFonts w:ascii="Arial" w:hAnsi="Arial" w:cs="Arial"/>
          <w:sz w:val="20"/>
          <w:szCs w:val="20"/>
          <w:lang w:val="fr-CH"/>
        </w:rPr>
        <w:t xml:space="preserve">.  </w:t>
      </w:r>
      <w:r w:rsidRPr="00081E64">
        <w:rPr>
          <w:rFonts w:ascii="Arial" w:hAnsi="Arial" w:cs="Arial"/>
          <w:sz w:val="20"/>
          <w:szCs w:val="20"/>
          <w:lang w:val="fr-CH"/>
        </w:rPr>
        <w:t>Ce projet est géré par l</w:t>
      </w:r>
      <w:r>
        <w:rPr>
          <w:rFonts w:ascii="Arial" w:hAnsi="Arial" w:cs="Arial"/>
          <w:sz w:val="20"/>
          <w:szCs w:val="20"/>
          <w:lang w:val="fr-CH"/>
        </w:rPr>
        <w:t>’</w:t>
      </w:r>
      <w:r w:rsidRPr="00081E64">
        <w:rPr>
          <w:rFonts w:ascii="Arial" w:hAnsi="Arial" w:cs="Arial"/>
          <w:sz w:val="20"/>
          <w:szCs w:val="20"/>
          <w:lang w:val="fr-CH"/>
        </w:rPr>
        <w:t>OAPI, en partenariat avec l</w:t>
      </w:r>
      <w:r>
        <w:rPr>
          <w:rFonts w:ascii="Arial" w:hAnsi="Arial" w:cs="Arial"/>
          <w:sz w:val="20"/>
          <w:szCs w:val="20"/>
          <w:lang w:val="fr-CH"/>
        </w:rPr>
        <w:t>’</w:t>
      </w:r>
      <w:r w:rsidRPr="00081E64">
        <w:rPr>
          <w:rFonts w:ascii="Arial" w:hAnsi="Arial" w:cs="Arial"/>
          <w:sz w:val="20"/>
          <w:szCs w:val="20"/>
          <w:lang w:val="fr-CH"/>
        </w:rPr>
        <w:t>OCVV, l</w:t>
      </w:r>
      <w:r>
        <w:rPr>
          <w:rFonts w:ascii="Arial" w:hAnsi="Arial" w:cs="Arial"/>
          <w:sz w:val="20"/>
          <w:szCs w:val="20"/>
          <w:lang w:val="fr-CH"/>
        </w:rPr>
        <w:t>’</w:t>
      </w:r>
      <w:r w:rsidRPr="00081E64">
        <w:rPr>
          <w:rFonts w:ascii="Arial" w:hAnsi="Arial" w:cs="Arial"/>
          <w:sz w:val="20"/>
          <w:szCs w:val="20"/>
          <w:lang w:val="fr-CH"/>
        </w:rPr>
        <w:t xml:space="preserve">UPOV, le GEVES, le GNIS et </w:t>
      </w:r>
      <w:proofErr w:type="spellStart"/>
      <w:r w:rsidRPr="00081E64">
        <w:rPr>
          <w:rFonts w:ascii="Arial" w:hAnsi="Arial" w:cs="Arial"/>
          <w:sz w:val="20"/>
          <w:szCs w:val="20"/>
          <w:lang w:val="fr-CH"/>
        </w:rPr>
        <w:t>Naktuinbouw</w:t>
      </w:r>
      <w:proofErr w:type="spellEnd"/>
      <w:r w:rsidRPr="00081E64">
        <w:rPr>
          <w:rFonts w:ascii="Arial" w:hAnsi="Arial" w:cs="Arial"/>
          <w:sz w:val="20"/>
          <w:szCs w:val="20"/>
          <w:lang w:val="fr-CH"/>
        </w:rPr>
        <w:t xml:space="preserve"> (un partenaire).</w:t>
      </w: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p>
    <w:p w:rsidR="00276ED8" w:rsidRPr="00081E64" w:rsidRDefault="00276ED8" w:rsidP="00276ED8">
      <w:pPr>
        <w:pStyle w:val="NormalWeb"/>
        <w:spacing w:before="0" w:beforeAutospacing="0" w:after="0" w:afterAutospacing="0"/>
        <w:contextualSpacing/>
        <w:jc w:val="both"/>
        <w:rPr>
          <w:rFonts w:ascii="Arial" w:hAnsi="Arial" w:cs="Arial"/>
          <w:sz w:val="20"/>
          <w:szCs w:val="20"/>
          <w:lang w:val="fr-CH"/>
        </w:rPr>
      </w:pPr>
      <w:r w:rsidRPr="00081E64">
        <w:rPr>
          <w:rFonts w:ascii="Arial" w:hAnsi="Arial" w:cs="Arial"/>
          <w:sz w:val="20"/>
          <w:szCs w:val="20"/>
          <w:lang w:val="fr-CH"/>
        </w:rPr>
        <w:t>En raison des restrictions sanitaires liées à la pandémie de Covid</w:t>
      </w:r>
      <w:r>
        <w:rPr>
          <w:rFonts w:ascii="Arial" w:hAnsi="Arial" w:cs="Arial"/>
          <w:sz w:val="20"/>
          <w:szCs w:val="20"/>
          <w:lang w:val="fr-CH"/>
        </w:rPr>
        <w:t>-</w:t>
      </w:r>
      <w:r w:rsidRPr="00081E64">
        <w:rPr>
          <w:rFonts w:ascii="Arial" w:hAnsi="Arial" w:cs="Arial"/>
          <w:sz w:val="20"/>
          <w:szCs w:val="20"/>
          <w:lang w:val="fr-CH"/>
        </w:rPr>
        <w:t>19, les activités impliquant la participation d</w:t>
      </w:r>
      <w:r>
        <w:rPr>
          <w:rFonts w:ascii="Arial" w:hAnsi="Arial" w:cs="Arial"/>
          <w:sz w:val="20"/>
          <w:szCs w:val="20"/>
          <w:lang w:val="fr-CH"/>
        </w:rPr>
        <w:t>’</w:t>
      </w:r>
      <w:r w:rsidRPr="00081E64">
        <w:rPr>
          <w:rFonts w:ascii="Arial" w:hAnsi="Arial" w:cs="Arial"/>
          <w:sz w:val="20"/>
          <w:szCs w:val="20"/>
          <w:lang w:val="fr-CH"/>
        </w:rPr>
        <w:t>experts de l</w:t>
      </w:r>
      <w:r>
        <w:rPr>
          <w:rFonts w:ascii="Arial" w:hAnsi="Arial" w:cs="Arial"/>
          <w:sz w:val="20"/>
          <w:szCs w:val="20"/>
          <w:lang w:val="fr-CH"/>
        </w:rPr>
        <w:t>’</w:t>
      </w:r>
      <w:r w:rsidRPr="00081E64">
        <w:rPr>
          <w:rFonts w:ascii="Arial" w:hAnsi="Arial" w:cs="Arial"/>
          <w:sz w:val="20"/>
          <w:szCs w:val="20"/>
          <w:lang w:val="fr-CH"/>
        </w:rPr>
        <w:t>OCVV nécessitant une présence physique (évaluation des installations d</w:t>
      </w:r>
      <w:r>
        <w:rPr>
          <w:rFonts w:ascii="Arial" w:hAnsi="Arial" w:cs="Arial"/>
          <w:sz w:val="20"/>
          <w:szCs w:val="20"/>
          <w:lang w:val="fr-CH"/>
        </w:rPr>
        <w:t>’</w:t>
      </w:r>
      <w:r w:rsidRPr="00081E64">
        <w:rPr>
          <w:rFonts w:ascii="Arial" w:hAnsi="Arial" w:cs="Arial"/>
          <w:sz w:val="20"/>
          <w:szCs w:val="20"/>
          <w:lang w:val="fr-CH"/>
        </w:rPr>
        <w:t>essai) prévues pour janvier et février 2021 ont dû être reportées</w:t>
      </w:r>
      <w:r>
        <w:rPr>
          <w:rFonts w:ascii="Arial" w:hAnsi="Arial" w:cs="Arial"/>
          <w:sz w:val="20"/>
          <w:szCs w:val="20"/>
          <w:lang w:val="fr-CH"/>
        </w:rPr>
        <w:t xml:space="preserve">.  </w:t>
      </w:r>
      <w:r w:rsidRPr="00081E64">
        <w:rPr>
          <w:rFonts w:ascii="Arial" w:hAnsi="Arial" w:cs="Arial"/>
          <w:sz w:val="20"/>
          <w:szCs w:val="20"/>
          <w:lang w:val="fr-CH"/>
        </w:rPr>
        <w:t>La mise en œuvre du projet se poursuivra jusqu</w:t>
      </w:r>
      <w:r>
        <w:rPr>
          <w:rFonts w:ascii="Arial" w:hAnsi="Arial" w:cs="Arial"/>
          <w:sz w:val="20"/>
          <w:szCs w:val="20"/>
          <w:lang w:val="fr-CH"/>
        </w:rPr>
        <w:t>’</w:t>
      </w:r>
      <w:r w:rsidRPr="00081E64">
        <w:rPr>
          <w:rFonts w:ascii="Arial" w:hAnsi="Arial" w:cs="Arial"/>
          <w:sz w:val="20"/>
          <w:szCs w:val="20"/>
          <w:lang w:val="fr-CH"/>
        </w:rPr>
        <w:t xml:space="preserve">au deuxième trimestre de 2022. </w:t>
      </w:r>
      <w:r w:rsidRPr="00081E64">
        <w:rPr>
          <w:rFonts w:ascii="Arial" w:hAnsi="Arial"/>
          <w:sz w:val="20"/>
          <w:lang w:val="fr-CH"/>
        </w:rPr>
        <w:t xml:space="preserve"> </w:t>
      </w:r>
      <w:r w:rsidRPr="00081E64">
        <w:rPr>
          <w:rFonts w:ascii="Arial" w:hAnsi="Arial" w:cs="Arial"/>
          <w:sz w:val="20"/>
          <w:szCs w:val="20"/>
          <w:lang w:val="fr-CH"/>
        </w:rPr>
        <w:t>L</w:t>
      </w:r>
      <w:r>
        <w:rPr>
          <w:rFonts w:ascii="Arial" w:hAnsi="Arial" w:cs="Arial"/>
          <w:sz w:val="20"/>
          <w:szCs w:val="20"/>
          <w:lang w:val="fr-CH"/>
        </w:rPr>
        <w:t>’</w:t>
      </w:r>
      <w:r w:rsidRPr="00081E64">
        <w:rPr>
          <w:rFonts w:ascii="Arial" w:hAnsi="Arial" w:cs="Arial"/>
          <w:sz w:val="20"/>
          <w:szCs w:val="20"/>
          <w:lang w:val="fr-CH"/>
        </w:rPr>
        <w:t>OAPI a néanmoins organisé des séminaires destinés aux obtenteurs et aux producteurs de semences, en mai 2021 à Brazzaville et en juin 2021 à Libreville, auxquels l</w:t>
      </w:r>
      <w:r>
        <w:rPr>
          <w:rFonts w:ascii="Arial" w:hAnsi="Arial" w:cs="Arial"/>
          <w:sz w:val="20"/>
          <w:szCs w:val="20"/>
          <w:lang w:val="fr-CH"/>
        </w:rPr>
        <w:t>’</w:t>
      </w:r>
      <w:r w:rsidRPr="00081E64">
        <w:rPr>
          <w:rFonts w:ascii="Arial" w:hAnsi="Arial" w:cs="Arial"/>
          <w:sz w:val="20"/>
          <w:szCs w:val="20"/>
          <w:lang w:val="fr-CH"/>
        </w:rPr>
        <w:t>OCVV a contribué par voie électronique.</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u w:val="single"/>
          <w:lang w:val="fr-CH"/>
        </w:rPr>
      </w:pPr>
      <w:r w:rsidRPr="00081E64">
        <w:rPr>
          <w:rFonts w:cs="Arial"/>
          <w:u w:val="single"/>
          <w:lang w:val="fr-CH"/>
        </w:rPr>
        <w:t>5.2. Formation</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Au cours de l</w:t>
      </w:r>
      <w:r>
        <w:rPr>
          <w:rFonts w:cs="Arial"/>
          <w:lang w:val="fr-CH"/>
        </w:rPr>
        <w:t>’</w:t>
      </w:r>
      <w:r w:rsidRPr="00081E64">
        <w:rPr>
          <w:rFonts w:cs="Arial"/>
          <w:lang w:val="fr-CH"/>
        </w:rPr>
        <w:t>année 2020</w:t>
      </w:r>
      <w:r>
        <w:rPr>
          <w:rFonts w:cs="Arial"/>
          <w:lang w:val="fr-CH"/>
        </w:rPr>
        <w:t>-</w:t>
      </w:r>
      <w:r w:rsidRPr="00081E64">
        <w:rPr>
          <w:rFonts w:cs="Arial"/>
          <w:lang w:val="fr-CH"/>
        </w:rPr>
        <w:t>2021, l</w:t>
      </w:r>
      <w:r>
        <w:rPr>
          <w:rFonts w:cs="Arial"/>
          <w:lang w:val="fr-CH"/>
        </w:rPr>
        <w:t>’</w:t>
      </w:r>
      <w:r w:rsidRPr="00081E64">
        <w:rPr>
          <w:rFonts w:cs="Arial"/>
          <w:lang w:val="fr-CH"/>
        </w:rPr>
        <w:t>OCVV a participé à la préparation de plusieurs formations, principalement dispensées en ligne en raison de la pandémie de Covid</w:t>
      </w:r>
      <w:r>
        <w:rPr>
          <w:rFonts w:cs="Arial"/>
          <w:lang w:val="fr-CH"/>
        </w:rPr>
        <w:t>-</w:t>
      </w:r>
      <w:r w:rsidRPr="00081E64">
        <w:rPr>
          <w:rFonts w:cs="Arial"/>
          <w:lang w:val="fr-CH"/>
        </w:rPr>
        <w:t>19, notamment</w:t>
      </w:r>
      <w:r>
        <w:rPr>
          <w:rFonts w:cs="Arial"/>
          <w:lang w:val="fr-CH"/>
        </w:rPr>
        <w:t> :</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Exposé sur l</w:t>
      </w:r>
      <w:r>
        <w:rPr>
          <w:rFonts w:cs="Arial"/>
          <w:lang w:val="fr-CH"/>
        </w:rPr>
        <w:t>’</w:t>
      </w:r>
      <w:r w:rsidRPr="00081E64">
        <w:rPr>
          <w:rFonts w:cs="Arial"/>
          <w:lang w:val="fr-CH"/>
        </w:rPr>
        <w:t>OCVV devant les étudiants du Master en création variétale de l</w:t>
      </w:r>
      <w:r>
        <w:rPr>
          <w:rFonts w:cs="Arial"/>
          <w:lang w:val="fr-CH"/>
        </w:rPr>
        <w:t>’</w:t>
      </w:r>
      <w:r w:rsidRPr="00081E64">
        <w:rPr>
          <w:rFonts w:cs="Arial"/>
          <w:lang w:val="fr-CH"/>
        </w:rPr>
        <w:t xml:space="preserve">Institut Polytechnique </w:t>
      </w:r>
      <w:proofErr w:type="spellStart"/>
      <w:r w:rsidRPr="00081E64">
        <w:rPr>
          <w:rFonts w:cs="Arial"/>
          <w:lang w:val="fr-CH"/>
        </w:rPr>
        <w:t>UniLaSalle</w:t>
      </w:r>
      <w:proofErr w:type="spellEnd"/>
      <w:r w:rsidRPr="00081E64">
        <w:rPr>
          <w:rFonts w:cs="Arial"/>
          <w:lang w:val="fr-CH"/>
        </w:rPr>
        <w:t xml:space="preserve"> de Beauvais le 28 septembre 2020</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 xml:space="preserve">Webinaire sur les variétés essentiellement dérivées en coopération avec </w:t>
      </w:r>
      <w:proofErr w:type="spellStart"/>
      <w:r w:rsidRPr="00081E64">
        <w:rPr>
          <w:rFonts w:cs="Arial"/>
          <w:lang w:val="fr-CH"/>
        </w:rPr>
        <w:t>Vegepolys</w:t>
      </w:r>
      <w:proofErr w:type="spellEnd"/>
      <w:r w:rsidRPr="00081E64">
        <w:rPr>
          <w:rFonts w:cs="Arial"/>
          <w:lang w:val="fr-CH"/>
        </w:rPr>
        <w:t xml:space="preserve"> le 9 octobre 2020</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Exposé sur l</w:t>
      </w:r>
      <w:r>
        <w:rPr>
          <w:rFonts w:cs="Arial"/>
          <w:lang w:val="fr-CH"/>
        </w:rPr>
        <w:t>’</w:t>
      </w:r>
      <w:r w:rsidRPr="00081E64">
        <w:rPr>
          <w:rFonts w:cs="Arial"/>
          <w:lang w:val="fr-CH"/>
        </w:rPr>
        <w:t>OCVV devant les étudiants de l</w:t>
      </w:r>
      <w:r>
        <w:rPr>
          <w:rFonts w:cs="Arial"/>
          <w:lang w:val="fr-CH"/>
        </w:rPr>
        <w:t>’</w:t>
      </w:r>
      <w:r w:rsidRPr="00081E64">
        <w:rPr>
          <w:rFonts w:cs="Arial"/>
          <w:lang w:val="fr-CH"/>
        </w:rPr>
        <w:t>ESA le 5 novembre 2020</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lastRenderedPageBreak/>
        <w:t>Présentation du système communautaire de protection des obtentions végétales dans le cadre du Master en droit de la propriété intellectuelle de l</w:t>
      </w:r>
      <w:r>
        <w:rPr>
          <w:rFonts w:cs="Arial"/>
          <w:lang w:val="fr-CH"/>
        </w:rPr>
        <w:t>’</w:t>
      </w:r>
      <w:r w:rsidRPr="00081E64">
        <w:rPr>
          <w:rFonts w:cs="Arial"/>
          <w:lang w:val="fr-CH"/>
        </w:rPr>
        <w:t>Université de Maastricht le 12 janvier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Séminaire destiné au CEIPI et au Barreau de Paris sur l</w:t>
      </w:r>
      <w:r>
        <w:rPr>
          <w:rFonts w:cs="Arial"/>
          <w:lang w:val="fr-CH"/>
        </w:rPr>
        <w:t>’</w:t>
      </w:r>
      <w:r w:rsidRPr="00081E64">
        <w:rPr>
          <w:rFonts w:cs="Arial"/>
          <w:lang w:val="fr-CH"/>
        </w:rPr>
        <w:t>avis G3/19 du Conseil d</w:t>
      </w:r>
      <w:r>
        <w:rPr>
          <w:rFonts w:cs="Arial"/>
          <w:lang w:val="fr-CH"/>
        </w:rPr>
        <w:t>’</w:t>
      </w:r>
      <w:r w:rsidRPr="00081E64">
        <w:rPr>
          <w:rFonts w:cs="Arial"/>
          <w:lang w:val="fr-CH"/>
        </w:rPr>
        <w:t>administration de l</w:t>
      </w:r>
      <w:r>
        <w:rPr>
          <w:rFonts w:cs="Arial"/>
          <w:lang w:val="fr-CH"/>
        </w:rPr>
        <w:t>’</w:t>
      </w:r>
      <w:r w:rsidRPr="00081E64">
        <w:rPr>
          <w:rFonts w:cs="Arial"/>
          <w:lang w:val="fr-CH"/>
        </w:rPr>
        <w:t>OEB</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Séminaire sur l</w:t>
      </w:r>
      <w:r>
        <w:rPr>
          <w:rFonts w:cs="Arial"/>
          <w:lang w:val="fr-CH"/>
        </w:rPr>
        <w:t>’</w:t>
      </w:r>
      <w:r w:rsidRPr="00081E64">
        <w:rPr>
          <w:rFonts w:cs="Arial"/>
          <w:lang w:val="fr-CH"/>
        </w:rPr>
        <w:t>harmonisation des pratiques en matière de propriété au sein de l</w:t>
      </w:r>
      <w:r>
        <w:rPr>
          <w:rFonts w:cs="Arial"/>
          <w:lang w:val="fr-CH"/>
        </w:rPr>
        <w:t>’</w:t>
      </w:r>
      <w:r w:rsidRPr="00081E64">
        <w:rPr>
          <w:rFonts w:cs="Arial"/>
          <w:lang w:val="fr-CH"/>
        </w:rPr>
        <w:t>Union européenne, organisé au CEIPI le 13 avril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 xml:space="preserve">Formation sur le </w:t>
      </w:r>
      <w:proofErr w:type="spellStart"/>
      <w:r w:rsidRPr="00081E64">
        <w:rPr>
          <w:rFonts w:cs="Arial"/>
          <w:lang w:val="fr-CH"/>
        </w:rPr>
        <w:t>Variety</w:t>
      </w:r>
      <w:proofErr w:type="spellEnd"/>
      <w:r w:rsidRPr="00081E64">
        <w:rPr>
          <w:rFonts w:cs="Arial"/>
          <w:lang w:val="fr-CH"/>
        </w:rPr>
        <w:t xml:space="preserve"> Finder dispensée aux examinateurs de l</w:t>
      </w:r>
      <w:r>
        <w:rPr>
          <w:rFonts w:cs="Arial"/>
          <w:lang w:val="fr-CH"/>
        </w:rPr>
        <w:t>’</w:t>
      </w:r>
      <w:r w:rsidRPr="00081E64">
        <w:rPr>
          <w:rFonts w:cs="Arial"/>
          <w:lang w:val="fr-CH"/>
        </w:rPr>
        <w:t>EUIPO le 19 avril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 xml:space="preserve">Présentation du système communautaire de protection des obtentions végétales dans le cadre du Master en droit de la propriété intellectuelle du Trinity </w:t>
      </w:r>
      <w:proofErr w:type="spellStart"/>
      <w:r w:rsidRPr="00081E64">
        <w:rPr>
          <w:rFonts w:cs="Arial"/>
          <w:lang w:val="fr-CH"/>
        </w:rPr>
        <w:t>College</w:t>
      </w:r>
      <w:proofErr w:type="spellEnd"/>
      <w:r w:rsidRPr="00081E64">
        <w:rPr>
          <w:rFonts w:cs="Arial"/>
          <w:lang w:val="fr-CH"/>
        </w:rPr>
        <w:t xml:space="preserve"> de Dublin le 23 avril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Exposé sur la protection des obtentions végétales lors de la Journée mondiale de la propriété intellectuelle (Office de la propriété intellectuelle du Luxembourg) le 26 avril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Séminaire à l</w:t>
      </w:r>
      <w:r>
        <w:rPr>
          <w:rFonts w:cs="Arial"/>
          <w:lang w:val="fr-CH"/>
        </w:rPr>
        <w:t>’</w:t>
      </w:r>
      <w:r w:rsidRPr="00081E64">
        <w:rPr>
          <w:rFonts w:cs="Arial"/>
          <w:lang w:val="fr-CH"/>
        </w:rPr>
        <w:t>Université Claude Bernard Lyon I le 6 mai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 xml:space="preserve">Présentation du système communautaire de protection des obtentions végétales dans le cadre du Magister </w:t>
      </w:r>
      <w:proofErr w:type="spellStart"/>
      <w:r w:rsidRPr="00081E64">
        <w:rPr>
          <w:rFonts w:cs="Arial"/>
          <w:lang w:val="fr-CH"/>
        </w:rPr>
        <w:t>Lvcentinvs</w:t>
      </w:r>
      <w:proofErr w:type="spellEnd"/>
      <w:r w:rsidRPr="00081E64">
        <w:rPr>
          <w:rFonts w:cs="Arial"/>
          <w:lang w:val="fr-CH"/>
        </w:rPr>
        <w:t xml:space="preserve"> (Master en propriété intellectuelle) de l</w:t>
      </w:r>
      <w:r>
        <w:rPr>
          <w:rFonts w:cs="Arial"/>
          <w:lang w:val="fr-CH"/>
        </w:rPr>
        <w:t>’</w:t>
      </w:r>
      <w:r w:rsidRPr="00081E64">
        <w:rPr>
          <w:rFonts w:cs="Arial"/>
          <w:lang w:val="fr-CH"/>
        </w:rPr>
        <w:t>Université d</w:t>
      </w:r>
      <w:r>
        <w:rPr>
          <w:rFonts w:cs="Arial"/>
          <w:lang w:val="fr-CH"/>
        </w:rPr>
        <w:t>’</w:t>
      </w:r>
      <w:r w:rsidRPr="00081E64">
        <w:rPr>
          <w:rFonts w:cs="Arial"/>
          <w:lang w:val="fr-CH"/>
        </w:rPr>
        <w:t>Alicante le 10 mai 2021</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trois webinaires enregistrés pour le cours de l</w:t>
      </w:r>
      <w:r>
        <w:rPr>
          <w:rFonts w:cs="Arial"/>
          <w:lang w:val="fr-CH"/>
        </w:rPr>
        <w:t>’</w:t>
      </w:r>
      <w:r w:rsidRPr="00081E64">
        <w:rPr>
          <w:rFonts w:cs="Arial"/>
          <w:lang w:val="fr-CH"/>
        </w:rPr>
        <w:t>Université de Wageningen sur la protection des obtentions végétales</w:t>
      </w:r>
    </w:p>
    <w:p w:rsidR="00276ED8" w:rsidRPr="00081E64" w:rsidRDefault="00276ED8" w:rsidP="00276ED8">
      <w:pPr>
        <w:numPr>
          <w:ilvl w:val="0"/>
          <w:numId w:val="15"/>
        </w:numPr>
        <w:autoSpaceDE w:val="0"/>
        <w:autoSpaceDN w:val="0"/>
        <w:adjustRightInd w:val="0"/>
        <w:contextualSpacing/>
        <w:rPr>
          <w:rFonts w:cs="Arial"/>
          <w:lang w:val="fr-CH"/>
        </w:rPr>
      </w:pPr>
      <w:r w:rsidRPr="00081E64">
        <w:rPr>
          <w:rFonts w:cs="Arial"/>
          <w:lang w:val="fr-CH"/>
        </w:rPr>
        <w:t xml:space="preserve">Participation au webinaire </w:t>
      </w:r>
      <w:r>
        <w:rPr>
          <w:rFonts w:cs="Arial"/>
          <w:lang w:val="fr-CH"/>
        </w:rPr>
        <w:t>‘</w:t>
      </w:r>
      <w:r w:rsidRPr="00081E64">
        <w:rPr>
          <w:rFonts w:cs="Arial"/>
          <w:lang w:val="fr-CH"/>
        </w:rPr>
        <w:t xml:space="preserve">How innovation in plant </w:t>
      </w:r>
      <w:proofErr w:type="spellStart"/>
      <w:r w:rsidRPr="00081E64">
        <w:rPr>
          <w:rFonts w:cs="Arial"/>
          <w:lang w:val="fr-CH"/>
        </w:rPr>
        <w:t>breeding</w:t>
      </w:r>
      <w:proofErr w:type="spellEnd"/>
      <w:r w:rsidRPr="00081E64">
        <w:rPr>
          <w:rFonts w:cs="Arial"/>
          <w:lang w:val="fr-CH"/>
        </w:rPr>
        <w:t xml:space="preserve"> </w:t>
      </w:r>
      <w:proofErr w:type="spellStart"/>
      <w:r w:rsidRPr="00081E64">
        <w:rPr>
          <w:rFonts w:cs="Arial"/>
          <w:lang w:val="fr-CH"/>
        </w:rPr>
        <w:t>boosts</w:t>
      </w:r>
      <w:proofErr w:type="spellEnd"/>
      <w:r w:rsidRPr="00081E64">
        <w:rPr>
          <w:rFonts w:cs="Arial"/>
          <w:lang w:val="fr-CH"/>
        </w:rPr>
        <w:t xml:space="preserve"> </w:t>
      </w:r>
      <w:proofErr w:type="spellStart"/>
      <w:r w:rsidRPr="00081E64">
        <w:rPr>
          <w:rFonts w:cs="Arial"/>
          <w:lang w:val="fr-CH"/>
        </w:rPr>
        <w:t>sustainable</w:t>
      </w:r>
      <w:proofErr w:type="spellEnd"/>
      <w:r w:rsidRPr="00081E64">
        <w:rPr>
          <w:rFonts w:cs="Arial"/>
          <w:lang w:val="fr-CH"/>
        </w:rPr>
        <w:t xml:space="preserve"> </w:t>
      </w:r>
      <w:proofErr w:type="spellStart"/>
      <w:r w:rsidRPr="00081E64">
        <w:rPr>
          <w:rFonts w:cs="Arial"/>
          <w:lang w:val="fr-CH"/>
        </w:rPr>
        <w:t>farming</w:t>
      </w:r>
      <w:proofErr w:type="spellEnd"/>
      <w:r w:rsidRPr="00081E64">
        <w:rPr>
          <w:rFonts w:cs="Arial"/>
          <w:lang w:val="fr-CH"/>
        </w:rPr>
        <w:t xml:space="preserve"> in the EU</w:t>
      </w:r>
      <w:r>
        <w:rPr>
          <w:rFonts w:cs="Arial"/>
          <w:lang w:val="fr-CH"/>
        </w:rPr>
        <w:t>’</w:t>
      </w:r>
      <w:r w:rsidRPr="00081E64">
        <w:rPr>
          <w:rFonts w:cs="Arial"/>
          <w:lang w:val="fr-CH"/>
        </w:rPr>
        <w:t xml:space="preserve"> (Comment l</w:t>
      </w:r>
      <w:r>
        <w:rPr>
          <w:rFonts w:cs="Arial"/>
          <w:lang w:val="fr-CH"/>
        </w:rPr>
        <w:t>’</w:t>
      </w:r>
      <w:r w:rsidRPr="00081E64">
        <w:rPr>
          <w:rFonts w:cs="Arial"/>
          <w:lang w:val="fr-CH"/>
        </w:rPr>
        <w:t>innovation dans la sélection végétale stimule l</w:t>
      </w:r>
      <w:r>
        <w:rPr>
          <w:rFonts w:cs="Arial"/>
          <w:lang w:val="fr-CH"/>
        </w:rPr>
        <w:t>’</w:t>
      </w:r>
      <w:r w:rsidRPr="00081E64">
        <w:rPr>
          <w:rFonts w:cs="Arial"/>
          <w:lang w:val="fr-CH"/>
        </w:rPr>
        <w:t>agriculture durable dans l</w:t>
      </w:r>
      <w:r>
        <w:rPr>
          <w:rFonts w:cs="Arial"/>
          <w:lang w:val="fr-CH"/>
        </w:rPr>
        <w:t>’</w:t>
      </w:r>
      <w:r w:rsidRPr="00081E64">
        <w:rPr>
          <w:rFonts w:cs="Arial"/>
          <w:lang w:val="fr-CH"/>
        </w:rPr>
        <w:t>UE) (</w:t>
      </w:r>
      <w:proofErr w:type="spellStart"/>
      <w:r w:rsidRPr="00081E64">
        <w:rPr>
          <w:rFonts w:cs="Arial"/>
          <w:lang w:val="fr-CH"/>
        </w:rPr>
        <w:t>Euroseeds</w:t>
      </w:r>
      <w:proofErr w:type="spellEnd"/>
      <w:r w:rsidRPr="00081E64">
        <w:rPr>
          <w:rFonts w:cs="Arial"/>
          <w:lang w:val="fr-CH"/>
        </w:rPr>
        <w:t>/HFFA) le 17 mai 2021</w:t>
      </w:r>
    </w:p>
    <w:p w:rsidR="00276ED8" w:rsidRPr="00081E64" w:rsidRDefault="00276ED8" w:rsidP="00276ED8">
      <w:pPr>
        <w:numPr>
          <w:ilvl w:val="0"/>
          <w:numId w:val="15"/>
        </w:numPr>
        <w:autoSpaceDE w:val="0"/>
        <w:autoSpaceDN w:val="0"/>
        <w:adjustRightInd w:val="0"/>
        <w:contextualSpacing/>
        <w:rPr>
          <w:rFonts w:cs="Arial"/>
        </w:rPr>
      </w:pPr>
      <w:r w:rsidRPr="00081E64">
        <w:rPr>
          <w:rFonts w:cs="Arial"/>
        </w:rPr>
        <w:t>Webinaires du Service d</w:t>
      </w:r>
      <w:r>
        <w:rPr>
          <w:rFonts w:cs="Arial"/>
        </w:rPr>
        <w:t>’</w:t>
      </w:r>
      <w:r w:rsidRPr="00081E64">
        <w:rPr>
          <w:rFonts w:cs="Arial"/>
        </w:rPr>
        <w:t>assistance en matière de propriété intellectuelle</w:t>
      </w:r>
      <w:r>
        <w:rPr>
          <w:rFonts w:cs="Arial"/>
        </w:rPr>
        <w:t> :</w:t>
      </w:r>
    </w:p>
    <w:p w:rsidR="00276ED8" w:rsidRPr="00081E64" w:rsidRDefault="00276ED8" w:rsidP="00276ED8">
      <w:pPr>
        <w:numPr>
          <w:ilvl w:val="1"/>
          <w:numId w:val="11"/>
        </w:numPr>
        <w:autoSpaceDE w:val="0"/>
        <w:autoSpaceDN w:val="0"/>
        <w:adjustRightInd w:val="0"/>
        <w:contextualSpacing/>
        <w:rPr>
          <w:rFonts w:cs="Arial"/>
          <w:lang w:val="fr-CH"/>
        </w:rPr>
      </w:pPr>
      <w:r w:rsidRPr="00081E64">
        <w:rPr>
          <w:rFonts w:cs="Arial"/>
          <w:lang w:val="fr-CH"/>
        </w:rPr>
        <w:t>Introduction à la protection des obtentions végétales dans l</w:t>
      </w:r>
      <w:r>
        <w:rPr>
          <w:rFonts w:cs="Arial"/>
          <w:lang w:val="fr-CH"/>
        </w:rPr>
        <w:t>’</w:t>
      </w:r>
      <w:r w:rsidRPr="00081E64">
        <w:rPr>
          <w:rFonts w:cs="Arial"/>
          <w:lang w:val="fr-CH"/>
        </w:rPr>
        <w:t>UE le 9 mars 2021</w:t>
      </w:r>
    </w:p>
    <w:p w:rsidR="00276ED8" w:rsidRPr="00081E64" w:rsidRDefault="00276ED8" w:rsidP="00276ED8">
      <w:pPr>
        <w:numPr>
          <w:ilvl w:val="1"/>
          <w:numId w:val="11"/>
        </w:numPr>
        <w:autoSpaceDE w:val="0"/>
        <w:autoSpaceDN w:val="0"/>
        <w:adjustRightInd w:val="0"/>
        <w:contextualSpacing/>
        <w:rPr>
          <w:rFonts w:cs="Arial"/>
          <w:lang w:val="fr-CH"/>
        </w:rPr>
      </w:pPr>
      <w:r w:rsidRPr="00081E64">
        <w:rPr>
          <w:rFonts w:cs="Arial"/>
          <w:lang w:val="fr-CH"/>
        </w:rPr>
        <w:t>La propriété intellectuelle dans le secteur agroalimentaire le 29 avril 2021</w:t>
      </w:r>
    </w:p>
    <w:p w:rsidR="00276ED8" w:rsidRPr="00081E64" w:rsidRDefault="00276ED8" w:rsidP="00276ED8">
      <w:pPr>
        <w:numPr>
          <w:ilvl w:val="1"/>
          <w:numId w:val="11"/>
        </w:numPr>
        <w:autoSpaceDE w:val="0"/>
        <w:autoSpaceDN w:val="0"/>
        <w:adjustRightInd w:val="0"/>
        <w:contextualSpacing/>
        <w:rPr>
          <w:rFonts w:cs="Arial"/>
        </w:rPr>
      </w:pPr>
      <w:r w:rsidRPr="00081E64">
        <w:rPr>
          <w:rFonts w:cs="Arial"/>
        </w:rPr>
        <w:t>Nouvelles techniques de sélection le 8 juin 2021</w:t>
      </w:r>
    </w:p>
    <w:p w:rsidR="00276ED8" w:rsidRPr="00081E64" w:rsidRDefault="00276ED8" w:rsidP="00276ED8">
      <w:pPr>
        <w:keepNext/>
        <w:numPr>
          <w:ilvl w:val="0"/>
          <w:numId w:val="16"/>
        </w:numPr>
        <w:autoSpaceDE w:val="0"/>
        <w:autoSpaceDN w:val="0"/>
        <w:adjustRightInd w:val="0"/>
        <w:contextualSpacing/>
        <w:rPr>
          <w:rFonts w:cs="Arial"/>
          <w:lang w:val="fr-CH"/>
        </w:rPr>
      </w:pPr>
      <w:r w:rsidRPr="00081E64">
        <w:rPr>
          <w:rFonts w:cs="Arial"/>
          <w:lang w:val="fr-CH"/>
        </w:rPr>
        <w:t>Centre de formation virtuel – webinaire sur l</w:t>
      </w:r>
      <w:r>
        <w:rPr>
          <w:rFonts w:cs="Arial"/>
          <w:lang w:val="fr-CH"/>
        </w:rPr>
        <w:t>’</w:t>
      </w:r>
      <w:r w:rsidRPr="00081E64">
        <w:rPr>
          <w:rFonts w:cs="Arial"/>
          <w:lang w:val="fr-CH"/>
        </w:rPr>
        <w:t>application des droits d</w:t>
      </w:r>
      <w:r>
        <w:rPr>
          <w:rFonts w:cs="Arial"/>
          <w:lang w:val="fr-CH"/>
        </w:rPr>
        <w:t>’</w:t>
      </w:r>
      <w:r w:rsidRPr="00081E64">
        <w:rPr>
          <w:rFonts w:cs="Arial"/>
          <w:lang w:val="fr-CH"/>
        </w:rPr>
        <w:t>obtenteur le 25 mai 2021</w:t>
      </w:r>
    </w:p>
    <w:p w:rsidR="00276ED8" w:rsidRPr="00081E64" w:rsidRDefault="00276ED8" w:rsidP="00276ED8">
      <w:pPr>
        <w:numPr>
          <w:ilvl w:val="0"/>
          <w:numId w:val="16"/>
        </w:numPr>
        <w:autoSpaceDE w:val="0"/>
        <w:autoSpaceDN w:val="0"/>
        <w:adjustRightInd w:val="0"/>
        <w:contextualSpacing/>
        <w:rPr>
          <w:rFonts w:cs="Arial"/>
          <w:lang w:val="fr-CH"/>
        </w:rPr>
      </w:pPr>
      <w:r w:rsidRPr="00081E64">
        <w:rPr>
          <w:rFonts w:cs="Arial"/>
          <w:lang w:val="fr-CH"/>
        </w:rPr>
        <w:t xml:space="preserve">Atelier sur le service de coopération concernant la vérification des dénominations et le </w:t>
      </w:r>
      <w:proofErr w:type="spellStart"/>
      <w:r w:rsidRPr="00081E64">
        <w:rPr>
          <w:rFonts w:cs="Arial"/>
          <w:lang w:val="fr-CH"/>
        </w:rPr>
        <w:t>Variety</w:t>
      </w:r>
      <w:proofErr w:type="spellEnd"/>
      <w:r w:rsidRPr="00081E64">
        <w:rPr>
          <w:rFonts w:cs="Arial"/>
          <w:lang w:val="fr-CH"/>
        </w:rPr>
        <w:t xml:space="preserve"> Finder le 3 juin 2021 (groupe de travail permanent sur les dénominations variétales).</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keepNext/>
        <w:autoSpaceDE w:val="0"/>
        <w:autoSpaceDN w:val="0"/>
        <w:adjustRightInd w:val="0"/>
        <w:contextualSpacing/>
        <w:rPr>
          <w:rFonts w:cs="Arial"/>
          <w:u w:val="single"/>
          <w:lang w:val="fr-CH"/>
        </w:rPr>
      </w:pPr>
      <w:r w:rsidRPr="00081E64">
        <w:rPr>
          <w:rFonts w:cs="Arial"/>
          <w:u w:val="single"/>
          <w:lang w:val="fr-CH"/>
        </w:rPr>
        <w:t>5.3 Réunions avec des organisations de parties prenantes</w:t>
      </w:r>
    </w:p>
    <w:p w:rsidR="00276ED8" w:rsidRPr="00081E64" w:rsidRDefault="00276ED8" w:rsidP="00276ED8">
      <w:pPr>
        <w:keepNext/>
        <w:autoSpaceDE w:val="0"/>
        <w:autoSpaceDN w:val="0"/>
        <w:adjustRightInd w:val="0"/>
        <w:contextualSpacing/>
        <w:rPr>
          <w:rFonts w:cs="Arial"/>
          <w:lang w:val="fr-CH"/>
        </w:rPr>
      </w:pPr>
    </w:p>
    <w:p w:rsidR="00276ED8" w:rsidRPr="00081E64" w:rsidRDefault="00276ED8" w:rsidP="00276ED8">
      <w:pPr>
        <w:autoSpaceDE w:val="0"/>
        <w:autoSpaceDN w:val="0"/>
        <w:adjustRightInd w:val="0"/>
        <w:contextualSpacing/>
        <w:rPr>
          <w:rFonts w:cs="Arial"/>
          <w:lang w:val="fr-CH"/>
        </w:rPr>
      </w:pPr>
      <w:r w:rsidRPr="00081E64">
        <w:rPr>
          <w:rFonts w:cs="Arial"/>
          <w:lang w:val="fr-CH"/>
        </w:rPr>
        <w:t>La Commission européenne et l</w:t>
      </w:r>
      <w:r>
        <w:rPr>
          <w:rFonts w:cs="Arial"/>
          <w:lang w:val="fr-CH"/>
        </w:rPr>
        <w:t>’</w:t>
      </w:r>
      <w:r w:rsidRPr="00081E64">
        <w:rPr>
          <w:rFonts w:cs="Arial"/>
          <w:lang w:val="fr-CH"/>
        </w:rPr>
        <w:t>OCVV ont assisté à la réunion annuelle virtuelle d</w:t>
      </w:r>
      <w:r>
        <w:rPr>
          <w:rFonts w:cs="Arial"/>
          <w:lang w:val="fr-CH"/>
        </w:rPr>
        <w:t>’</w:t>
      </w:r>
      <w:proofErr w:type="spellStart"/>
      <w:r w:rsidRPr="00081E64">
        <w:rPr>
          <w:rFonts w:cs="Arial"/>
          <w:lang w:val="fr-CH"/>
        </w:rPr>
        <w:t>Euroseeds</w:t>
      </w:r>
      <w:proofErr w:type="spellEnd"/>
      <w:r w:rsidRPr="00081E64">
        <w:rPr>
          <w:rFonts w:cs="Arial"/>
          <w:lang w:val="fr-CH"/>
        </w:rPr>
        <w:t xml:space="preserve"> du </w:t>
      </w:r>
      <w:r w:rsidR="00466EA4">
        <w:rPr>
          <w:rFonts w:cs="Arial"/>
          <w:lang w:val="fr-CH"/>
        </w:rPr>
        <w:br/>
      </w:r>
      <w:r w:rsidRPr="00081E64">
        <w:rPr>
          <w:rFonts w:cs="Arial"/>
          <w:lang w:val="fr-CH"/>
        </w:rPr>
        <w:t>11 au 13 octobre 2020 et à la réunion annuelle virtuelle de la CIOPORA Allemagne le 24 février 2021.</w:t>
      </w:r>
      <w:r w:rsidRPr="00081E64">
        <w:rPr>
          <w:lang w:val="fr-CH"/>
        </w:rPr>
        <w:t xml:space="preserve"> </w:t>
      </w:r>
      <w:r w:rsidRPr="00081E64">
        <w:rPr>
          <w:rFonts w:cs="Arial"/>
          <w:lang w:val="fr-CH"/>
        </w:rPr>
        <w:t xml:space="preserve"> La Commission européenne et l</w:t>
      </w:r>
      <w:r>
        <w:rPr>
          <w:rFonts w:cs="Arial"/>
          <w:lang w:val="fr-CH"/>
        </w:rPr>
        <w:t>’</w:t>
      </w:r>
      <w:r w:rsidRPr="00081E64">
        <w:rPr>
          <w:rFonts w:cs="Arial"/>
          <w:lang w:val="fr-CH"/>
        </w:rPr>
        <w:t>OCVV ont également rencontré des organisations d</w:t>
      </w:r>
      <w:r>
        <w:rPr>
          <w:rFonts w:cs="Arial"/>
          <w:lang w:val="fr-CH"/>
        </w:rPr>
        <w:t>’</w:t>
      </w:r>
      <w:r w:rsidRPr="00081E64">
        <w:rPr>
          <w:rFonts w:cs="Arial"/>
          <w:lang w:val="fr-CH"/>
        </w:rPr>
        <w:t>obtenteurs dans un cadre bilatéral</w:t>
      </w:r>
      <w:r>
        <w:rPr>
          <w:rFonts w:cs="Arial"/>
          <w:lang w:val="fr-CH"/>
        </w:rPr>
        <w:t> :</w:t>
      </w:r>
      <w:r w:rsidRPr="00081E64">
        <w:rPr>
          <w:rFonts w:cs="Arial"/>
          <w:lang w:val="fr-CH"/>
        </w:rPr>
        <w:t xml:space="preserve"> par exemple, la CIOPORA le 17 mars 2021 et </w:t>
      </w:r>
      <w:proofErr w:type="spellStart"/>
      <w:r w:rsidRPr="00081E64">
        <w:rPr>
          <w:rFonts w:cs="Arial"/>
          <w:lang w:val="fr-CH"/>
        </w:rPr>
        <w:t>Euroseeds</w:t>
      </w:r>
      <w:proofErr w:type="spellEnd"/>
      <w:r w:rsidRPr="00081E64">
        <w:rPr>
          <w:rFonts w:cs="Arial"/>
          <w:lang w:val="fr-CH"/>
        </w:rPr>
        <w:t xml:space="preserve"> &amp; </w:t>
      </w:r>
      <w:proofErr w:type="spellStart"/>
      <w:r w:rsidRPr="00081E64">
        <w:rPr>
          <w:rFonts w:cs="Arial"/>
          <w:lang w:val="fr-CH"/>
        </w:rPr>
        <w:t>Plantum</w:t>
      </w:r>
      <w:proofErr w:type="spellEnd"/>
      <w:r w:rsidRPr="00081E64">
        <w:rPr>
          <w:rFonts w:cs="Arial"/>
          <w:lang w:val="fr-CH"/>
        </w:rPr>
        <w:t xml:space="preserve"> le 3 mars 2021.</w:t>
      </w:r>
      <w:r w:rsidRPr="00081E64">
        <w:rPr>
          <w:lang w:val="fr-CH"/>
        </w:rPr>
        <w:t xml:space="preserve"> </w:t>
      </w:r>
      <w:r w:rsidRPr="00081E64">
        <w:rPr>
          <w:rFonts w:cs="Arial"/>
          <w:lang w:val="fr-CH"/>
        </w:rPr>
        <w:t xml:space="preserve"> L</w:t>
      </w:r>
      <w:r>
        <w:rPr>
          <w:rFonts w:cs="Arial"/>
          <w:lang w:val="fr-CH"/>
        </w:rPr>
        <w:t>’</w:t>
      </w:r>
      <w:r w:rsidRPr="00081E64">
        <w:rPr>
          <w:rFonts w:cs="Arial"/>
          <w:lang w:val="fr-CH"/>
        </w:rPr>
        <w:t>OCVV a également organisé une réunion bilatérale annuelle officielle avec l</w:t>
      </w:r>
      <w:r>
        <w:rPr>
          <w:rFonts w:cs="Arial"/>
          <w:lang w:val="fr-CH"/>
        </w:rPr>
        <w:t>’</w:t>
      </w:r>
      <w:r w:rsidRPr="00081E64">
        <w:rPr>
          <w:rFonts w:cs="Arial"/>
          <w:lang w:val="fr-CH"/>
        </w:rPr>
        <w:t>AIPH.</w:t>
      </w:r>
    </w:p>
    <w:p w:rsidR="00276ED8" w:rsidRPr="00081E64" w:rsidRDefault="00276ED8" w:rsidP="00276ED8">
      <w:pPr>
        <w:autoSpaceDE w:val="0"/>
        <w:autoSpaceDN w:val="0"/>
        <w:adjustRightInd w:val="0"/>
        <w:contextualSpacing/>
        <w:rPr>
          <w:rFonts w:cs="Arial"/>
          <w:lang w:val="fr-CH"/>
        </w:rPr>
      </w:pPr>
    </w:p>
    <w:p w:rsidR="00276ED8" w:rsidRPr="00081E64" w:rsidRDefault="00276ED8" w:rsidP="00276ED8">
      <w:pPr>
        <w:ind w:left="720" w:hanging="720"/>
        <w:contextualSpacing/>
        <w:rPr>
          <w:rFonts w:cs="Arial"/>
          <w:u w:val="single"/>
          <w:lang w:val="fr-CH"/>
        </w:rPr>
      </w:pPr>
      <w:r w:rsidRPr="00081E64">
        <w:rPr>
          <w:rFonts w:cs="Arial"/>
          <w:u w:val="single"/>
          <w:lang w:val="fr-CH"/>
        </w:rPr>
        <w:t>5.4 Participation à des foires internationales et à des journées portes ouvertes</w:t>
      </w:r>
    </w:p>
    <w:p w:rsidR="00276ED8" w:rsidRPr="00081E64" w:rsidRDefault="00276ED8" w:rsidP="00276ED8">
      <w:pPr>
        <w:rPr>
          <w:lang w:val="fr-CH"/>
        </w:rPr>
      </w:pPr>
    </w:p>
    <w:p w:rsidR="00276ED8" w:rsidRPr="00081E64" w:rsidRDefault="00276ED8" w:rsidP="00276ED8">
      <w:pPr>
        <w:rPr>
          <w:lang w:val="fr-CH"/>
        </w:rPr>
      </w:pPr>
      <w:r w:rsidRPr="00081E64">
        <w:rPr>
          <w:lang w:val="fr-CH"/>
        </w:rPr>
        <w:t>L</w:t>
      </w:r>
      <w:r>
        <w:rPr>
          <w:lang w:val="fr-CH"/>
        </w:rPr>
        <w:t>’</w:t>
      </w:r>
      <w:r w:rsidRPr="00081E64">
        <w:rPr>
          <w:lang w:val="fr-CH"/>
        </w:rPr>
        <w:t>OCVV considère sa participation à des foires internationales et à des journées “Portes ouvertes” à des services d</w:t>
      </w:r>
      <w:r>
        <w:rPr>
          <w:lang w:val="fr-CH"/>
        </w:rPr>
        <w:t>’</w:t>
      </w:r>
      <w:r w:rsidRPr="00081E64">
        <w:rPr>
          <w:lang w:val="fr-CH"/>
        </w:rPr>
        <w:t>examen comme bon moyen de promouvoir le régime de protection communautaire des obtentions végétales, d</w:t>
      </w:r>
      <w:r>
        <w:rPr>
          <w:lang w:val="fr-CH"/>
        </w:rPr>
        <w:t>’</w:t>
      </w:r>
      <w:r w:rsidRPr="00081E64">
        <w:rPr>
          <w:lang w:val="fr-CH"/>
        </w:rPr>
        <w:t>avoir des contacts directs avec les demandeurs et de fournir des informations aux cultivateurs</w:t>
      </w:r>
      <w:r>
        <w:rPr>
          <w:lang w:val="fr-CH"/>
        </w:rPr>
        <w:t xml:space="preserve">.  </w:t>
      </w:r>
      <w:r w:rsidRPr="00081E64">
        <w:rPr>
          <w:lang w:val="fr-CH"/>
        </w:rPr>
        <w:t>Cependant, en raison des restrictions sanitaires liées à la pandémie de Covid</w:t>
      </w:r>
      <w:r>
        <w:rPr>
          <w:lang w:val="fr-CH"/>
        </w:rPr>
        <w:t>-</w:t>
      </w:r>
      <w:r w:rsidRPr="00081E64">
        <w:rPr>
          <w:lang w:val="fr-CH"/>
        </w:rPr>
        <w:t>19, les salons auxquels l</w:t>
      </w:r>
      <w:r>
        <w:rPr>
          <w:lang w:val="fr-CH"/>
        </w:rPr>
        <w:t>’</w:t>
      </w:r>
      <w:r w:rsidRPr="00081E64">
        <w:rPr>
          <w:lang w:val="fr-CH"/>
        </w:rPr>
        <w:t xml:space="preserve">Office participe habituellement (“IPM” à Essen et “Salon </w:t>
      </w:r>
      <w:proofErr w:type="spellStart"/>
      <w:r w:rsidRPr="00081E64">
        <w:rPr>
          <w:lang w:val="fr-CH"/>
        </w:rPr>
        <w:t>Sival</w:t>
      </w:r>
      <w:proofErr w:type="spellEnd"/>
      <w:r w:rsidRPr="00081E64">
        <w:rPr>
          <w:lang w:val="fr-CH"/>
        </w:rPr>
        <w:t>” à Angers) avec ses partenaires des services d</w:t>
      </w:r>
      <w:r>
        <w:rPr>
          <w:lang w:val="fr-CH"/>
        </w:rPr>
        <w:t>’</w:t>
      </w:r>
      <w:r w:rsidRPr="00081E64">
        <w:rPr>
          <w:lang w:val="fr-CH"/>
        </w:rPr>
        <w:t>examen ont été annulés.</w:t>
      </w:r>
    </w:p>
    <w:p w:rsidR="00276ED8" w:rsidRPr="00081E64" w:rsidRDefault="00276ED8" w:rsidP="00276ED8">
      <w:pPr>
        <w:rPr>
          <w:lang w:val="fr-CH"/>
        </w:rPr>
      </w:pPr>
    </w:p>
    <w:p w:rsidR="00276ED8" w:rsidRPr="00081E64" w:rsidRDefault="00276ED8" w:rsidP="00276ED8">
      <w:pPr>
        <w:contextualSpacing/>
        <w:rPr>
          <w:rFonts w:cs="Arial"/>
          <w:u w:val="single"/>
          <w:lang w:val="fr-CH"/>
        </w:rPr>
      </w:pPr>
      <w:r w:rsidRPr="00081E64">
        <w:rPr>
          <w:rFonts w:cs="Arial"/>
          <w:u w:val="single"/>
          <w:lang w:val="fr-CH"/>
        </w:rPr>
        <w:t>5.5 Améliorations informatiques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w:t>
      </w:r>
      <w:r>
        <w:rPr>
          <w:rFonts w:cs="Arial"/>
          <w:lang w:val="fr-CH"/>
        </w:rPr>
        <w:t>’</w:t>
      </w:r>
      <w:r w:rsidRPr="00081E64">
        <w:rPr>
          <w:rFonts w:cs="Arial"/>
          <w:lang w:val="fr-CH"/>
        </w:rPr>
        <w:t>outil de demande en ligne de l</w:t>
      </w:r>
      <w:r>
        <w:rPr>
          <w:rFonts w:cs="Arial"/>
          <w:lang w:val="fr-CH"/>
        </w:rPr>
        <w:t>’</w:t>
      </w:r>
      <w:r w:rsidRPr="00081E64">
        <w:rPr>
          <w:rFonts w:cs="Arial"/>
          <w:lang w:val="fr-CH"/>
        </w:rPr>
        <w:t>OCVV est également conçu pour être utilisé par les États membres de l</w:t>
      </w:r>
      <w:r>
        <w:rPr>
          <w:rFonts w:cs="Arial"/>
          <w:lang w:val="fr-CH"/>
        </w:rPr>
        <w:t>’</w:t>
      </w:r>
      <w:r w:rsidRPr="00081E64">
        <w:rPr>
          <w:rFonts w:cs="Arial"/>
          <w:lang w:val="fr-CH"/>
        </w:rPr>
        <w:t>Union européenne pour recevoir des demandes nationales et a été pleinement opérationnel pour la liste nationale des Pays</w:t>
      </w:r>
      <w:r>
        <w:rPr>
          <w:rFonts w:cs="Arial"/>
          <w:lang w:val="fr-CH"/>
        </w:rPr>
        <w:t>-</w:t>
      </w:r>
      <w:r w:rsidRPr="00081E64">
        <w:rPr>
          <w:rFonts w:cs="Arial"/>
          <w:lang w:val="fr-CH"/>
        </w:rPr>
        <w:t>Bas et les demandes de protection des obtentions végétales des Pays</w:t>
      </w:r>
      <w:r>
        <w:rPr>
          <w:rFonts w:cs="Arial"/>
          <w:lang w:val="fr-CH"/>
        </w:rPr>
        <w:t>-</w:t>
      </w:r>
      <w:r w:rsidRPr="00081E64">
        <w:rPr>
          <w:rFonts w:cs="Arial"/>
          <w:lang w:val="fr-CH"/>
        </w:rPr>
        <w:t>Bas depuis la fin de 2019.</w:t>
      </w:r>
      <w:r w:rsidRPr="00081E64">
        <w:rPr>
          <w:lang w:val="fr-CH"/>
        </w:rPr>
        <w:t xml:space="preserve"> </w:t>
      </w:r>
      <w:r w:rsidRPr="00081E64">
        <w:rPr>
          <w:rFonts w:cs="Arial"/>
          <w:lang w:val="fr-CH"/>
        </w:rPr>
        <w:t xml:space="preserve"> L</w:t>
      </w:r>
      <w:r>
        <w:rPr>
          <w:rFonts w:cs="Arial"/>
          <w:lang w:val="fr-CH"/>
        </w:rPr>
        <w:t>’</w:t>
      </w:r>
      <w:r w:rsidRPr="00081E64">
        <w:rPr>
          <w:rFonts w:cs="Arial"/>
          <w:lang w:val="fr-CH"/>
        </w:rPr>
        <w:t>intégration d</w:t>
      </w:r>
      <w:r>
        <w:rPr>
          <w:rFonts w:cs="Arial"/>
          <w:lang w:val="fr-CH"/>
        </w:rPr>
        <w:t>’</w:t>
      </w:r>
      <w:r w:rsidRPr="00081E64">
        <w:rPr>
          <w:rFonts w:cs="Arial"/>
          <w:lang w:val="fr-CH"/>
        </w:rPr>
        <w:t>autres États membres de l</w:t>
      </w:r>
      <w:r>
        <w:rPr>
          <w:rFonts w:cs="Arial"/>
          <w:lang w:val="fr-CH"/>
        </w:rPr>
        <w:t>’</w:t>
      </w:r>
      <w:r w:rsidRPr="00081E64">
        <w:rPr>
          <w:rFonts w:cs="Arial"/>
          <w:lang w:val="fr-CH"/>
        </w:rPr>
        <w:t>UE est possible et sera facilitée à mesure que les travaux d</w:t>
      </w:r>
      <w:r>
        <w:rPr>
          <w:rFonts w:cs="Arial"/>
          <w:lang w:val="fr-CH"/>
        </w:rPr>
        <w:t>’</w:t>
      </w:r>
      <w:r w:rsidRPr="00081E64">
        <w:rPr>
          <w:rFonts w:cs="Arial"/>
          <w:lang w:val="fr-CH"/>
        </w:rPr>
        <w:t>harmonisation des questionnaires techniques au sein de l</w:t>
      </w:r>
      <w:r>
        <w:rPr>
          <w:rFonts w:cs="Arial"/>
          <w:lang w:val="fr-CH"/>
        </w:rPr>
        <w:t>’</w:t>
      </w:r>
      <w:r w:rsidRPr="00081E64">
        <w:rPr>
          <w:rFonts w:cs="Arial"/>
          <w:lang w:val="fr-CH"/>
        </w:rPr>
        <w:t>UE progresseront.</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Après la possibilité pendant plusieurs années de transférer électroniquement des demandes déposées par l</w:t>
      </w:r>
      <w:r>
        <w:rPr>
          <w:rFonts w:cs="Arial"/>
          <w:lang w:val="fr-CH"/>
        </w:rPr>
        <w:t>’</w:t>
      </w:r>
      <w:r w:rsidRPr="00081E64">
        <w:rPr>
          <w:rFonts w:cs="Arial"/>
          <w:lang w:val="fr-CH"/>
        </w:rPr>
        <w:t>intermédiaire d</w:t>
      </w:r>
      <w:r>
        <w:rPr>
          <w:rFonts w:cs="Arial"/>
          <w:lang w:val="fr-CH"/>
        </w:rPr>
        <w:t>’</w:t>
      </w:r>
      <w:r w:rsidRPr="00081E64">
        <w:rPr>
          <w:rFonts w:cs="Arial"/>
          <w:lang w:val="fr-CH"/>
        </w:rPr>
        <w:t>UPOV PRISMA vers le système de demandes en ligne de l</w:t>
      </w:r>
      <w:r>
        <w:rPr>
          <w:rFonts w:cs="Arial"/>
          <w:lang w:val="fr-CH"/>
        </w:rPr>
        <w:t>’</w:t>
      </w:r>
      <w:r w:rsidRPr="00081E64">
        <w:rPr>
          <w:rFonts w:cs="Arial"/>
          <w:lang w:val="fr-CH"/>
        </w:rPr>
        <w:t>OCVV, l</w:t>
      </w:r>
      <w:r>
        <w:rPr>
          <w:rFonts w:cs="Arial"/>
          <w:lang w:val="fr-CH"/>
        </w:rPr>
        <w:t>’</w:t>
      </w:r>
      <w:r w:rsidRPr="00081E64">
        <w:rPr>
          <w:rFonts w:cs="Arial"/>
          <w:lang w:val="fr-CH"/>
        </w:rPr>
        <w:t>Office poursuit sa coopération avec UPOV PRISMA et quatre projets ont été décidés conjointement afin de remédier à plusieurs lacunes du projet initial</w:t>
      </w:r>
      <w:r>
        <w:rPr>
          <w:rFonts w:cs="Arial"/>
          <w:lang w:val="fr-CH"/>
        </w:rPr>
        <w:t> :</w:t>
      </w:r>
    </w:p>
    <w:p w:rsidR="00276ED8" w:rsidRPr="00081E64" w:rsidRDefault="00276ED8" w:rsidP="00276ED8">
      <w:pPr>
        <w:contextualSpacing/>
        <w:rPr>
          <w:rFonts w:cs="Arial"/>
          <w:lang w:val="fr-CH"/>
        </w:rPr>
      </w:pPr>
    </w:p>
    <w:p w:rsidR="00276ED8" w:rsidRPr="00081E64" w:rsidRDefault="00276ED8" w:rsidP="00276ED8">
      <w:pPr>
        <w:numPr>
          <w:ilvl w:val="0"/>
          <w:numId w:val="17"/>
        </w:numPr>
        <w:contextualSpacing/>
        <w:rPr>
          <w:rFonts w:cs="Arial"/>
          <w:lang w:val="fr-CH"/>
        </w:rPr>
      </w:pPr>
      <w:r w:rsidRPr="00081E64">
        <w:rPr>
          <w:rFonts w:cs="Arial"/>
          <w:lang w:val="fr-CH"/>
        </w:rPr>
        <w:t>un audit de l</w:t>
      </w:r>
      <w:r>
        <w:rPr>
          <w:rFonts w:cs="Arial"/>
          <w:lang w:val="fr-CH"/>
        </w:rPr>
        <w:t>’</w:t>
      </w:r>
      <w:r w:rsidRPr="00081E64">
        <w:rPr>
          <w:rFonts w:cs="Arial"/>
          <w:lang w:val="fr-CH"/>
        </w:rPr>
        <w:t>état actuel d</w:t>
      </w:r>
      <w:r>
        <w:rPr>
          <w:rFonts w:cs="Arial"/>
          <w:lang w:val="fr-CH"/>
        </w:rPr>
        <w:t>’</w:t>
      </w:r>
      <w:r w:rsidRPr="00081E64">
        <w:rPr>
          <w:rFonts w:cs="Arial"/>
          <w:lang w:val="fr-CH"/>
        </w:rPr>
        <w:t>avancement du projet</w:t>
      </w:r>
    </w:p>
    <w:p w:rsidR="00276ED8" w:rsidRPr="00081E64" w:rsidRDefault="00276ED8" w:rsidP="00276ED8">
      <w:pPr>
        <w:numPr>
          <w:ilvl w:val="0"/>
          <w:numId w:val="17"/>
        </w:numPr>
        <w:contextualSpacing/>
        <w:rPr>
          <w:rFonts w:cs="Arial"/>
          <w:lang w:val="fr-CH"/>
        </w:rPr>
      </w:pPr>
      <w:r w:rsidRPr="00081E64">
        <w:rPr>
          <w:rFonts w:cs="Arial"/>
          <w:lang w:val="fr-CH"/>
        </w:rPr>
        <w:t>l</w:t>
      </w:r>
      <w:r>
        <w:rPr>
          <w:rFonts w:cs="Arial"/>
          <w:lang w:val="fr-CH"/>
        </w:rPr>
        <w:t>’</w:t>
      </w:r>
      <w:r w:rsidRPr="00081E64">
        <w:rPr>
          <w:rFonts w:cs="Arial"/>
          <w:lang w:val="fr-CH"/>
        </w:rPr>
        <w:t>étude et la mise en œuvre de procédures pour mieux organiser et automatiser la mise en œuvre des changements de formulaires dans les deux systèmes</w:t>
      </w:r>
    </w:p>
    <w:p w:rsidR="00276ED8" w:rsidRPr="00081E64" w:rsidRDefault="00276ED8" w:rsidP="00276ED8">
      <w:pPr>
        <w:numPr>
          <w:ilvl w:val="0"/>
          <w:numId w:val="17"/>
        </w:numPr>
        <w:contextualSpacing/>
        <w:rPr>
          <w:rFonts w:cs="Arial"/>
          <w:lang w:val="fr-CH"/>
        </w:rPr>
      </w:pPr>
      <w:r w:rsidRPr="00081E64">
        <w:rPr>
          <w:rFonts w:cs="Arial"/>
          <w:lang w:val="fr-CH"/>
        </w:rPr>
        <w:t>la possibilité d</w:t>
      </w:r>
      <w:r>
        <w:rPr>
          <w:rFonts w:cs="Arial"/>
          <w:lang w:val="fr-CH"/>
        </w:rPr>
        <w:t>’</w:t>
      </w:r>
      <w:r w:rsidRPr="00081E64">
        <w:rPr>
          <w:rFonts w:cs="Arial"/>
          <w:lang w:val="fr-CH"/>
        </w:rPr>
        <w:t>un “téléchargement groupé” de demandes d</w:t>
      </w:r>
      <w:r>
        <w:rPr>
          <w:rFonts w:cs="Arial"/>
          <w:lang w:val="fr-CH"/>
        </w:rPr>
        <w:t>’</w:t>
      </w:r>
      <w:r w:rsidRPr="00081E64">
        <w:rPr>
          <w:rFonts w:cs="Arial"/>
          <w:lang w:val="fr-CH"/>
        </w:rPr>
        <w:t>UPOV PRISMA vers l</w:t>
      </w:r>
      <w:r>
        <w:rPr>
          <w:rFonts w:cs="Arial"/>
          <w:lang w:val="fr-CH"/>
        </w:rPr>
        <w:t>’</w:t>
      </w:r>
      <w:r w:rsidRPr="00081E64">
        <w:rPr>
          <w:rFonts w:cs="Arial"/>
          <w:lang w:val="fr-CH"/>
        </w:rPr>
        <w:t>OCVV (pour une liste limitée d</w:t>
      </w:r>
      <w:r>
        <w:rPr>
          <w:rFonts w:cs="Arial"/>
          <w:lang w:val="fr-CH"/>
        </w:rPr>
        <w:t>’</w:t>
      </w:r>
      <w:r w:rsidRPr="00081E64">
        <w:rPr>
          <w:rFonts w:cs="Arial"/>
          <w:lang w:val="fr-CH"/>
        </w:rPr>
        <w:t>espèces et de clients)</w:t>
      </w:r>
    </w:p>
    <w:p w:rsidR="00276ED8" w:rsidRPr="00081E64" w:rsidRDefault="00276ED8" w:rsidP="00276ED8">
      <w:pPr>
        <w:numPr>
          <w:ilvl w:val="0"/>
          <w:numId w:val="17"/>
        </w:numPr>
        <w:contextualSpacing/>
        <w:rPr>
          <w:rFonts w:cs="Arial"/>
          <w:lang w:val="fr-CH"/>
        </w:rPr>
      </w:pPr>
      <w:r w:rsidRPr="00081E64">
        <w:rPr>
          <w:rFonts w:cs="Arial"/>
          <w:lang w:val="fr-CH"/>
        </w:rPr>
        <w:lastRenderedPageBreak/>
        <w:t>le transfert bidirectionnel des données relatives aux demandes (c</w:t>
      </w:r>
      <w:r>
        <w:rPr>
          <w:rFonts w:cs="Arial"/>
          <w:lang w:val="fr-CH"/>
        </w:rPr>
        <w:t>’</w:t>
      </w:r>
      <w:r w:rsidRPr="00081E64">
        <w:rPr>
          <w:rFonts w:cs="Arial"/>
          <w:lang w:val="fr-CH"/>
        </w:rPr>
        <w:t>est</w:t>
      </w:r>
      <w:r>
        <w:rPr>
          <w:rFonts w:cs="Arial"/>
          <w:lang w:val="fr-CH"/>
        </w:rPr>
        <w:t>-</w:t>
      </w:r>
      <w:r w:rsidRPr="00081E64">
        <w:rPr>
          <w:rFonts w:cs="Arial"/>
          <w:lang w:val="fr-CH"/>
        </w:rPr>
        <w:t>à</w:t>
      </w:r>
      <w:r>
        <w:rPr>
          <w:rFonts w:cs="Arial"/>
          <w:lang w:val="fr-CH"/>
        </w:rPr>
        <w:t>-</w:t>
      </w:r>
      <w:r w:rsidRPr="00081E64">
        <w:rPr>
          <w:rFonts w:cs="Arial"/>
          <w:lang w:val="fr-CH"/>
        </w:rPr>
        <w:t>dire en permettant également l</w:t>
      </w:r>
      <w:r>
        <w:rPr>
          <w:rFonts w:cs="Arial"/>
          <w:lang w:val="fr-CH"/>
        </w:rPr>
        <w:t>’</w:t>
      </w:r>
      <w:r w:rsidRPr="00081E64">
        <w:rPr>
          <w:rFonts w:cs="Arial"/>
          <w:lang w:val="fr-CH"/>
        </w:rPr>
        <w:t>envoi des données relatives aux demandes du système de demandes en ligne de l</w:t>
      </w:r>
      <w:r>
        <w:rPr>
          <w:rFonts w:cs="Arial"/>
          <w:lang w:val="fr-CH"/>
        </w:rPr>
        <w:t>’</w:t>
      </w:r>
      <w:r w:rsidRPr="00081E64">
        <w:rPr>
          <w:rFonts w:cs="Arial"/>
          <w:lang w:val="fr-CH"/>
        </w:rPr>
        <w:t>OCVV vers UPOV PRISMA).</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Le troisième projet sera mis en œuvre en priorité avec le maïs comme espèce pilote.</w:t>
      </w:r>
    </w:p>
    <w:p w:rsidR="00276ED8" w:rsidRPr="00081E64" w:rsidRDefault="00276ED8" w:rsidP="00276ED8">
      <w:pPr>
        <w:contextualSpacing/>
        <w:rPr>
          <w:rFonts w:cs="Arial"/>
          <w:lang w:val="fr-CH"/>
        </w:rPr>
      </w:pPr>
    </w:p>
    <w:p w:rsidR="00276ED8" w:rsidRPr="00081E64" w:rsidRDefault="00276ED8" w:rsidP="00276ED8">
      <w:pPr>
        <w:rPr>
          <w:lang w:val="fr-CH"/>
        </w:rPr>
      </w:pPr>
      <w:r w:rsidRPr="00081E64">
        <w:rPr>
          <w:lang w:val="fr-CH"/>
        </w:rPr>
        <w:t>6)</w:t>
      </w:r>
      <w:r w:rsidRPr="00081E64">
        <w:rPr>
          <w:lang w:val="fr-CH"/>
        </w:rPr>
        <w:tab/>
      </w:r>
      <w:r w:rsidRPr="00081E64">
        <w:rPr>
          <w:u w:val="single"/>
          <w:lang w:val="fr-CH"/>
        </w:rPr>
        <w:t>Recherche</w:t>
      </w:r>
      <w:r>
        <w:rPr>
          <w:u w:val="single"/>
          <w:lang w:val="fr-CH"/>
        </w:rPr>
        <w:t>-</w:t>
      </w:r>
      <w:r w:rsidRPr="00081E64">
        <w:rPr>
          <w:u w:val="single"/>
          <w:lang w:val="fr-CH"/>
        </w:rPr>
        <w:t>développement</w:t>
      </w:r>
    </w:p>
    <w:p w:rsidR="00276ED8" w:rsidRPr="00081E64" w:rsidRDefault="00276ED8" w:rsidP="00276ED8">
      <w:pPr>
        <w:pStyle w:val="ListBullet"/>
        <w:numPr>
          <w:ilvl w:val="0"/>
          <w:numId w:val="0"/>
        </w:numPr>
        <w:tabs>
          <w:tab w:val="left" w:pos="720"/>
        </w:tabs>
        <w:spacing w:after="0"/>
        <w:ind w:left="283" w:hanging="283"/>
        <w:contextualSpacing/>
        <w:rPr>
          <w:rFonts w:cs="Arial"/>
          <w:u w:val="single"/>
          <w:lang w:val="fr-CH"/>
        </w:rPr>
      </w:pPr>
    </w:p>
    <w:p w:rsidR="00276ED8" w:rsidRPr="00081E64" w:rsidRDefault="00276ED8" w:rsidP="00276ED8">
      <w:pPr>
        <w:pStyle w:val="ListBullet"/>
        <w:numPr>
          <w:ilvl w:val="0"/>
          <w:numId w:val="0"/>
        </w:numPr>
        <w:tabs>
          <w:tab w:val="left" w:pos="720"/>
        </w:tabs>
        <w:spacing w:after="0"/>
        <w:ind w:left="283" w:hanging="283"/>
        <w:contextualSpacing/>
        <w:rPr>
          <w:rFonts w:cs="Arial"/>
          <w:u w:val="single"/>
          <w:lang w:val="fr-CH"/>
        </w:rPr>
      </w:pPr>
      <w:r w:rsidRPr="00081E64">
        <w:rPr>
          <w:rFonts w:cs="Arial"/>
          <w:u w:val="single"/>
          <w:lang w:val="fr-CH"/>
        </w:rPr>
        <w:t>6.1 Groupe de travail ad hoc IMODDUS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Au titre de l</w:t>
      </w:r>
      <w:r>
        <w:rPr>
          <w:rFonts w:cs="Arial"/>
          <w:lang w:val="fr-CH"/>
        </w:rPr>
        <w:t>’</w:t>
      </w:r>
      <w:r w:rsidRPr="00081E64">
        <w:rPr>
          <w:rFonts w:cs="Arial"/>
          <w:lang w:val="fr-CH"/>
        </w:rPr>
        <w:t>un des trois objectifs de la stratégie antérieure de recherche</w:t>
      </w:r>
      <w:r>
        <w:rPr>
          <w:rFonts w:cs="Arial"/>
          <w:lang w:val="fr-CH"/>
        </w:rPr>
        <w:t>-</w:t>
      </w:r>
      <w:r w:rsidRPr="00081E64">
        <w:rPr>
          <w:rFonts w:cs="Arial"/>
          <w:lang w:val="fr-CH"/>
        </w:rPr>
        <w:t>développement de l</w:t>
      </w:r>
      <w:r>
        <w:rPr>
          <w:rFonts w:cs="Arial"/>
          <w:lang w:val="fr-CH"/>
        </w:rPr>
        <w:t>’</w:t>
      </w:r>
      <w:r w:rsidRPr="00081E64">
        <w:rPr>
          <w:rFonts w:cs="Arial"/>
          <w:lang w:val="fr-CH"/>
        </w:rPr>
        <w:t>OCVV adoptée par le Conseil administratif en mars 2015, le Conseil administratif a voté pour la création d</w:t>
      </w:r>
      <w:r>
        <w:rPr>
          <w:rFonts w:cs="Arial"/>
          <w:lang w:val="fr-CH"/>
        </w:rPr>
        <w:t>’</w:t>
      </w:r>
      <w:r w:rsidRPr="00081E64">
        <w:rPr>
          <w:rFonts w:cs="Arial"/>
          <w:lang w:val="fr-CH"/>
        </w:rPr>
        <w:t>un groupe de travail ad hoc de l</w:t>
      </w:r>
      <w:r>
        <w:rPr>
          <w:rFonts w:cs="Arial"/>
          <w:lang w:val="fr-CH"/>
        </w:rPr>
        <w:t>’</w:t>
      </w:r>
      <w:r w:rsidRPr="00081E64">
        <w:rPr>
          <w:rFonts w:cs="Arial"/>
          <w:lang w:val="fr-CH"/>
        </w:rPr>
        <w:t>OCVV sur les techniques biomoléculaires</w:t>
      </w:r>
      <w:r>
        <w:rPr>
          <w:rFonts w:cs="Arial"/>
          <w:lang w:val="fr-CH"/>
        </w:rPr>
        <w:t xml:space="preserve">.  </w:t>
      </w:r>
      <w:r w:rsidRPr="00081E64">
        <w:rPr>
          <w:rFonts w:cs="Arial"/>
          <w:lang w:val="fr-CH"/>
        </w:rPr>
        <w:t>Ce groupe de travail est dénommé IMODDUS, ce qui signifie Intégration de données moléculaires aux examens DHS.</w:t>
      </w:r>
      <w:r w:rsidRPr="00081E64">
        <w:rPr>
          <w:lang w:val="fr-CH"/>
        </w:rPr>
        <w:t xml:space="preserve"> </w:t>
      </w:r>
      <w:r w:rsidRPr="00081E64">
        <w:rPr>
          <w:rFonts w:cs="Arial"/>
          <w:lang w:val="fr-CH"/>
        </w:rPr>
        <w:t xml:space="preserve"> L</w:t>
      </w:r>
      <w:r>
        <w:rPr>
          <w:rFonts w:cs="Arial"/>
          <w:lang w:val="fr-CH"/>
        </w:rPr>
        <w:t>’</w:t>
      </w:r>
      <w:r w:rsidRPr="00081E64">
        <w:rPr>
          <w:rFonts w:cs="Arial"/>
          <w:lang w:val="fr-CH"/>
        </w:rPr>
        <w:t>objectif du groupe est de travailler sur des projets dans les différents secteurs botaniques qui permettraient l</w:t>
      </w:r>
      <w:r>
        <w:rPr>
          <w:rFonts w:cs="Arial"/>
          <w:lang w:val="fr-CH"/>
        </w:rPr>
        <w:t>’</w:t>
      </w:r>
      <w:r w:rsidRPr="00081E64">
        <w:rPr>
          <w:rFonts w:cs="Arial"/>
          <w:lang w:val="fr-CH"/>
        </w:rPr>
        <w:t>application des techniques biomoléculaires dans les examens DHS, lorsque lesdites techniques peuvent contribuer à l</w:t>
      </w:r>
      <w:r>
        <w:rPr>
          <w:rFonts w:cs="Arial"/>
          <w:lang w:val="fr-CH"/>
        </w:rPr>
        <w:t>’</w:t>
      </w:r>
      <w:r w:rsidRPr="00081E64">
        <w:rPr>
          <w:rFonts w:cs="Arial"/>
          <w:lang w:val="fr-CH"/>
        </w:rPr>
        <w:t>efficacité et à la qualité.</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Le groupe est composé d</w:t>
      </w:r>
      <w:r>
        <w:rPr>
          <w:rFonts w:cs="Arial"/>
          <w:lang w:val="fr-CH"/>
        </w:rPr>
        <w:t>’</w:t>
      </w:r>
      <w:r w:rsidRPr="00081E64">
        <w:rPr>
          <w:rFonts w:cs="Arial"/>
          <w:lang w:val="fr-CH"/>
        </w:rPr>
        <w:t>experts des techniques biomoléculaire issus des services d</w:t>
      </w:r>
      <w:r>
        <w:rPr>
          <w:rFonts w:cs="Arial"/>
          <w:lang w:val="fr-CH"/>
        </w:rPr>
        <w:t>’</w:t>
      </w:r>
      <w:r w:rsidRPr="00081E64">
        <w:rPr>
          <w:rFonts w:cs="Arial"/>
          <w:lang w:val="fr-CH"/>
        </w:rPr>
        <w:t>examen et des organisations d</w:t>
      </w:r>
      <w:r>
        <w:rPr>
          <w:rFonts w:cs="Arial"/>
          <w:lang w:val="fr-CH"/>
        </w:rPr>
        <w:t>’</w:t>
      </w:r>
      <w:r w:rsidRPr="00081E64">
        <w:rPr>
          <w:rFonts w:cs="Arial"/>
          <w:lang w:val="fr-CH"/>
        </w:rPr>
        <w:t>obtenteurs concernés</w:t>
      </w:r>
      <w:r>
        <w:rPr>
          <w:rFonts w:cs="Arial"/>
          <w:lang w:val="fr-CH"/>
        </w:rPr>
        <w:t xml:space="preserve">.  </w:t>
      </w:r>
      <w:r w:rsidRPr="00081E64">
        <w:rPr>
          <w:rFonts w:cs="Arial"/>
          <w:lang w:val="fr-CH"/>
        </w:rPr>
        <w:t>Des experts de laboratoires, d</w:t>
      </w:r>
      <w:r>
        <w:rPr>
          <w:rFonts w:cs="Arial"/>
          <w:lang w:val="fr-CH"/>
        </w:rPr>
        <w:t>’</w:t>
      </w:r>
      <w:r w:rsidRPr="00081E64">
        <w:rPr>
          <w:rFonts w:cs="Arial"/>
          <w:lang w:val="fr-CH"/>
        </w:rPr>
        <w:t>universités, du secteur de l</w:t>
      </w:r>
      <w:r>
        <w:rPr>
          <w:rFonts w:cs="Arial"/>
          <w:lang w:val="fr-CH"/>
        </w:rPr>
        <w:t>’</w:t>
      </w:r>
      <w:r w:rsidRPr="00081E64">
        <w:rPr>
          <w:rFonts w:cs="Arial"/>
          <w:lang w:val="fr-CH"/>
        </w:rPr>
        <w:t>industrie, etc., peuvent également être invités par la personne qui préside le groupe.</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En février 2021, une vidéoconférence a été organisée</w:t>
      </w:r>
      <w:r>
        <w:rPr>
          <w:rFonts w:cs="Arial"/>
          <w:lang w:val="fr-CH"/>
        </w:rPr>
        <w:t xml:space="preserve">.  </w:t>
      </w:r>
      <w:r w:rsidRPr="00081E64">
        <w:rPr>
          <w:rFonts w:cs="Arial"/>
          <w:lang w:val="fr-CH"/>
        </w:rPr>
        <w:t>L</w:t>
      </w:r>
      <w:r>
        <w:rPr>
          <w:rFonts w:cs="Arial"/>
          <w:lang w:val="fr-CH"/>
        </w:rPr>
        <w:t>’</w:t>
      </w:r>
      <w:r w:rsidRPr="00081E64">
        <w:rPr>
          <w:rFonts w:cs="Arial"/>
          <w:lang w:val="fr-CH"/>
        </w:rPr>
        <w:t>ordre du jour comprenait des exposés et des discussions sur les points suivants</w:t>
      </w:r>
      <w:r>
        <w:rPr>
          <w:rFonts w:cs="Arial"/>
          <w:lang w:val="fr-CH"/>
        </w:rPr>
        <w:t> :</w:t>
      </w:r>
    </w:p>
    <w:p w:rsidR="00276ED8" w:rsidRPr="00081E64" w:rsidRDefault="00276ED8" w:rsidP="00276ED8">
      <w:pPr>
        <w:contextualSpacing/>
        <w:rPr>
          <w:rFonts w:cs="Arial"/>
          <w:lang w:val="fr-CH"/>
        </w:rPr>
      </w:pP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le projet de stratégie de recherche</w:t>
      </w:r>
      <w:r>
        <w:rPr>
          <w:rFonts w:cs="Arial"/>
          <w:lang w:val="fr-CH"/>
        </w:rPr>
        <w:t>-</w:t>
      </w:r>
      <w:r w:rsidRPr="00081E64">
        <w:rPr>
          <w:rFonts w:cs="Arial"/>
          <w:lang w:val="fr-CH"/>
        </w:rPr>
        <w:t>développement de l</w:t>
      </w:r>
      <w:r>
        <w:rPr>
          <w:rFonts w:cs="Arial"/>
          <w:lang w:val="fr-CH"/>
        </w:rPr>
        <w:t>’</w:t>
      </w:r>
      <w:r w:rsidRPr="00081E64">
        <w:rPr>
          <w:rFonts w:cs="Arial"/>
          <w:lang w:val="fr-CH"/>
        </w:rPr>
        <w:t>OCVV pour 2021</w:t>
      </w:r>
      <w:r>
        <w:rPr>
          <w:rFonts w:cs="Arial"/>
          <w:lang w:val="fr-CH"/>
        </w:rPr>
        <w:t>-</w:t>
      </w:r>
      <w:r w:rsidRPr="00081E64">
        <w:rPr>
          <w:rFonts w:cs="Arial"/>
          <w:lang w:val="fr-CH"/>
        </w:rPr>
        <w:t>2025,</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la recherche</w:t>
      </w:r>
      <w:r>
        <w:rPr>
          <w:rFonts w:cs="Arial"/>
          <w:lang w:val="fr-CH"/>
        </w:rPr>
        <w:t>-</w:t>
      </w:r>
      <w:r w:rsidRPr="00081E64">
        <w:rPr>
          <w:rFonts w:cs="Arial"/>
          <w:lang w:val="fr-CH"/>
        </w:rPr>
        <w:t>développement dans le contexte du Pacte vert</w:t>
      </w:r>
      <w:r>
        <w:rPr>
          <w:rFonts w:cs="Arial"/>
          <w:lang w:val="fr-CH"/>
        </w:rPr>
        <w:t> :</w:t>
      </w:r>
      <w:r w:rsidRPr="00081E64">
        <w:rPr>
          <w:rFonts w:cs="Arial"/>
          <w:lang w:val="fr-CH"/>
        </w:rPr>
        <w:t xml:space="preserve"> intégration des ODD dans les programmes de sélection et leur utilisation potentielle comme critères d</w:t>
      </w:r>
      <w:r>
        <w:rPr>
          <w:rFonts w:cs="Arial"/>
          <w:lang w:val="fr-CH"/>
        </w:rPr>
        <w:t>’</w:t>
      </w:r>
      <w:r w:rsidRPr="00081E64">
        <w:rPr>
          <w:rFonts w:cs="Arial"/>
          <w:lang w:val="fr-CH"/>
        </w:rPr>
        <w:t>évaluation pour les projets de recherche</w:t>
      </w:r>
      <w:r>
        <w:rPr>
          <w:rFonts w:cs="Arial"/>
          <w:lang w:val="fr-CH"/>
        </w:rPr>
        <w:t>-</w:t>
      </w:r>
      <w:r w:rsidRPr="00081E64">
        <w:rPr>
          <w:rFonts w:cs="Arial"/>
          <w:lang w:val="fr-CH"/>
        </w:rPr>
        <w:t>développement soutenus par l</w:t>
      </w:r>
      <w:r>
        <w:rPr>
          <w:rFonts w:cs="Arial"/>
          <w:lang w:val="fr-CH"/>
        </w:rPr>
        <w:t>’</w:t>
      </w:r>
      <w:r w:rsidRPr="00081E64">
        <w:rPr>
          <w:rFonts w:cs="Arial"/>
          <w:lang w:val="fr-CH"/>
        </w:rPr>
        <w:t>OCVV,</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les faits nouveaux dans le domaine moléculaire à l</w:t>
      </w:r>
      <w:r>
        <w:rPr>
          <w:rFonts w:cs="Arial"/>
          <w:lang w:val="fr-CH"/>
        </w:rPr>
        <w:t>’</w:t>
      </w:r>
      <w:r w:rsidRPr="00081E64">
        <w:rPr>
          <w:rFonts w:cs="Arial"/>
          <w:lang w:val="fr-CH"/>
        </w:rPr>
        <w:t>UPOV,</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la mise à jour du système américain de protection des obtentions végétales et l</w:t>
      </w:r>
      <w:r>
        <w:rPr>
          <w:rFonts w:cs="Arial"/>
          <w:lang w:val="fr-CH"/>
        </w:rPr>
        <w:t>’</w:t>
      </w:r>
      <w:r w:rsidRPr="00081E64">
        <w:rPr>
          <w:rFonts w:cs="Arial"/>
          <w:lang w:val="fr-CH"/>
        </w:rPr>
        <w:t>utilisation des techniques moléculaires dans les procédures décisionnelles,</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les projets de recherche</w:t>
      </w:r>
      <w:r>
        <w:rPr>
          <w:rFonts w:cs="Arial"/>
          <w:lang w:val="fr-CH"/>
        </w:rPr>
        <w:t>-</w:t>
      </w:r>
      <w:r w:rsidRPr="00081E64">
        <w:rPr>
          <w:rFonts w:cs="Arial"/>
          <w:lang w:val="fr-CH"/>
        </w:rPr>
        <w:t>développement en cours de l</w:t>
      </w:r>
      <w:r>
        <w:rPr>
          <w:rFonts w:cs="Arial"/>
          <w:lang w:val="fr-CH"/>
        </w:rPr>
        <w:t>’</w:t>
      </w:r>
      <w:r w:rsidRPr="00081E64">
        <w:rPr>
          <w:rFonts w:cs="Arial"/>
          <w:lang w:val="fr-CH"/>
        </w:rPr>
        <w:t>IMODDUS,</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les tâches moléculaires du projet européen INVITE,</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les marqueurs moléculaires pour aider à l</w:t>
      </w:r>
      <w:r>
        <w:rPr>
          <w:rFonts w:cs="Arial"/>
          <w:lang w:val="fr-CH"/>
        </w:rPr>
        <w:t>’</w:t>
      </w:r>
      <w:r w:rsidRPr="00081E64">
        <w:rPr>
          <w:rFonts w:cs="Arial"/>
          <w:lang w:val="fr-CH"/>
        </w:rPr>
        <w:t>évaluation de la distinction chez les espèces allogames</w:t>
      </w:r>
      <w:r>
        <w:rPr>
          <w:rFonts w:cs="Arial"/>
          <w:lang w:val="fr-CH"/>
        </w:rPr>
        <w:t> :</w:t>
      </w:r>
      <w:r w:rsidRPr="00081E64">
        <w:rPr>
          <w:rFonts w:cs="Arial"/>
          <w:lang w:val="fr-CH"/>
        </w:rPr>
        <w:t xml:space="preserve"> fréquences alléliques et notion de </w:t>
      </w:r>
      <w:proofErr w:type="spellStart"/>
      <w:r w:rsidRPr="00081E64">
        <w:rPr>
          <w:rFonts w:cs="Arial"/>
          <w:lang w:val="fr-CH"/>
        </w:rPr>
        <w:t>vmD</w:t>
      </w:r>
      <w:proofErr w:type="spellEnd"/>
      <w:r w:rsidRPr="00081E64">
        <w:rPr>
          <w:rFonts w:cs="Arial"/>
          <w:lang w:val="fr-CH"/>
        </w:rPr>
        <w:t xml:space="preserve"> (value </w:t>
      </w:r>
      <w:proofErr w:type="spellStart"/>
      <w:r w:rsidRPr="00081E64">
        <w:rPr>
          <w:rFonts w:cs="Arial"/>
          <w:lang w:val="fr-CH"/>
        </w:rPr>
        <w:t>molecular</w:t>
      </w:r>
      <w:proofErr w:type="spellEnd"/>
      <w:r w:rsidRPr="00081E64">
        <w:rPr>
          <w:rFonts w:cs="Arial"/>
          <w:lang w:val="fr-CH"/>
        </w:rPr>
        <w:t xml:space="preserve"> </w:t>
      </w:r>
      <w:proofErr w:type="spellStart"/>
      <w:r w:rsidRPr="00081E64">
        <w:rPr>
          <w:rFonts w:cs="Arial"/>
          <w:lang w:val="fr-CH"/>
        </w:rPr>
        <w:t>Distinctness</w:t>
      </w:r>
      <w:proofErr w:type="spellEnd"/>
      <w:r w:rsidRPr="00081E64">
        <w:rPr>
          <w:rFonts w:cs="Arial"/>
          <w:lang w:val="fr-CH"/>
        </w:rPr>
        <w:t xml:space="preserve"> ou distinction liée à la valeur moléculaire),</w:t>
      </w:r>
    </w:p>
    <w:p w:rsidR="00276ED8" w:rsidRPr="00081E64" w:rsidRDefault="00276ED8" w:rsidP="00276ED8">
      <w:pPr>
        <w:ind w:left="567" w:hanging="283"/>
        <w:contextualSpacing/>
        <w:rPr>
          <w:rFonts w:cs="Arial"/>
          <w:lang w:val="fr-CH"/>
        </w:rPr>
      </w:pPr>
      <w:r w:rsidRPr="00081E64">
        <w:rPr>
          <w:rFonts w:cs="Arial"/>
          <w:lang w:val="fr-CH"/>
        </w:rPr>
        <w:t>–</w:t>
      </w:r>
      <w:r w:rsidRPr="00081E64">
        <w:rPr>
          <w:rFonts w:cs="Arial"/>
          <w:lang w:val="fr-CH"/>
        </w:rPr>
        <w:tab/>
        <w:t>l</w:t>
      </w:r>
      <w:r>
        <w:rPr>
          <w:rFonts w:cs="Arial"/>
          <w:lang w:val="fr-CH"/>
        </w:rPr>
        <w:t>’</w:t>
      </w:r>
      <w:r w:rsidRPr="00081E64">
        <w:rPr>
          <w:rFonts w:cs="Arial"/>
          <w:lang w:val="fr-CH"/>
        </w:rPr>
        <w:t>accès aux bases de données, la confidentialité et le partage des coûts</w:t>
      </w:r>
      <w:r>
        <w:rPr>
          <w:rFonts w:cs="Arial"/>
          <w:lang w:val="fr-CH"/>
        </w:rPr>
        <w:t> :</w:t>
      </w:r>
      <w:r w:rsidRPr="00081E64">
        <w:rPr>
          <w:rFonts w:cs="Arial"/>
          <w:lang w:val="fr-CH"/>
        </w:rPr>
        <w:t xml:space="preserve"> par exemple, l</w:t>
      </w:r>
      <w:r>
        <w:rPr>
          <w:rFonts w:cs="Arial"/>
          <w:lang w:val="fr-CH"/>
        </w:rPr>
        <w:t>’</w:t>
      </w:r>
      <w:r w:rsidRPr="00081E64">
        <w:rPr>
          <w:rFonts w:cs="Arial"/>
          <w:lang w:val="fr-CH"/>
        </w:rPr>
        <w:t>accord type INVITE, l</w:t>
      </w:r>
      <w:r>
        <w:rPr>
          <w:rFonts w:cs="Arial"/>
          <w:lang w:val="fr-CH"/>
        </w:rPr>
        <w:t>’</w:t>
      </w:r>
      <w:r w:rsidRPr="00081E64">
        <w:rPr>
          <w:rFonts w:cs="Arial"/>
          <w:lang w:val="fr-CH"/>
        </w:rPr>
        <w:t>accord de partenariat de l</w:t>
      </w:r>
      <w:r>
        <w:rPr>
          <w:rFonts w:cs="Arial"/>
          <w:lang w:val="fr-CH"/>
        </w:rPr>
        <w:t>’</w:t>
      </w:r>
      <w:r w:rsidRPr="00081E64">
        <w:rPr>
          <w:rFonts w:cs="Arial"/>
          <w:lang w:val="fr-CH"/>
        </w:rPr>
        <w:t>OCVV concernant la base de données sur les pommes de terre.</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En 2021, IMODDUS a contribué à l</w:t>
      </w:r>
      <w:r>
        <w:rPr>
          <w:rFonts w:cs="Arial"/>
          <w:lang w:val="fr-CH"/>
        </w:rPr>
        <w:t>’</w:t>
      </w:r>
      <w:r w:rsidRPr="00081E64">
        <w:rPr>
          <w:rFonts w:cs="Arial"/>
          <w:lang w:val="fr-CH"/>
        </w:rPr>
        <w:t>évaluation de deux nouvelles propositions de projets de recherche–développement dont la procédure d</w:t>
      </w:r>
      <w:r>
        <w:rPr>
          <w:rFonts w:cs="Arial"/>
          <w:lang w:val="fr-CH"/>
        </w:rPr>
        <w:t>’</w:t>
      </w:r>
      <w:r w:rsidRPr="00081E64">
        <w:rPr>
          <w:rFonts w:cs="Arial"/>
          <w:lang w:val="fr-CH"/>
        </w:rPr>
        <w:t>évaluation devrait se terminer avant la fin de l</w:t>
      </w:r>
      <w:r>
        <w:rPr>
          <w:rFonts w:cs="Arial"/>
          <w:lang w:val="fr-CH"/>
        </w:rPr>
        <w:t>’</w:t>
      </w:r>
      <w:r w:rsidRPr="00081E64">
        <w:rPr>
          <w:rFonts w:cs="Arial"/>
          <w:lang w:val="fr-CH"/>
        </w:rPr>
        <w:t>année</w:t>
      </w:r>
      <w:r>
        <w:rPr>
          <w:rFonts w:cs="Arial"/>
          <w:lang w:val="fr-CH"/>
        </w:rPr>
        <w:t xml:space="preserve">.  </w:t>
      </w:r>
      <w:r w:rsidRPr="00081E64">
        <w:rPr>
          <w:rFonts w:cs="Arial"/>
          <w:lang w:val="fr-CH"/>
        </w:rPr>
        <w:t>En 2021, un projet considéré comme positif par IMODDUS en 2020 a débuté concernant le blé dur (</w:t>
      </w:r>
      <w:proofErr w:type="spellStart"/>
      <w:r w:rsidRPr="00081E64">
        <w:rPr>
          <w:rFonts w:cs="Arial"/>
          <w:lang w:val="fr-CH"/>
        </w:rPr>
        <w:t>DurdusTools</w:t>
      </w:r>
      <w:proofErr w:type="spellEnd"/>
      <w:r w:rsidRPr="00081E64">
        <w:rPr>
          <w:rFonts w:cs="Arial"/>
          <w:lang w:val="fr-CH"/>
        </w:rPr>
        <w:t>)</w:t>
      </w:r>
      <w:r>
        <w:rPr>
          <w:rFonts w:cs="Arial"/>
          <w:lang w:val="fr-CH"/>
        </w:rPr>
        <w:t> :</w:t>
      </w:r>
      <w:r w:rsidRPr="00081E64">
        <w:rPr>
          <w:rFonts w:cs="Arial"/>
          <w:lang w:val="fr-CH"/>
        </w:rPr>
        <w:t xml:space="preserve"> “Intégration des données moléculaires à l</w:t>
      </w:r>
      <w:r>
        <w:rPr>
          <w:rFonts w:cs="Arial"/>
          <w:lang w:val="fr-CH"/>
        </w:rPr>
        <w:t>’</w:t>
      </w:r>
      <w:r w:rsidRPr="00081E64">
        <w:rPr>
          <w:rFonts w:cs="Arial"/>
          <w:lang w:val="fr-CH"/>
        </w:rPr>
        <w:t>examen DHS du blé dur – élaboration d</w:t>
      </w:r>
      <w:r>
        <w:rPr>
          <w:rFonts w:cs="Arial"/>
          <w:lang w:val="fr-CH"/>
        </w:rPr>
        <w:t>’</w:t>
      </w:r>
      <w:r w:rsidRPr="00081E64">
        <w:rPr>
          <w:rFonts w:cs="Arial"/>
          <w:lang w:val="fr-CH"/>
        </w:rPr>
        <w:t>une base de données moléculaires commune accessible en ligne et d</w:t>
      </w:r>
      <w:r>
        <w:rPr>
          <w:rFonts w:cs="Arial"/>
          <w:lang w:val="fr-CH"/>
        </w:rPr>
        <w:t>’</w:t>
      </w:r>
      <w:r w:rsidRPr="00081E64">
        <w:rPr>
          <w:rFonts w:cs="Arial"/>
          <w:lang w:val="fr-CH"/>
        </w:rPr>
        <w:t>un outil de calcul de la distance génétique”.</w:t>
      </w:r>
      <w:r w:rsidRPr="00081E64">
        <w:rPr>
          <w:lang w:val="fr-CH"/>
        </w:rPr>
        <w:t xml:space="preserve"> </w:t>
      </w:r>
      <w:r w:rsidRPr="00081E64">
        <w:rPr>
          <w:rFonts w:cs="Arial"/>
          <w:lang w:val="fr-CH"/>
        </w:rPr>
        <w:t xml:space="preserve"> Il fait suite au projet </w:t>
      </w:r>
      <w:proofErr w:type="spellStart"/>
      <w:r w:rsidRPr="00081E64">
        <w:rPr>
          <w:rFonts w:cs="Arial"/>
          <w:lang w:val="fr-CH"/>
        </w:rPr>
        <w:t>Durdus</w:t>
      </w:r>
      <w:proofErr w:type="spellEnd"/>
      <w:r w:rsidRPr="00081E64">
        <w:rPr>
          <w:rFonts w:cs="Arial"/>
          <w:lang w:val="fr-CH"/>
        </w:rPr>
        <w:t xml:space="preserve"> qui a permis de mettre au point un protocole de génotypage utilisant une puce commerciale et de définir un seuil génétique préliminaire pour la gestion de la collection de référence.</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Pendant ce temps, les progrès se sont poursuivis concernant quatre autres projets précédemment validés par IMODDUS</w:t>
      </w:r>
      <w:r>
        <w:rPr>
          <w:rFonts w:cs="Arial"/>
          <w:lang w:val="fr-CH"/>
        </w:rPr>
        <w:t> :</w:t>
      </w:r>
    </w:p>
    <w:p w:rsidR="00276ED8" w:rsidRPr="00081E64" w:rsidRDefault="00276ED8" w:rsidP="00276ED8">
      <w:pPr>
        <w:contextualSpacing/>
        <w:rPr>
          <w:rFonts w:cs="Arial"/>
          <w:i/>
          <w:lang w:val="fr-CH"/>
        </w:rPr>
      </w:pPr>
    </w:p>
    <w:p w:rsidR="00276ED8" w:rsidRPr="00081E64" w:rsidRDefault="00276ED8" w:rsidP="00276ED8">
      <w:pPr>
        <w:contextualSpacing/>
        <w:rPr>
          <w:rFonts w:cs="Arial"/>
          <w:i/>
          <w:lang w:val="fr-CH"/>
        </w:rPr>
      </w:pPr>
      <w:r w:rsidRPr="00081E64">
        <w:rPr>
          <w:rFonts w:cs="Arial"/>
          <w:i/>
          <w:lang w:val="fr-CH"/>
        </w:rPr>
        <w:t>Chanvre</w:t>
      </w:r>
    </w:p>
    <w:p w:rsidR="00276ED8" w:rsidRPr="00081E64" w:rsidRDefault="00276ED8" w:rsidP="00276ED8">
      <w:pPr>
        <w:contextualSpacing/>
        <w:rPr>
          <w:rFonts w:cs="Arial"/>
          <w:lang w:val="fr-CH"/>
        </w:rPr>
      </w:pPr>
      <w:r w:rsidRPr="00081E64">
        <w:rPr>
          <w:rFonts w:cs="Arial"/>
          <w:lang w:val="fr-CH"/>
        </w:rPr>
        <w:t>“Élaboration d</w:t>
      </w:r>
      <w:r>
        <w:rPr>
          <w:rFonts w:cs="Arial"/>
          <w:lang w:val="fr-CH"/>
        </w:rPr>
        <w:t>’</w:t>
      </w:r>
      <w:r w:rsidRPr="00081E64">
        <w:rPr>
          <w:rFonts w:cs="Arial"/>
          <w:lang w:val="fr-CH"/>
        </w:rPr>
        <w:t>un ensemble de marqueurs SNP pour le Cannabis pour appuyer l</w:t>
      </w:r>
      <w:r>
        <w:rPr>
          <w:rFonts w:cs="Arial"/>
          <w:lang w:val="fr-CH"/>
        </w:rPr>
        <w:t>’</w:t>
      </w:r>
      <w:r w:rsidRPr="00081E64">
        <w:rPr>
          <w:rFonts w:cs="Arial"/>
          <w:lang w:val="fr-CH"/>
        </w:rPr>
        <w:t>examen DHS”.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Les autres projets de R</w:t>
      </w:r>
      <w:r>
        <w:rPr>
          <w:rFonts w:cs="Arial"/>
          <w:lang w:val="fr-CH"/>
        </w:rPr>
        <w:t>-</w:t>
      </w:r>
      <w:r w:rsidRPr="00081E64">
        <w:rPr>
          <w:rFonts w:cs="Arial"/>
          <w:lang w:val="fr-CH"/>
        </w:rPr>
        <w:t>D ayant précédemment obtenu une évaluation positive par l</w:t>
      </w:r>
      <w:r>
        <w:rPr>
          <w:rFonts w:cs="Arial"/>
          <w:lang w:val="fr-CH"/>
        </w:rPr>
        <w:t>’</w:t>
      </w:r>
      <w:r w:rsidRPr="00081E64">
        <w:rPr>
          <w:rFonts w:cs="Arial"/>
          <w:lang w:val="fr-CH"/>
        </w:rPr>
        <w:t>IMODDUS et ayant bénéficié d</w:t>
      </w:r>
      <w:r>
        <w:rPr>
          <w:rFonts w:cs="Arial"/>
          <w:lang w:val="fr-CH"/>
        </w:rPr>
        <w:t>’</w:t>
      </w:r>
      <w:r w:rsidRPr="00081E64">
        <w:rPr>
          <w:rFonts w:cs="Arial"/>
          <w:lang w:val="fr-CH"/>
        </w:rPr>
        <w:t>un cofinancement ont progressé régulièrement au cours de la période considérée</w:t>
      </w:r>
      <w:r>
        <w:rPr>
          <w:rFonts w:cs="Arial"/>
          <w:lang w:val="fr-CH"/>
        </w:rPr>
        <w:t> :</w:t>
      </w:r>
    </w:p>
    <w:p w:rsidR="00276ED8" w:rsidRPr="00081E64" w:rsidRDefault="00276ED8" w:rsidP="00276ED8">
      <w:pPr>
        <w:contextualSpacing/>
        <w:rPr>
          <w:rFonts w:cs="Arial"/>
          <w:i/>
          <w:lang w:val="fr-CH"/>
        </w:rPr>
      </w:pPr>
    </w:p>
    <w:p w:rsidR="00276ED8" w:rsidRPr="00081E64" w:rsidRDefault="00276ED8" w:rsidP="00276ED8">
      <w:pPr>
        <w:contextualSpacing/>
        <w:rPr>
          <w:rFonts w:cs="Arial"/>
          <w:i/>
          <w:lang w:val="fr-CH"/>
        </w:rPr>
      </w:pPr>
      <w:r w:rsidRPr="00081E64">
        <w:rPr>
          <w:rFonts w:cs="Arial"/>
          <w:i/>
          <w:lang w:val="fr-CH"/>
        </w:rPr>
        <w:t>Tomate</w:t>
      </w:r>
    </w:p>
    <w:p w:rsidR="00276ED8" w:rsidRPr="00081E64" w:rsidRDefault="00276ED8" w:rsidP="00276ED8">
      <w:pPr>
        <w:contextualSpacing/>
        <w:rPr>
          <w:rFonts w:cs="Arial"/>
          <w:lang w:val="fr-CH"/>
        </w:rPr>
      </w:pPr>
      <w:r w:rsidRPr="00081E64">
        <w:rPr>
          <w:rFonts w:cs="Arial"/>
          <w:lang w:val="fr-CH"/>
        </w:rPr>
        <w:t>“Validation internationale d</w:t>
      </w:r>
      <w:r>
        <w:rPr>
          <w:rFonts w:cs="Arial"/>
          <w:lang w:val="fr-CH"/>
        </w:rPr>
        <w:t>’</w:t>
      </w:r>
      <w:r w:rsidRPr="00081E64">
        <w:rPr>
          <w:rFonts w:cs="Arial"/>
          <w:lang w:val="fr-CH"/>
        </w:rPr>
        <w:t>un ensemble de marqueurs SNP permettant de déterminer les écarts génétiques pour la gestion de la collection de référence pour la tomate”</w:t>
      </w:r>
    </w:p>
    <w:p w:rsidR="00276ED8" w:rsidRPr="00081E64" w:rsidRDefault="00276ED8" w:rsidP="00276ED8">
      <w:pPr>
        <w:contextualSpacing/>
        <w:rPr>
          <w:rFonts w:cs="Arial"/>
          <w:lang w:val="fr-CH"/>
        </w:rPr>
      </w:pPr>
    </w:p>
    <w:p w:rsidR="00276ED8" w:rsidRPr="00081E64" w:rsidRDefault="00276ED8" w:rsidP="00276ED8">
      <w:pPr>
        <w:contextualSpacing/>
        <w:rPr>
          <w:rFonts w:cs="Arial"/>
          <w:bCs/>
          <w:i/>
          <w:lang w:val="fr-CH"/>
        </w:rPr>
      </w:pPr>
      <w:r w:rsidRPr="00081E64">
        <w:rPr>
          <w:rFonts w:cs="Arial"/>
          <w:bCs/>
          <w:i/>
          <w:lang w:val="fr-CH"/>
        </w:rPr>
        <w:t>Colza</w:t>
      </w:r>
    </w:p>
    <w:p w:rsidR="00276ED8" w:rsidRPr="00081E64" w:rsidRDefault="00276ED8" w:rsidP="00276ED8">
      <w:pPr>
        <w:contextualSpacing/>
        <w:rPr>
          <w:rFonts w:cs="Arial"/>
          <w:lang w:val="fr-CH"/>
        </w:rPr>
      </w:pPr>
      <w:r w:rsidRPr="00081E64">
        <w:rPr>
          <w:rFonts w:cs="Arial"/>
          <w:lang w:val="fr-CH"/>
        </w:rPr>
        <w:t>“Élaboration d</w:t>
      </w:r>
      <w:r>
        <w:rPr>
          <w:rFonts w:cs="Arial"/>
          <w:lang w:val="fr-CH"/>
        </w:rPr>
        <w:t>’</w:t>
      </w:r>
      <w:r w:rsidRPr="00081E64">
        <w:rPr>
          <w:rFonts w:cs="Arial"/>
          <w:lang w:val="fr-CH"/>
        </w:rPr>
        <w:t>une stratégie relative à l</w:t>
      </w:r>
      <w:r>
        <w:rPr>
          <w:rFonts w:cs="Arial"/>
          <w:lang w:val="fr-CH"/>
        </w:rPr>
        <w:t>’</w:t>
      </w:r>
      <w:r w:rsidRPr="00081E64">
        <w:rPr>
          <w:rFonts w:cs="Arial"/>
          <w:lang w:val="fr-CH"/>
        </w:rPr>
        <w:t>application de marqueurs moléculaires de type SNP dans le cadre de l</w:t>
      </w:r>
      <w:r>
        <w:rPr>
          <w:rFonts w:cs="Arial"/>
          <w:lang w:val="fr-CH"/>
        </w:rPr>
        <w:t>’</w:t>
      </w:r>
      <w:r w:rsidRPr="00081E64">
        <w:rPr>
          <w:rFonts w:cs="Arial"/>
          <w:lang w:val="fr-CH"/>
        </w:rPr>
        <w:t>examen DHS du colza oléagineux d</w:t>
      </w:r>
      <w:r>
        <w:rPr>
          <w:rFonts w:cs="Arial"/>
          <w:lang w:val="fr-CH"/>
        </w:rPr>
        <w:t>’</w:t>
      </w:r>
      <w:r w:rsidRPr="00081E64">
        <w:rPr>
          <w:rFonts w:cs="Arial"/>
          <w:lang w:val="fr-CH"/>
        </w:rPr>
        <w:t>hiver”</w:t>
      </w:r>
    </w:p>
    <w:p w:rsidR="00276ED8" w:rsidRPr="00081E64" w:rsidRDefault="00276ED8" w:rsidP="00276ED8">
      <w:pPr>
        <w:contextualSpacing/>
        <w:rPr>
          <w:rFonts w:cs="Arial"/>
          <w:lang w:val="fr-CH"/>
        </w:rPr>
      </w:pPr>
    </w:p>
    <w:p w:rsidR="00276ED8" w:rsidRPr="00081E64" w:rsidRDefault="00276ED8" w:rsidP="00276ED8">
      <w:pPr>
        <w:contextualSpacing/>
        <w:rPr>
          <w:rFonts w:cs="Arial"/>
          <w:i/>
          <w:lang w:val="fr-CH"/>
        </w:rPr>
      </w:pPr>
      <w:r w:rsidRPr="00081E64">
        <w:rPr>
          <w:rFonts w:cs="Arial"/>
          <w:i/>
          <w:lang w:val="fr-CH"/>
        </w:rPr>
        <w:lastRenderedPageBreak/>
        <w:t>Pommier</w:t>
      </w:r>
    </w:p>
    <w:p w:rsidR="00276ED8" w:rsidRPr="00081E64" w:rsidRDefault="00276ED8" w:rsidP="00276ED8">
      <w:pPr>
        <w:contextualSpacing/>
        <w:rPr>
          <w:rFonts w:cs="Arial"/>
          <w:lang w:val="fr-CH"/>
        </w:rPr>
      </w:pPr>
      <w:r w:rsidRPr="00081E64">
        <w:rPr>
          <w:rFonts w:cs="Arial"/>
          <w:lang w:val="fr-CH"/>
        </w:rPr>
        <w:t xml:space="preserve">“Élaboration de marqueurs moléculaires permettant de distinguer les pommiers mutants (cultivars mutants)” (par association de données de séquençage, de </w:t>
      </w:r>
      <w:proofErr w:type="spellStart"/>
      <w:r w:rsidRPr="00081E64">
        <w:rPr>
          <w:rFonts w:cs="Arial"/>
          <w:lang w:val="fr-CH"/>
        </w:rPr>
        <w:t>transcriptomique</w:t>
      </w:r>
      <w:proofErr w:type="spellEnd"/>
      <w:r w:rsidRPr="00081E64">
        <w:rPr>
          <w:rFonts w:cs="Arial"/>
          <w:lang w:val="fr-CH"/>
        </w:rPr>
        <w:t xml:space="preserve"> et d</w:t>
      </w:r>
      <w:r>
        <w:rPr>
          <w:rFonts w:cs="Arial"/>
          <w:lang w:val="fr-CH"/>
        </w:rPr>
        <w:t>’</w:t>
      </w:r>
      <w:r w:rsidRPr="00081E64">
        <w:rPr>
          <w:rFonts w:cs="Arial"/>
          <w:lang w:val="fr-CH"/>
        </w:rPr>
        <w:t>épigénétique)</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u w:val="single"/>
          <w:lang w:val="fr-CH"/>
        </w:rPr>
        <w:t>6.2 INVITE</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INVITE signifie “innovation dans les examens de variétés végétales en Europe pour encourager l</w:t>
      </w:r>
      <w:r>
        <w:rPr>
          <w:rFonts w:cs="Arial"/>
          <w:lang w:val="fr-CH"/>
        </w:rPr>
        <w:t>’</w:t>
      </w:r>
      <w:r w:rsidRPr="00081E64">
        <w:rPr>
          <w:rFonts w:cs="Arial"/>
          <w:lang w:val="fr-CH"/>
        </w:rPr>
        <w:t>introduction de nouvelles variétés mieux adaptées à des conditions biotiques et abiotiques variables et à des pratiques de gestion des plantes plus durables”.</w:t>
      </w:r>
      <w:r w:rsidRPr="00081E64">
        <w:rPr>
          <w:lang w:val="fr-CH"/>
        </w:rPr>
        <w:t xml:space="preserve"> </w:t>
      </w:r>
      <w:r w:rsidRPr="00081E64">
        <w:rPr>
          <w:rFonts w:cs="Arial"/>
          <w:lang w:val="fr-CH"/>
        </w:rPr>
        <w:t xml:space="preserve"> Ce projet vise à améliorer l</w:t>
      </w:r>
      <w:r>
        <w:rPr>
          <w:rFonts w:cs="Arial"/>
          <w:lang w:val="fr-CH"/>
        </w:rPr>
        <w:t>’</w:t>
      </w:r>
      <w:r w:rsidRPr="00081E64">
        <w:rPr>
          <w:rFonts w:cs="Arial"/>
          <w:lang w:val="fr-CH"/>
        </w:rPr>
        <w:t>efficacité des examens des variétés et la disponibilité des informations dont disposent les parties prenantes concernant les performances des variétés dans diverses conditions de production et le stress biotique et abiotique pour 10 plantes</w:t>
      </w:r>
      <w:r>
        <w:rPr>
          <w:rFonts w:cs="Arial"/>
          <w:lang w:val="fr-CH"/>
        </w:rPr>
        <w:t xml:space="preserve">.  </w:t>
      </w:r>
      <w:r w:rsidRPr="00081E64">
        <w:rPr>
          <w:rFonts w:cs="Arial"/>
          <w:lang w:val="fr-CH"/>
        </w:rPr>
        <w:t>Il traite les questions de l</w:t>
      </w:r>
      <w:r>
        <w:rPr>
          <w:rFonts w:cs="Arial"/>
          <w:lang w:val="fr-CH"/>
        </w:rPr>
        <w:t>’</w:t>
      </w:r>
      <w:r w:rsidRPr="00081E64">
        <w:rPr>
          <w:rFonts w:cs="Arial"/>
          <w:lang w:val="fr-CH"/>
        </w:rPr>
        <w:t>examen DHS et de l</w:t>
      </w:r>
      <w:r>
        <w:rPr>
          <w:rFonts w:cs="Arial"/>
          <w:lang w:val="fr-CH"/>
        </w:rPr>
        <w:t>’</w:t>
      </w:r>
      <w:r w:rsidRPr="00081E64">
        <w:rPr>
          <w:rFonts w:cs="Arial"/>
          <w:lang w:val="fr-CH"/>
        </w:rPr>
        <w:t>examen des performances de manière équilibrée et vise à maximiser les synergies entre ceux</w:t>
      </w:r>
      <w:r>
        <w:rPr>
          <w:rFonts w:cs="Arial"/>
          <w:lang w:val="fr-CH"/>
        </w:rPr>
        <w:t>-</w:t>
      </w:r>
      <w:r w:rsidRPr="00081E64">
        <w:rPr>
          <w:rFonts w:cs="Arial"/>
          <w:lang w:val="fr-CH"/>
        </w:rPr>
        <w:t>ci par l</w:t>
      </w:r>
      <w:r>
        <w:rPr>
          <w:rFonts w:cs="Arial"/>
          <w:lang w:val="fr-CH"/>
        </w:rPr>
        <w:t>’</w:t>
      </w:r>
      <w:r w:rsidRPr="00081E64">
        <w:rPr>
          <w:rFonts w:cs="Arial"/>
          <w:lang w:val="fr-CH"/>
        </w:rPr>
        <w:t>intermédiaire d</w:t>
      </w:r>
      <w:r>
        <w:rPr>
          <w:rFonts w:cs="Arial"/>
          <w:lang w:val="fr-CH"/>
        </w:rPr>
        <w:t>’</w:t>
      </w:r>
      <w:r w:rsidRPr="00081E64">
        <w:rPr>
          <w:rFonts w:cs="Arial"/>
          <w:lang w:val="fr-CH"/>
        </w:rPr>
        <w:t>activités connexes fondées sur l</w:t>
      </w:r>
      <w:r>
        <w:rPr>
          <w:rFonts w:cs="Arial"/>
          <w:lang w:val="fr-CH"/>
        </w:rPr>
        <w:t>’</w:t>
      </w:r>
      <w:r w:rsidRPr="00081E64">
        <w:rPr>
          <w:rFonts w:cs="Arial"/>
          <w:lang w:val="fr-CH"/>
        </w:rPr>
        <w:t>établissement de phénotypes, de génotypes et de modèles et la gestion de bases de données.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Outre sa participation aux tâches du projet, l</w:t>
      </w:r>
      <w:r>
        <w:rPr>
          <w:rFonts w:cs="Arial"/>
          <w:lang w:val="fr-CH"/>
        </w:rPr>
        <w:t>’</w:t>
      </w:r>
      <w:r w:rsidRPr="00081E64">
        <w:rPr>
          <w:rFonts w:cs="Arial"/>
          <w:lang w:val="fr-CH"/>
        </w:rPr>
        <w:t>OCVV est chargé de gérer toutes les questions concernant l</w:t>
      </w:r>
      <w:r>
        <w:rPr>
          <w:rFonts w:cs="Arial"/>
          <w:lang w:val="fr-CH"/>
        </w:rPr>
        <w:t>’</w:t>
      </w:r>
      <w:r w:rsidRPr="00081E64">
        <w:rPr>
          <w:rFonts w:cs="Arial"/>
          <w:lang w:val="fr-CH"/>
        </w:rPr>
        <w:t>accès aux données historiques et au matériel de référence détenu par les services d</w:t>
      </w:r>
      <w:r>
        <w:rPr>
          <w:rFonts w:cs="Arial"/>
          <w:lang w:val="fr-CH"/>
        </w:rPr>
        <w:t>’</w:t>
      </w:r>
      <w:r w:rsidRPr="00081E64">
        <w:rPr>
          <w:rFonts w:cs="Arial"/>
          <w:lang w:val="fr-CH"/>
        </w:rPr>
        <w:t>examen</w:t>
      </w:r>
      <w:r>
        <w:rPr>
          <w:rFonts w:cs="Arial"/>
          <w:lang w:val="fr-CH"/>
        </w:rPr>
        <w:t xml:space="preserve">.  </w:t>
      </w:r>
      <w:r w:rsidRPr="00081E64">
        <w:rPr>
          <w:rFonts w:cs="Arial"/>
          <w:lang w:val="fr-CH"/>
        </w:rPr>
        <w:t xml:space="preserve">En collaboration avec </w:t>
      </w:r>
      <w:proofErr w:type="spellStart"/>
      <w:r w:rsidRPr="00081E64">
        <w:rPr>
          <w:rFonts w:cs="Arial"/>
          <w:lang w:val="fr-CH"/>
        </w:rPr>
        <w:t>Euroseeds</w:t>
      </w:r>
      <w:proofErr w:type="spellEnd"/>
      <w:r w:rsidRPr="00081E64">
        <w:rPr>
          <w:rFonts w:cs="Arial"/>
          <w:lang w:val="fr-CH"/>
        </w:rPr>
        <w:t>, les responsables des lots de travail et les services d</w:t>
      </w:r>
      <w:r>
        <w:rPr>
          <w:rFonts w:cs="Arial"/>
          <w:lang w:val="fr-CH"/>
        </w:rPr>
        <w:t>’</w:t>
      </w:r>
      <w:r w:rsidRPr="00081E64">
        <w:rPr>
          <w:rFonts w:cs="Arial"/>
          <w:lang w:val="fr-CH"/>
        </w:rPr>
        <w:t>examen participants, l</w:t>
      </w:r>
      <w:r>
        <w:rPr>
          <w:rFonts w:cs="Arial"/>
          <w:lang w:val="fr-CH"/>
        </w:rPr>
        <w:t>’</w:t>
      </w:r>
      <w:r w:rsidRPr="00081E64">
        <w:rPr>
          <w:rFonts w:cs="Arial"/>
          <w:lang w:val="fr-CH"/>
        </w:rPr>
        <w:t>OCVV a conçu un accord pour encadrer l</w:t>
      </w:r>
      <w:r>
        <w:rPr>
          <w:rFonts w:cs="Arial"/>
          <w:lang w:val="fr-CH"/>
        </w:rPr>
        <w:t>’</w:t>
      </w:r>
      <w:r w:rsidRPr="00081E64">
        <w:rPr>
          <w:rFonts w:cs="Arial"/>
          <w:lang w:val="fr-CH"/>
        </w:rPr>
        <w:t>accès des partenaires du consortium INVITE à ces données et au matériel</w:t>
      </w:r>
      <w:r>
        <w:rPr>
          <w:rFonts w:cs="Arial"/>
          <w:lang w:val="fr-CH"/>
        </w:rPr>
        <w:t xml:space="preserve">.  </w:t>
      </w:r>
      <w:r w:rsidRPr="00081E64">
        <w:rPr>
          <w:rFonts w:cs="Arial"/>
          <w:lang w:val="fr-CH"/>
        </w:rPr>
        <w:t>En 2021, sur la base des consentements individuels obtenus des obtenteurs par les services d</w:t>
      </w:r>
      <w:r>
        <w:rPr>
          <w:rFonts w:cs="Arial"/>
          <w:lang w:val="fr-CH"/>
        </w:rPr>
        <w:t>’</w:t>
      </w:r>
      <w:r w:rsidRPr="00081E64">
        <w:rPr>
          <w:rFonts w:cs="Arial"/>
          <w:lang w:val="fr-CH"/>
        </w:rPr>
        <w:t>examen participants, l</w:t>
      </w:r>
      <w:r>
        <w:rPr>
          <w:rFonts w:cs="Arial"/>
          <w:lang w:val="fr-CH"/>
        </w:rPr>
        <w:t>’</w:t>
      </w:r>
      <w:r w:rsidRPr="00081E64">
        <w:rPr>
          <w:rFonts w:cs="Arial"/>
          <w:lang w:val="fr-CH"/>
        </w:rPr>
        <w:t>OCVV a approuvé la définition des clés d</w:t>
      </w:r>
      <w:r>
        <w:rPr>
          <w:rFonts w:cs="Arial"/>
          <w:lang w:val="fr-CH"/>
        </w:rPr>
        <w:t>’</w:t>
      </w:r>
      <w:r w:rsidRPr="00081E64">
        <w:rPr>
          <w:rFonts w:cs="Arial"/>
          <w:lang w:val="fr-CH"/>
        </w:rPr>
        <w:t>encodage pour les variétés autorisées (~6800) et la coordination de l</w:t>
      </w:r>
      <w:r>
        <w:rPr>
          <w:rFonts w:cs="Arial"/>
          <w:lang w:val="fr-CH"/>
        </w:rPr>
        <w:t>’</w:t>
      </w:r>
      <w:r w:rsidRPr="00081E64">
        <w:rPr>
          <w:rFonts w:cs="Arial"/>
          <w:lang w:val="fr-CH"/>
        </w:rPr>
        <w:t>extraction des données.</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La première étude du projet par des experts externes mandatés par la Commission a eu lieu en juin 2021.</w:t>
      </w:r>
      <w:r w:rsidRPr="00081E64">
        <w:rPr>
          <w:lang w:val="fr-CH"/>
        </w:rPr>
        <w:t xml:space="preserve"> </w:t>
      </w:r>
      <w:r w:rsidRPr="00081E64">
        <w:rPr>
          <w:rFonts w:cs="Arial"/>
          <w:lang w:val="fr-CH"/>
        </w:rPr>
        <w:t xml:space="preserve"> Les progrès décrits dans le rapport technique périodique (couvrant les 18 premiers mois du projet, du</w:t>
      </w:r>
      <w:r>
        <w:rPr>
          <w:rFonts w:cs="Arial"/>
          <w:lang w:val="fr-CH"/>
        </w:rPr>
        <w:t xml:space="preserve"> 1</w:t>
      </w:r>
      <w:r w:rsidRPr="0046017D">
        <w:rPr>
          <w:rFonts w:cs="Arial"/>
          <w:vertAlign w:val="superscript"/>
          <w:lang w:val="fr-CH"/>
        </w:rPr>
        <w:t>er</w:t>
      </w:r>
      <w:r>
        <w:rPr>
          <w:rFonts w:cs="Arial"/>
          <w:lang w:val="fr-CH"/>
        </w:rPr>
        <w:t> </w:t>
      </w:r>
      <w:r w:rsidRPr="00081E64">
        <w:rPr>
          <w:rFonts w:cs="Arial"/>
          <w:lang w:val="fr-CH"/>
        </w:rPr>
        <w:t>juillet 2019 (M1) au 31 décembre 2020 (M18)) ont été jugés très positifs par les évaluateurs</w:t>
      </w:r>
      <w:r>
        <w:rPr>
          <w:rFonts w:cs="Arial"/>
          <w:lang w:val="fr-CH"/>
        </w:rPr>
        <w:t xml:space="preserve">.  </w:t>
      </w:r>
      <w:r w:rsidRPr="00081E64">
        <w:rPr>
          <w:rFonts w:cs="Arial"/>
          <w:lang w:val="fr-CH"/>
        </w:rPr>
        <w:t>Malgré le retard dû à la pandémie de Covid</w:t>
      </w:r>
      <w:r>
        <w:rPr>
          <w:rFonts w:cs="Arial"/>
          <w:lang w:val="fr-CH"/>
        </w:rPr>
        <w:t>-</w:t>
      </w:r>
      <w:r w:rsidRPr="00081E64">
        <w:rPr>
          <w:rFonts w:cs="Arial"/>
          <w:lang w:val="fr-CH"/>
        </w:rPr>
        <w:t>19 et aux négociations avec les obtenteurs pour l</w:t>
      </w:r>
      <w:r>
        <w:rPr>
          <w:rFonts w:cs="Arial"/>
          <w:lang w:val="fr-CH"/>
        </w:rPr>
        <w:t>’</w:t>
      </w:r>
      <w:r w:rsidRPr="00081E64">
        <w:rPr>
          <w:rFonts w:cs="Arial"/>
          <w:lang w:val="fr-CH"/>
        </w:rPr>
        <w:t>accès aux données historiques et au matériel de référence, INVITE a produit 17 résultats sur les 19 prévus au cours de cette période et a atteint 23 des 32 jalons prévus</w:t>
      </w:r>
      <w:r>
        <w:rPr>
          <w:rFonts w:cs="Arial"/>
          <w:lang w:val="fr-CH"/>
        </w:rPr>
        <w:t xml:space="preserve">.  </w:t>
      </w:r>
      <w:r w:rsidRPr="00081E64">
        <w:rPr>
          <w:rFonts w:cs="Arial"/>
          <w:lang w:val="fr-CH"/>
        </w:rPr>
        <w:t>Une prolongation de six mois de la fin du projet est proposée par le coordonnateur pour achever toutes les tâches prévues</w:t>
      </w:r>
      <w:r>
        <w:rPr>
          <w:rFonts w:cs="Arial"/>
          <w:lang w:val="fr-CH"/>
        </w:rPr>
        <w:t xml:space="preserve">.  </w:t>
      </w:r>
      <w:r w:rsidRPr="00081E64">
        <w:rPr>
          <w:rFonts w:cs="Arial"/>
          <w:lang w:val="fr-CH"/>
        </w:rPr>
        <w:t>La collaboration avec INNOVAR (le deuxième consortium lauréat de l</w:t>
      </w:r>
      <w:r>
        <w:rPr>
          <w:rFonts w:cs="Arial"/>
          <w:lang w:val="fr-CH"/>
        </w:rPr>
        <w:t>’</w:t>
      </w:r>
      <w:r w:rsidRPr="00081E64">
        <w:rPr>
          <w:rFonts w:cs="Arial"/>
          <w:lang w:val="fr-CH"/>
        </w:rPr>
        <w:t>appel SFS</w:t>
      </w:r>
      <w:r>
        <w:rPr>
          <w:rFonts w:cs="Arial"/>
          <w:lang w:val="fr-CH"/>
        </w:rPr>
        <w:t>-</w:t>
      </w:r>
      <w:r w:rsidRPr="00081E64">
        <w:rPr>
          <w:rFonts w:cs="Arial"/>
          <w:lang w:val="fr-CH"/>
        </w:rPr>
        <w:t>29</w:t>
      </w:r>
      <w:r>
        <w:rPr>
          <w:rFonts w:cs="Arial"/>
          <w:lang w:val="fr-CH"/>
        </w:rPr>
        <w:t>-</w:t>
      </w:r>
      <w:r w:rsidRPr="00081E64">
        <w:rPr>
          <w:rFonts w:cs="Arial"/>
          <w:lang w:val="fr-CH"/>
        </w:rPr>
        <w:t>2018, qui se concentre sur le développement d</w:t>
      </w:r>
      <w:r>
        <w:rPr>
          <w:rFonts w:cs="Arial"/>
          <w:lang w:val="fr-CH"/>
        </w:rPr>
        <w:t>’</w:t>
      </w:r>
      <w:r w:rsidRPr="00081E64">
        <w:rPr>
          <w:rFonts w:cs="Arial"/>
          <w:lang w:val="fr-CH"/>
        </w:rPr>
        <w:t>une approche d</w:t>
      </w:r>
      <w:r>
        <w:rPr>
          <w:rFonts w:cs="Arial"/>
          <w:lang w:val="fr-CH"/>
        </w:rPr>
        <w:t>’</w:t>
      </w:r>
      <w:r w:rsidRPr="00081E64">
        <w:rPr>
          <w:rFonts w:cs="Arial"/>
          <w:lang w:val="fr-CH"/>
        </w:rPr>
        <w:t>apprentissage machine pour l</w:t>
      </w:r>
      <w:r>
        <w:rPr>
          <w:rFonts w:cs="Arial"/>
          <w:lang w:val="fr-CH"/>
        </w:rPr>
        <w:t>’</w:t>
      </w:r>
      <w:r w:rsidRPr="00081E64">
        <w:rPr>
          <w:rFonts w:cs="Arial"/>
          <w:lang w:val="fr-CH"/>
        </w:rPr>
        <w:t>optimisation des examens de variétés de blé) s</w:t>
      </w:r>
      <w:r>
        <w:rPr>
          <w:rFonts w:cs="Arial"/>
          <w:lang w:val="fr-CH"/>
        </w:rPr>
        <w:t>’</w:t>
      </w:r>
      <w:r w:rsidRPr="00081E64">
        <w:rPr>
          <w:rFonts w:cs="Arial"/>
          <w:lang w:val="fr-CH"/>
        </w:rPr>
        <w:t>est poursuivie, l</w:t>
      </w:r>
      <w:r>
        <w:rPr>
          <w:rFonts w:cs="Arial"/>
          <w:lang w:val="fr-CH"/>
        </w:rPr>
        <w:t>’</w:t>
      </w:r>
      <w:r w:rsidRPr="00081E64">
        <w:rPr>
          <w:rFonts w:cs="Arial"/>
          <w:lang w:val="fr-CH"/>
        </w:rPr>
        <w:t>accent étant mis sur la mise en place d</w:t>
      </w:r>
      <w:r>
        <w:rPr>
          <w:rFonts w:cs="Arial"/>
          <w:lang w:val="fr-CH"/>
        </w:rPr>
        <w:t>’</w:t>
      </w:r>
      <w:r w:rsidRPr="00081E64">
        <w:rPr>
          <w:rFonts w:cs="Arial"/>
          <w:lang w:val="fr-CH"/>
        </w:rPr>
        <w:t>essais communs pour le blé.</w:t>
      </w:r>
    </w:p>
    <w:p w:rsidR="00276ED8" w:rsidRPr="00081E64" w:rsidRDefault="00276ED8" w:rsidP="00276ED8">
      <w:pPr>
        <w:contextualSpacing/>
        <w:rPr>
          <w:rFonts w:cs="Arial"/>
          <w:lang w:val="fr-CH"/>
        </w:rPr>
      </w:pPr>
    </w:p>
    <w:p w:rsidR="00276ED8" w:rsidRPr="00081E64" w:rsidRDefault="00276ED8" w:rsidP="00276ED8">
      <w:pPr>
        <w:pStyle w:val="ListBullet"/>
        <w:keepNext/>
        <w:numPr>
          <w:ilvl w:val="0"/>
          <w:numId w:val="0"/>
        </w:numPr>
        <w:tabs>
          <w:tab w:val="left" w:pos="720"/>
        </w:tabs>
        <w:spacing w:after="0"/>
        <w:ind w:left="283" w:hanging="283"/>
        <w:contextualSpacing/>
        <w:rPr>
          <w:rFonts w:cs="Arial"/>
          <w:u w:val="single"/>
          <w:lang w:val="fr-CH"/>
        </w:rPr>
      </w:pPr>
      <w:r w:rsidRPr="00081E64">
        <w:rPr>
          <w:rFonts w:cs="Arial"/>
          <w:u w:val="single"/>
          <w:lang w:val="fr-CH"/>
        </w:rPr>
        <w:t>6.3 Autres projets de R</w:t>
      </w:r>
      <w:r>
        <w:rPr>
          <w:rFonts w:cs="Arial"/>
          <w:u w:val="single"/>
          <w:lang w:val="fr-CH"/>
        </w:rPr>
        <w:t>-</w:t>
      </w:r>
      <w:r w:rsidRPr="00081E64">
        <w:rPr>
          <w:rFonts w:cs="Arial"/>
          <w:u w:val="single"/>
          <w:lang w:val="fr-CH"/>
        </w:rPr>
        <w:t>D</w:t>
      </w:r>
    </w:p>
    <w:p w:rsidR="00276ED8" w:rsidRPr="00081E64" w:rsidRDefault="00276ED8" w:rsidP="00276ED8">
      <w:pPr>
        <w:keepNext/>
        <w:contextualSpacing/>
        <w:rPr>
          <w:rFonts w:cs="Arial"/>
          <w:i/>
          <w:lang w:val="fr-CH"/>
        </w:rPr>
      </w:pPr>
    </w:p>
    <w:p w:rsidR="00276ED8" w:rsidRPr="00081E64" w:rsidRDefault="00276ED8" w:rsidP="00276ED8">
      <w:pPr>
        <w:keepNext/>
        <w:contextualSpacing/>
        <w:rPr>
          <w:rFonts w:cs="Arial"/>
          <w:i/>
          <w:lang w:val="fr-CH"/>
        </w:rPr>
      </w:pPr>
      <w:proofErr w:type="spellStart"/>
      <w:r w:rsidRPr="00081E64">
        <w:rPr>
          <w:rFonts w:cs="Arial"/>
          <w:i/>
          <w:lang w:val="fr-CH"/>
        </w:rPr>
        <w:t>Harmorescoll</w:t>
      </w:r>
      <w:proofErr w:type="spellEnd"/>
    </w:p>
    <w:p w:rsidR="00276ED8" w:rsidRPr="00081E64" w:rsidRDefault="00276ED8" w:rsidP="00276ED8">
      <w:pPr>
        <w:keepLines/>
        <w:contextualSpacing/>
        <w:rPr>
          <w:rFonts w:cs="Arial"/>
          <w:lang w:val="fr-CH"/>
        </w:rPr>
      </w:pPr>
      <w:r w:rsidRPr="00081E64">
        <w:rPr>
          <w:rFonts w:cs="Arial"/>
          <w:lang w:val="fr-CH"/>
        </w:rPr>
        <w:t>HARMORESCOLL vise à mettre en place, à l</w:t>
      </w:r>
      <w:r>
        <w:rPr>
          <w:rFonts w:cs="Arial"/>
          <w:lang w:val="fr-CH"/>
        </w:rPr>
        <w:t>’</w:t>
      </w:r>
      <w:r w:rsidRPr="00081E64">
        <w:rPr>
          <w:rFonts w:cs="Arial"/>
          <w:lang w:val="fr-CH"/>
        </w:rPr>
        <w:t>échelle européenne, un système coordonné permettant de donner accès au matériel de référence pour la réalisation d</w:t>
      </w:r>
      <w:r>
        <w:rPr>
          <w:rFonts w:cs="Arial"/>
          <w:lang w:val="fr-CH"/>
        </w:rPr>
        <w:t>’</w:t>
      </w:r>
      <w:r w:rsidRPr="00081E64">
        <w:rPr>
          <w:rFonts w:cs="Arial"/>
          <w:lang w:val="fr-CH"/>
        </w:rPr>
        <w:t>examens DHS conformément aux protocoles de l</w:t>
      </w:r>
      <w:r>
        <w:rPr>
          <w:rFonts w:cs="Arial"/>
          <w:lang w:val="fr-CH"/>
        </w:rPr>
        <w:t>’</w:t>
      </w:r>
      <w:r w:rsidRPr="00081E64">
        <w:rPr>
          <w:rFonts w:cs="Arial"/>
          <w:lang w:val="fr-CH"/>
        </w:rPr>
        <w:t>OCVV et aux principes directeurs de l</w:t>
      </w:r>
      <w:r>
        <w:rPr>
          <w:rFonts w:cs="Arial"/>
          <w:lang w:val="fr-CH"/>
        </w:rPr>
        <w:t>’</w:t>
      </w:r>
      <w:r w:rsidRPr="00081E64">
        <w:rPr>
          <w:rFonts w:cs="Arial"/>
          <w:lang w:val="fr-CH"/>
        </w:rPr>
        <w:t>UPOV</w:t>
      </w:r>
      <w:r>
        <w:rPr>
          <w:rFonts w:cs="Arial"/>
          <w:lang w:val="fr-CH"/>
        </w:rPr>
        <w:t xml:space="preserve">.  </w:t>
      </w:r>
      <w:r w:rsidRPr="00081E64">
        <w:rPr>
          <w:rFonts w:cs="Arial"/>
          <w:lang w:val="fr-CH"/>
        </w:rPr>
        <w:t>Il réunit des services d</w:t>
      </w:r>
      <w:r>
        <w:rPr>
          <w:rFonts w:cs="Arial"/>
          <w:lang w:val="fr-CH"/>
        </w:rPr>
        <w:t>’</w:t>
      </w:r>
      <w:r w:rsidRPr="00081E64">
        <w:rPr>
          <w:rFonts w:cs="Arial"/>
          <w:lang w:val="fr-CH"/>
        </w:rPr>
        <w:t>examen et des entreprises semencières membres d</w:t>
      </w:r>
      <w:r>
        <w:rPr>
          <w:rFonts w:cs="Arial"/>
          <w:lang w:val="fr-CH"/>
        </w:rPr>
        <w:t>’</w:t>
      </w:r>
      <w:proofErr w:type="spellStart"/>
      <w:r w:rsidRPr="00081E64">
        <w:rPr>
          <w:rFonts w:cs="Arial"/>
          <w:lang w:val="fr-CH"/>
        </w:rPr>
        <w:t>Euroseeds</w:t>
      </w:r>
      <w:proofErr w:type="spellEnd"/>
      <w:r w:rsidRPr="00081E64">
        <w:rPr>
          <w:rFonts w:cs="Arial"/>
          <w:lang w:val="fr-CH"/>
        </w:rPr>
        <w:t xml:space="preserve"> Le projet est coordonné par le GEVES et </w:t>
      </w:r>
      <w:proofErr w:type="spellStart"/>
      <w:r w:rsidRPr="00081E64">
        <w:rPr>
          <w:rFonts w:cs="Arial"/>
          <w:lang w:val="fr-CH"/>
        </w:rPr>
        <w:t>Naktuinbouw</w:t>
      </w:r>
      <w:proofErr w:type="spellEnd"/>
      <w:r>
        <w:rPr>
          <w:rFonts w:cs="Arial"/>
          <w:lang w:val="fr-CH"/>
        </w:rPr>
        <w:t xml:space="preserve">.  </w:t>
      </w:r>
      <w:r w:rsidRPr="00081E64">
        <w:rPr>
          <w:rFonts w:cs="Arial"/>
          <w:lang w:val="fr-CH"/>
        </w:rPr>
        <w:t xml:space="preserve">Il a débuté en 2020 et il </w:t>
      </w:r>
      <w:r>
        <w:rPr>
          <w:rFonts w:cs="Arial"/>
          <w:lang w:val="fr-CH"/>
        </w:rPr>
        <w:t>est prévu pour une durée de trois</w:t>
      </w:r>
      <w:r w:rsidRPr="00081E64">
        <w:rPr>
          <w:rFonts w:cs="Arial"/>
          <w:lang w:val="fr-CH"/>
        </w:rPr>
        <w:t> ans.</w:t>
      </w:r>
    </w:p>
    <w:p w:rsidR="00276ED8" w:rsidRPr="00081E64" w:rsidRDefault="00276ED8" w:rsidP="00276ED8">
      <w:pPr>
        <w:contextualSpacing/>
        <w:rPr>
          <w:rFonts w:cs="Arial"/>
          <w:i/>
          <w:lang w:val="fr-CH"/>
        </w:rPr>
      </w:pPr>
    </w:p>
    <w:p w:rsidR="00276ED8" w:rsidRPr="00081E64" w:rsidRDefault="00276ED8" w:rsidP="00276ED8">
      <w:pPr>
        <w:keepNext/>
        <w:contextualSpacing/>
        <w:rPr>
          <w:rFonts w:cs="Arial"/>
          <w:i/>
          <w:lang w:val="fr-CH"/>
        </w:rPr>
      </w:pPr>
      <w:r w:rsidRPr="00081E64">
        <w:rPr>
          <w:rFonts w:cs="Arial"/>
          <w:i/>
          <w:lang w:val="fr-CH"/>
        </w:rPr>
        <w:t>Melon</w:t>
      </w:r>
    </w:p>
    <w:p w:rsidR="00276ED8" w:rsidRPr="00081E64" w:rsidRDefault="00276ED8" w:rsidP="00276ED8">
      <w:pPr>
        <w:contextualSpacing/>
        <w:rPr>
          <w:rFonts w:cs="Arial"/>
          <w:lang w:val="fr-CH"/>
        </w:rPr>
      </w:pPr>
      <w:r w:rsidRPr="00081E64">
        <w:rPr>
          <w:rFonts w:cs="Arial"/>
          <w:lang w:val="fr-CH"/>
        </w:rPr>
        <w:t>L</w:t>
      </w:r>
      <w:r>
        <w:rPr>
          <w:rFonts w:cs="Arial"/>
          <w:lang w:val="fr-CH"/>
        </w:rPr>
        <w:t>’</w:t>
      </w:r>
      <w:r w:rsidRPr="00081E64">
        <w:rPr>
          <w:rFonts w:cs="Arial"/>
          <w:lang w:val="fr-CH"/>
        </w:rPr>
        <w:t>objectif était de mettre en place une base de données commune contenant les descriptions variétales et les photos stockées dans tous les services d</w:t>
      </w:r>
      <w:r>
        <w:rPr>
          <w:rFonts w:cs="Arial"/>
          <w:lang w:val="fr-CH"/>
        </w:rPr>
        <w:t>’</w:t>
      </w:r>
      <w:r w:rsidRPr="00081E64">
        <w:rPr>
          <w:rFonts w:cs="Arial"/>
          <w:lang w:val="fr-CH"/>
        </w:rPr>
        <w:t>examen de l</w:t>
      </w:r>
      <w:r>
        <w:rPr>
          <w:rFonts w:cs="Arial"/>
          <w:lang w:val="fr-CH"/>
        </w:rPr>
        <w:t>’</w:t>
      </w:r>
      <w:r w:rsidRPr="00081E64">
        <w:rPr>
          <w:rFonts w:cs="Arial"/>
          <w:lang w:val="fr-CH"/>
        </w:rPr>
        <w:t>OCVV chargés de l</w:t>
      </w:r>
      <w:r>
        <w:rPr>
          <w:rFonts w:cs="Arial"/>
          <w:lang w:val="fr-CH"/>
        </w:rPr>
        <w:t>’</w:t>
      </w:r>
      <w:r w:rsidRPr="00081E64">
        <w:rPr>
          <w:rFonts w:cs="Arial"/>
          <w:lang w:val="fr-CH"/>
        </w:rPr>
        <w:t>examen du melon</w:t>
      </w:r>
      <w:r>
        <w:rPr>
          <w:rFonts w:cs="Arial"/>
          <w:lang w:val="fr-CH"/>
        </w:rPr>
        <w:t xml:space="preserve">.  </w:t>
      </w:r>
      <w:r w:rsidRPr="00081E64">
        <w:rPr>
          <w:rFonts w:cs="Arial"/>
          <w:lang w:val="fr-CH"/>
        </w:rPr>
        <w:t>Comme les données ne seront pas harmonisées entre les pays, la base de données ne sera pas directement utilisée pour sélectionner les variétés de référence pour les comparer aux variétés candidates, mais facilitera l</w:t>
      </w:r>
      <w:r>
        <w:rPr>
          <w:rFonts w:cs="Arial"/>
          <w:lang w:val="fr-CH"/>
        </w:rPr>
        <w:t>’</w:t>
      </w:r>
      <w:r w:rsidRPr="00081E64">
        <w:rPr>
          <w:rFonts w:cs="Arial"/>
          <w:lang w:val="fr-CH"/>
        </w:rPr>
        <w:t>identification du matériel de référence disponible et de ses détenteurs</w:t>
      </w:r>
      <w:r>
        <w:rPr>
          <w:rFonts w:cs="Arial"/>
          <w:lang w:val="fr-CH"/>
        </w:rPr>
        <w:t xml:space="preserve">.  </w:t>
      </w:r>
      <w:r w:rsidRPr="00081E64">
        <w:rPr>
          <w:rFonts w:cs="Arial"/>
          <w:lang w:val="fr-CH"/>
        </w:rPr>
        <w:t xml:space="preserve">La base de données est désormais opérationnelle et a été utilisée cette année par </w:t>
      </w:r>
      <w:proofErr w:type="spellStart"/>
      <w:r w:rsidRPr="00081E64">
        <w:rPr>
          <w:rFonts w:cs="Arial"/>
          <w:lang w:val="fr-CH"/>
        </w:rPr>
        <w:t>Naktuinbouw</w:t>
      </w:r>
      <w:proofErr w:type="spellEnd"/>
      <w:r w:rsidRPr="00081E64">
        <w:rPr>
          <w:rFonts w:cs="Arial"/>
          <w:lang w:val="fr-CH"/>
        </w:rPr>
        <w:t xml:space="preserve"> (NL), le GEVES (FR), l</w:t>
      </w:r>
      <w:r>
        <w:rPr>
          <w:rFonts w:cs="Arial"/>
          <w:lang w:val="fr-CH"/>
        </w:rPr>
        <w:t>’</w:t>
      </w:r>
      <w:r w:rsidRPr="00081E64">
        <w:rPr>
          <w:rFonts w:cs="Arial"/>
          <w:lang w:val="fr-CH"/>
        </w:rPr>
        <w:t>INIA/OEVV (ES), l</w:t>
      </w:r>
      <w:r>
        <w:rPr>
          <w:rFonts w:cs="Arial"/>
          <w:lang w:val="fr-CH"/>
        </w:rPr>
        <w:t>’</w:t>
      </w:r>
      <w:r w:rsidRPr="00081E64">
        <w:rPr>
          <w:rFonts w:cs="Arial"/>
          <w:lang w:val="fr-CH"/>
        </w:rPr>
        <w:t>UKSUP (SK) et le DGAV (PT).</w:t>
      </w:r>
    </w:p>
    <w:p w:rsidR="00276ED8" w:rsidRPr="00081E64" w:rsidRDefault="00276ED8" w:rsidP="00276ED8">
      <w:pPr>
        <w:contextualSpacing/>
        <w:rPr>
          <w:rFonts w:cs="Arial"/>
          <w:lang w:val="fr-CH"/>
        </w:rPr>
      </w:pPr>
    </w:p>
    <w:p w:rsidR="00276ED8" w:rsidRPr="00081E64" w:rsidRDefault="00276ED8" w:rsidP="00276ED8">
      <w:pPr>
        <w:contextualSpacing/>
        <w:rPr>
          <w:rFonts w:cs="Arial"/>
          <w:lang w:val="fr-CH"/>
        </w:rPr>
      </w:pPr>
      <w:r w:rsidRPr="00081E64">
        <w:rPr>
          <w:rFonts w:cs="Arial"/>
          <w:lang w:val="fr-CH"/>
        </w:rPr>
        <w:t>La mise en œuvre des deux projets suivants débutera en 2022 sous réserve de l</w:t>
      </w:r>
      <w:r>
        <w:rPr>
          <w:rFonts w:cs="Arial"/>
          <w:lang w:val="fr-CH"/>
        </w:rPr>
        <w:t>’</w:t>
      </w:r>
      <w:r w:rsidRPr="00081E64">
        <w:rPr>
          <w:rFonts w:cs="Arial"/>
          <w:lang w:val="fr-CH"/>
        </w:rPr>
        <w:t>adoption du budget de l</w:t>
      </w:r>
      <w:r>
        <w:rPr>
          <w:rFonts w:cs="Arial"/>
          <w:lang w:val="fr-CH"/>
        </w:rPr>
        <w:t>’</w:t>
      </w:r>
      <w:r w:rsidRPr="00081E64">
        <w:rPr>
          <w:rFonts w:cs="Arial"/>
          <w:lang w:val="fr-CH"/>
        </w:rPr>
        <w:t>OCVV en octobre 2021</w:t>
      </w:r>
      <w:r>
        <w:rPr>
          <w:rFonts w:cs="Arial"/>
          <w:lang w:val="fr-CH"/>
        </w:rPr>
        <w:t> :</w:t>
      </w:r>
    </w:p>
    <w:p w:rsidR="00276ED8" w:rsidRPr="00081E64" w:rsidRDefault="00276ED8" w:rsidP="00276ED8">
      <w:pPr>
        <w:contextualSpacing/>
        <w:rPr>
          <w:rFonts w:cs="Arial"/>
          <w:i/>
          <w:lang w:val="fr-CH"/>
        </w:rPr>
      </w:pPr>
    </w:p>
    <w:p w:rsidR="00276ED8" w:rsidRPr="00081E64" w:rsidRDefault="00276ED8" w:rsidP="00276ED8">
      <w:pPr>
        <w:contextualSpacing/>
        <w:rPr>
          <w:rFonts w:cs="Arial"/>
          <w:i/>
          <w:lang w:val="fr-CH"/>
        </w:rPr>
      </w:pPr>
      <w:r w:rsidRPr="00081E64">
        <w:rPr>
          <w:rFonts w:cs="Arial"/>
          <w:i/>
          <w:lang w:val="fr-CH"/>
        </w:rPr>
        <w:t>Hortensia</w:t>
      </w:r>
    </w:p>
    <w:p w:rsidR="00276ED8" w:rsidRPr="00081E64" w:rsidRDefault="00276ED8" w:rsidP="00276ED8">
      <w:pPr>
        <w:contextualSpacing/>
        <w:rPr>
          <w:rFonts w:cs="Arial"/>
          <w:lang w:val="fr-CH"/>
        </w:rPr>
      </w:pPr>
      <w:r w:rsidRPr="00081E64">
        <w:rPr>
          <w:rFonts w:cs="Arial"/>
          <w:lang w:val="fr-CH"/>
        </w:rPr>
        <w:t>Exploitation des données moléculaires à l</w:t>
      </w:r>
      <w:r>
        <w:rPr>
          <w:rFonts w:cs="Arial"/>
          <w:lang w:val="fr-CH"/>
        </w:rPr>
        <w:t>’</w:t>
      </w:r>
      <w:r w:rsidRPr="00081E64">
        <w:rPr>
          <w:rFonts w:cs="Arial"/>
          <w:lang w:val="fr-CH"/>
        </w:rPr>
        <w:t>appui de l</w:t>
      </w:r>
      <w:r>
        <w:rPr>
          <w:rFonts w:cs="Arial"/>
          <w:lang w:val="fr-CH"/>
        </w:rPr>
        <w:t>’</w:t>
      </w:r>
      <w:r w:rsidRPr="00081E64">
        <w:rPr>
          <w:rFonts w:cs="Arial"/>
          <w:lang w:val="fr-CH"/>
        </w:rPr>
        <w:t>examen DHS pour les plantes ornementales</w:t>
      </w:r>
      <w:r>
        <w:rPr>
          <w:rFonts w:cs="Arial"/>
          <w:lang w:val="fr-CH"/>
        </w:rPr>
        <w:t> :</w:t>
      </w:r>
      <w:r w:rsidRPr="00081E64">
        <w:rPr>
          <w:rFonts w:cs="Arial"/>
          <w:lang w:val="fr-CH"/>
        </w:rPr>
        <w:t xml:space="preserve"> une étude de cas sur l</w:t>
      </w:r>
      <w:r>
        <w:rPr>
          <w:rFonts w:cs="Arial"/>
          <w:lang w:val="fr-CH"/>
        </w:rPr>
        <w:t>’</w:t>
      </w:r>
      <w:r w:rsidRPr="00081E64">
        <w:rPr>
          <w:rFonts w:cs="Arial"/>
          <w:lang w:val="fr-CH"/>
        </w:rPr>
        <w:t>hortensia.</w:t>
      </w:r>
    </w:p>
    <w:p w:rsidR="00276ED8" w:rsidRPr="00081E64" w:rsidRDefault="00276ED8" w:rsidP="00276ED8">
      <w:pPr>
        <w:contextualSpacing/>
        <w:rPr>
          <w:rFonts w:cs="Arial"/>
          <w:i/>
          <w:lang w:val="fr-CH"/>
        </w:rPr>
      </w:pPr>
    </w:p>
    <w:p w:rsidR="00466EA4" w:rsidRDefault="00466EA4">
      <w:pPr>
        <w:jc w:val="left"/>
        <w:rPr>
          <w:rFonts w:cs="Arial"/>
          <w:i/>
          <w:lang w:val="fr-CH"/>
        </w:rPr>
      </w:pPr>
      <w:r>
        <w:rPr>
          <w:rFonts w:cs="Arial"/>
          <w:i/>
          <w:lang w:val="fr-CH"/>
        </w:rPr>
        <w:br w:type="page"/>
      </w:r>
    </w:p>
    <w:p w:rsidR="00276ED8" w:rsidRPr="00081E64" w:rsidRDefault="00276ED8" w:rsidP="00276ED8">
      <w:pPr>
        <w:contextualSpacing/>
        <w:rPr>
          <w:rFonts w:cs="Arial"/>
          <w:i/>
          <w:lang w:val="fr-CH"/>
        </w:rPr>
      </w:pPr>
      <w:r w:rsidRPr="00081E64">
        <w:rPr>
          <w:rFonts w:cs="Arial"/>
          <w:i/>
          <w:lang w:val="fr-CH"/>
        </w:rPr>
        <w:lastRenderedPageBreak/>
        <w:t>Tomate – Piment – Melon</w:t>
      </w:r>
    </w:p>
    <w:p w:rsidR="00276ED8" w:rsidRPr="00081E64" w:rsidRDefault="00276ED8" w:rsidP="00276ED8">
      <w:pPr>
        <w:contextualSpacing/>
        <w:rPr>
          <w:rFonts w:cs="Arial"/>
          <w:lang w:val="fr-CH"/>
        </w:rPr>
      </w:pPr>
      <w:r w:rsidRPr="00081E64">
        <w:rPr>
          <w:rFonts w:cs="Arial"/>
          <w:lang w:val="fr-CH"/>
        </w:rPr>
        <w:t>Mise à jour des essais DHS de résistance en fonction de l</w:t>
      </w:r>
      <w:r>
        <w:rPr>
          <w:rFonts w:cs="Arial"/>
          <w:lang w:val="fr-CH"/>
        </w:rPr>
        <w:t>’</w:t>
      </w:r>
      <w:r w:rsidRPr="00081E64">
        <w:rPr>
          <w:rFonts w:cs="Arial"/>
          <w:lang w:val="fr-CH"/>
        </w:rPr>
        <w:t>évolution des organismes nuisibles</w:t>
      </w:r>
      <w:r>
        <w:rPr>
          <w:rFonts w:cs="Arial"/>
          <w:lang w:val="fr-CH"/>
        </w:rPr>
        <w:t> :</w:t>
      </w:r>
    </w:p>
    <w:p w:rsidR="00276ED8" w:rsidRPr="00081E64" w:rsidRDefault="00276ED8" w:rsidP="00276ED8">
      <w:pPr>
        <w:contextualSpacing/>
        <w:rPr>
          <w:rFonts w:cs="Arial"/>
          <w:lang w:val="fr-CH"/>
        </w:rPr>
      </w:pPr>
      <w:r w:rsidRPr="00081E64">
        <w:rPr>
          <w:rFonts w:cs="Arial"/>
          <w:lang w:val="fr-CH"/>
        </w:rPr>
        <w:t>– Mise en place d</w:t>
      </w:r>
      <w:r>
        <w:rPr>
          <w:rFonts w:cs="Arial"/>
          <w:lang w:val="fr-CH"/>
        </w:rPr>
        <w:t>’</w:t>
      </w:r>
      <w:r w:rsidRPr="00081E64">
        <w:rPr>
          <w:rFonts w:cs="Arial"/>
          <w:lang w:val="fr-CH"/>
        </w:rPr>
        <w:t xml:space="preserve">essais de résistance au </w:t>
      </w:r>
      <w:proofErr w:type="spellStart"/>
      <w:r w:rsidRPr="00081E64">
        <w:rPr>
          <w:rFonts w:cs="Arial"/>
          <w:lang w:val="fr-CH"/>
        </w:rPr>
        <w:t>ToBRFV</w:t>
      </w:r>
      <w:proofErr w:type="spellEnd"/>
      <w:r w:rsidRPr="00081E64">
        <w:rPr>
          <w:rFonts w:cs="Arial"/>
          <w:lang w:val="fr-CH"/>
        </w:rPr>
        <w:t xml:space="preserve"> pour la tomate et le piment.</w:t>
      </w:r>
    </w:p>
    <w:p w:rsidR="00276ED8" w:rsidRPr="00081E64" w:rsidRDefault="00276ED8" w:rsidP="00276ED8">
      <w:pPr>
        <w:contextualSpacing/>
        <w:rPr>
          <w:rFonts w:cs="Arial"/>
          <w:lang w:val="fr-CH"/>
        </w:rPr>
      </w:pPr>
      <w:r w:rsidRPr="00081E64">
        <w:rPr>
          <w:rFonts w:cs="Arial"/>
          <w:lang w:val="fr-CH"/>
        </w:rPr>
        <w:t>Amélioration de l</w:t>
      </w:r>
      <w:r>
        <w:rPr>
          <w:rFonts w:cs="Arial"/>
          <w:lang w:val="fr-CH"/>
        </w:rPr>
        <w:t>’</w:t>
      </w:r>
      <w:r w:rsidRPr="00081E64">
        <w:rPr>
          <w:rFonts w:cs="Arial"/>
          <w:lang w:val="fr-CH"/>
        </w:rPr>
        <w:t>essai de résistance du melon à l</w:t>
      </w:r>
      <w:r>
        <w:rPr>
          <w:rFonts w:cs="Arial"/>
          <w:lang w:val="fr-CH"/>
        </w:rPr>
        <w:t>’</w:t>
      </w:r>
      <w:proofErr w:type="spellStart"/>
      <w:r w:rsidRPr="00081E64">
        <w:rPr>
          <w:rFonts w:cs="Arial"/>
          <w:lang w:val="fr-CH"/>
        </w:rPr>
        <w:t>Aphis</w:t>
      </w:r>
      <w:proofErr w:type="spellEnd"/>
      <w:r w:rsidRPr="00081E64">
        <w:rPr>
          <w:rFonts w:cs="Arial"/>
          <w:lang w:val="fr-CH"/>
        </w:rPr>
        <w:t xml:space="preserve"> </w:t>
      </w:r>
      <w:proofErr w:type="spellStart"/>
      <w:r w:rsidRPr="00081E64">
        <w:rPr>
          <w:rFonts w:cs="Arial"/>
          <w:lang w:val="fr-CH"/>
        </w:rPr>
        <w:t>gossypii</w:t>
      </w:r>
      <w:proofErr w:type="spellEnd"/>
      <w:r w:rsidRPr="00081E64">
        <w:rPr>
          <w:rFonts w:cs="Arial"/>
          <w:lang w:val="fr-CH"/>
        </w:rPr>
        <w:t>.</w:t>
      </w:r>
    </w:p>
    <w:p w:rsidR="00276ED8" w:rsidRPr="00081E64" w:rsidRDefault="00276ED8" w:rsidP="00276ED8">
      <w:pPr>
        <w:contextualSpacing/>
        <w:rPr>
          <w:rFonts w:cs="Arial"/>
          <w:lang w:val="fr-CH"/>
        </w:rPr>
      </w:pPr>
    </w:p>
    <w:p w:rsidR="00276ED8" w:rsidRPr="00081E64" w:rsidRDefault="00276ED8" w:rsidP="00276ED8">
      <w:pPr>
        <w:contextualSpacing/>
        <w:jc w:val="left"/>
        <w:rPr>
          <w:rFonts w:cs="Arial"/>
          <w:lang w:val="fr-CH"/>
        </w:rPr>
      </w:pPr>
    </w:p>
    <w:p w:rsidR="00276ED8" w:rsidRPr="00081E64" w:rsidRDefault="00276ED8" w:rsidP="00276ED8">
      <w:pPr>
        <w:contextualSpacing/>
        <w:rPr>
          <w:rFonts w:cs="Arial"/>
          <w:lang w:val="fr-CH"/>
        </w:rPr>
      </w:pPr>
    </w:p>
    <w:p w:rsidR="00845D57" w:rsidRPr="00EB57D6" w:rsidRDefault="00845D57" w:rsidP="00845D57">
      <w:pPr>
        <w:jc w:val="right"/>
      </w:pPr>
      <w:r w:rsidRPr="00EB57D6">
        <w:t>[Fin de l’annexe XVI et du document]</w:t>
      </w:r>
    </w:p>
    <w:p w:rsidR="00845D57" w:rsidRDefault="00845D57" w:rsidP="00845D57"/>
    <w:p w:rsidR="00466EA4" w:rsidRDefault="00466EA4" w:rsidP="00845D57"/>
    <w:p w:rsidR="007C2C54" w:rsidRPr="00EB57D6" w:rsidRDefault="007C2C54" w:rsidP="00845D57"/>
    <w:sectPr w:rsidR="007C2C54" w:rsidRPr="00EB57D6" w:rsidSect="00466EA4">
      <w:headerReference w:type="default" r:id="rId53"/>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09" w:rsidRDefault="009B2909" w:rsidP="006655D3">
      <w:r>
        <w:separator/>
      </w:r>
    </w:p>
  </w:endnote>
  <w:endnote w:type="continuationSeparator" w:id="0">
    <w:p w:rsidR="009B2909" w:rsidRDefault="009B2909" w:rsidP="006655D3">
      <w:r>
        <w:separator/>
      </w:r>
    </w:p>
    <w:p w:rsidR="009B2909" w:rsidRPr="00294751" w:rsidRDefault="009B2909">
      <w:pPr>
        <w:pStyle w:val="Footer"/>
        <w:spacing w:after="60"/>
        <w:rPr>
          <w:sz w:val="18"/>
          <w:lang w:val="fr-FR"/>
        </w:rPr>
      </w:pPr>
      <w:r w:rsidRPr="00294751">
        <w:rPr>
          <w:sz w:val="18"/>
          <w:lang w:val="fr-FR"/>
        </w:rPr>
        <w:t>[Suite de la note de la page précédente]</w:t>
      </w:r>
    </w:p>
    <w:p w:rsidR="009B2909" w:rsidRPr="00294751" w:rsidRDefault="009B2909" w:rsidP="006655D3"/>
    <w:p w:rsidR="009B2909" w:rsidRPr="00294751" w:rsidRDefault="009B2909" w:rsidP="006655D3"/>
  </w:endnote>
  <w:endnote w:type="continuationNotice" w:id="1">
    <w:p w:rsidR="009B2909" w:rsidRPr="00294751" w:rsidRDefault="009B2909" w:rsidP="006655D3">
      <w:r w:rsidRPr="00294751">
        <w:t>[Suite de la note page suivante]</w:t>
      </w:r>
    </w:p>
    <w:p w:rsidR="009B2909" w:rsidRPr="00294751" w:rsidRDefault="009B2909" w:rsidP="006655D3"/>
    <w:p w:rsidR="009B2909" w:rsidRPr="00294751" w:rsidRDefault="009B2909" w:rsidP="006655D3"/>
  </w:endnote>
  <w:endnote w:id="2">
    <w:p w:rsidR="006C5CF8" w:rsidRPr="00743BEC" w:rsidRDefault="006C5CF8" w:rsidP="00466EA4">
      <w:pPr>
        <w:pStyle w:val="EndnoteText"/>
        <w:tabs>
          <w:tab w:val="left" w:pos="284"/>
        </w:tabs>
        <w:rPr>
          <w:lang w:val="fr-CH"/>
        </w:rPr>
      </w:pPr>
      <w:r w:rsidRPr="00743BEC">
        <w:rPr>
          <w:rStyle w:val="EndnoteReference"/>
        </w:rPr>
        <w:endnoteRef/>
      </w:r>
      <w:r w:rsidRPr="00743BEC">
        <w:rPr>
          <w:lang w:val="fr-CH"/>
        </w:rPr>
        <w:t xml:space="preserve"> </w:t>
      </w:r>
      <w:r w:rsidRPr="00743BEC">
        <w:rPr>
          <w:lang w:val="fr-CH"/>
        </w:rPr>
        <w:tab/>
      </w:r>
      <w:r w:rsidRPr="004522FF">
        <w:rPr>
          <w:sz w:val="16"/>
          <w:szCs w:val="16"/>
          <w:lang w:val="fr-CH"/>
        </w:rPr>
        <w:t>La terminologie de l’Organisation des Nations Unies est utilisée dans ce rapport.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함초롬바탕">
    <w:altName w:val="Arial Unicode MS"/>
    <w:charset w:val="81"/>
    <w:family w:val="roman"/>
    <w:pitch w:val="variable"/>
    <w:sig w:usb0="00000000" w:usb1="19DFFFFF" w:usb2="001BFDD7" w:usb3="00000000" w:csb0="001F007F" w:csb1="00000000"/>
  </w:font>
  <w:font w:name="Gulim">
    <w:altName w:val="굴림"/>
    <w:panose1 w:val="020B0600000101010101"/>
    <w:charset w:val="81"/>
    <w:family w:val="modern"/>
    <w:pitch w:val="variable"/>
    <w:sig w:usb0="B00002AF" w:usb1="69D77CFB" w:usb2="00000030" w:usb3="00000000" w:csb0="0008009F" w:csb1="00000000"/>
  </w:font>
  <w:font w:name="CIDFont+F2">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09" w:rsidRDefault="009B2909" w:rsidP="006655D3">
      <w:r>
        <w:separator/>
      </w:r>
    </w:p>
  </w:footnote>
  <w:footnote w:type="continuationSeparator" w:id="0">
    <w:p w:rsidR="009B2909" w:rsidRDefault="009B2909" w:rsidP="006655D3">
      <w:r>
        <w:separator/>
      </w:r>
    </w:p>
  </w:footnote>
  <w:footnote w:type="continuationNotice" w:id="1">
    <w:p w:rsidR="009B2909" w:rsidRPr="00AB530F" w:rsidRDefault="009B290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C5280D" w:rsidRDefault="007B4801" w:rsidP="00EB048E">
    <w:pPr>
      <w:pStyle w:val="Header"/>
      <w:rPr>
        <w:rStyle w:val="PageNumber"/>
        <w:lang w:val="en-US"/>
      </w:rPr>
    </w:pPr>
    <w:r>
      <w:rPr>
        <w:rStyle w:val="PageNumber"/>
        <w:lang w:val="en-US"/>
      </w:rPr>
      <w:t>C/55/INF/4</w:t>
    </w:r>
  </w:p>
  <w:p w:rsidR="009B2909" w:rsidRPr="00C5280D" w:rsidRDefault="009B290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9B2909" w:rsidRPr="00C5280D" w:rsidRDefault="009B290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IX,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7B4801">
      <w:rPr>
        <w:rStyle w:val="PageNumber"/>
        <w:noProof/>
      </w:rPr>
      <w:t>2</w:t>
    </w:r>
    <w:r w:rsidRPr="00E84C2E">
      <w:rPr>
        <w:rStyle w:val="PageNumber"/>
      </w:rPr>
      <w:fldChar w:fldCharType="end"/>
    </w:r>
  </w:p>
  <w:p w:rsidR="009B2909" w:rsidRPr="00E84C2E" w:rsidRDefault="009B2909"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X,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466EA4">
      <w:rPr>
        <w:rStyle w:val="PageNumber"/>
        <w:noProof/>
      </w:rPr>
      <w:t>2</w:t>
    </w:r>
    <w:r w:rsidRPr="00E84C2E">
      <w:rPr>
        <w:rStyle w:val="PageNumber"/>
      </w:rPr>
      <w:fldChar w:fldCharType="end"/>
    </w:r>
  </w:p>
  <w:p w:rsidR="009B2909" w:rsidRPr="00E84C2E" w:rsidRDefault="009B2909"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XI,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7B4801">
      <w:rPr>
        <w:rStyle w:val="PageNumber"/>
        <w:noProof/>
      </w:rPr>
      <w:t>4</w:t>
    </w:r>
    <w:r w:rsidRPr="00E84C2E">
      <w:rPr>
        <w:rStyle w:val="PageNumber"/>
      </w:rPr>
      <w:fldChar w:fldCharType="end"/>
    </w:r>
  </w:p>
  <w:p w:rsidR="009B2909" w:rsidRPr="00E84C2E" w:rsidRDefault="009B2909"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XII,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7B4801">
      <w:rPr>
        <w:rStyle w:val="PageNumber"/>
        <w:noProof/>
      </w:rPr>
      <w:t>2</w:t>
    </w:r>
    <w:r w:rsidRPr="00E84C2E">
      <w:rPr>
        <w:rStyle w:val="PageNumber"/>
      </w:rPr>
      <w:fldChar w:fldCharType="end"/>
    </w:r>
  </w:p>
  <w:p w:rsidR="009B2909" w:rsidRPr="00E84C2E" w:rsidRDefault="009B2909"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XIII,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6865B4"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XIV,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FD4F25"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XV,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466EA4">
      <w:rPr>
        <w:rStyle w:val="PageNumber"/>
        <w:noProof/>
      </w:rPr>
      <w:t>4</w:t>
    </w:r>
    <w:r w:rsidRPr="00E84C2E">
      <w:rPr>
        <w:rStyle w:val="PageNumber"/>
      </w:rPr>
      <w:fldChar w:fldCharType="end"/>
    </w:r>
  </w:p>
  <w:p w:rsidR="009B2909" w:rsidRPr="00E84C2E" w:rsidRDefault="009B2909"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A71548">
    <w:pPr>
      <w:pStyle w:val="Header"/>
      <w:rPr>
        <w:rStyle w:val="PageNumber"/>
      </w:rPr>
    </w:pPr>
    <w:r>
      <w:rPr>
        <w:rStyle w:val="PageNumber"/>
      </w:rPr>
      <w:t>C/55/INF/4</w:t>
    </w:r>
  </w:p>
  <w:p w:rsidR="009B2909" w:rsidRPr="00E84C2E" w:rsidRDefault="009B2909" w:rsidP="00EB048E">
    <w:pPr>
      <w:pStyle w:val="Header"/>
    </w:pPr>
    <w:r w:rsidRPr="00E84C2E">
      <w:t xml:space="preserve">Annexe XVI,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466EA4">
      <w:rPr>
        <w:rStyle w:val="PageNumber"/>
        <w:noProof/>
      </w:rPr>
      <w:t>11</w:t>
    </w:r>
    <w:r w:rsidRPr="00E84C2E">
      <w:rPr>
        <w:rStyle w:val="PageNumber"/>
      </w:rPr>
      <w:fldChar w:fldCharType="end"/>
    </w:r>
  </w:p>
  <w:p w:rsidR="009B2909" w:rsidRPr="00E84C2E" w:rsidRDefault="009B290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C5280D" w:rsidRDefault="007B4801" w:rsidP="00EB048E">
    <w:pPr>
      <w:pStyle w:val="Header"/>
      <w:rPr>
        <w:rStyle w:val="PageNumber"/>
        <w:lang w:val="en-US"/>
      </w:rPr>
    </w:pPr>
    <w:r>
      <w:rPr>
        <w:rStyle w:val="PageNumber"/>
        <w:lang w:val="en-US"/>
      </w:rPr>
      <w:t>C/55/INF/4</w:t>
    </w:r>
  </w:p>
  <w:p w:rsidR="009B2909" w:rsidRPr="00C5280D" w:rsidRDefault="009B2909"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6FB5">
      <w:rPr>
        <w:rStyle w:val="PageNumber"/>
        <w:noProof/>
        <w:lang w:val="en-US"/>
      </w:rPr>
      <w:t>2</w:t>
    </w:r>
    <w:r w:rsidRPr="00C5280D">
      <w:rPr>
        <w:rStyle w:val="PageNumber"/>
        <w:lang w:val="en-US"/>
      </w:rPr>
      <w:fldChar w:fldCharType="end"/>
    </w:r>
  </w:p>
  <w:p w:rsidR="009B2909" w:rsidRPr="00C5280D" w:rsidRDefault="009B290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II,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276ED8">
      <w:rPr>
        <w:rStyle w:val="PageNumber"/>
        <w:noProof/>
        <w:lang w:val="fr-CH"/>
      </w:rPr>
      <w:t>2</w:t>
    </w:r>
    <w:r w:rsidRPr="00C5280D">
      <w:rPr>
        <w:rStyle w:val="PageNumber"/>
        <w:lang w:val="en-US"/>
      </w:rPr>
      <w:fldChar w:fldCharType="end"/>
    </w:r>
  </w:p>
  <w:p w:rsidR="009B2909" w:rsidRPr="00C5280D" w:rsidRDefault="009B290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III,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86025">
      <w:rPr>
        <w:rStyle w:val="PageNumber"/>
        <w:noProof/>
      </w:rPr>
      <w:t>2</w:t>
    </w:r>
    <w:r w:rsidRPr="00E84C2E">
      <w:rPr>
        <w:rStyle w:val="PageNumber"/>
      </w:rPr>
      <w:fldChar w:fldCharType="end"/>
    </w:r>
  </w:p>
  <w:p w:rsidR="009B2909" w:rsidRPr="00E84C2E" w:rsidRDefault="009B290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IV,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276ED8">
      <w:rPr>
        <w:rStyle w:val="PageNumber"/>
        <w:noProof/>
        <w:lang w:val="fr-CH"/>
      </w:rPr>
      <w:t>2</w:t>
    </w:r>
    <w:r w:rsidRPr="00C5280D">
      <w:rPr>
        <w:rStyle w:val="PageNumber"/>
        <w:lang w:val="en-US"/>
      </w:rPr>
      <w:fldChar w:fldCharType="end"/>
    </w:r>
  </w:p>
  <w:p w:rsidR="009B2909" w:rsidRPr="00C5280D" w:rsidRDefault="009B2909"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VI,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7B4801" w:rsidP="00EB048E">
    <w:pPr>
      <w:pStyle w:val="Header"/>
      <w:rPr>
        <w:rStyle w:val="PageNumber"/>
        <w:lang w:val="fr-CH"/>
      </w:rPr>
    </w:pPr>
    <w:r>
      <w:rPr>
        <w:rStyle w:val="PageNumber"/>
        <w:lang w:val="fr-CH"/>
      </w:rPr>
      <w:t>C/55/INF/4</w:t>
    </w:r>
  </w:p>
  <w:p w:rsidR="009B2909" w:rsidRPr="008E0BFA" w:rsidRDefault="009B2909" w:rsidP="00EB048E">
    <w:pPr>
      <w:pStyle w:val="Header"/>
      <w:rPr>
        <w:lang w:val="fr-CH"/>
      </w:rPr>
    </w:pPr>
    <w:r w:rsidRPr="008E0BFA">
      <w:rPr>
        <w:lang w:val="fr-CH"/>
      </w:rPr>
      <w:t xml:space="preserve">Annexe VII,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276ED8">
      <w:rPr>
        <w:rStyle w:val="PageNumber"/>
        <w:noProof/>
        <w:lang w:val="fr-CH"/>
      </w:rPr>
      <w:t>2</w:t>
    </w:r>
    <w:r w:rsidRPr="00C5280D">
      <w:rPr>
        <w:rStyle w:val="PageNumber"/>
        <w:lang w:val="en-US"/>
      </w:rPr>
      <w:fldChar w:fldCharType="end"/>
    </w:r>
  </w:p>
  <w:p w:rsidR="009B2909" w:rsidRPr="00C5280D" w:rsidRDefault="009B290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7B4801" w:rsidP="00EB048E">
    <w:pPr>
      <w:pStyle w:val="Header"/>
      <w:rPr>
        <w:rStyle w:val="PageNumber"/>
      </w:rPr>
    </w:pPr>
    <w:r>
      <w:rPr>
        <w:rStyle w:val="PageNumber"/>
      </w:rPr>
      <w:t>C/55/INF/4</w:t>
    </w:r>
  </w:p>
  <w:p w:rsidR="009B2909" w:rsidRPr="00E84C2E" w:rsidRDefault="009B2909" w:rsidP="00EB048E">
    <w:pPr>
      <w:pStyle w:val="Header"/>
    </w:pPr>
    <w:r w:rsidRPr="00E84C2E">
      <w:t xml:space="preserve">Annexe VIII,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276ED8">
      <w:rPr>
        <w:rStyle w:val="PageNumber"/>
        <w:noProof/>
      </w:rPr>
      <w:t>4</w:t>
    </w:r>
    <w:r w:rsidRPr="00E84C2E">
      <w:rPr>
        <w:rStyle w:val="PageNumber"/>
      </w:rPr>
      <w:fldChar w:fldCharType="end"/>
    </w:r>
  </w:p>
  <w:p w:rsidR="009B2909" w:rsidRPr="00E84C2E" w:rsidRDefault="009B290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4"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322ABE"/>
    <w:multiLevelType w:val="hybridMultilevel"/>
    <w:tmpl w:val="65AE2420"/>
    <w:lvl w:ilvl="0" w:tplc="2C9E218C">
      <w:start w:val="2"/>
      <w:numFmt w:val="bullet"/>
      <w:lvlText w:val="-"/>
      <w:lvlJc w:val="left"/>
      <w:pPr>
        <w:ind w:left="786" w:hanging="360"/>
      </w:pPr>
      <w:rPr>
        <w:rFonts w:ascii="Arial" w:eastAsia="Arial Unicode MS" w:hAnsi="Arial" w:cs="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5" w15:restartNumberingAfterBreak="0">
    <w:nsid w:val="76EC0554"/>
    <w:multiLevelType w:val="hybridMultilevel"/>
    <w:tmpl w:val="853A77F4"/>
    <w:lvl w:ilvl="0" w:tplc="D19A7B4C">
      <w:start w:val="1"/>
      <w:numFmt w:val="bullet"/>
      <w:lvlText w:val="-"/>
      <w:lvlJc w:val="left"/>
      <w:pPr>
        <w:ind w:left="927" w:hanging="360"/>
      </w:pPr>
      <w:rPr>
        <w:rFonts w:ascii="Arial" w:eastAsia="Times New Roman" w:hAnsi="Arial" w:cs="Arial" w:hint="default"/>
        <w:color w:val="800080"/>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9"/>
  </w:num>
  <w:num w:numId="2">
    <w:abstractNumId w:val="5"/>
  </w:num>
  <w:num w:numId="3">
    <w:abstractNumId w:val="1"/>
  </w:num>
  <w:num w:numId="4">
    <w:abstractNumId w:val="6"/>
  </w:num>
  <w:num w:numId="5">
    <w:abstractNumId w:val="14"/>
  </w:num>
  <w:num w:numId="6">
    <w:abstractNumId w:val="2"/>
  </w:num>
  <w:num w:numId="7">
    <w:abstractNumId w:val="15"/>
  </w:num>
  <w:num w:numId="8">
    <w:abstractNumId w:val="8"/>
  </w:num>
  <w:num w:numId="9">
    <w:abstractNumId w:val="12"/>
  </w:num>
  <w:num w:numId="10">
    <w:abstractNumId w:val="3"/>
  </w:num>
  <w:num w:numId="11">
    <w:abstractNumId w:val="16"/>
  </w:num>
  <w:num w:numId="12">
    <w:abstractNumId w:val="13"/>
  </w:num>
  <w:num w:numId="13">
    <w:abstractNumId w:val="0"/>
  </w:num>
  <w:num w:numId="14">
    <w:abstractNumId w:val="11"/>
  </w:num>
  <w:num w:numId="15">
    <w:abstractNumId w:val="7"/>
  </w:num>
  <w:num w:numId="16">
    <w:abstractNumId w:val="10"/>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57"/>
    <w:rsid w:val="00010CF3"/>
    <w:rsid w:val="00011E27"/>
    <w:rsid w:val="000148BC"/>
    <w:rsid w:val="0002181C"/>
    <w:rsid w:val="00024AB8"/>
    <w:rsid w:val="00030854"/>
    <w:rsid w:val="00036028"/>
    <w:rsid w:val="00044642"/>
    <w:rsid w:val="000446B9"/>
    <w:rsid w:val="000450E3"/>
    <w:rsid w:val="00047E21"/>
    <w:rsid w:val="00050E16"/>
    <w:rsid w:val="000602AA"/>
    <w:rsid w:val="00085505"/>
    <w:rsid w:val="000C03ED"/>
    <w:rsid w:val="000C4E25"/>
    <w:rsid w:val="000C6FB5"/>
    <w:rsid w:val="000C7021"/>
    <w:rsid w:val="000D6BBC"/>
    <w:rsid w:val="000D7780"/>
    <w:rsid w:val="000E636A"/>
    <w:rsid w:val="000F2F11"/>
    <w:rsid w:val="00105929"/>
    <w:rsid w:val="00110C36"/>
    <w:rsid w:val="001131D5"/>
    <w:rsid w:val="00141DB8"/>
    <w:rsid w:val="00170C67"/>
    <w:rsid w:val="00172084"/>
    <w:rsid w:val="0017474A"/>
    <w:rsid w:val="001758C6"/>
    <w:rsid w:val="00182B99"/>
    <w:rsid w:val="001A4833"/>
    <w:rsid w:val="001B1C5F"/>
    <w:rsid w:val="001E54FA"/>
    <w:rsid w:val="0021332C"/>
    <w:rsid w:val="00213982"/>
    <w:rsid w:val="0022607B"/>
    <w:rsid w:val="00235CD2"/>
    <w:rsid w:val="0024416D"/>
    <w:rsid w:val="00271911"/>
    <w:rsid w:val="00276ED8"/>
    <w:rsid w:val="002800A0"/>
    <w:rsid w:val="002801B3"/>
    <w:rsid w:val="00281060"/>
    <w:rsid w:val="002940E8"/>
    <w:rsid w:val="00294751"/>
    <w:rsid w:val="002A6E50"/>
    <w:rsid w:val="002B4298"/>
    <w:rsid w:val="002C256A"/>
    <w:rsid w:val="00301CEC"/>
    <w:rsid w:val="00305A7F"/>
    <w:rsid w:val="003152FE"/>
    <w:rsid w:val="003272E7"/>
    <w:rsid w:val="00327436"/>
    <w:rsid w:val="00327BBA"/>
    <w:rsid w:val="003363F6"/>
    <w:rsid w:val="00337C0A"/>
    <w:rsid w:val="00344BD6"/>
    <w:rsid w:val="0035084F"/>
    <w:rsid w:val="0035528D"/>
    <w:rsid w:val="00361821"/>
    <w:rsid w:val="00361E9E"/>
    <w:rsid w:val="0036395D"/>
    <w:rsid w:val="003A266F"/>
    <w:rsid w:val="003C7FBE"/>
    <w:rsid w:val="003D227C"/>
    <w:rsid w:val="003D2B4D"/>
    <w:rsid w:val="003E39A6"/>
    <w:rsid w:val="0040557F"/>
    <w:rsid w:val="00444A88"/>
    <w:rsid w:val="004522FF"/>
    <w:rsid w:val="00466EA4"/>
    <w:rsid w:val="00470B90"/>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917D2"/>
    <w:rsid w:val="005A400A"/>
    <w:rsid w:val="005C0113"/>
    <w:rsid w:val="005E5154"/>
    <w:rsid w:val="005E7EA6"/>
    <w:rsid w:val="005F7B92"/>
    <w:rsid w:val="00612379"/>
    <w:rsid w:val="006153B6"/>
    <w:rsid w:val="0061555F"/>
    <w:rsid w:val="00636CA6"/>
    <w:rsid w:val="00641200"/>
    <w:rsid w:val="00645CA8"/>
    <w:rsid w:val="006655D3"/>
    <w:rsid w:val="00667404"/>
    <w:rsid w:val="006865B4"/>
    <w:rsid w:val="00687EB4"/>
    <w:rsid w:val="00695C56"/>
    <w:rsid w:val="006A5CDE"/>
    <w:rsid w:val="006A644A"/>
    <w:rsid w:val="006A7273"/>
    <w:rsid w:val="006B17D2"/>
    <w:rsid w:val="006C224E"/>
    <w:rsid w:val="006C5CF8"/>
    <w:rsid w:val="006D1059"/>
    <w:rsid w:val="006D313F"/>
    <w:rsid w:val="006D780A"/>
    <w:rsid w:val="0071271E"/>
    <w:rsid w:val="00732DEC"/>
    <w:rsid w:val="00735BD5"/>
    <w:rsid w:val="00751613"/>
    <w:rsid w:val="007556F6"/>
    <w:rsid w:val="00760EEF"/>
    <w:rsid w:val="00777314"/>
    <w:rsid w:val="00777EE5"/>
    <w:rsid w:val="00784836"/>
    <w:rsid w:val="0079023E"/>
    <w:rsid w:val="007A2854"/>
    <w:rsid w:val="007B4801"/>
    <w:rsid w:val="007C1D92"/>
    <w:rsid w:val="007C2C54"/>
    <w:rsid w:val="007C4CB9"/>
    <w:rsid w:val="007D0B9D"/>
    <w:rsid w:val="007D19B0"/>
    <w:rsid w:val="007F498F"/>
    <w:rsid w:val="0080679D"/>
    <w:rsid w:val="008108B0"/>
    <w:rsid w:val="00811B20"/>
    <w:rsid w:val="008211B5"/>
    <w:rsid w:val="0082296E"/>
    <w:rsid w:val="00824099"/>
    <w:rsid w:val="00845D57"/>
    <w:rsid w:val="00846D7C"/>
    <w:rsid w:val="00864C55"/>
    <w:rsid w:val="00867AC1"/>
    <w:rsid w:val="00867E38"/>
    <w:rsid w:val="00886025"/>
    <w:rsid w:val="008879D1"/>
    <w:rsid w:val="00890DF8"/>
    <w:rsid w:val="008A743F"/>
    <w:rsid w:val="008C0970"/>
    <w:rsid w:val="008D0BC5"/>
    <w:rsid w:val="008D2CF7"/>
    <w:rsid w:val="008E0BFA"/>
    <w:rsid w:val="00900C26"/>
    <w:rsid w:val="00900EAF"/>
    <w:rsid w:val="0090197F"/>
    <w:rsid w:val="00903242"/>
    <w:rsid w:val="00906DDC"/>
    <w:rsid w:val="00934E09"/>
    <w:rsid w:val="00936253"/>
    <w:rsid w:val="00940D46"/>
    <w:rsid w:val="00952DD4"/>
    <w:rsid w:val="00965AE7"/>
    <w:rsid w:val="00970FED"/>
    <w:rsid w:val="00985279"/>
    <w:rsid w:val="00985D71"/>
    <w:rsid w:val="00992D82"/>
    <w:rsid w:val="00997029"/>
    <w:rsid w:val="009A7339"/>
    <w:rsid w:val="009B2909"/>
    <w:rsid w:val="009B440E"/>
    <w:rsid w:val="009D690D"/>
    <w:rsid w:val="009D782F"/>
    <w:rsid w:val="009E65B6"/>
    <w:rsid w:val="00A16AE0"/>
    <w:rsid w:val="00A24C10"/>
    <w:rsid w:val="00A379AD"/>
    <w:rsid w:val="00A42AC3"/>
    <w:rsid w:val="00A430CF"/>
    <w:rsid w:val="00A54309"/>
    <w:rsid w:val="00A706D3"/>
    <w:rsid w:val="00A71548"/>
    <w:rsid w:val="00AB2B93"/>
    <w:rsid w:val="00AB530F"/>
    <w:rsid w:val="00AB5931"/>
    <w:rsid w:val="00AB7E5B"/>
    <w:rsid w:val="00AC2883"/>
    <w:rsid w:val="00AE0EF1"/>
    <w:rsid w:val="00AE2937"/>
    <w:rsid w:val="00AE5439"/>
    <w:rsid w:val="00B07301"/>
    <w:rsid w:val="00B11F3E"/>
    <w:rsid w:val="00B224DE"/>
    <w:rsid w:val="00B324D4"/>
    <w:rsid w:val="00B46575"/>
    <w:rsid w:val="00B61777"/>
    <w:rsid w:val="00B84BBD"/>
    <w:rsid w:val="00B86E6D"/>
    <w:rsid w:val="00B967FA"/>
    <w:rsid w:val="00BA43FB"/>
    <w:rsid w:val="00BC127D"/>
    <w:rsid w:val="00BC1FE6"/>
    <w:rsid w:val="00C061B6"/>
    <w:rsid w:val="00C21D28"/>
    <w:rsid w:val="00C2446C"/>
    <w:rsid w:val="00C36AE5"/>
    <w:rsid w:val="00C41F17"/>
    <w:rsid w:val="00C527FA"/>
    <w:rsid w:val="00C5280D"/>
    <w:rsid w:val="00C53EB3"/>
    <w:rsid w:val="00C5791C"/>
    <w:rsid w:val="00C66290"/>
    <w:rsid w:val="00C72B7A"/>
    <w:rsid w:val="00C8765E"/>
    <w:rsid w:val="00C973F2"/>
    <w:rsid w:val="00CA304C"/>
    <w:rsid w:val="00CA774A"/>
    <w:rsid w:val="00CC11B0"/>
    <w:rsid w:val="00CC2841"/>
    <w:rsid w:val="00CF1330"/>
    <w:rsid w:val="00CF7E36"/>
    <w:rsid w:val="00D067B6"/>
    <w:rsid w:val="00D203BE"/>
    <w:rsid w:val="00D36011"/>
    <w:rsid w:val="00D3708D"/>
    <w:rsid w:val="00D40426"/>
    <w:rsid w:val="00D41B08"/>
    <w:rsid w:val="00D57C96"/>
    <w:rsid w:val="00D57D18"/>
    <w:rsid w:val="00D619E7"/>
    <w:rsid w:val="00D86C31"/>
    <w:rsid w:val="00D90ED2"/>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84C2E"/>
    <w:rsid w:val="00E935F1"/>
    <w:rsid w:val="00E94A81"/>
    <w:rsid w:val="00EA1FFB"/>
    <w:rsid w:val="00EB048E"/>
    <w:rsid w:val="00EB4E9C"/>
    <w:rsid w:val="00EB57D6"/>
    <w:rsid w:val="00EB653E"/>
    <w:rsid w:val="00EE34DF"/>
    <w:rsid w:val="00EF2F89"/>
    <w:rsid w:val="00F03E98"/>
    <w:rsid w:val="00F06BA1"/>
    <w:rsid w:val="00F1237A"/>
    <w:rsid w:val="00F22CBD"/>
    <w:rsid w:val="00F272F1"/>
    <w:rsid w:val="00F45372"/>
    <w:rsid w:val="00F560F7"/>
    <w:rsid w:val="00F6334D"/>
    <w:rsid w:val="00FA49AB"/>
    <w:rsid w:val="00FA5C1B"/>
    <w:rsid w:val="00FD4F25"/>
    <w:rsid w:val="00FE39C7"/>
    <w:rsid w:val="00FF4AF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9BBB6"/>
  <w15:docId w15:val="{CB8EC3C8-44BB-4155-AC79-A1B1877C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0E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6C5CF8"/>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9B2909"/>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0450E3"/>
    <w:pPr>
      <w:ind w:left="1134" w:hanging="567"/>
      <w:jc w:val="left"/>
    </w:pPr>
    <w:rPr>
      <w:szCs w:val="22"/>
      <w:lang w:val="en-US"/>
    </w:rPr>
  </w:style>
  <w:style w:type="table" w:styleId="TableGrid">
    <w:name w:val="Table Grid"/>
    <w:basedOn w:val="TableNormal"/>
    <w:rsid w:val="0004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B2909"/>
    <w:rPr>
      <w:rFonts w:ascii="Arial" w:hAnsi="Arial"/>
      <w:u w:val="single"/>
      <w:lang w:val="en-GB" w:eastAsia="pl-PL"/>
    </w:rPr>
  </w:style>
  <w:style w:type="paragraph" w:styleId="BodyText2">
    <w:name w:val="Body Text 2"/>
    <w:basedOn w:val="Normal"/>
    <w:link w:val="BodyText2Char"/>
    <w:rsid w:val="009B290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9B2909"/>
    <w:rPr>
      <w:sz w:val="28"/>
      <w:lang w:val="pl-PL" w:eastAsia="pl-PL"/>
    </w:rPr>
  </w:style>
  <w:style w:type="character" w:customStyle="1" w:styleId="FooterChar">
    <w:name w:val="Footer Char"/>
    <w:aliases w:val="doc_path_name Char"/>
    <w:basedOn w:val="DefaultParagraphFont"/>
    <w:link w:val="Footer"/>
    <w:rsid w:val="009B2909"/>
    <w:rPr>
      <w:rFonts w:ascii="Arial" w:hAnsi="Arial"/>
      <w:sz w:val="14"/>
    </w:rPr>
  </w:style>
  <w:style w:type="paragraph" w:styleId="BodyTextIndent2">
    <w:name w:val="Body Text Indent 2"/>
    <w:basedOn w:val="Normal"/>
    <w:link w:val="BodyTextIndent2Char"/>
    <w:rsid w:val="00FD4F25"/>
    <w:pPr>
      <w:spacing w:after="120" w:line="480" w:lineRule="auto"/>
      <w:ind w:left="283"/>
    </w:pPr>
    <w:rPr>
      <w:lang w:val="en-US"/>
    </w:rPr>
  </w:style>
  <w:style w:type="character" w:customStyle="1" w:styleId="BodyTextIndent2Char">
    <w:name w:val="Body Text Indent 2 Char"/>
    <w:basedOn w:val="DefaultParagraphFont"/>
    <w:link w:val="BodyTextIndent2"/>
    <w:rsid w:val="00FD4F25"/>
    <w:rPr>
      <w:rFonts w:ascii="Arial" w:hAnsi="Arial"/>
    </w:rPr>
  </w:style>
  <w:style w:type="character" w:customStyle="1" w:styleId="Heading7Char">
    <w:name w:val="Heading 7 Char"/>
    <w:basedOn w:val="DefaultParagraphFont"/>
    <w:link w:val="Heading7"/>
    <w:rsid w:val="006C5CF8"/>
    <w:rPr>
      <w:sz w:val="22"/>
      <w:szCs w:val="22"/>
      <w:u w:val="single"/>
      <w:lang w:val="en-GB"/>
    </w:rPr>
  </w:style>
  <w:style w:type="paragraph" w:styleId="ListBullet">
    <w:name w:val="List Bullet"/>
    <w:basedOn w:val="Normal"/>
    <w:rsid w:val="006C5CF8"/>
    <w:pPr>
      <w:numPr>
        <w:numId w:val="1"/>
      </w:numPr>
      <w:spacing w:after="240"/>
    </w:pPr>
    <w:rPr>
      <w:lang w:val="en-GB"/>
    </w:rPr>
  </w:style>
  <w:style w:type="paragraph" w:customStyle="1" w:styleId="Default">
    <w:name w:val="Default"/>
    <w:rsid w:val="006C5CF8"/>
    <w:pPr>
      <w:autoSpaceDE w:val="0"/>
      <w:autoSpaceDN w:val="0"/>
      <w:adjustRightInd w:val="0"/>
    </w:pPr>
    <w:rPr>
      <w:rFonts w:ascii="Arial" w:hAnsi="Arial" w:cs="Arial"/>
      <w:color w:val="000000"/>
      <w:sz w:val="24"/>
      <w:szCs w:val="24"/>
    </w:rPr>
  </w:style>
  <w:style w:type="character" w:customStyle="1" w:styleId="StyleDoclangBold">
    <w:name w:val="Style Doc_lang + Bold"/>
    <w:basedOn w:val="Doclang"/>
    <w:rsid w:val="006C5CF8"/>
    <w:rPr>
      <w:rFonts w:ascii="Arial" w:hAnsi="Arial"/>
      <w:b/>
      <w:bCs/>
      <w:sz w:val="20"/>
      <w:lang w:val="en-US"/>
    </w:rPr>
  </w:style>
  <w:style w:type="paragraph" w:customStyle="1" w:styleId="StyleDocnumber">
    <w:name w:val="Style Doc_number"/>
    <w:basedOn w:val="Docoriginal"/>
    <w:rsid w:val="006C5CF8"/>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C5CF8"/>
    <w:pPr>
      <w:spacing w:before="0" w:line="280" w:lineRule="exact"/>
      <w:ind w:left="1361"/>
      <w:contextualSpacing w:val="0"/>
      <w:jc w:val="both"/>
    </w:pPr>
  </w:style>
  <w:style w:type="paragraph" w:customStyle="1" w:styleId="StyleDocoriginalNotBold">
    <w:name w:val="Style Doc_original + Not Bold"/>
    <w:basedOn w:val="Docoriginal"/>
    <w:link w:val="StyleDocoriginalNotBoldChar"/>
    <w:autoRedefine/>
    <w:rsid w:val="006C5CF8"/>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C5CF8"/>
    <w:rPr>
      <w:rFonts w:ascii="Arial" w:hAnsi="Arial"/>
      <w:b/>
      <w:bCs/>
      <w:spacing w:val="10"/>
      <w:sz w:val="18"/>
      <w:lang w:val="fr-FR"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6C5CF8"/>
    <w:rPr>
      <w:rFonts w:ascii="Arial" w:hAnsi="Arial"/>
      <w:b/>
      <w:bCs/>
      <w:spacing w:val="10"/>
      <w:sz w:val="18"/>
      <w:lang w:val="fr-FR" w:eastAsia="en-US" w:bidi="ar-SA"/>
    </w:rPr>
  </w:style>
  <w:style w:type="character" w:customStyle="1" w:styleId="StyleDocoriginalNotBold1">
    <w:name w:val="Style Doc_original + Not Bold1"/>
    <w:basedOn w:val="StyleStyleDocoriginalNotBoldNotBoldChar"/>
    <w:rsid w:val="006C5CF8"/>
    <w:rPr>
      <w:rFonts w:ascii="Arial" w:hAnsi="Arial"/>
      <w:b/>
      <w:bCs/>
      <w:spacing w:val="10"/>
      <w:sz w:val="18"/>
      <w:lang w:val="fr-FR" w:eastAsia="en-US" w:bidi="ar-SA"/>
    </w:rPr>
  </w:style>
  <w:style w:type="character" w:customStyle="1" w:styleId="StyleDocoriginalChar">
    <w:name w:val="Style Doc_original Char"/>
    <w:basedOn w:val="DocoriginalChar"/>
    <w:link w:val="StyleDocoriginal"/>
    <w:rsid w:val="006C5CF8"/>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C5CF8"/>
  </w:style>
  <w:style w:type="character" w:styleId="Strong">
    <w:name w:val="Strong"/>
    <w:uiPriority w:val="22"/>
    <w:qFormat/>
    <w:rsid w:val="006C5CF8"/>
    <w:rPr>
      <w:b/>
      <w:bCs/>
    </w:rPr>
  </w:style>
  <w:style w:type="paragraph" w:styleId="BodyText3">
    <w:name w:val="Body Text 3"/>
    <w:basedOn w:val="Normal"/>
    <w:link w:val="BodyText3Char"/>
    <w:rsid w:val="006C5CF8"/>
    <w:pPr>
      <w:spacing w:after="120"/>
    </w:pPr>
    <w:rPr>
      <w:sz w:val="16"/>
      <w:szCs w:val="16"/>
      <w:lang w:val="en-US"/>
    </w:rPr>
  </w:style>
  <w:style w:type="character" w:customStyle="1" w:styleId="BodyText3Char">
    <w:name w:val="Body Text 3 Char"/>
    <w:basedOn w:val="DefaultParagraphFont"/>
    <w:link w:val="BodyText3"/>
    <w:rsid w:val="006C5CF8"/>
    <w:rPr>
      <w:rFonts w:ascii="Arial" w:hAnsi="Arial"/>
      <w:sz w:val="16"/>
      <w:szCs w:val="16"/>
    </w:rPr>
  </w:style>
  <w:style w:type="character" w:customStyle="1" w:styleId="FootnoteTextChar">
    <w:name w:val="Footnote Text Char"/>
    <w:link w:val="FootnoteText"/>
    <w:rsid w:val="006C5CF8"/>
    <w:rPr>
      <w:rFonts w:ascii="Arial" w:hAnsi="Arial"/>
      <w:sz w:val="16"/>
      <w:lang w:val="fr-FR"/>
    </w:rPr>
  </w:style>
  <w:style w:type="character" w:customStyle="1" w:styleId="shorttext">
    <w:name w:val="short_text"/>
    <w:basedOn w:val="DefaultParagraphFont"/>
    <w:rsid w:val="006C5CF8"/>
  </w:style>
  <w:style w:type="paragraph" w:customStyle="1" w:styleId="AddressBlock">
    <w:name w:val="Address Block"/>
    <w:basedOn w:val="Normal"/>
    <w:uiPriority w:val="99"/>
    <w:qFormat/>
    <w:rsid w:val="006C5CF8"/>
    <w:pPr>
      <w:jc w:val="left"/>
    </w:pPr>
    <w:rPr>
      <w:sz w:val="24"/>
      <w:lang w:val="en-NZ"/>
    </w:rPr>
  </w:style>
  <w:style w:type="paragraph" w:styleId="NormalWeb">
    <w:name w:val="Normal (Web)"/>
    <w:basedOn w:val="Normal"/>
    <w:uiPriority w:val="99"/>
    <w:unhideWhenUsed/>
    <w:rsid w:val="006C5CF8"/>
    <w:pPr>
      <w:spacing w:before="100" w:beforeAutospacing="1" w:after="100" w:afterAutospacing="1"/>
      <w:jc w:val="left"/>
    </w:pPr>
    <w:rPr>
      <w:rFonts w:ascii="Times New Roman" w:hAnsi="Times New Roman"/>
      <w:sz w:val="24"/>
      <w:szCs w:val="24"/>
      <w:lang w:val="en-US"/>
    </w:rPr>
  </w:style>
  <w:style w:type="character" w:styleId="Emphasis">
    <w:name w:val="Emphasis"/>
    <w:uiPriority w:val="99"/>
    <w:qFormat/>
    <w:rsid w:val="006C5CF8"/>
    <w:rPr>
      <w:rFonts w:cs="Times New Roman"/>
      <w:i/>
      <w:iCs/>
    </w:rPr>
  </w:style>
  <w:style w:type="paragraph" w:styleId="BodyTextIndent">
    <w:name w:val="Body Text Indent"/>
    <w:basedOn w:val="Normal"/>
    <w:link w:val="BodyTextIndentChar"/>
    <w:uiPriority w:val="99"/>
    <w:rsid w:val="006C5CF8"/>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6C5CF8"/>
    <w:rPr>
      <w:lang w:val="ru-RU" w:eastAsia="ru-RU"/>
    </w:rPr>
  </w:style>
  <w:style w:type="paragraph" w:styleId="NoSpacing">
    <w:name w:val="No Spacing"/>
    <w:uiPriority w:val="1"/>
    <w:qFormat/>
    <w:rsid w:val="006C5CF8"/>
    <w:pPr>
      <w:widowControl w:val="0"/>
      <w:autoSpaceDE w:val="0"/>
      <w:autoSpaceDN w:val="0"/>
      <w:adjustRightInd w:val="0"/>
    </w:pPr>
    <w:rPr>
      <w:lang w:val="ru-RU" w:eastAsia="ru-RU"/>
    </w:rPr>
  </w:style>
  <w:style w:type="paragraph" w:styleId="PlainText">
    <w:name w:val="Plain Text"/>
    <w:basedOn w:val="Normal"/>
    <w:link w:val="PlainTextChar"/>
    <w:semiHidden/>
    <w:rsid w:val="006C5CF8"/>
    <w:pPr>
      <w:jc w:val="left"/>
    </w:pPr>
    <w:rPr>
      <w:rFonts w:ascii="Courier New" w:hAnsi="Courier New"/>
      <w:lang w:val="en-GB" w:eastAsia="hu-HU"/>
    </w:rPr>
  </w:style>
  <w:style w:type="character" w:customStyle="1" w:styleId="PlainTextChar">
    <w:name w:val="Plain Text Char"/>
    <w:basedOn w:val="DefaultParagraphFont"/>
    <w:link w:val="PlainText"/>
    <w:semiHidden/>
    <w:rsid w:val="006C5CF8"/>
    <w:rPr>
      <w:rFonts w:ascii="Courier New" w:hAnsi="Courier New"/>
      <w:lang w:val="en-GB" w:eastAsia="hu-HU"/>
    </w:rPr>
  </w:style>
  <w:style w:type="paragraph" w:customStyle="1" w:styleId="TextBody">
    <w:name w:val="Text Body"/>
    <w:basedOn w:val="Normal"/>
    <w:rsid w:val="006C5CF8"/>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character" w:styleId="FollowedHyperlink">
    <w:name w:val="FollowedHyperlink"/>
    <w:basedOn w:val="DefaultParagraphFont"/>
    <w:semiHidden/>
    <w:unhideWhenUsed/>
    <w:rsid w:val="006C5CF8"/>
    <w:rPr>
      <w:color w:val="800080" w:themeColor="followedHyperlink"/>
      <w:u w:val="single"/>
    </w:rPr>
  </w:style>
  <w:style w:type="paragraph" w:customStyle="1" w:styleId="TableParagraph">
    <w:name w:val="Table Paragraph"/>
    <w:basedOn w:val="Normal"/>
    <w:uiPriority w:val="1"/>
    <w:qFormat/>
    <w:rsid w:val="000C6FB5"/>
    <w:pPr>
      <w:widowControl w:val="0"/>
      <w:autoSpaceDE w:val="0"/>
      <w:autoSpaceDN w:val="0"/>
      <w:ind w:left="56"/>
      <w:jc w:val="left"/>
    </w:pPr>
    <w:rPr>
      <w:rFonts w:eastAsia="Arial" w:cs="Arial"/>
      <w:sz w:val="22"/>
      <w:szCs w:val="22"/>
      <w:lang w:val="de-DE" w:eastAsia="de-DE" w:bidi="de-DE"/>
    </w:rPr>
  </w:style>
  <w:style w:type="paragraph" w:customStyle="1" w:styleId="a">
    <w:name w:val="바탕글"/>
    <w:basedOn w:val="Normal"/>
    <w:rsid w:val="00276ED8"/>
    <w:pPr>
      <w:widowControl w:val="0"/>
      <w:wordWrap w:val="0"/>
      <w:autoSpaceDE w:val="0"/>
      <w:autoSpaceDN w:val="0"/>
      <w:spacing w:line="384" w:lineRule="auto"/>
      <w:textAlignment w:val="baseline"/>
    </w:pPr>
    <w:rPr>
      <w:rFonts w:ascii="함초롬바탕" w:eastAsia="Gulim" w:hAnsi="Gulim" w:cs="Gulim"/>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S9J5atZWZYo" TargetMode="External"/><Relationship Id="rId18" Type="http://schemas.openxmlformats.org/officeDocument/2006/relationships/hyperlink" Target="https://youtu.be/GRMlPeLhLSo"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hyperlink" Target="https://conference.ukragroexpert.com.ua" TargetMode="External"/><Relationship Id="rId50" Type="http://schemas.openxmlformats.org/officeDocument/2006/relationships/hyperlink" Target="mailto:upov.mail@upov.int"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ATgTtFiLAiA" TargetMode="External"/><Relationship Id="rId29" Type="http://schemas.openxmlformats.org/officeDocument/2006/relationships/hyperlink" Target="http://www.coboru.pl/Polska/Podstawy_prawne/D20040567.pdf" TargetMode="External"/><Relationship Id="rId11" Type="http://schemas.openxmlformats.org/officeDocument/2006/relationships/hyperlink" Target="https://www.upov.int/genie/details.xhtml?cropId=3285" TargetMode="External"/><Relationship Id="rId24" Type="http://schemas.openxmlformats.org/officeDocument/2006/relationships/header" Target="header6.xml"/><Relationship Id="rId32" Type="http://schemas.openxmlformats.org/officeDocument/2006/relationships/hyperlink" Target="http://www.coboru.gov.pl" TargetMode="External"/><Relationship Id="rId37" Type="http://schemas.openxmlformats.org/officeDocument/2006/relationships/header" Target="header11.xml"/><Relationship Id="rId40" Type="http://schemas.openxmlformats.org/officeDocument/2006/relationships/hyperlink" Target="https://www.uzb.minpolj.gov.rs/index.php?option=com_content&amp;view=article&amp;id=61&amp;Itemid=14&amp;lang=en" TargetMode="External"/><Relationship Id="rId45" Type="http://schemas.openxmlformats.org/officeDocument/2006/relationships/hyperlink" Target="https://sops.gov.ua/uploads/page/buleten/B_3_2020.pdf" TargetMode="External"/><Relationship Id="rId53" Type="http://schemas.openxmlformats.org/officeDocument/2006/relationships/header" Target="header1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youtu.be/GRMlPeLhLSo" TargetMode="External"/><Relationship Id="rId31" Type="http://schemas.openxmlformats.org/officeDocument/2006/relationships/image" Target="media/image2.emf"/><Relationship Id="rId44" Type="http://schemas.openxmlformats.org/officeDocument/2006/relationships/hyperlink" Target="http://journal.sops.gov.ua/" TargetMode="External"/><Relationship Id="rId52"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outu.be/S9J5atZWZYo" TargetMode="External"/><Relationship Id="rId22" Type="http://schemas.openxmlformats.org/officeDocument/2006/relationships/header" Target="header4.xml"/><Relationship Id="rId27" Type="http://schemas.openxmlformats.org/officeDocument/2006/relationships/hyperlink" Target="https://www.mbie.govt.nz/business-and-employment/business/intellectual-property/plant-variety-rights/plant-variety-rights-act-review/" TargetMode="External"/><Relationship Id="rId30" Type="http://schemas.openxmlformats.org/officeDocument/2006/relationships/hyperlink" Target="http://www.coboru.pl/Polska/Podstawy_prawne/DU20152166.pdf" TargetMode="Externa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hyperlink" Target="https://conference-ua.ukragroexpert.com.ua/wp-content/uploads/2020/09/%D0%97%D0%B1%D1%96%D1%80%D0%BD%D0%B8%D0%BA.pdf" TargetMode="External"/><Relationship Id="rId8" Type="http://schemas.openxmlformats.org/officeDocument/2006/relationships/image" Target="media/image1.png"/><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https://youtu.be/S9J5atZWZYo" TargetMode="External"/><Relationship Id="rId17" Type="http://schemas.openxmlformats.org/officeDocument/2006/relationships/hyperlink" Target="https://youtu.be/ATgTtFiLAiA" TargetMode="External"/><Relationship Id="rId25" Type="http://schemas.openxmlformats.org/officeDocument/2006/relationships/hyperlink" Target="https://www.gob.mx/cms/uploads/attachment/file/606574/Cuotas-Derechos-2021.pdf" TargetMode="External"/><Relationship Id="rId33" Type="http://schemas.openxmlformats.org/officeDocument/2006/relationships/hyperlink" Target="http://www.coboru.gov.pl" TargetMode="External"/><Relationship Id="rId38" Type="http://schemas.openxmlformats.org/officeDocument/2006/relationships/header" Target="header12.xml"/><Relationship Id="rId46" Type="http://schemas.openxmlformats.org/officeDocument/2006/relationships/hyperlink" Target="https://sops.gov.ua/uploads/page/5ea14c5ce8a3e.pdf" TargetMode="External"/><Relationship Id="rId20" Type="http://schemas.openxmlformats.org/officeDocument/2006/relationships/hyperlink" Target="https://youtu.be/GRMlPeLhLSo" TargetMode="External"/><Relationship Id="rId41" Type="http://schemas.openxmlformats.org/officeDocument/2006/relationships/header" Target="head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ATgTtFiLAiA"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agepi.gov.md" TargetMode="External"/><Relationship Id="rId49" Type="http://schemas.openxmlformats.org/officeDocument/2006/relationships/hyperlink" Target="https://sops.gov.ua/uploads/page/5f634fd4031c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0E42-E804-4933-B035-A1D3D654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c_54_FR.dotx</Template>
  <TotalTime>117</TotalTime>
  <Pages>37</Pages>
  <Words>14209</Words>
  <Characters>83264</Characters>
  <Application>Microsoft Office Word</Application>
  <DocSecurity>0</DocSecurity>
  <Lines>693</Lines>
  <Paragraphs>194</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97279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C/55/INF/4</dc:title>
  <dc:creator>SANCHEZ VIZCAINO GOMEZ Rosa Maria</dc:creator>
  <cp:lastModifiedBy>SANCHEZ VIZCAINO GOMEZ Rosa Maria</cp:lastModifiedBy>
  <cp:revision>23</cp:revision>
  <cp:lastPrinted>2016-11-22T15:41:00Z</cp:lastPrinted>
  <dcterms:created xsi:type="dcterms:W3CDTF">2021-10-04T14:45:00Z</dcterms:created>
  <dcterms:modified xsi:type="dcterms:W3CDTF">2021-10-04T17:08:00Z</dcterms:modified>
</cp:coreProperties>
</file>