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84C42">
        <w:tc>
          <w:tcPr>
            <w:tcW w:w="6512" w:type="dxa"/>
            <w:tcBorders>
              <w:bottom w:val="single" w:sz="4" w:space="0" w:color="auto"/>
            </w:tcBorders>
          </w:tcPr>
          <w:p w:rsidR="00EB4E9C" w:rsidRPr="00AC2883" w:rsidRDefault="00AB5931" w:rsidP="00AC2883">
            <w:pPr>
              <w:pStyle w:val="Sessiontc"/>
              <w:spacing w:line="240" w:lineRule="auto"/>
            </w:pPr>
            <w:r>
              <w:t>Conseil</w:t>
            </w:r>
          </w:p>
          <w:p w:rsidR="00EB4E9C" w:rsidRPr="00DC3802" w:rsidRDefault="00AB5931" w:rsidP="00305B49">
            <w:pPr>
              <w:pStyle w:val="Sessiontcplacedate"/>
              <w:rPr>
                <w:sz w:val="22"/>
              </w:rPr>
            </w:pPr>
            <w:r>
              <w:t>Cinquante</w:t>
            </w:r>
            <w:r w:rsidR="007939BA">
              <w:t>-</w:t>
            </w:r>
            <w:r w:rsidR="003A028E">
              <w:t>cinqu</w:t>
            </w:r>
            <w:r w:rsidR="007939BA">
              <w:t>ième session</w:t>
            </w:r>
            <w:r>
              <w:t xml:space="preserve"> ordinaire</w:t>
            </w:r>
            <w:r w:rsidR="00EB4E9C" w:rsidRPr="00DA4973">
              <w:br/>
              <w:t>Gen</w:t>
            </w:r>
            <w:r w:rsidR="00A706D3">
              <w:t>è</w:t>
            </w:r>
            <w:r w:rsidR="00EB4E9C" w:rsidRPr="00DA4973">
              <w:t>v</w:t>
            </w:r>
            <w:r w:rsidR="00A706D3">
              <w:t>e</w:t>
            </w:r>
            <w:r w:rsidR="00EB4E9C" w:rsidRPr="00DA4973">
              <w:t xml:space="preserve">, </w:t>
            </w:r>
            <w:r w:rsidR="003A028E">
              <w:t>29</w:t>
            </w:r>
            <w:r w:rsidR="00305B49">
              <w:t> </w:t>
            </w:r>
            <w:r w:rsidR="003A028E">
              <w:t>octobre</w:t>
            </w:r>
            <w:r w:rsidR="00305B49">
              <w:t> </w:t>
            </w:r>
            <w:r w:rsidR="003A028E">
              <w:t>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235CD2" w:rsidRDefault="003A028E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C/55</w:t>
            </w:r>
            <w:r w:rsidR="00EB4E9C" w:rsidRPr="00235CD2">
              <w:rPr>
                <w:lang w:val="fr-FR"/>
              </w:rPr>
              <w:t>/</w:t>
            </w:r>
            <w:r w:rsidR="00305B49">
              <w:rPr>
                <w:lang w:val="fr-FR"/>
              </w:rPr>
              <w:t>3</w:t>
            </w:r>
            <w:r w:rsidR="002310C8">
              <w:rPr>
                <w:lang w:val="fr-FR"/>
              </w:rPr>
              <w:t xml:space="preserve"> </w:t>
            </w:r>
            <w:r w:rsidR="002310C8" w:rsidRPr="002310C8">
              <w:rPr>
                <w:highlight w:val="yellow"/>
                <w:u w:val="single"/>
                <w:lang w:val="fr-FR"/>
              </w:rPr>
              <w:t>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7939BA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84C42" w:rsidRPr="00E84C42" w:rsidRDefault="00EB4E9C" w:rsidP="00305B49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7939BA">
              <w:t> :</w:t>
            </w:r>
            <w:r w:rsidR="00305B49">
              <w:rPr>
                <w:b w:val="0"/>
                <w:spacing w:val="0"/>
              </w:rPr>
              <w:t xml:space="preserve"> </w:t>
            </w:r>
            <w:r w:rsidR="002310C8" w:rsidRPr="0034752E">
              <w:rPr>
                <w:b w:val="0"/>
                <w:strike/>
                <w:spacing w:val="0"/>
                <w:highlight w:val="yellow"/>
                <w:lang w:val="fr-CH"/>
              </w:rPr>
              <w:t>10 juin 2021</w:t>
            </w:r>
            <w:r w:rsidR="002310C8">
              <w:rPr>
                <w:b w:val="0"/>
                <w:spacing w:val="0"/>
                <w:lang w:val="fr-CH"/>
              </w:rPr>
              <w:t xml:space="preserve"> </w:t>
            </w:r>
            <w:r w:rsidR="002310C8" w:rsidRPr="0034752E">
              <w:rPr>
                <w:b w:val="0"/>
                <w:spacing w:val="0"/>
                <w:highlight w:val="yellow"/>
                <w:u w:val="single"/>
                <w:lang w:val="fr-CH"/>
              </w:rPr>
              <w:t>23 août 2021</w:t>
            </w:r>
          </w:p>
        </w:tc>
      </w:tr>
      <w:tr w:rsidR="00E84C42" w:rsidRPr="00C5280D" w:rsidTr="00E84C42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E84C42" w:rsidRPr="00115B07" w:rsidRDefault="009D3545" w:rsidP="00E84C42">
            <w:pPr>
              <w:pStyle w:val="Sessiontc"/>
              <w:spacing w:line="240" w:lineRule="auto"/>
              <w:rPr>
                <w:i/>
                <w:lang w:val="fr-CH"/>
              </w:rPr>
            </w:pPr>
            <w:r w:rsidRPr="009D3545">
              <w:rPr>
                <w:i/>
                <w:lang w:val="fr-CH"/>
              </w:rPr>
              <w:t xml:space="preserve">pour examen </w:t>
            </w:r>
            <w:r w:rsidR="00E84C42" w:rsidRPr="00115B07">
              <w:rPr>
                <w:i/>
                <w:lang w:val="fr-CH"/>
              </w:rPr>
              <w:t>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E84C42" w:rsidRPr="00115B07" w:rsidRDefault="00E84C42" w:rsidP="00E84C42">
            <w:pPr>
              <w:pStyle w:val="Doccode"/>
              <w:rPr>
                <w:lang w:val="fr-CH"/>
              </w:rPr>
            </w:pPr>
          </w:p>
        </w:tc>
      </w:tr>
    </w:tbl>
    <w:p w:rsidR="000D7780" w:rsidRPr="006A644A" w:rsidRDefault="00305B49" w:rsidP="006A644A">
      <w:pPr>
        <w:pStyle w:val="Titleofdoc0"/>
      </w:pPr>
      <w:bookmarkStart w:id="0" w:name="TitleOfDoc"/>
      <w:bookmarkEnd w:id="0"/>
      <w:r>
        <w:t>Adoption de documents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7939BA">
        <w:t>’</w:t>
      </w:r>
      <w:r w:rsidR="00A706D3">
        <w:t>Union</w:t>
      </w:r>
    </w:p>
    <w:p w:rsidR="00050E16" w:rsidRPr="006A644A" w:rsidRDefault="00A706D3" w:rsidP="006A644A">
      <w:pPr>
        <w:pStyle w:val="Disclaimer"/>
      </w:pPr>
      <w:r w:rsidRPr="00A706D3">
        <w:t>Avertissement</w:t>
      </w:r>
      <w:r w:rsidR="007939BA">
        <w:t> :</w:t>
      </w:r>
      <w:r w:rsidRPr="00A706D3">
        <w:t xml:space="preserve"> le présent document ne représente pas les principes ou les orientations de l</w:t>
      </w:r>
      <w:r w:rsidR="007939BA">
        <w:t>’</w:t>
      </w:r>
      <w:r w:rsidRPr="00A706D3">
        <w:t>UPOV</w:t>
      </w:r>
    </w:p>
    <w:p w:rsidR="00305B49" w:rsidRPr="009A1FD1" w:rsidRDefault="00305B49" w:rsidP="00387FDE">
      <w:pPr>
        <w:pStyle w:val="ListParagraph"/>
        <w:numPr>
          <w:ilvl w:val="0"/>
          <w:numId w:val="1"/>
        </w:numPr>
        <w:ind w:left="0" w:firstLine="0"/>
        <w:rPr>
          <w:spacing w:val="-2"/>
        </w:rPr>
      </w:pPr>
      <w:r w:rsidRPr="00305B49">
        <w:t>L</w:t>
      </w:r>
      <w:r w:rsidR="007939BA">
        <w:t>’</w:t>
      </w:r>
      <w:r w:rsidRPr="00305B49">
        <w:t>objet du présent document est de fournir des informations sur les documents ci</w:t>
      </w:r>
      <w:r w:rsidR="007939BA">
        <w:t>-</w:t>
      </w:r>
      <w:r w:rsidRPr="00305B49">
        <w:t>après qui sont soumis à adoption</w:t>
      </w:r>
      <w:r w:rsidRPr="00305B49">
        <w:rPr>
          <w:vertAlign w:val="superscript"/>
        </w:rPr>
        <w:footnoteReference w:id="2"/>
      </w:r>
      <w:r w:rsidR="001F4848">
        <w:t> </w:t>
      </w:r>
      <w:r w:rsidRPr="00305B49">
        <w:t>:</w:t>
      </w:r>
    </w:p>
    <w:p w:rsidR="00305B49" w:rsidRPr="0061088B" w:rsidRDefault="00305B49" w:rsidP="009A1FD1">
      <w:pPr>
        <w:rPr>
          <w:bCs/>
          <w:snapToGrid w:val="0"/>
          <w:sz w:val="16"/>
          <w:szCs w:val="24"/>
        </w:rPr>
      </w:pPr>
    </w:p>
    <w:p w:rsidR="00305B49" w:rsidRPr="009A1FD1" w:rsidRDefault="00305B49" w:rsidP="009A1FD1">
      <w:pPr>
        <w:pStyle w:val="ListParagraph"/>
        <w:keepNext/>
        <w:ind w:left="567"/>
        <w:rPr>
          <w:bCs/>
          <w:snapToGrid w:val="0"/>
          <w:szCs w:val="24"/>
        </w:rPr>
      </w:pPr>
      <w:r w:rsidRPr="009A1FD1">
        <w:rPr>
          <w:bCs/>
          <w:snapToGrid w:val="0"/>
          <w:szCs w:val="24"/>
          <w:u w:val="single"/>
        </w:rPr>
        <w:t>Documents d</w:t>
      </w:r>
      <w:r w:rsidR="007939BA" w:rsidRPr="009A1FD1">
        <w:rPr>
          <w:bCs/>
          <w:snapToGrid w:val="0"/>
          <w:szCs w:val="24"/>
          <w:u w:val="single"/>
        </w:rPr>
        <w:t>’</w:t>
      </w:r>
      <w:r w:rsidRPr="009A1FD1">
        <w:rPr>
          <w:bCs/>
          <w:snapToGrid w:val="0"/>
          <w:szCs w:val="24"/>
          <w:u w:val="single"/>
        </w:rPr>
        <w:t>information</w:t>
      </w:r>
      <w:r w:rsidR="007939BA" w:rsidRPr="009A1FD1">
        <w:rPr>
          <w:bCs/>
          <w:snapToGrid w:val="0"/>
          <w:szCs w:val="24"/>
        </w:rPr>
        <w:t> :</w:t>
      </w:r>
    </w:p>
    <w:p w:rsidR="00305B49" w:rsidRPr="008D5E6F" w:rsidRDefault="00305B49" w:rsidP="00305B49">
      <w:pPr>
        <w:rPr>
          <w:sz w:val="16"/>
        </w:rPr>
      </w:pPr>
    </w:p>
    <w:p w:rsidR="00305B49" w:rsidRPr="00305B49" w:rsidRDefault="00305B49" w:rsidP="00326932">
      <w:pPr>
        <w:pStyle w:val="ListParagraph"/>
        <w:ind w:left="2835" w:hanging="1701"/>
      </w:pPr>
      <w:r w:rsidRPr="00305B49">
        <w:t>UPOV/INF/6</w:t>
      </w:r>
      <w:r w:rsidR="00FC511B">
        <w:tab/>
      </w:r>
      <w:r w:rsidR="00FC511B">
        <w:tab/>
      </w:r>
      <w:r w:rsidRPr="00305B49">
        <w:t>Orientations en vue de la rédaction de lois fondées sur l</w:t>
      </w:r>
      <w:r w:rsidR="007939BA">
        <w:t>’</w:t>
      </w:r>
      <w:r w:rsidRPr="00305B49">
        <w:t xml:space="preserve">Acte </w:t>
      </w:r>
      <w:r w:rsidR="007939BA" w:rsidRPr="00305B49">
        <w:t>de</w:t>
      </w:r>
      <w:r w:rsidR="007939BA">
        <w:t> </w:t>
      </w:r>
      <w:r w:rsidR="007939BA" w:rsidRPr="00305B49">
        <w:t>1991</w:t>
      </w:r>
      <w:r w:rsidRPr="00305B49">
        <w:t xml:space="preserve"> de la </w:t>
      </w:r>
      <w:r w:rsidR="007939BA">
        <w:t>Convention UPOV</w:t>
      </w:r>
      <w:r w:rsidRPr="00305B49">
        <w:t xml:space="preserve"> (révision)</w:t>
      </w:r>
    </w:p>
    <w:p w:rsidR="007939BA" w:rsidRDefault="00305B49" w:rsidP="00326932">
      <w:pPr>
        <w:pStyle w:val="ListParagraph"/>
        <w:ind w:left="2835"/>
      </w:pPr>
      <w:r w:rsidRPr="00305B49">
        <w:t>(annexe du document</w:t>
      </w:r>
      <w:r w:rsidR="009A1FD1">
        <w:t> </w:t>
      </w:r>
      <w:r w:rsidRPr="00305B49">
        <w:t>C/55/3)</w:t>
      </w:r>
    </w:p>
    <w:p w:rsidR="00305B49" w:rsidRPr="008D5E6F" w:rsidRDefault="00305B49" w:rsidP="002F0E57">
      <w:pPr>
        <w:ind w:left="1134" w:hanging="1710"/>
        <w:rPr>
          <w:sz w:val="16"/>
          <w:szCs w:val="16"/>
        </w:rPr>
      </w:pPr>
    </w:p>
    <w:p w:rsidR="007939BA" w:rsidRDefault="00305B49" w:rsidP="002F0E57">
      <w:pPr>
        <w:pStyle w:val="ListParagraph"/>
        <w:ind w:left="1134"/>
      </w:pPr>
      <w:r w:rsidRPr="00305B49">
        <w:t>UPOV/INF/16</w:t>
      </w:r>
      <w:r w:rsidR="00326932">
        <w:tab/>
      </w:r>
      <w:r w:rsidRPr="00305B49">
        <w:t>Logiciels échangeables (révision)</w:t>
      </w:r>
    </w:p>
    <w:p w:rsidR="00305B49" w:rsidRPr="00305B49" w:rsidRDefault="009A1FD1" w:rsidP="00326932">
      <w:pPr>
        <w:pStyle w:val="ListParagraph"/>
        <w:ind w:left="2835"/>
      </w:pPr>
      <w:r>
        <w:t>(document </w:t>
      </w:r>
      <w:r w:rsidR="00305B49" w:rsidRPr="00305B49">
        <w:t>UPOV/INF/16/10 Draft</w:t>
      </w:r>
      <w:r w:rsidR="00260195">
        <w:t> </w:t>
      </w:r>
      <w:r w:rsidR="002310C8" w:rsidRPr="00BF41A5">
        <w:rPr>
          <w:strike/>
          <w:highlight w:val="yellow"/>
        </w:rPr>
        <w:t>1</w:t>
      </w:r>
      <w:r w:rsidR="002310C8" w:rsidRPr="00BF41A5">
        <w:rPr>
          <w:highlight w:val="yellow"/>
          <w:u w:val="single"/>
        </w:rPr>
        <w:t>2</w:t>
      </w:r>
      <w:r w:rsidR="00305B49" w:rsidRPr="00305B49">
        <w:t>)</w:t>
      </w:r>
      <w:r w:rsidR="002310C8" w:rsidRPr="002310C8">
        <w:rPr>
          <w:rStyle w:val="EndnoteReference"/>
          <w:b/>
          <w:highlight w:val="yellow"/>
          <w:u w:val="single"/>
        </w:rPr>
        <w:endnoteReference w:id="2"/>
      </w:r>
    </w:p>
    <w:p w:rsidR="00305B49" w:rsidRPr="008D5E6F" w:rsidRDefault="00305B49" w:rsidP="002F0E57">
      <w:pPr>
        <w:ind w:left="1134" w:hanging="1710"/>
        <w:rPr>
          <w:sz w:val="16"/>
          <w:szCs w:val="16"/>
        </w:rPr>
      </w:pPr>
    </w:p>
    <w:p w:rsidR="00305B49" w:rsidRPr="00305B49" w:rsidRDefault="00305B49" w:rsidP="00326932">
      <w:pPr>
        <w:pStyle w:val="ListParagraph"/>
        <w:ind w:left="2835" w:hanging="1701"/>
      </w:pPr>
      <w:r w:rsidRPr="00305B49">
        <w:t>UPOV/INF/17</w:t>
      </w:r>
      <w:r w:rsidR="00326932">
        <w:tab/>
      </w:r>
      <w:r w:rsidRPr="00305B49">
        <w:t>Directives concernant les profils d</w:t>
      </w:r>
      <w:r w:rsidR="007939BA">
        <w:t>’</w:t>
      </w:r>
      <w:r w:rsidRPr="00305B49">
        <w:t>ADN</w:t>
      </w:r>
      <w:r w:rsidR="007939BA">
        <w:t> :</w:t>
      </w:r>
      <w:r w:rsidRPr="00305B49">
        <w:t xml:space="preserve"> choix des marqueurs moléculaires et construction d</w:t>
      </w:r>
      <w:r w:rsidR="007939BA">
        <w:t>’</w:t>
      </w:r>
      <w:r w:rsidRPr="00305B49">
        <w:t>une base de données y relative (</w:t>
      </w:r>
      <w:r w:rsidR="00260195">
        <w:t>“</w:t>
      </w:r>
      <w:r w:rsidRPr="00305B49">
        <w:t>Directives BMT</w:t>
      </w:r>
      <w:r w:rsidR="00260195">
        <w:t>”</w:t>
      </w:r>
      <w:r w:rsidRPr="00305B49">
        <w:t>) (révision)</w:t>
      </w:r>
    </w:p>
    <w:p w:rsidR="00305B49" w:rsidRPr="00305B49" w:rsidRDefault="009A1FD1" w:rsidP="00326932">
      <w:pPr>
        <w:pStyle w:val="ListParagraph"/>
        <w:ind w:left="2835"/>
      </w:pPr>
      <w:r>
        <w:t>(document </w:t>
      </w:r>
      <w:r w:rsidR="00305B49" w:rsidRPr="00305B49">
        <w:t>UPOV/INF/17/2 Draft</w:t>
      </w:r>
      <w:r w:rsidR="00260195">
        <w:t> </w:t>
      </w:r>
      <w:r w:rsidR="00305B49" w:rsidRPr="00305B49">
        <w:t>6)</w:t>
      </w:r>
    </w:p>
    <w:p w:rsidR="00305B49" w:rsidRPr="008D5E6F" w:rsidRDefault="00305B49" w:rsidP="002F0E57">
      <w:pPr>
        <w:ind w:left="1134" w:hanging="1710"/>
        <w:rPr>
          <w:sz w:val="16"/>
          <w:szCs w:val="16"/>
        </w:rPr>
      </w:pPr>
    </w:p>
    <w:p w:rsidR="007939BA" w:rsidRDefault="00305B49" w:rsidP="002F0E57">
      <w:pPr>
        <w:pStyle w:val="ListParagraph"/>
        <w:ind w:left="1134"/>
      </w:pPr>
      <w:r w:rsidRPr="00305B49">
        <w:t>UPOV/INF/22</w:t>
      </w:r>
      <w:r w:rsidR="00326932">
        <w:tab/>
      </w:r>
      <w:r w:rsidRPr="00305B49">
        <w:t>Logiciels et équipements utilisés par les membres de l</w:t>
      </w:r>
      <w:r w:rsidR="007939BA">
        <w:t>’</w:t>
      </w:r>
      <w:r w:rsidRPr="00305B49">
        <w:t>Union (révision)</w:t>
      </w:r>
    </w:p>
    <w:p w:rsidR="00305B49" w:rsidRPr="00305B49" w:rsidRDefault="009A1FD1" w:rsidP="00326932">
      <w:pPr>
        <w:pStyle w:val="ListParagraph"/>
        <w:ind w:left="2835"/>
      </w:pPr>
      <w:r>
        <w:t>(document </w:t>
      </w:r>
      <w:r w:rsidR="00305B49" w:rsidRPr="00305B49">
        <w:t>UPOV/INF/22/8 Draft</w:t>
      </w:r>
      <w:r w:rsidR="00260195">
        <w:t> </w:t>
      </w:r>
      <w:r w:rsidR="002310C8" w:rsidRPr="00BF41A5">
        <w:rPr>
          <w:strike/>
          <w:highlight w:val="yellow"/>
        </w:rPr>
        <w:t>1</w:t>
      </w:r>
      <w:r w:rsidR="002310C8" w:rsidRPr="00BF41A5">
        <w:rPr>
          <w:highlight w:val="yellow"/>
          <w:u w:val="single"/>
        </w:rPr>
        <w:t>2</w:t>
      </w:r>
      <w:r w:rsidR="00305B49" w:rsidRPr="00305B49">
        <w:t>)</w:t>
      </w:r>
      <w:r w:rsidR="002310C8" w:rsidRPr="002310C8">
        <w:rPr>
          <w:rStyle w:val="EndnoteReference"/>
          <w:b/>
          <w:highlight w:val="yellow"/>
          <w:u w:val="single"/>
        </w:rPr>
        <w:endnoteReference w:id="3"/>
      </w:r>
    </w:p>
    <w:p w:rsidR="00305B49" w:rsidRPr="008D5E6F" w:rsidRDefault="00305B49" w:rsidP="002F0E57">
      <w:pPr>
        <w:ind w:left="1134" w:hanging="1710"/>
        <w:rPr>
          <w:sz w:val="16"/>
          <w:szCs w:val="16"/>
        </w:rPr>
      </w:pPr>
    </w:p>
    <w:p w:rsidR="007939BA" w:rsidRDefault="00305B49" w:rsidP="002F0E57">
      <w:pPr>
        <w:pStyle w:val="ListParagraph"/>
        <w:ind w:left="1134"/>
      </w:pPr>
      <w:r w:rsidRPr="00305B49">
        <w:t>UPOV/INF/23</w:t>
      </w:r>
      <w:r w:rsidR="00326932">
        <w:tab/>
      </w:r>
      <w:r w:rsidR="00A515C7">
        <w:t>S</w:t>
      </w:r>
      <w:r w:rsidRPr="00305B49">
        <w:t>ystème de codes UPOV</w:t>
      </w:r>
    </w:p>
    <w:p w:rsidR="00305B49" w:rsidRPr="00305B49" w:rsidRDefault="009A1FD1" w:rsidP="00326932">
      <w:pPr>
        <w:pStyle w:val="ListParagraph"/>
        <w:ind w:left="2835"/>
      </w:pPr>
      <w:r>
        <w:t>(document UPOV/INF/23/1 Draft </w:t>
      </w:r>
      <w:r w:rsidR="00305B49" w:rsidRPr="00305B49">
        <w:t>3)</w:t>
      </w:r>
    </w:p>
    <w:p w:rsidR="00305B49" w:rsidRPr="008D5E6F" w:rsidRDefault="00305B49" w:rsidP="002F0E57">
      <w:pPr>
        <w:ind w:left="1134" w:hanging="1710"/>
        <w:rPr>
          <w:sz w:val="16"/>
          <w:szCs w:val="16"/>
        </w:rPr>
      </w:pPr>
    </w:p>
    <w:p w:rsidR="00305B49" w:rsidRPr="00305B49" w:rsidRDefault="00305B49" w:rsidP="00326932">
      <w:pPr>
        <w:pStyle w:val="ListParagraph"/>
        <w:ind w:left="2835" w:hanging="1701"/>
      </w:pPr>
      <w:r w:rsidRPr="00305B49">
        <w:t>UPOV/INF</w:t>
      </w:r>
      <w:r w:rsidR="007939BA">
        <w:t>-</w:t>
      </w:r>
      <w:r w:rsidRPr="00305B49">
        <w:t>EXN</w:t>
      </w:r>
      <w:r w:rsidR="00326932">
        <w:tab/>
      </w:r>
      <w:r w:rsidRPr="00305B49">
        <w:t>Liste des documents INF/EXN et date de la version la plus récente de ces documents (révision)</w:t>
      </w:r>
    </w:p>
    <w:p w:rsidR="00305B49" w:rsidRPr="00305B49" w:rsidRDefault="009A1FD1" w:rsidP="00326932">
      <w:pPr>
        <w:ind w:left="2835"/>
      </w:pPr>
      <w:r>
        <w:t>(document </w:t>
      </w:r>
      <w:r w:rsidR="00305B49" w:rsidRPr="00305B49">
        <w:t>UPOV/INF</w:t>
      </w:r>
      <w:r w:rsidR="007939BA">
        <w:t>-</w:t>
      </w:r>
      <w:r w:rsidR="00305B49" w:rsidRPr="00305B49">
        <w:t>EXN/15</w:t>
      </w:r>
      <w:r w:rsidR="00260195">
        <w:t> </w:t>
      </w:r>
      <w:r w:rsidR="00305B49" w:rsidRPr="00305B49">
        <w:t>Draft</w:t>
      </w:r>
      <w:r w:rsidR="00260195">
        <w:t> </w:t>
      </w:r>
      <w:r w:rsidR="0061088B">
        <w:t>1)</w:t>
      </w:r>
    </w:p>
    <w:p w:rsidR="00305B49" w:rsidRPr="0061088B" w:rsidRDefault="00305B49" w:rsidP="009A1FD1">
      <w:pPr>
        <w:keepNext/>
        <w:rPr>
          <w:bCs/>
          <w:snapToGrid w:val="0"/>
          <w:sz w:val="18"/>
          <w:szCs w:val="16"/>
        </w:rPr>
      </w:pPr>
    </w:p>
    <w:p w:rsidR="007939BA" w:rsidRPr="009A1FD1" w:rsidRDefault="00305B49" w:rsidP="009A1FD1">
      <w:pPr>
        <w:pStyle w:val="ListParagraph"/>
        <w:ind w:left="567"/>
        <w:rPr>
          <w:bCs/>
          <w:snapToGrid w:val="0"/>
          <w:szCs w:val="24"/>
          <w:u w:val="single"/>
        </w:rPr>
      </w:pPr>
      <w:r w:rsidRPr="009A1FD1">
        <w:rPr>
          <w:bCs/>
          <w:snapToGrid w:val="0"/>
          <w:szCs w:val="24"/>
          <w:u w:val="single"/>
        </w:rPr>
        <w:t>Notes explicatives</w:t>
      </w:r>
      <w:r w:rsidR="007939BA" w:rsidRPr="009A1FD1">
        <w:rPr>
          <w:bCs/>
          <w:snapToGrid w:val="0"/>
          <w:szCs w:val="24"/>
        </w:rPr>
        <w:t> :</w:t>
      </w:r>
    </w:p>
    <w:p w:rsidR="00305B49" w:rsidRPr="008D5E6F" w:rsidRDefault="00305B49" w:rsidP="009A1FD1">
      <w:pPr>
        <w:jc w:val="left"/>
        <w:rPr>
          <w:sz w:val="16"/>
          <w:szCs w:val="16"/>
        </w:rPr>
      </w:pPr>
    </w:p>
    <w:p w:rsidR="00305B49" w:rsidRPr="00305B49" w:rsidRDefault="00305B49" w:rsidP="00FB03AD">
      <w:pPr>
        <w:pStyle w:val="ListParagraph"/>
        <w:ind w:left="2835" w:hanging="1701"/>
        <w:jc w:val="left"/>
      </w:pPr>
      <w:r w:rsidRPr="00305B49">
        <w:t>UPOV/EXN/DEN</w:t>
      </w:r>
      <w:r w:rsidR="00735ADA">
        <w:tab/>
      </w:r>
      <w:r w:rsidRPr="00305B49">
        <w:t xml:space="preserve">Notes explicatives </w:t>
      </w:r>
      <w:r w:rsidR="00083897">
        <w:t>sur</w:t>
      </w:r>
      <w:r w:rsidRPr="00305B49">
        <w:t xml:space="preserve"> les dénominations </w:t>
      </w:r>
      <w:r w:rsidRPr="005F310E">
        <w:t>variétales en vertu de la</w:t>
      </w:r>
      <w:r w:rsidRPr="00305B49">
        <w:t xml:space="preserve"> </w:t>
      </w:r>
      <w:r w:rsidR="007939BA">
        <w:t>Convention UPOV</w:t>
      </w:r>
      <w:r w:rsidR="0027134E">
        <w:t xml:space="preserve"> (document UPOV/EXN/DEN/1 Draft </w:t>
      </w:r>
      <w:r w:rsidRPr="00305B49">
        <w:t>6)</w:t>
      </w:r>
    </w:p>
    <w:p w:rsidR="00305B49" w:rsidRPr="0061088B" w:rsidRDefault="00305B49" w:rsidP="009A1FD1">
      <w:pPr>
        <w:keepNext/>
        <w:rPr>
          <w:bCs/>
          <w:snapToGrid w:val="0"/>
          <w:sz w:val="18"/>
          <w:szCs w:val="16"/>
        </w:rPr>
      </w:pPr>
    </w:p>
    <w:p w:rsidR="00305B49" w:rsidRPr="009A1FD1" w:rsidRDefault="00305B49" w:rsidP="009A1FD1">
      <w:pPr>
        <w:pStyle w:val="ListParagraph"/>
        <w:ind w:left="567"/>
        <w:rPr>
          <w:bCs/>
          <w:snapToGrid w:val="0"/>
          <w:szCs w:val="24"/>
        </w:rPr>
      </w:pPr>
      <w:r w:rsidRPr="009A1FD1">
        <w:rPr>
          <w:bCs/>
          <w:snapToGrid w:val="0"/>
          <w:szCs w:val="24"/>
          <w:u w:val="single"/>
        </w:rPr>
        <w:t>Documents</w:t>
      </w:r>
      <w:r w:rsidR="00012784">
        <w:rPr>
          <w:bCs/>
          <w:snapToGrid w:val="0"/>
          <w:szCs w:val="24"/>
          <w:u w:val="single"/>
        </w:rPr>
        <w:t> </w:t>
      </w:r>
      <w:r w:rsidRPr="009A1FD1">
        <w:rPr>
          <w:bCs/>
          <w:snapToGrid w:val="0"/>
          <w:szCs w:val="24"/>
          <w:u w:val="single"/>
        </w:rPr>
        <w:t>TGP</w:t>
      </w:r>
      <w:r w:rsidR="007939BA" w:rsidRPr="009A1FD1">
        <w:rPr>
          <w:bCs/>
          <w:snapToGrid w:val="0"/>
          <w:szCs w:val="24"/>
        </w:rPr>
        <w:t> :</w:t>
      </w:r>
    </w:p>
    <w:p w:rsidR="00305B49" w:rsidRPr="008D5E6F" w:rsidRDefault="00305B49" w:rsidP="009A1FD1">
      <w:pPr>
        <w:jc w:val="left"/>
        <w:rPr>
          <w:sz w:val="16"/>
          <w:szCs w:val="16"/>
        </w:rPr>
      </w:pPr>
    </w:p>
    <w:p w:rsidR="00305B49" w:rsidRPr="00305B49" w:rsidRDefault="00305B49" w:rsidP="004F16AB">
      <w:pPr>
        <w:pStyle w:val="ListParagraph"/>
        <w:tabs>
          <w:tab w:val="left" w:pos="2835"/>
        </w:tabs>
        <w:ind w:left="1134"/>
        <w:jc w:val="left"/>
      </w:pPr>
      <w:r w:rsidRPr="00305B49">
        <w:t>TGP/5</w:t>
      </w:r>
      <w:r w:rsidR="004F16AB">
        <w:tab/>
      </w:r>
      <w:r w:rsidRPr="00305B49">
        <w:t>Expérience et coopération en matière d</w:t>
      </w:r>
      <w:r w:rsidR="007939BA">
        <w:t>’</w:t>
      </w:r>
      <w:r w:rsidRPr="00305B49">
        <w:t>examen</w:t>
      </w:r>
      <w:r w:rsidR="001F4848">
        <w:t> </w:t>
      </w:r>
      <w:r w:rsidRPr="00305B49">
        <w:t>DHS</w:t>
      </w:r>
    </w:p>
    <w:p w:rsidR="00305B49" w:rsidRPr="00305B49" w:rsidRDefault="00305B49" w:rsidP="009A1FD1">
      <w:pPr>
        <w:jc w:val="left"/>
        <w:rPr>
          <w:sz w:val="12"/>
          <w:szCs w:val="18"/>
        </w:rPr>
      </w:pPr>
    </w:p>
    <w:p w:rsidR="00305B49" w:rsidRPr="00305B49" w:rsidRDefault="007939BA" w:rsidP="004F16AB">
      <w:pPr>
        <w:pStyle w:val="ListParagraph"/>
        <w:ind w:left="2835"/>
        <w:jc w:val="left"/>
      </w:pPr>
      <w:r w:rsidRPr="00305B49">
        <w:t>Section</w:t>
      </w:r>
      <w:r>
        <w:t> </w:t>
      </w:r>
      <w:r w:rsidRPr="00305B49">
        <w:t>2</w:t>
      </w:r>
      <w:r>
        <w:t> :</w:t>
      </w:r>
      <w:r w:rsidR="00305B49" w:rsidRPr="00305B49">
        <w:t xml:space="preserve"> Formulaire type de l</w:t>
      </w:r>
      <w:r>
        <w:t>’</w:t>
      </w:r>
      <w:r w:rsidR="00305B49" w:rsidRPr="00305B49">
        <w:t>UPOV pour la demande de protection d</w:t>
      </w:r>
      <w:r>
        <w:t>’</w:t>
      </w:r>
      <w:r w:rsidR="00305B49" w:rsidRPr="00305B49">
        <w:t>une obtention végétale (révision)</w:t>
      </w:r>
    </w:p>
    <w:p w:rsidR="00305B49" w:rsidRDefault="0027134E" w:rsidP="004F16AB">
      <w:pPr>
        <w:pStyle w:val="ListParagraph"/>
        <w:ind w:left="2835"/>
        <w:jc w:val="left"/>
      </w:pPr>
      <w:r>
        <w:t>(document </w:t>
      </w:r>
      <w:r w:rsidR="00305B49" w:rsidRPr="00305B49">
        <w:t>TGP/5</w:t>
      </w:r>
      <w:r w:rsidR="001F4848">
        <w:t> </w:t>
      </w:r>
      <w:r w:rsidR="00305B49" w:rsidRPr="00305B49">
        <w:t xml:space="preserve">: </w:t>
      </w:r>
      <w:r w:rsidR="007939BA" w:rsidRPr="00305B49">
        <w:t>Section</w:t>
      </w:r>
      <w:r w:rsidR="007939BA">
        <w:t> </w:t>
      </w:r>
      <w:r w:rsidR="007939BA" w:rsidRPr="00305B49">
        <w:t>2</w:t>
      </w:r>
      <w:r w:rsidR="00305B49" w:rsidRPr="00305B49">
        <w:t>/4 Draft</w:t>
      </w:r>
      <w:r w:rsidR="00260195">
        <w:t> </w:t>
      </w:r>
      <w:r w:rsidR="00305B49" w:rsidRPr="00305B49">
        <w:t>1)</w:t>
      </w:r>
    </w:p>
    <w:p w:rsidR="00012784" w:rsidRPr="008D5E6F" w:rsidRDefault="00012784" w:rsidP="00012784">
      <w:pPr>
        <w:jc w:val="left"/>
        <w:rPr>
          <w:sz w:val="16"/>
          <w:szCs w:val="16"/>
        </w:rPr>
      </w:pPr>
    </w:p>
    <w:p w:rsidR="00305B49" w:rsidRPr="009A1FD1" w:rsidRDefault="00305B49" w:rsidP="008D5E6F">
      <w:pPr>
        <w:pStyle w:val="ListParagraph"/>
        <w:ind w:left="2835" w:hanging="1701"/>
        <w:rPr>
          <w:bCs/>
          <w:snapToGrid w:val="0"/>
          <w:szCs w:val="24"/>
        </w:rPr>
      </w:pPr>
      <w:r w:rsidRPr="009A1FD1">
        <w:rPr>
          <w:bCs/>
          <w:snapToGrid w:val="0"/>
          <w:szCs w:val="24"/>
        </w:rPr>
        <w:t>TGP/0</w:t>
      </w:r>
      <w:r w:rsidR="00A90089">
        <w:rPr>
          <w:bCs/>
          <w:snapToGrid w:val="0"/>
          <w:szCs w:val="24"/>
        </w:rPr>
        <w:tab/>
      </w:r>
      <w:r w:rsidRPr="008D5E6F">
        <w:rPr>
          <w:bCs/>
          <w:snapToGrid w:val="0"/>
          <w:spacing w:val="-4"/>
          <w:szCs w:val="24"/>
        </w:rPr>
        <w:t>Liste des documents TGP et date de la version la plus récente de ces documents (révision)</w:t>
      </w:r>
    </w:p>
    <w:p w:rsidR="0061088B" w:rsidRDefault="00305B49" w:rsidP="0061088B">
      <w:pPr>
        <w:ind w:left="2835"/>
        <w:jc w:val="left"/>
        <w:rPr>
          <w:bCs/>
          <w:snapToGrid w:val="0"/>
          <w:szCs w:val="24"/>
        </w:rPr>
      </w:pPr>
      <w:r w:rsidRPr="00012784">
        <w:rPr>
          <w:bCs/>
          <w:snapToGrid w:val="0"/>
          <w:szCs w:val="24"/>
        </w:rPr>
        <w:t>(</w:t>
      </w:r>
      <w:r w:rsidR="007939BA" w:rsidRPr="00012784">
        <w:rPr>
          <w:bCs/>
          <w:snapToGrid w:val="0"/>
          <w:szCs w:val="24"/>
        </w:rPr>
        <w:t>document</w:t>
      </w:r>
      <w:r w:rsidR="00012784">
        <w:rPr>
          <w:bCs/>
          <w:snapToGrid w:val="0"/>
          <w:szCs w:val="24"/>
        </w:rPr>
        <w:t> </w:t>
      </w:r>
      <w:r w:rsidR="007939BA" w:rsidRPr="00012784">
        <w:rPr>
          <w:bCs/>
          <w:snapToGrid w:val="0"/>
          <w:szCs w:val="24"/>
        </w:rPr>
        <w:t>TG</w:t>
      </w:r>
      <w:r w:rsidR="00012784">
        <w:rPr>
          <w:bCs/>
          <w:snapToGrid w:val="0"/>
          <w:szCs w:val="24"/>
        </w:rPr>
        <w:t>P/0/13 Draft 1)</w:t>
      </w:r>
      <w:r w:rsidR="0061088B">
        <w:rPr>
          <w:bCs/>
          <w:snapToGrid w:val="0"/>
          <w:szCs w:val="24"/>
        </w:rPr>
        <w:t xml:space="preserve">  </w:t>
      </w:r>
      <w:r w:rsidR="0061088B">
        <w:rPr>
          <w:bCs/>
          <w:snapToGrid w:val="0"/>
          <w:szCs w:val="24"/>
        </w:rPr>
        <w:br w:type="page"/>
      </w:r>
    </w:p>
    <w:p w:rsidR="00305B49" w:rsidRPr="00305B49" w:rsidRDefault="00305B49" w:rsidP="00481433">
      <w:pPr>
        <w:pStyle w:val="ListParagraph"/>
        <w:keepNext/>
        <w:numPr>
          <w:ilvl w:val="0"/>
          <w:numId w:val="1"/>
        </w:numPr>
        <w:ind w:left="567" w:hanging="567"/>
      </w:pPr>
      <w:r w:rsidRPr="00305B49">
        <w:lastRenderedPageBreak/>
        <w:t>Les abréviations suivantes sont utilisées dans le présent document</w:t>
      </w:r>
      <w:r w:rsidR="007939BA">
        <w:t> :</w:t>
      </w:r>
    </w:p>
    <w:p w:rsidR="00305B49" w:rsidRPr="00305B49" w:rsidRDefault="00305B49" w:rsidP="00481433">
      <w:pPr>
        <w:keepNext/>
        <w:jc w:val="left"/>
      </w:pPr>
    </w:p>
    <w:p w:rsidR="00305B49" w:rsidRPr="00305B49" w:rsidRDefault="00305B49" w:rsidP="00481433">
      <w:pPr>
        <w:pStyle w:val="ListParagraph"/>
        <w:keepNext/>
        <w:tabs>
          <w:tab w:val="left" w:pos="1701"/>
        </w:tabs>
        <w:ind w:left="567"/>
      </w:pPr>
      <w:r w:rsidRPr="00305B49">
        <w:t>CAJ</w:t>
      </w:r>
      <w:r w:rsidR="007939BA">
        <w:t> :</w:t>
      </w:r>
      <w:r w:rsidRPr="00305B49">
        <w:t xml:space="preserve"> </w:t>
      </w:r>
      <w:r w:rsidR="00481433">
        <w:tab/>
      </w:r>
      <w:r w:rsidRPr="00305B49">
        <w:t>Comité administratif et juridique</w:t>
      </w:r>
    </w:p>
    <w:p w:rsidR="007939BA" w:rsidRDefault="00305B49" w:rsidP="00481433">
      <w:pPr>
        <w:pStyle w:val="ListParagraph"/>
        <w:tabs>
          <w:tab w:val="left" w:pos="1701"/>
        </w:tabs>
        <w:ind w:left="567"/>
      </w:pPr>
      <w:r w:rsidRPr="00305B49">
        <w:t>TC</w:t>
      </w:r>
      <w:r w:rsidR="007939BA">
        <w:t> :</w:t>
      </w:r>
      <w:r w:rsidRPr="00305B49">
        <w:t xml:space="preserve"> </w:t>
      </w:r>
      <w:r w:rsidR="00481433">
        <w:tab/>
      </w:r>
      <w:r w:rsidRPr="00305B49">
        <w:t>Comité technique</w:t>
      </w:r>
    </w:p>
    <w:p w:rsidR="00305B49" w:rsidRDefault="00305B49" w:rsidP="00305B49">
      <w:pPr>
        <w:tabs>
          <w:tab w:val="left" w:pos="567"/>
          <w:tab w:val="left" w:pos="1701"/>
        </w:tabs>
      </w:pPr>
    </w:p>
    <w:p w:rsidR="00192AFF" w:rsidRDefault="00192AFF" w:rsidP="00305B49">
      <w:pPr>
        <w:tabs>
          <w:tab w:val="left" w:pos="567"/>
          <w:tab w:val="left" w:pos="1701"/>
        </w:tabs>
      </w:pPr>
    </w:p>
    <w:p w:rsidR="00192AFF" w:rsidRPr="00305B49" w:rsidRDefault="00192AFF" w:rsidP="00305B49">
      <w:pPr>
        <w:tabs>
          <w:tab w:val="left" w:pos="567"/>
          <w:tab w:val="left" w:pos="1701"/>
        </w:tabs>
      </w:pPr>
    </w:p>
    <w:p w:rsidR="00305B49" w:rsidRPr="0066215D" w:rsidRDefault="0066215D" w:rsidP="0066215D">
      <w:pPr>
        <w:rPr>
          <w:caps/>
          <w:snapToGrid w:val="0"/>
        </w:rPr>
      </w:pPr>
      <w:r w:rsidRPr="0066215D">
        <w:rPr>
          <w:caps/>
          <w:snapToGrid w:val="0"/>
        </w:rPr>
        <w:t>Documents d</w:t>
      </w:r>
      <w:r w:rsidR="007939BA" w:rsidRPr="0066215D">
        <w:rPr>
          <w:caps/>
          <w:snapToGrid w:val="0"/>
        </w:rPr>
        <w:t>’</w:t>
      </w:r>
      <w:r w:rsidRPr="0066215D">
        <w:rPr>
          <w:caps/>
          <w:snapToGrid w:val="0"/>
        </w:rPr>
        <w:t>information</w:t>
      </w:r>
    </w:p>
    <w:p w:rsidR="00305B49" w:rsidRPr="00305B49" w:rsidRDefault="00305B49" w:rsidP="00305B49">
      <w:pPr>
        <w:keepNext/>
        <w:rPr>
          <w:snapToGrid w:val="0"/>
        </w:rPr>
      </w:pPr>
    </w:p>
    <w:p w:rsidR="00305B49" w:rsidRPr="0066215D" w:rsidRDefault="00305B49" w:rsidP="0066215D">
      <w:pPr>
        <w:rPr>
          <w:bCs/>
          <w:snapToGrid w:val="0"/>
          <w:u w:val="single"/>
        </w:rPr>
      </w:pPr>
      <w:r w:rsidRPr="0066215D">
        <w:rPr>
          <w:bCs/>
          <w:snapToGrid w:val="0"/>
          <w:u w:val="single"/>
        </w:rPr>
        <w:t>UPOV/INF/6</w:t>
      </w:r>
      <w:r w:rsidR="007939BA" w:rsidRPr="0066215D">
        <w:rPr>
          <w:bCs/>
          <w:snapToGrid w:val="0"/>
          <w:u w:val="single"/>
        </w:rPr>
        <w:t> :</w:t>
      </w:r>
      <w:r w:rsidRPr="0066215D">
        <w:rPr>
          <w:bCs/>
          <w:snapToGrid w:val="0"/>
          <w:u w:val="single"/>
        </w:rPr>
        <w:t xml:space="preserve"> Orientations en vue de la rédaction de lois fondées sur l</w:t>
      </w:r>
      <w:r w:rsidR="007939BA" w:rsidRPr="0066215D">
        <w:rPr>
          <w:bCs/>
          <w:snapToGrid w:val="0"/>
          <w:u w:val="single"/>
        </w:rPr>
        <w:t>’</w:t>
      </w:r>
      <w:r w:rsidRPr="0066215D">
        <w:rPr>
          <w:bCs/>
          <w:snapToGrid w:val="0"/>
          <w:u w:val="single"/>
        </w:rPr>
        <w:t xml:space="preserve">Acte </w:t>
      </w:r>
      <w:r w:rsidR="007939BA" w:rsidRPr="0066215D">
        <w:rPr>
          <w:bCs/>
          <w:snapToGrid w:val="0"/>
          <w:u w:val="single"/>
        </w:rPr>
        <w:t>de 1991</w:t>
      </w:r>
      <w:r w:rsidRPr="0066215D">
        <w:rPr>
          <w:bCs/>
          <w:snapToGrid w:val="0"/>
          <w:u w:val="single"/>
        </w:rPr>
        <w:t xml:space="preserve"> de la </w:t>
      </w:r>
      <w:r w:rsidR="007939BA" w:rsidRPr="0066215D">
        <w:rPr>
          <w:bCs/>
          <w:snapToGrid w:val="0"/>
          <w:u w:val="single"/>
        </w:rPr>
        <w:t>Convention UPOV</w:t>
      </w:r>
      <w:r w:rsidR="0066215D">
        <w:rPr>
          <w:bCs/>
          <w:snapToGrid w:val="0"/>
          <w:u w:val="single"/>
        </w:rPr>
        <w:t xml:space="preserve"> (révision) (annexe du document </w:t>
      </w:r>
      <w:r w:rsidRPr="0066215D">
        <w:rPr>
          <w:bCs/>
          <w:snapToGrid w:val="0"/>
          <w:u w:val="single"/>
        </w:rPr>
        <w:t>C/55/3)</w:t>
      </w:r>
    </w:p>
    <w:p w:rsidR="00305B49" w:rsidRPr="00305B49" w:rsidRDefault="00305B49" w:rsidP="00305B49">
      <w:pPr>
        <w:keepNext/>
      </w:pPr>
    </w:p>
    <w:p w:rsidR="007939BA" w:rsidRPr="009A1FD1" w:rsidRDefault="00305B49" w:rsidP="00387FDE">
      <w:pPr>
        <w:pStyle w:val="ListParagraph"/>
        <w:numPr>
          <w:ilvl w:val="0"/>
          <w:numId w:val="1"/>
        </w:numPr>
        <w:ind w:left="0" w:firstLine="0"/>
        <w:rPr>
          <w:spacing w:val="-2"/>
        </w:rPr>
      </w:pPr>
      <w:r w:rsidRPr="009A1FD1">
        <w:rPr>
          <w:spacing w:val="-2"/>
        </w:rPr>
        <w:t>À sa soixante</w:t>
      </w:r>
      <w:r w:rsidR="007939BA" w:rsidRPr="009A1FD1">
        <w:rPr>
          <w:spacing w:val="-2"/>
        </w:rPr>
        <w:t>-</w:t>
      </w:r>
      <w:r w:rsidRPr="009A1FD1">
        <w:rPr>
          <w:spacing w:val="-2"/>
        </w:rPr>
        <w:t>dix</w:t>
      </w:r>
      <w:r w:rsidR="007939BA" w:rsidRPr="009A1FD1">
        <w:rPr>
          <w:spacing w:val="-2"/>
        </w:rPr>
        <w:t>-</w:t>
      </w:r>
      <w:r w:rsidRPr="009A1FD1">
        <w:rPr>
          <w:spacing w:val="-2"/>
        </w:rPr>
        <w:t>sept</w:t>
      </w:r>
      <w:r w:rsidR="007939BA" w:rsidRPr="009A1FD1">
        <w:rPr>
          <w:spacing w:val="-2"/>
        </w:rPr>
        <w:t>ième session</w:t>
      </w:r>
      <w:r w:rsidRPr="009A1FD1">
        <w:rPr>
          <w:spacing w:val="-2"/>
        </w:rPr>
        <w:t>,</w:t>
      </w:r>
      <w:r w:rsidR="007939BA" w:rsidRPr="009A1FD1">
        <w:rPr>
          <w:spacing w:val="-2"/>
        </w:rPr>
        <w:t xml:space="preserve"> le CAJ</w:t>
      </w:r>
      <w:r w:rsidRPr="009A1FD1">
        <w:rPr>
          <w:spacing w:val="-2"/>
        </w:rPr>
        <w:t xml:space="preserve"> a approuvé par correspondance, le 25 </w:t>
      </w:r>
      <w:r w:rsidR="007939BA" w:rsidRPr="009A1FD1">
        <w:rPr>
          <w:spacing w:val="-2"/>
        </w:rPr>
        <w:t>octobre 20</w:t>
      </w:r>
      <w:r w:rsidRPr="009A1FD1">
        <w:rPr>
          <w:spacing w:val="-2"/>
        </w:rPr>
        <w:t xml:space="preserve">20, </w:t>
      </w:r>
      <w:r w:rsidR="0066215D">
        <w:rPr>
          <w:spacing w:val="-2"/>
        </w:rPr>
        <w:t>une version révisée du document </w:t>
      </w:r>
      <w:r w:rsidRPr="009A1FD1">
        <w:rPr>
          <w:spacing w:val="-2"/>
        </w:rPr>
        <w:t>UPOV/INF/6 “Orientations en vue de la rédaction de lois fondées sur l</w:t>
      </w:r>
      <w:r w:rsidR="007939BA" w:rsidRPr="009A1FD1">
        <w:rPr>
          <w:spacing w:val="-2"/>
        </w:rPr>
        <w:t>’</w:t>
      </w:r>
      <w:r w:rsidRPr="009A1FD1">
        <w:rPr>
          <w:spacing w:val="-2"/>
        </w:rPr>
        <w:t xml:space="preserve">Acte </w:t>
      </w:r>
      <w:r w:rsidR="007939BA" w:rsidRPr="009A1FD1">
        <w:rPr>
          <w:spacing w:val="-2"/>
        </w:rPr>
        <w:t>de 1991</w:t>
      </w:r>
      <w:r w:rsidRPr="009A1FD1">
        <w:rPr>
          <w:spacing w:val="-2"/>
        </w:rPr>
        <w:t xml:space="preserve"> de la </w:t>
      </w:r>
      <w:r w:rsidR="007939BA" w:rsidRPr="009A1FD1">
        <w:rPr>
          <w:spacing w:val="-2"/>
        </w:rPr>
        <w:t>Convention UPOV</w:t>
      </w:r>
      <w:r w:rsidRPr="009A1FD1">
        <w:rPr>
          <w:spacing w:val="-2"/>
        </w:rPr>
        <w:t>” moyennant l</w:t>
      </w:r>
      <w:r w:rsidR="007939BA" w:rsidRPr="009A1FD1">
        <w:rPr>
          <w:spacing w:val="-2"/>
        </w:rPr>
        <w:t>’</w:t>
      </w:r>
      <w:r w:rsidRPr="009A1FD1">
        <w:rPr>
          <w:spacing w:val="-2"/>
        </w:rPr>
        <w:t>ajout d</w:t>
      </w:r>
      <w:r w:rsidR="007939BA" w:rsidRPr="009A1FD1">
        <w:rPr>
          <w:spacing w:val="-2"/>
        </w:rPr>
        <w:t>’</w:t>
      </w:r>
      <w:r w:rsidRPr="009A1FD1">
        <w:rPr>
          <w:spacing w:val="-2"/>
        </w:rPr>
        <w:t>un renvoi à UPOV PRISMA dans les notes sur l</w:t>
      </w:r>
      <w:r w:rsidR="007939BA" w:rsidRPr="009A1FD1">
        <w:rPr>
          <w:spacing w:val="-2"/>
        </w:rPr>
        <w:t>’article 1</w:t>
      </w:r>
      <w:r w:rsidRPr="009A1FD1">
        <w:rPr>
          <w:spacing w:val="-2"/>
        </w:rPr>
        <w:t>0 intitulé “Dépôt de demandes”</w:t>
      </w:r>
      <w:r w:rsidR="00260195" w:rsidRPr="009A1FD1">
        <w:rPr>
          <w:spacing w:val="-2"/>
        </w:rPr>
        <w:t xml:space="preserve"> </w:t>
      </w:r>
      <w:r w:rsidRPr="009A1FD1">
        <w:rPr>
          <w:spacing w:val="-2"/>
        </w:rPr>
        <w:t xml:space="preserve">(voir les </w:t>
      </w:r>
      <w:r w:rsidR="007939BA" w:rsidRPr="009A1FD1">
        <w:rPr>
          <w:spacing w:val="-2"/>
        </w:rPr>
        <w:t>paragraphes 5</w:t>
      </w:r>
      <w:r w:rsidRPr="009A1FD1">
        <w:rPr>
          <w:spacing w:val="-2"/>
        </w:rPr>
        <w:t>7 et</w:t>
      </w:r>
      <w:r w:rsidR="0066215D">
        <w:rPr>
          <w:spacing w:val="-2"/>
        </w:rPr>
        <w:t> </w:t>
      </w:r>
      <w:r w:rsidRPr="009A1FD1">
        <w:rPr>
          <w:spacing w:val="-2"/>
        </w:rPr>
        <w:t>58 du document</w:t>
      </w:r>
      <w:r w:rsidR="0066215D">
        <w:rPr>
          <w:spacing w:val="-2"/>
        </w:rPr>
        <w:t> </w:t>
      </w:r>
      <w:r w:rsidRPr="009A1FD1">
        <w:rPr>
          <w:spacing w:val="-2"/>
        </w:rPr>
        <w:t>CAJ/77/3</w:t>
      </w:r>
      <w:r w:rsidR="001F4848" w:rsidRPr="009A1FD1">
        <w:rPr>
          <w:spacing w:val="-2"/>
        </w:rPr>
        <w:t> </w:t>
      </w:r>
      <w:r w:rsidRPr="009A1FD1">
        <w:rPr>
          <w:spacing w:val="-2"/>
        </w:rPr>
        <w:t>Rev. “Élaboration de documents d</w:t>
      </w:r>
      <w:r w:rsidR="007939BA" w:rsidRPr="009A1FD1">
        <w:rPr>
          <w:spacing w:val="-2"/>
        </w:rPr>
        <w:t>’</w:t>
      </w:r>
      <w:r w:rsidRPr="009A1FD1">
        <w:rPr>
          <w:spacing w:val="-2"/>
        </w:rPr>
        <w:t>orientation et d</w:t>
      </w:r>
      <w:r w:rsidR="007939BA" w:rsidRPr="009A1FD1">
        <w:rPr>
          <w:spacing w:val="-2"/>
        </w:rPr>
        <w:t>’</w:t>
      </w:r>
      <w:r w:rsidRPr="009A1FD1">
        <w:rPr>
          <w:spacing w:val="-2"/>
        </w:rPr>
        <w:t xml:space="preserve">information” et le </w:t>
      </w:r>
      <w:r w:rsidR="007939BA" w:rsidRPr="009A1FD1">
        <w:rPr>
          <w:spacing w:val="-2"/>
        </w:rPr>
        <w:t>paragraphe 2</w:t>
      </w:r>
      <w:r w:rsidRPr="009A1FD1">
        <w:rPr>
          <w:spacing w:val="-2"/>
        </w:rPr>
        <w:t>8 du document</w:t>
      </w:r>
      <w:r w:rsidR="0066215D">
        <w:rPr>
          <w:spacing w:val="-2"/>
        </w:rPr>
        <w:t> </w:t>
      </w:r>
      <w:r w:rsidRPr="009A1FD1">
        <w:rPr>
          <w:spacing w:val="-2"/>
        </w:rPr>
        <w:t>CAJ/77/9 “Résultats de l</w:t>
      </w:r>
      <w:r w:rsidR="007939BA" w:rsidRPr="009A1FD1">
        <w:rPr>
          <w:spacing w:val="-2"/>
        </w:rPr>
        <w:t>’</w:t>
      </w:r>
      <w:r w:rsidRPr="009A1FD1">
        <w:rPr>
          <w:spacing w:val="-2"/>
        </w:rPr>
        <w:t>examen des documents par correspondance”).</w:t>
      </w:r>
    </w:p>
    <w:p w:rsidR="00305B49" w:rsidRPr="00305B49" w:rsidRDefault="00305B49" w:rsidP="00305B49">
      <w:pPr>
        <w:keepNext/>
      </w:pPr>
    </w:p>
    <w:p w:rsidR="00305B49" w:rsidRPr="0061088B" w:rsidRDefault="00305B49" w:rsidP="00387FDE">
      <w:pPr>
        <w:pStyle w:val="ListParagraph"/>
        <w:numPr>
          <w:ilvl w:val="0"/>
          <w:numId w:val="1"/>
        </w:numPr>
        <w:ind w:left="0" w:firstLine="0"/>
        <w:rPr>
          <w:lang w:eastAsia="ja-JP"/>
        </w:rPr>
      </w:pPr>
      <w:r w:rsidRPr="0061088B">
        <w:t>Compte tenu de ce qui précède, il est proposé d</w:t>
      </w:r>
      <w:r w:rsidR="007939BA" w:rsidRPr="0061088B">
        <w:t>’</w:t>
      </w:r>
      <w:r w:rsidRPr="0061088B">
        <w:t>adopter la version révisée du document UPOV/INF/6</w:t>
      </w:r>
      <w:r w:rsidR="0061088B" w:rsidRPr="0061088B">
        <w:t xml:space="preserve"> </w:t>
      </w:r>
      <w:r w:rsidRPr="0061088B">
        <w:t>“Orientations en vue de la rédaction de lois fondées sur l</w:t>
      </w:r>
      <w:r w:rsidR="007939BA" w:rsidRPr="0061088B">
        <w:t>’</w:t>
      </w:r>
      <w:r w:rsidRPr="0061088B">
        <w:t xml:space="preserve">Acte </w:t>
      </w:r>
      <w:r w:rsidR="007939BA" w:rsidRPr="0061088B">
        <w:t>de 1991</w:t>
      </w:r>
      <w:r w:rsidRPr="0061088B">
        <w:t xml:space="preserve"> de la </w:t>
      </w:r>
      <w:r w:rsidR="007939BA" w:rsidRPr="0061088B">
        <w:t>Convention UPOV</w:t>
      </w:r>
      <w:r w:rsidRPr="0061088B">
        <w:t>” (document</w:t>
      </w:r>
      <w:r w:rsidR="0066215D" w:rsidRPr="0061088B">
        <w:t> </w:t>
      </w:r>
      <w:r w:rsidRPr="0061088B">
        <w:t>UPOV/INF/6/6) sur la base des propositions de modification du document</w:t>
      </w:r>
      <w:r w:rsidR="0066215D" w:rsidRPr="0061088B">
        <w:t> </w:t>
      </w:r>
      <w:r w:rsidRPr="0061088B">
        <w:t>UPOV/INF/6/5 figurant à l</w:t>
      </w:r>
      <w:r w:rsidR="007939BA" w:rsidRPr="0061088B">
        <w:t>’</w:t>
      </w:r>
      <w:r w:rsidRPr="0061088B">
        <w:t>annexe du présent document.</w:t>
      </w:r>
    </w:p>
    <w:p w:rsidR="00305B49" w:rsidRPr="00305B49" w:rsidRDefault="00305B49" w:rsidP="00305B49"/>
    <w:p w:rsidR="00305B49" w:rsidRPr="009A1FD1" w:rsidRDefault="00305B49" w:rsidP="00192AFF">
      <w:pPr>
        <w:pStyle w:val="ListParagraph"/>
        <w:numPr>
          <w:ilvl w:val="0"/>
          <w:numId w:val="1"/>
        </w:numPr>
        <w:ind w:left="5103" w:firstLine="0"/>
        <w:rPr>
          <w:i/>
          <w:spacing w:val="-2"/>
        </w:rPr>
      </w:pPr>
      <w:r w:rsidRPr="009A1FD1">
        <w:rPr>
          <w:i/>
          <w:lang w:eastAsia="zh-CN"/>
        </w:rPr>
        <w:t>Le Conseil est invité à adopter la version révisée du document UPOV/INF/6</w:t>
      </w:r>
      <w:r w:rsidR="00260195" w:rsidRPr="009A1FD1">
        <w:rPr>
          <w:i/>
          <w:lang w:eastAsia="zh-CN"/>
        </w:rPr>
        <w:t> </w:t>
      </w:r>
      <w:r w:rsidRPr="009A1FD1">
        <w:rPr>
          <w:i/>
          <w:lang w:eastAsia="zh-CN"/>
        </w:rPr>
        <w:t>“Orientations en vue de la rédaction de lois fondées sur l</w:t>
      </w:r>
      <w:r w:rsidR="007939BA" w:rsidRPr="009A1FD1">
        <w:rPr>
          <w:i/>
          <w:lang w:eastAsia="zh-CN"/>
        </w:rPr>
        <w:t>’</w:t>
      </w:r>
      <w:r w:rsidRPr="009A1FD1">
        <w:rPr>
          <w:i/>
          <w:lang w:eastAsia="zh-CN"/>
        </w:rPr>
        <w:t xml:space="preserve">Acte </w:t>
      </w:r>
      <w:r w:rsidR="007939BA" w:rsidRPr="009A1FD1">
        <w:rPr>
          <w:i/>
          <w:lang w:eastAsia="zh-CN"/>
        </w:rPr>
        <w:t>de 1991</w:t>
      </w:r>
      <w:r w:rsidRPr="009A1FD1">
        <w:rPr>
          <w:i/>
          <w:lang w:eastAsia="zh-CN"/>
        </w:rPr>
        <w:t xml:space="preserve"> de la </w:t>
      </w:r>
      <w:r w:rsidR="007939BA" w:rsidRPr="009A1FD1">
        <w:rPr>
          <w:i/>
          <w:lang w:eastAsia="zh-CN"/>
        </w:rPr>
        <w:t>Convention UPOV</w:t>
      </w:r>
      <w:r w:rsidRPr="009A1FD1">
        <w:rPr>
          <w:i/>
          <w:lang w:eastAsia="zh-CN"/>
        </w:rPr>
        <w:t>” (document</w:t>
      </w:r>
      <w:r w:rsidR="0066215D">
        <w:rPr>
          <w:i/>
          <w:lang w:eastAsia="zh-CN"/>
        </w:rPr>
        <w:t> </w:t>
      </w:r>
      <w:r w:rsidRPr="009A1FD1">
        <w:rPr>
          <w:i/>
          <w:lang w:eastAsia="zh-CN"/>
        </w:rPr>
        <w:t>UPOV/INF/6/6) sur la base des propositions de modification du document</w:t>
      </w:r>
      <w:r w:rsidR="0066215D">
        <w:rPr>
          <w:i/>
          <w:lang w:eastAsia="zh-CN"/>
        </w:rPr>
        <w:t> </w:t>
      </w:r>
      <w:r w:rsidRPr="009A1FD1">
        <w:rPr>
          <w:i/>
          <w:lang w:eastAsia="zh-CN"/>
        </w:rPr>
        <w:t>UPOV/INF/6/5 figurant à l</w:t>
      </w:r>
      <w:r w:rsidR="007939BA" w:rsidRPr="009A1FD1">
        <w:rPr>
          <w:i/>
          <w:lang w:eastAsia="zh-CN"/>
        </w:rPr>
        <w:t>’</w:t>
      </w:r>
      <w:r w:rsidRPr="009A1FD1">
        <w:rPr>
          <w:i/>
          <w:lang w:eastAsia="zh-CN"/>
        </w:rPr>
        <w:t>annexe du présent document.</w:t>
      </w:r>
    </w:p>
    <w:p w:rsidR="00305B49" w:rsidRPr="00305B49" w:rsidRDefault="00305B49" w:rsidP="00305B49">
      <w:pPr>
        <w:rPr>
          <w:bCs/>
          <w:snapToGrid w:val="0"/>
          <w:u w:val="single"/>
        </w:rPr>
      </w:pPr>
    </w:p>
    <w:p w:rsidR="00305B49" w:rsidRPr="00305B49" w:rsidRDefault="00305B49" w:rsidP="00305B49">
      <w:pPr>
        <w:rPr>
          <w:bCs/>
          <w:snapToGrid w:val="0"/>
          <w:u w:val="single"/>
        </w:rPr>
      </w:pPr>
    </w:p>
    <w:p w:rsidR="007939BA" w:rsidRPr="0066215D" w:rsidRDefault="00305B49" w:rsidP="0066215D">
      <w:pPr>
        <w:rPr>
          <w:bCs/>
          <w:snapToGrid w:val="0"/>
          <w:u w:val="single"/>
        </w:rPr>
      </w:pPr>
      <w:r w:rsidRPr="0066215D">
        <w:rPr>
          <w:bCs/>
          <w:snapToGrid w:val="0"/>
          <w:u w:val="single"/>
        </w:rPr>
        <w:t>UPOV/INF/16</w:t>
      </w:r>
      <w:r w:rsidR="007939BA" w:rsidRPr="0066215D">
        <w:rPr>
          <w:bCs/>
          <w:snapToGrid w:val="0"/>
          <w:u w:val="single"/>
        </w:rPr>
        <w:t> :</w:t>
      </w:r>
      <w:r w:rsidRPr="0066215D">
        <w:rPr>
          <w:bCs/>
          <w:snapToGrid w:val="0"/>
          <w:u w:val="single"/>
        </w:rPr>
        <w:t xml:space="preserve"> Logiciels éc</w:t>
      </w:r>
      <w:r w:rsidR="0066215D">
        <w:rPr>
          <w:bCs/>
          <w:snapToGrid w:val="0"/>
          <w:u w:val="single"/>
        </w:rPr>
        <w:t>hangeables (révision) (document </w:t>
      </w:r>
      <w:r w:rsidRPr="0066215D">
        <w:rPr>
          <w:bCs/>
          <w:snapToGrid w:val="0"/>
          <w:u w:val="single"/>
        </w:rPr>
        <w:t>UPOV/INF/16/10 Draft</w:t>
      </w:r>
      <w:r w:rsidR="00260195" w:rsidRPr="0066215D">
        <w:rPr>
          <w:bCs/>
          <w:snapToGrid w:val="0"/>
          <w:u w:val="single"/>
        </w:rPr>
        <w:t> </w:t>
      </w:r>
      <w:r w:rsidR="002310C8" w:rsidRPr="00BF41A5">
        <w:rPr>
          <w:bCs/>
          <w:strike/>
          <w:snapToGrid w:val="0"/>
          <w:highlight w:val="yellow"/>
        </w:rPr>
        <w:t>1</w:t>
      </w:r>
      <w:r w:rsidR="002310C8" w:rsidRPr="00BF41A5">
        <w:rPr>
          <w:bCs/>
          <w:snapToGrid w:val="0"/>
          <w:highlight w:val="yellow"/>
          <w:u w:val="single"/>
        </w:rPr>
        <w:t>2</w:t>
      </w:r>
      <w:r w:rsidRPr="0066215D">
        <w:rPr>
          <w:bCs/>
          <w:snapToGrid w:val="0"/>
          <w:u w:val="single"/>
        </w:rPr>
        <w:t>)</w:t>
      </w:r>
    </w:p>
    <w:p w:rsidR="00305B49" w:rsidRPr="00305B49" w:rsidRDefault="00305B49" w:rsidP="00305B49">
      <w:pPr>
        <w:rPr>
          <w:snapToGrid w:val="0"/>
        </w:rPr>
      </w:pPr>
    </w:p>
    <w:p w:rsidR="00305B49" w:rsidRPr="00305B49" w:rsidRDefault="00305B49" w:rsidP="00387FDE">
      <w:pPr>
        <w:pStyle w:val="ListParagraph"/>
        <w:keepNext/>
        <w:numPr>
          <w:ilvl w:val="0"/>
          <w:numId w:val="1"/>
        </w:numPr>
        <w:ind w:left="0" w:firstLine="0"/>
      </w:pPr>
      <w:r w:rsidRPr="00305B49">
        <w:t>Le</w:t>
      </w:r>
      <w:r w:rsidR="007939BA">
        <w:t> TC</w:t>
      </w:r>
      <w:r w:rsidRPr="00305B49">
        <w:t xml:space="preserve"> et</w:t>
      </w:r>
      <w:r w:rsidR="007939BA" w:rsidRPr="00305B49">
        <w:t xml:space="preserve"> le</w:t>
      </w:r>
      <w:r w:rsidR="007939BA">
        <w:t> </w:t>
      </w:r>
      <w:r w:rsidR="007939BA" w:rsidRPr="00305B49">
        <w:t>CAJ</w:t>
      </w:r>
      <w:r w:rsidRPr="00305B49">
        <w:t xml:space="preserve"> seront invités à approuver les propositions de révision du document UPOV/INF/16/</w:t>
      </w:r>
      <w:r w:rsidR="001C4FB7">
        <w:t>9</w:t>
      </w:r>
      <w:r w:rsidR="00260195">
        <w:t> </w:t>
      </w:r>
      <w:r w:rsidRPr="00305B49">
        <w:t>“Logiciels échangeables” figurant dans le document UPOV/INF/16/10 Draft</w:t>
      </w:r>
      <w:r w:rsidR="00260195">
        <w:t> </w:t>
      </w:r>
      <w:r w:rsidR="002310C8" w:rsidRPr="00BF41A5">
        <w:rPr>
          <w:strike/>
          <w:spacing w:val="-2"/>
          <w:highlight w:val="yellow"/>
        </w:rPr>
        <w:t>1</w:t>
      </w:r>
      <w:r w:rsidR="002310C8" w:rsidRPr="00BF41A5">
        <w:rPr>
          <w:spacing w:val="-2"/>
          <w:highlight w:val="yellow"/>
          <w:u w:val="single"/>
        </w:rPr>
        <w:t>2</w:t>
      </w:r>
      <w:r w:rsidRPr="00305B49">
        <w:t>.</w:t>
      </w:r>
    </w:p>
    <w:p w:rsidR="00305B49" w:rsidRPr="00305B49" w:rsidRDefault="00305B49" w:rsidP="00305B49"/>
    <w:p w:rsidR="00305B49" w:rsidRPr="009A1FD1" w:rsidRDefault="00305B49" w:rsidP="00192AFF">
      <w:pPr>
        <w:pStyle w:val="ListParagraph"/>
        <w:numPr>
          <w:ilvl w:val="0"/>
          <w:numId w:val="1"/>
        </w:numPr>
        <w:ind w:left="5103" w:firstLine="0"/>
        <w:rPr>
          <w:i/>
          <w:spacing w:val="-2"/>
        </w:rPr>
      </w:pPr>
      <w:r w:rsidRPr="009A1FD1">
        <w:rPr>
          <w:i/>
          <w:lang w:eastAsia="zh-CN"/>
        </w:rPr>
        <w:t>Le Conseil est invité à adopter une version révisée du document UPOV/INF/16/9</w:t>
      </w:r>
      <w:r w:rsidR="00260195" w:rsidRPr="009A1FD1">
        <w:rPr>
          <w:i/>
          <w:lang w:eastAsia="zh-CN"/>
        </w:rPr>
        <w:t> </w:t>
      </w:r>
      <w:r w:rsidRPr="009A1FD1">
        <w:rPr>
          <w:i/>
          <w:lang w:eastAsia="zh-CN"/>
        </w:rPr>
        <w:t>“Logiciels échangeables” sur la base du document</w:t>
      </w:r>
      <w:r w:rsidR="0066215D">
        <w:rPr>
          <w:i/>
          <w:lang w:eastAsia="zh-CN"/>
        </w:rPr>
        <w:t> </w:t>
      </w:r>
      <w:r w:rsidRPr="009A1FD1">
        <w:rPr>
          <w:i/>
          <w:lang w:eastAsia="zh-CN"/>
        </w:rPr>
        <w:t>UPOV/INF/16/10 Draft</w:t>
      </w:r>
      <w:r w:rsidR="00260195" w:rsidRPr="009A1FD1">
        <w:rPr>
          <w:i/>
          <w:lang w:eastAsia="zh-CN"/>
        </w:rPr>
        <w:t> </w:t>
      </w:r>
      <w:r w:rsidR="002310C8" w:rsidRPr="00BF41A5">
        <w:rPr>
          <w:i/>
          <w:strike/>
          <w:highlight w:val="yellow"/>
          <w:lang w:eastAsia="zh-CN"/>
        </w:rPr>
        <w:t>1</w:t>
      </w:r>
      <w:r w:rsidR="002310C8" w:rsidRPr="00BF41A5">
        <w:rPr>
          <w:i/>
          <w:highlight w:val="yellow"/>
          <w:u w:val="single"/>
          <w:lang w:eastAsia="zh-CN"/>
        </w:rPr>
        <w:t>2</w:t>
      </w:r>
      <w:r w:rsidRPr="009A1FD1">
        <w:rPr>
          <w:i/>
          <w:lang w:eastAsia="zh-CN"/>
        </w:rPr>
        <w:t>, sous réserve de l</w:t>
      </w:r>
      <w:r w:rsidR="007939BA" w:rsidRPr="009A1FD1">
        <w:rPr>
          <w:i/>
          <w:lang w:eastAsia="zh-CN"/>
        </w:rPr>
        <w:t>’</w:t>
      </w:r>
      <w:r w:rsidRPr="009A1FD1">
        <w:rPr>
          <w:i/>
          <w:lang w:eastAsia="zh-CN"/>
        </w:rPr>
        <w:t>accord du</w:t>
      </w:r>
      <w:r w:rsidR="007939BA" w:rsidRPr="009A1FD1">
        <w:rPr>
          <w:i/>
          <w:lang w:eastAsia="zh-CN"/>
        </w:rPr>
        <w:t> TC</w:t>
      </w:r>
      <w:r w:rsidRPr="009A1FD1">
        <w:rPr>
          <w:i/>
          <w:lang w:eastAsia="zh-CN"/>
        </w:rPr>
        <w:t xml:space="preserve"> et</w:t>
      </w:r>
      <w:r w:rsidR="007939BA" w:rsidRPr="009A1FD1">
        <w:rPr>
          <w:i/>
          <w:lang w:eastAsia="zh-CN"/>
        </w:rPr>
        <w:t xml:space="preserve"> du CAJ</w:t>
      </w:r>
      <w:r w:rsidRPr="009A1FD1">
        <w:rPr>
          <w:i/>
          <w:lang w:eastAsia="zh-CN"/>
        </w:rPr>
        <w:t>.</w:t>
      </w:r>
    </w:p>
    <w:p w:rsidR="00305B49" w:rsidRPr="00305B49" w:rsidRDefault="00305B49" w:rsidP="00305B49"/>
    <w:p w:rsidR="00305B49" w:rsidRPr="00305B49" w:rsidRDefault="00305B49" w:rsidP="00305B49"/>
    <w:p w:rsidR="00305B49" w:rsidRPr="008D6DDE" w:rsidRDefault="00473823" w:rsidP="00473823">
      <w:pPr>
        <w:keepNext/>
        <w:keepLines/>
        <w:rPr>
          <w:bCs/>
          <w:snapToGrid w:val="0"/>
          <w:spacing w:val="2"/>
          <w:u w:val="single"/>
        </w:rPr>
      </w:pPr>
      <w:r w:rsidRPr="008D6DDE">
        <w:rPr>
          <w:bCs/>
          <w:snapToGrid w:val="0"/>
          <w:spacing w:val="2"/>
          <w:u w:val="single"/>
        </w:rPr>
        <w:t>Révision du document </w:t>
      </w:r>
      <w:r w:rsidR="00305B49" w:rsidRPr="008D6DDE">
        <w:rPr>
          <w:bCs/>
          <w:snapToGrid w:val="0"/>
          <w:spacing w:val="2"/>
          <w:u w:val="single"/>
        </w:rPr>
        <w:t>UPOV/INF/17</w:t>
      </w:r>
      <w:r w:rsidR="00260195" w:rsidRPr="008D6DDE">
        <w:rPr>
          <w:bCs/>
          <w:snapToGrid w:val="0"/>
          <w:spacing w:val="2"/>
          <w:u w:val="single"/>
        </w:rPr>
        <w:t> </w:t>
      </w:r>
      <w:r w:rsidR="00305B49" w:rsidRPr="008D6DDE">
        <w:rPr>
          <w:bCs/>
          <w:snapToGrid w:val="0"/>
          <w:spacing w:val="2"/>
          <w:u w:val="single"/>
        </w:rPr>
        <w:t>“Directives concernant les profils d</w:t>
      </w:r>
      <w:r w:rsidR="007939BA" w:rsidRPr="008D6DDE">
        <w:rPr>
          <w:bCs/>
          <w:snapToGrid w:val="0"/>
          <w:spacing w:val="2"/>
          <w:u w:val="single"/>
        </w:rPr>
        <w:t>’</w:t>
      </w:r>
      <w:r w:rsidR="00305B49" w:rsidRPr="008D6DDE">
        <w:rPr>
          <w:bCs/>
          <w:snapToGrid w:val="0"/>
          <w:spacing w:val="2"/>
          <w:u w:val="single"/>
        </w:rPr>
        <w:t>ADN</w:t>
      </w:r>
      <w:r w:rsidR="007939BA" w:rsidRPr="008D6DDE">
        <w:rPr>
          <w:bCs/>
          <w:snapToGrid w:val="0"/>
          <w:spacing w:val="2"/>
          <w:u w:val="single"/>
        </w:rPr>
        <w:t> :</w:t>
      </w:r>
      <w:r w:rsidR="00305B49" w:rsidRPr="008D6DDE">
        <w:rPr>
          <w:bCs/>
          <w:snapToGrid w:val="0"/>
          <w:spacing w:val="2"/>
          <w:u w:val="single"/>
        </w:rPr>
        <w:t xml:space="preserve"> choix des marqueurs moléculaires et construction d</w:t>
      </w:r>
      <w:r w:rsidR="007939BA" w:rsidRPr="008D6DDE">
        <w:rPr>
          <w:bCs/>
          <w:snapToGrid w:val="0"/>
          <w:spacing w:val="2"/>
          <w:u w:val="single"/>
        </w:rPr>
        <w:t>’</w:t>
      </w:r>
      <w:r w:rsidR="00305B49" w:rsidRPr="008D6DDE">
        <w:rPr>
          <w:bCs/>
          <w:snapToGrid w:val="0"/>
          <w:spacing w:val="2"/>
          <w:u w:val="single"/>
        </w:rPr>
        <w:t>une base de données y relative (</w:t>
      </w:r>
      <w:r w:rsidR="00260195" w:rsidRPr="008D6DDE">
        <w:rPr>
          <w:bCs/>
          <w:snapToGrid w:val="0"/>
          <w:spacing w:val="2"/>
          <w:u w:val="single"/>
        </w:rPr>
        <w:t>“</w:t>
      </w:r>
      <w:r w:rsidR="00305B49" w:rsidRPr="008D6DDE">
        <w:rPr>
          <w:bCs/>
          <w:snapToGrid w:val="0"/>
          <w:spacing w:val="2"/>
          <w:u w:val="single"/>
        </w:rPr>
        <w:t>Directives BMT</w:t>
      </w:r>
      <w:r w:rsidR="00260195" w:rsidRPr="008D6DDE">
        <w:rPr>
          <w:bCs/>
          <w:snapToGrid w:val="0"/>
          <w:spacing w:val="2"/>
          <w:u w:val="single"/>
        </w:rPr>
        <w:t>”</w:t>
      </w:r>
      <w:r w:rsidR="00305B49" w:rsidRPr="008D6DDE">
        <w:rPr>
          <w:bCs/>
          <w:snapToGrid w:val="0"/>
          <w:spacing w:val="2"/>
          <w:u w:val="single"/>
        </w:rPr>
        <w:t>)” (document</w:t>
      </w:r>
      <w:r w:rsidRPr="008D6DDE">
        <w:rPr>
          <w:bCs/>
          <w:snapToGrid w:val="0"/>
          <w:spacing w:val="2"/>
          <w:u w:val="single"/>
        </w:rPr>
        <w:t> </w:t>
      </w:r>
      <w:r w:rsidR="008D6DDE" w:rsidRPr="008D6DDE">
        <w:rPr>
          <w:bCs/>
          <w:snapToGrid w:val="0"/>
          <w:spacing w:val="2"/>
          <w:u w:val="single"/>
        </w:rPr>
        <w:t>UPOV/INF/17/2 </w:t>
      </w:r>
      <w:r w:rsidR="00305B49" w:rsidRPr="008D6DDE">
        <w:rPr>
          <w:bCs/>
          <w:snapToGrid w:val="0"/>
          <w:spacing w:val="2"/>
          <w:u w:val="single"/>
        </w:rPr>
        <w:t>Draft</w:t>
      </w:r>
      <w:r w:rsidR="00260195" w:rsidRPr="008D6DDE">
        <w:rPr>
          <w:bCs/>
          <w:snapToGrid w:val="0"/>
          <w:spacing w:val="2"/>
          <w:u w:val="single"/>
        </w:rPr>
        <w:t> </w:t>
      </w:r>
      <w:r w:rsidR="00305B49" w:rsidRPr="008D6DDE">
        <w:rPr>
          <w:bCs/>
          <w:snapToGrid w:val="0"/>
          <w:spacing w:val="2"/>
          <w:u w:val="single"/>
        </w:rPr>
        <w:t>6)</w:t>
      </w:r>
    </w:p>
    <w:p w:rsidR="00305B49" w:rsidRPr="00305B49" w:rsidRDefault="00305B49" w:rsidP="00305B49">
      <w:pPr>
        <w:keepNext/>
        <w:keepLines/>
      </w:pPr>
    </w:p>
    <w:p w:rsidR="00305B49" w:rsidRPr="008D6DDE" w:rsidRDefault="00305B49" w:rsidP="00AE1942">
      <w:pPr>
        <w:pStyle w:val="ListParagraph"/>
        <w:numPr>
          <w:ilvl w:val="0"/>
          <w:numId w:val="1"/>
        </w:numPr>
        <w:ind w:left="0" w:firstLine="0"/>
        <w:rPr>
          <w:spacing w:val="-2"/>
        </w:rPr>
      </w:pPr>
      <w:r w:rsidRPr="008D6DDE">
        <w:rPr>
          <w:spacing w:val="-2"/>
        </w:rPr>
        <w:t>Le</w:t>
      </w:r>
      <w:r w:rsidR="007939BA" w:rsidRPr="008D6DDE">
        <w:rPr>
          <w:spacing w:val="-2"/>
        </w:rPr>
        <w:t> TC</w:t>
      </w:r>
      <w:r w:rsidRPr="008D6DDE">
        <w:rPr>
          <w:spacing w:val="-2"/>
        </w:rPr>
        <w:t xml:space="preserve"> et</w:t>
      </w:r>
      <w:r w:rsidR="007939BA" w:rsidRPr="008D6DDE">
        <w:rPr>
          <w:spacing w:val="-2"/>
        </w:rPr>
        <w:t xml:space="preserve"> le CAJ</w:t>
      </w:r>
      <w:r w:rsidRPr="008D6DDE">
        <w:rPr>
          <w:spacing w:val="-2"/>
        </w:rPr>
        <w:t xml:space="preserve"> seront invités à approuver les propositions de révision du document</w:t>
      </w:r>
      <w:r w:rsidR="00A02A59" w:rsidRPr="008D6DDE">
        <w:rPr>
          <w:spacing w:val="-2"/>
        </w:rPr>
        <w:t> </w:t>
      </w:r>
      <w:r w:rsidRPr="008D6DDE">
        <w:rPr>
          <w:spacing w:val="-2"/>
        </w:rPr>
        <w:t xml:space="preserve">UPOV/INF/17/1 </w:t>
      </w:r>
      <w:r w:rsidR="007939BA" w:rsidRPr="008D6DDE">
        <w:rPr>
          <w:spacing w:val="-2"/>
        </w:rPr>
        <w:t>“</w:t>
      </w:r>
      <w:r w:rsidR="00AE1942" w:rsidRPr="00AE1942">
        <w:rPr>
          <w:spacing w:val="-2"/>
        </w:rPr>
        <w:t>Directives concernant les profils d’ADN : choix des marqueurs moléculaires et construction d’une base de données y relative (“Directives BMT”)</w:t>
      </w:r>
      <w:r w:rsidR="007939BA" w:rsidRPr="008D6DDE">
        <w:rPr>
          <w:spacing w:val="-2"/>
        </w:rPr>
        <w:t>”</w:t>
      </w:r>
      <w:r w:rsidRPr="008D6DDE">
        <w:rPr>
          <w:spacing w:val="-2"/>
        </w:rPr>
        <w:t xml:space="preserve"> figurant</w:t>
      </w:r>
      <w:r w:rsidR="008D6DDE" w:rsidRPr="008D6DDE">
        <w:rPr>
          <w:spacing w:val="-2"/>
        </w:rPr>
        <w:t xml:space="preserve"> dans le document UPOV/INF/17/2 </w:t>
      </w:r>
      <w:r w:rsidRPr="008D6DDE">
        <w:rPr>
          <w:spacing w:val="-2"/>
        </w:rPr>
        <w:t>Draft</w:t>
      </w:r>
      <w:r w:rsidR="00A02A59" w:rsidRPr="008D6DDE">
        <w:rPr>
          <w:spacing w:val="-2"/>
        </w:rPr>
        <w:t> </w:t>
      </w:r>
      <w:r w:rsidRPr="008D6DDE">
        <w:rPr>
          <w:spacing w:val="-2"/>
        </w:rPr>
        <w:t>6.</w:t>
      </w:r>
    </w:p>
    <w:p w:rsidR="00305B49" w:rsidRPr="00305B49" w:rsidRDefault="00305B49" w:rsidP="00305B49"/>
    <w:p w:rsidR="00C47E19" w:rsidRDefault="00305B49" w:rsidP="00362848">
      <w:pPr>
        <w:pStyle w:val="ListParagraph"/>
        <w:keepLines/>
        <w:numPr>
          <w:ilvl w:val="0"/>
          <w:numId w:val="1"/>
        </w:numPr>
        <w:ind w:left="5103" w:firstLine="0"/>
        <w:rPr>
          <w:i/>
          <w:spacing w:val="-2"/>
        </w:rPr>
      </w:pPr>
      <w:r w:rsidRPr="009A1FD1">
        <w:rPr>
          <w:i/>
          <w:spacing w:val="-2"/>
          <w:lang w:eastAsia="zh-CN"/>
        </w:rPr>
        <w:t>Le Conseil est invité à adopter une version révisée du document</w:t>
      </w:r>
      <w:r w:rsidR="00B23FCB">
        <w:rPr>
          <w:i/>
          <w:spacing w:val="-2"/>
          <w:lang w:eastAsia="zh-CN"/>
        </w:rPr>
        <w:t> </w:t>
      </w:r>
      <w:r w:rsidRPr="009A1FD1">
        <w:rPr>
          <w:i/>
          <w:spacing w:val="-2"/>
          <w:lang w:eastAsia="zh-CN"/>
        </w:rPr>
        <w:t>UPOV/INF/17/1 “Directives concernant les profils d</w:t>
      </w:r>
      <w:r w:rsidR="007939BA" w:rsidRPr="009A1FD1">
        <w:rPr>
          <w:i/>
          <w:spacing w:val="-2"/>
          <w:lang w:eastAsia="zh-CN"/>
        </w:rPr>
        <w:t>’</w:t>
      </w:r>
      <w:r w:rsidRPr="009A1FD1">
        <w:rPr>
          <w:i/>
          <w:spacing w:val="-2"/>
          <w:lang w:eastAsia="zh-CN"/>
        </w:rPr>
        <w:t>ADN</w:t>
      </w:r>
      <w:r w:rsidR="007939BA" w:rsidRPr="009A1FD1">
        <w:rPr>
          <w:i/>
          <w:spacing w:val="-2"/>
          <w:lang w:eastAsia="zh-CN"/>
        </w:rPr>
        <w:t> :</w:t>
      </w:r>
      <w:r w:rsidRPr="009A1FD1">
        <w:rPr>
          <w:i/>
          <w:spacing w:val="-2"/>
          <w:lang w:eastAsia="zh-CN"/>
        </w:rPr>
        <w:t xml:space="preserve"> choix des marqueurs moléculaires et construction d</w:t>
      </w:r>
      <w:r w:rsidR="007939BA" w:rsidRPr="009A1FD1">
        <w:rPr>
          <w:i/>
          <w:spacing w:val="-2"/>
          <w:lang w:eastAsia="zh-CN"/>
        </w:rPr>
        <w:t>’</w:t>
      </w:r>
      <w:r w:rsidRPr="009A1FD1">
        <w:rPr>
          <w:i/>
          <w:spacing w:val="-2"/>
          <w:lang w:eastAsia="zh-CN"/>
        </w:rPr>
        <w:t>une base de données y relative (</w:t>
      </w:r>
      <w:r w:rsidR="00260195" w:rsidRPr="009A1FD1">
        <w:rPr>
          <w:i/>
          <w:spacing w:val="-2"/>
          <w:lang w:eastAsia="zh-CN"/>
        </w:rPr>
        <w:t>“</w:t>
      </w:r>
      <w:r w:rsidRPr="009A1FD1">
        <w:rPr>
          <w:i/>
          <w:spacing w:val="-2"/>
          <w:lang w:eastAsia="zh-CN"/>
        </w:rPr>
        <w:t>Directives BMT</w:t>
      </w:r>
      <w:r w:rsidR="00260195" w:rsidRPr="009A1FD1">
        <w:rPr>
          <w:i/>
          <w:spacing w:val="-2"/>
          <w:lang w:eastAsia="zh-CN"/>
        </w:rPr>
        <w:t>”</w:t>
      </w:r>
      <w:r w:rsidRPr="009A1FD1">
        <w:rPr>
          <w:i/>
          <w:spacing w:val="-2"/>
          <w:lang w:eastAsia="zh-CN"/>
        </w:rPr>
        <w:t>)” sur la base du document</w:t>
      </w:r>
      <w:r w:rsidR="00B23FCB">
        <w:rPr>
          <w:i/>
          <w:spacing w:val="-2"/>
          <w:lang w:eastAsia="zh-CN"/>
        </w:rPr>
        <w:t> </w:t>
      </w:r>
      <w:r w:rsidRPr="009A1FD1">
        <w:rPr>
          <w:i/>
          <w:spacing w:val="-2"/>
          <w:lang w:eastAsia="zh-CN"/>
        </w:rPr>
        <w:t>UPOV/INF/17/2 Draft</w:t>
      </w:r>
      <w:r w:rsidR="00B23FCB">
        <w:rPr>
          <w:i/>
          <w:spacing w:val="-2"/>
          <w:lang w:eastAsia="zh-CN"/>
        </w:rPr>
        <w:t> </w:t>
      </w:r>
      <w:r w:rsidR="00AE1942">
        <w:rPr>
          <w:i/>
          <w:spacing w:val="-2"/>
          <w:lang w:eastAsia="zh-CN"/>
        </w:rPr>
        <w:t>6</w:t>
      </w:r>
      <w:r w:rsidRPr="009A1FD1">
        <w:rPr>
          <w:i/>
          <w:spacing w:val="-2"/>
          <w:lang w:eastAsia="zh-CN"/>
        </w:rPr>
        <w:t>, sous réserve de l</w:t>
      </w:r>
      <w:r w:rsidR="007939BA" w:rsidRPr="009A1FD1">
        <w:rPr>
          <w:i/>
          <w:spacing w:val="-2"/>
          <w:lang w:eastAsia="zh-CN"/>
        </w:rPr>
        <w:t>’</w:t>
      </w:r>
      <w:r w:rsidRPr="009A1FD1">
        <w:rPr>
          <w:i/>
          <w:spacing w:val="-2"/>
          <w:lang w:eastAsia="zh-CN"/>
        </w:rPr>
        <w:t>accord du</w:t>
      </w:r>
      <w:r w:rsidR="007939BA" w:rsidRPr="009A1FD1">
        <w:rPr>
          <w:i/>
          <w:spacing w:val="-2"/>
          <w:lang w:eastAsia="zh-CN"/>
        </w:rPr>
        <w:t> TC</w:t>
      </w:r>
      <w:r w:rsidRPr="009A1FD1">
        <w:rPr>
          <w:i/>
          <w:spacing w:val="-2"/>
          <w:lang w:eastAsia="zh-CN"/>
        </w:rPr>
        <w:t xml:space="preserve"> et</w:t>
      </w:r>
      <w:r w:rsidR="007939BA" w:rsidRPr="009A1FD1">
        <w:rPr>
          <w:i/>
          <w:spacing w:val="-2"/>
          <w:lang w:eastAsia="zh-CN"/>
        </w:rPr>
        <w:t xml:space="preserve"> du CAJ</w:t>
      </w:r>
      <w:r w:rsidRPr="009A1FD1">
        <w:rPr>
          <w:i/>
          <w:spacing w:val="-2"/>
          <w:lang w:eastAsia="zh-CN"/>
        </w:rPr>
        <w:t>.</w:t>
      </w:r>
    </w:p>
    <w:p w:rsidR="00192AFF" w:rsidRPr="00192AFF" w:rsidRDefault="00192AFF" w:rsidP="00192AFF">
      <w:pPr>
        <w:rPr>
          <w:spacing w:val="-2"/>
        </w:rPr>
      </w:pPr>
    </w:p>
    <w:p w:rsidR="00192AFF" w:rsidRPr="008D6DDE" w:rsidRDefault="00192AFF" w:rsidP="008D6DDE"/>
    <w:p w:rsidR="007939BA" w:rsidRDefault="00305B49" w:rsidP="00C47E19">
      <w:pPr>
        <w:keepNext/>
        <w:keepLines/>
      </w:pPr>
      <w:r w:rsidRPr="00C47E19">
        <w:rPr>
          <w:u w:val="single"/>
        </w:rPr>
        <w:lastRenderedPageBreak/>
        <w:t>UPOV/INF/22</w:t>
      </w:r>
      <w:r w:rsidR="007939BA" w:rsidRPr="00C47E19">
        <w:rPr>
          <w:u w:val="single"/>
        </w:rPr>
        <w:t> :</w:t>
      </w:r>
      <w:r w:rsidR="00421D5C">
        <w:rPr>
          <w:u w:val="single"/>
        </w:rPr>
        <w:t xml:space="preserve"> </w:t>
      </w:r>
      <w:r w:rsidRPr="00C47E19">
        <w:rPr>
          <w:u w:val="single"/>
        </w:rPr>
        <w:t>Logiciels et équipements utilisés par les membres de l</w:t>
      </w:r>
      <w:r w:rsidR="007939BA" w:rsidRPr="00C47E19">
        <w:rPr>
          <w:u w:val="single"/>
        </w:rPr>
        <w:t>’</w:t>
      </w:r>
      <w:r w:rsidRPr="00C47E19">
        <w:rPr>
          <w:u w:val="single"/>
        </w:rPr>
        <w:t>Union (révision) (document</w:t>
      </w:r>
      <w:r w:rsidR="00C47E19">
        <w:rPr>
          <w:u w:val="single"/>
        </w:rPr>
        <w:t> </w:t>
      </w:r>
      <w:r w:rsidRPr="00C47E19">
        <w:rPr>
          <w:u w:val="single"/>
        </w:rPr>
        <w:t>UPOV/INF/22/8 Draft</w:t>
      </w:r>
      <w:r w:rsidR="00260195" w:rsidRPr="00C47E19">
        <w:rPr>
          <w:u w:val="single"/>
        </w:rPr>
        <w:t> </w:t>
      </w:r>
      <w:r w:rsidR="002310C8" w:rsidRPr="00BF41A5">
        <w:rPr>
          <w:bCs/>
          <w:strike/>
          <w:snapToGrid w:val="0"/>
          <w:highlight w:val="yellow"/>
        </w:rPr>
        <w:t>1</w:t>
      </w:r>
      <w:r w:rsidR="002310C8" w:rsidRPr="00BF41A5">
        <w:rPr>
          <w:bCs/>
          <w:snapToGrid w:val="0"/>
          <w:highlight w:val="yellow"/>
          <w:u w:val="single"/>
        </w:rPr>
        <w:t>2</w:t>
      </w:r>
      <w:r w:rsidRPr="00C47E19">
        <w:rPr>
          <w:u w:val="single"/>
        </w:rPr>
        <w:t>)</w:t>
      </w:r>
    </w:p>
    <w:p w:rsidR="00305B49" w:rsidRPr="00305B49" w:rsidRDefault="00305B49" w:rsidP="00305B49">
      <w:pPr>
        <w:keepNext/>
        <w:keepLines/>
        <w:jc w:val="left"/>
        <w:rPr>
          <w:bCs/>
          <w:snapToGrid w:val="0"/>
          <w:spacing w:val="-4"/>
          <w:u w:val="single"/>
        </w:rPr>
      </w:pPr>
    </w:p>
    <w:p w:rsidR="00305B49" w:rsidRPr="00305B49" w:rsidRDefault="00305B49" w:rsidP="00387FDE">
      <w:pPr>
        <w:pStyle w:val="ListParagraph"/>
        <w:keepNext/>
        <w:numPr>
          <w:ilvl w:val="0"/>
          <w:numId w:val="1"/>
        </w:numPr>
        <w:ind w:left="0" w:firstLine="0"/>
      </w:pPr>
      <w:r w:rsidRPr="00305B49">
        <w:t>Le</w:t>
      </w:r>
      <w:r w:rsidR="007939BA">
        <w:t> TC</w:t>
      </w:r>
      <w:r w:rsidRPr="00305B49">
        <w:t xml:space="preserve"> et</w:t>
      </w:r>
      <w:r w:rsidR="007939BA" w:rsidRPr="00305B49">
        <w:t xml:space="preserve"> le</w:t>
      </w:r>
      <w:r w:rsidR="007939BA">
        <w:t> </w:t>
      </w:r>
      <w:r w:rsidR="007939BA" w:rsidRPr="00305B49">
        <w:t>CAJ</w:t>
      </w:r>
      <w:r w:rsidRPr="00305B49">
        <w:t xml:space="preserve"> seront invités à approuver les propositions de révision du document</w:t>
      </w:r>
      <w:r w:rsidR="004314AE">
        <w:t> </w:t>
      </w:r>
      <w:r w:rsidRPr="00305B49">
        <w:t>UPOV/INF/22/7 “Logiciels et équipements utilisés par les membres de l</w:t>
      </w:r>
      <w:r w:rsidR="007939BA">
        <w:t>’</w:t>
      </w:r>
      <w:r w:rsidRPr="00305B49">
        <w:t>Union” figurant dans le document</w:t>
      </w:r>
      <w:r w:rsidR="004314AE">
        <w:t> </w:t>
      </w:r>
      <w:r w:rsidR="008D6DDE">
        <w:t>UPOV/INF/22/8 </w:t>
      </w:r>
      <w:r w:rsidRPr="00305B49">
        <w:t>Draft</w:t>
      </w:r>
      <w:r w:rsidR="004314AE">
        <w:t> </w:t>
      </w:r>
      <w:r w:rsidR="002310C8" w:rsidRPr="00BF41A5">
        <w:rPr>
          <w:strike/>
          <w:spacing w:val="-2"/>
          <w:highlight w:val="yellow"/>
        </w:rPr>
        <w:t>1</w:t>
      </w:r>
      <w:r w:rsidR="002310C8" w:rsidRPr="00BF41A5">
        <w:rPr>
          <w:spacing w:val="-2"/>
          <w:highlight w:val="yellow"/>
          <w:u w:val="single"/>
        </w:rPr>
        <w:t>2</w:t>
      </w:r>
      <w:r w:rsidRPr="00305B49">
        <w:t>.</w:t>
      </w:r>
    </w:p>
    <w:p w:rsidR="00305B49" w:rsidRPr="00305B49" w:rsidRDefault="00305B49" w:rsidP="00305B49">
      <w:pPr>
        <w:keepNext/>
      </w:pPr>
    </w:p>
    <w:p w:rsidR="00305B49" w:rsidRPr="009A1FD1" w:rsidRDefault="00305B49" w:rsidP="00C047B2">
      <w:pPr>
        <w:pStyle w:val="ListParagraph"/>
        <w:numPr>
          <w:ilvl w:val="0"/>
          <w:numId w:val="1"/>
        </w:numPr>
        <w:ind w:left="5103" w:firstLine="0"/>
        <w:rPr>
          <w:i/>
          <w:spacing w:val="-2"/>
        </w:rPr>
      </w:pPr>
      <w:r w:rsidRPr="009A1FD1">
        <w:rPr>
          <w:i/>
          <w:spacing w:val="-2"/>
          <w:lang w:eastAsia="zh-CN"/>
        </w:rPr>
        <w:t xml:space="preserve">Le Conseil est invité à adopter </w:t>
      </w:r>
      <w:r w:rsidR="004314AE">
        <w:rPr>
          <w:i/>
          <w:spacing w:val="-2"/>
          <w:lang w:eastAsia="zh-CN"/>
        </w:rPr>
        <w:t>une version révisée du document </w:t>
      </w:r>
      <w:r w:rsidRPr="009A1FD1">
        <w:rPr>
          <w:i/>
          <w:spacing w:val="-2"/>
          <w:lang w:eastAsia="zh-CN"/>
        </w:rPr>
        <w:t>UPOV/INF/22/7, “Logiciels et équipements utilisés par les membres de l</w:t>
      </w:r>
      <w:r w:rsidR="007939BA" w:rsidRPr="009A1FD1">
        <w:rPr>
          <w:i/>
          <w:spacing w:val="-2"/>
          <w:lang w:eastAsia="zh-CN"/>
        </w:rPr>
        <w:t>’</w:t>
      </w:r>
      <w:r w:rsidR="004314AE">
        <w:rPr>
          <w:i/>
          <w:spacing w:val="-2"/>
          <w:lang w:eastAsia="zh-CN"/>
        </w:rPr>
        <w:t>Union” sur la base du document </w:t>
      </w:r>
      <w:r w:rsidRPr="009A1FD1">
        <w:rPr>
          <w:i/>
          <w:spacing w:val="-2"/>
          <w:lang w:eastAsia="zh-CN"/>
        </w:rPr>
        <w:t>UPOV/INF/22/8 Draft</w:t>
      </w:r>
      <w:r w:rsidR="00260195" w:rsidRPr="009A1FD1">
        <w:rPr>
          <w:i/>
          <w:spacing w:val="-2"/>
          <w:lang w:eastAsia="zh-CN"/>
        </w:rPr>
        <w:t> </w:t>
      </w:r>
      <w:r w:rsidR="002310C8" w:rsidRPr="00BF41A5">
        <w:rPr>
          <w:i/>
          <w:strike/>
          <w:highlight w:val="yellow"/>
          <w:lang w:eastAsia="zh-CN"/>
        </w:rPr>
        <w:t>1</w:t>
      </w:r>
      <w:r w:rsidR="002310C8" w:rsidRPr="00BF41A5">
        <w:rPr>
          <w:i/>
          <w:highlight w:val="yellow"/>
          <w:u w:val="single"/>
          <w:lang w:eastAsia="zh-CN"/>
        </w:rPr>
        <w:t>2</w:t>
      </w:r>
      <w:r w:rsidRPr="009A1FD1">
        <w:rPr>
          <w:i/>
          <w:spacing w:val="-2"/>
          <w:lang w:eastAsia="zh-CN"/>
        </w:rPr>
        <w:t>, sous réserve de l</w:t>
      </w:r>
      <w:r w:rsidR="007939BA" w:rsidRPr="009A1FD1">
        <w:rPr>
          <w:i/>
          <w:spacing w:val="-2"/>
          <w:lang w:eastAsia="zh-CN"/>
        </w:rPr>
        <w:t>’</w:t>
      </w:r>
      <w:r w:rsidRPr="009A1FD1">
        <w:rPr>
          <w:i/>
          <w:spacing w:val="-2"/>
          <w:lang w:eastAsia="zh-CN"/>
        </w:rPr>
        <w:t>accord du</w:t>
      </w:r>
      <w:r w:rsidR="007939BA" w:rsidRPr="009A1FD1">
        <w:rPr>
          <w:i/>
          <w:spacing w:val="-2"/>
          <w:lang w:eastAsia="zh-CN"/>
        </w:rPr>
        <w:t> TC</w:t>
      </w:r>
      <w:r w:rsidRPr="009A1FD1">
        <w:rPr>
          <w:i/>
          <w:spacing w:val="-2"/>
          <w:lang w:eastAsia="zh-CN"/>
        </w:rPr>
        <w:t xml:space="preserve"> et</w:t>
      </w:r>
      <w:r w:rsidR="007939BA" w:rsidRPr="009A1FD1">
        <w:rPr>
          <w:i/>
          <w:spacing w:val="-2"/>
          <w:lang w:eastAsia="zh-CN"/>
        </w:rPr>
        <w:t xml:space="preserve"> du CAJ</w:t>
      </w:r>
      <w:r w:rsidRPr="009A1FD1">
        <w:rPr>
          <w:i/>
          <w:spacing w:val="-2"/>
          <w:lang w:eastAsia="zh-CN"/>
        </w:rPr>
        <w:t>.</w:t>
      </w:r>
    </w:p>
    <w:p w:rsidR="00305B49" w:rsidRPr="00305B49" w:rsidRDefault="00305B49" w:rsidP="00305B49"/>
    <w:p w:rsidR="00305B49" w:rsidRPr="00305B49" w:rsidRDefault="00305B49" w:rsidP="00305B49"/>
    <w:p w:rsidR="00305B49" w:rsidRPr="00421D5C" w:rsidRDefault="00305B49" w:rsidP="00421D5C">
      <w:pPr>
        <w:keepNext/>
        <w:keepLines/>
        <w:rPr>
          <w:u w:val="single"/>
        </w:rPr>
      </w:pPr>
      <w:r w:rsidRPr="00421D5C">
        <w:rPr>
          <w:u w:val="single"/>
        </w:rPr>
        <w:t>UPOV/INF/23</w:t>
      </w:r>
      <w:r w:rsidR="00421D5C">
        <w:rPr>
          <w:u w:val="single"/>
        </w:rPr>
        <w:t> :</w:t>
      </w:r>
      <w:r w:rsidR="00A515C7">
        <w:rPr>
          <w:u w:val="single"/>
        </w:rPr>
        <w:t xml:space="preserve"> S</w:t>
      </w:r>
      <w:r w:rsidRPr="00421D5C">
        <w:rPr>
          <w:u w:val="single"/>
        </w:rPr>
        <w:t>ystème de codes UPOV (document</w:t>
      </w:r>
      <w:r w:rsidR="00421D5C">
        <w:rPr>
          <w:u w:val="single"/>
        </w:rPr>
        <w:t> </w:t>
      </w:r>
      <w:r w:rsidRPr="00421D5C">
        <w:rPr>
          <w:u w:val="single"/>
        </w:rPr>
        <w:t>UPOV/INF/23/</w:t>
      </w:r>
      <w:r w:rsidR="004663DE">
        <w:rPr>
          <w:u w:val="single"/>
        </w:rPr>
        <w:t>1</w:t>
      </w:r>
      <w:r w:rsidRPr="00421D5C">
        <w:rPr>
          <w:u w:val="single"/>
        </w:rPr>
        <w:t xml:space="preserve"> Draft</w:t>
      </w:r>
      <w:r w:rsidR="00260195" w:rsidRPr="00421D5C">
        <w:rPr>
          <w:u w:val="single"/>
        </w:rPr>
        <w:t> </w:t>
      </w:r>
      <w:r w:rsidR="004663DE">
        <w:rPr>
          <w:u w:val="single"/>
        </w:rPr>
        <w:t>3</w:t>
      </w:r>
      <w:r w:rsidRPr="00421D5C">
        <w:rPr>
          <w:u w:val="single"/>
        </w:rPr>
        <w:t>)</w:t>
      </w:r>
    </w:p>
    <w:p w:rsidR="00305B49" w:rsidRPr="00305B49" w:rsidRDefault="00305B49" w:rsidP="00305B49">
      <w:pPr>
        <w:keepNext/>
        <w:keepLines/>
        <w:jc w:val="left"/>
        <w:rPr>
          <w:bCs/>
          <w:snapToGrid w:val="0"/>
          <w:spacing w:val="-4"/>
          <w:u w:val="single"/>
        </w:rPr>
      </w:pPr>
    </w:p>
    <w:p w:rsidR="00305B49" w:rsidRPr="00305B49" w:rsidRDefault="00305B49" w:rsidP="00387FDE">
      <w:pPr>
        <w:pStyle w:val="ListParagraph"/>
        <w:keepNext/>
        <w:numPr>
          <w:ilvl w:val="0"/>
          <w:numId w:val="1"/>
        </w:numPr>
        <w:ind w:left="0" w:firstLine="0"/>
      </w:pPr>
      <w:r w:rsidRPr="00305B49">
        <w:t>Le</w:t>
      </w:r>
      <w:r w:rsidR="007939BA">
        <w:t> TC</w:t>
      </w:r>
      <w:r w:rsidRPr="00305B49">
        <w:t xml:space="preserve"> et</w:t>
      </w:r>
      <w:r w:rsidR="007939BA" w:rsidRPr="00305B49">
        <w:t xml:space="preserve"> le</w:t>
      </w:r>
      <w:r w:rsidR="007939BA">
        <w:t> </w:t>
      </w:r>
      <w:r w:rsidR="007939BA" w:rsidRPr="00305B49">
        <w:t>CAJ</w:t>
      </w:r>
      <w:r w:rsidRPr="00305B49">
        <w:t xml:space="preserve"> seront invités à approuver les propositions figurant dans le document</w:t>
      </w:r>
      <w:r w:rsidR="00421D5C">
        <w:t> </w:t>
      </w:r>
      <w:r w:rsidRPr="00305B49">
        <w:t>UPOV/INF/23</w:t>
      </w:r>
      <w:r w:rsidR="00260195">
        <w:t> </w:t>
      </w:r>
      <w:r w:rsidRPr="00305B49">
        <w:t>“</w:t>
      </w:r>
      <w:r w:rsidR="00A515C7">
        <w:t>S</w:t>
      </w:r>
      <w:r w:rsidRPr="00305B49">
        <w:t>ystème de codes UPOV”, sur la base du document</w:t>
      </w:r>
      <w:r w:rsidR="00421D5C">
        <w:t> </w:t>
      </w:r>
      <w:r w:rsidR="008D6DDE">
        <w:t>UPOV/INF/23/1 </w:t>
      </w:r>
      <w:r w:rsidRPr="00305B49">
        <w:t>Draft</w:t>
      </w:r>
      <w:r w:rsidR="00260195">
        <w:t> </w:t>
      </w:r>
      <w:r w:rsidRPr="00305B49">
        <w:t>3.</w:t>
      </w:r>
    </w:p>
    <w:p w:rsidR="00305B49" w:rsidRPr="00305B49" w:rsidRDefault="00305B49" w:rsidP="00305B49">
      <w:pPr>
        <w:rPr>
          <w:spacing w:val="-2"/>
        </w:rPr>
      </w:pPr>
    </w:p>
    <w:p w:rsidR="00305B49" w:rsidRPr="009A1FD1" w:rsidRDefault="00305B49" w:rsidP="00421D5C">
      <w:pPr>
        <w:pStyle w:val="ListParagraph"/>
        <w:numPr>
          <w:ilvl w:val="0"/>
          <w:numId w:val="1"/>
        </w:numPr>
        <w:ind w:left="5103" w:firstLine="0"/>
        <w:rPr>
          <w:i/>
          <w:spacing w:val="-2"/>
        </w:rPr>
      </w:pPr>
      <w:r w:rsidRPr="009A1FD1">
        <w:rPr>
          <w:i/>
          <w:spacing w:val="-2"/>
          <w:lang w:eastAsia="zh-CN"/>
        </w:rPr>
        <w:t xml:space="preserve">Le Conseil est invité à adopter </w:t>
      </w:r>
      <w:r w:rsidR="00421D5C">
        <w:rPr>
          <w:i/>
          <w:spacing w:val="-2"/>
          <w:lang w:eastAsia="zh-CN"/>
        </w:rPr>
        <w:t>une version révisée du document </w:t>
      </w:r>
      <w:r w:rsidRPr="009A1FD1">
        <w:rPr>
          <w:i/>
          <w:spacing w:val="-2"/>
          <w:lang w:eastAsia="zh-CN"/>
        </w:rPr>
        <w:t>UPOV/INF/23</w:t>
      </w:r>
      <w:r w:rsidR="00260195" w:rsidRPr="009A1FD1">
        <w:rPr>
          <w:i/>
          <w:spacing w:val="-2"/>
          <w:lang w:eastAsia="zh-CN"/>
        </w:rPr>
        <w:t> </w:t>
      </w:r>
      <w:r w:rsidR="007939BA" w:rsidRPr="009A1FD1">
        <w:rPr>
          <w:i/>
          <w:spacing w:val="-2"/>
          <w:lang w:eastAsia="zh-CN"/>
        </w:rPr>
        <w:t>“</w:t>
      </w:r>
      <w:r w:rsidR="00A515C7">
        <w:rPr>
          <w:i/>
          <w:spacing w:val="-2"/>
          <w:lang w:eastAsia="zh-CN"/>
        </w:rPr>
        <w:t>S</w:t>
      </w:r>
      <w:r w:rsidRPr="009A1FD1">
        <w:rPr>
          <w:i/>
          <w:spacing w:val="-2"/>
          <w:lang w:eastAsia="zh-CN"/>
        </w:rPr>
        <w:t>ystème de codes UPO</w:t>
      </w:r>
      <w:r w:rsidR="007939BA" w:rsidRPr="009A1FD1">
        <w:rPr>
          <w:i/>
          <w:spacing w:val="-2"/>
          <w:lang w:eastAsia="zh-CN"/>
        </w:rPr>
        <w:t>V”</w:t>
      </w:r>
      <w:r w:rsidRPr="009A1FD1">
        <w:rPr>
          <w:i/>
          <w:spacing w:val="-2"/>
          <w:lang w:eastAsia="zh-CN"/>
        </w:rPr>
        <w:t xml:space="preserve"> sur la base du document</w:t>
      </w:r>
      <w:r w:rsidR="00421D5C">
        <w:rPr>
          <w:i/>
          <w:spacing w:val="-2"/>
          <w:lang w:eastAsia="zh-CN"/>
        </w:rPr>
        <w:t> </w:t>
      </w:r>
      <w:r w:rsidRPr="009A1FD1">
        <w:rPr>
          <w:i/>
          <w:spacing w:val="-2"/>
          <w:lang w:eastAsia="zh-CN"/>
        </w:rPr>
        <w:t>UPOV/INF/23/1 Draft</w:t>
      </w:r>
      <w:r w:rsidR="00260195" w:rsidRPr="009A1FD1">
        <w:rPr>
          <w:i/>
          <w:spacing w:val="-2"/>
          <w:lang w:eastAsia="zh-CN"/>
        </w:rPr>
        <w:t> </w:t>
      </w:r>
      <w:r w:rsidRPr="009A1FD1">
        <w:rPr>
          <w:i/>
          <w:spacing w:val="-2"/>
          <w:lang w:eastAsia="zh-CN"/>
        </w:rPr>
        <w:t>3, sous réserve de l</w:t>
      </w:r>
      <w:r w:rsidR="007939BA" w:rsidRPr="009A1FD1">
        <w:rPr>
          <w:i/>
          <w:spacing w:val="-2"/>
          <w:lang w:eastAsia="zh-CN"/>
        </w:rPr>
        <w:t>’</w:t>
      </w:r>
      <w:r w:rsidRPr="009A1FD1">
        <w:rPr>
          <w:i/>
          <w:spacing w:val="-2"/>
          <w:lang w:eastAsia="zh-CN"/>
        </w:rPr>
        <w:t>accord du</w:t>
      </w:r>
      <w:r w:rsidR="007939BA" w:rsidRPr="009A1FD1">
        <w:rPr>
          <w:i/>
          <w:spacing w:val="-2"/>
          <w:lang w:eastAsia="zh-CN"/>
        </w:rPr>
        <w:t> TC</w:t>
      </w:r>
      <w:r w:rsidRPr="009A1FD1">
        <w:rPr>
          <w:i/>
          <w:spacing w:val="-2"/>
          <w:lang w:eastAsia="zh-CN"/>
        </w:rPr>
        <w:t xml:space="preserve"> et</w:t>
      </w:r>
      <w:r w:rsidR="007939BA" w:rsidRPr="009A1FD1">
        <w:rPr>
          <w:i/>
          <w:spacing w:val="-2"/>
          <w:lang w:eastAsia="zh-CN"/>
        </w:rPr>
        <w:t xml:space="preserve"> du CAJ</w:t>
      </w:r>
      <w:r w:rsidRPr="009A1FD1">
        <w:rPr>
          <w:i/>
          <w:spacing w:val="-2"/>
          <w:lang w:eastAsia="zh-CN"/>
        </w:rPr>
        <w:t>.</w:t>
      </w:r>
    </w:p>
    <w:p w:rsidR="00305B49" w:rsidRPr="00305B49" w:rsidRDefault="00305B49" w:rsidP="00305B49"/>
    <w:p w:rsidR="00305B49" w:rsidRPr="00305B49" w:rsidRDefault="00305B49" w:rsidP="00305B49"/>
    <w:p w:rsidR="007939BA" w:rsidRDefault="00305B49" w:rsidP="00082170">
      <w:pPr>
        <w:keepNext/>
        <w:jc w:val="left"/>
      </w:pPr>
      <w:r w:rsidRPr="00082170">
        <w:rPr>
          <w:u w:val="single"/>
        </w:rPr>
        <w:t>UPOV/INF</w:t>
      </w:r>
      <w:r w:rsidR="007939BA" w:rsidRPr="00082170">
        <w:rPr>
          <w:u w:val="single"/>
        </w:rPr>
        <w:t>-</w:t>
      </w:r>
      <w:r w:rsidRPr="00082170">
        <w:rPr>
          <w:u w:val="single"/>
        </w:rPr>
        <w:t>EXN</w:t>
      </w:r>
      <w:r w:rsidR="007939BA" w:rsidRPr="00082170">
        <w:rPr>
          <w:u w:val="single"/>
        </w:rPr>
        <w:t> :</w:t>
      </w:r>
      <w:r w:rsidRPr="00082170">
        <w:rPr>
          <w:u w:val="single"/>
        </w:rPr>
        <w:t xml:space="preserve"> Liste des documents</w:t>
      </w:r>
      <w:r w:rsidR="00082170">
        <w:rPr>
          <w:u w:val="single"/>
        </w:rPr>
        <w:t> </w:t>
      </w:r>
      <w:r w:rsidRPr="00082170">
        <w:rPr>
          <w:u w:val="single"/>
        </w:rPr>
        <w:t>UPOV/INF</w:t>
      </w:r>
      <w:r w:rsidR="007939BA" w:rsidRPr="00082170">
        <w:rPr>
          <w:u w:val="single"/>
        </w:rPr>
        <w:t>-</w:t>
      </w:r>
      <w:r w:rsidRPr="00082170">
        <w:rPr>
          <w:u w:val="single"/>
        </w:rPr>
        <w:t>EXN et date de la version la plus récente de ces documents (révision) (document</w:t>
      </w:r>
      <w:r w:rsidR="00082170">
        <w:rPr>
          <w:u w:val="single"/>
        </w:rPr>
        <w:t> </w:t>
      </w:r>
      <w:r w:rsidRPr="00082170">
        <w:rPr>
          <w:u w:val="single"/>
        </w:rPr>
        <w:t>UPOV/INF</w:t>
      </w:r>
      <w:r w:rsidR="007939BA" w:rsidRPr="00082170">
        <w:rPr>
          <w:u w:val="single"/>
        </w:rPr>
        <w:t>-</w:t>
      </w:r>
      <w:r w:rsidRPr="00082170">
        <w:rPr>
          <w:u w:val="single"/>
        </w:rPr>
        <w:t>EXN/15</w:t>
      </w:r>
      <w:r w:rsidR="00260195" w:rsidRPr="00082170">
        <w:rPr>
          <w:u w:val="single"/>
        </w:rPr>
        <w:t> </w:t>
      </w:r>
      <w:r w:rsidRPr="00082170">
        <w:rPr>
          <w:u w:val="single"/>
        </w:rPr>
        <w:t>Draft</w:t>
      </w:r>
      <w:r w:rsidR="00260195" w:rsidRPr="00082170">
        <w:rPr>
          <w:u w:val="single"/>
        </w:rPr>
        <w:t> </w:t>
      </w:r>
      <w:r w:rsidRPr="00082170">
        <w:rPr>
          <w:u w:val="single"/>
        </w:rPr>
        <w:t>1)</w:t>
      </w:r>
    </w:p>
    <w:p w:rsidR="00305B49" w:rsidRPr="00305B49" w:rsidRDefault="00305B49" w:rsidP="00305B49">
      <w:pPr>
        <w:keepNext/>
      </w:pPr>
    </w:p>
    <w:p w:rsidR="00305B49" w:rsidRPr="00305B49" w:rsidRDefault="00305B49" w:rsidP="00387FDE">
      <w:pPr>
        <w:pStyle w:val="ListParagraph"/>
        <w:keepNext/>
        <w:numPr>
          <w:ilvl w:val="0"/>
          <w:numId w:val="1"/>
        </w:numPr>
        <w:ind w:left="0" w:firstLine="0"/>
      </w:pPr>
      <w:r w:rsidRPr="00305B49">
        <w:t>Parallèlement aux documents d</w:t>
      </w:r>
      <w:r w:rsidR="007939BA">
        <w:t>’</w:t>
      </w:r>
      <w:r w:rsidRPr="00305B49">
        <w:t xml:space="preserve">information que le Conseil sera invité à adopter </w:t>
      </w:r>
      <w:r w:rsidR="007939BA" w:rsidRPr="00305B49">
        <w:t>en</w:t>
      </w:r>
      <w:r w:rsidR="007939BA">
        <w:t> </w:t>
      </w:r>
      <w:r w:rsidR="007939BA" w:rsidRPr="00305B49">
        <w:t>2021</w:t>
      </w:r>
      <w:r w:rsidRPr="00305B49">
        <w:t>, il est proposé d</w:t>
      </w:r>
      <w:r w:rsidR="007939BA">
        <w:t>’</w:t>
      </w:r>
      <w:r w:rsidRPr="00305B49">
        <w:t xml:space="preserve">adopter </w:t>
      </w:r>
      <w:r w:rsidR="00082170">
        <w:t>une version révisée du document </w:t>
      </w:r>
      <w:r w:rsidRPr="00305B49">
        <w:t>UPOV/INF</w:t>
      </w:r>
      <w:r w:rsidR="007939BA">
        <w:t>-</w:t>
      </w:r>
      <w:r w:rsidRPr="00305B49">
        <w:t>EXN/14</w:t>
      </w:r>
      <w:r w:rsidR="00260195">
        <w:t> </w:t>
      </w:r>
      <w:r w:rsidRPr="00305B49">
        <w:t>“Liste des documents</w:t>
      </w:r>
      <w:r w:rsidR="00082170">
        <w:t> </w:t>
      </w:r>
      <w:r w:rsidRPr="00305B49">
        <w:t>UPOV/INF</w:t>
      </w:r>
      <w:r w:rsidR="007939BA">
        <w:t>-</w:t>
      </w:r>
      <w:r w:rsidRPr="00305B49">
        <w:t>EXN et date de la version la plus récente de ces documents” sur la base du document</w:t>
      </w:r>
      <w:r w:rsidR="00082170">
        <w:t> </w:t>
      </w:r>
      <w:r w:rsidRPr="00305B49">
        <w:t>UPOV/INF</w:t>
      </w:r>
      <w:r w:rsidR="007939BA">
        <w:t>-</w:t>
      </w:r>
      <w:r w:rsidRPr="00305B49">
        <w:t>EXN/15</w:t>
      </w:r>
      <w:r w:rsidR="00260195">
        <w:t> </w:t>
      </w:r>
      <w:r w:rsidRPr="00305B49">
        <w:t>Draft 1.</w:t>
      </w:r>
    </w:p>
    <w:p w:rsidR="00305B49" w:rsidRPr="00305B49" w:rsidRDefault="00305B49" w:rsidP="00305B49"/>
    <w:p w:rsidR="007939BA" w:rsidRDefault="00305B49" w:rsidP="00C047B2">
      <w:pPr>
        <w:pStyle w:val="ListParagraph"/>
        <w:numPr>
          <w:ilvl w:val="0"/>
          <w:numId w:val="1"/>
        </w:numPr>
        <w:ind w:left="5103" w:firstLine="0"/>
      </w:pPr>
      <w:r w:rsidRPr="009A1FD1">
        <w:rPr>
          <w:i/>
        </w:rPr>
        <w:t>Le Conseil e</w:t>
      </w:r>
      <w:r w:rsidR="008F3803">
        <w:rPr>
          <w:i/>
        </w:rPr>
        <w:t>st invité à adopter le document </w:t>
      </w:r>
      <w:r w:rsidRPr="009A1FD1">
        <w:rPr>
          <w:i/>
        </w:rPr>
        <w:t>UPOV/INF</w:t>
      </w:r>
      <w:r w:rsidR="007939BA" w:rsidRPr="009A1FD1">
        <w:rPr>
          <w:i/>
        </w:rPr>
        <w:t>-</w:t>
      </w:r>
      <w:r w:rsidR="008F3803">
        <w:rPr>
          <w:i/>
        </w:rPr>
        <w:t>EXN/15 sur la base du document </w:t>
      </w:r>
      <w:r w:rsidRPr="009A1FD1">
        <w:rPr>
          <w:i/>
        </w:rPr>
        <w:t>UPOV/INF</w:t>
      </w:r>
      <w:r w:rsidR="007939BA" w:rsidRPr="009A1FD1">
        <w:rPr>
          <w:i/>
        </w:rPr>
        <w:t>-</w:t>
      </w:r>
      <w:r w:rsidRPr="009A1FD1">
        <w:rPr>
          <w:i/>
        </w:rPr>
        <w:t>EXN/15</w:t>
      </w:r>
      <w:r w:rsidR="00260195" w:rsidRPr="009A1FD1">
        <w:rPr>
          <w:i/>
        </w:rPr>
        <w:t> </w:t>
      </w:r>
      <w:r w:rsidRPr="009A1FD1">
        <w:rPr>
          <w:i/>
        </w:rPr>
        <w:t>Draft</w:t>
      </w:r>
      <w:r w:rsidR="00260195" w:rsidRPr="009A1FD1">
        <w:rPr>
          <w:i/>
        </w:rPr>
        <w:t> </w:t>
      </w:r>
      <w:r w:rsidRPr="009A1FD1">
        <w:rPr>
          <w:i/>
        </w:rPr>
        <w:t>1, sous réserve de l</w:t>
      </w:r>
      <w:r w:rsidR="007939BA" w:rsidRPr="009A1FD1">
        <w:rPr>
          <w:i/>
        </w:rPr>
        <w:t>’</w:t>
      </w:r>
      <w:r w:rsidRPr="009A1FD1">
        <w:rPr>
          <w:i/>
        </w:rPr>
        <w:t>adoption des documents concernés.</w:t>
      </w:r>
    </w:p>
    <w:p w:rsidR="00305B49" w:rsidRPr="00305B49" w:rsidRDefault="00305B49" w:rsidP="00305B49"/>
    <w:p w:rsidR="00305B49" w:rsidRPr="00305B49" w:rsidRDefault="00305B49" w:rsidP="00305B49"/>
    <w:p w:rsidR="00305B49" w:rsidRPr="00305B49" w:rsidRDefault="00305B49" w:rsidP="00305B49"/>
    <w:p w:rsidR="00305B49" w:rsidRPr="001D0611" w:rsidRDefault="001D0611" w:rsidP="001D0611">
      <w:pPr>
        <w:keepNext/>
        <w:outlineLvl w:val="0"/>
        <w:rPr>
          <w:caps/>
          <w:snapToGrid w:val="0"/>
        </w:rPr>
      </w:pPr>
      <w:r w:rsidRPr="001D0611">
        <w:rPr>
          <w:caps/>
          <w:snapToGrid w:val="0"/>
        </w:rPr>
        <w:t>Notes explicatives</w:t>
      </w:r>
    </w:p>
    <w:p w:rsidR="00305B49" w:rsidRPr="00305B49" w:rsidRDefault="00305B49" w:rsidP="00305B49">
      <w:pPr>
        <w:keepNext/>
        <w:rPr>
          <w:snapToGrid w:val="0"/>
        </w:rPr>
      </w:pPr>
    </w:p>
    <w:p w:rsidR="007939BA" w:rsidRPr="001D0611" w:rsidRDefault="00305B49" w:rsidP="001D0611">
      <w:pPr>
        <w:rPr>
          <w:u w:val="single"/>
        </w:rPr>
      </w:pPr>
      <w:r w:rsidRPr="001D0611">
        <w:rPr>
          <w:u w:val="single"/>
        </w:rPr>
        <w:t xml:space="preserve">UPOV/EXN/DEN Notes explicatives sur les dénominations </w:t>
      </w:r>
      <w:r w:rsidRPr="005F310E">
        <w:rPr>
          <w:u w:val="single"/>
        </w:rPr>
        <w:t xml:space="preserve">variétales </w:t>
      </w:r>
      <w:r w:rsidR="00DE4DB1" w:rsidRPr="005F310E">
        <w:rPr>
          <w:u w:val="single"/>
        </w:rPr>
        <w:t xml:space="preserve">en vertu de </w:t>
      </w:r>
      <w:r w:rsidRPr="005F310E">
        <w:rPr>
          <w:u w:val="single"/>
        </w:rPr>
        <w:t>la</w:t>
      </w:r>
      <w:r w:rsidRPr="001D0611">
        <w:rPr>
          <w:u w:val="single"/>
        </w:rPr>
        <w:t xml:space="preserve"> </w:t>
      </w:r>
      <w:r w:rsidR="007939BA" w:rsidRPr="001D0611">
        <w:rPr>
          <w:u w:val="single"/>
        </w:rPr>
        <w:t>Convention UPOV</w:t>
      </w:r>
      <w:r w:rsidRPr="001D0611">
        <w:rPr>
          <w:u w:val="single"/>
        </w:rPr>
        <w:t xml:space="preserve"> (documents</w:t>
      </w:r>
      <w:r w:rsidR="001D0611">
        <w:rPr>
          <w:u w:val="single"/>
        </w:rPr>
        <w:t> C/55/11 et </w:t>
      </w:r>
      <w:r w:rsidRPr="001D0611">
        <w:rPr>
          <w:u w:val="single"/>
        </w:rPr>
        <w:t>UPOV/EXN/DEN/1</w:t>
      </w:r>
      <w:r w:rsidR="00260195" w:rsidRPr="001D0611">
        <w:rPr>
          <w:u w:val="single"/>
        </w:rPr>
        <w:t> </w:t>
      </w:r>
      <w:r w:rsidRPr="001D0611">
        <w:rPr>
          <w:u w:val="single"/>
        </w:rPr>
        <w:t>Draft</w:t>
      </w:r>
      <w:r w:rsidR="00260195" w:rsidRPr="001D0611">
        <w:rPr>
          <w:u w:val="single"/>
        </w:rPr>
        <w:t> </w:t>
      </w:r>
      <w:r w:rsidRPr="001D0611">
        <w:rPr>
          <w:u w:val="single"/>
        </w:rPr>
        <w:t>6)</w:t>
      </w:r>
    </w:p>
    <w:p w:rsidR="00305B49" w:rsidRPr="00305B49" w:rsidRDefault="00305B49" w:rsidP="00305B49">
      <w:pPr>
        <w:rPr>
          <w:strike/>
          <w:snapToGrid w:val="0"/>
          <w:highlight w:val="yellow"/>
        </w:rPr>
      </w:pPr>
    </w:p>
    <w:p w:rsidR="00554320" w:rsidRPr="00DE4DB1" w:rsidRDefault="00305B49" w:rsidP="00456506">
      <w:pPr>
        <w:pStyle w:val="ListParagraph"/>
        <w:numPr>
          <w:ilvl w:val="0"/>
          <w:numId w:val="1"/>
        </w:numPr>
        <w:ind w:left="0" w:firstLine="0"/>
        <w:rPr>
          <w:spacing w:val="2"/>
        </w:rPr>
      </w:pPr>
      <w:r w:rsidRPr="00DE4DB1">
        <w:rPr>
          <w:spacing w:val="2"/>
        </w:rPr>
        <w:t xml:space="preserve">Les questions relatives aux dénominations variétales sont examinées dans le document C/55/11 </w:t>
      </w:r>
      <w:r w:rsidR="007939BA" w:rsidRPr="00DE4DB1">
        <w:rPr>
          <w:spacing w:val="2"/>
        </w:rPr>
        <w:t>“N</w:t>
      </w:r>
      <w:r w:rsidRPr="00DE4DB1">
        <w:rPr>
          <w:spacing w:val="2"/>
        </w:rPr>
        <w:t>otes</w:t>
      </w:r>
      <w:r w:rsidR="00DE4DB1" w:rsidRPr="00DE4DB1">
        <w:rPr>
          <w:spacing w:val="2"/>
        </w:rPr>
        <w:t> </w:t>
      </w:r>
      <w:r w:rsidRPr="00DE4DB1">
        <w:rPr>
          <w:spacing w:val="2"/>
        </w:rPr>
        <w:t xml:space="preserve">explicatives sur les dénominations variétales selon la </w:t>
      </w:r>
      <w:r w:rsidR="007939BA" w:rsidRPr="00DE4DB1">
        <w:rPr>
          <w:spacing w:val="2"/>
        </w:rPr>
        <w:t>Convention UPOV”</w:t>
      </w:r>
    </w:p>
    <w:p w:rsidR="00554320" w:rsidRDefault="00554320" w:rsidP="00554320"/>
    <w:p w:rsidR="00305B49" w:rsidRPr="00554320" w:rsidRDefault="00305B49" w:rsidP="00C047B2">
      <w:pPr>
        <w:pStyle w:val="ListParagraph"/>
        <w:keepLines/>
        <w:numPr>
          <w:ilvl w:val="0"/>
          <w:numId w:val="1"/>
        </w:numPr>
        <w:ind w:left="5103" w:firstLine="0"/>
      </w:pPr>
      <w:r w:rsidRPr="00554320">
        <w:rPr>
          <w:i/>
        </w:rPr>
        <w:t>Le Conseil est invité à prendre note du fait que les questions relatives aux dénominations variétales sont examinées dans le document</w:t>
      </w:r>
      <w:r w:rsidR="00554320">
        <w:rPr>
          <w:i/>
        </w:rPr>
        <w:t> </w:t>
      </w:r>
      <w:r w:rsidRPr="00554320">
        <w:rPr>
          <w:i/>
        </w:rPr>
        <w:t xml:space="preserve">C/55/11 </w:t>
      </w:r>
      <w:r w:rsidR="007939BA" w:rsidRPr="00554320">
        <w:rPr>
          <w:i/>
        </w:rPr>
        <w:t>“N</w:t>
      </w:r>
      <w:r w:rsidRPr="00554320">
        <w:rPr>
          <w:i/>
        </w:rPr>
        <w:t xml:space="preserve">otes explicatives sur les </w:t>
      </w:r>
      <w:bookmarkStart w:id="2" w:name="_GoBack"/>
      <w:r w:rsidRPr="00554320">
        <w:rPr>
          <w:i/>
        </w:rPr>
        <w:t xml:space="preserve">dénominations </w:t>
      </w:r>
      <w:bookmarkEnd w:id="2"/>
      <w:r w:rsidRPr="00554320">
        <w:rPr>
          <w:i/>
        </w:rPr>
        <w:t xml:space="preserve">variétales selon la </w:t>
      </w:r>
      <w:r w:rsidR="007939BA" w:rsidRPr="00554320">
        <w:rPr>
          <w:i/>
        </w:rPr>
        <w:t>Convention UPOV”</w:t>
      </w:r>
      <w:r w:rsidRPr="00554320">
        <w:rPr>
          <w:i/>
        </w:rPr>
        <w:t>.</w:t>
      </w:r>
    </w:p>
    <w:p w:rsidR="00305B49" w:rsidRPr="00305B49" w:rsidRDefault="00305B49" w:rsidP="00554320">
      <w:pPr>
        <w:tabs>
          <w:tab w:val="left" w:pos="5387"/>
          <w:tab w:val="left" w:pos="5954"/>
        </w:tabs>
      </w:pPr>
    </w:p>
    <w:p w:rsidR="00305B49" w:rsidRPr="00305B49" w:rsidRDefault="00305B49" w:rsidP="00305B49">
      <w:pPr>
        <w:jc w:val="left"/>
      </w:pPr>
    </w:p>
    <w:p w:rsidR="00305B49" w:rsidRPr="00554320" w:rsidRDefault="00554320" w:rsidP="00554320">
      <w:pPr>
        <w:keepNext/>
        <w:outlineLvl w:val="0"/>
        <w:rPr>
          <w:caps/>
          <w:snapToGrid w:val="0"/>
        </w:rPr>
      </w:pPr>
      <w:r w:rsidRPr="00554320">
        <w:rPr>
          <w:caps/>
          <w:snapToGrid w:val="0"/>
        </w:rPr>
        <w:lastRenderedPageBreak/>
        <w:t>Documents TGP</w:t>
      </w:r>
    </w:p>
    <w:p w:rsidR="00305B49" w:rsidRPr="00305B49" w:rsidRDefault="00305B49" w:rsidP="00305B49">
      <w:pPr>
        <w:keepNext/>
      </w:pPr>
    </w:p>
    <w:p w:rsidR="007939BA" w:rsidRPr="00554320" w:rsidRDefault="00305B49" w:rsidP="00554320">
      <w:pPr>
        <w:keepNext/>
        <w:tabs>
          <w:tab w:val="left" w:pos="1134"/>
        </w:tabs>
        <w:rPr>
          <w:bCs/>
          <w:snapToGrid w:val="0"/>
          <w:szCs w:val="24"/>
          <w:u w:val="single"/>
        </w:rPr>
      </w:pPr>
      <w:r w:rsidRPr="00F30A67">
        <w:rPr>
          <w:bCs/>
          <w:snapToGrid w:val="0"/>
          <w:szCs w:val="24"/>
          <w:u w:val="single"/>
        </w:rPr>
        <w:t>TGP/5</w:t>
      </w:r>
      <w:r w:rsidR="00554320" w:rsidRPr="00F30A67">
        <w:rPr>
          <w:bCs/>
          <w:snapToGrid w:val="0"/>
          <w:szCs w:val="24"/>
        </w:rPr>
        <w:t xml:space="preserve"> : </w:t>
      </w:r>
      <w:r w:rsidR="00554320" w:rsidRPr="00F30A67">
        <w:rPr>
          <w:bCs/>
          <w:snapToGrid w:val="0"/>
          <w:szCs w:val="24"/>
        </w:rPr>
        <w:tab/>
      </w:r>
      <w:r w:rsidRPr="00554320">
        <w:rPr>
          <w:bCs/>
          <w:snapToGrid w:val="0"/>
          <w:szCs w:val="24"/>
          <w:u w:val="single"/>
        </w:rPr>
        <w:t>Expérience et coopération en matière d</w:t>
      </w:r>
      <w:r w:rsidR="007939BA" w:rsidRPr="00554320">
        <w:rPr>
          <w:bCs/>
          <w:snapToGrid w:val="0"/>
          <w:szCs w:val="24"/>
          <w:u w:val="single"/>
        </w:rPr>
        <w:t>’</w:t>
      </w:r>
      <w:r w:rsidRPr="00554320">
        <w:rPr>
          <w:bCs/>
          <w:snapToGrid w:val="0"/>
          <w:szCs w:val="24"/>
          <w:u w:val="single"/>
        </w:rPr>
        <w:t>examen</w:t>
      </w:r>
      <w:r w:rsidR="001F4848" w:rsidRPr="00554320">
        <w:rPr>
          <w:bCs/>
          <w:snapToGrid w:val="0"/>
          <w:szCs w:val="24"/>
          <w:u w:val="single"/>
        </w:rPr>
        <w:t> </w:t>
      </w:r>
      <w:r w:rsidRPr="00554320">
        <w:rPr>
          <w:bCs/>
          <w:snapToGrid w:val="0"/>
          <w:szCs w:val="24"/>
          <w:u w:val="single"/>
        </w:rPr>
        <w:t>DHS</w:t>
      </w:r>
    </w:p>
    <w:p w:rsidR="00305B49" w:rsidRPr="00554320" w:rsidRDefault="007939BA" w:rsidP="00554320">
      <w:pPr>
        <w:keepNext/>
        <w:ind w:left="1134"/>
        <w:rPr>
          <w:bCs/>
          <w:snapToGrid w:val="0"/>
          <w:szCs w:val="24"/>
          <w:u w:val="single"/>
        </w:rPr>
      </w:pPr>
      <w:r w:rsidRPr="00554320">
        <w:rPr>
          <w:bCs/>
          <w:snapToGrid w:val="0"/>
          <w:szCs w:val="24"/>
          <w:u w:val="single"/>
        </w:rPr>
        <w:t>Section 2 :</w:t>
      </w:r>
      <w:r w:rsidR="00305B49" w:rsidRPr="00554320">
        <w:rPr>
          <w:bCs/>
          <w:snapToGrid w:val="0"/>
          <w:szCs w:val="24"/>
          <w:u w:val="single"/>
        </w:rPr>
        <w:t xml:space="preserve"> Formulaire type de l</w:t>
      </w:r>
      <w:r w:rsidRPr="00554320">
        <w:rPr>
          <w:bCs/>
          <w:snapToGrid w:val="0"/>
          <w:szCs w:val="24"/>
          <w:u w:val="single"/>
        </w:rPr>
        <w:t>’</w:t>
      </w:r>
      <w:r w:rsidR="00305B49" w:rsidRPr="00554320">
        <w:rPr>
          <w:bCs/>
          <w:snapToGrid w:val="0"/>
          <w:szCs w:val="24"/>
          <w:u w:val="single"/>
        </w:rPr>
        <w:t>UPOV pour la demande de protection d</w:t>
      </w:r>
      <w:r w:rsidRPr="00554320">
        <w:rPr>
          <w:bCs/>
          <w:snapToGrid w:val="0"/>
          <w:szCs w:val="24"/>
          <w:u w:val="single"/>
        </w:rPr>
        <w:t>’</w:t>
      </w:r>
      <w:r w:rsidR="00305B49" w:rsidRPr="00554320">
        <w:rPr>
          <w:bCs/>
          <w:snapToGrid w:val="0"/>
          <w:szCs w:val="24"/>
          <w:u w:val="single"/>
        </w:rPr>
        <w:t>une obtention végétale (révision)</w:t>
      </w:r>
    </w:p>
    <w:p w:rsidR="007939BA" w:rsidRDefault="00305B49" w:rsidP="00554320">
      <w:pPr>
        <w:pStyle w:val="ListParagraph"/>
        <w:keepNext/>
        <w:ind w:left="1134"/>
      </w:pPr>
      <w:r w:rsidRPr="009A1FD1">
        <w:rPr>
          <w:bCs/>
          <w:snapToGrid w:val="0"/>
          <w:szCs w:val="24"/>
          <w:u w:val="single"/>
        </w:rPr>
        <w:t>(document</w:t>
      </w:r>
      <w:r w:rsidR="00554320">
        <w:rPr>
          <w:bCs/>
          <w:snapToGrid w:val="0"/>
          <w:szCs w:val="24"/>
          <w:u w:val="single"/>
        </w:rPr>
        <w:t> </w:t>
      </w:r>
      <w:r w:rsidRPr="009A1FD1">
        <w:rPr>
          <w:bCs/>
          <w:snapToGrid w:val="0"/>
          <w:szCs w:val="24"/>
          <w:u w:val="single"/>
        </w:rPr>
        <w:t>TGP/5</w:t>
      </w:r>
      <w:r w:rsidR="001F4848" w:rsidRPr="009A1FD1">
        <w:rPr>
          <w:bCs/>
          <w:snapToGrid w:val="0"/>
          <w:szCs w:val="24"/>
          <w:u w:val="single"/>
        </w:rPr>
        <w:t> </w:t>
      </w:r>
      <w:r w:rsidRPr="009A1FD1">
        <w:rPr>
          <w:bCs/>
          <w:snapToGrid w:val="0"/>
          <w:szCs w:val="24"/>
          <w:u w:val="single"/>
        </w:rPr>
        <w:t xml:space="preserve">: </w:t>
      </w:r>
      <w:r w:rsidR="007939BA" w:rsidRPr="009A1FD1">
        <w:rPr>
          <w:bCs/>
          <w:snapToGrid w:val="0"/>
          <w:szCs w:val="24"/>
          <w:u w:val="single"/>
        </w:rPr>
        <w:t>Section 2</w:t>
      </w:r>
      <w:r w:rsidRPr="009A1FD1">
        <w:rPr>
          <w:bCs/>
          <w:snapToGrid w:val="0"/>
          <w:szCs w:val="24"/>
          <w:u w:val="single"/>
        </w:rPr>
        <w:t>/4 Draft</w:t>
      </w:r>
      <w:r w:rsidR="00260195" w:rsidRPr="009A1FD1">
        <w:rPr>
          <w:bCs/>
          <w:snapToGrid w:val="0"/>
          <w:szCs w:val="24"/>
          <w:u w:val="single"/>
        </w:rPr>
        <w:t> </w:t>
      </w:r>
      <w:r w:rsidRPr="009A1FD1">
        <w:rPr>
          <w:bCs/>
          <w:snapToGrid w:val="0"/>
          <w:szCs w:val="24"/>
          <w:u w:val="single"/>
        </w:rPr>
        <w:t>1)</w:t>
      </w:r>
    </w:p>
    <w:p w:rsidR="00305B49" w:rsidRPr="00305B49" w:rsidRDefault="00305B49" w:rsidP="00305B49">
      <w:pPr>
        <w:keepNext/>
        <w:jc w:val="left"/>
        <w:rPr>
          <w:u w:val="single"/>
        </w:rPr>
      </w:pPr>
    </w:p>
    <w:p w:rsidR="007939BA" w:rsidRPr="00DE4DB1" w:rsidRDefault="00305B49" w:rsidP="00387FDE">
      <w:pPr>
        <w:pStyle w:val="ListParagraph"/>
        <w:keepLines/>
        <w:numPr>
          <w:ilvl w:val="0"/>
          <w:numId w:val="1"/>
        </w:numPr>
        <w:ind w:left="0" w:firstLine="0"/>
      </w:pPr>
      <w:r w:rsidRPr="00DE4DB1">
        <w:t>À sa soixante</w:t>
      </w:r>
      <w:r w:rsidR="007939BA" w:rsidRPr="00DE4DB1">
        <w:t>-</w:t>
      </w:r>
      <w:r w:rsidRPr="00DE4DB1">
        <w:t>dix</w:t>
      </w:r>
      <w:r w:rsidR="007939BA" w:rsidRPr="00DE4DB1">
        <w:t>-</w:t>
      </w:r>
      <w:r w:rsidRPr="00DE4DB1">
        <w:t>sept</w:t>
      </w:r>
      <w:r w:rsidR="007939BA" w:rsidRPr="00DE4DB1">
        <w:t>ième session</w:t>
      </w:r>
      <w:r w:rsidRPr="00DE4DB1">
        <w:t>,</w:t>
      </w:r>
      <w:r w:rsidR="007939BA" w:rsidRPr="00DE4DB1">
        <w:t xml:space="preserve"> le CAJ</w:t>
      </w:r>
      <w:r w:rsidRPr="00DE4DB1">
        <w:t xml:space="preserve"> a approuvé le 2</w:t>
      </w:r>
      <w:r w:rsidR="007939BA" w:rsidRPr="00DE4DB1">
        <w:t>5 octobre 20</w:t>
      </w:r>
      <w:r w:rsidRPr="00DE4DB1">
        <w:t>20, selon la procédure par correspondance, la révision du document TGP/5</w:t>
      </w:r>
      <w:r w:rsidR="00260195" w:rsidRPr="00DE4DB1">
        <w:t> </w:t>
      </w:r>
      <w:r w:rsidRPr="00DE4DB1">
        <w:t>“Expérience et coopération en matière d</w:t>
      </w:r>
      <w:r w:rsidR="007939BA" w:rsidRPr="00DE4DB1">
        <w:t>’</w:t>
      </w:r>
      <w:r w:rsidRPr="00DE4DB1">
        <w:t>examen</w:t>
      </w:r>
      <w:r w:rsidR="001F4848" w:rsidRPr="00DE4DB1">
        <w:t> </w:t>
      </w:r>
      <w:r w:rsidRPr="00DE4DB1">
        <w:t xml:space="preserve">DHS”, </w:t>
      </w:r>
      <w:r w:rsidR="007939BA" w:rsidRPr="00DE4DB1">
        <w:t>section 2</w:t>
      </w:r>
      <w:r w:rsidR="00260195" w:rsidRPr="00DE4DB1">
        <w:t> </w:t>
      </w:r>
      <w:r w:rsidRPr="00DE4DB1">
        <w:t>“Formulaire type de l</w:t>
      </w:r>
      <w:r w:rsidR="007939BA" w:rsidRPr="00DE4DB1">
        <w:t>’</w:t>
      </w:r>
      <w:r w:rsidRPr="00DE4DB1">
        <w:t>UPOV pour une demande de protection d</w:t>
      </w:r>
      <w:r w:rsidR="007939BA" w:rsidRPr="00DE4DB1">
        <w:t>’</w:t>
      </w:r>
      <w:r w:rsidRPr="00DE4DB1">
        <w:t xml:space="preserve">une obtention végétale” visant à intégrer des renvois à UPOV PRISMA (voir les </w:t>
      </w:r>
      <w:r w:rsidR="007939BA" w:rsidRPr="00DE4DB1">
        <w:t>paragraphes 5</w:t>
      </w:r>
      <w:r w:rsidRPr="00DE4DB1">
        <w:t>7 et</w:t>
      </w:r>
      <w:r w:rsidR="00387FDE" w:rsidRPr="00DE4DB1">
        <w:t> </w:t>
      </w:r>
      <w:r w:rsidRPr="00DE4DB1">
        <w:t>59 du document</w:t>
      </w:r>
      <w:r w:rsidR="00387FDE" w:rsidRPr="00DE4DB1">
        <w:t> </w:t>
      </w:r>
      <w:r w:rsidRPr="00DE4DB1">
        <w:t>CAJ/77/3</w:t>
      </w:r>
      <w:r w:rsidR="001F4848" w:rsidRPr="00DE4DB1">
        <w:t> </w:t>
      </w:r>
      <w:r w:rsidRPr="00DE4DB1">
        <w:t>Rev. “Élaboration de documents d</w:t>
      </w:r>
      <w:r w:rsidR="007939BA" w:rsidRPr="00DE4DB1">
        <w:t>’</w:t>
      </w:r>
      <w:r w:rsidRPr="00DE4DB1">
        <w:t>orientation</w:t>
      </w:r>
      <w:r w:rsidR="00DE4DB1" w:rsidRPr="00DE4DB1">
        <w:t>”</w:t>
      </w:r>
      <w:r w:rsidRPr="00DE4DB1">
        <w:t xml:space="preserve"> et le </w:t>
      </w:r>
      <w:r w:rsidR="007939BA" w:rsidRPr="00DE4DB1">
        <w:t>paragraphe 2</w:t>
      </w:r>
      <w:r w:rsidRPr="00DE4DB1">
        <w:t>8 du document</w:t>
      </w:r>
      <w:r w:rsidR="00387FDE" w:rsidRPr="00DE4DB1">
        <w:t> </w:t>
      </w:r>
      <w:r w:rsidRPr="00DE4DB1">
        <w:t>CAJ/77/9 “Résultats de l</w:t>
      </w:r>
      <w:r w:rsidR="007939BA" w:rsidRPr="00DE4DB1">
        <w:t>’</w:t>
      </w:r>
      <w:r w:rsidRPr="00DE4DB1">
        <w:t>examen des documents par correspondance”).</w:t>
      </w:r>
    </w:p>
    <w:p w:rsidR="00305B49" w:rsidRPr="00305B49" w:rsidRDefault="00305B49" w:rsidP="00305B49"/>
    <w:p w:rsidR="00DE15E5" w:rsidRDefault="00305B49" w:rsidP="00DE15E5">
      <w:pPr>
        <w:pStyle w:val="ListParagraph"/>
        <w:numPr>
          <w:ilvl w:val="0"/>
          <w:numId w:val="1"/>
        </w:numPr>
        <w:ind w:left="0" w:firstLine="0"/>
        <w:rPr>
          <w:spacing w:val="2"/>
          <w:lang w:eastAsia="ja-JP"/>
        </w:rPr>
      </w:pPr>
      <w:r w:rsidRPr="009A1FD1">
        <w:rPr>
          <w:spacing w:val="2"/>
        </w:rPr>
        <w:t>Compte tenu de ce qui précède, le Conseil est invité à adopter la version révisée du document TGP/5</w:t>
      </w:r>
      <w:r w:rsidR="00260195" w:rsidRPr="009A1FD1">
        <w:rPr>
          <w:spacing w:val="2"/>
        </w:rPr>
        <w:t> </w:t>
      </w:r>
      <w:r w:rsidRPr="009A1FD1">
        <w:rPr>
          <w:spacing w:val="2"/>
        </w:rPr>
        <w:t>“Expérience et coopération en matière d</w:t>
      </w:r>
      <w:r w:rsidR="007939BA" w:rsidRPr="009A1FD1">
        <w:rPr>
          <w:spacing w:val="2"/>
        </w:rPr>
        <w:t>’</w:t>
      </w:r>
      <w:r w:rsidRPr="009A1FD1">
        <w:rPr>
          <w:spacing w:val="2"/>
        </w:rPr>
        <w:t>examen</w:t>
      </w:r>
      <w:r w:rsidR="001F4848" w:rsidRPr="009A1FD1">
        <w:rPr>
          <w:spacing w:val="2"/>
        </w:rPr>
        <w:t> </w:t>
      </w:r>
      <w:r w:rsidRPr="009A1FD1">
        <w:rPr>
          <w:spacing w:val="2"/>
        </w:rPr>
        <w:t>DHS”</w:t>
      </w:r>
      <w:r w:rsidR="007939BA" w:rsidRPr="009A1FD1">
        <w:rPr>
          <w:spacing w:val="2"/>
        </w:rPr>
        <w:t> :</w:t>
      </w:r>
      <w:r w:rsidRPr="009A1FD1">
        <w:rPr>
          <w:spacing w:val="2"/>
        </w:rPr>
        <w:t xml:space="preserve"> </w:t>
      </w:r>
      <w:r w:rsidR="007939BA" w:rsidRPr="009A1FD1">
        <w:rPr>
          <w:spacing w:val="2"/>
        </w:rPr>
        <w:t>section 2</w:t>
      </w:r>
      <w:r w:rsidR="00260195" w:rsidRPr="009A1FD1">
        <w:rPr>
          <w:spacing w:val="2"/>
        </w:rPr>
        <w:t> </w:t>
      </w:r>
      <w:r w:rsidRPr="009A1FD1">
        <w:rPr>
          <w:spacing w:val="2"/>
        </w:rPr>
        <w:t>“Formulaire type de l</w:t>
      </w:r>
      <w:r w:rsidR="007939BA" w:rsidRPr="009A1FD1">
        <w:rPr>
          <w:spacing w:val="2"/>
        </w:rPr>
        <w:t>’</w:t>
      </w:r>
      <w:r w:rsidRPr="009A1FD1">
        <w:rPr>
          <w:spacing w:val="2"/>
        </w:rPr>
        <w:t>UPOV pour une demande de protection d</w:t>
      </w:r>
      <w:r w:rsidR="007939BA" w:rsidRPr="009A1FD1">
        <w:rPr>
          <w:spacing w:val="2"/>
        </w:rPr>
        <w:t>’</w:t>
      </w:r>
      <w:r w:rsidRPr="009A1FD1">
        <w:rPr>
          <w:spacing w:val="2"/>
        </w:rPr>
        <w:t>une obtention végétale” sur la base des propositions de modification du document TGP/5</w:t>
      </w:r>
      <w:r w:rsidR="007939BA" w:rsidRPr="009A1FD1">
        <w:rPr>
          <w:spacing w:val="2"/>
        </w:rPr>
        <w:t> :</w:t>
      </w:r>
      <w:r w:rsidRPr="009A1FD1">
        <w:rPr>
          <w:spacing w:val="2"/>
        </w:rPr>
        <w:t xml:space="preserve"> </w:t>
      </w:r>
      <w:r w:rsidR="007939BA" w:rsidRPr="009A1FD1">
        <w:rPr>
          <w:spacing w:val="2"/>
        </w:rPr>
        <w:t>section 2</w:t>
      </w:r>
      <w:r w:rsidRPr="009A1FD1">
        <w:rPr>
          <w:spacing w:val="2"/>
        </w:rPr>
        <w:t xml:space="preserve"> figurant dans le document TGP/5</w:t>
      </w:r>
      <w:r w:rsidR="001F4848" w:rsidRPr="009A1FD1">
        <w:rPr>
          <w:spacing w:val="2"/>
        </w:rPr>
        <w:t> :</w:t>
      </w:r>
      <w:r w:rsidRPr="009A1FD1">
        <w:rPr>
          <w:spacing w:val="2"/>
        </w:rPr>
        <w:t xml:space="preserve"> </w:t>
      </w:r>
      <w:r w:rsidR="007939BA" w:rsidRPr="009A1FD1">
        <w:rPr>
          <w:spacing w:val="2"/>
        </w:rPr>
        <w:t>Section 2</w:t>
      </w:r>
      <w:r w:rsidRPr="009A1FD1">
        <w:rPr>
          <w:spacing w:val="2"/>
        </w:rPr>
        <w:t>/4 Draft</w:t>
      </w:r>
      <w:r w:rsidR="00260195" w:rsidRPr="009A1FD1">
        <w:rPr>
          <w:spacing w:val="2"/>
        </w:rPr>
        <w:t> </w:t>
      </w:r>
      <w:r w:rsidRPr="009A1FD1">
        <w:rPr>
          <w:spacing w:val="2"/>
        </w:rPr>
        <w:t>1.</w:t>
      </w:r>
    </w:p>
    <w:p w:rsidR="00DE15E5" w:rsidRPr="00DE15E5" w:rsidRDefault="00DE15E5" w:rsidP="00DE15E5">
      <w:pPr>
        <w:rPr>
          <w:i/>
          <w:spacing w:val="-4"/>
        </w:rPr>
      </w:pPr>
    </w:p>
    <w:p w:rsidR="00305B49" w:rsidRPr="00DE15E5" w:rsidRDefault="00305B49" w:rsidP="00DE15E5">
      <w:pPr>
        <w:pStyle w:val="ListParagraph"/>
        <w:numPr>
          <w:ilvl w:val="0"/>
          <w:numId w:val="1"/>
        </w:numPr>
        <w:ind w:left="5103" w:firstLine="0"/>
        <w:rPr>
          <w:spacing w:val="2"/>
          <w:lang w:eastAsia="ja-JP"/>
        </w:rPr>
      </w:pPr>
      <w:r w:rsidRPr="00DE15E5">
        <w:rPr>
          <w:i/>
          <w:spacing w:val="-4"/>
        </w:rPr>
        <w:t>Le Conseil est invité à adopter la version révisée du document TGP/5</w:t>
      </w:r>
      <w:r w:rsidR="00260195" w:rsidRPr="00DE15E5">
        <w:rPr>
          <w:i/>
          <w:spacing w:val="-4"/>
        </w:rPr>
        <w:t> </w:t>
      </w:r>
      <w:r w:rsidRPr="00DE15E5">
        <w:rPr>
          <w:i/>
          <w:spacing w:val="-4"/>
        </w:rPr>
        <w:t>“Expérience et coopération en matière d</w:t>
      </w:r>
      <w:r w:rsidR="007939BA" w:rsidRPr="00DE15E5">
        <w:rPr>
          <w:i/>
          <w:spacing w:val="-4"/>
        </w:rPr>
        <w:t>’</w:t>
      </w:r>
      <w:r w:rsidRPr="00DE15E5">
        <w:rPr>
          <w:i/>
          <w:spacing w:val="-4"/>
        </w:rPr>
        <w:t>examen</w:t>
      </w:r>
      <w:r w:rsidR="001F4848" w:rsidRPr="00DE15E5">
        <w:rPr>
          <w:i/>
          <w:spacing w:val="-4"/>
        </w:rPr>
        <w:t> </w:t>
      </w:r>
      <w:r w:rsidRPr="00DE15E5">
        <w:rPr>
          <w:i/>
          <w:spacing w:val="-4"/>
        </w:rPr>
        <w:t>DHS”</w:t>
      </w:r>
      <w:r w:rsidR="007939BA" w:rsidRPr="00DE15E5">
        <w:rPr>
          <w:i/>
          <w:spacing w:val="-4"/>
        </w:rPr>
        <w:t> :</w:t>
      </w:r>
      <w:r w:rsidRPr="00DE15E5">
        <w:rPr>
          <w:i/>
          <w:spacing w:val="-4"/>
        </w:rPr>
        <w:t xml:space="preserve"> </w:t>
      </w:r>
      <w:r w:rsidR="007939BA" w:rsidRPr="00DE15E5">
        <w:rPr>
          <w:i/>
          <w:spacing w:val="-4"/>
        </w:rPr>
        <w:t>section 2</w:t>
      </w:r>
      <w:r w:rsidR="00260195" w:rsidRPr="00DE15E5">
        <w:rPr>
          <w:i/>
          <w:spacing w:val="-4"/>
        </w:rPr>
        <w:t> </w:t>
      </w:r>
      <w:r w:rsidRPr="00DE15E5">
        <w:rPr>
          <w:i/>
          <w:spacing w:val="-4"/>
        </w:rPr>
        <w:t>“Formulaire type de l</w:t>
      </w:r>
      <w:r w:rsidR="007939BA" w:rsidRPr="00DE15E5">
        <w:rPr>
          <w:i/>
          <w:spacing w:val="-4"/>
        </w:rPr>
        <w:t>’</w:t>
      </w:r>
      <w:r w:rsidRPr="00DE15E5">
        <w:rPr>
          <w:i/>
          <w:spacing w:val="-4"/>
        </w:rPr>
        <w:t>UPOV pour une demande de protection d</w:t>
      </w:r>
      <w:r w:rsidR="007939BA" w:rsidRPr="00DE15E5">
        <w:rPr>
          <w:i/>
          <w:spacing w:val="-4"/>
        </w:rPr>
        <w:t>’</w:t>
      </w:r>
      <w:r w:rsidRPr="00DE15E5">
        <w:rPr>
          <w:i/>
          <w:spacing w:val="-4"/>
        </w:rPr>
        <w:t>une obtention végétale” sur la base des propositions de modification du document</w:t>
      </w:r>
      <w:r w:rsidR="00DE15E5">
        <w:rPr>
          <w:i/>
          <w:spacing w:val="-4"/>
        </w:rPr>
        <w:t> </w:t>
      </w:r>
      <w:r w:rsidRPr="00DE15E5">
        <w:rPr>
          <w:i/>
          <w:spacing w:val="-4"/>
        </w:rPr>
        <w:t>TGP/5</w:t>
      </w:r>
      <w:r w:rsidR="007939BA" w:rsidRPr="00DE15E5">
        <w:rPr>
          <w:i/>
          <w:spacing w:val="-4"/>
        </w:rPr>
        <w:t> :</w:t>
      </w:r>
      <w:r w:rsidRPr="00DE15E5">
        <w:rPr>
          <w:i/>
          <w:spacing w:val="-4"/>
        </w:rPr>
        <w:t xml:space="preserve"> </w:t>
      </w:r>
      <w:r w:rsidR="007939BA" w:rsidRPr="00DE15E5">
        <w:rPr>
          <w:i/>
          <w:spacing w:val="-4"/>
        </w:rPr>
        <w:t>section 2</w:t>
      </w:r>
      <w:r w:rsidRPr="00DE15E5">
        <w:rPr>
          <w:i/>
          <w:spacing w:val="-4"/>
        </w:rPr>
        <w:t xml:space="preserve"> figurant dans le document</w:t>
      </w:r>
      <w:r w:rsidR="00DE15E5">
        <w:rPr>
          <w:i/>
          <w:spacing w:val="-4"/>
        </w:rPr>
        <w:t> </w:t>
      </w:r>
      <w:r w:rsidRPr="00DE15E5">
        <w:rPr>
          <w:i/>
          <w:spacing w:val="-4"/>
        </w:rPr>
        <w:t>TGP/5</w:t>
      </w:r>
      <w:r w:rsidR="001F4848" w:rsidRPr="00DE15E5">
        <w:rPr>
          <w:i/>
          <w:spacing w:val="-4"/>
        </w:rPr>
        <w:t> :</w:t>
      </w:r>
      <w:r w:rsidRPr="00DE15E5">
        <w:rPr>
          <w:i/>
          <w:spacing w:val="-4"/>
        </w:rPr>
        <w:t xml:space="preserve"> </w:t>
      </w:r>
      <w:r w:rsidR="007939BA" w:rsidRPr="00DE15E5">
        <w:rPr>
          <w:i/>
          <w:spacing w:val="-4"/>
        </w:rPr>
        <w:t>Section 2</w:t>
      </w:r>
      <w:r w:rsidRPr="00DE15E5">
        <w:rPr>
          <w:i/>
          <w:spacing w:val="-4"/>
        </w:rPr>
        <w:t>/4 Draft</w:t>
      </w:r>
      <w:r w:rsidR="00260195" w:rsidRPr="00DE15E5">
        <w:rPr>
          <w:i/>
          <w:spacing w:val="-4"/>
        </w:rPr>
        <w:t> </w:t>
      </w:r>
      <w:r w:rsidRPr="00DE15E5">
        <w:rPr>
          <w:i/>
          <w:spacing w:val="-4"/>
        </w:rPr>
        <w:t>1.</w:t>
      </w:r>
    </w:p>
    <w:p w:rsidR="00305B49" w:rsidRPr="00305B49" w:rsidRDefault="00305B49" w:rsidP="00305B49">
      <w:pPr>
        <w:jc w:val="left"/>
        <w:rPr>
          <w:bCs/>
          <w:snapToGrid w:val="0"/>
          <w:szCs w:val="24"/>
          <w:u w:val="single"/>
        </w:rPr>
      </w:pPr>
    </w:p>
    <w:p w:rsidR="00305B49" w:rsidRPr="00305B49" w:rsidRDefault="00305B49" w:rsidP="00305B49">
      <w:pPr>
        <w:jc w:val="left"/>
        <w:rPr>
          <w:bCs/>
          <w:snapToGrid w:val="0"/>
          <w:szCs w:val="24"/>
          <w:u w:val="single"/>
        </w:rPr>
      </w:pPr>
    </w:p>
    <w:p w:rsidR="007939BA" w:rsidRPr="00DA7A62" w:rsidRDefault="00305B49" w:rsidP="00DA7A62">
      <w:pPr>
        <w:jc w:val="left"/>
        <w:rPr>
          <w:bCs/>
          <w:snapToGrid w:val="0"/>
          <w:szCs w:val="24"/>
          <w:u w:val="single"/>
        </w:rPr>
      </w:pPr>
      <w:r w:rsidRPr="00DA7A62">
        <w:rPr>
          <w:bCs/>
          <w:snapToGrid w:val="0"/>
          <w:szCs w:val="24"/>
          <w:u w:val="single"/>
        </w:rPr>
        <w:t>TGP/0</w:t>
      </w:r>
      <w:r w:rsidR="007939BA" w:rsidRPr="00DA7A62">
        <w:rPr>
          <w:bCs/>
          <w:snapToGrid w:val="0"/>
          <w:szCs w:val="24"/>
          <w:u w:val="single"/>
        </w:rPr>
        <w:t> :</w:t>
      </w:r>
      <w:r w:rsidRPr="00DA7A62">
        <w:rPr>
          <w:bCs/>
          <w:snapToGrid w:val="0"/>
          <w:szCs w:val="24"/>
          <w:u w:val="single"/>
        </w:rPr>
        <w:t xml:space="preserve"> Liste des documents TGP et date de la version la plus récente de ces documents (révision) (document</w:t>
      </w:r>
      <w:r w:rsidR="00DA7A62">
        <w:rPr>
          <w:bCs/>
          <w:snapToGrid w:val="0"/>
          <w:szCs w:val="24"/>
          <w:u w:val="single"/>
        </w:rPr>
        <w:t> </w:t>
      </w:r>
      <w:r w:rsidRPr="00DA7A62">
        <w:rPr>
          <w:bCs/>
          <w:snapToGrid w:val="0"/>
          <w:szCs w:val="24"/>
          <w:u w:val="single"/>
        </w:rPr>
        <w:t>TGP/0/13 Draft</w:t>
      </w:r>
      <w:r w:rsidR="00260195" w:rsidRPr="00DA7A62">
        <w:rPr>
          <w:bCs/>
          <w:snapToGrid w:val="0"/>
          <w:szCs w:val="24"/>
          <w:u w:val="single"/>
        </w:rPr>
        <w:t> </w:t>
      </w:r>
      <w:r w:rsidRPr="00DA7A62">
        <w:rPr>
          <w:bCs/>
          <w:snapToGrid w:val="0"/>
          <w:szCs w:val="24"/>
          <w:u w:val="single"/>
        </w:rPr>
        <w:t>1)</w:t>
      </w:r>
    </w:p>
    <w:p w:rsidR="00305B49" w:rsidRPr="00305B49" w:rsidRDefault="00305B49" w:rsidP="00305B49">
      <w:pPr>
        <w:keepNext/>
      </w:pPr>
    </w:p>
    <w:p w:rsidR="00DA7A62" w:rsidRDefault="00305B49" w:rsidP="00DA7A62">
      <w:pPr>
        <w:pStyle w:val="ListParagraph"/>
        <w:keepNext/>
        <w:numPr>
          <w:ilvl w:val="0"/>
          <w:numId w:val="1"/>
        </w:numPr>
        <w:ind w:left="0" w:firstLine="0"/>
        <w:rPr>
          <w:rFonts w:cs="Arial"/>
        </w:rPr>
      </w:pPr>
      <w:r w:rsidRPr="00305B49">
        <w:t>Parallèlement à l</w:t>
      </w:r>
      <w:r w:rsidR="007939BA">
        <w:t>’</w:t>
      </w:r>
      <w:r w:rsidRPr="00305B49">
        <w:t xml:space="preserve">adoption par le Conseil du document TGP révisé </w:t>
      </w:r>
      <w:r w:rsidR="007939BA" w:rsidRPr="00305B49">
        <w:t>en</w:t>
      </w:r>
      <w:r w:rsidR="007939BA">
        <w:t> </w:t>
      </w:r>
      <w:r w:rsidR="007939BA" w:rsidRPr="00305B49">
        <w:t>2021</w:t>
      </w:r>
      <w:r w:rsidRPr="00305B49">
        <w:t>, il est proposé d</w:t>
      </w:r>
      <w:r w:rsidR="007939BA">
        <w:t>’</w:t>
      </w:r>
      <w:r w:rsidRPr="00305B49">
        <w:t>adopter une version révisée du document TGP/0</w:t>
      </w:r>
      <w:r w:rsidR="00260195">
        <w:t> </w:t>
      </w:r>
      <w:r w:rsidRPr="00305B49">
        <w:t>“Liste des documents TGP et date de la version la plus récente de ces documents” (document TGP/0/12) sur la base du document TGP/0/13 Draft 1.</w:t>
      </w:r>
    </w:p>
    <w:p w:rsidR="00DA7A62" w:rsidRPr="00DA7A62" w:rsidRDefault="00DA7A62" w:rsidP="00DA7A62">
      <w:pPr>
        <w:pStyle w:val="ListParagraph"/>
        <w:keepNext/>
        <w:ind w:left="0"/>
        <w:rPr>
          <w:rFonts w:cs="Arial"/>
        </w:rPr>
      </w:pPr>
    </w:p>
    <w:p w:rsidR="007939BA" w:rsidRPr="00DE4DB1" w:rsidRDefault="00305B49" w:rsidP="00DA7A62">
      <w:pPr>
        <w:pStyle w:val="ListParagraph"/>
        <w:keepNext/>
        <w:numPr>
          <w:ilvl w:val="0"/>
          <w:numId w:val="1"/>
        </w:numPr>
        <w:ind w:left="5103" w:firstLine="0"/>
        <w:rPr>
          <w:rFonts w:cs="Arial"/>
          <w:spacing w:val="-2"/>
        </w:rPr>
      </w:pPr>
      <w:r w:rsidRPr="00DE4DB1">
        <w:rPr>
          <w:i/>
          <w:spacing w:val="-2"/>
        </w:rPr>
        <w:t>Le Conseil est invité à adopter le document</w:t>
      </w:r>
      <w:r w:rsidR="00DE4DB1" w:rsidRPr="00DE4DB1">
        <w:rPr>
          <w:i/>
          <w:spacing w:val="-2"/>
        </w:rPr>
        <w:t xml:space="preserve"> TGP/0/13 Draft </w:t>
      </w:r>
      <w:r w:rsidRPr="00DE4DB1">
        <w:rPr>
          <w:i/>
          <w:spacing w:val="-2"/>
        </w:rPr>
        <w:t>1</w:t>
      </w:r>
      <w:r w:rsidR="00260195" w:rsidRPr="00DE4DB1">
        <w:rPr>
          <w:i/>
          <w:spacing w:val="-2"/>
        </w:rPr>
        <w:t> </w:t>
      </w:r>
      <w:r w:rsidRPr="00DE4DB1">
        <w:rPr>
          <w:i/>
          <w:spacing w:val="-2"/>
        </w:rPr>
        <w:t>“Liste des documents</w:t>
      </w:r>
      <w:r w:rsidR="00DA7A62" w:rsidRPr="00DE4DB1">
        <w:rPr>
          <w:i/>
          <w:spacing w:val="-2"/>
        </w:rPr>
        <w:t> </w:t>
      </w:r>
      <w:r w:rsidRPr="00DE4DB1">
        <w:rPr>
          <w:i/>
          <w:spacing w:val="-2"/>
        </w:rPr>
        <w:t>TGP et date de la version la plus récente de ces documents”, sous réserve de l</w:t>
      </w:r>
      <w:r w:rsidR="007939BA" w:rsidRPr="00DE4DB1">
        <w:rPr>
          <w:i/>
          <w:spacing w:val="-2"/>
        </w:rPr>
        <w:t>’</w:t>
      </w:r>
      <w:r w:rsidRPr="00DE4DB1">
        <w:rPr>
          <w:i/>
          <w:spacing w:val="-2"/>
        </w:rPr>
        <w:t>adoption des documents concernés.</w:t>
      </w:r>
    </w:p>
    <w:p w:rsidR="00305B49" w:rsidRPr="00305B49" w:rsidRDefault="00305B49" w:rsidP="00305B49"/>
    <w:p w:rsidR="00305B49" w:rsidRPr="00305B49" w:rsidRDefault="00305B49" w:rsidP="00305B49"/>
    <w:p w:rsidR="00305B49" w:rsidRPr="00305B49" w:rsidRDefault="00305B49" w:rsidP="00305B49">
      <w:pPr>
        <w:jc w:val="right"/>
      </w:pPr>
      <w:r w:rsidRPr="00305B49">
        <w:t>[L</w:t>
      </w:r>
      <w:r w:rsidR="007939BA">
        <w:t>’</w:t>
      </w:r>
      <w:r w:rsidRPr="00305B49">
        <w:t>annexe suit]</w:t>
      </w:r>
    </w:p>
    <w:p w:rsidR="00305B49" w:rsidRPr="00305B49" w:rsidRDefault="00305B49" w:rsidP="00305B49">
      <w:pPr>
        <w:jc w:val="left"/>
        <w:rPr>
          <w:highlight w:val="yellow"/>
        </w:rPr>
      </w:pPr>
    </w:p>
    <w:p w:rsidR="00305B49" w:rsidRPr="00305B49" w:rsidRDefault="00305B49" w:rsidP="00305B49">
      <w:pPr>
        <w:jc w:val="left"/>
        <w:rPr>
          <w:highlight w:val="yellow"/>
        </w:rPr>
      </w:pPr>
    </w:p>
    <w:p w:rsidR="00305B49" w:rsidRPr="00305B49" w:rsidRDefault="00305B49" w:rsidP="00305B49">
      <w:pPr>
        <w:rPr>
          <w:highlight w:val="yellow"/>
        </w:rPr>
        <w:sectPr w:rsidR="00305B49" w:rsidRPr="00305B49" w:rsidSect="00A215E0">
          <w:headerReference w:type="even" r:id="rId9"/>
          <w:headerReference w:type="default" r:id="rId10"/>
          <w:endnotePr>
            <w:numFmt w:val="lowerLetter"/>
          </w:end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305B49" w:rsidRPr="00305B49" w:rsidRDefault="00305B49" w:rsidP="002310C8">
      <w:pPr>
        <w:jc w:val="center"/>
        <w:rPr>
          <w:highlight w:val="yellow"/>
        </w:rPr>
      </w:pPr>
    </w:p>
    <w:p w:rsidR="007939BA" w:rsidRPr="009B208C" w:rsidRDefault="009B208C" w:rsidP="00305B49">
      <w:pPr>
        <w:jc w:val="center"/>
        <w:rPr>
          <w:caps/>
        </w:rPr>
      </w:pPr>
      <w:r w:rsidRPr="009B208C">
        <w:rPr>
          <w:caps/>
        </w:rPr>
        <w:t>Propositions de modification du document UPOV/INF/6/5</w:t>
      </w:r>
    </w:p>
    <w:p w:rsidR="00305B49" w:rsidRPr="009B208C" w:rsidRDefault="009B208C" w:rsidP="00305B49">
      <w:pPr>
        <w:jc w:val="center"/>
        <w:rPr>
          <w:caps/>
        </w:rPr>
      </w:pPr>
      <w:r w:rsidRPr="009B208C">
        <w:rPr>
          <w:caps/>
        </w:rPr>
        <w:t>“Orientations en vue de la rédaction de lois fondées sur l</w:t>
      </w:r>
      <w:r w:rsidR="007939BA" w:rsidRPr="009B208C">
        <w:rPr>
          <w:caps/>
        </w:rPr>
        <w:t>’</w:t>
      </w:r>
      <w:r w:rsidRPr="009B208C">
        <w:rPr>
          <w:caps/>
        </w:rPr>
        <w:t>acte de 1991 de la convention UPOV” (document UPOV/INF/6/6)</w:t>
      </w:r>
    </w:p>
    <w:p w:rsidR="00305B49" w:rsidRPr="00305B49" w:rsidRDefault="00305B49" w:rsidP="00305B49"/>
    <w:p w:rsidR="00305B49" w:rsidRPr="00305B49" w:rsidRDefault="00305B49" w:rsidP="00305B49"/>
    <w:p w:rsidR="00305B49" w:rsidRPr="00BC6686" w:rsidRDefault="00BC6686" w:rsidP="00305B49">
      <w:pPr>
        <w:rPr>
          <w:caps/>
        </w:rPr>
      </w:pPr>
      <w:r w:rsidRPr="00BC6686">
        <w:rPr>
          <w:caps/>
        </w:rPr>
        <w:t>Notes sur l</w:t>
      </w:r>
      <w:r w:rsidR="007939BA" w:rsidRPr="00BC6686">
        <w:rPr>
          <w:caps/>
        </w:rPr>
        <w:t>’</w:t>
      </w:r>
      <w:r w:rsidRPr="00BC6686">
        <w:rPr>
          <w:caps/>
        </w:rPr>
        <w:t>article</w:t>
      </w:r>
      <w:r w:rsidR="00260195" w:rsidRPr="00BC6686">
        <w:rPr>
          <w:caps/>
        </w:rPr>
        <w:t> </w:t>
      </w:r>
      <w:r w:rsidRPr="00BC6686">
        <w:rPr>
          <w:caps/>
        </w:rPr>
        <w:t>10 – dépôt de demandes</w:t>
      </w:r>
    </w:p>
    <w:p w:rsidR="00305B49" w:rsidRPr="00305B49" w:rsidRDefault="00305B49" w:rsidP="00305B49"/>
    <w:p w:rsidR="007939BA" w:rsidRDefault="00305B49" w:rsidP="00305B49">
      <w:pPr>
        <w:keepNext/>
        <w:keepLines/>
      </w:pPr>
      <w:r w:rsidRPr="00305B49">
        <w:t>Le CAJ a approuvé le renvoi suivant à UPOV</w:t>
      </w:r>
      <w:r w:rsidR="00BC6686">
        <w:t> </w:t>
      </w:r>
      <w:r w:rsidRPr="00305B49">
        <w:t>PRISMA dans les notes sur l</w:t>
      </w:r>
      <w:r w:rsidR="007939BA">
        <w:t>’</w:t>
      </w:r>
      <w:r w:rsidR="007939BA" w:rsidRPr="00305B49">
        <w:t>article</w:t>
      </w:r>
      <w:r w:rsidR="007939BA">
        <w:t> </w:t>
      </w:r>
      <w:r w:rsidR="007939BA" w:rsidRPr="00305B49">
        <w:t>1</w:t>
      </w:r>
      <w:r w:rsidRPr="00305B49">
        <w:t>0 intitulé “Dépôt de demandes”</w:t>
      </w:r>
      <w:r w:rsidR="00260195">
        <w:t xml:space="preserve"> </w:t>
      </w:r>
      <w:r w:rsidRPr="00305B49">
        <w:t xml:space="preserve">(voir le </w:t>
      </w:r>
      <w:r w:rsidR="007939BA" w:rsidRPr="00305B49">
        <w:t>paragraphe</w:t>
      </w:r>
      <w:r w:rsidR="007939BA">
        <w:t> </w:t>
      </w:r>
      <w:r w:rsidR="007939BA" w:rsidRPr="00305B49">
        <w:t>5</w:t>
      </w:r>
      <w:r w:rsidRPr="00305B49">
        <w:t>8 du document</w:t>
      </w:r>
      <w:r w:rsidR="007807B9">
        <w:t> </w:t>
      </w:r>
      <w:r w:rsidRPr="00305B49">
        <w:t>CAJ/77/3</w:t>
      </w:r>
      <w:r w:rsidR="001F4848">
        <w:t> </w:t>
      </w:r>
      <w:r w:rsidRPr="00305B49">
        <w:t>Rev. “Élaboration de documents d</w:t>
      </w:r>
      <w:r w:rsidR="007939BA">
        <w:t>’</w:t>
      </w:r>
      <w:r w:rsidRPr="00305B49">
        <w:t>orientation et d</w:t>
      </w:r>
      <w:r w:rsidR="007939BA">
        <w:t>’</w:t>
      </w:r>
      <w:r w:rsidRPr="00305B49">
        <w:t xml:space="preserve">information” et le </w:t>
      </w:r>
      <w:r w:rsidR="007939BA" w:rsidRPr="00305B49">
        <w:t>paragraphe</w:t>
      </w:r>
      <w:r w:rsidR="007939BA">
        <w:t> </w:t>
      </w:r>
      <w:r w:rsidR="007939BA" w:rsidRPr="00305B49">
        <w:t>2</w:t>
      </w:r>
      <w:r w:rsidRPr="00305B49">
        <w:t>8 du document</w:t>
      </w:r>
      <w:r w:rsidR="007807B9">
        <w:t> </w:t>
      </w:r>
      <w:r w:rsidRPr="00305B49">
        <w:t>CAJ/77/9 “Résultats de l</w:t>
      </w:r>
      <w:r w:rsidR="007939BA">
        <w:t>’</w:t>
      </w:r>
      <w:r w:rsidRPr="00305B49">
        <w:t>examen des documents par correspondance”) (</w:t>
      </w:r>
      <w:r w:rsidRPr="006D5ABB">
        <w:rPr>
          <w:highlight w:val="lightGray"/>
        </w:rPr>
        <w:t>le texte nouveau est surligné en gris</w:t>
      </w:r>
      <w:r w:rsidRPr="00305B49">
        <w:t>)</w:t>
      </w:r>
      <w:r w:rsidR="007939BA">
        <w:t> :</w:t>
      </w:r>
    </w:p>
    <w:p w:rsidR="00305B49" w:rsidRPr="00305B49" w:rsidRDefault="00305B49" w:rsidP="00305B49">
      <w:pPr>
        <w:keepNext/>
        <w:rPr>
          <w:rFonts w:cs="Arial"/>
        </w:rPr>
      </w:pPr>
    </w:p>
    <w:p w:rsidR="00305B49" w:rsidRPr="007807B9" w:rsidRDefault="00305B49" w:rsidP="007807B9">
      <w:pPr>
        <w:spacing w:after="360"/>
        <w:jc w:val="center"/>
        <w:rPr>
          <w:caps/>
        </w:rPr>
      </w:pPr>
      <w:bookmarkStart w:id="3" w:name="Note_article_"/>
      <w:bookmarkStart w:id="4" w:name="Note_article_10"/>
      <w:r w:rsidRPr="007807B9">
        <w:rPr>
          <w:caps/>
        </w:rPr>
        <w:t>Notes sur l</w:t>
      </w:r>
      <w:r w:rsidR="001F4848" w:rsidRPr="007807B9">
        <w:rPr>
          <w:caps/>
        </w:rPr>
        <w:t>’article</w:t>
      </w:r>
      <w:r w:rsidR="007939BA" w:rsidRPr="007807B9">
        <w:rPr>
          <w:caps/>
        </w:rPr>
        <w:t> 1</w:t>
      </w:r>
      <w:r w:rsidRPr="007807B9">
        <w:rPr>
          <w:caps/>
        </w:rPr>
        <w:t xml:space="preserve">0 – </w:t>
      </w:r>
      <w:r w:rsidR="007807B9" w:rsidRPr="007807B9">
        <w:rPr>
          <w:caps/>
        </w:rPr>
        <w:t xml:space="preserve">dépôt </w:t>
      </w:r>
      <w:r w:rsidRPr="007807B9">
        <w:rPr>
          <w:caps/>
        </w:rPr>
        <w:t>de demandes</w:t>
      </w:r>
    </w:p>
    <w:bookmarkEnd w:id="3"/>
    <w:bookmarkEnd w:id="4"/>
    <w:p w:rsidR="00305B49" w:rsidRPr="00E42261" w:rsidRDefault="00305B49" w:rsidP="00E42261">
      <w:pPr>
        <w:pStyle w:val="ListParagraph"/>
        <w:numPr>
          <w:ilvl w:val="0"/>
          <w:numId w:val="3"/>
        </w:numPr>
        <w:ind w:left="567" w:right="567" w:firstLine="567"/>
        <w:rPr>
          <w:rFonts w:cs="Arial"/>
          <w:b/>
          <w:sz w:val="18"/>
        </w:rPr>
      </w:pPr>
      <w:r w:rsidRPr="00E42261">
        <w:rPr>
          <w:rFonts w:cs="Arial"/>
          <w:b/>
          <w:sz w:val="18"/>
        </w:rPr>
        <w:t>[</w:t>
      </w:r>
      <w:r w:rsidRPr="00E42261">
        <w:rPr>
          <w:rFonts w:cs="Arial"/>
          <w:b/>
          <w:i/>
          <w:sz w:val="18"/>
        </w:rPr>
        <w:t>Lieu de la première</w:t>
      </w:r>
      <w:r w:rsidR="00E42261">
        <w:rPr>
          <w:rFonts w:cs="Arial"/>
          <w:b/>
          <w:i/>
          <w:sz w:val="18"/>
        </w:rPr>
        <w:t> </w:t>
      </w:r>
      <w:r w:rsidRPr="00E42261">
        <w:rPr>
          <w:rFonts w:cs="Arial"/>
          <w:b/>
          <w:i/>
          <w:sz w:val="18"/>
        </w:rPr>
        <w:t>demande</w:t>
      </w:r>
      <w:r w:rsidRPr="00E42261">
        <w:rPr>
          <w:rFonts w:cs="Arial"/>
          <w:b/>
          <w:sz w:val="18"/>
        </w:rPr>
        <w:t>] L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obtenteur a la faculté de choisir la Partie contractante auprès du service de laquelle il désire déposer sa première demande de droit d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obtenteur.</w:t>
      </w:r>
    </w:p>
    <w:p w:rsidR="00305B49" w:rsidRPr="00305B49" w:rsidRDefault="00305B49" w:rsidP="00E42261">
      <w:pPr>
        <w:ind w:right="567"/>
        <w:rPr>
          <w:rFonts w:cs="Arial"/>
          <w:b/>
          <w:sz w:val="18"/>
        </w:rPr>
      </w:pPr>
    </w:p>
    <w:p w:rsidR="00305B49" w:rsidRPr="00E42261" w:rsidRDefault="00305B49" w:rsidP="00E42261">
      <w:pPr>
        <w:pStyle w:val="ListParagraph"/>
        <w:numPr>
          <w:ilvl w:val="0"/>
          <w:numId w:val="3"/>
        </w:numPr>
        <w:ind w:left="567" w:right="567" w:firstLine="567"/>
        <w:rPr>
          <w:rFonts w:cs="Arial"/>
          <w:b/>
          <w:sz w:val="18"/>
        </w:rPr>
      </w:pPr>
      <w:r w:rsidRPr="00E42261">
        <w:rPr>
          <w:rFonts w:cs="Arial"/>
          <w:b/>
          <w:sz w:val="18"/>
        </w:rPr>
        <w:t>[</w:t>
      </w:r>
      <w:r w:rsidRPr="00E42261">
        <w:rPr>
          <w:rFonts w:cs="Arial"/>
          <w:b/>
          <w:i/>
          <w:sz w:val="18"/>
        </w:rPr>
        <w:t>Date des demandes subséquentes</w:t>
      </w:r>
      <w:r w:rsidRPr="00E42261">
        <w:rPr>
          <w:rFonts w:cs="Arial"/>
          <w:b/>
          <w:sz w:val="18"/>
        </w:rPr>
        <w:t>] L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obtenteur peut demander l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octroi d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un droit d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obtenteur auprès des services des autres Parties contractantes sans attendre qu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un droit d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obtenteur lui ait été délivré par le service de la Partie contractante qui a reçu la première demande.</w:t>
      </w:r>
    </w:p>
    <w:p w:rsidR="00305B49" w:rsidRPr="00305B49" w:rsidRDefault="00305B49" w:rsidP="00E42261">
      <w:pPr>
        <w:ind w:right="567"/>
        <w:rPr>
          <w:rFonts w:cs="Arial"/>
          <w:b/>
          <w:sz w:val="18"/>
        </w:rPr>
      </w:pPr>
    </w:p>
    <w:p w:rsidR="00305B49" w:rsidRPr="00E42261" w:rsidRDefault="00305B49" w:rsidP="00E42261">
      <w:pPr>
        <w:pStyle w:val="ListParagraph"/>
        <w:numPr>
          <w:ilvl w:val="0"/>
          <w:numId w:val="3"/>
        </w:numPr>
        <w:ind w:left="567" w:right="567" w:firstLine="567"/>
        <w:rPr>
          <w:rFonts w:cs="Arial"/>
          <w:b/>
          <w:sz w:val="18"/>
        </w:rPr>
      </w:pPr>
      <w:r w:rsidRPr="00E42261">
        <w:rPr>
          <w:rFonts w:cs="Arial"/>
          <w:b/>
          <w:sz w:val="18"/>
        </w:rPr>
        <w:t>[</w:t>
      </w:r>
      <w:r w:rsidRPr="00E42261">
        <w:rPr>
          <w:rFonts w:cs="Arial"/>
          <w:b/>
          <w:i/>
          <w:sz w:val="18"/>
        </w:rPr>
        <w:t>Indépendance de la protection</w:t>
      </w:r>
      <w:r w:rsidRPr="00E42261">
        <w:rPr>
          <w:rFonts w:cs="Arial"/>
          <w:b/>
          <w:sz w:val="18"/>
        </w:rPr>
        <w:t>] Aucune Partie contractante ne peut refuser d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octroyer un droit d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obtenteur ou limiter sa durée au motif que la protection n</w:t>
      </w:r>
      <w:r w:rsidR="007939BA" w:rsidRPr="00E42261">
        <w:rPr>
          <w:rFonts w:cs="Arial"/>
          <w:b/>
          <w:sz w:val="18"/>
        </w:rPr>
        <w:t>’</w:t>
      </w:r>
      <w:r w:rsidRPr="00E42261">
        <w:rPr>
          <w:rFonts w:cs="Arial"/>
          <w:b/>
          <w:sz w:val="18"/>
        </w:rPr>
        <w:t>a pas été demandée pour la même variété, a été refusée ou est expirée dans un autre État ou une autre organisation intergouvernementale.</w:t>
      </w:r>
    </w:p>
    <w:p w:rsidR="00305B49" w:rsidRPr="00305B49" w:rsidRDefault="00305B49" w:rsidP="0012325C">
      <w:pPr>
        <w:ind w:right="567"/>
        <w:rPr>
          <w:rFonts w:cs="Arial"/>
          <w:b/>
          <w:sz w:val="18"/>
        </w:rPr>
      </w:pPr>
    </w:p>
    <w:p w:rsidR="00305B49" w:rsidRPr="00305B49" w:rsidRDefault="0012325C" w:rsidP="00305B49">
      <w:pPr>
        <w:ind w:left="567" w:right="567"/>
        <w:rPr>
          <w:rFonts w:cs="Arial"/>
          <w:sz w:val="18"/>
        </w:rPr>
      </w:pPr>
      <w:r>
        <w:rPr>
          <w:rFonts w:cs="Arial"/>
          <w:sz w:val="18"/>
        </w:rPr>
        <w:t>1.1</w:t>
      </w:r>
      <w:r>
        <w:rPr>
          <w:rFonts w:cs="Arial"/>
          <w:sz w:val="18"/>
        </w:rPr>
        <w:tab/>
      </w:r>
      <w:r w:rsidR="00305B49" w:rsidRPr="00305B49">
        <w:rPr>
          <w:rFonts w:cs="Arial"/>
          <w:sz w:val="18"/>
        </w:rPr>
        <w:t>Le Formulaire type de l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UPOV pour la demande de protection d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une obtention végétale (document</w:t>
      </w:r>
      <w:r>
        <w:rPr>
          <w:rFonts w:cs="Arial"/>
          <w:sz w:val="18"/>
        </w:rPr>
        <w:t> </w:t>
      </w:r>
      <w:hyperlink r:id="rId11" w:history="1">
        <w:r w:rsidR="00305B49" w:rsidRPr="0012325C">
          <w:rPr>
            <w:rStyle w:val="Hyperlink"/>
            <w:rFonts w:cs="Arial"/>
            <w:sz w:val="18"/>
          </w:rPr>
          <w:t>TGP/5</w:t>
        </w:r>
      </w:hyperlink>
      <w:r w:rsidR="00260195">
        <w:rPr>
          <w:rFonts w:cs="Arial"/>
          <w:sz w:val="18"/>
        </w:rPr>
        <w:t> </w:t>
      </w:r>
      <w:r w:rsidR="00305B49" w:rsidRPr="00305B49">
        <w:rPr>
          <w:rFonts w:cs="Arial"/>
          <w:sz w:val="18"/>
        </w:rPr>
        <w:t>“Expérience et coopération en matière d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examen</w:t>
      </w:r>
      <w:r w:rsidR="001F4848">
        <w:rPr>
          <w:rFonts w:cs="Arial"/>
          <w:sz w:val="18"/>
        </w:rPr>
        <w:t> </w:t>
      </w:r>
      <w:r w:rsidR="00305B49" w:rsidRPr="00305B49">
        <w:rPr>
          <w:rFonts w:cs="Arial"/>
          <w:sz w:val="18"/>
        </w:rPr>
        <w:t xml:space="preserve">DHS” </w:t>
      </w:r>
      <w:hyperlink r:id="rId12" w:history="1">
        <w:r w:rsidR="007939BA" w:rsidRPr="0012325C">
          <w:rPr>
            <w:rStyle w:val="Hyperlink"/>
            <w:rFonts w:cs="Arial"/>
            <w:sz w:val="18"/>
          </w:rPr>
          <w:t>Section 2</w:t>
        </w:r>
      </w:hyperlink>
      <w:r w:rsidR="00305B49" w:rsidRPr="00305B49">
        <w:rPr>
          <w:rFonts w:cs="Arial"/>
          <w:sz w:val="18"/>
        </w:rPr>
        <w:t>) donne des indications pour l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élaboration de formulaires de demandes relatifs aux droits d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obtenteur.</w:t>
      </w:r>
    </w:p>
    <w:p w:rsidR="00305B49" w:rsidRPr="00305B49" w:rsidRDefault="00305B49" w:rsidP="0012325C">
      <w:pPr>
        <w:ind w:right="567"/>
        <w:rPr>
          <w:rFonts w:cs="Arial"/>
          <w:b/>
          <w:sz w:val="18"/>
        </w:rPr>
      </w:pPr>
    </w:p>
    <w:p w:rsidR="00305B49" w:rsidRPr="00305B49" w:rsidRDefault="0012325C" w:rsidP="00305B49">
      <w:pPr>
        <w:ind w:left="567" w:right="567"/>
        <w:rPr>
          <w:rFonts w:cs="Arial"/>
          <w:sz w:val="18"/>
        </w:rPr>
      </w:pPr>
      <w:r>
        <w:rPr>
          <w:rFonts w:cs="Arial"/>
          <w:sz w:val="18"/>
        </w:rPr>
        <w:t>1.2</w:t>
      </w:r>
      <w:r>
        <w:rPr>
          <w:rFonts w:cs="Arial"/>
          <w:sz w:val="18"/>
        </w:rPr>
        <w:tab/>
      </w:r>
      <w:r w:rsidR="00305B49" w:rsidRPr="00305B49">
        <w:rPr>
          <w:rFonts w:cs="Arial"/>
          <w:sz w:val="18"/>
        </w:rPr>
        <w:t>Pour le document de l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UPOV intitulé “Questionnaire technique à remplir en relation avec une demande de certificat d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obtention végétale”, voir le document</w:t>
      </w:r>
      <w:r w:rsidR="00291642">
        <w:rPr>
          <w:rFonts w:cs="Arial"/>
          <w:sz w:val="18"/>
        </w:rPr>
        <w:t> </w:t>
      </w:r>
      <w:hyperlink r:id="rId13" w:history="1">
        <w:r w:rsidR="00305B49" w:rsidRPr="00291642">
          <w:rPr>
            <w:rStyle w:val="Hyperlink"/>
            <w:rFonts w:cs="Arial"/>
            <w:sz w:val="18"/>
          </w:rPr>
          <w:t>TGP/5</w:t>
        </w:r>
      </w:hyperlink>
      <w:r w:rsidR="00260195">
        <w:rPr>
          <w:rFonts w:cs="Arial"/>
          <w:sz w:val="18"/>
        </w:rPr>
        <w:t> </w:t>
      </w:r>
      <w:r w:rsidR="00305B49" w:rsidRPr="00305B49">
        <w:rPr>
          <w:rFonts w:cs="Arial"/>
          <w:sz w:val="18"/>
        </w:rPr>
        <w:t>“Expérience et coopération en matière d</w:t>
      </w:r>
      <w:r w:rsidR="007939BA">
        <w:rPr>
          <w:rFonts w:cs="Arial"/>
          <w:sz w:val="18"/>
        </w:rPr>
        <w:t>’</w:t>
      </w:r>
      <w:r w:rsidR="00305B49" w:rsidRPr="00305B49">
        <w:rPr>
          <w:rFonts w:cs="Arial"/>
          <w:sz w:val="18"/>
        </w:rPr>
        <w:t>examen</w:t>
      </w:r>
      <w:r w:rsidR="001F4848">
        <w:rPr>
          <w:rFonts w:cs="Arial"/>
          <w:sz w:val="18"/>
        </w:rPr>
        <w:t> </w:t>
      </w:r>
      <w:r w:rsidR="00305B49" w:rsidRPr="00305B49">
        <w:rPr>
          <w:rFonts w:cs="Arial"/>
          <w:sz w:val="18"/>
        </w:rPr>
        <w:t xml:space="preserve">DHS” </w:t>
      </w:r>
      <w:hyperlink r:id="rId14" w:history="1">
        <w:r w:rsidR="007939BA" w:rsidRPr="00291642">
          <w:rPr>
            <w:rStyle w:val="Hyperlink"/>
            <w:rFonts w:cs="Arial"/>
            <w:sz w:val="18"/>
          </w:rPr>
          <w:t>Section 3</w:t>
        </w:r>
      </w:hyperlink>
      <w:r w:rsidR="00305B49" w:rsidRPr="00305B49">
        <w:rPr>
          <w:rFonts w:cs="Arial"/>
          <w:sz w:val="18"/>
        </w:rPr>
        <w:t>.</w:t>
      </w:r>
    </w:p>
    <w:p w:rsidR="007939BA" w:rsidRDefault="00305B49" w:rsidP="00305B49">
      <w:pPr>
        <w:spacing w:before="240"/>
        <w:ind w:left="567" w:right="567"/>
        <w:rPr>
          <w:rFonts w:cs="Arial"/>
          <w:sz w:val="18"/>
        </w:rPr>
      </w:pPr>
      <w:r w:rsidRPr="006D5ABB">
        <w:rPr>
          <w:rFonts w:cs="Arial"/>
          <w:sz w:val="18"/>
          <w:highlight w:val="lightGray"/>
        </w:rPr>
        <w:t>1.3</w:t>
      </w:r>
      <w:r w:rsidR="0012325C" w:rsidRPr="006D5ABB">
        <w:rPr>
          <w:rFonts w:cs="Arial"/>
          <w:sz w:val="18"/>
          <w:highlight w:val="lightGray"/>
        </w:rPr>
        <w:tab/>
      </w:r>
      <w:r w:rsidRPr="006D5ABB">
        <w:rPr>
          <w:rFonts w:cs="Arial"/>
          <w:sz w:val="18"/>
          <w:highlight w:val="lightGray"/>
        </w:rPr>
        <w:t>Pour faciliter le dépôt des demandes, l</w:t>
      </w:r>
      <w:r w:rsidR="007939BA" w:rsidRPr="006D5ABB">
        <w:rPr>
          <w:rFonts w:cs="Arial"/>
          <w:sz w:val="18"/>
          <w:highlight w:val="lightGray"/>
        </w:rPr>
        <w:t>’</w:t>
      </w:r>
      <w:r w:rsidRPr="006D5ABB">
        <w:rPr>
          <w:rFonts w:cs="Arial"/>
          <w:sz w:val="18"/>
          <w:highlight w:val="lightGray"/>
        </w:rPr>
        <w:t>UPOV a mis au point l</w:t>
      </w:r>
      <w:r w:rsidR="007939BA" w:rsidRPr="006D5ABB">
        <w:rPr>
          <w:rFonts w:cs="Arial"/>
          <w:sz w:val="18"/>
          <w:highlight w:val="lightGray"/>
        </w:rPr>
        <w:t>’</w:t>
      </w:r>
      <w:r w:rsidRPr="006D5ABB">
        <w:rPr>
          <w:rFonts w:cs="Arial"/>
          <w:sz w:val="18"/>
          <w:highlight w:val="lightGray"/>
        </w:rPr>
        <w:t>outil de demande de droit d</w:t>
      </w:r>
      <w:r w:rsidR="007939BA" w:rsidRPr="006D5ABB">
        <w:rPr>
          <w:rFonts w:cs="Arial"/>
          <w:sz w:val="18"/>
          <w:highlight w:val="lightGray"/>
        </w:rPr>
        <w:t>’</w:t>
      </w:r>
      <w:r w:rsidRPr="006D5ABB">
        <w:rPr>
          <w:rFonts w:cs="Arial"/>
          <w:sz w:val="18"/>
          <w:highlight w:val="lightGray"/>
        </w:rPr>
        <w:t>obtenteur UPOV PRISMA PBR qui permet aux demandeurs de transmettre les données relatives à la demande aux membres participants de l</w:t>
      </w:r>
      <w:r w:rsidR="007939BA" w:rsidRPr="006D5ABB">
        <w:rPr>
          <w:rFonts w:cs="Arial"/>
          <w:sz w:val="18"/>
          <w:highlight w:val="lightGray"/>
        </w:rPr>
        <w:t>’</w:t>
      </w:r>
      <w:r w:rsidRPr="006D5ABB">
        <w:rPr>
          <w:rFonts w:cs="Arial"/>
          <w:sz w:val="18"/>
          <w:highlight w:val="lightGray"/>
        </w:rPr>
        <w:t>Union via le site</w:t>
      </w:r>
      <w:r w:rsidR="001F4848" w:rsidRPr="006D5ABB">
        <w:rPr>
          <w:rFonts w:cs="Arial"/>
          <w:sz w:val="18"/>
          <w:highlight w:val="lightGray"/>
        </w:rPr>
        <w:t> </w:t>
      </w:r>
      <w:r w:rsidRPr="006D5ABB">
        <w:rPr>
          <w:rFonts w:cs="Arial"/>
          <w:sz w:val="18"/>
          <w:highlight w:val="lightGray"/>
        </w:rPr>
        <w:t>Web de l</w:t>
      </w:r>
      <w:r w:rsidR="007939BA" w:rsidRPr="006D5ABB">
        <w:rPr>
          <w:rFonts w:cs="Arial"/>
          <w:sz w:val="18"/>
          <w:highlight w:val="lightGray"/>
        </w:rPr>
        <w:t>’</w:t>
      </w:r>
      <w:r w:rsidRPr="006D5ABB">
        <w:rPr>
          <w:rFonts w:cs="Arial"/>
          <w:sz w:val="18"/>
          <w:highlight w:val="lightGray"/>
        </w:rPr>
        <w:t>UPOV (disponible à l</w:t>
      </w:r>
      <w:r w:rsidR="007939BA" w:rsidRPr="006D5ABB">
        <w:rPr>
          <w:rFonts w:cs="Arial"/>
          <w:sz w:val="18"/>
          <w:highlight w:val="lightGray"/>
        </w:rPr>
        <w:t>’</w:t>
      </w:r>
      <w:r w:rsidRPr="006D5ABB">
        <w:rPr>
          <w:rFonts w:cs="Arial"/>
          <w:sz w:val="18"/>
          <w:highlight w:val="lightGray"/>
        </w:rPr>
        <w:t>adresse</w:t>
      </w:r>
      <w:r w:rsidR="007939BA" w:rsidRPr="006D5ABB">
        <w:rPr>
          <w:rFonts w:cs="Arial"/>
          <w:sz w:val="18"/>
          <w:highlight w:val="lightGray"/>
        </w:rPr>
        <w:t> :</w:t>
      </w:r>
      <w:r w:rsidRPr="006D5ABB">
        <w:rPr>
          <w:rFonts w:cs="Arial"/>
          <w:sz w:val="18"/>
          <w:highlight w:val="lightGray"/>
        </w:rPr>
        <w:t xml:space="preserve"> </w:t>
      </w:r>
      <w:hyperlink r:id="rId15" w:history="1">
        <w:r w:rsidRPr="006D5ABB">
          <w:rPr>
            <w:rFonts w:cs="Arial"/>
            <w:color w:val="0000FF"/>
            <w:sz w:val="18"/>
            <w:highlight w:val="lightGray"/>
            <w:u w:val="single"/>
          </w:rPr>
          <w:t>https://www.upov.int/upovprisma/fr/index.html</w:t>
        </w:r>
      </w:hyperlink>
      <w:r w:rsidRPr="006D5ABB">
        <w:rPr>
          <w:rFonts w:cs="Arial"/>
          <w:sz w:val="18"/>
          <w:highlight w:val="lightGray"/>
        </w:rPr>
        <w:t>).</w:t>
      </w:r>
    </w:p>
    <w:p w:rsidR="00305B49" w:rsidRPr="00305B49" w:rsidRDefault="00305B49" w:rsidP="00305B49">
      <w:pPr>
        <w:rPr>
          <w:rFonts w:cs="Arial"/>
        </w:rPr>
      </w:pPr>
    </w:p>
    <w:p w:rsidR="00305B49" w:rsidRPr="00305B49" w:rsidRDefault="00305B49" w:rsidP="00305B49"/>
    <w:p w:rsidR="00305B49" w:rsidRPr="00305B49" w:rsidRDefault="00305B49" w:rsidP="00305B49">
      <w:pPr>
        <w:jc w:val="right"/>
      </w:pPr>
      <w:r w:rsidRPr="00305B49">
        <w:t>[Fin de l</w:t>
      </w:r>
      <w:r w:rsidR="007939BA">
        <w:t>’</w:t>
      </w:r>
      <w:r w:rsidRPr="00305B49">
        <w:t>annexe et du document]</w:t>
      </w:r>
    </w:p>
    <w:sectPr w:rsidR="00305B49" w:rsidRPr="00305B49" w:rsidSect="00906DDC">
      <w:headerReference w:type="default" r:id="rId16"/>
      <w:headerReference w:type="first" r:id="rId17"/>
      <w:endnotePr>
        <w:numFmt w:val="lowerLetter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49" w:rsidRDefault="00305B49" w:rsidP="006655D3">
      <w:r>
        <w:separator/>
      </w:r>
    </w:p>
    <w:p w:rsidR="00305B49" w:rsidRDefault="00305B49" w:rsidP="006655D3"/>
  </w:endnote>
  <w:endnote w:type="continuationSeparator" w:id="0">
    <w:p w:rsidR="00305B49" w:rsidRDefault="00305B49" w:rsidP="006655D3">
      <w:r>
        <w:separator/>
      </w:r>
    </w:p>
    <w:p w:rsidR="00305B49" w:rsidRPr="00294751" w:rsidRDefault="00305B4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05B49" w:rsidRPr="00294751" w:rsidRDefault="00305B49" w:rsidP="006655D3"/>
    <w:p w:rsidR="00305B49" w:rsidRPr="00294751" w:rsidRDefault="00305B49" w:rsidP="006655D3"/>
  </w:endnote>
  <w:endnote w:type="continuationNotice" w:id="1">
    <w:p w:rsidR="00305B49" w:rsidRPr="00294751" w:rsidRDefault="00305B49" w:rsidP="006655D3">
      <w:r w:rsidRPr="00294751">
        <w:t>[Suite de la note page suivante]</w:t>
      </w:r>
    </w:p>
    <w:p w:rsidR="00305B49" w:rsidRPr="00294751" w:rsidRDefault="00305B49" w:rsidP="006655D3"/>
    <w:p w:rsidR="00305B49" w:rsidRPr="00294751" w:rsidRDefault="00305B49" w:rsidP="006655D3"/>
  </w:endnote>
  <w:endnote w:id="2">
    <w:p w:rsidR="002310C8" w:rsidRPr="002310C8" w:rsidRDefault="002310C8" w:rsidP="002310C8">
      <w:pPr>
        <w:pStyle w:val="EndnoteText"/>
        <w:spacing w:after="60"/>
        <w:rPr>
          <w:sz w:val="16"/>
          <w:szCs w:val="16"/>
          <w:highlight w:val="yellow"/>
          <w:u w:val="single"/>
          <w:lang w:val="fr-CH"/>
        </w:rPr>
      </w:pPr>
      <w:r w:rsidRPr="002310C8">
        <w:rPr>
          <w:rStyle w:val="EndnoteReference"/>
          <w:sz w:val="16"/>
          <w:szCs w:val="16"/>
          <w:highlight w:val="yellow"/>
          <w:u w:val="single"/>
        </w:rPr>
        <w:endnoteRef/>
      </w:r>
      <w:r w:rsidRPr="002310C8">
        <w:rPr>
          <w:sz w:val="16"/>
          <w:szCs w:val="16"/>
          <w:highlight w:val="yellow"/>
          <w:u w:val="single"/>
        </w:rPr>
        <w:t xml:space="preserve"> </w:t>
      </w:r>
      <w:r w:rsidRPr="002310C8">
        <w:rPr>
          <w:sz w:val="16"/>
          <w:szCs w:val="16"/>
          <w:highlight w:val="yellow"/>
          <w:u w:val="single"/>
        </w:rPr>
        <w:tab/>
      </w:r>
      <w:r w:rsidRPr="002310C8">
        <w:rPr>
          <w:spacing w:val="2"/>
          <w:sz w:val="16"/>
          <w:szCs w:val="16"/>
          <w:highlight w:val="yellow"/>
          <w:u w:val="single"/>
          <w:lang w:val="fr-CH"/>
        </w:rPr>
        <w:t xml:space="preserve">Le 13 juillet 2021, le Royaume-Uni a demandé d'inclure “Carotte et autres espèces végétales”.  </w:t>
      </w:r>
      <w:r w:rsidRPr="002310C8">
        <w:rPr>
          <w:spacing w:val="2"/>
          <w:sz w:val="16"/>
          <w:szCs w:val="16"/>
          <w:highlight w:val="yellow"/>
          <w:u w:val="single"/>
          <w:lang w:val="fr-CH"/>
        </w:rPr>
        <w:br/>
        <w:t>Le document UPOV/INF/16/10 Draft 2 tient compte de ce changement.</w:t>
      </w:r>
    </w:p>
  </w:endnote>
  <w:endnote w:id="3">
    <w:p w:rsidR="002310C8" w:rsidRPr="002310C8" w:rsidRDefault="002310C8" w:rsidP="002310C8">
      <w:pPr>
        <w:pStyle w:val="EndnoteText"/>
        <w:spacing w:after="60"/>
        <w:rPr>
          <w:lang w:val="fr-CH"/>
        </w:rPr>
      </w:pPr>
      <w:r w:rsidRPr="002310C8">
        <w:rPr>
          <w:rStyle w:val="EndnoteReference"/>
          <w:sz w:val="16"/>
          <w:szCs w:val="16"/>
          <w:highlight w:val="yellow"/>
          <w:u w:val="single"/>
        </w:rPr>
        <w:endnoteRef/>
      </w:r>
      <w:r w:rsidRPr="002310C8">
        <w:rPr>
          <w:sz w:val="16"/>
          <w:szCs w:val="16"/>
          <w:highlight w:val="yellow"/>
          <w:u w:val="single"/>
        </w:rPr>
        <w:t xml:space="preserve"> </w:t>
      </w:r>
      <w:r w:rsidRPr="002310C8">
        <w:rPr>
          <w:sz w:val="16"/>
          <w:szCs w:val="16"/>
          <w:highlight w:val="yellow"/>
          <w:u w:val="single"/>
        </w:rPr>
        <w:tab/>
      </w:r>
      <w:r w:rsidRPr="002310C8">
        <w:rPr>
          <w:sz w:val="16"/>
          <w:szCs w:val="16"/>
          <w:highlight w:val="yellow"/>
          <w:u w:val="single"/>
          <w:lang w:val="fr-CH"/>
        </w:rPr>
        <w:t>Le 13 juillet 2021, le Royaume-Uni a demandé le remplacement de “</w:t>
      </w:r>
      <w:hyperlink r:id="rId1" w:history="1">
        <w:r w:rsidRPr="002310C8">
          <w:rPr>
            <w:rStyle w:val="Hyperlink"/>
            <w:sz w:val="16"/>
            <w:szCs w:val="16"/>
            <w:highlight w:val="yellow"/>
            <w:lang w:val="fr-CH"/>
          </w:rPr>
          <w:t>Tom.Christie@sasa.gsi.gov.uk</w:t>
        </w:r>
      </w:hyperlink>
      <w:r w:rsidRPr="002310C8">
        <w:rPr>
          <w:sz w:val="16"/>
          <w:szCs w:val="16"/>
          <w:highlight w:val="yellow"/>
          <w:u w:val="single"/>
          <w:lang w:val="fr-CH"/>
        </w:rPr>
        <w:t>” par “</w:t>
      </w:r>
      <w:hyperlink r:id="rId2" w:history="1">
        <w:r w:rsidRPr="002310C8">
          <w:rPr>
            <w:rStyle w:val="Hyperlink"/>
            <w:sz w:val="16"/>
            <w:szCs w:val="16"/>
            <w:highlight w:val="yellow"/>
            <w:lang w:val="fr-CH"/>
          </w:rPr>
          <w:t>lesley.mccarthy@sasa.gov.scot</w:t>
        </w:r>
      </w:hyperlink>
      <w:r w:rsidRPr="002310C8">
        <w:rPr>
          <w:sz w:val="16"/>
          <w:szCs w:val="16"/>
          <w:highlight w:val="yellow"/>
          <w:u w:val="single"/>
          <w:lang w:val="fr-CH"/>
        </w:rPr>
        <w:t>“ et d'inclure “Carotte”.  Le document UPOV/INF/22/8 Draft 2 tient compte de ces changements.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49" w:rsidRDefault="00305B49" w:rsidP="006655D3">
      <w:r>
        <w:separator/>
      </w:r>
    </w:p>
  </w:footnote>
  <w:footnote w:type="continuationSeparator" w:id="0">
    <w:p w:rsidR="00305B49" w:rsidRDefault="00305B49" w:rsidP="006655D3">
      <w:r>
        <w:separator/>
      </w:r>
    </w:p>
  </w:footnote>
  <w:footnote w:type="continuationNotice" w:id="1">
    <w:p w:rsidR="00305B49" w:rsidRPr="00AB530F" w:rsidRDefault="00305B49" w:rsidP="00AB530F">
      <w:pPr>
        <w:pStyle w:val="Footer"/>
      </w:pPr>
    </w:p>
  </w:footnote>
  <w:footnote w:id="2">
    <w:p w:rsidR="00305B49" w:rsidRPr="0061088B" w:rsidRDefault="00305B49" w:rsidP="0061088B">
      <w:pPr>
        <w:pStyle w:val="FootnoteText"/>
        <w:rPr>
          <w:lang w:val="fr-CH"/>
        </w:rPr>
      </w:pPr>
      <w:r w:rsidRPr="0061088B">
        <w:rPr>
          <w:rStyle w:val="FootnoteReference"/>
        </w:rPr>
        <w:footnoteRef/>
      </w:r>
      <w:r w:rsidRPr="0061088B">
        <w:t xml:space="preserve"> </w:t>
      </w:r>
      <w:r w:rsidRPr="0061088B">
        <w:rPr>
          <w:lang w:val="fr-CH"/>
        </w:rPr>
        <w:tab/>
        <w:t>La procédure relative à l</w:t>
      </w:r>
      <w:r w:rsidR="00A61454" w:rsidRPr="0061088B">
        <w:rPr>
          <w:lang w:val="fr-CH"/>
        </w:rPr>
        <w:t>’</w:t>
      </w:r>
      <w:r w:rsidRPr="0061088B">
        <w:rPr>
          <w:lang w:val="fr-CH"/>
        </w:rPr>
        <w:t>examen des documents par correspondance est indiquée dans la circulaire</w:t>
      </w:r>
      <w:r w:rsidR="00260195" w:rsidRPr="0061088B">
        <w:rPr>
          <w:lang w:val="fr-CH"/>
        </w:rPr>
        <w:t> </w:t>
      </w:r>
      <w:r w:rsidRPr="0061088B">
        <w:rPr>
          <w:lang w:val="fr-CH"/>
        </w:rPr>
        <w:t>E</w:t>
      </w:r>
      <w:r w:rsidR="00A61454" w:rsidRPr="0061088B">
        <w:rPr>
          <w:lang w:val="fr-CH"/>
        </w:rPr>
        <w:t>-</w:t>
      </w:r>
      <w:r w:rsidRPr="0061088B">
        <w:rPr>
          <w:lang w:val="fr-CH"/>
        </w:rPr>
        <w:t>21/063 du 1</w:t>
      </w:r>
      <w:r w:rsidR="00A61454" w:rsidRPr="0061088B">
        <w:rPr>
          <w:lang w:val="fr-CH"/>
        </w:rPr>
        <w:t>4 mai 20</w:t>
      </w:r>
      <w:r w:rsidRPr="0061088B">
        <w:rPr>
          <w:lang w:val="fr-CH"/>
        </w:rPr>
        <w:t>21 (disponibles sur les pages Web consacrées à la cinquante</w:t>
      </w:r>
      <w:r w:rsidR="00A61454" w:rsidRPr="0061088B">
        <w:rPr>
          <w:lang w:val="fr-CH"/>
        </w:rPr>
        <w:t>-</w:t>
      </w:r>
      <w:r w:rsidRPr="0061088B">
        <w:rPr>
          <w:lang w:val="fr-CH"/>
        </w:rPr>
        <w:t>sept</w:t>
      </w:r>
      <w:r w:rsidR="00A61454" w:rsidRPr="0061088B">
        <w:rPr>
          <w:lang w:val="fr-CH"/>
        </w:rPr>
        <w:t>ième session</w:t>
      </w:r>
      <w:r w:rsidRPr="0061088B">
        <w:rPr>
          <w:lang w:val="fr-CH"/>
        </w:rPr>
        <w:t xml:space="preserve"> du</w:t>
      </w:r>
      <w:r w:rsidR="00A61454" w:rsidRPr="0061088B">
        <w:rPr>
          <w:lang w:val="fr-CH"/>
        </w:rPr>
        <w:t> </w:t>
      </w:r>
      <w:hyperlink r:id="rId1" w:history="1">
        <w:r w:rsidR="00A61454" w:rsidRPr="0061088B">
          <w:rPr>
            <w:rStyle w:val="Hyperlink"/>
            <w:lang w:val="fr-CH"/>
          </w:rPr>
          <w:t>TC</w:t>
        </w:r>
        <w:r w:rsidRPr="0061088B">
          <w:rPr>
            <w:rStyle w:val="Hyperlink"/>
            <w:lang w:val="fr-CH"/>
          </w:rPr>
          <w:t>/57</w:t>
        </w:r>
      </w:hyperlink>
      <w:r w:rsidRPr="0061088B">
        <w:rPr>
          <w:lang w:val="fr-CH"/>
        </w:rPr>
        <w:t>, à la soixante</w:t>
      </w:r>
      <w:r w:rsidR="00A61454" w:rsidRPr="0061088B">
        <w:rPr>
          <w:lang w:val="fr-CH"/>
        </w:rPr>
        <w:t>-</w:t>
      </w:r>
      <w:r w:rsidRPr="0061088B">
        <w:rPr>
          <w:lang w:val="fr-CH"/>
        </w:rPr>
        <w:t>dix</w:t>
      </w:r>
      <w:r w:rsidR="00A61454" w:rsidRPr="0061088B">
        <w:rPr>
          <w:lang w:val="fr-CH"/>
        </w:rPr>
        <w:t>-</w:t>
      </w:r>
      <w:r w:rsidRPr="0061088B">
        <w:rPr>
          <w:lang w:val="fr-CH"/>
        </w:rPr>
        <w:t>huit</w:t>
      </w:r>
      <w:r w:rsidR="00A61454" w:rsidRPr="0061088B">
        <w:rPr>
          <w:lang w:val="fr-CH"/>
        </w:rPr>
        <w:t>ième session du </w:t>
      </w:r>
      <w:hyperlink r:id="rId2" w:history="1">
        <w:r w:rsidR="00A61454" w:rsidRPr="0061088B">
          <w:rPr>
            <w:rStyle w:val="Hyperlink"/>
            <w:lang w:val="fr-CH"/>
          </w:rPr>
          <w:t>CAJ</w:t>
        </w:r>
        <w:r w:rsidRPr="0061088B">
          <w:rPr>
            <w:rStyle w:val="Hyperlink"/>
            <w:lang w:val="fr-CH"/>
          </w:rPr>
          <w:t>/78</w:t>
        </w:r>
      </w:hyperlink>
      <w:r w:rsidRPr="0061088B">
        <w:rPr>
          <w:lang w:val="fr-CH"/>
        </w:rPr>
        <w:t xml:space="preserve"> et à la cinquante</w:t>
      </w:r>
      <w:r w:rsidR="00A61454" w:rsidRPr="0061088B">
        <w:rPr>
          <w:lang w:val="fr-CH"/>
        </w:rPr>
        <w:t>-</w:t>
      </w:r>
      <w:r w:rsidRPr="0061088B">
        <w:rPr>
          <w:lang w:val="fr-CH"/>
        </w:rPr>
        <w:t>cinqu</w:t>
      </w:r>
      <w:r w:rsidR="00A61454" w:rsidRPr="0061088B">
        <w:rPr>
          <w:lang w:val="fr-CH"/>
        </w:rPr>
        <w:t>ième session</w:t>
      </w:r>
      <w:r w:rsidRPr="0061088B">
        <w:rPr>
          <w:lang w:val="fr-CH"/>
        </w:rPr>
        <w:t xml:space="preserve"> du</w:t>
      </w:r>
      <w:r w:rsidR="0027134E" w:rsidRPr="0061088B">
        <w:rPr>
          <w:lang w:val="fr-CH"/>
        </w:rPr>
        <w:t> </w:t>
      </w:r>
      <w:hyperlink r:id="rId3" w:history="1">
        <w:r w:rsidR="0027134E" w:rsidRPr="0061088B">
          <w:rPr>
            <w:rStyle w:val="Hyperlink"/>
            <w:lang w:val="fr-CH"/>
          </w:rPr>
          <w:t>CC/55</w:t>
        </w:r>
      </w:hyperlink>
      <w:r w:rsidRPr="0061088B">
        <w:rPr>
          <w:lang w:val="fr-CH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49" w:rsidRPr="00C5280D" w:rsidRDefault="00305B49" w:rsidP="00A215E0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5C02F14" wp14:editId="38DAB36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5B49" w:rsidRDefault="00305B49" w:rsidP="00E23AC6">
                          <w:pPr>
                            <w:jc w:val="center"/>
                          </w:pPr>
                          <w:r w:rsidRPr="00E23AC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C02F1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305B49" w:rsidRDefault="00305B49" w:rsidP="00E23AC6">
                    <w:pPr>
                      <w:jc w:val="center"/>
                    </w:pPr>
                    <w:r w:rsidRPr="00E23AC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C/55/3</w:t>
    </w:r>
  </w:p>
  <w:p w:rsidR="00305B49" w:rsidRPr="00C5280D" w:rsidRDefault="00305B49" w:rsidP="00A215E0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305B49" w:rsidRDefault="00305B49" w:rsidP="00A215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B49" w:rsidRPr="00C5280D" w:rsidRDefault="00305B4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C/55/3</w:t>
    </w:r>
    <w:r w:rsidR="002310C8">
      <w:rPr>
        <w:rStyle w:val="PageNumber"/>
        <w:lang w:val="en-US"/>
      </w:rPr>
      <w:t xml:space="preserve"> </w:t>
    </w:r>
    <w:r w:rsidR="002310C8" w:rsidRPr="002310C8">
      <w:rPr>
        <w:rStyle w:val="PageNumber"/>
        <w:highlight w:val="yellow"/>
        <w:u w:val="single"/>
        <w:lang w:val="en-US"/>
      </w:rPr>
      <w:t>Rev.</w:t>
    </w:r>
  </w:p>
  <w:p w:rsidR="00305B49" w:rsidRPr="00C5280D" w:rsidRDefault="00481433" w:rsidP="00EB048E">
    <w:pPr>
      <w:pStyle w:val="Header"/>
      <w:rPr>
        <w:lang w:val="en-US"/>
      </w:rPr>
    </w:pPr>
    <w:r>
      <w:rPr>
        <w:lang w:val="en-US"/>
      </w:rPr>
      <w:t>page </w:t>
    </w:r>
    <w:r w:rsidR="00305B49" w:rsidRPr="00C5280D">
      <w:rPr>
        <w:rStyle w:val="PageNumber"/>
        <w:lang w:val="en-US"/>
      </w:rPr>
      <w:fldChar w:fldCharType="begin"/>
    </w:r>
    <w:r w:rsidR="00305B49" w:rsidRPr="00C5280D">
      <w:rPr>
        <w:rStyle w:val="PageNumber"/>
        <w:lang w:val="en-US"/>
      </w:rPr>
      <w:instrText xml:space="preserve"> PAGE </w:instrText>
    </w:r>
    <w:r w:rsidR="00305B49" w:rsidRPr="00C5280D">
      <w:rPr>
        <w:rStyle w:val="PageNumber"/>
        <w:lang w:val="en-US"/>
      </w:rPr>
      <w:fldChar w:fldCharType="separate"/>
    </w:r>
    <w:r w:rsidR="00083897">
      <w:rPr>
        <w:rStyle w:val="PageNumber"/>
        <w:noProof/>
        <w:lang w:val="en-US"/>
      </w:rPr>
      <w:t>4</w:t>
    </w:r>
    <w:r w:rsidR="00305B49" w:rsidRPr="00C5280D">
      <w:rPr>
        <w:rStyle w:val="PageNumber"/>
        <w:lang w:val="en-US"/>
      </w:rPr>
      <w:fldChar w:fldCharType="end"/>
    </w:r>
  </w:p>
  <w:p w:rsidR="00305B49" w:rsidRDefault="00305B4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A028E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05B4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08C" w:rsidRDefault="009B208C" w:rsidP="00357BC7">
    <w:pPr>
      <w:pStyle w:val="Header"/>
    </w:pPr>
    <w:r>
      <w:t>C/55/3</w:t>
    </w:r>
    <w:r w:rsidR="002310C8">
      <w:t xml:space="preserve"> </w:t>
    </w:r>
    <w:r w:rsidR="002310C8" w:rsidRPr="002310C8">
      <w:rPr>
        <w:rStyle w:val="PageNumber"/>
        <w:highlight w:val="yellow"/>
        <w:u w:val="single"/>
        <w:lang w:val="en-US"/>
      </w:rPr>
      <w:t>Rev.</w:t>
    </w:r>
  </w:p>
  <w:p w:rsidR="009B208C" w:rsidRDefault="009B208C" w:rsidP="00357BC7">
    <w:pPr>
      <w:pStyle w:val="Header"/>
    </w:pPr>
  </w:p>
  <w:p w:rsidR="009B208C" w:rsidRDefault="009B208C" w:rsidP="00357BC7">
    <w:pPr>
      <w:pStyle w:val="Header"/>
    </w:pPr>
    <w:r>
      <w:t>ANNEXE</w:t>
    </w:r>
  </w:p>
  <w:p w:rsidR="009B208C" w:rsidRPr="00357BC7" w:rsidRDefault="009B208C" w:rsidP="00357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2AF"/>
    <w:multiLevelType w:val="hybridMultilevel"/>
    <w:tmpl w:val="2F46ECBA"/>
    <w:lvl w:ilvl="0" w:tplc="29F4D8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8F73AA"/>
    <w:multiLevelType w:val="hybridMultilevel"/>
    <w:tmpl w:val="45B6C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0751"/>
    <w:multiLevelType w:val="hybridMultilevel"/>
    <w:tmpl w:val="699AAF9A"/>
    <w:lvl w:ilvl="0" w:tplc="44A4C85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49"/>
    <w:rsid w:val="00010CF3"/>
    <w:rsid w:val="00011E27"/>
    <w:rsid w:val="00012784"/>
    <w:rsid w:val="000148BC"/>
    <w:rsid w:val="00016C03"/>
    <w:rsid w:val="00024AB8"/>
    <w:rsid w:val="00030854"/>
    <w:rsid w:val="00036028"/>
    <w:rsid w:val="00044642"/>
    <w:rsid w:val="000446B9"/>
    <w:rsid w:val="00047E21"/>
    <w:rsid w:val="00050E16"/>
    <w:rsid w:val="00082170"/>
    <w:rsid w:val="00083897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325C"/>
    <w:rsid w:val="00141DB8"/>
    <w:rsid w:val="00172084"/>
    <w:rsid w:val="0017474A"/>
    <w:rsid w:val="001758C6"/>
    <w:rsid w:val="00182B99"/>
    <w:rsid w:val="00192AFF"/>
    <w:rsid w:val="001C4FB7"/>
    <w:rsid w:val="001D0611"/>
    <w:rsid w:val="001F4848"/>
    <w:rsid w:val="0021332C"/>
    <w:rsid w:val="00213982"/>
    <w:rsid w:val="002310C8"/>
    <w:rsid w:val="00235CD2"/>
    <w:rsid w:val="0024416D"/>
    <w:rsid w:val="00260195"/>
    <w:rsid w:val="0027134E"/>
    <w:rsid w:val="00271911"/>
    <w:rsid w:val="002800A0"/>
    <w:rsid w:val="002801B3"/>
    <w:rsid w:val="00281060"/>
    <w:rsid w:val="00291642"/>
    <w:rsid w:val="002940E8"/>
    <w:rsid w:val="00294751"/>
    <w:rsid w:val="002A6E50"/>
    <w:rsid w:val="002B4298"/>
    <w:rsid w:val="002C256A"/>
    <w:rsid w:val="002F0E57"/>
    <w:rsid w:val="002F7E22"/>
    <w:rsid w:val="00305A7F"/>
    <w:rsid w:val="00305B49"/>
    <w:rsid w:val="003152FE"/>
    <w:rsid w:val="00326932"/>
    <w:rsid w:val="00327436"/>
    <w:rsid w:val="00327BBA"/>
    <w:rsid w:val="00337C0A"/>
    <w:rsid w:val="00344BD6"/>
    <w:rsid w:val="0035084F"/>
    <w:rsid w:val="0035528D"/>
    <w:rsid w:val="00361821"/>
    <w:rsid w:val="00361E9E"/>
    <w:rsid w:val="00362848"/>
    <w:rsid w:val="00387FDE"/>
    <w:rsid w:val="003A028E"/>
    <w:rsid w:val="003C7FBE"/>
    <w:rsid w:val="003D227C"/>
    <w:rsid w:val="003D2B4D"/>
    <w:rsid w:val="003E39A6"/>
    <w:rsid w:val="0040557F"/>
    <w:rsid w:val="00421D5C"/>
    <w:rsid w:val="004314AE"/>
    <w:rsid w:val="00444A88"/>
    <w:rsid w:val="00456506"/>
    <w:rsid w:val="004663DE"/>
    <w:rsid w:val="00473823"/>
    <w:rsid w:val="00474DA4"/>
    <w:rsid w:val="00476B4D"/>
    <w:rsid w:val="004805FA"/>
    <w:rsid w:val="00481433"/>
    <w:rsid w:val="004935D2"/>
    <w:rsid w:val="004B1215"/>
    <w:rsid w:val="004C38BE"/>
    <w:rsid w:val="004C5AE3"/>
    <w:rsid w:val="004D047D"/>
    <w:rsid w:val="004F16AB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4320"/>
    <w:rsid w:val="00576BE4"/>
    <w:rsid w:val="005A400A"/>
    <w:rsid w:val="005E7EA6"/>
    <w:rsid w:val="005F310E"/>
    <w:rsid w:val="005F7B92"/>
    <w:rsid w:val="0061088B"/>
    <w:rsid w:val="00612379"/>
    <w:rsid w:val="006153B6"/>
    <w:rsid w:val="0061555F"/>
    <w:rsid w:val="00636CA6"/>
    <w:rsid w:val="00641200"/>
    <w:rsid w:val="00645CA8"/>
    <w:rsid w:val="0066215D"/>
    <w:rsid w:val="006655D3"/>
    <w:rsid w:val="00667404"/>
    <w:rsid w:val="00687EB4"/>
    <w:rsid w:val="00695C56"/>
    <w:rsid w:val="006A5CDE"/>
    <w:rsid w:val="006A644A"/>
    <w:rsid w:val="006B17D2"/>
    <w:rsid w:val="006C224E"/>
    <w:rsid w:val="006D5ABB"/>
    <w:rsid w:val="006D780A"/>
    <w:rsid w:val="0071271E"/>
    <w:rsid w:val="00732DEC"/>
    <w:rsid w:val="00735ADA"/>
    <w:rsid w:val="00735BD5"/>
    <w:rsid w:val="00751613"/>
    <w:rsid w:val="007556F6"/>
    <w:rsid w:val="00760EEF"/>
    <w:rsid w:val="00777314"/>
    <w:rsid w:val="00777EE5"/>
    <w:rsid w:val="007807B9"/>
    <w:rsid w:val="00784836"/>
    <w:rsid w:val="0079023E"/>
    <w:rsid w:val="007939BA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8D5E6F"/>
    <w:rsid w:val="008D6DDE"/>
    <w:rsid w:val="008F3803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1FD1"/>
    <w:rsid w:val="009A7339"/>
    <w:rsid w:val="009B208C"/>
    <w:rsid w:val="009B440E"/>
    <w:rsid w:val="009D3545"/>
    <w:rsid w:val="009D690D"/>
    <w:rsid w:val="009E65B6"/>
    <w:rsid w:val="00A02A59"/>
    <w:rsid w:val="00A24C10"/>
    <w:rsid w:val="00A42AC3"/>
    <w:rsid w:val="00A430CF"/>
    <w:rsid w:val="00A515C7"/>
    <w:rsid w:val="00A54309"/>
    <w:rsid w:val="00A61454"/>
    <w:rsid w:val="00A706D3"/>
    <w:rsid w:val="00A71548"/>
    <w:rsid w:val="00A740A4"/>
    <w:rsid w:val="00A90089"/>
    <w:rsid w:val="00AB2B93"/>
    <w:rsid w:val="00AB530F"/>
    <w:rsid w:val="00AB5931"/>
    <w:rsid w:val="00AB7E5B"/>
    <w:rsid w:val="00AC2883"/>
    <w:rsid w:val="00AE0EF1"/>
    <w:rsid w:val="00AE1942"/>
    <w:rsid w:val="00AE2937"/>
    <w:rsid w:val="00B07301"/>
    <w:rsid w:val="00B11F3E"/>
    <w:rsid w:val="00B224DE"/>
    <w:rsid w:val="00B23FCB"/>
    <w:rsid w:val="00B324D4"/>
    <w:rsid w:val="00B46575"/>
    <w:rsid w:val="00B61777"/>
    <w:rsid w:val="00B84BBD"/>
    <w:rsid w:val="00B967FA"/>
    <w:rsid w:val="00BA43FB"/>
    <w:rsid w:val="00BC127D"/>
    <w:rsid w:val="00BC1FE6"/>
    <w:rsid w:val="00BC6686"/>
    <w:rsid w:val="00C047B2"/>
    <w:rsid w:val="00C061B6"/>
    <w:rsid w:val="00C2446C"/>
    <w:rsid w:val="00C36AE5"/>
    <w:rsid w:val="00C41F17"/>
    <w:rsid w:val="00C47E1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6F36"/>
    <w:rsid w:val="00DA7A62"/>
    <w:rsid w:val="00DB596E"/>
    <w:rsid w:val="00DB7773"/>
    <w:rsid w:val="00DC00EA"/>
    <w:rsid w:val="00DC3802"/>
    <w:rsid w:val="00DE15E5"/>
    <w:rsid w:val="00DE4DB1"/>
    <w:rsid w:val="00E07D87"/>
    <w:rsid w:val="00E32F7E"/>
    <w:rsid w:val="00E42261"/>
    <w:rsid w:val="00E5267B"/>
    <w:rsid w:val="00E63C0E"/>
    <w:rsid w:val="00E72D49"/>
    <w:rsid w:val="00E7593C"/>
    <w:rsid w:val="00E7678A"/>
    <w:rsid w:val="00E84C4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0A67"/>
    <w:rsid w:val="00F45372"/>
    <w:rsid w:val="00F560F7"/>
    <w:rsid w:val="00F6334D"/>
    <w:rsid w:val="00FA49AB"/>
    <w:rsid w:val="00FB03AD"/>
    <w:rsid w:val="00FC511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54E861D"/>
  <w15:docId w15:val="{8A3ECF2B-9EEA-4F77-861E-D098868C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61088B"/>
    <w:pPr>
      <w:spacing w:before="60"/>
      <w:ind w:left="567" w:hanging="567"/>
      <w:jc w:val="both"/>
    </w:pPr>
    <w:rPr>
      <w:rFonts w:ascii="Arial" w:hAnsi="Arial"/>
      <w:spacing w:val="-2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05B49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61088B"/>
    <w:rPr>
      <w:rFonts w:ascii="Arial" w:hAnsi="Arial"/>
      <w:spacing w:val="-2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9A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tgp/fr/index.js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tgp/fr/index.jsp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tgp/fr/index.j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pov.int/upovprisma/fr/index.htm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pov.int/tgp/fr/index.jsp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sley.mccarthy@sasa.gov.scot" TargetMode="External"/><Relationship Id="rId1" Type="http://schemas.openxmlformats.org/officeDocument/2006/relationships/hyperlink" Target="mailto:Tom.Christie@sasa.gsi.gov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oc_details.jsp?meeting_id=60600&amp;doc_id=538851" TargetMode="External"/><Relationship Id="rId2" Type="http://schemas.openxmlformats.org/officeDocument/2006/relationships/hyperlink" Target="https://www.upov.int/meetings/fr/doc_details.jsp?meeting_id=60598&amp;doc_id=538851" TargetMode="External"/><Relationship Id="rId1" Type="http://schemas.openxmlformats.org/officeDocument/2006/relationships/hyperlink" Target="https://www.upov.int/meetings/fr/doc_details.jsp?meeting_id=60596&amp;doc_id=538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D7A3B-EAB1-42D1-B8FC-5789554D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1692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</dc:title>
  <dc:creator>AUBERT Annaelle</dc:creator>
  <cp:lastModifiedBy>SANTOS Carla Marina</cp:lastModifiedBy>
  <cp:revision>52</cp:revision>
  <cp:lastPrinted>2016-11-22T15:41:00Z</cp:lastPrinted>
  <dcterms:created xsi:type="dcterms:W3CDTF">2021-06-11T07:54:00Z</dcterms:created>
  <dcterms:modified xsi:type="dcterms:W3CDTF">2021-08-23T16:59:00Z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d8c880cc-a4ef-4e89-9d48-030f08fa93b0</vt:lpwstr>
  </property>
</Properties>
</file>