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233BB5" w:rsidRPr="00233BB5" w:rsidTr="00EB4E9C">
        <w:tc>
          <w:tcPr>
            <w:tcW w:w="6522" w:type="dxa"/>
          </w:tcPr>
          <w:p w:rsidR="00DC3802" w:rsidRPr="00233BB5" w:rsidRDefault="00DC3802" w:rsidP="00AC2883">
            <w:r w:rsidRPr="00233BB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233BB5" w:rsidRDefault="00A706D3" w:rsidP="00AC2883">
            <w:pPr>
              <w:pStyle w:val="Lettrine"/>
            </w:pPr>
            <w:r w:rsidRPr="00233BB5">
              <w:t>F</w:t>
            </w:r>
          </w:p>
        </w:tc>
      </w:tr>
      <w:tr w:rsidR="00DC3802" w:rsidRPr="00233BB5" w:rsidTr="00645CA8">
        <w:trPr>
          <w:trHeight w:val="219"/>
        </w:trPr>
        <w:tc>
          <w:tcPr>
            <w:tcW w:w="6522" w:type="dxa"/>
          </w:tcPr>
          <w:p w:rsidR="00DC3802" w:rsidRPr="00233BB5" w:rsidRDefault="00DC3802" w:rsidP="00A706D3">
            <w:pPr>
              <w:pStyle w:val="upove"/>
            </w:pPr>
            <w:r w:rsidRPr="00233BB5">
              <w:t xml:space="preserve">Union </w:t>
            </w:r>
            <w:r w:rsidR="00A706D3" w:rsidRPr="00233BB5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233BB5" w:rsidRDefault="00DC3802" w:rsidP="00DA4973"/>
        </w:tc>
      </w:tr>
    </w:tbl>
    <w:p w:rsidR="00275C16" w:rsidRDefault="00275C16" w:rsidP="00DC3802"/>
    <w:p w:rsidR="00DA4973" w:rsidRPr="00233BB5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33BB5" w:rsidRPr="00233BB5" w:rsidTr="00EB4E9C">
        <w:tc>
          <w:tcPr>
            <w:tcW w:w="6512" w:type="dxa"/>
          </w:tcPr>
          <w:p w:rsidR="00275C16" w:rsidRDefault="00AB5931" w:rsidP="00AC2883">
            <w:pPr>
              <w:pStyle w:val="Sessiontc"/>
              <w:spacing w:line="240" w:lineRule="auto"/>
            </w:pPr>
            <w:r w:rsidRPr="00233BB5">
              <w:t>Conseil</w:t>
            </w:r>
          </w:p>
          <w:p w:rsidR="00275C16" w:rsidRDefault="00AB5931" w:rsidP="0025214B">
            <w:pPr>
              <w:pStyle w:val="Sessiontcplacedate"/>
            </w:pPr>
            <w:r w:rsidRPr="00233BB5">
              <w:t>Cinquante</w:t>
            </w:r>
            <w:r w:rsidR="007D6DCE">
              <w:t>-</w:t>
            </w:r>
            <w:r w:rsidR="0025214B" w:rsidRPr="00233BB5">
              <w:t>cinqu</w:t>
            </w:r>
            <w:r w:rsidR="007D6DCE">
              <w:t>ième session</w:t>
            </w:r>
            <w:r w:rsidRPr="00233BB5">
              <w:t xml:space="preserve"> ordinaire</w:t>
            </w:r>
          </w:p>
          <w:p w:rsidR="00EB4E9C" w:rsidRPr="00233BB5" w:rsidRDefault="00EB4E9C" w:rsidP="0025214B">
            <w:pPr>
              <w:pStyle w:val="Sessiontcplacedate"/>
              <w:rPr>
                <w:sz w:val="22"/>
              </w:rPr>
            </w:pPr>
            <w:r w:rsidRPr="00233BB5">
              <w:t>Gen</w:t>
            </w:r>
            <w:r w:rsidR="00A706D3" w:rsidRPr="00233BB5">
              <w:t>è</w:t>
            </w:r>
            <w:r w:rsidRPr="00233BB5">
              <w:t>v</w:t>
            </w:r>
            <w:r w:rsidR="00A706D3" w:rsidRPr="00233BB5">
              <w:t>e</w:t>
            </w:r>
            <w:r w:rsidRPr="00233BB5">
              <w:t xml:space="preserve">, </w:t>
            </w:r>
            <w:r w:rsidR="0025214B" w:rsidRPr="00233BB5">
              <w:t>29</w:t>
            </w:r>
            <w:r w:rsidR="000F5764" w:rsidRPr="00233BB5">
              <w:t> </w:t>
            </w:r>
            <w:r w:rsidR="0025214B" w:rsidRPr="00233BB5">
              <w:t>octobre</w:t>
            </w:r>
            <w:r w:rsidR="000F5764" w:rsidRPr="00233BB5">
              <w:t> </w:t>
            </w:r>
            <w:r w:rsidR="0025214B" w:rsidRPr="00233BB5">
              <w:t>2021</w:t>
            </w:r>
          </w:p>
        </w:tc>
        <w:tc>
          <w:tcPr>
            <w:tcW w:w="3127" w:type="dxa"/>
          </w:tcPr>
          <w:p w:rsidR="00275C16" w:rsidRDefault="00235CD2" w:rsidP="003C7FBE">
            <w:pPr>
              <w:pStyle w:val="Doccode"/>
              <w:rPr>
                <w:lang w:val="fr-FR"/>
              </w:rPr>
            </w:pPr>
            <w:r w:rsidRPr="00233BB5">
              <w:rPr>
                <w:lang w:val="fr-FR"/>
              </w:rPr>
              <w:t>C/5</w:t>
            </w:r>
            <w:r w:rsidR="0025214B" w:rsidRPr="00233BB5">
              <w:rPr>
                <w:lang w:val="fr-FR"/>
              </w:rPr>
              <w:t>5</w:t>
            </w:r>
            <w:r w:rsidR="00EB4E9C" w:rsidRPr="00233BB5">
              <w:rPr>
                <w:lang w:val="fr-FR"/>
              </w:rPr>
              <w:t>/</w:t>
            </w:r>
            <w:r w:rsidR="0025214B" w:rsidRPr="00233BB5">
              <w:rPr>
                <w:lang w:val="fr-FR"/>
              </w:rPr>
              <w:t>1</w:t>
            </w:r>
            <w:r w:rsidR="00DC2E0A">
              <w:rPr>
                <w:lang w:val="fr-FR"/>
              </w:rPr>
              <w:t>2</w:t>
            </w:r>
          </w:p>
          <w:p w:rsidR="00275C16" w:rsidRDefault="00EB4E9C" w:rsidP="003C7FBE">
            <w:pPr>
              <w:pStyle w:val="Docoriginal"/>
            </w:pPr>
            <w:r w:rsidRPr="00233BB5">
              <w:t>Original</w:t>
            </w:r>
            <w:r w:rsidR="007D6DCE">
              <w:t> :</w:t>
            </w:r>
            <w:r w:rsidRPr="00233BB5">
              <w:rPr>
                <w:b w:val="0"/>
                <w:spacing w:val="0"/>
              </w:rPr>
              <w:t xml:space="preserve"> </w:t>
            </w:r>
            <w:r w:rsidR="00A706D3" w:rsidRPr="00233BB5">
              <w:rPr>
                <w:b w:val="0"/>
                <w:spacing w:val="0"/>
              </w:rPr>
              <w:t>anglais</w:t>
            </w:r>
          </w:p>
          <w:p w:rsidR="00EB4E9C" w:rsidRPr="00233BB5" w:rsidRDefault="00EB4E9C" w:rsidP="005907AC">
            <w:pPr>
              <w:pStyle w:val="Docoriginal"/>
            </w:pPr>
            <w:r w:rsidRPr="00233BB5">
              <w:t>Date</w:t>
            </w:r>
            <w:r w:rsidR="007D6DCE">
              <w:t> :</w:t>
            </w:r>
            <w:r w:rsidRPr="00233BB5">
              <w:rPr>
                <w:b w:val="0"/>
                <w:spacing w:val="0"/>
              </w:rPr>
              <w:t xml:space="preserve"> </w:t>
            </w:r>
            <w:r w:rsidR="007D6DCE">
              <w:rPr>
                <w:b w:val="0"/>
                <w:spacing w:val="0"/>
              </w:rPr>
              <w:t>5 octobre</w:t>
            </w:r>
            <w:r w:rsidR="00587C57">
              <w:rPr>
                <w:b w:val="0"/>
                <w:spacing w:val="0"/>
              </w:rPr>
              <w:t> </w:t>
            </w:r>
            <w:r w:rsidR="0025214B" w:rsidRPr="00233BB5">
              <w:rPr>
                <w:b w:val="0"/>
                <w:spacing w:val="0"/>
              </w:rPr>
              <w:t>2021</w:t>
            </w:r>
          </w:p>
        </w:tc>
      </w:tr>
    </w:tbl>
    <w:p w:rsidR="00275C16" w:rsidRDefault="00DC2E0A" w:rsidP="0041110F">
      <w:pPr>
        <w:pStyle w:val="Titleofdoc0"/>
        <w:rPr>
          <w:lang w:val="fr-CH"/>
        </w:rPr>
      </w:pPr>
      <w:r w:rsidRPr="00DC2E0A">
        <w:rPr>
          <w:lang w:val="fr-CH"/>
        </w:rPr>
        <w:t>Résultats de l</w:t>
      </w:r>
      <w:r w:rsidR="007D6DCE">
        <w:rPr>
          <w:lang w:val="fr-CH"/>
        </w:rPr>
        <w:t>’</w:t>
      </w:r>
      <w:r w:rsidRPr="00DC2E0A">
        <w:rPr>
          <w:lang w:val="fr-CH"/>
        </w:rPr>
        <w:t>examen des documents par correspondance</w:t>
      </w:r>
    </w:p>
    <w:p w:rsidR="00275C16" w:rsidRDefault="00D374DE" w:rsidP="0041110F">
      <w:pPr>
        <w:pStyle w:val="preparedby1"/>
        <w:jc w:val="left"/>
        <w:rPr>
          <w:lang w:val="fr-CH"/>
        </w:rPr>
      </w:pPr>
      <w:r>
        <w:rPr>
          <w:lang w:val="fr-CH"/>
        </w:rPr>
        <w:t xml:space="preserve">Document </w:t>
      </w:r>
      <w:r w:rsidR="0041110F" w:rsidRPr="00233BB5">
        <w:rPr>
          <w:lang w:val="fr-CH"/>
        </w:rPr>
        <w:t>établi par le Bureau de l</w:t>
      </w:r>
      <w:r w:rsidR="007D6DCE">
        <w:rPr>
          <w:lang w:val="fr-CH"/>
        </w:rPr>
        <w:t>’</w:t>
      </w:r>
      <w:r w:rsidR="0041110F" w:rsidRPr="00233BB5">
        <w:rPr>
          <w:lang w:val="fr-CH"/>
        </w:rPr>
        <w:t>Union</w:t>
      </w:r>
    </w:p>
    <w:p w:rsidR="00275C16" w:rsidRDefault="0041110F" w:rsidP="0041110F">
      <w:pPr>
        <w:pStyle w:val="Disclaimer"/>
        <w:rPr>
          <w:lang w:val="fr-CH"/>
        </w:rPr>
      </w:pPr>
      <w:r w:rsidRPr="00A56201">
        <w:rPr>
          <w:lang w:val="fr-CH"/>
        </w:rPr>
        <w:t>Avertissement</w:t>
      </w:r>
      <w:r w:rsidR="007D6DCE">
        <w:rPr>
          <w:lang w:val="fr-CH"/>
        </w:rPr>
        <w:t> :</w:t>
      </w:r>
      <w:r w:rsidRPr="00A56201">
        <w:rPr>
          <w:lang w:val="fr-CH"/>
        </w:rPr>
        <w:t xml:space="preserve"> le présent document ne représente pas les principes ou les orientations de l</w:t>
      </w:r>
      <w:r w:rsidR="007D6DCE">
        <w:rPr>
          <w:lang w:val="fr-CH"/>
        </w:rPr>
        <w:t>’</w:t>
      </w:r>
      <w:r w:rsidRPr="00A56201">
        <w:rPr>
          <w:lang w:val="fr-CH"/>
        </w:rPr>
        <w:t>UPOV</w:t>
      </w:r>
    </w:p>
    <w:p w:rsidR="00275C16" w:rsidRPr="005F5EE2" w:rsidRDefault="00D47E21" w:rsidP="00D47E21">
      <w:pPr>
        <w:rPr>
          <w:lang w:val="fr-CH"/>
        </w:rPr>
      </w:pPr>
      <w:r w:rsidRPr="005F5EE2">
        <w:rPr>
          <w:lang w:val="fr-CH"/>
        </w:rPr>
        <w:t>RÉSUMÉ</w:t>
      </w:r>
    </w:p>
    <w:p w:rsidR="00275C16" w:rsidRPr="005F5EE2" w:rsidRDefault="00275C16" w:rsidP="005907AC">
      <w:pPr>
        <w:rPr>
          <w:sz w:val="18"/>
          <w:lang w:val="fr-CH"/>
        </w:rPr>
      </w:pPr>
    </w:p>
    <w:p w:rsidR="007D6DCE" w:rsidRPr="005F5EE2" w:rsidRDefault="005907AC" w:rsidP="00D47E21">
      <w:pPr>
        <w:rPr>
          <w:lang w:val="fr-CH"/>
        </w:rPr>
      </w:pPr>
      <w:r w:rsidRPr="005F5EE2">
        <w:fldChar w:fldCharType="begin"/>
      </w:r>
      <w:r w:rsidRPr="005F5EE2">
        <w:rPr>
          <w:lang w:val="fr-CH"/>
        </w:rPr>
        <w:instrText xml:space="preserve"> AUTONUM  </w:instrText>
      </w:r>
      <w:r w:rsidRPr="005F5EE2">
        <w:fldChar w:fldCharType="end"/>
      </w:r>
      <w:r w:rsidRPr="005F5EE2">
        <w:rPr>
          <w:lang w:val="fr-CH"/>
        </w:rPr>
        <w:tab/>
      </w:r>
      <w:r w:rsidR="00D47E21" w:rsidRPr="005F5EE2">
        <w:rPr>
          <w:lang w:val="fr-CH"/>
        </w:rPr>
        <w:t>Le présent document a pour objet de rendre compte des résultats de l</w:t>
      </w:r>
      <w:r w:rsidR="007D6DCE" w:rsidRPr="005F5EE2">
        <w:rPr>
          <w:lang w:val="fr-CH"/>
        </w:rPr>
        <w:t>’</w:t>
      </w:r>
      <w:r w:rsidR="00D47E21" w:rsidRPr="005F5EE2">
        <w:rPr>
          <w:lang w:val="fr-CH"/>
        </w:rPr>
        <w:t xml:space="preserve">examen des documents du Conseil par correspondance, conformément à la procédure adoptée par le Conseil </w:t>
      </w:r>
      <w:r w:rsidR="007D6DCE" w:rsidRPr="005F5EE2">
        <w:rPr>
          <w:lang w:val="fr-CH"/>
        </w:rPr>
        <w:t>en 2021</w:t>
      </w:r>
      <w:r w:rsidR="00D47E21" w:rsidRPr="005F5EE2">
        <w:rPr>
          <w:rStyle w:val="FootnoteReference"/>
          <w:lang w:val="en-US"/>
        </w:rPr>
        <w:footnoteReference w:id="2"/>
      </w:r>
      <w:r w:rsidR="00D47E21" w:rsidRPr="005F5EE2">
        <w:rPr>
          <w:lang w:val="fr-CH"/>
        </w:rPr>
        <w:t>.</w:t>
      </w:r>
    </w:p>
    <w:p w:rsidR="00275C16" w:rsidRPr="005F5EE2" w:rsidRDefault="00275C16" w:rsidP="005907AC">
      <w:pPr>
        <w:rPr>
          <w:sz w:val="18"/>
          <w:lang w:val="fr-CH"/>
        </w:rPr>
      </w:pPr>
    </w:p>
    <w:p w:rsidR="00275C16" w:rsidRPr="005F5EE2" w:rsidRDefault="005907AC" w:rsidP="00D47E21">
      <w:pPr>
        <w:rPr>
          <w:lang w:val="fr-CH"/>
        </w:rPr>
      </w:pPr>
      <w:r w:rsidRPr="005F5EE2">
        <w:fldChar w:fldCharType="begin"/>
      </w:r>
      <w:r w:rsidRPr="005F5EE2">
        <w:rPr>
          <w:lang w:val="fr-CH"/>
        </w:rPr>
        <w:instrText xml:space="preserve"> AUTONUM  </w:instrText>
      </w:r>
      <w:r w:rsidRPr="005F5EE2">
        <w:fldChar w:fldCharType="end"/>
      </w:r>
      <w:r w:rsidRPr="005F5EE2">
        <w:rPr>
          <w:lang w:val="fr-CH"/>
        </w:rPr>
        <w:tab/>
      </w:r>
      <w:r w:rsidR="00D47E21" w:rsidRPr="005F5EE2">
        <w:rPr>
          <w:lang w:val="fr-CH"/>
        </w:rPr>
        <w:t>Le Conseil est invité à prendre note de l</w:t>
      </w:r>
      <w:r w:rsidR="007D6DCE" w:rsidRPr="005F5EE2">
        <w:rPr>
          <w:lang w:val="fr-CH"/>
        </w:rPr>
        <w:t>’</w:t>
      </w:r>
      <w:r w:rsidR="00D47E21" w:rsidRPr="005F5EE2">
        <w:rPr>
          <w:lang w:val="fr-CH"/>
        </w:rPr>
        <w:t>approbation par le Conseil,</w:t>
      </w:r>
      <w:r w:rsidR="006A6B8C" w:rsidRPr="006A6B8C">
        <w:t xml:space="preserve"> </w:t>
      </w:r>
      <w:r w:rsidR="006A6B8C">
        <w:t>par correspondance</w:t>
      </w:r>
      <w:r w:rsidR="00D47E21" w:rsidRPr="005F5EE2">
        <w:rPr>
          <w:lang w:val="fr-CH"/>
        </w:rPr>
        <w:t xml:space="preserve"> le 2</w:t>
      </w:r>
      <w:r w:rsidR="007D6DCE" w:rsidRPr="005F5EE2">
        <w:rPr>
          <w:lang w:val="fr-CH"/>
        </w:rPr>
        <w:t>1 septembre 20</w:t>
      </w:r>
      <w:r w:rsidR="00D47E21" w:rsidRPr="005F5EE2">
        <w:rPr>
          <w:lang w:val="fr-CH"/>
        </w:rPr>
        <w:t>21, des décisions contenues dans les documents suivants</w:t>
      </w:r>
      <w:r w:rsidR="007D6DCE" w:rsidRPr="005F5EE2">
        <w:rPr>
          <w:lang w:val="fr-CH"/>
        </w:rPr>
        <w:t> :</w:t>
      </w:r>
    </w:p>
    <w:p w:rsidR="00275C16" w:rsidRPr="005F5EE2" w:rsidRDefault="00D47E21" w:rsidP="00D47E21">
      <w:pPr>
        <w:pStyle w:val="ListParagraph"/>
        <w:keepNext/>
        <w:spacing w:before="100" w:after="100"/>
        <w:ind w:left="562"/>
        <w:contextualSpacing w:val="0"/>
        <w:rPr>
          <w:rFonts w:cs="Arial"/>
          <w:lang w:val="fr-CH"/>
        </w:rPr>
      </w:pPr>
      <w:r w:rsidRPr="005F5EE2">
        <w:rPr>
          <w:rFonts w:cs="Arial"/>
          <w:lang w:val="fr-CH"/>
        </w:rPr>
        <w:t>Prolongation du mandat du Secrétaire général adjoint et procédure de nomination d</w:t>
      </w:r>
      <w:r w:rsidR="007D6DCE" w:rsidRPr="005F5EE2">
        <w:rPr>
          <w:rFonts w:cs="Arial"/>
          <w:lang w:val="fr-CH"/>
        </w:rPr>
        <w:t>’</w:t>
      </w:r>
      <w:r w:rsidRPr="005F5EE2">
        <w:rPr>
          <w:rFonts w:cs="Arial"/>
          <w:lang w:val="fr-CH"/>
        </w:rPr>
        <w:t>un nouveau Secrétaire général adjoint (document</w:t>
      </w:r>
      <w:r w:rsidR="00625CBD" w:rsidRPr="005F5EE2">
        <w:rPr>
          <w:rFonts w:cs="Arial"/>
          <w:lang w:val="fr-CH"/>
        </w:rPr>
        <w:t> </w:t>
      </w:r>
      <w:r w:rsidRPr="005F5EE2">
        <w:rPr>
          <w:rFonts w:cs="Arial"/>
          <w:lang w:val="fr-CH"/>
        </w:rPr>
        <w:t>C/55/10)</w:t>
      </w:r>
    </w:p>
    <w:p w:rsidR="00275C16" w:rsidRPr="005F5EE2" w:rsidRDefault="00D47E21" w:rsidP="00D47E21">
      <w:pPr>
        <w:pStyle w:val="ListParagraph"/>
        <w:keepNext/>
        <w:spacing w:after="60"/>
        <w:ind w:left="562"/>
        <w:contextualSpacing w:val="0"/>
        <w:rPr>
          <w:rFonts w:cs="Arial"/>
          <w:lang w:val="fr-CH"/>
        </w:rPr>
      </w:pPr>
      <w:r w:rsidRPr="005F5EE2">
        <w:rPr>
          <w:rFonts w:cs="Arial"/>
          <w:lang w:val="fr-CH"/>
        </w:rPr>
        <w:t>Adoption de documents (document C/55/3</w:t>
      </w:r>
      <w:r w:rsidR="004011A9" w:rsidRPr="005F5EE2">
        <w:rPr>
          <w:rFonts w:cs="Arial"/>
          <w:lang w:val="fr-CH"/>
        </w:rPr>
        <w:t> </w:t>
      </w:r>
      <w:proofErr w:type="spellStart"/>
      <w:r w:rsidRPr="005F5EE2">
        <w:rPr>
          <w:rFonts w:cs="Arial"/>
          <w:lang w:val="fr-CH"/>
        </w:rPr>
        <w:t>Rev</w:t>
      </w:r>
      <w:proofErr w:type="spellEnd"/>
      <w:r w:rsidRPr="005F5EE2">
        <w:rPr>
          <w:rFonts w:cs="Arial"/>
          <w:lang w:val="fr-CH"/>
        </w:rPr>
        <w:t>.)</w:t>
      </w:r>
    </w:p>
    <w:p w:rsidR="00275C16" w:rsidRPr="005F5EE2" w:rsidRDefault="00D47E21" w:rsidP="00D47E21">
      <w:pPr>
        <w:pStyle w:val="ListParagraph"/>
        <w:keepNext/>
        <w:spacing w:after="60"/>
        <w:ind w:left="2837" w:hanging="1701"/>
        <w:contextualSpacing w:val="0"/>
        <w:rPr>
          <w:rFonts w:cs="Angsana New"/>
          <w:spacing w:val="-2"/>
          <w:szCs w:val="24"/>
          <w:lang w:val="fr-CH" w:eastAsia="ja-JP" w:bidi="th-TH"/>
        </w:rPr>
      </w:pPr>
      <w:r w:rsidRPr="005F5EE2">
        <w:rPr>
          <w:rFonts w:cs="Angsana New"/>
          <w:spacing w:val="-2"/>
          <w:szCs w:val="24"/>
          <w:lang w:val="fr-CH" w:eastAsia="ja-JP" w:bidi="th-TH"/>
        </w:rPr>
        <w:t>UPOV/INF/6</w:t>
      </w:r>
      <w:r w:rsidR="007D6DCE" w:rsidRPr="005F5EE2">
        <w:rPr>
          <w:rFonts w:cs="Angsana New"/>
          <w:spacing w:val="-2"/>
          <w:szCs w:val="24"/>
          <w:lang w:val="fr-CH" w:eastAsia="ja-JP" w:bidi="th-TH"/>
        </w:rPr>
        <w:t> :</w:t>
      </w:r>
      <w:r w:rsidR="004011A9" w:rsidRPr="005F5EE2">
        <w:rPr>
          <w:rFonts w:cs="Angsana New"/>
          <w:spacing w:val="-2"/>
          <w:szCs w:val="24"/>
          <w:lang w:val="fr-CH" w:eastAsia="ja-JP" w:bidi="th-TH"/>
        </w:rPr>
        <w:t xml:space="preserve"> </w:t>
      </w:r>
      <w:r w:rsidRPr="005F5EE2">
        <w:rPr>
          <w:spacing w:val="-2"/>
          <w:lang w:val="fr-CH"/>
        </w:rPr>
        <w:tab/>
      </w:r>
      <w:r w:rsidRPr="005F5EE2">
        <w:rPr>
          <w:rFonts w:cs="Angsana New"/>
          <w:spacing w:val="-2"/>
          <w:szCs w:val="24"/>
          <w:lang w:val="fr-CH" w:eastAsia="ja-JP" w:bidi="th-TH"/>
        </w:rPr>
        <w:t>Orientations en vue de la rédaction de lois fondées sur l</w:t>
      </w:r>
      <w:r w:rsidR="007D6DCE" w:rsidRPr="005F5EE2">
        <w:rPr>
          <w:rFonts w:cs="Angsana New"/>
          <w:spacing w:val="-2"/>
          <w:szCs w:val="24"/>
          <w:lang w:val="fr-CH" w:eastAsia="ja-JP" w:bidi="th-TH"/>
        </w:rPr>
        <w:t>’</w:t>
      </w:r>
      <w:r w:rsidRPr="005F5EE2">
        <w:rPr>
          <w:rFonts w:cs="Angsana New"/>
          <w:spacing w:val="-2"/>
          <w:szCs w:val="24"/>
          <w:lang w:val="fr-CH" w:eastAsia="ja-JP" w:bidi="th-TH"/>
        </w:rPr>
        <w:t xml:space="preserve">Acte </w:t>
      </w:r>
      <w:r w:rsidR="007D6DCE" w:rsidRPr="005F5EE2">
        <w:rPr>
          <w:rFonts w:cs="Angsana New"/>
          <w:spacing w:val="-2"/>
          <w:szCs w:val="24"/>
          <w:lang w:val="fr-CH" w:eastAsia="ja-JP" w:bidi="th-TH"/>
        </w:rPr>
        <w:t>de 1991</w:t>
      </w:r>
      <w:r w:rsidRPr="005F5EE2">
        <w:rPr>
          <w:rFonts w:cs="Angsana New"/>
          <w:spacing w:val="-2"/>
          <w:szCs w:val="24"/>
          <w:lang w:val="fr-CH" w:eastAsia="ja-JP" w:bidi="th-TH"/>
        </w:rPr>
        <w:t xml:space="preserve"> de la </w:t>
      </w:r>
      <w:r w:rsidR="007D6DCE" w:rsidRPr="005F5EE2">
        <w:rPr>
          <w:rFonts w:cs="Angsana New"/>
          <w:spacing w:val="-2"/>
          <w:szCs w:val="24"/>
          <w:lang w:val="fr-CH" w:eastAsia="ja-JP" w:bidi="th-TH"/>
        </w:rPr>
        <w:t>Convention UPOV</w:t>
      </w:r>
      <w:r w:rsidRPr="005F5EE2">
        <w:rPr>
          <w:rFonts w:cs="Angsana New"/>
          <w:spacing w:val="-2"/>
          <w:szCs w:val="24"/>
          <w:lang w:val="fr-CH" w:eastAsia="ja-JP" w:bidi="th-TH"/>
        </w:rPr>
        <w:t xml:space="preserve"> (révision) (annexe du document</w:t>
      </w:r>
      <w:r w:rsidR="00625CBD" w:rsidRPr="005F5EE2">
        <w:rPr>
          <w:rFonts w:cs="Angsana New"/>
          <w:spacing w:val="-2"/>
          <w:szCs w:val="24"/>
          <w:lang w:val="fr-CH" w:eastAsia="ja-JP" w:bidi="th-TH"/>
        </w:rPr>
        <w:t> </w:t>
      </w:r>
      <w:r w:rsidRPr="005F5EE2">
        <w:rPr>
          <w:rFonts w:cs="Angsana New"/>
          <w:spacing w:val="-2"/>
          <w:szCs w:val="24"/>
          <w:lang w:val="fr-CH" w:eastAsia="ja-JP" w:bidi="th-TH"/>
        </w:rPr>
        <w:t>C/55/3</w:t>
      </w:r>
      <w:r w:rsidR="004011A9" w:rsidRPr="005F5EE2">
        <w:rPr>
          <w:rFonts w:cs="Angsana New"/>
          <w:spacing w:val="-2"/>
          <w:szCs w:val="24"/>
          <w:lang w:val="fr-CH" w:eastAsia="ja-JP" w:bidi="th-TH"/>
        </w:rPr>
        <w:t> </w:t>
      </w:r>
      <w:proofErr w:type="spellStart"/>
      <w:r w:rsidRPr="005F5EE2">
        <w:rPr>
          <w:rFonts w:cs="Angsana New"/>
          <w:spacing w:val="-2"/>
          <w:szCs w:val="24"/>
          <w:lang w:val="fr-CH" w:eastAsia="ja-JP" w:bidi="th-TH"/>
        </w:rPr>
        <w:t>Rev</w:t>
      </w:r>
      <w:proofErr w:type="spellEnd"/>
      <w:r w:rsidRPr="005F5EE2">
        <w:rPr>
          <w:rFonts w:cs="Angsana New"/>
          <w:spacing w:val="-2"/>
          <w:szCs w:val="24"/>
          <w:lang w:val="fr-CH" w:eastAsia="ja-JP" w:bidi="th-TH"/>
        </w:rPr>
        <w:t>.)</w:t>
      </w:r>
    </w:p>
    <w:p w:rsidR="00275C16" w:rsidRPr="005F5EE2" w:rsidRDefault="00D47E21" w:rsidP="00D47E21">
      <w:pPr>
        <w:pStyle w:val="ListParagraph"/>
        <w:keepNext/>
        <w:spacing w:after="80"/>
        <w:ind w:left="2837" w:hanging="1701"/>
        <w:contextualSpacing w:val="0"/>
        <w:rPr>
          <w:rFonts w:cs="Angsana New"/>
          <w:spacing w:val="-2"/>
          <w:szCs w:val="24"/>
          <w:lang w:val="fr-CH" w:eastAsia="ja-JP" w:bidi="th-TH"/>
        </w:rPr>
      </w:pPr>
      <w:r w:rsidRPr="005F5EE2">
        <w:rPr>
          <w:rFonts w:cs="Angsana New"/>
          <w:spacing w:val="-2"/>
          <w:szCs w:val="24"/>
          <w:lang w:val="fr-CH" w:eastAsia="ja-JP" w:bidi="th-TH"/>
        </w:rPr>
        <w:t>UPOV/INF/16</w:t>
      </w:r>
      <w:r w:rsidR="007D6DCE" w:rsidRPr="005F5EE2">
        <w:rPr>
          <w:rFonts w:cs="Angsana New"/>
          <w:spacing w:val="-2"/>
          <w:szCs w:val="24"/>
          <w:lang w:val="fr-CH" w:eastAsia="ja-JP" w:bidi="th-TH"/>
        </w:rPr>
        <w:t> :</w:t>
      </w:r>
      <w:r w:rsidR="004011A9" w:rsidRPr="005F5EE2">
        <w:rPr>
          <w:rFonts w:cs="Angsana New"/>
          <w:spacing w:val="-2"/>
          <w:szCs w:val="24"/>
          <w:lang w:val="fr-CH" w:eastAsia="ja-JP" w:bidi="th-TH"/>
        </w:rPr>
        <w:t xml:space="preserve"> </w:t>
      </w:r>
      <w:r w:rsidRPr="005F5EE2">
        <w:rPr>
          <w:spacing w:val="-2"/>
          <w:lang w:val="fr-CH"/>
        </w:rPr>
        <w:tab/>
      </w:r>
      <w:r w:rsidRPr="005F5EE2">
        <w:rPr>
          <w:rFonts w:cs="Angsana New"/>
          <w:spacing w:val="-2"/>
          <w:szCs w:val="24"/>
          <w:lang w:val="fr-CH" w:eastAsia="ja-JP" w:bidi="th-TH"/>
        </w:rPr>
        <w:t>Logiciels échangeables (révision) (document</w:t>
      </w:r>
      <w:r w:rsidR="00625CBD" w:rsidRPr="005F5EE2">
        <w:rPr>
          <w:rFonts w:cs="Angsana New"/>
          <w:spacing w:val="-2"/>
          <w:szCs w:val="24"/>
          <w:lang w:val="fr-CH" w:eastAsia="ja-JP" w:bidi="th-TH"/>
        </w:rPr>
        <w:t> </w:t>
      </w:r>
      <w:r w:rsidRPr="005F5EE2">
        <w:rPr>
          <w:rFonts w:cs="Angsana New"/>
          <w:spacing w:val="-2"/>
          <w:szCs w:val="24"/>
          <w:lang w:val="fr-CH" w:eastAsia="ja-JP" w:bidi="th-TH"/>
        </w:rPr>
        <w:t xml:space="preserve">UPOV/INF/16/10 </w:t>
      </w:r>
      <w:proofErr w:type="spellStart"/>
      <w:r w:rsidRPr="005F5EE2">
        <w:rPr>
          <w:rFonts w:cs="Angsana New"/>
          <w:spacing w:val="-2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pacing w:val="-2"/>
          <w:szCs w:val="24"/>
          <w:lang w:val="fr-CH" w:eastAsia="ja-JP" w:bidi="th-TH"/>
        </w:rPr>
        <w:t> </w:t>
      </w:r>
      <w:r w:rsidRPr="005F5EE2">
        <w:rPr>
          <w:rFonts w:cs="Angsana New"/>
          <w:spacing w:val="-2"/>
          <w:szCs w:val="24"/>
          <w:lang w:val="fr-CH" w:eastAsia="ja-JP" w:bidi="th-TH"/>
        </w:rPr>
        <w:t>2)</w:t>
      </w:r>
    </w:p>
    <w:p w:rsidR="00275C16" w:rsidRPr="005F5EE2" w:rsidRDefault="00D47E21" w:rsidP="00D47E21">
      <w:pPr>
        <w:pStyle w:val="ListParagraph"/>
        <w:keepNext/>
        <w:spacing w:after="60"/>
        <w:ind w:left="2837" w:hanging="1699"/>
        <w:contextualSpacing w:val="0"/>
        <w:rPr>
          <w:rFonts w:cs="Angsana New"/>
          <w:spacing w:val="-4"/>
          <w:szCs w:val="24"/>
          <w:lang w:val="fr-CH" w:eastAsia="ja-JP" w:bidi="th-TH"/>
        </w:rPr>
      </w:pPr>
      <w:r w:rsidRPr="005F5EE2">
        <w:rPr>
          <w:rFonts w:cs="Angsana New"/>
          <w:spacing w:val="-4"/>
          <w:szCs w:val="24"/>
          <w:lang w:val="fr-CH" w:eastAsia="ja-JP" w:bidi="th-TH"/>
        </w:rPr>
        <w:t>UPOV/INF/17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 :</w:t>
      </w:r>
      <w:r w:rsidR="004011A9" w:rsidRPr="005F5EE2">
        <w:rPr>
          <w:rFonts w:cs="Angsana New"/>
          <w:spacing w:val="-4"/>
          <w:szCs w:val="24"/>
          <w:lang w:val="fr-CH" w:eastAsia="ja-JP" w:bidi="th-TH"/>
        </w:rPr>
        <w:t xml:space="preserve"> </w:t>
      </w:r>
      <w:r w:rsidRPr="005F5EE2">
        <w:rPr>
          <w:spacing w:val="-4"/>
          <w:lang w:val="fr-CH"/>
        </w:rPr>
        <w:tab/>
      </w:r>
      <w:r w:rsidRPr="005F5EE2">
        <w:rPr>
          <w:rFonts w:cs="Angsana New"/>
          <w:spacing w:val="-4"/>
          <w:szCs w:val="24"/>
          <w:lang w:val="fr-CH" w:eastAsia="ja-JP" w:bidi="th-TH"/>
        </w:rPr>
        <w:t>Directives concernant les profils d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’</w:t>
      </w:r>
      <w:r w:rsidRPr="005F5EE2">
        <w:rPr>
          <w:rFonts w:cs="Angsana New"/>
          <w:spacing w:val="-4"/>
          <w:szCs w:val="24"/>
          <w:lang w:val="fr-CH" w:eastAsia="ja-JP" w:bidi="th-TH"/>
        </w:rPr>
        <w:t>ADN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 :</w:t>
      </w:r>
      <w:r w:rsidRPr="005F5EE2">
        <w:rPr>
          <w:rFonts w:cs="Angsana New"/>
          <w:spacing w:val="-4"/>
          <w:szCs w:val="24"/>
          <w:lang w:val="fr-CH" w:eastAsia="ja-JP" w:bidi="th-TH"/>
        </w:rPr>
        <w:t xml:space="preserve"> choix des marqueurs moléculaires et construction d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’</w:t>
      </w:r>
      <w:r w:rsidRPr="005F5EE2">
        <w:rPr>
          <w:rFonts w:cs="Angsana New"/>
          <w:spacing w:val="-4"/>
          <w:szCs w:val="24"/>
          <w:lang w:val="fr-CH" w:eastAsia="ja-JP" w:bidi="th-TH"/>
        </w:rPr>
        <w:t xml:space="preserve">une base de données </w:t>
      </w:r>
      <w:r w:rsidR="00D374DE" w:rsidRPr="005F5EE2">
        <w:rPr>
          <w:rFonts w:cs="Angsana New"/>
          <w:spacing w:val="-4"/>
          <w:szCs w:val="24"/>
          <w:lang w:val="fr-CH" w:eastAsia="ja-JP" w:bidi="th-TH"/>
        </w:rPr>
        <w:t>y relative (“Directives BMT”) (r</w:t>
      </w:r>
      <w:r w:rsidRPr="005F5EE2">
        <w:rPr>
          <w:rFonts w:cs="Angsana New"/>
          <w:spacing w:val="-4"/>
          <w:szCs w:val="24"/>
          <w:lang w:val="fr-CH" w:eastAsia="ja-JP" w:bidi="th-TH"/>
        </w:rPr>
        <w:t>évision) (</w:t>
      </w:r>
      <w:proofErr w:type="gramStart"/>
      <w:r w:rsidRPr="005F5EE2">
        <w:rPr>
          <w:rFonts w:cs="Angsana New"/>
          <w:spacing w:val="-4"/>
          <w:szCs w:val="24"/>
          <w:lang w:val="fr-CH" w:eastAsia="ja-JP" w:bidi="th-TH"/>
        </w:rPr>
        <w:t>document</w:t>
      </w:r>
      <w:proofErr w:type="gramEnd"/>
      <w:r w:rsidR="00625CBD" w:rsidRPr="005F5EE2">
        <w:rPr>
          <w:rFonts w:cs="Angsana New"/>
          <w:spacing w:val="-4"/>
          <w:szCs w:val="24"/>
          <w:lang w:val="fr-CH" w:eastAsia="ja-JP" w:bidi="th-TH"/>
        </w:rPr>
        <w:t> </w:t>
      </w:r>
      <w:r w:rsidRPr="005F5EE2">
        <w:rPr>
          <w:rFonts w:cs="Angsana New"/>
          <w:spacing w:val="-4"/>
          <w:szCs w:val="24"/>
          <w:lang w:val="fr-CH" w:eastAsia="ja-JP" w:bidi="th-TH"/>
        </w:rPr>
        <w:t xml:space="preserve">UPOV/INF/17/2 </w:t>
      </w:r>
      <w:proofErr w:type="spellStart"/>
      <w:r w:rsidRPr="005F5EE2">
        <w:rPr>
          <w:rFonts w:cs="Angsana New"/>
          <w:spacing w:val="-4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pacing w:val="-4"/>
          <w:szCs w:val="24"/>
          <w:lang w:val="fr-CH" w:eastAsia="ja-JP" w:bidi="th-TH"/>
        </w:rPr>
        <w:t> </w:t>
      </w:r>
      <w:r w:rsidRPr="005F5EE2">
        <w:rPr>
          <w:rFonts w:cs="Angsana New"/>
          <w:spacing w:val="-4"/>
          <w:szCs w:val="24"/>
          <w:lang w:val="fr-CH" w:eastAsia="ja-JP" w:bidi="th-TH"/>
        </w:rPr>
        <w:t>6)</w:t>
      </w:r>
    </w:p>
    <w:p w:rsidR="007D6DCE" w:rsidRPr="005F5EE2" w:rsidRDefault="00D47E21" w:rsidP="00D47E21">
      <w:pPr>
        <w:pStyle w:val="ListParagraph"/>
        <w:keepNext/>
        <w:ind w:left="2837" w:hanging="1699"/>
        <w:contextualSpacing w:val="0"/>
        <w:rPr>
          <w:rFonts w:cs="Angsana New"/>
          <w:spacing w:val="-4"/>
          <w:szCs w:val="24"/>
          <w:lang w:val="fr-CH" w:eastAsia="ja-JP" w:bidi="th-TH"/>
        </w:rPr>
      </w:pPr>
      <w:r w:rsidRPr="005F5EE2">
        <w:rPr>
          <w:rFonts w:cs="Angsana New"/>
          <w:spacing w:val="-4"/>
          <w:szCs w:val="24"/>
          <w:lang w:val="fr-CH" w:eastAsia="ja-JP" w:bidi="th-TH"/>
        </w:rPr>
        <w:t>UPOV/INF/22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 :</w:t>
      </w:r>
      <w:r w:rsidR="004011A9" w:rsidRPr="005F5EE2">
        <w:rPr>
          <w:rFonts w:cs="Angsana New"/>
          <w:spacing w:val="-4"/>
          <w:szCs w:val="24"/>
          <w:lang w:val="fr-CH" w:eastAsia="ja-JP" w:bidi="th-TH"/>
        </w:rPr>
        <w:t xml:space="preserve"> </w:t>
      </w:r>
      <w:r w:rsidRPr="005F5EE2">
        <w:rPr>
          <w:spacing w:val="-4"/>
          <w:lang w:val="fr-CH"/>
        </w:rPr>
        <w:tab/>
      </w:r>
      <w:r w:rsidRPr="005F5EE2">
        <w:rPr>
          <w:rFonts w:cs="Angsana New"/>
          <w:spacing w:val="-4"/>
          <w:szCs w:val="24"/>
          <w:lang w:val="fr-CH" w:eastAsia="ja-JP" w:bidi="th-TH"/>
        </w:rPr>
        <w:t>Logiciels et équipements utilisés par les membres de l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’</w:t>
      </w:r>
      <w:r w:rsidRPr="005F5EE2">
        <w:rPr>
          <w:rFonts w:cs="Angsana New"/>
          <w:spacing w:val="-4"/>
          <w:szCs w:val="24"/>
          <w:lang w:val="fr-CH" w:eastAsia="ja-JP" w:bidi="th-TH"/>
        </w:rPr>
        <w:t>Union (révision)</w:t>
      </w:r>
    </w:p>
    <w:p w:rsidR="00275C16" w:rsidRPr="005F5EE2" w:rsidRDefault="005907AC" w:rsidP="005907AC">
      <w:pPr>
        <w:pStyle w:val="ListParagraph"/>
        <w:keepNext/>
        <w:spacing w:after="60"/>
        <w:ind w:left="2837" w:hanging="1701"/>
        <w:contextualSpacing w:val="0"/>
        <w:rPr>
          <w:rFonts w:cs="Angsana New"/>
          <w:spacing w:val="-4"/>
          <w:szCs w:val="24"/>
          <w:lang w:val="fr-CH" w:eastAsia="ja-JP" w:bidi="th-TH"/>
        </w:rPr>
      </w:pPr>
      <w:r w:rsidRPr="005F5EE2">
        <w:rPr>
          <w:rFonts w:cs="Angsana New"/>
          <w:spacing w:val="-4"/>
          <w:szCs w:val="24"/>
          <w:lang w:val="fr-CH" w:eastAsia="ja-JP" w:bidi="th-TH"/>
        </w:rPr>
        <w:tab/>
      </w:r>
      <w:r w:rsidRPr="005F5EE2">
        <w:rPr>
          <w:rFonts w:cs="Arial"/>
          <w:spacing w:val="-4"/>
          <w:lang w:val="fr-CH"/>
        </w:rPr>
        <w:t>(</w:t>
      </w:r>
      <w:proofErr w:type="gramStart"/>
      <w:r w:rsidR="007D6DCE" w:rsidRPr="005F5EE2">
        <w:rPr>
          <w:rFonts w:cs="Arial"/>
          <w:spacing w:val="-4"/>
          <w:lang w:val="fr-CH"/>
        </w:rPr>
        <w:t>document</w:t>
      </w:r>
      <w:proofErr w:type="gramEnd"/>
      <w:r w:rsidR="00625CBD" w:rsidRPr="005F5EE2">
        <w:rPr>
          <w:rFonts w:cs="Arial"/>
          <w:spacing w:val="-4"/>
          <w:lang w:val="fr-CH"/>
        </w:rPr>
        <w:t> 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UP</w:t>
      </w:r>
      <w:r w:rsidRPr="005F5EE2">
        <w:rPr>
          <w:rFonts w:cs="Angsana New"/>
          <w:spacing w:val="-4"/>
          <w:szCs w:val="24"/>
          <w:lang w:val="fr-CH" w:eastAsia="ja-JP" w:bidi="th-TH"/>
        </w:rPr>
        <w:t xml:space="preserve">OV/INF/22/8 </w:t>
      </w:r>
      <w:proofErr w:type="spellStart"/>
      <w:r w:rsidRPr="005F5EE2">
        <w:rPr>
          <w:rFonts w:cs="Angsana New"/>
          <w:spacing w:val="-4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pacing w:val="-4"/>
          <w:szCs w:val="24"/>
          <w:lang w:val="fr-CH" w:eastAsia="ja-JP" w:bidi="th-TH"/>
        </w:rPr>
        <w:t> </w:t>
      </w:r>
      <w:r w:rsidRPr="005F5EE2">
        <w:rPr>
          <w:rFonts w:cs="Angsana New"/>
          <w:spacing w:val="-4"/>
          <w:szCs w:val="24"/>
          <w:lang w:val="fr-CH" w:eastAsia="ja-JP" w:bidi="th-TH"/>
        </w:rPr>
        <w:t>2</w:t>
      </w:r>
      <w:r w:rsidRPr="005F5EE2">
        <w:rPr>
          <w:rFonts w:cs="Arial"/>
          <w:spacing w:val="-4"/>
          <w:lang w:val="fr-CH"/>
        </w:rPr>
        <w:t>)</w:t>
      </w:r>
    </w:p>
    <w:p w:rsidR="00275C16" w:rsidRPr="005F5EE2" w:rsidRDefault="00D47E21" w:rsidP="00D47E21">
      <w:pPr>
        <w:pStyle w:val="ListParagraph"/>
        <w:keepNext/>
        <w:spacing w:after="80"/>
        <w:ind w:left="2837" w:hanging="1701"/>
        <w:contextualSpacing w:val="0"/>
        <w:rPr>
          <w:rFonts w:cs="Angsana New"/>
          <w:spacing w:val="-4"/>
          <w:szCs w:val="24"/>
          <w:lang w:val="fr-CH" w:eastAsia="ja-JP" w:bidi="th-TH"/>
        </w:rPr>
      </w:pPr>
      <w:r w:rsidRPr="005F5EE2">
        <w:rPr>
          <w:rFonts w:cs="Angsana New"/>
          <w:spacing w:val="-4"/>
          <w:szCs w:val="24"/>
          <w:lang w:val="fr-CH" w:eastAsia="ja-JP" w:bidi="th-TH"/>
        </w:rPr>
        <w:t>UPOV/INF/23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 :</w:t>
      </w:r>
      <w:r w:rsidR="004011A9" w:rsidRPr="005F5EE2">
        <w:rPr>
          <w:rFonts w:cs="Angsana New"/>
          <w:spacing w:val="-4"/>
          <w:szCs w:val="24"/>
          <w:lang w:val="fr-CH" w:eastAsia="ja-JP" w:bidi="th-TH"/>
        </w:rPr>
        <w:t xml:space="preserve"> </w:t>
      </w:r>
      <w:r w:rsidRPr="005F5EE2">
        <w:rPr>
          <w:rFonts w:cs="Angsana New"/>
          <w:spacing w:val="-4"/>
          <w:szCs w:val="24"/>
          <w:lang w:val="fr-CH" w:eastAsia="ja-JP" w:bidi="th-TH"/>
        </w:rPr>
        <w:tab/>
        <w:t>Système de codes UPOV (document</w:t>
      </w:r>
      <w:r w:rsidR="00625CBD" w:rsidRPr="005F5EE2">
        <w:rPr>
          <w:rFonts w:cs="Angsana New"/>
          <w:spacing w:val="-4"/>
          <w:szCs w:val="24"/>
          <w:lang w:val="fr-CH" w:eastAsia="ja-JP" w:bidi="th-TH"/>
        </w:rPr>
        <w:t> </w:t>
      </w:r>
      <w:r w:rsidRPr="005F5EE2">
        <w:rPr>
          <w:rFonts w:cs="Angsana New"/>
          <w:spacing w:val="-4"/>
          <w:szCs w:val="24"/>
          <w:lang w:val="fr-CH" w:eastAsia="ja-JP" w:bidi="th-TH"/>
        </w:rPr>
        <w:t xml:space="preserve">UPOV/INF/23/1 </w:t>
      </w:r>
      <w:proofErr w:type="spellStart"/>
      <w:r w:rsidRPr="005F5EE2">
        <w:rPr>
          <w:rFonts w:cs="Angsana New"/>
          <w:spacing w:val="-4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pacing w:val="-4"/>
          <w:szCs w:val="24"/>
          <w:lang w:val="fr-CH" w:eastAsia="ja-JP" w:bidi="th-TH"/>
        </w:rPr>
        <w:t> </w:t>
      </w:r>
      <w:r w:rsidRPr="005F5EE2">
        <w:rPr>
          <w:rFonts w:cs="Angsana New"/>
          <w:spacing w:val="-4"/>
          <w:szCs w:val="24"/>
          <w:lang w:val="fr-CH" w:eastAsia="ja-JP" w:bidi="th-TH"/>
        </w:rPr>
        <w:t>3)</w:t>
      </w:r>
    </w:p>
    <w:p w:rsidR="00275C16" w:rsidRPr="005F5EE2" w:rsidRDefault="00D47E21" w:rsidP="00BE7D91">
      <w:pPr>
        <w:pStyle w:val="ListParagraph"/>
        <w:keepNext/>
        <w:spacing w:after="80"/>
        <w:ind w:left="2837" w:hanging="1701"/>
        <w:contextualSpacing w:val="0"/>
        <w:rPr>
          <w:rFonts w:cs="Angsana New"/>
          <w:spacing w:val="-4"/>
          <w:szCs w:val="24"/>
          <w:lang w:val="fr-CH" w:eastAsia="ja-JP" w:bidi="th-TH"/>
        </w:rPr>
      </w:pPr>
      <w:r w:rsidRPr="005F5EE2">
        <w:rPr>
          <w:rFonts w:cs="Angsana New"/>
          <w:spacing w:val="-4"/>
          <w:szCs w:val="24"/>
          <w:lang w:val="fr-CH" w:eastAsia="ja-JP" w:bidi="th-TH"/>
        </w:rPr>
        <w:t>UPOV/INF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-</w:t>
      </w:r>
      <w:r w:rsidRPr="005F5EE2">
        <w:rPr>
          <w:rFonts w:cs="Angsana New"/>
          <w:spacing w:val="-4"/>
          <w:szCs w:val="24"/>
          <w:lang w:val="fr-CH" w:eastAsia="ja-JP" w:bidi="th-TH"/>
        </w:rPr>
        <w:t>EXN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 :</w:t>
      </w:r>
      <w:r w:rsidR="004011A9" w:rsidRPr="005F5EE2">
        <w:rPr>
          <w:rFonts w:cs="Angsana New"/>
          <w:spacing w:val="-4"/>
          <w:szCs w:val="24"/>
          <w:lang w:val="fr-CH" w:eastAsia="ja-JP" w:bidi="th-TH"/>
        </w:rPr>
        <w:t xml:space="preserve"> </w:t>
      </w:r>
      <w:r w:rsidRPr="005F5EE2">
        <w:rPr>
          <w:spacing w:val="-4"/>
          <w:lang w:val="fr-CH"/>
        </w:rPr>
        <w:tab/>
      </w:r>
      <w:r w:rsidRPr="005F5EE2">
        <w:rPr>
          <w:rFonts w:cs="Angsana New"/>
          <w:spacing w:val="-4"/>
          <w:szCs w:val="24"/>
          <w:lang w:val="fr-CH" w:eastAsia="ja-JP" w:bidi="th-TH"/>
        </w:rPr>
        <w:t>Liste des documents UPOV/INF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-</w:t>
      </w:r>
      <w:r w:rsidRPr="005F5EE2">
        <w:rPr>
          <w:rFonts w:cs="Angsana New"/>
          <w:spacing w:val="-4"/>
          <w:szCs w:val="24"/>
          <w:lang w:val="fr-CH" w:eastAsia="ja-JP" w:bidi="th-TH"/>
        </w:rPr>
        <w:t>EXN et date de la version la plus récente de ces documents (révision)</w:t>
      </w:r>
      <w:r w:rsidR="00D374DE" w:rsidRPr="005F5EE2">
        <w:rPr>
          <w:rFonts w:cs="Angsana New"/>
          <w:spacing w:val="-4"/>
          <w:szCs w:val="24"/>
          <w:lang w:val="fr-CH" w:eastAsia="ja-JP" w:bidi="th-TH"/>
        </w:rPr>
        <w:t xml:space="preserve"> </w:t>
      </w:r>
      <w:r w:rsidR="005907AC" w:rsidRPr="005F5EE2">
        <w:rPr>
          <w:rFonts w:cs="Angsana New"/>
          <w:spacing w:val="-4"/>
          <w:szCs w:val="24"/>
          <w:lang w:val="fr-CH" w:eastAsia="ja-JP" w:bidi="th-TH"/>
        </w:rPr>
        <w:t>(document</w:t>
      </w:r>
      <w:r w:rsidR="00625CBD" w:rsidRPr="005F5EE2">
        <w:rPr>
          <w:rFonts w:cs="Angsana New"/>
          <w:spacing w:val="-4"/>
          <w:szCs w:val="24"/>
          <w:lang w:val="fr-CH" w:eastAsia="ja-JP" w:bidi="th-TH"/>
        </w:rPr>
        <w:t> </w:t>
      </w:r>
      <w:r w:rsidR="005907AC" w:rsidRPr="005F5EE2">
        <w:rPr>
          <w:rFonts w:cs="Angsana New"/>
          <w:spacing w:val="-4"/>
          <w:szCs w:val="24"/>
          <w:lang w:val="fr-CH" w:eastAsia="ja-JP" w:bidi="th-TH"/>
        </w:rPr>
        <w:t>UPOV/INF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-</w:t>
      </w:r>
      <w:r w:rsidR="005907AC" w:rsidRPr="005F5EE2">
        <w:rPr>
          <w:rFonts w:cs="Angsana New"/>
          <w:spacing w:val="-4"/>
          <w:szCs w:val="24"/>
          <w:lang w:val="fr-CH" w:eastAsia="ja-JP" w:bidi="th-TH"/>
        </w:rPr>
        <w:t xml:space="preserve">EXN/15 </w:t>
      </w:r>
      <w:proofErr w:type="spellStart"/>
      <w:r w:rsidR="005907AC" w:rsidRPr="005F5EE2">
        <w:rPr>
          <w:rFonts w:cs="Angsana New"/>
          <w:spacing w:val="-4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pacing w:val="-4"/>
          <w:szCs w:val="24"/>
          <w:lang w:val="fr-CH" w:eastAsia="ja-JP" w:bidi="th-TH"/>
        </w:rPr>
        <w:t> </w:t>
      </w:r>
      <w:r w:rsidR="005907AC" w:rsidRPr="005F5EE2">
        <w:rPr>
          <w:rFonts w:cs="Angsana New"/>
          <w:spacing w:val="-4"/>
          <w:szCs w:val="24"/>
          <w:lang w:val="fr-CH" w:eastAsia="ja-JP" w:bidi="th-TH"/>
        </w:rPr>
        <w:t>1)</w:t>
      </w:r>
    </w:p>
    <w:p w:rsidR="007D6DCE" w:rsidRPr="005F5EE2" w:rsidRDefault="00D47E21" w:rsidP="00D47E21">
      <w:pPr>
        <w:pStyle w:val="ListParagraph"/>
        <w:keepNext/>
        <w:ind w:left="2837" w:hanging="1699"/>
        <w:contextualSpacing w:val="0"/>
        <w:rPr>
          <w:rFonts w:cs="Angsana New"/>
          <w:spacing w:val="-4"/>
          <w:szCs w:val="24"/>
          <w:lang w:val="fr-CH" w:eastAsia="ja-JP" w:bidi="th-TH"/>
        </w:rPr>
      </w:pPr>
      <w:r w:rsidRPr="005F5EE2">
        <w:rPr>
          <w:rFonts w:cs="Angsana New"/>
          <w:spacing w:val="-4"/>
          <w:szCs w:val="24"/>
          <w:lang w:val="fr-CH" w:eastAsia="ja-JP" w:bidi="th-TH"/>
        </w:rPr>
        <w:t>TGP/5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 :</w:t>
      </w:r>
      <w:r w:rsidR="004011A9" w:rsidRPr="005F5EE2">
        <w:rPr>
          <w:rFonts w:cs="Angsana New"/>
          <w:spacing w:val="-4"/>
          <w:szCs w:val="24"/>
          <w:lang w:val="fr-CH" w:eastAsia="ja-JP" w:bidi="th-TH"/>
        </w:rPr>
        <w:t xml:space="preserve"> </w:t>
      </w:r>
      <w:r w:rsidRPr="005F5EE2">
        <w:rPr>
          <w:spacing w:val="-4"/>
          <w:lang w:val="fr-CH"/>
        </w:rPr>
        <w:tab/>
      </w:r>
      <w:r w:rsidRPr="005F5EE2">
        <w:rPr>
          <w:rFonts w:cs="Angsana New"/>
          <w:spacing w:val="-4"/>
          <w:szCs w:val="24"/>
          <w:lang w:val="fr-CH" w:eastAsia="ja-JP" w:bidi="th-TH"/>
        </w:rPr>
        <w:t>Expérience et coopération en matière d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’</w:t>
      </w:r>
      <w:r w:rsidRPr="005F5EE2">
        <w:rPr>
          <w:rFonts w:cs="Angsana New"/>
          <w:spacing w:val="-4"/>
          <w:szCs w:val="24"/>
          <w:lang w:val="fr-CH" w:eastAsia="ja-JP" w:bidi="th-TH"/>
        </w:rPr>
        <w:t>examen</w:t>
      </w:r>
      <w:r w:rsidR="004011A9" w:rsidRPr="005F5EE2">
        <w:rPr>
          <w:rFonts w:cs="Angsana New"/>
          <w:spacing w:val="-4"/>
          <w:szCs w:val="24"/>
          <w:lang w:val="fr-CH" w:eastAsia="ja-JP" w:bidi="th-TH"/>
        </w:rPr>
        <w:t> </w:t>
      </w:r>
      <w:r w:rsidRPr="005F5EE2">
        <w:rPr>
          <w:rFonts w:cs="Angsana New"/>
          <w:spacing w:val="-4"/>
          <w:szCs w:val="24"/>
          <w:lang w:val="fr-CH" w:eastAsia="ja-JP" w:bidi="th-TH"/>
        </w:rPr>
        <w:t>DHS, section</w:t>
      </w:r>
      <w:r w:rsidR="00625CBD" w:rsidRPr="005F5EE2">
        <w:rPr>
          <w:rFonts w:cs="Angsana New"/>
          <w:spacing w:val="-4"/>
          <w:szCs w:val="24"/>
          <w:lang w:val="fr-CH" w:eastAsia="ja-JP" w:bidi="th-TH"/>
        </w:rPr>
        <w:t> 2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 :</w:t>
      </w:r>
      <w:r w:rsidRPr="005F5EE2">
        <w:rPr>
          <w:rFonts w:cs="Angsana New"/>
          <w:spacing w:val="-4"/>
          <w:szCs w:val="24"/>
          <w:lang w:val="fr-CH" w:eastAsia="ja-JP" w:bidi="th-TH"/>
        </w:rPr>
        <w:t xml:space="preserve"> Formulaire type de l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’</w:t>
      </w:r>
      <w:r w:rsidRPr="005F5EE2">
        <w:rPr>
          <w:rFonts w:cs="Angsana New"/>
          <w:spacing w:val="-4"/>
          <w:szCs w:val="24"/>
          <w:lang w:val="fr-CH" w:eastAsia="ja-JP" w:bidi="th-TH"/>
        </w:rPr>
        <w:t>UPOV pour la demande de protection d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’</w:t>
      </w:r>
      <w:r w:rsidRPr="005F5EE2">
        <w:rPr>
          <w:rFonts w:cs="Angsana New"/>
          <w:spacing w:val="-4"/>
          <w:szCs w:val="24"/>
          <w:lang w:val="fr-CH" w:eastAsia="ja-JP" w:bidi="th-TH"/>
        </w:rPr>
        <w:t>une obtention végétale</w:t>
      </w:r>
    </w:p>
    <w:p w:rsidR="00275C16" w:rsidRPr="005F5EE2" w:rsidRDefault="005907AC" w:rsidP="005907AC">
      <w:pPr>
        <w:pStyle w:val="ListParagraph"/>
        <w:keepNext/>
        <w:spacing w:after="60"/>
        <w:ind w:left="2837" w:hanging="1699"/>
        <w:contextualSpacing w:val="0"/>
        <w:rPr>
          <w:rFonts w:cs="Angsana New"/>
          <w:spacing w:val="-4"/>
          <w:szCs w:val="24"/>
          <w:lang w:val="fr-CH" w:eastAsia="ja-JP" w:bidi="th-TH"/>
        </w:rPr>
      </w:pPr>
      <w:r w:rsidRPr="005F5EE2">
        <w:rPr>
          <w:rFonts w:cs="Angsana New"/>
          <w:spacing w:val="-4"/>
          <w:szCs w:val="24"/>
          <w:lang w:val="fr-CH" w:eastAsia="ja-JP" w:bidi="th-TH"/>
        </w:rPr>
        <w:tab/>
        <w:t>(</w:t>
      </w:r>
      <w:proofErr w:type="gramStart"/>
      <w:r w:rsidR="007D6DCE" w:rsidRPr="005F5EE2">
        <w:rPr>
          <w:rFonts w:cs="Angsana New"/>
          <w:spacing w:val="-4"/>
          <w:szCs w:val="24"/>
          <w:lang w:val="fr-CH" w:eastAsia="ja-JP" w:bidi="th-TH"/>
        </w:rPr>
        <w:t>document</w:t>
      </w:r>
      <w:proofErr w:type="gramEnd"/>
      <w:r w:rsidR="00625CBD" w:rsidRPr="005F5EE2">
        <w:rPr>
          <w:rFonts w:cs="Angsana New"/>
          <w:spacing w:val="-4"/>
          <w:szCs w:val="24"/>
          <w:lang w:val="fr-CH" w:eastAsia="ja-JP" w:bidi="th-TH"/>
        </w:rPr>
        <w:t> 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TG</w:t>
      </w:r>
      <w:r w:rsidRPr="005F5EE2">
        <w:rPr>
          <w:rFonts w:cs="Angsana New"/>
          <w:spacing w:val="-4"/>
          <w:szCs w:val="24"/>
          <w:lang w:val="fr-CH" w:eastAsia="ja-JP" w:bidi="th-TH"/>
        </w:rPr>
        <w:t>P/5</w:t>
      </w:r>
      <w:r w:rsidR="004011A9" w:rsidRPr="005F5EE2">
        <w:rPr>
          <w:rFonts w:cs="Angsana New"/>
          <w:spacing w:val="-4"/>
          <w:szCs w:val="24"/>
          <w:lang w:val="fr-CH" w:eastAsia="ja-JP" w:bidi="th-TH"/>
        </w:rPr>
        <w:t xml:space="preserve"> : </w:t>
      </w:r>
      <w:r w:rsidRPr="005F5EE2">
        <w:rPr>
          <w:rFonts w:cs="Angsana New"/>
          <w:spacing w:val="-4"/>
          <w:szCs w:val="24"/>
          <w:lang w:val="fr-CH" w:eastAsia="ja-JP" w:bidi="th-TH"/>
        </w:rPr>
        <w:t xml:space="preserve">Section 2/4 </w:t>
      </w:r>
      <w:proofErr w:type="spellStart"/>
      <w:r w:rsidRPr="005F5EE2">
        <w:rPr>
          <w:rFonts w:cs="Angsana New"/>
          <w:spacing w:val="-4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pacing w:val="-4"/>
          <w:szCs w:val="24"/>
          <w:lang w:val="fr-CH" w:eastAsia="ja-JP" w:bidi="th-TH"/>
        </w:rPr>
        <w:t> </w:t>
      </w:r>
      <w:r w:rsidRPr="005F5EE2">
        <w:rPr>
          <w:rFonts w:cs="Angsana New"/>
          <w:spacing w:val="-4"/>
          <w:szCs w:val="24"/>
          <w:lang w:val="fr-CH" w:eastAsia="ja-JP" w:bidi="th-TH"/>
        </w:rPr>
        <w:t>1)</w:t>
      </w:r>
    </w:p>
    <w:p w:rsidR="00D374DE" w:rsidRPr="005F5EE2" w:rsidRDefault="00D47E21" w:rsidP="00D374DE">
      <w:pPr>
        <w:pStyle w:val="ListParagraph"/>
        <w:keepNext/>
        <w:spacing w:after="60"/>
        <w:ind w:left="2837" w:hanging="1699"/>
        <w:contextualSpacing w:val="0"/>
        <w:rPr>
          <w:rFonts w:cs="Angsana New"/>
          <w:spacing w:val="-4"/>
          <w:szCs w:val="24"/>
          <w:lang w:val="fr-CH" w:eastAsia="ja-JP" w:bidi="th-TH"/>
        </w:rPr>
      </w:pPr>
      <w:r w:rsidRPr="005F5EE2">
        <w:rPr>
          <w:rFonts w:cs="Angsana New"/>
          <w:spacing w:val="-4"/>
          <w:szCs w:val="24"/>
          <w:lang w:val="fr-CH" w:eastAsia="ja-JP" w:bidi="th-TH"/>
        </w:rPr>
        <w:t>TGP/0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 :</w:t>
      </w:r>
      <w:r w:rsidR="004011A9" w:rsidRPr="005F5EE2">
        <w:rPr>
          <w:rFonts w:cs="Angsana New"/>
          <w:spacing w:val="-4"/>
          <w:szCs w:val="24"/>
          <w:lang w:val="fr-CH" w:eastAsia="ja-JP" w:bidi="th-TH"/>
        </w:rPr>
        <w:t xml:space="preserve"> </w:t>
      </w:r>
      <w:r w:rsidRPr="005F5EE2">
        <w:rPr>
          <w:spacing w:val="-4"/>
          <w:lang w:val="fr-CH"/>
        </w:rPr>
        <w:tab/>
      </w:r>
      <w:r w:rsidRPr="005F5EE2">
        <w:rPr>
          <w:rFonts w:cs="Angsana New"/>
          <w:spacing w:val="-4"/>
          <w:szCs w:val="24"/>
          <w:lang w:val="fr-CH" w:eastAsia="ja-JP" w:bidi="th-TH"/>
        </w:rPr>
        <w:t>Liste des documents TGP et date de la version la plus récente de ces documents (révision)</w:t>
      </w:r>
      <w:r w:rsidR="00D374DE" w:rsidRPr="005F5EE2">
        <w:rPr>
          <w:rFonts w:cs="Angsana New"/>
          <w:spacing w:val="-4"/>
          <w:szCs w:val="24"/>
          <w:lang w:val="fr-CH" w:eastAsia="ja-JP" w:bidi="th-TH"/>
        </w:rPr>
        <w:t xml:space="preserve"> </w:t>
      </w:r>
      <w:r w:rsidR="005907AC" w:rsidRPr="005F5EE2">
        <w:rPr>
          <w:rFonts w:cs="Angsana New"/>
          <w:spacing w:val="-4"/>
          <w:szCs w:val="24"/>
          <w:lang w:val="fr-CH" w:eastAsia="ja-JP" w:bidi="th-TH"/>
        </w:rPr>
        <w:t>(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document</w:t>
      </w:r>
      <w:r w:rsidR="00625CBD" w:rsidRPr="005F5EE2">
        <w:rPr>
          <w:rFonts w:cs="Angsana New"/>
          <w:spacing w:val="-4"/>
          <w:szCs w:val="24"/>
          <w:lang w:val="fr-CH" w:eastAsia="ja-JP" w:bidi="th-TH"/>
        </w:rPr>
        <w:t> </w:t>
      </w:r>
      <w:r w:rsidR="007D6DCE" w:rsidRPr="005F5EE2">
        <w:rPr>
          <w:rFonts w:cs="Angsana New"/>
          <w:spacing w:val="-4"/>
          <w:szCs w:val="24"/>
          <w:lang w:val="fr-CH" w:eastAsia="ja-JP" w:bidi="th-TH"/>
        </w:rPr>
        <w:t>TG</w:t>
      </w:r>
      <w:r w:rsidR="005907AC" w:rsidRPr="005F5EE2">
        <w:rPr>
          <w:rFonts w:cs="Angsana New"/>
          <w:spacing w:val="-4"/>
          <w:szCs w:val="24"/>
          <w:lang w:val="fr-CH" w:eastAsia="ja-JP" w:bidi="th-TH"/>
        </w:rPr>
        <w:t>P/0/13 </w:t>
      </w:r>
      <w:proofErr w:type="spellStart"/>
      <w:r w:rsidR="005907AC" w:rsidRPr="005F5EE2">
        <w:rPr>
          <w:rFonts w:cs="Angsana New"/>
          <w:spacing w:val="-4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pacing w:val="-4"/>
          <w:szCs w:val="24"/>
          <w:lang w:val="fr-CH" w:eastAsia="ja-JP" w:bidi="th-TH"/>
        </w:rPr>
        <w:t> </w:t>
      </w:r>
      <w:r w:rsidR="005907AC" w:rsidRPr="005F5EE2">
        <w:rPr>
          <w:rFonts w:cs="Angsana New"/>
          <w:spacing w:val="-4"/>
          <w:szCs w:val="24"/>
          <w:lang w:val="fr-CH" w:eastAsia="ja-JP" w:bidi="th-TH"/>
        </w:rPr>
        <w:t>1)</w:t>
      </w:r>
      <w:r w:rsidR="00D374DE" w:rsidRPr="005F5EE2">
        <w:rPr>
          <w:rFonts w:cs="Angsana New"/>
          <w:spacing w:val="-4"/>
          <w:szCs w:val="24"/>
          <w:lang w:val="fr-CH" w:eastAsia="ja-JP" w:bidi="th-TH"/>
        </w:rPr>
        <w:t xml:space="preserve"> </w:t>
      </w:r>
    </w:p>
    <w:p w:rsidR="00D374DE" w:rsidRPr="005F5EE2" w:rsidRDefault="00D47E21" w:rsidP="00BE7D91">
      <w:pPr>
        <w:pStyle w:val="ListParagraph"/>
        <w:keepNext/>
        <w:spacing w:after="60"/>
        <w:ind w:left="562"/>
        <w:contextualSpacing w:val="0"/>
        <w:rPr>
          <w:rFonts w:cs="Angsana New"/>
          <w:spacing w:val="-4"/>
          <w:szCs w:val="24"/>
          <w:lang w:val="fr-CH" w:eastAsia="ja-JP" w:bidi="th-TH"/>
        </w:rPr>
      </w:pPr>
      <w:r w:rsidRPr="005F5EE2">
        <w:rPr>
          <w:rFonts w:cs="Arial"/>
          <w:spacing w:val="-4"/>
          <w:lang w:val="fr-CH"/>
        </w:rPr>
        <w:t xml:space="preserve">Notes explicatives concernant les dénominations variétales en vertu de la </w:t>
      </w:r>
      <w:r w:rsidR="00BE7D91">
        <w:rPr>
          <w:rFonts w:cs="Arial"/>
          <w:spacing w:val="-4"/>
          <w:lang w:val="fr-CH"/>
        </w:rPr>
        <w:t xml:space="preserve">Convention </w:t>
      </w:r>
      <w:r w:rsidR="007D6DCE" w:rsidRPr="005F5EE2">
        <w:rPr>
          <w:rFonts w:cs="Arial"/>
          <w:spacing w:val="-4"/>
          <w:lang w:val="fr-CH"/>
        </w:rPr>
        <w:t>UPOV</w:t>
      </w:r>
      <w:r w:rsidRPr="005F5EE2">
        <w:rPr>
          <w:rFonts w:cs="Arial"/>
          <w:spacing w:val="-4"/>
          <w:lang w:val="fr-CH"/>
        </w:rPr>
        <w:t xml:space="preserve"> (document</w:t>
      </w:r>
      <w:r w:rsidR="00625CBD" w:rsidRPr="005F5EE2">
        <w:rPr>
          <w:rFonts w:cs="Arial"/>
          <w:spacing w:val="-4"/>
          <w:lang w:val="fr-CH"/>
        </w:rPr>
        <w:t> </w:t>
      </w:r>
      <w:r w:rsidRPr="005F5EE2">
        <w:rPr>
          <w:rFonts w:cs="Arial"/>
          <w:spacing w:val="-4"/>
          <w:lang w:val="fr-CH"/>
        </w:rPr>
        <w:t>C/55/11)</w:t>
      </w:r>
      <w:r w:rsidR="00D374DE" w:rsidRPr="005F5EE2">
        <w:rPr>
          <w:rFonts w:cs="Angsana New"/>
          <w:spacing w:val="-4"/>
          <w:szCs w:val="24"/>
          <w:lang w:val="fr-CH" w:eastAsia="ja-JP" w:bidi="th-TH"/>
        </w:rPr>
        <w:t xml:space="preserve"> </w:t>
      </w:r>
    </w:p>
    <w:p w:rsidR="00275C16" w:rsidRPr="005F5EE2" w:rsidRDefault="00D47E21" w:rsidP="00BE7D91">
      <w:pPr>
        <w:pStyle w:val="ListParagraph"/>
        <w:keepNext/>
        <w:spacing w:after="60"/>
        <w:ind w:left="2837" w:hanging="1699"/>
        <w:contextualSpacing w:val="0"/>
        <w:rPr>
          <w:rFonts w:cs="Arial"/>
          <w:spacing w:val="-4"/>
          <w:lang w:val="fr-CH"/>
        </w:rPr>
      </w:pPr>
      <w:r w:rsidRPr="005F5EE2">
        <w:rPr>
          <w:rFonts w:cs="Arial"/>
          <w:spacing w:val="-4"/>
          <w:lang w:val="fr-CH"/>
        </w:rPr>
        <w:t>UPOV/EXN/DEN</w:t>
      </w:r>
      <w:r w:rsidR="007D6DCE" w:rsidRPr="005F5EE2">
        <w:rPr>
          <w:rFonts w:cs="Arial"/>
          <w:spacing w:val="-4"/>
          <w:lang w:val="fr-CH"/>
        </w:rPr>
        <w:t> :</w:t>
      </w:r>
      <w:r w:rsidR="004011A9" w:rsidRPr="005F5EE2">
        <w:rPr>
          <w:rFonts w:cs="Arial"/>
          <w:spacing w:val="-4"/>
          <w:lang w:val="fr-CH"/>
        </w:rPr>
        <w:t xml:space="preserve"> </w:t>
      </w:r>
      <w:r w:rsidRPr="005F5EE2">
        <w:rPr>
          <w:spacing w:val="-4"/>
          <w:lang w:val="fr-CH"/>
        </w:rPr>
        <w:tab/>
      </w:r>
      <w:r w:rsidRPr="005F5EE2">
        <w:rPr>
          <w:rFonts w:cs="Arial"/>
          <w:spacing w:val="-4"/>
          <w:lang w:val="fr-CH"/>
        </w:rPr>
        <w:t xml:space="preserve">Notes explicatives concernant les dénominations variétales en vertu de la </w:t>
      </w:r>
      <w:r w:rsidR="007D6DCE" w:rsidRPr="005F5EE2">
        <w:rPr>
          <w:rFonts w:cs="Arial"/>
          <w:spacing w:val="-4"/>
          <w:lang w:val="fr-CH"/>
        </w:rPr>
        <w:t>Convention UPOV</w:t>
      </w:r>
      <w:r w:rsidRPr="005F5EE2">
        <w:rPr>
          <w:rFonts w:cs="Arial"/>
          <w:spacing w:val="-4"/>
          <w:lang w:val="fr-CH"/>
        </w:rPr>
        <w:t xml:space="preserve"> (document</w:t>
      </w:r>
      <w:r w:rsidR="00625CBD" w:rsidRPr="005F5EE2">
        <w:rPr>
          <w:rFonts w:cs="Arial"/>
          <w:spacing w:val="-4"/>
          <w:lang w:val="fr-CH"/>
        </w:rPr>
        <w:t> </w:t>
      </w:r>
      <w:r w:rsidRPr="005F5EE2">
        <w:rPr>
          <w:rFonts w:cs="Arial"/>
          <w:spacing w:val="-4"/>
          <w:lang w:val="fr-CH"/>
        </w:rPr>
        <w:t xml:space="preserve">UPOV/EXN/DEN/1 </w:t>
      </w:r>
      <w:proofErr w:type="spellStart"/>
      <w:r w:rsidRPr="005F5EE2">
        <w:rPr>
          <w:rFonts w:cs="Arial"/>
          <w:spacing w:val="-4"/>
          <w:lang w:val="fr-CH"/>
        </w:rPr>
        <w:t>Draft</w:t>
      </w:r>
      <w:proofErr w:type="spellEnd"/>
      <w:r w:rsidR="00625CBD" w:rsidRPr="005F5EE2">
        <w:rPr>
          <w:rFonts w:cs="Arial"/>
          <w:spacing w:val="-4"/>
          <w:lang w:val="fr-CH"/>
        </w:rPr>
        <w:t> </w:t>
      </w:r>
      <w:r w:rsidRPr="005F5EE2">
        <w:rPr>
          <w:rFonts w:cs="Arial"/>
          <w:spacing w:val="-4"/>
          <w:lang w:val="fr-CH"/>
        </w:rPr>
        <w:t>6)</w:t>
      </w:r>
    </w:p>
    <w:p w:rsidR="00275C16" w:rsidRPr="005F5EE2" w:rsidRDefault="00D47E21" w:rsidP="00BE7D91">
      <w:pPr>
        <w:pStyle w:val="ListParagraph"/>
        <w:keepNext/>
        <w:spacing w:after="60"/>
        <w:ind w:left="562"/>
        <w:contextualSpacing w:val="0"/>
        <w:rPr>
          <w:rFonts w:cs="Arial"/>
          <w:spacing w:val="-4"/>
          <w:lang w:val="fr-CH"/>
        </w:rPr>
      </w:pPr>
      <w:r w:rsidRPr="005F5EE2">
        <w:rPr>
          <w:rFonts w:cs="Arial"/>
          <w:spacing w:val="-4"/>
          <w:lang w:val="fr-CH"/>
        </w:rPr>
        <w:t xml:space="preserve">États financiers </w:t>
      </w:r>
      <w:r w:rsidR="007D6DCE" w:rsidRPr="005F5EE2">
        <w:rPr>
          <w:rFonts w:cs="Arial"/>
          <w:spacing w:val="-4"/>
          <w:lang w:val="fr-CH"/>
        </w:rPr>
        <w:t>pour 2020</w:t>
      </w:r>
      <w:r w:rsidRPr="005F5EE2">
        <w:rPr>
          <w:rFonts w:cs="Arial"/>
          <w:spacing w:val="-4"/>
          <w:lang w:val="fr-CH"/>
        </w:rPr>
        <w:t xml:space="preserve"> (document</w:t>
      </w:r>
      <w:r w:rsidR="00625CBD" w:rsidRPr="005F5EE2">
        <w:rPr>
          <w:rFonts w:cs="Arial"/>
          <w:spacing w:val="-4"/>
          <w:lang w:val="fr-CH"/>
        </w:rPr>
        <w:t> </w:t>
      </w:r>
      <w:r w:rsidRPr="005F5EE2">
        <w:rPr>
          <w:rFonts w:cs="Arial"/>
          <w:spacing w:val="-4"/>
          <w:lang w:val="fr-CH"/>
        </w:rPr>
        <w:t>C/55/5)</w:t>
      </w:r>
    </w:p>
    <w:p w:rsidR="00275C16" w:rsidRPr="005F5EE2" w:rsidRDefault="00D47E21" w:rsidP="00D47E21">
      <w:pPr>
        <w:pStyle w:val="ListParagraph"/>
        <w:ind w:left="562"/>
        <w:contextualSpacing w:val="0"/>
        <w:rPr>
          <w:rFonts w:cs="Arial"/>
          <w:spacing w:val="-4"/>
          <w:lang w:val="fr-CH"/>
        </w:rPr>
      </w:pPr>
      <w:r w:rsidRPr="005F5EE2">
        <w:rPr>
          <w:rFonts w:cs="Arial"/>
          <w:spacing w:val="-4"/>
          <w:lang w:val="fr-CH"/>
        </w:rPr>
        <w:t>Projet de programme et budget pour l</w:t>
      </w:r>
      <w:r w:rsidR="007D6DCE" w:rsidRPr="005F5EE2">
        <w:rPr>
          <w:rFonts w:cs="Arial"/>
          <w:spacing w:val="-4"/>
          <w:lang w:val="fr-CH"/>
        </w:rPr>
        <w:t>’</w:t>
      </w:r>
      <w:r w:rsidRPr="005F5EE2">
        <w:rPr>
          <w:rFonts w:cs="Arial"/>
          <w:spacing w:val="-4"/>
          <w:lang w:val="fr-CH"/>
        </w:rPr>
        <w:t xml:space="preserve">exercice </w:t>
      </w:r>
      <w:r w:rsidR="007D6DCE" w:rsidRPr="005F5EE2">
        <w:rPr>
          <w:rFonts w:cs="Arial"/>
          <w:spacing w:val="-4"/>
          <w:lang w:val="fr-CH"/>
        </w:rPr>
        <w:t>biennal 2022-</w:t>
      </w:r>
      <w:r w:rsidRPr="005F5EE2">
        <w:rPr>
          <w:rFonts w:cs="Arial"/>
          <w:spacing w:val="-4"/>
          <w:lang w:val="fr-CH"/>
        </w:rPr>
        <w:t>2023 (document</w:t>
      </w:r>
      <w:r w:rsidR="00625CBD" w:rsidRPr="005F5EE2">
        <w:rPr>
          <w:rFonts w:cs="Arial"/>
          <w:spacing w:val="-4"/>
          <w:lang w:val="fr-CH"/>
        </w:rPr>
        <w:t> </w:t>
      </w:r>
      <w:r w:rsidRPr="005F5EE2">
        <w:rPr>
          <w:rFonts w:cs="Arial"/>
          <w:spacing w:val="-4"/>
          <w:lang w:val="fr-CH"/>
        </w:rPr>
        <w:t>C/55/4)</w:t>
      </w:r>
    </w:p>
    <w:p w:rsidR="00275C16" w:rsidRPr="005F5EE2" w:rsidRDefault="00275C16" w:rsidP="005907AC">
      <w:pPr>
        <w:jc w:val="left"/>
        <w:rPr>
          <w:rFonts w:cs="Arial"/>
          <w:sz w:val="18"/>
          <w:lang w:val="fr-CH"/>
        </w:rPr>
      </w:pPr>
    </w:p>
    <w:p w:rsidR="00275C16" w:rsidRPr="005F5EE2" w:rsidRDefault="005907AC" w:rsidP="000644EB">
      <w:pPr>
        <w:rPr>
          <w:rFonts w:cs="Arial"/>
          <w:lang w:val="fr-CH"/>
        </w:rPr>
      </w:pPr>
      <w:r w:rsidRPr="005F5EE2">
        <w:fldChar w:fldCharType="begin"/>
      </w:r>
      <w:r w:rsidRPr="005F5EE2">
        <w:rPr>
          <w:lang w:val="fr-CH"/>
        </w:rPr>
        <w:instrText xml:space="preserve"> AUTONUM  </w:instrText>
      </w:r>
      <w:r w:rsidRPr="005F5EE2">
        <w:fldChar w:fldCharType="end"/>
      </w:r>
      <w:r w:rsidRPr="005F5EE2">
        <w:rPr>
          <w:lang w:val="fr-CH"/>
        </w:rPr>
        <w:tab/>
      </w:r>
      <w:r w:rsidR="000644EB" w:rsidRPr="005F5EE2">
        <w:rPr>
          <w:lang w:val="fr-CH"/>
        </w:rPr>
        <w:t>Le Conseil est invité à prendre note des observations reçues en réponse à la circulaire</w:t>
      </w:r>
      <w:r w:rsidR="00625CBD" w:rsidRPr="005F5EE2">
        <w:rPr>
          <w:lang w:val="fr-CH"/>
        </w:rPr>
        <w:t> </w:t>
      </w:r>
      <w:r w:rsidR="000644EB" w:rsidRPr="005F5EE2">
        <w:rPr>
          <w:lang w:val="fr-CH"/>
        </w:rPr>
        <w:t>E</w:t>
      </w:r>
      <w:r w:rsidR="007D6DCE" w:rsidRPr="005F5EE2">
        <w:rPr>
          <w:lang w:val="fr-CH"/>
        </w:rPr>
        <w:t>-</w:t>
      </w:r>
      <w:r w:rsidR="000644EB" w:rsidRPr="005F5EE2">
        <w:rPr>
          <w:lang w:val="fr-CH"/>
        </w:rPr>
        <w:t>21/125 du 2</w:t>
      </w:r>
      <w:r w:rsidR="007D6DCE" w:rsidRPr="005F5EE2">
        <w:rPr>
          <w:lang w:val="fr-CH"/>
        </w:rPr>
        <w:t>3 août 20</w:t>
      </w:r>
      <w:r w:rsidR="000644EB" w:rsidRPr="005F5EE2">
        <w:rPr>
          <w:lang w:val="fr-CH"/>
        </w:rPr>
        <w:t>21 sur le document</w:t>
      </w:r>
      <w:r w:rsidR="00625CBD" w:rsidRPr="005F5EE2">
        <w:rPr>
          <w:lang w:val="fr-CH"/>
        </w:rPr>
        <w:t> </w:t>
      </w:r>
      <w:r w:rsidR="000644EB" w:rsidRPr="005F5EE2">
        <w:rPr>
          <w:lang w:val="fr-CH"/>
        </w:rPr>
        <w:t xml:space="preserve">C/55/4 </w:t>
      </w:r>
      <w:r w:rsidR="007D6DCE" w:rsidRPr="005F5EE2">
        <w:rPr>
          <w:lang w:val="fr-CH"/>
        </w:rPr>
        <w:t>“P</w:t>
      </w:r>
      <w:r w:rsidR="000644EB" w:rsidRPr="005F5EE2">
        <w:rPr>
          <w:lang w:val="fr-CH"/>
        </w:rPr>
        <w:t>rojet de programme et budget pour l</w:t>
      </w:r>
      <w:r w:rsidR="007D6DCE" w:rsidRPr="005F5EE2">
        <w:rPr>
          <w:lang w:val="fr-CH"/>
        </w:rPr>
        <w:t>’</w:t>
      </w:r>
      <w:r w:rsidR="000644EB" w:rsidRPr="005F5EE2">
        <w:rPr>
          <w:lang w:val="fr-CH"/>
        </w:rPr>
        <w:t xml:space="preserve">exercice </w:t>
      </w:r>
      <w:r w:rsidR="007D6DCE" w:rsidRPr="005F5EE2">
        <w:rPr>
          <w:lang w:val="fr-CH"/>
        </w:rPr>
        <w:t>biennal 2022-</w:t>
      </w:r>
      <w:r w:rsidR="000644EB" w:rsidRPr="005F5EE2">
        <w:rPr>
          <w:lang w:val="fr-CH"/>
        </w:rPr>
        <w:t>202</w:t>
      </w:r>
      <w:r w:rsidR="007D6DCE" w:rsidRPr="005F5EE2">
        <w:rPr>
          <w:lang w:val="fr-CH"/>
        </w:rPr>
        <w:t>3”</w:t>
      </w:r>
      <w:r w:rsidR="000644EB" w:rsidRPr="005F5EE2">
        <w:rPr>
          <w:lang w:val="fr-CH"/>
        </w:rPr>
        <w:t xml:space="preserve"> qui n</w:t>
      </w:r>
      <w:r w:rsidR="007D6DCE" w:rsidRPr="005F5EE2">
        <w:rPr>
          <w:lang w:val="fr-CH"/>
        </w:rPr>
        <w:t>’</w:t>
      </w:r>
      <w:r w:rsidR="000644EB" w:rsidRPr="005F5EE2">
        <w:rPr>
          <w:lang w:val="fr-CH"/>
        </w:rPr>
        <w:t>ont pas donné lieu à une révision du document</w:t>
      </w:r>
      <w:r w:rsidR="00625CBD" w:rsidRPr="005F5EE2">
        <w:rPr>
          <w:lang w:val="fr-CH"/>
        </w:rPr>
        <w:t> </w:t>
      </w:r>
      <w:r w:rsidR="000644EB" w:rsidRPr="005F5EE2">
        <w:rPr>
          <w:lang w:val="fr-CH"/>
        </w:rPr>
        <w:t xml:space="preserve">C/55/4 (voir le </w:t>
      </w:r>
      <w:r w:rsidR="007D6DCE" w:rsidRPr="005F5EE2">
        <w:rPr>
          <w:lang w:val="fr-CH"/>
        </w:rPr>
        <w:t>paragraphe 3</w:t>
      </w:r>
      <w:r w:rsidR="000644EB" w:rsidRPr="005F5EE2">
        <w:rPr>
          <w:lang w:val="fr-CH"/>
        </w:rPr>
        <w:t>0).</w:t>
      </w:r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5907AC" w:rsidP="00A32E60">
      <w:pPr>
        <w:keepLines/>
        <w:rPr>
          <w:rFonts w:cs="Arial"/>
          <w:lang w:val="fr-CH"/>
        </w:rPr>
      </w:pPr>
      <w:r w:rsidRPr="005F5EE2">
        <w:lastRenderedPageBreak/>
        <w:fldChar w:fldCharType="begin"/>
      </w:r>
      <w:r w:rsidRPr="005F5EE2">
        <w:rPr>
          <w:lang w:val="fr-CH"/>
        </w:rPr>
        <w:instrText xml:space="preserve"> AUTONUM  </w:instrText>
      </w:r>
      <w:r w:rsidRPr="005F5EE2">
        <w:fldChar w:fldCharType="end"/>
      </w:r>
      <w:r w:rsidRPr="005F5EE2">
        <w:rPr>
          <w:lang w:val="fr-CH"/>
        </w:rPr>
        <w:tab/>
      </w:r>
      <w:r w:rsidR="00A32E60" w:rsidRPr="005F5EE2">
        <w:rPr>
          <w:lang w:val="fr-CH"/>
        </w:rPr>
        <w:t>Le Conseil est invité à noter que les réponses reçues à la circulaire</w:t>
      </w:r>
      <w:r w:rsidR="00625CBD" w:rsidRPr="005F5EE2">
        <w:rPr>
          <w:lang w:val="fr-CH"/>
        </w:rPr>
        <w:t> </w:t>
      </w:r>
      <w:r w:rsidR="00A32E60" w:rsidRPr="005F5EE2">
        <w:rPr>
          <w:lang w:val="fr-CH"/>
        </w:rPr>
        <w:t>E</w:t>
      </w:r>
      <w:r w:rsidR="007D6DCE" w:rsidRPr="005F5EE2">
        <w:rPr>
          <w:lang w:val="fr-CH"/>
        </w:rPr>
        <w:t>-</w:t>
      </w:r>
      <w:r w:rsidR="00A32E60" w:rsidRPr="005F5EE2">
        <w:rPr>
          <w:lang w:val="fr-CH"/>
        </w:rPr>
        <w:t>21/125 du 2</w:t>
      </w:r>
      <w:r w:rsidR="007D6DCE" w:rsidRPr="005F5EE2">
        <w:rPr>
          <w:lang w:val="fr-CH"/>
        </w:rPr>
        <w:t>3 août 20</w:t>
      </w:r>
      <w:r w:rsidR="00A32E60" w:rsidRPr="005F5EE2">
        <w:rPr>
          <w:lang w:val="fr-CH"/>
        </w:rPr>
        <w:t>21 comprenaient également des observations sur le document</w:t>
      </w:r>
      <w:r w:rsidR="00625CBD" w:rsidRPr="005F5EE2">
        <w:rPr>
          <w:lang w:val="fr-CH"/>
        </w:rPr>
        <w:t> </w:t>
      </w:r>
      <w:r w:rsidR="00A32E60" w:rsidRPr="005F5EE2">
        <w:rPr>
          <w:lang w:val="fr-CH"/>
        </w:rPr>
        <w:t xml:space="preserve">C/55/6 </w:t>
      </w:r>
      <w:r w:rsidR="007D6DCE" w:rsidRPr="005F5EE2">
        <w:rPr>
          <w:lang w:val="fr-CH"/>
        </w:rPr>
        <w:t>“R</w:t>
      </w:r>
      <w:r w:rsidR="00A32E60" w:rsidRPr="005F5EE2">
        <w:rPr>
          <w:lang w:val="fr-CH"/>
        </w:rPr>
        <w:t>apport du vérificateur externe des compte</w:t>
      </w:r>
      <w:r w:rsidR="007D6DCE" w:rsidRPr="005F5EE2">
        <w:rPr>
          <w:lang w:val="fr-CH"/>
        </w:rPr>
        <w:t>s”</w:t>
      </w:r>
      <w:r w:rsidR="00A32E60" w:rsidRPr="005F5EE2">
        <w:rPr>
          <w:lang w:val="fr-CH"/>
        </w:rPr>
        <w:t xml:space="preserve"> qui ne faisait pas partie de la procédure d</w:t>
      </w:r>
      <w:r w:rsidR="007D6DCE" w:rsidRPr="005F5EE2">
        <w:rPr>
          <w:lang w:val="fr-CH"/>
        </w:rPr>
        <w:t>’</w:t>
      </w:r>
      <w:r w:rsidR="00A32E60" w:rsidRPr="005F5EE2">
        <w:rPr>
          <w:lang w:val="fr-CH"/>
        </w:rPr>
        <w:t xml:space="preserve">approbation par correspondance et qui sera examiné lors de la session virtuelle du Conseil en </w:t>
      </w:r>
      <w:r w:rsidR="007D6DCE" w:rsidRPr="005F5EE2">
        <w:rPr>
          <w:lang w:val="fr-CH"/>
        </w:rPr>
        <w:t>octobre 20</w:t>
      </w:r>
      <w:r w:rsidR="00A32E60" w:rsidRPr="005F5EE2">
        <w:rPr>
          <w:lang w:val="fr-CH"/>
        </w:rPr>
        <w:t>21.</w:t>
      </w:r>
      <w:r w:rsidRPr="005F5EE2">
        <w:rPr>
          <w:lang w:val="fr-CH"/>
        </w:rPr>
        <w:t xml:space="preserve">  </w:t>
      </w:r>
      <w:r w:rsidR="00A32E60" w:rsidRPr="005F5EE2">
        <w:rPr>
          <w:rFonts w:cs="Arial"/>
          <w:lang w:val="fr-CH"/>
        </w:rPr>
        <w:t>Le Conseil est invité à noter que les observations reçues concernant le document</w:t>
      </w:r>
      <w:r w:rsidR="00625CBD" w:rsidRPr="005F5EE2">
        <w:rPr>
          <w:rFonts w:cs="Arial"/>
          <w:lang w:val="fr-CH"/>
        </w:rPr>
        <w:t> </w:t>
      </w:r>
      <w:r w:rsidR="00A32E60" w:rsidRPr="005F5EE2">
        <w:rPr>
          <w:rFonts w:cs="Arial"/>
          <w:lang w:val="fr-CH"/>
        </w:rPr>
        <w:t>C/55/6 sont reprises dans le présent document pour l</w:t>
      </w:r>
      <w:r w:rsidR="007D6DCE" w:rsidRPr="005F5EE2">
        <w:rPr>
          <w:rFonts w:cs="Arial"/>
          <w:lang w:val="fr-CH"/>
        </w:rPr>
        <w:t>’</w:t>
      </w:r>
      <w:r w:rsidR="00A32E60" w:rsidRPr="005F5EE2">
        <w:rPr>
          <w:rFonts w:cs="Arial"/>
          <w:lang w:val="fr-CH"/>
        </w:rPr>
        <w:t xml:space="preserve">information du Conseil (voir le </w:t>
      </w:r>
      <w:r w:rsidR="007D6DCE" w:rsidRPr="005F5EE2">
        <w:rPr>
          <w:rFonts w:cs="Arial"/>
          <w:lang w:val="fr-CH"/>
        </w:rPr>
        <w:t>paragraphe 2</w:t>
      </w:r>
      <w:r w:rsidR="00A32E60" w:rsidRPr="005F5EE2">
        <w:rPr>
          <w:rFonts w:cs="Arial"/>
          <w:lang w:val="fr-CH"/>
        </w:rPr>
        <w:t>6).</w:t>
      </w:r>
    </w:p>
    <w:p w:rsidR="00275C16" w:rsidRPr="005F5EE2" w:rsidRDefault="005907AC" w:rsidP="00A32E60">
      <w:pPr>
        <w:spacing w:before="120" w:after="80"/>
        <w:rPr>
          <w:rFonts w:cs="Arial"/>
          <w:lang w:val="fr-CH"/>
        </w:rPr>
      </w:pPr>
      <w:r w:rsidRPr="005F5EE2">
        <w:rPr>
          <w:rFonts w:cs="Arial"/>
        </w:rPr>
        <w:fldChar w:fldCharType="begin"/>
      </w:r>
      <w:r w:rsidRPr="005F5EE2">
        <w:rPr>
          <w:rFonts w:cs="Arial"/>
          <w:lang w:val="fr-CH"/>
        </w:rPr>
        <w:instrText xml:space="preserve"> AUTONUM  </w:instrText>
      </w:r>
      <w:r w:rsidRPr="005F5EE2">
        <w:rPr>
          <w:rFonts w:cs="Arial"/>
        </w:rPr>
        <w:fldChar w:fldCharType="end"/>
      </w:r>
      <w:r w:rsidRPr="005F5EE2">
        <w:rPr>
          <w:rFonts w:cs="Arial"/>
          <w:lang w:val="fr-CH"/>
        </w:rPr>
        <w:tab/>
      </w:r>
      <w:r w:rsidR="00A32E60" w:rsidRPr="005F5EE2">
        <w:rPr>
          <w:rFonts w:cs="Arial"/>
          <w:lang w:val="fr-CH"/>
        </w:rPr>
        <w:t>Le présent document est structuré comme suit</w:t>
      </w:r>
      <w:r w:rsidR="007D6DCE" w:rsidRPr="005F5EE2">
        <w:rPr>
          <w:rFonts w:cs="Arial"/>
          <w:lang w:val="fr-CH"/>
        </w:rPr>
        <w:t> :</w:t>
      </w:r>
    </w:p>
    <w:p w:rsidR="00EA5D40" w:rsidRPr="005F5EE2" w:rsidRDefault="005907AC" w:rsidP="00BE7D91">
      <w:pPr>
        <w:pStyle w:val="TOC1"/>
        <w:rPr>
          <w:rFonts w:asciiTheme="minorHAnsi" w:eastAsiaTheme="minorEastAsia" w:hAnsiTheme="minorHAnsi" w:cstheme="minorBidi"/>
          <w:lang w:val="fr-CH" w:eastAsia="fr-CH"/>
        </w:rPr>
      </w:pPr>
      <w:r w:rsidRPr="005F5EE2">
        <w:rPr>
          <w:rFonts w:cs="Arial"/>
          <w:bCs/>
          <w:snapToGrid w:val="0"/>
          <w:highlight w:val="yellow"/>
        </w:rPr>
        <w:fldChar w:fldCharType="begin"/>
      </w:r>
      <w:r w:rsidRPr="005F5EE2">
        <w:rPr>
          <w:rFonts w:cs="Arial"/>
          <w:bCs/>
          <w:snapToGrid w:val="0"/>
          <w:highlight w:val="yellow"/>
        </w:rPr>
        <w:instrText xml:space="preserve"> TOC \o "1-5" \h \z \u </w:instrText>
      </w:r>
      <w:r w:rsidRPr="005F5EE2">
        <w:rPr>
          <w:rFonts w:cs="Arial"/>
          <w:bCs/>
          <w:snapToGrid w:val="0"/>
          <w:highlight w:val="yellow"/>
        </w:rPr>
        <w:fldChar w:fldCharType="separate"/>
      </w:r>
      <w:hyperlink w:anchor="_Toc84588272" w:history="1">
        <w:r w:rsidR="00EA5D40" w:rsidRPr="005F5EE2">
          <w:rPr>
            <w:rStyle w:val="Hyperlink"/>
            <w:color w:val="auto"/>
            <w:sz w:val="18"/>
            <w:szCs w:val="18"/>
            <w:lang w:val="fr-CH"/>
          </w:rPr>
          <w:t>RAPPEL</w:t>
        </w:r>
        <w:r w:rsidR="00EA5D40" w:rsidRPr="005F5EE2">
          <w:rPr>
            <w:webHidden/>
          </w:rPr>
          <w:tab/>
        </w:r>
        <w:r w:rsidR="00EA5D40" w:rsidRPr="005F5EE2">
          <w:rPr>
            <w:webHidden/>
          </w:rPr>
          <w:fldChar w:fldCharType="begin"/>
        </w:r>
        <w:r w:rsidR="00EA5D40" w:rsidRPr="005F5EE2">
          <w:rPr>
            <w:webHidden/>
          </w:rPr>
          <w:instrText xml:space="preserve"> PAGEREF _Toc84588272 \h </w:instrText>
        </w:r>
        <w:r w:rsidR="00EA5D40" w:rsidRPr="005F5EE2">
          <w:rPr>
            <w:webHidden/>
          </w:rPr>
        </w:r>
        <w:r w:rsidR="00EA5D40" w:rsidRPr="005F5EE2">
          <w:rPr>
            <w:webHidden/>
          </w:rPr>
          <w:fldChar w:fldCharType="separate"/>
        </w:r>
        <w:r w:rsidR="002E4BB8" w:rsidRPr="005F5EE2">
          <w:rPr>
            <w:webHidden/>
          </w:rPr>
          <w:t>2</w:t>
        </w:r>
        <w:r w:rsidR="00EA5D40" w:rsidRPr="005F5EE2">
          <w:rPr>
            <w:webHidden/>
          </w:rPr>
          <w:fldChar w:fldCharType="end"/>
        </w:r>
      </w:hyperlink>
    </w:p>
    <w:p w:rsidR="00EA5D40" w:rsidRPr="005F5EE2" w:rsidRDefault="002C253B" w:rsidP="00BE7D91">
      <w:pPr>
        <w:pStyle w:val="TOC1"/>
        <w:rPr>
          <w:rFonts w:asciiTheme="minorHAnsi" w:eastAsiaTheme="minorEastAsia" w:hAnsiTheme="minorHAnsi" w:cstheme="minorBidi"/>
          <w:lang w:eastAsia="fr-CH"/>
        </w:rPr>
      </w:pPr>
      <w:hyperlink w:anchor="_Toc84588273" w:history="1">
        <w:r w:rsidR="00EA5D40" w:rsidRPr="005F5EE2">
          <w:rPr>
            <w:rStyle w:val="Hyperlink"/>
            <w:snapToGrid w:val="0"/>
            <w:color w:val="auto"/>
            <w:sz w:val="18"/>
            <w:szCs w:val="18"/>
            <w:lang w:val="fr-CH"/>
          </w:rPr>
          <w:t>Point 4 de l’ordre du jour : Prolongation du mandat du Secrétaire général adjoint et procédure de nomination d’un nouveau Secrétaire général adjoint (document C/55/10)</w:t>
        </w:r>
        <w:r w:rsidR="00EA5D40" w:rsidRPr="005F5EE2">
          <w:rPr>
            <w:webHidden/>
          </w:rPr>
          <w:tab/>
        </w:r>
        <w:r w:rsidR="00EA5D40" w:rsidRPr="005F5EE2">
          <w:rPr>
            <w:webHidden/>
          </w:rPr>
          <w:fldChar w:fldCharType="begin"/>
        </w:r>
        <w:r w:rsidR="00EA5D40" w:rsidRPr="005F5EE2">
          <w:rPr>
            <w:webHidden/>
          </w:rPr>
          <w:instrText xml:space="preserve"> PAGEREF _Toc84588273 \h </w:instrText>
        </w:r>
        <w:r w:rsidR="00EA5D40" w:rsidRPr="005F5EE2">
          <w:rPr>
            <w:webHidden/>
          </w:rPr>
        </w:r>
        <w:r w:rsidR="00EA5D40" w:rsidRPr="005F5EE2">
          <w:rPr>
            <w:webHidden/>
          </w:rPr>
          <w:fldChar w:fldCharType="separate"/>
        </w:r>
        <w:r w:rsidR="002E4BB8" w:rsidRPr="005F5EE2">
          <w:rPr>
            <w:webHidden/>
          </w:rPr>
          <w:t>4</w:t>
        </w:r>
        <w:r w:rsidR="00EA5D40" w:rsidRPr="005F5EE2">
          <w:rPr>
            <w:webHidden/>
          </w:rPr>
          <w:fldChar w:fldCharType="end"/>
        </w:r>
      </w:hyperlink>
    </w:p>
    <w:p w:rsidR="00EA5D40" w:rsidRPr="005F5EE2" w:rsidRDefault="002C253B" w:rsidP="00BE7D91">
      <w:pPr>
        <w:pStyle w:val="TOC1"/>
        <w:rPr>
          <w:rFonts w:asciiTheme="minorHAnsi" w:eastAsiaTheme="minorEastAsia" w:hAnsiTheme="minorHAnsi" w:cstheme="minorBidi"/>
          <w:lang w:eastAsia="fr-CH"/>
        </w:rPr>
      </w:pPr>
      <w:hyperlink w:anchor="_Toc84588274" w:history="1">
        <w:r w:rsidR="00EA5D40" w:rsidRPr="005F5EE2">
          <w:rPr>
            <w:rStyle w:val="Hyperlink"/>
            <w:color w:val="auto"/>
            <w:spacing w:val="-4"/>
            <w:sz w:val="18"/>
            <w:szCs w:val="18"/>
            <w:lang w:val="fr-CH"/>
          </w:rPr>
          <w:t>Point 8 de l’ordre du jour : Documents proposés pour adoption par le Conseil (document C/55/3 Rev.)</w:t>
        </w:r>
        <w:r w:rsidR="00EA5D40" w:rsidRPr="005F5EE2">
          <w:rPr>
            <w:webHidden/>
          </w:rPr>
          <w:tab/>
        </w:r>
        <w:r w:rsidR="00EA5D40" w:rsidRPr="005F5EE2">
          <w:rPr>
            <w:webHidden/>
          </w:rPr>
          <w:fldChar w:fldCharType="begin"/>
        </w:r>
        <w:r w:rsidR="00EA5D40" w:rsidRPr="005F5EE2">
          <w:rPr>
            <w:webHidden/>
          </w:rPr>
          <w:instrText xml:space="preserve"> PAGEREF _Toc84588274 \h </w:instrText>
        </w:r>
        <w:r w:rsidR="00EA5D40" w:rsidRPr="005F5EE2">
          <w:rPr>
            <w:webHidden/>
          </w:rPr>
        </w:r>
        <w:r w:rsidR="00EA5D40" w:rsidRPr="005F5EE2">
          <w:rPr>
            <w:webHidden/>
          </w:rPr>
          <w:fldChar w:fldCharType="separate"/>
        </w:r>
        <w:r w:rsidR="002E4BB8" w:rsidRPr="005F5EE2">
          <w:rPr>
            <w:webHidden/>
          </w:rPr>
          <w:t>5</w:t>
        </w:r>
        <w:r w:rsidR="00EA5D40" w:rsidRPr="005F5EE2">
          <w:rPr>
            <w:webHidden/>
          </w:rPr>
          <w:fldChar w:fldCharType="end"/>
        </w:r>
      </w:hyperlink>
    </w:p>
    <w:p w:rsidR="00EA5D40" w:rsidRPr="005F5EE2" w:rsidRDefault="002C253B" w:rsidP="00D374DE">
      <w:pPr>
        <w:pStyle w:val="TOC2"/>
        <w:rPr>
          <w:rFonts w:asciiTheme="minorHAnsi" w:eastAsiaTheme="minorEastAsia" w:hAnsiTheme="minorHAnsi" w:cstheme="minorBidi"/>
          <w:noProof/>
          <w:lang w:eastAsia="fr-CH"/>
        </w:rPr>
      </w:pPr>
      <w:hyperlink w:anchor="_Toc84588275" w:history="1">
        <w:r w:rsidR="00D374DE" w:rsidRPr="005F5EE2">
          <w:rPr>
            <w:rStyle w:val="Hyperlink"/>
            <w:smallCaps w:val="0"/>
            <w:noProof/>
            <w:color w:val="auto"/>
            <w:sz w:val="18"/>
            <w:szCs w:val="18"/>
            <w:lang w:val="fr-CH"/>
          </w:rPr>
          <w:t>Documents proposés pour adoption par le Conseil (document C/55/3 Rev.)</w:t>
        </w:r>
        <w:r w:rsidR="00EA5D40" w:rsidRPr="005F5EE2">
          <w:rPr>
            <w:noProof/>
            <w:webHidden/>
          </w:rPr>
          <w:tab/>
        </w:r>
        <w:r w:rsidR="00EA5D40" w:rsidRPr="005F5EE2">
          <w:rPr>
            <w:noProof/>
            <w:webHidden/>
          </w:rPr>
          <w:fldChar w:fldCharType="begin"/>
        </w:r>
        <w:r w:rsidR="00EA5D40" w:rsidRPr="005F5EE2">
          <w:rPr>
            <w:noProof/>
            <w:webHidden/>
          </w:rPr>
          <w:instrText xml:space="preserve"> PAGEREF _Toc84588275 \h </w:instrText>
        </w:r>
        <w:r w:rsidR="00EA5D40" w:rsidRPr="005F5EE2">
          <w:rPr>
            <w:noProof/>
            <w:webHidden/>
          </w:rPr>
        </w:r>
        <w:r w:rsidR="00EA5D40" w:rsidRPr="005F5EE2">
          <w:rPr>
            <w:noProof/>
            <w:webHidden/>
          </w:rPr>
          <w:fldChar w:fldCharType="separate"/>
        </w:r>
        <w:r w:rsidR="002E4BB8" w:rsidRPr="005F5EE2">
          <w:rPr>
            <w:noProof/>
            <w:webHidden/>
          </w:rPr>
          <w:t>5</w:t>
        </w:r>
        <w:r w:rsidR="00EA5D40" w:rsidRPr="005F5EE2">
          <w:rPr>
            <w:noProof/>
            <w:webHidden/>
          </w:rPr>
          <w:fldChar w:fldCharType="end"/>
        </w:r>
      </w:hyperlink>
    </w:p>
    <w:p w:rsidR="00EA5D40" w:rsidRPr="005F5EE2" w:rsidRDefault="002C253B" w:rsidP="00D374DE">
      <w:pPr>
        <w:pStyle w:val="TOC3"/>
        <w:rPr>
          <w:rFonts w:asciiTheme="minorHAnsi" w:eastAsiaTheme="minorEastAsia" w:hAnsiTheme="minorHAnsi" w:cstheme="minorBidi"/>
          <w:lang w:eastAsia="fr-CH"/>
        </w:rPr>
      </w:pPr>
      <w:hyperlink w:anchor="_Toc84588276" w:history="1">
        <w:r w:rsidR="00EA5D40" w:rsidRPr="005F5EE2">
          <w:rPr>
            <w:rStyle w:val="Hyperlink"/>
            <w:color w:val="auto"/>
          </w:rPr>
          <w:t>Documents d’information</w:t>
        </w:r>
        <w:r w:rsidR="00EA5D40" w:rsidRPr="005F5EE2">
          <w:rPr>
            <w:webHidden/>
          </w:rPr>
          <w:tab/>
        </w:r>
        <w:r w:rsidR="00EA5D40" w:rsidRPr="005F5EE2">
          <w:rPr>
            <w:webHidden/>
          </w:rPr>
          <w:fldChar w:fldCharType="begin"/>
        </w:r>
        <w:r w:rsidR="00EA5D40" w:rsidRPr="005F5EE2">
          <w:rPr>
            <w:webHidden/>
          </w:rPr>
          <w:instrText xml:space="preserve"> PAGEREF _Toc84588276 \h </w:instrText>
        </w:r>
        <w:r w:rsidR="00EA5D40" w:rsidRPr="005F5EE2">
          <w:rPr>
            <w:webHidden/>
          </w:rPr>
        </w:r>
        <w:r w:rsidR="00EA5D40" w:rsidRPr="005F5EE2">
          <w:rPr>
            <w:webHidden/>
          </w:rPr>
          <w:fldChar w:fldCharType="separate"/>
        </w:r>
        <w:r w:rsidR="002E4BB8" w:rsidRPr="005F5EE2">
          <w:rPr>
            <w:webHidden/>
          </w:rPr>
          <w:t>5</w:t>
        </w:r>
        <w:r w:rsidR="00EA5D40" w:rsidRPr="005F5EE2">
          <w:rPr>
            <w:webHidden/>
          </w:rPr>
          <w:fldChar w:fldCharType="end"/>
        </w:r>
      </w:hyperlink>
    </w:p>
    <w:p w:rsidR="00EA5D40" w:rsidRPr="00BE7D91" w:rsidRDefault="002C253B" w:rsidP="00BE7D91">
      <w:pPr>
        <w:pStyle w:val="TOC4"/>
        <w:rPr>
          <w:rFonts w:asciiTheme="minorHAnsi" w:eastAsiaTheme="minorEastAsia" w:hAnsiTheme="minorHAnsi" w:cstheme="minorBidi"/>
          <w:lang w:eastAsia="fr-CH"/>
        </w:rPr>
      </w:pPr>
      <w:hyperlink w:anchor="_Toc84588277" w:history="1">
        <w:r w:rsidR="00EA5D40" w:rsidRPr="00BE7D91">
          <w:rPr>
            <w:rStyle w:val="Hyperlink"/>
            <w:color w:val="auto"/>
          </w:rPr>
          <w:t>UPOV/INF/16 : Logiciels échangeables (révision) (document UPOV/INF/16/10 Draft 2)</w:t>
        </w:r>
        <w:r w:rsidR="00EA5D40" w:rsidRPr="00BE7D91">
          <w:rPr>
            <w:webHidden/>
          </w:rPr>
          <w:tab/>
        </w:r>
        <w:r w:rsidR="00EA5D40" w:rsidRPr="00BE7D91">
          <w:rPr>
            <w:webHidden/>
          </w:rPr>
          <w:fldChar w:fldCharType="begin"/>
        </w:r>
        <w:r w:rsidR="00EA5D40" w:rsidRPr="00BE7D91">
          <w:rPr>
            <w:webHidden/>
          </w:rPr>
          <w:instrText xml:space="preserve"> PAGEREF _Toc84588277 \h </w:instrText>
        </w:r>
        <w:r w:rsidR="00EA5D40" w:rsidRPr="00BE7D91">
          <w:rPr>
            <w:webHidden/>
          </w:rPr>
        </w:r>
        <w:r w:rsidR="00EA5D40" w:rsidRPr="00BE7D91">
          <w:rPr>
            <w:webHidden/>
          </w:rPr>
          <w:fldChar w:fldCharType="separate"/>
        </w:r>
        <w:r w:rsidR="002E4BB8" w:rsidRPr="00BE7D91">
          <w:rPr>
            <w:webHidden/>
          </w:rPr>
          <w:t>5</w:t>
        </w:r>
        <w:r w:rsidR="00EA5D40" w:rsidRPr="00BE7D91">
          <w:rPr>
            <w:webHidden/>
          </w:rPr>
          <w:fldChar w:fldCharType="end"/>
        </w:r>
      </w:hyperlink>
    </w:p>
    <w:p w:rsidR="00EA5D40" w:rsidRPr="005F5EE2" w:rsidRDefault="002C253B" w:rsidP="00BE7D91">
      <w:pPr>
        <w:pStyle w:val="TOC4"/>
        <w:rPr>
          <w:rFonts w:asciiTheme="minorHAnsi" w:eastAsiaTheme="minorEastAsia" w:hAnsiTheme="minorHAnsi" w:cstheme="minorBidi"/>
          <w:lang w:eastAsia="fr-CH"/>
        </w:rPr>
      </w:pPr>
      <w:hyperlink w:anchor="_Toc84588278" w:history="1">
        <w:r w:rsidR="00EA5D40" w:rsidRPr="005F5EE2">
          <w:rPr>
            <w:rStyle w:val="Hyperlink"/>
            <w:color w:val="auto"/>
            <w:szCs w:val="18"/>
          </w:rPr>
          <w:t>UPOV/INF/17 : Directives concernant les profils d’ADN : choix des marqueurs moléculaires et construction d’une base de données y relative (“Directives BMT”) (</w:t>
        </w:r>
        <w:r w:rsidR="002E4BB8" w:rsidRPr="005F5EE2">
          <w:rPr>
            <w:rStyle w:val="Hyperlink"/>
            <w:color w:val="auto"/>
            <w:szCs w:val="18"/>
          </w:rPr>
          <w:t>r</w:t>
        </w:r>
        <w:r w:rsidR="00EA5D40" w:rsidRPr="005F5EE2">
          <w:rPr>
            <w:rStyle w:val="Hyperlink"/>
            <w:color w:val="auto"/>
            <w:szCs w:val="18"/>
          </w:rPr>
          <w:t>évision) (document UPOV/INF/17/2 Draft 6)</w:t>
        </w:r>
        <w:r w:rsidR="00EA5D40" w:rsidRPr="005F5EE2">
          <w:rPr>
            <w:webHidden/>
          </w:rPr>
          <w:tab/>
        </w:r>
        <w:r w:rsidR="00EA5D40" w:rsidRPr="005F5EE2">
          <w:rPr>
            <w:webHidden/>
          </w:rPr>
          <w:fldChar w:fldCharType="begin"/>
        </w:r>
        <w:r w:rsidR="00EA5D40" w:rsidRPr="005F5EE2">
          <w:rPr>
            <w:webHidden/>
          </w:rPr>
          <w:instrText xml:space="preserve"> PAGEREF _Toc84588278 \h </w:instrText>
        </w:r>
        <w:r w:rsidR="00EA5D40" w:rsidRPr="005F5EE2">
          <w:rPr>
            <w:webHidden/>
          </w:rPr>
        </w:r>
        <w:r w:rsidR="00EA5D40" w:rsidRPr="005F5EE2">
          <w:rPr>
            <w:webHidden/>
          </w:rPr>
          <w:fldChar w:fldCharType="separate"/>
        </w:r>
        <w:r w:rsidR="002E4BB8" w:rsidRPr="005F5EE2">
          <w:rPr>
            <w:webHidden/>
          </w:rPr>
          <w:t>5</w:t>
        </w:r>
        <w:r w:rsidR="00EA5D40" w:rsidRPr="005F5EE2">
          <w:rPr>
            <w:webHidden/>
          </w:rPr>
          <w:fldChar w:fldCharType="end"/>
        </w:r>
      </w:hyperlink>
    </w:p>
    <w:p w:rsidR="00EA5D40" w:rsidRPr="005F5EE2" w:rsidRDefault="002C253B" w:rsidP="00BE7D91">
      <w:pPr>
        <w:pStyle w:val="TOC4"/>
        <w:rPr>
          <w:rFonts w:asciiTheme="minorHAnsi" w:eastAsiaTheme="minorEastAsia" w:hAnsiTheme="minorHAnsi" w:cstheme="minorBidi"/>
          <w:lang w:eastAsia="fr-CH"/>
        </w:rPr>
      </w:pPr>
      <w:hyperlink w:anchor="_Toc84588279" w:history="1">
        <w:r w:rsidR="00EA5D40" w:rsidRPr="005F5EE2">
          <w:rPr>
            <w:rStyle w:val="Hyperlink"/>
            <w:color w:val="auto"/>
            <w:szCs w:val="18"/>
          </w:rPr>
          <w:t>UPOV/INF/22 : Logiciels et équipements utilisés par les membres de l’Union (révision) (document UPOV/INF/22/8 Draft 2)</w:t>
        </w:r>
        <w:r w:rsidR="00EA5D40" w:rsidRPr="005F5EE2">
          <w:rPr>
            <w:webHidden/>
          </w:rPr>
          <w:tab/>
        </w:r>
        <w:r w:rsidR="00EA5D40" w:rsidRPr="005F5EE2">
          <w:rPr>
            <w:webHidden/>
          </w:rPr>
          <w:fldChar w:fldCharType="begin"/>
        </w:r>
        <w:r w:rsidR="00EA5D40" w:rsidRPr="005F5EE2">
          <w:rPr>
            <w:webHidden/>
          </w:rPr>
          <w:instrText xml:space="preserve"> PAGEREF _Toc84588279 \h </w:instrText>
        </w:r>
        <w:r w:rsidR="00EA5D40" w:rsidRPr="005F5EE2">
          <w:rPr>
            <w:webHidden/>
          </w:rPr>
        </w:r>
        <w:r w:rsidR="00EA5D40" w:rsidRPr="005F5EE2">
          <w:rPr>
            <w:webHidden/>
          </w:rPr>
          <w:fldChar w:fldCharType="separate"/>
        </w:r>
        <w:r w:rsidR="002E4BB8" w:rsidRPr="005F5EE2">
          <w:rPr>
            <w:webHidden/>
          </w:rPr>
          <w:t>5</w:t>
        </w:r>
        <w:r w:rsidR="00EA5D40" w:rsidRPr="005F5EE2">
          <w:rPr>
            <w:webHidden/>
          </w:rPr>
          <w:fldChar w:fldCharType="end"/>
        </w:r>
      </w:hyperlink>
    </w:p>
    <w:p w:rsidR="00EA5D40" w:rsidRPr="005F5EE2" w:rsidRDefault="002C253B" w:rsidP="00BE7D91">
      <w:pPr>
        <w:pStyle w:val="TOC4"/>
        <w:rPr>
          <w:rFonts w:asciiTheme="minorHAnsi" w:eastAsiaTheme="minorEastAsia" w:hAnsiTheme="minorHAnsi" w:cstheme="minorBidi"/>
          <w:lang w:eastAsia="fr-CH"/>
        </w:rPr>
      </w:pPr>
      <w:hyperlink w:anchor="_Toc84588280" w:history="1">
        <w:r w:rsidR="00EA5D40" w:rsidRPr="005F5EE2">
          <w:rPr>
            <w:rStyle w:val="Hyperlink"/>
            <w:color w:val="auto"/>
            <w:szCs w:val="18"/>
          </w:rPr>
          <w:t>UPOV/INF-EXN : Liste des documents UPOV/INF-EXN et date de la version la plus récente de ces documents (révision) (document UPOV/INF-EXN/15 Draft 1)</w:t>
        </w:r>
        <w:r w:rsidR="00EA5D40" w:rsidRPr="005F5EE2">
          <w:rPr>
            <w:webHidden/>
          </w:rPr>
          <w:tab/>
        </w:r>
        <w:r w:rsidR="00EA5D40" w:rsidRPr="005F5EE2">
          <w:rPr>
            <w:webHidden/>
          </w:rPr>
          <w:fldChar w:fldCharType="begin"/>
        </w:r>
        <w:r w:rsidR="00EA5D40" w:rsidRPr="005F5EE2">
          <w:rPr>
            <w:webHidden/>
          </w:rPr>
          <w:instrText xml:space="preserve"> PAGEREF _Toc84588280 \h </w:instrText>
        </w:r>
        <w:r w:rsidR="00EA5D40" w:rsidRPr="005F5EE2">
          <w:rPr>
            <w:webHidden/>
          </w:rPr>
        </w:r>
        <w:r w:rsidR="00EA5D40" w:rsidRPr="005F5EE2">
          <w:rPr>
            <w:webHidden/>
          </w:rPr>
          <w:fldChar w:fldCharType="separate"/>
        </w:r>
        <w:r w:rsidR="002E4BB8" w:rsidRPr="005F5EE2">
          <w:rPr>
            <w:webHidden/>
          </w:rPr>
          <w:t>5</w:t>
        </w:r>
        <w:r w:rsidR="00EA5D40" w:rsidRPr="005F5EE2">
          <w:rPr>
            <w:webHidden/>
          </w:rPr>
          <w:fldChar w:fldCharType="end"/>
        </w:r>
      </w:hyperlink>
    </w:p>
    <w:p w:rsidR="00EA5D40" w:rsidRPr="005F5EE2" w:rsidRDefault="002C253B" w:rsidP="00D374DE">
      <w:pPr>
        <w:pStyle w:val="TOC3"/>
        <w:rPr>
          <w:rFonts w:asciiTheme="minorHAnsi" w:eastAsiaTheme="minorEastAsia" w:hAnsiTheme="minorHAnsi" w:cstheme="minorBidi"/>
          <w:lang w:eastAsia="fr-CH"/>
        </w:rPr>
      </w:pPr>
      <w:hyperlink w:anchor="_Toc84588281" w:history="1">
        <w:r w:rsidR="00EA5D40" w:rsidRPr="005F5EE2">
          <w:rPr>
            <w:rStyle w:val="Hyperlink"/>
            <w:color w:val="auto"/>
          </w:rPr>
          <w:t>Notes explicatives</w:t>
        </w:r>
        <w:r w:rsidR="00EA5D40" w:rsidRPr="005F5EE2">
          <w:rPr>
            <w:webHidden/>
          </w:rPr>
          <w:tab/>
        </w:r>
        <w:r w:rsidR="00EA5D40" w:rsidRPr="005F5EE2">
          <w:rPr>
            <w:webHidden/>
          </w:rPr>
          <w:fldChar w:fldCharType="begin"/>
        </w:r>
        <w:r w:rsidR="00EA5D40" w:rsidRPr="005F5EE2">
          <w:rPr>
            <w:webHidden/>
          </w:rPr>
          <w:instrText xml:space="preserve"> PAGEREF _Toc84588281 \h </w:instrText>
        </w:r>
        <w:r w:rsidR="00EA5D40" w:rsidRPr="005F5EE2">
          <w:rPr>
            <w:webHidden/>
          </w:rPr>
        </w:r>
        <w:r w:rsidR="00EA5D40" w:rsidRPr="005F5EE2">
          <w:rPr>
            <w:webHidden/>
          </w:rPr>
          <w:fldChar w:fldCharType="separate"/>
        </w:r>
        <w:r w:rsidR="002E4BB8" w:rsidRPr="005F5EE2">
          <w:rPr>
            <w:webHidden/>
          </w:rPr>
          <w:t>6</w:t>
        </w:r>
        <w:r w:rsidR="00EA5D40" w:rsidRPr="005F5EE2">
          <w:rPr>
            <w:webHidden/>
          </w:rPr>
          <w:fldChar w:fldCharType="end"/>
        </w:r>
      </w:hyperlink>
    </w:p>
    <w:p w:rsidR="00EA5D40" w:rsidRPr="005F5EE2" w:rsidRDefault="002C253B" w:rsidP="00BE7D91">
      <w:pPr>
        <w:pStyle w:val="TOC4"/>
        <w:rPr>
          <w:rFonts w:asciiTheme="minorHAnsi" w:eastAsiaTheme="minorEastAsia" w:hAnsiTheme="minorHAnsi" w:cstheme="minorBidi"/>
          <w:lang w:eastAsia="fr-CH"/>
        </w:rPr>
      </w:pPr>
      <w:hyperlink w:anchor="_Toc84588282" w:history="1">
        <w:r w:rsidR="00EA5D40" w:rsidRPr="005F5EE2">
          <w:rPr>
            <w:rStyle w:val="Hyperlink"/>
            <w:color w:val="auto"/>
            <w:szCs w:val="18"/>
          </w:rPr>
          <w:t>UPOV/EXN/DEN : Notes explicatives concernant les dénominations variétales en vertu de la Convention UPOV (document UPOV/EXN/DEN/1 Draft 6)</w:t>
        </w:r>
        <w:r w:rsidR="00EA5D40" w:rsidRPr="005F5EE2">
          <w:rPr>
            <w:webHidden/>
          </w:rPr>
          <w:tab/>
        </w:r>
        <w:r w:rsidR="00EA5D40" w:rsidRPr="005F5EE2">
          <w:rPr>
            <w:webHidden/>
          </w:rPr>
          <w:fldChar w:fldCharType="begin"/>
        </w:r>
        <w:r w:rsidR="00EA5D40" w:rsidRPr="005F5EE2">
          <w:rPr>
            <w:webHidden/>
          </w:rPr>
          <w:instrText xml:space="preserve"> PAGEREF _Toc84588282 \h </w:instrText>
        </w:r>
        <w:r w:rsidR="00EA5D40" w:rsidRPr="005F5EE2">
          <w:rPr>
            <w:webHidden/>
          </w:rPr>
        </w:r>
        <w:r w:rsidR="00EA5D40" w:rsidRPr="005F5EE2">
          <w:rPr>
            <w:webHidden/>
          </w:rPr>
          <w:fldChar w:fldCharType="separate"/>
        </w:r>
        <w:r w:rsidR="002E4BB8" w:rsidRPr="005F5EE2">
          <w:rPr>
            <w:webHidden/>
          </w:rPr>
          <w:t>6</w:t>
        </w:r>
        <w:r w:rsidR="00EA5D40" w:rsidRPr="005F5EE2">
          <w:rPr>
            <w:webHidden/>
          </w:rPr>
          <w:fldChar w:fldCharType="end"/>
        </w:r>
      </w:hyperlink>
    </w:p>
    <w:p w:rsidR="00EA5D40" w:rsidRPr="00BE7D91" w:rsidRDefault="002C253B" w:rsidP="00BE7D91">
      <w:pPr>
        <w:pStyle w:val="TOC5"/>
        <w:rPr>
          <w:rFonts w:eastAsiaTheme="minorEastAsia"/>
        </w:rPr>
      </w:pPr>
      <w:hyperlink w:anchor="_Toc84588283" w:history="1">
        <w:r w:rsidR="00EA5D40" w:rsidRPr="00BE7D91">
          <w:rPr>
            <w:rStyle w:val="Hyperlink"/>
            <w:color w:val="auto"/>
            <w:u w:val="none"/>
          </w:rPr>
          <w:t>Notes explicatives concernant les dénominations variétales en vertu de la Convention UPOV (document C/55/11)</w:t>
        </w:r>
        <w:r w:rsidR="00EA5D40" w:rsidRPr="00BE7D91">
          <w:rPr>
            <w:webHidden/>
          </w:rPr>
          <w:tab/>
        </w:r>
        <w:r w:rsidR="00EA5D40" w:rsidRPr="00BE7D91">
          <w:rPr>
            <w:webHidden/>
          </w:rPr>
          <w:fldChar w:fldCharType="begin"/>
        </w:r>
        <w:r w:rsidR="00EA5D40" w:rsidRPr="00BE7D91">
          <w:rPr>
            <w:webHidden/>
          </w:rPr>
          <w:instrText xml:space="preserve"> PAGEREF _Toc84588283 \h </w:instrText>
        </w:r>
        <w:r w:rsidR="00EA5D40" w:rsidRPr="00BE7D91">
          <w:rPr>
            <w:webHidden/>
          </w:rPr>
        </w:r>
        <w:r w:rsidR="00EA5D40" w:rsidRPr="00BE7D91">
          <w:rPr>
            <w:webHidden/>
          </w:rPr>
          <w:fldChar w:fldCharType="separate"/>
        </w:r>
        <w:r w:rsidR="002E4BB8" w:rsidRPr="00BE7D91">
          <w:rPr>
            <w:webHidden/>
          </w:rPr>
          <w:t>6</w:t>
        </w:r>
        <w:r w:rsidR="00EA5D40" w:rsidRPr="00BE7D91">
          <w:rPr>
            <w:webHidden/>
          </w:rPr>
          <w:fldChar w:fldCharType="end"/>
        </w:r>
      </w:hyperlink>
    </w:p>
    <w:p w:rsidR="00EA5D40" w:rsidRPr="005F5EE2" w:rsidRDefault="002C253B" w:rsidP="00D374DE">
      <w:pPr>
        <w:pStyle w:val="TOC3"/>
        <w:rPr>
          <w:rFonts w:asciiTheme="minorHAnsi" w:eastAsiaTheme="minorEastAsia" w:hAnsiTheme="minorHAnsi" w:cstheme="minorBidi"/>
          <w:lang w:eastAsia="fr-CH"/>
        </w:rPr>
      </w:pPr>
      <w:hyperlink w:anchor="_Toc84588284" w:history="1">
        <w:r w:rsidR="00EA5D40" w:rsidRPr="005F5EE2">
          <w:rPr>
            <w:rStyle w:val="Hyperlink"/>
            <w:color w:val="auto"/>
          </w:rPr>
          <w:t>Documents TGP</w:t>
        </w:r>
        <w:r w:rsidR="00EA5D40" w:rsidRPr="005F5EE2">
          <w:rPr>
            <w:webHidden/>
          </w:rPr>
          <w:tab/>
        </w:r>
        <w:r w:rsidR="00EA5D40" w:rsidRPr="005F5EE2">
          <w:rPr>
            <w:webHidden/>
          </w:rPr>
          <w:fldChar w:fldCharType="begin"/>
        </w:r>
        <w:r w:rsidR="00EA5D40" w:rsidRPr="005F5EE2">
          <w:rPr>
            <w:webHidden/>
          </w:rPr>
          <w:instrText xml:space="preserve"> PAGEREF _Toc84588284 \h </w:instrText>
        </w:r>
        <w:r w:rsidR="00EA5D40" w:rsidRPr="005F5EE2">
          <w:rPr>
            <w:webHidden/>
          </w:rPr>
        </w:r>
        <w:r w:rsidR="00EA5D40" w:rsidRPr="005F5EE2">
          <w:rPr>
            <w:webHidden/>
          </w:rPr>
          <w:fldChar w:fldCharType="separate"/>
        </w:r>
        <w:r w:rsidR="002E4BB8" w:rsidRPr="005F5EE2">
          <w:rPr>
            <w:webHidden/>
          </w:rPr>
          <w:t>6</w:t>
        </w:r>
        <w:r w:rsidR="00EA5D40" w:rsidRPr="005F5EE2">
          <w:rPr>
            <w:webHidden/>
          </w:rPr>
          <w:fldChar w:fldCharType="end"/>
        </w:r>
      </w:hyperlink>
    </w:p>
    <w:p w:rsidR="00EA5D40" w:rsidRPr="005F5EE2" w:rsidRDefault="002C253B" w:rsidP="00BE7D91">
      <w:pPr>
        <w:pStyle w:val="TOC4"/>
        <w:rPr>
          <w:rFonts w:asciiTheme="minorHAnsi" w:eastAsiaTheme="minorEastAsia" w:hAnsiTheme="minorHAnsi" w:cstheme="minorBidi"/>
          <w:lang w:eastAsia="fr-CH"/>
        </w:rPr>
      </w:pPr>
      <w:hyperlink w:anchor="_Toc84588285" w:history="1">
        <w:r w:rsidR="00EA5D40" w:rsidRPr="005F5EE2">
          <w:rPr>
            <w:rStyle w:val="Hyperlink"/>
            <w:color w:val="auto"/>
            <w:szCs w:val="18"/>
          </w:rPr>
          <w:t>TGP/5 : Expérience et coopération en matière d’examen DHS, Section 2 : Formulaire type de l’UPOV pour la demande de protection d’une obtention végétale (révision) (document TGP/5 Section 2/4 Draft 1)</w:t>
        </w:r>
        <w:r w:rsidR="00EA5D40" w:rsidRPr="005F5EE2">
          <w:rPr>
            <w:webHidden/>
          </w:rPr>
          <w:tab/>
        </w:r>
        <w:r w:rsidR="00EA5D40" w:rsidRPr="005F5EE2">
          <w:rPr>
            <w:webHidden/>
          </w:rPr>
          <w:fldChar w:fldCharType="begin"/>
        </w:r>
        <w:r w:rsidR="00EA5D40" w:rsidRPr="005F5EE2">
          <w:rPr>
            <w:webHidden/>
          </w:rPr>
          <w:instrText xml:space="preserve"> PAGEREF _Toc84588285 \h </w:instrText>
        </w:r>
        <w:r w:rsidR="00EA5D40" w:rsidRPr="005F5EE2">
          <w:rPr>
            <w:webHidden/>
          </w:rPr>
        </w:r>
        <w:r w:rsidR="00EA5D40" w:rsidRPr="005F5EE2">
          <w:rPr>
            <w:webHidden/>
          </w:rPr>
          <w:fldChar w:fldCharType="separate"/>
        </w:r>
        <w:r w:rsidR="002E4BB8" w:rsidRPr="005F5EE2">
          <w:rPr>
            <w:webHidden/>
          </w:rPr>
          <w:t>6</w:t>
        </w:r>
        <w:r w:rsidR="00EA5D40" w:rsidRPr="005F5EE2">
          <w:rPr>
            <w:webHidden/>
          </w:rPr>
          <w:fldChar w:fldCharType="end"/>
        </w:r>
      </w:hyperlink>
    </w:p>
    <w:p w:rsidR="00EA5D40" w:rsidRPr="005F5EE2" w:rsidRDefault="002C253B" w:rsidP="00BE7D91">
      <w:pPr>
        <w:pStyle w:val="TOC4"/>
        <w:rPr>
          <w:rFonts w:asciiTheme="minorHAnsi" w:eastAsiaTheme="minorEastAsia" w:hAnsiTheme="minorHAnsi" w:cstheme="minorBidi"/>
          <w:lang w:eastAsia="fr-CH"/>
        </w:rPr>
      </w:pPr>
      <w:hyperlink w:anchor="_Toc84588286" w:history="1">
        <w:r w:rsidR="00EA5D40" w:rsidRPr="005F5EE2">
          <w:rPr>
            <w:rStyle w:val="Hyperlink"/>
            <w:color w:val="auto"/>
            <w:szCs w:val="18"/>
          </w:rPr>
          <w:t>TGP/0 : Liste des documents TGP et date de la version la plus récente de ces documents (révision) (document TGP/0/13 Draft 1)</w:t>
        </w:r>
        <w:r w:rsidR="00EA5D40" w:rsidRPr="005F5EE2">
          <w:rPr>
            <w:webHidden/>
          </w:rPr>
          <w:tab/>
        </w:r>
        <w:r w:rsidR="00EA5D40" w:rsidRPr="005F5EE2">
          <w:rPr>
            <w:webHidden/>
          </w:rPr>
          <w:fldChar w:fldCharType="begin"/>
        </w:r>
        <w:r w:rsidR="00EA5D40" w:rsidRPr="005F5EE2">
          <w:rPr>
            <w:webHidden/>
          </w:rPr>
          <w:instrText xml:space="preserve"> PAGEREF _Toc84588286 \h </w:instrText>
        </w:r>
        <w:r w:rsidR="00EA5D40" w:rsidRPr="005F5EE2">
          <w:rPr>
            <w:webHidden/>
          </w:rPr>
        </w:r>
        <w:r w:rsidR="00EA5D40" w:rsidRPr="005F5EE2">
          <w:rPr>
            <w:webHidden/>
          </w:rPr>
          <w:fldChar w:fldCharType="separate"/>
        </w:r>
        <w:r w:rsidR="002E4BB8" w:rsidRPr="005F5EE2">
          <w:rPr>
            <w:webHidden/>
          </w:rPr>
          <w:t>6</w:t>
        </w:r>
        <w:r w:rsidR="00EA5D40" w:rsidRPr="005F5EE2">
          <w:rPr>
            <w:webHidden/>
          </w:rPr>
          <w:fldChar w:fldCharType="end"/>
        </w:r>
      </w:hyperlink>
    </w:p>
    <w:p w:rsidR="00EA5D40" w:rsidRPr="005F5EE2" w:rsidRDefault="002C253B" w:rsidP="00BE7D91">
      <w:pPr>
        <w:pStyle w:val="TOC1"/>
        <w:rPr>
          <w:rFonts w:asciiTheme="minorHAnsi" w:eastAsiaTheme="minorEastAsia" w:hAnsiTheme="minorHAnsi" w:cstheme="minorBidi"/>
          <w:lang w:eastAsia="fr-CH"/>
        </w:rPr>
      </w:pPr>
      <w:hyperlink w:anchor="_Toc84588287" w:history="1">
        <w:r w:rsidR="00EA5D40" w:rsidRPr="005F5EE2">
          <w:rPr>
            <w:rStyle w:val="Hyperlink"/>
            <w:snapToGrid w:val="0"/>
            <w:color w:val="auto"/>
            <w:sz w:val="18"/>
            <w:szCs w:val="18"/>
            <w:lang w:val="fr-CH"/>
          </w:rPr>
          <w:t>Point 9 de l’ordre du jour : États financiers pour 2020 (document C/55/5)</w:t>
        </w:r>
        <w:r w:rsidR="00EA5D40" w:rsidRPr="005F5EE2">
          <w:rPr>
            <w:webHidden/>
          </w:rPr>
          <w:tab/>
        </w:r>
        <w:r w:rsidR="00EA5D40" w:rsidRPr="005F5EE2">
          <w:rPr>
            <w:webHidden/>
          </w:rPr>
          <w:fldChar w:fldCharType="begin"/>
        </w:r>
        <w:r w:rsidR="00EA5D40" w:rsidRPr="005F5EE2">
          <w:rPr>
            <w:webHidden/>
          </w:rPr>
          <w:instrText xml:space="preserve"> PAGEREF _Toc84588287 \h </w:instrText>
        </w:r>
        <w:r w:rsidR="00EA5D40" w:rsidRPr="005F5EE2">
          <w:rPr>
            <w:webHidden/>
          </w:rPr>
        </w:r>
        <w:r w:rsidR="00EA5D40" w:rsidRPr="005F5EE2">
          <w:rPr>
            <w:webHidden/>
          </w:rPr>
          <w:fldChar w:fldCharType="separate"/>
        </w:r>
        <w:r w:rsidR="002E4BB8" w:rsidRPr="005F5EE2">
          <w:rPr>
            <w:webHidden/>
          </w:rPr>
          <w:t>6</w:t>
        </w:r>
        <w:r w:rsidR="00EA5D40" w:rsidRPr="005F5EE2">
          <w:rPr>
            <w:webHidden/>
          </w:rPr>
          <w:fldChar w:fldCharType="end"/>
        </w:r>
      </w:hyperlink>
    </w:p>
    <w:p w:rsidR="00EA5D40" w:rsidRPr="005F5EE2" w:rsidRDefault="002C253B" w:rsidP="00BE7D91">
      <w:pPr>
        <w:pStyle w:val="TOC1"/>
        <w:rPr>
          <w:rFonts w:asciiTheme="minorHAnsi" w:eastAsiaTheme="minorEastAsia" w:hAnsiTheme="minorHAnsi" w:cstheme="minorBidi"/>
          <w:lang w:eastAsia="fr-CH"/>
        </w:rPr>
      </w:pPr>
      <w:hyperlink w:anchor="_Toc84588288" w:history="1">
        <w:r w:rsidR="00EA5D40" w:rsidRPr="005F5EE2">
          <w:rPr>
            <w:rStyle w:val="Hyperlink"/>
            <w:color w:val="auto"/>
            <w:sz w:val="18"/>
            <w:szCs w:val="18"/>
            <w:lang w:val="fr-CH"/>
          </w:rPr>
          <w:t>Point 11 de l’ordre du jour : Rapport du vérificateur externe des comptes (document C/55/6)</w:t>
        </w:r>
        <w:r w:rsidR="00EA5D40" w:rsidRPr="005F5EE2">
          <w:rPr>
            <w:webHidden/>
          </w:rPr>
          <w:tab/>
        </w:r>
        <w:r w:rsidR="00EA5D40" w:rsidRPr="005F5EE2">
          <w:rPr>
            <w:webHidden/>
          </w:rPr>
          <w:fldChar w:fldCharType="begin"/>
        </w:r>
        <w:r w:rsidR="00EA5D40" w:rsidRPr="005F5EE2">
          <w:rPr>
            <w:webHidden/>
          </w:rPr>
          <w:instrText xml:space="preserve"> PAGEREF _Toc84588288 \h </w:instrText>
        </w:r>
        <w:r w:rsidR="00EA5D40" w:rsidRPr="005F5EE2">
          <w:rPr>
            <w:webHidden/>
          </w:rPr>
        </w:r>
        <w:r w:rsidR="00EA5D40" w:rsidRPr="005F5EE2">
          <w:rPr>
            <w:webHidden/>
          </w:rPr>
          <w:fldChar w:fldCharType="separate"/>
        </w:r>
        <w:r w:rsidR="002E4BB8" w:rsidRPr="005F5EE2">
          <w:rPr>
            <w:webHidden/>
          </w:rPr>
          <w:t>6</w:t>
        </w:r>
        <w:r w:rsidR="00EA5D40" w:rsidRPr="005F5EE2">
          <w:rPr>
            <w:webHidden/>
          </w:rPr>
          <w:fldChar w:fldCharType="end"/>
        </w:r>
      </w:hyperlink>
    </w:p>
    <w:p w:rsidR="00EA5D40" w:rsidRPr="005F5EE2" w:rsidRDefault="002C253B" w:rsidP="00D374DE">
      <w:pPr>
        <w:pStyle w:val="TOC2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4588289" w:history="1">
        <w:r w:rsidR="00EA5D40" w:rsidRPr="005F5EE2">
          <w:rPr>
            <w:rStyle w:val="Hyperlink"/>
            <w:smallCaps w:val="0"/>
            <w:noProof/>
            <w:color w:val="auto"/>
            <w:sz w:val="18"/>
            <w:szCs w:val="18"/>
            <w:lang w:val="fr-CH" w:eastAsia="zh-CN"/>
          </w:rPr>
          <w:t>Observations de l’Union européenne</w:t>
        </w:r>
        <w:r w:rsidR="00EA5D40" w:rsidRPr="005F5EE2">
          <w:rPr>
            <w:noProof/>
            <w:webHidden/>
          </w:rPr>
          <w:tab/>
        </w:r>
        <w:r w:rsidR="00EA5D40" w:rsidRPr="005F5EE2">
          <w:rPr>
            <w:noProof/>
            <w:webHidden/>
          </w:rPr>
          <w:fldChar w:fldCharType="begin"/>
        </w:r>
        <w:r w:rsidR="00EA5D40" w:rsidRPr="005F5EE2">
          <w:rPr>
            <w:noProof/>
            <w:webHidden/>
          </w:rPr>
          <w:instrText xml:space="preserve"> PAGEREF _Toc84588289 \h </w:instrText>
        </w:r>
        <w:r w:rsidR="00EA5D40" w:rsidRPr="005F5EE2">
          <w:rPr>
            <w:noProof/>
            <w:webHidden/>
          </w:rPr>
        </w:r>
        <w:r w:rsidR="00EA5D40" w:rsidRPr="005F5EE2">
          <w:rPr>
            <w:noProof/>
            <w:webHidden/>
          </w:rPr>
          <w:fldChar w:fldCharType="separate"/>
        </w:r>
        <w:r w:rsidR="002E4BB8" w:rsidRPr="005F5EE2">
          <w:rPr>
            <w:noProof/>
            <w:webHidden/>
          </w:rPr>
          <w:t>6</w:t>
        </w:r>
        <w:r w:rsidR="00EA5D40" w:rsidRPr="005F5EE2">
          <w:rPr>
            <w:noProof/>
            <w:webHidden/>
          </w:rPr>
          <w:fldChar w:fldCharType="end"/>
        </w:r>
      </w:hyperlink>
    </w:p>
    <w:p w:rsidR="00EA5D40" w:rsidRPr="005F5EE2" w:rsidRDefault="002C253B" w:rsidP="00D374DE">
      <w:pPr>
        <w:pStyle w:val="TOC2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4588290" w:history="1">
        <w:r w:rsidR="00EA5D40" w:rsidRPr="005F5EE2">
          <w:rPr>
            <w:rStyle w:val="Hyperlink"/>
            <w:smallCaps w:val="0"/>
            <w:noProof/>
            <w:color w:val="auto"/>
            <w:sz w:val="18"/>
            <w:szCs w:val="18"/>
            <w:lang w:val="fr-CH" w:eastAsia="zh-CN"/>
          </w:rPr>
          <w:t>Observations de la Suisse</w:t>
        </w:r>
        <w:r w:rsidR="00EA5D40" w:rsidRPr="005F5EE2">
          <w:rPr>
            <w:noProof/>
            <w:webHidden/>
          </w:rPr>
          <w:tab/>
        </w:r>
        <w:r w:rsidR="00EA5D40" w:rsidRPr="005F5EE2">
          <w:rPr>
            <w:noProof/>
            <w:webHidden/>
          </w:rPr>
          <w:fldChar w:fldCharType="begin"/>
        </w:r>
        <w:r w:rsidR="00EA5D40" w:rsidRPr="005F5EE2">
          <w:rPr>
            <w:noProof/>
            <w:webHidden/>
          </w:rPr>
          <w:instrText xml:space="preserve"> PAGEREF _Toc84588290 \h </w:instrText>
        </w:r>
        <w:r w:rsidR="00EA5D40" w:rsidRPr="005F5EE2">
          <w:rPr>
            <w:noProof/>
            <w:webHidden/>
          </w:rPr>
        </w:r>
        <w:r w:rsidR="00EA5D40" w:rsidRPr="005F5EE2">
          <w:rPr>
            <w:noProof/>
            <w:webHidden/>
          </w:rPr>
          <w:fldChar w:fldCharType="separate"/>
        </w:r>
        <w:r w:rsidR="002E4BB8" w:rsidRPr="005F5EE2">
          <w:rPr>
            <w:noProof/>
            <w:webHidden/>
          </w:rPr>
          <w:t>6</w:t>
        </w:r>
        <w:r w:rsidR="00EA5D40" w:rsidRPr="005F5EE2">
          <w:rPr>
            <w:noProof/>
            <w:webHidden/>
          </w:rPr>
          <w:fldChar w:fldCharType="end"/>
        </w:r>
      </w:hyperlink>
    </w:p>
    <w:p w:rsidR="00EA5D40" w:rsidRPr="005F5EE2" w:rsidRDefault="002C253B" w:rsidP="00BE7D91">
      <w:pPr>
        <w:pStyle w:val="TOC1"/>
        <w:rPr>
          <w:rFonts w:asciiTheme="minorHAnsi" w:eastAsiaTheme="minorEastAsia" w:hAnsiTheme="minorHAnsi" w:cstheme="minorBidi"/>
          <w:lang w:eastAsia="fr-CH"/>
        </w:rPr>
      </w:pPr>
      <w:hyperlink w:anchor="_Toc84588291" w:history="1">
        <w:r w:rsidR="00EA5D40" w:rsidRPr="005F5EE2">
          <w:rPr>
            <w:rStyle w:val="Hyperlink"/>
            <w:color w:val="auto"/>
            <w:sz w:val="18"/>
            <w:szCs w:val="18"/>
            <w:lang w:val="fr-CH"/>
          </w:rPr>
          <w:t>Point 13 de l’ordre du jour : Projet de programme et budget pour l’exercice biennal 2022-2023 (document C/55/4)</w:t>
        </w:r>
        <w:r w:rsidR="00EA5D40" w:rsidRPr="005F5EE2">
          <w:rPr>
            <w:webHidden/>
          </w:rPr>
          <w:tab/>
        </w:r>
        <w:r w:rsidR="00EA5D40" w:rsidRPr="005F5EE2">
          <w:rPr>
            <w:webHidden/>
          </w:rPr>
          <w:fldChar w:fldCharType="begin"/>
        </w:r>
        <w:r w:rsidR="00EA5D40" w:rsidRPr="005F5EE2">
          <w:rPr>
            <w:webHidden/>
          </w:rPr>
          <w:instrText xml:space="preserve"> PAGEREF _Toc84588291 \h </w:instrText>
        </w:r>
        <w:r w:rsidR="00EA5D40" w:rsidRPr="005F5EE2">
          <w:rPr>
            <w:webHidden/>
          </w:rPr>
        </w:r>
        <w:r w:rsidR="00EA5D40" w:rsidRPr="005F5EE2">
          <w:rPr>
            <w:webHidden/>
          </w:rPr>
          <w:fldChar w:fldCharType="separate"/>
        </w:r>
        <w:r w:rsidR="002E4BB8" w:rsidRPr="005F5EE2">
          <w:rPr>
            <w:webHidden/>
          </w:rPr>
          <w:t>7</w:t>
        </w:r>
        <w:r w:rsidR="00EA5D40" w:rsidRPr="005F5EE2">
          <w:rPr>
            <w:webHidden/>
          </w:rPr>
          <w:fldChar w:fldCharType="end"/>
        </w:r>
      </w:hyperlink>
    </w:p>
    <w:p w:rsidR="00EA5D40" w:rsidRPr="005F5EE2" w:rsidRDefault="002C253B" w:rsidP="00D374D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84588292" w:history="1">
        <w:r w:rsidR="00EA5D40" w:rsidRPr="005F5EE2">
          <w:rPr>
            <w:rStyle w:val="Hyperlink"/>
            <w:smallCaps w:val="0"/>
            <w:noProof/>
            <w:color w:val="auto"/>
            <w:sz w:val="18"/>
            <w:szCs w:val="18"/>
            <w:lang w:val="fr-CH"/>
          </w:rPr>
          <w:t>Observations de l’Union européenne</w:t>
        </w:r>
        <w:r w:rsidR="00EA5D40" w:rsidRPr="005F5EE2">
          <w:rPr>
            <w:noProof/>
            <w:webHidden/>
          </w:rPr>
          <w:tab/>
        </w:r>
        <w:r w:rsidR="00EA5D40" w:rsidRPr="005F5EE2">
          <w:rPr>
            <w:noProof/>
            <w:webHidden/>
          </w:rPr>
          <w:fldChar w:fldCharType="begin"/>
        </w:r>
        <w:r w:rsidR="00EA5D40" w:rsidRPr="005F5EE2">
          <w:rPr>
            <w:noProof/>
            <w:webHidden/>
          </w:rPr>
          <w:instrText xml:space="preserve"> PAGEREF _Toc84588292 \h </w:instrText>
        </w:r>
        <w:r w:rsidR="00EA5D40" w:rsidRPr="005F5EE2">
          <w:rPr>
            <w:noProof/>
            <w:webHidden/>
          </w:rPr>
        </w:r>
        <w:r w:rsidR="00EA5D40" w:rsidRPr="005F5EE2">
          <w:rPr>
            <w:noProof/>
            <w:webHidden/>
          </w:rPr>
          <w:fldChar w:fldCharType="separate"/>
        </w:r>
        <w:r w:rsidR="002E4BB8" w:rsidRPr="005F5EE2">
          <w:rPr>
            <w:noProof/>
            <w:webHidden/>
          </w:rPr>
          <w:t>7</w:t>
        </w:r>
        <w:r w:rsidR="00EA5D40" w:rsidRPr="005F5EE2">
          <w:rPr>
            <w:noProof/>
            <w:webHidden/>
          </w:rPr>
          <w:fldChar w:fldCharType="end"/>
        </w:r>
      </w:hyperlink>
    </w:p>
    <w:p w:rsidR="00275C16" w:rsidRPr="005F5EE2" w:rsidRDefault="005907AC" w:rsidP="005907AC">
      <w:pPr>
        <w:rPr>
          <w:sz w:val="12"/>
        </w:rPr>
      </w:pPr>
      <w:r w:rsidRPr="005F5EE2">
        <w:rPr>
          <w:rFonts w:cs="Arial"/>
          <w:bCs/>
          <w:caps/>
          <w:noProof/>
          <w:snapToGrid w:val="0"/>
          <w:highlight w:val="yellow"/>
        </w:rPr>
        <w:fldChar w:fldCharType="end"/>
      </w:r>
      <w:bookmarkStart w:id="0" w:name="_Toc41475411"/>
      <w:bookmarkStart w:id="1" w:name="_Toc54004062"/>
    </w:p>
    <w:p w:rsidR="00275C16" w:rsidRPr="005F5EE2" w:rsidRDefault="00275C16" w:rsidP="005907AC">
      <w:pPr>
        <w:rPr>
          <w:sz w:val="12"/>
        </w:rPr>
      </w:pPr>
    </w:p>
    <w:p w:rsidR="00275C16" w:rsidRPr="005F5EE2" w:rsidRDefault="00275C16" w:rsidP="005907AC">
      <w:pPr>
        <w:rPr>
          <w:sz w:val="12"/>
        </w:rPr>
      </w:pPr>
    </w:p>
    <w:p w:rsidR="00275C16" w:rsidRPr="005F5EE2" w:rsidRDefault="00A32E60" w:rsidP="00A32E60">
      <w:pPr>
        <w:pStyle w:val="Heading1"/>
        <w:rPr>
          <w:lang w:val="fr-CH"/>
        </w:rPr>
      </w:pPr>
      <w:bookmarkStart w:id="2" w:name="_Toc84588272"/>
      <w:bookmarkEnd w:id="0"/>
      <w:bookmarkEnd w:id="1"/>
      <w:r w:rsidRPr="005F5EE2">
        <w:rPr>
          <w:lang w:val="fr-CH"/>
        </w:rPr>
        <w:t>RAPPEL</w:t>
      </w:r>
      <w:bookmarkEnd w:id="2"/>
    </w:p>
    <w:p w:rsidR="00275C16" w:rsidRPr="005F5EE2" w:rsidRDefault="00275C16" w:rsidP="005907AC">
      <w:pPr>
        <w:keepNext/>
        <w:jc w:val="left"/>
        <w:rPr>
          <w:sz w:val="18"/>
          <w:lang w:val="fr-CH"/>
        </w:rPr>
      </w:pPr>
    </w:p>
    <w:p w:rsidR="00275C16" w:rsidRPr="005F5EE2" w:rsidRDefault="005907AC" w:rsidP="00DC0CE8">
      <w:pPr>
        <w:keepLines/>
        <w:rPr>
          <w:rFonts w:cs="Arial"/>
          <w:lang w:val="fr-CH"/>
        </w:rPr>
      </w:pPr>
      <w:r w:rsidRPr="005F5EE2">
        <w:rPr>
          <w:rFonts w:cs="Arial"/>
        </w:rPr>
        <w:fldChar w:fldCharType="begin"/>
      </w:r>
      <w:r w:rsidRPr="005F5EE2">
        <w:rPr>
          <w:rFonts w:cs="Arial"/>
          <w:lang w:val="fr-CH"/>
        </w:rPr>
        <w:instrText xml:space="preserve"> AUTONUM  </w:instrText>
      </w:r>
      <w:r w:rsidRPr="005F5EE2">
        <w:rPr>
          <w:rFonts w:cs="Arial"/>
        </w:rPr>
        <w:fldChar w:fldCharType="end"/>
      </w:r>
      <w:r w:rsidRPr="005F5EE2">
        <w:rPr>
          <w:rFonts w:cs="Arial"/>
          <w:lang w:val="fr-CH"/>
        </w:rPr>
        <w:tab/>
      </w:r>
      <w:r w:rsidR="00A32E60" w:rsidRPr="005F5EE2">
        <w:rPr>
          <w:rFonts w:cs="Arial"/>
          <w:lang w:val="fr-CH"/>
        </w:rPr>
        <w:t>Le Conseil a adopté la procédure relative aux sessions de l</w:t>
      </w:r>
      <w:r w:rsidR="007D6DCE" w:rsidRPr="005F5EE2">
        <w:rPr>
          <w:rFonts w:cs="Arial"/>
          <w:lang w:val="fr-CH"/>
        </w:rPr>
        <w:t>’</w:t>
      </w:r>
      <w:r w:rsidR="00A32E60" w:rsidRPr="005F5EE2">
        <w:rPr>
          <w:rFonts w:cs="Arial"/>
          <w:lang w:val="fr-CH"/>
        </w:rPr>
        <w:t xml:space="preserve">UPOV en </w:t>
      </w:r>
      <w:r w:rsidR="007D6DCE" w:rsidRPr="005F5EE2">
        <w:rPr>
          <w:rFonts w:cs="Arial"/>
          <w:lang w:val="fr-CH"/>
        </w:rPr>
        <w:t>octobre 20</w:t>
      </w:r>
      <w:r w:rsidR="00A32E60" w:rsidRPr="005F5EE2">
        <w:rPr>
          <w:rFonts w:cs="Arial"/>
          <w:lang w:val="fr-CH"/>
        </w:rPr>
        <w:t>21, conformément à la circulaire</w:t>
      </w:r>
      <w:r w:rsidR="00625CBD" w:rsidRPr="005F5EE2">
        <w:rPr>
          <w:rFonts w:cs="Arial"/>
          <w:lang w:val="fr-CH"/>
        </w:rPr>
        <w:t> </w:t>
      </w:r>
      <w:r w:rsidR="00A32E60" w:rsidRPr="005F5EE2">
        <w:rPr>
          <w:rFonts w:cs="Arial"/>
          <w:lang w:val="fr-CH"/>
        </w:rPr>
        <w:t>E</w:t>
      </w:r>
      <w:r w:rsidR="007D6DCE" w:rsidRPr="005F5EE2">
        <w:rPr>
          <w:rFonts w:cs="Arial"/>
          <w:lang w:val="fr-CH"/>
        </w:rPr>
        <w:t>-</w:t>
      </w:r>
      <w:r w:rsidR="00A32E60" w:rsidRPr="005F5EE2">
        <w:rPr>
          <w:rFonts w:cs="Arial"/>
          <w:lang w:val="fr-CH"/>
        </w:rPr>
        <w:t>21/063 du 1</w:t>
      </w:r>
      <w:r w:rsidR="007D6DCE" w:rsidRPr="005F5EE2">
        <w:rPr>
          <w:rFonts w:cs="Arial"/>
          <w:lang w:val="fr-CH"/>
        </w:rPr>
        <w:t>4 mai 20</w:t>
      </w:r>
      <w:r w:rsidR="00A32E60" w:rsidRPr="005F5EE2">
        <w:rPr>
          <w:rFonts w:cs="Arial"/>
          <w:lang w:val="fr-CH"/>
        </w:rPr>
        <w:t xml:space="preserve">21 (disponible sur la </w:t>
      </w:r>
      <w:r w:rsidR="007D6DCE" w:rsidRPr="005F5EE2">
        <w:rPr>
          <w:rFonts w:cs="Arial"/>
          <w:lang w:val="fr-CH"/>
        </w:rPr>
        <w:t>page W</w:t>
      </w:r>
      <w:r w:rsidR="00A32E60" w:rsidRPr="005F5EE2">
        <w:rPr>
          <w:rFonts w:cs="Arial"/>
          <w:lang w:val="fr-CH"/>
        </w:rPr>
        <w:t xml:space="preserve">eb de la </w:t>
      </w:r>
      <w:hyperlink r:id="rId8" w:history="1">
        <w:r w:rsidR="00A32E60" w:rsidRPr="00BE7D91">
          <w:rPr>
            <w:rStyle w:val="Hyperlink"/>
          </w:rPr>
          <w:t>cinquante</w:t>
        </w:r>
        <w:r w:rsidR="007D6DCE" w:rsidRPr="00BE7D91">
          <w:rPr>
            <w:rStyle w:val="Hyperlink"/>
          </w:rPr>
          <w:t>-</w:t>
        </w:r>
        <w:r w:rsidR="00A32E60" w:rsidRPr="00BE7D91">
          <w:rPr>
            <w:rStyle w:val="Hyperlink"/>
          </w:rPr>
          <w:t>cinqu</w:t>
        </w:r>
        <w:r w:rsidR="007D6DCE" w:rsidRPr="00BE7D91">
          <w:rPr>
            <w:rStyle w:val="Hyperlink"/>
          </w:rPr>
          <w:t>ième session</w:t>
        </w:r>
        <w:r w:rsidR="00A32E60" w:rsidRPr="00BE7D91">
          <w:rPr>
            <w:rStyle w:val="Hyperlink"/>
          </w:rPr>
          <w:t xml:space="preserve"> du Conseil</w:t>
        </w:r>
      </w:hyperlink>
      <w:r w:rsidR="00A32E60" w:rsidRPr="005F5EE2">
        <w:rPr>
          <w:rFonts w:cs="Arial"/>
          <w:lang w:val="fr-CH"/>
        </w:rPr>
        <w:t>).</w:t>
      </w:r>
      <w:r w:rsidRPr="005F5EE2">
        <w:rPr>
          <w:lang w:val="fr-CH"/>
        </w:rPr>
        <w:t xml:space="preserve">  </w:t>
      </w:r>
      <w:r w:rsidR="00DC0CE8" w:rsidRPr="005F5EE2">
        <w:rPr>
          <w:rFonts w:cs="Arial"/>
          <w:lang w:val="fr-CH"/>
        </w:rPr>
        <w:t>La cinquante</w:t>
      </w:r>
      <w:r w:rsidR="007D6DCE" w:rsidRPr="005F5EE2">
        <w:rPr>
          <w:rFonts w:cs="Arial"/>
          <w:lang w:val="fr-CH"/>
        </w:rPr>
        <w:t>-</w:t>
      </w:r>
      <w:r w:rsidR="00DC0CE8" w:rsidRPr="005F5EE2">
        <w:rPr>
          <w:rFonts w:cs="Arial"/>
          <w:lang w:val="fr-CH"/>
        </w:rPr>
        <w:t>cinqu</w:t>
      </w:r>
      <w:r w:rsidR="007D6DCE" w:rsidRPr="005F5EE2">
        <w:rPr>
          <w:rFonts w:cs="Arial"/>
          <w:lang w:val="fr-CH"/>
        </w:rPr>
        <w:t>ième session</w:t>
      </w:r>
      <w:r w:rsidR="00DC0CE8" w:rsidRPr="005F5EE2">
        <w:rPr>
          <w:rFonts w:cs="Arial"/>
          <w:lang w:val="fr-CH"/>
        </w:rPr>
        <w:t xml:space="preserve"> ordinaire du Conseil (C/55) se tiendra le 2</w:t>
      </w:r>
      <w:r w:rsidR="007D6DCE" w:rsidRPr="005F5EE2">
        <w:rPr>
          <w:rFonts w:cs="Arial"/>
          <w:lang w:val="fr-CH"/>
        </w:rPr>
        <w:t>9 octobre 20</w:t>
      </w:r>
      <w:r w:rsidR="00DC0CE8" w:rsidRPr="005F5EE2">
        <w:rPr>
          <w:rFonts w:cs="Arial"/>
          <w:lang w:val="fr-CH"/>
        </w:rPr>
        <w:t>21 par des moyens électroniques (voir la circulaire d</w:t>
      </w:r>
      <w:r w:rsidR="007D6DCE" w:rsidRPr="005F5EE2">
        <w:rPr>
          <w:rFonts w:cs="Arial"/>
          <w:lang w:val="fr-CH"/>
        </w:rPr>
        <w:t>’</w:t>
      </w:r>
      <w:r w:rsidR="00DC0CE8" w:rsidRPr="005F5EE2">
        <w:rPr>
          <w:rFonts w:cs="Arial"/>
          <w:lang w:val="fr-CH"/>
        </w:rPr>
        <w:t>invitation</w:t>
      </w:r>
      <w:r w:rsidR="00625CBD" w:rsidRPr="005F5EE2">
        <w:rPr>
          <w:rFonts w:cs="Arial"/>
          <w:lang w:val="fr-CH"/>
        </w:rPr>
        <w:t> </w:t>
      </w:r>
      <w:r w:rsidR="00DC0CE8" w:rsidRPr="005F5EE2">
        <w:rPr>
          <w:rFonts w:cs="Arial"/>
          <w:lang w:val="fr-CH"/>
        </w:rPr>
        <w:t>E</w:t>
      </w:r>
      <w:r w:rsidR="007D6DCE" w:rsidRPr="005F5EE2">
        <w:rPr>
          <w:rFonts w:cs="Arial"/>
          <w:lang w:val="fr-CH"/>
        </w:rPr>
        <w:t>-</w:t>
      </w:r>
      <w:r w:rsidR="00DC0CE8" w:rsidRPr="005F5EE2">
        <w:rPr>
          <w:rFonts w:cs="Arial"/>
          <w:lang w:val="fr-CH"/>
        </w:rPr>
        <w:t>21/073 du 3</w:t>
      </w:r>
      <w:r w:rsidR="007D6DCE" w:rsidRPr="005F5EE2">
        <w:rPr>
          <w:rFonts w:cs="Arial"/>
          <w:lang w:val="fr-CH"/>
        </w:rPr>
        <w:t>1 mai 20</w:t>
      </w:r>
      <w:r w:rsidR="00DC0CE8" w:rsidRPr="005F5EE2">
        <w:rPr>
          <w:rFonts w:cs="Arial"/>
          <w:lang w:val="fr-CH"/>
        </w:rPr>
        <w:t>21), avec examen préalable de certains documents par correspondance.</w:t>
      </w:r>
    </w:p>
    <w:p w:rsidR="00275C16" w:rsidRPr="005F5EE2" w:rsidRDefault="00275C16" w:rsidP="005907AC">
      <w:pPr>
        <w:rPr>
          <w:rFonts w:cs="Arial"/>
          <w:sz w:val="16"/>
          <w:lang w:val="fr-CH"/>
        </w:rPr>
      </w:pPr>
    </w:p>
    <w:p w:rsidR="00275C16" w:rsidRPr="005F5EE2" w:rsidRDefault="005907AC" w:rsidP="00DC0CE8">
      <w:pPr>
        <w:keepNext/>
        <w:keepLines/>
        <w:rPr>
          <w:rFonts w:cs="Arial"/>
          <w:lang w:val="fr-CH"/>
        </w:rPr>
      </w:pPr>
      <w:r w:rsidRPr="005F5EE2">
        <w:rPr>
          <w:rFonts w:cs="Arial"/>
        </w:rPr>
        <w:lastRenderedPageBreak/>
        <w:fldChar w:fldCharType="begin"/>
      </w:r>
      <w:r w:rsidRPr="005F5EE2">
        <w:rPr>
          <w:rFonts w:cs="Arial"/>
          <w:lang w:val="fr-CH"/>
        </w:rPr>
        <w:instrText xml:space="preserve"> AUTONUM  </w:instrText>
      </w:r>
      <w:r w:rsidRPr="005F5EE2">
        <w:rPr>
          <w:rFonts w:cs="Arial"/>
        </w:rPr>
        <w:fldChar w:fldCharType="end"/>
      </w:r>
      <w:r w:rsidRPr="005F5EE2">
        <w:rPr>
          <w:rFonts w:cs="Arial"/>
          <w:lang w:val="fr-CH"/>
        </w:rPr>
        <w:tab/>
      </w:r>
      <w:r w:rsidR="00DC0CE8" w:rsidRPr="005F5EE2">
        <w:rPr>
          <w:rFonts w:cs="Arial"/>
          <w:lang w:val="fr-CH"/>
        </w:rPr>
        <w:t xml:space="preserve">En consultation avec le Président du Conseil, les documents </w:t>
      </w:r>
      <w:r w:rsidR="006A6B8C" w:rsidRPr="00B57FD2">
        <w:t>ci</w:t>
      </w:r>
      <w:r w:rsidR="006A6B8C">
        <w:noBreakHyphen/>
      </w:r>
      <w:r w:rsidR="006A6B8C" w:rsidRPr="00B57FD2">
        <w:t>après recensés dans</w:t>
      </w:r>
      <w:r w:rsidR="006A6B8C">
        <w:t xml:space="preserve"> la</w:t>
      </w:r>
      <w:r w:rsidR="00DC0CE8" w:rsidRPr="005F5EE2">
        <w:rPr>
          <w:rFonts w:cs="Arial"/>
          <w:lang w:val="fr-CH"/>
        </w:rPr>
        <w:t xml:space="preserve"> circulaire</w:t>
      </w:r>
      <w:r w:rsidR="00625CBD" w:rsidRPr="005F5EE2">
        <w:rPr>
          <w:rFonts w:cs="Arial"/>
          <w:lang w:val="fr-CH"/>
        </w:rPr>
        <w:t> </w:t>
      </w:r>
      <w:r w:rsidR="00DC0CE8" w:rsidRPr="005F5EE2">
        <w:rPr>
          <w:rFonts w:cs="Arial"/>
          <w:lang w:val="fr-CH"/>
        </w:rPr>
        <w:t>E</w:t>
      </w:r>
      <w:r w:rsidR="006A6B8C">
        <w:rPr>
          <w:rFonts w:cs="Arial"/>
          <w:lang w:val="fr-CH"/>
        </w:rPr>
        <w:noBreakHyphen/>
      </w:r>
      <w:r w:rsidR="00DC0CE8" w:rsidRPr="005F5EE2">
        <w:rPr>
          <w:rFonts w:cs="Arial"/>
          <w:lang w:val="fr-CH"/>
        </w:rPr>
        <w:t>21/089 du 1</w:t>
      </w:r>
      <w:r w:rsidR="007D6DCE" w:rsidRPr="005F5EE2">
        <w:rPr>
          <w:rFonts w:cs="Arial"/>
          <w:lang w:val="fr-CH"/>
        </w:rPr>
        <w:t>6 juin 20</w:t>
      </w:r>
      <w:r w:rsidR="00DC0CE8" w:rsidRPr="005F5EE2">
        <w:rPr>
          <w:rFonts w:cs="Arial"/>
          <w:lang w:val="fr-CH"/>
        </w:rPr>
        <w:t>21 ont été signalés dans le document</w:t>
      </w:r>
      <w:r w:rsidR="00625CBD" w:rsidRPr="005F5EE2">
        <w:rPr>
          <w:rFonts w:cs="Arial"/>
          <w:lang w:val="fr-CH"/>
        </w:rPr>
        <w:t> </w:t>
      </w:r>
      <w:r w:rsidR="00DC0CE8" w:rsidRPr="005F5EE2">
        <w:rPr>
          <w:rFonts w:cs="Arial"/>
          <w:lang w:val="fr-CH"/>
        </w:rPr>
        <w:t>C/55/1 (Projet d</w:t>
      </w:r>
      <w:r w:rsidR="007D6DCE" w:rsidRPr="005F5EE2">
        <w:rPr>
          <w:rFonts w:cs="Arial"/>
          <w:lang w:val="fr-CH"/>
        </w:rPr>
        <w:t>’</w:t>
      </w:r>
      <w:r w:rsidR="00DC0CE8" w:rsidRPr="005F5EE2">
        <w:rPr>
          <w:rFonts w:cs="Arial"/>
          <w:lang w:val="fr-CH"/>
        </w:rPr>
        <w:t xml:space="preserve">ordre du jour) par un astérisque (*) </w:t>
      </w:r>
      <w:r w:rsidR="003952C4" w:rsidRPr="005F5EE2">
        <w:rPr>
          <w:rFonts w:cs="Arial"/>
          <w:lang w:val="fr-CH"/>
        </w:rPr>
        <w:t>en tant que</w:t>
      </w:r>
      <w:r w:rsidR="00DC0CE8" w:rsidRPr="005F5EE2">
        <w:rPr>
          <w:rFonts w:cs="Arial"/>
          <w:lang w:val="fr-CH"/>
        </w:rPr>
        <w:t xml:space="preserve"> documents </w:t>
      </w:r>
      <w:r w:rsidR="003952C4" w:rsidRPr="005F5EE2">
        <w:rPr>
          <w:rFonts w:cs="Arial"/>
          <w:lang w:val="fr-CH"/>
        </w:rPr>
        <w:t xml:space="preserve">destinés à </w:t>
      </w:r>
      <w:r w:rsidR="00DC0CE8" w:rsidRPr="005F5EE2">
        <w:rPr>
          <w:rFonts w:cs="Arial"/>
          <w:lang w:val="fr-CH"/>
        </w:rPr>
        <w:t>la procédure par correspondance avec la possibilité de formuler des observations d</w:t>
      </w:r>
      <w:r w:rsidR="007D6DCE" w:rsidRPr="005F5EE2">
        <w:rPr>
          <w:rFonts w:cs="Arial"/>
          <w:lang w:val="fr-CH"/>
        </w:rPr>
        <w:t>’</w:t>
      </w:r>
      <w:r w:rsidR="00DC0CE8" w:rsidRPr="005F5EE2">
        <w:rPr>
          <w:rFonts w:cs="Arial"/>
          <w:lang w:val="fr-CH"/>
        </w:rPr>
        <w:t>ici le 1</w:t>
      </w:r>
      <w:r w:rsidR="007D6DCE" w:rsidRPr="005F5EE2">
        <w:rPr>
          <w:rFonts w:cs="Arial"/>
          <w:lang w:val="fr-CH"/>
        </w:rPr>
        <w:t>5 juillet 20</w:t>
      </w:r>
      <w:r w:rsidR="00DC0CE8" w:rsidRPr="005F5EE2">
        <w:rPr>
          <w:rFonts w:cs="Arial"/>
          <w:lang w:val="fr-CH"/>
        </w:rPr>
        <w:t>21, avant les demandes d</w:t>
      </w:r>
      <w:r w:rsidR="007D6DCE" w:rsidRPr="005F5EE2">
        <w:rPr>
          <w:rFonts w:cs="Arial"/>
          <w:lang w:val="fr-CH"/>
        </w:rPr>
        <w:t>’</w:t>
      </w:r>
      <w:r w:rsidR="00DC0CE8" w:rsidRPr="005F5EE2">
        <w:rPr>
          <w:rFonts w:cs="Arial"/>
          <w:lang w:val="fr-CH"/>
        </w:rPr>
        <w:t>approbation des décisions proposées dans les documents</w:t>
      </w:r>
      <w:r w:rsidR="007D6DCE" w:rsidRPr="005F5EE2">
        <w:rPr>
          <w:rFonts w:cs="Arial"/>
          <w:lang w:val="fr-CH"/>
        </w:rPr>
        <w:t> :</w:t>
      </w:r>
    </w:p>
    <w:p w:rsidR="00275C16" w:rsidRPr="005F5EE2" w:rsidRDefault="00DC0CE8" w:rsidP="00DC0CE8">
      <w:pPr>
        <w:pStyle w:val="ListParagraph"/>
        <w:spacing w:before="100" w:after="80"/>
        <w:ind w:left="562"/>
        <w:contextualSpacing w:val="0"/>
        <w:rPr>
          <w:rFonts w:cs="Arial"/>
          <w:lang w:val="fr-CH"/>
        </w:rPr>
      </w:pPr>
      <w:r w:rsidRPr="005F5EE2">
        <w:rPr>
          <w:rFonts w:cs="Arial"/>
          <w:lang w:val="fr-CH"/>
        </w:rPr>
        <w:t>Adoption de documents (document</w:t>
      </w:r>
      <w:r w:rsidR="00625CBD" w:rsidRPr="005F5EE2">
        <w:rPr>
          <w:rFonts w:cs="Arial"/>
          <w:lang w:val="fr-CH"/>
        </w:rPr>
        <w:t> </w:t>
      </w:r>
      <w:r w:rsidRPr="005F5EE2">
        <w:rPr>
          <w:rFonts w:cs="Arial"/>
          <w:lang w:val="fr-CH"/>
        </w:rPr>
        <w:t>C/55/</w:t>
      </w:r>
      <w:proofErr w:type="gramStart"/>
      <w:r w:rsidRPr="005F5EE2">
        <w:rPr>
          <w:rFonts w:cs="Arial"/>
          <w:lang w:val="fr-CH"/>
        </w:rPr>
        <w:t>3)*</w:t>
      </w:r>
      <w:proofErr w:type="gramEnd"/>
    </w:p>
    <w:p w:rsidR="00275C16" w:rsidRPr="005F5EE2" w:rsidRDefault="00DC0CE8" w:rsidP="00DC0CE8">
      <w:pPr>
        <w:pStyle w:val="ListParagraph"/>
        <w:spacing w:after="60"/>
        <w:ind w:left="2837" w:hanging="1701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>UPOV/INF/6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="004011A9" w:rsidRPr="005F5EE2">
        <w:rPr>
          <w:rFonts w:cs="Angsana New"/>
          <w:szCs w:val="24"/>
          <w:lang w:val="fr-CH" w:eastAsia="ja-JP" w:bidi="th-TH"/>
        </w:rPr>
        <w:t xml:space="preserve"> </w:t>
      </w:r>
      <w:r w:rsidRPr="005F5EE2">
        <w:rPr>
          <w:lang w:val="fr-CH"/>
        </w:rPr>
        <w:tab/>
      </w:r>
      <w:r w:rsidRPr="005F5EE2">
        <w:rPr>
          <w:rFonts w:cs="Angsana New"/>
          <w:szCs w:val="24"/>
          <w:lang w:val="fr-CH" w:eastAsia="ja-JP" w:bidi="th-TH"/>
        </w:rPr>
        <w:t>Orientations en vue de la rédaction de lois fondées sur l</w:t>
      </w:r>
      <w:r w:rsidR="007D6DCE" w:rsidRPr="005F5EE2">
        <w:rPr>
          <w:rFonts w:cs="Angsana New"/>
          <w:szCs w:val="24"/>
          <w:lang w:val="fr-CH" w:eastAsia="ja-JP" w:bidi="th-TH"/>
        </w:rPr>
        <w:t>’</w:t>
      </w:r>
      <w:r w:rsidRPr="005F5EE2">
        <w:rPr>
          <w:rFonts w:cs="Angsana New"/>
          <w:szCs w:val="24"/>
          <w:lang w:val="fr-CH" w:eastAsia="ja-JP" w:bidi="th-TH"/>
        </w:rPr>
        <w:t xml:space="preserve">Acte </w:t>
      </w:r>
      <w:r w:rsidR="007D6DCE" w:rsidRPr="005F5EE2">
        <w:rPr>
          <w:rFonts w:cs="Angsana New"/>
          <w:szCs w:val="24"/>
          <w:lang w:val="fr-CH" w:eastAsia="ja-JP" w:bidi="th-TH"/>
        </w:rPr>
        <w:t>de 1991</w:t>
      </w:r>
      <w:r w:rsidRPr="005F5EE2">
        <w:rPr>
          <w:rFonts w:cs="Angsana New"/>
          <w:szCs w:val="24"/>
          <w:lang w:val="fr-CH" w:eastAsia="ja-JP" w:bidi="th-TH"/>
        </w:rPr>
        <w:t xml:space="preserve"> de la </w:t>
      </w:r>
      <w:r w:rsidR="007D6DCE" w:rsidRPr="005F5EE2">
        <w:rPr>
          <w:rFonts w:cs="Angsana New"/>
          <w:szCs w:val="24"/>
          <w:lang w:val="fr-CH" w:eastAsia="ja-JP" w:bidi="th-TH"/>
        </w:rPr>
        <w:t>Convention UPOV</w:t>
      </w:r>
      <w:r w:rsidRPr="005F5EE2">
        <w:rPr>
          <w:rFonts w:cs="Angsana New"/>
          <w:szCs w:val="24"/>
          <w:lang w:val="fr-CH" w:eastAsia="ja-JP" w:bidi="th-TH"/>
        </w:rPr>
        <w:t xml:space="preserve"> (révision) (annexe du document</w:t>
      </w:r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Pr="005F5EE2">
        <w:rPr>
          <w:rFonts w:cs="Angsana New"/>
          <w:szCs w:val="24"/>
          <w:lang w:val="fr-CH" w:eastAsia="ja-JP" w:bidi="th-TH"/>
        </w:rPr>
        <w:t>C/55/</w:t>
      </w:r>
      <w:proofErr w:type="gramStart"/>
      <w:r w:rsidRPr="005F5EE2">
        <w:rPr>
          <w:rFonts w:cs="Angsana New"/>
          <w:szCs w:val="24"/>
          <w:lang w:val="fr-CH" w:eastAsia="ja-JP" w:bidi="th-TH"/>
        </w:rPr>
        <w:t>3)*</w:t>
      </w:r>
      <w:proofErr w:type="gramEnd"/>
    </w:p>
    <w:p w:rsidR="00275C16" w:rsidRPr="005F5EE2" w:rsidRDefault="00DC0CE8" w:rsidP="00DC0CE8">
      <w:pPr>
        <w:pStyle w:val="ListParagraph"/>
        <w:spacing w:after="60"/>
        <w:ind w:left="2837" w:hanging="1701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>UPOV/INF/16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="004011A9" w:rsidRPr="005F5EE2">
        <w:rPr>
          <w:rFonts w:cs="Angsana New"/>
          <w:szCs w:val="24"/>
          <w:lang w:val="fr-CH" w:eastAsia="ja-JP" w:bidi="th-TH"/>
        </w:rPr>
        <w:t xml:space="preserve"> </w:t>
      </w:r>
      <w:r w:rsidRPr="005F5EE2">
        <w:rPr>
          <w:lang w:val="fr-CH"/>
        </w:rPr>
        <w:tab/>
      </w:r>
      <w:r w:rsidRPr="005F5EE2">
        <w:rPr>
          <w:rFonts w:cs="Angsana New"/>
          <w:szCs w:val="24"/>
          <w:lang w:val="fr-CH" w:eastAsia="ja-JP" w:bidi="th-TH"/>
        </w:rPr>
        <w:t>Logiciels échangeables (révision) (document</w:t>
      </w:r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Pr="005F5EE2">
        <w:rPr>
          <w:rFonts w:cs="Angsana New"/>
          <w:szCs w:val="24"/>
          <w:lang w:val="fr-CH" w:eastAsia="ja-JP" w:bidi="th-TH"/>
        </w:rPr>
        <w:t xml:space="preserve">UPOV/INF/16/10 </w:t>
      </w:r>
      <w:proofErr w:type="spellStart"/>
      <w:r w:rsidRPr="005F5EE2">
        <w:rPr>
          <w:rFonts w:cs="Angsana New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zCs w:val="24"/>
          <w:lang w:val="fr-CH" w:eastAsia="ja-JP" w:bidi="th-TH"/>
        </w:rPr>
        <w:t> </w:t>
      </w:r>
      <w:proofErr w:type="gramStart"/>
      <w:r w:rsidRPr="005F5EE2">
        <w:rPr>
          <w:rFonts w:cs="Angsana New"/>
          <w:szCs w:val="24"/>
          <w:lang w:val="fr-CH" w:eastAsia="ja-JP" w:bidi="th-TH"/>
        </w:rPr>
        <w:t>1)*</w:t>
      </w:r>
      <w:proofErr w:type="gramEnd"/>
    </w:p>
    <w:p w:rsidR="00275C16" w:rsidRPr="005F5EE2" w:rsidRDefault="00DC0CE8" w:rsidP="00DC0CE8">
      <w:pPr>
        <w:pStyle w:val="ListParagraph"/>
        <w:ind w:left="2837" w:hanging="1699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>UPOV/INF/17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="004011A9" w:rsidRPr="005F5EE2">
        <w:rPr>
          <w:rFonts w:cs="Angsana New"/>
          <w:szCs w:val="24"/>
          <w:lang w:val="fr-CH" w:eastAsia="ja-JP" w:bidi="th-TH"/>
        </w:rPr>
        <w:t xml:space="preserve"> </w:t>
      </w:r>
      <w:r w:rsidRPr="005F5EE2">
        <w:rPr>
          <w:lang w:val="fr-CH"/>
        </w:rPr>
        <w:tab/>
      </w:r>
      <w:r w:rsidRPr="005F5EE2">
        <w:rPr>
          <w:rFonts w:cs="Angsana New"/>
          <w:szCs w:val="24"/>
          <w:lang w:val="fr-CH" w:eastAsia="ja-JP" w:bidi="th-TH"/>
        </w:rPr>
        <w:t>Directives concernant les profils d</w:t>
      </w:r>
      <w:r w:rsidR="007D6DCE" w:rsidRPr="005F5EE2">
        <w:rPr>
          <w:rFonts w:cs="Angsana New"/>
          <w:szCs w:val="24"/>
          <w:lang w:val="fr-CH" w:eastAsia="ja-JP" w:bidi="th-TH"/>
        </w:rPr>
        <w:t>’</w:t>
      </w:r>
      <w:r w:rsidRPr="005F5EE2">
        <w:rPr>
          <w:rFonts w:cs="Angsana New"/>
          <w:szCs w:val="24"/>
          <w:lang w:val="fr-CH" w:eastAsia="ja-JP" w:bidi="th-TH"/>
        </w:rPr>
        <w:t>ADN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Pr="005F5EE2">
        <w:rPr>
          <w:rFonts w:cs="Angsana New"/>
          <w:szCs w:val="24"/>
          <w:lang w:val="fr-CH" w:eastAsia="ja-JP" w:bidi="th-TH"/>
        </w:rPr>
        <w:t xml:space="preserve"> choix des marqueurs moléculaires et construction d</w:t>
      </w:r>
      <w:r w:rsidR="007D6DCE" w:rsidRPr="005F5EE2">
        <w:rPr>
          <w:rFonts w:cs="Angsana New"/>
          <w:szCs w:val="24"/>
          <w:lang w:val="fr-CH" w:eastAsia="ja-JP" w:bidi="th-TH"/>
        </w:rPr>
        <w:t>’</w:t>
      </w:r>
      <w:r w:rsidRPr="005F5EE2">
        <w:rPr>
          <w:rFonts w:cs="Angsana New"/>
          <w:szCs w:val="24"/>
          <w:lang w:val="fr-CH" w:eastAsia="ja-JP" w:bidi="th-TH"/>
        </w:rPr>
        <w:t>une base de données y relative (“Directives BMT”) (révision)</w:t>
      </w:r>
    </w:p>
    <w:p w:rsidR="00275C16" w:rsidRPr="005F5EE2" w:rsidRDefault="005907AC" w:rsidP="005907AC">
      <w:pPr>
        <w:pStyle w:val="ListParagraph"/>
        <w:spacing w:after="60"/>
        <w:ind w:left="2837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rial"/>
          <w:lang w:val="fr-CH"/>
        </w:rPr>
        <w:t>(</w:t>
      </w:r>
      <w:proofErr w:type="gramStart"/>
      <w:r w:rsidR="007D6DCE" w:rsidRPr="005F5EE2">
        <w:rPr>
          <w:rFonts w:cs="Arial"/>
          <w:lang w:val="fr-CH"/>
        </w:rPr>
        <w:t>document</w:t>
      </w:r>
      <w:proofErr w:type="gramEnd"/>
      <w:r w:rsidR="00625CBD" w:rsidRPr="005F5EE2">
        <w:rPr>
          <w:rFonts w:cs="Arial"/>
          <w:lang w:val="fr-CH"/>
        </w:rPr>
        <w:t> </w:t>
      </w:r>
      <w:r w:rsidR="007D6DCE" w:rsidRPr="005F5EE2">
        <w:rPr>
          <w:rFonts w:cs="Arial"/>
          <w:lang w:val="fr-CH"/>
        </w:rPr>
        <w:t>UP</w:t>
      </w:r>
      <w:r w:rsidRPr="005F5EE2">
        <w:rPr>
          <w:rFonts w:cs="Arial"/>
          <w:lang w:val="fr-CH"/>
        </w:rPr>
        <w:t>OV/INF/17/2 </w:t>
      </w:r>
      <w:proofErr w:type="spellStart"/>
      <w:r w:rsidRPr="005F5EE2">
        <w:rPr>
          <w:rFonts w:cs="Arial"/>
          <w:lang w:val="fr-CH"/>
        </w:rPr>
        <w:t>Draft</w:t>
      </w:r>
      <w:proofErr w:type="spellEnd"/>
      <w:r w:rsidRPr="005F5EE2">
        <w:rPr>
          <w:rFonts w:cs="Arial"/>
          <w:lang w:val="fr-CH"/>
        </w:rPr>
        <w:t> 6)*</w:t>
      </w:r>
    </w:p>
    <w:p w:rsidR="007D6DCE" w:rsidRPr="005F5EE2" w:rsidRDefault="00DC0CE8" w:rsidP="00DC0CE8">
      <w:pPr>
        <w:pStyle w:val="ListParagraph"/>
        <w:ind w:left="2837" w:hanging="1699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>UPOV/INF/22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="004011A9" w:rsidRPr="005F5EE2">
        <w:rPr>
          <w:rFonts w:cs="Angsana New"/>
          <w:szCs w:val="24"/>
          <w:lang w:val="fr-CH" w:eastAsia="ja-JP" w:bidi="th-TH"/>
        </w:rPr>
        <w:t xml:space="preserve"> </w:t>
      </w:r>
      <w:r w:rsidRPr="005F5EE2">
        <w:rPr>
          <w:lang w:val="fr-CH"/>
        </w:rPr>
        <w:tab/>
      </w:r>
      <w:r w:rsidRPr="005F5EE2">
        <w:rPr>
          <w:rFonts w:cs="Angsana New"/>
          <w:szCs w:val="24"/>
          <w:lang w:val="fr-CH" w:eastAsia="ja-JP" w:bidi="th-TH"/>
        </w:rPr>
        <w:t>Logiciels et équipements utilisés par les membres de l</w:t>
      </w:r>
      <w:r w:rsidR="007D6DCE" w:rsidRPr="005F5EE2">
        <w:rPr>
          <w:rFonts w:cs="Angsana New"/>
          <w:szCs w:val="24"/>
          <w:lang w:val="fr-CH" w:eastAsia="ja-JP" w:bidi="th-TH"/>
        </w:rPr>
        <w:t>’</w:t>
      </w:r>
      <w:r w:rsidRPr="005F5EE2">
        <w:rPr>
          <w:rFonts w:cs="Angsana New"/>
          <w:szCs w:val="24"/>
          <w:lang w:val="fr-CH" w:eastAsia="ja-JP" w:bidi="th-TH"/>
        </w:rPr>
        <w:t>Union (révision)</w:t>
      </w:r>
    </w:p>
    <w:p w:rsidR="00275C16" w:rsidRPr="005F5EE2" w:rsidRDefault="005907AC" w:rsidP="005907AC">
      <w:pPr>
        <w:pStyle w:val="ListParagraph"/>
        <w:spacing w:after="60"/>
        <w:ind w:left="2837" w:hanging="1701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ab/>
      </w:r>
      <w:r w:rsidRPr="005F5EE2">
        <w:rPr>
          <w:rFonts w:cs="Arial"/>
          <w:lang w:val="fr-CH"/>
        </w:rPr>
        <w:t>(</w:t>
      </w:r>
      <w:proofErr w:type="gramStart"/>
      <w:r w:rsidR="007D6DCE" w:rsidRPr="005F5EE2">
        <w:rPr>
          <w:rFonts w:cs="Arial"/>
          <w:lang w:val="fr-CH"/>
        </w:rPr>
        <w:t>document</w:t>
      </w:r>
      <w:proofErr w:type="gramEnd"/>
      <w:r w:rsidR="00625CBD" w:rsidRPr="005F5EE2">
        <w:rPr>
          <w:rFonts w:cs="Arial"/>
          <w:lang w:val="fr-CH"/>
        </w:rPr>
        <w:t> </w:t>
      </w:r>
      <w:r w:rsidR="007D6DCE" w:rsidRPr="005F5EE2">
        <w:rPr>
          <w:rFonts w:cs="Angsana New"/>
          <w:szCs w:val="24"/>
          <w:lang w:val="fr-CH" w:eastAsia="ja-JP" w:bidi="th-TH"/>
        </w:rPr>
        <w:t>UP</w:t>
      </w:r>
      <w:r w:rsidRPr="005F5EE2">
        <w:rPr>
          <w:rFonts w:cs="Angsana New"/>
          <w:szCs w:val="24"/>
          <w:lang w:val="fr-CH" w:eastAsia="ja-JP" w:bidi="th-TH"/>
        </w:rPr>
        <w:t xml:space="preserve">OV/INF/22/8 </w:t>
      </w:r>
      <w:proofErr w:type="spellStart"/>
      <w:r w:rsidRPr="005F5EE2">
        <w:rPr>
          <w:rFonts w:cs="Angsana New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Pr="005F5EE2">
        <w:rPr>
          <w:rFonts w:cs="Angsana New"/>
          <w:szCs w:val="24"/>
          <w:lang w:val="fr-CH" w:eastAsia="ja-JP" w:bidi="th-TH"/>
        </w:rPr>
        <w:t>1</w:t>
      </w:r>
      <w:r w:rsidRPr="005F5EE2">
        <w:rPr>
          <w:rFonts w:cs="Arial"/>
          <w:lang w:val="fr-CH"/>
        </w:rPr>
        <w:t>)*</w:t>
      </w:r>
    </w:p>
    <w:p w:rsidR="00275C16" w:rsidRPr="005F5EE2" w:rsidRDefault="00EC2C57" w:rsidP="00EC2C57">
      <w:pPr>
        <w:pStyle w:val="ListParagraph"/>
        <w:spacing w:after="60"/>
        <w:ind w:left="2837" w:hanging="1701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>UPOV/INF/23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="004011A9" w:rsidRPr="005F5EE2">
        <w:rPr>
          <w:rFonts w:cs="Angsana New"/>
          <w:szCs w:val="24"/>
          <w:lang w:val="fr-CH" w:eastAsia="ja-JP" w:bidi="th-TH"/>
        </w:rPr>
        <w:t xml:space="preserve"> </w:t>
      </w:r>
      <w:r w:rsidRPr="005F5EE2">
        <w:rPr>
          <w:lang w:val="fr-CH"/>
        </w:rPr>
        <w:tab/>
      </w:r>
      <w:r w:rsidRPr="005F5EE2">
        <w:rPr>
          <w:rFonts w:cs="Angsana New"/>
          <w:szCs w:val="24"/>
          <w:lang w:val="fr-CH" w:eastAsia="ja-JP" w:bidi="th-TH"/>
        </w:rPr>
        <w:t>Système de codes UPOV (document</w:t>
      </w:r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Pr="005F5EE2">
        <w:rPr>
          <w:rFonts w:cs="Angsana New"/>
          <w:szCs w:val="24"/>
          <w:lang w:val="fr-CH" w:eastAsia="ja-JP" w:bidi="th-TH"/>
        </w:rPr>
        <w:t xml:space="preserve">UPOV/INF/23/1 </w:t>
      </w:r>
      <w:proofErr w:type="spellStart"/>
      <w:r w:rsidRPr="005F5EE2">
        <w:rPr>
          <w:rFonts w:cs="Angsana New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zCs w:val="24"/>
          <w:lang w:val="fr-CH" w:eastAsia="ja-JP" w:bidi="th-TH"/>
        </w:rPr>
        <w:t> </w:t>
      </w:r>
      <w:proofErr w:type="gramStart"/>
      <w:r w:rsidRPr="005F5EE2">
        <w:rPr>
          <w:rFonts w:cs="Angsana New"/>
          <w:szCs w:val="24"/>
          <w:lang w:val="fr-CH" w:eastAsia="ja-JP" w:bidi="th-TH"/>
        </w:rPr>
        <w:t>3)*</w:t>
      </w:r>
      <w:proofErr w:type="gramEnd"/>
    </w:p>
    <w:p w:rsidR="007D6DCE" w:rsidRPr="005F5EE2" w:rsidRDefault="00EC2C57" w:rsidP="00EC2C57">
      <w:pPr>
        <w:pStyle w:val="ListParagraph"/>
        <w:ind w:left="2837" w:hanging="1699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>UPOV/INF</w:t>
      </w:r>
      <w:r w:rsidR="007D6DCE" w:rsidRPr="005F5EE2">
        <w:rPr>
          <w:rFonts w:cs="Angsana New"/>
          <w:szCs w:val="24"/>
          <w:lang w:val="fr-CH" w:eastAsia="ja-JP" w:bidi="th-TH"/>
        </w:rPr>
        <w:t>-</w:t>
      </w:r>
      <w:r w:rsidRPr="005F5EE2">
        <w:rPr>
          <w:rFonts w:cs="Angsana New"/>
          <w:szCs w:val="24"/>
          <w:lang w:val="fr-CH" w:eastAsia="ja-JP" w:bidi="th-TH"/>
        </w:rPr>
        <w:t>EXN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="004011A9" w:rsidRPr="005F5EE2">
        <w:rPr>
          <w:rFonts w:cs="Angsana New"/>
          <w:szCs w:val="24"/>
          <w:lang w:val="fr-CH" w:eastAsia="ja-JP" w:bidi="th-TH"/>
        </w:rPr>
        <w:t xml:space="preserve"> </w:t>
      </w:r>
      <w:r w:rsidRPr="005F5EE2">
        <w:rPr>
          <w:lang w:val="fr-CH"/>
        </w:rPr>
        <w:tab/>
      </w:r>
      <w:r w:rsidRPr="005F5EE2">
        <w:rPr>
          <w:rFonts w:cs="Angsana New"/>
          <w:szCs w:val="24"/>
          <w:lang w:val="fr-CH" w:eastAsia="ja-JP" w:bidi="th-TH"/>
        </w:rPr>
        <w:t>Liste des documents UPOV/INF</w:t>
      </w:r>
      <w:r w:rsidR="007D6DCE" w:rsidRPr="005F5EE2">
        <w:rPr>
          <w:rFonts w:cs="Angsana New"/>
          <w:szCs w:val="24"/>
          <w:lang w:val="fr-CH" w:eastAsia="ja-JP" w:bidi="th-TH"/>
        </w:rPr>
        <w:t>-</w:t>
      </w:r>
      <w:r w:rsidRPr="005F5EE2">
        <w:rPr>
          <w:rFonts w:cs="Angsana New"/>
          <w:szCs w:val="24"/>
          <w:lang w:val="fr-CH" w:eastAsia="ja-JP" w:bidi="th-TH"/>
        </w:rPr>
        <w:t>EXN et date de la version la plus récente de ces documents (révision)</w:t>
      </w:r>
    </w:p>
    <w:p w:rsidR="00275C16" w:rsidRPr="005F5EE2" w:rsidRDefault="005907AC" w:rsidP="005907AC">
      <w:pPr>
        <w:pStyle w:val="ListParagraph"/>
        <w:spacing w:after="60"/>
        <w:ind w:left="2837" w:hanging="1701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ab/>
        <w:t>(</w:t>
      </w:r>
      <w:proofErr w:type="gramStart"/>
      <w:r w:rsidRPr="005F5EE2">
        <w:rPr>
          <w:rFonts w:cs="Angsana New"/>
          <w:szCs w:val="24"/>
          <w:lang w:val="fr-CH" w:eastAsia="ja-JP" w:bidi="th-TH"/>
        </w:rPr>
        <w:t>document</w:t>
      </w:r>
      <w:proofErr w:type="gramEnd"/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Pr="005F5EE2">
        <w:rPr>
          <w:rFonts w:cs="Angsana New"/>
          <w:szCs w:val="24"/>
          <w:lang w:val="fr-CH" w:eastAsia="ja-JP" w:bidi="th-TH"/>
        </w:rPr>
        <w:t>UPOV/INF</w:t>
      </w:r>
      <w:r w:rsidR="007D6DCE" w:rsidRPr="005F5EE2">
        <w:rPr>
          <w:rFonts w:cs="Angsana New"/>
          <w:szCs w:val="24"/>
          <w:lang w:val="fr-CH" w:eastAsia="ja-JP" w:bidi="th-TH"/>
        </w:rPr>
        <w:t>-</w:t>
      </w:r>
      <w:r w:rsidRPr="005F5EE2">
        <w:rPr>
          <w:rFonts w:cs="Angsana New"/>
          <w:szCs w:val="24"/>
          <w:lang w:val="fr-CH" w:eastAsia="ja-JP" w:bidi="th-TH"/>
        </w:rPr>
        <w:t xml:space="preserve">EXN/15 </w:t>
      </w:r>
      <w:proofErr w:type="spellStart"/>
      <w:r w:rsidRPr="005F5EE2">
        <w:rPr>
          <w:rFonts w:cs="Angsana New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Pr="005F5EE2">
        <w:rPr>
          <w:rFonts w:cs="Angsana New"/>
          <w:szCs w:val="24"/>
          <w:lang w:val="fr-CH" w:eastAsia="ja-JP" w:bidi="th-TH"/>
        </w:rPr>
        <w:t>1)*</w:t>
      </w:r>
    </w:p>
    <w:p w:rsidR="007D6DCE" w:rsidRPr="005F5EE2" w:rsidRDefault="00EC2C57" w:rsidP="00EC2C57">
      <w:pPr>
        <w:pStyle w:val="ListParagraph"/>
        <w:ind w:left="2837" w:hanging="1699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>TGP/5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="004011A9" w:rsidRPr="005F5EE2">
        <w:rPr>
          <w:rFonts w:cs="Angsana New"/>
          <w:szCs w:val="24"/>
          <w:lang w:val="fr-CH" w:eastAsia="ja-JP" w:bidi="th-TH"/>
        </w:rPr>
        <w:t xml:space="preserve"> </w:t>
      </w:r>
      <w:r w:rsidRPr="005F5EE2">
        <w:rPr>
          <w:lang w:val="fr-CH"/>
        </w:rPr>
        <w:tab/>
      </w:r>
      <w:r w:rsidRPr="005F5EE2">
        <w:rPr>
          <w:rFonts w:cs="Angsana New"/>
          <w:szCs w:val="24"/>
          <w:lang w:val="fr-CH" w:eastAsia="ja-JP" w:bidi="th-TH"/>
        </w:rPr>
        <w:t>Expérience et coopération en matière d</w:t>
      </w:r>
      <w:r w:rsidR="007D6DCE" w:rsidRPr="005F5EE2">
        <w:rPr>
          <w:rFonts w:cs="Angsana New"/>
          <w:szCs w:val="24"/>
          <w:lang w:val="fr-CH" w:eastAsia="ja-JP" w:bidi="th-TH"/>
        </w:rPr>
        <w:t>’</w:t>
      </w:r>
      <w:r w:rsidRPr="005F5EE2">
        <w:rPr>
          <w:rFonts w:cs="Angsana New"/>
          <w:szCs w:val="24"/>
          <w:lang w:val="fr-CH" w:eastAsia="ja-JP" w:bidi="th-TH"/>
        </w:rPr>
        <w:t>examen</w:t>
      </w:r>
      <w:r w:rsidR="004011A9" w:rsidRPr="005F5EE2">
        <w:rPr>
          <w:rFonts w:cs="Angsana New"/>
          <w:szCs w:val="24"/>
          <w:lang w:val="fr-CH" w:eastAsia="ja-JP" w:bidi="th-TH"/>
        </w:rPr>
        <w:t> </w:t>
      </w:r>
      <w:r w:rsidR="003952C4" w:rsidRPr="005F5EE2">
        <w:rPr>
          <w:rFonts w:cs="Angsana New"/>
          <w:szCs w:val="24"/>
          <w:lang w:val="fr-CH" w:eastAsia="ja-JP" w:bidi="th-TH"/>
        </w:rPr>
        <w:t>DHS, Section </w:t>
      </w:r>
      <w:r w:rsidRPr="005F5EE2">
        <w:rPr>
          <w:rFonts w:cs="Angsana New"/>
          <w:szCs w:val="24"/>
          <w:lang w:val="fr-CH" w:eastAsia="ja-JP" w:bidi="th-TH"/>
        </w:rPr>
        <w:t>2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Pr="005F5EE2">
        <w:rPr>
          <w:rFonts w:cs="Angsana New"/>
          <w:szCs w:val="24"/>
          <w:lang w:val="fr-CH" w:eastAsia="ja-JP" w:bidi="th-TH"/>
        </w:rPr>
        <w:t xml:space="preserve"> Formulaire type de l</w:t>
      </w:r>
      <w:r w:rsidR="007D6DCE" w:rsidRPr="005F5EE2">
        <w:rPr>
          <w:rFonts w:cs="Angsana New"/>
          <w:szCs w:val="24"/>
          <w:lang w:val="fr-CH" w:eastAsia="ja-JP" w:bidi="th-TH"/>
        </w:rPr>
        <w:t>’</w:t>
      </w:r>
      <w:r w:rsidRPr="005F5EE2">
        <w:rPr>
          <w:rFonts w:cs="Angsana New"/>
          <w:szCs w:val="24"/>
          <w:lang w:val="fr-CH" w:eastAsia="ja-JP" w:bidi="th-TH"/>
        </w:rPr>
        <w:t>UPOV pour la demande de protection d</w:t>
      </w:r>
      <w:r w:rsidR="007D6DCE" w:rsidRPr="005F5EE2">
        <w:rPr>
          <w:rFonts w:cs="Angsana New"/>
          <w:szCs w:val="24"/>
          <w:lang w:val="fr-CH" w:eastAsia="ja-JP" w:bidi="th-TH"/>
        </w:rPr>
        <w:t>’</w:t>
      </w:r>
      <w:r w:rsidRPr="005F5EE2">
        <w:rPr>
          <w:rFonts w:cs="Angsana New"/>
          <w:szCs w:val="24"/>
          <w:lang w:val="fr-CH" w:eastAsia="ja-JP" w:bidi="th-TH"/>
        </w:rPr>
        <w:t>une obtention végétale (révision)</w:t>
      </w:r>
    </w:p>
    <w:p w:rsidR="00275C16" w:rsidRPr="005F5EE2" w:rsidRDefault="005907AC" w:rsidP="005907AC">
      <w:pPr>
        <w:pStyle w:val="ListParagraph"/>
        <w:spacing w:after="60"/>
        <w:ind w:left="2837" w:hanging="1701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ab/>
        <w:t>(</w:t>
      </w:r>
      <w:proofErr w:type="gramStart"/>
      <w:r w:rsidR="007D6DCE" w:rsidRPr="005F5EE2">
        <w:rPr>
          <w:rFonts w:cs="Angsana New"/>
          <w:szCs w:val="24"/>
          <w:lang w:val="fr-CH" w:eastAsia="ja-JP" w:bidi="th-TH"/>
        </w:rPr>
        <w:t>document</w:t>
      </w:r>
      <w:proofErr w:type="gramEnd"/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="007D6DCE" w:rsidRPr="005F5EE2">
        <w:rPr>
          <w:rFonts w:cs="Angsana New"/>
          <w:szCs w:val="24"/>
          <w:lang w:val="fr-CH" w:eastAsia="ja-JP" w:bidi="th-TH"/>
        </w:rPr>
        <w:t>TG</w:t>
      </w:r>
      <w:r w:rsidRPr="005F5EE2">
        <w:rPr>
          <w:rFonts w:cs="Angsana New"/>
          <w:szCs w:val="24"/>
          <w:lang w:val="fr-CH" w:eastAsia="ja-JP" w:bidi="th-TH"/>
        </w:rPr>
        <w:t>P/5</w:t>
      </w:r>
      <w:r w:rsidR="004011A9" w:rsidRPr="005F5EE2">
        <w:rPr>
          <w:rFonts w:cs="Angsana New"/>
          <w:szCs w:val="24"/>
          <w:lang w:val="fr-CH" w:eastAsia="ja-JP" w:bidi="th-TH"/>
        </w:rPr>
        <w:t xml:space="preserve"> : </w:t>
      </w:r>
      <w:r w:rsidR="007D6DCE" w:rsidRPr="005F5EE2">
        <w:rPr>
          <w:rFonts w:cs="Angsana New"/>
          <w:szCs w:val="24"/>
          <w:lang w:val="fr-CH" w:eastAsia="ja-JP" w:bidi="th-TH"/>
        </w:rPr>
        <w:t>Section 2</w:t>
      </w:r>
      <w:r w:rsidRPr="005F5EE2">
        <w:rPr>
          <w:rFonts w:cs="Angsana New"/>
          <w:szCs w:val="24"/>
          <w:lang w:val="fr-CH" w:eastAsia="ja-JP" w:bidi="th-TH"/>
        </w:rPr>
        <w:t xml:space="preserve">/4 </w:t>
      </w:r>
      <w:proofErr w:type="spellStart"/>
      <w:r w:rsidRPr="005F5EE2">
        <w:rPr>
          <w:rFonts w:cs="Angsana New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Pr="005F5EE2">
        <w:rPr>
          <w:rFonts w:cs="Angsana New"/>
          <w:szCs w:val="24"/>
          <w:lang w:val="fr-CH" w:eastAsia="ja-JP" w:bidi="th-TH"/>
        </w:rPr>
        <w:t>1)*</w:t>
      </w:r>
    </w:p>
    <w:p w:rsidR="007D6DCE" w:rsidRPr="005F5EE2" w:rsidRDefault="00EC2C57" w:rsidP="00EC2C57">
      <w:pPr>
        <w:pStyle w:val="ListParagraph"/>
        <w:ind w:left="2837" w:hanging="1699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>TGP/0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="004011A9" w:rsidRPr="005F5EE2">
        <w:rPr>
          <w:rFonts w:cs="Angsana New"/>
          <w:szCs w:val="24"/>
          <w:lang w:val="fr-CH" w:eastAsia="ja-JP" w:bidi="th-TH"/>
        </w:rPr>
        <w:t xml:space="preserve"> </w:t>
      </w:r>
      <w:r w:rsidRPr="005F5EE2">
        <w:rPr>
          <w:lang w:val="fr-CH"/>
        </w:rPr>
        <w:tab/>
      </w:r>
      <w:r w:rsidRPr="005F5EE2">
        <w:rPr>
          <w:rFonts w:cs="Angsana New"/>
          <w:szCs w:val="24"/>
          <w:lang w:val="fr-CH" w:eastAsia="ja-JP" w:bidi="th-TH"/>
        </w:rPr>
        <w:t>Liste des documents TGP et date de la version la plus récente de ces documents (révision)</w:t>
      </w:r>
    </w:p>
    <w:p w:rsidR="00275C16" w:rsidRPr="005F5EE2" w:rsidRDefault="005907AC" w:rsidP="005907AC">
      <w:pPr>
        <w:pStyle w:val="ListParagraph"/>
        <w:spacing w:after="160"/>
        <w:ind w:left="2837" w:hanging="1699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ab/>
        <w:t>(</w:t>
      </w:r>
      <w:proofErr w:type="gramStart"/>
      <w:r w:rsidR="007D6DCE" w:rsidRPr="005F5EE2">
        <w:rPr>
          <w:rFonts w:cs="Angsana New"/>
          <w:szCs w:val="24"/>
          <w:lang w:val="fr-CH" w:eastAsia="ja-JP" w:bidi="th-TH"/>
        </w:rPr>
        <w:t>document</w:t>
      </w:r>
      <w:proofErr w:type="gramEnd"/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="007D6DCE" w:rsidRPr="005F5EE2">
        <w:rPr>
          <w:rFonts w:cs="Angsana New"/>
          <w:szCs w:val="24"/>
          <w:lang w:val="fr-CH" w:eastAsia="ja-JP" w:bidi="th-TH"/>
        </w:rPr>
        <w:t>TG</w:t>
      </w:r>
      <w:r w:rsidRPr="005F5EE2">
        <w:rPr>
          <w:rFonts w:cs="Angsana New"/>
          <w:szCs w:val="24"/>
          <w:lang w:val="fr-CH" w:eastAsia="ja-JP" w:bidi="th-TH"/>
        </w:rPr>
        <w:t>P/0/13 </w:t>
      </w:r>
      <w:proofErr w:type="spellStart"/>
      <w:r w:rsidRPr="005F5EE2">
        <w:rPr>
          <w:rFonts w:cs="Angsana New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Pr="005F5EE2">
        <w:rPr>
          <w:rFonts w:cs="Angsana New"/>
          <w:szCs w:val="24"/>
          <w:lang w:val="fr-CH" w:eastAsia="ja-JP" w:bidi="th-TH"/>
        </w:rPr>
        <w:t>1)*</w:t>
      </w:r>
    </w:p>
    <w:p w:rsidR="00275C16" w:rsidRPr="005F5EE2" w:rsidRDefault="005907AC" w:rsidP="00EC2C57">
      <w:pPr>
        <w:keepNext/>
        <w:spacing w:after="120"/>
        <w:rPr>
          <w:rFonts w:cs="Arial"/>
          <w:lang w:val="fr-CH"/>
        </w:rPr>
      </w:pPr>
      <w:r w:rsidRPr="005F5EE2">
        <w:rPr>
          <w:rFonts w:cs="Arial"/>
        </w:rPr>
        <w:fldChar w:fldCharType="begin"/>
      </w:r>
      <w:r w:rsidRPr="005F5EE2">
        <w:rPr>
          <w:rFonts w:cs="Arial"/>
          <w:lang w:val="fr-CH"/>
        </w:rPr>
        <w:instrText xml:space="preserve"> AUTONUM  </w:instrText>
      </w:r>
      <w:r w:rsidRPr="005F5EE2">
        <w:rPr>
          <w:rFonts w:cs="Arial"/>
        </w:rPr>
        <w:fldChar w:fldCharType="end"/>
      </w:r>
      <w:r w:rsidRPr="005F5EE2">
        <w:rPr>
          <w:rFonts w:cs="Arial"/>
          <w:lang w:val="fr-CH"/>
        </w:rPr>
        <w:tab/>
      </w:r>
      <w:r w:rsidR="00EC2C57" w:rsidRPr="005F5EE2">
        <w:rPr>
          <w:rFonts w:cs="Arial"/>
          <w:lang w:val="fr-CH"/>
        </w:rPr>
        <w:t>Au 1</w:t>
      </w:r>
      <w:r w:rsidR="007D6DCE" w:rsidRPr="005F5EE2">
        <w:rPr>
          <w:rFonts w:cs="Arial"/>
          <w:lang w:val="fr-CH"/>
        </w:rPr>
        <w:t>5 juillet 20</w:t>
      </w:r>
      <w:r w:rsidR="00EC2C57" w:rsidRPr="005F5EE2">
        <w:rPr>
          <w:rFonts w:cs="Arial"/>
          <w:lang w:val="fr-CH"/>
        </w:rPr>
        <w:t>21, des observations simples avaient été reçues sur les documents ci</w:t>
      </w:r>
      <w:r w:rsidR="007D6DCE" w:rsidRPr="005F5EE2">
        <w:rPr>
          <w:rFonts w:cs="Arial"/>
          <w:lang w:val="fr-CH"/>
        </w:rPr>
        <w:t>-</w:t>
      </w:r>
      <w:r w:rsidR="00EC2C57" w:rsidRPr="005F5EE2">
        <w:rPr>
          <w:rFonts w:cs="Arial"/>
          <w:lang w:val="fr-CH"/>
        </w:rPr>
        <w:t>après figurant dans la circulaire</w:t>
      </w:r>
      <w:r w:rsidR="00625CBD" w:rsidRPr="005F5EE2">
        <w:rPr>
          <w:rFonts w:cs="Arial"/>
          <w:lang w:val="fr-CH"/>
        </w:rPr>
        <w:t> </w:t>
      </w:r>
      <w:r w:rsidR="00EC2C57" w:rsidRPr="005F5EE2">
        <w:rPr>
          <w:rFonts w:cs="Arial"/>
          <w:lang w:val="fr-CH"/>
        </w:rPr>
        <w:t>E</w:t>
      </w:r>
      <w:r w:rsidR="007D6DCE" w:rsidRPr="005F5EE2">
        <w:rPr>
          <w:rFonts w:cs="Arial"/>
          <w:lang w:val="fr-CH"/>
        </w:rPr>
        <w:t>-</w:t>
      </w:r>
      <w:r w:rsidR="00EC2C57" w:rsidRPr="005F5EE2">
        <w:rPr>
          <w:rFonts w:cs="Arial"/>
          <w:lang w:val="fr-CH"/>
        </w:rPr>
        <w:t>21/089 du 1</w:t>
      </w:r>
      <w:r w:rsidR="007D6DCE" w:rsidRPr="005F5EE2">
        <w:rPr>
          <w:rFonts w:cs="Arial"/>
          <w:lang w:val="fr-CH"/>
        </w:rPr>
        <w:t>6 juin 20</w:t>
      </w:r>
      <w:r w:rsidR="00EC2C57" w:rsidRPr="005F5EE2">
        <w:rPr>
          <w:rFonts w:cs="Arial"/>
          <w:lang w:val="fr-CH"/>
        </w:rPr>
        <w:t>21.</w:t>
      </w:r>
      <w:r w:rsidRPr="005F5EE2">
        <w:rPr>
          <w:lang w:val="fr-CH"/>
        </w:rPr>
        <w:t xml:space="preserve">  </w:t>
      </w:r>
      <w:r w:rsidR="00EC2C57" w:rsidRPr="005F5EE2">
        <w:rPr>
          <w:rFonts w:cs="Arial"/>
          <w:lang w:val="fr-CH"/>
        </w:rPr>
        <w:t>Le Bureau de l</w:t>
      </w:r>
      <w:r w:rsidR="007D6DCE" w:rsidRPr="005F5EE2">
        <w:rPr>
          <w:rFonts w:cs="Arial"/>
          <w:lang w:val="fr-CH"/>
        </w:rPr>
        <w:t>’</w:t>
      </w:r>
      <w:r w:rsidR="00EC2C57" w:rsidRPr="005F5EE2">
        <w:rPr>
          <w:rFonts w:cs="Arial"/>
          <w:lang w:val="fr-CH"/>
        </w:rPr>
        <w:t>Union a traité les observations simples dans une version révisée des documents ci</w:t>
      </w:r>
      <w:r w:rsidR="007D6DCE" w:rsidRPr="005F5EE2">
        <w:rPr>
          <w:rFonts w:cs="Arial"/>
          <w:lang w:val="fr-CH"/>
        </w:rPr>
        <w:t>-</w:t>
      </w:r>
      <w:r w:rsidR="00EC2C57" w:rsidRPr="005F5EE2">
        <w:rPr>
          <w:rFonts w:cs="Arial"/>
          <w:lang w:val="fr-CH"/>
        </w:rPr>
        <w:t>après, dans le cadre de notes finales</w:t>
      </w:r>
      <w:r w:rsidR="007D6DCE" w:rsidRPr="005F5EE2">
        <w:rPr>
          <w:rFonts w:cs="Arial"/>
          <w:lang w:val="fr-CH"/>
        </w:rPr>
        <w:t> :</w:t>
      </w:r>
    </w:p>
    <w:p w:rsidR="00275C16" w:rsidRPr="005F5EE2" w:rsidRDefault="00EC2C57" w:rsidP="00EC2C57">
      <w:pPr>
        <w:pStyle w:val="ListParagraph"/>
        <w:keepNext/>
        <w:spacing w:after="120"/>
        <w:ind w:left="567"/>
        <w:contextualSpacing w:val="0"/>
        <w:rPr>
          <w:rFonts w:cs="Arial"/>
          <w:lang w:val="fr-CH"/>
        </w:rPr>
      </w:pPr>
      <w:r w:rsidRPr="005F5EE2">
        <w:rPr>
          <w:rFonts w:cs="Arial"/>
          <w:lang w:val="fr-CH"/>
        </w:rPr>
        <w:t>Adoption de documents (document C/55/3</w:t>
      </w:r>
      <w:r w:rsidR="004011A9" w:rsidRPr="005F5EE2">
        <w:rPr>
          <w:rFonts w:cs="Arial"/>
          <w:lang w:val="fr-CH"/>
        </w:rPr>
        <w:t> </w:t>
      </w:r>
      <w:proofErr w:type="spellStart"/>
      <w:r w:rsidRPr="005F5EE2">
        <w:rPr>
          <w:rFonts w:cs="Arial"/>
          <w:lang w:val="fr-CH"/>
        </w:rPr>
        <w:t>Rev</w:t>
      </w:r>
      <w:proofErr w:type="spellEnd"/>
      <w:r w:rsidRPr="005F5EE2">
        <w:rPr>
          <w:rFonts w:cs="Arial"/>
          <w:lang w:val="fr-CH"/>
        </w:rPr>
        <w:t>.)</w:t>
      </w:r>
    </w:p>
    <w:p w:rsidR="007D6DCE" w:rsidRPr="005F5EE2" w:rsidRDefault="00EC2C57" w:rsidP="00EC2C57">
      <w:pPr>
        <w:pStyle w:val="ListParagraph"/>
        <w:keepNext/>
        <w:spacing w:after="60"/>
        <w:ind w:left="1134"/>
        <w:contextualSpacing w:val="0"/>
        <w:rPr>
          <w:rFonts w:cs="Arial"/>
          <w:lang w:val="fr-CH"/>
        </w:rPr>
      </w:pPr>
      <w:r w:rsidRPr="005F5EE2">
        <w:rPr>
          <w:rFonts w:cs="Arial"/>
          <w:lang w:val="fr-CH"/>
        </w:rPr>
        <w:t>UPOV/INF/16</w:t>
      </w:r>
      <w:r w:rsidR="007D6DCE" w:rsidRPr="005F5EE2">
        <w:rPr>
          <w:rFonts w:cs="Arial"/>
          <w:lang w:val="fr-CH"/>
        </w:rPr>
        <w:t> :</w:t>
      </w:r>
      <w:r w:rsidRPr="005F5EE2">
        <w:rPr>
          <w:rFonts w:cs="Arial"/>
          <w:lang w:val="fr-CH"/>
        </w:rPr>
        <w:t xml:space="preserve"> </w:t>
      </w:r>
      <w:r w:rsidRPr="005F5EE2">
        <w:rPr>
          <w:rFonts w:cs="Arial"/>
          <w:lang w:val="fr-CH"/>
        </w:rPr>
        <w:tab/>
        <w:t>Logiciels échangeables (révision) (document</w:t>
      </w:r>
      <w:r w:rsidR="00625CBD" w:rsidRPr="005F5EE2">
        <w:rPr>
          <w:rFonts w:cs="Arial"/>
          <w:lang w:val="fr-CH"/>
        </w:rPr>
        <w:t> </w:t>
      </w:r>
      <w:r w:rsidRPr="005F5EE2">
        <w:rPr>
          <w:rFonts w:cs="Arial"/>
          <w:lang w:val="fr-CH"/>
        </w:rPr>
        <w:t xml:space="preserve">UPOV/INF/16/10 </w:t>
      </w:r>
      <w:proofErr w:type="spellStart"/>
      <w:r w:rsidRPr="005F5EE2">
        <w:rPr>
          <w:rFonts w:cs="Arial"/>
          <w:lang w:val="fr-CH"/>
        </w:rPr>
        <w:t>Draft</w:t>
      </w:r>
      <w:proofErr w:type="spellEnd"/>
      <w:r w:rsidR="00625CBD" w:rsidRPr="005F5EE2">
        <w:rPr>
          <w:rFonts w:cs="Arial"/>
          <w:lang w:val="fr-CH"/>
        </w:rPr>
        <w:t> </w:t>
      </w:r>
      <w:r w:rsidRPr="005F5EE2">
        <w:rPr>
          <w:rFonts w:cs="Arial"/>
          <w:lang w:val="fr-CH"/>
        </w:rPr>
        <w:t>2)</w:t>
      </w:r>
    </w:p>
    <w:p w:rsidR="00275C16" w:rsidRPr="005F5EE2" w:rsidRDefault="00EC2C57" w:rsidP="00EC2C57">
      <w:pPr>
        <w:pStyle w:val="ListParagraph"/>
        <w:keepNext/>
        <w:ind w:left="1138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>UPOV/INF/22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="004011A9" w:rsidRPr="005F5EE2">
        <w:rPr>
          <w:rFonts w:cs="Angsana New"/>
          <w:szCs w:val="24"/>
          <w:lang w:val="fr-CH" w:eastAsia="ja-JP" w:bidi="th-TH"/>
        </w:rPr>
        <w:t xml:space="preserve"> </w:t>
      </w:r>
      <w:r w:rsidRPr="005F5EE2">
        <w:rPr>
          <w:lang w:val="fr-CH"/>
        </w:rPr>
        <w:tab/>
      </w:r>
      <w:r w:rsidRPr="005F5EE2">
        <w:rPr>
          <w:rFonts w:cs="Angsana New"/>
          <w:szCs w:val="24"/>
          <w:lang w:val="fr-CH" w:eastAsia="ja-JP" w:bidi="th-TH"/>
        </w:rPr>
        <w:t>Logiciels et équipements utilisés par les membres de l</w:t>
      </w:r>
      <w:r w:rsidR="007D6DCE" w:rsidRPr="005F5EE2">
        <w:rPr>
          <w:rFonts w:cs="Angsana New"/>
          <w:szCs w:val="24"/>
          <w:lang w:val="fr-CH" w:eastAsia="ja-JP" w:bidi="th-TH"/>
        </w:rPr>
        <w:t>’</w:t>
      </w:r>
      <w:r w:rsidRPr="005F5EE2">
        <w:rPr>
          <w:rFonts w:cs="Angsana New"/>
          <w:szCs w:val="24"/>
          <w:lang w:val="fr-CH" w:eastAsia="ja-JP" w:bidi="th-TH"/>
        </w:rPr>
        <w:t>Union (révision) (document</w:t>
      </w:r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Pr="005F5EE2">
        <w:rPr>
          <w:rFonts w:cs="Angsana New"/>
          <w:szCs w:val="24"/>
          <w:lang w:val="fr-CH" w:eastAsia="ja-JP" w:bidi="th-TH"/>
        </w:rPr>
        <w:t xml:space="preserve">UPOV/INF/22/8 </w:t>
      </w:r>
      <w:proofErr w:type="spellStart"/>
      <w:r w:rsidRPr="005F5EE2">
        <w:rPr>
          <w:rFonts w:cs="Angsana New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Pr="005F5EE2">
        <w:rPr>
          <w:rFonts w:cs="Angsana New"/>
          <w:szCs w:val="24"/>
          <w:lang w:val="fr-CH" w:eastAsia="ja-JP" w:bidi="th-TH"/>
        </w:rPr>
        <w:t>2)</w:t>
      </w:r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5907AC" w:rsidP="00EC2C57">
      <w:pPr>
        <w:keepNext/>
        <w:rPr>
          <w:rFonts w:cs="Arial"/>
          <w:lang w:val="fr-CH"/>
        </w:rPr>
      </w:pPr>
      <w:r w:rsidRPr="005F5EE2">
        <w:rPr>
          <w:rFonts w:cs="Arial"/>
        </w:rPr>
        <w:fldChar w:fldCharType="begin"/>
      </w:r>
      <w:r w:rsidRPr="005F5EE2">
        <w:rPr>
          <w:rFonts w:cs="Arial"/>
          <w:lang w:val="fr-CH"/>
        </w:rPr>
        <w:instrText xml:space="preserve"> AUTONUM  </w:instrText>
      </w:r>
      <w:r w:rsidRPr="005F5EE2">
        <w:rPr>
          <w:rFonts w:cs="Arial"/>
        </w:rPr>
        <w:fldChar w:fldCharType="end"/>
      </w:r>
      <w:r w:rsidRPr="005F5EE2">
        <w:rPr>
          <w:rFonts w:cs="Arial"/>
          <w:lang w:val="fr-CH"/>
        </w:rPr>
        <w:tab/>
      </w:r>
      <w:r w:rsidR="00EC2C57" w:rsidRPr="005F5EE2">
        <w:rPr>
          <w:rFonts w:cs="Arial"/>
          <w:lang w:val="fr-CH"/>
        </w:rPr>
        <w:t>La circulaire</w:t>
      </w:r>
      <w:r w:rsidR="00625CBD" w:rsidRPr="005F5EE2">
        <w:rPr>
          <w:rFonts w:cs="Arial"/>
          <w:lang w:val="fr-CH"/>
        </w:rPr>
        <w:t> </w:t>
      </w:r>
      <w:r w:rsidR="00EC2C57" w:rsidRPr="005F5EE2">
        <w:rPr>
          <w:rFonts w:cs="Arial"/>
          <w:lang w:val="fr-CH"/>
        </w:rPr>
        <w:t>E</w:t>
      </w:r>
      <w:r w:rsidR="007D6DCE" w:rsidRPr="005F5EE2">
        <w:rPr>
          <w:rFonts w:cs="Arial"/>
          <w:lang w:val="fr-CH"/>
        </w:rPr>
        <w:t>-</w:t>
      </w:r>
      <w:r w:rsidR="00EC2C57" w:rsidRPr="005F5EE2">
        <w:rPr>
          <w:rFonts w:cs="Arial"/>
          <w:lang w:val="fr-CH"/>
        </w:rPr>
        <w:t>21/125 du 2</w:t>
      </w:r>
      <w:r w:rsidR="007D6DCE" w:rsidRPr="005F5EE2">
        <w:rPr>
          <w:rFonts w:cs="Arial"/>
          <w:lang w:val="fr-CH"/>
        </w:rPr>
        <w:t>3 août 20</w:t>
      </w:r>
      <w:r w:rsidR="00EC2C57" w:rsidRPr="005F5EE2">
        <w:rPr>
          <w:rFonts w:cs="Arial"/>
          <w:lang w:val="fr-CH"/>
        </w:rPr>
        <w:t xml:space="preserve">21 a invité le Conseil à approuver la ou les décisions </w:t>
      </w:r>
      <w:r w:rsidR="006A6B8C" w:rsidRPr="005F5EE2">
        <w:rPr>
          <w:rFonts w:cs="Arial"/>
          <w:lang w:val="fr-CH"/>
        </w:rPr>
        <w:t xml:space="preserve">proposées </w:t>
      </w:r>
      <w:r w:rsidR="00EC2C57" w:rsidRPr="005F5EE2">
        <w:rPr>
          <w:rFonts w:cs="Arial"/>
          <w:lang w:val="fr-CH"/>
        </w:rPr>
        <w:t>contenues dans le document</w:t>
      </w:r>
      <w:r w:rsidR="00625CBD" w:rsidRPr="005F5EE2">
        <w:rPr>
          <w:rFonts w:cs="Arial"/>
          <w:lang w:val="fr-CH"/>
        </w:rPr>
        <w:t> </w:t>
      </w:r>
      <w:r w:rsidR="00EC2C57" w:rsidRPr="005F5EE2">
        <w:rPr>
          <w:rFonts w:cs="Arial"/>
          <w:lang w:val="fr-CH"/>
        </w:rPr>
        <w:t>C/55/3</w:t>
      </w:r>
      <w:r w:rsidR="004011A9" w:rsidRPr="005F5EE2">
        <w:rPr>
          <w:rFonts w:cs="Arial"/>
          <w:lang w:val="fr-CH"/>
        </w:rPr>
        <w:t> </w:t>
      </w:r>
      <w:proofErr w:type="spellStart"/>
      <w:r w:rsidR="00EC2C57" w:rsidRPr="005F5EE2">
        <w:rPr>
          <w:rFonts w:cs="Arial"/>
          <w:lang w:val="fr-CH"/>
        </w:rPr>
        <w:t>Rev</w:t>
      </w:r>
      <w:proofErr w:type="spellEnd"/>
      <w:r w:rsidR="00EC2C57" w:rsidRPr="005F5EE2">
        <w:rPr>
          <w:rFonts w:cs="Arial"/>
          <w:lang w:val="fr-CH"/>
        </w:rPr>
        <w:t xml:space="preserve">. </w:t>
      </w:r>
      <w:r w:rsidR="007D6DCE" w:rsidRPr="005F5EE2">
        <w:rPr>
          <w:rFonts w:cs="Arial"/>
          <w:lang w:val="fr-CH"/>
        </w:rPr>
        <w:t>“A</w:t>
      </w:r>
      <w:r w:rsidR="00EC2C57" w:rsidRPr="005F5EE2">
        <w:rPr>
          <w:rFonts w:cs="Arial"/>
          <w:lang w:val="fr-CH"/>
        </w:rPr>
        <w:t>doption de document</w:t>
      </w:r>
      <w:r w:rsidR="007D6DCE" w:rsidRPr="005F5EE2">
        <w:rPr>
          <w:rFonts w:cs="Arial"/>
          <w:lang w:val="fr-CH"/>
        </w:rPr>
        <w:t>s”</w:t>
      </w:r>
      <w:r w:rsidR="00EC2C57" w:rsidRPr="005F5EE2">
        <w:rPr>
          <w:rFonts w:cs="Arial"/>
          <w:lang w:val="fr-CH"/>
        </w:rPr>
        <w:t xml:space="preserve"> dans un délai de 30</w:t>
      </w:r>
      <w:r w:rsidR="00625CBD" w:rsidRPr="005F5EE2">
        <w:rPr>
          <w:rFonts w:cs="Arial"/>
          <w:lang w:val="fr-CH"/>
        </w:rPr>
        <w:t> </w:t>
      </w:r>
      <w:r w:rsidR="00EC2C57" w:rsidRPr="005F5EE2">
        <w:rPr>
          <w:rFonts w:cs="Arial"/>
          <w:lang w:val="fr-CH"/>
        </w:rPr>
        <w:t>jours (</w:t>
      </w:r>
      <w:r w:rsidR="006A6B8C" w:rsidRPr="00B57FD2">
        <w:t>soit d</w:t>
      </w:r>
      <w:r w:rsidR="006A6B8C">
        <w:t>’</w:t>
      </w:r>
      <w:r w:rsidR="006A6B8C" w:rsidRPr="00B57FD2">
        <w:t>ici le</w:t>
      </w:r>
      <w:r w:rsidR="006A6B8C">
        <w:rPr>
          <w:rFonts w:cs="Arial"/>
          <w:lang w:val="fr-CH"/>
        </w:rPr>
        <w:t> </w:t>
      </w:r>
      <w:r w:rsidR="00EC2C57" w:rsidRPr="005F5EE2">
        <w:rPr>
          <w:rFonts w:cs="Arial"/>
          <w:lang w:val="fr-CH"/>
        </w:rPr>
        <w:t>2</w:t>
      </w:r>
      <w:r w:rsidR="007D6DCE" w:rsidRPr="005F5EE2">
        <w:rPr>
          <w:rFonts w:cs="Arial"/>
          <w:lang w:val="fr-CH"/>
        </w:rPr>
        <w:t>1 septembre 20</w:t>
      </w:r>
      <w:r w:rsidR="00EC2C57" w:rsidRPr="005F5EE2">
        <w:rPr>
          <w:rFonts w:cs="Arial"/>
          <w:lang w:val="fr-CH"/>
        </w:rPr>
        <w:t>21).</w:t>
      </w:r>
    </w:p>
    <w:p w:rsidR="00275C16" w:rsidRPr="005F5EE2" w:rsidRDefault="00275C16" w:rsidP="005907AC">
      <w:pPr>
        <w:rPr>
          <w:sz w:val="16"/>
          <w:highlight w:val="lightGray"/>
          <w:lang w:val="fr-CH"/>
        </w:rPr>
      </w:pPr>
    </w:p>
    <w:p w:rsidR="007D6DCE" w:rsidRPr="005F5EE2" w:rsidRDefault="005907AC" w:rsidP="004219FA">
      <w:pPr>
        <w:keepNext/>
        <w:keepLines/>
        <w:spacing w:after="120"/>
        <w:rPr>
          <w:rFonts w:cs="Arial"/>
          <w:lang w:val="fr-CH"/>
        </w:rPr>
      </w:pPr>
      <w:r w:rsidRPr="005F5EE2">
        <w:rPr>
          <w:rFonts w:cs="Arial"/>
        </w:rPr>
        <w:fldChar w:fldCharType="begin"/>
      </w:r>
      <w:r w:rsidRPr="005F5EE2">
        <w:rPr>
          <w:rFonts w:cs="Arial"/>
          <w:lang w:val="fr-CH"/>
        </w:rPr>
        <w:instrText xml:space="preserve"> AUTONUM  </w:instrText>
      </w:r>
      <w:r w:rsidRPr="005F5EE2">
        <w:rPr>
          <w:rFonts w:cs="Arial"/>
        </w:rPr>
        <w:fldChar w:fldCharType="end"/>
      </w:r>
      <w:r w:rsidRPr="005F5EE2">
        <w:rPr>
          <w:rFonts w:cs="Arial"/>
          <w:lang w:val="fr-CH"/>
        </w:rPr>
        <w:tab/>
      </w:r>
      <w:r w:rsidR="004219FA" w:rsidRPr="005F5EE2">
        <w:rPr>
          <w:rFonts w:cs="Arial"/>
          <w:lang w:val="fr-CH"/>
        </w:rPr>
        <w:t>Dans la circulaire</w:t>
      </w:r>
      <w:r w:rsidR="00625CBD" w:rsidRPr="005F5EE2">
        <w:rPr>
          <w:rFonts w:cs="Arial"/>
          <w:lang w:val="fr-CH"/>
        </w:rPr>
        <w:t> </w:t>
      </w:r>
      <w:r w:rsidR="004219FA" w:rsidRPr="005F5EE2">
        <w:rPr>
          <w:rFonts w:cs="Arial"/>
          <w:lang w:val="fr-CH"/>
        </w:rPr>
        <w:t>E</w:t>
      </w:r>
      <w:r w:rsidR="007D6DCE" w:rsidRPr="005F5EE2">
        <w:rPr>
          <w:rFonts w:cs="Arial"/>
          <w:lang w:val="fr-CH"/>
        </w:rPr>
        <w:t>-</w:t>
      </w:r>
      <w:r w:rsidR="004219FA" w:rsidRPr="005F5EE2">
        <w:rPr>
          <w:rFonts w:cs="Arial"/>
          <w:lang w:val="fr-CH"/>
        </w:rPr>
        <w:t>21/125 du 2</w:t>
      </w:r>
      <w:r w:rsidR="007D6DCE" w:rsidRPr="005F5EE2">
        <w:rPr>
          <w:rFonts w:cs="Arial"/>
          <w:lang w:val="fr-CH"/>
        </w:rPr>
        <w:t>3 août 20</w:t>
      </w:r>
      <w:r w:rsidR="004219FA" w:rsidRPr="005F5EE2">
        <w:rPr>
          <w:rFonts w:cs="Arial"/>
          <w:lang w:val="fr-CH"/>
        </w:rPr>
        <w:t>21, les documents identifiés dans le document</w:t>
      </w:r>
      <w:r w:rsidR="00625CBD" w:rsidRPr="005F5EE2">
        <w:rPr>
          <w:rFonts w:cs="Arial"/>
          <w:lang w:val="fr-CH"/>
        </w:rPr>
        <w:t> </w:t>
      </w:r>
      <w:r w:rsidR="004219FA" w:rsidRPr="005F5EE2">
        <w:rPr>
          <w:rFonts w:cs="Arial"/>
          <w:lang w:val="fr-CH"/>
        </w:rPr>
        <w:t>C/55/1 (projet d</w:t>
      </w:r>
      <w:r w:rsidR="007D6DCE" w:rsidRPr="005F5EE2">
        <w:rPr>
          <w:rFonts w:cs="Arial"/>
          <w:lang w:val="fr-CH"/>
        </w:rPr>
        <w:t>’</w:t>
      </w:r>
      <w:r w:rsidR="004219FA" w:rsidRPr="005F5EE2">
        <w:rPr>
          <w:rFonts w:cs="Arial"/>
          <w:lang w:val="fr-CH"/>
        </w:rPr>
        <w:t>ordre du jour) par deux</w:t>
      </w:r>
      <w:r w:rsidR="004011A9" w:rsidRPr="005F5EE2">
        <w:rPr>
          <w:rFonts w:cs="Arial"/>
          <w:lang w:val="fr-CH"/>
        </w:rPr>
        <w:t> </w:t>
      </w:r>
      <w:r w:rsidR="004219FA" w:rsidRPr="005F5EE2">
        <w:rPr>
          <w:rFonts w:cs="Arial"/>
          <w:lang w:val="fr-CH"/>
        </w:rPr>
        <w:t>astérisques (**) ont également été inclus pour être examinés par correspondance conformément à la procédure spécifique convenue par l</w:t>
      </w:r>
      <w:r w:rsidR="007D6DCE" w:rsidRPr="005F5EE2">
        <w:rPr>
          <w:rFonts w:cs="Arial"/>
          <w:lang w:val="fr-CH"/>
        </w:rPr>
        <w:t>’</w:t>
      </w:r>
      <w:r w:rsidR="004219FA" w:rsidRPr="005F5EE2">
        <w:rPr>
          <w:rFonts w:cs="Arial"/>
          <w:lang w:val="fr-CH"/>
        </w:rPr>
        <w:t>organe compétent de l</w:t>
      </w:r>
      <w:r w:rsidR="007D6DCE" w:rsidRPr="005F5EE2">
        <w:rPr>
          <w:rFonts w:cs="Arial"/>
          <w:lang w:val="fr-CH"/>
        </w:rPr>
        <w:t>’</w:t>
      </w:r>
      <w:r w:rsidR="004219FA" w:rsidRPr="005F5EE2">
        <w:rPr>
          <w:rFonts w:cs="Arial"/>
          <w:lang w:val="fr-CH"/>
        </w:rPr>
        <w:t>U</w:t>
      </w:r>
      <w:r w:rsidR="00EA5D40" w:rsidRPr="005F5EE2">
        <w:rPr>
          <w:rFonts w:cs="Arial"/>
          <w:lang w:val="fr-CH"/>
        </w:rPr>
        <w:t xml:space="preserve">POV.  </w:t>
      </w:r>
      <w:r w:rsidR="00EA5D40" w:rsidRPr="005F5EE2">
        <w:rPr>
          <w:rFonts w:cs="Arial"/>
          <w:lang w:val="fr-CH" w:eastAsia="fr-FR"/>
        </w:rPr>
        <w:t>Le</w:t>
      </w:r>
      <w:r w:rsidR="004219FA" w:rsidRPr="005F5EE2">
        <w:rPr>
          <w:rFonts w:cs="Arial"/>
          <w:lang w:val="fr-CH" w:eastAsia="fr-FR"/>
        </w:rPr>
        <w:t xml:space="preserve"> Conseil a été invité à approuver la ou les décisions proposées contenues dans les documents suivants dans un délai de 30</w:t>
      </w:r>
      <w:r w:rsidR="00625CBD" w:rsidRPr="005F5EE2">
        <w:rPr>
          <w:rFonts w:cs="Arial"/>
          <w:lang w:val="fr-CH" w:eastAsia="fr-FR"/>
        </w:rPr>
        <w:t> </w:t>
      </w:r>
      <w:r w:rsidR="004219FA" w:rsidRPr="005F5EE2">
        <w:rPr>
          <w:rFonts w:cs="Arial"/>
          <w:lang w:val="fr-CH" w:eastAsia="fr-FR"/>
        </w:rPr>
        <w:t>jours (c</w:t>
      </w:r>
      <w:r w:rsidR="007D6DCE" w:rsidRPr="005F5EE2">
        <w:rPr>
          <w:rFonts w:cs="Arial"/>
          <w:lang w:val="fr-CH" w:eastAsia="fr-FR"/>
        </w:rPr>
        <w:t>’</w:t>
      </w:r>
      <w:r w:rsidR="004219FA" w:rsidRPr="005F5EE2">
        <w:rPr>
          <w:rFonts w:cs="Arial"/>
          <w:lang w:val="fr-CH" w:eastAsia="fr-FR"/>
        </w:rPr>
        <w:t>est</w:t>
      </w:r>
      <w:r w:rsidR="007D6DCE" w:rsidRPr="005F5EE2">
        <w:rPr>
          <w:rFonts w:cs="Arial"/>
          <w:lang w:val="fr-CH" w:eastAsia="fr-FR"/>
        </w:rPr>
        <w:t>-</w:t>
      </w:r>
      <w:r w:rsidR="004219FA" w:rsidRPr="005F5EE2">
        <w:rPr>
          <w:rFonts w:cs="Arial"/>
          <w:lang w:val="fr-CH" w:eastAsia="fr-FR"/>
        </w:rPr>
        <w:t>à</w:t>
      </w:r>
      <w:r w:rsidR="007D6DCE" w:rsidRPr="005F5EE2">
        <w:rPr>
          <w:rFonts w:cs="Arial"/>
          <w:lang w:val="fr-CH" w:eastAsia="fr-FR"/>
        </w:rPr>
        <w:t>-</w:t>
      </w:r>
      <w:r w:rsidR="004219FA" w:rsidRPr="005F5EE2">
        <w:rPr>
          <w:rFonts w:cs="Arial"/>
          <w:lang w:val="fr-CH" w:eastAsia="fr-FR"/>
        </w:rPr>
        <w:t>dire, pour le 2</w:t>
      </w:r>
      <w:r w:rsidR="007D6DCE" w:rsidRPr="005F5EE2">
        <w:rPr>
          <w:rFonts w:cs="Arial"/>
          <w:lang w:val="fr-CH" w:eastAsia="fr-FR"/>
        </w:rPr>
        <w:t>1 septembre 20</w:t>
      </w:r>
      <w:r w:rsidR="004219FA" w:rsidRPr="005F5EE2">
        <w:rPr>
          <w:rFonts w:cs="Arial"/>
          <w:lang w:val="fr-CH" w:eastAsia="fr-FR"/>
        </w:rPr>
        <w:t>21)</w:t>
      </w:r>
      <w:r w:rsidR="007D6DCE" w:rsidRPr="005F5EE2">
        <w:rPr>
          <w:rFonts w:cs="Arial"/>
          <w:lang w:val="fr-CH" w:eastAsia="fr-FR"/>
        </w:rPr>
        <w:t> :</w:t>
      </w:r>
    </w:p>
    <w:p w:rsidR="00275C16" w:rsidRPr="005F5EE2" w:rsidRDefault="00B26E8B" w:rsidP="00B26E8B">
      <w:pPr>
        <w:pStyle w:val="ListParagraph"/>
        <w:keepNext/>
        <w:spacing w:after="120"/>
        <w:ind w:left="567"/>
        <w:contextualSpacing w:val="0"/>
        <w:rPr>
          <w:rFonts w:cs="Arial"/>
          <w:lang w:val="fr-CH"/>
        </w:rPr>
      </w:pPr>
      <w:r w:rsidRPr="005F5EE2">
        <w:rPr>
          <w:rFonts w:cs="Arial"/>
          <w:lang w:val="fr-CH"/>
        </w:rPr>
        <w:t>Prolongation du mandat du Secrétaire général adjoint et procédure de nomination d</w:t>
      </w:r>
      <w:r w:rsidR="007D6DCE" w:rsidRPr="005F5EE2">
        <w:rPr>
          <w:rFonts w:cs="Arial"/>
          <w:lang w:val="fr-CH"/>
        </w:rPr>
        <w:t>’</w:t>
      </w:r>
      <w:r w:rsidRPr="005F5EE2">
        <w:rPr>
          <w:rFonts w:cs="Arial"/>
          <w:lang w:val="fr-CH"/>
        </w:rPr>
        <w:t>un nouveau Secrétaire général adjoint (document</w:t>
      </w:r>
      <w:r w:rsidR="00625CBD" w:rsidRPr="005F5EE2">
        <w:rPr>
          <w:rFonts w:cs="Arial"/>
          <w:lang w:val="fr-CH"/>
        </w:rPr>
        <w:t> </w:t>
      </w:r>
      <w:r w:rsidRPr="005F5EE2">
        <w:rPr>
          <w:rFonts w:cs="Arial"/>
          <w:lang w:val="fr-CH"/>
        </w:rPr>
        <w:t>C/55/</w:t>
      </w:r>
      <w:proofErr w:type="gramStart"/>
      <w:r w:rsidRPr="005F5EE2">
        <w:rPr>
          <w:rFonts w:cs="Arial"/>
          <w:lang w:val="fr-CH"/>
        </w:rPr>
        <w:t>10)*</w:t>
      </w:r>
      <w:proofErr w:type="gramEnd"/>
      <w:r w:rsidRPr="005F5EE2">
        <w:rPr>
          <w:rFonts w:cs="Arial"/>
          <w:lang w:val="fr-CH"/>
        </w:rPr>
        <w:t>*</w:t>
      </w:r>
    </w:p>
    <w:p w:rsidR="007D6DCE" w:rsidRPr="005F5EE2" w:rsidRDefault="00B26E8B" w:rsidP="00B26E8B">
      <w:pPr>
        <w:pStyle w:val="ListParagraph"/>
        <w:keepNext/>
        <w:spacing w:after="120"/>
        <w:ind w:left="567"/>
        <w:contextualSpacing w:val="0"/>
        <w:rPr>
          <w:rFonts w:cs="Arial"/>
          <w:lang w:val="fr-CH"/>
        </w:rPr>
      </w:pPr>
      <w:r w:rsidRPr="005F5EE2">
        <w:rPr>
          <w:rFonts w:cs="Arial"/>
          <w:lang w:val="fr-CH"/>
        </w:rPr>
        <w:t xml:space="preserve">Notes explicatives concernant les dénominations variétales en vertu de la </w:t>
      </w:r>
      <w:r w:rsidR="007D6DCE" w:rsidRPr="005F5EE2">
        <w:rPr>
          <w:rFonts w:cs="Arial"/>
          <w:lang w:val="fr-CH"/>
        </w:rPr>
        <w:t>Convention UPOV</w:t>
      </w:r>
      <w:r w:rsidRPr="005F5EE2">
        <w:rPr>
          <w:rFonts w:cs="Arial"/>
          <w:lang w:val="fr-CH"/>
        </w:rPr>
        <w:t xml:space="preserve"> (document</w:t>
      </w:r>
      <w:r w:rsidR="00625CBD" w:rsidRPr="005F5EE2">
        <w:rPr>
          <w:rFonts w:cs="Arial"/>
          <w:lang w:val="fr-CH"/>
        </w:rPr>
        <w:t> </w:t>
      </w:r>
      <w:r w:rsidRPr="005F5EE2">
        <w:rPr>
          <w:rFonts w:cs="Arial"/>
          <w:lang w:val="fr-CH"/>
        </w:rPr>
        <w:t>C/55/</w:t>
      </w:r>
      <w:proofErr w:type="gramStart"/>
      <w:r w:rsidRPr="005F5EE2">
        <w:rPr>
          <w:rFonts w:cs="Arial"/>
          <w:lang w:val="fr-CH"/>
        </w:rPr>
        <w:t>11)*</w:t>
      </w:r>
      <w:proofErr w:type="gramEnd"/>
      <w:r w:rsidRPr="005F5EE2">
        <w:rPr>
          <w:rFonts w:cs="Arial"/>
          <w:lang w:val="fr-CH"/>
        </w:rPr>
        <w:t>*</w:t>
      </w:r>
    </w:p>
    <w:p w:rsidR="00275C16" w:rsidRPr="005F5EE2" w:rsidRDefault="00B26E8B" w:rsidP="00B26E8B">
      <w:pPr>
        <w:spacing w:after="120"/>
        <w:ind w:left="562"/>
        <w:jc w:val="left"/>
        <w:rPr>
          <w:rFonts w:cs="Arial"/>
          <w:lang w:val="fr-CH"/>
        </w:rPr>
      </w:pPr>
      <w:r w:rsidRPr="005F5EE2">
        <w:rPr>
          <w:rFonts w:cs="Arial"/>
          <w:lang w:val="fr-CH"/>
        </w:rPr>
        <w:t xml:space="preserve">Notes explicatives concernant les dénominations variétales en vertu de la </w:t>
      </w:r>
      <w:r w:rsidR="007D6DCE" w:rsidRPr="005F5EE2">
        <w:rPr>
          <w:rFonts w:cs="Arial"/>
          <w:lang w:val="fr-CH"/>
        </w:rPr>
        <w:t>Convention UPOV</w:t>
      </w:r>
      <w:r w:rsidRPr="005F5EE2">
        <w:rPr>
          <w:rFonts w:cs="Arial"/>
          <w:lang w:val="fr-CH"/>
        </w:rPr>
        <w:t xml:space="preserve"> (document</w:t>
      </w:r>
      <w:r w:rsidR="00625CBD" w:rsidRPr="005F5EE2">
        <w:rPr>
          <w:rFonts w:cs="Arial"/>
          <w:lang w:val="fr-CH"/>
        </w:rPr>
        <w:t> </w:t>
      </w:r>
      <w:r w:rsidRPr="005F5EE2">
        <w:rPr>
          <w:rFonts w:cs="Arial"/>
          <w:lang w:val="fr-CH"/>
        </w:rPr>
        <w:t xml:space="preserve">UPOV/EXN/DEN/1 </w:t>
      </w:r>
      <w:proofErr w:type="spellStart"/>
      <w:r w:rsidRPr="005F5EE2">
        <w:rPr>
          <w:rFonts w:cs="Arial"/>
          <w:lang w:val="fr-CH"/>
        </w:rPr>
        <w:t>Draft</w:t>
      </w:r>
      <w:proofErr w:type="spellEnd"/>
      <w:r w:rsidR="00625CBD" w:rsidRPr="005F5EE2">
        <w:rPr>
          <w:rFonts w:cs="Arial"/>
          <w:lang w:val="fr-CH"/>
        </w:rPr>
        <w:t> </w:t>
      </w:r>
      <w:proofErr w:type="gramStart"/>
      <w:r w:rsidRPr="005F5EE2">
        <w:rPr>
          <w:rFonts w:cs="Arial"/>
          <w:lang w:val="fr-CH"/>
        </w:rPr>
        <w:t>6)*</w:t>
      </w:r>
      <w:proofErr w:type="gramEnd"/>
      <w:r w:rsidRPr="005F5EE2">
        <w:rPr>
          <w:rFonts w:cs="Arial"/>
          <w:lang w:val="fr-CH"/>
        </w:rPr>
        <w:t>*</w:t>
      </w:r>
    </w:p>
    <w:p w:rsidR="00275C16" w:rsidRPr="005F5EE2" w:rsidRDefault="00B26E8B" w:rsidP="00B26E8B">
      <w:pPr>
        <w:pStyle w:val="ListParagraph"/>
        <w:keepNext/>
        <w:spacing w:after="120"/>
        <w:ind w:left="567"/>
        <w:contextualSpacing w:val="0"/>
        <w:rPr>
          <w:rFonts w:cs="Arial"/>
          <w:lang w:val="fr-CH"/>
        </w:rPr>
      </w:pPr>
      <w:r w:rsidRPr="005F5EE2">
        <w:rPr>
          <w:rFonts w:cs="Arial"/>
          <w:lang w:val="fr-CH"/>
        </w:rPr>
        <w:t xml:space="preserve">États financiers </w:t>
      </w:r>
      <w:r w:rsidR="007D6DCE" w:rsidRPr="005F5EE2">
        <w:rPr>
          <w:rFonts w:cs="Arial"/>
          <w:lang w:val="fr-CH"/>
        </w:rPr>
        <w:t>pour 2020</w:t>
      </w:r>
      <w:r w:rsidRPr="005F5EE2">
        <w:rPr>
          <w:rFonts w:cs="Arial"/>
          <w:lang w:val="fr-CH"/>
        </w:rPr>
        <w:t xml:space="preserve"> (document</w:t>
      </w:r>
      <w:r w:rsidR="00625CBD" w:rsidRPr="005F5EE2">
        <w:rPr>
          <w:rFonts w:cs="Arial"/>
          <w:lang w:val="fr-CH"/>
        </w:rPr>
        <w:t> </w:t>
      </w:r>
      <w:r w:rsidRPr="005F5EE2">
        <w:rPr>
          <w:rFonts w:cs="Arial"/>
          <w:lang w:val="fr-CH"/>
        </w:rPr>
        <w:t>C/55/</w:t>
      </w:r>
      <w:proofErr w:type="gramStart"/>
      <w:r w:rsidRPr="005F5EE2">
        <w:rPr>
          <w:rFonts w:cs="Arial"/>
          <w:lang w:val="fr-CH"/>
        </w:rPr>
        <w:t>5)*</w:t>
      </w:r>
      <w:proofErr w:type="gramEnd"/>
      <w:r w:rsidRPr="005F5EE2">
        <w:rPr>
          <w:rFonts w:cs="Arial"/>
          <w:lang w:val="fr-CH"/>
        </w:rPr>
        <w:t>*</w:t>
      </w:r>
    </w:p>
    <w:p w:rsidR="00275C16" w:rsidRPr="005F5EE2" w:rsidRDefault="00B26E8B" w:rsidP="00B26E8B">
      <w:pPr>
        <w:pStyle w:val="ListParagraph"/>
        <w:ind w:left="562"/>
        <w:contextualSpacing w:val="0"/>
        <w:rPr>
          <w:rFonts w:cs="Arial"/>
          <w:lang w:val="fr-CH"/>
        </w:rPr>
      </w:pPr>
      <w:r w:rsidRPr="005F5EE2">
        <w:rPr>
          <w:rFonts w:cs="Arial"/>
          <w:lang w:val="fr-CH"/>
        </w:rPr>
        <w:t>Projet de programme et budget pour l</w:t>
      </w:r>
      <w:r w:rsidR="007D6DCE" w:rsidRPr="005F5EE2">
        <w:rPr>
          <w:rFonts w:cs="Arial"/>
          <w:lang w:val="fr-CH"/>
        </w:rPr>
        <w:t>’</w:t>
      </w:r>
      <w:r w:rsidRPr="005F5EE2">
        <w:rPr>
          <w:rFonts w:cs="Arial"/>
          <w:lang w:val="fr-CH"/>
        </w:rPr>
        <w:t xml:space="preserve">exercice </w:t>
      </w:r>
      <w:r w:rsidR="007D6DCE" w:rsidRPr="005F5EE2">
        <w:rPr>
          <w:rFonts w:cs="Arial"/>
          <w:lang w:val="fr-CH"/>
        </w:rPr>
        <w:t>biennal 2022-</w:t>
      </w:r>
      <w:r w:rsidRPr="005F5EE2">
        <w:rPr>
          <w:rFonts w:cs="Arial"/>
          <w:lang w:val="fr-CH"/>
        </w:rPr>
        <w:t>2023 (document</w:t>
      </w:r>
      <w:r w:rsidR="00625CBD" w:rsidRPr="005F5EE2">
        <w:rPr>
          <w:rFonts w:cs="Arial"/>
          <w:lang w:val="fr-CH"/>
        </w:rPr>
        <w:t> </w:t>
      </w:r>
      <w:r w:rsidRPr="005F5EE2">
        <w:rPr>
          <w:rFonts w:cs="Arial"/>
          <w:lang w:val="fr-CH"/>
        </w:rPr>
        <w:t>C/55/</w:t>
      </w:r>
      <w:proofErr w:type="gramStart"/>
      <w:r w:rsidRPr="005F5EE2">
        <w:rPr>
          <w:rFonts w:cs="Arial"/>
          <w:lang w:val="fr-CH"/>
        </w:rPr>
        <w:t>4)*</w:t>
      </w:r>
      <w:proofErr w:type="gramEnd"/>
      <w:r w:rsidRPr="005F5EE2">
        <w:rPr>
          <w:rFonts w:cs="Arial"/>
          <w:lang w:val="fr-CH"/>
        </w:rPr>
        <w:t>*</w:t>
      </w:r>
    </w:p>
    <w:p w:rsidR="00275C16" w:rsidRPr="005F5EE2" w:rsidRDefault="00275C16" w:rsidP="005907AC">
      <w:pPr>
        <w:ind w:left="1134" w:hanging="1134"/>
        <w:rPr>
          <w:rFonts w:cs="Arial"/>
          <w:sz w:val="16"/>
          <w:highlight w:val="lightGray"/>
          <w:lang w:val="fr-CH"/>
        </w:rPr>
      </w:pPr>
      <w:bookmarkStart w:id="3" w:name="_Toc54004063"/>
    </w:p>
    <w:p w:rsidR="00275C16" w:rsidRPr="005F5EE2" w:rsidRDefault="005907AC" w:rsidP="00B26E8B">
      <w:pPr>
        <w:spacing w:after="80"/>
        <w:rPr>
          <w:rFonts w:cs="Arial"/>
          <w:lang w:val="fr-CH"/>
        </w:rPr>
      </w:pPr>
      <w:r w:rsidRPr="005F5EE2">
        <w:rPr>
          <w:rFonts w:cs="Arial"/>
        </w:rPr>
        <w:fldChar w:fldCharType="begin"/>
      </w:r>
      <w:r w:rsidRPr="005F5EE2">
        <w:rPr>
          <w:rFonts w:cs="Arial"/>
          <w:lang w:val="fr-CH"/>
        </w:rPr>
        <w:instrText xml:space="preserve"> AUTONUM  </w:instrText>
      </w:r>
      <w:r w:rsidRPr="005F5EE2">
        <w:rPr>
          <w:rFonts w:cs="Arial"/>
        </w:rPr>
        <w:fldChar w:fldCharType="end"/>
      </w:r>
      <w:r w:rsidRPr="005F5EE2">
        <w:rPr>
          <w:rFonts w:cs="Arial"/>
          <w:lang w:val="fr-CH"/>
        </w:rPr>
        <w:tab/>
      </w:r>
      <w:r w:rsidR="00B26E8B" w:rsidRPr="005F5EE2">
        <w:rPr>
          <w:rFonts w:cs="Arial"/>
          <w:lang w:val="fr-CH"/>
        </w:rPr>
        <w:t>Aucune objection n</w:t>
      </w:r>
      <w:r w:rsidR="007D6DCE" w:rsidRPr="005F5EE2">
        <w:rPr>
          <w:rFonts w:cs="Arial"/>
          <w:lang w:val="fr-CH"/>
        </w:rPr>
        <w:t>’</w:t>
      </w:r>
      <w:r w:rsidR="00B26E8B" w:rsidRPr="005F5EE2">
        <w:rPr>
          <w:rFonts w:cs="Arial"/>
          <w:lang w:val="fr-CH"/>
        </w:rPr>
        <w:t>ayant été reçue au 2</w:t>
      </w:r>
      <w:r w:rsidR="007D6DCE" w:rsidRPr="005F5EE2">
        <w:rPr>
          <w:rFonts w:cs="Arial"/>
          <w:lang w:val="fr-CH"/>
        </w:rPr>
        <w:t>1 septembre 20</w:t>
      </w:r>
      <w:r w:rsidR="00B26E8B" w:rsidRPr="005F5EE2">
        <w:rPr>
          <w:rFonts w:cs="Arial"/>
          <w:lang w:val="fr-CH"/>
        </w:rPr>
        <w:t>21, les décisions pertinentes dans les documents ci</w:t>
      </w:r>
      <w:r w:rsidR="007D6DCE" w:rsidRPr="005F5EE2">
        <w:rPr>
          <w:rFonts w:cs="Arial"/>
          <w:lang w:val="fr-CH"/>
        </w:rPr>
        <w:t>-</w:t>
      </w:r>
      <w:r w:rsidR="00B26E8B" w:rsidRPr="005F5EE2">
        <w:rPr>
          <w:rFonts w:cs="Arial"/>
          <w:lang w:val="fr-CH"/>
        </w:rPr>
        <w:t>après sont considérées comme ayant été prises par correspondance</w:t>
      </w:r>
      <w:r w:rsidR="007D6DCE" w:rsidRPr="005F5EE2">
        <w:rPr>
          <w:rFonts w:cs="Arial"/>
          <w:lang w:val="fr-CH"/>
        </w:rPr>
        <w:t> :</w:t>
      </w:r>
    </w:p>
    <w:p w:rsidR="00275C16" w:rsidRPr="005F5EE2" w:rsidRDefault="00B26E8B" w:rsidP="00B26E8B">
      <w:pPr>
        <w:pStyle w:val="ListParagraph"/>
        <w:spacing w:before="120" w:after="80"/>
        <w:ind w:left="562"/>
        <w:contextualSpacing w:val="0"/>
        <w:rPr>
          <w:rFonts w:cs="Arial"/>
          <w:lang w:val="fr-CH"/>
        </w:rPr>
      </w:pPr>
      <w:r w:rsidRPr="005F5EE2">
        <w:rPr>
          <w:rFonts w:cs="Arial"/>
          <w:lang w:val="fr-CH"/>
        </w:rPr>
        <w:t>Prolongation du mandat du Secrétaire général adjoint et procédure de nomination d</w:t>
      </w:r>
      <w:r w:rsidR="007D6DCE" w:rsidRPr="005F5EE2">
        <w:rPr>
          <w:rFonts w:cs="Arial"/>
          <w:lang w:val="fr-CH"/>
        </w:rPr>
        <w:t>’</w:t>
      </w:r>
      <w:r w:rsidRPr="005F5EE2">
        <w:rPr>
          <w:rFonts w:cs="Arial"/>
          <w:lang w:val="fr-CH"/>
        </w:rPr>
        <w:t>un nouveau Secrétaire général adjoint (document</w:t>
      </w:r>
      <w:r w:rsidR="00625CBD" w:rsidRPr="005F5EE2">
        <w:rPr>
          <w:rFonts w:cs="Arial"/>
          <w:lang w:val="fr-CH"/>
        </w:rPr>
        <w:t> </w:t>
      </w:r>
      <w:r w:rsidRPr="005F5EE2">
        <w:rPr>
          <w:rFonts w:cs="Arial"/>
          <w:lang w:val="fr-CH"/>
        </w:rPr>
        <w:t>C/55/</w:t>
      </w:r>
      <w:proofErr w:type="gramStart"/>
      <w:r w:rsidRPr="005F5EE2">
        <w:rPr>
          <w:rFonts w:cs="Arial"/>
          <w:lang w:val="fr-CH"/>
        </w:rPr>
        <w:t>10)*</w:t>
      </w:r>
      <w:proofErr w:type="gramEnd"/>
      <w:r w:rsidRPr="005F5EE2">
        <w:rPr>
          <w:rFonts w:cs="Arial"/>
          <w:lang w:val="fr-CH"/>
        </w:rPr>
        <w:t>*</w:t>
      </w:r>
    </w:p>
    <w:p w:rsidR="00275C16" w:rsidRPr="005F5EE2" w:rsidRDefault="00B26E8B" w:rsidP="00BE7D91">
      <w:pPr>
        <w:pStyle w:val="ListParagraph"/>
        <w:keepNext/>
        <w:spacing w:after="80"/>
        <w:ind w:left="567"/>
        <w:contextualSpacing w:val="0"/>
        <w:rPr>
          <w:rFonts w:cs="Arial"/>
          <w:lang w:val="fr-CH"/>
        </w:rPr>
      </w:pPr>
      <w:r w:rsidRPr="005F5EE2">
        <w:rPr>
          <w:rFonts w:cs="Arial"/>
          <w:lang w:val="fr-CH"/>
        </w:rPr>
        <w:lastRenderedPageBreak/>
        <w:t>Adoption de documents (document C/55/3</w:t>
      </w:r>
      <w:r w:rsidR="004011A9" w:rsidRPr="005F5EE2">
        <w:rPr>
          <w:rFonts w:cs="Arial"/>
          <w:lang w:val="fr-CH"/>
        </w:rPr>
        <w:t> </w:t>
      </w:r>
      <w:proofErr w:type="spellStart"/>
      <w:r w:rsidRPr="005F5EE2">
        <w:rPr>
          <w:rFonts w:cs="Arial"/>
          <w:lang w:val="fr-CH"/>
        </w:rPr>
        <w:t>Rev</w:t>
      </w:r>
      <w:proofErr w:type="spellEnd"/>
      <w:proofErr w:type="gramStart"/>
      <w:r w:rsidRPr="005F5EE2">
        <w:rPr>
          <w:rFonts w:cs="Arial"/>
          <w:lang w:val="fr-CH"/>
        </w:rPr>
        <w:t>.)*</w:t>
      </w:r>
      <w:proofErr w:type="gramEnd"/>
    </w:p>
    <w:p w:rsidR="00275C16" w:rsidRPr="005F5EE2" w:rsidRDefault="00B26E8B" w:rsidP="00B26E8B">
      <w:pPr>
        <w:pStyle w:val="ListParagraph"/>
        <w:spacing w:after="60"/>
        <w:ind w:left="2837" w:hanging="1701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>UPOV/INF/6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="004011A9" w:rsidRPr="005F5EE2">
        <w:rPr>
          <w:rFonts w:cs="Angsana New"/>
          <w:szCs w:val="24"/>
          <w:lang w:val="fr-CH" w:eastAsia="ja-JP" w:bidi="th-TH"/>
        </w:rPr>
        <w:t xml:space="preserve"> </w:t>
      </w:r>
      <w:r w:rsidRPr="005F5EE2">
        <w:rPr>
          <w:lang w:val="fr-CH"/>
        </w:rPr>
        <w:tab/>
      </w:r>
      <w:r w:rsidRPr="005F5EE2">
        <w:rPr>
          <w:rFonts w:cs="Angsana New"/>
          <w:szCs w:val="24"/>
          <w:lang w:val="fr-CH" w:eastAsia="ja-JP" w:bidi="th-TH"/>
        </w:rPr>
        <w:t>Orientations en vue de la rédaction de lois fondées sur l</w:t>
      </w:r>
      <w:r w:rsidR="007D6DCE" w:rsidRPr="005F5EE2">
        <w:rPr>
          <w:rFonts w:cs="Angsana New"/>
          <w:szCs w:val="24"/>
          <w:lang w:val="fr-CH" w:eastAsia="ja-JP" w:bidi="th-TH"/>
        </w:rPr>
        <w:t>’</w:t>
      </w:r>
      <w:r w:rsidRPr="005F5EE2">
        <w:rPr>
          <w:rFonts w:cs="Angsana New"/>
          <w:szCs w:val="24"/>
          <w:lang w:val="fr-CH" w:eastAsia="ja-JP" w:bidi="th-TH"/>
        </w:rPr>
        <w:t xml:space="preserve">Acte </w:t>
      </w:r>
      <w:r w:rsidR="007D6DCE" w:rsidRPr="005F5EE2">
        <w:rPr>
          <w:rFonts w:cs="Angsana New"/>
          <w:szCs w:val="24"/>
          <w:lang w:val="fr-CH" w:eastAsia="ja-JP" w:bidi="th-TH"/>
        </w:rPr>
        <w:t>de 1991</w:t>
      </w:r>
      <w:r w:rsidRPr="005F5EE2">
        <w:rPr>
          <w:rFonts w:cs="Angsana New"/>
          <w:szCs w:val="24"/>
          <w:lang w:val="fr-CH" w:eastAsia="ja-JP" w:bidi="th-TH"/>
        </w:rPr>
        <w:t xml:space="preserve"> de la </w:t>
      </w:r>
      <w:r w:rsidR="007D6DCE" w:rsidRPr="005F5EE2">
        <w:rPr>
          <w:rFonts w:cs="Angsana New"/>
          <w:szCs w:val="24"/>
          <w:lang w:val="fr-CH" w:eastAsia="ja-JP" w:bidi="th-TH"/>
        </w:rPr>
        <w:t>Convention UPOV</w:t>
      </w:r>
      <w:r w:rsidRPr="005F5EE2">
        <w:rPr>
          <w:rFonts w:cs="Angsana New"/>
          <w:szCs w:val="24"/>
          <w:lang w:val="fr-CH" w:eastAsia="ja-JP" w:bidi="th-TH"/>
        </w:rPr>
        <w:t xml:space="preserve"> (révision) (annexe du document</w:t>
      </w:r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Pr="005F5EE2">
        <w:rPr>
          <w:rFonts w:cs="Angsana New"/>
          <w:szCs w:val="24"/>
          <w:lang w:val="fr-CH" w:eastAsia="ja-JP" w:bidi="th-TH"/>
        </w:rPr>
        <w:t>C/55/3</w:t>
      </w:r>
      <w:r w:rsidR="004011A9" w:rsidRPr="005F5EE2">
        <w:rPr>
          <w:rFonts w:cs="Angsana New"/>
          <w:szCs w:val="24"/>
          <w:lang w:val="fr-CH" w:eastAsia="ja-JP" w:bidi="th-TH"/>
        </w:rPr>
        <w:t> </w:t>
      </w:r>
      <w:proofErr w:type="spellStart"/>
      <w:r w:rsidRPr="005F5EE2">
        <w:rPr>
          <w:rFonts w:cs="Angsana New"/>
          <w:szCs w:val="24"/>
          <w:lang w:val="fr-CH" w:eastAsia="ja-JP" w:bidi="th-TH"/>
        </w:rPr>
        <w:t>Rev</w:t>
      </w:r>
      <w:proofErr w:type="spellEnd"/>
      <w:proofErr w:type="gramStart"/>
      <w:r w:rsidRPr="005F5EE2">
        <w:rPr>
          <w:rFonts w:cs="Angsana New"/>
          <w:szCs w:val="24"/>
          <w:lang w:val="fr-CH" w:eastAsia="ja-JP" w:bidi="th-TH"/>
        </w:rPr>
        <w:t>.)*</w:t>
      </w:r>
      <w:proofErr w:type="gramEnd"/>
    </w:p>
    <w:p w:rsidR="00275C16" w:rsidRPr="005F5EE2" w:rsidRDefault="00B26E8B" w:rsidP="00B26E8B">
      <w:pPr>
        <w:pStyle w:val="ListParagraph"/>
        <w:spacing w:after="80"/>
        <w:ind w:left="2837" w:hanging="1701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>UPOV/INF/16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="004011A9" w:rsidRPr="005F5EE2">
        <w:rPr>
          <w:rFonts w:cs="Angsana New"/>
          <w:szCs w:val="24"/>
          <w:lang w:val="fr-CH" w:eastAsia="ja-JP" w:bidi="th-TH"/>
        </w:rPr>
        <w:t xml:space="preserve"> </w:t>
      </w:r>
      <w:r w:rsidRPr="005F5EE2">
        <w:rPr>
          <w:lang w:val="fr-CH"/>
        </w:rPr>
        <w:tab/>
      </w:r>
      <w:r w:rsidRPr="005F5EE2">
        <w:rPr>
          <w:rFonts w:cs="Angsana New"/>
          <w:szCs w:val="24"/>
          <w:lang w:val="fr-CH" w:eastAsia="ja-JP" w:bidi="th-TH"/>
        </w:rPr>
        <w:t>Logiciels échangeables (révision) (document</w:t>
      </w:r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Pr="005F5EE2">
        <w:rPr>
          <w:rFonts w:cs="Angsana New"/>
          <w:szCs w:val="24"/>
          <w:lang w:val="fr-CH" w:eastAsia="ja-JP" w:bidi="th-TH"/>
        </w:rPr>
        <w:t xml:space="preserve">UPOV/INF/16/10 </w:t>
      </w:r>
      <w:proofErr w:type="spellStart"/>
      <w:r w:rsidRPr="005F5EE2">
        <w:rPr>
          <w:rFonts w:cs="Angsana New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zCs w:val="24"/>
          <w:lang w:val="fr-CH" w:eastAsia="ja-JP" w:bidi="th-TH"/>
        </w:rPr>
        <w:t> </w:t>
      </w:r>
      <w:proofErr w:type="gramStart"/>
      <w:r w:rsidRPr="005F5EE2">
        <w:rPr>
          <w:rFonts w:cs="Angsana New"/>
          <w:szCs w:val="24"/>
          <w:lang w:val="fr-CH" w:eastAsia="ja-JP" w:bidi="th-TH"/>
        </w:rPr>
        <w:t>2)*</w:t>
      </w:r>
      <w:proofErr w:type="gramEnd"/>
    </w:p>
    <w:p w:rsidR="00275C16" w:rsidRPr="005F5EE2" w:rsidRDefault="00B26E8B" w:rsidP="00B26E8B">
      <w:pPr>
        <w:pStyle w:val="ListParagraph"/>
        <w:ind w:left="2837" w:hanging="1699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>UPOV/INF/17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="004011A9" w:rsidRPr="005F5EE2">
        <w:rPr>
          <w:rFonts w:cs="Angsana New"/>
          <w:szCs w:val="24"/>
          <w:lang w:val="fr-CH" w:eastAsia="ja-JP" w:bidi="th-TH"/>
        </w:rPr>
        <w:t xml:space="preserve"> </w:t>
      </w:r>
      <w:r w:rsidRPr="005F5EE2">
        <w:rPr>
          <w:lang w:val="fr-CH"/>
        </w:rPr>
        <w:tab/>
      </w:r>
      <w:r w:rsidRPr="005F5EE2">
        <w:rPr>
          <w:rFonts w:cs="Angsana New"/>
          <w:szCs w:val="24"/>
          <w:lang w:val="fr-CH" w:eastAsia="ja-JP" w:bidi="th-TH"/>
        </w:rPr>
        <w:t>Directives concernant les profils d</w:t>
      </w:r>
      <w:r w:rsidR="007D6DCE" w:rsidRPr="005F5EE2">
        <w:rPr>
          <w:rFonts w:cs="Angsana New"/>
          <w:szCs w:val="24"/>
          <w:lang w:val="fr-CH" w:eastAsia="ja-JP" w:bidi="th-TH"/>
        </w:rPr>
        <w:t>’</w:t>
      </w:r>
      <w:r w:rsidRPr="005F5EE2">
        <w:rPr>
          <w:rFonts w:cs="Angsana New"/>
          <w:szCs w:val="24"/>
          <w:lang w:val="fr-CH" w:eastAsia="ja-JP" w:bidi="th-TH"/>
        </w:rPr>
        <w:t>ADN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Pr="005F5EE2">
        <w:rPr>
          <w:rFonts w:cs="Angsana New"/>
          <w:szCs w:val="24"/>
          <w:lang w:val="fr-CH" w:eastAsia="ja-JP" w:bidi="th-TH"/>
        </w:rPr>
        <w:t xml:space="preserve"> choix des marqueurs moléculaires et construction d</w:t>
      </w:r>
      <w:r w:rsidR="007D6DCE" w:rsidRPr="005F5EE2">
        <w:rPr>
          <w:rFonts w:cs="Angsana New"/>
          <w:szCs w:val="24"/>
          <w:lang w:val="fr-CH" w:eastAsia="ja-JP" w:bidi="th-TH"/>
        </w:rPr>
        <w:t>’</w:t>
      </w:r>
      <w:r w:rsidRPr="005F5EE2">
        <w:rPr>
          <w:rFonts w:cs="Angsana New"/>
          <w:szCs w:val="24"/>
          <w:lang w:val="fr-CH" w:eastAsia="ja-JP" w:bidi="th-TH"/>
        </w:rPr>
        <w:t>une base de données y relative (“Directives BMT”) (révision)</w:t>
      </w:r>
    </w:p>
    <w:p w:rsidR="00275C16" w:rsidRPr="005F5EE2" w:rsidRDefault="005907AC" w:rsidP="005907AC">
      <w:pPr>
        <w:pStyle w:val="ListParagraph"/>
        <w:spacing w:after="60"/>
        <w:ind w:left="2837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rial"/>
          <w:lang w:val="fr-CH"/>
        </w:rPr>
        <w:t>(</w:t>
      </w:r>
      <w:proofErr w:type="gramStart"/>
      <w:r w:rsidR="007D6DCE" w:rsidRPr="005F5EE2">
        <w:rPr>
          <w:rFonts w:cs="Arial"/>
          <w:lang w:val="fr-CH"/>
        </w:rPr>
        <w:t>document</w:t>
      </w:r>
      <w:proofErr w:type="gramEnd"/>
      <w:r w:rsidR="00625CBD" w:rsidRPr="005F5EE2">
        <w:rPr>
          <w:rFonts w:cs="Arial"/>
          <w:lang w:val="fr-CH"/>
        </w:rPr>
        <w:t> </w:t>
      </w:r>
      <w:r w:rsidR="007D6DCE" w:rsidRPr="005F5EE2">
        <w:rPr>
          <w:rFonts w:cs="Arial"/>
          <w:lang w:val="fr-CH"/>
        </w:rPr>
        <w:t>UP</w:t>
      </w:r>
      <w:r w:rsidRPr="005F5EE2">
        <w:rPr>
          <w:rFonts w:cs="Arial"/>
          <w:lang w:val="fr-CH"/>
        </w:rPr>
        <w:t>OV/INF/17/2 </w:t>
      </w:r>
      <w:proofErr w:type="spellStart"/>
      <w:r w:rsidRPr="005F5EE2">
        <w:rPr>
          <w:rFonts w:cs="Arial"/>
          <w:lang w:val="fr-CH"/>
        </w:rPr>
        <w:t>Draft</w:t>
      </w:r>
      <w:proofErr w:type="spellEnd"/>
      <w:r w:rsidRPr="005F5EE2">
        <w:rPr>
          <w:rFonts w:cs="Arial"/>
          <w:lang w:val="fr-CH"/>
        </w:rPr>
        <w:t> 6)*</w:t>
      </w:r>
    </w:p>
    <w:p w:rsidR="007D6DCE" w:rsidRPr="005F5EE2" w:rsidRDefault="00B26E8B" w:rsidP="00B26E8B">
      <w:pPr>
        <w:pStyle w:val="ListParagraph"/>
        <w:ind w:left="2837" w:hanging="1699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>UPOV/INF/22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="004011A9" w:rsidRPr="005F5EE2">
        <w:rPr>
          <w:rFonts w:cs="Angsana New"/>
          <w:szCs w:val="24"/>
          <w:lang w:val="fr-CH" w:eastAsia="ja-JP" w:bidi="th-TH"/>
        </w:rPr>
        <w:t xml:space="preserve"> </w:t>
      </w:r>
      <w:r w:rsidRPr="005F5EE2">
        <w:rPr>
          <w:lang w:val="fr-CH"/>
        </w:rPr>
        <w:tab/>
      </w:r>
      <w:r w:rsidRPr="005F5EE2">
        <w:rPr>
          <w:rFonts w:cs="Angsana New"/>
          <w:szCs w:val="24"/>
          <w:lang w:val="fr-CH" w:eastAsia="ja-JP" w:bidi="th-TH"/>
        </w:rPr>
        <w:t>Logiciels et équipements utilisés par les membres de l</w:t>
      </w:r>
      <w:r w:rsidR="007D6DCE" w:rsidRPr="005F5EE2">
        <w:rPr>
          <w:rFonts w:cs="Angsana New"/>
          <w:szCs w:val="24"/>
          <w:lang w:val="fr-CH" w:eastAsia="ja-JP" w:bidi="th-TH"/>
        </w:rPr>
        <w:t>’</w:t>
      </w:r>
      <w:r w:rsidRPr="005F5EE2">
        <w:rPr>
          <w:rFonts w:cs="Angsana New"/>
          <w:szCs w:val="24"/>
          <w:lang w:val="fr-CH" w:eastAsia="ja-JP" w:bidi="th-TH"/>
        </w:rPr>
        <w:t>Union (révision)</w:t>
      </w:r>
    </w:p>
    <w:p w:rsidR="00275C16" w:rsidRPr="005F5EE2" w:rsidRDefault="005907AC" w:rsidP="005907AC">
      <w:pPr>
        <w:pStyle w:val="ListParagraph"/>
        <w:spacing w:after="60"/>
        <w:ind w:left="2837" w:hanging="1701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ab/>
      </w:r>
      <w:r w:rsidRPr="005F5EE2">
        <w:rPr>
          <w:rFonts w:cs="Arial"/>
          <w:lang w:val="fr-CH"/>
        </w:rPr>
        <w:t>(</w:t>
      </w:r>
      <w:proofErr w:type="gramStart"/>
      <w:r w:rsidR="007D6DCE" w:rsidRPr="005F5EE2">
        <w:rPr>
          <w:rFonts w:cs="Arial"/>
          <w:lang w:val="fr-CH"/>
        </w:rPr>
        <w:t>document</w:t>
      </w:r>
      <w:proofErr w:type="gramEnd"/>
      <w:r w:rsidR="00625CBD" w:rsidRPr="005F5EE2">
        <w:rPr>
          <w:rFonts w:cs="Arial"/>
          <w:lang w:val="fr-CH"/>
        </w:rPr>
        <w:t> </w:t>
      </w:r>
      <w:r w:rsidR="007D6DCE" w:rsidRPr="005F5EE2">
        <w:rPr>
          <w:rFonts w:cs="Angsana New"/>
          <w:szCs w:val="24"/>
          <w:lang w:val="fr-CH" w:eastAsia="ja-JP" w:bidi="th-TH"/>
        </w:rPr>
        <w:t>UP</w:t>
      </w:r>
      <w:r w:rsidRPr="005F5EE2">
        <w:rPr>
          <w:rFonts w:cs="Angsana New"/>
          <w:szCs w:val="24"/>
          <w:lang w:val="fr-CH" w:eastAsia="ja-JP" w:bidi="th-TH"/>
        </w:rPr>
        <w:t xml:space="preserve">OV/INF/22/8 </w:t>
      </w:r>
      <w:proofErr w:type="spellStart"/>
      <w:r w:rsidRPr="005F5EE2">
        <w:rPr>
          <w:rFonts w:cs="Angsana New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Pr="005F5EE2">
        <w:rPr>
          <w:rFonts w:cs="Angsana New"/>
          <w:szCs w:val="24"/>
          <w:lang w:val="fr-CH" w:eastAsia="ja-JP" w:bidi="th-TH"/>
        </w:rPr>
        <w:t>2</w:t>
      </w:r>
      <w:r w:rsidRPr="005F5EE2">
        <w:rPr>
          <w:rFonts w:cs="Arial"/>
          <w:lang w:val="fr-CH"/>
        </w:rPr>
        <w:t>)*</w:t>
      </w:r>
    </w:p>
    <w:p w:rsidR="00275C16" w:rsidRPr="005F5EE2" w:rsidRDefault="00B26E8B" w:rsidP="00B26E8B">
      <w:pPr>
        <w:pStyle w:val="ListParagraph"/>
        <w:spacing w:after="80"/>
        <w:ind w:left="2837" w:hanging="1701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>UPOV/INF/23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="004011A9" w:rsidRPr="005F5EE2">
        <w:rPr>
          <w:rFonts w:cs="Angsana New"/>
          <w:szCs w:val="24"/>
          <w:lang w:val="fr-CH" w:eastAsia="ja-JP" w:bidi="th-TH"/>
        </w:rPr>
        <w:t xml:space="preserve"> </w:t>
      </w:r>
      <w:r w:rsidRPr="005F5EE2">
        <w:rPr>
          <w:lang w:val="fr-CH"/>
        </w:rPr>
        <w:tab/>
      </w:r>
      <w:r w:rsidRPr="005F5EE2">
        <w:rPr>
          <w:rFonts w:cs="Angsana New"/>
          <w:szCs w:val="24"/>
          <w:lang w:val="fr-CH" w:eastAsia="ja-JP" w:bidi="th-TH"/>
        </w:rPr>
        <w:t>Système de codes UPOV (document</w:t>
      </w:r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Pr="005F5EE2">
        <w:rPr>
          <w:rFonts w:cs="Angsana New"/>
          <w:szCs w:val="24"/>
          <w:lang w:val="fr-CH" w:eastAsia="ja-JP" w:bidi="th-TH"/>
        </w:rPr>
        <w:t xml:space="preserve">UPOV/INF/23/1 </w:t>
      </w:r>
      <w:proofErr w:type="spellStart"/>
      <w:r w:rsidRPr="005F5EE2">
        <w:rPr>
          <w:rFonts w:cs="Angsana New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zCs w:val="24"/>
          <w:lang w:val="fr-CH" w:eastAsia="ja-JP" w:bidi="th-TH"/>
        </w:rPr>
        <w:t> </w:t>
      </w:r>
      <w:proofErr w:type="gramStart"/>
      <w:r w:rsidRPr="005F5EE2">
        <w:rPr>
          <w:rFonts w:cs="Angsana New"/>
          <w:szCs w:val="24"/>
          <w:lang w:val="fr-CH" w:eastAsia="ja-JP" w:bidi="th-TH"/>
        </w:rPr>
        <w:t>3)*</w:t>
      </w:r>
      <w:proofErr w:type="gramEnd"/>
    </w:p>
    <w:p w:rsidR="007D6DCE" w:rsidRPr="005F5EE2" w:rsidRDefault="00B26E8B" w:rsidP="00B26E8B">
      <w:pPr>
        <w:pStyle w:val="ListParagraph"/>
        <w:ind w:left="2837" w:hanging="1699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>UPOV/INF</w:t>
      </w:r>
      <w:r w:rsidR="007D6DCE" w:rsidRPr="005F5EE2">
        <w:rPr>
          <w:rFonts w:cs="Angsana New"/>
          <w:szCs w:val="24"/>
          <w:lang w:val="fr-CH" w:eastAsia="ja-JP" w:bidi="th-TH"/>
        </w:rPr>
        <w:t>-</w:t>
      </w:r>
      <w:r w:rsidRPr="005F5EE2">
        <w:rPr>
          <w:rFonts w:cs="Angsana New"/>
          <w:szCs w:val="24"/>
          <w:lang w:val="fr-CH" w:eastAsia="ja-JP" w:bidi="th-TH"/>
        </w:rPr>
        <w:t>EXN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="004011A9" w:rsidRPr="005F5EE2">
        <w:rPr>
          <w:rFonts w:cs="Angsana New"/>
          <w:szCs w:val="24"/>
          <w:lang w:val="fr-CH" w:eastAsia="ja-JP" w:bidi="th-TH"/>
        </w:rPr>
        <w:t xml:space="preserve"> </w:t>
      </w:r>
      <w:r w:rsidRPr="005F5EE2">
        <w:rPr>
          <w:lang w:val="fr-CH"/>
        </w:rPr>
        <w:tab/>
      </w:r>
      <w:r w:rsidRPr="005F5EE2">
        <w:rPr>
          <w:rFonts w:cs="Angsana New"/>
          <w:szCs w:val="24"/>
          <w:lang w:val="fr-CH" w:eastAsia="ja-JP" w:bidi="th-TH"/>
        </w:rPr>
        <w:t>Liste des documents UPOV/INF</w:t>
      </w:r>
      <w:r w:rsidR="007D6DCE" w:rsidRPr="005F5EE2">
        <w:rPr>
          <w:rFonts w:cs="Angsana New"/>
          <w:szCs w:val="24"/>
          <w:lang w:val="fr-CH" w:eastAsia="ja-JP" w:bidi="th-TH"/>
        </w:rPr>
        <w:t>-</w:t>
      </w:r>
      <w:r w:rsidRPr="005F5EE2">
        <w:rPr>
          <w:rFonts w:cs="Angsana New"/>
          <w:szCs w:val="24"/>
          <w:lang w:val="fr-CH" w:eastAsia="ja-JP" w:bidi="th-TH"/>
        </w:rPr>
        <w:t>EXN et date de la version la plus récente de ces documents (révision)</w:t>
      </w:r>
    </w:p>
    <w:p w:rsidR="00275C16" w:rsidRPr="005F5EE2" w:rsidRDefault="005907AC" w:rsidP="005907AC">
      <w:pPr>
        <w:pStyle w:val="ListParagraph"/>
        <w:spacing w:after="60"/>
        <w:ind w:left="2837" w:hanging="1701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ab/>
        <w:t>(</w:t>
      </w:r>
      <w:proofErr w:type="gramStart"/>
      <w:r w:rsidRPr="005F5EE2">
        <w:rPr>
          <w:rFonts w:cs="Angsana New"/>
          <w:szCs w:val="24"/>
          <w:lang w:val="fr-CH" w:eastAsia="ja-JP" w:bidi="th-TH"/>
        </w:rPr>
        <w:t>document</w:t>
      </w:r>
      <w:proofErr w:type="gramEnd"/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Pr="005F5EE2">
        <w:rPr>
          <w:rFonts w:cs="Angsana New"/>
          <w:szCs w:val="24"/>
          <w:lang w:val="fr-CH" w:eastAsia="ja-JP" w:bidi="th-TH"/>
        </w:rPr>
        <w:t>UPOV/INF</w:t>
      </w:r>
      <w:r w:rsidR="007D6DCE" w:rsidRPr="005F5EE2">
        <w:rPr>
          <w:rFonts w:cs="Angsana New"/>
          <w:szCs w:val="24"/>
          <w:lang w:val="fr-CH" w:eastAsia="ja-JP" w:bidi="th-TH"/>
        </w:rPr>
        <w:t>-</w:t>
      </w:r>
      <w:r w:rsidRPr="005F5EE2">
        <w:rPr>
          <w:rFonts w:cs="Angsana New"/>
          <w:szCs w:val="24"/>
          <w:lang w:val="fr-CH" w:eastAsia="ja-JP" w:bidi="th-TH"/>
        </w:rPr>
        <w:t xml:space="preserve">EXN/15 </w:t>
      </w:r>
      <w:proofErr w:type="spellStart"/>
      <w:r w:rsidRPr="005F5EE2">
        <w:rPr>
          <w:rFonts w:cs="Angsana New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Pr="005F5EE2">
        <w:rPr>
          <w:rFonts w:cs="Angsana New"/>
          <w:szCs w:val="24"/>
          <w:lang w:val="fr-CH" w:eastAsia="ja-JP" w:bidi="th-TH"/>
        </w:rPr>
        <w:t>1)*</w:t>
      </w:r>
    </w:p>
    <w:p w:rsidR="007D6DCE" w:rsidRPr="005F5EE2" w:rsidRDefault="00B26E8B" w:rsidP="00B26E8B">
      <w:pPr>
        <w:pStyle w:val="ListParagraph"/>
        <w:ind w:left="2837" w:hanging="1699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>TGP/5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="004011A9" w:rsidRPr="005F5EE2">
        <w:rPr>
          <w:rFonts w:cs="Angsana New"/>
          <w:szCs w:val="24"/>
          <w:lang w:val="fr-CH" w:eastAsia="ja-JP" w:bidi="th-TH"/>
        </w:rPr>
        <w:t xml:space="preserve"> </w:t>
      </w:r>
      <w:r w:rsidRPr="005F5EE2">
        <w:rPr>
          <w:lang w:val="fr-CH"/>
        </w:rPr>
        <w:tab/>
      </w:r>
      <w:r w:rsidRPr="005F5EE2">
        <w:rPr>
          <w:rFonts w:cs="Angsana New"/>
          <w:szCs w:val="24"/>
          <w:lang w:val="fr-CH" w:eastAsia="ja-JP" w:bidi="th-TH"/>
        </w:rPr>
        <w:t>Expérience et coopération en matière d</w:t>
      </w:r>
      <w:r w:rsidR="007D6DCE" w:rsidRPr="005F5EE2">
        <w:rPr>
          <w:rFonts w:cs="Angsana New"/>
          <w:szCs w:val="24"/>
          <w:lang w:val="fr-CH" w:eastAsia="ja-JP" w:bidi="th-TH"/>
        </w:rPr>
        <w:t>’</w:t>
      </w:r>
      <w:r w:rsidRPr="005F5EE2">
        <w:rPr>
          <w:rFonts w:cs="Angsana New"/>
          <w:szCs w:val="24"/>
          <w:lang w:val="fr-CH" w:eastAsia="ja-JP" w:bidi="th-TH"/>
        </w:rPr>
        <w:t>examen</w:t>
      </w:r>
      <w:r w:rsidR="004011A9" w:rsidRPr="005F5EE2">
        <w:rPr>
          <w:rFonts w:cs="Angsana New"/>
          <w:szCs w:val="24"/>
          <w:lang w:val="fr-CH" w:eastAsia="ja-JP" w:bidi="th-TH"/>
        </w:rPr>
        <w:t> </w:t>
      </w:r>
      <w:r w:rsidRPr="005F5EE2">
        <w:rPr>
          <w:rFonts w:cs="Angsana New"/>
          <w:szCs w:val="24"/>
          <w:lang w:val="fr-CH" w:eastAsia="ja-JP" w:bidi="th-TH"/>
        </w:rPr>
        <w:t>DHS, section /2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Pr="005F5EE2">
        <w:rPr>
          <w:rFonts w:cs="Angsana New"/>
          <w:szCs w:val="24"/>
          <w:lang w:val="fr-CH" w:eastAsia="ja-JP" w:bidi="th-TH"/>
        </w:rPr>
        <w:t xml:space="preserve"> Formulaire type de l</w:t>
      </w:r>
      <w:r w:rsidR="007D6DCE" w:rsidRPr="005F5EE2">
        <w:rPr>
          <w:rFonts w:cs="Angsana New"/>
          <w:szCs w:val="24"/>
          <w:lang w:val="fr-CH" w:eastAsia="ja-JP" w:bidi="th-TH"/>
        </w:rPr>
        <w:t>’</w:t>
      </w:r>
      <w:r w:rsidRPr="005F5EE2">
        <w:rPr>
          <w:rFonts w:cs="Angsana New"/>
          <w:szCs w:val="24"/>
          <w:lang w:val="fr-CH" w:eastAsia="ja-JP" w:bidi="th-TH"/>
        </w:rPr>
        <w:t>UPOV pour la demande de protection d</w:t>
      </w:r>
      <w:r w:rsidR="007D6DCE" w:rsidRPr="005F5EE2">
        <w:rPr>
          <w:rFonts w:cs="Angsana New"/>
          <w:szCs w:val="24"/>
          <w:lang w:val="fr-CH" w:eastAsia="ja-JP" w:bidi="th-TH"/>
        </w:rPr>
        <w:t>’</w:t>
      </w:r>
      <w:r w:rsidRPr="005F5EE2">
        <w:rPr>
          <w:rFonts w:cs="Angsana New"/>
          <w:szCs w:val="24"/>
          <w:lang w:val="fr-CH" w:eastAsia="ja-JP" w:bidi="th-TH"/>
        </w:rPr>
        <w:t>une obtention végétale (révision)</w:t>
      </w:r>
    </w:p>
    <w:p w:rsidR="00275C16" w:rsidRPr="005F5EE2" w:rsidRDefault="005907AC" w:rsidP="005907AC">
      <w:pPr>
        <w:pStyle w:val="ListParagraph"/>
        <w:spacing w:after="60"/>
        <w:ind w:left="2837" w:hanging="1701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ab/>
        <w:t>(</w:t>
      </w:r>
      <w:proofErr w:type="gramStart"/>
      <w:r w:rsidR="007D6DCE" w:rsidRPr="005F5EE2">
        <w:rPr>
          <w:rFonts w:cs="Angsana New"/>
          <w:szCs w:val="24"/>
          <w:lang w:val="fr-CH" w:eastAsia="ja-JP" w:bidi="th-TH"/>
        </w:rPr>
        <w:t>document</w:t>
      </w:r>
      <w:proofErr w:type="gramEnd"/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="007D6DCE" w:rsidRPr="005F5EE2">
        <w:rPr>
          <w:rFonts w:cs="Angsana New"/>
          <w:szCs w:val="24"/>
          <w:lang w:val="fr-CH" w:eastAsia="ja-JP" w:bidi="th-TH"/>
        </w:rPr>
        <w:t>TG</w:t>
      </w:r>
      <w:r w:rsidRPr="005F5EE2">
        <w:rPr>
          <w:rFonts w:cs="Angsana New"/>
          <w:szCs w:val="24"/>
          <w:lang w:val="fr-CH" w:eastAsia="ja-JP" w:bidi="th-TH"/>
        </w:rPr>
        <w:t>P/5</w:t>
      </w:r>
      <w:r w:rsidR="004011A9" w:rsidRPr="005F5EE2">
        <w:rPr>
          <w:rFonts w:cs="Angsana New"/>
          <w:szCs w:val="24"/>
          <w:lang w:val="fr-CH" w:eastAsia="ja-JP" w:bidi="th-TH"/>
        </w:rPr>
        <w:t xml:space="preserve"> : </w:t>
      </w:r>
      <w:r w:rsidR="007D6DCE" w:rsidRPr="005F5EE2">
        <w:rPr>
          <w:rFonts w:cs="Angsana New"/>
          <w:szCs w:val="24"/>
          <w:lang w:val="fr-CH" w:eastAsia="ja-JP" w:bidi="th-TH"/>
        </w:rPr>
        <w:t>Section 2</w:t>
      </w:r>
      <w:r w:rsidRPr="005F5EE2">
        <w:rPr>
          <w:rFonts w:cs="Angsana New"/>
          <w:szCs w:val="24"/>
          <w:lang w:val="fr-CH" w:eastAsia="ja-JP" w:bidi="th-TH"/>
        </w:rPr>
        <w:t xml:space="preserve">/4 </w:t>
      </w:r>
      <w:proofErr w:type="spellStart"/>
      <w:r w:rsidRPr="005F5EE2">
        <w:rPr>
          <w:rFonts w:cs="Angsana New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Pr="005F5EE2">
        <w:rPr>
          <w:rFonts w:cs="Angsana New"/>
          <w:szCs w:val="24"/>
          <w:lang w:val="fr-CH" w:eastAsia="ja-JP" w:bidi="th-TH"/>
        </w:rPr>
        <w:t>1)*</w:t>
      </w:r>
    </w:p>
    <w:p w:rsidR="007D6DCE" w:rsidRPr="005F5EE2" w:rsidRDefault="00B26E8B" w:rsidP="00B26E8B">
      <w:pPr>
        <w:pStyle w:val="ListParagraph"/>
        <w:ind w:left="2837" w:hanging="1699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>TGP/0</w:t>
      </w:r>
      <w:r w:rsidR="007D6DCE" w:rsidRPr="005F5EE2">
        <w:rPr>
          <w:rFonts w:cs="Angsana New"/>
          <w:szCs w:val="24"/>
          <w:lang w:val="fr-CH" w:eastAsia="ja-JP" w:bidi="th-TH"/>
        </w:rPr>
        <w:t> :</w:t>
      </w:r>
      <w:r w:rsidR="004011A9" w:rsidRPr="005F5EE2">
        <w:rPr>
          <w:rFonts w:cs="Angsana New"/>
          <w:szCs w:val="24"/>
          <w:lang w:val="fr-CH" w:eastAsia="ja-JP" w:bidi="th-TH"/>
        </w:rPr>
        <w:t xml:space="preserve"> </w:t>
      </w:r>
      <w:r w:rsidRPr="005F5EE2">
        <w:rPr>
          <w:lang w:val="fr-CH"/>
        </w:rPr>
        <w:tab/>
      </w:r>
      <w:r w:rsidRPr="005F5EE2">
        <w:rPr>
          <w:rFonts w:cs="Angsana New"/>
          <w:szCs w:val="24"/>
          <w:lang w:val="fr-CH" w:eastAsia="ja-JP" w:bidi="th-TH"/>
        </w:rPr>
        <w:t>Liste des documents TGP et date de la version la plus récente de ces documents (révision)</w:t>
      </w:r>
    </w:p>
    <w:p w:rsidR="00275C16" w:rsidRPr="005F5EE2" w:rsidRDefault="005907AC" w:rsidP="005907AC">
      <w:pPr>
        <w:pStyle w:val="ListParagraph"/>
        <w:spacing w:after="60"/>
        <w:ind w:left="2837" w:hanging="1699"/>
        <w:contextualSpacing w:val="0"/>
        <w:rPr>
          <w:rFonts w:cs="Angsana New"/>
          <w:szCs w:val="24"/>
          <w:lang w:val="fr-CH" w:eastAsia="ja-JP" w:bidi="th-TH"/>
        </w:rPr>
      </w:pPr>
      <w:r w:rsidRPr="005F5EE2">
        <w:rPr>
          <w:rFonts w:cs="Angsana New"/>
          <w:szCs w:val="24"/>
          <w:lang w:val="fr-CH" w:eastAsia="ja-JP" w:bidi="th-TH"/>
        </w:rPr>
        <w:tab/>
        <w:t>(</w:t>
      </w:r>
      <w:proofErr w:type="gramStart"/>
      <w:r w:rsidR="007D6DCE" w:rsidRPr="005F5EE2">
        <w:rPr>
          <w:rFonts w:cs="Angsana New"/>
          <w:szCs w:val="24"/>
          <w:lang w:val="fr-CH" w:eastAsia="ja-JP" w:bidi="th-TH"/>
        </w:rPr>
        <w:t>document</w:t>
      </w:r>
      <w:proofErr w:type="gramEnd"/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="007D6DCE" w:rsidRPr="005F5EE2">
        <w:rPr>
          <w:rFonts w:cs="Angsana New"/>
          <w:szCs w:val="24"/>
          <w:lang w:val="fr-CH" w:eastAsia="ja-JP" w:bidi="th-TH"/>
        </w:rPr>
        <w:t>TG</w:t>
      </w:r>
      <w:r w:rsidRPr="005F5EE2">
        <w:rPr>
          <w:rFonts w:cs="Angsana New"/>
          <w:szCs w:val="24"/>
          <w:lang w:val="fr-CH" w:eastAsia="ja-JP" w:bidi="th-TH"/>
        </w:rPr>
        <w:t>P/0/13 </w:t>
      </w:r>
      <w:proofErr w:type="spellStart"/>
      <w:r w:rsidRPr="005F5EE2">
        <w:rPr>
          <w:rFonts w:cs="Angsana New"/>
          <w:szCs w:val="24"/>
          <w:lang w:val="fr-CH" w:eastAsia="ja-JP" w:bidi="th-TH"/>
        </w:rPr>
        <w:t>Draft</w:t>
      </w:r>
      <w:proofErr w:type="spellEnd"/>
      <w:r w:rsidR="00625CBD" w:rsidRPr="005F5EE2">
        <w:rPr>
          <w:rFonts w:cs="Angsana New"/>
          <w:szCs w:val="24"/>
          <w:lang w:val="fr-CH" w:eastAsia="ja-JP" w:bidi="th-TH"/>
        </w:rPr>
        <w:t> </w:t>
      </w:r>
      <w:r w:rsidRPr="005F5EE2">
        <w:rPr>
          <w:rFonts w:cs="Angsana New"/>
          <w:szCs w:val="24"/>
          <w:lang w:val="fr-CH" w:eastAsia="ja-JP" w:bidi="th-TH"/>
        </w:rPr>
        <w:t>1)*</w:t>
      </w:r>
    </w:p>
    <w:p w:rsidR="00275C16" w:rsidRPr="005F5EE2" w:rsidRDefault="00B26E8B" w:rsidP="00B26E8B">
      <w:pPr>
        <w:pStyle w:val="ListParagraph"/>
        <w:spacing w:after="80"/>
        <w:ind w:left="562"/>
        <w:contextualSpacing w:val="0"/>
        <w:rPr>
          <w:rFonts w:cs="Arial"/>
          <w:lang w:val="fr-CH"/>
        </w:rPr>
      </w:pPr>
      <w:r w:rsidRPr="005F5EE2">
        <w:rPr>
          <w:rFonts w:cs="Arial"/>
          <w:lang w:val="fr-CH"/>
        </w:rPr>
        <w:t xml:space="preserve">Notes explicatives concernant les dénominations variétales en vertu de la </w:t>
      </w:r>
      <w:r w:rsidR="007D6DCE" w:rsidRPr="005F5EE2">
        <w:rPr>
          <w:rFonts w:cs="Arial"/>
          <w:lang w:val="fr-CH"/>
        </w:rPr>
        <w:t>Convention UPOV</w:t>
      </w:r>
      <w:r w:rsidRPr="005F5EE2">
        <w:rPr>
          <w:rFonts w:cs="Arial"/>
          <w:lang w:val="fr-CH"/>
        </w:rPr>
        <w:t xml:space="preserve"> (document</w:t>
      </w:r>
      <w:r w:rsidR="00625CBD" w:rsidRPr="005F5EE2">
        <w:rPr>
          <w:rFonts w:cs="Arial"/>
          <w:lang w:val="fr-CH"/>
        </w:rPr>
        <w:t> </w:t>
      </w:r>
      <w:r w:rsidRPr="005F5EE2">
        <w:rPr>
          <w:rFonts w:cs="Arial"/>
          <w:lang w:val="fr-CH"/>
        </w:rPr>
        <w:t>C/55/</w:t>
      </w:r>
      <w:proofErr w:type="gramStart"/>
      <w:r w:rsidRPr="005F5EE2">
        <w:rPr>
          <w:rFonts w:cs="Arial"/>
          <w:lang w:val="fr-CH"/>
        </w:rPr>
        <w:t>11)*</w:t>
      </w:r>
      <w:proofErr w:type="gramEnd"/>
      <w:r w:rsidRPr="005F5EE2">
        <w:rPr>
          <w:rFonts w:cs="Arial"/>
          <w:lang w:val="fr-CH"/>
        </w:rPr>
        <w:t>*</w:t>
      </w:r>
    </w:p>
    <w:p w:rsidR="00275C16" w:rsidRPr="005F5EE2" w:rsidRDefault="00B26E8B" w:rsidP="00B26E8B">
      <w:pPr>
        <w:pStyle w:val="ListParagraph"/>
        <w:keepNext/>
        <w:spacing w:after="80"/>
        <w:ind w:left="2837" w:hanging="1699"/>
        <w:contextualSpacing w:val="0"/>
        <w:rPr>
          <w:rFonts w:cs="Arial"/>
          <w:spacing w:val="-4"/>
          <w:lang w:val="fr-CH"/>
        </w:rPr>
      </w:pPr>
      <w:r w:rsidRPr="005F5EE2">
        <w:rPr>
          <w:rFonts w:cs="Arial"/>
          <w:spacing w:val="-4"/>
          <w:lang w:val="fr-CH"/>
        </w:rPr>
        <w:t>UPOV/EXN/DEN</w:t>
      </w:r>
      <w:r w:rsidR="007D6DCE" w:rsidRPr="005F5EE2">
        <w:rPr>
          <w:rFonts w:cs="Arial"/>
          <w:spacing w:val="-4"/>
          <w:lang w:val="fr-CH"/>
        </w:rPr>
        <w:t> :</w:t>
      </w:r>
      <w:r w:rsidR="004011A9" w:rsidRPr="005F5EE2">
        <w:rPr>
          <w:rFonts w:cs="Arial"/>
          <w:spacing w:val="-4"/>
          <w:lang w:val="fr-CH"/>
        </w:rPr>
        <w:t xml:space="preserve"> </w:t>
      </w:r>
      <w:r w:rsidRPr="005F5EE2">
        <w:rPr>
          <w:spacing w:val="-4"/>
          <w:lang w:val="fr-CH"/>
        </w:rPr>
        <w:tab/>
      </w:r>
      <w:r w:rsidRPr="005F5EE2">
        <w:rPr>
          <w:rFonts w:cs="Arial"/>
          <w:spacing w:val="-4"/>
          <w:lang w:val="fr-CH"/>
        </w:rPr>
        <w:t xml:space="preserve">Notes explicatives concernant les dénominations variétales en vertu de la </w:t>
      </w:r>
      <w:r w:rsidR="007D6DCE" w:rsidRPr="005F5EE2">
        <w:rPr>
          <w:rFonts w:cs="Arial"/>
          <w:spacing w:val="-4"/>
          <w:lang w:val="fr-CH"/>
        </w:rPr>
        <w:t>Convention UPOV</w:t>
      </w:r>
      <w:r w:rsidRPr="005F5EE2">
        <w:rPr>
          <w:rFonts w:cs="Arial"/>
          <w:spacing w:val="-4"/>
          <w:lang w:val="fr-CH"/>
        </w:rPr>
        <w:t xml:space="preserve"> (document</w:t>
      </w:r>
      <w:r w:rsidR="00625CBD" w:rsidRPr="005F5EE2">
        <w:rPr>
          <w:rFonts w:cs="Arial"/>
          <w:spacing w:val="-4"/>
          <w:lang w:val="fr-CH"/>
        </w:rPr>
        <w:t> </w:t>
      </w:r>
      <w:r w:rsidRPr="005F5EE2">
        <w:rPr>
          <w:rFonts w:cs="Arial"/>
          <w:spacing w:val="-4"/>
          <w:lang w:val="fr-CH"/>
        </w:rPr>
        <w:t xml:space="preserve">UPOV/EXN/DEN/1 </w:t>
      </w:r>
      <w:proofErr w:type="spellStart"/>
      <w:r w:rsidRPr="005F5EE2">
        <w:rPr>
          <w:rFonts w:cs="Arial"/>
          <w:spacing w:val="-4"/>
          <w:lang w:val="fr-CH"/>
        </w:rPr>
        <w:t>Draft</w:t>
      </w:r>
      <w:proofErr w:type="spellEnd"/>
      <w:r w:rsidR="00625CBD" w:rsidRPr="005F5EE2">
        <w:rPr>
          <w:rFonts w:cs="Arial"/>
          <w:spacing w:val="-4"/>
          <w:lang w:val="fr-CH"/>
        </w:rPr>
        <w:t> </w:t>
      </w:r>
      <w:proofErr w:type="gramStart"/>
      <w:r w:rsidRPr="005F5EE2">
        <w:rPr>
          <w:rFonts w:cs="Arial"/>
          <w:spacing w:val="-4"/>
          <w:lang w:val="fr-CH"/>
        </w:rPr>
        <w:t>6)*</w:t>
      </w:r>
      <w:proofErr w:type="gramEnd"/>
      <w:r w:rsidRPr="005F5EE2">
        <w:rPr>
          <w:rFonts w:cs="Arial"/>
          <w:spacing w:val="-4"/>
          <w:lang w:val="fr-CH"/>
        </w:rPr>
        <w:t>*</w:t>
      </w:r>
    </w:p>
    <w:p w:rsidR="00275C16" w:rsidRPr="005F5EE2" w:rsidRDefault="00B26E8B" w:rsidP="00B26E8B">
      <w:pPr>
        <w:pStyle w:val="ListParagraph"/>
        <w:spacing w:after="80"/>
        <w:ind w:left="562"/>
        <w:contextualSpacing w:val="0"/>
        <w:rPr>
          <w:rFonts w:cs="Arial"/>
          <w:lang w:val="fr-CH"/>
        </w:rPr>
      </w:pPr>
      <w:r w:rsidRPr="005F5EE2">
        <w:rPr>
          <w:rFonts w:cs="Arial"/>
          <w:lang w:val="fr-CH"/>
        </w:rPr>
        <w:t xml:space="preserve">États financiers </w:t>
      </w:r>
      <w:r w:rsidR="007D6DCE" w:rsidRPr="005F5EE2">
        <w:rPr>
          <w:rFonts w:cs="Arial"/>
          <w:lang w:val="fr-CH"/>
        </w:rPr>
        <w:t>pour 2020</w:t>
      </w:r>
      <w:r w:rsidRPr="005F5EE2">
        <w:rPr>
          <w:rFonts w:cs="Arial"/>
          <w:lang w:val="fr-CH"/>
        </w:rPr>
        <w:t xml:space="preserve"> (document</w:t>
      </w:r>
      <w:r w:rsidR="00625CBD" w:rsidRPr="005F5EE2">
        <w:rPr>
          <w:rFonts w:cs="Arial"/>
          <w:lang w:val="fr-CH"/>
        </w:rPr>
        <w:t> </w:t>
      </w:r>
      <w:r w:rsidRPr="005F5EE2">
        <w:rPr>
          <w:rFonts w:cs="Arial"/>
          <w:lang w:val="fr-CH"/>
        </w:rPr>
        <w:t>C/55/</w:t>
      </w:r>
      <w:proofErr w:type="gramStart"/>
      <w:r w:rsidRPr="005F5EE2">
        <w:rPr>
          <w:rFonts w:cs="Arial"/>
          <w:lang w:val="fr-CH"/>
        </w:rPr>
        <w:t>5)*</w:t>
      </w:r>
      <w:proofErr w:type="gramEnd"/>
      <w:r w:rsidRPr="005F5EE2">
        <w:rPr>
          <w:rFonts w:cs="Arial"/>
          <w:lang w:val="fr-CH"/>
        </w:rPr>
        <w:t>*</w:t>
      </w:r>
    </w:p>
    <w:p w:rsidR="00275C16" w:rsidRPr="005F5EE2" w:rsidRDefault="00B26E8B" w:rsidP="00B26E8B">
      <w:pPr>
        <w:pStyle w:val="ListParagraph"/>
        <w:ind w:left="562"/>
        <w:contextualSpacing w:val="0"/>
        <w:rPr>
          <w:rFonts w:cs="Arial"/>
          <w:lang w:val="fr-CH"/>
        </w:rPr>
      </w:pPr>
      <w:r w:rsidRPr="005F5EE2">
        <w:rPr>
          <w:rFonts w:cs="Arial"/>
          <w:lang w:val="fr-CH"/>
        </w:rPr>
        <w:t>Projet de programme et budget pour l</w:t>
      </w:r>
      <w:r w:rsidR="007D6DCE" w:rsidRPr="005F5EE2">
        <w:rPr>
          <w:rFonts w:cs="Arial"/>
          <w:lang w:val="fr-CH"/>
        </w:rPr>
        <w:t>’</w:t>
      </w:r>
      <w:r w:rsidRPr="005F5EE2">
        <w:rPr>
          <w:rFonts w:cs="Arial"/>
          <w:lang w:val="fr-CH"/>
        </w:rPr>
        <w:t xml:space="preserve">exercice </w:t>
      </w:r>
      <w:r w:rsidR="007D6DCE" w:rsidRPr="005F5EE2">
        <w:rPr>
          <w:rFonts w:cs="Arial"/>
          <w:lang w:val="fr-CH"/>
        </w:rPr>
        <w:t>biennal 2022-</w:t>
      </w:r>
      <w:r w:rsidRPr="005F5EE2">
        <w:rPr>
          <w:rFonts w:cs="Arial"/>
          <w:lang w:val="fr-CH"/>
        </w:rPr>
        <w:t>2023 (document</w:t>
      </w:r>
      <w:r w:rsidR="00625CBD" w:rsidRPr="005F5EE2">
        <w:rPr>
          <w:rFonts w:cs="Arial"/>
          <w:lang w:val="fr-CH"/>
        </w:rPr>
        <w:t> </w:t>
      </w:r>
      <w:r w:rsidRPr="005F5EE2">
        <w:rPr>
          <w:rFonts w:cs="Arial"/>
          <w:lang w:val="fr-CH"/>
        </w:rPr>
        <w:t>C/55/</w:t>
      </w:r>
      <w:proofErr w:type="gramStart"/>
      <w:r w:rsidRPr="005F5EE2">
        <w:rPr>
          <w:rFonts w:cs="Arial"/>
          <w:lang w:val="fr-CH"/>
        </w:rPr>
        <w:t>4)*</w:t>
      </w:r>
      <w:proofErr w:type="gramEnd"/>
      <w:r w:rsidRPr="005F5EE2">
        <w:rPr>
          <w:rFonts w:cs="Arial"/>
          <w:lang w:val="fr-CH"/>
        </w:rPr>
        <w:t>*</w:t>
      </w:r>
    </w:p>
    <w:p w:rsidR="007D6DCE" w:rsidRPr="005F5EE2" w:rsidRDefault="005907AC" w:rsidP="00EA17C8">
      <w:pPr>
        <w:spacing w:before="120" w:after="20"/>
        <w:rPr>
          <w:rFonts w:cs="Arial"/>
          <w:lang w:val="fr-CH" w:eastAsia="fr-FR"/>
        </w:rPr>
      </w:pPr>
      <w:r w:rsidRPr="005F5EE2">
        <w:rPr>
          <w:rFonts w:cs="Arial"/>
        </w:rPr>
        <w:fldChar w:fldCharType="begin"/>
      </w:r>
      <w:r w:rsidRPr="005F5EE2">
        <w:rPr>
          <w:rFonts w:cs="Arial"/>
          <w:lang w:val="fr-CH"/>
        </w:rPr>
        <w:instrText xml:space="preserve"> AUTONUM  </w:instrText>
      </w:r>
      <w:r w:rsidRPr="005F5EE2">
        <w:rPr>
          <w:rFonts w:cs="Arial"/>
        </w:rPr>
        <w:fldChar w:fldCharType="end"/>
      </w:r>
      <w:r w:rsidRPr="005F5EE2">
        <w:rPr>
          <w:rFonts w:cs="Arial"/>
          <w:lang w:val="fr-CH"/>
        </w:rPr>
        <w:tab/>
      </w:r>
      <w:r w:rsidR="00EA17C8" w:rsidRPr="005F5EE2">
        <w:rPr>
          <w:rFonts w:cs="Arial"/>
          <w:lang w:val="fr-CH"/>
        </w:rPr>
        <w:t>Les décisions prises par correspondance par le Conseil le 2</w:t>
      </w:r>
      <w:r w:rsidR="007D6DCE" w:rsidRPr="005F5EE2">
        <w:rPr>
          <w:rFonts w:cs="Arial"/>
          <w:lang w:val="fr-CH"/>
        </w:rPr>
        <w:t>1 septembre 20</w:t>
      </w:r>
      <w:r w:rsidR="00EA17C8" w:rsidRPr="005F5EE2">
        <w:rPr>
          <w:rFonts w:cs="Arial"/>
          <w:lang w:val="fr-CH"/>
        </w:rPr>
        <w:t>21 sont reproduites dans le présent document selon les points du projet d</w:t>
      </w:r>
      <w:r w:rsidR="007D6DCE" w:rsidRPr="005F5EE2">
        <w:rPr>
          <w:rFonts w:cs="Arial"/>
          <w:lang w:val="fr-CH"/>
        </w:rPr>
        <w:t>’</w:t>
      </w:r>
      <w:r w:rsidR="00EA17C8" w:rsidRPr="005F5EE2">
        <w:rPr>
          <w:rFonts w:cs="Arial"/>
          <w:lang w:val="fr-CH"/>
        </w:rPr>
        <w:t>ordre du jour révisé (document C/55/1</w:t>
      </w:r>
      <w:r w:rsidR="004011A9" w:rsidRPr="005F5EE2">
        <w:rPr>
          <w:rFonts w:cs="Arial"/>
          <w:lang w:val="fr-CH"/>
        </w:rPr>
        <w:t> </w:t>
      </w:r>
      <w:r w:rsidR="00EA17C8" w:rsidRPr="005F5EE2">
        <w:rPr>
          <w:rFonts w:cs="Arial"/>
          <w:lang w:val="fr-CH"/>
        </w:rPr>
        <w:t>Rev.2).</w:t>
      </w:r>
    </w:p>
    <w:p w:rsidR="00275C16" w:rsidRPr="005F5EE2" w:rsidRDefault="00275C16" w:rsidP="005907AC">
      <w:pPr>
        <w:jc w:val="left"/>
        <w:rPr>
          <w:caps/>
          <w:snapToGrid w:val="0"/>
          <w:lang w:val="fr-CH"/>
        </w:rPr>
      </w:pPr>
    </w:p>
    <w:p w:rsidR="00275C16" w:rsidRPr="005F5EE2" w:rsidRDefault="00275C16" w:rsidP="005907AC">
      <w:pPr>
        <w:jc w:val="left"/>
        <w:rPr>
          <w:caps/>
          <w:snapToGrid w:val="0"/>
          <w:lang w:val="fr-CH"/>
        </w:rPr>
      </w:pPr>
    </w:p>
    <w:p w:rsidR="00275C16" w:rsidRPr="005F5EE2" w:rsidRDefault="00275C16" w:rsidP="005907AC">
      <w:pPr>
        <w:jc w:val="left"/>
        <w:rPr>
          <w:caps/>
          <w:snapToGrid w:val="0"/>
          <w:lang w:val="fr-CH"/>
        </w:rPr>
      </w:pPr>
    </w:p>
    <w:p w:rsidR="00275C16" w:rsidRPr="005F5EE2" w:rsidRDefault="007D6DCE" w:rsidP="00EA17C8">
      <w:pPr>
        <w:keepNext/>
        <w:outlineLvl w:val="0"/>
        <w:rPr>
          <w:caps/>
          <w:snapToGrid w:val="0"/>
          <w:lang w:val="fr-CH"/>
        </w:rPr>
      </w:pPr>
      <w:bookmarkStart w:id="4" w:name="_Toc84588273"/>
      <w:bookmarkEnd w:id="3"/>
      <w:r w:rsidRPr="005F5EE2">
        <w:rPr>
          <w:caps/>
          <w:snapToGrid w:val="0"/>
          <w:lang w:val="fr-CH"/>
        </w:rPr>
        <w:t>Point 4</w:t>
      </w:r>
      <w:r w:rsidR="00EA17C8" w:rsidRPr="005F5EE2">
        <w:rPr>
          <w:caps/>
          <w:snapToGrid w:val="0"/>
          <w:lang w:val="fr-CH"/>
        </w:rPr>
        <w:t xml:space="preserve"> de l</w:t>
      </w:r>
      <w:r w:rsidRPr="005F5EE2">
        <w:rPr>
          <w:caps/>
          <w:snapToGrid w:val="0"/>
          <w:lang w:val="fr-CH"/>
        </w:rPr>
        <w:t>’</w:t>
      </w:r>
      <w:r w:rsidR="00EA17C8" w:rsidRPr="005F5EE2">
        <w:rPr>
          <w:caps/>
          <w:snapToGrid w:val="0"/>
          <w:lang w:val="fr-CH"/>
        </w:rPr>
        <w:t>ordre du jour</w:t>
      </w:r>
      <w:r w:rsidRPr="005F5EE2">
        <w:rPr>
          <w:caps/>
          <w:snapToGrid w:val="0"/>
          <w:lang w:val="fr-CH"/>
        </w:rPr>
        <w:t> :</w:t>
      </w:r>
      <w:r w:rsidR="00EA17C8" w:rsidRPr="005F5EE2">
        <w:rPr>
          <w:caps/>
          <w:snapToGrid w:val="0"/>
          <w:lang w:val="fr-CH"/>
        </w:rPr>
        <w:t xml:space="preserve"> Prolongation du mandat du Secrétaire général adjoint et procédure de nomination d</w:t>
      </w:r>
      <w:r w:rsidRPr="005F5EE2">
        <w:rPr>
          <w:caps/>
          <w:snapToGrid w:val="0"/>
          <w:lang w:val="fr-CH"/>
        </w:rPr>
        <w:t>’</w:t>
      </w:r>
      <w:r w:rsidR="00EA17C8" w:rsidRPr="005F5EE2">
        <w:rPr>
          <w:caps/>
          <w:snapToGrid w:val="0"/>
          <w:lang w:val="fr-CH"/>
        </w:rPr>
        <w:t>un nouveau Secrétaire général adjoint (document</w:t>
      </w:r>
      <w:r w:rsidR="00625CBD" w:rsidRPr="005F5EE2">
        <w:rPr>
          <w:caps/>
          <w:snapToGrid w:val="0"/>
          <w:lang w:val="fr-CH"/>
        </w:rPr>
        <w:t> </w:t>
      </w:r>
      <w:r w:rsidR="00EA17C8" w:rsidRPr="005F5EE2">
        <w:rPr>
          <w:caps/>
          <w:snapToGrid w:val="0"/>
          <w:lang w:val="fr-CH"/>
        </w:rPr>
        <w:t>C/55/10)</w:t>
      </w:r>
      <w:bookmarkEnd w:id="4"/>
    </w:p>
    <w:p w:rsidR="00275C16" w:rsidRPr="005F5EE2" w:rsidRDefault="00275C16" w:rsidP="005907AC">
      <w:pPr>
        <w:keepNext/>
        <w:ind w:left="567" w:hanging="567"/>
        <w:jc w:val="left"/>
        <w:rPr>
          <w:rFonts w:cs="Arial"/>
          <w:snapToGrid w:val="0"/>
          <w:lang w:val="fr-CH"/>
        </w:rPr>
      </w:pPr>
    </w:p>
    <w:p w:rsidR="00275C16" w:rsidRPr="005F5EE2" w:rsidRDefault="005907AC" w:rsidP="00EA17C8">
      <w:pPr>
        <w:keepNext/>
        <w:rPr>
          <w:lang w:val="fr-CH"/>
        </w:rPr>
      </w:pPr>
      <w:r w:rsidRPr="005F5EE2">
        <w:rPr>
          <w:szCs w:val="24"/>
        </w:rPr>
        <w:fldChar w:fldCharType="begin"/>
      </w:r>
      <w:r w:rsidRPr="005F5EE2">
        <w:rPr>
          <w:szCs w:val="24"/>
          <w:lang w:val="fr-CH"/>
        </w:rPr>
        <w:instrText xml:space="preserve"> AUTONUM  </w:instrText>
      </w:r>
      <w:r w:rsidRPr="005F5EE2">
        <w:rPr>
          <w:szCs w:val="24"/>
        </w:rPr>
        <w:fldChar w:fldCharType="end"/>
      </w:r>
      <w:r w:rsidRPr="005F5EE2">
        <w:rPr>
          <w:szCs w:val="24"/>
          <w:lang w:val="fr-CH"/>
        </w:rPr>
        <w:tab/>
      </w:r>
      <w:r w:rsidR="00EA17C8" w:rsidRPr="005F5EE2">
        <w:rPr>
          <w:szCs w:val="24"/>
          <w:lang w:val="fr-CH"/>
        </w:rPr>
        <w:t>Le Conseil a examiné le document</w:t>
      </w:r>
      <w:r w:rsidR="00625CBD" w:rsidRPr="005F5EE2">
        <w:rPr>
          <w:szCs w:val="24"/>
          <w:lang w:val="fr-CH"/>
        </w:rPr>
        <w:t> </w:t>
      </w:r>
      <w:r w:rsidR="00EA17C8" w:rsidRPr="005F5EE2">
        <w:rPr>
          <w:szCs w:val="24"/>
          <w:lang w:val="fr-CH"/>
        </w:rPr>
        <w:t>C/55/10.</w:t>
      </w:r>
    </w:p>
    <w:p w:rsidR="00275C16" w:rsidRPr="005F5EE2" w:rsidRDefault="00275C16" w:rsidP="005907AC">
      <w:pPr>
        <w:keepNext/>
        <w:ind w:left="567" w:hanging="567"/>
        <w:jc w:val="left"/>
        <w:rPr>
          <w:rFonts w:cs="Arial"/>
          <w:snapToGrid w:val="0"/>
          <w:lang w:val="fr-CH"/>
        </w:rPr>
      </w:pPr>
    </w:p>
    <w:p w:rsidR="00275C16" w:rsidRPr="005F5EE2" w:rsidRDefault="005907AC" w:rsidP="00EA17C8">
      <w:pPr>
        <w:rPr>
          <w:lang w:val="fr-CH"/>
        </w:rPr>
      </w:pPr>
      <w:r w:rsidRPr="005F5EE2">
        <w:rPr>
          <w:szCs w:val="24"/>
        </w:rPr>
        <w:fldChar w:fldCharType="begin"/>
      </w:r>
      <w:r w:rsidRPr="005F5EE2">
        <w:rPr>
          <w:szCs w:val="24"/>
          <w:lang w:val="fr-CH"/>
        </w:rPr>
        <w:instrText xml:space="preserve"> AUTONUM  </w:instrText>
      </w:r>
      <w:r w:rsidRPr="005F5EE2">
        <w:rPr>
          <w:szCs w:val="24"/>
        </w:rPr>
        <w:fldChar w:fldCharType="end"/>
      </w:r>
      <w:r w:rsidRPr="005F5EE2">
        <w:rPr>
          <w:szCs w:val="24"/>
          <w:lang w:val="fr-CH"/>
        </w:rPr>
        <w:tab/>
      </w:r>
      <w:r w:rsidR="00EA17C8" w:rsidRPr="005F5EE2">
        <w:rPr>
          <w:szCs w:val="24"/>
          <w:lang w:val="fr-CH"/>
        </w:rPr>
        <w:t>Le Conseil a prolongé le mandat du Secrétaire général adjoint du</w:t>
      </w:r>
      <w:r w:rsidR="007D6DCE" w:rsidRPr="005F5EE2">
        <w:rPr>
          <w:szCs w:val="24"/>
          <w:lang w:val="fr-CH"/>
        </w:rPr>
        <w:t xml:space="preserve"> 1</w:t>
      </w:r>
      <w:r w:rsidR="007D6DCE" w:rsidRPr="005F5EE2">
        <w:rPr>
          <w:szCs w:val="24"/>
          <w:vertAlign w:val="superscript"/>
          <w:lang w:val="fr-CH"/>
        </w:rPr>
        <w:t>er</w:t>
      </w:r>
      <w:r w:rsidR="007D6DCE" w:rsidRPr="005F5EE2">
        <w:rPr>
          <w:szCs w:val="24"/>
          <w:lang w:val="fr-CH"/>
        </w:rPr>
        <w:t> décembre 20</w:t>
      </w:r>
      <w:r w:rsidR="00EA17C8" w:rsidRPr="005F5EE2">
        <w:rPr>
          <w:szCs w:val="24"/>
          <w:lang w:val="fr-CH"/>
        </w:rPr>
        <w:t>22 au 2</w:t>
      </w:r>
      <w:r w:rsidR="007D6DCE" w:rsidRPr="005F5EE2">
        <w:rPr>
          <w:szCs w:val="24"/>
          <w:lang w:val="fr-CH"/>
        </w:rPr>
        <w:t>2 octobre 20</w:t>
      </w:r>
      <w:r w:rsidR="00EA17C8" w:rsidRPr="005F5EE2">
        <w:rPr>
          <w:szCs w:val="24"/>
          <w:lang w:val="fr-CH"/>
        </w:rPr>
        <w:t>23.</w:t>
      </w:r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5907AC" w:rsidP="00EA17C8">
      <w:pPr>
        <w:rPr>
          <w:lang w:val="fr-CH"/>
        </w:rPr>
      </w:pPr>
      <w:r w:rsidRPr="005F5EE2">
        <w:rPr>
          <w:szCs w:val="24"/>
        </w:rPr>
        <w:fldChar w:fldCharType="begin"/>
      </w:r>
      <w:r w:rsidRPr="005F5EE2">
        <w:rPr>
          <w:szCs w:val="24"/>
          <w:lang w:val="fr-CH"/>
        </w:rPr>
        <w:instrText xml:space="preserve"> AUTONUM  </w:instrText>
      </w:r>
      <w:r w:rsidRPr="005F5EE2">
        <w:rPr>
          <w:szCs w:val="24"/>
        </w:rPr>
        <w:fldChar w:fldCharType="end"/>
      </w:r>
      <w:r w:rsidRPr="005F5EE2">
        <w:rPr>
          <w:szCs w:val="24"/>
          <w:lang w:val="fr-CH"/>
        </w:rPr>
        <w:tab/>
      </w:r>
      <w:r w:rsidR="00EA17C8" w:rsidRPr="005F5EE2">
        <w:rPr>
          <w:szCs w:val="24"/>
          <w:lang w:val="fr-CH"/>
        </w:rPr>
        <w:t>Le Conseil a approuvé la procédure et le calendrier relatifs à la n</w:t>
      </w:r>
      <w:r w:rsidR="00BE7D91">
        <w:rPr>
          <w:szCs w:val="24"/>
          <w:lang w:val="fr-CH"/>
        </w:rPr>
        <w:t>omination du nouveau Secrétaire </w:t>
      </w:r>
      <w:r w:rsidR="00EA17C8" w:rsidRPr="005F5EE2">
        <w:rPr>
          <w:szCs w:val="24"/>
          <w:lang w:val="fr-CH"/>
        </w:rPr>
        <w:t>général adjoint, notamment</w:t>
      </w:r>
      <w:r w:rsidR="007D6DCE" w:rsidRPr="005F5EE2">
        <w:rPr>
          <w:szCs w:val="24"/>
          <w:lang w:val="fr-CH"/>
        </w:rPr>
        <w:t> :</w:t>
      </w:r>
      <w:bookmarkStart w:id="5" w:name="_GoBack"/>
      <w:bookmarkEnd w:id="5"/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EA17C8" w:rsidP="00EA17C8">
      <w:pPr>
        <w:ind w:firstLine="567"/>
        <w:rPr>
          <w:lang w:val="fr-CH"/>
        </w:rPr>
      </w:pPr>
      <w:r w:rsidRPr="005F5EE2">
        <w:rPr>
          <w:lang w:val="fr-CH"/>
        </w:rPr>
        <w:t>a)</w:t>
      </w:r>
      <w:r w:rsidRPr="005F5EE2">
        <w:rPr>
          <w:lang w:val="fr-CH"/>
        </w:rPr>
        <w:tab/>
        <w:t>la circulaire annonçant la vacance de poste et contenant la description générale des attributions et des conditions d</w:t>
      </w:r>
      <w:r w:rsidR="007D6DCE" w:rsidRPr="005F5EE2">
        <w:rPr>
          <w:lang w:val="fr-CH"/>
        </w:rPr>
        <w:t>’</w:t>
      </w:r>
      <w:r w:rsidRPr="005F5EE2">
        <w:rPr>
          <w:lang w:val="fr-CH"/>
        </w:rPr>
        <w:t>emploi, qui est présentée dans l</w:t>
      </w:r>
      <w:r w:rsidR="007D6DCE" w:rsidRPr="005F5EE2">
        <w:rPr>
          <w:lang w:val="fr-CH"/>
        </w:rPr>
        <w:t>’</w:t>
      </w:r>
      <w:r w:rsidRPr="005F5EE2">
        <w:rPr>
          <w:lang w:val="fr-CH"/>
        </w:rPr>
        <w:t>annexe du document</w:t>
      </w:r>
      <w:r w:rsidR="00625CBD" w:rsidRPr="005F5EE2">
        <w:rPr>
          <w:lang w:val="fr-CH"/>
        </w:rPr>
        <w:t> </w:t>
      </w:r>
      <w:r w:rsidRPr="005F5EE2">
        <w:rPr>
          <w:lang w:val="fr-CH"/>
        </w:rPr>
        <w:t>C/55/10;</w:t>
      </w:r>
    </w:p>
    <w:p w:rsidR="00275C16" w:rsidRPr="005F5EE2" w:rsidRDefault="00275C16" w:rsidP="005907AC">
      <w:pPr>
        <w:pStyle w:val="ListParagraph"/>
        <w:ind w:left="0"/>
        <w:rPr>
          <w:lang w:val="fr-CH"/>
        </w:rPr>
      </w:pPr>
    </w:p>
    <w:p w:rsidR="00275C16" w:rsidRPr="005F5EE2" w:rsidRDefault="00EA17C8" w:rsidP="00EA17C8">
      <w:pPr>
        <w:pStyle w:val="ListParagraph"/>
        <w:ind w:left="0" w:firstLine="567"/>
        <w:rPr>
          <w:lang w:val="fr-CH"/>
        </w:rPr>
      </w:pPr>
      <w:r w:rsidRPr="005F5EE2">
        <w:rPr>
          <w:lang w:val="fr-CH"/>
        </w:rPr>
        <w:t>b)</w:t>
      </w:r>
      <w:r w:rsidRPr="005F5EE2">
        <w:rPr>
          <w:lang w:val="fr-CH"/>
        </w:rPr>
        <w:tab/>
        <w:t>annonçant la nomination du Secrétaire général adjoint au grade de sous</w:t>
      </w:r>
      <w:r w:rsidR="007D6DCE" w:rsidRPr="005F5EE2">
        <w:rPr>
          <w:lang w:val="fr-CH"/>
        </w:rPr>
        <w:t>-</w:t>
      </w:r>
      <w:r w:rsidRPr="005F5EE2">
        <w:rPr>
          <w:lang w:val="fr-CH"/>
        </w:rPr>
        <w:t xml:space="preserve">secrétaire général (ASG) du régime commun des </w:t>
      </w:r>
      <w:r w:rsidR="007D6DCE" w:rsidRPr="005F5EE2">
        <w:rPr>
          <w:lang w:val="fr-CH"/>
        </w:rPr>
        <w:t>Nations Unies</w:t>
      </w:r>
      <w:r w:rsidRPr="005F5EE2">
        <w:rPr>
          <w:lang w:val="fr-CH"/>
        </w:rPr>
        <w:t>, ce qui évite d</w:t>
      </w:r>
      <w:r w:rsidR="007D6DCE" w:rsidRPr="005F5EE2">
        <w:rPr>
          <w:lang w:val="fr-CH"/>
        </w:rPr>
        <w:t>’</w:t>
      </w:r>
      <w:r w:rsidRPr="005F5EE2">
        <w:rPr>
          <w:lang w:val="fr-CH"/>
        </w:rPr>
        <w:t xml:space="preserve">avoir à envisager une promotion après que le Secrétaire général adjoint a été en poste pendant un </w:t>
      </w:r>
      <w:proofErr w:type="gramStart"/>
      <w:r w:rsidRPr="005F5EE2">
        <w:rPr>
          <w:lang w:val="fr-CH"/>
        </w:rPr>
        <w:t xml:space="preserve">an; </w:t>
      </w:r>
      <w:r w:rsidR="004011A9" w:rsidRPr="005F5EE2">
        <w:rPr>
          <w:lang w:val="fr-CH"/>
        </w:rPr>
        <w:t xml:space="preserve"> </w:t>
      </w:r>
      <w:r w:rsidRPr="005F5EE2">
        <w:rPr>
          <w:lang w:val="fr-CH"/>
        </w:rPr>
        <w:t>et</w:t>
      </w:r>
      <w:proofErr w:type="gramEnd"/>
    </w:p>
    <w:p w:rsidR="00275C16" w:rsidRPr="005F5EE2" w:rsidRDefault="00275C16" w:rsidP="005907AC">
      <w:pPr>
        <w:pStyle w:val="ListParagraph"/>
        <w:ind w:left="0"/>
        <w:rPr>
          <w:lang w:val="fr-CH"/>
        </w:rPr>
      </w:pPr>
    </w:p>
    <w:p w:rsidR="00275C16" w:rsidRPr="005F5EE2" w:rsidRDefault="00EA17C8" w:rsidP="00EA17C8">
      <w:pPr>
        <w:pStyle w:val="ListParagraph"/>
        <w:ind w:left="0" w:firstLine="567"/>
        <w:rPr>
          <w:lang w:val="fr-CH"/>
        </w:rPr>
      </w:pPr>
      <w:r w:rsidRPr="005F5EE2">
        <w:rPr>
          <w:lang w:val="fr-CH"/>
        </w:rPr>
        <w:t>c)</w:t>
      </w:r>
      <w:r w:rsidRPr="005F5EE2">
        <w:rPr>
          <w:lang w:val="fr-CH"/>
        </w:rPr>
        <w:tab/>
        <w:t>la procédure à suivre et le calendrier ci</w:t>
      </w:r>
      <w:r w:rsidR="007D6DCE" w:rsidRPr="005F5EE2">
        <w:rPr>
          <w:lang w:val="fr-CH"/>
        </w:rPr>
        <w:t>-</w:t>
      </w:r>
      <w:r w:rsidRPr="005F5EE2">
        <w:rPr>
          <w:lang w:val="fr-CH"/>
        </w:rPr>
        <w:t>après</w:t>
      </w:r>
      <w:r w:rsidR="007D6DCE" w:rsidRPr="005F5EE2">
        <w:rPr>
          <w:lang w:val="fr-CH"/>
        </w:rPr>
        <w:t> :</w:t>
      </w:r>
    </w:p>
    <w:p w:rsidR="00275C16" w:rsidRPr="005F5EE2" w:rsidRDefault="00275C16" w:rsidP="005907AC">
      <w:pPr>
        <w:pStyle w:val="ListParagraph"/>
        <w:ind w:left="0" w:firstLine="567"/>
        <w:rPr>
          <w:lang w:val="fr-CH"/>
        </w:rPr>
      </w:pPr>
    </w:p>
    <w:p w:rsidR="00275C16" w:rsidRPr="005F5EE2" w:rsidRDefault="00D57B0E" w:rsidP="00D57B0E">
      <w:pPr>
        <w:pStyle w:val="ListParagraph"/>
        <w:ind w:firstLine="567"/>
        <w:rPr>
          <w:lang w:val="fr-CH"/>
        </w:rPr>
      </w:pPr>
      <w:r w:rsidRPr="005F5EE2">
        <w:rPr>
          <w:lang w:val="fr-CH"/>
        </w:rPr>
        <w:t>i)</w:t>
      </w:r>
      <w:r w:rsidRPr="005F5EE2">
        <w:rPr>
          <w:lang w:val="fr-CH"/>
        </w:rPr>
        <w:tab/>
        <w:t>approuver une circulaire annonçant la vacance de poste et contenant la description générale des attributions et des conditions d</w:t>
      </w:r>
      <w:r w:rsidR="007D6DCE" w:rsidRPr="005F5EE2">
        <w:rPr>
          <w:lang w:val="fr-CH"/>
        </w:rPr>
        <w:t>’</w:t>
      </w:r>
      <w:r w:rsidRPr="005F5EE2">
        <w:rPr>
          <w:lang w:val="fr-CH"/>
        </w:rPr>
        <w:t>emploi, qui est présentée dans l</w:t>
      </w:r>
      <w:r w:rsidR="007D6DCE" w:rsidRPr="005F5EE2">
        <w:rPr>
          <w:lang w:val="fr-CH"/>
        </w:rPr>
        <w:t>’</w:t>
      </w:r>
      <w:r w:rsidRPr="005F5EE2">
        <w:rPr>
          <w:lang w:val="fr-CH"/>
        </w:rPr>
        <w:t>annexe du document</w:t>
      </w:r>
      <w:r w:rsidR="00625CBD" w:rsidRPr="005F5EE2">
        <w:rPr>
          <w:lang w:val="fr-CH"/>
        </w:rPr>
        <w:t> </w:t>
      </w:r>
      <w:r w:rsidRPr="005F5EE2">
        <w:rPr>
          <w:lang w:val="fr-CH"/>
        </w:rPr>
        <w:t>C/55/10;</w:t>
      </w:r>
    </w:p>
    <w:p w:rsidR="00275C16" w:rsidRPr="005F5EE2" w:rsidRDefault="00275C16" w:rsidP="005907AC">
      <w:pPr>
        <w:pStyle w:val="ListParagraph"/>
        <w:ind w:firstLine="567"/>
        <w:rPr>
          <w:lang w:val="fr-CH"/>
        </w:rPr>
      </w:pPr>
    </w:p>
    <w:p w:rsidR="00275C16" w:rsidRPr="005F5EE2" w:rsidRDefault="00D57B0E" w:rsidP="00D57B0E">
      <w:pPr>
        <w:pStyle w:val="ListParagraph"/>
        <w:ind w:firstLine="567"/>
        <w:rPr>
          <w:lang w:val="fr-CH"/>
        </w:rPr>
      </w:pPr>
      <w:r w:rsidRPr="005F5EE2">
        <w:rPr>
          <w:lang w:val="fr-CH"/>
        </w:rPr>
        <w:t>ii)</w:t>
      </w:r>
      <w:r w:rsidRPr="005F5EE2">
        <w:rPr>
          <w:lang w:val="fr-CH"/>
        </w:rPr>
        <w:tab/>
        <w:t>demander au Secrétaire général d</w:t>
      </w:r>
      <w:r w:rsidR="007D6DCE" w:rsidRPr="005F5EE2">
        <w:rPr>
          <w:lang w:val="fr-CH"/>
        </w:rPr>
        <w:t>’</w:t>
      </w:r>
      <w:r w:rsidRPr="005F5EE2">
        <w:rPr>
          <w:lang w:val="fr-CH"/>
        </w:rPr>
        <w:t>annoncer la vacance de poste d</w:t>
      </w:r>
      <w:r w:rsidR="007D6DCE" w:rsidRPr="005F5EE2">
        <w:rPr>
          <w:lang w:val="fr-CH"/>
        </w:rPr>
        <w:t>’</w:t>
      </w:r>
      <w:r w:rsidRPr="005F5EE2">
        <w:rPr>
          <w:lang w:val="fr-CH"/>
        </w:rPr>
        <w:t xml:space="preserve">ici à la fin du mois de </w:t>
      </w:r>
      <w:r w:rsidR="007D6DCE" w:rsidRPr="005F5EE2">
        <w:rPr>
          <w:lang w:val="fr-CH"/>
        </w:rPr>
        <w:t>mai 20</w:t>
      </w:r>
      <w:r w:rsidRPr="005F5EE2">
        <w:rPr>
          <w:lang w:val="fr-CH"/>
        </w:rPr>
        <w:t>22;</w:t>
      </w:r>
    </w:p>
    <w:p w:rsidR="00275C16" w:rsidRPr="005F5EE2" w:rsidRDefault="00275C16" w:rsidP="005907AC">
      <w:pPr>
        <w:pStyle w:val="ListParagraph"/>
        <w:ind w:firstLine="567"/>
        <w:rPr>
          <w:lang w:val="fr-CH"/>
        </w:rPr>
      </w:pPr>
    </w:p>
    <w:p w:rsidR="00275C16" w:rsidRPr="005F5EE2" w:rsidRDefault="00D57B0E" w:rsidP="00D57B0E">
      <w:pPr>
        <w:pStyle w:val="ListParagraph"/>
        <w:ind w:firstLine="567"/>
        <w:rPr>
          <w:lang w:val="fr-CH"/>
        </w:rPr>
      </w:pPr>
      <w:r w:rsidRPr="005F5EE2">
        <w:rPr>
          <w:lang w:val="fr-CH"/>
        </w:rPr>
        <w:t>iii)</w:t>
      </w:r>
      <w:r w:rsidRPr="005F5EE2">
        <w:rPr>
          <w:lang w:val="fr-CH"/>
        </w:rPr>
        <w:tab/>
        <w:t>fixer la date limite pour le dépôt des candidatures au 3</w:t>
      </w:r>
      <w:r w:rsidR="007D6DCE" w:rsidRPr="005F5EE2">
        <w:rPr>
          <w:lang w:val="fr-CH"/>
        </w:rPr>
        <w:t>1 août 20</w:t>
      </w:r>
      <w:r w:rsidRPr="005F5EE2">
        <w:rPr>
          <w:lang w:val="fr-CH"/>
        </w:rPr>
        <w:t>22;</w:t>
      </w:r>
    </w:p>
    <w:p w:rsidR="00275C16" w:rsidRPr="005F5EE2" w:rsidRDefault="00275C16" w:rsidP="005907AC">
      <w:pPr>
        <w:pStyle w:val="ListParagraph"/>
        <w:ind w:firstLine="567"/>
        <w:rPr>
          <w:lang w:val="fr-CH"/>
        </w:rPr>
      </w:pPr>
    </w:p>
    <w:p w:rsidR="00275C16" w:rsidRPr="005F5EE2" w:rsidRDefault="00D57B0E" w:rsidP="00D57B0E">
      <w:pPr>
        <w:pStyle w:val="ListParagraph"/>
        <w:ind w:firstLine="567"/>
        <w:rPr>
          <w:lang w:val="fr-CH"/>
        </w:rPr>
      </w:pPr>
      <w:r w:rsidRPr="005F5EE2">
        <w:rPr>
          <w:lang w:val="fr-CH"/>
        </w:rPr>
        <w:t>iv)</w:t>
      </w:r>
      <w:r w:rsidRPr="005F5EE2">
        <w:rPr>
          <w:lang w:val="fr-CH"/>
        </w:rPr>
        <w:tab/>
        <w:t>adresser à chaque membre de l</w:t>
      </w:r>
      <w:r w:rsidR="007D6DCE" w:rsidRPr="005F5EE2">
        <w:rPr>
          <w:lang w:val="fr-CH"/>
        </w:rPr>
        <w:t>’</w:t>
      </w:r>
      <w:r w:rsidRPr="005F5EE2">
        <w:rPr>
          <w:lang w:val="fr-CH"/>
        </w:rPr>
        <w:t>Union, dans les meilleurs délais après le 3</w:t>
      </w:r>
      <w:r w:rsidR="007D6DCE" w:rsidRPr="005F5EE2">
        <w:rPr>
          <w:lang w:val="fr-CH"/>
        </w:rPr>
        <w:t>1 août 20</w:t>
      </w:r>
      <w:r w:rsidRPr="005F5EE2">
        <w:rPr>
          <w:lang w:val="fr-CH"/>
        </w:rPr>
        <w:t>22, une copie des candidatures reçues;</w:t>
      </w:r>
    </w:p>
    <w:p w:rsidR="00275C16" w:rsidRPr="005F5EE2" w:rsidRDefault="00275C16" w:rsidP="005907AC">
      <w:pPr>
        <w:pStyle w:val="ListParagraph"/>
        <w:ind w:firstLine="567"/>
        <w:rPr>
          <w:lang w:val="fr-CH"/>
        </w:rPr>
      </w:pPr>
    </w:p>
    <w:p w:rsidR="00275C16" w:rsidRPr="005F5EE2" w:rsidRDefault="00D57B0E" w:rsidP="00D57B0E">
      <w:pPr>
        <w:pStyle w:val="ListParagraph"/>
        <w:ind w:firstLine="567"/>
        <w:rPr>
          <w:lang w:val="fr-CH"/>
        </w:rPr>
      </w:pPr>
      <w:r w:rsidRPr="005F5EE2">
        <w:rPr>
          <w:lang w:val="fr-CH"/>
        </w:rPr>
        <w:t>v)</w:t>
      </w:r>
      <w:r w:rsidRPr="005F5EE2">
        <w:rPr>
          <w:lang w:val="fr-CH"/>
        </w:rPr>
        <w:tab/>
        <w:t>ajouter à l</w:t>
      </w:r>
      <w:r w:rsidR="007D6DCE" w:rsidRPr="005F5EE2">
        <w:rPr>
          <w:lang w:val="fr-CH"/>
        </w:rPr>
        <w:t>’</w:t>
      </w:r>
      <w:r w:rsidRPr="005F5EE2">
        <w:rPr>
          <w:lang w:val="fr-CH"/>
        </w:rPr>
        <w:t>ordre du jour de la quatre</w:t>
      </w:r>
      <w:r w:rsidR="007D6DCE" w:rsidRPr="005F5EE2">
        <w:rPr>
          <w:lang w:val="fr-CH"/>
        </w:rPr>
        <w:t>-</w:t>
      </w:r>
      <w:r w:rsidRPr="005F5EE2">
        <w:rPr>
          <w:lang w:val="fr-CH"/>
        </w:rPr>
        <w:t>vingt</w:t>
      </w:r>
      <w:r w:rsidR="007D6DCE" w:rsidRPr="005F5EE2">
        <w:rPr>
          <w:lang w:val="fr-CH"/>
        </w:rPr>
        <w:t>-</w:t>
      </w:r>
      <w:r w:rsidRPr="005F5EE2">
        <w:rPr>
          <w:lang w:val="fr-CH"/>
        </w:rPr>
        <w:t>dix</w:t>
      </w:r>
      <w:r w:rsidR="007D6DCE" w:rsidRPr="005F5EE2">
        <w:rPr>
          <w:lang w:val="fr-CH"/>
        </w:rPr>
        <w:t>-</w:t>
      </w:r>
      <w:r w:rsidRPr="005F5EE2">
        <w:rPr>
          <w:lang w:val="fr-CH"/>
        </w:rPr>
        <w:t>neuv</w:t>
      </w:r>
      <w:r w:rsidR="007D6DCE" w:rsidRPr="005F5EE2">
        <w:rPr>
          <w:lang w:val="fr-CH"/>
        </w:rPr>
        <w:t>ième session</w:t>
      </w:r>
      <w:r w:rsidRPr="005F5EE2">
        <w:rPr>
          <w:lang w:val="fr-CH"/>
        </w:rPr>
        <w:t xml:space="preserve"> du Comité consultatif, qui se tiendra le 2</w:t>
      </w:r>
      <w:r w:rsidR="007D6DCE" w:rsidRPr="005F5EE2">
        <w:rPr>
          <w:lang w:val="fr-CH"/>
        </w:rPr>
        <w:t>7 octobre 20</w:t>
      </w:r>
      <w:r w:rsidRPr="005F5EE2">
        <w:rPr>
          <w:lang w:val="fr-CH"/>
        </w:rPr>
        <w:t>22, un point portant sur l</w:t>
      </w:r>
      <w:r w:rsidR="007D6DCE" w:rsidRPr="005F5EE2">
        <w:rPr>
          <w:lang w:val="fr-CH"/>
        </w:rPr>
        <w:t>’</w:t>
      </w:r>
      <w:r w:rsidRPr="005F5EE2">
        <w:rPr>
          <w:lang w:val="fr-CH"/>
        </w:rPr>
        <w:t xml:space="preserve">examen des candidatures reçues pour le poste de </w:t>
      </w:r>
      <w:r w:rsidR="00E333D0" w:rsidRPr="005F5EE2">
        <w:rPr>
          <w:lang w:val="fr-CH"/>
        </w:rPr>
        <w:t>S</w:t>
      </w:r>
      <w:r w:rsidRPr="005F5EE2">
        <w:rPr>
          <w:lang w:val="fr-CH"/>
        </w:rPr>
        <w:t>ecrétaire général adjoint, créer un sous</w:t>
      </w:r>
      <w:r w:rsidR="007D6DCE" w:rsidRPr="005F5EE2">
        <w:rPr>
          <w:lang w:val="fr-CH"/>
        </w:rPr>
        <w:t>-</w:t>
      </w:r>
      <w:r w:rsidRPr="005F5EE2">
        <w:rPr>
          <w:lang w:val="fr-CH"/>
        </w:rPr>
        <w:t>comité ad</w:t>
      </w:r>
      <w:r w:rsidR="004011A9" w:rsidRPr="005F5EE2">
        <w:rPr>
          <w:lang w:val="fr-CH"/>
        </w:rPr>
        <w:t> </w:t>
      </w:r>
      <w:r w:rsidRPr="005F5EE2">
        <w:rPr>
          <w:lang w:val="fr-CH"/>
        </w:rPr>
        <w:t>hoc sur la base de la pratique antérieure de nomination des secrétaires généraux adjoints, chargé de faire passer les entretiens aux candidats sélectionnés au début de l</w:t>
      </w:r>
      <w:r w:rsidR="007D6DCE" w:rsidRPr="005F5EE2">
        <w:rPr>
          <w:lang w:val="fr-CH"/>
        </w:rPr>
        <w:t>’</w:t>
      </w:r>
      <w:r w:rsidRPr="005F5EE2">
        <w:rPr>
          <w:lang w:val="fr-CH"/>
        </w:rPr>
        <w:t>année</w:t>
      </w:r>
      <w:r w:rsidR="00625CBD" w:rsidRPr="005F5EE2">
        <w:rPr>
          <w:lang w:val="fr-CH"/>
        </w:rPr>
        <w:t> </w:t>
      </w:r>
      <w:r w:rsidRPr="005F5EE2">
        <w:rPr>
          <w:lang w:val="fr-CH"/>
        </w:rPr>
        <w:t>2023 et de décider du thème d</w:t>
      </w:r>
      <w:r w:rsidR="007D6DCE" w:rsidRPr="005F5EE2">
        <w:rPr>
          <w:lang w:val="fr-CH"/>
        </w:rPr>
        <w:t>’</w:t>
      </w:r>
      <w:r w:rsidRPr="005F5EE2">
        <w:rPr>
          <w:lang w:val="fr-CH"/>
        </w:rPr>
        <w:t>un exposé que présenteront les candidats sélectionnés pour l</w:t>
      </w:r>
      <w:r w:rsidR="007D6DCE" w:rsidRPr="005F5EE2">
        <w:rPr>
          <w:lang w:val="fr-CH"/>
        </w:rPr>
        <w:t>’</w:t>
      </w:r>
      <w:r w:rsidRPr="005F5EE2">
        <w:rPr>
          <w:lang w:val="fr-CH"/>
        </w:rPr>
        <w:t>entretien;</w:t>
      </w:r>
    </w:p>
    <w:p w:rsidR="00275C16" w:rsidRPr="005F5EE2" w:rsidRDefault="00275C16" w:rsidP="005907AC">
      <w:pPr>
        <w:pStyle w:val="ListParagraph"/>
        <w:ind w:firstLine="567"/>
        <w:rPr>
          <w:lang w:val="fr-CH"/>
        </w:rPr>
      </w:pPr>
    </w:p>
    <w:p w:rsidR="00275C16" w:rsidRPr="005F5EE2" w:rsidRDefault="005907AC" w:rsidP="00D57B0E">
      <w:pPr>
        <w:pStyle w:val="ListParagraph"/>
        <w:ind w:firstLine="567"/>
        <w:rPr>
          <w:lang w:val="fr-CH"/>
        </w:rPr>
      </w:pPr>
      <w:r w:rsidRPr="005F5EE2">
        <w:rPr>
          <w:lang w:val="fr-CH"/>
        </w:rPr>
        <w:tab/>
      </w:r>
      <w:r w:rsidR="00D57B0E" w:rsidRPr="005F5EE2">
        <w:rPr>
          <w:lang w:val="fr-CH"/>
        </w:rPr>
        <w:t>vi)</w:t>
      </w:r>
      <w:r w:rsidR="00D57B0E" w:rsidRPr="005F5EE2">
        <w:rPr>
          <w:lang w:val="fr-CH"/>
        </w:rPr>
        <w:tab/>
        <w:t>d</w:t>
      </w:r>
      <w:r w:rsidR="007D6DCE" w:rsidRPr="005F5EE2">
        <w:rPr>
          <w:lang w:val="fr-CH"/>
        </w:rPr>
        <w:t>’</w:t>
      </w:r>
      <w:r w:rsidR="00D57B0E" w:rsidRPr="005F5EE2">
        <w:rPr>
          <w:lang w:val="fr-CH"/>
        </w:rPr>
        <w:t xml:space="preserve">ici à la fin du mois de janvier ou au début du mois de </w:t>
      </w:r>
      <w:r w:rsidR="007D6DCE" w:rsidRPr="005F5EE2">
        <w:rPr>
          <w:lang w:val="fr-CH"/>
        </w:rPr>
        <w:t>février 20</w:t>
      </w:r>
      <w:r w:rsidR="00D57B0E" w:rsidRPr="005F5EE2">
        <w:rPr>
          <w:lang w:val="fr-CH"/>
        </w:rPr>
        <w:t>23, organiser une réunion informelle des membres de l</w:t>
      </w:r>
      <w:r w:rsidR="007D6DCE" w:rsidRPr="005F5EE2">
        <w:rPr>
          <w:lang w:val="fr-CH"/>
        </w:rPr>
        <w:t>’</w:t>
      </w:r>
      <w:r w:rsidR="00D57B0E" w:rsidRPr="005F5EE2">
        <w:rPr>
          <w:lang w:val="fr-CH"/>
        </w:rPr>
        <w:t>Union pour écouter les exposés de 10 à 15</w:t>
      </w:r>
      <w:r w:rsidR="00625CBD" w:rsidRPr="005F5EE2">
        <w:rPr>
          <w:lang w:val="fr-CH"/>
        </w:rPr>
        <w:t> </w:t>
      </w:r>
      <w:r w:rsidR="00D57B0E" w:rsidRPr="005F5EE2">
        <w:rPr>
          <w:lang w:val="fr-CH"/>
        </w:rPr>
        <w:t>minutes présentés par les candidats sélectionnés pour un entretien dans la matinée et prendre les dispositions nécessaires pour que les candidats sélectionnés s</w:t>
      </w:r>
      <w:r w:rsidR="007D6DCE" w:rsidRPr="005F5EE2">
        <w:rPr>
          <w:lang w:val="fr-CH"/>
        </w:rPr>
        <w:t>’</w:t>
      </w:r>
      <w:r w:rsidR="00D57B0E" w:rsidRPr="005F5EE2">
        <w:rPr>
          <w:lang w:val="fr-CH"/>
        </w:rPr>
        <w:t>entretiennent avec le sous</w:t>
      </w:r>
      <w:r w:rsidR="007D6DCE" w:rsidRPr="005F5EE2">
        <w:rPr>
          <w:lang w:val="fr-CH"/>
        </w:rPr>
        <w:t>-</w:t>
      </w:r>
      <w:r w:rsidR="00D57B0E" w:rsidRPr="005F5EE2">
        <w:rPr>
          <w:lang w:val="fr-CH"/>
        </w:rPr>
        <w:t>comité ad</w:t>
      </w:r>
      <w:r w:rsidR="004011A9" w:rsidRPr="005F5EE2">
        <w:rPr>
          <w:lang w:val="fr-CH"/>
        </w:rPr>
        <w:t> </w:t>
      </w:r>
      <w:r w:rsidR="00D57B0E" w:rsidRPr="005F5EE2">
        <w:rPr>
          <w:lang w:val="fr-CH"/>
        </w:rPr>
        <w:t>hoc dans l</w:t>
      </w:r>
      <w:r w:rsidR="007D6DCE" w:rsidRPr="005F5EE2">
        <w:rPr>
          <w:lang w:val="fr-CH"/>
        </w:rPr>
        <w:t>’</w:t>
      </w:r>
      <w:r w:rsidR="00D57B0E" w:rsidRPr="005F5EE2">
        <w:rPr>
          <w:lang w:val="fr-CH"/>
        </w:rPr>
        <w:t>après</w:t>
      </w:r>
      <w:r w:rsidR="007D6DCE" w:rsidRPr="005F5EE2">
        <w:rPr>
          <w:lang w:val="fr-CH"/>
        </w:rPr>
        <w:t>-</w:t>
      </w:r>
      <w:r w:rsidR="00D57B0E" w:rsidRPr="005F5EE2">
        <w:rPr>
          <w:lang w:val="fr-CH"/>
        </w:rPr>
        <w:t>midi;</w:t>
      </w:r>
    </w:p>
    <w:p w:rsidR="00275C16" w:rsidRPr="005F5EE2" w:rsidRDefault="00275C16" w:rsidP="005907AC">
      <w:pPr>
        <w:pStyle w:val="ListParagraph"/>
        <w:ind w:firstLine="567"/>
        <w:rPr>
          <w:lang w:val="fr-CH"/>
        </w:rPr>
      </w:pPr>
    </w:p>
    <w:p w:rsidR="00275C16" w:rsidRPr="005F5EE2" w:rsidRDefault="005907AC" w:rsidP="00D57B0E">
      <w:pPr>
        <w:pStyle w:val="ListParagraph"/>
        <w:ind w:firstLine="567"/>
        <w:rPr>
          <w:lang w:val="fr-CH"/>
        </w:rPr>
      </w:pPr>
      <w:r w:rsidRPr="005F5EE2">
        <w:rPr>
          <w:lang w:val="fr-CH"/>
        </w:rPr>
        <w:tab/>
      </w:r>
      <w:r w:rsidR="00D57B0E" w:rsidRPr="005F5EE2">
        <w:rPr>
          <w:lang w:val="fr-CH"/>
        </w:rPr>
        <w:t>vii)</w:t>
      </w:r>
      <w:r w:rsidR="00D57B0E" w:rsidRPr="005F5EE2">
        <w:rPr>
          <w:lang w:val="fr-CH"/>
        </w:rPr>
        <w:tab/>
        <w:t>d</w:t>
      </w:r>
      <w:r w:rsidR="007D6DCE" w:rsidRPr="005F5EE2">
        <w:rPr>
          <w:lang w:val="fr-CH"/>
        </w:rPr>
        <w:t>’</w:t>
      </w:r>
      <w:r w:rsidR="00D57B0E" w:rsidRPr="005F5EE2">
        <w:rPr>
          <w:lang w:val="fr-CH"/>
        </w:rPr>
        <w:t xml:space="preserve">ici à la fin du mois de </w:t>
      </w:r>
      <w:r w:rsidR="007D6DCE" w:rsidRPr="005F5EE2">
        <w:rPr>
          <w:lang w:val="fr-CH"/>
        </w:rPr>
        <w:t>février 20</w:t>
      </w:r>
      <w:r w:rsidR="00D57B0E" w:rsidRPr="005F5EE2">
        <w:rPr>
          <w:lang w:val="fr-CH"/>
        </w:rPr>
        <w:t>23, adresser aux membres de l</w:t>
      </w:r>
      <w:r w:rsidR="007D6DCE" w:rsidRPr="005F5EE2">
        <w:rPr>
          <w:lang w:val="fr-CH"/>
        </w:rPr>
        <w:t>’</w:t>
      </w:r>
      <w:r w:rsidR="00D57B0E" w:rsidRPr="005F5EE2">
        <w:rPr>
          <w:lang w:val="fr-CH"/>
        </w:rPr>
        <w:t>Union un rapport sur la réunion du sous</w:t>
      </w:r>
      <w:r w:rsidR="007D6DCE" w:rsidRPr="005F5EE2">
        <w:rPr>
          <w:lang w:val="fr-CH"/>
        </w:rPr>
        <w:t>-</w:t>
      </w:r>
      <w:r w:rsidR="00D57B0E" w:rsidRPr="005F5EE2">
        <w:rPr>
          <w:lang w:val="fr-CH"/>
        </w:rPr>
        <w:t>comité ad</w:t>
      </w:r>
      <w:r w:rsidR="004011A9" w:rsidRPr="005F5EE2">
        <w:rPr>
          <w:lang w:val="fr-CH"/>
        </w:rPr>
        <w:t> </w:t>
      </w:r>
      <w:r w:rsidR="00D57B0E" w:rsidRPr="005F5EE2">
        <w:rPr>
          <w:lang w:val="fr-CH"/>
        </w:rPr>
        <w:t>hoc;</w:t>
      </w:r>
    </w:p>
    <w:p w:rsidR="00275C16" w:rsidRPr="005F5EE2" w:rsidRDefault="00275C16" w:rsidP="005907AC">
      <w:pPr>
        <w:pStyle w:val="ListParagraph"/>
        <w:ind w:firstLine="567"/>
        <w:rPr>
          <w:lang w:val="fr-CH"/>
        </w:rPr>
      </w:pPr>
    </w:p>
    <w:p w:rsidR="00275C16" w:rsidRPr="005F5EE2" w:rsidRDefault="005907AC" w:rsidP="00D57B0E">
      <w:pPr>
        <w:pStyle w:val="ListParagraph"/>
        <w:ind w:firstLine="567"/>
        <w:rPr>
          <w:lang w:val="fr-CH"/>
        </w:rPr>
      </w:pPr>
      <w:r w:rsidRPr="005F5EE2">
        <w:rPr>
          <w:lang w:val="fr-CH"/>
        </w:rPr>
        <w:tab/>
      </w:r>
      <w:r w:rsidR="00D57B0E" w:rsidRPr="005F5EE2">
        <w:rPr>
          <w:lang w:val="fr-CH"/>
        </w:rPr>
        <w:t>viii)</w:t>
      </w:r>
      <w:r w:rsidR="00D57B0E" w:rsidRPr="005F5EE2">
        <w:rPr>
          <w:lang w:val="fr-CH"/>
        </w:rPr>
        <w:tab/>
        <w:t>convoquer la cent</w:t>
      </w:r>
      <w:r w:rsidR="007D6DCE" w:rsidRPr="005F5EE2">
        <w:rPr>
          <w:lang w:val="fr-CH"/>
        </w:rPr>
        <w:t>ième session</w:t>
      </w:r>
      <w:r w:rsidR="00D57B0E" w:rsidRPr="005F5EE2">
        <w:rPr>
          <w:lang w:val="fr-CH"/>
        </w:rPr>
        <w:t xml:space="preserve"> du Comité consultatif et une session extraordinaire du Conseil le 2</w:t>
      </w:r>
      <w:r w:rsidR="007D6DCE" w:rsidRPr="005F5EE2">
        <w:rPr>
          <w:lang w:val="fr-CH"/>
        </w:rPr>
        <w:t>3 mars 20</w:t>
      </w:r>
      <w:r w:rsidR="00D57B0E" w:rsidRPr="005F5EE2">
        <w:rPr>
          <w:lang w:val="fr-CH"/>
        </w:rPr>
        <w:t>23 et, après avoir demandé l</w:t>
      </w:r>
      <w:r w:rsidR="007D6DCE" w:rsidRPr="005F5EE2">
        <w:rPr>
          <w:lang w:val="fr-CH"/>
        </w:rPr>
        <w:t>’</w:t>
      </w:r>
      <w:r w:rsidR="00D57B0E" w:rsidRPr="005F5EE2">
        <w:rPr>
          <w:lang w:val="fr-CH"/>
        </w:rPr>
        <w:t>accord du Secrétaire général, adresser au Conseil une recommandation concernant la nomination du nouveau Secrétaire général adjoint.</w:t>
      </w:r>
    </w:p>
    <w:p w:rsidR="00275C16" w:rsidRPr="005F5EE2" w:rsidRDefault="00275C16" w:rsidP="005907AC">
      <w:pPr>
        <w:jc w:val="left"/>
        <w:rPr>
          <w:lang w:val="fr-CH"/>
        </w:rPr>
      </w:pPr>
    </w:p>
    <w:p w:rsidR="00275C16" w:rsidRPr="005F5EE2" w:rsidRDefault="00275C16" w:rsidP="005907AC">
      <w:pPr>
        <w:jc w:val="left"/>
        <w:rPr>
          <w:lang w:val="fr-CH"/>
        </w:rPr>
      </w:pPr>
    </w:p>
    <w:p w:rsidR="00275C16" w:rsidRPr="005F5EE2" w:rsidRDefault="00275C16" w:rsidP="005907AC">
      <w:pPr>
        <w:jc w:val="left"/>
        <w:rPr>
          <w:lang w:val="fr-CH"/>
        </w:rPr>
      </w:pPr>
    </w:p>
    <w:p w:rsidR="007D6DCE" w:rsidRPr="005F5EE2" w:rsidRDefault="007D6DCE" w:rsidP="00D57B0E">
      <w:pPr>
        <w:pStyle w:val="Heading1"/>
        <w:rPr>
          <w:spacing w:val="-4"/>
          <w:lang w:val="fr-CH"/>
        </w:rPr>
      </w:pPr>
      <w:bookmarkStart w:id="6" w:name="_Toc84588274"/>
      <w:r w:rsidRPr="005F5EE2">
        <w:rPr>
          <w:spacing w:val="-4"/>
          <w:lang w:val="fr-CH"/>
        </w:rPr>
        <w:t>Point 8</w:t>
      </w:r>
      <w:r w:rsidR="00D57B0E" w:rsidRPr="005F5EE2">
        <w:rPr>
          <w:spacing w:val="-4"/>
          <w:lang w:val="fr-CH"/>
        </w:rPr>
        <w:t xml:space="preserve"> de l</w:t>
      </w:r>
      <w:r w:rsidRPr="005F5EE2">
        <w:rPr>
          <w:spacing w:val="-4"/>
          <w:lang w:val="fr-CH"/>
        </w:rPr>
        <w:t>’</w:t>
      </w:r>
      <w:r w:rsidR="00D57B0E" w:rsidRPr="005F5EE2">
        <w:rPr>
          <w:spacing w:val="-4"/>
          <w:lang w:val="fr-CH"/>
        </w:rPr>
        <w:t>ordre du jour</w:t>
      </w:r>
      <w:r w:rsidRPr="005F5EE2">
        <w:rPr>
          <w:spacing w:val="-4"/>
          <w:lang w:val="fr-CH"/>
        </w:rPr>
        <w:t> :</w:t>
      </w:r>
      <w:r w:rsidR="00D57B0E" w:rsidRPr="005F5EE2">
        <w:rPr>
          <w:spacing w:val="-4"/>
          <w:lang w:val="fr-CH"/>
        </w:rPr>
        <w:t xml:space="preserve"> Documents proposés pour adoption par le Conseil (document C/55/3</w:t>
      </w:r>
      <w:r w:rsidR="004011A9" w:rsidRPr="005F5EE2">
        <w:rPr>
          <w:spacing w:val="-4"/>
          <w:lang w:val="fr-CH"/>
        </w:rPr>
        <w:t> </w:t>
      </w:r>
      <w:r w:rsidR="00D57B0E" w:rsidRPr="005F5EE2">
        <w:rPr>
          <w:spacing w:val="-4"/>
          <w:lang w:val="fr-CH"/>
        </w:rPr>
        <w:t>Rev.)</w:t>
      </w:r>
      <w:bookmarkEnd w:id="6"/>
    </w:p>
    <w:p w:rsidR="00275C16" w:rsidRPr="005F5EE2" w:rsidRDefault="00275C16" w:rsidP="005907AC">
      <w:pPr>
        <w:keepNext/>
        <w:rPr>
          <w:lang w:val="fr-CH"/>
        </w:rPr>
      </w:pPr>
    </w:p>
    <w:p w:rsidR="00275C16" w:rsidRPr="005F5EE2" w:rsidRDefault="00D57B0E" w:rsidP="00D57B0E">
      <w:pPr>
        <w:pStyle w:val="Heading2"/>
        <w:rPr>
          <w:lang w:val="fr-CH"/>
        </w:rPr>
      </w:pPr>
      <w:bookmarkStart w:id="7" w:name="_Toc84588275"/>
      <w:r w:rsidRPr="005F5EE2">
        <w:rPr>
          <w:lang w:val="fr-CH"/>
        </w:rPr>
        <w:t>Documents proposés pour adoption par le Conseil (document C/55/3</w:t>
      </w:r>
      <w:r w:rsidR="004011A9" w:rsidRPr="005F5EE2">
        <w:rPr>
          <w:lang w:val="fr-CH"/>
        </w:rPr>
        <w:t> </w:t>
      </w:r>
      <w:proofErr w:type="spellStart"/>
      <w:r w:rsidRPr="005F5EE2">
        <w:rPr>
          <w:lang w:val="fr-CH"/>
        </w:rPr>
        <w:t>Rev</w:t>
      </w:r>
      <w:proofErr w:type="spellEnd"/>
      <w:r w:rsidRPr="005F5EE2">
        <w:rPr>
          <w:lang w:val="fr-CH"/>
        </w:rPr>
        <w:t>.)</w:t>
      </w:r>
      <w:bookmarkEnd w:id="7"/>
    </w:p>
    <w:p w:rsidR="00275C16" w:rsidRPr="005F5EE2" w:rsidRDefault="00275C16" w:rsidP="005907AC">
      <w:pPr>
        <w:keepNext/>
        <w:rPr>
          <w:lang w:val="fr-CH"/>
        </w:rPr>
      </w:pPr>
    </w:p>
    <w:p w:rsidR="00275C16" w:rsidRPr="005F5EE2" w:rsidRDefault="005907AC" w:rsidP="00E7168A">
      <w:pPr>
        <w:keepNext/>
        <w:keepLines/>
        <w:rPr>
          <w:lang w:val="fr-CH"/>
        </w:rPr>
      </w:pPr>
      <w:r w:rsidRPr="005F5EE2">
        <w:rPr>
          <w:szCs w:val="24"/>
        </w:rPr>
        <w:fldChar w:fldCharType="begin"/>
      </w:r>
      <w:r w:rsidRPr="005F5EE2">
        <w:rPr>
          <w:szCs w:val="24"/>
          <w:lang w:val="fr-CH"/>
        </w:rPr>
        <w:instrText xml:space="preserve"> AUTONUM  </w:instrText>
      </w:r>
      <w:r w:rsidRPr="005F5EE2">
        <w:rPr>
          <w:szCs w:val="24"/>
        </w:rPr>
        <w:fldChar w:fldCharType="end"/>
      </w:r>
      <w:r w:rsidRPr="005F5EE2">
        <w:rPr>
          <w:szCs w:val="24"/>
          <w:lang w:val="fr-CH"/>
        </w:rPr>
        <w:tab/>
      </w:r>
      <w:r w:rsidR="00E7168A" w:rsidRPr="005F5EE2">
        <w:rPr>
          <w:szCs w:val="24"/>
          <w:lang w:val="fr-CH"/>
        </w:rPr>
        <w:t>Le Conseil a examiné les documents</w:t>
      </w:r>
      <w:r w:rsidR="00625CBD" w:rsidRPr="005F5EE2">
        <w:rPr>
          <w:szCs w:val="24"/>
          <w:lang w:val="fr-CH"/>
        </w:rPr>
        <w:t> </w:t>
      </w:r>
      <w:r w:rsidR="00E7168A" w:rsidRPr="005F5EE2">
        <w:rPr>
          <w:szCs w:val="24"/>
          <w:lang w:val="fr-CH"/>
        </w:rPr>
        <w:t xml:space="preserve">C/55/3 </w:t>
      </w:r>
      <w:proofErr w:type="spellStart"/>
      <w:r w:rsidR="00E7168A" w:rsidRPr="005F5EE2">
        <w:rPr>
          <w:szCs w:val="24"/>
          <w:lang w:val="fr-CH"/>
        </w:rPr>
        <w:t>Rev</w:t>
      </w:r>
      <w:proofErr w:type="spellEnd"/>
      <w:r w:rsidR="00E7168A" w:rsidRPr="005F5EE2">
        <w:rPr>
          <w:szCs w:val="24"/>
          <w:lang w:val="fr-CH"/>
        </w:rPr>
        <w:t>, UPOV/INF/6/6 (annexe du document</w:t>
      </w:r>
      <w:r w:rsidR="00625CBD" w:rsidRPr="005F5EE2">
        <w:rPr>
          <w:szCs w:val="24"/>
          <w:lang w:val="fr-CH"/>
        </w:rPr>
        <w:t> </w:t>
      </w:r>
      <w:r w:rsidR="00E7168A" w:rsidRPr="005F5EE2">
        <w:rPr>
          <w:szCs w:val="24"/>
          <w:lang w:val="fr-CH"/>
        </w:rPr>
        <w:t>C/55/3</w:t>
      </w:r>
      <w:r w:rsidR="004011A9" w:rsidRPr="005F5EE2">
        <w:rPr>
          <w:szCs w:val="24"/>
          <w:lang w:val="fr-CH"/>
        </w:rPr>
        <w:t> </w:t>
      </w:r>
      <w:proofErr w:type="spellStart"/>
      <w:r w:rsidR="00BE7D91">
        <w:rPr>
          <w:szCs w:val="24"/>
          <w:lang w:val="fr-CH"/>
        </w:rPr>
        <w:t>Rev</w:t>
      </w:r>
      <w:proofErr w:type="spellEnd"/>
      <w:r w:rsidR="00BE7D91">
        <w:rPr>
          <w:szCs w:val="24"/>
          <w:lang w:val="fr-CH"/>
        </w:rPr>
        <w:t>.), UPOV/INF/16/10 </w:t>
      </w:r>
      <w:proofErr w:type="spellStart"/>
      <w:r w:rsidR="00BE7D91">
        <w:rPr>
          <w:szCs w:val="24"/>
          <w:lang w:val="fr-CH"/>
        </w:rPr>
        <w:t>Draft</w:t>
      </w:r>
      <w:proofErr w:type="spellEnd"/>
      <w:r w:rsidR="00BE7D91">
        <w:rPr>
          <w:szCs w:val="24"/>
          <w:lang w:val="fr-CH"/>
        </w:rPr>
        <w:t> 2, UPOV/INF/17/2 </w:t>
      </w:r>
      <w:proofErr w:type="spellStart"/>
      <w:r w:rsidR="00BE7D91">
        <w:rPr>
          <w:szCs w:val="24"/>
          <w:lang w:val="fr-CH"/>
        </w:rPr>
        <w:t>Draft</w:t>
      </w:r>
      <w:proofErr w:type="spellEnd"/>
      <w:r w:rsidR="00BE7D91">
        <w:rPr>
          <w:szCs w:val="24"/>
          <w:lang w:val="fr-CH"/>
        </w:rPr>
        <w:t xml:space="preserve"> 6, UPOV/INF/22/8 </w:t>
      </w:r>
      <w:proofErr w:type="spellStart"/>
      <w:r w:rsidR="00BE7D91">
        <w:rPr>
          <w:szCs w:val="24"/>
          <w:lang w:val="fr-CH"/>
        </w:rPr>
        <w:t>Draft</w:t>
      </w:r>
      <w:proofErr w:type="spellEnd"/>
      <w:r w:rsidR="00BE7D91">
        <w:rPr>
          <w:szCs w:val="24"/>
          <w:lang w:val="fr-CH"/>
        </w:rPr>
        <w:t> 2, UPOV/INF/23/1 </w:t>
      </w:r>
      <w:proofErr w:type="spellStart"/>
      <w:r w:rsidR="00BE7D91">
        <w:rPr>
          <w:szCs w:val="24"/>
          <w:lang w:val="fr-CH"/>
        </w:rPr>
        <w:t>Draft</w:t>
      </w:r>
      <w:proofErr w:type="spellEnd"/>
      <w:r w:rsidR="00BE7D91">
        <w:rPr>
          <w:szCs w:val="24"/>
          <w:lang w:val="fr-CH"/>
        </w:rPr>
        <w:t> </w:t>
      </w:r>
      <w:r w:rsidR="00E7168A" w:rsidRPr="005F5EE2">
        <w:rPr>
          <w:szCs w:val="24"/>
          <w:lang w:val="fr-CH"/>
        </w:rPr>
        <w:t xml:space="preserve">3, </w:t>
      </w:r>
      <w:r w:rsidR="00BE7D91">
        <w:rPr>
          <w:szCs w:val="24"/>
          <w:lang w:val="fr-CH"/>
        </w:rPr>
        <w:br/>
      </w:r>
      <w:r w:rsidR="00E7168A" w:rsidRPr="005F5EE2">
        <w:rPr>
          <w:szCs w:val="24"/>
          <w:lang w:val="fr-CH"/>
        </w:rPr>
        <w:t>UPOV/INF</w:t>
      </w:r>
      <w:r w:rsidR="007D6DCE" w:rsidRPr="005F5EE2">
        <w:rPr>
          <w:szCs w:val="24"/>
          <w:lang w:val="fr-CH"/>
        </w:rPr>
        <w:t>-</w:t>
      </w:r>
      <w:r w:rsidR="00BE7D91">
        <w:rPr>
          <w:szCs w:val="24"/>
          <w:lang w:val="fr-CH"/>
        </w:rPr>
        <w:t>EXN/15 </w:t>
      </w:r>
      <w:proofErr w:type="spellStart"/>
      <w:r w:rsidR="00BE7D91">
        <w:rPr>
          <w:szCs w:val="24"/>
          <w:lang w:val="fr-CH"/>
        </w:rPr>
        <w:t>Draft</w:t>
      </w:r>
      <w:proofErr w:type="spellEnd"/>
      <w:r w:rsidR="00BE7D91">
        <w:rPr>
          <w:szCs w:val="24"/>
          <w:lang w:val="fr-CH"/>
        </w:rPr>
        <w:t> 12, UPOV/EXN/DEN/1 </w:t>
      </w:r>
      <w:proofErr w:type="spellStart"/>
      <w:r w:rsidR="00E7168A" w:rsidRPr="005F5EE2">
        <w:rPr>
          <w:szCs w:val="24"/>
          <w:lang w:val="fr-CH"/>
        </w:rPr>
        <w:t>Draft</w:t>
      </w:r>
      <w:proofErr w:type="spellEnd"/>
      <w:r w:rsidR="00625CBD" w:rsidRPr="005F5EE2">
        <w:rPr>
          <w:szCs w:val="24"/>
          <w:lang w:val="fr-CH"/>
        </w:rPr>
        <w:t> </w:t>
      </w:r>
      <w:r w:rsidR="00E7168A" w:rsidRPr="005F5EE2">
        <w:rPr>
          <w:szCs w:val="24"/>
          <w:lang w:val="fr-CH"/>
        </w:rPr>
        <w:t>6 et C/55/11, TGP/5</w:t>
      </w:r>
      <w:r w:rsidR="007D6DCE" w:rsidRPr="005F5EE2">
        <w:rPr>
          <w:szCs w:val="24"/>
          <w:lang w:val="fr-CH"/>
        </w:rPr>
        <w:t> :</w:t>
      </w:r>
      <w:r w:rsidR="00BE7D91">
        <w:rPr>
          <w:szCs w:val="24"/>
          <w:lang w:val="fr-CH"/>
        </w:rPr>
        <w:t> </w:t>
      </w:r>
      <w:r w:rsidR="007D6DCE" w:rsidRPr="005F5EE2">
        <w:rPr>
          <w:szCs w:val="24"/>
          <w:lang w:val="fr-CH"/>
        </w:rPr>
        <w:t>Section 2</w:t>
      </w:r>
      <w:r w:rsidR="00BE7D91">
        <w:rPr>
          <w:szCs w:val="24"/>
          <w:lang w:val="fr-CH"/>
        </w:rPr>
        <w:t>/4 </w:t>
      </w:r>
      <w:proofErr w:type="spellStart"/>
      <w:r w:rsidR="00BE7D91">
        <w:rPr>
          <w:szCs w:val="24"/>
          <w:lang w:val="fr-CH"/>
        </w:rPr>
        <w:t>Draft</w:t>
      </w:r>
      <w:proofErr w:type="spellEnd"/>
      <w:r w:rsidR="00BE7D91">
        <w:rPr>
          <w:szCs w:val="24"/>
          <w:lang w:val="fr-CH"/>
        </w:rPr>
        <w:t> 1 et TGP/0/13 </w:t>
      </w:r>
      <w:proofErr w:type="spellStart"/>
      <w:r w:rsidR="00BE7D91">
        <w:rPr>
          <w:szCs w:val="24"/>
          <w:lang w:val="fr-CH"/>
        </w:rPr>
        <w:t>Draft</w:t>
      </w:r>
      <w:proofErr w:type="spellEnd"/>
      <w:r w:rsidR="00BE7D91">
        <w:rPr>
          <w:szCs w:val="24"/>
          <w:lang w:val="fr-CH"/>
        </w:rPr>
        <w:t> </w:t>
      </w:r>
      <w:r w:rsidR="00E7168A" w:rsidRPr="005F5EE2">
        <w:rPr>
          <w:szCs w:val="24"/>
          <w:lang w:val="fr-CH"/>
        </w:rPr>
        <w:t>1.</w:t>
      </w:r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E7168A" w:rsidP="00E7168A">
      <w:pPr>
        <w:pStyle w:val="Heading3"/>
        <w:rPr>
          <w:lang w:val="fr-CH"/>
        </w:rPr>
      </w:pPr>
      <w:bookmarkStart w:id="8" w:name="_Toc84588276"/>
      <w:r w:rsidRPr="005F5EE2">
        <w:rPr>
          <w:lang w:val="fr-CH"/>
        </w:rPr>
        <w:t>Documents d</w:t>
      </w:r>
      <w:r w:rsidR="007D6DCE" w:rsidRPr="005F5EE2">
        <w:rPr>
          <w:lang w:val="fr-CH"/>
        </w:rPr>
        <w:t>’</w:t>
      </w:r>
      <w:r w:rsidRPr="005F5EE2">
        <w:rPr>
          <w:lang w:val="fr-CH"/>
        </w:rPr>
        <w:t>information</w:t>
      </w:r>
      <w:bookmarkEnd w:id="8"/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E7168A" w:rsidP="00E7168A">
      <w:pPr>
        <w:pStyle w:val="Heading4"/>
        <w:rPr>
          <w:snapToGrid w:val="0"/>
          <w:kern w:val="28"/>
          <w:lang w:val="fr-CH"/>
        </w:rPr>
      </w:pPr>
      <w:bookmarkStart w:id="9" w:name="_Toc84588277"/>
      <w:r w:rsidRPr="005F5EE2">
        <w:rPr>
          <w:snapToGrid w:val="0"/>
          <w:kern w:val="28"/>
          <w:lang w:val="fr-CH"/>
        </w:rPr>
        <w:t>UPOV/INF/16</w:t>
      </w:r>
      <w:r w:rsidR="007D6DCE" w:rsidRPr="005F5EE2">
        <w:rPr>
          <w:snapToGrid w:val="0"/>
          <w:kern w:val="28"/>
          <w:lang w:val="fr-CH"/>
        </w:rPr>
        <w:t> :</w:t>
      </w:r>
      <w:r w:rsidRPr="005F5EE2">
        <w:rPr>
          <w:snapToGrid w:val="0"/>
          <w:kern w:val="28"/>
          <w:lang w:val="fr-CH"/>
        </w:rPr>
        <w:t xml:space="preserve"> Logiciels échangeables (révision) (document</w:t>
      </w:r>
      <w:r w:rsidR="00625CBD" w:rsidRPr="005F5EE2">
        <w:rPr>
          <w:snapToGrid w:val="0"/>
          <w:kern w:val="28"/>
          <w:lang w:val="fr-CH"/>
        </w:rPr>
        <w:t> </w:t>
      </w:r>
      <w:r w:rsidRPr="005F5EE2">
        <w:rPr>
          <w:snapToGrid w:val="0"/>
          <w:kern w:val="28"/>
          <w:lang w:val="fr-CH"/>
        </w:rPr>
        <w:t xml:space="preserve">UPOV/INF/16/10 </w:t>
      </w:r>
      <w:proofErr w:type="spellStart"/>
      <w:r w:rsidRPr="005F5EE2">
        <w:rPr>
          <w:snapToGrid w:val="0"/>
          <w:kern w:val="28"/>
          <w:lang w:val="fr-CH"/>
        </w:rPr>
        <w:t>Draft</w:t>
      </w:r>
      <w:proofErr w:type="spellEnd"/>
      <w:r w:rsidR="00625CBD" w:rsidRPr="005F5EE2">
        <w:rPr>
          <w:snapToGrid w:val="0"/>
          <w:kern w:val="28"/>
          <w:lang w:val="fr-CH"/>
        </w:rPr>
        <w:t> </w:t>
      </w:r>
      <w:r w:rsidRPr="005F5EE2">
        <w:rPr>
          <w:snapToGrid w:val="0"/>
          <w:kern w:val="28"/>
          <w:lang w:val="fr-CH"/>
        </w:rPr>
        <w:t>2)</w:t>
      </w:r>
      <w:bookmarkEnd w:id="9"/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5907AC" w:rsidP="00E7168A">
      <w:pPr>
        <w:rPr>
          <w:i/>
          <w:lang w:val="fr-CH"/>
        </w:rPr>
      </w:pPr>
      <w:r w:rsidRPr="005F5EE2">
        <w:rPr>
          <w:i/>
          <w:lang w:eastAsia="zh-CN"/>
        </w:rPr>
        <w:fldChar w:fldCharType="begin"/>
      </w:r>
      <w:r w:rsidRPr="005F5EE2">
        <w:rPr>
          <w:lang w:val="fr-CH" w:eastAsia="zh-CN"/>
        </w:rPr>
        <w:instrText xml:space="preserve"> AUTONUM  </w:instrText>
      </w:r>
      <w:r w:rsidRPr="005F5EE2">
        <w:rPr>
          <w:i/>
          <w:lang w:eastAsia="zh-CN"/>
        </w:rPr>
        <w:fldChar w:fldCharType="end"/>
      </w:r>
      <w:r w:rsidRPr="005F5EE2">
        <w:rPr>
          <w:lang w:val="fr-CH" w:eastAsia="zh-CN"/>
        </w:rPr>
        <w:tab/>
      </w:r>
      <w:r w:rsidR="00E7168A" w:rsidRPr="005F5EE2">
        <w:rPr>
          <w:lang w:val="fr-CH" w:eastAsia="zh-CN"/>
        </w:rPr>
        <w:t>Le Conseil a adopté la version révisée du document UPOV/INF/16 “Lo</w:t>
      </w:r>
      <w:r w:rsidR="00BE7D91">
        <w:rPr>
          <w:lang w:val="fr-CH" w:eastAsia="zh-CN"/>
        </w:rPr>
        <w:t>giciels échangeables” (document </w:t>
      </w:r>
      <w:r w:rsidR="00E7168A" w:rsidRPr="005F5EE2">
        <w:rPr>
          <w:lang w:val="fr-CH" w:eastAsia="zh-CN"/>
        </w:rPr>
        <w:t xml:space="preserve">UPOV/INF/16/10) sur la base du document UPOV/INF/16/10 </w:t>
      </w:r>
      <w:proofErr w:type="spellStart"/>
      <w:r w:rsidR="00E7168A" w:rsidRPr="005F5EE2">
        <w:rPr>
          <w:lang w:val="fr-CH" w:eastAsia="zh-CN"/>
        </w:rPr>
        <w:t>Draft</w:t>
      </w:r>
      <w:proofErr w:type="spellEnd"/>
      <w:r w:rsidR="00E7168A" w:rsidRPr="005F5EE2">
        <w:rPr>
          <w:lang w:val="fr-CH" w:eastAsia="zh-CN"/>
        </w:rPr>
        <w:t xml:space="preserve"> 2.</w:t>
      </w:r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E7168A" w:rsidP="00E7168A">
      <w:pPr>
        <w:pStyle w:val="Heading4"/>
        <w:rPr>
          <w:snapToGrid w:val="0"/>
          <w:kern w:val="28"/>
          <w:lang w:val="fr-CH"/>
        </w:rPr>
      </w:pPr>
      <w:bookmarkStart w:id="10" w:name="_Toc84588278"/>
      <w:r w:rsidRPr="005F5EE2">
        <w:rPr>
          <w:snapToGrid w:val="0"/>
          <w:kern w:val="28"/>
          <w:lang w:val="fr-CH"/>
        </w:rPr>
        <w:t>UPOV/INF/17</w:t>
      </w:r>
      <w:r w:rsidR="007D6DCE" w:rsidRPr="005F5EE2">
        <w:rPr>
          <w:snapToGrid w:val="0"/>
          <w:kern w:val="28"/>
          <w:lang w:val="fr-CH"/>
        </w:rPr>
        <w:t> :</w:t>
      </w:r>
      <w:r w:rsidRPr="005F5EE2">
        <w:rPr>
          <w:snapToGrid w:val="0"/>
          <w:kern w:val="28"/>
          <w:lang w:val="fr-CH"/>
        </w:rPr>
        <w:t xml:space="preserve"> Directives concernant les profils d</w:t>
      </w:r>
      <w:r w:rsidR="007D6DCE" w:rsidRPr="005F5EE2">
        <w:rPr>
          <w:snapToGrid w:val="0"/>
          <w:kern w:val="28"/>
          <w:lang w:val="fr-CH"/>
        </w:rPr>
        <w:t>’</w:t>
      </w:r>
      <w:r w:rsidRPr="005F5EE2">
        <w:rPr>
          <w:snapToGrid w:val="0"/>
          <w:kern w:val="28"/>
          <w:lang w:val="fr-CH"/>
        </w:rPr>
        <w:t>ADN</w:t>
      </w:r>
      <w:r w:rsidR="007D6DCE" w:rsidRPr="005F5EE2">
        <w:rPr>
          <w:snapToGrid w:val="0"/>
          <w:kern w:val="28"/>
          <w:lang w:val="fr-CH"/>
        </w:rPr>
        <w:t> :</w:t>
      </w:r>
      <w:r w:rsidRPr="005F5EE2">
        <w:rPr>
          <w:snapToGrid w:val="0"/>
          <w:kern w:val="28"/>
          <w:lang w:val="fr-CH"/>
        </w:rPr>
        <w:t xml:space="preserve"> choix des marqueurs moléculaires et construction d</w:t>
      </w:r>
      <w:r w:rsidR="007D6DCE" w:rsidRPr="005F5EE2">
        <w:rPr>
          <w:snapToGrid w:val="0"/>
          <w:kern w:val="28"/>
          <w:lang w:val="fr-CH"/>
        </w:rPr>
        <w:t>’</w:t>
      </w:r>
      <w:r w:rsidRPr="005F5EE2">
        <w:rPr>
          <w:snapToGrid w:val="0"/>
          <w:kern w:val="28"/>
          <w:lang w:val="fr-CH"/>
        </w:rPr>
        <w:t>une base de données y relative (“Directives BMT”) (</w:t>
      </w:r>
      <w:r w:rsidR="002E4BB8" w:rsidRPr="005F5EE2">
        <w:rPr>
          <w:snapToGrid w:val="0"/>
          <w:kern w:val="28"/>
          <w:lang w:val="fr-CH"/>
        </w:rPr>
        <w:t>r</w:t>
      </w:r>
      <w:r w:rsidRPr="005F5EE2">
        <w:rPr>
          <w:snapToGrid w:val="0"/>
          <w:kern w:val="28"/>
          <w:lang w:val="fr-CH"/>
        </w:rPr>
        <w:t xml:space="preserve">évision) (document UPOV/INF/17/2 </w:t>
      </w:r>
      <w:proofErr w:type="spellStart"/>
      <w:r w:rsidRPr="005F5EE2">
        <w:rPr>
          <w:snapToGrid w:val="0"/>
          <w:kern w:val="28"/>
          <w:lang w:val="fr-CH"/>
        </w:rPr>
        <w:t>Draft</w:t>
      </w:r>
      <w:proofErr w:type="spellEnd"/>
      <w:r w:rsidRPr="005F5EE2">
        <w:rPr>
          <w:snapToGrid w:val="0"/>
          <w:kern w:val="28"/>
          <w:lang w:val="fr-CH"/>
        </w:rPr>
        <w:t xml:space="preserve"> 6)</w:t>
      </w:r>
      <w:bookmarkEnd w:id="10"/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5907AC" w:rsidP="00E7168A">
      <w:pPr>
        <w:rPr>
          <w:i/>
          <w:lang w:val="fr-CH"/>
        </w:rPr>
      </w:pPr>
      <w:r w:rsidRPr="005F5EE2">
        <w:rPr>
          <w:i/>
          <w:lang w:eastAsia="zh-CN"/>
        </w:rPr>
        <w:fldChar w:fldCharType="begin"/>
      </w:r>
      <w:r w:rsidRPr="005F5EE2">
        <w:rPr>
          <w:lang w:val="fr-CH" w:eastAsia="zh-CN"/>
        </w:rPr>
        <w:instrText xml:space="preserve"> AUTONUM  </w:instrText>
      </w:r>
      <w:r w:rsidRPr="005F5EE2">
        <w:rPr>
          <w:i/>
          <w:lang w:eastAsia="zh-CN"/>
        </w:rPr>
        <w:fldChar w:fldCharType="end"/>
      </w:r>
      <w:r w:rsidRPr="005F5EE2">
        <w:rPr>
          <w:lang w:val="fr-CH" w:eastAsia="zh-CN"/>
        </w:rPr>
        <w:tab/>
      </w:r>
      <w:r w:rsidR="00E7168A" w:rsidRPr="005F5EE2">
        <w:rPr>
          <w:lang w:val="fr-CH" w:eastAsia="zh-CN"/>
        </w:rPr>
        <w:t xml:space="preserve">Le Conseil a adopté la version révisée du document UPOV/INF/17 </w:t>
      </w:r>
      <w:r w:rsidR="007D6DCE" w:rsidRPr="005F5EE2">
        <w:rPr>
          <w:lang w:val="fr-CH" w:eastAsia="zh-CN"/>
        </w:rPr>
        <w:t>“D</w:t>
      </w:r>
      <w:r w:rsidR="00E7168A" w:rsidRPr="005F5EE2">
        <w:rPr>
          <w:lang w:val="fr-CH" w:eastAsia="zh-CN"/>
        </w:rPr>
        <w:t>irectives concernant les profils d</w:t>
      </w:r>
      <w:r w:rsidR="007D6DCE" w:rsidRPr="005F5EE2">
        <w:rPr>
          <w:lang w:val="fr-CH" w:eastAsia="zh-CN"/>
        </w:rPr>
        <w:t>’</w:t>
      </w:r>
      <w:r w:rsidR="00E7168A" w:rsidRPr="005F5EE2">
        <w:rPr>
          <w:lang w:val="fr-CH" w:eastAsia="zh-CN"/>
        </w:rPr>
        <w:t>ADN</w:t>
      </w:r>
      <w:r w:rsidR="007D6DCE" w:rsidRPr="005F5EE2">
        <w:rPr>
          <w:lang w:val="fr-CH" w:eastAsia="zh-CN"/>
        </w:rPr>
        <w:t> :</w:t>
      </w:r>
      <w:r w:rsidR="00E7168A" w:rsidRPr="005F5EE2">
        <w:rPr>
          <w:lang w:val="fr-CH" w:eastAsia="zh-CN"/>
        </w:rPr>
        <w:t xml:space="preserve"> choix des marqueurs moléculaires et construction d</w:t>
      </w:r>
      <w:r w:rsidR="007D6DCE" w:rsidRPr="005F5EE2">
        <w:rPr>
          <w:lang w:val="fr-CH" w:eastAsia="zh-CN"/>
        </w:rPr>
        <w:t>’</w:t>
      </w:r>
      <w:r w:rsidR="00E7168A" w:rsidRPr="005F5EE2">
        <w:rPr>
          <w:lang w:val="fr-CH" w:eastAsia="zh-CN"/>
        </w:rPr>
        <w:t>une base de données</w:t>
      </w:r>
      <w:r w:rsidR="00BE7D91">
        <w:rPr>
          <w:lang w:val="fr-CH" w:eastAsia="zh-CN"/>
        </w:rPr>
        <w:t xml:space="preserve"> y relative (“directives </w:t>
      </w:r>
      <w:r w:rsidR="002E4BB8" w:rsidRPr="005F5EE2">
        <w:rPr>
          <w:lang w:val="fr-CH" w:eastAsia="zh-CN"/>
        </w:rPr>
        <w:t>BMT”)</w:t>
      </w:r>
      <w:r w:rsidR="00E7168A" w:rsidRPr="005F5EE2">
        <w:rPr>
          <w:lang w:val="fr-CH" w:eastAsia="zh-CN"/>
        </w:rPr>
        <w:t>” (</w:t>
      </w:r>
      <w:r w:rsidR="007D6DCE" w:rsidRPr="005F5EE2">
        <w:rPr>
          <w:lang w:val="fr-CH" w:eastAsia="zh-CN"/>
        </w:rPr>
        <w:t>document UP</w:t>
      </w:r>
      <w:r w:rsidR="00E7168A" w:rsidRPr="005F5EE2">
        <w:rPr>
          <w:lang w:val="fr-CH" w:eastAsia="zh-CN"/>
        </w:rPr>
        <w:t xml:space="preserve">OV/INF/17/2), sur la base du </w:t>
      </w:r>
      <w:r w:rsidR="007D6DCE" w:rsidRPr="005F5EE2">
        <w:rPr>
          <w:lang w:val="fr-CH" w:eastAsia="zh-CN"/>
        </w:rPr>
        <w:t>document UP</w:t>
      </w:r>
      <w:r w:rsidR="00E7168A" w:rsidRPr="005F5EE2">
        <w:rPr>
          <w:lang w:val="fr-CH" w:eastAsia="zh-CN"/>
        </w:rPr>
        <w:t xml:space="preserve">OV/INF/17/2 </w:t>
      </w:r>
      <w:proofErr w:type="spellStart"/>
      <w:r w:rsidR="00E7168A" w:rsidRPr="005F5EE2">
        <w:rPr>
          <w:lang w:val="fr-CH" w:eastAsia="zh-CN"/>
        </w:rPr>
        <w:t>Draft</w:t>
      </w:r>
      <w:proofErr w:type="spellEnd"/>
      <w:r w:rsidR="00E7168A" w:rsidRPr="005F5EE2">
        <w:rPr>
          <w:lang w:val="fr-CH" w:eastAsia="zh-CN"/>
        </w:rPr>
        <w:t xml:space="preserve"> 6.</w:t>
      </w:r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E7168A" w:rsidP="00E7168A">
      <w:pPr>
        <w:pStyle w:val="Heading4"/>
        <w:rPr>
          <w:lang w:val="fr-CH"/>
        </w:rPr>
      </w:pPr>
      <w:bookmarkStart w:id="11" w:name="_Toc84588279"/>
      <w:r w:rsidRPr="005F5EE2">
        <w:rPr>
          <w:lang w:val="fr-CH"/>
        </w:rPr>
        <w:t>UPOV/INF/22</w:t>
      </w:r>
      <w:r w:rsidR="004011A9" w:rsidRPr="005F5EE2">
        <w:rPr>
          <w:lang w:val="fr-CH"/>
        </w:rPr>
        <w:t> </w:t>
      </w:r>
      <w:r w:rsidRPr="005F5EE2">
        <w:rPr>
          <w:lang w:val="fr-CH"/>
        </w:rPr>
        <w:t>: Logiciels et équipements utilisés par les membres de l</w:t>
      </w:r>
      <w:r w:rsidR="007D6DCE" w:rsidRPr="005F5EE2">
        <w:rPr>
          <w:lang w:val="fr-CH"/>
        </w:rPr>
        <w:t>’</w:t>
      </w:r>
      <w:r w:rsidRPr="005F5EE2">
        <w:rPr>
          <w:lang w:val="fr-CH"/>
        </w:rPr>
        <w:t>Union (révision) (document</w:t>
      </w:r>
      <w:r w:rsidR="00625CBD" w:rsidRPr="005F5EE2">
        <w:rPr>
          <w:lang w:val="fr-CH"/>
        </w:rPr>
        <w:t> </w:t>
      </w:r>
      <w:r w:rsidRPr="005F5EE2">
        <w:rPr>
          <w:lang w:val="fr-CH"/>
        </w:rPr>
        <w:t xml:space="preserve">UPOV/INF/22/8 </w:t>
      </w:r>
      <w:proofErr w:type="spellStart"/>
      <w:r w:rsidRPr="005F5EE2">
        <w:rPr>
          <w:lang w:val="fr-CH"/>
        </w:rPr>
        <w:t>Draft</w:t>
      </w:r>
      <w:proofErr w:type="spellEnd"/>
      <w:r w:rsidR="00625CBD" w:rsidRPr="005F5EE2">
        <w:rPr>
          <w:lang w:val="fr-CH"/>
        </w:rPr>
        <w:t> </w:t>
      </w:r>
      <w:r w:rsidRPr="005F5EE2">
        <w:rPr>
          <w:lang w:val="fr-CH"/>
        </w:rPr>
        <w:t>2)</w:t>
      </w:r>
      <w:bookmarkEnd w:id="11"/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5907AC" w:rsidP="00E7168A">
      <w:pPr>
        <w:rPr>
          <w:lang w:val="fr-CH"/>
        </w:rPr>
      </w:pPr>
      <w:r w:rsidRPr="005F5EE2">
        <w:rPr>
          <w:i/>
          <w:lang w:eastAsia="zh-CN"/>
        </w:rPr>
        <w:fldChar w:fldCharType="begin"/>
      </w:r>
      <w:r w:rsidRPr="005F5EE2">
        <w:rPr>
          <w:lang w:val="fr-CH" w:eastAsia="zh-CN"/>
        </w:rPr>
        <w:instrText xml:space="preserve"> AUTONUM  </w:instrText>
      </w:r>
      <w:r w:rsidRPr="005F5EE2">
        <w:rPr>
          <w:i/>
          <w:lang w:eastAsia="zh-CN"/>
        </w:rPr>
        <w:fldChar w:fldCharType="end"/>
      </w:r>
      <w:r w:rsidRPr="005F5EE2">
        <w:rPr>
          <w:lang w:val="fr-CH" w:eastAsia="zh-CN"/>
        </w:rPr>
        <w:tab/>
      </w:r>
      <w:r w:rsidR="00E7168A" w:rsidRPr="005F5EE2">
        <w:rPr>
          <w:lang w:val="fr-CH" w:eastAsia="zh-CN"/>
        </w:rPr>
        <w:t>Le Conseil a adopté la version révisée du document UPOV/INF/22 “Logiciels et équipements utilisés par les membres de l</w:t>
      </w:r>
      <w:r w:rsidR="007D6DCE" w:rsidRPr="005F5EE2">
        <w:rPr>
          <w:lang w:val="fr-CH" w:eastAsia="zh-CN"/>
        </w:rPr>
        <w:t>’</w:t>
      </w:r>
      <w:r w:rsidR="00E7168A" w:rsidRPr="005F5EE2">
        <w:rPr>
          <w:lang w:val="fr-CH" w:eastAsia="zh-CN"/>
        </w:rPr>
        <w:t xml:space="preserve">Union” (document UPOV/INF/22/8), sur la base du document UPOV/INF/22/8 </w:t>
      </w:r>
      <w:proofErr w:type="spellStart"/>
      <w:r w:rsidR="00E7168A" w:rsidRPr="005F5EE2">
        <w:rPr>
          <w:lang w:val="fr-CH" w:eastAsia="zh-CN"/>
        </w:rPr>
        <w:t>Draft</w:t>
      </w:r>
      <w:proofErr w:type="spellEnd"/>
      <w:r w:rsidR="00E7168A" w:rsidRPr="005F5EE2">
        <w:rPr>
          <w:lang w:val="fr-CH" w:eastAsia="zh-CN"/>
        </w:rPr>
        <w:t xml:space="preserve"> 2.</w:t>
      </w:r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E7168A" w:rsidP="00E7168A">
      <w:pPr>
        <w:pStyle w:val="Heading4"/>
        <w:rPr>
          <w:snapToGrid w:val="0"/>
          <w:lang w:val="fr-CH"/>
        </w:rPr>
      </w:pPr>
      <w:bookmarkStart w:id="12" w:name="_Toc84588280"/>
      <w:r w:rsidRPr="005F5EE2">
        <w:rPr>
          <w:snapToGrid w:val="0"/>
          <w:lang w:val="fr-CH"/>
        </w:rPr>
        <w:lastRenderedPageBreak/>
        <w:t>UPOV/INF</w:t>
      </w:r>
      <w:r w:rsidR="007D6DCE" w:rsidRPr="005F5EE2">
        <w:rPr>
          <w:snapToGrid w:val="0"/>
          <w:lang w:val="fr-CH"/>
        </w:rPr>
        <w:t>-</w:t>
      </w:r>
      <w:r w:rsidRPr="005F5EE2">
        <w:rPr>
          <w:snapToGrid w:val="0"/>
          <w:lang w:val="fr-CH"/>
        </w:rPr>
        <w:t>EXN</w:t>
      </w:r>
      <w:r w:rsidR="007D6DCE" w:rsidRPr="005F5EE2">
        <w:rPr>
          <w:snapToGrid w:val="0"/>
          <w:lang w:val="fr-CH"/>
        </w:rPr>
        <w:t> :</w:t>
      </w:r>
      <w:r w:rsidRPr="005F5EE2">
        <w:rPr>
          <w:snapToGrid w:val="0"/>
          <w:lang w:val="fr-CH"/>
        </w:rPr>
        <w:t xml:space="preserve"> Liste des documents UPOV/INF</w:t>
      </w:r>
      <w:r w:rsidR="007D6DCE" w:rsidRPr="005F5EE2">
        <w:rPr>
          <w:snapToGrid w:val="0"/>
          <w:lang w:val="fr-CH"/>
        </w:rPr>
        <w:t>-</w:t>
      </w:r>
      <w:r w:rsidRPr="005F5EE2">
        <w:rPr>
          <w:snapToGrid w:val="0"/>
          <w:lang w:val="fr-CH"/>
        </w:rPr>
        <w:t>EXN et date de la version la plus récente de ces documents (révision) (document UPOV/INF</w:t>
      </w:r>
      <w:r w:rsidR="007D6DCE" w:rsidRPr="005F5EE2">
        <w:rPr>
          <w:snapToGrid w:val="0"/>
          <w:lang w:val="fr-CH"/>
        </w:rPr>
        <w:t>-</w:t>
      </w:r>
      <w:r w:rsidRPr="005F5EE2">
        <w:rPr>
          <w:snapToGrid w:val="0"/>
          <w:lang w:val="fr-CH"/>
        </w:rPr>
        <w:t xml:space="preserve">EXN/15 </w:t>
      </w:r>
      <w:proofErr w:type="spellStart"/>
      <w:r w:rsidRPr="005F5EE2">
        <w:rPr>
          <w:snapToGrid w:val="0"/>
          <w:lang w:val="fr-CH"/>
        </w:rPr>
        <w:t>Draft</w:t>
      </w:r>
      <w:proofErr w:type="spellEnd"/>
      <w:r w:rsidRPr="005F5EE2">
        <w:rPr>
          <w:snapToGrid w:val="0"/>
          <w:lang w:val="fr-CH"/>
        </w:rPr>
        <w:t xml:space="preserve"> 1)</w:t>
      </w:r>
      <w:bookmarkEnd w:id="12"/>
    </w:p>
    <w:p w:rsidR="00275C16" w:rsidRPr="005F5EE2" w:rsidRDefault="00275C16" w:rsidP="005907AC">
      <w:pPr>
        <w:keepNext/>
        <w:rPr>
          <w:lang w:val="fr-CH"/>
        </w:rPr>
      </w:pPr>
    </w:p>
    <w:p w:rsidR="00275C16" w:rsidRPr="005F5EE2" w:rsidRDefault="005907AC" w:rsidP="00E7168A">
      <w:pPr>
        <w:rPr>
          <w:i/>
          <w:lang w:val="fr-CH"/>
        </w:rPr>
      </w:pPr>
      <w:r w:rsidRPr="005F5EE2">
        <w:rPr>
          <w:i/>
        </w:rPr>
        <w:fldChar w:fldCharType="begin"/>
      </w:r>
      <w:r w:rsidRPr="005F5EE2">
        <w:rPr>
          <w:lang w:val="fr-CH"/>
        </w:rPr>
        <w:instrText xml:space="preserve"> AUTONUM  </w:instrText>
      </w:r>
      <w:r w:rsidRPr="005F5EE2">
        <w:rPr>
          <w:i/>
        </w:rPr>
        <w:fldChar w:fldCharType="end"/>
      </w:r>
      <w:r w:rsidRPr="005F5EE2">
        <w:rPr>
          <w:lang w:val="fr-CH"/>
        </w:rPr>
        <w:tab/>
      </w:r>
      <w:r w:rsidR="00E7168A" w:rsidRPr="005F5EE2">
        <w:rPr>
          <w:lang w:val="fr-CH"/>
        </w:rPr>
        <w:t>Le Conseil a adopté la version révisée du document UPOV/INF</w:t>
      </w:r>
      <w:r w:rsidR="007D6DCE" w:rsidRPr="005F5EE2">
        <w:rPr>
          <w:lang w:val="fr-CH"/>
        </w:rPr>
        <w:t>-</w:t>
      </w:r>
      <w:r w:rsidR="00E7168A" w:rsidRPr="005F5EE2">
        <w:rPr>
          <w:lang w:val="fr-CH"/>
        </w:rPr>
        <w:t>EXN “Liste des documents UPOV/INF</w:t>
      </w:r>
      <w:r w:rsidR="007D6DCE" w:rsidRPr="005F5EE2">
        <w:rPr>
          <w:lang w:val="fr-CH"/>
        </w:rPr>
        <w:t>-</w:t>
      </w:r>
      <w:r w:rsidR="00E7168A" w:rsidRPr="005F5EE2">
        <w:rPr>
          <w:lang w:val="fr-CH"/>
        </w:rPr>
        <w:t>EXN et date de la version la plus récente de ces documents” (document UPOV/INF</w:t>
      </w:r>
      <w:r w:rsidR="007D6DCE" w:rsidRPr="005F5EE2">
        <w:rPr>
          <w:lang w:val="fr-CH"/>
        </w:rPr>
        <w:t>-</w:t>
      </w:r>
      <w:r w:rsidR="00E7168A" w:rsidRPr="005F5EE2">
        <w:rPr>
          <w:lang w:val="fr-CH"/>
        </w:rPr>
        <w:t>EXN/15) sur la base du document UPOV/INF</w:t>
      </w:r>
      <w:r w:rsidR="007D6DCE" w:rsidRPr="005F5EE2">
        <w:rPr>
          <w:lang w:val="fr-CH"/>
        </w:rPr>
        <w:t>-</w:t>
      </w:r>
      <w:r w:rsidR="00E7168A" w:rsidRPr="005F5EE2">
        <w:rPr>
          <w:lang w:val="fr-CH"/>
        </w:rPr>
        <w:t xml:space="preserve">EXN/15 </w:t>
      </w:r>
      <w:proofErr w:type="spellStart"/>
      <w:r w:rsidR="00E7168A" w:rsidRPr="005F5EE2">
        <w:rPr>
          <w:lang w:val="fr-CH"/>
        </w:rPr>
        <w:t>Draft</w:t>
      </w:r>
      <w:proofErr w:type="spellEnd"/>
      <w:r w:rsidR="00E7168A" w:rsidRPr="005F5EE2">
        <w:rPr>
          <w:lang w:val="fr-CH"/>
        </w:rPr>
        <w:t xml:space="preserve"> 1.</w:t>
      </w:r>
    </w:p>
    <w:p w:rsidR="00275C16" w:rsidRPr="005F5EE2" w:rsidRDefault="00275C16" w:rsidP="005907AC">
      <w:pPr>
        <w:rPr>
          <w:lang w:val="fr-CH"/>
        </w:rPr>
      </w:pPr>
    </w:p>
    <w:p w:rsidR="007D6DCE" w:rsidRPr="005F5EE2" w:rsidRDefault="00E7168A" w:rsidP="00E7168A">
      <w:pPr>
        <w:pStyle w:val="Heading3"/>
        <w:rPr>
          <w:lang w:val="fr-CH"/>
        </w:rPr>
      </w:pPr>
      <w:bookmarkStart w:id="13" w:name="_Toc84588281"/>
      <w:r w:rsidRPr="005F5EE2">
        <w:rPr>
          <w:lang w:val="fr-CH"/>
        </w:rPr>
        <w:t>Notes explicatives</w:t>
      </w:r>
      <w:bookmarkEnd w:id="13"/>
    </w:p>
    <w:p w:rsidR="00275C16" w:rsidRPr="005F5EE2" w:rsidRDefault="00275C16" w:rsidP="005907AC">
      <w:pPr>
        <w:keepNext/>
        <w:rPr>
          <w:rFonts w:cs="Arial"/>
          <w:sz w:val="18"/>
          <w:lang w:val="fr-CH"/>
        </w:rPr>
      </w:pPr>
    </w:p>
    <w:p w:rsidR="00275C16" w:rsidRPr="005F5EE2" w:rsidRDefault="00E7168A" w:rsidP="00E7168A">
      <w:pPr>
        <w:pStyle w:val="Heading4"/>
        <w:rPr>
          <w:snapToGrid w:val="0"/>
          <w:lang w:val="fr-CH"/>
        </w:rPr>
      </w:pPr>
      <w:bookmarkStart w:id="14" w:name="_Toc84588282"/>
      <w:r w:rsidRPr="005F5EE2">
        <w:rPr>
          <w:snapToGrid w:val="0"/>
          <w:lang w:val="fr-CH"/>
        </w:rPr>
        <w:t>UPOV/EXN/DEN</w:t>
      </w:r>
      <w:r w:rsidR="007D6DCE" w:rsidRPr="005F5EE2">
        <w:rPr>
          <w:snapToGrid w:val="0"/>
          <w:lang w:val="fr-CH"/>
        </w:rPr>
        <w:t> :</w:t>
      </w:r>
      <w:r w:rsidRPr="005F5EE2">
        <w:rPr>
          <w:snapToGrid w:val="0"/>
          <w:lang w:val="fr-CH"/>
        </w:rPr>
        <w:t xml:space="preserve"> Notes explicatives concernant les dénominations variétales en vertu de la </w:t>
      </w:r>
      <w:r w:rsidR="007D6DCE" w:rsidRPr="005F5EE2">
        <w:rPr>
          <w:snapToGrid w:val="0"/>
          <w:lang w:val="fr-CH"/>
        </w:rPr>
        <w:t>Convention UPOV</w:t>
      </w:r>
      <w:r w:rsidRPr="005F5EE2">
        <w:rPr>
          <w:snapToGrid w:val="0"/>
          <w:lang w:val="fr-CH"/>
        </w:rPr>
        <w:t xml:space="preserve"> (document UPOV/EXN/DEN/1 </w:t>
      </w:r>
      <w:proofErr w:type="spellStart"/>
      <w:r w:rsidRPr="005F5EE2">
        <w:rPr>
          <w:snapToGrid w:val="0"/>
          <w:lang w:val="fr-CH"/>
        </w:rPr>
        <w:t>Draft</w:t>
      </w:r>
      <w:proofErr w:type="spellEnd"/>
      <w:r w:rsidRPr="005F5EE2">
        <w:rPr>
          <w:snapToGrid w:val="0"/>
          <w:lang w:val="fr-CH"/>
        </w:rPr>
        <w:t xml:space="preserve"> 6)</w:t>
      </w:r>
      <w:bookmarkEnd w:id="14"/>
    </w:p>
    <w:p w:rsidR="00275C16" w:rsidRPr="005F5EE2" w:rsidRDefault="00275C16" w:rsidP="005907AC">
      <w:pPr>
        <w:keepNext/>
        <w:rPr>
          <w:rFonts w:cs="Arial"/>
          <w:sz w:val="18"/>
          <w:lang w:val="fr-CH" w:eastAsia="fr-FR"/>
        </w:rPr>
      </w:pPr>
    </w:p>
    <w:p w:rsidR="00275C16" w:rsidRPr="005F5EE2" w:rsidRDefault="005907AC" w:rsidP="00E7168A">
      <w:pPr>
        <w:rPr>
          <w:rFonts w:cs="Arial"/>
          <w:spacing w:val="-2"/>
          <w:lang w:val="fr-CH"/>
        </w:rPr>
      </w:pPr>
      <w:r w:rsidRPr="005F5EE2">
        <w:rPr>
          <w:rFonts w:cs="Arial"/>
          <w:spacing w:val="-2"/>
        </w:rPr>
        <w:fldChar w:fldCharType="begin"/>
      </w:r>
      <w:r w:rsidRPr="005F5EE2">
        <w:rPr>
          <w:rFonts w:cs="Arial"/>
          <w:spacing w:val="-2"/>
          <w:lang w:val="fr-CH"/>
        </w:rPr>
        <w:instrText xml:space="preserve"> AUTONUM  </w:instrText>
      </w:r>
      <w:r w:rsidRPr="005F5EE2">
        <w:rPr>
          <w:rFonts w:cs="Arial"/>
          <w:spacing w:val="-2"/>
        </w:rPr>
        <w:fldChar w:fldCharType="end"/>
      </w:r>
      <w:r w:rsidRPr="005F5EE2">
        <w:rPr>
          <w:rFonts w:cs="Arial"/>
          <w:spacing w:val="-2"/>
          <w:lang w:val="fr-CH"/>
        </w:rPr>
        <w:tab/>
      </w:r>
      <w:r w:rsidR="00E7168A" w:rsidRPr="005F5EE2">
        <w:rPr>
          <w:rFonts w:cs="Arial"/>
          <w:spacing w:val="-2"/>
          <w:lang w:val="fr-CH"/>
        </w:rPr>
        <w:t>Le Conseil a noté que les questions relatives aux dénominations variétales ont été examinées dans le document</w:t>
      </w:r>
      <w:r w:rsidR="00625CBD" w:rsidRPr="005F5EE2">
        <w:rPr>
          <w:rFonts w:cs="Arial"/>
          <w:spacing w:val="-2"/>
          <w:lang w:val="fr-CH"/>
        </w:rPr>
        <w:t> </w:t>
      </w:r>
      <w:r w:rsidR="00E7168A" w:rsidRPr="005F5EE2">
        <w:rPr>
          <w:rFonts w:cs="Arial"/>
          <w:spacing w:val="-2"/>
          <w:lang w:val="fr-CH"/>
        </w:rPr>
        <w:t>C/55/11.</w:t>
      </w:r>
    </w:p>
    <w:p w:rsidR="00275C16" w:rsidRPr="005F5EE2" w:rsidRDefault="00275C16" w:rsidP="005907AC">
      <w:pPr>
        <w:rPr>
          <w:rFonts w:cs="Arial"/>
          <w:lang w:val="fr-CH"/>
        </w:rPr>
      </w:pPr>
    </w:p>
    <w:p w:rsidR="00275C16" w:rsidRPr="006A6B8C" w:rsidRDefault="00E7168A" w:rsidP="00BE7D91">
      <w:pPr>
        <w:pStyle w:val="Heading5"/>
        <w:rPr>
          <w:snapToGrid w:val="0"/>
          <w:lang w:val="fr-CH"/>
        </w:rPr>
      </w:pPr>
      <w:bookmarkStart w:id="15" w:name="_Toc84588283"/>
      <w:r w:rsidRPr="006A6B8C">
        <w:rPr>
          <w:snapToGrid w:val="0"/>
          <w:lang w:val="fr-CH"/>
        </w:rPr>
        <w:t xml:space="preserve">Notes explicatives concernant les dénominations variétales en vertu de la </w:t>
      </w:r>
      <w:r w:rsidR="007D6DCE" w:rsidRPr="006A6B8C">
        <w:rPr>
          <w:snapToGrid w:val="0"/>
          <w:lang w:val="fr-CH"/>
        </w:rPr>
        <w:t>Convention UPOV</w:t>
      </w:r>
      <w:r w:rsidRPr="006A6B8C">
        <w:rPr>
          <w:snapToGrid w:val="0"/>
          <w:lang w:val="fr-CH"/>
        </w:rPr>
        <w:t xml:space="preserve"> (document</w:t>
      </w:r>
      <w:r w:rsidR="00625CBD" w:rsidRPr="006A6B8C">
        <w:rPr>
          <w:snapToGrid w:val="0"/>
          <w:lang w:val="fr-CH"/>
        </w:rPr>
        <w:t> </w:t>
      </w:r>
      <w:r w:rsidRPr="006A6B8C">
        <w:rPr>
          <w:snapToGrid w:val="0"/>
          <w:lang w:val="fr-CH"/>
        </w:rPr>
        <w:t>C/55/11)</w:t>
      </w:r>
      <w:bookmarkEnd w:id="15"/>
    </w:p>
    <w:p w:rsidR="00275C16" w:rsidRPr="005F5EE2" w:rsidRDefault="00275C16" w:rsidP="005907AC">
      <w:pPr>
        <w:keepNext/>
        <w:rPr>
          <w:rFonts w:cs="Arial"/>
          <w:lang w:val="fr-CH" w:eastAsia="fr-FR"/>
        </w:rPr>
      </w:pPr>
    </w:p>
    <w:p w:rsidR="00275C16" w:rsidRPr="005F5EE2" w:rsidRDefault="005907AC" w:rsidP="00E7168A">
      <w:pPr>
        <w:rPr>
          <w:lang w:val="fr-CH"/>
        </w:rPr>
      </w:pPr>
      <w:r w:rsidRPr="005F5EE2">
        <w:rPr>
          <w:i/>
        </w:rPr>
        <w:fldChar w:fldCharType="begin"/>
      </w:r>
      <w:r w:rsidRPr="005F5EE2">
        <w:rPr>
          <w:lang w:val="fr-CH"/>
        </w:rPr>
        <w:instrText xml:space="preserve"> AUTONUM  </w:instrText>
      </w:r>
      <w:r w:rsidRPr="005F5EE2">
        <w:rPr>
          <w:i/>
        </w:rPr>
        <w:fldChar w:fldCharType="end"/>
      </w:r>
      <w:r w:rsidRPr="005F5EE2">
        <w:rPr>
          <w:lang w:val="fr-CH"/>
        </w:rPr>
        <w:tab/>
      </w:r>
      <w:r w:rsidR="00E7168A" w:rsidRPr="005F5EE2">
        <w:rPr>
          <w:lang w:val="fr-CH"/>
        </w:rPr>
        <w:t xml:space="preserve">Le Conseil a adopté la version révisée du document UPOV/EXN/DEN </w:t>
      </w:r>
      <w:r w:rsidR="007D6DCE" w:rsidRPr="005F5EE2">
        <w:rPr>
          <w:lang w:val="fr-CH"/>
        </w:rPr>
        <w:t>“N</w:t>
      </w:r>
      <w:r w:rsidR="00E7168A" w:rsidRPr="005F5EE2">
        <w:rPr>
          <w:lang w:val="fr-CH"/>
        </w:rPr>
        <w:t xml:space="preserve">otes explicatives concernant les dénominations variétales en vertu de la </w:t>
      </w:r>
      <w:r w:rsidR="007D6DCE" w:rsidRPr="005F5EE2">
        <w:rPr>
          <w:lang w:val="fr-CH"/>
        </w:rPr>
        <w:t>Convention UPOV</w:t>
      </w:r>
      <w:r w:rsidR="00E7168A" w:rsidRPr="005F5EE2">
        <w:rPr>
          <w:lang w:val="fr-CH"/>
        </w:rPr>
        <w:t xml:space="preserve"> (document UPOV/EXN/DEN/1), sur la base du document UPOV/EXN/DEN/1 </w:t>
      </w:r>
      <w:proofErr w:type="spellStart"/>
      <w:r w:rsidR="00E7168A" w:rsidRPr="005F5EE2">
        <w:rPr>
          <w:lang w:val="fr-CH"/>
        </w:rPr>
        <w:t>Draft</w:t>
      </w:r>
      <w:proofErr w:type="spellEnd"/>
      <w:r w:rsidR="00E7168A" w:rsidRPr="005F5EE2">
        <w:rPr>
          <w:lang w:val="fr-CH"/>
        </w:rPr>
        <w:t xml:space="preserve"> 6.</w:t>
      </w:r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E7168A" w:rsidP="00E7168A">
      <w:pPr>
        <w:pStyle w:val="Heading3"/>
        <w:rPr>
          <w:lang w:val="fr-CH"/>
        </w:rPr>
      </w:pPr>
      <w:bookmarkStart w:id="16" w:name="_Toc84588284"/>
      <w:r w:rsidRPr="005F5EE2">
        <w:rPr>
          <w:lang w:val="fr-CH"/>
        </w:rPr>
        <w:t>Documents TGP</w:t>
      </w:r>
      <w:bookmarkEnd w:id="16"/>
    </w:p>
    <w:p w:rsidR="00275C16" w:rsidRPr="005F5EE2" w:rsidRDefault="00275C16" w:rsidP="005907AC">
      <w:pPr>
        <w:rPr>
          <w:sz w:val="18"/>
          <w:lang w:val="fr-CH"/>
        </w:rPr>
      </w:pPr>
    </w:p>
    <w:p w:rsidR="00275C16" w:rsidRPr="005F5EE2" w:rsidRDefault="00E331B4" w:rsidP="00E331B4">
      <w:pPr>
        <w:pStyle w:val="Heading4"/>
        <w:rPr>
          <w:snapToGrid w:val="0"/>
          <w:lang w:val="fr-CH"/>
        </w:rPr>
      </w:pPr>
      <w:bookmarkStart w:id="17" w:name="_Toc84588285"/>
      <w:r w:rsidRPr="005F5EE2">
        <w:rPr>
          <w:snapToGrid w:val="0"/>
          <w:lang w:val="fr-CH"/>
        </w:rPr>
        <w:t>TGP/5</w:t>
      </w:r>
      <w:r w:rsidR="007D6DCE" w:rsidRPr="005F5EE2">
        <w:rPr>
          <w:snapToGrid w:val="0"/>
          <w:lang w:val="fr-CH"/>
        </w:rPr>
        <w:t> :</w:t>
      </w:r>
      <w:r w:rsidRPr="005F5EE2">
        <w:rPr>
          <w:snapToGrid w:val="0"/>
          <w:lang w:val="fr-CH"/>
        </w:rPr>
        <w:t xml:space="preserve"> Expérience et coopération en matière d</w:t>
      </w:r>
      <w:r w:rsidR="007D6DCE" w:rsidRPr="005F5EE2">
        <w:rPr>
          <w:snapToGrid w:val="0"/>
          <w:lang w:val="fr-CH"/>
        </w:rPr>
        <w:t>’</w:t>
      </w:r>
      <w:r w:rsidRPr="005F5EE2">
        <w:rPr>
          <w:snapToGrid w:val="0"/>
          <w:lang w:val="fr-CH"/>
        </w:rPr>
        <w:t xml:space="preserve">examen DHS, </w:t>
      </w:r>
      <w:r w:rsidR="007D6DCE" w:rsidRPr="005F5EE2">
        <w:rPr>
          <w:snapToGrid w:val="0"/>
          <w:lang w:val="fr-CH"/>
        </w:rPr>
        <w:t>Section 2 :</w:t>
      </w:r>
      <w:r w:rsidRPr="005F5EE2">
        <w:rPr>
          <w:snapToGrid w:val="0"/>
          <w:lang w:val="fr-CH"/>
        </w:rPr>
        <w:t xml:space="preserve"> Formulaire type de l</w:t>
      </w:r>
      <w:r w:rsidR="007D6DCE" w:rsidRPr="005F5EE2">
        <w:rPr>
          <w:snapToGrid w:val="0"/>
          <w:lang w:val="fr-CH"/>
        </w:rPr>
        <w:t>’</w:t>
      </w:r>
      <w:r w:rsidRPr="005F5EE2">
        <w:rPr>
          <w:snapToGrid w:val="0"/>
          <w:lang w:val="fr-CH"/>
        </w:rPr>
        <w:t xml:space="preserve">UPOV </w:t>
      </w:r>
      <w:r w:rsidRPr="00BE7D91">
        <w:rPr>
          <w:snapToGrid w:val="0"/>
          <w:spacing w:val="-2"/>
          <w:lang w:val="fr-CH"/>
        </w:rPr>
        <w:t>pour la demande de protection d</w:t>
      </w:r>
      <w:r w:rsidR="007D6DCE" w:rsidRPr="00BE7D91">
        <w:rPr>
          <w:snapToGrid w:val="0"/>
          <w:spacing w:val="-2"/>
          <w:lang w:val="fr-CH"/>
        </w:rPr>
        <w:t>’</w:t>
      </w:r>
      <w:r w:rsidRPr="00BE7D91">
        <w:rPr>
          <w:snapToGrid w:val="0"/>
          <w:spacing w:val="-2"/>
          <w:lang w:val="fr-CH"/>
        </w:rPr>
        <w:t xml:space="preserve">une obtention végétale (révision) (document TGP/5 Section 2/4 </w:t>
      </w:r>
      <w:proofErr w:type="spellStart"/>
      <w:r w:rsidRPr="00BE7D91">
        <w:rPr>
          <w:snapToGrid w:val="0"/>
          <w:spacing w:val="-2"/>
          <w:lang w:val="fr-CH"/>
        </w:rPr>
        <w:t>Draft</w:t>
      </w:r>
      <w:proofErr w:type="spellEnd"/>
      <w:r w:rsidRPr="00BE7D91">
        <w:rPr>
          <w:snapToGrid w:val="0"/>
          <w:spacing w:val="-2"/>
          <w:lang w:val="fr-CH"/>
        </w:rPr>
        <w:t> 1)</w:t>
      </w:r>
      <w:bookmarkEnd w:id="17"/>
    </w:p>
    <w:p w:rsidR="00275C16" w:rsidRPr="005F5EE2" w:rsidRDefault="00275C16" w:rsidP="005907AC">
      <w:pPr>
        <w:rPr>
          <w:sz w:val="18"/>
          <w:lang w:val="fr-CH"/>
        </w:rPr>
      </w:pPr>
    </w:p>
    <w:p w:rsidR="00275C16" w:rsidRPr="005F5EE2" w:rsidRDefault="005907AC" w:rsidP="00E331B4">
      <w:pPr>
        <w:rPr>
          <w:lang w:val="fr-CH" w:eastAsia="zh-CN"/>
        </w:rPr>
      </w:pPr>
      <w:r w:rsidRPr="005F5EE2">
        <w:rPr>
          <w:i/>
          <w:lang w:eastAsia="zh-CN"/>
        </w:rPr>
        <w:fldChar w:fldCharType="begin"/>
      </w:r>
      <w:r w:rsidRPr="005F5EE2">
        <w:rPr>
          <w:lang w:val="fr-CH" w:eastAsia="zh-CN"/>
        </w:rPr>
        <w:instrText xml:space="preserve"> AUTONUM  </w:instrText>
      </w:r>
      <w:r w:rsidRPr="005F5EE2">
        <w:rPr>
          <w:i/>
          <w:lang w:eastAsia="zh-CN"/>
        </w:rPr>
        <w:fldChar w:fldCharType="end"/>
      </w:r>
      <w:r w:rsidRPr="005F5EE2">
        <w:rPr>
          <w:lang w:val="fr-CH" w:eastAsia="zh-CN"/>
        </w:rPr>
        <w:tab/>
      </w:r>
      <w:r w:rsidR="00E331B4" w:rsidRPr="005F5EE2">
        <w:rPr>
          <w:lang w:val="fr-CH" w:eastAsia="zh-CN"/>
        </w:rPr>
        <w:t>Le Conseil a adopté la version révisée du document TGP/5 “Expérience et coopération en matière d</w:t>
      </w:r>
      <w:r w:rsidR="007D6DCE" w:rsidRPr="005F5EE2">
        <w:rPr>
          <w:lang w:val="fr-CH" w:eastAsia="zh-CN"/>
        </w:rPr>
        <w:t>’</w:t>
      </w:r>
      <w:r w:rsidR="00E331B4" w:rsidRPr="005F5EE2">
        <w:rPr>
          <w:lang w:val="fr-CH" w:eastAsia="zh-CN"/>
        </w:rPr>
        <w:t>examen</w:t>
      </w:r>
      <w:r w:rsidR="004011A9" w:rsidRPr="005F5EE2">
        <w:rPr>
          <w:lang w:val="fr-CH" w:eastAsia="zh-CN"/>
        </w:rPr>
        <w:t> </w:t>
      </w:r>
      <w:r w:rsidR="00E331B4" w:rsidRPr="005F5EE2">
        <w:rPr>
          <w:lang w:val="fr-CH" w:eastAsia="zh-CN"/>
        </w:rPr>
        <w:t xml:space="preserve">DHS”, </w:t>
      </w:r>
      <w:r w:rsidR="007D6DCE" w:rsidRPr="005F5EE2">
        <w:rPr>
          <w:lang w:val="fr-CH" w:eastAsia="zh-CN"/>
        </w:rPr>
        <w:t>Section 2 :</w:t>
      </w:r>
      <w:r w:rsidR="00E331B4" w:rsidRPr="005F5EE2">
        <w:rPr>
          <w:lang w:val="fr-CH" w:eastAsia="zh-CN"/>
        </w:rPr>
        <w:t xml:space="preserve"> “Formulaire type de l</w:t>
      </w:r>
      <w:r w:rsidR="007D6DCE" w:rsidRPr="005F5EE2">
        <w:rPr>
          <w:lang w:val="fr-CH" w:eastAsia="zh-CN"/>
        </w:rPr>
        <w:t>’</w:t>
      </w:r>
      <w:r w:rsidR="00E331B4" w:rsidRPr="005F5EE2">
        <w:rPr>
          <w:lang w:val="fr-CH" w:eastAsia="zh-CN"/>
        </w:rPr>
        <w:t>UPOV pour la demande de protection d</w:t>
      </w:r>
      <w:r w:rsidR="007D6DCE" w:rsidRPr="005F5EE2">
        <w:rPr>
          <w:lang w:val="fr-CH" w:eastAsia="zh-CN"/>
        </w:rPr>
        <w:t>’</w:t>
      </w:r>
      <w:r w:rsidR="00E331B4" w:rsidRPr="005F5EE2">
        <w:rPr>
          <w:lang w:val="fr-CH" w:eastAsia="zh-CN"/>
        </w:rPr>
        <w:t>une obtention végétale” (document TGP/5</w:t>
      </w:r>
      <w:r w:rsidR="007D6DCE" w:rsidRPr="005F5EE2">
        <w:rPr>
          <w:lang w:val="fr-CH" w:eastAsia="zh-CN"/>
        </w:rPr>
        <w:t> :</w:t>
      </w:r>
      <w:r w:rsidR="00E331B4" w:rsidRPr="005F5EE2">
        <w:rPr>
          <w:lang w:val="fr-CH" w:eastAsia="zh-CN"/>
        </w:rPr>
        <w:t xml:space="preserve"> </w:t>
      </w:r>
      <w:r w:rsidR="007D6DCE" w:rsidRPr="005F5EE2">
        <w:rPr>
          <w:lang w:val="fr-CH" w:eastAsia="zh-CN"/>
        </w:rPr>
        <w:t>Section 2</w:t>
      </w:r>
      <w:r w:rsidR="00E331B4" w:rsidRPr="005F5EE2">
        <w:rPr>
          <w:lang w:val="fr-CH" w:eastAsia="zh-CN"/>
        </w:rPr>
        <w:t xml:space="preserve">/4), sur la base du document TGP/5, </w:t>
      </w:r>
      <w:r w:rsidR="002E4BB8" w:rsidRPr="005F5EE2">
        <w:rPr>
          <w:lang w:val="fr-CH" w:eastAsia="zh-CN"/>
        </w:rPr>
        <w:t>S</w:t>
      </w:r>
      <w:r w:rsidR="007D6DCE" w:rsidRPr="005F5EE2">
        <w:rPr>
          <w:lang w:val="fr-CH" w:eastAsia="zh-CN"/>
        </w:rPr>
        <w:t>ection 2</w:t>
      </w:r>
      <w:r w:rsidR="00E331B4" w:rsidRPr="005F5EE2">
        <w:rPr>
          <w:lang w:val="fr-CH" w:eastAsia="zh-CN"/>
        </w:rPr>
        <w:t xml:space="preserve">/4 </w:t>
      </w:r>
      <w:proofErr w:type="spellStart"/>
      <w:r w:rsidR="00E331B4" w:rsidRPr="005F5EE2">
        <w:rPr>
          <w:lang w:val="fr-CH" w:eastAsia="zh-CN"/>
        </w:rPr>
        <w:t>Draft</w:t>
      </w:r>
      <w:proofErr w:type="spellEnd"/>
      <w:r w:rsidR="00E331B4" w:rsidRPr="005F5EE2">
        <w:rPr>
          <w:lang w:val="fr-CH" w:eastAsia="zh-CN"/>
        </w:rPr>
        <w:t xml:space="preserve"> 1.</w:t>
      </w:r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E331B4" w:rsidP="00E331B4">
      <w:pPr>
        <w:pStyle w:val="Heading4"/>
        <w:rPr>
          <w:snapToGrid w:val="0"/>
          <w:lang w:val="fr-CH"/>
        </w:rPr>
      </w:pPr>
      <w:bookmarkStart w:id="18" w:name="_Toc84588286"/>
      <w:r w:rsidRPr="005F5EE2">
        <w:rPr>
          <w:snapToGrid w:val="0"/>
          <w:lang w:val="fr-CH"/>
        </w:rPr>
        <w:t>TGP/0</w:t>
      </w:r>
      <w:r w:rsidR="007D6DCE" w:rsidRPr="005F5EE2">
        <w:rPr>
          <w:snapToGrid w:val="0"/>
          <w:lang w:val="fr-CH"/>
        </w:rPr>
        <w:t> :</w:t>
      </w:r>
      <w:r w:rsidRPr="005F5EE2">
        <w:rPr>
          <w:snapToGrid w:val="0"/>
          <w:lang w:val="fr-CH"/>
        </w:rPr>
        <w:t xml:space="preserve"> Liste des documents TGP et date de la version la plus récente de ces documents (révision) (document</w:t>
      </w:r>
      <w:r w:rsidR="00625CBD" w:rsidRPr="005F5EE2">
        <w:rPr>
          <w:snapToGrid w:val="0"/>
          <w:lang w:val="fr-CH"/>
        </w:rPr>
        <w:t> </w:t>
      </w:r>
      <w:r w:rsidRPr="005F5EE2">
        <w:rPr>
          <w:snapToGrid w:val="0"/>
          <w:lang w:val="fr-CH"/>
        </w:rPr>
        <w:t xml:space="preserve">TGP/0/13 </w:t>
      </w:r>
      <w:proofErr w:type="spellStart"/>
      <w:r w:rsidRPr="005F5EE2">
        <w:rPr>
          <w:snapToGrid w:val="0"/>
          <w:lang w:val="fr-CH"/>
        </w:rPr>
        <w:t>Draft</w:t>
      </w:r>
      <w:proofErr w:type="spellEnd"/>
      <w:r w:rsidR="00625CBD" w:rsidRPr="005F5EE2">
        <w:rPr>
          <w:snapToGrid w:val="0"/>
          <w:lang w:val="fr-CH"/>
        </w:rPr>
        <w:t> </w:t>
      </w:r>
      <w:r w:rsidRPr="005F5EE2">
        <w:rPr>
          <w:snapToGrid w:val="0"/>
          <w:lang w:val="fr-CH"/>
        </w:rPr>
        <w:t>1)</w:t>
      </w:r>
      <w:bookmarkEnd w:id="18"/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5907AC" w:rsidP="00E331B4">
      <w:pPr>
        <w:rPr>
          <w:i/>
          <w:spacing w:val="-2"/>
          <w:lang w:val="fr-CH"/>
        </w:rPr>
      </w:pPr>
      <w:r w:rsidRPr="005F5EE2">
        <w:rPr>
          <w:i/>
          <w:spacing w:val="-2"/>
          <w:lang w:eastAsia="zh-CN"/>
        </w:rPr>
        <w:fldChar w:fldCharType="begin"/>
      </w:r>
      <w:r w:rsidRPr="005F5EE2">
        <w:rPr>
          <w:spacing w:val="-2"/>
          <w:lang w:val="fr-CH" w:eastAsia="zh-CN"/>
        </w:rPr>
        <w:instrText xml:space="preserve"> AUTONUM  </w:instrText>
      </w:r>
      <w:r w:rsidRPr="005F5EE2">
        <w:rPr>
          <w:i/>
          <w:spacing w:val="-2"/>
          <w:lang w:eastAsia="zh-CN"/>
        </w:rPr>
        <w:fldChar w:fldCharType="end"/>
      </w:r>
      <w:r w:rsidRPr="005F5EE2">
        <w:rPr>
          <w:spacing w:val="-2"/>
          <w:lang w:val="fr-CH" w:eastAsia="zh-CN"/>
        </w:rPr>
        <w:tab/>
      </w:r>
      <w:r w:rsidR="00E331B4" w:rsidRPr="005F5EE2">
        <w:rPr>
          <w:spacing w:val="-2"/>
          <w:lang w:val="fr-CH" w:eastAsia="zh-CN"/>
        </w:rPr>
        <w:t xml:space="preserve">Le Conseil a adopté la version révisée du document TGP/0 “Liste des documents TGP et date de la version la plus récente de ces documents” (document TGP/0/13) sur la base du document TGP/0/13 </w:t>
      </w:r>
      <w:proofErr w:type="spellStart"/>
      <w:r w:rsidR="00E331B4" w:rsidRPr="005F5EE2">
        <w:rPr>
          <w:spacing w:val="-2"/>
          <w:lang w:val="fr-CH" w:eastAsia="zh-CN"/>
        </w:rPr>
        <w:t>Draft</w:t>
      </w:r>
      <w:proofErr w:type="spellEnd"/>
      <w:r w:rsidR="00E331B4" w:rsidRPr="005F5EE2">
        <w:rPr>
          <w:spacing w:val="-2"/>
          <w:lang w:val="fr-CH" w:eastAsia="zh-CN"/>
        </w:rPr>
        <w:t xml:space="preserve"> 1.</w:t>
      </w:r>
    </w:p>
    <w:p w:rsidR="00275C16" w:rsidRPr="005F5EE2" w:rsidRDefault="00275C16" w:rsidP="005907AC">
      <w:pPr>
        <w:rPr>
          <w:sz w:val="18"/>
          <w:lang w:val="fr-CH"/>
        </w:rPr>
      </w:pPr>
    </w:p>
    <w:p w:rsidR="00275C16" w:rsidRPr="005F5EE2" w:rsidRDefault="00275C16" w:rsidP="005907AC">
      <w:pPr>
        <w:jc w:val="left"/>
        <w:rPr>
          <w:sz w:val="18"/>
          <w:lang w:val="fr-CH"/>
        </w:rPr>
      </w:pPr>
    </w:p>
    <w:p w:rsidR="00275C16" w:rsidRPr="005F5EE2" w:rsidRDefault="007D6DCE" w:rsidP="00E331B4">
      <w:pPr>
        <w:keepNext/>
        <w:outlineLvl w:val="0"/>
        <w:rPr>
          <w:caps/>
          <w:snapToGrid w:val="0"/>
          <w:lang w:val="fr-CH"/>
        </w:rPr>
      </w:pPr>
      <w:bookmarkStart w:id="19" w:name="_Toc84588287"/>
      <w:r w:rsidRPr="005F5EE2">
        <w:rPr>
          <w:caps/>
          <w:snapToGrid w:val="0"/>
          <w:lang w:val="fr-CH"/>
        </w:rPr>
        <w:t>Point 9</w:t>
      </w:r>
      <w:r w:rsidR="00E331B4" w:rsidRPr="005F5EE2">
        <w:rPr>
          <w:caps/>
          <w:snapToGrid w:val="0"/>
          <w:lang w:val="fr-CH"/>
        </w:rPr>
        <w:t xml:space="preserve"> de l</w:t>
      </w:r>
      <w:r w:rsidRPr="005F5EE2">
        <w:rPr>
          <w:caps/>
          <w:snapToGrid w:val="0"/>
          <w:lang w:val="fr-CH"/>
        </w:rPr>
        <w:t>’</w:t>
      </w:r>
      <w:r w:rsidR="00E331B4" w:rsidRPr="005F5EE2">
        <w:rPr>
          <w:caps/>
          <w:snapToGrid w:val="0"/>
          <w:lang w:val="fr-CH"/>
        </w:rPr>
        <w:t>ordre du jour</w:t>
      </w:r>
      <w:r w:rsidRPr="005F5EE2">
        <w:rPr>
          <w:caps/>
          <w:snapToGrid w:val="0"/>
          <w:lang w:val="fr-CH"/>
        </w:rPr>
        <w:t> :</w:t>
      </w:r>
      <w:r w:rsidR="00E331B4" w:rsidRPr="005F5EE2">
        <w:rPr>
          <w:caps/>
          <w:snapToGrid w:val="0"/>
          <w:lang w:val="fr-CH"/>
        </w:rPr>
        <w:t xml:space="preserve"> États financiers </w:t>
      </w:r>
      <w:r w:rsidRPr="005F5EE2">
        <w:rPr>
          <w:caps/>
          <w:snapToGrid w:val="0"/>
          <w:lang w:val="fr-CH"/>
        </w:rPr>
        <w:t>pour 2020</w:t>
      </w:r>
      <w:r w:rsidR="00E331B4" w:rsidRPr="005F5EE2">
        <w:rPr>
          <w:caps/>
          <w:snapToGrid w:val="0"/>
          <w:lang w:val="fr-CH"/>
        </w:rPr>
        <w:t xml:space="preserve"> (document</w:t>
      </w:r>
      <w:r w:rsidR="00625CBD" w:rsidRPr="005F5EE2">
        <w:rPr>
          <w:caps/>
          <w:snapToGrid w:val="0"/>
          <w:lang w:val="fr-CH"/>
        </w:rPr>
        <w:t> </w:t>
      </w:r>
      <w:r w:rsidR="00E331B4" w:rsidRPr="005F5EE2">
        <w:rPr>
          <w:caps/>
          <w:snapToGrid w:val="0"/>
          <w:lang w:val="fr-CH"/>
        </w:rPr>
        <w:t>C/55/5)</w:t>
      </w:r>
      <w:bookmarkEnd w:id="19"/>
    </w:p>
    <w:p w:rsidR="00275C16" w:rsidRPr="005F5EE2" w:rsidRDefault="00275C16" w:rsidP="005907AC">
      <w:pPr>
        <w:keepNext/>
        <w:ind w:left="567" w:hanging="567"/>
        <w:jc w:val="left"/>
        <w:rPr>
          <w:lang w:val="fr-CH"/>
        </w:rPr>
      </w:pPr>
    </w:p>
    <w:p w:rsidR="00275C16" w:rsidRPr="005F5EE2" w:rsidRDefault="005907AC" w:rsidP="00E331B4">
      <w:pPr>
        <w:ind w:left="567" w:hanging="567"/>
        <w:jc w:val="left"/>
        <w:rPr>
          <w:rFonts w:cs="Arial"/>
          <w:snapToGrid w:val="0"/>
          <w:lang w:val="fr-CH"/>
        </w:rPr>
      </w:pPr>
      <w:r w:rsidRPr="005F5EE2">
        <w:rPr>
          <w:i/>
          <w:spacing w:val="-2"/>
          <w:lang w:eastAsia="zh-CN"/>
        </w:rPr>
        <w:fldChar w:fldCharType="begin"/>
      </w:r>
      <w:r w:rsidRPr="005F5EE2">
        <w:rPr>
          <w:spacing w:val="-2"/>
          <w:lang w:val="fr-CH" w:eastAsia="zh-CN"/>
        </w:rPr>
        <w:instrText xml:space="preserve"> AUTONUM  </w:instrText>
      </w:r>
      <w:r w:rsidRPr="005F5EE2">
        <w:rPr>
          <w:i/>
          <w:spacing w:val="-2"/>
          <w:lang w:eastAsia="zh-CN"/>
        </w:rPr>
        <w:fldChar w:fldCharType="end"/>
      </w:r>
      <w:r w:rsidRPr="005F5EE2">
        <w:rPr>
          <w:spacing w:val="-2"/>
          <w:lang w:val="fr-CH" w:eastAsia="zh-CN"/>
        </w:rPr>
        <w:tab/>
      </w:r>
      <w:r w:rsidR="00E331B4" w:rsidRPr="005F5EE2">
        <w:rPr>
          <w:spacing w:val="-2"/>
          <w:lang w:val="fr-CH" w:eastAsia="zh-CN"/>
        </w:rPr>
        <w:t xml:space="preserve">Le Conseil a approuvé les états financiers </w:t>
      </w:r>
      <w:r w:rsidR="007D6DCE" w:rsidRPr="005F5EE2">
        <w:rPr>
          <w:spacing w:val="-2"/>
          <w:lang w:val="fr-CH" w:eastAsia="zh-CN"/>
        </w:rPr>
        <w:t>pour 2020</w:t>
      </w:r>
      <w:r w:rsidR="00E331B4" w:rsidRPr="005F5EE2">
        <w:rPr>
          <w:spacing w:val="-2"/>
          <w:lang w:val="fr-CH" w:eastAsia="zh-CN"/>
        </w:rPr>
        <w:t>, qui figurent dans le document</w:t>
      </w:r>
      <w:r w:rsidR="00625CBD" w:rsidRPr="005F5EE2">
        <w:rPr>
          <w:spacing w:val="-2"/>
          <w:lang w:val="fr-CH" w:eastAsia="zh-CN"/>
        </w:rPr>
        <w:t> </w:t>
      </w:r>
      <w:r w:rsidR="00E331B4" w:rsidRPr="005F5EE2">
        <w:rPr>
          <w:spacing w:val="-2"/>
          <w:lang w:val="fr-CH" w:eastAsia="zh-CN"/>
        </w:rPr>
        <w:t>C/55/5.</w:t>
      </w:r>
    </w:p>
    <w:p w:rsidR="00275C16" w:rsidRPr="005F5EE2" w:rsidRDefault="00275C16" w:rsidP="005907AC">
      <w:pPr>
        <w:ind w:left="567" w:hanging="567"/>
        <w:jc w:val="left"/>
        <w:rPr>
          <w:sz w:val="18"/>
          <w:lang w:val="fr-CH"/>
        </w:rPr>
      </w:pPr>
    </w:p>
    <w:p w:rsidR="00275C16" w:rsidRPr="005F5EE2" w:rsidRDefault="00275C16" w:rsidP="005907AC">
      <w:pPr>
        <w:ind w:left="567" w:hanging="567"/>
        <w:jc w:val="left"/>
        <w:rPr>
          <w:sz w:val="18"/>
          <w:lang w:val="fr-CH"/>
        </w:rPr>
      </w:pPr>
    </w:p>
    <w:p w:rsidR="00275C16" w:rsidRPr="005F5EE2" w:rsidRDefault="00275C16" w:rsidP="005907AC">
      <w:pPr>
        <w:ind w:left="567" w:hanging="567"/>
        <w:jc w:val="left"/>
        <w:rPr>
          <w:sz w:val="18"/>
          <w:lang w:val="fr-CH"/>
        </w:rPr>
      </w:pPr>
    </w:p>
    <w:p w:rsidR="00275C16" w:rsidRPr="005F5EE2" w:rsidRDefault="007D6DCE" w:rsidP="00E331B4">
      <w:pPr>
        <w:pStyle w:val="Heading1"/>
        <w:rPr>
          <w:lang w:val="fr-CH"/>
        </w:rPr>
      </w:pPr>
      <w:bookmarkStart w:id="20" w:name="_Toc84588288"/>
      <w:r w:rsidRPr="005F5EE2">
        <w:rPr>
          <w:lang w:val="fr-CH"/>
        </w:rPr>
        <w:t>Point 1</w:t>
      </w:r>
      <w:r w:rsidR="00E331B4" w:rsidRPr="005F5EE2">
        <w:rPr>
          <w:lang w:val="fr-CH"/>
        </w:rPr>
        <w:t>1 de l</w:t>
      </w:r>
      <w:r w:rsidRPr="005F5EE2">
        <w:rPr>
          <w:lang w:val="fr-CH"/>
        </w:rPr>
        <w:t>’</w:t>
      </w:r>
      <w:r w:rsidR="00E331B4" w:rsidRPr="005F5EE2">
        <w:rPr>
          <w:lang w:val="fr-CH"/>
        </w:rPr>
        <w:t>ordre du jour</w:t>
      </w:r>
      <w:r w:rsidRPr="005F5EE2">
        <w:rPr>
          <w:lang w:val="fr-CH"/>
        </w:rPr>
        <w:t> :</w:t>
      </w:r>
      <w:r w:rsidR="00E331B4" w:rsidRPr="005F5EE2">
        <w:rPr>
          <w:lang w:val="fr-CH"/>
        </w:rPr>
        <w:t xml:space="preserve"> Rapport du vérificateur externe des comptes (document C/55/6)</w:t>
      </w:r>
      <w:bookmarkEnd w:id="20"/>
    </w:p>
    <w:p w:rsidR="00275C16" w:rsidRPr="005F5EE2" w:rsidRDefault="00275C16" w:rsidP="005907AC">
      <w:pPr>
        <w:ind w:left="567" w:hanging="567"/>
        <w:jc w:val="left"/>
        <w:rPr>
          <w:lang w:val="fr-CH"/>
        </w:rPr>
      </w:pPr>
    </w:p>
    <w:p w:rsidR="007D6DCE" w:rsidRPr="005F5EE2" w:rsidRDefault="005907AC" w:rsidP="00694F06">
      <w:pPr>
        <w:rPr>
          <w:spacing w:val="-2"/>
          <w:lang w:val="fr-CH" w:eastAsia="zh-CN"/>
        </w:rPr>
      </w:pPr>
      <w:r w:rsidRPr="005F5EE2">
        <w:rPr>
          <w:spacing w:val="-2"/>
          <w:lang w:eastAsia="zh-CN"/>
        </w:rPr>
        <w:fldChar w:fldCharType="begin"/>
      </w:r>
      <w:r w:rsidRPr="005F5EE2">
        <w:rPr>
          <w:spacing w:val="-2"/>
          <w:lang w:val="fr-CH" w:eastAsia="zh-CN"/>
        </w:rPr>
        <w:instrText xml:space="preserve"> AUTONUM  </w:instrText>
      </w:r>
      <w:r w:rsidRPr="005F5EE2">
        <w:rPr>
          <w:spacing w:val="-2"/>
          <w:lang w:eastAsia="zh-CN"/>
        </w:rPr>
        <w:fldChar w:fldCharType="end"/>
      </w:r>
      <w:r w:rsidRPr="005F5EE2">
        <w:rPr>
          <w:spacing w:val="-2"/>
          <w:lang w:val="fr-CH" w:eastAsia="zh-CN"/>
        </w:rPr>
        <w:tab/>
      </w:r>
      <w:r w:rsidR="00E331B4" w:rsidRPr="005F5EE2">
        <w:rPr>
          <w:spacing w:val="-2"/>
          <w:lang w:val="fr-CH" w:eastAsia="zh-CN"/>
        </w:rPr>
        <w:t>La publication du document</w:t>
      </w:r>
      <w:r w:rsidR="00625CBD" w:rsidRPr="005F5EE2">
        <w:rPr>
          <w:spacing w:val="-2"/>
          <w:lang w:val="fr-CH" w:eastAsia="zh-CN"/>
        </w:rPr>
        <w:t> </w:t>
      </w:r>
      <w:r w:rsidR="00E331B4" w:rsidRPr="005F5EE2">
        <w:rPr>
          <w:spacing w:val="-2"/>
          <w:lang w:val="fr-CH" w:eastAsia="zh-CN"/>
        </w:rPr>
        <w:t xml:space="preserve">C/55/6 </w:t>
      </w:r>
      <w:r w:rsidR="007D6DCE" w:rsidRPr="005F5EE2">
        <w:rPr>
          <w:spacing w:val="-2"/>
          <w:lang w:val="fr-CH" w:eastAsia="zh-CN"/>
        </w:rPr>
        <w:t>“R</w:t>
      </w:r>
      <w:r w:rsidR="00E331B4" w:rsidRPr="005F5EE2">
        <w:rPr>
          <w:spacing w:val="-2"/>
          <w:lang w:val="fr-CH" w:eastAsia="zh-CN"/>
        </w:rPr>
        <w:t>apport du vérificateur externe des compte</w:t>
      </w:r>
      <w:r w:rsidR="007D6DCE" w:rsidRPr="005F5EE2">
        <w:rPr>
          <w:spacing w:val="-2"/>
          <w:lang w:val="fr-CH" w:eastAsia="zh-CN"/>
        </w:rPr>
        <w:t>s”</w:t>
      </w:r>
      <w:r w:rsidR="00E331B4" w:rsidRPr="005F5EE2">
        <w:rPr>
          <w:spacing w:val="-2"/>
          <w:lang w:val="fr-CH" w:eastAsia="zh-CN"/>
        </w:rPr>
        <w:t xml:space="preserve"> a été mentionnée dans la circulaire</w:t>
      </w:r>
      <w:r w:rsidR="00625CBD" w:rsidRPr="005F5EE2">
        <w:rPr>
          <w:spacing w:val="-2"/>
          <w:lang w:val="fr-CH" w:eastAsia="zh-CN"/>
        </w:rPr>
        <w:t> </w:t>
      </w:r>
      <w:r w:rsidR="00E331B4" w:rsidRPr="005F5EE2">
        <w:rPr>
          <w:spacing w:val="-2"/>
          <w:lang w:val="fr-CH" w:eastAsia="zh-CN"/>
        </w:rPr>
        <w:t>E</w:t>
      </w:r>
      <w:r w:rsidR="007D6DCE" w:rsidRPr="005F5EE2">
        <w:rPr>
          <w:spacing w:val="-2"/>
          <w:lang w:val="fr-CH" w:eastAsia="zh-CN"/>
        </w:rPr>
        <w:t>-</w:t>
      </w:r>
      <w:r w:rsidR="00E331B4" w:rsidRPr="005F5EE2">
        <w:rPr>
          <w:spacing w:val="-2"/>
          <w:lang w:val="fr-CH" w:eastAsia="zh-CN"/>
        </w:rPr>
        <w:t>21/125 du 2</w:t>
      </w:r>
      <w:r w:rsidR="007D6DCE" w:rsidRPr="005F5EE2">
        <w:rPr>
          <w:spacing w:val="-2"/>
          <w:lang w:val="fr-CH" w:eastAsia="zh-CN"/>
        </w:rPr>
        <w:t>3 août 20</w:t>
      </w:r>
      <w:r w:rsidR="00E331B4" w:rsidRPr="005F5EE2">
        <w:rPr>
          <w:spacing w:val="-2"/>
          <w:lang w:val="fr-CH" w:eastAsia="zh-CN"/>
        </w:rPr>
        <w:t xml:space="preserve">21, mais </w:t>
      </w:r>
      <w:r w:rsidR="00FA1270" w:rsidRPr="005F5EE2">
        <w:rPr>
          <w:spacing w:val="-2"/>
          <w:lang w:val="fr-CH" w:eastAsia="zh-CN"/>
        </w:rPr>
        <w:t xml:space="preserve">le document </w:t>
      </w:r>
      <w:r w:rsidR="00E331B4" w:rsidRPr="005F5EE2">
        <w:rPr>
          <w:spacing w:val="-2"/>
          <w:lang w:val="fr-CH" w:eastAsia="zh-CN"/>
        </w:rPr>
        <w:t>ne faisait pas partie de la procédure par correspondan</w:t>
      </w:r>
      <w:r w:rsidR="00EA5D40" w:rsidRPr="005F5EE2">
        <w:rPr>
          <w:spacing w:val="-2"/>
          <w:lang w:val="fr-CH" w:eastAsia="zh-CN"/>
        </w:rPr>
        <w:t>ce.  To</w:t>
      </w:r>
      <w:r w:rsidR="00694F06" w:rsidRPr="005F5EE2">
        <w:rPr>
          <w:spacing w:val="-2"/>
          <w:lang w:val="fr-CH" w:eastAsia="zh-CN"/>
        </w:rPr>
        <w:t xml:space="preserve">utefois, les </w:t>
      </w:r>
      <w:r w:rsidR="00CC3120" w:rsidRPr="005F5EE2">
        <w:rPr>
          <w:spacing w:val="-2"/>
          <w:lang w:val="fr-CH" w:eastAsia="zh-CN"/>
        </w:rPr>
        <w:t>observations</w:t>
      </w:r>
      <w:r w:rsidR="00694F06" w:rsidRPr="005F5EE2">
        <w:rPr>
          <w:spacing w:val="-2"/>
          <w:lang w:val="fr-CH" w:eastAsia="zh-CN"/>
        </w:rPr>
        <w:t xml:space="preserve"> suivant</w:t>
      </w:r>
      <w:r w:rsidR="00CC3120" w:rsidRPr="005F5EE2">
        <w:rPr>
          <w:spacing w:val="-2"/>
          <w:lang w:val="fr-CH" w:eastAsia="zh-CN"/>
        </w:rPr>
        <w:t>e</w:t>
      </w:r>
      <w:r w:rsidR="00694F06" w:rsidRPr="005F5EE2">
        <w:rPr>
          <w:spacing w:val="-2"/>
          <w:lang w:val="fr-CH" w:eastAsia="zh-CN"/>
        </w:rPr>
        <w:t>s sur le document</w:t>
      </w:r>
      <w:r w:rsidR="00625CBD" w:rsidRPr="005F5EE2">
        <w:rPr>
          <w:spacing w:val="-2"/>
          <w:lang w:val="fr-CH" w:eastAsia="zh-CN"/>
        </w:rPr>
        <w:t> </w:t>
      </w:r>
      <w:r w:rsidR="00694F06" w:rsidRPr="005F5EE2">
        <w:rPr>
          <w:spacing w:val="-2"/>
          <w:lang w:val="fr-CH" w:eastAsia="zh-CN"/>
        </w:rPr>
        <w:t>C/55/6 ont été reçu</w:t>
      </w:r>
      <w:r w:rsidR="00CC3120" w:rsidRPr="005F5EE2">
        <w:rPr>
          <w:spacing w:val="-2"/>
          <w:lang w:val="fr-CH" w:eastAsia="zh-CN"/>
        </w:rPr>
        <w:t>e</w:t>
      </w:r>
      <w:r w:rsidR="00694F06" w:rsidRPr="005F5EE2">
        <w:rPr>
          <w:spacing w:val="-2"/>
          <w:lang w:val="fr-CH" w:eastAsia="zh-CN"/>
        </w:rPr>
        <w:t>s</w:t>
      </w:r>
      <w:r w:rsidR="007D6DCE" w:rsidRPr="005F5EE2">
        <w:rPr>
          <w:spacing w:val="-2"/>
          <w:lang w:val="fr-CH" w:eastAsia="zh-CN"/>
        </w:rPr>
        <w:t> :</w:t>
      </w:r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CC3120" w:rsidP="00694F06">
      <w:pPr>
        <w:pStyle w:val="Heading2"/>
        <w:rPr>
          <w:lang w:val="fr-CH" w:eastAsia="zh-CN"/>
        </w:rPr>
      </w:pPr>
      <w:bookmarkStart w:id="21" w:name="_Toc84588289"/>
      <w:r w:rsidRPr="005F5EE2">
        <w:rPr>
          <w:lang w:val="fr-CH" w:eastAsia="zh-CN"/>
        </w:rPr>
        <w:t>Observations</w:t>
      </w:r>
      <w:r w:rsidR="00694F06" w:rsidRPr="005F5EE2">
        <w:rPr>
          <w:lang w:val="fr-CH" w:eastAsia="zh-CN"/>
        </w:rPr>
        <w:t xml:space="preserve"> de l</w:t>
      </w:r>
      <w:r w:rsidR="007D6DCE" w:rsidRPr="005F5EE2">
        <w:rPr>
          <w:lang w:val="fr-CH" w:eastAsia="zh-CN"/>
        </w:rPr>
        <w:t>’</w:t>
      </w:r>
      <w:r w:rsidR="00694F06" w:rsidRPr="005F5EE2">
        <w:rPr>
          <w:lang w:val="fr-CH" w:eastAsia="zh-CN"/>
        </w:rPr>
        <w:t>Union européenne</w:t>
      </w:r>
      <w:bookmarkEnd w:id="21"/>
    </w:p>
    <w:p w:rsidR="00275C16" w:rsidRPr="005F5EE2" w:rsidRDefault="00275C16" w:rsidP="005907AC">
      <w:pPr>
        <w:rPr>
          <w:sz w:val="16"/>
          <w:lang w:val="fr-CH"/>
        </w:rPr>
      </w:pPr>
    </w:p>
    <w:p w:rsidR="00275C16" w:rsidRPr="005F5EE2" w:rsidRDefault="007D6DCE" w:rsidP="003B3F8E">
      <w:pPr>
        <w:pStyle w:val="TableParagraph"/>
        <w:ind w:left="562" w:right="562"/>
        <w:jc w:val="both"/>
        <w:rPr>
          <w:rFonts w:ascii="Arial" w:hAnsi="Arial" w:cs="Arial"/>
          <w:spacing w:val="-4"/>
          <w:sz w:val="18"/>
          <w:szCs w:val="18"/>
          <w:lang w:val="fr-CH"/>
        </w:rPr>
      </w:pPr>
      <w:r w:rsidRPr="005F5EE2">
        <w:rPr>
          <w:rFonts w:ascii="Arial" w:hAnsi="Arial" w:cs="Arial"/>
          <w:spacing w:val="-4"/>
          <w:sz w:val="18"/>
          <w:szCs w:val="18"/>
          <w:lang w:val="fr-CH"/>
        </w:rPr>
        <w:t>“L’</w:t>
      </w:r>
      <w:r w:rsidR="003B3F8E" w:rsidRPr="005F5EE2">
        <w:rPr>
          <w:rFonts w:ascii="Arial" w:hAnsi="Arial" w:cs="Arial"/>
          <w:spacing w:val="-4"/>
          <w:sz w:val="18"/>
          <w:szCs w:val="18"/>
          <w:lang w:val="fr-CH"/>
        </w:rPr>
        <w:t>UE et ses États membres prennent note du rapport du vérificateur externe des comptes et demandent au Bureau de l</w:t>
      </w:r>
      <w:r w:rsidRPr="005F5EE2">
        <w:rPr>
          <w:rFonts w:ascii="Arial" w:hAnsi="Arial" w:cs="Arial"/>
          <w:spacing w:val="-4"/>
          <w:sz w:val="18"/>
          <w:szCs w:val="18"/>
          <w:lang w:val="fr-CH"/>
        </w:rPr>
        <w:t>’</w:t>
      </w:r>
      <w:r w:rsidR="003B3F8E" w:rsidRPr="005F5EE2">
        <w:rPr>
          <w:rFonts w:ascii="Arial" w:hAnsi="Arial" w:cs="Arial"/>
          <w:spacing w:val="-4"/>
          <w:sz w:val="18"/>
          <w:szCs w:val="18"/>
          <w:lang w:val="fr-CH"/>
        </w:rPr>
        <w:t>UPOV de suivre les deux</w:t>
      </w:r>
      <w:r w:rsidR="004011A9" w:rsidRPr="005F5EE2">
        <w:rPr>
          <w:rFonts w:ascii="Arial" w:hAnsi="Arial" w:cs="Arial"/>
          <w:spacing w:val="-4"/>
          <w:sz w:val="18"/>
          <w:szCs w:val="18"/>
          <w:lang w:val="fr-CH"/>
        </w:rPr>
        <w:t> </w:t>
      </w:r>
      <w:r w:rsidR="003B3F8E" w:rsidRPr="005F5EE2">
        <w:rPr>
          <w:rFonts w:ascii="Arial" w:hAnsi="Arial" w:cs="Arial"/>
          <w:spacing w:val="-4"/>
          <w:sz w:val="18"/>
          <w:szCs w:val="18"/>
          <w:lang w:val="fr-CH"/>
        </w:rPr>
        <w:t>recommandations relatives à l</w:t>
      </w:r>
      <w:r w:rsidRPr="005F5EE2">
        <w:rPr>
          <w:rFonts w:ascii="Arial" w:hAnsi="Arial" w:cs="Arial"/>
          <w:spacing w:val="-4"/>
          <w:sz w:val="18"/>
          <w:szCs w:val="18"/>
          <w:lang w:val="fr-CH"/>
        </w:rPr>
        <w:t>’</w:t>
      </w:r>
      <w:r w:rsidR="003B3F8E" w:rsidRPr="005F5EE2">
        <w:rPr>
          <w:rFonts w:ascii="Arial" w:hAnsi="Arial" w:cs="Arial"/>
          <w:spacing w:val="-4"/>
          <w:sz w:val="18"/>
          <w:szCs w:val="18"/>
          <w:lang w:val="fr-CH"/>
        </w:rPr>
        <w:t>assurance maladie après la cessation de service et à la consultation du personnel en ce qui concerne les coûts et les avantages de la conformité avec le Statut et le Règlement du personnel de l</w:t>
      </w:r>
      <w:r w:rsidRPr="005F5EE2">
        <w:rPr>
          <w:rFonts w:ascii="Arial" w:hAnsi="Arial" w:cs="Arial"/>
          <w:spacing w:val="-4"/>
          <w:sz w:val="18"/>
          <w:szCs w:val="18"/>
          <w:lang w:val="fr-CH"/>
        </w:rPr>
        <w:t>’</w:t>
      </w:r>
      <w:r w:rsidR="003B3F8E" w:rsidRPr="005F5EE2">
        <w:rPr>
          <w:rFonts w:ascii="Arial" w:hAnsi="Arial" w:cs="Arial"/>
          <w:spacing w:val="-4"/>
          <w:sz w:val="18"/>
          <w:szCs w:val="18"/>
          <w:lang w:val="fr-CH"/>
        </w:rPr>
        <w:t xml:space="preserve">OMPI et le système commun des </w:t>
      </w:r>
      <w:r w:rsidRPr="005F5EE2">
        <w:rPr>
          <w:rFonts w:ascii="Arial" w:hAnsi="Arial" w:cs="Arial"/>
          <w:spacing w:val="-4"/>
          <w:sz w:val="18"/>
          <w:szCs w:val="18"/>
          <w:lang w:val="fr-CH"/>
        </w:rPr>
        <w:t>Nations Unies.”</w:t>
      </w:r>
    </w:p>
    <w:p w:rsidR="00275C16" w:rsidRPr="005F5EE2" w:rsidRDefault="00275C16" w:rsidP="005907AC">
      <w:pPr>
        <w:ind w:left="567" w:hanging="567"/>
        <w:jc w:val="left"/>
        <w:rPr>
          <w:sz w:val="18"/>
          <w:lang w:val="fr-CH"/>
        </w:rPr>
      </w:pPr>
    </w:p>
    <w:p w:rsidR="00275C16" w:rsidRPr="005F5EE2" w:rsidRDefault="00275C16" w:rsidP="005907AC">
      <w:pPr>
        <w:ind w:left="567" w:hanging="567"/>
        <w:jc w:val="left"/>
        <w:rPr>
          <w:sz w:val="18"/>
          <w:lang w:val="fr-CH"/>
        </w:rPr>
      </w:pPr>
    </w:p>
    <w:p w:rsidR="00275C16" w:rsidRPr="005F5EE2" w:rsidRDefault="00CC3120" w:rsidP="003B3F8E">
      <w:pPr>
        <w:pStyle w:val="Heading2"/>
        <w:rPr>
          <w:lang w:val="fr-CH" w:eastAsia="zh-CN"/>
        </w:rPr>
      </w:pPr>
      <w:bookmarkStart w:id="22" w:name="_Toc84588290"/>
      <w:r w:rsidRPr="005F5EE2">
        <w:rPr>
          <w:lang w:val="fr-CH" w:eastAsia="zh-CN"/>
        </w:rPr>
        <w:t xml:space="preserve">Observations </w:t>
      </w:r>
      <w:r w:rsidR="003B3F8E" w:rsidRPr="005F5EE2">
        <w:rPr>
          <w:lang w:val="fr-CH" w:eastAsia="zh-CN"/>
        </w:rPr>
        <w:t>de la Suisse</w:t>
      </w:r>
      <w:bookmarkEnd w:id="22"/>
    </w:p>
    <w:p w:rsidR="00275C16" w:rsidRPr="005F5EE2" w:rsidRDefault="00275C16" w:rsidP="005907AC">
      <w:pPr>
        <w:rPr>
          <w:sz w:val="16"/>
          <w:lang w:val="fr-CH"/>
        </w:rPr>
      </w:pPr>
    </w:p>
    <w:p w:rsidR="00275C16" w:rsidRPr="005F5EE2" w:rsidRDefault="007D6DCE" w:rsidP="00037B3B">
      <w:pPr>
        <w:pStyle w:val="TableParagraph"/>
        <w:ind w:left="562" w:right="562"/>
        <w:jc w:val="both"/>
        <w:rPr>
          <w:rFonts w:ascii="Arial" w:hAnsi="Arial" w:cs="Arial"/>
          <w:sz w:val="18"/>
          <w:szCs w:val="18"/>
          <w:lang w:val="fr-CH"/>
        </w:rPr>
      </w:pPr>
      <w:r w:rsidRPr="005F5EE2">
        <w:rPr>
          <w:rFonts w:ascii="Arial" w:hAnsi="Arial" w:cs="Arial"/>
          <w:sz w:val="18"/>
          <w:szCs w:val="18"/>
          <w:lang w:val="fr-CH"/>
        </w:rPr>
        <w:t>“M</w:t>
      </w:r>
      <w:r w:rsidR="00037B3B" w:rsidRPr="005F5EE2">
        <w:rPr>
          <w:rFonts w:ascii="Arial" w:hAnsi="Arial" w:cs="Arial"/>
          <w:sz w:val="18"/>
          <w:szCs w:val="18"/>
          <w:lang w:val="fr-CH"/>
        </w:rPr>
        <w:t>erci pour vos circulaires</w:t>
      </w:r>
      <w:r w:rsidR="00625CBD" w:rsidRPr="005F5EE2">
        <w:rPr>
          <w:rFonts w:ascii="Arial" w:hAnsi="Arial" w:cs="Arial"/>
          <w:sz w:val="18"/>
          <w:szCs w:val="18"/>
          <w:lang w:val="fr-CH"/>
        </w:rPr>
        <w:t> </w:t>
      </w:r>
      <w:r w:rsidR="00037B3B" w:rsidRPr="005F5EE2">
        <w:rPr>
          <w:rFonts w:ascii="Arial" w:hAnsi="Arial" w:cs="Arial"/>
          <w:sz w:val="18"/>
          <w:szCs w:val="18"/>
          <w:lang w:val="fr-CH"/>
        </w:rPr>
        <w:t>E</w:t>
      </w:r>
      <w:r w:rsidRPr="005F5EE2">
        <w:rPr>
          <w:rFonts w:ascii="Arial" w:hAnsi="Arial" w:cs="Arial"/>
          <w:sz w:val="18"/>
          <w:szCs w:val="18"/>
          <w:lang w:val="fr-CH"/>
        </w:rPr>
        <w:t>-</w:t>
      </w:r>
      <w:r w:rsidR="00037B3B" w:rsidRPr="005F5EE2">
        <w:rPr>
          <w:rFonts w:ascii="Arial" w:hAnsi="Arial" w:cs="Arial"/>
          <w:sz w:val="18"/>
          <w:szCs w:val="18"/>
          <w:lang w:val="fr-CH"/>
        </w:rPr>
        <w:t>21/124 et E21/125 du 2</w:t>
      </w:r>
      <w:r w:rsidRPr="005F5EE2">
        <w:rPr>
          <w:rFonts w:ascii="Arial" w:hAnsi="Arial" w:cs="Arial"/>
          <w:sz w:val="18"/>
          <w:szCs w:val="18"/>
          <w:lang w:val="fr-CH"/>
        </w:rPr>
        <w:t>3 août 20</w:t>
      </w:r>
      <w:r w:rsidR="00037B3B" w:rsidRPr="005F5EE2">
        <w:rPr>
          <w:rFonts w:ascii="Arial" w:hAnsi="Arial" w:cs="Arial"/>
          <w:sz w:val="18"/>
          <w:szCs w:val="18"/>
          <w:lang w:val="fr-CH"/>
        </w:rPr>
        <w:t>21 portant sur la procédure d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037B3B" w:rsidRPr="005F5EE2">
        <w:rPr>
          <w:rFonts w:ascii="Arial" w:hAnsi="Arial" w:cs="Arial"/>
          <w:sz w:val="18"/>
          <w:szCs w:val="18"/>
          <w:lang w:val="fr-CH"/>
        </w:rPr>
        <w:t>examen et d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037B3B" w:rsidRPr="005F5EE2">
        <w:rPr>
          <w:rFonts w:ascii="Arial" w:hAnsi="Arial" w:cs="Arial"/>
          <w:sz w:val="18"/>
          <w:szCs w:val="18"/>
          <w:lang w:val="fr-CH"/>
        </w:rPr>
        <w:t>approbation des propositions de décisions par correspondance.</w:t>
      </w:r>
    </w:p>
    <w:p w:rsidR="00275C16" w:rsidRPr="005F5EE2" w:rsidRDefault="00275C16" w:rsidP="005907AC">
      <w:pPr>
        <w:pStyle w:val="TableParagraph"/>
        <w:ind w:left="562" w:right="562"/>
        <w:jc w:val="both"/>
        <w:rPr>
          <w:rFonts w:ascii="Arial" w:hAnsi="Arial" w:cs="Arial"/>
          <w:sz w:val="16"/>
          <w:szCs w:val="18"/>
          <w:lang w:val="fr-CH"/>
        </w:rPr>
      </w:pPr>
    </w:p>
    <w:p w:rsidR="00275C16" w:rsidRPr="005F5EE2" w:rsidRDefault="007D6DCE" w:rsidP="00037B3B">
      <w:pPr>
        <w:pStyle w:val="TableParagraph"/>
        <w:keepNext/>
        <w:ind w:left="562" w:right="562"/>
        <w:jc w:val="both"/>
        <w:rPr>
          <w:rFonts w:ascii="Arial" w:hAnsi="Arial" w:cs="Arial"/>
          <w:sz w:val="18"/>
          <w:szCs w:val="18"/>
          <w:lang w:val="fr-CH"/>
        </w:rPr>
      </w:pPr>
      <w:r w:rsidRPr="005F5EE2">
        <w:rPr>
          <w:rFonts w:ascii="Arial" w:hAnsi="Arial" w:cs="Arial"/>
          <w:sz w:val="18"/>
          <w:szCs w:val="18"/>
          <w:lang w:val="fr-CH"/>
        </w:rPr>
        <w:lastRenderedPageBreak/>
        <w:t>“N</w:t>
      </w:r>
      <w:r w:rsidR="00037B3B" w:rsidRPr="005F5EE2">
        <w:rPr>
          <w:rFonts w:ascii="Arial" w:hAnsi="Arial" w:cs="Arial"/>
          <w:sz w:val="18"/>
          <w:szCs w:val="18"/>
          <w:lang w:val="fr-CH"/>
        </w:rPr>
        <w:t xml:space="preserve">ous souhaitons formuler les </w:t>
      </w:r>
      <w:r w:rsidR="00FA1270" w:rsidRPr="005F5EE2">
        <w:rPr>
          <w:rFonts w:ascii="Arial" w:hAnsi="Arial" w:cs="Arial"/>
          <w:sz w:val="18"/>
          <w:szCs w:val="18"/>
          <w:lang w:val="fr-CH"/>
        </w:rPr>
        <w:t>observations</w:t>
      </w:r>
      <w:r w:rsidR="00037B3B" w:rsidRPr="005F5EE2">
        <w:rPr>
          <w:rFonts w:ascii="Arial" w:hAnsi="Arial" w:cs="Arial"/>
          <w:sz w:val="18"/>
          <w:szCs w:val="18"/>
          <w:lang w:val="fr-CH"/>
        </w:rPr>
        <w:t xml:space="preserve"> suivant</w:t>
      </w:r>
      <w:r w:rsidR="00FA1270" w:rsidRPr="005F5EE2">
        <w:rPr>
          <w:rFonts w:ascii="Arial" w:hAnsi="Arial" w:cs="Arial"/>
          <w:sz w:val="18"/>
          <w:szCs w:val="18"/>
          <w:lang w:val="fr-CH"/>
        </w:rPr>
        <w:t>e</w:t>
      </w:r>
      <w:r w:rsidR="00037B3B" w:rsidRPr="005F5EE2">
        <w:rPr>
          <w:rFonts w:ascii="Arial" w:hAnsi="Arial" w:cs="Arial"/>
          <w:sz w:val="18"/>
          <w:szCs w:val="18"/>
          <w:lang w:val="fr-CH"/>
        </w:rPr>
        <w:t>s sur le rapport du vérificateur externe des comptes (document</w:t>
      </w:r>
      <w:r w:rsidR="00625CBD" w:rsidRPr="005F5EE2">
        <w:rPr>
          <w:rFonts w:ascii="Arial" w:hAnsi="Arial" w:cs="Arial"/>
          <w:sz w:val="18"/>
          <w:szCs w:val="18"/>
          <w:lang w:val="fr-CH"/>
        </w:rPr>
        <w:t> </w:t>
      </w:r>
      <w:r w:rsidR="00037B3B" w:rsidRPr="005F5EE2">
        <w:rPr>
          <w:rFonts w:ascii="Arial" w:hAnsi="Arial" w:cs="Arial"/>
          <w:sz w:val="18"/>
          <w:szCs w:val="18"/>
          <w:lang w:val="fr-CH"/>
        </w:rPr>
        <w:t>C/55/6)</w:t>
      </w:r>
      <w:r w:rsidRPr="005F5EE2">
        <w:rPr>
          <w:rFonts w:ascii="Arial" w:hAnsi="Arial" w:cs="Arial"/>
          <w:sz w:val="18"/>
          <w:szCs w:val="18"/>
          <w:lang w:val="fr-CH"/>
        </w:rPr>
        <w:t> :</w:t>
      </w:r>
    </w:p>
    <w:p w:rsidR="00275C16" w:rsidRPr="005F5EE2" w:rsidRDefault="00275C16" w:rsidP="005907AC">
      <w:pPr>
        <w:pStyle w:val="TableParagraph"/>
        <w:keepNext/>
        <w:ind w:left="562" w:right="562"/>
        <w:jc w:val="both"/>
        <w:rPr>
          <w:rFonts w:ascii="Arial" w:hAnsi="Arial" w:cs="Arial"/>
          <w:sz w:val="16"/>
          <w:szCs w:val="18"/>
          <w:lang w:val="fr-CH"/>
        </w:rPr>
      </w:pPr>
    </w:p>
    <w:p w:rsidR="00275C16" w:rsidRPr="005F5EE2" w:rsidRDefault="007D6DCE" w:rsidP="00781607">
      <w:pPr>
        <w:pStyle w:val="TableParagraph"/>
        <w:spacing w:after="120"/>
        <w:ind w:left="562" w:right="562"/>
        <w:jc w:val="both"/>
        <w:rPr>
          <w:rFonts w:ascii="Arial" w:hAnsi="Arial" w:cs="Arial"/>
          <w:sz w:val="18"/>
          <w:szCs w:val="18"/>
          <w:lang w:val="fr-CH"/>
        </w:rPr>
      </w:pPr>
      <w:r w:rsidRPr="005F5EE2">
        <w:rPr>
          <w:rFonts w:ascii="Arial" w:hAnsi="Arial" w:cs="Arial"/>
          <w:sz w:val="18"/>
          <w:szCs w:val="18"/>
          <w:lang w:val="fr-CH"/>
        </w:rPr>
        <w:t>“A</w:t>
      </w:r>
      <w:r w:rsidR="00275C16" w:rsidRPr="005F5EE2">
        <w:rPr>
          <w:rFonts w:ascii="Arial" w:hAnsi="Arial" w:cs="Arial"/>
          <w:sz w:val="18"/>
          <w:szCs w:val="18"/>
          <w:lang w:val="fr-CH"/>
        </w:rPr>
        <w:t xml:space="preserve">u </w:t>
      </w:r>
      <w:r w:rsidRPr="005F5EE2">
        <w:rPr>
          <w:rFonts w:ascii="Arial" w:hAnsi="Arial" w:cs="Arial"/>
          <w:sz w:val="18"/>
          <w:szCs w:val="18"/>
          <w:lang w:val="fr-CH"/>
        </w:rPr>
        <w:t>point 5</w:t>
      </w:r>
      <w:r w:rsidR="00275C16" w:rsidRPr="005F5EE2">
        <w:rPr>
          <w:rFonts w:ascii="Arial" w:hAnsi="Arial" w:cs="Arial"/>
          <w:sz w:val="18"/>
          <w:szCs w:val="18"/>
          <w:lang w:val="fr-CH"/>
        </w:rPr>
        <w:t>, il est mentionné que les prestations dues au personnel au titre de l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275C16" w:rsidRPr="005F5EE2">
        <w:rPr>
          <w:rFonts w:ascii="Arial" w:hAnsi="Arial" w:cs="Arial"/>
          <w:sz w:val="18"/>
          <w:szCs w:val="18"/>
          <w:lang w:val="fr-CH"/>
        </w:rPr>
        <w:t>assurance maladie ont augmenté d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275C16" w:rsidRPr="005F5EE2">
        <w:rPr>
          <w:rFonts w:ascii="Arial" w:hAnsi="Arial" w:cs="Arial"/>
          <w:sz w:val="18"/>
          <w:szCs w:val="18"/>
          <w:lang w:val="fr-CH"/>
        </w:rPr>
        <w:t xml:space="preserve">un million de francs </w:t>
      </w:r>
      <w:r w:rsidR="00FA1270" w:rsidRPr="005F5EE2">
        <w:rPr>
          <w:rFonts w:ascii="Arial" w:hAnsi="Arial" w:cs="Arial"/>
          <w:sz w:val="18"/>
          <w:szCs w:val="18"/>
          <w:lang w:val="fr-CH"/>
        </w:rPr>
        <w:t xml:space="preserve">suisses </w:t>
      </w:r>
      <w:r w:rsidR="00275C16" w:rsidRPr="005F5EE2">
        <w:rPr>
          <w:rFonts w:ascii="Arial" w:hAnsi="Arial" w:cs="Arial"/>
          <w:sz w:val="18"/>
          <w:szCs w:val="18"/>
          <w:lang w:val="fr-CH"/>
        </w:rPr>
        <w:t>pour atteindre un total de trois</w:t>
      </w:r>
      <w:r w:rsidR="004011A9" w:rsidRPr="005F5EE2">
        <w:rPr>
          <w:rFonts w:ascii="Arial" w:hAnsi="Arial" w:cs="Arial"/>
          <w:sz w:val="18"/>
          <w:szCs w:val="18"/>
          <w:lang w:val="fr-CH"/>
        </w:rPr>
        <w:t> </w:t>
      </w:r>
      <w:r w:rsidR="00275C16" w:rsidRPr="005F5EE2">
        <w:rPr>
          <w:rFonts w:ascii="Arial" w:hAnsi="Arial" w:cs="Arial"/>
          <w:sz w:val="18"/>
          <w:szCs w:val="18"/>
          <w:lang w:val="fr-CH"/>
        </w:rPr>
        <w:t>millions de fran</w:t>
      </w:r>
      <w:r w:rsidR="00EA5D40" w:rsidRPr="005F5EE2">
        <w:rPr>
          <w:rFonts w:ascii="Arial" w:hAnsi="Arial" w:cs="Arial"/>
          <w:sz w:val="18"/>
          <w:szCs w:val="18"/>
          <w:lang w:val="fr-CH"/>
        </w:rPr>
        <w:t>cs</w:t>
      </w:r>
      <w:r w:rsidR="00FA1270" w:rsidRPr="005F5EE2">
        <w:rPr>
          <w:rFonts w:ascii="Arial" w:hAnsi="Arial" w:cs="Arial"/>
          <w:sz w:val="18"/>
          <w:szCs w:val="18"/>
          <w:lang w:val="fr-CH"/>
        </w:rPr>
        <w:t xml:space="preserve"> suisses</w:t>
      </w:r>
      <w:r w:rsidR="00EA5D40" w:rsidRPr="005F5EE2">
        <w:rPr>
          <w:rFonts w:ascii="Arial" w:hAnsi="Arial" w:cs="Arial"/>
          <w:sz w:val="18"/>
          <w:szCs w:val="18"/>
          <w:lang w:val="fr-CH"/>
        </w:rPr>
        <w:t>.  Ce</w:t>
      </w:r>
      <w:r w:rsidR="00275C16" w:rsidRPr="005F5EE2">
        <w:rPr>
          <w:rFonts w:ascii="Arial" w:hAnsi="Arial" w:cs="Arial"/>
          <w:sz w:val="18"/>
          <w:szCs w:val="18"/>
          <w:lang w:val="fr-CH"/>
        </w:rPr>
        <w:t xml:space="preserve"> montant nous semble exorbitant au regard de la taille de l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275C16" w:rsidRPr="005F5EE2">
        <w:rPr>
          <w:rFonts w:ascii="Arial" w:hAnsi="Arial" w:cs="Arial"/>
          <w:sz w:val="18"/>
          <w:szCs w:val="18"/>
          <w:lang w:val="fr-CH"/>
        </w:rPr>
        <w:t>Organisati</w:t>
      </w:r>
      <w:r w:rsidR="00EA5D40" w:rsidRPr="005F5EE2">
        <w:rPr>
          <w:rFonts w:ascii="Arial" w:hAnsi="Arial" w:cs="Arial"/>
          <w:sz w:val="18"/>
          <w:szCs w:val="18"/>
          <w:lang w:val="fr-CH"/>
        </w:rPr>
        <w:t>on.  No</w:t>
      </w:r>
      <w:r w:rsidR="00275C16" w:rsidRPr="005F5EE2">
        <w:rPr>
          <w:rFonts w:ascii="Arial" w:hAnsi="Arial" w:cs="Arial"/>
          <w:sz w:val="18"/>
          <w:szCs w:val="18"/>
          <w:lang w:val="fr-CH"/>
        </w:rPr>
        <w:t>us aimerions avoir des informations plus détaillées à ce suj</w:t>
      </w:r>
      <w:r w:rsidR="00EA5D40" w:rsidRPr="005F5EE2">
        <w:rPr>
          <w:rFonts w:ascii="Arial" w:hAnsi="Arial" w:cs="Arial"/>
          <w:sz w:val="18"/>
          <w:szCs w:val="18"/>
          <w:lang w:val="fr-CH"/>
        </w:rPr>
        <w:t>et.  En</w:t>
      </w:r>
      <w:r w:rsidR="00781607" w:rsidRPr="005F5EE2">
        <w:rPr>
          <w:rFonts w:ascii="Arial" w:hAnsi="Arial" w:cs="Arial"/>
          <w:sz w:val="18"/>
          <w:szCs w:val="18"/>
          <w:lang w:val="fr-CH"/>
        </w:rPr>
        <w:t xml:space="preserve"> particulier, nous aimerions savoir si l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781607" w:rsidRPr="005F5EE2">
        <w:rPr>
          <w:rFonts w:ascii="Arial" w:hAnsi="Arial" w:cs="Arial"/>
          <w:sz w:val="18"/>
          <w:szCs w:val="18"/>
          <w:lang w:val="fr-CH"/>
        </w:rPr>
        <w:t>ajustement était ponctuel ou si de telles augmentations sont susceptibles de se produire régulièrement dans les années à venir.</w:t>
      </w:r>
    </w:p>
    <w:p w:rsidR="00275C16" w:rsidRPr="005F5EE2" w:rsidRDefault="007D6DCE" w:rsidP="00A43E06">
      <w:pPr>
        <w:pStyle w:val="TableParagraph"/>
        <w:ind w:left="562" w:right="562"/>
        <w:jc w:val="both"/>
        <w:rPr>
          <w:rFonts w:ascii="Arial" w:hAnsi="Arial" w:cs="Arial"/>
          <w:spacing w:val="-2"/>
          <w:sz w:val="18"/>
          <w:szCs w:val="18"/>
          <w:lang w:val="fr-CH"/>
        </w:rPr>
      </w:pPr>
      <w:r w:rsidRPr="005F5EE2">
        <w:rPr>
          <w:rFonts w:ascii="Arial" w:hAnsi="Arial" w:cs="Arial"/>
          <w:spacing w:val="-2"/>
          <w:sz w:val="18"/>
          <w:szCs w:val="18"/>
          <w:lang w:val="fr-CH"/>
        </w:rPr>
        <w:t>“L</w:t>
      </w:r>
      <w:r w:rsidR="00A43E06" w:rsidRPr="005F5EE2">
        <w:rPr>
          <w:rFonts w:ascii="Arial" w:hAnsi="Arial" w:cs="Arial"/>
          <w:spacing w:val="-2"/>
          <w:sz w:val="18"/>
          <w:szCs w:val="18"/>
          <w:lang w:val="fr-CH"/>
        </w:rPr>
        <w:t>a situation financière de l</w:t>
      </w:r>
      <w:r w:rsidRPr="005F5EE2">
        <w:rPr>
          <w:rFonts w:ascii="Arial" w:hAnsi="Arial" w:cs="Arial"/>
          <w:spacing w:val="-2"/>
          <w:sz w:val="18"/>
          <w:szCs w:val="18"/>
          <w:lang w:val="fr-CH"/>
        </w:rPr>
        <w:t>’</w:t>
      </w:r>
      <w:r w:rsidR="00A43E06" w:rsidRPr="005F5EE2">
        <w:rPr>
          <w:rFonts w:ascii="Arial" w:hAnsi="Arial" w:cs="Arial"/>
          <w:spacing w:val="-2"/>
          <w:sz w:val="18"/>
          <w:szCs w:val="18"/>
          <w:lang w:val="fr-CH"/>
        </w:rPr>
        <w:t>UPOV pourrait se dégrader fortement en l</w:t>
      </w:r>
      <w:r w:rsidRPr="005F5EE2">
        <w:rPr>
          <w:rFonts w:ascii="Arial" w:hAnsi="Arial" w:cs="Arial"/>
          <w:spacing w:val="-2"/>
          <w:sz w:val="18"/>
          <w:szCs w:val="18"/>
          <w:lang w:val="fr-CH"/>
        </w:rPr>
        <w:t>’</w:t>
      </w:r>
      <w:r w:rsidR="00A43E06" w:rsidRPr="005F5EE2">
        <w:rPr>
          <w:rFonts w:ascii="Arial" w:hAnsi="Arial" w:cs="Arial"/>
          <w:spacing w:val="-2"/>
          <w:sz w:val="18"/>
          <w:szCs w:val="18"/>
          <w:lang w:val="fr-CH"/>
        </w:rPr>
        <w:t>absence de mesures d</w:t>
      </w:r>
      <w:r w:rsidRPr="005F5EE2">
        <w:rPr>
          <w:rFonts w:ascii="Arial" w:hAnsi="Arial" w:cs="Arial"/>
          <w:spacing w:val="-2"/>
          <w:sz w:val="18"/>
          <w:szCs w:val="18"/>
          <w:lang w:val="fr-CH"/>
        </w:rPr>
        <w:t>’</w:t>
      </w:r>
      <w:r w:rsidR="00A43E06" w:rsidRPr="005F5EE2">
        <w:rPr>
          <w:rFonts w:ascii="Arial" w:hAnsi="Arial" w:cs="Arial"/>
          <w:spacing w:val="-2"/>
          <w:sz w:val="18"/>
          <w:szCs w:val="18"/>
          <w:lang w:val="fr-CH"/>
        </w:rPr>
        <w:t>économie ou d</w:t>
      </w:r>
      <w:r w:rsidRPr="005F5EE2">
        <w:rPr>
          <w:rFonts w:ascii="Arial" w:hAnsi="Arial" w:cs="Arial"/>
          <w:spacing w:val="-2"/>
          <w:sz w:val="18"/>
          <w:szCs w:val="18"/>
          <w:lang w:val="fr-CH"/>
        </w:rPr>
        <w:t>’</w:t>
      </w:r>
      <w:r w:rsidR="00A43E06" w:rsidRPr="005F5EE2">
        <w:rPr>
          <w:rFonts w:ascii="Arial" w:hAnsi="Arial" w:cs="Arial"/>
          <w:spacing w:val="-2"/>
          <w:sz w:val="18"/>
          <w:szCs w:val="18"/>
          <w:lang w:val="fr-CH"/>
        </w:rPr>
        <w:t>augmentation de la participation du personnel au coût de l</w:t>
      </w:r>
      <w:r w:rsidRPr="005F5EE2">
        <w:rPr>
          <w:rFonts w:ascii="Arial" w:hAnsi="Arial" w:cs="Arial"/>
          <w:spacing w:val="-2"/>
          <w:sz w:val="18"/>
          <w:szCs w:val="18"/>
          <w:lang w:val="fr-CH"/>
        </w:rPr>
        <w:t>’</w:t>
      </w:r>
      <w:r w:rsidR="00A43E06" w:rsidRPr="005F5EE2">
        <w:rPr>
          <w:rFonts w:ascii="Arial" w:hAnsi="Arial" w:cs="Arial"/>
          <w:spacing w:val="-2"/>
          <w:sz w:val="18"/>
          <w:szCs w:val="18"/>
          <w:lang w:val="fr-CH"/>
        </w:rPr>
        <w:t>assuran</w:t>
      </w:r>
      <w:r w:rsidR="00EA5D40" w:rsidRPr="005F5EE2">
        <w:rPr>
          <w:rFonts w:ascii="Arial" w:hAnsi="Arial" w:cs="Arial"/>
          <w:spacing w:val="-2"/>
          <w:sz w:val="18"/>
          <w:szCs w:val="18"/>
          <w:lang w:val="fr-CH"/>
        </w:rPr>
        <w:t>ce.  De</w:t>
      </w:r>
      <w:r w:rsidR="00A43E06" w:rsidRPr="005F5EE2">
        <w:rPr>
          <w:rFonts w:ascii="Arial" w:hAnsi="Arial" w:cs="Arial"/>
          <w:spacing w:val="-2"/>
          <w:sz w:val="18"/>
          <w:szCs w:val="18"/>
          <w:lang w:val="fr-CH"/>
        </w:rPr>
        <w:t>s recommandations à cet effet ont été formulées dans le rappo</w:t>
      </w:r>
      <w:r w:rsidR="00EA5D40" w:rsidRPr="005F5EE2">
        <w:rPr>
          <w:rFonts w:ascii="Arial" w:hAnsi="Arial" w:cs="Arial"/>
          <w:spacing w:val="-2"/>
          <w:sz w:val="18"/>
          <w:szCs w:val="18"/>
          <w:lang w:val="fr-CH"/>
        </w:rPr>
        <w:t>rt.  Ce</w:t>
      </w:r>
      <w:r w:rsidR="00A43E06" w:rsidRPr="005F5EE2">
        <w:rPr>
          <w:rFonts w:ascii="Arial" w:hAnsi="Arial" w:cs="Arial"/>
          <w:spacing w:val="-2"/>
          <w:sz w:val="18"/>
          <w:szCs w:val="18"/>
          <w:lang w:val="fr-CH"/>
        </w:rPr>
        <w:t>p</w:t>
      </w:r>
      <w:r w:rsidR="00FA1270" w:rsidRPr="005F5EE2">
        <w:rPr>
          <w:rFonts w:ascii="Arial" w:hAnsi="Arial" w:cs="Arial"/>
          <w:spacing w:val="-2"/>
          <w:sz w:val="18"/>
          <w:szCs w:val="18"/>
          <w:lang w:val="fr-CH"/>
        </w:rPr>
        <w:t>endant, selon nous, l</w:t>
      </w:r>
      <w:r w:rsidR="00A43E06" w:rsidRPr="005F5EE2">
        <w:rPr>
          <w:rFonts w:ascii="Arial" w:hAnsi="Arial" w:cs="Arial"/>
          <w:spacing w:val="-2"/>
          <w:sz w:val="18"/>
          <w:szCs w:val="18"/>
          <w:lang w:val="fr-CH"/>
        </w:rPr>
        <w:t>es solutions concrètes pour leur mise en œuvre font défaut.</w:t>
      </w:r>
    </w:p>
    <w:p w:rsidR="00275C16" w:rsidRPr="005F5EE2" w:rsidRDefault="00275C16" w:rsidP="005907AC">
      <w:pPr>
        <w:pStyle w:val="TableParagraph"/>
        <w:ind w:left="562" w:right="562"/>
        <w:jc w:val="both"/>
        <w:rPr>
          <w:rFonts w:ascii="Arial" w:hAnsi="Arial" w:cs="Arial"/>
          <w:sz w:val="18"/>
          <w:szCs w:val="18"/>
          <w:lang w:val="fr-CH"/>
        </w:rPr>
      </w:pPr>
    </w:p>
    <w:p w:rsidR="00275C16" w:rsidRPr="005F5EE2" w:rsidRDefault="00A43E06" w:rsidP="00A43E06">
      <w:pPr>
        <w:pStyle w:val="TableParagraph"/>
        <w:ind w:left="562" w:right="562"/>
        <w:jc w:val="both"/>
        <w:rPr>
          <w:rFonts w:ascii="Arial" w:hAnsi="Arial" w:cs="Arial"/>
          <w:spacing w:val="-4"/>
          <w:sz w:val="18"/>
          <w:szCs w:val="18"/>
          <w:lang w:val="fr-CH"/>
        </w:rPr>
      </w:pPr>
      <w:r w:rsidRPr="005F5EE2">
        <w:rPr>
          <w:rFonts w:ascii="Arial" w:hAnsi="Arial" w:cs="Arial"/>
          <w:spacing w:val="-4"/>
          <w:sz w:val="18"/>
          <w:szCs w:val="18"/>
          <w:lang w:val="fr-CH"/>
        </w:rPr>
        <w:t xml:space="preserve">En ce qui concerne tous les autres documents </w:t>
      </w:r>
      <w:r w:rsidR="00FA1270" w:rsidRPr="005F5EE2">
        <w:rPr>
          <w:rFonts w:ascii="Arial" w:hAnsi="Arial" w:cs="Arial"/>
          <w:spacing w:val="-4"/>
          <w:sz w:val="18"/>
          <w:szCs w:val="18"/>
          <w:lang w:val="fr-CH"/>
        </w:rPr>
        <w:t>signalés par</w:t>
      </w:r>
      <w:r w:rsidRPr="005F5EE2">
        <w:rPr>
          <w:rFonts w:ascii="Arial" w:hAnsi="Arial" w:cs="Arial"/>
          <w:spacing w:val="-4"/>
          <w:sz w:val="18"/>
          <w:szCs w:val="18"/>
          <w:lang w:val="fr-CH"/>
        </w:rPr>
        <w:t xml:space="preserve"> deux</w:t>
      </w:r>
      <w:r w:rsidR="004011A9" w:rsidRPr="005F5EE2">
        <w:rPr>
          <w:rFonts w:ascii="Arial" w:hAnsi="Arial" w:cs="Arial"/>
          <w:spacing w:val="-4"/>
          <w:sz w:val="18"/>
          <w:szCs w:val="18"/>
          <w:lang w:val="fr-CH"/>
        </w:rPr>
        <w:t> </w:t>
      </w:r>
      <w:r w:rsidRPr="005F5EE2">
        <w:rPr>
          <w:rFonts w:ascii="Arial" w:hAnsi="Arial" w:cs="Arial"/>
          <w:spacing w:val="-4"/>
          <w:sz w:val="18"/>
          <w:szCs w:val="18"/>
          <w:lang w:val="fr-CH"/>
        </w:rPr>
        <w:t>astérisques (**) dans les deux</w:t>
      </w:r>
      <w:r w:rsidR="004011A9" w:rsidRPr="005F5EE2">
        <w:rPr>
          <w:rFonts w:ascii="Arial" w:hAnsi="Arial" w:cs="Arial"/>
          <w:spacing w:val="-4"/>
          <w:sz w:val="18"/>
          <w:szCs w:val="18"/>
          <w:lang w:val="fr-CH"/>
        </w:rPr>
        <w:t> </w:t>
      </w:r>
      <w:r w:rsidRPr="005F5EE2">
        <w:rPr>
          <w:rFonts w:ascii="Arial" w:hAnsi="Arial" w:cs="Arial"/>
          <w:spacing w:val="-4"/>
          <w:sz w:val="18"/>
          <w:szCs w:val="18"/>
          <w:lang w:val="fr-CH"/>
        </w:rPr>
        <w:t>circulaires, nous n</w:t>
      </w:r>
      <w:r w:rsidR="007D6DCE" w:rsidRPr="005F5EE2">
        <w:rPr>
          <w:rFonts w:ascii="Arial" w:hAnsi="Arial" w:cs="Arial"/>
          <w:spacing w:val="-4"/>
          <w:sz w:val="18"/>
          <w:szCs w:val="18"/>
          <w:lang w:val="fr-CH"/>
        </w:rPr>
        <w:t>’</w:t>
      </w:r>
      <w:r w:rsidRPr="005F5EE2">
        <w:rPr>
          <w:rFonts w:ascii="Arial" w:hAnsi="Arial" w:cs="Arial"/>
          <w:spacing w:val="-4"/>
          <w:sz w:val="18"/>
          <w:szCs w:val="18"/>
          <w:lang w:val="fr-CH"/>
        </w:rPr>
        <w:t>avons aucune observation à formuler à ce stade</w:t>
      </w:r>
      <w:r w:rsidR="007D6DCE" w:rsidRPr="005F5EE2">
        <w:rPr>
          <w:rFonts w:ascii="Arial" w:hAnsi="Arial" w:cs="Arial"/>
          <w:spacing w:val="-4"/>
          <w:sz w:val="18"/>
          <w:szCs w:val="18"/>
          <w:lang w:val="fr-CH"/>
        </w:rPr>
        <w:t>.”</w:t>
      </w:r>
    </w:p>
    <w:p w:rsidR="00275C16" w:rsidRPr="005F5EE2" w:rsidRDefault="00275C16" w:rsidP="005907AC">
      <w:pPr>
        <w:ind w:left="567" w:hanging="567"/>
        <w:jc w:val="left"/>
        <w:rPr>
          <w:lang w:val="fr-CH"/>
        </w:rPr>
      </w:pPr>
    </w:p>
    <w:p w:rsidR="00275C16" w:rsidRPr="005F5EE2" w:rsidRDefault="005907AC" w:rsidP="00736B37">
      <w:pPr>
        <w:pStyle w:val="TableParagraph"/>
        <w:ind w:left="72" w:right="72"/>
        <w:jc w:val="both"/>
        <w:rPr>
          <w:rFonts w:ascii="Arial" w:hAnsi="Arial"/>
          <w:sz w:val="20"/>
          <w:szCs w:val="20"/>
          <w:lang w:val="fr-CH"/>
        </w:rPr>
      </w:pPr>
      <w:r w:rsidRPr="005F5EE2">
        <w:rPr>
          <w:rFonts w:ascii="Arial" w:hAnsi="Arial"/>
          <w:sz w:val="20"/>
          <w:szCs w:val="20"/>
        </w:rPr>
        <w:fldChar w:fldCharType="begin"/>
      </w:r>
      <w:r w:rsidRPr="005F5EE2">
        <w:rPr>
          <w:rFonts w:ascii="Arial" w:hAnsi="Arial"/>
          <w:sz w:val="20"/>
          <w:szCs w:val="20"/>
          <w:lang w:val="fr-CH"/>
        </w:rPr>
        <w:instrText xml:space="preserve"> AUTONUM  </w:instrText>
      </w:r>
      <w:r w:rsidRPr="005F5EE2">
        <w:rPr>
          <w:rFonts w:ascii="Arial" w:hAnsi="Arial"/>
          <w:sz w:val="20"/>
          <w:szCs w:val="20"/>
        </w:rPr>
        <w:fldChar w:fldCharType="end"/>
      </w:r>
      <w:r w:rsidRPr="005F5EE2">
        <w:rPr>
          <w:rFonts w:ascii="Arial" w:hAnsi="Arial"/>
          <w:sz w:val="20"/>
          <w:szCs w:val="20"/>
          <w:lang w:val="fr-CH"/>
        </w:rPr>
        <w:tab/>
      </w:r>
      <w:r w:rsidR="00736B37" w:rsidRPr="005F5EE2">
        <w:rPr>
          <w:rFonts w:ascii="Arial" w:hAnsi="Arial"/>
          <w:sz w:val="20"/>
          <w:szCs w:val="20"/>
          <w:lang w:val="fr-CH"/>
        </w:rPr>
        <w:t>Le Bureau de l</w:t>
      </w:r>
      <w:r w:rsidR="007D6DCE" w:rsidRPr="005F5EE2">
        <w:rPr>
          <w:rFonts w:ascii="Arial" w:hAnsi="Arial"/>
          <w:sz w:val="20"/>
          <w:szCs w:val="20"/>
          <w:lang w:val="fr-CH"/>
        </w:rPr>
        <w:t>’</w:t>
      </w:r>
      <w:r w:rsidR="00736B37" w:rsidRPr="005F5EE2">
        <w:rPr>
          <w:rFonts w:ascii="Arial" w:hAnsi="Arial"/>
          <w:sz w:val="20"/>
          <w:szCs w:val="20"/>
          <w:lang w:val="fr-CH"/>
        </w:rPr>
        <w:t>Union a expliqué à l</w:t>
      </w:r>
      <w:r w:rsidR="007D6DCE" w:rsidRPr="005F5EE2">
        <w:rPr>
          <w:rFonts w:ascii="Arial" w:hAnsi="Arial"/>
          <w:sz w:val="20"/>
          <w:szCs w:val="20"/>
          <w:lang w:val="fr-CH"/>
        </w:rPr>
        <w:t>’</w:t>
      </w:r>
      <w:r w:rsidR="00736B37" w:rsidRPr="005F5EE2">
        <w:rPr>
          <w:rFonts w:ascii="Arial" w:hAnsi="Arial"/>
          <w:sz w:val="20"/>
          <w:szCs w:val="20"/>
          <w:lang w:val="fr-CH"/>
        </w:rPr>
        <w:t>Union européenne et à la Suisse qu</w:t>
      </w:r>
      <w:r w:rsidR="007D6DCE" w:rsidRPr="005F5EE2">
        <w:rPr>
          <w:rFonts w:ascii="Arial" w:hAnsi="Arial"/>
          <w:sz w:val="20"/>
          <w:szCs w:val="20"/>
          <w:lang w:val="fr-CH"/>
        </w:rPr>
        <w:t>’</w:t>
      </w:r>
      <w:r w:rsidR="00736B37" w:rsidRPr="005F5EE2">
        <w:rPr>
          <w:rFonts w:ascii="Arial" w:hAnsi="Arial"/>
          <w:sz w:val="20"/>
          <w:szCs w:val="20"/>
          <w:lang w:val="fr-CH"/>
        </w:rPr>
        <w:t>une intervention du Contrôleur sur ce point ferait l</w:t>
      </w:r>
      <w:r w:rsidR="007D6DCE" w:rsidRPr="005F5EE2">
        <w:rPr>
          <w:rFonts w:ascii="Arial" w:hAnsi="Arial"/>
          <w:sz w:val="20"/>
          <w:szCs w:val="20"/>
          <w:lang w:val="fr-CH"/>
        </w:rPr>
        <w:t>’</w:t>
      </w:r>
      <w:r w:rsidR="00736B37" w:rsidRPr="005F5EE2">
        <w:rPr>
          <w:rFonts w:ascii="Arial" w:hAnsi="Arial"/>
          <w:sz w:val="20"/>
          <w:szCs w:val="20"/>
          <w:lang w:val="fr-CH"/>
        </w:rPr>
        <w:t>objet d</w:t>
      </w:r>
      <w:r w:rsidR="007D6DCE" w:rsidRPr="005F5EE2">
        <w:rPr>
          <w:rFonts w:ascii="Arial" w:hAnsi="Arial"/>
          <w:sz w:val="20"/>
          <w:szCs w:val="20"/>
          <w:lang w:val="fr-CH"/>
        </w:rPr>
        <w:t>’</w:t>
      </w:r>
      <w:r w:rsidR="00736B37" w:rsidRPr="005F5EE2">
        <w:rPr>
          <w:rFonts w:ascii="Arial" w:hAnsi="Arial"/>
          <w:sz w:val="20"/>
          <w:szCs w:val="20"/>
          <w:lang w:val="fr-CH"/>
        </w:rPr>
        <w:t>un rapport lors de la session.</w:t>
      </w:r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7D6DCE" w:rsidP="00736B37">
      <w:pPr>
        <w:pStyle w:val="Heading1"/>
        <w:rPr>
          <w:lang w:val="fr-CH"/>
        </w:rPr>
      </w:pPr>
      <w:bookmarkStart w:id="23" w:name="_Toc84588291"/>
      <w:r w:rsidRPr="005F5EE2">
        <w:rPr>
          <w:lang w:val="fr-CH"/>
        </w:rPr>
        <w:t>Point 1</w:t>
      </w:r>
      <w:r w:rsidR="00736B37" w:rsidRPr="005F5EE2">
        <w:rPr>
          <w:lang w:val="fr-CH"/>
        </w:rPr>
        <w:t>3 de l</w:t>
      </w:r>
      <w:r w:rsidRPr="005F5EE2">
        <w:rPr>
          <w:lang w:val="fr-CH"/>
        </w:rPr>
        <w:t>’</w:t>
      </w:r>
      <w:r w:rsidR="00736B37" w:rsidRPr="005F5EE2">
        <w:rPr>
          <w:lang w:val="fr-CH"/>
        </w:rPr>
        <w:t>ordre du jour</w:t>
      </w:r>
      <w:r w:rsidRPr="005F5EE2">
        <w:rPr>
          <w:lang w:val="fr-CH"/>
        </w:rPr>
        <w:t> :</w:t>
      </w:r>
      <w:r w:rsidR="00736B37" w:rsidRPr="005F5EE2">
        <w:rPr>
          <w:lang w:val="fr-CH"/>
        </w:rPr>
        <w:t xml:space="preserve"> Projet de programme et budget pour l</w:t>
      </w:r>
      <w:r w:rsidRPr="005F5EE2">
        <w:rPr>
          <w:lang w:val="fr-CH"/>
        </w:rPr>
        <w:t>’</w:t>
      </w:r>
      <w:r w:rsidR="00736B37" w:rsidRPr="005F5EE2">
        <w:rPr>
          <w:lang w:val="fr-CH"/>
        </w:rPr>
        <w:t xml:space="preserve">exercice </w:t>
      </w:r>
      <w:r w:rsidRPr="005F5EE2">
        <w:rPr>
          <w:lang w:val="fr-CH"/>
        </w:rPr>
        <w:t>biennal 2022-</w:t>
      </w:r>
      <w:r w:rsidR="00736B37" w:rsidRPr="005F5EE2">
        <w:rPr>
          <w:lang w:val="fr-CH"/>
        </w:rPr>
        <w:t>2023 (document</w:t>
      </w:r>
      <w:r w:rsidR="00625CBD" w:rsidRPr="005F5EE2">
        <w:rPr>
          <w:lang w:val="fr-CH"/>
        </w:rPr>
        <w:t> </w:t>
      </w:r>
      <w:r w:rsidR="00736B37" w:rsidRPr="005F5EE2">
        <w:rPr>
          <w:lang w:val="fr-CH"/>
        </w:rPr>
        <w:t>C/55/4)</w:t>
      </w:r>
      <w:bookmarkEnd w:id="23"/>
    </w:p>
    <w:p w:rsidR="00275C16" w:rsidRPr="005F5EE2" w:rsidRDefault="00275C16" w:rsidP="005907AC">
      <w:pPr>
        <w:keepNext/>
        <w:ind w:left="567" w:hanging="567"/>
        <w:jc w:val="left"/>
        <w:rPr>
          <w:lang w:val="fr-CH"/>
        </w:rPr>
      </w:pPr>
    </w:p>
    <w:p w:rsidR="00275C16" w:rsidRPr="005F5EE2" w:rsidRDefault="005907AC" w:rsidP="00736B37">
      <w:pPr>
        <w:rPr>
          <w:lang w:val="fr-CH"/>
        </w:rPr>
      </w:pPr>
      <w:r w:rsidRPr="005F5EE2">
        <w:fldChar w:fldCharType="begin"/>
      </w:r>
      <w:r w:rsidRPr="005F5EE2">
        <w:rPr>
          <w:lang w:val="fr-CH"/>
        </w:rPr>
        <w:instrText xml:space="preserve"> AUTONUM  </w:instrText>
      </w:r>
      <w:r w:rsidRPr="005F5EE2">
        <w:fldChar w:fldCharType="end"/>
      </w:r>
      <w:r w:rsidRPr="005F5EE2">
        <w:rPr>
          <w:lang w:val="fr-CH"/>
        </w:rPr>
        <w:tab/>
      </w:r>
      <w:r w:rsidR="00736B37" w:rsidRPr="005F5EE2">
        <w:rPr>
          <w:lang w:val="fr-CH"/>
        </w:rPr>
        <w:t>Le Conseil a examiné le document</w:t>
      </w:r>
      <w:r w:rsidR="00625CBD" w:rsidRPr="005F5EE2">
        <w:rPr>
          <w:lang w:val="fr-CH"/>
        </w:rPr>
        <w:t> </w:t>
      </w:r>
      <w:r w:rsidR="00736B37" w:rsidRPr="005F5EE2">
        <w:rPr>
          <w:lang w:val="fr-CH"/>
        </w:rPr>
        <w:t>C/55/4.</w:t>
      </w:r>
    </w:p>
    <w:p w:rsidR="00275C16" w:rsidRPr="005F5EE2" w:rsidRDefault="00275C16" w:rsidP="005907AC">
      <w:pPr>
        <w:keepNext/>
        <w:ind w:left="567" w:hanging="567"/>
        <w:jc w:val="left"/>
        <w:rPr>
          <w:lang w:val="fr-CH"/>
        </w:rPr>
      </w:pPr>
    </w:p>
    <w:p w:rsidR="00275C16" w:rsidRPr="005F5EE2" w:rsidRDefault="005907AC" w:rsidP="00736B37">
      <w:pPr>
        <w:rPr>
          <w:lang w:val="fr-CH"/>
        </w:rPr>
      </w:pPr>
      <w:r w:rsidRPr="005F5EE2">
        <w:fldChar w:fldCharType="begin"/>
      </w:r>
      <w:r w:rsidRPr="005F5EE2">
        <w:rPr>
          <w:lang w:val="fr-CH"/>
        </w:rPr>
        <w:instrText xml:space="preserve"> AUTONUM  </w:instrText>
      </w:r>
      <w:r w:rsidRPr="005F5EE2">
        <w:fldChar w:fldCharType="end"/>
      </w:r>
      <w:r w:rsidRPr="005F5EE2">
        <w:rPr>
          <w:lang w:val="fr-CH"/>
        </w:rPr>
        <w:tab/>
      </w:r>
      <w:r w:rsidR="00736B37" w:rsidRPr="005F5EE2">
        <w:rPr>
          <w:lang w:val="fr-CH"/>
        </w:rPr>
        <w:t>Le Conseil a approuvé le projet de programme et budget de l</w:t>
      </w:r>
      <w:r w:rsidR="007D6DCE" w:rsidRPr="005F5EE2">
        <w:rPr>
          <w:lang w:val="fr-CH"/>
        </w:rPr>
        <w:t>’</w:t>
      </w:r>
      <w:r w:rsidR="00736B37" w:rsidRPr="005F5EE2">
        <w:rPr>
          <w:lang w:val="fr-CH"/>
        </w:rPr>
        <w:t>Union pour l</w:t>
      </w:r>
      <w:r w:rsidR="007D6DCE" w:rsidRPr="005F5EE2">
        <w:rPr>
          <w:lang w:val="fr-CH"/>
        </w:rPr>
        <w:t>’</w:t>
      </w:r>
      <w:r w:rsidR="00736B37" w:rsidRPr="005F5EE2">
        <w:rPr>
          <w:lang w:val="fr-CH"/>
        </w:rPr>
        <w:t xml:space="preserve">exercice </w:t>
      </w:r>
      <w:r w:rsidR="007D6DCE" w:rsidRPr="005F5EE2">
        <w:rPr>
          <w:lang w:val="fr-CH"/>
        </w:rPr>
        <w:t>biennal 2022-</w:t>
      </w:r>
      <w:r w:rsidR="00736B37" w:rsidRPr="005F5EE2">
        <w:rPr>
          <w:lang w:val="fr-CH"/>
        </w:rPr>
        <w:t>2023, qui figure à l</w:t>
      </w:r>
      <w:r w:rsidR="007D6DCE" w:rsidRPr="005F5EE2">
        <w:rPr>
          <w:lang w:val="fr-CH"/>
        </w:rPr>
        <w:t>’</w:t>
      </w:r>
      <w:r w:rsidR="00736B37" w:rsidRPr="005F5EE2">
        <w:rPr>
          <w:lang w:val="fr-CH"/>
        </w:rPr>
        <w:t>annexe du document</w:t>
      </w:r>
      <w:r w:rsidR="00625CBD" w:rsidRPr="005F5EE2">
        <w:rPr>
          <w:lang w:val="fr-CH"/>
        </w:rPr>
        <w:t> </w:t>
      </w:r>
      <w:r w:rsidR="00736B37" w:rsidRPr="005F5EE2">
        <w:rPr>
          <w:lang w:val="fr-CH"/>
        </w:rPr>
        <w:t xml:space="preserve">C/55/4, </w:t>
      </w:r>
      <w:r w:rsidR="007D6DCE" w:rsidRPr="005F5EE2">
        <w:rPr>
          <w:lang w:val="fr-CH"/>
        </w:rPr>
        <w:t>y compris :</w:t>
      </w:r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5907AC" w:rsidP="00736B37">
      <w:pPr>
        <w:rPr>
          <w:lang w:val="fr-CH"/>
        </w:rPr>
      </w:pPr>
      <w:r w:rsidRPr="005F5EE2">
        <w:rPr>
          <w:lang w:val="fr-CH"/>
        </w:rPr>
        <w:tab/>
      </w:r>
      <w:r w:rsidR="00736B37" w:rsidRPr="005F5EE2">
        <w:rPr>
          <w:lang w:val="fr-CH"/>
        </w:rPr>
        <w:t>i)</w:t>
      </w:r>
      <w:r w:rsidR="00736B37" w:rsidRPr="005F5EE2">
        <w:rPr>
          <w:lang w:val="fr-CH"/>
        </w:rPr>
        <w:tab/>
        <w:t>le montant des contributions des membres de l</w:t>
      </w:r>
      <w:r w:rsidR="007D6DCE" w:rsidRPr="005F5EE2">
        <w:rPr>
          <w:lang w:val="fr-CH"/>
        </w:rPr>
        <w:t>’</w:t>
      </w:r>
      <w:r w:rsidR="00736B37" w:rsidRPr="005F5EE2">
        <w:rPr>
          <w:lang w:val="fr-CH"/>
        </w:rPr>
        <w:t>Union;</w:t>
      </w:r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5907AC" w:rsidP="00736B37">
      <w:pPr>
        <w:rPr>
          <w:lang w:val="fr-CH"/>
        </w:rPr>
      </w:pPr>
      <w:r w:rsidRPr="005F5EE2">
        <w:rPr>
          <w:lang w:val="fr-CH"/>
        </w:rPr>
        <w:tab/>
      </w:r>
      <w:r w:rsidR="00736B37" w:rsidRPr="005F5EE2">
        <w:rPr>
          <w:lang w:val="fr-CH"/>
        </w:rPr>
        <w:t>ii)</w:t>
      </w:r>
      <w:r w:rsidR="00736B37" w:rsidRPr="005F5EE2">
        <w:rPr>
          <w:lang w:val="fr-CH"/>
        </w:rPr>
        <w:tab/>
        <w:t xml:space="preserve">le plafond proposé pour les dépenses inscrites au budget ordinaire, </w:t>
      </w:r>
      <w:r w:rsidR="007D6DCE" w:rsidRPr="005F5EE2">
        <w:rPr>
          <w:lang w:val="fr-CH"/>
        </w:rPr>
        <w:t>à savoir</w:t>
      </w:r>
      <w:r w:rsidR="00736B37" w:rsidRPr="005F5EE2">
        <w:rPr>
          <w:lang w:val="fr-CH"/>
        </w:rPr>
        <w:t xml:space="preserve"> 7</w:t>
      </w:r>
      <w:r w:rsidR="004011A9" w:rsidRPr="005F5EE2">
        <w:rPr>
          <w:lang w:val="fr-CH"/>
        </w:rPr>
        <w:t> </w:t>
      </w:r>
      <w:r w:rsidR="00736B37" w:rsidRPr="005F5EE2">
        <w:rPr>
          <w:lang w:val="fr-CH"/>
        </w:rPr>
        <w:t>634</w:t>
      </w:r>
      <w:r w:rsidR="004011A9" w:rsidRPr="005F5EE2">
        <w:rPr>
          <w:lang w:val="fr-CH"/>
        </w:rPr>
        <w:t> </w:t>
      </w:r>
      <w:r w:rsidR="00736B37" w:rsidRPr="005F5EE2">
        <w:rPr>
          <w:lang w:val="fr-CH"/>
        </w:rPr>
        <w:t>50</w:t>
      </w:r>
      <w:r w:rsidR="007D6DCE" w:rsidRPr="005F5EE2">
        <w:rPr>
          <w:lang w:val="fr-CH"/>
        </w:rPr>
        <w:t>0 franc</w:t>
      </w:r>
      <w:r w:rsidR="00736B37" w:rsidRPr="005F5EE2">
        <w:rPr>
          <w:lang w:val="fr-CH"/>
        </w:rPr>
        <w:t>s suisses ou les recettes reçues pendant l</w:t>
      </w:r>
      <w:r w:rsidR="007D6DCE" w:rsidRPr="005F5EE2">
        <w:rPr>
          <w:lang w:val="fr-CH"/>
        </w:rPr>
        <w:t>’</w:t>
      </w:r>
      <w:r w:rsidR="00736B37" w:rsidRPr="005F5EE2">
        <w:rPr>
          <w:lang w:val="fr-CH"/>
        </w:rPr>
        <w:t xml:space="preserve">exercice biennal, le montant le plus bas étant </w:t>
      </w:r>
      <w:proofErr w:type="gramStart"/>
      <w:r w:rsidR="00736B37" w:rsidRPr="005F5EE2">
        <w:rPr>
          <w:lang w:val="fr-CH"/>
        </w:rPr>
        <w:t xml:space="preserve">retenu; </w:t>
      </w:r>
      <w:r w:rsidR="004011A9" w:rsidRPr="005F5EE2">
        <w:rPr>
          <w:lang w:val="fr-CH"/>
        </w:rPr>
        <w:t xml:space="preserve"> </w:t>
      </w:r>
      <w:r w:rsidR="00736B37" w:rsidRPr="005F5EE2">
        <w:rPr>
          <w:lang w:val="fr-CH"/>
        </w:rPr>
        <w:t>et</w:t>
      </w:r>
      <w:proofErr w:type="gramEnd"/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5907AC" w:rsidP="00736B37">
      <w:pPr>
        <w:keepLines/>
        <w:rPr>
          <w:lang w:val="fr-CH"/>
        </w:rPr>
      </w:pPr>
      <w:r w:rsidRPr="005F5EE2">
        <w:rPr>
          <w:lang w:val="fr-CH"/>
        </w:rPr>
        <w:tab/>
      </w:r>
      <w:r w:rsidR="00736B37" w:rsidRPr="005F5EE2">
        <w:rPr>
          <w:lang w:val="fr-CH"/>
        </w:rPr>
        <w:t>iii)</w:t>
      </w:r>
      <w:r w:rsidR="00736B37" w:rsidRPr="005F5EE2">
        <w:rPr>
          <w:lang w:val="fr-CH"/>
        </w:rPr>
        <w:tab/>
        <w:t>le nombre total de postes.</w:t>
      </w:r>
    </w:p>
    <w:p w:rsidR="00275C16" w:rsidRPr="005F5EE2" w:rsidRDefault="00275C16" w:rsidP="005907AC">
      <w:pPr>
        <w:jc w:val="left"/>
        <w:rPr>
          <w:lang w:val="fr-CH"/>
        </w:rPr>
      </w:pPr>
    </w:p>
    <w:p w:rsidR="00275C16" w:rsidRPr="005F5EE2" w:rsidRDefault="00275C16" w:rsidP="005907AC">
      <w:pPr>
        <w:jc w:val="left"/>
        <w:rPr>
          <w:lang w:val="fr-CH"/>
        </w:rPr>
      </w:pPr>
    </w:p>
    <w:p w:rsidR="007D6DCE" w:rsidRPr="005F5EE2" w:rsidRDefault="00736B37" w:rsidP="00736B37">
      <w:pPr>
        <w:pStyle w:val="Heading2"/>
        <w:rPr>
          <w:lang w:val="fr-CH"/>
        </w:rPr>
      </w:pPr>
      <w:bookmarkStart w:id="24" w:name="_Toc84588292"/>
      <w:r w:rsidRPr="005F5EE2">
        <w:rPr>
          <w:lang w:val="fr-CH"/>
        </w:rPr>
        <w:t>Observations de l</w:t>
      </w:r>
      <w:r w:rsidR="007D6DCE" w:rsidRPr="005F5EE2">
        <w:rPr>
          <w:lang w:val="fr-CH"/>
        </w:rPr>
        <w:t>’</w:t>
      </w:r>
      <w:r w:rsidRPr="005F5EE2">
        <w:rPr>
          <w:lang w:val="fr-CH"/>
        </w:rPr>
        <w:t>Union européenne</w:t>
      </w:r>
      <w:bookmarkEnd w:id="24"/>
    </w:p>
    <w:p w:rsidR="00275C16" w:rsidRPr="005F5EE2" w:rsidRDefault="00275C16" w:rsidP="005907AC">
      <w:pPr>
        <w:pStyle w:val="TableParagraph"/>
        <w:keepNext/>
        <w:keepLines/>
        <w:ind w:left="90" w:right="90"/>
        <w:rPr>
          <w:rFonts w:ascii="Arial" w:hAnsi="Arial" w:cs="Arial"/>
          <w:sz w:val="18"/>
          <w:szCs w:val="18"/>
          <w:lang w:val="fr-CH"/>
        </w:rPr>
      </w:pPr>
    </w:p>
    <w:p w:rsidR="00275C16" w:rsidRPr="005F5EE2" w:rsidRDefault="005907AC" w:rsidP="003733E6">
      <w:pPr>
        <w:keepNext/>
        <w:rPr>
          <w:lang w:val="fr-CH"/>
        </w:rPr>
      </w:pPr>
      <w:r w:rsidRPr="005F5EE2">
        <w:fldChar w:fldCharType="begin"/>
      </w:r>
      <w:r w:rsidRPr="005F5EE2">
        <w:rPr>
          <w:lang w:val="fr-CH"/>
        </w:rPr>
        <w:instrText xml:space="preserve"> AUTONUM  </w:instrText>
      </w:r>
      <w:r w:rsidRPr="005F5EE2">
        <w:fldChar w:fldCharType="end"/>
      </w:r>
      <w:r w:rsidRPr="005F5EE2">
        <w:rPr>
          <w:lang w:val="fr-CH"/>
        </w:rPr>
        <w:tab/>
      </w:r>
      <w:r w:rsidR="003733E6" w:rsidRPr="005F5EE2">
        <w:rPr>
          <w:lang w:val="fr-CH"/>
        </w:rPr>
        <w:t>En réponse à la circulaire</w:t>
      </w:r>
      <w:r w:rsidR="00625CBD" w:rsidRPr="005F5EE2">
        <w:rPr>
          <w:lang w:val="fr-CH"/>
        </w:rPr>
        <w:t> </w:t>
      </w:r>
      <w:r w:rsidR="003733E6" w:rsidRPr="005F5EE2">
        <w:rPr>
          <w:lang w:val="fr-CH"/>
        </w:rPr>
        <w:t>E</w:t>
      </w:r>
      <w:r w:rsidR="007D6DCE" w:rsidRPr="005F5EE2">
        <w:rPr>
          <w:lang w:val="fr-CH"/>
        </w:rPr>
        <w:t>-</w:t>
      </w:r>
      <w:r w:rsidR="003733E6" w:rsidRPr="005F5EE2">
        <w:rPr>
          <w:lang w:val="fr-CH"/>
        </w:rPr>
        <w:t>21/124 du 2</w:t>
      </w:r>
      <w:r w:rsidR="007D6DCE" w:rsidRPr="005F5EE2">
        <w:rPr>
          <w:lang w:val="fr-CH"/>
        </w:rPr>
        <w:t>3 août 20</w:t>
      </w:r>
      <w:r w:rsidR="003733E6" w:rsidRPr="005F5EE2">
        <w:rPr>
          <w:lang w:val="fr-CH"/>
        </w:rPr>
        <w:t>21, les observations suivantes sur le document</w:t>
      </w:r>
      <w:r w:rsidR="00625CBD" w:rsidRPr="005F5EE2">
        <w:rPr>
          <w:lang w:val="fr-CH"/>
        </w:rPr>
        <w:t> </w:t>
      </w:r>
      <w:r w:rsidR="003733E6" w:rsidRPr="005F5EE2">
        <w:rPr>
          <w:lang w:val="fr-CH"/>
        </w:rPr>
        <w:t>C/55/4 ont été reçues de l</w:t>
      </w:r>
      <w:r w:rsidR="007D6DCE" w:rsidRPr="005F5EE2">
        <w:rPr>
          <w:lang w:val="fr-CH"/>
        </w:rPr>
        <w:t>’</w:t>
      </w:r>
      <w:r w:rsidR="003733E6" w:rsidRPr="005F5EE2">
        <w:rPr>
          <w:lang w:val="fr-CH"/>
        </w:rPr>
        <w:t>Union européenne</w:t>
      </w:r>
      <w:r w:rsidR="007D6DCE" w:rsidRPr="005F5EE2">
        <w:rPr>
          <w:lang w:val="fr-CH"/>
        </w:rPr>
        <w:t> :</w:t>
      </w:r>
    </w:p>
    <w:p w:rsidR="00275C16" w:rsidRPr="005F5EE2" w:rsidRDefault="00275C16" w:rsidP="005907AC">
      <w:pPr>
        <w:pStyle w:val="TableParagraph"/>
        <w:keepNext/>
        <w:keepLines/>
        <w:ind w:left="90" w:right="90"/>
        <w:rPr>
          <w:rFonts w:ascii="Arial" w:hAnsi="Arial" w:cs="Arial"/>
          <w:sz w:val="18"/>
          <w:szCs w:val="18"/>
          <w:lang w:val="fr-CH"/>
        </w:rPr>
      </w:pPr>
    </w:p>
    <w:p w:rsidR="00275C16" w:rsidRPr="005F5EE2" w:rsidRDefault="007D6DCE" w:rsidP="00404262">
      <w:pPr>
        <w:pStyle w:val="TableParagraph"/>
        <w:keepNext/>
        <w:keepLines/>
        <w:ind w:left="562" w:right="562"/>
        <w:jc w:val="both"/>
        <w:rPr>
          <w:rFonts w:ascii="Arial" w:hAnsi="Arial" w:cs="Arial"/>
          <w:sz w:val="18"/>
          <w:szCs w:val="18"/>
          <w:lang w:val="fr-CH"/>
        </w:rPr>
      </w:pPr>
      <w:r w:rsidRPr="005F5EE2">
        <w:rPr>
          <w:rFonts w:ascii="Arial" w:hAnsi="Arial" w:cs="Arial"/>
          <w:sz w:val="18"/>
          <w:szCs w:val="18"/>
          <w:lang w:val="fr-CH"/>
        </w:rPr>
        <w:t>“L’</w:t>
      </w:r>
      <w:r w:rsidR="00404262" w:rsidRPr="005F5EE2">
        <w:rPr>
          <w:rFonts w:ascii="Arial" w:hAnsi="Arial" w:cs="Arial"/>
          <w:sz w:val="18"/>
          <w:szCs w:val="18"/>
          <w:lang w:val="fr-CH"/>
        </w:rPr>
        <w:t>UE et ses États membres peuvent envisager d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404262" w:rsidRPr="005F5EE2">
        <w:rPr>
          <w:rFonts w:ascii="Arial" w:hAnsi="Arial" w:cs="Arial"/>
          <w:sz w:val="18"/>
          <w:szCs w:val="18"/>
          <w:lang w:val="fr-CH"/>
        </w:rPr>
        <w:t>approuver le projet de programme et de budget de l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404262" w:rsidRPr="005F5EE2">
        <w:rPr>
          <w:rFonts w:ascii="Arial" w:hAnsi="Arial" w:cs="Arial"/>
          <w:sz w:val="18"/>
          <w:szCs w:val="18"/>
          <w:lang w:val="fr-CH"/>
        </w:rPr>
        <w:t>Union pour l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404262" w:rsidRPr="005F5EE2">
        <w:rPr>
          <w:rFonts w:ascii="Arial" w:hAnsi="Arial" w:cs="Arial"/>
          <w:sz w:val="18"/>
          <w:szCs w:val="18"/>
          <w:lang w:val="fr-CH"/>
        </w:rPr>
        <w:t xml:space="preserve">exercice </w:t>
      </w:r>
      <w:r w:rsidRPr="005F5EE2">
        <w:rPr>
          <w:rFonts w:ascii="Arial" w:hAnsi="Arial" w:cs="Arial"/>
          <w:sz w:val="18"/>
          <w:szCs w:val="18"/>
          <w:lang w:val="fr-CH"/>
        </w:rPr>
        <w:t>biennal 2022-</w:t>
      </w:r>
      <w:r w:rsidR="00404262" w:rsidRPr="005F5EE2">
        <w:rPr>
          <w:rFonts w:ascii="Arial" w:hAnsi="Arial" w:cs="Arial"/>
          <w:sz w:val="18"/>
          <w:szCs w:val="18"/>
          <w:lang w:val="fr-CH"/>
        </w:rPr>
        <w:t xml:space="preserve">2023 </w:t>
      </w:r>
      <w:r w:rsidR="00FA1270" w:rsidRPr="005F5EE2">
        <w:rPr>
          <w:rFonts w:ascii="Arial" w:hAnsi="Arial" w:cs="Arial"/>
          <w:sz w:val="18"/>
          <w:szCs w:val="18"/>
          <w:lang w:val="fr-CH"/>
        </w:rPr>
        <w:t xml:space="preserve">sous réserve des </w:t>
      </w:r>
      <w:r w:rsidR="00404262" w:rsidRPr="005F5EE2">
        <w:rPr>
          <w:rFonts w:ascii="Arial" w:hAnsi="Arial" w:cs="Arial"/>
          <w:sz w:val="18"/>
          <w:szCs w:val="18"/>
          <w:lang w:val="fr-CH"/>
        </w:rPr>
        <w:t>observations suivantes</w:t>
      </w:r>
      <w:r w:rsidRPr="005F5EE2">
        <w:rPr>
          <w:rFonts w:ascii="Arial" w:hAnsi="Arial" w:cs="Arial"/>
          <w:sz w:val="18"/>
          <w:szCs w:val="18"/>
          <w:lang w:val="fr-CH"/>
        </w:rPr>
        <w:t> :</w:t>
      </w:r>
    </w:p>
    <w:p w:rsidR="00275C16" w:rsidRPr="005F5EE2" w:rsidRDefault="00275C16" w:rsidP="005907AC">
      <w:pPr>
        <w:pStyle w:val="TableParagraph"/>
        <w:keepNext/>
        <w:ind w:left="562" w:right="562"/>
        <w:jc w:val="both"/>
        <w:rPr>
          <w:rFonts w:ascii="Arial" w:hAnsi="Arial" w:cs="Arial"/>
          <w:sz w:val="18"/>
          <w:szCs w:val="18"/>
          <w:lang w:val="fr-CH"/>
        </w:rPr>
      </w:pPr>
    </w:p>
    <w:p w:rsidR="00275C16" w:rsidRPr="005F5EE2" w:rsidRDefault="007D6DCE" w:rsidP="00404262">
      <w:pPr>
        <w:pStyle w:val="TableParagraph"/>
        <w:ind w:left="562" w:right="562"/>
        <w:jc w:val="both"/>
        <w:rPr>
          <w:rFonts w:ascii="Arial" w:hAnsi="Arial" w:cs="Arial"/>
          <w:sz w:val="18"/>
          <w:szCs w:val="18"/>
          <w:lang w:val="fr-CH"/>
        </w:rPr>
      </w:pPr>
      <w:r w:rsidRPr="005F5EE2">
        <w:rPr>
          <w:rFonts w:ascii="Arial" w:hAnsi="Arial" w:cs="Arial"/>
          <w:sz w:val="18"/>
          <w:szCs w:val="18"/>
          <w:lang w:val="fr-CH"/>
        </w:rPr>
        <w:t>“N</w:t>
      </w:r>
      <w:r w:rsidR="00404262" w:rsidRPr="005F5EE2">
        <w:rPr>
          <w:rFonts w:ascii="Arial" w:hAnsi="Arial" w:cs="Arial"/>
          <w:sz w:val="18"/>
          <w:szCs w:val="18"/>
          <w:lang w:val="fr-CH"/>
        </w:rPr>
        <w:t>ous prenons note de l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404262" w:rsidRPr="005F5EE2">
        <w:rPr>
          <w:rFonts w:ascii="Arial" w:hAnsi="Arial" w:cs="Arial"/>
          <w:sz w:val="18"/>
          <w:szCs w:val="18"/>
          <w:lang w:val="fr-CH"/>
        </w:rPr>
        <w:t xml:space="preserve">intention de mettre au point de nouveaux outils informatiques pour favoriser une mise en œuvre </w:t>
      </w:r>
      <w:r w:rsidR="00FA1270" w:rsidRPr="005F5EE2">
        <w:rPr>
          <w:rFonts w:ascii="Arial" w:hAnsi="Arial" w:cs="Arial"/>
          <w:sz w:val="18"/>
          <w:szCs w:val="18"/>
          <w:lang w:val="fr-CH"/>
        </w:rPr>
        <w:t>optimisée</w:t>
      </w:r>
      <w:r w:rsidR="00404262" w:rsidRPr="005F5EE2">
        <w:rPr>
          <w:rFonts w:ascii="Arial" w:hAnsi="Arial" w:cs="Arial"/>
          <w:sz w:val="18"/>
          <w:szCs w:val="18"/>
          <w:lang w:val="fr-CH"/>
        </w:rPr>
        <w:t xml:space="preserve"> et plus efficace du système de l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404262" w:rsidRPr="005F5EE2">
        <w:rPr>
          <w:rFonts w:ascii="Arial" w:hAnsi="Arial" w:cs="Arial"/>
          <w:sz w:val="18"/>
          <w:szCs w:val="18"/>
          <w:lang w:val="fr-CH"/>
        </w:rPr>
        <w:t>UPOV.</w:t>
      </w:r>
    </w:p>
    <w:p w:rsidR="00275C16" w:rsidRPr="005F5EE2" w:rsidRDefault="00275C16" w:rsidP="005907AC">
      <w:pPr>
        <w:pStyle w:val="TableParagraph"/>
        <w:ind w:left="562" w:right="562"/>
        <w:jc w:val="both"/>
        <w:rPr>
          <w:rFonts w:ascii="Arial" w:hAnsi="Arial" w:cs="Arial"/>
          <w:sz w:val="18"/>
          <w:szCs w:val="18"/>
          <w:lang w:val="fr-CH"/>
        </w:rPr>
      </w:pPr>
    </w:p>
    <w:p w:rsidR="00275C16" w:rsidRPr="005F5EE2" w:rsidRDefault="007D6DCE" w:rsidP="00404262">
      <w:pPr>
        <w:pStyle w:val="TableParagraph"/>
        <w:ind w:left="562" w:right="562"/>
        <w:jc w:val="both"/>
        <w:rPr>
          <w:rFonts w:ascii="Arial" w:hAnsi="Arial" w:cs="Arial"/>
          <w:sz w:val="18"/>
          <w:szCs w:val="18"/>
          <w:lang w:val="fr-CH"/>
        </w:rPr>
      </w:pPr>
      <w:r w:rsidRPr="005F5EE2">
        <w:rPr>
          <w:rFonts w:ascii="Arial" w:hAnsi="Arial" w:cs="Arial"/>
          <w:sz w:val="18"/>
          <w:szCs w:val="18"/>
          <w:lang w:val="fr-CH"/>
        </w:rPr>
        <w:t>“N</w:t>
      </w:r>
      <w:r w:rsidR="00404262" w:rsidRPr="005F5EE2">
        <w:rPr>
          <w:rFonts w:ascii="Arial" w:hAnsi="Arial" w:cs="Arial"/>
          <w:sz w:val="18"/>
          <w:szCs w:val="18"/>
          <w:lang w:val="fr-CH"/>
        </w:rPr>
        <w:t>ous souhaitons demander à l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404262" w:rsidRPr="005F5EE2">
        <w:rPr>
          <w:rFonts w:ascii="Arial" w:hAnsi="Arial" w:cs="Arial"/>
          <w:sz w:val="18"/>
          <w:szCs w:val="18"/>
          <w:lang w:val="fr-CH"/>
        </w:rPr>
        <w:t xml:space="preserve">UPOV de préciser les contributions et les ressources dont elle a besoin, </w:t>
      </w:r>
      <w:r w:rsidRPr="005F5EE2">
        <w:rPr>
          <w:rFonts w:ascii="Arial" w:hAnsi="Arial" w:cs="Arial"/>
          <w:sz w:val="18"/>
          <w:szCs w:val="18"/>
          <w:lang w:val="fr-CH"/>
        </w:rPr>
        <w:t>y compris</w:t>
      </w:r>
      <w:r w:rsidR="00404262" w:rsidRPr="005F5EE2">
        <w:rPr>
          <w:rFonts w:ascii="Arial" w:hAnsi="Arial" w:cs="Arial"/>
          <w:sz w:val="18"/>
          <w:szCs w:val="18"/>
          <w:lang w:val="fr-CH"/>
        </w:rPr>
        <w:t xml:space="preserve"> de la part de ses membr</w:t>
      </w:r>
      <w:r w:rsidR="00EA5D40" w:rsidRPr="005F5EE2">
        <w:rPr>
          <w:rFonts w:ascii="Arial" w:hAnsi="Arial" w:cs="Arial"/>
          <w:sz w:val="18"/>
          <w:szCs w:val="18"/>
          <w:lang w:val="fr-CH"/>
        </w:rPr>
        <w:t xml:space="preserve">es.  </w:t>
      </w:r>
      <w:r w:rsidR="00FA1270" w:rsidRPr="005F5EE2">
        <w:rPr>
          <w:rFonts w:ascii="Arial" w:hAnsi="Arial" w:cs="Arial"/>
          <w:sz w:val="18"/>
          <w:szCs w:val="18"/>
          <w:lang w:val="fr-CH"/>
        </w:rPr>
        <w:t xml:space="preserve">Il conviendra peut-être de constituer des </w:t>
      </w:r>
      <w:r w:rsidR="00404262" w:rsidRPr="005F5EE2">
        <w:rPr>
          <w:rFonts w:ascii="Arial" w:hAnsi="Arial" w:cs="Arial"/>
          <w:sz w:val="18"/>
          <w:szCs w:val="18"/>
          <w:lang w:val="fr-CH"/>
        </w:rPr>
        <w:t>groupes de travail et de plus amples informations sur le calendrier seraient les bienvenues.</w:t>
      </w:r>
    </w:p>
    <w:p w:rsidR="00275C16" w:rsidRPr="005F5EE2" w:rsidRDefault="00275C16" w:rsidP="005907AC">
      <w:pPr>
        <w:pStyle w:val="TableParagraph"/>
        <w:ind w:left="562" w:right="562"/>
        <w:jc w:val="both"/>
        <w:rPr>
          <w:rFonts w:ascii="Arial" w:hAnsi="Arial" w:cs="Arial"/>
          <w:sz w:val="18"/>
          <w:szCs w:val="18"/>
          <w:lang w:val="fr-CH"/>
        </w:rPr>
      </w:pPr>
    </w:p>
    <w:p w:rsidR="00275C16" w:rsidRPr="005F5EE2" w:rsidRDefault="007D6DCE" w:rsidP="007B2B65">
      <w:pPr>
        <w:pStyle w:val="TableParagraph"/>
        <w:ind w:left="562" w:right="562"/>
        <w:jc w:val="both"/>
        <w:rPr>
          <w:rFonts w:ascii="Arial" w:hAnsi="Arial" w:cs="Arial"/>
          <w:sz w:val="18"/>
          <w:szCs w:val="18"/>
          <w:lang w:val="fr-CH"/>
        </w:rPr>
      </w:pPr>
      <w:r w:rsidRPr="005F5EE2">
        <w:rPr>
          <w:rFonts w:ascii="Arial" w:hAnsi="Arial" w:cs="Arial"/>
          <w:sz w:val="18"/>
          <w:szCs w:val="18"/>
          <w:lang w:val="fr-CH"/>
        </w:rPr>
        <w:t>“E</w:t>
      </w:r>
      <w:r w:rsidR="000D25E7" w:rsidRPr="005F5EE2">
        <w:rPr>
          <w:rFonts w:ascii="Arial" w:hAnsi="Arial" w:cs="Arial"/>
          <w:sz w:val="18"/>
          <w:szCs w:val="18"/>
          <w:lang w:val="fr-CH"/>
        </w:rPr>
        <w:t xml:space="preserve">n ce qui concerne la communication et plus particulièrement la sensibilisation, nous suggérons que, au titre du </w:t>
      </w:r>
      <w:r w:rsidRPr="005F5EE2">
        <w:rPr>
          <w:rFonts w:ascii="Arial" w:hAnsi="Arial" w:cs="Arial"/>
          <w:sz w:val="18"/>
          <w:szCs w:val="18"/>
          <w:lang w:val="fr-CH"/>
        </w:rPr>
        <w:t>point 1</w:t>
      </w:r>
      <w:r w:rsidR="000D25E7" w:rsidRPr="005F5EE2">
        <w:rPr>
          <w:rFonts w:ascii="Arial" w:hAnsi="Arial" w:cs="Arial"/>
          <w:sz w:val="18"/>
          <w:szCs w:val="18"/>
          <w:lang w:val="fr-CH"/>
        </w:rPr>
        <w:t>6 de l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0D25E7" w:rsidRPr="005F5EE2">
        <w:rPr>
          <w:rFonts w:ascii="Arial" w:hAnsi="Arial" w:cs="Arial"/>
          <w:sz w:val="18"/>
          <w:szCs w:val="18"/>
          <w:lang w:val="fr-CH"/>
        </w:rPr>
        <w:t>ordre du jour sur la stratégie de communication, le Bureau de l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0D25E7" w:rsidRPr="005F5EE2">
        <w:rPr>
          <w:rFonts w:ascii="Arial" w:hAnsi="Arial" w:cs="Arial"/>
          <w:sz w:val="18"/>
          <w:szCs w:val="18"/>
          <w:lang w:val="fr-CH"/>
        </w:rPr>
        <w:t>UPOV apporte son soutien au Secrétariat des systèmes des semences de l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0D25E7" w:rsidRPr="005F5EE2">
        <w:rPr>
          <w:rFonts w:ascii="Arial" w:hAnsi="Arial" w:cs="Arial"/>
          <w:sz w:val="18"/>
          <w:szCs w:val="18"/>
          <w:lang w:val="fr-CH"/>
        </w:rPr>
        <w:t>OCDE concernant une proposition relative à une année internationale des semences lors de la prochaine réunion du Partenariat mondial pour les semenc</w:t>
      </w:r>
      <w:r w:rsidR="00EA5D40" w:rsidRPr="005F5EE2">
        <w:rPr>
          <w:rFonts w:ascii="Arial" w:hAnsi="Arial" w:cs="Arial"/>
          <w:sz w:val="18"/>
          <w:szCs w:val="18"/>
          <w:lang w:val="fr-CH"/>
        </w:rPr>
        <w:t>es.  Ce</w:t>
      </w:r>
      <w:r w:rsidR="007B2B65" w:rsidRPr="005F5EE2">
        <w:rPr>
          <w:rFonts w:ascii="Arial" w:hAnsi="Arial" w:cs="Arial"/>
          <w:sz w:val="18"/>
          <w:szCs w:val="18"/>
          <w:lang w:val="fr-CH"/>
        </w:rPr>
        <w:t xml:space="preserve">la </w:t>
      </w:r>
      <w:r w:rsidR="00FA1270" w:rsidRPr="005F5EE2">
        <w:rPr>
          <w:rFonts w:ascii="Arial" w:hAnsi="Arial" w:cs="Arial"/>
          <w:sz w:val="18"/>
          <w:szCs w:val="18"/>
          <w:lang w:val="fr-CH"/>
        </w:rPr>
        <w:t>permettrait</w:t>
      </w:r>
      <w:r w:rsidR="007B2B65" w:rsidRPr="005F5EE2">
        <w:rPr>
          <w:rFonts w:ascii="Arial" w:hAnsi="Arial" w:cs="Arial"/>
          <w:sz w:val="18"/>
          <w:szCs w:val="18"/>
          <w:lang w:val="fr-CH"/>
        </w:rPr>
        <w:t xml:space="preserve"> de </w:t>
      </w:r>
      <w:r w:rsidR="00FA1270" w:rsidRPr="005F5EE2">
        <w:rPr>
          <w:rFonts w:ascii="Arial" w:hAnsi="Arial" w:cs="Arial"/>
          <w:sz w:val="18"/>
          <w:szCs w:val="18"/>
          <w:lang w:val="fr-CH"/>
        </w:rPr>
        <w:t>communiquer</w:t>
      </w:r>
      <w:r w:rsidR="007B2B65" w:rsidRPr="005F5EE2">
        <w:rPr>
          <w:rFonts w:ascii="Arial" w:hAnsi="Arial" w:cs="Arial"/>
          <w:sz w:val="18"/>
          <w:szCs w:val="18"/>
          <w:lang w:val="fr-CH"/>
        </w:rPr>
        <w:t xml:space="preserve"> sous </w:t>
      </w:r>
      <w:r w:rsidR="00FA1270" w:rsidRPr="005F5EE2">
        <w:rPr>
          <w:rFonts w:ascii="Arial" w:hAnsi="Arial" w:cs="Arial"/>
          <w:sz w:val="18"/>
          <w:szCs w:val="18"/>
          <w:lang w:val="fr-CH"/>
        </w:rPr>
        <w:t xml:space="preserve">différentes </w:t>
      </w:r>
      <w:r w:rsidR="007B2B65" w:rsidRPr="005F5EE2">
        <w:rPr>
          <w:rFonts w:ascii="Arial" w:hAnsi="Arial" w:cs="Arial"/>
          <w:sz w:val="18"/>
          <w:szCs w:val="18"/>
          <w:lang w:val="fr-CH"/>
        </w:rPr>
        <w:t>formes et de sensibiliser au système de l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7B2B65" w:rsidRPr="005F5EE2">
        <w:rPr>
          <w:rFonts w:ascii="Arial" w:hAnsi="Arial" w:cs="Arial"/>
          <w:sz w:val="18"/>
          <w:szCs w:val="18"/>
          <w:lang w:val="fr-CH"/>
        </w:rPr>
        <w:t>UPOV et à l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7B2B65" w:rsidRPr="005F5EE2">
        <w:rPr>
          <w:rFonts w:ascii="Arial" w:hAnsi="Arial" w:cs="Arial"/>
          <w:sz w:val="18"/>
          <w:szCs w:val="18"/>
          <w:lang w:val="fr-CH"/>
        </w:rPr>
        <w:t>importance de la sélection végétale.</w:t>
      </w:r>
    </w:p>
    <w:p w:rsidR="00275C16" w:rsidRPr="005F5EE2" w:rsidRDefault="00275C16" w:rsidP="005907AC">
      <w:pPr>
        <w:pStyle w:val="TableParagraph"/>
        <w:ind w:left="562" w:right="562"/>
        <w:jc w:val="both"/>
        <w:rPr>
          <w:rFonts w:ascii="Arial" w:hAnsi="Arial" w:cs="Arial"/>
          <w:sz w:val="18"/>
          <w:szCs w:val="18"/>
          <w:lang w:val="fr-CH"/>
        </w:rPr>
      </w:pPr>
    </w:p>
    <w:p w:rsidR="00275C16" w:rsidRPr="005F5EE2" w:rsidRDefault="007D6DCE" w:rsidP="00FE12BE">
      <w:pPr>
        <w:pStyle w:val="TableParagraph"/>
        <w:ind w:left="562" w:right="562"/>
        <w:jc w:val="both"/>
        <w:rPr>
          <w:rFonts w:ascii="Arial" w:hAnsi="Arial" w:cs="Arial"/>
          <w:spacing w:val="-4"/>
          <w:sz w:val="18"/>
          <w:szCs w:val="18"/>
          <w:lang w:val="fr-CH"/>
        </w:rPr>
      </w:pPr>
      <w:r w:rsidRPr="005F5EE2">
        <w:rPr>
          <w:rFonts w:ascii="Arial" w:hAnsi="Arial" w:cs="Arial"/>
          <w:sz w:val="18"/>
          <w:szCs w:val="18"/>
          <w:lang w:val="fr-CH"/>
        </w:rPr>
        <w:t>“P</w:t>
      </w:r>
      <w:r w:rsidR="00FE12BE" w:rsidRPr="005F5EE2">
        <w:rPr>
          <w:rFonts w:ascii="Arial" w:hAnsi="Arial" w:cs="Arial"/>
          <w:sz w:val="18"/>
          <w:szCs w:val="18"/>
          <w:lang w:val="fr-CH"/>
        </w:rPr>
        <w:t>our la communication sur les avantages du système de l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FE12BE" w:rsidRPr="005F5EE2">
        <w:rPr>
          <w:rFonts w:ascii="Arial" w:hAnsi="Arial" w:cs="Arial"/>
          <w:sz w:val="18"/>
          <w:szCs w:val="18"/>
          <w:lang w:val="fr-CH"/>
        </w:rPr>
        <w:t>UPOV, il serait très important de disposer de données factuelles, de préférence quantitativ</w:t>
      </w:r>
      <w:r w:rsidR="00EA5D40" w:rsidRPr="005F5EE2">
        <w:rPr>
          <w:rFonts w:ascii="Arial" w:hAnsi="Arial" w:cs="Arial"/>
          <w:sz w:val="18"/>
          <w:szCs w:val="18"/>
          <w:lang w:val="fr-CH"/>
        </w:rPr>
        <w:t>es.  Un</w:t>
      </w:r>
      <w:r w:rsidR="00FE12BE" w:rsidRPr="005F5EE2">
        <w:rPr>
          <w:rFonts w:ascii="Arial" w:hAnsi="Arial" w:cs="Arial"/>
          <w:sz w:val="18"/>
          <w:szCs w:val="18"/>
          <w:lang w:val="fr-CH"/>
        </w:rPr>
        <w:t>e mise à jour de l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FE12BE" w:rsidRPr="005F5EE2">
        <w:rPr>
          <w:rFonts w:ascii="Arial" w:hAnsi="Arial" w:cs="Arial"/>
          <w:sz w:val="18"/>
          <w:szCs w:val="18"/>
          <w:lang w:val="fr-CH"/>
        </w:rPr>
        <w:t>analyse d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FE12BE" w:rsidRPr="005F5EE2">
        <w:rPr>
          <w:rFonts w:ascii="Arial" w:hAnsi="Arial" w:cs="Arial"/>
          <w:sz w:val="18"/>
          <w:szCs w:val="18"/>
          <w:lang w:val="fr-CH"/>
        </w:rPr>
        <w:t>impact antérieure et une coopération avec les membres de l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FE12BE" w:rsidRPr="005F5EE2">
        <w:rPr>
          <w:rFonts w:ascii="Arial" w:hAnsi="Arial" w:cs="Arial"/>
          <w:sz w:val="18"/>
          <w:szCs w:val="18"/>
          <w:lang w:val="fr-CH"/>
        </w:rPr>
        <w:t>Union sur les analyses d</w:t>
      </w:r>
      <w:r w:rsidRPr="005F5EE2">
        <w:rPr>
          <w:rFonts w:ascii="Arial" w:hAnsi="Arial" w:cs="Arial"/>
          <w:sz w:val="18"/>
          <w:szCs w:val="18"/>
          <w:lang w:val="fr-CH"/>
        </w:rPr>
        <w:t>’</w:t>
      </w:r>
      <w:r w:rsidR="00FE12BE" w:rsidRPr="005F5EE2">
        <w:rPr>
          <w:rFonts w:ascii="Arial" w:hAnsi="Arial" w:cs="Arial"/>
          <w:sz w:val="18"/>
          <w:szCs w:val="18"/>
          <w:lang w:val="fr-CH"/>
        </w:rPr>
        <w:t>impact devraient être envisagé</w:t>
      </w:r>
      <w:r w:rsidR="00EA5D40" w:rsidRPr="005F5EE2">
        <w:rPr>
          <w:rFonts w:ascii="Arial" w:hAnsi="Arial" w:cs="Arial"/>
          <w:sz w:val="18"/>
          <w:szCs w:val="18"/>
          <w:lang w:val="fr-CH"/>
        </w:rPr>
        <w:t>es.  Il</w:t>
      </w:r>
      <w:r w:rsidR="00FE12BE" w:rsidRPr="005F5EE2">
        <w:rPr>
          <w:rFonts w:ascii="Arial" w:hAnsi="Arial" w:cs="Arial"/>
          <w:sz w:val="18"/>
          <w:szCs w:val="18"/>
          <w:lang w:val="fr-CH"/>
        </w:rPr>
        <w:t xml:space="preserve"> serait notamment utile de recueillir des données relatives à la sélection végétale et à son impact sur les objectifs de développement durable des </w:t>
      </w:r>
      <w:r w:rsidRPr="005F5EE2">
        <w:rPr>
          <w:rFonts w:ascii="Arial" w:hAnsi="Arial" w:cs="Arial"/>
          <w:sz w:val="18"/>
          <w:szCs w:val="18"/>
          <w:lang w:val="fr-CH"/>
        </w:rPr>
        <w:t>Nations Unies.”</w:t>
      </w:r>
    </w:p>
    <w:p w:rsidR="00275C16" w:rsidRPr="005F5EE2" w:rsidRDefault="00275C16" w:rsidP="005907AC">
      <w:pPr>
        <w:ind w:left="567" w:hanging="567"/>
        <w:jc w:val="left"/>
        <w:rPr>
          <w:lang w:val="fr-CH"/>
        </w:rPr>
      </w:pPr>
    </w:p>
    <w:p w:rsidR="007D6DCE" w:rsidRPr="005F5EE2" w:rsidRDefault="005907AC" w:rsidP="00602838">
      <w:pPr>
        <w:pStyle w:val="TableParagraph"/>
        <w:keepNext/>
        <w:ind w:left="72" w:right="72"/>
        <w:rPr>
          <w:rFonts w:ascii="Arial" w:hAnsi="Arial"/>
          <w:sz w:val="20"/>
          <w:szCs w:val="20"/>
          <w:lang w:val="fr-CH"/>
        </w:rPr>
      </w:pPr>
      <w:r w:rsidRPr="005F5EE2">
        <w:rPr>
          <w:rFonts w:ascii="Arial" w:hAnsi="Arial"/>
          <w:sz w:val="20"/>
          <w:szCs w:val="20"/>
        </w:rPr>
        <w:lastRenderedPageBreak/>
        <w:fldChar w:fldCharType="begin"/>
      </w:r>
      <w:r w:rsidRPr="005F5EE2">
        <w:rPr>
          <w:rFonts w:ascii="Arial" w:hAnsi="Arial"/>
          <w:sz w:val="20"/>
          <w:szCs w:val="20"/>
          <w:lang w:val="fr-CH"/>
        </w:rPr>
        <w:instrText xml:space="preserve"> AUTONUM  </w:instrText>
      </w:r>
      <w:r w:rsidRPr="005F5EE2">
        <w:rPr>
          <w:rFonts w:ascii="Arial" w:hAnsi="Arial"/>
          <w:sz w:val="20"/>
          <w:szCs w:val="20"/>
        </w:rPr>
        <w:fldChar w:fldCharType="end"/>
      </w:r>
      <w:r w:rsidRPr="005F5EE2">
        <w:rPr>
          <w:rFonts w:ascii="Arial" w:hAnsi="Arial"/>
          <w:sz w:val="20"/>
          <w:szCs w:val="20"/>
          <w:lang w:val="fr-CH"/>
        </w:rPr>
        <w:tab/>
      </w:r>
      <w:r w:rsidR="00E17CF9" w:rsidRPr="005F5EE2">
        <w:rPr>
          <w:rFonts w:ascii="Arial" w:hAnsi="Arial"/>
          <w:sz w:val="20"/>
          <w:szCs w:val="20"/>
          <w:lang w:val="fr-CH"/>
        </w:rPr>
        <w:t>Le Bureau de l</w:t>
      </w:r>
      <w:r w:rsidR="007D6DCE" w:rsidRPr="005F5EE2">
        <w:rPr>
          <w:rFonts w:ascii="Arial" w:hAnsi="Arial"/>
          <w:sz w:val="20"/>
          <w:szCs w:val="20"/>
          <w:lang w:val="fr-CH"/>
        </w:rPr>
        <w:t>’</w:t>
      </w:r>
      <w:r w:rsidR="00E17CF9" w:rsidRPr="005F5EE2">
        <w:rPr>
          <w:rFonts w:ascii="Arial" w:hAnsi="Arial"/>
          <w:sz w:val="20"/>
          <w:szCs w:val="20"/>
          <w:lang w:val="fr-CH"/>
        </w:rPr>
        <w:t>Union a fourni les explications suivantes à l</w:t>
      </w:r>
      <w:r w:rsidR="007D6DCE" w:rsidRPr="005F5EE2">
        <w:rPr>
          <w:rFonts w:ascii="Arial" w:hAnsi="Arial"/>
          <w:sz w:val="20"/>
          <w:szCs w:val="20"/>
          <w:lang w:val="fr-CH"/>
        </w:rPr>
        <w:t>’</w:t>
      </w:r>
      <w:r w:rsidR="00E17CF9" w:rsidRPr="005F5EE2">
        <w:rPr>
          <w:rFonts w:ascii="Arial" w:hAnsi="Arial"/>
          <w:sz w:val="20"/>
          <w:szCs w:val="20"/>
          <w:lang w:val="fr-CH"/>
        </w:rPr>
        <w:t>Union européenne</w:t>
      </w:r>
      <w:r w:rsidR="007D6DCE" w:rsidRPr="005F5EE2">
        <w:rPr>
          <w:rFonts w:ascii="Arial" w:hAnsi="Arial"/>
          <w:sz w:val="20"/>
          <w:szCs w:val="20"/>
          <w:lang w:val="fr-CH"/>
        </w:rPr>
        <w:t> :</w:t>
      </w:r>
    </w:p>
    <w:p w:rsidR="00275C16" w:rsidRPr="005F5EE2" w:rsidRDefault="00275C16" w:rsidP="00602838">
      <w:pPr>
        <w:pStyle w:val="TableParagraph"/>
        <w:keepNext/>
        <w:ind w:left="72" w:right="72"/>
        <w:rPr>
          <w:rFonts w:ascii="Arial" w:hAnsi="Arial"/>
          <w:sz w:val="20"/>
          <w:szCs w:val="20"/>
          <w:lang w:val="fr-CH"/>
        </w:rPr>
      </w:pPr>
    </w:p>
    <w:p w:rsidR="007D6DCE" w:rsidRPr="005F5EE2" w:rsidRDefault="007D6DCE" w:rsidP="00E17CF9">
      <w:pPr>
        <w:pStyle w:val="TableParagraph"/>
        <w:ind w:left="540" w:right="72"/>
        <w:jc w:val="both"/>
        <w:rPr>
          <w:rFonts w:ascii="Arial" w:hAnsi="Arial"/>
          <w:sz w:val="18"/>
          <w:szCs w:val="18"/>
          <w:lang w:val="fr-CH"/>
        </w:rPr>
      </w:pPr>
      <w:r w:rsidRPr="005F5EE2">
        <w:rPr>
          <w:rFonts w:ascii="Arial" w:hAnsi="Arial"/>
          <w:sz w:val="18"/>
          <w:szCs w:val="18"/>
          <w:lang w:val="fr-CH"/>
        </w:rPr>
        <w:t>“L</w:t>
      </w:r>
      <w:r w:rsidR="00E17CF9" w:rsidRPr="005F5EE2">
        <w:rPr>
          <w:rFonts w:ascii="Arial" w:hAnsi="Arial"/>
          <w:sz w:val="18"/>
          <w:szCs w:val="18"/>
          <w:lang w:val="fr-CH"/>
        </w:rPr>
        <w:t>es ressources qui seraient nécessaires au titre du budget ordinaire de l</w:t>
      </w:r>
      <w:r w:rsidRPr="005F5EE2">
        <w:rPr>
          <w:rFonts w:ascii="Arial" w:hAnsi="Arial"/>
          <w:sz w:val="18"/>
          <w:szCs w:val="18"/>
          <w:lang w:val="fr-CH"/>
        </w:rPr>
        <w:t>’</w:t>
      </w:r>
      <w:r w:rsidR="00E17CF9" w:rsidRPr="005F5EE2">
        <w:rPr>
          <w:rFonts w:ascii="Arial" w:hAnsi="Arial"/>
          <w:sz w:val="18"/>
          <w:szCs w:val="18"/>
          <w:lang w:val="fr-CH"/>
        </w:rPr>
        <w:t>UPOV figurent dans le projet de programme et budget de l</w:t>
      </w:r>
      <w:r w:rsidRPr="005F5EE2">
        <w:rPr>
          <w:rFonts w:ascii="Arial" w:hAnsi="Arial"/>
          <w:sz w:val="18"/>
          <w:szCs w:val="18"/>
          <w:lang w:val="fr-CH"/>
        </w:rPr>
        <w:t>’</w:t>
      </w:r>
      <w:r w:rsidR="00E17CF9" w:rsidRPr="005F5EE2">
        <w:rPr>
          <w:rFonts w:ascii="Arial" w:hAnsi="Arial"/>
          <w:sz w:val="18"/>
          <w:szCs w:val="18"/>
          <w:lang w:val="fr-CH"/>
        </w:rPr>
        <w:t>Union pour l</w:t>
      </w:r>
      <w:r w:rsidRPr="005F5EE2">
        <w:rPr>
          <w:rFonts w:ascii="Arial" w:hAnsi="Arial"/>
          <w:sz w:val="18"/>
          <w:szCs w:val="18"/>
          <w:lang w:val="fr-CH"/>
        </w:rPr>
        <w:t>’</w:t>
      </w:r>
      <w:r w:rsidR="00E17CF9" w:rsidRPr="005F5EE2">
        <w:rPr>
          <w:rFonts w:ascii="Arial" w:hAnsi="Arial"/>
          <w:sz w:val="18"/>
          <w:szCs w:val="18"/>
          <w:lang w:val="fr-CH"/>
        </w:rPr>
        <w:t xml:space="preserve">exercice </w:t>
      </w:r>
      <w:r w:rsidRPr="005F5EE2">
        <w:rPr>
          <w:rFonts w:ascii="Arial" w:hAnsi="Arial"/>
          <w:sz w:val="18"/>
          <w:szCs w:val="18"/>
          <w:lang w:val="fr-CH"/>
        </w:rPr>
        <w:t>biennal 2022-</w:t>
      </w:r>
      <w:r w:rsidR="00E17CF9" w:rsidRPr="005F5EE2">
        <w:rPr>
          <w:rFonts w:ascii="Arial" w:hAnsi="Arial"/>
          <w:sz w:val="18"/>
          <w:szCs w:val="18"/>
          <w:lang w:val="fr-CH"/>
        </w:rPr>
        <w:t>2023.</w:t>
      </w:r>
    </w:p>
    <w:p w:rsidR="00275C16" w:rsidRPr="005F5EE2" w:rsidRDefault="00275C16" w:rsidP="005907AC">
      <w:pPr>
        <w:pStyle w:val="TableParagraph"/>
        <w:ind w:left="900" w:right="72"/>
        <w:jc w:val="both"/>
        <w:rPr>
          <w:rFonts w:ascii="Arial" w:hAnsi="Arial"/>
          <w:sz w:val="18"/>
          <w:szCs w:val="18"/>
          <w:lang w:val="fr-CH"/>
        </w:rPr>
      </w:pPr>
    </w:p>
    <w:p w:rsidR="00275C16" w:rsidRPr="005F5EE2" w:rsidRDefault="008305D6" w:rsidP="005A1210">
      <w:pPr>
        <w:ind w:left="540" w:right="72"/>
        <w:rPr>
          <w:sz w:val="18"/>
          <w:szCs w:val="18"/>
          <w:lang w:val="fr-CH"/>
        </w:rPr>
      </w:pPr>
      <w:r w:rsidRPr="005F5EE2">
        <w:rPr>
          <w:sz w:val="18"/>
          <w:szCs w:val="18"/>
          <w:lang w:val="fr-CH"/>
        </w:rPr>
        <w:t>Les modules de gestion électronique de la protection des obtentions végétales (e</w:t>
      </w:r>
      <w:r w:rsidR="007D6DCE" w:rsidRPr="005F5EE2">
        <w:rPr>
          <w:sz w:val="18"/>
          <w:szCs w:val="18"/>
          <w:lang w:val="fr-CH"/>
        </w:rPr>
        <w:t>-</w:t>
      </w:r>
      <w:r w:rsidRPr="005F5EE2">
        <w:rPr>
          <w:sz w:val="18"/>
          <w:szCs w:val="18"/>
          <w:lang w:val="fr-CH"/>
        </w:rPr>
        <w:t>PVP) (voir le document</w:t>
      </w:r>
      <w:r w:rsidR="00625CBD" w:rsidRPr="005F5EE2">
        <w:rPr>
          <w:sz w:val="18"/>
          <w:szCs w:val="18"/>
          <w:lang w:val="fr-CH"/>
        </w:rPr>
        <w:t> </w:t>
      </w:r>
      <w:r w:rsidRPr="005F5EE2">
        <w:rPr>
          <w:sz w:val="18"/>
          <w:szCs w:val="18"/>
          <w:lang w:val="fr-CH"/>
        </w:rPr>
        <w:t xml:space="preserve">C/55/INF/2 </w:t>
      </w:r>
      <w:r w:rsidR="007D6DCE" w:rsidRPr="005F5EE2">
        <w:rPr>
          <w:sz w:val="18"/>
          <w:szCs w:val="18"/>
          <w:lang w:val="fr-CH"/>
        </w:rPr>
        <w:t>“F</w:t>
      </w:r>
      <w:r w:rsidRPr="005F5EE2">
        <w:rPr>
          <w:sz w:val="18"/>
          <w:szCs w:val="18"/>
          <w:lang w:val="fr-CH"/>
        </w:rPr>
        <w:t>aits nouveaux intervenus à l</w:t>
      </w:r>
      <w:r w:rsidR="007D6DCE" w:rsidRPr="005F5EE2">
        <w:rPr>
          <w:sz w:val="18"/>
          <w:szCs w:val="18"/>
          <w:lang w:val="fr-CH"/>
        </w:rPr>
        <w:t>’</w:t>
      </w:r>
      <w:r w:rsidRPr="005F5EE2">
        <w:rPr>
          <w:sz w:val="18"/>
          <w:szCs w:val="18"/>
          <w:lang w:val="fr-CH"/>
        </w:rPr>
        <w:t>UPOV</w:t>
      </w:r>
      <w:r w:rsidR="00625CBD" w:rsidRPr="005F5EE2">
        <w:rPr>
          <w:sz w:val="18"/>
          <w:szCs w:val="18"/>
          <w:lang w:val="fr-CH"/>
        </w:rPr>
        <w:t>”</w:t>
      </w:r>
      <w:r w:rsidRPr="005F5EE2">
        <w:rPr>
          <w:sz w:val="18"/>
          <w:szCs w:val="18"/>
          <w:lang w:val="fr-CH"/>
        </w:rPr>
        <w:t xml:space="preserve"> et la vidéo d</w:t>
      </w:r>
      <w:r w:rsidR="007D6DCE" w:rsidRPr="005F5EE2">
        <w:rPr>
          <w:sz w:val="18"/>
          <w:szCs w:val="18"/>
          <w:lang w:val="fr-CH"/>
        </w:rPr>
        <w:t>’</w:t>
      </w:r>
      <w:r w:rsidRPr="005F5EE2">
        <w:rPr>
          <w:sz w:val="18"/>
          <w:szCs w:val="18"/>
          <w:lang w:val="fr-CH"/>
        </w:rPr>
        <w:t>accompagnement</w:t>
      </w:r>
      <w:r w:rsidR="000A4104" w:rsidRPr="005F5EE2">
        <w:rPr>
          <w:sz w:val="18"/>
          <w:szCs w:val="18"/>
          <w:lang w:val="fr-CH"/>
        </w:rPr>
        <w:t xml:space="preserve"> </w:t>
      </w:r>
      <w:hyperlink r:id="rId9" w:history="1">
        <w:r w:rsidR="000A4104" w:rsidRPr="00602838">
          <w:rPr>
            <w:rStyle w:val="Hyperlink"/>
          </w:rPr>
          <w:t>https://www.upov.int/meetings/fr/details.jsp?meeting_id=60600</w:t>
        </w:r>
      </w:hyperlink>
      <w:r w:rsidRPr="005F5EE2">
        <w:rPr>
          <w:sz w:val="18"/>
          <w:szCs w:val="18"/>
          <w:lang w:val="fr-CH"/>
        </w:rPr>
        <w:t>) sont déjà bien avancés dans le cadre du projet de gestion électronique de la protection des obtentions végétales en Asie (e</w:t>
      </w:r>
      <w:r w:rsidR="007D6DCE" w:rsidRPr="005F5EE2">
        <w:rPr>
          <w:sz w:val="18"/>
          <w:szCs w:val="18"/>
          <w:lang w:val="fr-CH"/>
        </w:rPr>
        <w:t>-</w:t>
      </w:r>
      <w:r w:rsidRPr="005F5EE2">
        <w:rPr>
          <w:sz w:val="18"/>
          <w:szCs w:val="18"/>
          <w:lang w:val="fr-CH"/>
        </w:rPr>
        <w:t>PVP Asie), une partie importante des coûts ayant été couverte par le Fonds fiduciaire du Jap</w:t>
      </w:r>
      <w:r w:rsidR="00EA5D40" w:rsidRPr="005F5EE2">
        <w:rPr>
          <w:sz w:val="18"/>
          <w:szCs w:val="18"/>
          <w:lang w:val="fr-CH"/>
        </w:rPr>
        <w:t>on.  Le</w:t>
      </w:r>
      <w:r w:rsidRPr="005F5EE2">
        <w:rPr>
          <w:sz w:val="18"/>
          <w:szCs w:val="18"/>
          <w:lang w:val="fr-CH"/>
        </w:rPr>
        <w:t xml:space="preserve"> projet e</w:t>
      </w:r>
      <w:r w:rsidR="007D6DCE" w:rsidRPr="005F5EE2">
        <w:rPr>
          <w:sz w:val="18"/>
          <w:szCs w:val="18"/>
          <w:lang w:val="fr-CH"/>
        </w:rPr>
        <w:t>-</w:t>
      </w:r>
      <w:r w:rsidRPr="005F5EE2">
        <w:rPr>
          <w:sz w:val="18"/>
          <w:szCs w:val="18"/>
          <w:lang w:val="fr-CH"/>
        </w:rPr>
        <w:t>PVP Asie, qui repose sur les modules e</w:t>
      </w:r>
      <w:r w:rsidR="007D6DCE" w:rsidRPr="005F5EE2">
        <w:rPr>
          <w:sz w:val="18"/>
          <w:szCs w:val="18"/>
          <w:lang w:val="fr-CH"/>
        </w:rPr>
        <w:t>-</w:t>
      </w:r>
      <w:r w:rsidRPr="005F5EE2">
        <w:rPr>
          <w:sz w:val="18"/>
          <w:szCs w:val="18"/>
          <w:lang w:val="fr-CH"/>
        </w:rPr>
        <w:t xml:space="preserve">PVP, sera finalisé au début </w:t>
      </w:r>
      <w:r w:rsidR="007D6DCE" w:rsidRPr="005F5EE2">
        <w:rPr>
          <w:sz w:val="18"/>
          <w:szCs w:val="18"/>
          <w:lang w:val="fr-CH"/>
        </w:rPr>
        <w:t>de 2022</w:t>
      </w:r>
      <w:r w:rsidRPr="005F5EE2">
        <w:rPr>
          <w:sz w:val="18"/>
          <w:szCs w:val="18"/>
          <w:lang w:val="fr-CH"/>
        </w:rPr>
        <w:t>.</w:t>
      </w:r>
      <w:r w:rsidR="005907AC" w:rsidRPr="005F5EE2">
        <w:rPr>
          <w:sz w:val="18"/>
          <w:lang w:val="fr-CH"/>
        </w:rPr>
        <w:t xml:space="preserve">  </w:t>
      </w:r>
      <w:r w:rsidRPr="005F5EE2">
        <w:rPr>
          <w:sz w:val="18"/>
          <w:szCs w:val="18"/>
          <w:lang w:val="fr-CH"/>
        </w:rPr>
        <w:t>Les modules ont été élaborés en consultation avec les services de protection des obtentions végétales, dont l</w:t>
      </w:r>
      <w:r w:rsidR="007D6DCE" w:rsidRPr="005F5EE2">
        <w:rPr>
          <w:sz w:val="18"/>
          <w:szCs w:val="18"/>
          <w:lang w:val="fr-CH"/>
        </w:rPr>
        <w:t>’</w:t>
      </w:r>
      <w:r w:rsidRPr="005F5EE2">
        <w:rPr>
          <w:sz w:val="18"/>
          <w:szCs w:val="18"/>
          <w:lang w:val="fr-CH"/>
        </w:rPr>
        <w:t>OCVV, par l</w:t>
      </w:r>
      <w:r w:rsidR="007D6DCE" w:rsidRPr="005F5EE2">
        <w:rPr>
          <w:sz w:val="18"/>
          <w:szCs w:val="18"/>
          <w:lang w:val="fr-CH"/>
        </w:rPr>
        <w:t>’</w:t>
      </w:r>
      <w:r w:rsidRPr="005F5EE2">
        <w:rPr>
          <w:sz w:val="18"/>
          <w:szCs w:val="18"/>
          <w:lang w:val="fr-CH"/>
        </w:rPr>
        <w:t>intermédiaire d</w:t>
      </w:r>
      <w:r w:rsidR="007D6DCE" w:rsidRPr="005F5EE2">
        <w:rPr>
          <w:sz w:val="18"/>
          <w:szCs w:val="18"/>
          <w:lang w:val="fr-CH"/>
        </w:rPr>
        <w:t>’</w:t>
      </w:r>
      <w:r w:rsidRPr="005F5EE2">
        <w:rPr>
          <w:sz w:val="18"/>
          <w:szCs w:val="18"/>
          <w:lang w:val="fr-CH"/>
        </w:rPr>
        <w:t xml:space="preserve">un coordonnateur </w:t>
      </w:r>
      <w:r w:rsidR="000A4104" w:rsidRPr="005F5EE2">
        <w:rPr>
          <w:sz w:val="18"/>
          <w:szCs w:val="18"/>
          <w:lang w:val="fr-CH"/>
        </w:rPr>
        <w:t xml:space="preserve">expérimenté des </w:t>
      </w:r>
      <w:r w:rsidRPr="005F5EE2">
        <w:rPr>
          <w:sz w:val="18"/>
          <w:szCs w:val="18"/>
          <w:lang w:val="fr-CH"/>
        </w:rPr>
        <w:t>contrats de services contractuels de personnes (</w:t>
      </w:r>
      <w:proofErr w:type="spellStart"/>
      <w:r w:rsidRPr="005F5EE2">
        <w:rPr>
          <w:sz w:val="18"/>
          <w:szCs w:val="18"/>
          <w:lang w:val="fr-CH"/>
        </w:rPr>
        <w:t>Kees</w:t>
      </w:r>
      <w:proofErr w:type="spellEnd"/>
      <w:r w:rsidRPr="005F5EE2">
        <w:rPr>
          <w:sz w:val="18"/>
          <w:szCs w:val="18"/>
          <w:lang w:val="fr-CH"/>
        </w:rPr>
        <w:t xml:space="preserve"> van </w:t>
      </w:r>
      <w:proofErr w:type="spellStart"/>
      <w:r w:rsidRPr="005F5EE2">
        <w:rPr>
          <w:sz w:val="18"/>
          <w:szCs w:val="18"/>
          <w:lang w:val="fr-CH"/>
        </w:rPr>
        <w:t>Ettekov</w:t>
      </w:r>
      <w:r w:rsidR="00EA5D40" w:rsidRPr="005F5EE2">
        <w:rPr>
          <w:sz w:val="18"/>
          <w:szCs w:val="18"/>
          <w:lang w:val="fr-CH"/>
        </w:rPr>
        <w:t>en</w:t>
      </w:r>
      <w:proofErr w:type="spellEnd"/>
      <w:r w:rsidR="00EA5D40" w:rsidRPr="005F5EE2">
        <w:rPr>
          <w:sz w:val="18"/>
          <w:szCs w:val="18"/>
          <w:lang w:val="fr-CH"/>
        </w:rPr>
        <w:t>).  Le</w:t>
      </w:r>
      <w:r w:rsidRPr="005F5EE2">
        <w:rPr>
          <w:sz w:val="18"/>
          <w:szCs w:val="18"/>
          <w:lang w:val="fr-CH"/>
        </w:rPr>
        <w:t>s membres de l</w:t>
      </w:r>
      <w:r w:rsidR="007D6DCE" w:rsidRPr="005F5EE2">
        <w:rPr>
          <w:sz w:val="18"/>
          <w:szCs w:val="18"/>
          <w:lang w:val="fr-CH"/>
        </w:rPr>
        <w:t>’</w:t>
      </w:r>
      <w:r w:rsidRPr="005F5EE2">
        <w:rPr>
          <w:sz w:val="18"/>
          <w:szCs w:val="18"/>
          <w:lang w:val="fr-CH"/>
        </w:rPr>
        <w:t>UPOV pourront utiliser les modules e</w:t>
      </w:r>
      <w:r w:rsidR="007D6DCE" w:rsidRPr="005F5EE2">
        <w:rPr>
          <w:sz w:val="18"/>
          <w:szCs w:val="18"/>
          <w:lang w:val="fr-CH"/>
        </w:rPr>
        <w:t>-</w:t>
      </w:r>
      <w:r w:rsidRPr="005F5EE2">
        <w:rPr>
          <w:sz w:val="18"/>
          <w:szCs w:val="18"/>
          <w:lang w:val="fr-CH"/>
        </w:rPr>
        <w:t>PVP pour un coût minimal (par exemple, pour les frais de maintenance et d</w:t>
      </w:r>
      <w:r w:rsidR="007D6DCE" w:rsidRPr="005F5EE2">
        <w:rPr>
          <w:sz w:val="18"/>
          <w:szCs w:val="18"/>
          <w:lang w:val="fr-CH"/>
        </w:rPr>
        <w:t>’</w:t>
      </w:r>
      <w:r w:rsidRPr="005F5EE2">
        <w:rPr>
          <w:sz w:val="18"/>
          <w:szCs w:val="18"/>
          <w:lang w:val="fr-CH"/>
        </w:rPr>
        <w:t>hébergement en nua</w:t>
      </w:r>
      <w:r w:rsidR="00EA5D40" w:rsidRPr="005F5EE2">
        <w:rPr>
          <w:sz w:val="18"/>
          <w:szCs w:val="18"/>
          <w:lang w:val="fr-CH"/>
        </w:rPr>
        <w:t>ge).  To</w:t>
      </w:r>
      <w:r w:rsidR="00FF0A6D" w:rsidRPr="005F5EE2">
        <w:rPr>
          <w:sz w:val="18"/>
          <w:szCs w:val="18"/>
          <w:lang w:val="fr-CH"/>
        </w:rPr>
        <w:t>utefois, si un membre de l</w:t>
      </w:r>
      <w:r w:rsidR="007D6DCE" w:rsidRPr="005F5EE2">
        <w:rPr>
          <w:sz w:val="18"/>
          <w:szCs w:val="18"/>
          <w:lang w:val="fr-CH"/>
        </w:rPr>
        <w:t>’</w:t>
      </w:r>
      <w:r w:rsidR="00FF0A6D" w:rsidRPr="005F5EE2">
        <w:rPr>
          <w:sz w:val="18"/>
          <w:szCs w:val="18"/>
          <w:lang w:val="fr-CH"/>
        </w:rPr>
        <w:t xml:space="preserve">UPOV souhaite </w:t>
      </w:r>
      <w:r w:rsidR="000A4104" w:rsidRPr="005F5EE2">
        <w:rPr>
          <w:sz w:val="18"/>
          <w:szCs w:val="18"/>
          <w:lang w:val="fr-CH"/>
        </w:rPr>
        <w:t>adapter</w:t>
      </w:r>
      <w:r w:rsidR="00FF0A6D" w:rsidRPr="005F5EE2">
        <w:rPr>
          <w:sz w:val="18"/>
          <w:szCs w:val="18"/>
          <w:lang w:val="fr-CH"/>
        </w:rPr>
        <w:t xml:space="preserve"> les modules e</w:t>
      </w:r>
      <w:r w:rsidR="007D6DCE" w:rsidRPr="005F5EE2">
        <w:rPr>
          <w:sz w:val="18"/>
          <w:szCs w:val="18"/>
          <w:lang w:val="fr-CH"/>
        </w:rPr>
        <w:t>-</w:t>
      </w:r>
      <w:r w:rsidR="00FF0A6D" w:rsidRPr="005F5EE2">
        <w:rPr>
          <w:sz w:val="18"/>
          <w:szCs w:val="18"/>
          <w:lang w:val="fr-CH"/>
        </w:rPr>
        <w:t>PVP, par exemple parce qu</w:t>
      </w:r>
      <w:r w:rsidR="007D6DCE" w:rsidRPr="005F5EE2">
        <w:rPr>
          <w:sz w:val="18"/>
          <w:szCs w:val="18"/>
          <w:lang w:val="fr-CH"/>
        </w:rPr>
        <w:t>’</w:t>
      </w:r>
      <w:r w:rsidR="00FF0A6D" w:rsidRPr="005F5EE2">
        <w:rPr>
          <w:sz w:val="18"/>
          <w:szCs w:val="18"/>
          <w:lang w:val="fr-CH"/>
        </w:rPr>
        <w:t>il souhaite un flux de travail plus complexe ou n</w:t>
      </w:r>
      <w:r w:rsidR="007D6DCE" w:rsidRPr="005F5EE2">
        <w:rPr>
          <w:sz w:val="18"/>
          <w:szCs w:val="18"/>
          <w:lang w:val="fr-CH"/>
        </w:rPr>
        <w:t>’</w:t>
      </w:r>
      <w:r w:rsidR="00FF0A6D" w:rsidRPr="005F5EE2">
        <w:rPr>
          <w:sz w:val="18"/>
          <w:szCs w:val="18"/>
          <w:lang w:val="fr-CH"/>
        </w:rPr>
        <w:t>utilise pas le formulaire de demande type de l</w:t>
      </w:r>
      <w:r w:rsidR="007D6DCE" w:rsidRPr="005F5EE2">
        <w:rPr>
          <w:sz w:val="18"/>
          <w:szCs w:val="18"/>
          <w:lang w:val="fr-CH"/>
        </w:rPr>
        <w:t>’</w:t>
      </w:r>
      <w:r w:rsidR="00FF0A6D" w:rsidRPr="005F5EE2">
        <w:rPr>
          <w:sz w:val="18"/>
          <w:szCs w:val="18"/>
          <w:lang w:val="fr-CH"/>
        </w:rPr>
        <w:t>UPOV et les questionnaires techniques standard des principes directeurs d</w:t>
      </w:r>
      <w:r w:rsidR="007D6DCE" w:rsidRPr="005F5EE2">
        <w:rPr>
          <w:sz w:val="18"/>
          <w:szCs w:val="18"/>
          <w:lang w:val="fr-CH"/>
        </w:rPr>
        <w:t>’</w:t>
      </w:r>
      <w:r w:rsidR="00FF0A6D" w:rsidRPr="005F5EE2">
        <w:rPr>
          <w:sz w:val="18"/>
          <w:szCs w:val="18"/>
          <w:lang w:val="fr-CH"/>
        </w:rPr>
        <w:t>examen de l</w:t>
      </w:r>
      <w:r w:rsidR="007D6DCE" w:rsidRPr="005F5EE2">
        <w:rPr>
          <w:sz w:val="18"/>
          <w:szCs w:val="18"/>
          <w:lang w:val="fr-CH"/>
        </w:rPr>
        <w:t>’</w:t>
      </w:r>
      <w:r w:rsidR="00FF0A6D" w:rsidRPr="005F5EE2">
        <w:rPr>
          <w:sz w:val="18"/>
          <w:szCs w:val="18"/>
          <w:lang w:val="fr-CH"/>
        </w:rPr>
        <w:t xml:space="preserve">UPOV, </w:t>
      </w:r>
      <w:r w:rsidR="000A4104" w:rsidRPr="005F5EE2">
        <w:rPr>
          <w:sz w:val="18"/>
          <w:szCs w:val="18"/>
          <w:lang w:val="fr-CH"/>
        </w:rPr>
        <w:t>il</w:t>
      </w:r>
      <w:r w:rsidR="00FF0A6D" w:rsidRPr="005F5EE2">
        <w:rPr>
          <w:sz w:val="18"/>
          <w:szCs w:val="18"/>
          <w:lang w:val="fr-CH"/>
        </w:rPr>
        <w:t xml:space="preserve"> devra prendre en charge les frais correspondan</w:t>
      </w:r>
      <w:r w:rsidR="00EA5D40" w:rsidRPr="005F5EE2">
        <w:rPr>
          <w:sz w:val="18"/>
          <w:szCs w:val="18"/>
          <w:lang w:val="fr-CH"/>
        </w:rPr>
        <w:t>ts.  Si</w:t>
      </w:r>
      <w:r w:rsidR="005A1210" w:rsidRPr="005F5EE2">
        <w:rPr>
          <w:sz w:val="18"/>
          <w:szCs w:val="18"/>
          <w:lang w:val="fr-CH"/>
        </w:rPr>
        <w:t xml:space="preserve"> les pays du Forum sur la protection des obtentions végétales en Asie orientale (Forum EAPVP) sont membres de l</w:t>
      </w:r>
      <w:r w:rsidR="007D6DCE" w:rsidRPr="005F5EE2">
        <w:rPr>
          <w:sz w:val="18"/>
          <w:szCs w:val="18"/>
          <w:lang w:val="fr-CH"/>
        </w:rPr>
        <w:t>’</w:t>
      </w:r>
      <w:r w:rsidR="005A1210" w:rsidRPr="005F5EE2">
        <w:rPr>
          <w:sz w:val="18"/>
          <w:szCs w:val="18"/>
          <w:lang w:val="fr-CH"/>
        </w:rPr>
        <w:t>UPOV, le Fonds fiduciaire du Japon peut couvrir certains de ces frais dans le cadre du projet e</w:t>
      </w:r>
      <w:r w:rsidR="007D6DCE" w:rsidRPr="005F5EE2">
        <w:rPr>
          <w:sz w:val="18"/>
          <w:szCs w:val="18"/>
          <w:lang w:val="fr-CH"/>
        </w:rPr>
        <w:t>-</w:t>
      </w:r>
      <w:r w:rsidR="005A1210" w:rsidRPr="005F5EE2">
        <w:rPr>
          <w:sz w:val="18"/>
          <w:szCs w:val="18"/>
          <w:lang w:val="fr-CH"/>
        </w:rPr>
        <w:t>PVP As</w:t>
      </w:r>
      <w:r w:rsidR="00EA5D40" w:rsidRPr="005F5EE2">
        <w:rPr>
          <w:sz w:val="18"/>
          <w:szCs w:val="18"/>
          <w:lang w:val="fr-CH"/>
        </w:rPr>
        <w:t xml:space="preserve">ie.  </w:t>
      </w:r>
      <w:r w:rsidR="000A4104" w:rsidRPr="005F5EE2">
        <w:rPr>
          <w:sz w:val="18"/>
          <w:szCs w:val="18"/>
          <w:lang w:val="fr-CH"/>
        </w:rPr>
        <w:t xml:space="preserve">Concernant </w:t>
      </w:r>
      <w:r w:rsidR="005A1210" w:rsidRPr="005F5EE2">
        <w:rPr>
          <w:sz w:val="18"/>
          <w:szCs w:val="18"/>
          <w:lang w:val="fr-CH"/>
        </w:rPr>
        <w:t>d</w:t>
      </w:r>
      <w:r w:rsidR="007D6DCE" w:rsidRPr="005F5EE2">
        <w:rPr>
          <w:sz w:val="18"/>
          <w:szCs w:val="18"/>
          <w:lang w:val="fr-CH"/>
        </w:rPr>
        <w:t>’</w:t>
      </w:r>
      <w:r w:rsidR="005A1210" w:rsidRPr="005F5EE2">
        <w:rPr>
          <w:sz w:val="18"/>
          <w:szCs w:val="18"/>
          <w:lang w:val="fr-CH"/>
        </w:rPr>
        <w:t>autres membres de l</w:t>
      </w:r>
      <w:r w:rsidR="007D6DCE" w:rsidRPr="005F5EE2">
        <w:rPr>
          <w:sz w:val="18"/>
          <w:szCs w:val="18"/>
          <w:lang w:val="fr-CH"/>
        </w:rPr>
        <w:t>’</w:t>
      </w:r>
      <w:r w:rsidR="005A1210" w:rsidRPr="005F5EE2">
        <w:rPr>
          <w:sz w:val="18"/>
          <w:szCs w:val="18"/>
          <w:lang w:val="fr-CH"/>
        </w:rPr>
        <w:t xml:space="preserve">UPOV, </w:t>
      </w:r>
      <w:r w:rsidR="000A4104" w:rsidRPr="005F5EE2">
        <w:rPr>
          <w:sz w:val="18"/>
          <w:szCs w:val="18"/>
          <w:lang w:val="fr-CH"/>
        </w:rPr>
        <w:t xml:space="preserve">il peut exister </w:t>
      </w:r>
      <w:r w:rsidR="005A1210" w:rsidRPr="005F5EE2">
        <w:rPr>
          <w:sz w:val="18"/>
          <w:szCs w:val="18"/>
          <w:lang w:val="fr-CH"/>
        </w:rPr>
        <w:t>d</w:t>
      </w:r>
      <w:r w:rsidR="007D6DCE" w:rsidRPr="005F5EE2">
        <w:rPr>
          <w:sz w:val="18"/>
          <w:szCs w:val="18"/>
          <w:lang w:val="fr-CH"/>
        </w:rPr>
        <w:t>’</w:t>
      </w:r>
      <w:r w:rsidR="005A1210" w:rsidRPr="005F5EE2">
        <w:rPr>
          <w:sz w:val="18"/>
          <w:szCs w:val="18"/>
          <w:lang w:val="fr-CH"/>
        </w:rPr>
        <w:t>autres sources de financement, par exemple par l</w:t>
      </w:r>
      <w:r w:rsidR="007D6DCE" w:rsidRPr="005F5EE2">
        <w:rPr>
          <w:sz w:val="18"/>
          <w:szCs w:val="18"/>
          <w:lang w:val="fr-CH"/>
        </w:rPr>
        <w:t>’</w:t>
      </w:r>
      <w:r w:rsidR="005A1210" w:rsidRPr="005F5EE2">
        <w:rPr>
          <w:sz w:val="18"/>
          <w:szCs w:val="18"/>
          <w:lang w:val="fr-CH"/>
        </w:rPr>
        <w:t>intermédiaire de programmes financés par l</w:t>
      </w:r>
      <w:r w:rsidR="007D6DCE" w:rsidRPr="005F5EE2">
        <w:rPr>
          <w:sz w:val="18"/>
          <w:szCs w:val="18"/>
          <w:lang w:val="fr-CH"/>
        </w:rPr>
        <w:t>’</w:t>
      </w:r>
      <w:r w:rsidR="005A1210" w:rsidRPr="005F5EE2">
        <w:rPr>
          <w:sz w:val="18"/>
          <w:szCs w:val="18"/>
          <w:lang w:val="fr-CH"/>
        </w:rPr>
        <w:t>UE et mis en œuvre par l</w:t>
      </w:r>
      <w:r w:rsidR="007D6DCE" w:rsidRPr="005F5EE2">
        <w:rPr>
          <w:sz w:val="18"/>
          <w:szCs w:val="18"/>
          <w:lang w:val="fr-CH"/>
        </w:rPr>
        <w:t>’</w:t>
      </w:r>
      <w:r w:rsidR="005A1210" w:rsidRPr="005F5EE2">
        <w:rPr>
          <w:sz w:val="18"/>
          <w:szCs w:val="18"/>
          <w:lang w:val="fr-CH"/>
        </w:rPr>
        <w:t>EUIPO.</w:t>
      </w:r>
    </w:p>
    <w:p w:rsidR="00275C16" w:rsidRPr="005F5EE2" w:rsidRDefault="00275C16" w:rsidP="005907AC">
      <w:pPr>
        <w:pStyle w:val="TableParagraph"/>
        <w:ind w:left="900" w:right="72"/>
        <w:jc w:val="both"/>
        <w:rPr>
          <w:rFonts w:ascii="Arial" w:hAnsi="Arial"/>
          <w:sz w:val="18"/>
          <w:szCs w:val="18"/>
          <w:lang w:val="fr-CH"/>
        </w:rPr>
      </w:pPr>
    </w:p>
    <w:p w:rsidR="00275C16" w:rsidRPr="005F5EE2" w:rsidRDefault="007D6DCE" w:rsidP="005A1210">
      <w:pPr>
        <w:pStyle w:val="TableParagraph"/>
        <w:ind w:left="540" w:right="72"/>
        <w:jc w:val="both"/>
        <w:rPr>
          <w:rFonts w:ascii="Arial" w:hAnsi="Arial"/>
          <w:sz w:val="18"/>
          <w:szCs w:val="18"/>
          <w:lang w:val="fr-CH"/>
        </w:rPr>
      </w:pPr>
      <w:r w:rsidRPr="005F5EE2">
        <w:rPr>
          <w:rFonts w:ascii="Arial" w:hAnsi="Arial"/>
          <w:sz w:val="18"/>
          <w:szCs w:val="18"/>
          <w:lang w:val="fr-CH"/>
        </w:rPr>
        <w:t>“L’</w:t>
      </w:r>
      <w:r w:rsidR="005A1210" w:rsidRPr="005F5EE2">
        <w:rPr>
          <w:rFonts w:ascii="Arial" w:hAnsi="Arial"/>
          <w:sz w:val="18"/>
          <w:szCs w:val="18"/>
          <w:lang w:val="fr-CH"/>
        </w:rPr>
        <w:t>UPOV est déjà en discussion avec certains de ses membres ayant exprimé leur intérêt pour l</w:t>
      </w:r>
      <w:r w:rsidRPr="005F5EE2">
        <w:rPr>
          <w:rFonts w:ascii="Arial" w:hAnsi="Arial"/>
          <w:sz w:val="18"/>
          <w:szCs w:val="18"/>
          <w:lang w:val="fr-CH"/>
        </w:rPr>
        <w:t>’</w:t>
      </w:r>
      <w:r w:rsidR="005A1210" w:rsidRPr="005F5EE2">
        <w:rPr>
          <w:rFonts w:ascii="Arial" w:hAnsi="Arial"/>
          <w:sz w:val="18"/>
          <w:szCs w:val="18"/>
          <w:lang w:val="fr-CH"/>
        </w:rPr>
        <w:t>utilisation des modules e</w:t>
      </w:r>
      <w:r w:rsidRPr="005F5EE2">
        <w:rPr>
          <w:rFonts w:ascii="Arial" w:hAnsi="Arial"/>
          <w:sz w:val="18"/>
          <w:szCs w:val="18"/>
          <w:lang w:val="fr-CH"/>
        </w:rPr>
        <w:t>-</w:t>
      </w:r>
      <w:r w:rsidR="005A1210" w:rsidRPr="005F5EE2">
        <w:rPr>
          <w:rFonts w:ascii="Arial" w:hAnsi="Arial"/>
          <w:sz w:val="18"/>
          <w:szCs w:val="18"/>
          <w:lang w:val="fr-CH"/>
        </w:rPr>
        <w:t>PVP.</w:t>
      </w:r>
    </w:p>
    <w:p w:rsidR="00275C16" w:rsidRPr="005F5EE2" w:rsidRDefault="00275C16" w:rsidP="005907AC">
      <w:pPr>
        <w:pStyle w:val="ListParagraph"/>
        <w:rPr>
          <w:sz w:val="18"/>
          <w:szCs w:val="18"/>
          <w:lang w:val="fr-CH"/>
        </w:rPr>
      </w:pPr>
    </w:p>
    <w:p w:rsidR="007D6DCE" w:rsidRPr="005F5EE2" w:rsidRDefault="007D6DCE" w:rsidP="005A1210">
      <w:pPr>
        <w:pStyle w:val="TableParagraph"/>
        <w:ind w:left="540" w:right="72"/>
        <w:jc w:val="both"/>
        <w:rPr>
          <w:rFonts w:ascii="Arial" w:hAnsi="Arial"/>
          <w:sz w:val="18"/>
          <w:szCs w:val="18"/>
          <w:lang w:val="fr-CH"/>
        </w:rPr>
      </w:pPr>
      <w:r w:rsidRPr="005F5EE2">
        <w:rPr>
          <w:rFonts w:ascii="Arial" w:hAnsi="Arial"/>
          <w:sz w:val="18"/>
          <w:szCs w:val="18"/>
          <w:lang w:val="fr-CH"/>
        </w:rPr>
        <w:t>“L</w:t>
      </w:r>
      <w:r w:rsidR="005A1210" w:rsidRPr="005F5EE2">
        <w:rPr>
          <w:rFonts w:ascii="Arial" w:hAnsi="Arial"/>
          <w:sz w:val="18"/>
          <w:szCs w:val="18"/>
          <w:lang w:val="fr-CH"/>
        </w:rPr>
        <w:t>a proposition de l</w:t>
      </w:r>
      <w:r w:rsidRPr="005F5EE2">
        <w:rPr>
          <w:rFonts w:ascii="Arial" w:hAnsi="Arial"/>
          <w:sz w:val="18"/>
          <w:szCs w:val="18"/>
          <w:lang w:val="fr-CH"/>
        </w:rPr>
        <w:t>’</w:t>
      </w:r>
      <w:r w:rsidR="005A1210" w:rsidRPr="005F5EE2">
        <w:rPr>
          <w:rFonts w:ascii="Arial" w:hAnsi="Arial"/>
          <w:sz w:val="18"/>
          <w:szCs w:val="18"/>
          <w:lang w:val="fr-CH"/>
        </w:rPr>
        <w:t xml:space="preserve">Union européenne de recueillir des données sur la sélection végétale et son impact sur les objectifs de développement durable des </w:t>
      </w:r>
      <w:r w:rsidRPr="005F5EE2">
        <w:rPr>
          <w:rFonts w:ascii="Arial" w:hAnsi="Arial"/>
          <w:sz w:val="18"/>
          <w:szCs w:val="18"/>
          <w:lang w:val="fr-CH"/>
        </w:rPr>
        <w:t>Nations Unies</w:t>
      </w:r>
      <w:r w:rsidR="005A1210" w:rsidRPr="005F5EE2">
        <w:rPr>
          <w:rFonts w:ascii="Arial" w:hAnsi="Arial"/>
          <w:sz w:val="18"/>
          <w:szCs w:val="18"/>
          <w:lang w:val="fr-CH"/>
        </w:rPr>
        <w:t xml:space="preserve"> pourrait être soumise à l</w:t>
      </w:r>
      <w:r w:rsidRPr="005F5EE2">
        <w:rPr>
          <w:rFonts w:ascii="Arial" w:hAnsi="Arial"/>
          <w:sz w:val="18"/>
          <w:szCs w:val="18"/>
          <w:lang w:val="fr-CH"/>
        </w:rPr>
        <w:t>’</w:t>
      </w:r>
      <w:r w:rsidR="005A1210" w:rsidRPr="005F5EE2">
        <w:rPr>
          <w:rFonts w:ascii="Arial" w:hAnsi="Arial"/>
          <w:sz w:val="18"/>
          <w:szCs w:val="18"/>
          <w:lang w:val="fr-CH"/>
        </w:rPr>
        <w:t>examen du Conseil.</w:t>
      </w:r>
    </w:p>
    <w:p w:rsidR="00275C16" w:rsidRPr="005F5EE2" w:rsidRDefault="00275C16" w:rsidP="005907AC">
      <w:pPr>
        <w:pStyle w:val="ListParagraph"/>
        <w:rPr>
          <w:sz w:val="18"/>
          <w:szCs w:val="18"/>
          <w:lang w:val="fr-CH"/>
        </w:rPr>
      </w:pPr>
    </w:p>
    <w:p w:rsidR="00275C16" w:rsidRPr="005F5EE2" w:rsidRDefault="005A1210" w:rsidP="005A1210">
      <w:pPr>
        <w:pStyle w:val="TableParagraph"/>
        <w:ind w:left="540" w:right="72"/>
        <w:jc w:val="both"/>
        <w:rPr>
          <w:rFonts w:ascii="Arial" w:hAnsi="Arial"/>
          <w:sz w:val="18"/>
          <w:szCs w:val="18"/>
          <w:lang w:val="fr-CH"/>
        </w:rPr>
      </w:pPr>
      <w:r w:rsidRPr="005F5EE2">
        <w:rPr>
          <w:rFonts w:ascii="Arial" w:hAnsi="Arial"/>
          <w:sz w:val="18"/>
          <w:szCs w:val="18"/>
          <w:lang w:val="fr-CH"/>
        </w:rPr>
        <w:t>La proposition de l</w:t>
      </w:r>
      <w:r w:rsidR="007D6DCE" w:rsidRPr="005F5EE2">
        <w:rPr>
          <w:rFonts w:ascii="Arial" w:hAnsi="Arial"/>
          <w:sz w:val="18"/>
          <w:szCs w:val="18"/>
          <w:lang w:val="fr-CH"/>
        </w:rPr>
        <w:t>’</w:t>
      </w:r>
      <w:r w:rsidRPr="005F5EE2">
        <w:rPr>
          <w:rFonts w:ascii="Arial" w:hAnsi="Arial"/>
          <w:sz w:val="18"/>
          <w:szCs w:val="18"/>
          <w:lang w:val="fr-CH"/>
        </w:rPr>
        <w:t>Union européenne tendant à ce que l</w:t>
      </w:r>
      <w:r w:rsidR="007D6DCE" w:rsidRPr="005F5EE2">
        <w:rPr>
          <w:rFonts w:ascii="Arial" w:hAnsi="Arial"/>
          <w:sz w:val="18"/>
          <w:szCs w:val="18"/>
          <w:lang w:val="fr-CH"/>
        </w:rPr>
        <w:t>’</w:t>
      </w:r>
      <w:r w:rsidRPr="005F5EE2">
        <w:rPr>
          <w:rFonts w:ascii="Arial" w:hAnsi="Arial"/>
          <w:sz w:val="18"/>
          <w:szCs w:val="18"/>
          <w:lang w:val="fr-CH"/>
        </w:rPr>
        <w:t>UPOV appuie la proposition du Secrétariat des systèmes des semences de l</w:t>
      </w:r>
      <w:r w:rsidR="007D6DCE" w:rsidRPr="005F5EE2">
        <w:rPr>
          <w:rFonts w:ascii="Arial" w:hAnsi="Arial"/>
          <w:sz w:val="18"/>
          <w:szCs w:val="18"/>
          <w:lang w:val="fr-CH"/>
        </w:rPr>
        <w:t>’</w:t>
      </w:r>
      <w:r w:rsidR="000A4104" w:rsidRPr="005F5EE2">
        <w:rPr>
          <w:rFonts w:ascii="Arial" w:hAnsi="Arial"/>
          <w:sz w:val="18"/>
          <w:szCs w:val="18"/>
          <w:lang w:val="fr-CH"/>
        </w:rPr>
        <w:t xml:space="preserve">OCDE relative à une </w:t>
      </w:r>
      <w:r w:rsidRPr="005F5EE2">
        <w:rPr>
          <w:rFonts w:ascii="Arial" w:hAnsi="Arial"/>
          <w:sz w:val="18"/>
          <w:szCs w:val="18"/>
          <w:lang w:val="fr-CH"/>
        </w:rPr>
        <w:t>année internationale des semences lors de la prochaine réunion du Partenariat mondial pour les semences pourrait être soumise à l</w:t>
      </w:r>
      <w:r w:rsidR="007D6DCE" w:rsidRPr="005F5EE2">
        <w:rPr>
          <w:rFonts w:ascii="Arial" w:hAnsi="Arial"/>
          <w:sz w:val="18"/>
          <w:szCs w:val="18"/>
          <w:lang w:val="fr-CH"/>
        </w:rPr>
        <w:t>’</w:t>
      </w:r>
      <w:r w:rsidRPr="005F5EE2">
        <w:rPr>
          <w:rFonts w:ascii="Arial" w:hAnsi="Arial"/>
          <w:sz w:val="18"/>
          <w:szCs w:val="18"/>
          <w:lang w:val="fr-CH"/>
        </w:rPr>
        <w:t>examen du Conseil.</w:t>
      </w:r>
    </w:p>
    <w:p w:rsidR="00275C16" w:rsidRPr="005F5EE2" w:rsidRDefault="00275C16" w:rsidP="005907AC">
      <w:pPr>
        <w:rPr>
          <w:lang w:val="fr-CH"/>
        </w:rPr>
      </w:pPr>
    </w:p>
    <w:p w:rsidR="00275C16" w:rsidRPr="005F5EE2" w:rsidRDefault="005907AC" w:rsidP="00B247A2">
      <w:pPr>
        <w:pStyle w:val="DecisionParagraphs"/>
        <w:rPr>
          <w:lang w:val="fr-CH"/>
        </w:rPr>
      </w:pPr>
      <w:r w:rsidRPr="005F5EE2">
        <w:rPr>
          <w:i w:val="0"/>
          <w:lang w:eastAsia="zh-CN"/>
        </w:rPr>
        <w:fldChar w:fldCharType="begin"/>
      </w:r>
      <w:r w:rsidRPr="005F5EE2">
        <w:rPr>
          <w:lang w:val="fr-CH" w:eastAsia="zh-CN"/>
        </w:rPr>
        <w:instrText xml:space="preserve"> AUTONUM  </w:instrText>
      </w:r>
      <w:r w:rsidRPr="005F5EE2">
        <w:rPr>
          <w:i w:val="0"/>
          <w:lang w:eastAsia="zh-CN"/>
        </w:rPr>
        <w:fldChar w:fldCharType="end"/>
      </w:r>
      <w:r w:rsidRPr="005F5EE2">
        <w:rPr>
          <w:lang w:val="fr-CH" w:eastAsia="zh-CN"/>
        </w:rPr>
        <w:tab/>
      </w:r>
      <w:r w:rsidR="00B247A2" w:rsidRPr="005F5EE2">
        <w:rPr>
          <w:lang w:val="fr-CH" w:eastAsia="zh-CN"/>
        </w:rPr>
        <w:t>Le Conseil est invité à prendre note de l</w:t>
      </w:r>
      <w:r w:rsidR="007D6DCE" w:rsidRPr="005F5EE2">
        <w:rPr>
          <w:lang w:val="fr-CH" w:eastAsia="zh-CN"/>
        </w:rPr>
        <w:t>’</w:t>
      </w:r>
      <w:r w:rsidR="00B247A2" w:rsidRPr="005F5EE2">
        <w:rPr>
          <w:lang w:val="fr-CH" w:eastAsia="zh-CN"/>
        </w:rPr>
        <w:t>approbation par le Conseil, par correspondance le 2</w:t>
      </w:r>
      <w:r w:rsidR="007D6DCE" w:rsidRPr="005F5EE2">
        <w:rPr>
          <w:lang w:val="fr-CH" w:eastAsia="zh-CN"/>
        </w:rPr>
        <w:t>1 septembre 20</w:t>
      </w:r>
      <w:r w:rsidR="00B247A2" w:rsidRPr="005F5EE2">
        <w:rPr>
          <w:lang w:val="fr-CH" w:eastAsia="zh-CN"/>
        </w:rPr>
        <w:t>21, des décisions contenues dans les documents suivants</w:t>
      </w:r>
      <w:r w:rsidR="007D6DCE" w:rsidRPr="005F5EE2">
        <w:rPr>
          <w:lang w:val="fr-CH" w:eastAsia="zh-CN"/>
        </w:rPr>
        <w:t> :</w:t>
      </w:r>
    </w:p>
    <w:p w:rsidR="00275C16" w:rsidRPr="005F5EE2" w:rsidRDefault="00275C16" w:rsidP="005907AC">
      <w:pPr>
        <w:pStyle w:val="DecisionParagraphs"/>
        <w:rPr>
          <w:lang w:val="fr-CH"/>
        </w:rPr>
      </w:pPr>
    </w:p>
    <w:p w:rsidR="00275C16" w:rsidRPr="005F5EE2" w:rsidRDefault="005907AC" w:rsidP="00B247A2">
      <w:pPr>
        <w:pStyle w:val="DecisionParagraphs"/>
        <w:spacing w:after="120"/>
        <w:ind w:left="4824"/>
        <w:rPr>
          <w:lang w:val="fr-CH"/>
        </w:rPr>
      </w:pPr>
      <w:r w:rsidRPr="005F5EE2">
        <w:rPr>
          <w:lang w:val="fr-CH"/>
        </w:rPr>
        <w:tab/>
      </w:r>
      <w:r w:rsidR="00B247A2" w:rsidRPr="005F5EE2">
        <w:rPr>
          <w:lang w:val="fr-CH"/>
        </w:rPr>
        <w:t>Prolongation du mandat du Secrétaire général adjoint et procédure de nomination d</w:t>
      </w:r>
      <w:r w:rsidR="007D6DCE" w:rsidRPr="005F5EE2">
        <w:rPr>
          <w:lang w:val="fr-CH"/>
        </w:rPr>
        <w:t>’</w:t>
      </w:r>
      <w:r w:rsidR="00B247A2" w:rsidRPr="005F5EE2">
        <w:rPr>
          <w:lang w:val="fr-CH"/>
        </w:rPr>
        <w:t>un nouveau Secrétaire général adjoint (document</w:t>
      </w:r>
      <w:r w:rsidR="00625CBD" w:rsidRPr="005F5EE2">
        <w:rPr>
          <w:lang w:val="fr-CH"/>
        </w:rPr>
        <w:t> </w:t>
      </w:r>
      <w:r w:rsidR="00B247A2" w:rsidRPr="005F5EE2">
        <w:rPr>
          <w:lang w:val="fr-CH"/>
        </w:rPr>
        <w:t>C/55/10)</w:t>
      </w:r>
    </w:p>
    <w:p w:rsidR="00275C16" w:rsidRPr="005F5EE2" w:rsidRDefault="005907AC" w:rsidP="00B247A2">
      <w:pPr>
        <w:pStyle w:val="DecisionParagraphs"/>
        <w:spacing w:after="120"/>
        <w:ind w:left="4824"/>
        <w:rPr>
          <w:lang w:val="fr-CH"/>
        </w:rPr>
      </w:pPr>
      <w:r w:rsidRPr="005F5EE2">
        <w:rPr>
          <w:lang w:val="fr-CH"/>
        </w:rPr>
        <w:tab/>
      </w:r>
      <w:r w:rsidR="00B247A2" w:rsidRPr="005F5EE2">
        <w:rPr>
          <w:lang w:val="fr-CH"/>
        </w:rPr>
        <w:t>Adoption de documents (document C/55/3</w:t>
      </w:r>
      <w:r w:rsidR="004011A9" w:rsidRPr="005F5EE2">
        <w:rPr>
          <w:lang w:val="fr-CH"/>
        </w:rPr>
        <w:t> </w:t>
      </w:r>
      <w:proofErr w:type="spellStart"/>
      <w:r w:rsidR="00B247A2" w:rsidRPr="005F5EE2">
        <w:rPr>
          <w:lang w:val="fr-CH"/>
        </w:rPr>
        <w:t>Rev</w:t>
      </w:r>
      <w:proofErr w:type="spellEnd"/>
      <w:r w:rsidR="00B247A2" w:rsidRPr="005F5EE2">
        <w:rPr>
          <w:lang w:val="fr-CH"/>
        </w:rPr>
        <w:t>.)</w:t>
      </w:r>
    </w:p>
    <w:p w:rsidR="007D6DCE" w:rsidRPr="005F5EE2" w:rsidRDefault="005907AC" w:rsidP="00B247A2">
      <w:pPr>
        <w:tabs>
          <w:tab w:val="left" w:pos="5387"/>
          <w:tab w:val="left" w:pos="5954"/>
        </w:tabs>
        <w:spacing w:after="120"/>
        <w:ind w:left="5400"/>
        <w:rPr>
          <w:i/>
          <w:lang w:val="fr-CH"/>
        </w:rPr>
      </w:pPr>
      <w:r w:rsidRPr="005F5EE2">
        <w:rPr>
          <w:i/>
          <w:spacing w:val="4"/>
          <w:lang w:val="fr-CH"/>
        </w:rPr>
        <w:tab/>
      </w:r>
      <w:r w:rsidR="00B247A2" w:rsidRPr="005F5EE2">
        <w:rPr>
          <w:i/>
          <w:spacing w:val="4"/>
          <w:lang w:val="fr-CH"/>
        </w:rPr>
        <w:t>UPOV/INF/6</w:t>
      </w:r>
      <w:r w:rsidR="007D6DCE" w:rsidRPr="005F5EE2">
        <w:rPr>
          <w:i/>
          <w:spacing w:val="4"/>
          <w:lang w:val="fr-CH"/>
        </w:rPr>
        <w:t> :</w:t>
      </w:r>
      <w:r w:rsidR="004011A9" w:rsidRPr="005F5EE2">
        <w:rPr>
          <w:i/>
          <w:spacing w:val="4"/>
          <w:lang w:val="fr-CH"/>
        </w:rPr>
        <w:t xml:space="preserve"> </w:t>
      </w:r>
      <w:r w:rsidR="00602838">
        <w:rPr>
          <w:i/>
          <w:spacing w:val="4"/>
          <w:lang w:val="fr-CH"/>
        </w:rPr>
        <w:t xml:space="preserve"> </w:t>
      </w:r>
      <w:r w:rsidR="00B247A2" w:rsidRPr="005F5EE2">
        <w:rPr>
          <w:i/>
          <w:spacing w:val="4"/>
          <w:lang w:val="fr-CH"/>
        </w:rPr>
        <w:t>Orientations en vue de la rédaction de lois fondées sur l</w:t>
      </w:r>
      <w:r w:rsidR="007D6DCE" w:rsidRPr="005F5EE2">
        <w:rPr>
          <w:i/>
          <w:spacing w:val="4"/>
          <w:lang w:val="fr-CH"/>
        </w:rPr>
        <w:t>’</w:t>
      </w:r>
      <w:r w:rsidR="00B247A2" w:rsidRPr="005F5EE2">
        <w:rPr>
          <w:i/>
          <w:spacing w:val="4"/>
          <w:lang w:val="fr-CH"/>
        </w:rPr>
        <w:t xml:space="preserve">Acte </w:t>
      </w:r>
      <w:r w:rsidR="007D6DCE" w:rsidRPr="005F5EE2">
        <w:rPr>
          <w:i/>
          <w:spacing w:val="4"/>
          <w:lang w:val="fr-CH"/>
        </w:rPr>
        <w:t>de 1991</w:t>
      </w:r>
      <w:r w:rsidR="00B247A2" w:rsidRPr="005F5EE2">
        <w:rPr>
          <w:i/>
          <w:spacing w:val="4"/>
          <w:lang w:val="fr-CH"/>
        </w:rPr>
        <w:t xml:space="preserve"> de la </w:t>
      </w:r>
      <w:r w:rsidR="007D6DCE" w:rsidRPr="005F5EE2">
        <w:rPr>
          <w:i/>
          <w:spacing w:val="4"/>
          <w:lang w:val="fr-CH"/>
        </w:rPr>
        <w:t>Convention UPOV</w:t>
      </w:r>
      <w:r w:rsidR="00B247A2" w:rsidRPr="005F5EE2">
        <w:rPr>
          <w:i/>
          <w:spacing w:val="4"/>
          <w:lang w:val="fr-CH"/>
        </w:rPr>
        <w:t xml:space="preserve"> (révision) (annexe du document</w:t>
      </w:r>
      <w:r w:rsidR="00625CBD" w:rsidRPr="005F5EE2">
        <w:rPr>
          <w:i/>
          <w:spacing w:val="4"/>
          <w:lang w:val="fr-CH"/>
        </w:rPr>
        <w:t> </w:t>
      </w:r>
      <w:r w:rsidR="00B247A2" w:rsidRPr="005F5EE2">
        <w:rPr>
          <w:i/>
          <w:spacing w:val="4"/>
          <w:lang w:val="fr-CH"/>
        </w:rPr>
        <w:t>C/55/3</w:t>
      </w:r>
      <w:r w:rsidR="004011A9" w:rsidRPr="005F5EE2">
        <w:rPr>
          <w:i/>
          <w:spacing w:val="4"/>
          <w:lang w:val="fr-CH"/>
        </w:rPr>
        <w:t> </w:t>
      </w:r>
      <w:proofErr w:type="spellStart"/>
      <w:r w:rsidR="00B247A2" w:rsidRPr="005F5EE2">
        <w:rPr>
          <w:i/>
          <w:spacing w:val="4"/>
          <w:lang w:val="fr-CH"/>
        </w:rPr>
        <w:t>Rev</w:t>
      </w:r>
      <w:proofErr w:type="spellEnd"/>
      <w:r w:rsidR="00B247A2" w:rsidRPr="005F5EE2">
        <w:rPr>
          <w:i/>
          <w:spacing w:val="4"/>
          <w:lang w:val="fr-CH"/>
        </w:rPr>
        <w:t>.)</w:t>
      </w:r>
    </w:p>
    <w:p w:rsidR="00275C16" w:rsidRPr="005F5EE2" w:rsidRDefault="005907AC" w:rsidP="00B247A2">
      <w:pPr>
        <w:tabs>
          <w:tab w:val="left" w:pos="5387"/>
          <w:tab w:val="left" w:pos="5954"/>
        </w:tabs>
        <w:spacing w:after="120"/>
        <w:ind w:left="5400"/>
        <w:rPr>
          <w:i/>
          <w:lang w:val="fr-CH"/>
        </w:rPr>
      </w:pPr>
      <w:r w:rsidRPr="005F5EE2">
        <w:rPr>
          <w:i/>
          <w:lang w:val="fr-CH"/>
        </w:rPr>
        <w:tab/>
      </w:r>
      <w:r w:rsidR="00B247A2" w:rsidRPr="005F5EE2">
        <w:rPr>
          <w:i/>
          <w:lang w:val="fr-CH"/>
        </w:rPr>
        <w:t>UPOV/INF/16</w:t>
      </w:r>
      <w:r w:rsidR="007D6DCE" w:rsidRPr="005F5EE2">
        <w:rPr>
          <w:i/>
          <w:lang w:val="fr-CH"/>
        </w:rPr>
        <w:t> :</w:t>
      </w:r>
      <w:r w:rsidR="004011A9" w:rsidRPr="005F5EE2">
        <w:rPr>
          <w:i/>
          <w:lang w:val="fr-CH"/>
        </w:rPr>
        <w:t xml:space="preserve"> </w:t>
      </w:r>
      <w:r w:rsidR="00602838">
        <w:rPr>
          <w:i/>
          <w:lang w:val="fr-CH"/>
        </w:rPr>
        <w:t xml:space="preserve"> </w:t>
      </w:r>
      <w:r w:rsidR="00B247A2" w:rsidRPr="005F5EE2">
        <w:rPr>
          <w:i/>
          <w:lang w:val="fr-CH"/>
        </w:rPr>
        <w:t>Logiciels échangeables (révision) (document</w:t>
      </w:r>
      <w:r w:rsidR="00625CBD" w:rsidRPr="005F5EE2">
        <w:rPr>
          <w:i/>
          <w:lang w:val="fr-CH"/>
        </w:rPr>
        <w:t> </w:t>
      </w:r>
      <w:r w:rsidR="00B247A2" w:rsidRPr="005F5EE2">
        <w:rPr>
          <w:i/>
          <w:lang w:val="fr-CH"/>
        </w:rPr>
        <w:t xml:space="preserve">UPOV/INF/16/10 </w:t>
      </w:r>
      <w:proofErr w:type="spellStart"/>
      <w:r w:rsidR="00B247A2" w:rsidRPr="005F5EE2">
        <w:rPr>
          <w:i/>
          <w:lang w:val="fr-CH"/>
        </w:rPr>
        <w:t>Draft</w:t>
      </w:r>
      <w:proofErr w:type="spellEnd"/>
      <w:r w:rsidR="00625CBD" w:rsidRPr="005F5EE2">
        <w:rPr>
          <w:i/>
          <w:lang w:val="fr-CH"/>
        </w:rPr>
        <w:t> </w:t>
      </w:r>
      <w:r w:rsidR="00B247A2" w:rsidRPr="005F5EE2">
        <w:rPr>
          <w:i/>
          <w:lang w:val="fr-CH"/>
        </w:rPr>
        <w:t>2)</w:t>
      </w:r>
    </w:p>
    <w:p w:rsidR="00275C16" w:rsidRPr="005F5EE2" w:rsidRDefault="005907AC" w:rsidP="00B247A2">
      <w:pPr>
        <w:tabs>
          <w:tab w:val="left" w:pos="5387"/>
          <w:tab w:val="left" w:pos="5954"/>
        </w:tabs>
        <w:spacing w:after="120"/>
        <w:ind w:left="5400"/>
        <w:rPr>
          <w:i/>
          <w:lang w:val="fr-CH"/>
        </w:rPr>
      </w:pPr>
      <w:r w:rsidRPr="005F5EE2">
        <w:rPr>
          <w:i/>
          <w:lang w:val="fr-CH"/>
        </w:rPr>
        <w:tab/>
      </w:r>
      <w:r w:rsidR="00B247A2" w:rsidRPr="005F5EE2">
        <w:rPr>
          <w:i/>
          <w:lang w:val="fr-CH"/>
        </w:rPr>
        <w:t>UPOV/INF/17</w:t>
      </w:r>
      <w:r w:rsidR="007D6DCE" w:rsidRPr="005F5EE2">
        <w:rPr>
          <w:i/>
          <w:lang w:val="fr-CH"/>
        </w:rPr>
        <w:t> :</w:t>
      </w:r>
      <w:r w:rsidR="004011A9" w:rsidRPr="005F5EE2">
        <w:rPr>
          <w:i/>
          <w:lang w:val="fr-CH"/>
        </w:rPr>
        <w:t xml:space="preserve"> </w:t>
      </w:r>
      <w:r w:rsidR="00602838">
        <w:rPr>
          <w:i/>
          <w:lang w:val="fr-CH"/>
        </w:rPr>
        <w:t xml:space="preserve"> </w:t>
      </w:r>
      <w:r w:rsidR="00B247A2" w:rsidRPr="005F5EE2">
        <w:rPr>
          <w:i/>
          <w:lang w:val="fr-CH"/>
        </w:rPr>
        <w:t>Directives concernant les profils d</w:t>
      </w:r>
      <w:r w:rsidR="007D6DCE" w:rsidRPr="005F5EE2">
        <w:rPr>
          <w:i/>
          <w:lang w:val="fr-CH"/>
        </w:rPr>
        <w:t>’</w:t>
      </w:r>
      <w:r w:rsidR="00B247A2" w:rsidRPr="005F5EE2">
        <w:rPr>
          <w:i/>
          <w:lang w:val="fr-CH"/>
        </w:rPr>
        <w:t>ADN</w:t>
      </w:r>
      <w:r w:rsidR="007D6DCE" w:rsidRPr="005F5EE2">
        <w:rPr>
          <w:i/>
          <w:lang w:val="fr-CH"/>
        </w:rPr>
        <w:t> :</w:t>
      </w:r>
      <w:r w:rsidR="00B247A2" w:rsidRPr="005F5EE2">
        <w:rPr>
          <w:i/>
          <w:lang w:val="fr-CH"/>
        </w:rPr>
        <w:t xml:space="preserve"> choix des marqueurs moléculaires et construction d</w:t>
      </w:r>
      <w:r w:rsidR="007D6DCE" w:rsidRPr="005F5EE2">
        <w:rPr>
          <w:i/>
          <w:lang w:val="fr-CH"/>
        </w:rPr>
        <w:t>’</w:t>
      </w:r>
      <w:r w:rsidR="00B247A2" w:rsidRPr="005F5EE2">
        <w:rPr>
          <w:i/>
          <w:lang w:val="fr-CH"/>
        </w:rPr>
        <w:t>une base de données y relative (“Directives BMT”) (</w:t>
      </w:r>
      <w:r w:rsidR="002E4BB8" w:rsidRPr="005F5EE2">
        <w:rPr>
          <w:i/>
          <w:lang w:val="fr-CH"/>
        </w:rPr>
        <w:t>r</w:t>
      </w:r>
      <w:r w:rsidR="00B247A2" w:rsidRPr="005F5EE2">
        <w:rPr>
          <w:i/>
          <w:lang w:val="fr-CH"/>
        </w:rPr>
        <w:t>évision) (document</w:t>
      </w:r>
      <w:r w:rsidR="00625CBD" w:rsidRPr="005F5EE2">
        <w:rPr>
          <w:i/>
          <w:lang w:val="fr-CH"/>
        </w:rPr>
        <w:t> </w:t>
      </w:r>
      <w:r w:rsidR="00B247A2" w:rsidRPr="005F5EE2">
        <w:rPr>
          <w:i/>
          <w:lang w:val="fr-CH"/>
        </w:rPr>
        <w:t xml:space="preserve">UPOV/INF/17/2 </w:t>
      </w:r>
      <w:proofErr w:type="spellStart"/>
      <w:r w:rsidR="00B247A2" w:rsidRPr="005F5EE2">
        <w:rPr>
          <w:i/>
          <w:lang w:val="fr-CH"/>
        </w:rPr>
        <w:t>Draft</w:t>
      </w:r>
      <w:proofErr w:type="spellEnd"/>
      <w:r w:rsidR="00625CBD" w:rsidRPr="005F5EE2">
        <w:rPr>
          <w:i/>
          <w:lang w:val="fr-CH"/>
        </w:rPr>
        <w:t> </w:t>
      </w:r>
      <w:r w:rsidR="00B247A2" w:rsidRPr="005F5EE2">
        <w:rPr>
          <w:i/>
          <w:lang w:val="fr-CH"/>
        </w:rPr>
        <w:t>6)</w:t>
      </w:r>
    </w:p>
    <w:p w:rsidR="00275C16" w:rsidRPr="005F5EE2" w:rsidRDefault="005907AC" w:rsidP="00B247A2">
      <w:pPr>
        <w:tabs>
          <w:tab w:val="left" w:pos="5387"/>
          <w:tab w:val="left" w:pos="5954"/>
        </w:tabs>
        <w:spacing w:after="120"/>
        <w:ind w:left="5400"/>
        <w:rPr>
          <w:i/>
          <w:lang w:val="fr-CH"/>
        </w:rPr>
      </w:pPr>
      <w:r w:rsidRPr="005F5EE2">
        <w:rPr>
          <w:i/>
          <w:lang w:val="fr-CH"/>
        </w:rPr>
        <w:tab/>
      </w:r>
      <w:r w:rsidR="00B247A2" w:rsidRPr="005F5EE2">
        <w:rPr>
          <w:i/>
          <w:lang w:val="fr-CH"/>
        </w:rPr>
        <w:t>UPOV/INF/22</w:t>
      </w:r>
      <w:r w:rsidR="007D6DCE" w:rsidRPr="005F5EE2">
        <w:rPr>
          <w:i/>
          <w:lang w:val="fr-CH"/>
        </w:rPr>
        <w:t> :</w:t>
      </w:r>
      <w:r w:rsidR="004011A9" w:rsidRPr="005F5EE2">
        <w:rPr>
          <w:i/>
          <w:lang w:val="fr-CH"/>
        </w:rPr>
        <w:t xml:space="preserve"> </w:t>
      </w:r>
      <w:r w:rsidR="00602838">
        <w:rPr>
          <w:i/>
          <w:lang w:val="fr-CH"/>
        </w:rPr>
        <w:t xml:space="preserve"> </w:t>
      </w:r>
      <w:r w:rsidR="00B247A2" w:rsidRPr="005F5EE2">
        <w:rPr>
          <w:i/>
          <w:lang w:val="fr-CH"/>
        </w:rPr>
        <w:t>Logiciels et équipements utilisés par les membres de l</w:t>
      </w:r>
      <w:r w:rsidR="007D6DCE" w:rsidRPr="005F5EE2">
        <w:rPr>
          <w:i/>
          <w:lang w:val="fr-CH"/>
        </w:rPr>
        <w:t>’</w:t>
      </w:r>
      <w:r w:rsidR="00B247A2" w:rsidRPr="005F5EE2">
        <w:rPr>
          <w:i/>
          <w:lang w:val="fr-CH"/>
        </w:rPr>
        <w:t>Union (révision) (document</w:t>
      </w:r>
      <w:r w:rsidR="00625CBD" w:rsidRPr="005F5EE2">
        <w:rPr>
          <w:i/>
          <w:lang w:val="fr-CH"/>
        </w:rPr>
        <w:t> </w:t>
      </w:r>
      <w:r w:rsidR="00B247A2" w:rsidRPr="005F5EE2">
        <w:rPr>
          <w:i/>
          <w:lang w:val="fr-CH"/>
        </w:rPr>
        <w:t xml:space="preserve">UPOV/INF/22/8 </w:t>
      </w:r>
      <w:proofErr w:type="spellStart"/>
      <w:r w:rsidR="00B247A2" w:rsidRPr="005F5EE2">
        <w:rPr>
          <w:i/>
          <w:lang w:val="fr-CH"/>
        </w:rPr>
        <w:t>Draft</w:t>
      </w:r>
      <w:proofErr w:type="spellEnd"/>
      <w:r w:rsidR="00625CBD" w:rsidRPr="005F5EE2">
        <w:rPr>
          <w:i/>
          <w:lang w:val="fr-CH"/>
        </w:rPr>
        <w:t> </w:t>
      </w:r>
      <w:r w:rsidR="00B247A2" w:rsidRPr="005F5EE2">
        <w:rPr>
          <w:i/>
          <w:lang w:val="fr-CH"/>
        </w:rPr>
        <w:t>2)</w:t>
      </w:r>
    </w:p>
    <w:p w:rsidR="00275C16" w:rsidRPr="005F5EE2" w:rsidRDefault="005907AC" w:rsidP="00B247A2">
      <w:pPr>
        <w:tabs>
          <w:tab w:val="left" w:pos="5387"/>
          <w:tab w:val="left" w:pos="5954"/>
        </w:tabs>
        <w:spacing w:after="120"/>
        <w:ind w:left="5400"/>
        <w:rPr>
          <w:i/>
          <w:lang w:val="fr-CH"/>
        </w:rPr>
      </w:pPr>
      <w:r w:rsidRPr="005F5EE2">
        <w:rPr>
          <w:i/>
          <w:lang w:val="fr-CH"/>
        </w:rPr>
        <w:tab/>
      </w:r>
      <w:r w:rsidR="00B247A2" w:rsidRPr="005F5EE2">
        <w:rPr>
          <w:i/>
          <w:lang w:val="fr-CH"/>
        </w:rPr>
        <w:t>UPOV/INF/23</w:t>
      </w:r>
      <w:r w:rsidR="007D6DCE" w:rsidRPr="005F5EE2">
        <w:rPr>
          <w:i/>
          <w:lang w:val="fr-CH"/>
        </w:rPr>
        <w:t> :</w:t>
      </w:r>
      <w:r w:rsidR="004011A9" w:rsidRPr="005F5EE2">
        <w:rPr>
          <w:i/>
          <w:lang w:val="fr-CH"/>
        </w:rPr>
        <w:t xml:space="preserve"> </w:t>
      </w:r>
      <w:r w:rsidR="00602838">
        <w:rPr>
          <w:i/>
          <w:lang w:val="fr-CH"/>
        </w:rPr>
        <w:t xml:space="preserve"> </w:t>
      </w:r>
      <w:r w:rsidR="00B247A2" w:rsidRPr="005F5EE2">
        <w:rPr>
          <w:i/>
          <w:lang w:val="fr-CH"/>
        </w:rPr>
        <w:t>Système de codes UPOV (document</w:t>
      </w:r>
      <w:r w:rsidR="00625CBD" w:rsidRPr="005F5EE2">
        <w:rPr>
          <w:i/>
          <w:lang w:val="fr-CH"/>
        </w:rPr>
        <w:t> </w:t>
      </w:r>
      <w:r w:rsidR="00B247A2" w:rsidRPr="005F5EE2">
        <w:rPr>
          <w:i/>
          <w:lang w:val="fr-CH"/>
        </w:rPr>
        <w:t xml:space="preserve">UPOV/INF/23/1 </w:t>
      </w:r>
      <w:proofErr w:type="spellStart"/>
      <w:r w:rsidR="00B247A2" w:rsidRPr="005F5EE2">
        <w:rPr>
          <w:i/>
          <w:lang w:val="fr-CH"/>
        </w:rPr>
        <w:t>Draft</w:t>
      </w:r>
      <w:proofErr w:type="spellEnd"/>
      <w:r w:rsidR="00625CBD" w:rsidRPr="005F5EE2">
        <w:rPr>
          <w:i/>
          <w:lang w:val="fr-CH"/>
        </w:rPr>
        <w:t> </w:t>
      </w:r>
      <w:r w:rsidR="00B247A2" w:rsidRPr="005F5EE2">
        <w:rPr>
          <w:i/>
          <w:lang w:val="fr-CH"/>
        </w:rPr>
        <w:t>3)</w:t>
      </w:r>
    </w:p>
    <w:p w:rsidR="00275C16" w:rsidRPr="005F5EE2" w:rsidRDefault="005907AC" w:rsidP="00B247A2">
      <w:pPr>
        <w:tabs>
          <w:tab w:val="left" w:pos="5387"/>
          <w:tab w:val="left" w:pos="5954"/>
          <w:tab w:val="left" w:pos="6840"/>
          <w:tab w:val="left" w:pos="7020"/>
        </w:tabs>
        <w:spacing w:after="120"/>
        <w:ind w:left="5400"/>
        <w:rPr>
          <w:i/>
          <w:spacing w:val="-4"/>
          <w:lang w:val="fr-CH"/>
        </w:rPr>
      </w:pPr>
      <w:r w:rsidRPr="005F5EE2">
        <w:rPr>
          <w:i/>
          <w:spacing w:val="-4"/>
          <w:lang w:val="fr-CH"/>
        </w:rPr>
        <w:tab/>
      </w:r>
      <w:r w:rsidR="00B247A2" w:rsidRPr="005F5EE2">
        <w:rPr>
          <w:i/>
          <w:spacing w:val="-4"/>
          <w:lang w:val="fr-CH"/>
        </w:rPr>
        <w:t>UPOV/INF</w:t>
      </w:r>
      <w:r w:rsidR="007D6DCE" w:rsidRPr="005F5EE2">
        <w:rPr>
          <w:i/>
          <w:spacing w:val="-4"/>
          <w:lang w:val="fr-CH"/>
        </w:rPr>
        <w:t>-</w:t>
      </w:r>
      <w:r w:rsidR="00B247A2" w:rsidRPr="005F5EE2">
        <w:rPr>
          <w:i/>
          <w:spacing w:val="-4"/>
          <w:lang w:val="fr-CH"/>
        </w:rPr>
        <w:t>EXN</w:t>
      </w:r>
      <w:r w:rsidR="007D6DCE" w:rsidRPr="005F5EE2">
        <w:rPr>
          <w:i/>
          <w:spacing w:val="-4"/>
          <w:lang w:val="fr-CH"/>
        </w:rPr>
        <w:t> :</w:t>
      </w:r>
      <w:r w:rsidR="004011A9" w:rsidRPr="005F5EE2">
        <w:rPr>
          <w:i/>
          <w:spacing w:val="-4"/>
          <w:lang w:val="fr-CH"/>
        </w:rPr>
        <w:t xml:space="preserve"> </w:t>
      </w:r>
      <w:r w:rsidR="00602838">
        <w:rPr>
          <w:i/>
          <w:spacing w:val="-4"/>
          <w:lang w:val="fr-CH"/>
        </w:rPr>
        <w:t xml:space="preserve"> </w:t>
      </w:r>
      <w:r w:rsidR="00B247A2" w:rsidRPr="005F5EE2">
        <w:rPr>
          <w:i/>
          <w:spacing w:val="-4"/>
          <w:lang w:val="fr-CH"/>
        </w:rPr>
        <w:t>Liste des documents UPOV/INF</w:t>
      </w:r>
      <w:r w:rsidR="007D6DCE" w:rsidRPr="005F5EE2">
        <w:rPr>
          <w:i/>
          <w:spacing w:val="-4"/>
          <w:lang w:val="fr-CH"/>
        </w:rPr>
        <w:t>-</w:t>
      </w:r>
      <w:r w:rsidR="00B247A2" w:rsidRPr="005F5EE2">
        <w:rPr>
          <w:i/>
          <w:spacing w:val="-4"/>
          <w:lang w:val="fr-CH"/>
        </w:rPr>
        <w:t>EXN et date de la version la plus récente de ces</w:t>
      </w:r>
      <w:r w:rsidR="00602838">
        <w:rPr>
          <w:i/>
          <w:spacing w:val="-4"/>
          <w:lang w:val="fr-CH"/>
        </w:rPr>
        <w:t xml:space="preserve"> documents (révision) (document </w:t>
      </w:r>
      <w:r w:rsidR="00B247A2" w:rsidRPr="005F5EE2">
        <w:rPr>
          <w:i/>
          <w:spacing w:val="-4"/>
          <w:lang w:val="fr-CH"/>
        </w:rPr>
        <w:t>UPOV/INF</w:t>
      </w:r>
      <w:r w:rsidR="007D6DCE" w:rsidRPr="005F5EE2">
        <w:rPr>
          <w:i/>
          <w:spacing w:val="-4"/>
          <w:lang w:val="fr-CH"/>
        </w:rPr>
        <w:t>-</w:t>
      </w:r>
      <w:r w:rsidR="00B247A2" w:rsidRPr="005F5EE2">
        <w:rPr>
          <w:i/>
          <w:spacing w:val="-4"/>
          <w:lang w:val="fr-CH"/>
        </w:rPr>
        <w:t xml:space="preserve">EXN/15 </w:t>
      </w:r>
      <w:proofErr w:type="spellStart"/>
      <w:r w:rsidR="00B247A2" w:rsidRPr="005F5EE2">
        <w:rPr>
          <w:i/>
          <w:spacing w:val="-4"/>
          <w:lang w:val="fr-CH"/>
        </w:rPr>
        <w:t>Draft</w:t>
      </w:r>
      <w:proofErr w:type="spellEnd"/>
      <w:r w:rsidR="00B247A2" w:rsidRPr="005F5EE2">
        <w:rPr>
          <w:i/>
          <w:spacing w:val="-4"/>
          <w:lang w:val="fr-CH"/>
        </w:rPr>
        <w:t xml:space="preserve"> 1)</w:t>
      </w:r>
    </w:p>
    <w:p w:rsidR="00275C16" w:rsidRPr="005F5EE2" w:rsidRDefault="005907AC" w:rsidP="00B247A2">
      <w:pPr>
        <w:tabs>
          <w:tab w:val="left" w:pos="5387"/>
          <w:tab w:val="left" w:pos="5954"/>
        </w:tabs>
        <w:spacing w:after="120"/>
        <w:ind w:left="5400"/>
        <w:rPr>
          <w:i/>
          <w:lang w:val="fr-CH"/>
        </w:rPr>
      </w:pPr>
      <w:r w:rsidRPr="005F5EE2">
        <w:rPr>
          <w:i/>
          <w:spacing w:val="-4"/>
          <w:lang w:val="fr-CH"/>
        </w:rPr>
        <w:lastRenderedPageBreak/>
        <w:tab/>
      </w:r>
      <w:r w:rsidR="00B247A2" w:rsidRPr="005F5EE2">
        <w:rPr>
          <w:i/>
          <w:spacing w:val="-4"/>
          <w:lang w:val="fr-CH"/>
        </w:rPr>
        <w:t>TGP/5</w:t>
      </w:r>
      <w:r w:rsidR="007D6DCE" w:rsidRPr="005F5EE2">
        <w:rPr>
          <w:i/>
          <w:spacing w:val="-4"/>
          <w:lang w:val="fr-CH"/>
        </w:rPr>
        <w:t> :</w:t>
      </w:r>
      <w:r w:rsidR="00B247A2" w:rsidRPr="005F5EE2">
        <w:rPr>
          <w:i/>
          <w:spacing w:val="-4"/>
          <w:lang w:val="fr-CH"/>
        </w:rPr>
        <w:t xml:space="preserve"> Expérience et coopération en matière d</w:t>
      </w:r>
      <w:r w:rsidR="007D6DCE" w:rsidRPr="005F5EE2">
        <w:rPr>
          <w:i/>
          <w:spacing w:val="-4"/>
          <w:lang w:val="fr-CH"/>
        </w:rPr>
        <w:t>’</w:t>
      </w:r>
      <w:r w:rsidR="00B247A2" w:rsidRPr="005F5EE2">
        <w:rPr>
          <w:i/>
          <w:spacing w:val="-4"/>
          <w:lang w:val="fr-CH"/>
        </w:rPr>
        <w:t xml:space="preserve">examen DHS, </w:t>
      </w:r>
      <w:r w:rsidR="007D6DCE" w:rsidRPr="005F5EE2">
        <w:rPr>
          <w:i/>
          <w:spacing w:val="-4"/>
          <w:lang w:val="fr-CH"/>
        </w:rPr>
        <w:t>Section 2 :</w:t>
      </w:r>
      <w:r w:rsidR="00B247A2" w:rsidRPr="005F5EE2">
        <w:rPr>
          <w:i/>
          <w:spacing w:val="-4"/>
          <w:lang w:val="fr-CH"/>
        </w:rPr>
        <w:t xml:space="preserve"> Formulaire type de l</w:t>
      </w:r>
      <w:r w:rsidR="007D6DCE" w:rsidRPr="005F5EE2">
        <w:rPr>
          <w:i/>
          <w:spacing w:val="-4"/>
          <w:lang w:val="fr-CH"/>
        </w:rPr>
        <w:t>’</w:t>
      </w:r>
      <w:r w:rsidR="00B247A2" w:rsidRPr="005F5EE2">
        <w:rPr>
          <w:i/>
          <w:spacing w:val="-4"/>
          <w:lang w:val="fr-CH"/>
        </w:rPr>
        <w:t>UPOV pour la demande de protection d</w:t>
      </w:r>
      <w:r w:rsidR="007D6DCE" w:rsidRPr="005F5EE2">
        <w:rPr>
          <w:i/>
          <w:spacing w:val="-4"/>
          <w:lang w:val="fr-CH"/>
        </w:rPr>
        <w:t>’</w:t>
      </w:r>
      <w:r w:rsidR="00B247A2" w:rsidRPr="005F5EE2">
        <w:rPr>
          <w:i/>
          <w:spacing w:val="-4"/>
          <w:lang w:val="fr-CH"/>
        </w:rPr>
        <w:t xml:space="preserve">une obtention végétale (document TGP/5, Section 2/4 </w:t>
      </w:r>
      <w:proofErr w:type="spellStart"/>
      <w:r w:rsidR="00B247A2" w:rsidRPr="005F5EE2">
        <w:rPr>
          <w:i/>
          <w:spacing w:val="-4"/>
          <w:lang w:val="fr-CH"/>
        </w:rPr>
        <w:t>Draft</w:t>
      </w:r>
      <w:proofErr w:type="spellEnd"/>
      <w:r w:rsidR="00B247A2" w:rsidRPr="005F5EE2">
        <w:rPr>
          <w:i/>
          <w:spacing w:val="-4"/>
          <w:lang w:val="fr-CH"/>
        </w:rPr>
        <w:t> 1)</w:t>
      </w:r>
    </w:p>
    <w:p w:rsidR="00275C16" w:rsidRPr="005F5EE2" w:rsidRDefault="005907AC" w:rsidP="005F5EE2">
      <w:pPr>
        <w:keepNext/>
        <w:keepLines/>
        <w:tabs>
          <w:tab w:val="left" w:pos="5387"/>
          <w:tab w:val="left" w:pos="5954"/>
        </w:tabs>
        <w:spacing w:after="120"/>
        <w:ind w:left="5398"/>
        <w:rPr>
          <w:i/>
          <w:lang w:val="fr-CH"/>
        </w:rPr>
      </w:pPr>
      <w:r w:rsidRPr="005F5EE2">
        <w:rPr>
          <w:i/>
          <w:lang w:val="fr-CH"/>
        </w:rPr>
        <w:tab/>
      </w:r>
      <w:r w:rsidR="00B247A2" w:rsidRPr="005F5EE2">
        <w:rPr>
          <w:i/>
          <w:lang w:val="fr-CH"/>
        </w:rPr>
        <w:t>TGP/0</w:t>
      </w:r>
      <w:r w:rsidR="007D6DCE" w:rsidRPr="005F5EE2">
        <w:rPr>
          <w:i/>
          <w:lang w:val="fr-CH"/>
        </w:rPr>
        <w:t> :</w:t>
      </w:r>
      <w:r w:rsidR="004011A9" w:rsidRPr="005F5EE2">
        <w:rPr>
          <w:i/>
          <w:lang w:val="fr-CH"/>
        </w:rPr>
        <w:t xml:space="preserve"> </w:t>
      </w:r>
      <w:r w:rsidR="00602838">
        <w:rPr>
          <w:i/>
          <w:lang w:val="fr-CH"/>
        </w:rPr>
        <w:t xml:space="preserve"> </w:t>
      </w:r>
      <w:r w:rsidR="00B247A2" w:rsidRPr="005F5EE2">
        <w:rPr>
          <w:i/>
          <w:lang w:val="fr-CH"/>
        </w:rPr>
        <w:t>Liste des documents TGP et date de la version la plus récente de ces documents (révision) (document</w:t>
      </w:r>
      <w:r w:rsidR="00625CBD" w:rsidRPr="005F5EE2">
        <w:rPr>
          <w:i/>
          <w:lang w:val="fr-CH"/>
        </w:rPr>
        <w:t> </w:t>
      </w:r>
      <w:r w:rsidR="00B247A2" w:rsidRPr="005F5EE2">
        <w:rPr>
          <w:i/>
          <w:lang w:val="fr-CH"/>
        </w:rPr>
        <w:t xml:space="preserve">TGP/0/13 </w:t>
      </w:r>
      <w:proofErr w:type="spellStart"/>
      <w:r w:rsidR="00B247A2" w:rsidRPr="005F5EE2">
        <w:rPr>
          <w:i/>
          <w:lang w:val="fr-CH"/>
        </w:rPr>
        <w:t>Draft</w:t>
      </w:r>
      <w:proofErr w:type="spellEnd"/>
      <w:r w:rsidR="00625CBD" w:rsidRPr="005F5EE2">
        <w:rPr>
          <w:i/>
          <w:lang w:val="fr-CH"/>
        </w:rPr>
        <w:t> </w:t>
      </w:r>
      <w:r w:rsidR="00B247A2" w:rsidRPr="005F5EE2">
        <w:rPr>
          <w:i/>
          <w:lang w:val="fr-CH"/>
        </w:rPr>
        <w:t>1)</w:t>
      </w:r>
    </w:p>
    <w:p w:rsidR="00275C16" w:rsidRPr="005F5EE2" w:rsidRDefault="005907AC" w:rsidP="00B247A2">
      <w:pPr>
        <w:tabs>
          <w:tab w:val="left" w:pos="5387"/>
          <w:tab w:val="left" w:pos="5954"/>
        </w:tabs>
        <w:spacing w:after="120"/>
        <w:ind w:left="4824"/>
        <w:rPr>
          <w:i/>
          <w:lang w:val="fr-CH"/>
        </w:rPr>
      </w:pPr>
      <w:r w:rsidRPr="005F5EE2">
        <w:rPr>
          <w:i/>
          <w:lang w:val="fr-CH"/>
        </w:rPr>
        <w:tab/>
      </w:r>
      <w:r w:rsidR="00B247A2" w:rsidRPr="005F5EE2">
        <w:rPr>
          <w:i/>
          <w:lang w:val="fr-CH"/>
        </w:rPr>
        <w:t xml:space="preserve">Notes explicatives concernant les dénominations variétales en vertu de la </w:t>
      </w:r>
      <w:r w:rsidR="007D6DCE" w:rsidRPr="005F5EE2">
        <w:rPr>
          <w:i/>
          <w:lang w:val="fr-CH"/>
        </w:rPr>
        <w:t>Convention UPOV</w:t>
      </w:r>
      <w:r w:rsidR="00B247A2" w:rsidRPr="005F5EE2">
        <w:rPr>
          <w:i/>
          <w:lang w:val="fr-CH"/>
        </w:rPr>
        <w:t xml:space="preserve"> (document</w:t>
      </w:r>
      <w:r w:rsidR="00625CBD" w:rsidRPr="005F5EE2">
        <w:rPr>
          <w:i/>
          <w:lang w:val="fr-CH"/>
        </w:rPr>
        <w:t> </w:t>
      </w:r>
      <w:r w:rsidR="00B247A2" w:rsidRPr="005F5EE2">
        <w:rPr>
          <w:i/>
          <w:lang w:val="fr-CH"/>
        </w:rPr>
        <w:t>C/55/11)</w:t>
      </w:r>
    </w:p>
    <w:p w:rsidR="00275C16" w:rsidRPr="005F5EE2" w:rsidRDefault="005907AC" w:rsidP="00B247A2">
      <w:pPr>
        <w:keepLines/>
        <w:tabs>
          <w:tab w:val="left" w:pos="5387"/>
          <w:tab w:val="left" w:pos="5954"/>
        </w:tabs>
        <w:spacing w:after="120"/>
        <w:ind w:left="5400"/>
        <w:rPr>
          <w:i/>
          <w:lang w:val="fr-CH"/>
        </w:rPr>
      </w:pPr>
      <w:r w:rsidRPr="005F5EE2">
        <w:rPr>
          <w:i/>
          <w:lang w:val="fr-CH"/>
        </w:rPr>
        <w:tab/>
      </w:r>
      <w:r w:rsidR="00B247A2" w:rsidRPr="005F5EE2">
        <w:rPr>
          <w:i/>
          <w:lang w:val="fr-CH"/>
        </w:rPr>
        <w:t>UPOV/EXN/DEN</w:t>
      </w:r>
      <w:r w:rsidR="007D6DCE" w:rsidRPr="005F5EE2">
        <w:rPr>
          <w:i/>
          <w:lang w:val="fr-CH"/>
        </w:rPr>
        <w:t> :</w:t>
      </w:r>
      <w:r w:rsidR="004011A9" w:rsidRPr="005F5EE2">
        <w:rPr>
          <w:i/>
          <w:lang w:val="fr-CH"/>
        </w:rPr>
        <w:t xml:space="preserve"> </w:t>
      </w:r>
      <w:r w:rsidR="00602838">
        <w:rPr>
          <w:i/>
          <w:lang w:val="fr-CH"/>
        </w:rPr>
        <w:t xml:space="preserve"> </w:t>
      </w:r>
      <w:r w:rsidR="00B247A2" w:rsidRPr="005F5EE2">
        <w:rPr>
          <w:i/>
          <w:lang w:val="fr-CH"/>
        </w:rPr>
        <w:t xml:space="preserve">Notes explicatives concernant les dénominations variétales en vertu de la </w:t>
      </w:r>
      <w:r w:rsidR="00602838">
        <w:rPr>
          <w:i/>
          <w:lang w:val="fr-CH"/>
        </w:rPr>
        <w:t xml:space="preserve">Convention </w:t>
      </w:r>
      <w:r w:rsidR="007D6DCE" w:rsidRPr="005F5EE2">
        <w:rPr>
          <w:i/>
          <w:lang w:val="fr-CH"/>
        </w:rPr>
        <w:t>UPOV</w:t>
      </w:r>
      <w:r w:rsidR="00B247A2" w:rsidRPr="005F5EE2">
        <w:rPr>
          <w:i/>
          <w:lang w:val="fr-CH"/>
        </w:rPr>
        <w:t xml:space="preserve"> (document</w:t>
      </w:r>
      <w:r w:rsidR="00625CBD" w:rsidRPr="005F5EE2">
        <w:rPr>
          <w:i/>
          <w:lang w:val="fr-CH"/>
        </w:rPr>
        <w:t> </w:t>
      </w:r>
      <w:r w:rsidR="00B247A2" w:rsidRPr="005F5EE2">
        <w:rPr>
          <w:i/>
          <w:lang w:val="fr-CH"/>
        </w:rPr>
        <w:t xml:space="preserve">UPOV/EXN/DEN/1 </w:t>
      </w:r>
      <w:proofErr w:type="spellStart"/>
      <w:r w:rsidR="00B247A2" w:rsidRPr="005F5EE2">
        <w:rPr>
          <w:i/>
          <w:lang w:val="fr-CH"/>
        </w:rPr>
        <w:t>Draft</w:t>
      </w:r>
      <w:proofErr w:type="spellEnd"/>
      <w:r w:rsidR="00625CBD" w:rsidRPr="005F5EE2">
        <w:rPr>
          <w:i/>
          <w:lang w:val="fr-CH"/>
        </w:rPr>
        <w:t> </w:t>
      </w:r>
      <w:r w:rsidR="00B247A2" w:rsidRPr="005F5EE2">
        <w:rPr>
          <w:i/>
          <w:lang w:val="fr-CH"/>
        </w:rPr>
        <w:t>6)</w:t>
      </w:r>
    </w:p>
    <w:p w:rsidR="00275C16" w:rsidRPr="005F5EE2" w:rsidRDefault="005907AC" w:rsidP="00B247A2">
      <w:pPr>
        <w:tabs>
          <w:tab w:val="left" w:pos="5387"/>
          <w:tab w:val="left" w:pos="5954"/>
        </w:tabs>
        <w:spacing w:after="120"/>
        <w:ind w:left="4820"/>
        <w:rPr>
          <w:i/>
          <w:lang w:val="fr-CH"/>
        </w:rPr>
      </w:pPr>
      <w:r w:rsidRPr="005F5EE2">
        <w:rPr>
          <w:i/>
          <w:lang w:val="fr-CH"/>
        </w:rPr>
        <w:tab/>
      </w:r>
      <w:r w:rsidR="00B247A2" w:rsidRPr="005F5EE2">
        <w:rPr>
          <w:i/>
          <w:lang w:val="fr-CH"/>
        </w:rPr>
        <w:t xml:space="preserve">États financiers </w:t>
      </w:r>
      <w:r w:rsidR="007D6DCE" w:rsidRPr="005F5EE2">
        <w:rPr>
          <w:i/>
          <w:lang w:val="fr-CH"/>
        </w:rPr>
        <w:t>pour 2020</w:t>
      </w:r>
      <w:r w:rsidR="00B247A2" w:rsidRPr="005F5EE2">
        <w:rPr>
          <w:i/>
          <w:lang w:val="fr-CH"/>
        </w:rPr>
        <w:t xml:space="preserve"> (document</w:t>
      </w:r>
      <w:r w:rsidR="00625CBD" w:rsidRPr="005F5EE2">
        <w:rPr>
          <w:i/>
          <w:lang w:val="fr-CH"/>
        </w:rPr>
        <w:t> </w:t>
      </w:r>
      <w:r w:rsidR="00B247A2" w:rsidRPr="005F5EE2">
        <w:rPr>
          <w:i/>
          <w:lang w:val="fr-CH"/>
        </w:rPr>
        <w:t>C/55/5)</w:t>
      </w:r>
    </w:p>
    <w:p w:rsidR="00275C16" w:rsidRPr="005F5EE2" w:rsidRDefault="005907AC" w:rsidP="00B247A2">
      <w:pPr>
        <w:tabs>
          <w:tab w:val="left" w:pos="5387"/>
          <w:tab w:val="left" w:pos="5954"/>
        </w:tabs>
        <w:ind w:left="4820"/>
        <w:rPr>
          <w:i/>
          <w:lang w:val="fr-CH"/>
        </w:rPr>
      </w:pPr>
      <w:r w:rsidRPr="005F5EE2">
        <w:rPr>
          <w:i/>
          <w:lang w:val="fr-CH"/>
        </w:rPr>
        <w:tab/>
      </w:r>
      <w:r w:rsidR="00B247A2" w:rsidRPr="005F5EE2">
        <w:rPr>
          <w:i/>
          <w:lang w:val="fr-CH"/>
        </w:rPr>
        <w:t>Projet de programme et budget pour l</w:t>
      </w:r>
      <w:r w:rsidR="007D6DCE" w:rsidRPr="005F5EE2">
        <w:rPr>
          <w:i/>
          <w:lang w:val="fr-CH"/>
        </w:rPr>
        <w:t>’</w:t>
      </w:r>
      <w:r w:rsidR="00B247A2" w:rsidRPr="005F5EE2">
        <w:rPr>
          <w:i/>
          <w:lang w:val="fr-CH"/>
        </w:rPr>
        <w:t xml:space="preserve">exercice </w:t>
      </w:r>
      <w:r w:rsidR="007D6DCE" w:rsidRPr="005F5EE2">
        <w:rPr>
          <w:i/>
          <w:lang w:val="fr-CH"/>
        </w:rPr>
        <w:t>biennal 2022-</w:t>
      </w:r>
      <w:r w:rsidR="00B247A2" w:rsidRPr="005F5EE2">
        <w:rPr>
          <w:i/>
          <w:lang w:val="fr-CH"/>
        </w:rPr>
        <w:t>2023 (document</w:t>
      </w:r>
      <w:r w:rsidR="00625CBD" w:rsidRPr="005F5EE2">
        <w:rPr>
          <w:i/>
          <w:lang w:val="fr-CH"/>
        </w:rPr>
        <w:t> </w:t>
      </w:r>
      <w:r w:rsidR="00B247A2" w:rsidRPr="005F5EE2">
        <w:rPr>
          <w:i/>
          <w:lang w:val="fr-CH"/>
        </w:rPr>
        <w:t>C/55/4)</w:t>
      </w:r>
      <w:r w:rsidR="005F5EE2" w:rsidRPr="005F5EE2">
        <w:rPr>
          <w:i/>
          <w:lang w:val="fr-CH"/>
        </w:rPr>
        <w:t>.</w:t>
      </w:r>
    </w:p>
    <w:p w:rsidR="00275C16" w:rsidRPr="005F5EE2" w:rsidRDefault="00275C16" w:rsidP="005907AC">
      <w:pPr>
        <w:tabs>
          <w:tab w:val="left" w:pos="5387"/>
          <w:tab w:val="left" w:pos="5954"/>
        </w:tabs>
        <w:ind w:left="4820"/>
        <w:rPr>
          <w:i/>
          <w:lang w:val="fr-CH"/>
        </w:rPr>
      </w:pPr>
    </w:p>
    <w:p w:rsidR="00275C16" w:rsidRPr="005F5EE2" w:rsidRDefault="005907AC" w:rsidP="003827FA">
      <w:pPr>
        <w:pStyle w:val="DecisionParagraphs"/>
        <w:rPr>
          <w:spacing w:val="2"/>
          <w:lang w:val="fr-CH"/>
        </w:rPr>
      </w:pPr>
      <w:r w:rsidRPr="005F5EE2">
        <w:rPr>
          <w:spacing w:val="2"/>
        </w:rPr>
        <w:fldChar w:fldCharType="begin"/>
      </w:r>
      <w:r w:rsidRPr="005F5EE2">
        <w:rPr>
          <w:spacing w:val="2"/>
          <w:lang w:val="fr-CH"/>
        </w:rPr>
        <w:instrText xml:space="preserve"> AUTONUM  </w:instrText>
      </w:r>
      <w:r w:rsidRPr="005F5EE2">
        <w:rPr>
          <w:spacing w:val="2"/>
        </w:rPr>
        <w:fldChar w:fldCharType="end"/>
      </w:r>
      <w:r w:rsidRPr="005F5EE2">
        <w:rPr>
          <w:spacing w:val="2"/>
          <w:lang w:val="fr-CH"/>
        </w:rPr>
        <w:tab/>
      </w:r>
      <w:r w:rsidR="003827FA" w:rsidRPr="005F5EE2">
        <w:rPr>
          <w:spacing w:val="2"/>
          <w:lang w:val="fr-CH"/>
        </w:rPr>
        <w:t>Le Conseil est invité à prendre note des observations reçues en réponse à la circulaire</w:t>
      </w:r>
      <w:r w:rsidR="00FA704D">
        <w:rPr>
          <w:spacing w:val="2"/>
          <w:lang w:val="fr-CH"/>
        </w:rPr>
        <w:t xml:space="preserve"> </w:t>
      </w:r>
      <w:r w:rsidR="003827FA" w:rsidRPr="005F5EE2">
        <w:rPr>
          <w:spacing w:val="2"/>
          <w:lang w:val="fr-CH"/>
        </w:rPr>
        <w:t>E</w:t>
      </w:r>
      <w:r w:rsidR="00FA704D">
        <w:rPr>
          <w:spacing w:val="2"/>
          <w:lang w:val="fr-CH"/>
        </w:rPr>
        <w:noBreakHyphen/>
      </w:r>
      <w:r w:rsidR="003827FA" w:rsidRPr="005F5EE2">
        <w:rPr>
          <w:spacing w:val="2"/>
          <w:lang w:val="fr-CH"/>
        </w:rPr>
        <w:t>21/125 du 2</w:t>
      </w:r>
      <w:r w:rsidR="007D6DCE" w:rsidRPr="005F5EE2">
        <w:rPr>
          <w:spacing w:val="2"/>
          <w:lang w:val="fr-CH"/>
        </w:rPr>
        <w:t>3 août 20</w:t>
      </w:r>
      <w:r w:rsidR="003827FA" w:rsidRPr="005F5EE2">
        <w:rPr>
          <w:spacing w:val="2"/>
          <w:lang w:val="fr-CH"/>
        </w:rPr>
        <w:t>21 sur le document</w:t>
      </w:r>
      <w:r w:rsidR="00625CBD" w:rsidRPr="005F5EE2">
        <w:rPr>
          <w:spacing w:val="2"/>
          <w:lang w:val="fr-CH"/>
        </w:rPr>
        <w:t> </w:t>
      </w:r>
      <w:r w:rsidR="003827FA" w:rsidRPr="005F5EE2">
        <w:rPr>
          <w:spacing w:val="2"/>
          <w:lang w:val="fr-CH"/>
        </w:rPr>
        <w:t xml:space="preserve">C/55/4 </w:t>
      </w:r>
      <w:r w:rsidR="007D6DCE" w:rsidRPr="005F5EE2">
        <w:rPr>
          <w:spacing w:val="2"/>
          <w:lang w:val="fr-CH"/>
        </w:rPr>
        <w:t>“P</w:t>
      </w:r>
      <w:r w:rsidR="003827FA" w:rsidRPr="005F5EE2">
        <w:rPr>
          <w:spacing w:val="2"/>
          <w:lang w:val="fr-CH"/>
        </w:rPr>
        <w:t>rojet de programme et budget pour l</w:t>
      </w:r>
      <w:r w:rsidR="007D6DCE" w:rsidRPr="005F5EE2">
        <w:rPr>
          <w:spacing w:val="2"/>
          <w:lang w:val="fr-CH"/>
        </w:rPr>
        <w:t>’</w:t>
      </w:r>
      <w:r w:rsidR="003827FA" w:rsidRPr="005F5EE2">
        <w:rPr>
          <w:spacing w:val="2"/>
          <w:lang w:val="fr-CH"/>
        </w:rPr>
        <w:t xml:space="preserve">exercice </w:t>
      </w:r>
      <w:r w:rsidR="007D6DCE" w:rsidRPr="005F5EE2">
        <w:rPr>
          <w:spacing w:val="2"/>
          <w:lang w:val="fr-CH"/>
        </w:rPr>
        <w:t>biennal 2022-</w:t>
      </w:r>
      <w:r w:rsidR="003827FA" w:rsidRPr="005F5EE2">
        <w:rPr>
          <w:spacing w:val="2"/>
          <w:lang w:val="fr-CH"/>
        </w:rPr>
        <w:t>202</w:t>
      </w:r>
      <w:r w:rsidR="007D6DCE" w:rsidRPr="005F5EE2">
        <w:rPr>
          <w:spacing w:val="2"/>
          <w:lang w:val="fr-CH"/>
        </w:rPr>
        <w:t>3”</w:t>
      </w:r>
      <w:r w:rsidR="003827FA" w:rsidRPr="005F5EE2">
        <w:rPr>
          <w:spacing w:val="2"/>
          <w:lang w:val="fr-CH"/>
        </w:rPr>
        <w:t xml:space="preserve"> qui n</w:t>
      </w:r>
      <w:r w:rsidR="007D6DCE" w:rsidRPr="005F5EE2">
        <w:rPr>
          <w:spacing w:val="2"/>
          <w:lang w:val="fr-CH"/>
        </w:rPr>
        <w:t>’</w:t>
      </w:r>
      <w:r w:rsidR="003827FA" w:rsidRPr="005F5EE2">
        <w:rPr>
          <w:spacing w:val="2"/>
          <w:lang w:val="fr-CH"/>
        </w:rPr>
        <w:t>ont pas donné lieu à une révision du document</w:t>
      </w:r>
      <w:r w:rsidR="00625CBD" w:rsidRPr="005F5EE2">
        <w:rPr>
          <w:spacing w:val="2"/>
          <w:lang w:val="fr-CH"/>
        </w:rPr>
        <w:t> </w:t>
      </w:r>
      <w:r w:rsidR="003827FA" w:rsidRPr="005F5EE2">
        <w:rPr>
          <w:spacing w:val="2"/>
          <w:lang w:val="fr-CH"/>
        </w:rPr>
        <w:t xml:space="preserve">C/55/4 (voir le </w:t>
      </w:r>
      <w:r w:rsidR="007D6DCE" w:rsidRPr="005F5EE2">
        <w:rPr>
          <w:spacing w:val="2"/>
          <w:lang w:val="fr-CH"/>
        </w:rPr>
        <w:t>paragraphe 3</w:t>
      </w:r>
      <w:r w:rsidR="003827FA" w:rsidRPr="005F5EE2">
        <w:rPr>
          <w:spacing w:val="2"/>
          <w:lang w:val="fr-CH"/>
        </w:rPr>
        <w:t>0).</w:t>
      </w:r>
    </w:p>
    <w:p w:rsidR="00275C16" w:rsidRPr="005F5EE2" w:rsidRDefault="00275C16" w:rsidP="005907AC">
      <w:pPr>
        <w:tabs>
          <w:tab w:val="left" w:pos="5387"/>
          <w:tab w:val="left" w:pos="5954"/>
        </w:tabs>
        <w:ind w:left="4820"/>
        <w:rPr>
          <w:i/>
          <w:spacing w:val="-2"/>
          <w:lang w:val="fr-CH"/>
        </w:rPr>
      </w:pPr>
    </w:p>
    <w:p w:rsidR="00275C16" w:rsidRPr="005F5EE2" w:rsidRDefault="005907AC" w:rsidP="003827FA">
      <w:pPr>
        <w:pStyle w:val="DecisionParagraphs"/>
        <w:rPr>
          <w:spacing w:val="2"/>
          <w:lang w:val="fr-CH"/>
        </w:rPr>
      </w:pPr>
      <w:r w:rsidRPr="005F5EE2">
        <w:rPr>
          <w:spacing w:val="2"/>
        </w:rPr>
        <w:fldChar w:fldCharType="begin"/>
      </w:r>
      <w:r w:rsidRPr="005F5EE2">
        <w:rPr>
          <w:spacing w:val="2"/>
          <w:lang w:val="fr-CH"/>
        </w:rPr>
        <w:instrText xml:space="preserve"> AUTONUM  </w:instrText>
      </w:r>
      <w:r w:rsidRPr="005F5EE2">
        <w:rPr>
          <w:spacing w:val="2"/>
        </w:rPr>
        <w:fldChar w:fldCharType="end"/>
      </w:r>
      <w:r w:rsidRPr="005F5EE2">
        <w:rPr>
          <w:spacing w:val="2"/>
          <w:lang w:val="fr-CH"/>
        </w:rPr>
        <w:tab/>
      </w:r>
      <w:r w:rsidR="003827FA" w:rsidRPr="005F5EE2">
        <w:rPr>
          <w:spacing w:val="2"/>
          <w:lang w:val="fr-CH"/>
        </w:rPr>
        <w:t>Le Conseil est invité</w:t>
      </w:r>
      <w:r w:rsidR="00FA704D">
        <w:rPr>
          <w:spacing w:val="2"/>
          <w:lang w:val="fr-CH"/>
        </w:rPr>
        <w:t xml:space="preserve"> à :</w:t>
      </w:r>
    </w:p>
    <w:p w:rsidR="00275C16" w:rsidRPr="005F5EE2" w:rsidRDefault="00275C16" w:rsidP="005907AC">
      <w:pPr>
        <w:pStyle w:val="DecisionParagraphs"/>
        <w:rPr>
          <w:spacing w:val="2"/>
          <w:lang w:val="fr-CH"/>
        </w:rPr>
      </w:pPr>
    </w:p>
    <w:p w:rsidR="007D6DCE" w:rsidRPr="005F5EE2" w:rsidRDefault="005907AC" w:rsidP="00DF4461">
      <w:pPr>
        <w:pStyle w:val="DecisionParagraphs"/>
        <w:rPr>
          <w:spacing w:val="2"/>
          <w:lang w:val="fr-CH"/>
        </w:rPr>
      </w:pPr>
      <w:r w:rsidRPr="005F5EE2">
        <w:rPr>
          <w:spacing w:val="2"/>
          <w:lang w:val="fr-CH"/>
        </w:rPr>
        <w:tab/>
      </w:r>
      <w:r w:rsidR="00DF4461" w:rsidRPr="005F5EE2">
        <w:rPr>
          <w:spacing w:val="2"/>
          <w:lang w:val="fr-CH"/>
        </w:rPr>
        <w:t>a)</w:t>
      </w:r>
      <w:r w:rsidR="00DF4461" w:rsidRPr="005F5EE2">
        <w:rPr>
          <w:spacing w:val="2"/>
          <w:lang w:val="fr-CH"/>
        </w:rPr>
        <w:tab/>
        <w:t>noter que les réponses reçues à la circulaire</w:t>
      </w:r>
      <w:r w:rsidR="00625CBD" w:rsidRPr="005F5EE2">
        <w:rPr>
          <w:spacing w:val="2"/>
          <w:lang w:val="fr-CH"/>
        </w:rPr>
        <w:t> </w:t>
      </w:r>
      <w:r w:rsidR="00DF4461" w:rsidRPr="005F5EE2">
        <w:rPr>
          <w:spacing w:val="2"/>
          <w:lang w:val="fr-CH"/>
        </w:rPr>
        <w:t>E</w:t>
      </w:r>
      <w:r w:rsidR="007D6DCE" w:rsidRPr="005F5EE2">
        <w:rPr>
          <w:spacing w:val="2"/>
          <w:lang w:val="fr-CH"/>
        </w:rPr>
        <w:t>-</w:t>
      </w:r>
      <w:r w:rsidR="00DF4461" w:rsidRPr="005F5EE2">
        <w:rPr>
          <w:spacing w:val="2"/>
          <w:lang w:val="fr-CH"/>
        </w:rPr>
        <w:t>21/125 du 2</w:t>
      </w:r>
      <w:r w:rsidR="007D6DCE" w:rsidRPr="005F5EE2">
        <w:rPr>
          <w:spacing w:val="2"/>
          <w:lang w:val="fr-CH"/>
        </w:rPr>
        <w:t>3 août 20</w:t>
      </w:r>
      <w:r w:rsidR="00DF4461" w:rsidRPr="005F5EE2">
        <w:rPr>
          <w:spacing w:val="2"/>
          <w:lang w:val="fr-CH"/>
        </w:rPr>
        <w:t>21 comprenaient également des observations sur le document</w:t>
      </w:r>
      <w:r w:rsidR="00625CBD" w:rsidRPr="005F5EE2">
        <w:rPr>
          <w:spacing w:val="2"/>
          <w:lang w:val="fr-CH"/>
        </w:rPr>
        <w:t> </w:t>
      </w:r>
      <w:r w:rsidR="00DF4461" w:rsidRPr="005F5EE2">
        <w:rPr>
          <w:spacing w:val="2"/>
          <w:lang w:val="fr-CH"/>
        </w:rPr>
        <w:t xml:space="preserve">C/55/6 </w:t>
      </w:r>
      <w:r w:rsidR="007D6DCE" w:rsidRPr="005F5EE2">
        <w:rPr>
          <w:spacing w:val="2"/>
          <w:lang w:val="fr-CH"/>
        </w:rPr>
        <w:t>“R</w:t>
      </w:r>
      <w:r w:rsidR="00DF4461" w:rsidRPr="005F5EE2">
        <w:rPr>
          <w:spacing w:val="2"/>
          <w:lang w:val="fr-CH"/>
        </w:rPr>
        <w:t>apport du vérificateur externe des compte</w:t>
      </w:r>
      <w:r w:rsidR="007D6DCE" w:rsidRPr="005F5EE2">
        <w:rPr>
          <w:spacing w:val="2"/>
          <w:lang w:val="fr-CH"/>
        </w:rPr>
        <w:t>s”</w:t>
      </w:r>
      <w:r w:rsidR="00DF4461" w:rsidRPr="005F5EE2">
        <w:rPr>
          <w:spacing w:val="2"/>
          <w:lang w:val="fr-CH"/>
        </w:rPr>
        <w:t xml:space="preserve"> qui ne faisait pas partie de la procédure d</w:t>
      </w:r>
      <w:r w:rsidR="007D6DCE" w:rsidRPr="005F5EE2">
        <w:rPr>
          <w:spacing w:val="2"/>
          <w:lang w:val="fr-CH"/>
        </w:rPr>
        <w:t>’</w:t>
      </w:r>
      <w:r w:rsidR="00DF4461" w:rsidRPr="005F5EE2">
        <w:rPr>
          <w:spacing w:val="2"/>
          <w:lang w:val="fr-CH"/>
        </w:rPr>
        <w:t xml:space="preserve">approbation par correspondance et qui sera examiné à la session virtuelle du Conseil en </w:t>
      </w:r>
      <w:r w:rsidR="007D6DCE" w:rsidRPr="005F5EE2">
        <w:rPr>
          <w:spacing w:val="2"/>
          <w:lang w:val="fr-CH"/>
        </w:rPr>
        <w:t>octobre 20</w:t>
      </w:r>
      <w:r w:rsidR="00FA704D">
        <w:rPr>
          <w:spacing w:val="2"/>
          <w:lang w:val="fr-CH"/>
        </w:rPr>
        <w:t>21;</w:t>
      </w:r>
      <w:r w:rsidR="00DF4461" w:rsidRPr="005F5EE2">
        <w:rPr>
          <w:spacing w:val="2"/>
          <w:lang w:val="fr-CH"/>
        </w:rPr>
        <w:t xml:space="preserve"> et</w:t>
      </w:r>
    </w:p>
    <w:p w:rsidR="00275C16" w:rsidRPr="005F5EE2" w:rsidRDefault="00275C16" w:rsidP="005907AC">
      <w:pPr>
        <w:pStyle w:val="DecisionParagraphs"/>
        <w:rPr>
          <w:spacing w:val="2"/>
          <w:lang w:val="fr-CH"/>
        </w:rPr>
      </w:pPr>
    </w:p>
    <w:p w:rsidR="00275C16" w:rsidRPr="005F5EE2" w:rsidRDefault="005907AC" w:rsidP="00B52625">
      <w:pPr>
        <w:pStyle w:val="DecisionParagraphs"/>
        <w:rPr>
          <w:spacing w:val="2"/>
          <w:lang w:val="fr-CH"/>
        </w:rPr>
      </w:pPr>
      <w:r w:rsidRPr="005F5EE2">
        <w:rPr>
          <w:spacing w:val="2"/>
          <w:lang w:val="fr-CH"/>
        </w:rPr>
        <w:tab/>
      </w:r>
      <w:r w:rsidR="00B52625" w:rsidRPr="005F5EE2">
        <w:rPr>
          <w:spacing w:val="2"/>
          <w:lang w:val="fr-CH"/>
        </w:rPr>
        <w:t>b)</w:t>
      </w:r>
      <w:r w:rsidR="00B52625" w:rsidRPr="005F5EE2">
        <w:rPr>
          <w:spacing w:val="2"/>
          <w:lang w:val="fr-CH"/>
        </w:rPr>
        <w:tab/>
        <w:t>noter que les observations reçues concernant le document</w:t>
      </w:r>
      <w:r w:rsidR="00625CBD" w:rsidRPr="005F5EE2">
        <w:rPr>
          <w:spacing w:val="2"/>
          <w:lang w:val="fr-CH"/>
        </w:rPr>
        <w:t> </w:t>
      </w:r>
      <w:r w:rsidR="00B52625" w:rsidRPr="005F5EE2">
        <w:rPr>
          <w:spacing w:val="2"/>
          <w:lang w:val="fr-CH"/>
        </w:rPr>
        <w:t>C/55/6 sont présentées dans le présent document pour l</w:t>
      </w:r>
      <w:r w:rsidR="007D6DCE" w:rsidRPr="005F5EE2">
        <w:rPr>
          <w:spacing w:val="2"/>
          <w:lang w:val="fr-CH"/>
        </w:rPr>
        <w:t>’</w:t>
      </w:r>
      <w:r w:rsidR="00B52625" w:rsidRPr="005F5EE2">
        <w:rPr>
          <w:spacing w:val="2"/>
          <w:lang w:val="fr-CH"/>
        </w:rPr>
        <w:t xml:space="preserve">information du Conseil (voir le </w:t>
      </w:r>
      <w:r w:rsidR="007D6DCE" w:rsidRPr="005F5EE2">
        <w:rPr>
          <w:spacing w:val="2"/>
          <w:lang w:val="fr-CH"/>
        </w:rPr>
        <w:t>paragraphe 2</w:t>
      </w:r>
      <w:r w:rsidR="00B52625" w:rsidRPr="005F5EE2">
        <w:rPr>
          <w:spacing w:val="2"/>
          <w:lang w:val="fr-CH"/>
        </w:rPr>
        <w:t>6).</w:t>
      </w:r>
    </w:p>
    <w:p w:rsidR="00275C16" w:rsidRPr="005F5EE2" w:rsidRDefault="00275C16" w:rsidP="00DC2E0A">
      <w:pPr>
        <w:rPr>
          <w:snapToGrid w:val="0"/>
          <w:lang w:val="fr-CH"/>
        </w:rPr>
      </w:pPr>
    </w:p>
    <w:p w:rsidR="007D6DCE" w:rsidRDefault="007D6DCE" w:rsidP="00DC2E0A">
      <w:pPr>
        <w:rPr>
          <w:snapToGrid w:val="0"/>
          <w:lang w:val="fr-CH"/>
        </w:rPr>
      </w:pPr>
    </w:p>
    <w:p w:rsidR="00FA704D" w:rsidRPr="005F5EE2" w:rsidRDefault="00FA704D" w:rsidP="00DC2E0A">
      <w:pPr>
        <w:rPr>
          <w:snapToGrid w:val="0"/>
          <w:lang w:val="fr-CH"/>
        </w:rPr>
      </w:pPr>
    </w:p>
    <w:p w:rsidR="00275C16" w:rsidRPr="005F5EE2" w:rsidRDefault="000F5764" w:rsidP="00DC2E0A">
      <w:pPr>
        <w:ind w:left="5530"/>
        <w:jc w:val="right"/>
        <w:rPr>
          <w:lang w:val="fr-CH"/>
        </w:rPr>
      </w:pPr>
      <w:r w:rsidRPr="005F5EE2">
        <w:rPr>
          <w:lang w:val="fr-CH"/>
        </w:rPr>
        <w:t>[Fin du document]</w:t>
      </w:r>
    </w:p>
    <w:p w:rsidR="00050E16" w:rsidRPr="005F5EE2" w:rsidRDefault="00050E16" w:rsidP="00DC2E0A">
      <w:pPr>
        <w:ind w:left="5530"/>
        <w:jc w:val="right"/>
        <w:rPr>
          <w:lang w:val="fr-CH"/>
        </w:rPr>
      </w:pPr>
    </w:p>
    <w:sectPr w:rsidR="00050E16" w:rsidRPr="005F5EE2" w:rsidSect="00753C9A">
      <w:headerReference w:type="even" r:id="rId10"/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2C4" w:rsidRDefault="003952C4" w:rsidP="006655D3">
      <w:r>
        <w:separator/>
      </w:r>
    </w:p>
    <w:p w:rsidR="003952C4" w:rsidRDefault="003952C4" w:rsidP="006655D3"/>
    <w:p w:rsidR="003952C4" w:rsidRDefault="003952C4" w:rsidP="006655D3"/>
  </w:endnote>
  <w:endnote w:type="continuationSeparator" w:id="0">
    <w:p w:rsidR="003952C4" w:rsidRDefault="003952C4" w:rsidP="006655D3">
      <w:r>
        <w:separator/>
      </w:r>
    </w:p>
    <w:p w:rsidR="003952C4" w:rsidRPr="00587C57" w:rsidRDefault="003952C4" w:rsidP="00B9783E">
      <w:pPr>
        <w:pStyle w:val="Footer"/>
        <w:rPr>
          <w:lang w:val="fr-CH"/>
        </w:rPr>
      </w:pPr>
      <w:r w:rsidRPr="00587C57">
        <w:rPr>
          <w:lang w:val="fr-CH"/>
        </w:rPr>
        <w:t>[Suite de la note de la page précédente]</w:t>
      </w:r>
    </w:p>
    <w:p w:rsidR="003952C4" w:rsidRPr="00294751" w:rsidRDefault="003952C4" w:rsidP="006655D3"/>
    <w:p w:rsidR="003952C4" w:rsidRPr="00294751" w:rsidRDefault="003952C4" w:rsidP="006655D3"/>
  </w:endnote>
  <w:endnote w:type="continuationNotice" w:id="1">
    <w:p w:rsidR="003952C4" w:rsidRPr="00294751" w:rsidRDefault="003952C4" w:rsidP="006655D3">
      <w:r w:rsidRPr="00294751">
        <w:t>[Suite de la note page suivante]</w:t>
      </w:r>
    </w:p>
    <w:p w:rsidR="003952C4" w:rsidRPr="00294751" w:rsidRDefault="003952C4" w:rsidP="006655D3"/>
    <w:p w:rsidR="003952C4" w:rsidRPr="00294751" w:rsidRDefault="003952C4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2C4" w:rsidRDefault="003952C4" w:rsidP="006655D3">
      <w:r>
        <w:separator/>
      </w:r>
    </w:p>
  </w:footnote>
  <w:footnote w:type="continuationSeparator" w:id="0">
    <w:p w:rsidR="003952C4" w:rsidRDefault="003952C4" w:rsidP="006655D3">
      <w:r>
        <w:separator/>
      </w:r>
    </w:p>
  </w:footnote>
  <w:footnote w:type="continuationNotice" w:id="1">
    <w:p w:rsidR="003952C4" w:rsidRPr="00AB530F" w:rsidRDefault="003952C4" w:rsidP="00B9783E">
      <w:pPr>
        <w:pStyle w:val="Footer"/>
      </w:pPr>
    </w:p>
  </w:footnote>
  <w:footnote w:id="2">
    <w:p w:rsidR="003952C4" w:rsidRPr="008C035F" w:rsidRDefault="003952C4" w:rsidP="008C035F">
      <w:pPr>
        <w:pStyle w:val="FootnoteText"/>
        <w:rPr>
          <w:lang w:val="fr-CH"/>
        </w:rPr>
      </w:pPr>
      <w:r w:rsidRPr="008C035F">
        <w:rPr>
          <w:rStyle w:val="FootnoteReference"/>
        </w:rPr>
        <w:footnoteRef/>
      </w:r>
      <w:r w:rsidRPr="008C035F">
        <w:rPr>
          <w:lang w:val="fr-CH"/>
        </w:rPr>
        <w:t xml:space="preserve"> </w:t>
      </w:r>
      <w:r w:rsidRPr="008C035F">
        <w:rPr>
          <w:lang w:val="fr-CH"/>
        </w:rPr>
        <w:tab/>
        <w:t>La procédure relative à l’examen des documents par correspondance est indiquée dans la circulaire E-21/063 du 14 mai 2021 (disponible sur les pages Web consacrées à la cinquante-septième session du TC, à la soixante-dix-huitième session du CAJ, à la quatre-vingt-dix-huitième session du Comité consultatif et à la cinquante-cinquième session du Conseil).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2C4" w:rsidRPr="00C5280D" w:rsidRDefault="003952C4" w:rsidP="00753C9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C/55/12</w:t>
    </w:r>
  </w:p>
  <w:p w:rsidR="003952C4" w:rsidRPr="00C5280D" w:rsidRDefault="003952C4" w:rsidP="00753C9A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C253B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3952C4" w:rsidRPr="00C5280D" w:rsidRDefault="003952C4" w:rsidP="00753C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2C4" w:rsidRPr="00C5280D" w:rsidRDefault="003952C4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C/55/12</w:t>
    </w:r>
  </w:p>
  <w:p w:rsidR="003952C4" w:rsidRPr="00C5280D" w:rsidRDefault="003952C4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C253B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3952C4" w:rsidRPr="00C5280D" w:rsidRDefault="003952C4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6D58"/>
    <w:multiLevelType w:val="hybridMultilevel"/>
    <w:tmpl w:val="4FBAFD54"/>
    <w:lvl w:ilvl="0" w:tplc="7BACFC36">
      <w:start w:val="2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330D3822"/>
    <w:multiLevelType w:val="hybridMultilevel"/>
    <w:tmpl w:val="C24A2F4E"/>
    <w:lvl w:ilvl="0" w:tplc="076AC010">
      <w:start w:val="9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35611B76"/>
    <w:multiLevelType w:val="hybridMultilevel"/>
    <w:tmpl w:val="6EB45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01920"/>
    <w:multiLevelType w:val="hybridMultilevel"/>
    <w:tmpl w:val="4170EF7A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30706F7"/>
    <w:multiLevelType w:val="hybridMultilevel"/>
    <w:tmpl w:val="20E2E1D8"/>
    <w:lvl w:ilvl="0" w:tplc="0409001B">
      <w:start w:val="1"/>
      <w:numFmt w:val="lowerRoman"/>
      <w:lvlText w:val="%1."/>
      <w:lvlJc w:val="righ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5642A7E"/>
    <w:multiLevelType w:val="hybridMultilevel"/>
    <w:tmpl w:val="EDD23B4E"/>
    <w:lvl w:ilvl="0" w:tplc="04090017">
      <w:start w:val="1"/>
      <w:numFmt w:val="lowerLetter"/>
      <w:lvlText w:val="%1)"/>
      <w:lvlJc w:val="left"/>
      <w:pPr>
        <w:ind w:left="1144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25214B"/>
    <w:rsid w:val="00010CF3"/>
    <w:rsid w:val="00011E27"/>
    <w:rsid w:val="00013AED"/>
    <w:rsid w:val="000148BC"/>
    <w:rsid w:val="00024AB8"/>
    <w:rsid w:val="00030854"/>
    <w:rsid w:val="00036028"/>
    <w:rsid w:val="00037B3B"/>
    <w:rsid w:val="00044642"/>
    <w:rsid w:val="000446B9"/>
    <w:rsid w:val="00047E21"/>
    <w:rsid w:val="00050E16"/>
    <w:rsid w:val="000644EB"/>
    <w:rsid w:val="00085505"/>
    <w:rsid w:val="000A4104"/>
    <w:rsid w:val="000C4E25"/>
    <w:rsid w:val="000C7021"/>
    <w:rsid w:val="000D0BFA"/>
    <w:rsid w:val="000D25E7"/>
    <w:rsid w:val="000D6BBC"/>
    <w:rsid w:val="000D7780"/>
    <w:rsid w:val="000E636A"/>
    <w:rsid w:val="000F2F11"/>
    <w:rsid w:val="000F5764"/>
    <w:rsid w:val="00105929"/>
    <w:rsid w:val="00110C36"/>
    <w:rsid w:val="001131D5"/>
    <w:rsid w:val="00137835"/>
    <w:rsid w:val="00141DB8"/>
    <w:rsid w:val="001536EA"/>
    <w:rsid w:val="00172084"/>
    <w:rsid w:val="0017474A"/>
    <w:rsid w:val="001758C6"/>
    <w:rsid w:val="00182B99"/>
    <w:rsid w:val="00194DBC"/>
    <w:rsid w:val="001A4D7B"/>
    <w:rsid w:val="0021332C"/>
    <w:rsid w:val="00213982"/>
    <w:rsid w:val="00220B83"/>
    <w:rsid w:val="00233BB5"/>
    <w:rsid w:val="00235CD2"/>
    <w:rsid w:val="0024416D"/>
    <w:rsid w:val="0025214B"/>
    <w:rsid w:val="00271911"/>
    <w:rsid w:val="00275C16"/>
    <w:rsid w:val="002800A0"/>
    <w:rsid w:val="002801B3"/>
    <w:rsid w:val="00281060"/>
    <w:rsid w:val="002940E8"/>
    <w:rsid w:val="00294751"/>
    <w:rsid w:val="002A6E50"/>
    <w:rsid w:val="002A71E5"/>
    <w:rsid w:val="002B4298"/>
    <w:rsid w:val="002C253B"/>
    <w:rsid w:val="002C256A"/>
    <w:rsid w:val="002E4BB8"/>
    <w:rsid w:val="00305A7F"/>
    <w:rsid w:val="003152FE"/>
    <w:rsid w:val="00316CFB"/>
    <w:rsid w:val="00327436"/>
    <w:rsid w:val="00327A13"/>
    <w:rsid w:val="00327BBA"/>
    <w:rsid w:val="00337C0A"/>
    <w:rsid w:val="00344BD6"/>
    <w:rsid w:val="0035084F"/>
    <w:rsid w:val="0035528D"/>
    <w:rsid w:val="00361821"/>
    <w:rsid w:val="00361E9E"/>
    <w:rsid w:val="003733E6"/>
    <w:rsid w:val="003827FA"/>
    <w:rsid w:val="003952C4"/>
    <w:rsid w:val="003B29C6"/>
    <w:rsid w:val="003B3F8E"/>
    <w:rsid w:val="003C7FBE"/>
    <w:rsid w:val="003D227C"/>
    <w:rsid w:val="003D2B4D"/>
    <w:rsid w:val="003E39A6"/>
    <w:rsid w:val="004011A9"/>
    <w:rsid w:val="00404262"/>
    <w:rsid w:val="0040557F"/>
    <w:rsid w:val="0041110F"/>
    <w:rsid w:val="004219FA"/>
    <w:rsid w:val="00444A88"/>
    <w:rsid w:val="00474DA4"/>
    <w:rsid w:val="00476B4D"/>
    <w:rsid w:val="004805FA"/>
    <w:rsid w:val="004935D2"/>
    <w:rsid w:val="00497EC2"/>
    <w:rsid w:val="004B1215"/>
    <w:rsid w:val="004C38BE"/>
    <w:rsid w:val="004C5AE3"/>
    <w:rsid w:val="004D047D"/>
    <w:rsid w:val="004E0D82"/>
    <w:rsid w:val="004F1E9E"/>
    <w:rsid w:val="004F305A"/>
    <w:rsid w:val="00512164"/>
    <w:rsid w:val="00520297"/>
    <w:rsid w:val="005332EA"/>
    <w:rsid w:val="005338F9"/>
    <w:rsid w:val="005359B2"/>
    <w:rsid w:val="0054281C"/>
    <w:rsid w:val="00544581"/>
    <w:rsid w:val="00545E42"/>
    <w:rsid w:val="0055268D"/>
    <w:rsid w:val="00576BE4"/>
    <w:rsid w:val="00587C57"/>
    <w:rsid w:val="005907AC"/>
    <w:rsid w:val="005A1210"/>
    <w:rsid w:val="005A400A"/>
    <w:rsid w:val="005E7EA6"/>
    <w:rsid w:val="005F5EE2"/>
    <w:rsid w:val="005F7B92"/>
    <w:rsid w:val="00602838"/>
    <w:rsid w:val="00612379"/>
    <w:rsid w:val="006153B6"/>
    <w:rsid w:val="0061555F"/>
    <w:rsid w:val="00625CBD"/>
    <w:rsid w:val="00636CA6"/>
    <w:rsid w:val="00641200"/>
    <w:rsid w:val="00645CA8"/>
    <w:rsid w:val="006655D3"/>
    <w:rsid w:val="00667404"/>
    <w:rsid w:val="00671335"/>
    <w:rsid w:val="00687EB4"/>
    <w:rsid w:val="00694F06"/>
    <w:rsid w:val="00695C56"/>
    <w:rsid w:val="006A5CDE"/>
    <w:rsid w:val="006A644A"/>
    <w:rsid w:val="006A6B8C"/>
    <w:rsid w:val="006B17D2"/>
    <w:rsid w:val="006C224E"/>
    <w:rsid w:val="006D780A"/>
    <w:rsid w:val="006E128D"/>
    <w:rsid w:val="0071271E"/>
    <w:rsid w:val="007175B3"/>
    <w:rsid w:val="00732DEC"/>
    <w:rsid w:val="00735BD5"/>
    <w:rsid w:val="00736B37"/>
    <w:rsid w:val="00751613"/>
    <w:rsid w:val="00753C9A"/>
    <w:rsid w:val="007556F6"/>
    <w:rsid w:val="00760EEF"/>
    <w:rsid w:val="00777314"/>
    <w:rsid w:val="00777EE5"/>
    <w:rsid w:val="00781607"/>
    <w:rsid w:val="00784836"/>
    <w:rsid w:val="0079023E"/>
    <w:rsid w:val="007A2854"/>
    <w:rsid w:val="007B2B65"/>
    <w:rsid w:val="007C1D92"/>
    <w:rsid w:val="007C4CB9"/>
    <w:rsid w:val="007D0B9D"/>
    <w:rsid w:val="007D19B0"/>
    <w:rsid w:val="007D6DCE"/>
    <w:rsid w:val="007E5D3C"/>
    <w:rsid w:val="007F498F"/>
    <w:rsid w:val="0080679D"/>
    <w:rsid w:val="008108B0"/>
    <w:rsid w:val="00811B20"/>
    <w:rsid w:val="00820E38"/>
    <w:rsid w:val="008211B5"/>
    <w:rsid w:val="0082296E"/>
    <w:rsid w:val="00824099"/>
    <w:rsid w:val="008305D6"/>
    <w:rsid w:val="00846D7C"/>
    <w:rsid w:val="0085157E"/>
    <w:rsid w:val="00864C55"/>
    <w:rsid w:val="00867AC1"/>
    <w:rsid w:val="00890DF8"/>
    <w:rsid w:val="00893B06"/>
    <w:rsid w:val="008A743F"/>
    <w:rsid w:val="008C035F"/>
    <w:rsid w:val="008C0970"/>
    <w:rsid w:val="008D0BC5"/>
    <w:rsid w:val="008D2CF7"/>
    <w:rsid w:val="008F0E16"/>
    <w:rsid w:val="00900C26"/>
    <w:rsid w:val="0090197F"/>
    <w:rsid w:val="00903242"/>
    <w:rsid w:val="00906DDC"/>
    <w:rsid w:val="00924B14"/>
    <w:rsid w:val="00934E09"/>
    <w:rsid w:val="00936253"/>
    <w:rsid w:val="00940D46"/>
    <w:rsid w:val="00952DD4"/>
    <w:rsid w:val="00965AE7"/>
    <w:rsid w:val="0097031D"/>
    <w:rsid w:val="00970FED"/>
    <w:rsid w:val="00992D82"/>
    <w:rsid w:val="00997029"/>
    <w:rsid w:val="0099704A"/>
    <w:rsid w:val="009A7339"/>
    <w:rsid w:val="009B440E"/>
    <w:rsid w:val="009B547B"/>
    <w:rsid w:val="009D690D"/>
    <w:rsid w:val="009E65B6"/>
    <w:rsid w:val="00A24C10"/>
    <w:rsid w:val="00A32E60"/>
    <w:rsid w:val="00A42AC3"/>
    <w:rsid w:val="00A430CF"/>
    <w:rsid w:val="00A43E06"/>
    <w:rsid w:val="00A456AC"/>
    <w:rsid w:val="00A54309"/>
    <w:rsid w:val="00A56201"/>
    <w:rsid w:val="00A63ED4"/>
    <w:rsid w:val="00A706D3"/>
    <w:rsid w:val="00A71548"/>
    <w:rsid w:val="00A74999"/>
    <w:rsid w:val="00AA2C71"/>
    <w:rsid w:val="00AB2B93"/>
    <w:rsid w:val="00AB530F"/>
    <w:rsid w:val="00AB5931"/>
    <w:rsid w:val="00AB7E5B"/>
    <w:rsid w:val="00AC26A0"/>
    <w:rsid w:val="00AC2883"/>
    <w:rsid w:val="00AE0EF1"/>
    <w:rsid w:val="00AE2937"/>
    <w:rsid w:val="00AE6DE4"/>
    <w:rsid w:val="00B07301"/>
    <w:rsid w:val="00B11F3E"/>
    <w:rsid w:val="00B224DE"/>
    <w:rsid w:val="00B247A2"/>
    <w:rsid w:val="00B26E8B"/>
    <w:rsid w:val="00B324D4"/>
    <w:rsid w:val="00B46575"/>
    <w:rsid w:val="00B52625"/>
    <w:rsid w:val="00B61777"/>
    <w:rsid w:val="00B74FFB"/>
    <w:rsid w:val="00B84BBD"/>
    <w:rsid w:val="00B94CA0"/>
    <w:rsid w:val="00B967FA"/>
    <w:rsid w:val="00B9783E"/>
    <w:rsid w:val="00BA43FB"/>
    <w:rsid w:val="00BC127D"/>
    <w:rsid w:val="00BC1FE6"/>
    <w:rsid w:val="00BE7D91"/>
    <w:rsid w:val="00C061B6"/>
    <w:rsid w:val="00C16833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3120"/>
    <w:rsid w:val="00CF1330"/>
    <w:rsid w:val="00CF7E36"/>
    <w:rsid w:val="00D0630D"/>
    <w:rsid w:val="00D3708D"/>
    <w:rsid w:val="00D374DE"/>
    <w:rsid w:val="00D40426"/>
    <w:rsid w:val="00D41B08"/>
    <w:rsid w:val="00D47E21"/>
    <w:rsid w:val="00D57B0E"/>
    <w:rsid w:val="00D57C96"/>
    <w:rsid w:val="00D57D18"/>
    <w:rsid w:val="00D91203"/>
    <w:rsid w:val="00D9199F"/>
    <w:rsid w:val="00D95174"/>
    <w:rsid w:val="00DA4973"/>
    <w:rsid w:val="00DA6F36"/>
    <w:rsid w:val="00DB596E"/>
    <w:rsid w:val="00DB7773"/>
    <w:rsid w:val="00DC00EA"/>
    <w:rsid w:val="00DC0CE8"/>
    <w:rsid w:val="00DC2E0A"/>
    <w:rsid w:val="00DC3802"/>
    <w:rsid w:val="00DD3F62"/>
    <w:rsid w:val="00DF4461"/>
    <w:rsid w:val="00E07D87"/>
    <w:rsid w:val="00E17452"/>
    <w:rsid w:val="00E17926"/>
    <w:rsid w:val="00E17CF9"/>
    <w:rsid w:val="00E32F7E"/>
    <w:rsid w:val="00E331B4"/>
    <w:rsid w:val="00E333D0"/>
    <w:rsid w:val="00E5267B"/>
    <w:rsid w:val="00E63C0E"/>
    <w:rsid w:val="00E7168A"/>
    <w:rsid w:val="00E72D49"/>
    <w:rsid w:val="00E7593C"/>
    <w:rsid w:val="00E7678A"/>
    <w:rsid w:val="00E909DB"/>
    <w:rsid w:val="00E935F1"/>
    <w:rsid w:val="00E94A81"/>
    <w:rsid w:val="00EA17C8"/>
    <w:rsid w:val="00EA1FFB"/>
    <w:rsid w:val="00EA5D40"/>
    <w:rsid w:val="00EB048E"/>
    <w:rsid w:val="00EB4E9C"/>
    <w:rsid w:val="00EC2C57"/>
    <w:rsid w:val="00EE34DF"/>
    <w:rsid w:val="00EF2E9D"/>
    <w:rsid w:val="00EF2F89"/>
    <w:rsid w:val="00F03E98"/>
    <w:rsid w:val="00F1237A"/>
    <w:rsid w:val="00F22CBD"/>
    <w:rsid w:val="00F272F1"/>
    <w:rsid w:val="00F45372"/>
    <w:rsid w:val="00F560F7"/>
    <w:rsid w:val="00F6334D"/>
    <w:rsid w:val="00FA1270"/>
    <w:rsid w:val="00FA49AB"/>
    <w:rsid w:val="00FA704D"/>
    <w:rsid w:val="00FC0775"/>
    <w:rsid w:val="00FE12BE"/>
    <w:rsid w:val="00FE39C7"/>
    <w:rsid w:val="00FF0A6D"/>
    <w:rsid w:val="00FF4D07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2B3817F2"/>
  <w15:docId w15:val="{42EC84A8-CA1F-45B4-BA09-5C1B8E5E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BE7D91"/>
    <w:pPr>
      <w:keepNext/>
      <w:ind w:left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B9783E"/>
    <w:pPr>
      <w:spacing w:before="12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C035F"/>
    <w:pPr>
      <w:spacing w:before="60"/>
      <w:ind w:left="284" w:hanging="284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D374DE"/>
    <w:pPr>
      <w:tabs>
        <w:tab w:val="right" w:leader="dot" w:pos="9639"/>
      </w:tabs>
      <w:spacing w:after="120"/>
      <w:ind w:left="709" w:right="851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D374DE"/>
    <w:pPr>
      <w:tabs>
        <w:tab w:val="right" w:leader="dot" w:pos="9639"/>
      </w:tabs>
      <w:spacing w:after="120"/>
      <w:ind w:left="1418" w:right="851"/>
    </w:pPr>
    <w:rPr>
      <w:rFonts w:ascii="Arial" w:hAnsi="Arial"/>
      <w:i/>
      <w:noProof/>
      <w:sz w:val="18"/>
      <w:szCs w:val="18"/>
      <w:lang w:val="fr-CH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BE7D91"/>
    <w:pPr>
      <w:tabs>
        <w:tab w:val="right" w:leader="dot" w:pos="9639"/>
      </w:tabs>
      <w:spacing w:after="120"/>
      <w:ind w:left="1985" w:right="283"/>
    </w:pPr>
    <w:rPr>
      <w:rFonts w:ascii="Arial" w:hAnsi="Arial"/>
      <w:i/>
      <w:noProof/>
      <w:snapToGrid w:val="0"/>
      <w:kern w:val="28"/>
      <w:sz w:val="16"/>
      <w:szCs w:val="16"/>
      <w:lang w:val="fr-CH"/>
    </w:rPr>
  </w:style>
  <w:style w:type="paragraph" w:styleId="TOC1">
    <w:name w:val="toc 1"/>
    <w:next w:val="Normal"/>
    <w:autoRedefine/>
    <w:uiPriority w:val="39"/>
    <w:rsid w:val="00BE7D91"/>
    <w:pPr>
      <w:tabs>
        <w:tab w:val="right" w:leader="dot" w:pos="9639"/>
      </w:tabs>
      <w:spacing w:after="120"/>
      <w:ind w:right="284"/>
    </w:pPr>
    <w:rPr>
      <w:rFonts w:ascii="Arial" w:hAnsi="Arial"/>
      <w:caps/>
      <w:noProof/>
    </w:rPr>
  </w:style>
  <w:style w:type="paragraph" w:styleId="TOC5">
    <w:name w:val="toc 5"/>
    <w:next w:val="Normal"/>
    <w:autoRedefine/>
    <w:uiPriority w:val="39"/>
    <w:rsid w:val="00BE7D91"/>
    <w:pPr>
      <w:tabs>
        <w:tab w:val="right" w:leader="dot" w:pos="9639"/>
      </w:tabs>
      <w:spacing w:after="120"/>
      <w:ind w:left="2835" w:right="851"/>
    </w:pPr>
    <w:rPr>
      <w:rFonts w:ascii="Arial" w:hAnsi="Arial"/>
      <w:noProof/>
      <w:snapToGrid w:val="0"/>
      <w:sz w:val="16"/>
      <w:szCs w:val="16"/>
      <w:lang w:val="fr-CH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25214B"/>
    <w:pPr>
      <w:ind w:left="720"/>
      <w:contextualSpacing/>
    </w:pPr>
    <w:rPr>
      <w:lang w:val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B9783E"/>
    <w:rPr>
      <w:rFonts w:ascii="Arial" w:hAnsi="Arial"/>
      <w:sz w:val="14"/>
    </w:rPr>
  </w:style>
  <w:style w:type="character" w:customStyle="1" w:styleId="FootnoteTextChar">
    <w:name w:val="Footnote Text Char"/>
    <w:basedOn w:val="DefaultParagraphFont"/>
    <w:link w:val="FootnoteText"/>
    <w:rsid w:val="008C035F"/>
    <w:rPr>
      <w:rFonts w:ascii="Arial" w:hAnsi="Arial"/>
      <w:sz w:val="16"/>
      <w:lang w:val="fr-FR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5907AC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rsid w:val="005907AC"/>
    <w:rPr>
      <w:rFonts w:ascii="Arial" w:hAnsi="Arial"/>
      <w:i/>
    </w:rPr>
  </w:style>
  <w:style w:type="paragraph" w:customStyle="1" w:styleId="TableParagraph">
    <w:name w:val="Table Paragraph"/>
    <w:basedOn w:val="Normal"/>
    <w:uiPriority w:val="1"/>
    <w:qFormat/>
    <w:rsid w:val="005907AC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meetings/fr/details.jsp?meeting_id=606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pov.int/meetings/fr/details.jsp?meeting_id=60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4151</Words>
  <Characters>25146</Characters>
  <Application>Microsoft Office Word</Application>
  <DocSecurity>0</DocSecurity>
  <Lines>613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C/55/12</vt:lpstr>
    </vt:vector>
  </TitlesOfParts>
  <Company>UPOV</Company>
  <LinksUpToDate>false</LinksUpToDate>
  <CharactersWithSpaces>29038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C/55/12</dc:title>
  <dc:creator>GARRIDO Nathalie</dc:creator>
  <cp:keywords>FOR OFFICIAL USE ONLY</cp:keywords>
  <cp:lastModifiedBy>SANTOS Carla Marina</cp:lastModifiedBy>
  <cp:revision>44</cp:revision>
  <cp:lastPrinted>2016-11-22T15:41:00Z</cp:lastPrinted>
  <dcterms:created xsi:type="dcterms:W3CDTF">2021-10-07T14:52:00Z</dcterms:created>
  <dcterms:modified xsi:type="dcterms:W3CDTF">2021-10-22T10:34:00Z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7b0db776-39f4-425d-98e8-d7e26b3b6f42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