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EB57D6" w:rsidTr="00EB4E9C">
        <w:tc>
          <w:tcPr>
            <w:tcW w:w="6522" w:type="dxa"/>
          </w:tcPr>
          <w:p w:rsidR="00DC3802" w:rsidRPr="00EB57D6" w:rsidRDefault="00DC3802" w:rsidP="00AC2883">
            <w:r w:rsidRPr="00EB57D6">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EB57D6" w:rsidRDefault="00A706D3" w:rsidP="00AC2883">
            <w:pPr>
              <w:pStyle w:val="Lettrine"/>
            </w:pPr>
            <w:r w:rsidRPr="00EB57D6">
              <w:t>F</w:t>
            </w:r>
          </w:p>
        </w:tc>
      </w:tr>
      <w:tr w:rsidR="00DC3802" w:rsidRPr="00EB57D6" w:rsidTr="00645CA8">
        <w:trPr>
          <w:trHeight w:val="219"/>
        </w:trPr>
        <w:tc>
          <w:tcPr>
            <w:tcW w:w="6522" w:type="dxa"/>
          </w:tcPr>
          <w:p w:rsidR="00DC3802" w:rsidRPr="00EB57D6" w:rsidRDefault="00DC3802" w:rsidP="00A706D3">
            <w:pPr>
              <w:pStyle w:val="upove"/>
            </w:pPr>
            <w:r w:rsidRPr="00EB57D6">
              <w:t xml:space="preserve">Union </w:t>
            </w:r>
            <w:r w:rsidR="00A706D3" w:rsidRPr="00EB57D6">
              <w:t>internationale pour la protection des obtentions végétales</w:t>
            </w:r>
          </w:p>
        </w:tc>
        <w:tc>
          <w:tcPr>
            <w:tcW w:w="3117" w:type="dxa"/>
          </w:tcPr>
          <w:p w:rsidR="00DC3802" w:rsidRPr="00EB57D6" w:rsidRDefault="00DC3802" w:rsidP="00DA4973"/>
        </w:tc>
      </w:tr>
    </w:tbl>
    <w:p w:rsidR="00DC3802" w:rsidRPr="00EB57D6" w:rsidRDefault="00DC3802" w:rsidP="00DC3802"/>
    <w:p w:rsidR="00DA4973" w:rsidRPr="00EB57D6"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EB57D6" w:rsidTr="00EB4E9C">
        <w:tc>
          <w:tcPr>
            <w:tcW w:w="6512" w:type="dxa"/>
          </w:tcPr>
          <w:p w:rsidR="00EB4E9C" w:rsidRPr="00EB57D6" w:rsidRDefault="00AB5931" w:rsidP="00AC2883">
            <w:pPr>
              <w:pStyle w:val="Sessiontc"/>
              <w:spacing w:line="240" w:lineRule="auto"/>
            </w:pPr>
            <w:r w:rsidRPr="00EB57D6">
              <w:t>Conseil</w:t>
            </w:r>
          </w:p>
          <w:p w:rsidR="00EB4E9C" w:rsidRPr="00EB57D6" w:rsidRDefault="00AB5931" w:rsidP="00235CD2">
            <w:pPr>
              <w:pStyle w:val="Sessiontcplacedate"/>
              <w:rPr>
                <w:sz w:val="22"/>
              </w:rPr>
            </w:pPr>
            <w:r w:rsidRPr="00EB57D6">
              <w:t>Cinquante</w:t>
            </w:r>
            <w:r w:rsidR="005E7EA6" w:rsidRPr="00EB57D6">
              <w:t>-</w:t>
            </w:r>
            <w:r w:rsidR="00235CD2" w:rsidRPr="00EB57D6">
              <w:t>quatr</w:t>
            </w:r>
            <w:r w:rsidR="005E7EA6" w:rsidRPr="00EB57D6">
              <w:t>ième</w:t>
            </w:r>
            <w:r w:rsidRPr="00EB57D6">
              <w:t xml:space="preserve"> </w:t>
            </w:r>
            <w:r w:rsidR="00A706D3" w:rsidRPr="00EB57D6">
              <w:t>s</w:t>
            </w:r>
            <w:r w:rsidR="00EB4E9C" w:rsidRPr="00EB57D6">
              <w:t>ession</w:t>
            </w:r>
            <w:r w:rsidRPr="00EB57D6">
              <w:t xml:space="preserve"> ordinaire</w:t>
            </w:r>
            <w:r w:rsidR="00EB4E9C" w:rsidRPr="00EB57D6">
              <w:br/>
              <w:t>Gen</w:t>
            </w:r>
            <w:r w:rsidR="00A706D3" w:rsidRPr="00EB57D6">
              <w:t>è</w:t>
            </w:r>
            <w:r w:rsidR="00EB4E9C" w:rsidRPr="00EB57D6">
              <w:t>v</w:t>
            </w:r>
            <w:r w:rsidR="00A706D3" w:rsidRPr="00EB57D6">
              <w:t>e</w:t>
            </w:r>
            <w:r w:rsidR="00EB4E9C" w:rsidRPr="00EB57D6">
              <w:t xml:space="preserve">, </w:t>
            </w:r>
            <w:r w:rsidR="00235CD2" w:rsidRPr="00EB57D6">
              <w:t>30 octobre 2020</w:t>
            </w:r>
          </w:p>
        </w:tc>
        <w:tc>
          <w:tcPr>
            <w:tcW w:w="3127" w:type="dxa"/>
          </w:tcPr>
          <w:p w:rsidR="00EB4E9C" w:rsidRPr="00EB57D6" w:rsidRDefault="00235CD2" w:rsidP="003C7FBE">
            <w:pPr>
              <w:pStyle w:val="Doccode"/>
              <w:rPr>
                <w:lang w:val="fr-FR"/>
              </w:rPr>
            </w:pPr>
            <w:r w:rsidRPr="00EB57D6">
              <w:rPr>
                <w:lang w:val="fr-FR"/>
              </w:rPr>
              <w:t>C/54</w:t>
            </w:r>
            <w:r w:rsidR="00EB4E9C" w:rsidRPr="00EB57D6">
              <w:rPr>
                <w:lang w:val="fr-FR"/>
              </w:rPr>
              <w:t>/</w:t>
            </w:r>
            <w:r w:rsidR="00845D57" w:rsidRPr="00EB57D6">
              <w:rPr>
                <w:lang w:val="fr-FR"/>
              </w:rPr>
              <w:t>INF/4</w:t>
            </w:r>
          </w:p>
          <w:p w:rsidR="00EB4E9C" w:rsidRPr="00EB57D6" w:rsidRDefault="00EB4E9C" w:rsidP="003C7FBE">
            <w:pPr>
              <w:pStyle w:val="Docoriginal"/>
            </w:pPr>
            <w:r w:rsidRPr="00EB57D6">
              <w:t>Original:</w:t>
            </w:r>
            <w:r w:rsidRPr="00EB57D6">
              <w:rPr>
                <w:b w:val="0"/>
                <w:spacing w:val="0"/>
              </w:rPr>
              <w:t xml:space="preserve">  </w:t>
            </w:r>
            <w:r w:rsidR="00A706D3" w:rsidRPr="00EB57D6">
              <w:rPr>
                <w:b w:val="0"/>
                <w:spacing w:val="0"/>
              </w:rPr>
              <w:t>anglais</w:t>
            </w:r>
            <w:r w:rsidR="00845D57" w:rsidRPr="00EB57D6">
              <w:rPr>
                <w:b w:val="0"/>
                <w:spacing w:val="0"/>
              </w:rPr>
              <w:t>/allemand</w:t>
            </w:r>
          </w:p>
          <w:p w:rsidR="00EB4E9C" w:rsidRPr="00EB57D6" w:rsidRDefault="00EB4E9C" w:rsidP="00845D57">
            <w:pPr>
              <w:pStyle w:val="Docoriginal"/>
            </w:pPr>
            <w:r w:rsidRPr="00EB57D6">
              <w:t>Date:</w:t>
            </w:r>
            <w:r w:rsidRPr="00EB57D6">
              <w:rPr>
                <w:b w:val="0"/>
                <w:spacing w:val="0"/>
              </w:rPr>
              <w:t xml:space="preserve">  </w:t>
            </w:r>
            <w:r w:rsidR="008E0BFA" w:rsidRPr="008E0BFA">
              <w:rPr>
                <w:b w:val="0"/>
                <w:spacing w:val="0"/>
              </w:rPr>
              <w:t>15</w:t>
            </w:r>
            <w:r w:rsidR="00845D57" w:rsidRPr="008E0BFA">
              <w:rPr>
                <w:b w:val="0"/>
                <w:spacing w:val="0"/>
              </w:rPr>
              <w:t xml:space="preserve"> octobre 2020</w:t>
            </w:r>
          </w:p>
        </w:tc>
      </w:tr>
    </w:tbl>
    <w:p w:rsidR="00845D57" w:rsidRPr="00EB57D6" w:rsidRDefault="00845D57" w:rsidP="00845D57">
      <w:pPr>
        <w:pStyle w:val="Titleofdoc0"/>
      </w:pPr>
      <w:bookmarkStart w:id="0" w:name="TitleOfDoc"/>
      <w:bookmarkEnd w:id="0"/>
      <w:r w:rsidRPr="00EB57D6">
        <w:t>RAPPORTS DES REPRÉSENTANTS DES MEMBRES ET DES OBSERVATEURS SUR LA SITUATION DANS LES DOMAINES LÉGISLATIF, ADMINISTRATIF ET TECHNIQUE</w:t>
      </w:r>
    </w:p>
    <w:p w:rsidR="00845D57" w:rsidRPr="00EB57D6" w:rsidRDefault="00845D57" w:rsidP="00845D57">
      <w:pPr>
        <w:pStyle w:val="preparedby1"/>
        <w:jc w:val="left"/>
      </w:pPr>
      <w:r w:rsidRPr="00EB57D6">
        <w:t>Document établi par le Bureau de l’Union</w:t>
      </w:r>
    </w:p>
    <w:p w:rsidR="00845D57" w:rsidRPr="00EB57D6" w:rsidRDefault="00845D57" w:rsidP="00845D57">
      <w:pPr>
        <w:pStyle w:val="Disclaimer"/>
      </w:pPr>
      <w:r w:rsidRPr="00EB57D6">
        <w:t>Avertissement : le présent document ne représente pas les principes ou les orientations de l’UPOV</w:t>
      </w:r>
    </w:p>
    <w:p w:rsidR="00845D57" w:rsidRPr="00EB57D6" w:rsidRDefault="00845D57" w:rsidP="00845D57">
      <w:pPr>
        <w:rPr>
          <w:snapToGrid w:val="0"/>
        </w:rPr>
      </w:pPr>
      <w:r w:rsidRPr="00EB57D6">
        <w:rPr>
          <w:snapToGrid w:val="0"/>
        </w:rPr>
        <w:t>1.</w:t>
      </w:r>
      <w:r w:rsidRPr="00EB57D6">
        <w:rPr>
          <w:snapToGrid w:val="0"/>
        </w:rPr>
        <w:tab/>
        <w:t>Selon la procédure introduite à l’occasion de la vingt-sixième session ordinaire du Conseil, il est demandé que les rapports des représentants des membres et des observateurs sur la situation dans les domaines législatif, administratif et technique de la protection des obtentions végétales et des domaines connexes soient fournis par écrit à l’avance, afin d’accroître l’efficacité du Conseil dans l’accomplissement des tâches qui lui sont confiées.</w:t>
      </w:r>
    </w:p>
    <w:p w:rsidR="00845D57" w:rsidRPr="00EB57D6" w:rsidRDefault="00845D57" w:rsidP="00845D57">
      <w:pPr>
        <w:rPr>
          <w:snapToGrid w:val="0"/>
        </w:rPr>
      </w:pPr>
    </w:p>
    <w:p w:rsidR="00845D57" w:rsidRPr="00EB57D6" w:rsidRDefault="00845D57" w:rsidP="00845D57">
      <w:pPr>
        <w:rPr>
          <w:snapToGrid w:val="0"/>
        </w:rPr>
      </w:pPr>
      <w:r w:rsidRPr="00EB57D6">
        <w:rPr>
          <w:snapToGrid w:val="0"/>
        </w:rPr>
        <w:t>2.</w:t>
      </w:r>
      <w:r w:rsidRPr="00EB57D6">
        <w:rPr>
          <w:snapToGrid w:val="0"/>
        </w:rPr>
        <w:tab/>
        <w:t xml:space="preserve">Des rapports écrits ont été sollicités par le Bureau de l’Union dans la circulaire d’invitation à la présente session et un modèle type a été proposé.  Les rapports suivants ont été soumis (dans l’ordre alphabétique des noms en français): </w:t>
      </w:r>
    </w:p>
    <w:p w:rsidR="0035084F" w:rsidRPr="00EB57D6" w:rsidRDefault="0035084F">
      <w:pPr>
        <w:jc w:val="left"/>
      </w:pPr>
    </w:p>
    <w:p w:rsidR="00845D57" w:rsidRPr="00EB57D6" w:rsidRDefault="00845D57" w:rsidP="00845D57">
      <w:pPr>
        <w:ind w:left="567"/>
        <w:rPr>
          <w:szCs w:val="24"/>
        </w:rPr>
      </w:pPr>
      <w:r w:rsidRPr="00EB57D6">
        <w:rPr>
          <w:snapToGrid w:val="0"/>
          <w:u w:val="single"/>
        </w:rPr>
        <w:t>Membres</w:t>
      </w:r>
      <w:r w:rsidRPr="00EB57D6">
        <w:rPr>
          <w:snapToGrid w:val="0"/>
        </w:rPr>
        <w:t xml:space="preserve"> : annexes I à XVII : </w:t>
      </w:r>
      <w:r w:rsidRPr="00EB57D6">
        <w:t>Afrique du Sud, Allemagne, Brésil, Chine, Danemark, Hongrie, Israël, Japon, Lituanie, Nouvelle-Zélande, Pologne, République tchèque, République de Moldova, Singapour, Slovénie, Ukraine et Union européenne</w:t>
      </w:r>
    </w:p>
    <w:p w:rsidR="00845D57" w:rsidRPr="00EB57D6" w:rsidRDefault="00845D57" w:rsidP="00845D57">
      <w:pPr>
        <w:rPr>
          <w:snapToGrid w:val="0"/>
        </w:rPr>
      </w:pPr>
    </w:p>
    <w:p w:rsidR="00845D57" w:rsidRPr="00EB57D6" w:rsidRDefault="00845D57" w:rsidP="00845D57">
      <w:pPr>
        <w:rPr>
          <w:snapToGrid w:val="0"/>
        </w:rPr>
      </w:pPr>
      <w:r w:rsidRPr="00EB57D6">
        <w:rPr>
          <w:snapToGrid w:val="0"/>
        </w:rPr>
        <w:t>3.</w:t>
      </w:r>
      <w:r w:rsidRPr="00EB57D6">
        <w:rPr>
          <w:snapToGrid w:val="0"/>
        </w:rPr>
        <w:tab/>
        <w:t>Les rapports reçus après le 23 septembre 2020 seront inclus dans un additif à ce document, qui sera publié après la session du Conseil.</w:t>
      </w:r>
    </w:p>
    <w:p w:rsidR="00845D57" w:rsidRPr="00EB57D6" w:rsidRDefault="00845D57" w:rsidP="00845D57">
      <w:pPr>
        <w:tabs>
          <w:tab w:val="left" w:pos="567"/>
          <w:tab w:val="left" w:pos="2694"/>
        </w:tabs>
      </w:pPr>
    </w:p>
    <w:p w:rsidR="00845D57" w:rsidRPr="00EB57D6" w:rsidRDefault="00845D57" w:rsidP="00845D57">
      <w:pPr>
        <w:tabs>
          <w:tab w:val="left" w:pos="567"/>
          <w:tab w:val="left" w:pos="2694"/>
        </w:tabs>
      </w:pPr>
    </w:p>
    <w:p w:rsidR="00845D57" w:rsidRPr="00EB57D6" w:rsidRDefault="00845D57" w:rsidP="00845D57"/>
    <w:p w:rsidR="00845D57" w:rsidRPr="00EB57D6" w:rsidRDefault="00845D57" w:rsidP="00845D57">
      <w:pPr>
        <w:jc w:val="right"/>
      </w:pPr>
      <w:r w:rsidRPr="00EB57D6">
        <w:t>[Les annexes suivent]</w:t>
      </w:r>
    </w:p>
    <w:p w:rsidR="00845D57" w:rsidRPr="00EB57D6" w:rsidRDefault="00845D57" w:rsidP="00845D57">
      <w:pPr>
        <w:jc w:val="left"/>
      </w:pPr>
    </w:p>
    <w:p w:rsidR="00845D57" w:rsidRPr="00EB57D6" w:rsidRDefault="00845D57" w:rsidP="00845D57">
      <w:pPr>
        <w:sectPr w:rsidR="00845D57" w:rsidRPr="00EB57D6" w:rsidSect="00906DDC">
          <w:headerReference w:type="default" r:id="rId9"/>
          <w:pgSz w:w="11907" w:h="16840" w:code="9"/>
          <w:pgMar w:top="510" w:right="1134" w:bottom="1134" w:left="1134" w:header="510" w:footer="680" w:gutter="0"/>
          <w:cols w:space="720"/>
          <w:titlePg/>
        </w:sectPr>
      </w:pPr>
    </w:p>
    <w:p w:rsidR="00845D57" w:rsidRPr="00EB57D6" w:rsidRDefault="00845D57" w:rsidP="00845D57">
      <w:pPr>
        <w:jc w:val="center"/>
      </w:pPr>
      <w:r w:rsidRPr="00EB57D6">
        <w:lastRenderedPageBreak/>
        <w:t>C/54/INF/4</w:t>
      </w:r>
    </w:p>
    <w:p w:rsidR="00845D57" w:rsidRPr="00EB57D6" w:rsidRDefault="00845D57" w:rsidP="00845D57">
      <w:pPr>
        <w:jc w:val="center"/>
      </w:pPr>
    </w:p>
    <w:p w:rsidR="00845D57" w:rsidRPr="00EB57D6" w:rsidRDefault="00845D57" w:rsidP="00845D57">
      <w:pPr>
        <w:jc w:val="center"/>
      </w:pPr>
      <w:r w:rsidRPr="00EB57D6">
        <w:t>ANNEXE I</w:t>
      </w:r>
    </w:p>
    <w:p w:rsidR="00845D57" w:rsidRPr="00EB57D6" w:rsidRDefault="00845D57" w:rsidP="00845D57">
      <w:pPr>
        <w:jc w:val="center"/>
      </w:pPr>
    </w:p>
    <w:p w:rsidR="00845D57" w:rsidRPr="00EB57D6" w:rsidRDefault="00845D57" w:rsidP="00845D57">
      <w:pPr>
        <w:jc w:val="center"/>
      </w:pPr>
    </w:p>
    <w:p w:rsidR="000450E3" w:rsidRPr="00EB57D6" w:rsidRDefault="000450E3" w:rsidP="000450E3">
      <w:pPr>
        <w:jc w:val="center"/>
        <w:rPr>
          <w:color w:val="000000"/>
          <w:sz w:val="18"/>
          <w:szCs w:val="24"/>
        </w:rPr>
      </w:pPr>
      <w:r w:rsidRPr="00EB57D6">
        <w:rPr>
          <w:szCs w:val="24"/>
        </w:rPr>
        <w:t>AFRIQUE DU SUD</w:t>
      </w:r>
    </w:p>
    <w:p w:rsidR="000450E3" w:rsidRPr="00EB57D6" w:rsidRDefault="000450E3" w:rsidP="000450E3">
      <w:pPr>
        <w:rPr>
          <w:sz w:val="18"/>
        </w:rPr>
      </w:pPr>
    </w:p>
    <w:p w:rsidR="000450E3" w:rsidRPr="00EB57D6" w:rsidRDefault="000450E3" w:rsidP="000450E3">
      <w:pPr>
        <w:jc w:val="left"/>
        <w:rPr>
          <w:sz w:val="18"/>
        </w:rPr>
      </w:pPr>
    </w:p>
    <w:p w:rsidR="000450E3" w:rsidRPr="00EB57D6" w:rsidRDefault="000450E3" w:rsidP="000450E3">
      <w:pPr>
        <w:rPr>
          <w:caps/>
          <w:sz w:val="18"/>
        </w:rPr>
      </w:pPr>
      <w:r w:rsidRPr="00EB57D6">
        <w:rPr>
          <w:caps/>
        </w:rPr>
        <w:t>I.</w:t>
      </w:r>
      <w:r w:rsidRPr="00EB57D6">
        <w:rPr>
          <w:caps/>
        </w:rPr>
        <w:tab/>
        <w:t>PROTECTION DES OBTENTIONS VÉGÉTALES</w:t>
      </w:r>
    </w:p>
    <w:p w:rsidR="000450E3" w:rsidRPr="00EB57D6" w:rsidRDefault="000450E3" w:rsidP="000450E3">
      <w:pPr>
        <w:rPr>
          <w:sz w:val="18"/>
        </w:rPr>
      </w:pPr>
    </w:p>
    <w:p w:rsidR="000450E3" w:rsidRPr="00EB57D6" w:rsidRDefault="000450E3" w:rsidP="000450E3">
      <w:pPr>
        <w:rPr>
          <w:sz w:val="18"/>
          <w:u w:val="single"/>
        </w:rPr>
      </w:pPr>
      <w:r w:rsidRPr="00EB57D6">
        <w:t>1.</w:t>
      </w:r>
      <w:r w:rsidRPr="00EB57D6">
        <w:tab/>
      </w:r>
      <w:r w:rsidRPr="00EB57D6">
        <w:rPr>
          <w:u w:val="single"/>
        </w:rPr>
        <w:t>Situation dans le domaine législatif</w:t>
      </w:r>
    </w:p>
    <w:p w:rsidR="000450E3" w:rsidRPr="00EB57D6" w:rsidRDefault="000450E3" w:rsidP="000450E3">
      <w:pPr>
        <w:rPr>
          <w:sz w:val="18"/>
        </w:rPr>
      </w:pPr>
    </w:p>
    <w:p w:rsidR="000450E3" w:rsidRPr="00EB57D6" w:rsidRDefault="000450E3" w:rsidP="000450E3">
      <w:pPr>
        <w:ind w:left="567" w:hanging="567"/>
        <w:rPr>
          <w:sz w:val="18"/>
        </w:rPr>
      </w:pPr>
      <w:r w:rsidRPr="00EB57D6">
        <w:t>1</w:t>
      </w:r>
      <w:r w:rsidRPr="00EB57D6">
        <w:rPr>
          <w:color w:val="000000"/>
        </w:rPr>
        <w:t>.</w:t>
      </w:r>
      <w:r w:rsidRPr="00EB57D6">
        <w:t>1</w:t>
      </w:r>
      <w:r w:rsidRPr="00EB57D6">
        <w:rPr>
          <w:color w:val="000000"/>
        </w:rPr>
        <w:tab/>
      </w:r>
      <w:r w:rsidRPr="00EB57D6">
        <w:t>Modifications de la loi et des textes d’application</w:t>
      </w:r>
    </w:p>
    <w:p w:rsidR="000450E3" w:rsidRPr="00EB57D6" w:rsidRDefault="000450E3" w:rsidP="000450E3">
      <w:pPr>
        <w:ind w:left="567" w:hanging="567"/>
        <w:rPr>
          <w:sz w:val="18"/>
        </w:rPr>
      </w:pPr>
    </w:p>
    <w:p w:rsidR="000450E3" w:rsidRPr="00EB57D6" w:rsidRDefault="000450E3" w:rsidP="000450E3">
      <w:pPr>
        <w:ind w:left="567" w:hanging="567"/>
        <w:rPr>
          <w:sz w:val="18"/>
        </w:rPr>
      </w:pPr>
      <w:r w:rsidRPr="00EB57D6">
        <w:tab/>
      </w:r>
      <w:r w:rsidRPr="00EB57D6">
        <w:rPr>
          <w:color w:val="000000"/>
        </w:rPr>
        <w:t>–</w:t>
      </w:r>
      <w:r w:rsidRPr="00EB57D6">
        <w:rPr>
          <w:color w:val="000000"/>
        </w:rPr>
        <w:tab/>
        <w:t>Adaptation à l’Acte de 1991 de la Convention : Aucun élément nouveau.</w:t>
      </w:r>
    </w:p>
    <w:p w:rsidR="000450E3" w:rsidRPr="00EB57D6" w:rsidRDefault="000450E3" w:rsidP="000450E3">
      <w:pPr>
        <w:ind w:left="567" w:hanging="567"/>
        <w:rPr>
          <w:color w:val="000000"/>
          <w:sz w:val="18"/>
        </w:rPr>
      </w:pPr>
      <w:r w:rsidRPr="00EB57D6">
        <w:tab/>
      </w:r>
      <w:r w:rsidRPr="00EB57D6">
        <w:rPr>
          <w:color w:val="000000"/>
        </w:rPr>
        <w:t>–</w:t>
      </w:r>
      <w:r w:rsidRPr="00EB57D6">
        <w:rPr>
          <w:color w:val="000000"/>
        </w:rPr>
        <w:tab/>
      </w:r>
      <w:r w:rsidRPr="00EB57D6">
        <w:t>Autres modifications, y compris pour les taxes</w:t>
      </w:r>
      <w:r w:rsidRPr="00EB57D6">
        <w:rPr>
          <w:color w:val="000000"/>
        </w:rPr>
        <w:t> :</w:t>
      </w:r>
    </w:p>
    <w:p w:rsidR="000450E3" w:rsidRPr="00EB57D6" w:rsidRDefault="000450E3" w:rsidP="000450E3">
      <w:pPr>
        <w:ind w:left="567" w:hanging="567"/>
        <w:rPr>
          <w:sz w:val="18"/>
        </w:rPr>
      </w:pPr>
    </w:p>
    <w:p w:rsidR="000450E3" w:rsidRPr="00EB57D6" w:rsidRDefault="000450E3" w:rsidP="000450E3">
      <w:pPr>
        <w:ind w:left="567"/>
        <w:rPr>
          <w:sz w:val="18"/>
        </w:rPr>
      </w:pPr>
      <w:r w:rsidRPr="00EB57D6">
        <w:t>Les taxes relatives aux droits d’obtenteur pour l’exercice 2020-2021 se terminant le 31 mars 202</w:t>
      </w:r>
      <w:r w:rsidRPr="00EB57D6">
        <w:rPr>
          <w:color w:val="000000"/>
        </w:rPr>
        <w:t>1</w:t>
      </w:r>
      <w:r w:rsidRPr="00EB57D6">
        <w:t xml:space="preserve"> ont été publiées dans le n° 43035 du Journal officiel de l’Afrique du Sud du 21 février 2020.</w:t>
      </w:r>
    </w:p>
    <w:p w:rsidR="000450E3" w:rsidRPr="00EB57D6" w:rsidRDefault="000450E3" w:rsidP="000450E3">
      <w:pPr>
        <w:rPr>
          <w:sz w:val="18"/>
        </w:rPr>
      </w:pPr>
    </w:p>
    <w:p w:rsidR="000450E3" w:rsidRPr="00EB57D6" w:rsidRDefault="000450E3" w:rsidP="000450E3">
      <w:pPr>
        <w:rPr>
          <w:rFonts w:cs="Arial"/>
          <w:sz w:val="18"/>
        </w:rPr>
      </w:pPr>
      <w:r w:rsidRPr="00EB57D6">
        <w:rPr>
          <w:rFonts w:cs="Arial"/>
          <w:color w:val="000000"/>
        </w:rPr>
        <w:t>1.2</w:t>
      </w:r>
      <w:r w:rsidRPr="00EB57D6">
        <w:rPr>
          <w:rFonts w:cs="Arial"/>
          <w:color w:val="000000"/>
        </w:rPr>
        <w:tab/>
        <w:t>Extension de la protection à d’autres genres et espèces (effectuée ou prévue) : Aucun élément nouveau.</w:t>
      </w:r>
    </w:p>
    <w:p w:rsidR="000450E3" w:rsidRPr="00EB57D6" w:rsidRDefault="000450E3" w:rsidP="000450E3">
      <w:pPr>
        <w:ind w:left="720" w:hanging="153"/>
        <w:rPr>
          <w:rFonts w:cs="Arial"/>
          <w:i/>
          <w:sz w:val="18"/>
        </w:rPr>
      </w:pPr>
    </w:p>
    <w:p w:rsidR="000450E3" w:rsidRPr="00EB57D6" w:rsidRDefault="000450E3" w:rsidP="000450E3">
      <w:pPr>
        <w:rPr>
          <w:sz w:val="18"/>
        </w:rPr>
      </w:pPr>
      <w:r w:rsidRPr="00EB57D6">
        <w:rPr>
          <w:color w:val="000000"/>
        </w:rPr>
        <w:t>1.3</w:t>
      </w:r>
      <w:r w:rsidRPr="00EB57D6">
        <w:rPr>
          <w:color w:val="000000"/>
        </w:rPr>
        <w:tab/>
        <w:t>Jurisprudence : Aucun élément nouveau.</w:t>
      </w:r>
    </w:p>
    <w:p w:rsidR="000450E3" w:rsidRPr="00EB57D6" w:rsidRDefault="000450E3" w:rsidP="000450E3">
      <w:pPr>
        <w:ind w:left="567"/>
        <w:rPr>
          <w:sz w:val="18"/>
        </w:rPr>
      </w:pPr>
    </w:p>
    <w:p w:rsidR="000450E3" w:rsidRPr="00EB57D6" w:rsidRDefault="000450E3" w:rsidP="000450E3">
      <w:pPr>
        <w:ind w:left="567"/>
        <w:rPr>
          <w:sz w:val="18"/>
        </w:rPr>
      </w:pPr>
    </w:p>
    <w:p w:rsidR="000450E3" w:rsidRPr="00EB57D6" w:rsidRDefault="000450E3" w:rsidP="000450E3">
      <w:pPr>
        <w:ind w:left="567" w:hanging="567"/>
        <w:rPr>
          <w:sz w:val="18"/>
        </w:rPr>
      </w:pPr>
      <w:r w:rsidRPr="00EB57D6">
        <w:t>2.</w:t>
      </w:r>
      <w:r w:rsidRPr="00EB57D6">
        <w:tab/>
      </w:r>
      <w:r w:rsidRPr="00EB57D6">
        <w:rPr>
          <w:u w:val="single"/>
        </w:rPr>
        <w:t>Coopération en matière d’examen</w:t>
      </w:r>
    </w:p>
    <w:p w:rsidR="000450E3" w:rsidRPr="00EB57D6" w:rsidRDefault="000450E3" w:rsidP="000450E3">
      <w:pPr>
        <w:ind w:left="567" w:hanging="567"/>
        <w:rPr>
          <w:sz w:val="18"/>
        </w:rPr>
      </w:pPr>
    </w:p>
    <w:p w:rsidR="000450E3" w:rsidRPr="00EB57D6" w:rsidRDefault="000450E3" w:rsidP="000450E3">
      <w:pPr>
        <w:ind w:left="1134" w:hanging="567"/>
        <w:rPr>
          <w:sz w:val="18"/>
        </w:rPr>
      </w:pPr>
      <w:r w:rsidRPr="00EB57D6">
        <w:rPr>
          <w:color w:val="000000"/>
        </w:rPr>
        <w:t>–</w:t>
      </w:r>
      <w:r w:rsidRPr="00EB57D6">
        <w:rPr>
          <w:color w:val="000000"/>
        </w:rPr>
        <w:tab/>
        <w:t>Conclusion de nouveaux accords (achevée, en cours ou prévue) : Aucun élément nouveau.</w:t>
      </w:r>
    </w:p>
    <w:p w:rsidR="000450E3" w:rsidRPr="00EB57D6" w:rsidRDefault="000450E3" w:rsidP="000450E3">
      <w:pPr>
        <w:ind w:left="1134" w:hanging="567"/>
        <w:rPr>
          <w:sz w:val="18"/>
        </w:rPr>
      </w:pPr>
    </w:p>
    <w:p w:rsidR="000450E3" w:rsidRPr="00EB57D6" w:rsidRDefault="000450E3" w:rsidP="000450E3">
      <w:pPr>
        <w:ind w:left="1134" w:hanging="567"/>
        <w:rPr>
          <w:sz w:val="18"/>
        </w:rPr>
      </w:pPr>
      <w:r w:rsidRPr="00EB57D6">
        <w:rPr>
          <w:color w:val="000000"/>
        </w:rPr>
        <w:t>–</w:t>
      </w:r>
      <w:r w:rsidRPr="00EB57D6">
        <w:rPr>
          <w:color w:val="000000"/>
        </w:rPr>
        <w:tab/>
        <w:t>Modification des accords en vigueur (achevée, en cours ou prévue) : Aucun élément nouveau.</w:t>
      </w:r>
    </w:p>
    <w:p w:rsidR="000450E3" w:rsidRPr="00EB57D6" w:rsidRDefault="000450E3" w:rsidP="000450E3">
      <w:pPr>
        <w:pStyle w:val="ListParagraph"/>
        <w:ind w:left="1418" w:hanging="851"/>
        <w:rPr>
          <w:sz w:val="18"/>
          <w:lang w:val="fr-FR"/>
        </w:rPr>
      </w:pPr>
    </w:p>
    <w:p w:rsidR="000450E3" w:rsidRPr="00EB57D6" w:rsidRDefault="000450E3" w:rsidP="000450E3">
      <w:pPr>
        <w:pStyle w:val="ListParagraph"/>
        <w:ind w:left="1418" w:hanging="851"/>
        <w:rPr>
          <w:sz w:val="18"/>
          <w:lang w:val="fr-FR"/>
        </w:rPr>
      </w:pPr>
    </w:p>
    <w:p w:rsidR="000450E3" w:rsidRPr="00EB57D6" w:rsidRDefault="000450E3" w:rsidP="000450E3">
      <w:pPr>
        <w:ind w:left="567" w:hanging="567"/>
        <w:rPr>
          <w:sz w:val="18"/>
        </w:rPr>
      </w:pPr>
      <w:r w:rsidRPr="00EB57D6">
        <w:rPr>
          <w:color w:val="000000"/>
        </w:rPr>
        <w:t>3.</w:t>
      </w:r>
      <w:r w:rsidRPr="00EB57D6">
        <w:rPr>
          <w:color w:val="000000"/>
        </w:rPr>
        <w:tab/>
      </w:r>
      <w:r w:rsidRPr="00EB57D6">
        <w:rPr>
          <w:color w:val="000000"/>
          <w:u w:val="single"/>
        </w:rPr>
        <w:t>Situation dans le domaine administratif</w:t>
      </w:r>
      <w:r w:rsidRPr="00EB57D6">
        <w:rPr>
          <w:color w:val="000000"/>
        </w:rPr>
        <w:t> : Aucun élément nouveau.</w:t>
      </w:r>
    </w:p>
    <w:p w:rsidR="000450E3" w:rsidRPr="00EB57D6" w:rsidRDefault="000450E3" w:rsidP="000450E3">
      <w:pPr>
        <w:rPr>
          <w:sz w:val="18"/>
        </w:rPr>
      </w:pPr>
    </w:p>
    <w:p w:rsidR="000450E3" w:rsidRPr="00EB57D6" w:rsidRDefault="000450E3" w:rsidP="000450E3">
      <w:pPr>
        <w:rPr>
          <w:sz w:val="18"/>
        </w:rPr>
      </w:pPr>
    </w:p>
    <w:p w:rsidR="000450E3" w:rsidRPr="00EB57D6" w:rsidRDefault="000450E3" w:rsidP="000450E3">
      <w:pPr>
        <w:pStyle w:val="ListParagraph"/>
        <w:ind w:left="709" w:hanging="709"/>
        <w:jc w:val="both"/>
        <w:rPr>
          <w:sz w:val="18"/>
          <w:u w:val="single"/>
          <w:lang w:val="fr-FR"/>
        </w:rPr>
      </w:pPr>
      <w:r w:rsidRPr="00EB57D6">
        <w:rPr>
          <w:lang w:val="fr-FR"/>
        </w:rPr>
        <w:t>4.</w:t>
      </w:r>
      <w:r w:rsidRPr="00EB57D6">
        <w:rPr>
          <w:lang w:val="fr-FR"/>
        </w:rPr>
        <w:tab/>
      </w:r>
      <w:r w:rsidRPr="00EB57D6">
        <w:rPr>
          <w:u w:val="single"/>
          <w:lang w:val="fr-FR"/>
        </w:rPr>
        <w:t>Situation dans le domaine technique</w:t>
      </w:r>
    </w:p>
    <w:p w:rsidR="000450E3" w:rsidRPr="00EB57D6" w:rsidRDefault="000450E3" w:rsidP="000450E3">
      <w:pPr>
        <w:pStyle w:val="ListParagraph"/>
        <w:ind w:left="709" w:hanging="709"/>
        <w:jc w:val="both"/>
        <w:rPr>
          <w:sz w:val="18"/>
          <w:lang w:val="fr-FR"/>
        </w:rPr>
      </w:pPr>
    </w:p>
    <w:p w:rsidR="000450E3" w:rsidRPr="00EB57D6" w:rsidRDefault="000450E3" w:rsidP="000450E3">
      <w:pPr>
        <w:pStyle w:val="ListParagraph"/>
        <w:ind w:left="709" w:hanging="709"/>
        <w:jc w:val="both"/>
        <w:rPr>
          <w:sz w:val="18"/>
          <w:lang w:val="fr-FR"/>
        </w:rPr>
      </w:pPr>
      <w:r w:rsidRPr="00EB57D6">
        <w:rPr>
          <w:lang w:val="fr-FR"/>
        </w:rPr>
        <w:tab/>
        <w:t>Les centres d’évaluation sont responsables des examens biologiques (examens DHS).</w:t>
      </w:r>
    </w:p>
    <w:p w:rsidR="000450E3" w:rsidRPr="00EB57D6" w:rsidRDefault="000450E3" w:rsidP="000450E3">
      <w:pPr>
        <w:pStyle w:val="ListParagraph"/>
        <w:ind w:left="709" w:hanging="709"/>
        <w:jc w:val="both"/>
        <w:rPr>
          <w:sz w:val="18"/>
          <w:lang w:val="fr-FR"/>
        </w:rPr>
      </w:pPr>
    </w:p>
    <w:p w:rsidR="000450E3" w:rsidRPr="00EB57D6" w:rsidRDefault="000450E3" w:rsidP="000450E3">
      <w:pPr>
        <w:pStyle w:val="ListParagraph"/>
        <w:numPr>
          <w:ilvl w:val="0"/>
          <w:numId w:val="1"/>
        </w:numPr>
        <w:jc w:val="both"/>
        <w:rPr>
          <w:sz w:val="18"/>
          <w:lang w:val="fr-FR"/>
        </w:rPr>
      </w:pPr>
      <w:r w:rsidRPr="00EB57D6">
        <w:rPr>
          <w:color w:val="000000"/>
          <w:lang w:val="fr-FR"/>
        </w:rPr>
        <w:t>306 demandes de droit d’obtenteur ont été reçues, dont 53% [161] concernaient des plantes agricoles, 12% [37] des plantes ornementales, 27% [83] des plantes fruitières et 8% [25] des plantes potagères.</w:t>
      </w:r>
    </w:p>
    <w:p w:rsidR="000450E3" w:rsidRPr="00EB57D6" w:rsidRDefault="000450E3" w:rsidP="000450E3">
      <w:pPr>
        <w:rPr>
          <w:sz w:val="18"/>
        </w:rPr>
      </w:pPr>
    </w:p>
    <w:p w:rsidR="000450E3" w:rsidRPr="00EB57D6" w:rsidRDefault="000450E3" w:rsidP="000450E3">
      <w:pPr>
        <w:pStyle w:val="ListParagraph"/>
        <w:numPr>
          <w:ilvl w:val="0"/>
          <w:numId w:val="1"/>
        </w:numPr>
        <w:jc w:val="both"/>
        <w:rPr>
          <w:sz w:val="18"/>
          <w:lang w:val="fr-FR"/>
        </w:rPr>
      </w:pPr>
      <w:r w:rsidRPr="00EB57D6">
        <w:rPr>
          <w:lang w:val="fr-FR"/>
        </w:rPr>
        <w:t>En décembre 2019, 3108 variétés au total, dont 23% [724] de plantes ornementales, 40% [1260] de plantes agricoles, 29% [889] de plantes fruitières et 8% [235] de plantes potagères bénéficiaient d’un droit d’obtenteur valide en Afrique du Sud.</w:t>
      </w:r>
    </w:p>
    <w:p w:rsidR="000450E3" w:rsidRPr="00EB57D6" w:rsidRDefault="000450E3" w:rsidP="000450E3">
      <w:pPr>
        <w:pStyle w:val="ListParagraph"/>
        <w:ind w:left="709"/>
        <w:rPr>
          <w:sz w:val="18"/>
          <w:lang w:val="fr-FR"/>
        </w:rPr>
      </w:pPr>
    </w:p>
    <w:p w:rsidR="000450E3" w:rsidRPr="00EB57D6" w:rsidRDefault="000450E3" w:rsidP="000450E3">
      <w:pPr>
        <w:pStyle w:val="ListParagraph"/>
        <w:ind w:left="709"/>
        <w:rPr>
          <w:sz w:val="18"/>
          <w:lang w:val="fr-FR"/>
        </w:rPr>
      </w:pPr>
    </w:p>
    <w:p w:rsidR="000450E3" w:rsidRPr="00EB57D6" w:rsidRDefault="000450E3" w:rsidP="000450E3">
      <w:pPr>
        <w:ind w:left="567" w:hanging="567"/>
        <w:rPr>
          <w:sz w:val="18"/>
        </w:rPr>
      </w:pPr>
      <w:r w:rsidRPr="00EB57D6">
        <w:t>5.</w:t>
      </w:r>
      <w:r w:rsidRPr="00EB57D6">
        <w:tab/>
      </w:r>
      <w:r w:rsidRPr="00EB57D6">
        <w:rPr>
          <w:u w:val="single"/>
        </w:rPr>
        <w:t>Activités de promotion de la protection des obtentions végétales</w:t>
      </w:r>
    </w:p>
    <w:p w:rsidR="000450E3" w:rsidRPr="00EB57D6" w:rsidRDefault="000450E3" w:rsidP="000450E3">
      <w:pPr>
        <w:pStyle w:val="ListParagraph"/>
        <w:ind w:left="709" w:hanging="709"/>
        <w:jc w:val="both"/>
        <w:rPr>
          <w:lang w:val="fr-FR"/>
        </w:rPr>
      </w:pPr>
    </w:p>
    <w:tbl>
      <w:tblPr>
        <w:tblStyle w:val="TableGrid"/>
        <w:tblW w:w="9668" w:type="dxa"/>
        <w:tblInd w:w="108" w:type="dxa"/>
        <w:tblLayout w:type="fixed"/>
        <w:tblCellMar>
          <w:left w:w="57" w:type="dxa"/>
          <w:right w:w="57" w:type="dxa"/>
        </w:tblCellMar>
        <w:tblLook w:val="04A0" w:firstRow="1" w:lastRow="0" w:firstColumn="1" w:lastColumn="0" w:noHBand="0" w:noVBand="1"/>
      </w:tblPr>
      <w:tblGrid>
        <w:gridCol w:w="1588"/>
        <w:gridCol w:w="1134"/>
        <w:gridCol w:w="1276"/>
        <w:gridCol w:w="1418"/>
        <w:gridCol w:w="1984"/>
        <w:gridCol w:w="2268"/>
      </w:tblGrid>
      <w:tr w:rsidR="000450E3" w:rsidRPr="00EB57D6" w:rsidTr="000450E3">
        <w:tc>
          <w:tcPr>
            <w:tcW w:w="1588" w:type="dxa"/>
          </w:tcPr>
          <w:p w:rsidR="000450E3" w:rsidRPr="00EB57D6" w:rsidRDefault="000450E3" w:rsidP="009B2909">
            <w:pPr>
              <w:pStyle w:val="ListParagraph"/>
              <w:ind w:left="0" w:firstLine="0"/>
              <w:rPr>
                <w:sz w:val="16"/>
                <w:szCs w:val="20"/>
                <w:lang w:val="fr-FR"/>
              </w:rPr>
            </w:pPr>
            <w:r w:rsidRPr="00EB57D6">
              <w:rPr>
                <w:sz w:val="16"/>
                <w:szCs w:val="20"/>
                <w:lang w:val="fr-FR"/>
              </w:rPr>
              <w:t>Titre de l’activité</w:t>
            </w:r>
          </w:p>
        </w:tc>
        <w:tc>
          <w:tcPr>
            <w:tcW w:w="1134" w:type="dxa"/>
          </w:tcPr>
          <w:p w:rsidR="000450E3" w:rsidRPr="00EB57D6" w:rsidRDefault="000450E3" w:rsidP="009B2909">
            <w:pPr>
              <w:pStyle w:val="ListParagraph"/>
              <w:ind w:left="0" w:firstLine="0"/>
              <w:rPr>
                <w:sz w:val="16"/>
                <w:szCs w:val="20"/>
                <w:lang w:val="fr-FR"/>
              </w:rPr>
            </w:pPr>
            <w:r w:rsidRPr="00EB57D6">
              <w:rPr>
                <w:sz w:val="16"/>
                <w:szCs w:val="20"/>
                <w:lang w:val="fr-FR"/>
              </w:rPr>
              <w:t>Date</w:t>
            </w:r>
          </w:p>
        </w:tc>
        <w:tc>
          <w:tcPr>
            <w:tcW w:w="1276" w:type="dxa"/>
          </w:tcPr>
          <w:p w:rsidR="000450E3" w:rsidRPr="00EB57D6" w:rsidRDefault="000450E3" w:rsidP="009B2909">
            <w:pPr>
              <w:pStyle w:val="ListParagraph"/>
              <w:ind w:left="0" w:firstLine="0"/>
              <w:rPr>
                <w:sz w:val="16"/>
                <w:szCs w:val="20"/>
                <w:lang w:val="fr-FR"/>
              </w:rPr>
            </w:pPr>
            <w:r w:rsidRPr="00EB57D6">
              <w:rPr>
                <w:sz w:val="16"/>
                <w:szCs w:val="20"/>
                <w:lang w:val="fr-FR"/>
              </w:rPr>
              <w:t>Lieu</w:t>
            </w:r>
          </w:p>
        </w:tc>
        <w:tc>
          <w:tcPr>
            <w:tcW w:w="1418" w:type="dxa"/>
          </w:tcPr>
          <w:p w:rsidR="000450E3" w:rsidRPr="00EB57D6" w:rsidRDefault="000450E3" w:rsidP="009B2909">
            <w:pPr>
              <w:pStyle w:val="ListParagraph"/>
              <w:ind w:left="0" w:firstLine="0"/>
              <w:rPr>
                <w:sz w:val="16"/>
                <w:szCs w:val="20"/>
                <w:lang w:val="fr-FR"/>
              </w:rPr>
            </w:pPr>
            <w:r w:rsidRPr="00EB57D6">
              <w:rPr>
                <w:sz w:val="16"/>
                <w:szCs w:val="20"/>
                <w:lang w:val="fr-FR"/>
              </w:rPr>
              <w:t>Organisateur(s)</w:t>
            </w:r>
          </w:p>
        </w:tc>
        <w:tc>
          <w:tcPr>
            <w:tcW w:w="1984" w:type="dxa"/>
          </w:tcPr>
          <w:p w:rsidR="000450E3" w:rsidRPr="00EB57D6" w:rsidRDefault="000450E3" w:rsidP="009B2909">
            <w:pPr>
              <w:pStyle w:val="ListParagraph"/>
              <w:ind w:left="0" w:firstLine="0"/>
              <w:rPr>
                <w:sz w:val="16"/>
                <w:szCs w:val="20"/>
                <w:lang w:val="fr-FR"/>
              </w:rPr>
            </w:pPr>
            <w:r w:rsidRPr="00EB57D6">
              <w:rPr>
                <w:sz w:val="16"/>
                <w:szCs w:val="20"/>
                <w:lang w:val="fr-FR"/>
              </w:rPr>
              <w:t>But de l’activité</w:t>
            </w:r>
          </w:p>
        </w:tc>
        <w:tc>
          <w:tcPr>
            <w:tcW w:w="2268" w:type="dxa"/>
          </w:tcPr>
          <w:p w:rsidR="000450E3" w:rsidRPr="00EB57D6" w:rsidRDefault="000450E3" w:rsidP="009B2909">
            <w:pPr>
              <w:pStyle w:val="ListParagraph"/>
              <w:ind w:left="0" w:firstLine="0"/>
              <w:rPr>
                <w:sz w:val="16"/>
                <w:szCs w:val="20"/>
                <w:lang w:val="fr-FR"/>
              </w:rPr>
            </w:pPr>
            <w:r w:rsidRPr="00EB57D6">
              <w:rPr>
                <w:sz w:val="16"/>
                <w:szCs w:val="20"/>
                <w:lang w:val="fr-FR"/>
              </w:rPr>
              <w:t>Pays/organisations participants (nombre de participants de chacun d’eux)</w:t>
            </w:r>
          </w:p>
        </w:tc>
      </w:tr>
      <w:tr w:rsidR="000450E3" w:rsidRPr="00EB57D6" w:rsidTr="000450E3">
        <w:tc>
          <w:tcPr>
            <w:tcW w:w="1588" w:type="dxa"/>
          </w:tcPr>
          <w:p w:rsidR="000450E3" w:rsidRPr="00EB57D6" w:rsidRDefault="000450E3" w:rsidP="009B2909">
            <w:pPr>
              <w:pStyle w:val="ListParagraph"/>
              <w:ind w:left="0" w:firstLine="0"/>
              <w:rPr>
                <w:sz w:val="16"/>
                <w:lang w:val="fr-FR"/>
              </w:rPr>
            </w:pPr>
            <w:r w:rsidRPr="00EB57D6">
              <w:rPr>
                <w:color w:val="000000"/>
                <w:sz w:val="16"/>
                <w:lang w:val="fr-FR"/>
              </w:rPr>
              <w:t>Aperçu de la loi sur la protection des obtentions végétales et de la loi sur l’amélioration des plantes</w:t>
            </w:r>
          </w:p>
        </w:tc>
        <w:tc>
          <w:tcPr>
            <w:tcW w:w="1134" w:type="dxa"/>
          </w:tcPr>
          <w:p w:rsidR="000450E3" w:rsidRPr="00EB57D6" w:rsidRDefault="000450E3" w:rsidP="009B2909">
            <w:pPr>
              <w:pStyle w:val="ListParagraph"/>
              <w:ind w:left="0" w:firstLine="0"/>
              <w:rPr>
                <w:sz w:val="16"/>
                <w:lang w:val="fr-FR"/>
              </w:rPr>
            </w:pPr>
            <w:r w:rsidRPr="00EB57D6">
              <w:rPr>
                <w:sz w:val="16"/>
                <w:lang w:val="fr-FR"/>
              </w:rPr>
              <w:t>19 septembre 2019</w:t>
            </w:r>
          </w:p>
        </w:tc>
        <w:tc>
          <w:tcPr>
            <w:tcW w:w="1276" w:type="dxa"/>
          </w:tcPr>
          <w:p w:rsidR="000450E3" w:rsidRPr="00EB57D6" w:rsidRDefault="000450E3" w:rsidP="009B2909">
            <w:pPr>
              <w:pStyle w:val="ListParagraph"/>
              <w:ind w:left="0" w:firstLine="0"/>
              <w:rPr>
                <w:sz w:val="16"/>
                <w:lang w:val="fr-FR"/>
              </w:rPr>
            </w:pPr>
            <w:r w:rsidRPr="00EB57D6">
              <w:rPr>
                <w:color w:val="000000"/>
                <w:sz w:val="16"/>
                <w:lang w:val="fr-FR"/>
              </w:rPr>
              <w:t xml:space="preserve">Station d’essais de semences, </w:t>
            </w:r>
            <w:proofErr w:type="spellStart"/>
            <w:r w:rsidRPr="00EB57D6">
              <w:rPr>
                <w:color w:val="000000"/>
                <w:sz w:val="16"/>
                <w:lang w:val="fr-FR"/>
              </w:rPr>
              <w:t>Roodeplaat</w:t>
            </w:r>
            <w:proofErr w:type="spellEnd"/>
          </w:p>
        </w:tc>
        <w:tc>
          <w:tcPr>
            <w:tcW w:w="1418" w:type="dxa"/>
          </w:tcPr>
          <w:p w:rsidR="000450E3" w:rsidRPr="00EB57D6" w:rsidRDefault="000450E3" w:rsidP="009B2909">
            <w:pPr>
              <w:pStyle w:val="ListParagraph"/>
              <w:ind w:left="0" w:firstLine="0"/>
              <w:rPr>
                <w:sz w:val="16"/>
                <w:lang w:val="fr-FR"/>
              </w:rPr>
            </w:pPr>
            <w:r w:rsidRPr="00EB57D6">
              <w:rPr>
                <w:sz w:val="16"/>
                <w:lang w:val="fr-FR"/>
              </w:rPr>
              <w:t xml:space="preserve">M. </w:t>
            </w:r>
            <w:proofErr w:type="spellStart"/>
            <w:r w:rsidRPr="00EB57D6">
              <w:rPr>
                <w:sz w:val="16"/>
                <w:lang w:val="fr-FR"/>
              </w:rPr>
              <w:t>Khetani</w:t>
            </w:r>
            <w:proofErr w:type="spellEnd"/>
            <w:r w:rsidRPr="00EB57D6">
              <w:rPr>
                <w:sz w:val="16"/>
                <w:lang w:val="fr-FR"/>
              </w:rPr>
              <w:t xml:space="preserve"> </w:t>
            </w:r>
            <w:proofErr w:type="spellStart"/>
            <w:r w:rsidRPr="00EB57D6">
              <w:rPr>
                <w:sz w:val="16"/>
                <w:lang w:val="fr-FR"/>
              </w:rPr>
              <w:t>Mhlembe</w:t>
            </w:r>
            <w:proofErr w:type="spellEnd"/>
            <w:r w:rsidRPr="00EB57D6">
              <w:rPr>
                <w:sz w:val="16"/>
                <w:lang w:val="fr-FR"/>
              </w:rPr>
              <w:t xml:space="preserve"> de l’Université de Limpopo</w:t>
            </w:r>
          </w:p>
        </w:tc>
        <w:tc>
          <w:tcPr>
            <w:tcW w:w="1984" w:type="dxa"/>
          </w:tcPr>
          <w:p w:rsidR="000450E3" w:rsidRPr="00EB57D6" w:rsidRDefault="000450E3" w:rsidP="009B2909">
            <w:pPr>
              <w:pStyle w:val="ListParagraph"/>
              <w:ind w:left="0" w:firstLine="0"/>
              <w:rPr>
                <w:sz w:val="16"/>
                <w:lang w:val="fr-FR"/>
              </w:rPr>
            </w:pPr>
            <w:r w:rsidRPr="00EB57D6">
              <w:rPr>
                <w:color w:val="000000"/>
                <w:sz w:val="16"/>
                <w:lang w:val="fr-FR"/>
              </w:rPr>
              <w:t>Présenter un aperçu du système des droits d’obtenteur, du listage des variétés, de la certification des semences et des essais de semences</w:t>
            </w:r>
            <w:r w:rsidRPr="00EB57D6">
              <w:rPr>
                <w:sz w:val="16"/>
                <w:lang w:val="fr-FR"/>
              </w:rPr>
              <w:t xml:space="preserve"> </w:t>
            </w:r>
          </w:p>
        </w:tc>
        <w:tc>
          <w:tcPr>
            <w:tcW w:w="2268" w:type="dxa"/>
          </w:tcPr>
          <w:p w:rsidR="000450E3" w:rsidRPr="00EB57D6" w:rsidRDefault="000450E3" w:rsidP="009B2909">
            <w:pPr>
              <w:pStyle w:val="ListParagraph"/>
              <w:ind w:left="0" w:firstLine="0"/>
              <w:rPr>
                <w:sz w:val="16"/>
                <w:lang w:val="fr-FR"/>
              </w:rPr>
            </w:pPr>
            <w:r w:rsidRPr="00EB57D6">
              <w:rPr>
                <w:color w:val="000000"/>
                <w:sz w:val="16"/>
                <w:lang w:val="fr-FR"/>
              </w:rPr>
              <w:t>environ 40 étudiants en sélection végétale de l’Université de Limpopo</w:t>
            </w:r>
          </w:p>
        </w:tc>
      </w:tr>
    </w:tbl>
    <w:p w:rsidR="000450E3" w:rsidRPr="00EB57D6" w:rsidRDefault="000450E3" w:rsidP="000450E3">
      <w:pPr>
        <w:pStyle w:val="ListParagraph"/>
        <w:ind w:left="709" w:hanging="709"/>
        <w:jc w:val="both"/>
        <w:rPr>
          <w:sz w:val="18"/>
          <w:lang w:val="fr-FR"/>
        </w:rPr>
      </w:pPr>
    </w:p>
    <w:p w:rsidR="000450E3" w:rsidRPr="00EB57D6" w:rsidRDefault="000450E3" w:rsidP="000450E3">
      <w:pPr>
        <w:pStyle w:val="ListParagraph"/>
        <w:ind w:left="709" w:hanging="709"/>
        <w:jc w:val="both"/>
        <w:rPr>
          <w:sz w:val="18"/>
          <w:lang w:val="fr-FR"/>
        </w:rPr>
      </w:pPr>
    </w:p>
    <w:p w:rsidR="000450E3" w:rsidRPr="00EB57D6" w:rsidRDefault="000450E3" w:rsidP="000450E3">
      <w:pPr>
        <w:rPr>
          <w:sz w:val="18"/>
        </w:rPr>
      </w:pPr>
      <w:r w:rsidRPr="00EB57D6">
        <w:t>II.</w:t>
      </w:r>
      <w:r w:rsidRPr="00EB57D6">
        <w:tab/>
        <w:t>AUTRES ÉLÉMENTS NOUVEAUX PRÉSENTANT UN INTÉRÊT POUR L’UPOV</w:t>
      </w:r>
    </w:p>
    <w:p w:rsidR="000450E3" w:rsidRPr="00EB57D6" w:rsidRDefault="000450E3" w:rsidP="000450E3">
      <w:pPr>
        <w:pStyle w:val="ListParagraph"/>
        <w:ind w:left="709" w:hanging="709"/>
        <w:jc w:val="both"/>
        <w:rPr>
          <w:b/>
          <w:sz w:val="18"/>
          <w:lang w:val="fr-FR"/>
        </w:rPr>
      </w:pPr>
    </w:p>
    <w:p w:rsidR="000450E3" w:rsidRPr="00EB57D6" w:rsidRDefault="000450E3" w:rsidP="000450E3">
      <w:pPr>
        <w:pStyle w:val="ListParagraph"/>
        <w:ind w:left="709" w:hanging="709"/>
        <w:jc w:val="both"/>
        <w:rPr>
          <w:sz w:val="18"/>
          <w:lang w:val="fr-FR"/>
        </w:rPr>
      </w:pPr>
      <w:r w:rsidRPr="00EB57D6">
        <w:rPr>
          <w:lang w:val="fr-FR"/>
        </w:rPr>
        <w:t>Aucun élément nouveau.</w:t>
      </w:r>
    </w:p>
    <w:p w:rsidR="00845D57" w:rsidRPr="00EB57D6" w:rsidRDefault="00845D57" w:rsidP="00845D57">
      <w:pPr>
        <w:jc w:val="left"/>
      </w:pPr>
    </w:p>
    <w:p w:rsidR="00845D57" w:rsidRPr="00EB57D6" w:rsidRDefault="00845D57" w:rsidP="00845D57">
      <w:pPr>
        <w:jc w:val="right"/>
      </w:pPr>
      <w:r w:rsidRPr="00EB57D6">
        <w:t>[L’annexe II suit]</w:t>
      </w:r>
    </w:p>
    <w:p w:rsidR="00845D57" w:rsidRPr="00EB57D6" w:rsidRDefault="00845D57" w:rsidP="00845D57"/>
    <w:p w:rsidR="00845D57" w:rsidRPr="00EB57D6" w:rsidRDefault="00845D57" w:rsidP="00845D57"/>
    <w:p w:rsidR="00845D57" w:rsidRPr="00EB57D6" w:rsidRDefault="00845D57" w:rsidP="00845D57">
      <w:pPr>
        <w:jc w:val="left"/>
        <w:sectPr w:rsidR="00845D57" w:rsidRPr="00EB57D6" w:rsidSect="009B2909">
          <w:headerReference w:type="default" r:id="rId10"/>
          <w:pgSz w:w="11907" w:h="16840" w:code="9"/>
          <w:pgMar w:top="510" w:right="1134" w:bottom="1134" w:left="1134" w:header="510" w:footer="680" w:gutter="0"/>
          <w:pgNumType w:start="1"/>
          <w:cols w:space="720"/>
          <w:titlePg/>
        </w:sectPr>
      </w:pPr>
    </w:p>
    <w:p w:rsidR="00845D57" w:rsidRPr="00EB57D6" w:rsidRDefault="00845D57" w:rsidP="00845D57">
      <w:pPr>
        <w:jc w:val="center"/>
      </w:pPr>
      <w:r w:rsidRPr="00EB57D6">
        <w:lastRenderedPageBreak/>
        <w:t>C/54/INF/4</w:t>
      </w:r>
    </w:p>
    <w:p w:rsidR="00845D57" w:rsidRPr="00EB57D6" w:rsidRDefault="00845D57" w:rsidP="00845D57">
      <w:pPr>
        <w:jc w:val="center"/>
      </w:pPr>
    </w:p>
    <w:p w:rsidR="00845D57" w:rsidRPr="00EB57D6" w:rsidRDefault="00845D57" w:rsidP="00845D57">
      <w:pPr>
        <w:jc w:val="center"/>
      </w:pPr>
      <w:r w:rsidRPr="00EB57D6">
        <w:t>ANNEXE II</w:t>
      </w:r>
    </w:p>
    <w:p w:rsidR="00845D57" w:rsidRPr="00EB57D6" w:rsidRDefault="00845D57" w:rsidP="00845D57">
      <w:pPr>
        <w:jc w:val="center"/>
      </w:pPr>
    </w:p>
    <w:p w:rsidR="00845D57" w:rsidRPr="00EB57D6" w:rsidRDefault="00845D57" w:rsidP="00845D57">
      <w:pPr>
        <w:jc w:val="center"/>
      </w:pPr>
    </w:p>
    <w:p w:rsidR="00D203BE" w:rsidRPr="00EB57D6" w:rsidRDefault="00D203BE" w:rsidP="00D203BE">
      <w:pPr>
        <w:jc w:val="center"/>
      </w:pPr>
      <w:r w:rsidRPr="00EB57D6">
        <w:t>ALLEMAGNE</w:t>
      </w:r>
    </w:p>
    <w:p w:rsidR="00D203BE" w:rsidRPr="00EB57D6" w:rsidRDefault="00D203BE" w:rsidP="00D203BE"/>
    <w:p w:rsidR="00D203BE" w:rsidRPr="00EB57D6" w:rsidRDefault="00D203BE" w:rsidP="00D203BE"/>
    <w:p w:rsidR="00D203BE" w:rsidRPr="00EB57D6" w:rsidRDefault="00D203BE" w:rsidP="00D203BE">
      <w:r w:rsidRPr="00EB57D6">
        <w:t>I.</w:t>
      </w:r>
      <w:r w:rsidRPr="00EB57D6">
        <w:tab/>
        <w:t>PROTECTION DES OBTENTIONS VÉGÉTALES</w:t>
      </w:r>
    </w:p>
    <w:p w:rsidR="00D203BE" w:rsidRPr="00EB57D6" w:rsidRDefault="00D203BE" w:rsidP="00D203BE"/>
    <w:p w:rsidR="00D203BE" w:rsidRPr="00EB57D6" w:rsidRDefault="00D203BE" w:rsidP="00D203BE">
      <w:r w:rsidRPr="00EB57D6">
        <w:t>1.</w:t>
      </w:r>
      <w:r w:rsidRPr="00EB57D6">
        <w:tab/>
      </w:r>
      <w:r w:rsidRPr="00EB57D6">
        <w:rPr>
          <w:u w:val="single"/>
        </w:rPr>
        <w:t>Situation dans le domaine législatif</w:t>
      </w:r>
    </w:p>
    <w:p w:rsidR="00D203BE" w:rsidRPr="00EB57D6" w:rsidRDefault="00D203BE" w:rsidP="00D203BE"/>
    <w:p w:rsidR="00D203BE" w:rsidRPr="00EB57D6" w:rsidRDefault="00D203BE" w:rsidP="00D203BE">
      <w:r w:rsidRPr="00EB57D6">
        <w:t>Aucun élément nouveau.</w:t>
      </w:r>
    </w:p>
    <w:p w:rsidR="00D203BE" w:rsidRPr="00EB57D6" w:rsidRDefault="00D203BE" w:rsidP="00D203BE"/>
    <w:p w:rsidR="00D203BE" w:rsidRPr="00EB57D6" w:rsidRDefault="00D203BE" w:rsidP="00D203BE"/>
    <w:p w:rsidR="00D203BE" w:rsidRPr="00EB57D6" w:rsidRDefault="00D203BE" w:rsidP="00D203BE">
      <w:pPr>
        <w:rPr>
          <w:u w:val="single"/>
        </w:rPr>
      </w:pPr>
      <w:r w:rsidRPr="00EB57D6">
        <w:t>2.</w:t>
      </w:r>
      <w:r w:rsidRPr="00EB57D6">
        <w:tab/>
      </w:r>
      <w:r w:rsidRPr="00EB57D6">
        <w:rPr>
          <w:u w:val="single"/>
        </w:rPr>
        <w:t>Coopération en matière d’examen</w:t>
      </w:r>
    </w:p>
    <w:p w:rsidR="00D203BE" w:rsidRPr="00EB57D6" w:rsidRDefault="00D203BE" w:rsidP="00D203BE"/>
    <w:p w:rsidR="00D203BE" w:rsidRPr="00EB57D6" w:rsidRDefault="00D203BE" w:rsidP="00D203BE">
      <w:pPr>
        <w:pStyle w:val="ListParagraph"/>
        <w:numPr>
          <w:ilvl w:val="0"/>
          <w:numId w:val="2"/>
        </w:numPr>
        <w:ind w:left="1134" w:hanging="567"/>
        <w:jc w:val="both"/>
        <w:rPr>
          <w:lang w:val="fr-FR"/>
        </w:rPr>
      </w:pPr>
      <w:r w:rsidRPr="00EB57D6">
        <w:rPr>
          <w:lang w:val="fr-FR"/>
        </w:rPr>
        <w:t xml:space="preserve">Août 2019 : Échange de données d’expérience et discussion sur les principes directeurs de l’UPOV pour la framboise à </w:t>
      </w:r>
      <w:proofErr w:type="spellStart"/>
      <w:r w:rsidRPr="00EB57D6">
        <w:rPr>
          <w:lang w:val="fr-FR"/>
        </w:rPr>
        <w:t>Masłowice</w:t>
      </w:r>
      <w:proofErr w:type="spellEnd"/>
      <w:r w:rsidRPr="00EB57D6">
        <w:rPr>
          <w:lang w:val="fr-FR"/>
        </w:rPr>
        <w:t xml:space="preserve"> (Pologne) (coopération bilatérale)</w:t>
      </w:r>
    </w:p>
    <w:p w:rsidR="00D203BE" w:rsidRPr="00EB57D6" w:rsidRDefault="00D203BE" w:rsidP="00D203BE"/>
    <w:p w:rsidR="00D203BE" w:rsidRPr="00EB57D6" w:rsidRDefault="00D203BE" w:rsidP="00D203BE">
      <w:pPr>
        <w:pStyle w:val="ListParagraph"/>
        <w:numPr>
          <w:ilvl w:val="0"/>
          <w:numId w:val="2"/>
        </w:numPr>
        <w:ind w:left="1134" w:hanging="567"/>
        <w:jc w:val="both"/>
        <w:rPr>
          <w:lang w:val="fr-FR"/>
        </w:rPr>
      </w:pPr>
      <w:r w:rsidRPr="00EB57D6">
        <w:rPr>
          <w:lang w:val="fr-FR"/>
        </w:rPr>
        <w:t xml:space="preserve">Septembre 2019 : Échange d’informations sur l’examen DHS des légumes et des graminées à Brion et </w:t>
      </w:r>
      <w:proofErr w:type="spellStart"/>
      <w:r w:rsidRPr="00EB57D6">
        <w:rPr>
          <w:lang w:val="fr-FR"/>
        </w:rPr>
        <w:t>Anjouère</w:t>
      </w:r>
      <w:proofErr w:type="spellEnd"/>
      <w:r w:rsidRPr="00EB57D6">
        <w:rPr>
          <w:lang w:val="fr-FR"/>
        </w:rPr>
        <w:t xml:space="preserve"> (France) (coopération bilatérale)</w:t>
      </w:r>
    </w:p>
    <w:p w:rsidR="00D203BE" w:rsidRPr="00EB57D6" w:rsidRDefault="00D203BE" w:rsidP="00D203BE"/>
    <w:p w:rsidR="00D203BE" w:rsidRPr="00EB57D6" w:rsidRDefault="00D203BE" w:rsidP="00D203BE"/>
    <w:p w:rsidR="00D203BE" w:rsidRPr="00EB57D6" w:rsidRDefault="00D203BE" w:rsidP="00D203BE">
      <w:pPr>
        <w:rPr>
          <w:u w:val="single"/>
        </w:rPr>
      </w:pPr>
      <w:r w:rsidRPr="00EB57D6">
        <w:t>3.</w:t>
      </w:r>
      <w:r w:rsidRPr="00EB57D6">
        <w:tab/>
      </w:r>
      <w:r w:rsidRPr="00EB57D6">
        <w:rPr>
          <w:u w:val="single"/>
        </w:rPr>
        <w:t>Situation dans le domaine administratif</w:t>
      </w:r>
    </w:p>
    <w:p w:rsidR="00D203BE" w:rsidRPr="00EB57D6" w:rsidRDefault="00D203BE" w:rsidP="00D203BE"/>
    <w:p w:rsidR="00D203BE" w:rsidRPr="00EB57D6" w:rsidRDefault="00D203BE" w:rsidP="00D203BE">
      <w:r w:rsidRPr="00EB57D6">
        <w:t>À partir d’octobre 2021, l’Office fédéral des obtentions végétales doit percevoir des taxes pour toutes les activités en matière d’examen des variétés à hauteur des frais encourus.  Les exceptions au recouvrement intégral des coûts doivent être bien fondées et pleinement justifiées.</w:t>
      </w:r>
    </w:p>
    <w:p w:rsidR="00D203BE" w:rsidRPr="00EB57D6" w:rsidRDefault="00D203BE" w:rsidP="00D203BE"/>
    <w:p w:rsidR="00D203BE" w:rsidRPr="00EB57D6" w:rsidRDefault="00D203BE" w:rsidP="00D203BE"/>
    <w:p w:rsidR="00D203BE" w:rsidRPr="00EB57D6" w:rsidRDefault="00D203BE" w:rsidP="00D203BE">
      <w:pPr>
        <w:rPr>
          <w:u w:val="single"/>
        </w:rPr>
      </w:pPr>
      <w:r w:rsidRPr="00EB57D6">
        <w:t>4.</w:t>
      </w:r>
      <w:r w:rsidRPr="00EB57D6">
        <w:tab/>
      </w:r>
      <w:r w:rsidRPr="00EB57D6">
        <w:rPr>
          <w:u w:val="single"/>
        </w:rPr>
        <w:t>Situation dans le domaine technique</w:t>
      </w:r>
    </w:p>
    <w:p w:rsidR="00D203BE" w:rsidRPr="00EB57D6" w:rsidRDefault="00D203BE" w:rsidP="00D203BE"/>
    <w:p w:rsidR="00D203BE" w:rsidRPr="00EB57D6" w:rsidRDefault="00D203BE" w:rsidP="00D203BE">
      <w:r w:rsidRPr="00EB57D6">
        <w:t>L’Office fédéral des obtentions végétales participe à des projets de recherche visant à améliorer ou à faciliter l’observation des caractères.</w:t>
      </w:r>
    </w:p>
    <w:p w:rsidR="00D203BE" w:rsidRPr="00EB57D6" w:rsidRDefault="00D203BE" w:rsidP="00D203BE"/>
    <w:p w:rsidR="00D203BE" w:rsidRPr="00EB57D6" w:rsidRDefault="00D203BE" w:rsidP="00D203BE">
      <w:r w:rsidRPr="00EB57D6">
        <w:t>L’utilisation croissante de machines dans les essais améliore la précision et réduit la charge de travail grâce à l’assistance par satellite, au contrôle par capteurs et à la conception améliorée des outils.</w:t>
      </w:r>
    </w:p>
    <w:p w:rsidR="00D203BE" w:rsidRPr="00EB57D6" w:rsidRDefault="00D203BE" w:rsidP="00D203BE"/>
    <w:p w:rsidR="00D203BE" w:rsidRPr="00EB57D6" w:rsidRDefault="00D203BE" w:rsidP="00D203BE"/>
    <w:p w:rsidR="00D203BE" w:rsidRPr="00EB57D6" w:rsidRDefault="00D203BE" w:rsidP="00D203BE">
      <w:pPr>
        <w:rPr>
          <w:u w:val="single"/>
        </w:rPr>
      </w:pPr>
      <w:r w:rsidRPr="00EB57D6">
        <w:t>5.</w:t>
      </w:r>
      <w:r w:rsidRPr="00EB57D6">
        <w:tab/>
      </w:r>
      <w:r w:rsidRPr="00EB57D6">
        <w:rPr>
          <w:u w:val="single"/>
        </w:rPr>
        <w:t>Activités de promotion de la protection des obtentions végétales</w:t>
      </w:r>
    </w:p>
    <w:p w:rsidR="00D203BE" w:rsidRPr="00EB57D6" w:rsidRDefault="00D203BE" w:rsidP="00D203BE"/>
    <w:p w:rsidR="00D203BE" w:rsidRPr="00EB57D6" w:rsidRDefault="00D203BE" w:rsidP="00D203BE">
      <w:pPr>
        <w:pStyle w:val="ListParagraph"/>
        <w:numPr>
          <w:ilvl w:val="0"/>
          <w:numId w:val="2"/>
        </w:numPr>
        <w:spacing w:after="120"/>
        <w:ind w:left="1134" w:hanging="567"/>
        <w:jc w:val="both"/>
        <w:rPr>
          <w:lang w:val="fr-FR"/>
        </w:rPr>
      </w:pPr>
      <w:r w:rsidRPr="00EB57D6">
        <w:rPr>
          <w:lang w:val="fr-FR"/>
        </w:rPr>
        <w:t>Octobre 2019 : Participation de l’Office fédéral des obtentions végétales à la visite d’une délégation du Ministère fédéral de l’alimentation et de l’agriculture en Éthiopie.</w:t>
      </w:r>
    </w:p>
    <w:p w:rsidR="00D203BE" w:rsidRPr="00EB57D6" w:rsidRDefault="00D203BE" w:rsidP="00D203BE">
      <w:pPr>
        <w:pStyle w:val="ListParagraph"/>
        <w:numPr>
          <w:ilvl w:val="0"/>
          <w:numId w:val="2"/>
        </w:numPr>
        <w:spacing w:after="120"/>
        <w:ind w:left="1134" w:hanging="567"/>
        <w:jc w:val="both"/>
        <w:rPr>
          <w:lang w:val="fr-FR"/>
        </w:rPr>
      </w:pPr>
      <w:r w:rsidRPr="00EB57D6">
        <w:rPr>
          <w:lang w:val="fr-FR"/>
        </w:rPr>
        <w:t>Décembre 2019 : “Atelier sur le contrôle postérieur à l’octroi de la protection des obtentions végétales enregistrées et la mise en œuvre des droits d’obtenteur” à New Delhi (Inde).</w:t>
      </w:r>
    </w:p>
    <w:p w:rsidR="00D203BE" w:rsidRPr="00EB57D6" w:rsidRDefault="00D203BE" w:rsidP="00D203BE">
      <w:pPr>
        <w:pStyle w:val="ListParagraph"/>
        <w:numPr>
          <w:ilvl w:val="0"/>
          <w:numId w:val="2"/>
        </w:numPr>
        <w:spacing w:after="120"/>
        <w:ind w:left="1134" w:hanging="567"/>
        <w:jc w:val="both"/>
        <w:rPr>
          <w:lang w:val="fr-FR"/>
        </w:rPr>
      </w:pPr>
      <w:r w:rsidRPr="00EB57D6">
        <w:rPr>
          <w:lang w:val="fr-FR"/>
        </w:rPr>
        <w:t>Février 2020 : Atelier sur l’examen DHS du colza et de la moutarde à Bharatpur (Inde)</w:t>
      </w:r>
    </w:p>
    <w:p w:rsidR="00D203BE" w:rsidRPr="00EB57D6" w:rsidRDefault="00D203BE" w:rsidP="00D203BE">
      <w:pPr>
        <w:pStyle w:val="ListParagraph"/>
        <w:numPr>
          <w:ilvl w:val="0"/>
          <w:numId w:val="2"/>
        </w:numPr>
        <w:spacing w:after="120"/>
        <w:ind w:left="1134" w:hanging="567"/>
        <w:jc w:val="both"/>
        <w:rPr>
          <w:lang w:val="fr-FR"/>
        </w:rPr>
      </w:pPr>
      <w:r w:rsidRPr="00EB57D6">
        <w:rPr>
          <w:lang w:val="fr-FR"/>
        </w:rPr>
        <w:t xml:space="preserve">Février 2020 : Atelier sur l’examen DHS du blé et de l’orge à </w:t>
      </w:r>
      <w:proofErr w:type="spellStart"/>
      <w:r w:rsidRPr="00EB57D6">
        <w:rPr>
          <w:lang w:val="fr-FR"/>
        </w:rPr>
        <w:t>Karnal</w:t>
      </w:r>
      <w:proofErr w:type="spellEnd"/>
      <w:r w:rsidRPr="00EB57D6">
        <w:rPr>
          <w:lang w:val="fr-FR"/>
        </w:rPr>
        <w:t xml:space="preserve"> (Haryana) (Inde)</w:t>
      </w:r>
    </w:p>
    <w:p w:rsidR="00D203BE" w:rsidRPr="00EB57D6" w:rsidRDefault="00D203BE" w:rsidP="00D203BE">
      <w:pPr>
        <w:pStyle w:val="ListParagraph"/>
        <w:numPr>
          <w:ilvl w:val="0"/>
          <w:numId w:val="2"/>
        </w:numPr>
        <w:ind w:left="1134" w:hanging="567"/>
        <w:jc w:val="both"/>
        <w:rPr>
          <w:lang w:val="fr-FR"/>
        </w:rPr>
      </w:pPr>
      <w:r w:rsidRPr="00EB57D6">
        <w:rPr>
          <w:lang w:val="fr-FR"/>
        </w:rPr>
        <w:t>D’autres événements prévus, principalement dans le cadre du projet de coopération entre l’Inde et l’Allemagne sur le développement du secteur des semences, n’ont pas pu avoir lieu en raison de la pandémie de Covid-19.</w:t>
      </w:r>
    </w:p>
    <w:p w:rsidR="00D203BE" w:rsidRPr="00EB57D6" w:rsidRDefault="00D203BE" w:rsidP="00D203BE"/>
    <w:p w:rsidR="00D203BE" w:rsidRPr="00EB57D6" w:rsidRDefault="00D203BE" w:rsidP="00D203BE"/>
    <w:p w:rsidR="00D203BE" w:rsidRPr="00EB57D6" w:rsidRDefault="00D203BE" w:rsidP="00D203BE">
      <w:r w:rsidRPr="00EB57D6">
        <w:t>II.</w:t>
      </w:r>
      <w:r w:rsidRPr="00EB57D6">
        <w:tab/>
        <w:t>AUTRES ÉLÉMENTS NOUVEAUX PRÉSENTANT UN INTÉRÊT POUR L’UPOV</w:t>
      </w:r>
    </w:p>
    <w:p w:rsidR="00D203BE" w:rsidRPr="00EB57D6" w:rsidRDefault="00D203BE" w:rsidP="00D203BE"/>
    <w:p w:rsidR="00D203BE" w:rsidRPr="00EB57D6" w:rsidRDefault="00D203BE" w:rsidP="00D203BE">
      <w:r w:rsidRPr="00EB57D6">
        <w:t>Les conditions générales de la production agricole et horticole deviennent de plus en plus difficiles en raison de périodes climatiques extrêmes plus fréquentes, plus précoces et plus longues, combinées à une réduction de l’utilisation des pesticides et des engrais.  Une importance croissante est accordée aux propriétés de résistance et à l’utilisation efficace des ressources grâce à de nouvelles variétés.</w:t>
      </w:r>
    </w:p>
    <w:p w:rsidR="00D203BE" w:rsidRPr="00EB57D6" w:rsidRDefault="00D203BE" w:rsidP="00D203BE"/>
    <w:p w:rsidR="00845D57" w:rsidRPr="00EB57D6" w:rsidRDefault="00845D57" w:rsidP="00845D57">
      <w:pPr>
        <w:jc w:val="left"/>
      </w:pPr>
    </w:p>
    <w:p w:rsidR="00845D57" w:rsidRPr="00EB57D6" w:rsidRDefault="00845D57" w:rsidP="00845D57">
      <w:pPr>
        <w:jc w:val="right"/>
      </w:pPr>
      <w:r w:rsidRPr="00EB57D6">
        <w:t>[L’annexe III suit]</w:t>
      </w:r>
    </w:p>
    <w:p w:rsidR="00845D57" w:rsidRPr="00EB57D6" w:rsidRDefault="00845D57" w:rsidP="00845D57"/>
    <w:p w:rsidR="00845D57" w:rsidRPr="00EB57D6" w:rsidRDefault="00845D57" w:rsidP="00845D57">
      <w:pPr>
        <w:jc w:val="left"/>
        <w:sectPr w:rsidR="00845D57" w:rsidRPr="00EB57D6" w:rsidSect="009B2909">
          <w:headerReference w:type="default" r:id="rId11"/>
          <w:pgSz w:w="11907" w:h="16840" w:code="9"/>
          <w:pgMar w:top="510" w:right="1134" w:bottom="1134" w:left="1134" w:header="510" w:footer="680" w:gutter="0"/>
          <w:pgNumType w:start="1"/>
          <w:cols w:space="720"/>
          <w:titlePg/>
        </w:sectPr>
      </w:pPr>
    </w:p>
    <w:p w:rsidR="00845D57" w:rsidRPr="00EB57D6" w:rsidRDefault="00845D57" w:rsidP="00845D57">
      <w:pPr>
        <w:jc w:val="center"/>
      </w:pPr>
      <w:r w:rsidRPr="00EB57D6">
        <w:lastRenderedPageBreak/>
        <w:t>C/54/INF/4</w:t>
      </w:r>
    </w:p>
    <w:p w:rsidR="00845D57" w:rsidRPr="00EB57D6" w:rsidRDefault="00845D57" w:rsidP="00845D57">
      <w:pPr>
        <w:jc w:val="center"/>
      </w:pPr>
    </w:p>
    <w:p w:rsidR="00845D57" w:rsidRPr="00EB57D6" w:rsidRDefault="00845D57" w:rsidP="00845D57">
      <w:pPr>
        <w:jc w:val="center"/>
      </w:pPr>
      <w:r w:rsidRPr="00EB57D6">
        <w:t>ANNEXE III</w:t>
      </w:r>
    </w:p>
    <w:p w:rsidR="00845D57" w:rsidRPr="00EB57D6" w:rsidRDefault="00845D57" w:rsidP="00845D57">
      <w:pPr>
        <w:jc w:val="center"/>
      </w:pPr>
    </w:p>
    <w:p w:rsidR="00845D57" w:rsidRPr="00EB57D6" w:rsidRDefault="00845D57" w:rsidP="00845D57">
      <w:pPr>
        <w:jc w:val="center"/>
      </w:pPr>
    </w:p>
    <w:p w:rsidR="001B1C5F" w:rsidRPr="00EB57D6" w:rsidRDefault="001B1C5F" w:rsidP="001B1C5F">
      <w:pPr>
        <w:jc w:val="center"/>
        <w:rPr>
          <w:sz w:val="18"/>
        </w:rPr>
      </w:pPr>
      <w:r w:rsidRPr="00EB57D6">
        <w:t>BRÉSIL</w:t>
      </w:r>
    </w:p>
    <w:p w:rsidR="001B1C5F" w:rsidRPr="00EB57D6" w:rsidRDefault="001B1C5F" w:rsidP="001B1C5F">
      <w:pPr>
        <w:jc w:val="left"/>
        <w:rPr>
          <w:sz w:val="18"/>
        </w:rPr>
      </w:pPr>
    </w:p>
    <w:p w:rsidR="001B1C5F" w:rsidRPr="00EB57D6" w:rsidRDefault="001B1C5F" w:rsidP="001B1C5F">
      <w:pPr>
        <w:jc w:val="left"/>
        <w:rPr>
          <w:sz w:val="18"/>
        </w:rPr>
      </w:pPr>
    </w:p>
    <w:p w:rsidR="001B1C5F" w:rsidRPr="00EB57D6" w:rsidRDefault="001B1C5F" w:rsidP="001B1C5F">
      <w:pPr>
        <w:rPr>
          <w:rFonts w:cs="Arial"/>
          <w:sz w:val="18"/>
        </w:rPr>
      </w:pPr>
      <w:r w:rsidRPr="00EB57D6">
        <w:rPr>
          <w:rFonts w:cs="Arial"/>
        </w:rPr>
        <w:t>I.</w:t>
      </w:r>
      <w:r w:rsidRPr="00EB57D6">
        <w:rPr>
          <w:rFonts w:cs="Arial"/>
          <w:color w:val="000000"/>
        </w:rPr>
        <w:tab/>
      </w:r>
      <w:r w:rsidRPr="00EB57D6">
        <w:rPr>
          <w:rFonts w:cs="Arial"/>
        </w:rPr>
        <w:t>PROTECTION DES OBTENTIONS VÉGÉTALES</w:t>
      </w:r>
    </w:p>
    <w:p w:rsidR="001B1C5F" w:rsidRPr="00EB57D6" w:rsidRDefault="001B1C5F" w:rsidP="001B1C5F">
      <w:pPr>
        <w:rPr>
          <w:rFonts w:cs="Arial"/>
          <w:sz w:val="18"/>
        </w:rPr>
      </w:pPr>
    </w:p>
    <w:p w:rsidR="001B1C5F" w:rsidRPr="00EB57D6" w:rsidRDefault="001B1C5F" w:rsidP="001B1C5F">
      <w:pPr>
        <w:tabs>
          <w:tab w:val="left" w:pos="426"/>
          <w:tab w:val="left" w:pos="1276"/>
        </w:tabs>
        <w:rPr>
          <w:sz w:val="18"/>
        </w:rPr>
      </w:pPr>
      <w:r w:rsidRPr="00EB57D6">
        <w:t>1.</w:t>
      </w:r>
      <w:r w:rsidRPr="00EB57D6">
        <w:tab/>
      </w:r>
      <w:r w:rsidRPr="00EB57D6">
        <w:rPr>
          <w:u w:val="single"/>
        </w:rPr>
        <w:t>Situation dans le domaine législatif</w:t>
      </w:r>
    </w:p>
    <w:p w:rsidR="001B1C5F" w:rsidRPr="00EB57D6" w:rsidRDefault="001B1C5F" w:rsidP="001B1C5F">
      <w:pPr>
        <w:rPr>
          <w:sz w:val="18"/>
        </w:rPr>
      </w:pPr>
    </w:p>
    <w:p w:rsidR="001B1C5F" w:rsidRPr="00EB57D6" w:rsidRDefault="001B1C5F" w:rsidP="001B1C5F">
      <w:pPr>
        <w:rPr>
          <w:sz w:val="18"/>
        </w:rPr>
      </w:pPr>
      <w:r w:rsidRPr="00EB57D6">
        <w:tab/>
        <w:t>1.1</w:t>
      </w:r>
      <w:r w:rsidRPr="00EB57D6">
        <w:tab/>
        <w:t>Modifications de la loi et des textes d’application</w:t>
      </w:r>
    </w:p>
    <w:p w:rsidR="001B1C5F" w:rsidRPr="00EB57D6" w:rsidRDefault="001B1C5F" w:rsidP="001B1C5F">
      <w:pPr>
        <w:rPr>
          <w:sz w:val="18"/>
        </w:rPr>
      </w:pPr>
    </w:p>
    <w:p w:rsidR="001B1C5F" w:rsidRPr="00EB57D6" w:rsidRDefault="001B1C5F" w:rsidP="001B1C5F">
      <w:pPr>
        <w:ind w:left="1134"/>
        <w:rPr>
          <w:sz w:val="18"/>
        </w:rPr>
      </w:pPr>
      <w:proofErr w:type="spellStart"/>
      <w:r w:rsidRPr="00EB57D6">
        <w:rPr>
          <w:color w:val="000000"/>
        </w:rPr>
        <w:t>Instrução</w:t>
      </w:r>
      <w:proofErr w:type="spellEnd"/>
      <w:r w:rsidRPr="00EB57D6">
        <w:rPr>
          <w:color w:val="000000"/>
        </w:rPr>
        <w:t xml:space="preserve"> </w:t>
      </w:r>
      <w:proofErr w:type="spellStart"/>
      <w:r w:rsidRPr="00EB57D6">
        <w:rPr>
          <w:color w:val="000000"/>
        </w:rPr>
        <w:t>Normativa</w:t>
      </w:r>
      <w:proofErr w:type="spellEnd"/>
      <w:r w:rsidRPr="00EB57D6">
        <w:rPr>
          <w:color w:val="000000"/>
        </w:rPr>
        <w:t xml:space="preserve"> nº 13, 27 mai 2019, actualisation des taxes relatives à la protection des obtentions végétales, entrée en vigueur le 2 janvier 2020.</w:t>
      </w:r>
    </w:p>
    <w:p w:rsidR="001B1C5F" w:rsidRPr="00EB57D6" w:rsidRDefault="001B1C5F" w:rsidP="001B1C5F">
      <w:pPr>
        <w:rPr>
          <w:sz w:val="18"/>
        </w:rPr>
      </w:pPr>
    </w:p>
    <w:p w:rsidR="001B1C5F" w:rsidRPr="00EB57D6" w:rsidRDefault="001B1C5F" w:rsidP="001B1C5F">
      <w:pPr>
        <w:rPr>
          <w:sz w:val="18"/>
        </w:rPr>
      </w:pPr>
      <w:r w:rsidRPr="00EB57D6">
        <w:tab/>
        <w:t>1.2</w:t>
      </w:r>
      <w:r w:rsidRPr="00EB57D6">
        <w:tab/>
        <w:t>Extension de la protection à d’autres genres et espèces (effectuée ou prévue) :</w:t>
      </w:r>
    </w:p>
    <w:p w:rsidR="001B1C5F" w:rsidRPr="00EB57D6" w:rsidRDefault="001B1C5F" w:rsidP="001B1C5F"/>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16"/>
        <w:gridCol w:w="2126"/>
      </w:tblGrid>
      <w:tr w:rsidR="001B1C5F" w:rsidRPr="00EB57D6" w:rsidTr="009B2909">
        <w:trPr>
          <w:trHeight w:val="315"/>
        </w:trPr>
        <w:tc>
          <w:tcPr>
            <w:tcW w:w="6516" w:type="dxa"/>
            <w:shd w:val="clear" w:color="auto" w:fill="auto"/>
          </w:tcPr>
          <w:p w:rsidR="001B1C5F" w:rsidRPr="00EB57D6" w:rsidRDefault="001B1C5F" w:rsidP="009B2909">
            <w:pPr>
              <w:jc w:val="center"/>
              <w:rPr>
                <w:rFonts w:cs="Arial"/>
                <w:b/>
                <w:color w:val="000000"/>
                <w:szCs w:val="18"/>
                <w:lang w:eastAsia="pt-BR"/>
              </w:rPr>
            </w:pPr>
            <w:r w:rsidRPr="00EB57D6">
              <w:rPr>
                <w:rFonts w:cs="Arial"/>
                <w:b/>
                <w:szCs w:val="18"/>
                <w:lang w:eastAsia="pt-BR"/>
              </w:rPr>
              <w:t>Espèces</w:t>
            </w:r>
          </w:p>
        </w:tc>
        <w:tc>
          <w:tcPr>
            <w:tcW w:w="2126" w:type="dxa"/>
            <w:shd w:val="clear" w:color="auto" w:fill="auto"/>
          </w:tcPr>
          <w:p w:rsidR="001B1C5F" w:rsidRPr="00EB57D6" w:rsidRDefault="001B1C5F" w:rsidP="009B2909">
            <w:pPr>
              <w:jc w:val="center"/>
              <w:rPr>
                <w:rFonts w:cs="Arial"/>
                <w:b/>
                <w:color w:val="000000"/>
                <w:szCs w:val="18"/>
                <w:lang w:eastAsia="pt-BR"/>
              </w:rPr>
            </w:pPr>
            <w:r w:rsidRPr="00EB57D6">
              <w:rPr>
                <w:rFonts w:cs="Arial"/>
                <w:b/>
                <w:szCs w:val="18"/>
                <w:lang w:eastAsia="pt-BR"/>
              </w:rPr>
              <w:t>CODE UPOV</w:t>
            </w:r>
          </w:p>
        </w:tc>
      </w:tr>
      <w:tr w:rsidR="001B1C5F" w:rsidRPr="00EB57D6" w:rsidTr="009B2909">
        <w:trPr>
          <w:trHeight w:val="315"/>
        </w:trPr>
        <w:tc>
          <w:tcPr>
            <w:tcW w:w="6516" w:type="dxa"/>
            <w:shd w:val="clear" w:color="auto" w:fill="auto"/>
          </w:tcPr>
          <w:p w:rsidR="001B1C5F" w:rsidRPr="00EB57D6" w:rsidRDefault="001B1C5F" w:rsidP="009B2909">
            <w:pPr>
              <w:jc w:val="left"/>
              <w:rPr>
                <w:rFonts w:cs="Arial"/>
                <w:color w:val="000000"/>
                <w:szCs w:val="18"/>
                <w:lang w:eastAsia="pt-BR"/>
              </w:rPr>
            </w:pPr>
            <w:r w:rsidRPr="00EB57D6">
              <w:rPr>
                <w:rFonts w:cs="Arial"/>
                <w:color w:val="000000"/>
                <w:szCs w:val="18"/>
                <w:lang w:eastAsia="pt-BR"/>
              </w:rPr>
              <w:t xml:space="preserve">Acacia </w:t>
            </w:r>
            <w:proofErr w:type="spellStart"/>
            <w:r w:rsidRPr="00EB57D6">
              <w:rPr>
                <w:rFonts w:cs="Arial"/>
                <w:color w:val="000000"/>
                <w:szCs w:val="18"/>
                <w:lang w:eastAsia="pt-BR"/>
              </w:rPr>
              <w:t>mearnsii</w:t>
            </w:r>
            <w:proofErr w:type="spellEnd"/>
            <w:r w:rsidRPr="00EB57D6">
              <w:rPr>
                <w:rFonts w:cs="Arial"/>
                <w:color w:val="000000"/>
                <w:szCs w:val="18"/>
                <w:lang w:eastAsia="pt-BR"/>
              </w:rPr>
              <w:t xml:space="preserve"> De Wild.</w:t>
            </w:r>
          </w:p>
        </w:tc>
        <w:tc>
          <w:tcPr>
            <w:tcW w:w="2126" w:type="dxa"/>
            <w:shd w:val="clear" w:color="auto" w:fill="auto"/>
          </w:tcPr>
          <w:p w:rsidR="001B1C5F" w:rsidRPr="00EB57D6" w:rsidRDefault="001B1C5F" w:rsidP="009B2909">
            <w:pPr>
              <w:jc w:val="left"/>
              <w:rPr>
                <w:rFonts w:cs="Arial"/>
                <w:color w:val="000000"/>
                <w:szCs w:val="18"/>
                <w:lang w:eastAsia="pt-BR"/>
              </w:rPr>
            </w:pPr>
            <w:r w:rsidRPr="00EB57D6">
              <w:rPr>
                <w:rFonts w:cs="Arial"/>
                <w:color w:val="000000"/>
                <w:szCs w:val="18"/>
                <w:lang w:eastAsia="pt-BR"/>
              </w:rPr>
              <w:t>ACACI_MEA</w:t>
            </w:r>
          </w:p>
        </w:tc>
      </w:tr>
      <w:tr w:rsidR="001B1C5F" w:rsidRPr="00EB57D6" w:rsidTr="009B2909">
        <w:trPr>
          <w:trHeight w:val="315"/>
        </w:trPr>
        <w:tc>
          <w:tcPr>
            <w:tcW w:w="6516" w:type="dxa"/>
            <w:shd w:val="clear" w:color="auto" w:fill="auto"/>
            <w:hideMark/>
          </w:tcPr>
          <w:p w:rsidR="001B1C5F" w:rsidRPr="00EB57D6" w:rsidRDefault="001B1C5F" w:rsidP="009B2909">
            <w:pPr>
              <w:jc w:val="left"/>
              <w:rPr>
                <w:rFonts w:cs="Arial"/>
                <w:color w:val="000000"/>
                <w:szCs w:val="18"/>
                <w:lang w:eastAsia="pt-BR"/>
              </w:rPr>
            </w:pPr>
            <w:r w:rsidRPr="008E0BFA">
              <w:rPr>
                <w:rFonts w:cs="Arial"/>
                <w:color w:val="000000"/>
                <w:szCs w:val="18"/>
                <w:lang w:val="pt-PT" w:eastAsia="pt-BR"/>
              </w:rPr>
              <w:t xml:space="preserve">Brassica oleracea L. convar.  capitata (L.) </w:t>
            </w:r>
            <w:proofErr w:type="spellStart"/>
            <w:r w:rsidRPr="00EB57D6">
              <w:rPr>
                <w:rFonts w:cs="Arial"/>
                <w:color w:val="000000"/>
                <w:szCs w:val="18"/>
                <w:lang w:eastAsia="pt-BR"/>
              </w:rPr>
              <w:t>Alef</w:t>
            </w:r>
            <w:proofErr w:type="spellEnd"/>
            <w:r w:rsidRPr="00EB57D6">
              <w:rPr>
                <w:rFonts w:cs="Arial"/>
                <w:color w:val="000000"/>
                <w:szCs w:val="18"/>
                <w:lang w:eastAsia="pt-BR"/>
              </w:rPr>
              <w:t>.  var.  alba DC.</w:t>
            </w:r>
          </w:p>
        </w:tc>
        <w:tc>
          <w:tcPr>
            <w:tcW w:w="2126" w:type="dxa"/>
            <w:shd w:val="clear" w:color="auto" w:fill="auto"/>
            <w:hideMark/>
          </w:tcPr>
          <w:p w:rsidR="001B1C5F" w:rsidRPr="00EB57D6" w:rsidRDefault="001B1C5F" w:rsidP="009B2909">
            <w:pPr>
              <w:jc w:val="left"/>
              <w:rPr>
                <w:rFonts w:cs="Arial"/>
                <w:color w:val="000000"/>
                <w:szCs w:val="18"/>
                <w:lang w:eastAsia="pt-BR"/>
              </w:rPr>
            </w:pPr>
            <w:r w:rsidRPr="00EB57D6">
              <w:rPr>
                <w:rFonts w:cs="Arial"/>
                <w:color w:val="000000"/>
                <w:szCs w:val="18"/>
                <w:lang w:eastAsia="pt-BR"/>
              </w:rPr>
              <w:t>BRASS_OLE_GCA</w:t>
            </w:r>
          </w:p>
        </w:tc>
      </w:tr>
      <w:tr w:rsidR="001B1C5F" w:rsidRPr="00EB57D6" w:rsidTr="009B2909">
        <w:trPr>
          <w:trHeight w:val="315"/>
        </w:trPr>
        <w:tc>
          <w:tcPr>
            <w:tcW w:w="6516" w:type="dxa"/>
            <w:shd w:val="clear" w:color="auto" w:fill="auto"/>
            <w:hideMark/>
          </w:tcPr>
          <w:p w:rsidR="001B1C5F" w:rsidRPr="008E0BFA" w:rsidRDefault="001B1C5F" w:rsidP="009B2909">
            <w:pPr>
              <w:jc w:val="left"/>
              <w:rPr>
                <w:rFonts w:cs="Arial"/>
                <w:color w:val="000000"/>
                <w:szCs w:val="18"/>
                <w:lang w:val="en-US" w:eastAsia="pt-BR"/>
              </w:rPr>
            </w:pPr>
            <w:r w:rsidRPr="008E0BFA">
              <w:rPr>
                <w:rFonts w:cs="Arial"/>
                <w:color w:val="000000"/>
                <w:szCs w:val="18"/>
                <w:lang w:val="pt-PT" w:eastAsia="pt-BR"/>
              </w:rPr>
              <w:t xml:space="preserve">Brassica oleracea L. convar.  capitata (L.) </w:t>
            </w:r>
            <w:proofErr w:type="spellStart"/>
            <w:r w:rsidRPr="008E0BFA">
              <w:rPr>
                <w:rFonts w:cs="Arial"/>
                <w:color w:val="000000"/>
                <w:szCs w:val="18"/>
                <w:lang w:val="en-US" w:eastAsia="pt-BR"/>
              </w:rPr>
              <w:t>Alef</w:t>
            </w:r>
            <w:proofErr w:type="spellEnd"/>
            <w:r w:rsidRPr="008E0BFA">
              <w:rPr>
                <w:rFonts w:cs="Arial"/>
                <w:color w:val="000000"/>
                <w:szCs w:val="18"/>
                <w:lang w:val="en-US" w:eastAsia="pt-BR"/>
              </w:rPr>
              <w:t xml:space="preserve">.  var.  </w:t>
            </w:r>
            <w:proofErr w:type="spellStart"/>
            <w:r w:rsidRPr="008E0BFA">
              <w:rPr>
                <w:rFonts w:cs="Arial"/>
                <w:color w:val="000000"/>
                <w:szCs w:val="18"/>
                <w:lang w:val="en-US" w:eastAsia="pt-BR"/>
              </w:rPr>
              <w:t>rubra</w:t>
            </w:r>
            <w:proofErr w:type="spellEnd"/>
            <w:r w:rsidRPr="008E0BFA">
              <w:rPr>
                <w:rFonts w:cs="Arial"/>
                <w:color w:val="000000"/>
                <w:szCs w:val="18"/>
                <w:lang w:val="en-US" w:eastAsia="pt-BR"/>
              </w:rPr>
              <w:t xml:space="preserve"> (L.) </w:t>
            </w:r>
            <w:proofErr w:type="spellStart"/>
            <w:r w:rsidRPr="008E0BFA">
              <w:rPr>
                <w:rFonts w:cs="Arial"/>
                <w:color w:val="000000"/>
                <w:szCs w:val="18"/>
                <w:lang w:val="en-US" w:eastAsia="pt-BR"/>
              </w:rPr>
              <w:t>Thell</w:t>
            </w:r>
            <w:proofErr w:type="spellEnd"/>
            <w:r w:rsidRPr="008E0BFA">
              <w:rPr>
                <w:rFonts w:cs="Arial"/>
                <w:color w:val="000000"/>
                <w:szCs w:val="18"/>
                <w:lang w:val="en-US" w:eastAsia="pt-BR"/>
              </w:rPr>
              <w:t>.</w:t>
            </w:r>
          </w:p>
        </w:tc>
        <w:tc>
          <w:tcPr>
            <w:tcW w:w="2126" w:type="dxa"/>
            <w:shd w:val="clear" w:color="auto" w:fill="auto"/>
            <w:hideMark/>
          </w:tcPr>
          <w:p w:rsidR="001B1C5F" w:rsidRPr="00EB57D6" w:rsidRDefault="001B1C5F" w:rsidP="009B2909">
            <w:pPr>
              <w:jc w:val="left"/>
              <w:rPr>
                <w:rFonts w:cs="Arial"/>
                <w:color w:val="000000"/>
                <w:szCs w:val="18"/>
                <w:lang w:eastAsia="pt-BR"/>
              </w:rPr>
            </w:pPr>
            <w:r w:rsidRPr="00EB57D6">
              <w:rPr>
                <w:rFonts w:cs="Arial"/>
                <w:color w:val="000000"/>
                <w:szCs w:val="18"/>
                <w:lang w:eastAsia="pt-BR"/>
              </w:rPr>
              <w:t>BRASS_OLE_GCR</w:t>
            </w:r>
          </w:p>
        </w:tc>
      </w:tr>
      <w:tr w:rsidR="001B1C5F" w:rsidRPr="00EB57D6" w:rsidTr="009B2909">
        <w:trPr>
          <w:trHeight w:val="315"/>
        </w:trPr>
        <w:tc>
          <w:tcPr>
            <w:tcW w:w="6516" w:type="dxa"/>
            <w:shd w:val="clear" w:color="auto" w:fill="auto"/>
            <w:hideMark/>
          </w:tcPr>
          <w:p w:rsidR="001B1C5F" w:rsidRPr="00EB57D6" w:rsidRDefault="001B1C5F" w:rsidP="009B2909">
            <w:pPr>
              <w:jc w:val="left"/>
              <w:rPr>
                <w:rFonts w:cs="Arial"/>
                <w:color w:val="000000"/>
                <w:szCs w:val="18"/>
                <w:lang w:eastAsia="pt-BR"/>
              </w:rPr>
            </w:pPr>
            <w:r w:rsidRPr="008E0BFA">
              <w:rPr>
                <w:rFonts w:cs="Arial"/>
                <w:color w:val="000000"/>
                <w:szCs w:val="18"/>
                <w:lang w:val="pt-PT" w:eastAsia="pt-BR"/>
              </w:rPr>
              <w:t xml:space="preserve">Brassica oleracea L. convar.  capitata (L.) </w:t>
            </w:r>
            <w:proofErr w:type="spellStart"/>
            <w:r w:rsidRPr="00EB57D6">
              <w:rPr>
                <w:rFonts w:cs="Arial"/>
                <w:color w:val="000000"/>
                <w:szCs w:val="18"/>
                <w:lang w:eastAsia="pt-BR"/>
              </w:rPr>
              <w:t>Alef</w:t>
            </w:r>
            <w:proofErr w:type="spellEnd"/>
            <w:r w:rsidRPr="00EB57D6">
              <w:rPr>
                <w:rFonts w:cs="Arial"/>
                <w:color w:val="000000"/>
                <w:szCs w:val="18"/>
                <w:lang w:eastAsia="pt-BR"/>
              </w:rPr>
              <w:t xml:space="preserve">.  var.  </w:t>
            </w:r>
            <w:proofErr w:type="spellStart"/>
            <w:r w:rsidRPr="00EB57D6">
              <w:rPr>
                <w:rFonts w:cs="Arial"/>
                <w:color w:val="000000"/>
                <w:szCs w:val="18"/>
                <w:lang w:eastAsia="pt-BR"/>
              </w:rPr>
              <w:t>sabauda</w:t>
            </w:r>
            <w:proofErr w:type="spellEnd"/>
            <w:r w:rsidRPr="00EB57D6">
              <w:rPr>
                <w:rFonts w:cs="Arial"/>
                <w:color w:val="000000"/>
                <w:szCs w:val="18"/>
                <w:lang w:eastAsia="pt-BR"/>
              </w:rPr>
              <w:t xml:space="preserve"> L.</w:t>
            </w:r>
          </w:p>
        </w:tc>
        <w:tc>
          <w:tcPr>
            <w:tcW w:w="2126" w:type="dxa"/>
            <w:shd w:val="clear" w:color="auto" w:fill="auto"/>
            <w:hideMark/>
          </w:tcPr>
          <w:p w:rsidR="001B1C5F" w:rsidRPr="00EB57D6" w:rsidRDefault="001B1C5F" w:rsidP="009B2909">
            <w:pPr>
              <w:jc w:val="left"/>
              <w:rPr>
                <w:rFonts w:cs="Arial"/>
                <w:color w:val="000000"/>
                <w:szCs w:val="18"/>
                <w:lang w:eastAsia="pt-BR"/>
              </w:rPr>
            </w:pPr>
            <w:r w:rsidRPr="00EB57D6">
              <w:rPr>
                <w:rFonts w:cs="Arial"/>
                <w:color w:val="000000"/>
                <w:szCs w:val="18"/>
                <w:lang w:eastAsia="pt-BR"/>
              </w:rPr>
              <w:t>BRASS_OLE_GCS</w:t>
            </w:r>
          </w:p>
        </w:tc>
      </w:tr>
      <w:tr w:rsidR="001B1C5F" w:rsidRPr="00EB57D6" w:rsidTr="009B2909">
        <w:trPr>
          <w:trHeight w:val="315"/>
        </w:trPr>
        <w:tc>
          <w:tcPr>
            <w:tcW w:w="6516" w:type="dxa"/>
            <w:shd w:val="clear" w:color="auto" w:fill="auto"/>
            <w:hideMark/>
          </w:tcPr>
          <w:p w:rsidR="001B1C5F" w:rsidRPr="00EB57D6" w:rsidRDefault="001B1C5F" w:rsidP="009B2909">
            <w:pPr>
              <w:jc w:val="left"/>
              <w:rPr>
                <w:rFonts w:cs="Arial"/>
                <w:color w:val="000000"/>
                <w:szCs w:val="18"/>
                <w:lang w:eastAsia="pt-BR"/>
              </w:rPr>
            </w:pPr>
            <w:proofErr w:type="spellStart"/>
            <w:r w:rsidRPr="00EB57D6">
              <w:rPr>
                <w:rFonts w:cs="Arial"/>
                <w:color w:val="000000"/>
                <w:szCs w:val="18"/>
                <w:lang w:eastAsia="pt-BR"/>
              </w:rPr>
              <w:t>Calibrachoa</w:t>
            </w:r>
            <w:proofErr w:type="spellEnd"/>
            <w:r w:rsidRPr="00EB57D6">
              <w:rPr>
                <w:rFonts w:cs="Arial"/>
                <w:color w:val="000000"/>
                <w:szCs w:val="18"/>
                <w:lang w:eastAsia="pt-BR"/>
              </w:rPr>
              <w:t xml:space="preserve"> Cerv;  </w:t>
            </w:r>
            <w:proofErr w:type="spellStart"/>
            <w:r w:rsidRPr="00EB57D6">
              <w:rPr>
                <w:rFonts w:cs="Arial"/>
                <w:color w:val="000000"/>
                <w:szCs w:val="18"/>
                <w:lang w:eastAsia="pt-BR"/>
              </w:rPr>
              <w:t>Calibrachoa</w:t>
            </w:r>
            <w:proofErr w:type="spellEnd"/>
            <w:r w:rsidRPr="00EB57D6">
              <w:rPr>
                <w:rFonts w:cs="Arial"/>
                <w:color w:val="000000"/>
                <w:szCs w:val="18"/>
                <w:lang w:eastAsia="pt-BR"/>
              </w:rPr>
              <w:t xml:space="preserve"> Lave &amp; </w:t>
            </w:r>
            <w:proofErr w:type="spellStart"/>
            <w:r w:rsidRPr="00EB57D6">
              <w:rPr>
                <w:rFonts w:cs="Arial"/>
                <w:color w:val="000000"/>
                <w:szCs w:val="18"/>
                <w:lang w:eastAsia="pt-BR"/>
              </w:rPr>
              <w:t>Lex</w:t>
            </w:r>
            <w:proofErr w:type="spellEnd"/>
            <w:r w:rsidRPr="00EB57D6">
              <w:rPr>
                <w:rFonts w:cs="Arial"/>
                <w:color w:val="000000"/>
                <w:szCs w:val="18"/>
                <w:lang w:eastAsia="pt-BR"/>
              </w:rPr>
              <w:t>.</w:t>
            </w:r>
          </w:p>
        </w:tc>
        <w:tc>
          <w:tcPr>
            <w:tcW w:w="2126" w:type="dxa"/>
            <w:shd w:val="clear" w:color="auto" w:fill="auto"/>
            <w:hideMark/>
          </w:tcPr>
          <w:p w:rsidR="001B1C5F" w:rsidRPr="00EB57D6" w:rsidRDefault="001B1C5F" w:rsidP="009B2909">
            <w:pPr>
              <w:jc w:val="left"/>
              <w:rPr>
                <w:rFonts w:cs="Arial"/>
                <w:color w:val="000000"/>
                <w:szCs w:val="18"/>
                <w:lang w:eastAsia="pt-BR"/>
              </w:rPr>
            </w:pPr>
            <w:r w:rsidRPr="00EB57D6">
              <w:rPr>
                <w:rFonts w:cs="Arial"/>
                <w:color w:val="000000"/>
                <w:szCs w:val="18"/>
                <w:lang w:eastAsia="pt-BR"/>
              </w:rPr>
              <w:t>CALIB</w:t>
            </w:r>
          </w:p>
        </w:tc>
      </w:tr>
      <w:tr w:rsidR="001B1C5F" w:rsidRPr="00EB57D6" w:rsidTr="009B2909">
        <w:trPr>
          <w:trHeight w:val="315"/>
        </w:trPr>
        <w:tc>
          <w:tcPr>
            <w:tcW w:w="6516" w:type="dxa"/>
            <w:shd w:val="clear" w:color="auto" w:fill="auto"/>
            <w:noWrap/>
            <w:hideMark/>
          </w:tcPr>
          <w:p w:rsidR="001B1C5F" w:rsidRPr="00EB57D6" w:rsidRDefault="001B1C5F" w:rsidP="009B2909">
            <w:pPr>
              <w:jc w:val="left"/>
              <w:rPr>
                <w:rFonts w:cs="Arial"/>
                <w:color w:val="000000"/>
                <w:szCs w:val="18"/>
                <w:lang w:eastAsia="pt-BR"/>
              </w:rPr>
            </w:pPr>
            <w:proofErr w:type="spellStart"/>
            <w:r w:rsidRPr="00EB57D6">
              <w:rPr>
                <w:rFonts w:cs="Arial"/>
                <w:color w:val="000000"/>
                <w:szCs w:val="18"/>
                <w:lang w:eastAsia="pt-BR"/>
              </w:rPr>
              <w:t>Chamelaucium</w:t>
            </w:r>
            <w:proofErr w:type="spellEnd"/>
            <w:r w:rsidRPr="00EB57D6">
              <w:rPr>
                <w:rFonts w:cs="Arial"/>
                <w:color w:val="000000"/>
                <w:szCs w:val="18"/>
                <w:lang w:eastAsia="pt-BR"/>
              </w:rPr>
              <w:t xml:space="preserve"> </w:t>
            </w:r>
            <w:proofErr w:type="spellStart"/>
            <w:r w:rsidRPr="00EB57D6">
              <w:rPr>
                <w:rFonts w:cs="Arial"/>
                <w:color w:val="000000"/>
                <w:szCs w:val="18"/>
                <w:lang w:eastAsia="pt-BR"/>
              </w:rPr>
              <w:t>Desf</w:t>
            </w:r>
            <w:proofErr w:type="spellEnd"/>
            <w:r w:rsidRPr="00EB57D6">
              <w:rPr>
                <w:rFonts w:cs="Arial"/>
                <w:color w:val="000000"/>
                <w:szCs w:val="18"/>
                <w:lang w:eastAsia="pt-BR"/>
              </w:rPr>
              <w:t xml:space="preserve">.  </w:t>
            </w:r>
          </w:p>
        </w:tc>
        <w:tc>
          <w:tcPr>
            <w:tcW w:w="2126" w:type="dxa"/>
            <w:shd w:val="clear" w:color="auto" w:fill="auto"/>
            <w:noWrap/>
            <w:hideMark/>
          </w:tcPr>
          <w:p w:rsidR="001B1C5F" w:rsidRPr="00EB57D6" w:rsidRDefault="001B1C5F" w:rsidP="009B2909">
            <w:pPr>
              <w:jc w:val="left"/>
              <w:rPr>
                <w:rFonts w:cs="Arial"/>
                <w:color w:val="000000"/>
                <w:szCs w:val="18"/>
                <w:lang w:eastAsia="pt-BR"/>
              </w:rPr>
            </w:pPr>
            <w:r w:rsidRPr="00EB57D6">
              <w:rPr>
                <w:rFonts w:cs="Arial"/>
                <w:color w:val="000000"/>
                <w:szCs w:val="18"/>
                <w:lang w:eastAsia="pt-BR"/>
              </w:rPr>
              <w:t>CHMLC</w:t>
            </w:r>
          </w:p>
        </w:tc>
      </w:tr>
      <w:tr w:rsidR="001B1C5F" w:rsidRPr="00EB57D6" w:rsidTr="009B2909">
        <w:trPr>
          <w:trHeight w:val="315"/>
        </w:trPr>
        <w:tc>
          <w:tcPr>
            <w:tcW w:w="6516" w:type="dxa"/>
            <w:shd w:val="clear" w:color="auto" w:fill="auto"/>
            <w:noWrap/>
            <w:hideMark/>
          </w:tcPr>
          <w:p w:rsidR="001B1C5F" w:rsidRPr="00EB57D6" w:rsidRDefault="001B1C5F" w:rsidP="009B2909">
            <w:pPr>
              <w:jc w:val="left"/>
              <w:rPr>
                <w:rFonts w:cs="Arial"/>
                <w:color w:val="000000"/>
                <w:szCs w:val="18"/>
                <w:lang w:eastAsia="pt-BR"/>
              </w:rPr>
            </w:pPr>
            <w:r w:rsidRPr="008E0BFA">
              <w:rPr>
                <w:rFonts w:cs="Arial"/>
                <w:color w:val="000000"/>
                <w:szCs w:val="18"/>
                <w:lang w:val="pt-PT" w:eastAsia="pt-BR"/>
              </w:rPr>
              <w:t xml:space="preserve">Chamelaucium Desf.  X Verticordia plumosa Desf.  </w:t>
            </w:r>
            <w:r w:rsidRPr="00EB57D6">
              <w:rPr>
                <w:rFonts w:cs="Arial"/>
                <w:color w:val="000000"/>
                <w:szCs w:val="18"/>
                <w:lang w:eastAsia="pt-BR"/>
              </w:rPr>
              <w:t>(</w:t>
            </w:r>
            <w:proofErr w:type="spellStart"/>
            <w:r w:rsidRPr="00EB57D6">
              <w:rPr>
                <w:rFonts w:cs="Arial"/>
                <w:color w:val="000000"/>
                <w:szCs w:val="18"/>
                <w:lang w:eastAsia="pt-BR"/>
              </w:rPr>
              <w:t>Druce</w:t>
            </w:r>
            <w:proofErr w:type="spellEnd"/>
            <w:r w:rsidRPr="00EB57D6">
              <w:rPr>
                <w:rFonts w:cs="Arial"/>
                <w:color w:val="000000"/>
                <w:szCs w:val="18"/>
                <w:lang w:eastAsia="pt-BR"/>
              </w:rPr>
              <w:t>)</w:t>
            </w:r>
          </w:p>
        </w:tc>
        <w:tc>
          <w:tcPr>
            <w:tcW w:w="2126" w:type="dxa"/>
            <w:shd w:val="clear" w:color="auto" w:fill="auto"/>
            <w:noWrap/>
            <w:hideMark/>
          </w:tcPr>
          <w:p w:rsidR="001B1C5F" w:rsidRPr="00EB57D6" w:rsidRDefault="001B1C5F" w:rsidP="009B2909">
            <w:pPr>
              <w:jc w:val="left"/>
              <w:rPr>
                <w:rFonts w:cs="Arial"/>
                <w:color w:val="000000"/>
                <w:szCs w:val="18"/>
                <w:lang w:eastAsia="pt-BR"/>
              </w:rPr>
            </w:pPr>
            <w:r w:rsidRPr="00EB57D6">
              <w:rPr>
                <w:rFonts w:cs="Arial"/>
                <w:color w:val="000000"/>
                <w:szCs w:val="18"/>
                <w:lang w:eastAsia="pt-BR"/>
              </w:rPr>
              <w:t>VECHM</w:t>
            </w:r>
          </w:p>
        </w:tc>
      </w:tr>
      <w:tr w:rsidR="001B1C5F" w:rsidRPr="00EB57D6" w:rsidTr="009B2909">
        <w:trPr>
          <w:trHeight w:val="315"/>
        </w:trPr>
        <w:tc>
          <w:tcPr>
            <w:tcW w:w="6516" w:type="dxa"/>
            <w:shd w:val="clear" w:color="auto" w:fill="auto"/>
            <w:hideMark/>
          </w:tcPr>
          <w:p w:rsidR="001B1C5F" w:rsidRPr="00EB57D6" w:rsidRDefault="001B1C5F" w:rsidP="009B2909">
            <w:pPr>
              <w:jc w:val="left"/>
              <w:rPr>
                <w:rFonts w:cs="Arial"/>
                <w:color w:val="000000"/>
                <w:szCs w:val="18"/>
                <w:lang w:eastAsia="pt-BR"/>
              </w:rPr>
            </w:pPr>
            <w:proofErr w:type="spellStart"/>
            <w:r w:rsidRPr="00EB57D6">
              <w:rPr>
                <w:rFonts w:cs="Arial"/>
                <w:color w:val="000000"/>
                <w:szCs w:val="18"/>
                <w:lang w:eastAsia="pt-BR"/>
              </w:rPr>
              <w:t>Ipomoea</w:t>
            </w:r>
            <w:proofErr w:type="spellEnd"/>
            <w:r w:rsidRPr="00EB57D6">
              <w:rPr>
                <w:rFonts w:cs="Arial"/>
                <w:color w:val="000000"/>
                <w:szCs w:val="18"/>
                <w:lang w:eastAsia="pt-BR"/>
              </w:rPr>
              <w:t xml:space="preserve"> </w:t>
            </w:r>
            <w:proofErr w:type="spellStart"/>
            <w:r w:rsidRPr="00EB57D6">
              <w:rPr>
                <w:rFonts w:cs="Arial"/>
                <w:color w:val="000000"/>
                <w:szCs w:val="18"/>
                <w:lang w:eastAsia="pt-BR"/>
              </w:rPr>
              <w:t>batatas</w:t>
            </w:r>
            <w:proofErr w:type="spellEnd"/>
            <w:r w:rsidRPr="00EB57D6">
              <w:rPr>
                <w:rFonts w:cs="Arial"/>
                <w:color w:val="000000"/>
                <w:szCs w:val="18"/>
                <w:lang w:eastAsia="pt-BR"/>
              </w:rPr>
              <w:t xml:space="preserve"> (L.) </w:t>
            </w:r>
            <w:proofErr w:type="spellStart"/>
            <w:r w:rsidRPr="00EB57D6">
              <w:rPr>
                <w:rFonts w:cs="Arial"/>
                <w:color w:val="000000"/>
                <w:szCs w:val="18"/>
                <w:lang w:eastAsia="pt-BR"/>
              </w:rPr>
              <w:t>Lam</w:t>
            </w:r>
            <w:proofErr w:type="spellEnd"/>
            <w:r w:rsidRPr="00EB57D6">
              <w:rPr>
                <w:rFonts w:cs="Arial"/>
                <w:color w:val="000000"/>
                <w:szCs w:val="18"/>
                <w:lang w:eastAsia="pt-BR"/>
              </w:rPr>
              <w:t>.</w:t>
            </w:r>
          </w:p>
        </w:tc>
        <w:tc>
          <w:tcPr>
            <w:tcW w:w="2126" w:type="dxa"/>
            <w:shd w:val="clear" w:color="auto" w:fill="auto"/>
            <w:hideMark/>
          </w:tcPr>
          <w:p w:rsidR="001B1C5F" w:rsidRPr="00EB57D6" w:rsidRDefault="001B1C5F" w:rsidP="009B2909">
            <w:pPr>
              <w:jc w:val="left"/>
              <w:rPr>
                <w:rFonts w:cs="Arial"/>
                <w:color w:val="000000"/>
                <w:szCs w:val="18"/>
                <w:lang w:eastAsia="pt-BR"/>
              </w:rPr>
            </w:pPr>
            <w:r w:rsidRPr="00EB57D6">
              <w:rPr>
                <w:rFonts w:cs="Arial"/>
                <w:color w:val="000000"/>
                <w:szCs w:val="18"/>
                <w:lang w:eastAsia="pt-BR"/>
              </w:rPr>
              <w:t>IPOMO_BAT</w:t>
            </w:r>
          </w:p>
        </w:tc>
      </w:tr>
      <w:tr w:rsidR="001B1C5F" w:rsidRPr="00EB57D6" w:rsidTr="009B2909">
        <w:trPr>
          <w:trHeight w:val="315"/>
        </w:trPr>
        <w:tc>
          <w:tcPr>
            <w:tcW w:w="6516" w:type="dxa"/>
            <w:shd w:val="clear" w:color="auto" w:fill="auto"/>
            <w:noWrap/>
            <w:hideMark/>
          </w:tcPr>
          <w:p w:rsidR="001B1C5F" w:rsidRPr="00EB57D6" w:rsidRDefault="001B1C5F" w:rsidP="009B2909">
            <w:pPr>
              <w:jc w:val="left"/>
              <w:rPr>
                <w:rFonts w:cs="Arial"/>
                <w:color w:val="000000"/>
                <w:szCs w:val="18"/>
                <w:lang w:eastAsia="pt-BR"/>
              </w:rPr>
            </w:pPr>
            <w:r w:rsidRPr="00EB57D6">
              <w:rPr>
                <w:rFonts w:cs="Arial"/>
                <w:color w:val="000000"/>
                <w:szCs w:val="18"/>
                <w:lang w:eastAsia="pt-BR"/>
              </w:rPr>
              <w:t xml:space="preserve">Lens </w:t>
            </w:r>
            <w:proofErr w:type="spellStart"/>
            <w:r w:rsidRPr="00EB57D6">
              <w:rPr>
                <w:rFonts w:cs="Arial"/>
                <w:color w:val="000000"/>
                <w:szCs w:val="18"/>
                <w:lang w:eastAsia="pt-BR"/>
              </w:rPr>
              <w:t>culinaris</w:t>
            </w:r>
            <w:proofErr w:type="spellEnd"/>
            <w:r w:rsidRPr="00EB57D6">
              <w:rPr>
                <w:rFonts w:cs="Arial"/>
                <w:color w:val="000000"/>
                <w:szCs w:val="18"/>
                <w:lang w:eastAsia="pt-BR"/>
              </w:rPr>
              <w:t xml:space="preserve"> </w:t>
            </w:r>
            <w:proofErr w:type="spellStart"/>
            <w:r w:rsidRPr="00EB57D6">
              <w:rPr>
                <w:rFonts w:cs="Arial"/>
                <w:color w:val="000000"/>
                <w:szCs w:val="18"/>
                <w:lang w:eastAsia="pt-BR"/>
              </w:rPr>
              <w:t>Medik</w:t>
            </w:r>
            <w:proofErr w:type="spellEnd"/>
            <w:r w:rsidRPr="00EB57D6">
              <w:rPr>
                <w:rFonts w:cs="Arial"/>
                <w:color w:val="000000"/>
                <w:szCs w:val="18"/>
                <w:lang w:eastAsia="pt-BR"/>
              </w:rPr>
              <w:t>.</w:t>
            </w:r>
          </w:p>
        </w:tc>
        <w:tc>
          <w:tcPr>
            <w:tcW w:w="2126" w:type="dxa"/>
            <w:shd w:val="clear" w:color="auto" w:fill="auto"/>
            <w:noWrap/>
            <w:hideMark/>
          </w:tcPr>
          <w:p w:rsidR="001B1C5F" w:rsidRPr="00EB57D6" w:rsidRDefault="001B1C5F" w:rsidP="009B2909">
            <w:pPr>
              <w:jc w:val="left"/>
              <w:rPr>
                <w:rFonts w:cs="Arial"/>
                <w:color w:val="000000"/>
                <w:szCs w:val="18"/>
                <w:lang w:eastAsia="pt-BR"/>
              </w:rPr>
            </w:pPr>
            <w:r w:rsidRPr="00EB57D6">
              <w:rPr>
                <w:rFonts w:cs="Arial"/>
                <w:color w:val="000000"/>
                <w:szCs w:val="18"/>
                <w:lang w:eastAsia="pt-BR"/>
              </w:rPr>
              <w:t>LENSS_CUL</w:t>
            </w:r>
          </w:p>
        </w:tc>
      </w:tr>
      <w:tr w:rsidR="001B1C5F" w:rsidRPr="00EB57D6" w:rsidTr="009B2909">
        <w:trPr>
          <w:trHeight w:val="315"/>
        </w:trPr>
        <w:tc>
          <w:tcPr>
            <w:tcW w:w="6516" w:type="dxa"/>
            <w:shd w:val="clear" w:color="auto" w:fill="auto"/>
            <w:hideMark/>
          </w:tcPr>
          <w:p w:rsidR="001B1C5F" w:rsidRPr="00EB57D6" w:rsidRDefault="001B1C5F" w:rsidP="009B2909">
            <w:pPr>
              <w:jc w:val="left"/>
              <w:rPr>
                <w:rFonts w:cs="Arial"/>
                <w:color w:val="000000"/>
                <w:szCs w:val="18"/>
                <w:lang w:eastAsia="pt-BR"/>
              </w:rPr>
            </w:pPr>
            <w:r w:rsidRPr="00EB57D6">
              <w:rPr>
                <w:rFonts w:cs="Arial"/>
                <w:color w:val="000000"/>
                <w:szCs w:val="18"/>
                <w:lang w:eastAsia="pt-BR"/>
              </w:rPr>
              <w:t xml:space="preserve">Lobelia </w:t>
            </w:r>
            <w:proofErr w:type="spellStart"/>
            <w:r w:rsidRPr="00EB57D6">
              <w:rPr>
                <w:rFonts w:cs="Arial"/>
                <w:color w:val="000000"/>
                <w:szCs w:val="18"/>
                <w:lang w:eastAsia="pt-BR"/>
              </w:rPr>
              <w:t>alsinoides</w:t>
            </w:r>
            <w:proofErr w:type="spellEnd"/>
            <w:r w:rsidRPr="00EB57D6">
              <w:rPr>
                <w:rFonts w:cs="Arial"/>
                <w:color w:val="000000"/>
                <w:szCs w:val="18"/>
                <w:lang w:eastAsia="pt-BR"/>
              </w:rPr>
              <w:t xml:space="preserve"> </w:t>
            </w:r>
            <w:proofErr w:type="spellStart"/>
            <w:r w:rsidRPr="00EB57D6">
              <w:rPr>
                <w:rFonts w:cs="Arial"/>
                <w:color w:val="000000"/>
                <w:szCs w:val="18"/>
                <w:lang w:eastAsia="pt-BR"/>
              </w:rPr>
              <w:t>Lam</w:t>
            </w:r>
            <w:proofErr w:type="spellEnd"/>
            <w:r w:rsidRPr="00EB57D6">
              <w:rPr>
                <w:rFonts w:cs="Arial"/>
                <w:color w:val="000000"/>
                <w:szCs w:val="18"/>
                <w:lang w:eastAsia="pt-BR"/>
              </w:rPr>
              <w:t>.</w:t>
            </w:r>
          </w:p>
        </w:tc>
        <w:tc>
          <w:tcPr>
            <w:tcW w:w="2126" w:type="dxa"/>
            <w:shd w:val="clear" w:color="auto" w:fill="auto"/>
            <w:hideMark/>
          </w:tcPr>
          <w:p w:rsidR="001B1C5F" w:rsidRPr="00EB57D6" w:rsidRDefault="001B1C5F" w:rsidP="009B2909">
            <w:pPr>
              <w:jc w:val="left"/>
              <w:rPr>
                <w:rFonts w:cs="Arial"/>
                <w:color w:val="000000"/>
                <w:szCs w:val="18"/>
                <w:lang w:eastAsia="pt-BR"/>
              </w:rPr>
            </w:pPr>
            <w:r w:rsidRPr="00EB57D6">
              <w:rPr>
                <w:rFonts w:cs="Arial"/>
                <w:color w:val="000000"/>
                <w:szCs w:val="18"/>
                <w:lang w:eastAsia="pt-BR"/>
              </w:rPr>
              <w:t>LOBEL_ALS</w:t>
            </w:r>
          </w:p>
        </w:tc>
      </w:tr>
      <w:tr w:rsidR="001B1C5F" w:rsidRPr="00EB57D6" w:rsidTr="009B2909">
        <w:trPr>
          <w:trHeight w:val="315"/>
        </w:trPr>
        <w:tc>
          <w:tcPr>
            <w:tcW w:w="6516" w:type="dxa"/>
            <w:shd w:val="clear" w:color="auto" w:fill="auto"/>
            <w:hideMark/>
          </w:tcPr>
          <w:p w:rsidR="001B1C5F" w:rsidRPr="00EB57D6" w:rsidRDefault="001B1C5F" w:rsidP="009B2909">
            <w:pPr>
              <w:jc w:val="left"/>
              <w:rPr>
                <w:rFonts w:cs="Arial"/>
                <w:color w:val="000000"/>
                <w:szCs w:val="18"/>
                <w:lang w:eastAsia="pt-BR"/>
              </w:rPr>
            </w:pPr>
            <w:r w:rsidRPr="00EB57D6">
              <w:rPr>
                <w:rFonts w:cs="Arial"/>
                <w:color w:val="000000"/>
                <w:szCs w:val="18"/>
                <w:lang w:eastAsia="pt-BR"/>
              </w:rPr>
              <w:t xml:space="preserve">Lobelia </w:t>
            </w:r>
            <w:proofErr w:type="spellStart"/>
            <w:r w:rsidRPr="00EB57D6">
              <w:rPr>
                <w:rFonts w:cs="Arial"/>
                <w:color w:val="000000"/>
                <w:szCs w:val="18"/>
                <w:lang w:eastAsia="pt-BR"/>
              </w:rPr>
              <w:t>erinus</w:t>
            </w:r>
            <w:proofErr w:type="spellEnd"/>
            <w:r w:rsidRPr="00EB57D6">
              <w:rPr>
                <w:rFonts w:cs="Arial"/>
                <w:color w:val="000000"/>
                <w:szCs w:val="18"/>
                <w:lang w:eastAsia="pt-BR"/>
              </w:rPr>
              <w:t xml:space="preserve"> L.</w:t>
            </w:r>
          </w:p>
        </w:tc>
        <w:tc>
          <w:tcPr>
            <w:tcW w:w="2126" w:type="dxa"/>
            <w:shd w:val="clear" w:color="auto" w:fill="auto"/>
            <w:hideMark/>
          </w:tcPr>
          <w:p w:rsidR="001B1C5F" w:rsidRPr="00EB57D6" w:rsidRDefault="001B1C5F" w:rsidP="009B2909">
            <w:pPr>
              <w:jc w:val="left"/>
              <w:rPr>
                <w:rFonts w:cs="Arial"/>
                <w:color w:val="000000"/>
                <w:szCs w:val="18"/>
                <w:lang w:eastAsia="pt-BR"/>
              </w:rPr>
            </w:pPr>
            <w:r w:rsidRPr="00EB57D6">
              <w:rPr>
                <w:rFonts w:cs="Arial"/>
                <w:color w:val="000000"/>
                <w:szCs w:val="18"/>
                <w:lang w:eastAsia="pt-BR"/>
              </w:rPr>
              <w:t>LOBEL_ERI</w:t>
            </w:r>
          </w:p>
        </w:tc>
      </w:tr>
      <w:tr w:rsidR="001B1C5F" w:rsidRPr="00EB57D6" w:rsidTr="009B2909">
        <w:trPr>
          <w:trHeight w:val="315"/>
        </w:trPr>
        <w:tc>
          <w:tcPr>
            <w:tcW w:w="6516" w:type="dxa"/>
            <w:shd w:val="clear" w:color="auto" w:fill="auto"/>
            <w:hideMark/>
          </w:tcPr>
          <w:p w:rsidR="001B1C5F" w:rsidRPr="00EB57D6" w:rsidRDefault="001B1C5F" w:rsidP="009B2909">
            <w:pPr>
              <w:jc w:val="left"/>
              <w:rPr>
                <w:rFonts w:cs="Arial"/>
                <w:color w:val="000000"/>
                <w:szCs w:val="18"/>
                <w:lang w:eastAsia="pt-BR"/>
              </w:rPr>
            </w:pPr>
            <w:r w:rsidRPr="00EB57D6">
              <w:rPr>
                <w:rFonts w:cs="Arial"/>
                <w:color w:val="000000"/>
                <w:szCs w:val="18"/>
                <w:lang w:eastAsia="pt-BR"/>
              </w:rPr>
              <w:t>Lobelia valida L. Bolus</w:t>
            </w:r>
          </w:p>
        </w:tc>
        <w:tc>
          <w:tcPr>
            <w:tcW w:w="2126" w:type="dxa"/>
            <w:shd w:val="clear" w:color="auto" w:fill="auto"/>
            <w:hideMark/>
          </w:tcPr>
          <w:p w:rsidR="001B1C5F" w:rsidRPr="00EB57D6" w:rsidRDefault="001B1C5F" w:rsidP="009B2909">
            <w:pPr>
              <w:jc w:val="left"/>
              <w:rPr>
                <w:rFonts w:cs="Arial"/>
                <w:color w:val="000000"/>
                <w:szCs w:val="18"/>
                <w:lang w:eastAsia="pt-BR"/>
              </w:rPr>
            </w:pPr>
            <w:r w:rsidRPr="00EB57D6">
              <w:rPr>
                <w:rFonts w:cs="Arial"/>
                <w:color w:val="000000"/>
                <w:szCs w:val="18"/>
                <w:lang w:eastAsia="pt-BR"/>
              </w:rPr>
              <w:t>LOBEL_VAL</w:t>
            </w:r>
          </w:p>
        </w:tc>
      </w:tr>
      <w:tr w:rsidR="001B1C5F" w:rsidRPr="00EB57D6" w:rsidTr="009B2909">
        <w:trPr>
          <w:trHeight w:val="315"/>
        </w:trPr>
        <w:tc>
          <w:tcPr>
            <w:tcW w:w="6516" w:type="dxa"/>
            <w:shd w:val="clear" w:color="auto" w:fill="auto"/>
            <w:hideMark/>
          </w:tcPr>
          <w:p w:rsidR="001B1C5F" w:rsidRPr="008E0BFA" w:rsidRDefault="001B1C5F" w:rsidP="009B2909">
            <w:pPr>
              <w:jc w:val="left"/>
              <w:rPr>
                <w:rFonts w:cs="Arial"/>
                <w:color w:val="000000"/>
                <w:szCs w:val="18"/>
                <w:lang w:val="pt-PT" w:eastAsia="pt-BR"/>
              </w:rPr>
            </w:pPr>
            <w:r w:rsidRPr="008E0BFA">
              <w:rPr>
                <w:rFonts w:cs="Arial"/>
                <w:color w:val="000000"/>
                <w:szCs w:val="18"/>
                <w:lang w:val="pt-PT" w:eastAsia="pt-BR"/>
              </w:rPr>
              <w:t>Lobelia erinus L. X Lobelia alsinoides Lam.</w:t>
            </w:r>
          </w:p>
        </w:tc>
        <w:tc>
          <w:tcPr>
            <w:tcW w:w="2126" w:type="dxa"/>
            <w:shd w:val="clear" w:color="auto" w:fill="auto"/>
            <w:hideMark/>
          </w:tcPr>
          <w:p w:rsidR="001B1C5F" w:rsidRPr="00EB57D6" w:rsidRDefault="001B1C5F" w:rsidP="009B2909">
            <w:pPr>
              <w:jc w:val="left"/>
              <w:rPr>
                <w:rFonts w:cs="Arial"/>
                <w:color w:val="000000"/>
                <w:szCs w:val="18"/>
                <w:lang w:eastAsia="pt-BR"/>
              </w:rPr>
            </w:pPr>
            <w:r w:rsidRPr="00EB57D6">
              <w:rPr>
                <w:rFonts w:cs="Arial"/>
                <w:color w:val="000000"/>
                <w:szCs w:val="18"/>
                <w:lang w:eastAsia="pt-BR"/>
              </w:rPr>
              <w:t>LOBEL_AER</w:t>
            </w:r>
          </w:p>
        </w:tc>
      </w:tr>
      <w:tr w:rsidR="001B1C5F" w:rsidRPr="00EB57D6" w:rsidTr="009B2909">
        <w:trPr>
          <w:trHeight w:val="315"/>
        </w:trPr>
        <w:tc>
          <w:tcPr>
            <w:tcW w:w="6516" w:type="dxa"/>
            <w:shd w:val="clear" w:color="auto" w:fill="auto"/>
            <w:hideMark/>
          </w:tcPr>
          <w:p w:rsidR="001B1C5F" w:rsidRPr="008E0BFA" w:rsidRDefault="001B1C5F" w:rsidP="009B2909">
            <w:pPr>
              <w:jc w:val="left"/>
              <w:rPr>
                <w:rFonts w:cs="Arial"/>
                <w:color w:val="000000"/>
                <w:szCs w:val="18"/>
                <w:lang w:val="pt-PT" w:eastAsia="pt-BR"/>
              </w:rPr>
            </w:pPr>
            <w:r w:rsidRPr="008E0BFA">
              <w:rPr>
                <w:rFonts w:cs="Arial"/>
                <w:color w:val="000000"/>
                <w:szCs w:val="18"/>
                <w:lang w:val="pt-PT" w:eastAsia="pt-BR"/>
              </w:rPr>
              <w:t>Lobelia erinus L. x Lobelia valida L.</w:t>
            </w:r>
          </w:p>
        </w:tc>
        <w:tc>
          <w:tcPr>
            <w:tcW w:w="2126" w:type="dxa"/>
            <w:shd w:val="clear" w:color="auto" w:fill="auto"/>
            <w:hideMark/>
          </w:tcPr>
          <w:p w:rsidR="001B1C5F" w:rsidRPr="00EB57D6" w:rsidRDefault="001B1C5F" w:rsidP="009B2909">
            <w:pPr>
              <w:jc w:val="left"/>
              <w:rPr>
                <w:rFonts w:cs="Arial"/>
                <w:color w:val="000000"/>
                <w:szCs w:val="18"/>
                <w:lang w:eastAsia="pt-BR"/>
              </w:rPr>
            </w:pPr>
            <w:r w:rsidRPr="00EB57D6">
              <w:rPr>
                <w:rFonts w:cs="Arial"/>
                <w:color w:val="000000"/>
                <w:szCs w:val="18"/>
                <w:lang w:eastAsia="pt-BR"/>
              </w:rPr>
              <w:t>LOBEL_EVA</w:t>
            </w:r>
          </w:p>
        </w:tc>
      </w:tr>
      <w:tr w:rsidR="001B1C5F" w:rsidRPr="00EB57D6" w:rsidTr="009B2909">
        <w:trPr>
          <w:trHeight w:val="315"/>
        </w:trPr>
        <w:tc>
          <w:tcPr>
            <w:tcW w:w="6516" w:type="dxa"/>
            <w:shd w:val="clear" w:color="auto" w:fill="auto"/>
            <w:hideMark/>
          </w:tcPr>
          <w:p w:rsidR="001B1C5F" w:rsidRPr="00EB57D6" w:rsidRDefault="001B1C5F" w:rsidP="009B2909">
            <w:pPr>
              <w:jc w:val="left"/>
              <w:rPr>
                <w:rFonts w:cs="Arial"/>
                <w:color w:val="000000"/>
                <w:szCs w:val="18"/>
                <w:lang w:eastAsia="pt-BR"/>
              </w:rPr>
            </w:pPr>
            <w:proofErr w:type="spellStart"/>
            <w:r w:rsidRPr="00EB57D6">
              <w:rPr>
                <w:rFonts w:cs="Arial"/>
                <w:color w:val="000000"/>
                <w:szCs w:val="18"/>
                <w:lang w:eastAsia="pt-BR"/>
              </w:rPr>
              <w:t>Paspalum</w:t>
            </w:r>
            <w:proofErr w:type="spellEnd"/>
            <w:r w:rsidRPr="00EB57D6">
              <w:rPr>
                <w:rFonts w:cs="Arial"/>
                <w:color w:val="000000"/>
                <w:szCs w:val="18"/>
                <w:lang w:eastAsia="pt-BR"/>
              </w:rPr>
              <w:t xml:space="preserve"> </w:t>
            </w:r>
            <w:proofErr w:type="spellStart"/>
            <w:r w:rsidRPr="00EB57D6">
              <w:rPr>
                <w:rFonts w:cs="Arial"/>
                <w:color w:val="000000"/>
                <w:szCs w:val="18"/>
                <w:lang w:eastAsia="pt-BR"/>
              </w:rPr>
              <w:t>guenoarum</w:t>
            </w:r>
            <w:proofErr w:type="spellEnd"/>
            <w:r w:rsidRPr="00EB57D6">
              <w:rPr>
                <w:rFonts w:cs="Arial"/>
                <w:color w:val="000000"/>
                <w:szCs w:val="18"/>
                <w:lang w:eastAsia="pt-BR"/>
              </w:rPr>
              <w:t xml:space="preserve"> </w:t>
            </w:r>
            <w:proofErr w:type="spellStart"/>
            <w:r w:rsidRPr="00EB57D6">
              <w:rPr>
                <w:rFonts w:cs="Arial"/>
                <w:color w:val="000000"/>
                <w:szCs w:val="18"/>
                <w:lang w:eastAsia="pt-BR"/>
              </w:rPr>
              <w:t>Arechav</w:t>
            </w:r>
            <w:proofErr w:type="spellEnd"/>
            <w:r w:rsidRPr="00EB57D6">
              <w:rPr>
                <w:rFonts w:cs="Arial"/>
                <w:color w:val="000000"/>
                <w:szCs w:val="18"/>
                <w:lang w:eastAsia="pt-BR"/>
              </w:rPr>
              <w:t>.</w:t>
            </w:r>
          </w:p>
        </w:tc>
        <w:tc>
          <w:tcPr>
            <w:tcW w:w="2126" w:type="dxa"/>
            <w:shd w:val="clear" w:color="auto" w:fill="auto"/>
            <w:hideMark/>
          </w:tcPr>
          <w:p w:rsidR="001B1C5F" w:rsidRPr="00EB57D6" w:rsidRDefault="001B1C5F" w:rsidP="009B2909">
            <w:pPr>
              <w:jc w:val="left"/>
              <w:rPr>
                <w:rFonts w:cs="Arial"/>
                <w:color w:val="000000"/>
                <w:szCs w:val="18"/>
                <w:lang w:eastAsia="pt-BR"/>
              </w:rPr>
            </w:pPr>
            <w:r w:rsidRPr="00EB57D6">
              <w:rPr>
                <w:rFonts w:cs="Arial"/>
                <w:color w:val="000000"/>
                <w:szCs w:val="18"/>
                <w:lang w:eastAsia="pt-BR"/>
              </w:rPr>
              <w:t>PASPA_GUE</w:t>
            </w:r>
          </w:p>
        </w:tc>
      </w:tr>
      <w:tr w:rsidR="001B1C5F" w:rsidRPr="00EB57D6" w:rsidTr="009B2909">
        <w:trPr>
          <w:trHeight w:val="315"/>
        </w:trPr>
        <w:tc>
          <w:tcPr>
            <w:tcW w:w="6516" w:type="dxa"/>
            <w:shd w:val="clear" w:color="auto" w:fill="auto"/>
            <w:hideMark/>
          </w:tcPr>
          <w:p w:rsidR="001B1C5F" w:rsidRPr="00EB57D6" w:rsidRDefault="001B1C5F" w:rsidP="009B2909">
            <w:pPr>
              <w:jc w:val="left"/>
              <w:rPr>
                <w:rFonts w:cs="Arial"/>
                <w:color w:val="000000"/>
                <w:szCs w:val="18"/>
                <w:lang w:eastAsia="pt-BR"/>
              </w:rPr>
            </w:pPr>
            <w:proofErr w:type="spellStart"/>
            <w:r w:rsidRPr="00EB57D6">
              <w:rPr>
                <w:rFonts w:cs="Arial"/>
                <w:color w:val="000000"/>
                <w:szCs w:val="18"/>
                <w:lang w:eastAsia="pt-BR"/>
              </w:rPr>
              <w:t>Paspalum</w:t>
            </w:r>
            <w:proofErr w:type="spellEnd"/>
            <w:r w:rsidRPr="00EB57D6">
              <w:rPr>
                <w:rFonts w:cs="Arial"/>
                <w:color w:val="000000"/>
                <w:szCs w:val="18"/>
                <w:lang w:eastAsia="pt-BR"/>
              </w:rPr>
              <w:t xml:space="preserve"> </w:t>
            </w:r>
            <w:proofErr w:type="spellStart"/>
            <w:r w:rsidRPr="00EB57D6">
              <w:rPr>
                <w:rFonts w:cs="Arial"/>
                <w:color w:val="000000"/>
                <w:szCs w:val="18"/>
                <w:lang w:eastAsia="pt-BR"/>
              </w:rPr>
              <w:t>notatum</w:t>
            </w:r>
            <w:proofErr w:type="spellEnd"/>
            <w:r w:rsidRPr="00EB57D6">
              <w:rPr>
                <w:rFonts w:cs="Arial"/>
                <w:color w:val="000000"/>
                <w:szCs w:val="18"/>
                <w:lang w:eastAsia="pt-BR"/>
              </w:rPr>
              <w:t xml:space="preserve"> </w:t>
            </w:r>
            <w:proofErr w:type="spellStart"/>
            <w:r w:rsidRPr="00EB57D6">
              <w:rPr>
                <w:rFonts w:cs="Arial"/>
                <w:color w:val="000000"/>
                <w:szCs w:val="18"/>
                <w:lang w:eastAsia="pt-BR"/>
              </w:rPr>
              <w:t>Flüggé</w:t>
            </w:r>
            <w:proofErr w:type="spellEnd"/>
          </w:p>
        </w:tc>
        <w:tc>
          <w:tcPr>
            <w:tcW w:w="2126" w:type="dxa"/>
            <w:shd w:val="clear" w:color="auto" w:fill="auto"/>
            <w:hideMark/>
          </w:tcPr>
          <w:p w:rsidR="001B1C5F" w:rsidRPr="00EB57D6" w:rsidRDefault="001B1C5F" w:rsidP="009B2909">
            <w:pPr>
              <w:jc w:val="left"/>
              <w:rPr>
                <w:rFonts w:cs="Arial"/>
                <w:color w:val="000000"/>
                <w:szCs w:val="18"/>
                <w:lang w:eastAsia="pt-BR"/>
              </w:rPr>
            </w:pPr>
            <w:r w:rsidRPr="00EB57D6">
              <w:rPr>
                <w:rFonts w:cs="Arial"/>
                <w:color w:val="000000"/>
                <w:szCs w:val="18"/>
                <w:lang w:eastAsia="pt-BR"/>
              </w:rPr>
              <w:t>PASPA_NOT</w:t>
            </w:r>
          </w:p>
        </w:tc>
      </w:tr>
      <w:tr w:rsidR="001B1C5F" w:rsidRPr="00EB57D6" w:rsidTr="009B2909">
        <w:trPr>
          <w:trHeight w:val="315"/>
        </w:trPr>
        <w:tc>
          <w:tcPr>
            <w:tcW w:w="6516" w:type="dxa"/>
            <w:shd w:val="clear" w:color="auto" w:fill="auto"/>
            <w:hideMark/>
          </w:tcPr>
          <w:p w:rsidR="001B1C5F" w:rsidRPr="00EB57D6" w:rsidRDefault="001B1C5F" w:rsidP="009B2909">
            <w:pPr>
              <w:jc w:val="left"/>
              <w:rPr>
                <w:rFonts w:cs="Arial"/>
                <w:color w:val="000000"/>
                <w:szCs w:val="18"/>
                <w:lang w:eastAsia="pt-BR"/>
              </w:rPr>
            </w:pPr>
            <w:proofErr w:type="spellStart"/>
            <w:r w:rsidRPr="00EB57D6">
              <w:rPr>
                <w:rFonts w:cs="Arial"/>
                <w:color w:val="000000"/>
                <w:szCs w:val="18"/>
                <w:lang w:eastAsia="pt-BR"/>
              </w:rPr>
              <w:t>Paspalum</w:t>
            </w:r>
            <w:proofErr w:type="spellEnd"/>
            <w:r w:rsidRPr="00EB57D6">
              <w:rPr>
                <w:rFonts w:cs="Arial"/>
                <w:color w:val="000000"/>
                <w:szCs w:val="18"/>
                <w:lang w:eastAsia="pt-BR"/>
              </w:rPr>
              <w:t xml:space="preserve"> </w:t>
            </w:r>
            <w:proofErr w:type="spellStart"/>
            <w:r w:rsidRPr="00EB57D6">
              <w:rPr>
                <w:rFonts w:cs="Arial"/>
                <w:color w:val="000000"/>
                <w:szCs w:val="18"/>
                <w:lang w:eastAsia="pt-BR"/>
              </w:rPr>
              <w:t>plicatulum</w:t>
            </w:r>
            <w:proofErr w:type="spellEnd"/>
            <w:r w:rsidRPr="00EB57D6">
              <w:rPr>
                <w:rFonts w:cs="Arial"/>
                <w:color w:val="000000"/>
                <w:szCs w:val="18"/>
                <w:lang w:eastAsia="pt-BR"/>
              </w:rPr>
              <w:t xml:space="preserve"> </w:t>
            </w:r>
            <w:proofErr w:type="spellStart"/>
            <w:r w:rsidRPr="00EB57D6">
              <w:rPr>
                <w:rFonts w:cs="Arial"/>
                <w:color w:val="000000"/>
                <w:szCs w:val="18"/>
                <w:lang w:eastAsia="pt-BR"/>
              </w:rPr>
              <w:t>Michx</w:t>
            </w:r>
            <w:proofErr w:type="spellEnd"/>
            <w:r w:rsidRPr="00EB57D6">
              <w:rPr>
                <w:rFonts w:cs="Arial"/>
                <w:color w:val="000000"/>
                <w:szCs w:val="18"/>
                <w:lang w:eastAsia="pt-BR"/>
              </w:rPr>
              <w:t xml:space="preserve">.  </w:t>
            </w:r>
          </w:p>
        </w:tc>
        <w:tc>
          <w:tcPr>
            <w:tcW w:w="2126" w:type="dxa"/>
            <w:shd w:val="clear" w:color="auto" w:fill="auto"/>
            <w:hideMark/>
          </w:tcPr>
          <w:p w:rsidR="001B1C5F" w:rsidRPr="00EB57D6" w:rsidRDefault="001B1C5F" w:rsidP="009B2909">
            <w:pPr>
              <w:jc w:val="left"/>
              <w:rPr>
                <w:rFonts w:cs="Arial"/>
                <w:color w:val="000000"/>
                <w:szCs w:val="18"/>
                <w:lang w:eastAsia="pt-BR"/>
              </w:rPr>
            </w:pPr>
            <w:r w:rsidRPr="00EB57D6">
              <w:rPr>
                <w:rFonts w:cs="Arial"/>
                <w:color w:val="000000"/>
                <w:szCs w:val="18"/>
                <w:lang w:eastAsia="pt-BR"/>
              </w:rPr>
              <w:t>PASPA_PLI</w:t>
            </w:r>
          </w:p>
        </w:tc>
      </w:tr>
      <w:tr w:rsidR="001B1C5F" w:rsidRPr="00EB57D6" w:rsidTr="009B2909">
        <w:trPr>
          <w:trHeight w:val="315"/>
        </w:trPr>
        <w:tc>
          <w:tcPr>
            <w:tcW w:w="6516" w:type="dxa"/>
            <w:shd w:val="clear" w:color="auto" w:fill="auto"/>
            <w:hideMark/>
          </w:tcPr>
          <w:p w:rsidR="001B1C5F" w:rsidRPr="00EB57D6" w:rsidRDefault="001B1C5F" w:rsidP="009B2909">
            <w:pPr>
              <w:jc w:val="left"/>
              <w:rPr>
                <w:rFonts w:cs="Arial"/>
                <w:color w:val="000000"/>
                <w:szCs w:val="18"/>
                <w:lang w:eastAsia="pt-BR"/>
              </w:rPr>
            </w:pPr>
            <w:proofErr w:type="spellStart"/>
            <w:r w:rsidRPr="00EB57D6">
              <w:rPr>
                <w:rFonts w:cs="Arial"/>
                <w:color w:val="000000"/>
                <w:szCs w:val="18"/>
                <w:lang w:eastAsia="pt-BR"/>
              </w:rPr>
              <w:t>Raphanus</w:t>
            </w:r>
            <w:proofErr w:type="spellEnd"/>
            <w:r w:rsidRPr="00EB57D6">
              <w:rPr>
                <w:rFonts w:cs="Arial"/>
                <w:color w:val="000000"/>
                <w:szCs w:val="18"/>
                <w:lang w:eastAsia="pt-BR"/>
              </w:rPr>
              <w:t xml:space="preserve"> </w:t>
            </w:r>
            <w:proofErr w:type="spellStart"/>
            <w:r w:rsidRPr="00EB57D6">
              <w:rPr>
                <w:rFonts w:cs="Arial"/>
                <w:color w:val="000000"/>
                <w:szCs w:val="18"/>
                <w:lang w:eastAsia="pt-BR"/>
              </w:rPr>
              <w:t>sativus</w:t>
            </w:r>
            <w:proofErr w:type="spellEnd"/>
            <w:r w:rsidRPr="00EB57D6">
              <w:rPr>
                <w:rFonts w:cs="Arial"/>
                <w:color w:val="000000"/>
                <w:szCs w:val="18"/>
                <w:lang w:eastAsia="pt-BR"/>
              </w:rPr>
              <w:t xml:space="preserve"> var.  </w:t>
            </w:r>
            <w:proofErr w:type="spellStart"/>
            <w:r w:rsidRPr="00EB57D6">
              <w:rPr>
                <w:rFonts w:cs="Arial"/>
                <w:color w:val="000000"/>
                <w:szCs w:val="18"/>
                <w:lang w:eastAsia="pt-BR"/>
              </w:rPr>
              <w:t>oleiformis</w:t>
            </w:r>
            <w:proofErr w:type="spellEnd"/>
            <w:r w:rsidRPr="00EB57D6">
              <w:rPr>
                <w:rFonts w:cs="Arial"/>
                <w:color w:val="000000"/>
                <w:szCs w:val="18"/>
                <w:lang w:eastAsia="pt-BR"/>
              </w:rPr>
              <w:t xml:space="preserve"> Pers.  </w:t>
            </w:r>
          </w:p>
        </w:tc>
        <w:tc>
          <w:tcPr>
            <w:tcW w:w="2126" w:type="dxa"/>
            <w:shd w:val="clear" w:color="auto" w:fill="auto"/>
            <w:hideMark/>
          </w:tcPr>
          <w:p w:rsidR="001B1C5F" w:rsidRPr="00EB57D6" w:rsidRDefault="001B1C5F" w:rsidP="009B2909">
            <w:pPr>
              <w:jc w:val="left"/>
              <w:rPr>
                <w:rFonts w:cs="Arial"/>
                <w:color w:val="000000"/>
                <w:szCs w:val="18"/>
                <w:lang w:eastAsia="pt-BR"/>
              </w:rPr>
            </w:pPr>
            <w:r w:rsidRPr="00EB57D6">
              <w:rPr>
                <w:rFonts w:cs="Arial"/>
                <w:color w:val="000000"/>
                <w:szCs w:val="18"/>
                <w:lang w:eastAsia="pt-BR"/>
              </w:rPr>
              <w:t>RAPHA_SAT_OLE</w:t>
            </w:r>
          </w:p>
        </w:tc>
      </w:tr>
      <w:tr w:rsidR="001B1C5F" w:rsidRPr="00EB57D6" w:rsidTr="009B2909">
        <w:trPr>
          <w:trHeight w:val="315"/>
        </w:trPr>
        <w:tc>
          <w:tcPr>
            <w:tcW w:w="6516" w:type="dxa"/>
            <w:shd w:val="clear" w:color="auto" w:fill="auto"/>
          </w:tcPr>
          <w:p w:rsidR="001B1C5F" w:rsidRPr="00EB57D6" w:rsidRDefault="001B1C5F" w:rsidP="009B2909">
            <w:pPr>
              <w:jc w:val="left"/>
              <w:rPr>
                <w:rFonts w:cs="Arial"/>
                <w:color w:val="000000"/>
                <w:szCs w:val="18"/>
                <w:lang w:eastAsia="pt-BR"/>
              </w:rPr>
            </w:pPr>
            <w:proofErr w:type="spellStart"/>
            <w:r w:rsidRPr="00EB57D6">
              <w:rPr>
                <w:rFonts w:cs="Arial"/>
                <w:color w:val="000000"/>
                <w:szCs w:val="18"/>
                <w:lang w:eastAsia="pt-BR"/>
              </w:rPr>
              <w:t>Stylosanthes</w:t>
            </w:r>
            <w:proofErr w:type="spellEnd"/>
            <w:r w:rsidRPr="00EB57D6">
              <w:rPr>
                <w:rFonts w:cs="Arial"/>
                <w:color w:val="000000"/>
                <w:szCs w:val="18"/>
                <w:lang w:eastAsia="pt-BR"/>
              </w:rPr>
              <w:t xml:space="preserve"> </w:t>
            </w:r>
            <w:proofErr w:type="spellStart"/>
            <w:r w:rsidRPr="00EB57D6">
              <w:rPr>
                <w:rFonts w:cs="Arial"/>
                <w:color w:val="000000"/>
                <w:szCs w:val="18"/>
                <w:lang w:eastAsia="pt-BR"/>
              </w:rPr>
              <w:t>guianensis</w:t>
            </w:r>
            <w:proofErr w:type="spellEnd"/>
            <w:r w:rsidRPr="00EB57D6">
              <w:rPr>
                <w:rFonts w:cs="Arial"/>
                <w:color w:val="000000"/>
                <w:szCs w:val="18"/>
                <w:lang w:eastAsia="pt-BR"/>
              </w:rPr>
              <w:t xml:space="preserve"> (</w:t>
            </w:r>
            <w:proofErr w:type="spellStart"/>
            <w:r w:rsidRPr="00EB57D6">
              <w:rPr>
                <w:rFonts w:cs="Arial"/>
                <w:color w:val="000000"/>
                <w:szCs w:val="18"/>
                <w:lang w:eastAsia="pt-BR"/>
              </w:rPr>
              <w:t>Aubl</w:t>
            </w:r>
            <w:proofErr w:type="spellEnd"/>
            <w:r w:rsidRPr="00EB57D6">
              <w:rPr>
                <w:rFonts w:cs="Arial"/>
                <w:color w:val="000000"/>
                <w:szCs w:val="18"/>
                <w:lang w:eastAsia="pt-BR"/>
              </w:rPr>
              <w:t xml:space="preserve">.) </w:t>
            </w:r>
            <w:proofErr w:type="spellStart"/>
            <w:r w:rsidRPr="00EB57D6">
              <w:rPr>
                <w:rFonts w:cs="Arial"/>
                <w:color w:val="000000"/>
                <w:szCs w:val="18"/>
                <w:lang w:eastAsia="pt-BR"/>
              </w:rPr>
              <w:t>Sw</w:t>
            </w:r>
            <w:proofErr w:type="spellEnd"/>
            <w:r w:rsidRPr="00EB57D6">
              <w:rPr>
                <w:rFonts w:cs="Arial"/>
                <w:color w:val="000000"/>
                <w:szCs w:val="18"/>
                <w:lang w:eastAsia="pt-BR"/>
              </w:rPr>
              <w:t xml:space="preserve">., </w:t>
            </w:r>
            <w:proofErr w:type="spellStart"/>
            <w:r w:rsidRPr="00EB57D6">
              <w:rPr>
                <w:rFonts w:cs="Arial"/>
                <w:color w:val="000000"/>
                <w:szCs w:val="18"/>
                <w:lang w:eastAsia="pt-BR"/>
              </w:rPr>
              <w:t>Stylosanthes</w:t>
            </w:r>
            <w:proofErr w:type="spellEnd"/>
            <w:r w:rsidRPr="00EB57D6">
              <w:rPr>
                <w:rFonts w:cs="Arial"/>
                <w:color w:val="000000"/>
                <w:szCs w:val="18"/>
                <w:lang w:eastAsia="pt-BR"/>
              </w:rPr>
              <w:t xml:space="preserve"> </w:t>
            </w:r>
            <w:proofErr w:type="spellStart"/>
            <w:r w:rsidRPr="00EB57D6">
              <w:rPr>
                <w:rFonts w:cs="Arial"/>
                <w:color w:val="000000"/>
                <w:szCs w:val="18"/>
                <w:lang w:eastAsia="pt-BR"/>
              </w:rPr>
              <w:t>capitata</w:t>
            </w:r>
            <w:proofErr w:type="spellEnd"/>
            <w:r w:rsidRPr="00EB57D6">
              <w:rPr>
                <w:rFonts w:cs="Arial"/>
                <w:color w:val="000000"/>
                <w:szCs w:val="18"/>
                <w:lang w:eastAsia="pt-BR"/>
              </w:rPr>
              <w:t xml:space="preserve"> Vogel e </w:t>
            </w:r>
            <w:proofErr w:type="spellStart"/>
            <w:r w:rsidRPr="00EB57D6">
              <w:rPr>
                <w:rFonts w:cs="Arial"/>
                <w:color w:val="000000"/>
                <w:szCs w:val="18"/>
                <w:lang w:eastAsia="pt-BR"/>
              </w:rPr>
              <w:t>Stylosanthes</w:t>
            </w:r>
            <w:proofErr w:type="spellEnd"/>
            <w:r w:rsidRPr="00EB57D6">
              <w:rPr>
                <w:rFonts w:cs="Arial"/>
                <w:color w:val="000000"/>
                <w:szCs w:val="18"/>
                <w:lang w:eastAsia="pt-BR"/>
              </w:rPr>
              <w:t xml:space="preserve"> </w:t>
            </w:r>
            <w:proofErr w:type="spellStart"/>
            <w:r w:rsidRPr="00EB57D6">
              <w:rPr>
                <w:rFonts w:cs="Arial"/>
                <w:color w:val="000000"/>
                <w:szCs w:val="18"/>
                <w:lang w:eastAsia="pt-BR"/>
              </w:rPr>
              <w:t>macrocephala</w:t>
            </w:r>
            <w:proofErr w:type="spellEnd"/>
            <w:r w:rsidRPr="00EB57D6">
              <w:rPr>
                <w:rFonts w:cs="Arial"/>
                <w:color w:val="000000"/>
                <w:szCs w:val="18"/>
                <w:lang w:eastAsia="pt-BR"/>
              </w:rPr>
              <w:t xml:space="preserve"> M.B.  Ferreira &amp; N.M.  Sousa Costa</w:t>
            </w:r>
          </w:p>
        </w:tc>
        <w:tc>
          <w:tcPr>
            <w:tcW w:w="2126" w:type="dxa"/>
            <w:shd w:val="clear" w:color="auto" w:fill="auto"/>
          </w:tcPr>
          <w:p w:rsidR="001B1C5F" w:rsidRPr="00EB57D6" w:rsidRDefault="001B1C5F" w:rsidP="009B2909">
            <w:pPr>
              <w:jc w:val="left"/>
              <w:rPr>
                <w:rFonts w:cs="Arial"/>
                <w:color w:val="000000"/>
                <w:szCs w:val="18"/>
                <w:lang w:eastAsia="pt-BR"/>
              </w:rPr>
            </w:pPr>
            <w:r w:rsidRPr="00EB57D6">
              <w:rPr>
                <w:rFonts w:cs="Arial"/>
                <w:color w:val="000000"/>
                <w:szCs w:val="18"/>
                <w:lang w:eastAsia="pt-BR"/>
              </w:rPr>
              <w:t>STYLO</w:t>
            </w:r>
          </w:p>
        </w:tc>
      </w:tr>
      <w:tr w:rsidR="001B1C5F" w:rsidRPr="00EB57D6" w:rsidTr="009B2909">
        <w:trPr>
          <w:trHeight w:val="315"/>
        </w:trPr>
        <w:tc>
          <w:tcPr>
            <w:tcW w:w="6516" w:type="dxa"/>
            <w:shd w:val="clear" w:color="auto" w:fill="auto"/>
            <w:noWrap/>
            <w:hideMark/>
          </w:tcPr>
          <w:p w:rsidR="001B1C5F" w:rsidRPr="00EB57D6" w:rsidRDefault="001B1C5F" w:rsidP="009B2909">
            <w:pPr>
              <w:jc w:val="left"/>
              <w:rPr>
                <w:rFonts w:cs="Arial"/>
                <w:i/>
                <w:iCs/>
                <w:color w:val="000000"/>
                <w:szCs w:val="18"/>
                <w:lang w:eastAsia="pt-BR"/>
              </w:rPr>
            </w:pPr>
            <w:proofErr w:type="spellStart"/>
            <w:r w:rsidRPr="00EB57D6">
              <w:rPr>
                <w:rFonts w:cs="Arial"/>
                <w:i/>
                <w:iCs/>
                <w:color w:val="000000"/>
                <w:szCs w:val="18"/>
                <w:lang w:eastAsia="pt-BR"/>
              </w:rPr>
              <w:t>Tectona</w:t>
            </w:r>
            <w:proofErr w:type="spellEnd"/>
            <w:r w:rsidRPr="00EB57D6">
              <w:rPr>
                <w:rFonts w:cs="Arial"/>
                <w:i/>
                <w:iCs/>
                <w:color w:val="000000"/>
                <w:szCs w:val="18"/>
                <w:lang w:eastAsia="pt-BR"/>
              </w:rPr>
              <w:t xml:space="preserve"> grandis </w:t>
            </w:r>
            <w:r w:rsidRPr="00EB57D6">
              <w:rPr>
                <w:rFonts w:cs="Arial"/>
                <w:color w:val="000000"/>
                <w:szCs w:val="18"/>
                <w:lang w:eastAsia="pt-BR"/>
              </w:rPr>
              <w:t>L.</w:t>
            </w:r>
          </w:p>
        </w:tc>
        <w:tc>
          <w:tcPr>
            <w:tcW w:w="2126" w:type="dxa"/>
            <w:shd w:val="clear" w:color="auto" w:fill="auto"/>
            <w:hideMark/>
          </w:tcPr>
          <w:p w:rsidR="001B1C5F" w:rsidRPr="00EB57D6" w:rsidRDefault="001B1C5F" w:rsidP="009B2909">
            <w:pPr>
              <w:jc w:val="left"/>
              <w:rPr>
                <w:rFonts w:cs="Arial"/>
                <w:color w:val="000000"/>
                <w:szCs w:val="18"/>
                <w:lang w:eastAsia="pt-BR"/>
              </w:rPr>
            </w:pPr>
            <w:r w:rsidRPr="00EB57D6">
              <w:rPr>
                <w:rFonts w:cs="Arial"/>
                <w:color w:val="000000"/>
                <w:szCs w:val="18"/>
                <w:lang w:eastAsia="pt-BR"/>
              </w:rPr>
              <w:t>TECTO_GRA</w:t>
            </w:r>
          </w:p>
        </w:tc>
      </w:tr>
      <w:tr w:rsidR="001B1C5F" w:rsidRPr="00EB57D6" w:rsidTr="009B2909">
        <w:trPr>
          <w:trHeight w:val="315"/>
        </w:trPr>
        <w:tc>
          <w:tcPr>
            <w:tcW w:w="6516" w:type="dxa"/>
            <w:shd w:val="clear" w:color="auto" w:fill="auto"/>
            <w:hideMark/>
          </w:tcPr>
          <w:p w:rsidR="001B1C5F" w:rsidRPr="00EB57D6" w:rsidRDefault="001B1C5F" w:rsidP="009B2909">
            <w:pPr>
              <w:jc w:val="left"/>
              <w:rPr>
                <w:rFonts w:cs="Arial"/>
                <w:color w:val="000000"/>
                <w:szCs w:val="18"/>
                <w:lang w:eastAsia="pt-BR"/>
              </w:rPr>
            </w:pPr>
            <w:r w:rsidRPr="00EB57D6">
              <w:rPr>
                <w:rFonts w:cs="Arial"/>
                <w:color w:val="000000"/>
                <w:szCs w:val="18"/>
                <w:lang w:eastAsia="pt-BR"/>
              </w:rPr>
              <w:t>Veronica L.</w:t>
            </w:r>
          </w:p>
        </w:tc>
        <w:tc>
          <w:tcPr>
            <w:tcW w:w="2126" w:type="dxa"/>
            <w:shd w:val="clear" w:color="auto" w:fill="auto"/>
            <w:hideMark/>
          </w:tcPr>
          <w:p w:rsidR="001B1C5F" w:rsidRPr="00EB57D6" w:rsidRDefault="001B1C5F" w:rsidP="009B2909">
            <w:pPr>
              <w:jc w:val="left"/>
              <w:rPr>
                <w:rFonts w:cs="Arial"/>
                <w:color w:val="000000"/>
                <w:szCs w:val="18"/>
                <w:lang w:eastAsia="pt-BR"/>
              </w:rPr>
            </w:pPr>
            <w:r w:rsidRPr="00EB57D6">
              <w:rPr>
                <w:rFonts w:cs="Arial"/>
                <w:color w:val="000000"/>
                <w:szCs w:val="18"/>
                <w:lang w:eastAsia="pt-BR"/>
              </w:rPr>
              <w:t>VERON</w:t>
            </w:r>
          </w:p>
        </w:tc>
      </w:tr>
      <w:tr w:rsidR="001B1C5F" w:rsidRPr="00EB57D6" w:rsidTr="009B2909">
        <w:trPr>
          <w:trHeight w:val="315"/>
        </w:trPr>
        <w:tc>
          <w:tcPr>
            <w:tcW w:w="6516" w:type="dxa"/>
            <w:shd w:val="clear" w:color="auto" w:fill="auto"/>
            <w:hideMark/>
          </w:tcPr>
          <w:p w:rsidR="001B1C5F" w:rsidRPr="00EB57D6" w:rsidRDefault="001B1C5F" w:rsidP="009B2909">
            <w:pPr>
              <w:jc w:val="left"/>
              <w:rPr>
                <w:rFonts w:cs="Arial"/>
                <w:color w:val="000000"/>
                <w:szCs w:val="18"/>
                <w:lang w:eastAsia="pt-BR"/>
              </w:rPr>
            </w:pPr>
            <w:proofErr w:type="spellStart"/>
            <w:r w:rsidRPr="008E0BFA">
              <w:rPr>
                <w:rFonts w:cs="Arial"/>
                <w:color w:val="000000"/>
                <w:szCs w:val="18"/>
                <w:lang w:val="es-ES" w:eastAsia="pt-BR"/>
              </w:rPr>
              <w:t>Zamioculcas</w:t>
            </w:r>
            <w:proofErr w:type="spellEnd"/>
            <w:r w:rsidRPr="008E0BFA">
              <w:rPr>
                <w:rFonts w:cs="Arial"/>
                <w:color w:val="000000"/>
                <w:szCs w:val="18"/>
                <w:lang w:val="es-ES" w:eastAsia="pt-BR"/>
              </w:rPr>
              <w:t xml:space="preserve"> </w:t>
            </w:r>
            <w:proofErr w:type="spellStart"/>
            <w:r w:rsidRPr="008E0BFA">
              <w:rPr>
                <w:rFonts w:cs="Arial"/>
                <w:color w:val="000000"/>
                <w:szCs w:val="18"/>
                <w:lang w:val="es-ES" w:eastAsia="pt-BR"/>
              </w:rPr>
              <w:t>zamiifolia</w:t>
            </w:r>
            <w:proofErr w:type="spellEnd"/>
            <w:r w:rsidRPr="008E0BFA">
              <w:rPr>
                <w:rFonts w:cs="Arial"/>
                <w:color w:val="000000"/>
                <w:szCs w:val="18"/>
                <w:lang w:val="es-ES" w:eastAsia="pt-BR"/>
              </w:rPr>
              <w:t xml:space="preserve"> (</w:t>
            </w:r>
            <w:proofErr w:type="spellStart"/>
            <w:r w:rsidRPr="008E0BFA">
              <w:rPr>
                <w:rFonts w:cs="Arial"/>
                <w:color w:val="000000"/>
                <w:szCs w:val="18"/>
                <w:lang w:val="es-ES" w:eastAsia="pt-BR"/>
              </w:rPr>
              <w:t>Lodd</w:t>
            </w:r>
            <w:proofErr w:type="spellEnd"/>
            <w:r w:rsidRPr="008E0BFA">
              <w:rPr>
                <w:rFonts w:cs="Arial"/>
                <w:color w:val="000000"/>
                <w:szCs w:val="18"/>
                <w:lang w:val="es-ES" w:eastAsia="pt-BR"/>
              </w:rPr>
              <w:t xml:space="preserve">.  et al.) </w:t>
            </w:r>
            <w:proofErr w:type="spellStart"/>
            <w:r w:rsidRPr="00EB57D6">
              <w:rPr>
                <w:rFonts w:cs="Arial"/>
                <w:color w:val="000000"/>
                <w:szCs w:val="18"/>
                <w:lang w:eastAsia="pt-BR"/>
              </w:rPr>
              <w:t>Engl</w:t>
            </w:r>
            <w:proofErr w:type="spellEnd"/>
          </w:p>
        </w:tc>
        <w:tc>
          <w:tcPr>
            <w:tcW w:w="2126" w:type="dxa"/>
            <w:shd w:val="clear" w:color="auto" w:fill="auto"/>
            <w:hideMark/>
          </w:tcPr>
          <w:p w:rsidR="001B1C5F" w:rsidRPr="00EB57D6" w:rsidRDefault="001B1C5F" w:rsidP="009B2909">
            <w:pPr>
              <w:jc w:val="left"/>
              <w:rPr>
                <w:rFonts w:cs="Arial"/>
                <w:color w:val="000000"/>
                <w:szCs w:val="18"/>
                <w:lang w:eastAsia="pt-BR"/>
              </w:rPr>
            </w:pPr>
            <w:r w:rsidRPr="00EB57D6">
              <w:rPr>
                <w:rFonts w:cs="Arial"/>
                <w:color w:val="000000"/>
                <w:szCs w:val="18"/>
                <w:lang w:eastAsia="pt-BR"/>
              </w:rPr>
              <w:t>ZAMIO_ZAM</w:t>
            </w:r>
          </w:p>
        </w:tc>
      </w:tr>
    </w:tbl>
    <w:p w:rsidR="001B1C5F" w:rsidRPr="00EB57D6" w:rsidRDefault="001B1C5F" w:rsidP="001B1C5F">
      <w:pPr>
        <w:rPr>
          <w:sz w:val="18"/>
        </w:rPr>
      </w:pPr>
    </w:p>
    <w:p w:rsidR="001B1C5F" w:rsidRPr="00EB57D6" w:rsidRDefault="001B1C5F" w:rsidP="001B1C5F">
      <w:pPr>
        <w:rPr>
          <w:sz w:val="18"/>
        </w:rPr>
      </w:pPr>
    </w:p>
    <w:p w:rsidR="001B1C5F" w:rsidRPr="00EB57D6" w:rsidRDefault="001B1C5F" w:rsidP="001B1C5F">
      <w:pPr>
        <w:rPr>
          <w:sz w:val="18"/>
        </w:rPr>
      </w:pPr>
      <w:r w:rsidRPr="00EB57D6">
        <w:t>1.3</w:t>
      </w:r>
      <w:r w:rsidRPr="00EB57D6">
        <w:tab/>
        <w:t>Jurisprudence</w:t>
      </w:r>
    </w:p>
    <w:p w:rsidR="001B1C5F" w:rsidRPr="00EB57D6" w:rsidRDefault="001B1C5F" w:rsidP="001B1C5F">
      <w:pPr>
        <w:rPr>
          <w:sz w:val="18"/>
        </w:rPr>
      </w:pPr>
    </w:p>
    <w:p w:rsidR="001B1C5F" w:rsidRPr="00EB57D6" w:rsidRDefault="001B1C5F" w:rsidP="001B1C5F">
      <w:pPr>
        <w:ind w:left="1134" w:hanging="709"/>
        <w:rPr>
          <w:sz w:val="18"/>
        </w:rPr>
      </w:pPr>
      <w:r w:rsidRPr="00EB57D6">
        <w:t>Aucun élément nouveau.</w:t>
      </w:r>
    </w:p>
    <w:p w:rsidR="001B1C5F" w:rsidRPr="00EB57D6" w:rsidRDefault="001B1C5F" w:rsidP="001B1C5F">
      <w:pPr>
        <w:rPr>
          <w:sz w:val="18"/>
        </w:rPr>
      </w:pPr>
    </w:p>
    <w:p w:rsidR="001B1C5F" w:rsidRPr="00EB57D6" w:rsidRDefault="001B1C5F" w:rsidP="001B1C5F">
      <w:pPr>
        <w:jc w:val="left"/>
        <w:rPr>
          <w:sz w:val="18"/>
        </w:rPr>
      </w:pPr>
      <w:r w:rsidRPr="00EB57D6">
        <w:br w:type="page"/>
      </w:r>
    </w:p>
    <w:p w:rsidR="001B1C5F" w:rsidRPr="00EB57D6" w:rsidRDefault="001B1C5F" w:rsidP="001B1C5F">
      <w:pPr>
        <w:rPr>
          <w:sz w:val="18"/>
          <w:u w:val="single"/>
        </w:rPr>
      </w:pPr>
      <w:r w:rsidRPr="00EB57D6">
        <w:lastRenderedPageBreak/>
        <w:t>2.</w:t>
      </w:r>
      <w:r w:rsidRPr="00EB57D6">
        <w:tab/>
      </w:r>
      <w:r w:rsidRPr="00EB57D6">
        <w:rPr>
          <w:u w:val="single"/>
        </w:rPr>
        <w:t>Coopération en matière d’examen</w:t>
      </w:r>
    </w:p>
    <w:p w:rsidR="001B1C5F" w:rsidRPr="00EB57D6" w:rsidRDefault="001B1C5F" w:rsidP="001B1C5F"/>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7"/>
        <w:gridCol w:w="1519"/>
        <w:gridCol w:w="3228"/>
      </w:tblGrid>
      <w:tr w:rsidR="001B1C5F" w:rsidRPr="00EB57D6" w:rsidTr="001B1C5F">
        <w:trPr>
          <w:trHeight w:val="612"/>
        </w:trPr>
        <w:tc>
          <w:tcPr>
            <w:tcW w:w="4957" w:type="dxa"/>
            <w:shd w:val="clear" w:color="auto" w:fill="auto"/>
            <w:vAlign w:val="center"/>
            <w:hideMark/>
          </w:tcPr>
          <w:p w:rsidR="001B1C5F" w:rsidRPr="00EB57D6" w:rsidRDefault="001B1C5F" w:rsidP="009B2909">
            <w:pPr>
              <w:jc w:val="center"/>
              <w:rPr>
                <w:rFonts w:cs="Arial"/>
                <w:b/>
                <w:bCs/>
                <w:lang w:eastAsia="pt-BR"/>
              </w:rPr>
            </w:pPr>
            <w:r w:rsidRPr="00EB57D6">
              <w:rPr>
                <w:rFonts w:cs="Arial"/>
                <w:b/>
                <w:bCs/>
                <w:lang w:eastAsia="pt-BR"/>
              </w:rPr>
              <w:t>Nom botanique</w:t>
            </w:r>
          </w:p>
        </w:tc>
        <w:tc>
          <w:tcPr>
            <w:tcW w:w="1519" w:type="dxa"/>
            <w:shd w:val="clear" w:color="auto" w:fill="auto"/>
            <w:vAlign w:val="center"/>
            <w:hideMark/>
          </w:tcPr>
          <w:p w:rsidR="001B1C5F" w:rsidRPr="00EB57D6" w:rsidRDefault="001B1C5F" w:rsidP="00170C67">
            <w:pPr>
              <w:jc w:val="left"/>
              <w:rPr>
                <w:rFonts w:cs="Arial"/>
                <w:b/>
                <w:bCs/>
                <w:lang w:eastAsia="pt-BR"/>
              </w:rPr>
            </w:pPr>
            <w:r w:rsidRPr="00EB57D6">
              <w:rPr>
                <w:rFonts w:cs="Arial"/>
                <w:b/>
                <w:bCs/>
                <w:lang w:eastAsia="pt-BR"/>
              </w:rPr>
              <w:t>CODE UPOV</w:t>
            </w:r>
          </w:p>
        </w:tc>
        <w:tc>
          <w:tcPr>
            <w:tcW w:w="3228" w:type="dxa"/>
            <w:shd w:val="clear" w:color="auto" w:fill="auto"/>
            <w:vAlign w:val="center"/>
            <w:hideMark/>
          </w:tcPr>
          <w:p w:rsidR="001B1C5F" w:rsidRPr="00EB57D6" w:rsidRDefault="001B1C5F" w:rsidP="00170C67">
            <w:pPr>
              <w:jc w:val="center"/>
              <w:rPr>
                <w:rFonts w:cs="Arial"/>
                <w:b/>
                <w:bCs/>
                <w:lang w:eastAsia="pt-BR"/>
              </w:rPr>
            </w:pPr>
            <w:r w:rsidRPr="00EB57D6">
              <w:rPr>
                <w:rFonts w:cs="Arial"/>
                <w:b/>
                <w:bCs/>
                <w:color w:val="000000"/>
                <w:lang w:eastAsia="pt-BR"/>
              </w:rPr>
              <w:t>Service fournisseur/</w:t>
            </w:r>
            <w:r w:rsidR="00170C67" w:rsidRPr="00EB57D6">
              <w:rPr>
                <w:rFonts w:cs="Arial"/>
                <w:b/>
                <w:bCs/>
                <w:color w:val="000000"/>
                <w:lang w:eastAsia="pt-BR"/>
              </w:rPr>
              <w:br/>
            </w:r>
            <w:r w:rsidRPr="00EB57D6">
              <w:rPr>
                <w:rFonts w:cs="Arial"/>
                <w:b/>
                <w:bCs/>
                <w:color w:val="000000"/>
                <w:lang w:eastAsia="pt-BR"/>
              </w:rPr>
              <w:t>service examinateur</w:t>
            </w:r>
          </w:p>
        </w:tc>
      </w:tr>
      <w:tr w:rsidR="001B1C5F" w:rsidRPr="00EB57D6" w:rsidTr="001B1C5F">
        <w:trPr>
          <w:trHeight w:val="285"/>
        </w:trPr>
        <w:tc>
          <w:tcPr>
            <w:tcW w:w="4957" w:type="dxa"/>
            <w:shd w:val="clear" w:color="auto" w:fill="D6E3BC" w:themeFill="accent3" w:themeFillTint="66"/>
            <w:hideMark/>
          </w:tcPr>
          <w:p w:rsidR="001B1C5F" w:rsidRPr="00EB57D6" w:rsidRDefault="001B1C5F" w:rsidP="009B2909">
            <w:pPr>
              <w:jc w:val="left"/>
              <w:rPr>
                <w:rFonts w:cs="Arial"/>
                <w:lang w:eastAsia="pt-BR"/>
              </w:rPr>
            </w:pPr>
            <w:proofErr w:type="spellStart"/>
            <w:r w:rsidRPr="00EB57D6">
              <w:rPr>
                <w:rFonts w:cs="Arial"/>
                <w:lang w:eastAsia="pt-BR"/>
              </w:rPr>
              <w:t>Chrysanthemum</w:t>
            </w:r>
            <w:proofErr w:type="spellEnd"/>
            <w:r w:rsidRPr="00EB57D6">
              <w:rPr>
                <w:rFonts w:cs="Arial"/>
                <w:lang w:eastAsia="pt-BR"/>
              </w:rPr>
              <w:t xml:space="preserve"> L. </w:t>
            </w:r>
            <w:proofErr w:type="spellStart"/>
            <w:r w:rsidRPr="00EB57D6">
              <w:rPr>
                <w:rFonts w:cs="Arial"/>
                <w:lang w:eastAsia="pt-BR"/>
              </w:rPr>
              <w:t>Chrysanthemum</w:t>
            </w:r>
            <w:proofErr w:type="spellEnd"/>
            <w:r w:rsidRPr="00EB57D6">
              <w:rPr>
                <w:rFonts w:cs="Arial"/>
                <w:lang w:eastAsia="pt-BR"/>
              </w:rPr>
              <w:t xml:space="preserve"> </w:t>
            </w:r>
            <w:proofErr w:type="spellStart"/>
            <w:r w:rsidRPr="00EB57D6">
              <w:rPr>
                <w:rFonts w:cs="Arial"/>
                <w:lang w:eastAsia="pt-BR"/>
              </w:rPr>
              <w:t>dendranthema</w:t>
            </w:r>
            <w:proofErr w:type="spellEnd"/>
            <w:r w:rsidRPr="00EB57D6">
              <w:rPr>
                <w:rFonts w:cs="Arial"/>
                <w:lang w:eastAsia="pt-BR"/>
              </w:rPr>
              <w:t xml:space="preserve"> </w:t>
            </w:r>
            <w:proofErr w:type="spellStart"/>
            <w:r w:rsidRPr="00EB57D6">
              <w:rPr>
                <w:rFonts w:cs="Arial"/>
                <w:lang w:eastAsia="pt-BR"/>
              </w:rPr>
              <w:t>Dendranthema</w:t>
            </w:r>
            <w:proofErr w:type="spellEnd"/>
            <w:r w:rsidRPr="00EB57D6">
              <w:rPr>
                <w:rFonts w:cs="Arial"/>
                <w:lang w:eastAsia="pt-BR"/>
              </w:rPr>
              <w:t xml:space="preserve"> (DC.) </w:t>
            </w:r>
            <w:proofErr w:type="spellStart"/>
            <w:r w:rsidRPr="00EB57D6">
              <w:rPr>
                <w:rFonts w:cs="Arial"/>
                <w:lang w:eastAsia="pt-BR"/>
              </w:rPr>
              <w:t>Desmoul</w:t>
            </w:r>
            <w:proofErr w:type="spellEnd"/>
            <w:r w:rsidRPr="00EB57D6">
              <w:rPr>
                <w:rFonts w:cs="Arial"/>
                <w:lang w:eastAsia="pt-BR"/>
              </w:rPr>
              <w:t>.</w:t>
            </w:r>
          </w:p>
        </w:tc>
        <w:tc>
          <w:tcPr>
            <w:tcW w:w="1519" w:type="dxa"/>
            <w:shd w:val="clear" w:color="auto" w:fill="D6E3BC" w:themeFill="accent3" w:themeFillTint="66"/>
            <w:hideMark/>
          </w:tcPr>
          <w:p w:rsidR="001B1C5F" w:rsidRPr="00EB57D6" w:rsidRDefault="001B1C5F" w:rsidP="00170C67">
            <w:pPr>
              <w:jc w:val="left"/>
              <w:rPr>
                <w:rFonts w:cs="Arial"/>
                <w:lang w:eastAsia="pt-BR"/>
              </w:rPr>
            </w:pPr>
            <w:r w:rsidRPr="00EB57D6">
              <w:rPr>
                <w:rFonts w:cs="Arial"/>
                <w:lang w:eastAsia="pt-BR"/>
              </w:rPr>
              <w:t>CHRYS</w:t>
            </w:r>
          </w:p>
        </w:tc>
        <w:tc>
          <w:tcPr>
            <w:tcW w:w="3228" w:type="dxa"/>
            <w:shd w:val="clear" w:color="auto" w:fill="D6E3BC" w:themeFill="accent3" w:themeFillTint="66"/>
            <w:hideMark/>
          </w:tcPr>
          <w:p w:rsidR="001B1C5F" w:rsidRPr="00EB57D6" w:rsidRDefault="001B1C5F" w:rsidP="00170C67">
            <w:pPr>
              <w:jc w:val="left"/>
              <w:rPr>
                <w:rFonts w:cs="Arial"/>
                <w:lang w:eastAsia="pt-BR"/>
              </w:rPr>
            </w:pPr>
            <w:r w:rsidRPr="00EB57D6">
              <w:rPr>
                <w:rFonts w:cs="Arial"/>
                <w:lang w:eastAsia="pt-BR"/>
              </w:rPr>
              <w:t>Pays-Bas</w:t>
            </w:r>
          </w:p>
        </w:tc>
      </w:tr>
      <w:tr w:rsidR="001B1C5F" w:rsidRPr="00EB57D6" w:rsidTr="001B1C5F">
        <w:trPr>
          <w:trHeight w:val="270"/>
        </w:trPr>
        <w:tc>
          <w:tcPr>
            <w:tcW w:w="4957" w:type="dxa"/>
            <w:shd w:val="clear" w:color="auto" w:fill="D6E3BC" w:themeFill="accent3" w:themeFillTint="66"/>
            <w:hideMark/>
          </w:tcPr>
          <w:p w:rsidR="001B1C5F" w:rsidRPr="00EB57D6" w:rsidRDefault="001B1C5F" w:rsidP="009B2909">
            <w:pPr>
              <w:jc w:val="left"/>
              <w:rPr>
                <w:rFonts w:cs="Arial"/>
                <w:lang w:eastAsia="pt-BR"/>
              </w:rPr>
            </w:pPr>
            <w:proofErr w:type="spellStart"/>
            <w:r w:rsidRPr="00EB57D6">
              <w:rPr>
                <w:rFonts w:cs="Arial"/>
                <w:lang w:eastAsia="pt-BR"/>
              </w:rPr>
              <w:t>Chrysanthemum</w:t>
            </w:r>
            <w:proofErr w:type="spellEnd"/>
            <w:r w:rsidRPr="00EB57D6">
              <w:rPr>
                <w:rFonts w:cs="Arial"/>
                <w:lang w:eastAsia="pt-BR"/>
              </w:rPr>
              <w:t xml:space="preserve"> L. </w:t>
            </w:r>
            <w:proofErr w:type="spellStart"/>
            <w:r w:rsidRPr="00EB57D6">
              <w:rPr>
                <w:rFonts w:cs="Arial"/>
                <w:lang w:eastAsia="pt-BR"/>
              </w:rPr>
              <w:t>Chrysanthemum</w:t>
            </w:r>
            <w:proofErr w:type="spellEnd"/>
            <w:r w:rsidRPr="00EB57D6">
              <w:rPr>
                <w:rFonts w:cs="Arial"/>
                <w:lang w:eastAsia="pt-BR"/>
              </w:rPr>
              <w:t xml:space="preserve"> </w:t>
            </w:r>
            <w:proofErr w:type="spellStart"/>
            <w:r w:rsidRPr="00EB57D6">
              <w:rPr>
                <w:rFonts w:cs="Arial"/>
                <w:lang w:eastAsia="pt-BR"/>
              </w:rPr>
              <w:t>dendranthema</w:t>
            </w:r>
            <w:proofErr w:type="spellEnd"/>
            <w:r w:rsidRPr="00EB57D6">
              <w:rPr>
                <w:rFonts w:cs="Arial"/>
                <w:lang w:eastAsia="pt-BR"/>
              </w:rPr>
              <w:t xml:space="preserve"> </w:t>
            </w:r>
            <w:proofErr w:type="spellStart"/>
            <w:r w:rsidRPr="00EB57D6">
              <w:rPr>
                <w:rFonts w:cs="Arial"/>
                <w:lang w:eastAsia="pt-BR"/>
              </w:rPr>
              <w:t>Dendranthema</w:t>
            </w:r>
            <w:proofErr w:type="spellEnd"/>
            <w:r w:rsidRPr="00EB57D6">
              <w:rPr>
                <w:rFonts w:cs="Arial"/>
                <w:lang w:eastAsia="pt-BR"/>
              </w:rPr>
              <w:t xml:space="preserve"> (DC.) </w:t>
            </w:r>
            <w:proofErr w:type="spellStart"/>
            <w:r w:rsidRPr="00EB57D6">
              <w:rPr>
                <w:rFonts w:cs="Arial"/>
                <w:lang w:eastAsia="pt-BR"/>
              </w:rPr>
              <w:t>Desmoul</w:t>
            </w:r>
            <w:proofErr w:type="spellEnd"/>
            <w:r w:rsidRPr="00EB57D6">
              <w:rPr>
                <w:rFonts w:cs="Arial"/>
                <w:lang w:eastAsia="pt-BR"/>
              </w:rPr>
              <w:t>.</w:t>
            </w:r>
          </w:p>
        </w:tc>
        <w:tc>
          <w:tcPr>
            <w:tcW w:w="1519" w:type="dxa"/>
            <w:shd w:val="clear" w:color="auto" w:fill="D6E3BC" w:themeFill="accent3" w:themeFillTint="66"/>
            <w:hideMark/>
          </w:tcPr>
          <w:p w:rsidR="001B1C5F" w:rsidRPr="00EB57D6" w:rsidRDefault="001B1C5F" w:rsidP="00170C67">
            <w:pPr>
              <w:jc w:val="left"/>
              <w:rPr>
                <w:rFonts w:cs="Arial"/>
                <w:lang w:eastAsia="pt-BR"/>
              </w:rPr>
            </w:pPr>
            <w:r w:rsidRPr="00EB57D6">
              <w:rPr>
                <w:rFonts w:cs="Arial"/>
                <w:lang w:eastAsia="pt-BR"/>
              </w:rPr>
              <w:t>CHRYS</w:t>
            </w:r>
          </w:p>
        </w:tc>
        <w:tc>
          <w:tcPr>
            <w:tcW w:w="3228" w:type="dxa"/>
            <w:shd w:val="clear" w:color="auto" w:fill="D6E3BC" w:themeFill="accent3" w:themeFillTint="66"/>
            <w:hideMark/>
          </w:tcPr>
          <w:p w:rsidR="001B1C5F" w:rsidRPr="00EB57D6" w:rsidRDefault="001B1C5F" w:rsidP="00170C67">
            <w:pPr>
              <w:jc w:val="left"/>
              <w:rPr>
                <w:rFonts w:cs="Arial"/>
                <w:lang w:eastAsia="pt-BR"/>
              </w:rPr>
            </w:pPr>
            <w:r w:rsidRPr="00EB57D6">
              <w:rPr>
                <w:rFonts w:cs="Arial"/>
                <w:lang w:eastAsia="pt-BR"/>
              </w:rPr>
              <w:t>Pologne</w:t>
            </w:r>
          </w:p>
        </w:tc>
      </w:tr>
      <w:tr w:rsidR="001B1C5F" w:rsidRPr="00EB57D6" w:rsidTr="001B1C5F">
        <w:trPr>
          <w:trHeight w:val="255"/>
        </w:trPr>
        <w:tc>
          <w:tcPr>
            <w:tcW w:w="4957" w:type="dxa"/>
            <w:shd w:val="clear" w:color="auto" w:fill="E5B8B7" w:themeFill="accent2" w:themeFillTint="66"/>
            <w:hideMark/>
          </w:tcPr>
          <w:p w:rsidR="001B1C5F" w:rsidRPr="00EB57D6" w:rsidRDefault="001B1C5F" w:rsidP="009B2909">
            <w:pPr>
              <w:jc w:val="left"/>
              <w:rPr>
                <w:rFonts w:cs="Arial"/>
                <w:lang w:eastAsia="pt-BR"/>
              </w:rPr>
            </w:pPr>
            <w:proofErr w:type="spellStart"/>
            <w:r w:rsidRPr="00EB57D6">
              <w:rPr>
                <w:rFonts w:cs="Arial"/>
                <w:lang w:eastAsia="pt-BR"/>
              </w:rPr>
              <w:t>Petunia</w:t>
            </w:r>
            <w:proofErr w:type="spellEnd"/>
            <w:r w:rsidRPr="00EB57D6">
              <w:rPr>
                <w:rFonts w:cs="Arial"/>
                <w:lang w:eastAsia="pt-BR"/>
              </w:rPr>
              <w:t xml:space="preserve"> </w:t>
            </w:r>
            <w:proofErr w:type="spellStart"/>
            <w:r w:rsidRPr="00EB57D6">
              <w:rPr>
                <w:rFonts w:cs="Arial"/>
                <w:lang w:eastAsia="pt-BR"/>
              </w:rPr>
              <w:t>Juss</w:t>
            </w:r>
            <w:proofErr w:type="spellEnd"/>
            <w:r w:rsidRPr="00EB57D6">
              <w:rPr>
                <w:rFonts w:cs="Arial"/>
                <w:lang w:eastAsia="pt-BR"/>
              </w:rPr>
              <w:t>.</w:t>
            </w:r>
          </w:p>
        </w:tc>
        <w:tc>
          <w:tcPr>
            <w:tcW w:w="1519" w:type="dxa"/>
            <w:shd w:val="clear" w:color="auto" w:fill="E5B8B7" w:themeFill="accent2" w:themeFillTint="66"/>
            <w:hideMark/>
          </w:tcPr>
          <w:p w:rsidR="001B1C5F" w:rsidRPr="00EB57D6" w:rsidRDefault="001B1C5F" w:rsidP="00170C67">
            <w:pPr>
              <w:jc w:val="left"/>
              <w:rPr>
                <w:rFonts w:cs="Arial"/>
                <w:lang w:eastAsia="pt-BR"/>
              </w:rPr>
            </w:pPr>
            <w:r w:rsidRPr="00EB57D6">
              <w:rPr>
                <w:rFonts w:cs="Arial"/>
                <w:lang w:eastAsia="pt-BR"/>
              </w:rPr>
              <w:t>PETUN</w:t>
            </w:r>
          </w:p>
        </w:tc>
        <w:tc>
          <w:tcPr>
            <w:tcW w:w="3228" w:type="dxa"/>
            <w:shd w:val="clear" w:color="auto" w:fill="E5B8B7" w:themeFill="accent2" w:themeFillTint="66"/>
            <w:hideMark/>
          </w:tcPr>
          <w:p w:rsidR="001B1C5F" w:rsidRPr="00EB57D6" w:rsidRDefault="001B1C5F" w:rsidP="00170C67">
            <w:pPr>
              <w:jc w:val="left"/>
              <w:rPr>
                <w:rFonts w:cs="Arial"/>
                <w:lang w:eastAsia="pt-BR"/>
              </w:rPr>
            </w:pPr>
            <w:r w:rsidRPr="00EB57D6">
              <w:rPr>
                <w:rFonts w:cs="Arial"/>
                <w:lang w:eastAsia="pt-BR"/>
              </w:rPr>
              <w:t>Allemagne</w:t>
            </w:r>
          </w:p>
        </w:tc>
      </w:tr>
      <w:tr w:rsidR="001B1C5F" w:rsidRPr="00EB57D6" w:rsidTr="001B1C5F">
        <w:trPr>
          <w:trHeight w:val="255"/>
        </w:trPr>
        <w:tc>
          <w:tcPr>
            <w:tcW w:w="4957" w:type="dxa"/>
            <w:shd w:val="clear" w:color="auto" w:fill="E5B8B7" w:themeFill="accent2" w:themeFillTint="66"/>
            <w:hideMark/>
          </w:tcPr>
          <w:p w:rsidR="001B1C5F" w:rsidRPr="00EB57D6" w:rsidRDefault="001B1C5F" w:rsidP="009B2909">
            <w:pPr>
              <w:jc w:val="left"/>
              <w:rPr>
                <w:rFonts w:cs="Arial"/>
                <w:lang w:eastAsia="pt-BR"/>
              </w:rPr>
            </w:pPr>
            <w:proofErr w:type="spellStart"/>
            <w:r w:rsidRPr="00EB57D6">
              <w:rPr>
                <w:rFonts w:cs="Arial"/>
                <w:lang w:eastAsia="pt-BR"/>
              </w:rPr>
              <w:t>Urochloa</w:t>
            </w:r>
            <w:proofErr w:type="spellEnd"/>
            <w:r w:rsidRPr="00EB57D6">
              <w:rPr>
                <w:rFonts w:cs="Arial"/>
                <w:lang w:eastAsia="pt-BR"/>
              </w:rPr>
              <w:t xml:space="preserve"> </w:t>
            </w:r>
            <w:proofErr w:type="spellStart"/>
            <w:r w:rsidRPr="00EB57D6">
              <w:rPr>
                <w:rFonts w:cs="Arial"/>
                <w:lang w:eastAsia="pt-BR"/>
              </w:rPr>
              <w:t>ruziziensis</w:t>
            </w:r>
            <w:proofErr w:type="spellEnd"/>
            <w:r w:rsidRPr="00EB57D6">
              <w:rPr>
                <w:rFonts w:cs="Arial"/>
                <w:lang w:eastAsia="pt-BR"/>
              </w:rPr>
              <w:t xml:space="preserve"> x U. </w:t>
            </w:r>
            <w:proofErr w:type="spellStart"/>
            <w:r w:rsidRPr="00EB57D6">
              <w:rPr>
                <w:rFonts w:cs="Arial"/>
                <w:lang w:eastAsia="pt-BR"/>
              </w:rPr>
              <w:t>decumbens</w:t>
            </w:r>
            <w:proofErr w:type="spellEnd"/>
            <w:r w:rsidRPr="00EB57D6">
              <w:rPr>
                <w:rFonts w:cs="Arial"/>
                <w:lang w:eastAsia="pt-BR"/>
              </w:rPr>
              <w:t xml:space="preserve"> x U. </w:t>
            </w:r>
            <w:proofErr w:type="spellStart"/>
            <w:r w:rsidRPr="00EB57D6">
              <w:rPr>
                <w:rFonts w:cs="Arial"/>
                <w:lang w:eastAsia="pt-BR"/>
              </w:rPr>
              <w:t>brizantha</w:t>
            </w:r>
            <w:proofErr w:type="spellEnd"/>
          </w:p>
        </w:tc>
        <w:tc>
          <w:tcPr>
            <w:tcW w:w="1519" w:type="dxa"/>
            <w:shd w:val="clear" w:color="auto" w:fill="E5B8B7" w:themeFill="accent2" w:themeFillTint="66"/>
            <w:hideMark/>
          </w:tcPr>
          <w:p w:rsidR="001B1C5F" w:rsidRPr="00EB57D6" w:rsidRDefault="001B1C5F" w:rsidP="00170C67">
            <w:pPr>
              <w:jc w:val="left"/>
              <w:rPr>
                <w:rFonts w:cs="Arial"/>
                <w:lang w:eastAsia="pt-BR"/>
              </w:rPr>
            </w:pPr>
            <w:r w:rsidRPr="00EB57D6">
              <w:rPr>
                <w:rFonts w:cs="Arial"/>
                <w:lang w:eastAsia="pt-BR"/>
              </w:rPr>
              <w:t>UROCH_RDB</w:t>
            </w:r>
          </w:p>
        </w:tc>
        <w:tc>
          <w:tcPr>
            <w:tcW w:w="3228" w:type="dxa"/>
            <w:shd w:val="clear" w:color="auto" w:fill="E5B8B7" w:themeFill="accent2" w:themeFillTint="66"/>
            <w:hideMark/>
          </w:tcPr>
          <w:p w:rsidR="001B1C5F" w:rsidRPr="00EB57D6" w:rsidRDefault="001B1C5F" w:rsidP="00170C67">
            <w:pPr>
              <w:jc w:val="left"/>
              <w:rPr>
                <w:rFonts w:cs="Arial"/>
                <w:lang w:eastAsia="pt-BR"/>
              </w:rPr>
            </w:pPr>
            <w:r w:rsidRPr="00EB57D6">
              <w:rPr>
                <w:rFonts w:cs="Arial"/>
                <w:lang w:eastAsia="pt-BR"/>
              </w:rPr>
              <w:t>Mexique</w:t>
            </w:r>
          </w:p>
        </w:tc>
      </w:tr>
      <w:tr w:rsidR="001B1C5F" w:rsidRPr="00EB57D6" w:rsidTr="001B1C5F">
        <w:trPr>
          <w:trHeight w:val="255"/>
        </w:trPr>
        <w:tc>
          <w:tcPr>
            <w:tcW w:w="4957" w:type="dxa"/>
            <w:shd w:val="clear" w:color="auto" w:fill="E5B8B7" w:themeFill="accent2" w:themeFillTint="66"/>
            <w:hideMark/>
          </w:tcPr>
          <w:p w:rsidR="001B1C5F" w:rsidRPr="00EB57D6" w:rsidRDefault="001B1C5F" w:rsidP="009B2909">
            <w:pPr>
              <w:jc w:val="left"/>
              <w:rPr>
                <w:rFonts w:cs="Arial"/>
                <w:lang w:eastAsia="pt-BR"/>
              </w:rPr>
            </w:pPr>
            <w:r w:rsidRPr="00EB57D6">
              <w:rPr>
                <w:rFonts w:cs="Arial"/>
                <w:lang w:eastAsia="pt-BR"/>
              </w:rPr>
              <w:t>Vitis L.</w:t>
            </w:r>
          </w:p>
        </w:tc>
        <w:tc>
          <w:tcPr>
            <w:tcW w:w="1519" w:type="dxa"/>
            <w:shd w:val="clear" w:color="auto" w:fill="E5B8B7" w:themeFill="accent2" w:themeFillTint="66"/>
            <w:hideMark/>
          </w:tcPr>
          <w:p w:rsidR="001B1C5F" w:rsidRPr="00EB57D6" w:rsidRDefault="001B1C5F" w:rsidP="00170C67">
            <w:pPr>
              <w:jc w:val="left"/>
              <w:rPr>
                <w:rFonts w:cs="Arial"/>
                <w:lang w:eastAsia="pt-BR"/>
              </w:rPr>
            </w:pPr>
            <w:r w:rsidRPr="00EB57D6">
              <w:rPr>
                <w:rFonts w:cs="Arial"/>
                <w:lang w:eastAsia="pt-BR"/>
              </w:rPr>
              <w:t>VITIS</w:t>
            </w:r>
          </w:p>
        </w:tc>
        <w:tc>
          <w:tcPr>
            <w:tcW w:w="3228" w:type="dxa"/>
            <w:shd w:val="clear" w:color="auto" w:fill="E5B8B7" w:themeFill="accent2" w:themeFillTint="66"/>
            <w:hideMark/>
          </w:tcPr>
          <w:p w:rsidR="001B1C5F" w:rsidRPr="00EB57D6" w:rsidRDefault="001B1C5F" w:rsidP="00170C67">
            <w:pPr>
              <w:jc w:val="left"/>
              <w:rPr>
                <w:rFonts w:cs="Arial"/>
                <w:lang w:eastAsia="pt-BR"/>
              </w:rPr>
            </w:pPr>
            <w:r w:rsidRPr="00EB57D6">
              <w:rPr>
                <w:rFonts w:cs="Arial"/>
                <w:lang w:eastAsia="pt-BR"/>
              </w:rPr>
              <w:t>Israël</w:t>
            </w:r>
          </w:p>
        </w:tc>
      </w:tr>
    </w:tbl>
    <w:p w:rsidR="001B1C5F" w:rsidRPr="00EB57D6" w:rsidRDefault="001B1C5F" w:rsidP="001B1C5F"/>
    <w:tbl>
      <w:tblPr>
        <w:tblStyle w:val="TableGrid"/>
        <w:tblW w:w="0" w:type="auto"/>
        <w:tblLook w:val="04A0" w:firstRow="1" w:lastRow="0" w:firstColumn="1" w:lastColumn="0" w:noHBand="0" w:noVBand="1"/>
      </w:tblPr>
      <w:tblGrid>
        <w:gridCol w:w="4957"/>
      </w:tblGrid>
      <w:tr w:rsidR="001B1C5F" w:rsidRPr="00EB57D6" w:rsidTr="001B1C5F">
        <w:tc>
          <w:tcPr>
            <w:tcW w:w="4957" w:type="dxa"/>
            <w:shd w:val="clear" w:color="auto" w:fill="D6E3BC" w:themeFill="accent3" w:themeFillTint="66"/>
          </w:tcPr>
          <w:p w:rsidR="001B1C5F" w:rsidRPr="00EB57D6" w:rsidRDefault="001B1C5F" w:rsidP="009B2909">
            <w:r w:rsidRPr="00EB57D6">
              <w:rPr>
                <w:color w:val="000000"/>
              </w:rPr>
              <w:t>Accords de coopération en matière d’examen</w:t>
            </w:r>
          </w:p>
        </w:tc>
      </w:tr>
      <w:tr w:rsidR="001B1C5F" w:rsidRPr="00EB57D6" w:rsidTr="001B1C5F">
        <w:tc>
          <w:tcPr>
            <w:tcW w:w="4957" w:type="dxa"/>
            <w:shd w:val="clear" w:color="auto" w:fill="E5B8B7" w:themeFill="accent2" w:themeFillTint="66"/>
          </w:tcPr>
          <w:p w:rsidR="001B1C5F" w:rsidRPr="00EB57D6" w:rsidRDefault="001B1C5F" w:rsidP="009B2909">
            <w:r w:rsidRPr="00EB57D6">
              <w:rPr>
                <w:color w:val="000000"/>
              </w:rPr>
              <w:t>Utilisation des rapports d’examen DHS existants</w:t>
            </w:r>
          </w:p>
        </w:tc>
      </w:tr>
    </w:tbl>
    <w:p w:rsidR="001B1C5F" w:rsidRPr="00EB57D6" w:rsidRDefault="001B1C5F" w:rsidP="001B1C5F">
      <w:pPr>
        <w:rPr>
          <w:sz w:val="18"/>
        </w:rPr>
      </w:pPr>
    </w:p>
    <w:p w:rsidR="001B1C5F" w:rsidRPr="00EB57D6" w:rsidRDefault="001B1C5F" w:rsidP="001B1C5F">
      <w:pPr>
        <w:rPr>
          <w:sz w:val="18"/>
        </w:rPr>
      </w:pPr>
    </w:p>
    <w:p w:rsidR="001B1C5F" w:rsidRPr="00EB57D6" w:rsidRDefault="001B1C5F" w:rsidP="001B1C5F">
      <w:pPr>
        <w:rPr>
          <w:sz w:val="18"/>
        </w:rPr>
      </w:pPr>
      <w:r w:rsidRPr="00EB57D6">
        <w:rPr>
          <w:color w:val="000000"/>
        </w:rPr>
        <w:t>3.</w:t>
      </w:r>
      <w:r w:rsidRPr="00EB57D6">
        <w:rPr>
          <w:color w:val="000000"/>
        </w:rPr>
        <w:tab/>
      </w:r>
      <w:r w:rsidRPr="00EB57D6">
        <w:rPr>
          <w:color w:val="000000"/>
          <w:u w:val="single"/>
        </w:rPr>
        <w:t>Situation dans le domaine administratif</w:t>
      </w:r>
      <w:r w:rsidRPr="00EB57D6">
        <w:rPr>
          <w:color w:val="000000"/>
        </w:rPr>
        <w:t> : Aucun élément nouveau.</w:t>
      </w:r>
    </w:p>
    <w:p w:rsidR="001B1C5F" w:rsidRPr="00EB57D6" w:rsidRDefault="001B1C5F" w:rsidP="001B1C5F">
      <w:pPr>
        <w:rPr>
          <w:sz w:val="18"/>
        </w:rPr>
      </w:pPr>
    </w:p>
    <w:p w:rsidR="001B1C5F" w:rsidRPr="00EB57D6" w:rsidRDefault="001B1C5F" w:rsidP="001B1C5F">
      <w:pPr>
        <w:rPr>
          <w:sz w:val="18"/>
        </w:rPr>
      </w:pPr>
    </w:p>
    <w:p w:rsidR="001B1C5F" w:rsidRPr="00EB57D6" w:rsidRDefault="001B1C5F" w:rsidP="001B1C5F">
      <w:pPr>
        <w:rPr>
          <w:sz w:val="18"/>
        </w:rPr>
      </w:pPr>
      <w:r w:rsidRPr="00EB57D6">
        <w:rPr>
          <w:color w:val="000000"/>
        </w:rPr>
        <w:t>4.</w:t>
      </w:r>
      <w:r w:rsidRPr="00EB57D6">
        <w:rPr>
          <w:color w:val="000000"/>
        </w:rPr>
        <w:tab/>
      </w:r>
      <w:r w:rsidRPr="00EB57D6">
        <w:rPr>
          <w:color w:val="000000"/>
          <w:u w:val="single"/>
        </w:rPr>
        <w:t>Situation dans le domaine technique</w:t>
      </w:r>
      <w:r w:rsidRPr="00EB57D6">
        <w:rPr>
          <w:color w:val="000000"/>
        </w:rPr>
        <w:t> : Aucun élément nouveau.</w:t>
      </w:r>
    </w:p>
    <w:p w:rsidR="001B1C5F" w:rsidRPr="00EB57D6" w:rsidRDefault="001B1C5F" w:rsidP="001B1C5F">
      <w:pPr>
        <w:rPr>
          <w:sz w:val="18"/>
        </w:rPr>
      </w:pPr>
    </w:p>
    <w:p w:rsidR="001B1C5F" w:rsidRPr="00EB57D6" w:rsidRDefault="001B1C5F" w:rsidP="001B1C5F">
      <w:pPr>
        <w:rPr>
          <w:sz w:val="18"/>
        </w:rPr>
      </w:pPr>
    </w:p>
    <w:p w:rsidR="001B1C5F" w:rsidRPr="00EB57D6" w:rsidRDefault="001B1C5F" w:rsidP="001B1C5F">
      <w:pPr>
        <w:rPr>
          <w:sz w:val="18"/>
          <w:u w:val="single"/>
        </w:rPr>
      </w:pPr>
      <w:r w:rsidRPr="00EB57D6">
        <w:t>5.</w:t>
      </w:r>
      <w:r w:rsidRPr="00EB57D6">
        <w:tab/>
      </w:r>
      <w:r w:rsidRPr="00EB57D6">
        <w:rPr>
          <w:u w:val="single"/>
        </w:rPr>
        <w:t>Activités de promotion de la protection des obtentions végétales</w:t>
      </w:r>
    </w:p>
    <w:p w:rsidR="001B1C5F" w:rsidRPr="00EB57D6" w:rsidRDefault="001B1C5F" w:rsidP="001B1C5F"/>
    <w:tbl>
      <w:tblPr>
        <w:tblStyle w:val="TableGrid"/>
        <w:tblW w:w="9918" w:type="dxa"/>
        <w:tblLayout w:type="fixed"/>
        <w:tblLook w:val="01E0" w:firstRow="1" w:lastRow="1" w:firstColumn="1" w:lastColumn="1" w:noHBand="0" w:noVBand="0"/>
      </w:tblPr>
      <w:tblGrid>
        <w:gridCol w:w="1129"/>
        <w:gridCol w:w="1134"/>
        <w:gridCol w:w="1276"/>
        <w:gridCol w:w="1021"/>
        <w:gridCol w:w="1531"/>
        <w:gridCol w:w="2268"/>
        <w:gridCol w:w="1559"/>
      </w:tblGrid>
      <w:tr w:rsidR="001B1C5F" w:rsidRPr="00EB57D6" w:rsidTr="001B1C5F">
        <w:trPr>
          <w:tblHeader/>
        </w:trPr>
        <w:tc>
          <w:tcPr>
            <w:tcW w:w="1129" w:type="dxa"/>
            <w:tcMar>
              <w:left w:w="57" w:type="dxa"/>
              <w:right w:w="57" w:type="dxa"/>
            </w:tcMar>
          </w:tcPr>
          <w:p w:rsidR="001B1C5F" w:rsidRPr="00EB57D6" w:rsidRDefault="001B1C5F" w:rsidP="001B1C5F">
            <w:pPr>
              <w:jc w:val="left"/>
              <w:rPr>
                <w:sz w:val="16"/>
                <w:szCs w:val="16"/>
              </w:rPr>
            </w:pPr>
            <w:r w:rsidRPr="00EB57D6">
              <w:rPr>
                <w:sz w:val="16"/>
                <w:szCs w:val="16"/>
              </w:rPr>
              <w:t>Titre de l’activité</w:t>
            </w:r>
          </w:p>
        </w:tc>
        <w:tc>
          <w:tcPr>
            <w:tcW w:w="1134" w:type="dxa"/>
            <w:tcMar>
              <w:left w:w="57" w:type="dxa"/>
              <w:right w:w="57" w:type="dxa"/>
            </w:tcMar>
          </w:tcPr>
          <w:p w:rsidR="001B1C5F" w:rsidRPr="00EB57D6" w:rsidRDefault="001B1C5F" w:rsidP="001B1C5F">
            <w:pPr>
              <w:jc w:val="left"/>
              <w:rPr>
                <w:sz w:val="16"/>
                <w:szCs w:val="16"/>
              </w:rPr>
            </w:pPr>
            <w:r w:rsidRPr="00EB57D6">
              <w:rPr>
                <w:sz w:val="16"/>
                <w:szCs w:val="16"/>
              </w:rPr>
              <w:t>Date</w:t>
            </w:r>
          </w:p>
        </w:tc>
        <w:tc>
          <w:tcPr>
            <w:tcW w:w="1276" w:type="dxa"/>
            <w:tcMar>
              <w:left w:w="57" w:type="dxa"/>
              <w:right w:w="57" w:type="dxa"/>
            </w:tcMar>
          </w:tcPr>
          <w:p w:rsidR="001B1C5F" w:rsidRPr="00EB57D6" w:rsidRDefault="001B1C5F" w:rsidP="001B1C5F">
            <w:pPr>
              <w:jc w:val="left"/>
              <w:rPr>
                <w:sz w:val="16"/>
                <w:szCs w:val="16"/>
              </w:rPr>
            </w:pPr>
            <w:r w:rsidRPr="00EB57D6">
              <w:rPr>
                <w:sz w:val="16"/>
                <w:szCs w:val="16"/>
              </w:rPr>
              <w:t>Lieu</w:t>
            </w:r>
          </w:p>
        </w:tc>
        <w:tc>
          <w:tcPr>
            <w:tcW w:w="1021" w:type="dxa"/>
            <w:tcMar>
              <w:left w:w="57" w:type="dxa"/>
              <w:right w:w="57" w:type="dxa"/>
            </w:tcMar>
          </w:tcPr>
          <w:p w:rsidR="001B1C5F" w:rsidRPr="00EB57D6" w:rsidRDefault="001B1C5F" w:rsidP="001B1C5F">
            <w:pPr>
              <w:jc w:val="left"/>
              <w:rPr>
                <w:sz w:val="16"/>
                <w:szCs w:val="16"/>
              </w:rPr>
            </w:pPr>
            <w:proofErr w:type="spellStart"/>
            <w:r w:rsidRPr="00EB57D6">
              <w:rPr>
                <w:sz w:val="16"/>
                <w:szCs w:val="16"/>
              </w:rPr>
              <w:t>Organisa-teur</w:t>
            </w:r>
            <w:proofErr w:type="spellEnd"/>
            <w:r w:rsidRPr="00EB57D6">
              <w:rPr>
                <w:sz w:val="16"/>
                <w:szCs w:val="16"/>
              </w:rPr>
              <w:t>(s)</w:t>
            </w:r>
          </w:p>
        </w:tc>
        <w:tc>
          <w:tcPr>
            <w:tcW w:w="1531" w:type="dxa"/>
            <w:tcMar>
              <w:left w:w="57" w:type="dxa"/>
              <w:right w:w="57" w:type="dxa"/>
            </w:tcMar>
          </w:tcPr>
          <w:p w:rsidR="001B1C5F" w:rsidRPr="00EB57D6" w:rsidRDefault="001B1C5F" w:rsidP="001B1C5F">
            <w:pPr>
              <w:jc w:val="left"/>
              <w:rPr>
                <w:sz w:val="16"/>
                <w:szCs w:val="16"/>
              </w:rPr>
            </w:pPr>
            <w:r w:rsidRPr="00EB57D6">
              <w:rPr>
                <w:sz w:val="16"/>
                <w:szCs w:val="16"/>
              </w:rPr>
              <w:t>But de l’activité</w:t>
            </w:r>
          </w:p>
        </w:tc>
        <w:tc>
          <w:tcPr>
            <w:tcW w:w="2268" w:type="dxa"/>
            <w:tcMar>
              <w:left w:w="57" w:type="dxa"/>
              <w:right w:w="57" w:type="dxa"/>
            </w:tcMar>
          </w:tcPr>
          <w:p w:rsidR="001B1C5F" w:rsidRPr="00EB57D6" w:rsidRDefault="001B1C5F" w:rsidP="001B1C5F">
            <w:pPr>
              <w:jc w:val="left"/>
              <w:rPr>
                <w:sz w:val="16"/>
                <w:szCs w:val="16"/>
              </w:rPr>
            </w:pPr>
            <w:r w:rsidRPr="00EB57D6">
              <w:rPr>
                <w:sz w:val="16"/>
                <w:szCs w:val="16"/>
              </w:rPr>
              <w:t>Pays/organisations participants (nombre de participants de chacun d’eux)</w:t>
            </w:r>
          </w:p>
        </w:tc>
        <w:tc>
          <w:tcPr>
            <w:tcW w:w="1559" w:type="dxa"/>
            <w:tcMar>
              <w:left w:w="57" w:type="dxa"/>
              <w:right w:w="57" w:type="dxa"/>
            </w:tcMar>
          </w:tcPr>
          <w:p w:rsidR="001B1C5F" w:rsidRPr="00EB57D6" w:rsidRDefault="001B1C5F" w:rsidP="001B1C5F">
            <w:pPr>
              <w:jc w:val="left"/>
              <w:rPr>
                <w:sz w:val="16"/>
                <w:szCs w:val="16"/>
              </w:rPr>
            </w:pPr>
            <w:r w:rsidRPr="00EB57D6">
              <w:rPr>
                <w:sz w:val="16"/>
                <w:szCs w:val="16"/>
              </w:rPr>
              <w:t>Commentaires</w:t>
            </w:r>
          </w:p>
        </w:tc>
      </w:tr>
      <w:tr w:rsidR="001B1C5F" w:rsidRPr="00EB57D6" w:rsidTr="001B1C5F">
        <w:tc>
          <w:tcPr>
            <w:tcW w:w="1129" w:type="dxa"/>
            <w:tcMar>
              <w:left w:w="57" w:type="dxa"/>
              <w:right w:w="57" w:type="dxa"/>
            </w:tcMar>
          </w:tcPr>
          <w:p w:rsidR="001B1C5F" w:rsidRPr="00EB57D6" w:rsidRDefault="001B1C5F" w:rsidP="001B1C5F">
            <w:pPr>
              <w:jc w:val="left"/>
              <w:rPr>
                <w:rFonts w:cs="Arial"/>
                <w:sz w:val="16"/>
                <w:szCs w:val="16"/>
              </w:rPr>
            </w:pPr>
            <w:r w:rsidRPr="00EB57D6">
              <w:rPr>
                <w:rFonts w:cs="Arial"/>
                <w:sz w:val="16"/>
                <w:szCs w:val="16"/>
              </w:rPr>
              <w:t xml:space="preserve">1. </w:t>
            </w:r>
            <w:r w:rsidRPr="00EB57D6">
              <w:rPr>
                <w:sz w:val="16"/>
              </w:rPr>
              <w:t xml:space="preserve"> </w:t>
            </w:r>
            <w:r w:rsidRPr="00EB57D6">
              <w:rPr>
                <w:rFonts w:cs="Arial"/>
                <w:sz w:val="16"/>
                <w:szCs w:val="16"/>
              </w:rPr>
              <w:t>Cours général sur la propriété intellectuelle</w:t>
            </w:r>
          </w:p>
        </w:tc>
        <w:tc>
          <w:tcPr>
            <w:tcW w:w="1134" w:type="dxa"/>
            <w:tcMar>
              <w:left w:w="57" w:type="dxa"/>
              <w:right w:w="57" w:type="dxa"/>
            </w:tcMar>
          </w:tcPr>
          <w:p w:rsidR="001B1C5F" w:rsidRPr="00EB57D6" w:rsidRDefault="001B1C5F" w:rsidP="001B1C5F">
            <w:pPr>
              <w:jc w:val="left"/>
              <w:rPr>
                <w:rFonts w:cs="Arial"/>
                <w:sz w:val="16"/>
                <w:szCs w:val="16"/>
              </w:rPr>
            </w:pPr>
            <w:r w:rsidRPr="00EB57D6">
              <w:rPr>
                <w:rFonts w:cs="Arial"/>
                <w:sz w:val="16"/>
                <w:szCs w:val="16"/>
              </w:rPr>
              <w:t>4 février au 3 avril 2020</w:t>
            </w:r>
          </w:p>
        </w:tc>
        <w:tc>
          <w:tcPr>
            <w:tcW w:w="1276" w:type="dxa"/>
            <w:tcMar>
              <w:left w:w="57" w:type="dxa"/>
              <w:right w:w="57" w:type="dxa"/>
            </w:tcMar>
          </w:tcPr>
          <w:p w:rsidR="001B1C5F" w:rsidRPr="00EB57D6" w:rsidRDefault="001B1C5F" w:rsidP="001B1C5F">
            <w:pPr>
              <w:jc w:val="left"/>
              <w:rPr>
                <w:rFonts w:cs="Arial"/>
                <w:sz w:val="16"/>
                <w:szCs w:val="16"/>
              </w:rPr>
            </w:pPr>
            <w:r w:rsidRPr="00EB57D6">
              <w:rPr>
                <w:rFonts w:cs="Arial"/>
                <w:sz w:val="16"/>
                <w:szCs w:val="16"/>
              </w:rPr>
              <w:t>Cours d’enseignement à distance</w:t>
            </w:r>
          </w:p>
        </w:tc>
        <w:tc>
          <w:tcPr>
            <w:tcW w:w="1021" w:type="dxa"/>
            <w:tcMar>
              <w:left w:w="57" w:type="dxa"/>
              <w:right w:w="57" w:type="dxa"/>
            </w:tcMar>
          </w:tcPr>
          <w:p w:rsidR="001B1C5F" w:rsidRPr="00EB57D6" w:rsidRDefault="001B1C5F" w:rsidP="001B1C5F">
            <w:pPr>
              <w:jc w:val="left"/>
              <w:rPr>
                <w:rFonts w:cs="Arial"/>
                <w:sz w:val="16"/>
                <w:szCs w:val="16"/>
              </w:rPr>
            </w:pPr>
            <w:r w:rsidRPr="00EB57D6">
              <w:rPr>
                <w:rFonts w:cs="Arial"/>
                <w:sz w:val="16"/>
                <w:szCs w:val="16"/>
              </w:rPr>
              <w:t>INPI (Office des brevets et des marques du Brésil)</w:t>
            </w:r>
          </w:p>
          <w:p w:rsidR="001B1C5F" w:rsidRPr="00EB57D6" w:rsidRDefault="001B1C5F" w:rsidP="001B1C5F">
            <w:pPr>
              <w:jc w:val="left"/>
              <w:rPr>
                <w:rFonts w:cs="Arial"/>
                <w:sz w:val="16"/>
                <w:szCs w:val="16"/>
              </w:rPr>
            </w:pPr>
            <w:r w:rsidRPr="00EB57D6">
              <w:rPr>
                <w:rFonts w:cs="Arial"/>
                <w:sz w:val="16"/>
                <w:szCs w:val="16"/>
              </w:rPr>
              <w:t>OMPI</w:t>
            </w:r>
          </w:p>
        </w:tc>
        <w:tc>
          <w:tcPr>
            <w:tcW w:w="1531" w:type="dxa"/>
            <w:tcMar>
              <w:left w:w="57" w:type="dxa"/>
              <w:right w:w="57" w:type="dxa"/>
            </w:tcMar>
          </w:tcPr>
          <w:p w:rsidR="001B1C5F" w:rsidRPr="00EB57D6" w:rsidRDefault="001B1C5F" w:rsidP="001B1C5F">
            <w:pPr>
              <w:jc w:val="left"/>
              <w:rPr>
                <w:rFonts w:cs="Arial"/>
                <w:sz w:val="16"/>
                <w:szCs w:val="16"/>
              </w:rPr>
            </w:pPr>
            <w:r w:rsidRPr="00EB57D6">
              <w:rPr>
                <w:rFonts w:cs="Arial"/>
                <w:sz w:val="16"/>
                <w:szCs w:val="16"/>
              </w:rPr>
              <w:t xml:space="preserve">Cours général sur la propriété intellectuelle avec un chapitre sur la protection des obtentions végétales </w:t>
            </w:r>
          </w:p>
        </w:tc>
        <w:tc>
          <w:tcPr>
            <w:tcW w:w="2268" w:type="dxa"/>
            <w:tcMar>
              <w:left w:w="57" w:type="dxa"/>
              <w:right w:w="57" w:type="dxa"/>
            </w:tcMar>
          </w:tcPr>
          <w:p w:rsidR="001B1C5F" w:rsidRPr="00EB57D6" w:rsidRDefault="001B1C5F" w:rsidP="001B1C5F">
            <w:pPr>
              <w:jc w:val="left"/>
              <w:rPr>
                <w:rFonts w:cs="Arial"/>
                <w:sz w:val="16"/>
                <w:szCs w:val="16"/>
              </w:rPr>
            </w:pPr>
            <w:r w:rsidRPr="00EB57D6">
              <w:rPr>
                <w:rFonts w:cs="Arial"/>
                <w:sz w:val="16"/>
                <w:szCs w:val="16"/>
              </w:rPr>
              <w:t>Environ 2000 participants (brésiliens) de domaines divers (étudiants, avocats, mandataires, fonctionnaires, chercheurs, etc.)</w:t>
            </w:r>
          </w:p>
        </w:tc>
        <w:tc>
          <w:tcPr>
            <w:tcW w:w="1559" w:type="dxa"/>
            <w:tcMar>
              <w:left w:w="57" w:type="dxa"/>
              <w:right w:w="57" w:type="dxa"/>
            </w:tcMar>
          </w:tcPr>
          <w:p w:rsidR="001B1C5F" w:rsidRPr="00EB57D6" w:rsidRDefault="001B1C5F" w:rsidP="001B1C5F">
            <w:pPr>
              <w:jc w:val="left"/>
              <w:rPr>
                <w:rFonts w:cs="Arial"/>
                <w:sz w:val="16"/>
                <w:szCs w:val="16"/>
              </w:rPr>
            </w:pPr>
            <w:r w:rsidRPr="00EB57D6">
              <w:rPr>
                <w:rFonts w:cs="Arial"/>
                <w:sz w:val="16"/>
                <w:szCs w:val="16"/>
              </w:rPr>
              <w:t xml:space="preserve">Les examinateurs du SNPC (service de protection des obtentions végétales) ont joué le rôle de formateur au cours des débats sur la protection des obtentions végétales </w:t>
            </w:r>
          </w:p>
        </w:tc>
      </w:tr>
      <w:tr w:rsidR="001B1C5F" w:rsidRPr="00EB57D6" w:rsidTr="001B1C5F">
        <w:tc>
          <w:tcPr>
            <w:tcW w:w="1129" w:type="dxa"/>
            <w:tcMar>
              <w:left w:w="57" w:type="dxa"/>
              <w:right w:w="57" w:type="dxa"/>
            </w:tcMar>
          </w:tcPr>
          <w:p w:rsidR="001B1C5F" w:rsidRPr="00EB57D6" w:rsidRDefault="001B1C5F" w:rsidP="001B1C5F">
            <w:pPr>
              <w:jc w:val="left"/>
              <w:rPr>
                <w:rFonts w:cs="Arial"/>
                <w:sz w:val="16"/>
                <w:szCs w:val="16"/>
              </w:rPr>
            </w:pPr>
            <w:r w:rsidRPr="00EB57D6">
              <w:rPr>
                <w:rFonts w:cs="Arial"/>
                <w:sz w:val="16"/>
                <w:szCs w:val="16"/>
              </w:rPr>
              <w:t xml:space="preserve">2. </w:t>
            </w:r>
            <w:r w:rsidRPr="00EB57D6">
              <w:rPr>
                <w:sz w:val="16"/>
              </w:rPr>
              <w:t xml:space="preserve"> </w:t>
            </w:r>
            <w:r w:rsidRPr="00EB57D6">
              <w:rPr>
                <w:rFonts w:cs="Arial"/>
                <w:sz w:val="16"/>
                <w:szCs w:val="16"/>
              </w:rPr>
              <w:t>Cours général sur la propriété intellectuelle</w:t>
            </w:r>
          </w:p>
        </w:tc>
        <w:tc>
          <w:tcPr>
            <w:tcW w:w="1134" w:type="dxa"/>
            <w:tcMar>
              <w:left w:w="57" w:type="dxa"/>
              <w:right w:w="57" w:type="dxa"/>
            </w:tcMar>
          </w:tcPr>
          <w:p w:rsidR="001B1C5F" w:rsidRPr="00EB57D6" w:rsidRDefault="001B1C5F" w:rsidP="001B1C5F">
            <w:pPr>
              <w:jc w:val="left"/>
              <w:rPr>
                <w:rFonts w:cs="Arial"/>
                <w:sz w:val="16"/>
                <w:szCs w:val="16"/>
              </w:rPr>
            </w:pPr>
            <w:r w:rsidRPr="00EB57D6">
              <w:rPr>
                <w:rFonts w:cs="Arial"/>
                <w:sz w:val="16"/>
                <w:szCs w:val="16"/>
              </w:rPr>
              <w:t>28 avril au 26 juin 2020</w:t>
            </w:r>
          </w:p>
        </w:tc>
        <w:tc>
          <w:tcPr>
            <w:tcW w:w="1276" w:type="dxa"/>
            <w:tcMar>
              <w:left w:w="57" w:type="dxa"/>
              <w:right w:w="57" w:type="dxa"/>
            </w:tcMar>
          </w:tcPr>
          <w:p w:rsidR="001B1C5F" w:rsidRPr="00EB57D6" w:rsidRDefault="001B1C5F" w:rsidP="001B1C5F">
            <w:pPr>
              <w:jc w:val="left"/>
              <w:rPr>
                <w:rFonts w:cs="Arial"/>
                <w:sz w:val="16"/>
                <w:szCs w:val="16"/>
              </w:rPr>
            </w:pPr>
            <w:r w:rsidRPr="00EB57D6">
              <w:rPr>
                <w:rFonts w:cs="Arial"/>
                <w:sz w:val="16"/>
                <w:szCs w:val="16"/>
              </w:rPr>
              <w:t>Cours d’enseignement à distance</w:t>
            </w:r>
          </w:p>
        </w:tc>
        <w:tc>
          <w:tcPr>
            <w:tcW w:w="1021" w:type="dxa"/>
            <w:tcMar>
              <w:left w:w="57" w:type="dxa"/>
              <w:right w:w="57" w:type="dxa"/>
            </w:tcMar>
          </w:tcPr>
          <w:p w:rsidR="001B1C5F" w:rsidRPr="00EB57D6" w:rsidRDefault="001B1C5F" w:rsidP="001B1C5F">
            <w:pPr>
              <w:jc w:val="left"/>
              <w:rPr>
                <w:rFonts w:cs="Arial"/>
                <w:sz w:val="16"/>
                <w:szCs w:val="16"/>
              </w:rPr>
            </w:pPr>
            <w:r w:rsidRPr="00EB57D6">
              <w:rPr>
                <w:rFonts w:cs="Arial"/>
                <w:sz w:val="16"/>
                <w:szCs w:val="16"/>
              </w:rPr>
              <w:t>INPI (Office des brevets et des marques du Brésil)</w:t>
            </w:r>
          </w:p>
          <w:p w:rsidR="001B1C5F" w:rsidRPr="00EB57D6" w:rsidRDefault="001B1C5F" w:rsidP="001B1C5F">
            <w:pPr>
              <w:jc w:val="left"/>
              <w:rPr>
                <w:rFonts w:cs="Arial"/>
                <w:sz w:val="16"/>
                <w:szCs w:val="16"/>
              </w:rPr>
            </w:pPr>
            <w:r w:rsidRPr="00EB57D6">
              <w:rPr>
                <w:rFonts w:cs="Arial"/>
                <w:sz w:val="16"/>
                <w:szCs w:val="16"/>
              </w:rPr>
              <w:t>OMPI</w:t>
            </w:r>
          </w:p>
        </w:tc>
        <w:tc>
          <w:tcPr>
            <w:tcW w:w="1531" w:type="dxa"/>
            <w:tcMar>
              <w:left w:w="57" w:type="dxa"/>
              <w:right w:w="57" w:type="dxa"/>
            </w:tcMar>
          </w:tcPr>
          <w:p w:rsidR="001B1C5F" w:rsidRPr="00EB57D6" w:rsidRDefault="001B1C5F" w:rsidP="001B1C5F">
            <w:pPr>
              <w:jc w:val="left"/>
              <w:rPr>
                <w:rFonts w:cs="Arial"/>
                <w:sz w:val="16"/>
                <w:szCs w:val="16"/>
              </w:rPr>
            </w:pPr>
            <w:r w:rsidRPr="00EB57D6">
              <w:rPr>
                <w:rFonts w:cs="Arial"/>
                <w:sz w:val="16"/>
                <w:szCs w:val="16"/>
              </w:rPr>
              <w:t>Cours général sur la propriété intellectuelle avec un chapitre sur la protection des obtentions végétales</w:t>
            </w:r>
          </w:p>
        </w:tc>
        <w:tc>
          <w:tcPr>
            <w:tcW w:w="2268" w:type="dxa"/>
            <w:tcMar>
              <w:left w:w="57" w:type="dxa"/>
              <w:right w:w="57" w:type="dxa"/>
            </w:tcMar>
          </w:tcPr>
          <w:p w:rsidR="001B1C5F" w:rsidRPr="00EB57D6" w:rsidRDefault="001B1C5F" w:rsidP="001B1C5F">
            <w:pPr>
              <w:jc w:val="left"/>
              <w:rPr>
                <w:rFonts w:cs="Arial"/>
                <w:sz w:val="16"/>
                <w:szCs w:val="16"/>
              </w:rPr>
            </w:pPr>
            <w:r w:rsidRPr="00EB57D6">
              <w:rPr>
                <w:rFonts w:cs="Arial"/>
                <w:sz w:val="16"/>
                <w:szCs w:val="16"/>
              </w:rPr>
              <w:t>Environ 2000 participants (brésiliens) de domaines divers (étudiants, avocats, mandataires, fonctionnaires, chercheurs, etc.)</w:t>
            </w:r>
          </w:p>
        </w:tc>
        <w:tc>
          <w:tcPr>
            <w:tcW w:w="1559" w:type="dxa"/>
            <w:tcMar>
              <w:left w:w="57" w:type="dxa"/>
              <w:right w:w="57" w:type="dxa"/>
            </w:tcMar>
          </w:tcPr>
          <w:p w:rsidR="001B1C5F" w:rsidRPr="00EB57D6" w:rsidRDefault="001B1C5F" w:rsidP="001B1C5F">
            <w:pPr>
              <w:jc w:val="left"/>
              <w:rPr>
                <w:rFonts w:cs="Arial"/>
                <w:sz w:val="16"/>
                <w:szCs w:val="16"/>
              </w:rPr>
            </w:pPr>
            <w:r w:rsidRPr="00EB57D6">
              <w:rPr>
                <w:rFonts w:cs="Arial"/>
                <w:sz w:val="16"/>
                <w:szCs w:val="16"/>
              </w:rPr>
              <w:t>Les examinateurs du SNPC (service de protection des obtentions végétales) ont joué le rôle de formateur au cours des débats sur la protection des obtentions végétales</w:t>
            </w:r>
          </w:p>
        </w:tc>
      </w:tr>
      <w:tr w:rsidR="001B1C5F" w:rsidRPr="00EB57D6" w:rsidTr="001B1C5F">
        <w:tc>
          <w:tcPr>
            <w:tcW w:w="1129" w:type="dxa"/>
            <w:tcMar>
              <w:left w:w="57" w:type="dxa"/>
              <w:right w:w="57" w:type="dxa"/>
            </w:tcMar>
          </w:tcPr>
          <w:p w:rsidR="001B1C5F" w:rsidRPr="00EB57D6" w:rsidRDefault="001B1C5F" w:rsidP="001B1C5F">
            <w:pPr>
              <w:jc w:val="left"/>
              <w:rPr>
                <w:rFonts w:cs="Arial"/>
                <w:sz w:val="16"/>
                <w:szCs w:val="16"/>
              </w:rPr>
            </w:pPr>
            <w:r w:rsidRPr="00EB57D6">
              <w:rPr>
                <w:rFonts w:cs="Arial"/>
                <w:sz w:val="16"/>
                <w:szCs w:val="16"/>
              </w:rPr>
              <w:t xml:space="preserve">3. </w:t>
            </w:r>
            <w:r w:rsidRPr="00EB57D6">
              <w:rPr>
                <w:sz w:val="16"/>
              </w:rPr>
              <w:t xml:space="preserve"> </w:t>
            </w:r>
            <w:r w:rsidRPr="00EB57D6">
              <w:rPr>
                <w:rFonts w:cs="Arial"/>
                <w:sz w:val="16"/>
                <w:szCs w:val="16"/>
              </w:rPr>
              <w:t>Cours général sur la propriété intellectuelle</w:t>
            </w:r>
          </w:p>
        </w:tc>
        <w:tc>
          <w:tcPr>
            <w:tcW w:w="1134" w:type="dxa"/>
            <w:tcMar>
              <w:left w:w="57" w:type="dxa"/>
              <w:right w:w="57" w:type="dxa"/>
            </w:tcMar>
          </w:tcPr>
          <w:p w:rsidR="001B1C5F" w:rsidRPr="00EB57D6" w:rsidRDefault="001B1C5F" w:rsidP="001B1C5F">
            <w:pPr>
              <w:jc w:val="left"/>
              <w:rPr>
                <w:rFonts w:cs="Arial"/>
                <w:sz w:val="16"/>
                <w:szCs w:val="16"/>
              </w:rPr>
            </w:pPr>
            <w:r w:rsidRPr="00EB57D6">
              <w:rPr>
                <w:rFonts w:cs="Arial"/>
                <w:sz w:val="16"/>
                <w:szCs w:val="16"/>
              </w:rPr>
              <w:t xml:space="preserve">28 juillet au 25 septembre 2020 </w:t>
            </w:r>
            <w:r w:rsidRPr="00EB57D6">
              <w:rPr>
                <w:rFonts w:cs="Arial"/>
                <w:sz w:val="16"/>
                <w:szCs w:val="16"/>
              </w:rPr>
              <w:br/>
              <w:t>(en cours)</w:t>
            </w:r>
          </w:p>
        </w:tc>
        <w:tc>
          <w:tcPr>
            <w:tcW w:w="1276" w:type="dxa"/>
            <w:tcMar>
              <w:left w:w="57" w:type="dxa"/>
              <w:right w:w="57" w:type="dxa"/>
            </w:tcMar>
          </w:tcPr>
          <w:p w:rsidR="001B1C5F" w:rsidRPr="00EB57D6" w:rsidRDefault="001B1C5F" w:rsidP="001B1C5F">
            <w:pPr>
              <w:jc w:val="left"/>
              <w:rPr>
                <w:rFonts w:cs="Arial"/>
                <w:sz w:val="16"/>
                <w:szCs w:val="16"/>
              </w:rPr>
            </w:pPr>
            <w:r w:rsidRPr="00EB57D6">
              <w:rPr>
                <w:rFonts w:cs="Arial"/>
                <w:sz w:val="16"/>
                <w:szCs w:val="16"/>
              </w:rPr>
              <w:t>Cours d’enseignement à distance</w:t>
            </w:r>
          </w:p>
        </w:tc>
        <w:tc>
          <w:tcPr>
            <w:tcW w:w="1021" w:type="dxa"/>
            <w:tcMar>
              <w:left w:w="57" w:type="dxa"/>
              <w:right w:w="57" w:type="dxa"/>
            </w:tcMar>
          </w:tcPr>
          <w:p w:rsidR="001B1C5F" w:rsidRPr="00EB57D6" w:rsidRDefault="001B1C5F" w:rsidP="001B1C5F">
            <w:pPr>
              <w:jc w:val="left"/>
              <w:rPr>
                <w:rFonts w:cs="Arial"/>
                <w:sz w:val="16"/>
                <w:szCs w:val="16"/>
              </w:rPr>
            </w:pPr>
            <w:r w:rsidRPr="00EB57D6">
              <w:rPr>
                <w:rFonts w:cs="Arial"/>
                <w:sz w:val="16"/>
                <w:szCs w:val="16"/>
              </w:rPr>
              <w:t>INPI (Office des brevets et des marques du Brésil)</w:t>
            </w:r>
          </w:p>
          <w:p w:rsidR="001B1C5F" w:rsidRPr="00EB57D6" w:rsidRDefault="001B1C5F" w:rsidP="001B1C5F">
            <w:pPr>
              <w:jc w:val="left"/>
              <w:rPr>
                <w:rFonts w:cs="Arial"/>
                <w:sz w:val="16"/>
                <w:szCs w:val="16"/>
              </w:rPr>
            </w:pPr>
            <w:r w:rsidRPr="00EB57D6">
              <w:rPr>
                <w:rFonts w:cs="Arial"/>
                <w:sz w:val="16"/>
                <w:szCs w:val="16"/>
              </w:rPr>
              <w:t>OMPI</w:t>
            </w:r>
          </w:p>
        </w:tc>
        <w:tc>
          <w:tcPr>
            <w:tcW w:w="1531" w:type="dxa"/>
            <w:tcMar>
              <w:left w:w="57" w:type="dxa"/>
              <w:right w:w="57" w:type="dxa"/>
            </w:tcMar>
          </w:tcPr>
          <w:p w:rsidR="001B1C5F" w:rsidRPr="00EB57D6" w:rsidRDefault="001B1C5F" w:rsidP="001B1C5F">
            <w:pPr>
              <w:jc w:val="left"/>
              <w:rPr>
                <w:rFonts w:cs="Arial"/>
                <w:sz w:val="16"/>
                <w:szCs w:val="16"/>
              </w:rPr>
            </w:pPr>
            <w:r w:rsidRPr="00EB57D6">
              <w:rPr>
                <w:rFonts w:cs="Arial"/>
                <w:sz w:val="16"/>
                <w:szCs w:val="16"/>
              </w:rPr>
              <w:t>Cours général sur la propriété intellectuelle avec un chapitre sur la protection des obtentions végétales</w:t>
            </w:r>
          </w:p>
        </w:tc>
        <w:tc>
          <w:tcPr>
            <w:tcW w:w="2268" w:type="dxa"/>
            <w:tcMar>
              <w:left w:w="57" w:type="dxa"/>
              <w:right w:w="57" w:type="dxa"/>
            </w:tcMar>
          </w:tcPr>
          <w:p w:rsidR="001B1C5F" w:rsidRPr="00EB57D6" w:rsidRDefault="001B1C5F" w:rsidP="001B1C5F">
            <w:pPr>
              <w:jc w:val="left"/>
              <w:rPr>
                <w:rFonts w:cs="Arial"/>
                <w:sz w:val="16"/>
                <w:szCs w:val="16"/>
              </w:rPr>
            </w:pPr>
            <w:r w:rsidRPr="00EB57D6">
              <w:rPr>
                <w:rFonts w:cs="Arial"/>
                <w:sz w:val="16"/>
                <w:szCs w:val="16"/>
              </w:rPr>
              <w:t>Environ 2000 participants (brésiliens) de domaines divers (étudiants, avocats, mandataires, fonctionnaires, chercheurs, etc.)</w:t>
            </w:r>
          </w:p>
        </w:tc>
        <w:tc>
          <w:tcPr>
            <w:tcW w:w="1559" w:type="dxa"/>
            <w:tcMar>
              <w:left w:w="57" w:type="dxa"/>
              <w:right w:w="57" w:type="dxa"/>
            </w:tcMar>
          </w:tcPr>
          <w:p w:rsidR="001B1C5F" w:rsidRPr="00EB57D6" w:rsidRDefault="001B1C5F" w:rsidP="001B1C5F">
            <w:pPr>
              <w:jc w:val="left"/>
              <w:rPr>
                <w:rFonts w:cs="Arial"/>
                <w:sz w:val="16"/>
                <w:szCs w:val="16"/>
              </w:rPr>
            </w:pPr>
            <w:r w:rsidRPr="00EB57D6">
              <w:rPr>
                <w:rFonts w:cs="Arial"/>
                <w:sz w:val="16"/>
                <w:szCs w:val="16"/>
              </w:rPr>
              <w:t>Les examinateurs du SNPC (service de protection des obtentions végétales) ont joué le rôle de formateur au cours des débats sur la protection des obtentions végétales</w:t>
            </w:r>
          </w:p>
        </w:tc>
      </w:tr>
      <w:tr w:rsidR="001B1C5F" w:rsidRPr="00EB57D6" w:rsidTr="001B1C5F">
        <w:tc>
          <w:tcPr>
            <w:tcW w:w="1129" w:type="dxa"/>
            <w:tcMar>
              <w:left w:w="57" w:type="dxa"/>
              <w:right w:w="57" w:type="dxa"/>
            </w:tcMar>
          </w:tcPr>
          <w:p w:rsidR="001B1C5F" w:rsidRPr="00EB57D6" w:rsidRDefault="001B1C5F" w:rsidP="001B1C5F">
            <w:pPr>
              <w:jc w:val="left"/>
              <w:rPr>
                <w:rFonts w:cs="Arial"/>
                <w:sz w:val="16"/>
                <w:szCs w:val="16"/>
              </w:rPr>
            </w:pPr>
            <w:r w:rsidRPr="00EB57D6">
              <w:rPr>
                <w:rFonts w:cs="Arial"/>
                <w:color w:val="000000"/>
                <w:sz w:val="16"/>
                <w:szCs w:val="16"/>
              </w:rPr>
              <w:t>5.  Lois relatives à la protection des obtentions végétales : opportunités et défis</w:t>
            </w:r>
          </w:p>
        </w:tc>
        <w:tc>
          <w:tcPr>
            <w:tcW w:w="1134" w:type="dxa"/>
            <w:tcMar>
              <w:left w:w="57" w:type="dxa"/>
              <w:right w:w="57" w:type="dxa"/>
            </w:tcMar>
          </w:tcPr>
          <w:p w:rsidR="001B1C5F" w:rsidRPr="00EB57D6" w:rsidRDefault="001B1C5F" w:rsidP="001B1C5F">
            <w:pPr>
              <w:jc w:val="left"/>
              <w:rPr>
                <w:rFonts w:cs="Arial"/>
                <w:sz w:val="16"/>
                <w:szCs w:val="16"/>
              </w:rPr>
            </w:pPr>
            <w:r w:rsidRPr="00EB57D6">
              <w:rPr>
                <w:rFonts w:cs="Arial"/>
                <w:sz w:val="16"/>
                <w:szCs w:val="16"/>
              </w:rPr>
              <w:t>2 juillet 2020</w:t>
            </w:r>
          </w:p>
        </w:tc>
        <w:tc>
          <w:tcPr>
            <w:tcW w:w="1276" w:type="dxa"/>
            <w:tcMar>
              <w:left w:w="57" w:type="dxa"/>
              <w:right w:w="57" w:type="dxa"/>
            </w:tcMar>
          </w:tcPr>
          <w:p w:rsidR="001B1C5F" w:rsidRPr="00EB57D6" w:rsidRDefault="001B1C5F" w:rsidP="001B1C5F">
            <w:pPr>
              <w:jc w:val="left"/>
              <w:rPr>
                <w:rFonts w:cs="Arial"/>
                <w:sz w:val="16"/>
                <w:szCs w:val="16"/>
              </w:rPr>
            </w:pPr>
            <w:r w:rsidRPr="00EB57D6">
              <w:rPr>
                <w:rFonts w:cs="Arial"/>
                <w:sz w:val="16"/>
                <w:szCs w:val="16"/>
              </w:rPr>
              <w:t>En ligne</w:t>
            </w:r>
          </w:p>
        </w:tc>
        <w:tc>
          <w:tcPr>
            <w:tcW w:w="1021" w:type="dxa"/>
            <w:tcMar>
              <w:left w:w="57" w:type="dxa"/>
              <w:right w:w="57" w:type="dxa"/>
            </w:tcMar>
          </w:tcPr>
          <w:p w:rsidR="001B1C5F" w:rsidRPr="00EB57D6" w:rsidRDefault="001B1C5F" w:rsidP="001B1C5F">
            <w:pPr>
              <w:jc w:val="left"/>
              <w:rPr>
                <w:rFonts w:cs="Arial"/>
                <w:sz w:val="16"/>
                <w:szCs w:val="16"/>
              </w:rPr>
            </w:pPr>
            <w:proofErr w:type="spellStart"/>
            <w:r w:rsidRPr="00EB57D6">
              <w:rPr>
                <w:rFonts w:cs="Arial"/>
                <w:sz w:val="16"/>
                <w:szCs w:val="16"/>
              </w:rPr>
              <w:t>Croplife</w:t>
            </w:r>
            <w:proofErr w:type="spellEnd"/>
            <w:r w:rsidRPr="00EB57D6">
              <w:rPr>
                <w:rFonts w:cs="Arial"/>
                <w:sz w:val="16"/>
                <w:szCs w:val="16"/>
              </w:rPr>
              <w:t xml:space="preserve"> Brasil et </w:t>
            </w:r>
            <w:proofErr w:type="spellStart"/>
            <w:r w:rsidRPr="00EB57D6">
              <w:rPr>
                <w:rFonts w:cs="Arial"/>
                <w:sz w:val="16"/>
                <w:szCs w:val="16"/>
              </w:rPr>
              <w:t>Braspov</w:t>
            </w:r>
            <w:proofErr w:type="spellEnd"/>
          </w:p>
        </w:tc>
        <w:tc>
          <w:tcPr>
            <w:tcW w:w="1531" w:type="dxa"/>
            <w:tcMar>
              <w:left w:w="57" w:type="dxa"/>
              <w:right w:w="57" w:type="dxa"/>
            </w:tcMar>
          </w:tcPr>
          <w:p w:rsidR="001B1C5F" w:rsidRPr="00EB57D6" w:rsidRDefault="001B1C5F" w:rsidP="001B1C5F">
            <w:pPr>
              <w:jc w:val="left"/>
              <w:rPr>
                <w:rFonts w:cs="Arial"/>
                <w:sz w:val="16"/>
                <w:szCs w:val="16"/>
              </w:rPr>
            </w:pPr>
            <w:r w:rsidRPr="00EB57D6">
              <w:rPr>
                <w:rFonts w:cs="Arial"/>
                <w:color w:val="000000"/>
                <w:sz w:val="16"/>
                <w:szCs w:val="16"/>
              </w:rPr>
              <w:t>Participation du service de protection des obtentions végétales expliquant ses besoins par rapport à une éventuelle nouvelle loi relative à la protection des obtentions végétales</w:t>
            </w:r>
          </w:p>
        </w:tc>
        <w:tc>
          <w:tcPr>
            <w:tcW w:w="2268" w:type="dxa"/>
            <w:tcMar>
              <w:left w:w="57" w:type="dxa"/>
              <w:right w:w="57" w:type="dxa"/>
            </w:tcMar>
          </w:tcPr>
          <w:p w:rsidR="001B1C5F" w:rsidRPr="00EB57D6" w:rsidRDefault="001B1C5F" w:rsidP="001B1C5F">
            <w:pPr>
              <w:jc w:val="left"/>
              <w:rPr>
                <w:rFonts w:cs="Arial"/>
                <w:sz w:val="16"/>
                <w:szCs w:val="16"/>
              </w:rPr>
            </w:pPr>
            <w:r w:rsidRPr="00EB57D6">
              <w:rPr>
                <w:rFonts w:cs="Arial"/>
                <w:sz w:val="16"/>
                <w:szCs w:val="16"/>
              </w:rPr>
              <w:t>Environ 50 participants (brésiliens) de domaines divers (avocats, mandataires, fonctionnaires, chercheurs, etc.)</w:t>
            </w:r>
          </w:p>
        </w:tc>
        <w:tc>
          <w:tcPr>
            <w:tcW w:w="1559" w:type="dxa"/>
            <w:tcMar>
              <w:left w:w="57" w:type="dxa"/>
              <w:right w:w="57" w:type="dxa"/>
            </w:tcMar>
          </w:tcPr>
          <w:p w:rsidR="001B1C5F" w:rsidRPr="00EB57D6" w:rsidRDefault="001B1C5F" w:rsidP="001B1C5F">
            <w:pPr>
              <w:jc w:val="left"/>
              <w:rPr>
                <w:rFonts w:cs="Arial"/>
                <w:sz w:val="16"/>
                <w:szCs w:val="16"/>
              </w:rPr>
            </w:pPr>
            <w:r w:rsidRPr="00EB57D6">
              <w:rPr>
                <w:rFonts w:cs="Arial"/>
                <w:color w:val="000000"/>
                <w:sz w:val="16"/>
                <w:szCs w:val="16"/>
              </w:rPr>
              <w:t>Environ 100 participants (représentants d’entreprises de sélection végétale, mandataires, avocats, etc.)</w:t>
            </w:r>
          </w:p>
        </w:tc>
      </w:tr>
      <w:tr w:rsidR="001B1C5F" w:rsidRPr="00EB57D6" w:rsidTr="001B1C5F">
        <w:trPr>
          <w:cantSplit/>
        </w:trPr>
        <w:tc>
          <w:tcPr>
            <w:tcW w:w="1129" w:type="dxa"/>
            <w:tcMar>
              <w:left w:w="57" w:type="dxa"/>
              <w:right w:w="57" w:type="dxa"/>
            </w:tcMar>
          </w:tcPr>
          <w:p w:rsidR="001B1C5F" w:rsidRPr="00EB57D6" w:rsidRDefault="001B1C5F" w:rsidP="001B1C5F">
            <w:pPr>
              <w:jc w:val="left"/>
              <w:rPr>
                <w:rFonts w:cs="Arial"/>
                <w:sz w:val="16"/>
                <w:szCs w:val="16"/>
              </w:rPr>
            </w:pPr>
            <w:r w:rsidRPr="00EB57D6">
              <w:rPr>
                <w:rFonts w:cs="Arial"/>
                <w:color w:val="000000"/>
                <w:sz w:val="16"/>
                <w:szCs w:val="16"/>
              </w:rPr>
              <w:lastRenderedPageBreak/>
              <w:t>6.  La protection des obtentions végétales au Brésil</w:t>
            </w:r>
            <w:r w:rsidRPr="00EB57D6">
              <w:rPr>
                <w:rFonts w:cs="Arial"/>
                <w:sz w:val="16"/>
                <w:szCs w:val="16"/>
              </w:rPr>
              <w:t xml:space="preserve"> </w:t>
            </w:r>
          </w:p>
        </w:tc>
        <w:tc>
          <w:tcPr>
            <w:tcW w:w="1134" w:type="dxa"/>
            <w:tcMar>
              <w:left w:w="57" w:type="dxa"/>
              <w:right w:w="57" w:type="dxa"/>
            </w:tcMar>
          </w:tcPr>
          <w:p w:rsidR="001B1C5F" w:rsidRPr="00EB57D6" w:rsidRDefault="001B1C5F" w:rsidP="001B1C5F">
            <w:pPr>
              <w:jc w:val="left"/>
              <w:rPr>
                <w:rFonts w:cs="Arial"/>
                <w:sz w:val="16"/>
                <w:szCs w:val="16"/>
              </w:rPr>
            </w:pPr>
            <w:r w:rsidRPr="00EB57D6">
              <w:rPr>
                <w:rFonts w:cs="Arial"/>
                <w:sz w:val="16"/>
                <w:szCs w:val="16"/>
              </w:rPr>
              <w:t>26 août 2020</w:t>
            </w:r>
          </w:p>
        </w:tc>
        <w:tc>
          <w:tcPr>
            <w:tcW w:w="1276" w:type="dxa"/>
            <w:tcMar>
              <w:left w:w="57" w:type="dxa"/>
              <w:right w:w="57" w:type="dxa"/>
            </w:tcMar>
          </w:tcPr>
          <w:p w:rsidR="001B1C5F" w:rsidRPr="00EB57D6" w:rsidRDefault="001B1C5F" w:rsidP="001B1C5F">
            <w:pPr>
              <w:jc w:val="left"/>
              <w:rPr>
                <w:rFonts w:cs="Arial"/>
                <w:sz w:val="16"/>
                <w:szCs w:val="16"/>
              </w:rPr>
            </w:pPr>
            <w:r w:rsidRPr="00EB57D6">
              <w:rPr>
                <w:rFonts w:cs="Arial"/>
                <w:sz w:val="16"/>
                <w:szCs w:val="16"/>
              </w:rPr>
              <w:t>En ligne</w:t>
            </w:r>
          </w:p>
        </w:tc>
        <w:tc>
          <w:tcPr>
            <w:tcW w:w="1021" w:type="dxa"/>
            <w:tcMar>
              <w:left w:w="57" w:type="dxa"/>
              <w:right w:w="57" w:type="dxa"/>
            </w:tcMar>
          </w:tcPr>
          <w:p w:rsidR="001B1C5F" w:rsidRPr="00EB57D6" w:rsidRDefault="001B1C5F" w:rsidP="001B1C5F">
            <w:pPr>
              <w:jc w:val="left"/>
              <w:rPr>
                <w:rFonts w:cs="Arial"/>
                <w:sz w:val="16"/>
                <w:szCs w:val="16"/>
              </w:rPr>
            </w:pPr>
            <w:r w:rsidRPr="00EB57D6">
              <w:rPr>
                <w:rFonts w:cs="Arial"/>
                <w:sz w:val="16"/>
                <w:szCs w:val="16"/>
              </w:rPr>
              <w:t>Université de Goiás</w:t>
            </w:r>
          </w:p>
        </w:tc>
        <w:tc>
          <w:tcPr>
            <w:tcW w:w="1531" w:type="dxa"/>
            <w:tcMar>
              <w:left w:w="57" w:type="dxa"/>
              <w:right w:w="57" w:type="dxa"/>
            </w:tcMar>
          </w:tcPr>
          <w:p w:rsidR="001B1C5F" w:rsidRPr="00EB57D6" w:rsidRDefault="001B1C5F" w:rsidP="001B1C5F">
            <w:pPr>
              <w:jc w:val="left"/>
              <w:rPr>
                <w:rFonts w:cs="Arial"/>
                <w:sz w:val="16"/>
                <w:szCs w:val="16"/>
              </w:rPr>
            </w:pPr>
            <w:r w:rsidRPr="00EB57D6">
              <w:rPr>
                <w:rFonts w:cs="Arial"/>
                <w:color w:val="000000"/>
                <w:sz w:val="16"/>
                <w:szCs w:val="16"/>
              </w:rPr>
              <w:t>Deuxième colloque sur la génétique et la sélection végétale</w:t>
            </w:r>
          </w:p>
        </w:tc>
        <w:tc>
          <w:tcPr>
            <w:tcW w:w="2268" w:type="dxa"/>
            <w:tcMar>
              <w:left w:w="57" w:type="dxa"/>
              <w:right w:w="57" w:type="dxa"/>
            </w:tcMar>
          </w:tcPr>
          <w:p w:rsidR="001B1C5F" w:rsidRPr="00EB57D6" w:rsidRDefault="001B1C5F" w:rsidP="001B1C5F">
            <w:pPr>
              <w:jc w:val="left"/>
              <w:rPr>
                <w:rFonts w:cs="Arial"/>
                <w:sz w:val="16"/>
                <w:szCs w:val="16"/>
              </w:rPr>
            </w:pPr>
            <w:r w:rsidRPr="00EB57D6">
              <w:rPr>
                <w:rFonts w:cs="Arial"/>
                <w:sz w:val="16"/>
                <w:szCs w:val="16"/>
              </w:rPr>
              <w:t>Environ 1000 participants (étudiants, professeurs, scientifiques, chercheurs, etc.)</w:t>
            </w:r>
          </w:p>
        </w:tc>
        <w:tc>
          <w:tcPr>
            <w:tcW w:w="1559" w:type="dxa"/>
            <w:tcMar>
              <w:left w:w="57" w:type="dxa"/>
              <w:right w:w="57" w:type="dxa"/>
            </w:tcMar>
          </w:tcPr>
          <w:p w:rsidR="001B1C5F" w:rsidRPr="00EB57D6" w:rsidRDefault="001B1C5F" w:rsidP="001B1C5F">
            <w:pPr>
              <w:jc w:val="left"/>
              <w:rPr>
                <w:rFonts w:cs="Arial"/>
                <w:sz w:val="16"/>
                <w:szCs w:val="16"/>
              </w:rPr>
            </w:pPr>
            <w:r w:rsidRPr="00EB57D6">
              <w:rPr>
                <w:rFonts w:cs="Arial"/>
                <w:sz w:val="16"/>
                <w:szCs w:val="16"/>
              </w:rPr>
              <w:t xml:space="preserve">100 étudiants et professionnels </w:t>
            </w:r>
          </w:p>
        </w:tc>
      </w:tr>
    </w:tbl>
    <w:p w:rsidR="001B1C5F" w:rsidRPr="00EB57D6" w:rsidRDefault="001B1C5F" w:rsidP="001B1C5F">
      <w:pPr>
        <w:rPr>
          <w:sz w:val="18"/>
        </w:rPr>
      </w:pPr>
    </w:p>
    <w:p w:rsidR="001B1C5F" w:rsidRPr="00EB57D6" w:rsidRDefault="001B1C5F" w:rsidP="001B1C5F">
      <w:pPr>
        <w:rPr>
          <w:sz w:val="18"/>
        </w:rPr>
      </w:pPr>
    </w:p>
    <w:p w:rsidR="001B1C5F" w:rsidRPr="00EB57D6" w:rsidRDefault="001B1C5F" w:rsidP="001B1C5F">
      <w:pPr>
        <w:rPr>
          <w:sz w:val="18"/>
        </w:rPr>
      </w:pPr>
      <w:r w:rsidRPr="00EB57D6">
        <w:t>II.</w:t>
      </w:r>
      <w:r w:rsidRPr="00EB57D6">
        <w:tab/>
        <w:t>AUTRES ÉLÉMENTS NOUVEAUX PRÉSENTANT UN INTÉRÊT POUR L’UPOV</w:t>
      </w:r>
    </w:p>
    <w:p w:rsidR="001B1C5F" w:rsidRPr="00EB57D6" w:rsidRDefault="001B1C5F" w:rsidP="001B1C5F">
      <w:pPr>
        <w:rPr>
          <w:sz w:val="18"/>
        </w:rPr>
      </w:pPr>
    </w:p>
    <w:p w:rsidR="001B1C5F" w:rsidRPr="00EB57D6" w:rsidRDefault="001B1C5F" w:rsidP="001B1C5F">
      <w:pPr>
        <w:ind w:left="1134" w:hanging="709"/>
        <w:rPr>
          <w:sz w:val="18"/>
        </w:rPr>
      </w:pPr>
      <w:r w:rsidRPr="00EB57D6">
        <w:t>Aucun élément nouveau.</w:t>
      </w:r>
    </w:p>
    <w:p w:rsidR="001B1C5F" w:rsidRPr="00EB57D6" w:rsidRDefault="001B1C5F" w:rsidP="001B1C5F">
      <w:pPr>
        <w:rPr>
          <w:sz w:val="18"/>
        </w:rPr>
      </w:pPr>
    </w:p>
    <w:p w:rsidR="00845D57" w:rsidRPr="00EB57D6" w:rsidRDefault="00845D57" w:rsidP="00845D57">
      <w:pPr>
        <w:jc w:val="left"/>
      </w:pPr>
    </w:p>
    <w:p w:rsidR="001B1C5F" w:rsidRPr="00EB57D6" w:rsidRDefault="001B1C5F" w:rsidP="00845D57">
      <w:pPr>
        <w:jc w:val="left"/>
      </w:pPr>
    </w:p>
    <w:p w:rsidR="00845D57" w:rsidRPr="00EB57D6" w:rsidRDefault="00845D57" w:rsidP="00845D57">
      <w:pPr>
        <w:jc w:val="right"/>
      </w:pPr>
      <w:r w:rsidRPr="00EB57D6">
        <w:t>[L’annexe IV suit]</w:t>
      </w:r>
    </w:p>
    <w:p w:rsidR="00845D57" w:rsidRPr="00EB57D6" w:rsidRDefault="00845D57" w:rsidP="00845D57"/>
    <w:p w:rsidR="00845D57" w:rsidRPr="00EB57D6" w:rsidRDefault="00845D57" w:rsidP="00845D57">
      <w:pPr>
        <w:jc w:val="left"/>
        <w:sectPr w:rsidR="00845D57" w:rsidRPr="00EB57D6" w:rsidSect="009B2909">
          <w:headerReference w:type="default" r:id="rId12"/>
          <w:pgSz w:w="11907" w:h="16840" w:code="9"/>
          <w:pgMar w:top="510" w:right="1134" w:bottom="1134" w:left="1134" w:header="510" w:footer="680" w:gutter="0"/>
          <w:pgNumType w:start="1"/>
          <w:cols w:space="720"/>
          <w:titlePg/>
        </w:sectPr>
      </w:pPr>
    </w:p>
    <w:p w:rsidR="00845D57" w:rsidRPr="00EB57D6" w:rsidRDefault="00845D57" w:rsidP="00845D57">
      <w:pPr>
        <w:jc w:val="center"/>
      </w:pPr>
      <w:r w:rsidRPr="00EB57D6">
        <w:lastRenderedPageBreak/>
        <w:t>C/54/INF/4</w:t>
      </w:r>
    </w:p>
    <w:p w:rsidR="00845D57" w:rsidRPr="00EB57D6" w:rsidRDefault="00845D57" w:rsidP="00845D57">
      <w:pPr>
        <w:jc w:val="center"/>
      </w:pPr>
    </w:p>
    <w:p w:rsidR="00845D57" w:rsidRPr="00EB57D6" w:rsidRDefault="00845D57" w:rsidP="00845D57">
      <w:pPr>
        <w:jc w:val="center"/>
      </w:pPr>
      <w:r w:rsidRPr="00EB57D6">
        <w:t>ANNEXE IV</w:t>
      </w:r>
    </w:p>
    <w:p w:rsidR="00845D57" w:rsidRPr="00EB57D6" w:rsidRDefault="00845D57" w:rsidP="00845D57">
      <w:pPr>
        <w:jc w:val="center"/>
      </w:pPr>
    </w:p>
    <w:p w:rsidR="00845D57" w:rsidRPr="00EB57D6" w:rsidRDefault="00845D57" w:rsidP="00845D57">
      <w:pPr>
        <w:jc w:val="center"/>
      </w:pPr>
    </w:p>
    <w:p w:rsidR="00F06BA1" w:rsidRPr="00EB57D6" w:rsidRDefault="00F06BA1" w:rsidP="00F06BA1">
      <w:pPr>
        <w:jc w:val="center"/>
        <w:rPr>
          <w:sz w:val="18"/>
        </w:rPr>
      </w:pPr>
      <w:r w:rsidRPr="00EB57D6">
        <w:t>CHINE</w:t>
      </w:r>
    </w:p>
    <w:p w:rsidR="00F06BA1" w:rsidRPr="00EB57D6" w:rsidRDefault="00F06BA1" w:rsidP="00F06BA1">
      <w:pPr>
        <w:jc w:val="center"/>
        <w:rPr>
          <w:sz w:val="18"/>
        </w:rPr>
      </w:pPr>
    </w:p>
    <w:p w:rsidR="00F06BA1" w:rsidRPr="00EB57D6" w:rsidRDefault="00F06BA1" w:rsidP="00F06BA1">
      <w:pPr>
        <w:jc w:val="center"/>
        <w:rPr>
          <w:sz w:val="18"/>
        </w:rPr>
      </w:pPr>
    </w:p>
    <w:p w:rsidR="00F06BA1" w:rsidRPr="00EB57D6" w:rsidRDefault="00F06BA1" w:rsidP="00F06BA1">
      <w:pPr>
        <w:rPr>
          <w:sz w:val="18"/>
        </w:rPr>
      </w:pPr>
      <w:r w:rsidRPr="00EB57D6">
        <w:t>AUTRES ÉLÉMENTS NOUVEAUX PRÉSENTANT UN INTÉRÊT POUR L’UPOV</w:t>
      </w:r>
    </w:p>
    <w:p w:rsidR="00F06BA1" w:rsidRPr="00EB57D6" w:rsidRDefault="00F06BA1" w:rsidP="00F06BA1">
      <w:pPr>
        <w:rPr>
          <w:sz w:val="18"/>
        </w:rPr>
      </w:pPr>
    </w:p>
    <w:p w:rsidR="00F06BA1" w:rsidRPr="00EB57D6" w:rsidRDefault="00F06BA1" w:rsidP="00F06BA1">
      <w:pPr>
        <w:rPr>
          <w:rFonts w:cs="Arial"/>
          <w:sz w:val="18"/>
        </w:rPr>
      </w:pPr>
      <w:r w:rsidRPr="00EB57D6">
        <w:rPr>
          <w:rFonts w:cs="Arial"/>
          <w:color w:val="000000"/>
        </w:rPr>
        <w:t>La Chine a augmenté sa contribution annuelle à l’UPOV de 0,5 (26 820 francs suisses) à 2,0 (107 282 francs suisses) unités à partir de 2020 et a contribué au fonds de roulement en conséquence (12 499 francs suisses).</w:t>
      </w:r>
    </w:p>
    <w:p w:rsidR="00845D57" w:rsidRPr="00EB57D6" w:rsidRDefault="00845D57" w:rsidP="00845D57">
      <w:pPr>
        <w:jc w:val="left"/>
      </w:pPr>
    </w:p>
    <w:p w:rsidR="00F06BA1" w:rsidRPr="00EB57D6" w:rsidRDefault="00F06BA1" w:rsidP="00845D57">
      <w:pPr>
        <w:jc w:val="left"/>
      </w:pPr>
    </w:p>
    <w:p w:rsidR="00F06BA1" w:rsidRPr="00EB57D6" w:rsidRDefault="00F06BA1" w:rsidP="00845D57">
      <w:pPr>
        <w:jc w:val="left"/>
      </w:pPr>
    </w:p>
    <w:p w:rsidR="00845D57" w:rsidRPr="00EB57D6" w:rsidRDefault="00845D57" w:rsidP="00845D57">
      <w:pPr>
        <w:jc w:val="right"/>
      </w:pPr>
      <w:r w:rsidRPr="00EB57D6">
        <w:t>[L’annexe V suit]</w:t>
      </w:r>
    </w:p>
    <w:p w:rsidR="00845D57" w:rsidRPr="00EB57D6" w:rsidRDefault="00845D57" w:rsidP="00845D57"/>
    <w:p w:rsidR="00845D57" w:rsidRPr="00EB57D6" w:rsidRDefault="00845D57" w:rsidP="00845D57">
      <w:pPr>
        <w:jc w:val="left"/>
        <w:sectPr w:rsidR="00845D57" w:rsidRPr="00EB57D6" w:rsidSect="009B2909">
          <w:headerReference w:type="default" r:id="rId13"/>
          <w:pgSz w:w="11907" w:h="16840" w:code="9"/>
          <w:pgMar w:top="510" w:right="1134" w:bottom="1134" w:left="1134" w:header="510" w:footer="680" w:gutter="0"/>
          <w:pgNumType w:start="1"/>
          <w:cols w:space="720"/>
          <w:titlePg/>
        </w:sectPr>
      </w:pPr>
    </w:p>
    <w:p w:rsidR="00845D57" w:rsidRPr="00EB57D6" w:rsidRDefault="00845D57" w:rsidP="00845D57">
      <w:pPr>
        <w:jc w:val="center"/>
      </w:pPr>
      <w:r w:rsidRPr="00EB57D6">
        <w:lastRenderedPageBreak/>
        <w:t>C/54/INF/4</w:t>
      </w:r>
    </w:p>
    <w:p w:rsidR="00845D57" w:rsidRPr="00EB57D6" w:rsidRDefault="00845D57" w:rsidP="00845D57">
      <w:pPr>
        <w:jc w:val="center"/>
      </w:pPr>
    </w:p>
    <w:p w:rsidR="00845D57" w:rsidRPr="00EB57D6" w:rsidRDefault="00845D57" w:rsidP="00845D57">
      <w:pPr>
        <w:jc w:val="center"/>
      </w:pPr>
      <w:r w:rsidRPr="00EB57D6">
        <w:t>ANNEXE V</w:t>
      </w:r>
    </w:p>
    <w:p w:rsidR="00845D57" w:rsidRPr="00EB57D6" w:rsidRDefault="00845D57" w:rsidP="00845D57">
      <w:pPr>
        <w:jc w:val="center"/>
      </w:pPr>
    </w:p>
    <w:p w:rsidR="00845D57" w:rsidRPr="00EB57D6" w:rsidRDefault="00845D57" w:rsidP="00845D57">
      <w:pPr>
        <w:jc w:val="center"/>
      </w:pPr>
    </w:p>
    <w:p w:rsidR="00AE5439" w:rsidRPr="00EB57D6" w:rsidRDefault="00AE5439" w:rsidP="00AE5439">
      <w:pPr>
        <w:jc w:val="center"/>
        <w:rPr>
          <w:sz w:val="18"/>
        </w:rPr>
      </w:pPr>
      <w:r w:rsidRPr="00EB57D6">
        <w:t>DANEMARK</w:t>
      </w:r>
    </w:p>
    <w:p w:rsidR="00AE5439" w:rsidRPr="00EB57D6" w:rsidRDefault="00AE5439" w:rsidP="00AE5439">
      <w:pPr>
        <w:jc w:val="center"/>
        <w:rPr>
          <w:sz w:val="18"/>
        </w:rPr>
      </w:pPr>
    </w:p>
    <w:p w:rsidR="00AE5439" w:rsidRPr="00EB57D6" w:rsidRDefault="00AE5439" w:rsidP="00AE5439">
      <w:pPr>
        <w:jc w:val="center"/>
        <w:rPr>
          <w:sz w:val="18"/>
        </w:rPr>
      </w:pPr>
    </w:p>
    <w:p w:rsidR="00AE5439" w:rsidRPr="00EB57D6" w:rsidRDefault="00AE5439" w:rsidP="00AE5439">
      <w:pPr>
        <w:rPr>
          <w:sz w:val="18"/>
        </w:rPr>
      </w:pPr>
      <w:r w:rsidRPr="00EB57D6">
        <w:t>I.</w:t>
      </w:r>
      <w:r w:rsidRPr="00EB57D6">
        <w:rPr>
          <w:color w:val="000000"/>
        </w:rPr>
        <w:tab/>
      </w:r>
      <w:r w:rsidRPr="00EB57D6">
        <w:t>PROTECTION DES OBTENTIONS VÉGÉTALES</w:t>
      </w:r>
    </w:p>
    <w:p w:rsidR="00AE5439" w:rsidRPr="00EB57D6" w:rsidRDefault="00AE5439" w:rsidP="00AE5439">
      <w:pPr>
        <w:rPr>
          <w:sz w:val="18"/>
        </w:rPr>
      </w:pPr>
    </w:p>
    <w:p w:rsidR="00AE5439" w:rsidRPr="00EB57D6" w:rsidRDefault="00AE5439" w:rsidP="00AE5439">
      <w:pPr>
        <w:rPr>
          <w:sz w:val="18"/>
        </w:rPr>
      </w:pPr>
      <w:r w:rsidRPr="00EB57D6">
        <w:t>1.</w:t>
      </w:r>
      <w:r w:rsidRPr="00EB57D6">
        <w:tab/>
      </w:r>
      <w:r w:rsidRPr="00EB57D6">
        <w:rPr>
          <w:u w:val="single"/>
        </w:rPr>
        <w:t>Situation dans le domaine législatif</w:t>
      </w:r>
    </w:p>
    <w:p w:rsidR="00AE5439" w:rsidRPr="00EB57D6" w:rsidRDefault="00AE5439" w:rsidP="00AE5439">
      <w:pPr>
        <w:rPr>
          <w:sz w:val="18"/>
        </w:rPr>
      </w:pPr>
    </w:p>
    <w:p w:rsidR="00AE5439" w:rsidRPr="00EB57D6" w:rsidRDefault="00AE5439" w:rsidP="00AE5439">
      <w:pPr>
        <w:rPr>
          <w:sz w:val="18"/>
        </w:rPr>
      </w:pPr>
      <w:r w:rsidRPr="00EB57D6">
        <w:rPr>
          <w:color w:val="000000"/>
        </w:rPr>
        <w:t>Le 15 juin 2020, le Danemark a modifié des parties de sa loi sur la protection des obtentions végétales.  Les modifications visent principalement à donner la possibilité à davantage d’entreprises d’effectuer des examens DHS.  Voir ci-dessous.</w:t>
      </w:r>
    </w:p>
    <w:p w:rsidR="00AE5439" w:rsidRPr="00EB57D6" w:rsidRDefault="00AE5439" w:rsidP="00AE5439">
      <w:pPr>
        <w:rPr>
          <w:sz w:val="18"/>
        </w:rPr>
      </w:pPr>
    </w:p>
    <w:p w:rsidR="00AE5439" w:rsidRPr="00EB57D6" w:rsidRDefault="00AE5439" w:rsidP="00AE5439">
      <w:pPr>
        <w:rPr>
          <w:sz w:val="18"/>
        </w:rPr>
      </w:pPr>
      <w:r w:rsidRPr="00EB57D6">
        <w:t>Les modifications ne prévoient aucun changement en ce qui concerne les conditions d’obtention de la protection d’une obtention végétale.</w:t>
      </w:r>
    </w:p>
    <w:p w:rsidR="00AE5439" w:rsidRPr="00EB57D6" w:rsidRDefault="00AE5439" w:rsidP="00AE5439">
      <w:pPr>
        <w:rPr>
          <w:sz w:val="18"/>
        </w:rPr>
      </w:pPr>
    </w:p>
    <w:p w:rsidR="00AE5439" w:rsidRPr="00EB57D6" w:rsidRDefault="00AE5439" w:rsidP="00AE5439">
      <w:pPr>
        <w:rPr>
          <w:sz w:val="18"/>
        </w:rPr>
      </w:pPr>
      <w:r w:rsidRPr="00EB57D6">
        <w:rPr>
          <w:color w:val="000000"/>
        </w:rPr>
        <w:t>Le Danemark est actuellement en train de travailler sur une traduction en anglais de la nouvelle loi codifiée.  Le Danemark enverra la traduction de la loi à l’UPOV dès que possible.</w:t>
      </w:r>
    </w:p>
    <w:p w:rsidR="00AE5439" w:rsidRPr="00EB57D6" w:rsidRDefault="00AE5439" w:rsidP="00AE5439">
      <w:pPr>
        <w:rPr>
          <w:sz w:val="18"/>
        </w:rPr>
      </w:pPr>
    </w:p>
    <w:p w:rsidR="00AE5439" w:rsidRPr="00EB57D6" w:rsidRDefault="00AE5439" w:rsidP="00AE5439">
      <w:pPr>
        <w:rPr>
          <w:sz w:val="18"/>
        </w:rPr>
      </w:pPr>
    </w:p>
    <w:p w:rsidR="00AE5439" w:rsidRPr="00EB57D6" w:rsidRDefault="00AE5439" w:rsidP="00AE5439">
      <w:pPr>
        <w:rPr>
          <w:sz w:val="18"/>
        </w:rPr>
      </w:pPr>
      <w:r w:rsidRPr="00EB57D6">
        <w:rPr>
          <w:color w:val="000000"/>
        </w:rPr>
        <w:t>2.</w:t>
      </w:r>
      <w:r w:rsidRPr="00EB57D6">
        <w:rPr>
          <w:color w:val="000000"/>
        </w:rPr>
        <w:tab/>
      </w:r>
      <w:r w:rsidRPr="00EB57D6">
        <w:rPr>
          <w:color w:val="000000"/>
          <w:u w:val="single"/>
        </w:rPr>
        <w:t>Coopération en matière d’examen</w:t>
      </w:r>
      <w:r w:rsidRPr="00EB57D6">
        <w:rPr>
          <w:color w:val="000000"/>
        </w:rPr>
        <w:t> : Aucun élément nouveau.</w:t>
      </w:r>
    </w:p>
    <w:p w:rsidR="00AE5439" w:rsidRPr="00EB57D6" w:rsidRDefault="00AE5439" w:rsidP="00AE5439">
      <w:pPr>
        <w:tabs>
          <w:tab w:val="left" w:pos="426"/>
          <w:tab w:val="left" w:pos="851"/>
        </w:tabs>
        <w:rPr>
          <w:sz w:val="18"/>
        </w:rPr>
      </w:pPr>
    </w:p>
    <w:p w:rsidR="00AE5439" w:rsidRPr="00EB57D6" w:rsidRDefault="00AE5439" w:rsidP="00AE5439">
      <w:pPr>
        <w:rPr>
          <w:sz w:val="18"/>
        </w:rPr>
      </w:pPr>
    </w:p>
    <w:p w:rsidR="00AE5439" w:rsidRPr="00EB57D6" w:rsidRDefault="00AE5439" w:rsidP="00AE5439">
      <w:pPr>
        <w:rPr>
          <w:sz w:val="18"/>
          <w:u w:val="single"/>
        </w:rPr>
      </w:pPr>
      <w:r w:rsidRPr="00EB57D6">
        <w:t>3.</w:t>
      </w:r>
      <w:r w:rsidRPr="00EB57D6">
        <w:tab/>
      </w:r>
      <w:r w:rsidRPr="00EB57D6">
        <w:rPr>
          <w:u w:val="single"/>
        </w:rPr>
        <w:t>Situation dans le domaine administratif</w:t>
      </w:r>
    </w:p>
    <w:p w:rsidR="00AE5439" w:rsidRPr="00EB57D6" w:rsidRDefault="00AE5439" w:rsidP="00AE5439">
      <w:pPr>
        <w:rPr>
          <w:sz w:val="18"/>
        </w:rPr>
      </w:pPr>
    </w:p>
    <w:p w:rsidR="00AE5439" w:rsidRPr="00EB57D6" w:rsidRDefault="00AE5439" w:rsidP="00AE5439">
      <w:pPr>
        <w:rPr>
          <w:sz w:val="18"/>
        </w:rPr>
      </w:pPr>
      <w:r w:rsidRPr="00EB57D6">
        <w:rPr>
          <w:color w:val="000000"/>
        </w:rPr>
        <w:t>La modification de la loi danoise sur la protection des obtentions végétales permet à toutes les entreprises ayant de l’expérience dans l’examen DHS d’être désignées par les services agricoles danois pour effectuer l’examen DHS en vue d’une demande nationale de protection d’obtention végétale.</w:t>
      </w:r>
    </w:p>
    <w:p w:rsidR="00AE5439" w:rsidRPr="00EB57D6" w:rsidRDefault="00AE5439" w:rsidP="00AE5439">
      <w:pPr>
        <w:rPr>
          <w:sz w:val="18"/>
        </w:rPr>
      </w:pPr>
    </w:p>
    <w:p w:rsidR="00AE5439" w:rsidRPr="00EB57D6" w:rsidRDefault="00AE5439" w:rsidP="00AE5439">
      <w:pPr>
        <w:rPr>
          <w:sz w:val="18"/>
        </w:rPr>
      </w:pPr>
      <w:r w:rsidRPr="00EB57D6">
        <w:rPr>
          <w:color w:val="000000"/>
        </w:rPr>
        <w:t xml:space="preserve">Jusqu’à la modification de la loi, la Fondation </w:t>
      </w:r>
      <w:proofErr w:type="spellStart"/>
      <w:r w:rsidRPr="00EB57D6">
        <w:rPr>
          <w:color w:val="000000"/>
        </w:rPr>
        <w:t>Tystofte</w:t>
      </w:r>
      <w:proofErr w:type="spellEnd"/>
      <w:r w:rsidRPr="00EB57D6">
        <w:rPr>
          <w:color w:val="000000"/>
        </w:rPr>
        <w:t xml:space="preserve"> était la seule entreprise qui pouvait effectuer des examens DHS au Danemark, tâche qui était déléguée par le Ministère de l’environnement et de l’agriculture.  </w:t>
      </w:r>
      <w:r w:rsidRPr="00EB57D6">
        <w:t>Ce n’est plus le cas.</w:t>
      </w:r>
    </w:p>
    <w:p w:rsidR="00AE5439" w:rsidRPr="00EB57D6" w:rsidRDefault="00AE5439" w:rsidP="00AE5439">
      <w:pPr>
        <w:rPr>
          <w:sz w:val="18"/>
        </w:rPr>
      </w:pPr>
    </w:p>
    <w:p w:rsidR="00AE5439" w:rsidRPr="00EB57D6" w:rsidRDefault="00AE5439" w:rsidP="00AE5439">
      <w:pPr>
        <w:rPr>
          <w:sz w:val="18"/>
        </w:rPr>
      </w:pPr>
      <w:r w:rsidRPr="00EB57D6">
        <w:rPr>
          <w:color w:val="000000"/>
        </w:rPr>
        <w:t>Les sociétés qui souhaitent effectuer un examen DHS doivent envoyer une demande aux services agricoles danois et remplir certaines conditions prévues par un arrêté national, par exemple obtenir l’agrément de l’OCVV et avoir une expérience suffisante.  Les services agricoles danois accorderont l’agrément aux entreprises si celles-ci remplissent toutes les conditions.  En outre, les services agricoles danois effectueront des contrôles permanents auprès des entreprises pour s’assurer qu’elles remplissent en permanence les conditions de maintien de leur agrément.</w:t>
      </w:r>
    </w:p>
    <w:p w:rsidR="00AE5439" w:rsidRPr="00EB57D6" w:rsidRDefault="00AE5439" w:rsidP="00AE5439">
      <w:pPr>
        <w:rPr>
          <w:sz w:val="18"/>
        </w:rPr>
      </w:pPr>
    </w:p>
    <w:p w:rsidR="00AE5439" w:rsidRPr="00EB57D6" w:rsidRDefault="00AE5439" w:rsidP="00AE5439">
      <w:pPr>
        <w:rPr>
          <w:sz w:val="18"/>
        </w:rPr>
      </w:pPr>
      <w:r w:rsidRPr="00EB57D6">
        <w:rPr>
          <w:color w:val="000000"/>
        </w:rPr>
        <w:t>Aucun élément nouveau concernant le processus décisionnel.</w:t>
      </w:r>
    </w:p>
    <w:p w:rsidR="00AE5439" w:rsidRPr="00EB57D6" w:rsidRDefault="00AE5439" w:rsidP="00AE5439">
      <w:pPr>
        <w:rPr>
          <w:sz w:val="18"/>
        </w:rPr>
      </w:pPr>
    </w:p>
    <w:p w:rsidR="00AE5439" w:rsidRPr="00EB57D6" w:rsidRDefault="00AE5439" w:rsidP="00AE5439">
      <w:pPr>
        <w:rPr>
          <w:sz w:val="18"/>
        </w:rPr>
      </w:pPr>
    </w:p>
    <w:p w:rsidR="00AE5439" w:rsidRPr="00EB57D6" w:rsidRDefault="00AE5439" w:rsidP="00AE5439">
      <w:pPr>
        <w:rPr>
          <w:sz w:val="18"/>
        </w:rPr>
      </w:pPr>
      <w:r w:rsidRPr="00EB57D6">
        <w:t>4.</w:t>
      </w:r>
      <w:r w:rsidRPr="00EB57D6">
        <w:tab/>
      </w:r>
      <w:r w:rsidRPr="00EB57D6">
        <w:rPr>
          <w:u w:val="single"/>
        </w:rPr>
        <w:t>Situation dans le domaine technique</w:t>
      </w:r>
    </w:p>
    <w:p w:rsidR="00AE5439" w:rsidRPr="00EB57D6" w:rsidRDefault="00AE5439" w:rsidP="00AE5439">
      <w:pPr>
        <w:rPr>
          <w:sz w:val="18"/>
        </w:rPr>
      </w:pPr>
    </w:p>
    <w:p w:rsidR="00AE5439" w:rsidRPr="00EB57D6" w:rsidRDefault="00AE5439" w:rsidP="00AE5439">
      <w:pPr>
        <w:rPr>
          <w:sz w:val="18"/>
        </w:rPr>
      </w:pPr>
      <w:r w:rsidRPr="00EB57D6">
        <w:rPr>
          <w:color w:val="000000"/>
        </w:rPr>
        <w:t>Le Danemark a commencé l’examen DHS du seigle (</w:t>
      </w:r>
      <w:proofErr w:type="spellStart"/>
      <w:r w:rsidRPr="00EB57D6">
        <w:rPr>
          <w:color w:val="000000"/>
        </w:rPr>
        <w:t>Secale</w:t>
      </w:r>
      <w:proofErr w:type="spellEnd"/>
      <w:r w:rsidRPr="00EB57D6">
        <w:rPr>
          <w:color w:val="000000"/>
        </w:rPr>
        <w:t xml:space="preserve"> </w:t>
      </w:r>
      <w:proofErr w:type="spellStart"/>
      <w:r w:rsidRPr="00EB57D6">
        <w:rPr>
          <w:color w:val="000000"/>
        </w:rPr>
        <w:t>cereal</w:t>
      </w:r>
      <w:proofErr w:type="spellEnd"/>
      <w:r w:rsidRPr="00EB57D6">
        <w:rPr>
          <w:color w:val="000000"/>
        </w:rPr>
        <w:t>).</w:t>
      </w:r>
    </w:p>
    <w:p w:rsidR="00AE5439" w:rsidRPr="00EB57D6" w:rsidRDefault="00AE5439" w:rsidP="00AE5439">
      <w:pPr>
        <w:rPr>
          <w:sz w:val="18"/>
        </w:rPr>
      </w:pPr>
    </w:p>
    <w:p w:rsidR="00AE5439" w:rsidRPr="00EB57D6" w:rsidRDefault="00AE5439" w:rsidP="00AE5439">
      <w:pPr>
        <w:rPr>
          <w:sz w:val="18"/>
        </w:rPr>
      </w:pPr>
      <w:r w:rsidRPr="00EB57D6">
        <w:rPr>
          <w:color w:val="000000"/>
        </w:rPr>
        <w:t>5.</w:t>
      </w:r>
      <w:r w:rsidRPr="00EB57D6">
        <w:rPr>
          <w:color w:val="000000"/>
        </w:rPr>
        <w:tab/>
      </w:r>
      <w:r w:rsidRPr="00EB57D6">
        <w:rPr>
          <w:color w:val="000000"/>
          <w:u w:val="single"/>
        </w:rPr>
        <w:t>Activités de promotion de la protection des obtentions végétales</w:t>
      </w:r>
      <w:r w:rsidRPr="00EB57D6">
        <w:rPr>
          <w:color w:val="000000"/>
        </w:rPr>
        <w:t> : Aucun élément nouveau.</w:t>
      </w:r>
    </w:p>
    <w:p w:rsidR="00AE5439" w:rsidRPr="00EB57D6" w:rsidRDefault="00AE5439" w:rsidP="00AE5439">
      <w:pPr>
        <w:rPr>
          <w:sz w:val="18"/>
        </w:rPr>
      </w:pPr>
    </w:p>
    <w:p w:rsidR="00AE5439" w:rsidRPr="00EB57D6" w:rsidRDefault="00AE5439" w:rsidP="00AE5439">
      <w:pPr>
        <w:rPr>
          <w:sz w:val="18"/>
        </w:rPr>
      </w:pPr>
    </w:p>
    <w:p w:rsidR="00AE5439" w:rsidRPr="00EB57D6" w:rsidRDefault="00AE5439" w:rsidP="00AE5439">
      <w:pPr>
        <w:rPr>
          <w:sz w:val="18"/>
        </w:rPr>
      </w:pPr>
      <w:r w:rsidRPr="00EB57D6">
        <w:t>II.</w:t>
      </w:r>
      <w:r w:rsidRPr="00EB57D6">
        <w:tab/>
        <w:t>AUTRES ÉLÉMENTS NOUVEAUX PRÉSENTANT UN INTÉRÊT POUR L’UPOV</w:t>
      </w:r>
    </w:p>
    <w:p w:rsidR="00AE5439" w:rsidRPr="00EB57D6" w:rsidRDefault="00AE5439" w:rsidP="00AE5439">
      <w:pPr>
        <w:rPr>
          <w:sz w:val="18"/>
        </w:rPr>
      </w:pPr>
    </w:p>
    <w:p w:rsidR="00AE5439" w:rsidRPr="00EB57D6" w:rsidRDefault="00AE5439" w:rsidP="00AE5439">
      <w:pPr>
        <w:rPr>
          <w:sz w:val="18"/>
        </w:rPr>
      </w:pPr>
      <w:r w:rsidRPr="00EB57D6">
        <w:t>Aucun élément nouveau.</w:t>
      </w:r>
    </w:p>
    <w:p w:rsidR="00AE5439" w:rsidRPr="00EB57D6" w:rsidRDefault="00AE5439" w:rsidP="00AE5439">
      <w:pPr>
        <w:rPr>
          <w:sz w:val="18"/>
        </w:rPr>
      </w:pPr>
    </w:p>
    <w:p w:rsidR="00845D57" w:rsidRPr="00EB57D6" w:rsidRDefault="00845D57" w:rsidP="00845D57">
      <w:pPr>
        <w:jc w:val="left"/>
      </w:pPr>
    </w:p>
    <w:p w:rsidR="00AE5439" w:rsidRPr="00EB57D6" w:rsidRDefault="00AE5439" w:rsidP="00845D57">
      <w:pPr>
        <w:jc w:val="left"/>
      </w:pPr>
    </w:p>
    <w:p w:rsidR="00845D57" w:rsidRPr="00EB57D6" w:rsidRDefault="00845D57" w:rsidP="00845D57">
      <w:pPr>
        <w:jc w:val="right"/>
      </w:pPr>
      <w:r w:rsidRPr="00EB57D6">
        <w:t>[L’annexe VI suit]</w:t>
      </w:r>
    </w:p>
    <w:p w:rsidR="00845D57" w:rsidRPr="00EB57D6" w:rsidRDefault="00845D57" w:rsidP="00845D57"/>
    <w:p w:rsidR="00845D57" w:rsidRPr="00EB57D6" w:rsidRDefault="00845D57" w:rsidP="00845D57">
      <w:pPr>
        <w:jc w:val="left"/>
        <w:sectPr w:rsidR="00845D57" w:rsidRPr="00EB57D6" w:rsidSect="009B2909">
          <w:headerReference w:type="default" r:id="rId14"/>
          <w:pgSz w:w="11907" w:h="16840" w:code="9"/>
          <w:pgMar w:top="510" w:right="1134" w:bottom="1134" w:left="1134" w:header="510" w:footer="680" w:gutter="0"/>
          <w:pgNumType w:start="1"/>
          <w:cols w:space="720"/>
          <w:titlePg/>
        </w:sectPr>
      </w:pPr>
    </w:p>
    <w:p w:rsidR="00845D57" w:rsidRPr="00EB57D6" w:rsidRDefault="00845D57" w:rsidP="00845D57">
      <w:pPr>
        <w:jc w:val="center"/>
      </w:pPr>
      <w:r w:rsidRPr="00EB57D6">
        <w:lastRenderedPageBreak/>
        <w:t>C/54/INF/4</w:t>
      </w:r>
    </w:p>
    <w:p w:rsidR="00845D57" w:rsidRPr="00EB57D6" w:rsidRDefault="00845D57" w:rsidP="00845D57">
      <w:pPr>
        <w:jc w:val="center"/>
      </w:pPr>
    </w:p>
    <w:p w:rsidR="00845D57" w:rsidRPr="00EB57D6" w:rsidRDefault="00845D57" w:rsidP="00845D57">
      <w:pPr>
        <w:jc w:val="center"/>
      </w:pPr>
      <w:r w:rsidRPr="00EB57D6">
        <w:t>ANNEXE VI</w:t>
      </w:r>
    </w:p>
    <w:p w:rsidR="00845D57" w:rsidRPr="00EB57D6" w:rsidRDefault="00845D57" w:rsidP="00845D57">
      <w:pPr>
        <w:jc w:val="center"/>
      </w:pPr>
    </w:p>
    <w:p w:rsidR="00845D57" w:rsidRPr="00EB57D6" w:rsidRDefault="00845D57" w:rsidP="00845D57">
      <w:pPr>
        <w:jc w:val="center"/>
      </w:pPr>
    </w:p>
    <w:p w:rsidR="00900EAF" w:rsidRPr="00EB57D6" w:rsidRDefault="00900EAF" w:rsidP="00900EAF">
      <w:pPr>
        <w:rPr>
          <w:sz w:val="18"/>
        </w:rPr>
      </w:pPr>
      <w:r w:rsidRPr="00EB57D6">
        <w:t>I.</w:t>
      </w:r>
      <w:r w:rsidRPr="00EB57D6">
        <w:rPr>
          <w:color w:val="000000"/>
        </w:rPr>
        <w:tab/>
      </w:r>
      <w:r w:rsidRPr="00EB57D6">
        <w:t>PROTECTION DES OBTENTIONS VÉGÉTALES</w:t>
      </w:r>
    </w:p>
    <w:p w:rsidR="00900EAF" w:rsidRPr="00EB57D6" w:rsidRDefault="00900EAF" w:rsidP="00900EAF">
      <w:pPr>
        <w:rPr>
          <w:sz w:val="18"/>
        </w:rPr>
      </w:pPr>
    </w:p>
    <w:p w:rsidR="00900EAF" w:rsidRPr="00EB57D6" w:rsidRDefault="00900EAF" w:rsidP="00900EAF">
      <w:pPr>
        <w:rPr>
          <w:sz w:val="18"/>
        </w:rPr>
      </w:pPr>
      <w:r w:rsidRPr="00EB57D6">
        <w:t>1.</w:t>
      </w:r>
      <w:r w:rsidRPr="00EB57D6">
        <w:tab/>
      </w:r>
      <w:r w:rsidRPr="00EB57D6">
        <w:rPr>
          <w:u w:val="single"/>
        </w:rPr>
        <w:t>Situation dans le domaine législatif</w:t>
      </w:r>
    </w:p>
    <w:p w:rsidR="00900EAF" w:rsidRPr="00EB57D6" w:rsidRDefault="00900EAF" w:rsidP="00900EAF">
      <w:pPr>
        <w:rPr>
          <w:sz w:val="18"/>
        </w:rPr>
      </w:pPr>
    </w:p>
    <w:p w:rsidR="00900EAF" w:rsidRPr="00EB57D6" w:rsidRDefault="00900EAF" w:rsidP="00900EAF">
      <w:pPr>
        <w:rPr>
          <w:sz w:val="18"/>
        </w:rPr>
      </w:pPr>
      <w:r w:rsidRPr="00EB57D6">
        <w:rPr>
          <w:color w:val="000000"/>
        </w:rPr>
        <w:t xml:space="preserve">Aucun élément nouveau.  </w:t>
      </w:r>
      <w:r w:rsidRPr="00EB57D6">
        <w:t>Conformément aux règles en vigueur, la protection des obtentions végétales s’étend à tous les genres et espèces du règne végétal.</w:t>
      </w:r>
    </w:p>
    <w:p w:rsidR="00900EAF" w:rsidRPr="00EB57D6" w:rsidRDefault="00900EAF" w:rsidP="00900EAF">
      <w:pPr>
        <w:rPr>
          <w:sz w:val="18"/>
        </w:rPr>
      </w:pPr>
    </w:p>
    <w:p w:rsidR="00900EAF" w:rsidRPr="00EB57D6" w:rsidRDefault="00900EAF" w:rsidP="00900EAF">
      <w:pPr>
        <w:rPr>
          <w:sz w:val="18"/>
        </w:rPr>
      </w:pPr>
    </w:p>
    <w:p w:rsidR="00900EAF" w:rsidRPr="00EB57D6" w:rsidRDefault="00900EAF" w:rsidP="00900EAF">
      <w:pPr>
        <w:rPr>
          <w:sz w:val="18"/>
        </w:rPr>
      </w:pPr>
      <w:r w:rsidRPr="00EB57D6">
        <w:t>2.</w:t>
      </w:r>
      <w:r w:rsidRPr="00EB57D6">
        <w:tab/>
      </w:r>
      <w:r w:rsidRPr="00EB57D6">
        <w:rPr>
          <w:u w:val="single"/>
        </w:rPr>
        <w:t>Coopération en matière d’examen</w:t>
      </w:r>
    </w:p>
    <w:p w:rsidR="00900EAF" w:rsidRPr="00EB57D6" w:rsidRDefault="00900EAF" w:rsidP="00900EAF">
      <w:pPr>
        <w:tabs>
          <w:tab w:val="left" w:pos="426"/>
          <w:tab w:val="left" w:pos="851"/>
        </w:tabs>
        <w:rPr>
          <w:sz w:val="18"/>
        </w:rPr>
      </w:pPr>
    </w:p>
    <w:p w:rsidR="00900EAF" w:rsidRPr="00EB57D6" w:rsidRDefault="00900EAF" w:rsidP="00900EAF">
      <w:pPr>
        <w:rPr>
          <w:sz w:val="18"/>
        </w:rPr>
      </w:pPr>
      <w:r w:rsidRPr="00EB57D6">
        <w:rPr>
          <w:color w:val="000000"/>
        </w:rPr>
        <w:t xml:space="preserve">Aucun élément nouveau.  </w:t>
      </w:r>
      <w:r w:rsidRPr="00EB57D6">
        <w:t xml:space="preserve">En vertu des </w:t>
      </w:r>
      <w:r w:rsidRPr="00EB57D6">
        <w:rPr>
          <w:color w:val="000000"/>
        </w:rPr>
        <w:t>alinéas </w:t>
      </w:r>
      <w:r w:rsidRPr="00EB57D6">
        <w:t>3) et 4) de l’article 114/R de la loi sur les brevets, les résultats des essais expérimentaux (rapport d’examen DHS) effectués par un organisme étranger compétent peuvent être pris en considération avec l’assentiment de celui-ci (…).  Le coût de l’essai expérimental est supporté par le demandeur.  L’Office hongrois de la propriété intellectuelle (HIPO) a donc pris des mesures pour conclure des accords avec des offices nationaux et régionaux afin que l’office concerné lui envoie des rapports sur l’examen technique DHS.</w:t>
      </w:r>
    </w:p>
    <w:p w:rsidR="00900EAF" w:rsidRPr="00EB57D6" w:rsidRDefault="00900EAF" w:rsidP="00900EAF">
      <w:pPr>
        <w:rPr>
          <w:sz w:val="18"/>
        </w:rPr>
      </w:pPr>
    </w:p>
    <w:p w:rsidR="00900EAF" w:rsidRPr="00EB57D6" w:rsidRDefault="00900EAF" w:rsidP="00900EAF">
      <w:pPr>
        <w:rPr>
          <w:sz w:val="18"/>
        </w:rPr>
      </w:pPr>
      <w:r w:rsidRPr="00EB57D6">
        <w:t xml:space="preserve">L’Office hongrois de la propriété intellectuelle a conclu des accords de communication de rapports d’examen technique DHS avec l’Office communautaire des variétés végétales (OCVV), le </w:t>
      </w:r>
      <w:proofErr w:type="spellStart"/>
      <w:r w:rsidRPr="00EB57D6">
        <w:t>Bundessortenamt</w:t>
      </w:r>
      <w:proofErr w:type="spellEnd"/>
      <w:r w:rsidRPr="00EB57D6">
        <w:t xml:space="preserve"> (Allemagne) et le comité du droit d’obtenteur du Ministère de l’agriculture, de la nature et de la qualité des produits alimentaires (Pays-Bas).</w:t>
      </w:r>
    </w:p>
    <w:p w:rsidR="00900EAF" w:rsidRPr="00EB57D6" w:rsidRDefault="00900EAF" w:rsidP="00900EAF">
      <w:pPr>
        <w:rPr>
          <w:sz w:val="18"/>
        </w:rPr>
      </w:pPr>
    </w:p>
    <w:p w:rsidR="00900EAF" w:rsidRPr="00EB57D6" w:rsidRDefault="00900EAF" w:rsidP="00900EAF">
      <w:pPr>
        <w:rPr>
          <w:sz w:val="18"/>
        </w:rPr>
      </w:pPr>
    </w:p>
    <w:p w:rsidR="00900EAF" w:rsidRPr="00EB57D6" w:rsidRDefault="00900EAF" w:rsidP="00900EAF">
      <w:pPr>
        <w:rPr>
          <w:sz w:val="18"/>
          <w:u w:val="single"/>
        </w:rPr>
      </w:pPr>
      <w:r w:rsidRPr="00EB57D6">
        <w:t>3.</w:t>
      </w:r>
      <w:r w:rsidRPr="00EB57D6">
        <w:tab/>
      </w:r>
      <w:r w:rsidRPr="00EB57D6">
        <w:rPr>
          <w:u w:val="single"/>
        </w:rPr>
        <w:t>Situation dans le domaine administratif</w:t>
      </w:r>
    </w:p>
    <w:p w:rsidR="00900EAF" w:rsidRPr="00EB57D6" w:rsidRDefault="00900EAF" w:rsidP="00900EAF">
      <w:pPr>
        <w:rPr>
          <w:sz w:val="18"/>
        </w:rPr>
      </w:pPr>
    </w:p>
    <w:p w:rsidR="00900EAF" w:rsidRPr="00EB57D6" w:rsidRDefault="00900EAF" w:rsidP="00900EAF">
      <w:pPr>
        <w:rPr>
          <w:sz w:val="18"/>
        </w:rPr>
      </w:pPr>
      <w:r w:rsidRPr="00EB57D6">
        <w:rPr>
          <w:color w:val="000000"/>
        </w:rPr>
        <w:t xml:space="preserve">Aucun élément nouveau.  </w:t>
      </w:r>
      <w:r w:rsidRPr="00EB57D6">
        <w:t>L’HIPO est habilité à accorder la protection des obtentions végétales.  Dans le système national, il est chargé de l’examen de la nouveauté, de la dénomination et de l’unité, ainsi que de l’enregistrement des variétés végétales.  De son côté, l’Office national de sécurité de la chaîne alimentaire est chargé de l’examen biologique (examen DHS).</w:t>
      </w:r>
    </w:p>
    <w:p w:rsidR="00900EAF" w:rsidRPr="00EB57D6" w:rsidRDefault="00900EAF" w:rsidP="00900EAF">
      <w:pPr>
        <w:rPr>
          <w:sz w:val="18"/>
        </w:rPr>
      </w:pPr>
    </w:p>
    <w:p w:rsidR="00900EAF" w:rsidRPr="00EB57D6" w:rsidRDefault="00900EAF" w:rsidP="00900EAF">
      <w:pPr>
        <w:rPr>
          <w:sz w:val="18"/>
        </w:rPr>
      </w:pPr>
    </w:p>
    <w:p w:rsidR="00900EAF" w:rsidRPr="00EB57D6" w:rsidRDefault="00900EAF" w:rsidP="00900EAF">
      <w:pPr>
        <w:rPr>
          <w:sz w:val="18"/>
          <w:u w:val="single"/>
        </w:rPr>
      </w:pPr>
      <w:r w:rsidRPr="00EB57D6">
        <w:t>4.</w:t>
      </w:r>
      <w:r w:rsidRPr="00EB57D6">
        <w:tab/>
      </w:r>
      <w:r w:rsidRPr="00EB57D6">
        <w:rPr>
          <w:u w:val="single"/>
        </w:rPr>
        <w:t>Situation dans le domaine technique</w:t>
      </w:r>
    </w:p>
    <w:p w:rsidR="00900EAF" w:rsidRPr="00EB57D6" w:rsidRDefault="00900EAF" w:rsidP="00900EAF">
      <w:pPr>
        <w:rPr>
          <w:sz w:val="18"/>
        </w:rPr>
      </w:pPr>
    </w:p>
    <w:p w:rsidR="00900EAF" w:rsidRPr="00EB57D6" w:rsidRDefault="00900EAF" w:rsidP="00900EAF">
      <w:pPr>
        <w:rPr>
          <w:sz w:val="18"/>
        </w:rPr>
      </w:pPr>
      <w:r w:rsidRPr="00EB57D6">
        <w:t>L’examen technique est effectué par l’Office national de sécurité de la chaîne alimentaire.</w:t>
      </w:r>
    </w:p>
    <w:p w:rsidR="00900EAF" w:rsidRPr="00EB57D6" w:rsidRDefault="00900EAF" w:rsidP="00900EAF">
      <w:pPr>
        <w:rPr>
          <w:sz w:val="18"/>
        </w:rPr>
      </w:pPr>
    </w:p>
    <w:p w:rsidR="00845D57" w:rsidRPr="00EB57D6" w:rsidRDefault="00845D57" w:rsidP="00845D57">
      <w:pPr>
        <w:jc w:val="left"/>
      </w:pPr>
    </w:p>
    <w:p w:rsidR="00900EAF" w:rsidRPr="00EB57D6" w:rsidRDefault="00900EAF" w:rsidP="00845D57">
      <w:pPr>
        <w:jc w:val="left"/>
      </w:pPr>
    </w:p>
    <w:p w:rsidR="00845D57" w:rsidRPr="00EB57D6" w:rsidRDefault="00845D57" w:rsidP="00845D57">
      <w:pPr>
        <w:jc w:val="right"/>
      </w:pPr>
      <w:r w:rsidRPr="00EB57D6">
        <w:t>[L’annexe VII suit]</w:t>
      </w:r>
    </w:p>
    <w:p w:rsidR="00845D57" w:rsidRPr="00EB57D6" w:rsidRDefault="00845D57" w:rsidP="00845D57"/>
    <w:p w:rsidR="00845D57" w:rsidRPr="00EB57D6" w:rsidRDefault="00845D57" w:rsidP="00845D57">
      <w:pPr>
        <w:jc w:val="left"/>
        <w:sectPr w:rsidR="00845D57" w:rsidRPr="00EB57D6" w:rsidSect="009B2909">
          <w:headerReference w:type="default" r:id="rId15"/>
          <w:pgSz w:w="11907" w:h="16840" w:code="9"/>
          <w:pgMar w:top="510" w:right="1134" w:bottom="1134" w:left="1134" w:header="510" w:footer="680" w:gutter="0"/>
          <w:pgNumType w:start="1"/>
          <w:cols w:space="720"/>
          <w:titlePg/>
        </w:sectPr>
      </w:pPr>
    </w:p>
    <w:p w:rsidR="00845D57" w:rsidRPr="00EB57D6" w:rsidRDefault="00845D57" w:rsidP="00845D57">
      <w:pPr>
        <w:jc w:val="center"/>
      </w:pPr>
      <w:r w:rsidRPr="00EB57D6">
        <w:lastRenderedPageBreak/>
        <w:t>C/54/INF/4</w:t>
      </w:r>
    </w:p>
    <w:p w:rsidR="00845D57" w:rsidRPr="00EB57D6" w:rsidRDefault="00845D57" w:rsidP="00845D57">
      <w:pPr>
        <w:jc w:val="center"/>
      </w:pPr>
    </w:p>
    <w:p w:rsidR="00845D57" w:rsidRPr="00EB57D6" w:rsidRDefault="00845D57" w:rsidP="00845D57">
      <w:pPr>
        <w:jc w:val="center"/>
      </w:pPr>
      <w:r w:rsidRPr="00EB57D6">
        <w:t>ANNEXE VII</w:t>
      </w:r>
    </w:p>
    <w:p w:rsidR="00845D57" w:rsidRPr="00EB57D6" w:rsidRDefault="00845D57" w:rsidP="00845D57">
      <w:pPr>
        <w:jc w:val="center"/>
      </w:pPr>
    </w:p>
    <w:p w:rsidR="00845D57" w:rsidRPr="00EB57D6" w:rsidRDefault="00845D57" w:rsidP="00845D57">
      <w:pPr>
        <w:jc w:val="center"/>
      </w:pPr>
    </w:p>
    <w:p w:rsidR="00301CEC" w:rsidRPr="00EB57D6" w:rsidRDefault="00301CEC" w:rsidP="00301CEC">
      <w:pPr>
        <w:jc w:val="center"/>
        <w:rPr>
          <w:sz w:val="18"/>
        </w:rPr>
      </w:pPr>
      <w:r w:rsidRPr="00EB57D6">
        <w:t>ISRAËL</w:t>
      </w:r>
    </w:p>
    <w:p w:rsidR="00301CEC" w:rsidRPr="00EB57D6" w:rsidRDefault="00301CEC" w:rsidP="00301CEC">
      <w:pPr>
        <w:rPr>
          <w:sz w:val="18"/>
        </w:rPr>
      </w:pPr>
    </w:p>
    <w:p w:rsidR="00301CEC" w:rsidRPr="00EB57D6" w:rsidRDefault="00301CEC" w:rsidP="00301CEC">
      <w:pPr>
        <w:rPr>
          <w:sz w:val="18"/>
        </w:rPr>
      </w:pPr>
    </w:p>
    <w:p w:rsidR="00301CEC" w:rsidRPr="00EB57D6" w:rsidRDefault="00301CEC" w:rsidP="00301CEC">
      <w:pPr>
        <w:rPr>
          <w:sz w:val="18"/>
        </w:rPr>
      </w:pPr>
      <w:r w:rsidRPr="00EB57D6">
        <w:t>I.</w:t>
      </w:r>
      <w:r w:rsidRPr="00EB57D6">
        <w:rPr>
          <w:color w:val="000000"/>
        </w:rPr>
        <w:tab/>
      </w:r>
      <w:r w:rsidRPr="00EB57D6">
        <w:t>PROTECTION DES OBTENTIONS VÉGÉTALES</w:t>
      </w:r>
    </w:p>
    <w:p w:rsidR="00301CEC" w:rsidRPr="00EB57D6" w:rsidRDefault="00301CEC" w:rsidP="00301CEC">
      <w:pPr>
        <w:rPr>
          <w:sz w:val="18"/>
        </w:rPr>
      </w:pPr>
    </w:p>
    <w:p w:rsidR="00301CEC" w:rsidRPr="00EB57D6" w:rsidRDefault="00301CEC" w:rsidP="00301CEC">
      <w:pPr>
        <w:rPr>
          <w:sz w:val="18"/>
        </w:rPr>
      </w:pPr>
      <w:r w:rsidRPr="00EB57D6">
        <w:rPr>
          <w:color w:val="000000"/>
        </w:rPr>
        <w:t>1.</w:t>
      </w:r>
      <w:r w:rsidRPr="00EB57D6">
        <w:rPr>
          <w:color w:val="000000"/>
        </w:rPr>
        <w:tab/>
      </w:r>
      <w:r w:rsidRPr="00EB57D6">
        <w:rPr>
          <w:color w:val="000000"/>
          <w:u w:val="single"/>
        </w:rPr>
        <w:t>Situation dans le domaine législatif</w:t>
      </w:r>
      <w:r w:rsidRPr="00EB57D6">
        <w:rPr>
          <w:color w:val="000000"/>
        </w:rPr>
        <w:t> : Aucun élément nouveau.</w:t>
      </w:r>
    </w:p>
    <w:p w:rsidR="00301CEC" w:rsidRPr="00EB57D6" w:rsidRDefault="00301CEC" w:rsidP="00301CEC">
      <w:pPr>
        <w:rPr>
          <w:sz w:val="18"/>
        </w:rPr>
      </w:pPr>
    </w:p>
    <w:p w:rsidR="00301CEC" w:rsidRPr="00EB57D6" w:rsidRDefault="00301CEC" w:rsidP="00301CEC">
      <w:pPr>
        <w:rPr>
          <w:sz w:val="18"/>
        </w:rPr>
      </w:pPr>
    </w:p>
    <w:p w:rsidR="00301CEC" w:rsidRPr="00EB57D6" w:rsidRDefault="00301CEC" w:rsidP="00301CEC">
      <w:pPr>
        <w:rPr>
          <w:sz w:val="18"/>
        </w:rPr>
      </w:pPr>
      <w:r w:rsidRPr="00EB57D6">
        <w:rPr>
          <w:color w:val="000000"/>
        </w:rPr>
        <w:t>2.</w:t>
      </w:r>
      <w:r w:rsidRPr="00EB57D6">
        <w:rPr>
          <w:color w:val="000000"/>
        </w:rPr>
        <w:tab/>
      </w:r>
      <w:r w:rsidRPr="00EB57D6">
        <w:rPr>
          <w:color w:val="000000"/>
          <w:u w:val="single"/>
        </w:rPr>
        <w:t>Coopération en matière d’examen</w:t>
      </w:r>
      <w:r w:rsidRPr="00EB57D6">
        <w:rPr>
          <w:color w:val="000000"/>
        </w:rPr>
        <w:t> : Aucun élément nouveau.</w:t>
      </w:r>
    </w:p>
    <w:p w:rsidR="00301CEC" w:rsidRPr="00EB57D6" w:rsidRDefault="00301CEC" w:rsidP="00301CEC">
      <w:pPr>
        <w:tabs>
          <w:tab w:val="left" w:pos="426"/>
          <w:tab w:val="left" w:pos="851"/>
        </w:tabs>
        <w:rPr>
          <w:sz w:val="18"/>
        </w:rPr>
      </w:pPr>
    </w:p>
    <w:p w:rsidR="00301CEC" w:rsidRPr="00EB57D6" w:rsidRDefault="00301CEC" w:rsidP="00301CEC">
      <w:pPr>
        <w:tabs>
          <w:tab w:val="left" w:pos="426"/>
          <w:tab w:val="left" w:pos="851"/>
        </w:tabs>
        <w:rPr>
          <w:sz w:val="18"/>
        </w:rPr>
      </w:pPr>
    </w:p>
    <w:p w:rsidR="00301CEC" w:rsidRPr="00EB57D6" w:rsidRDefault="00301CEC" w:rsidP="00301CEC">
      <w:pPr>
        <w:rPr>
          <w:sz w:val="18"/>
          <w:u w:val="single"/>
        </w:rPr>
      </w:pPr>
      <w:r w:rsidRPr="00EB57D6">
        <w:t>3.</w:t>
      </w:r>
      <w:r w:rsidRPr="00EB57D6">
        <w:tab/>
      </w:r>
      <w:r w:rsidRPr="00EB57D6">
        <w:rPr>
          <w:u w:val="single"/>
        </w:rPr>
        <w:t>Situation dans le domaine administratif</w:t>
      </w:r>
    </w:p>
    <w:p w:rsidR="00301CEC" w:rsidRPr="00EB57D6" w:rsidRDefault="00301CEC" w:rsidP="00301CEC">
      <w:pPr>
        <w:rPr>
          <w:sz w:val="18"/>
        </w:rPr>
      </w:pPr>
    </w:p>
    <w:p w:rsidR="00301CEC" w:rsidRPr="00EB57D6" w:rsidRDefault="00301CEC" w:rsidP="00301CEC">
      <w:pPr>
        <w:ind w:left="851" w:hanging="284"/>
        <w:rPr>
          <w:sz w:val="18"/>
        </w:rPr>
      </w:pPr>
      <w:r w:rsidRPr="00EB57D6">
        <w:rPr>
          <w:color w:val="000000"/>
        </w:rPr>
        <w:t>–</w:t>
      </w:r>
      <w:r w:rsidRPr="00EB57D6">
        <w:rPr>
          <w:color w:val="000000"/>
        </w:rPr>
        <w:tab/>
        <w:t>Modifications de la structure administrative : remplacement d’un membre du Conseil des droits d’obtenteur le 12 mai 2020, à la suite d’un départ à la retraite.</w:t>
      </w:r>
    </w:p>
    <w:p w:rsidR="00301CEC" w:rsidRPr="00EB57D6" w:rsidRDefault="00301CEC" w:rsidP="00301CEC">
      <w:pPr>
        <w:ind w:left="851" w:hanging="425"/>
        <w:rPr>
          <w:sz w:val="18"/>
        </w:rPr>
      </w:pPr>
    </w:p>
    <w:p w:rsidR="00301CEC" w:rsidRPr="00EB57D6" w:rsidRDefault="00301CEC" w:rsidP="00301CEC">
      <w:pPr>
        <w:ind w:left="851" w:hanging="284"/>
        <w:rPr>
          <w:sz w:val="18"/>
        </w:rPr>
      </w:pPr>
      <w:r w:rsidRPr="00EB57D6">
        <w:rPr>
          <w:color w:val="000000"/>
        </w:rPr>
        <w:t>–</w:t>
      </w:r>
      <w:r w:rsidRPr="00EB57D6">
        <w:rPr>
          <w:color w:val="000000"/>
        </w:rPr>
        <w:tab/>
      </w:r>
      <w:r w:rsidRPr="00EB57D6">
        <w:t>Modifications des procédures et des systèmes : aucune modification.</w:t>
      </w:r>
    </w:p>
    <w:p w:rsidR="00301CEC" w:rsidRPr="00EB57D6" w:rsidRDefault="00301CEC" w:rsidP="00301CEC">
      <w:pPr>
        <w:ind w:left="851" w:hanging="425"/>
        <w:rPr>
          <w:sz w:val="18"/>
        </w:rPr>
      </w:pPr>
    </w:p>
    <w:p w:rsidR="00301CEC" w:rsidRPr="00EB57D6" w:rsidRDefault="00301CEC" w:rsidP="00301CEC">
      <w:pPr>
        <w:ind w:left="851" w:hanging="425"/>
        <w:rPr>
          <w:sz w:val="18"/>
        </w:rPr>
      </w:pPr>
    </w:p>
    <w:p w:rsidR="00301CEC" w:rsidRPr="00EB57D6" w:rsidRDefault="00301CEC" w:rsidP="00301CEC">
      <w:pPr>
        <w:rPr>
          <w:rFonts w:cstheme="minorBidi"/>
          <w:sz w:val="18"/>
          <w:rtl/>
          <w:lang w:bidi="he-IL"/>
        </w:rPr>
      </w:pPr>
      <w:r w:rsidRPr="00EB57D6">
        <w:rPr>
          <w:rFonts w:cstheme="minorBidi"/>
          <w:color w:val="000000"/>
          <w:lang w:bidi="he-IL"/>
        </w:rPr>
        <w:t>4.</w:t>
      </w:r>
      <w:r w:rsidRPr="00EB57D6">
        <w:rPr>
          <w:rFonts w:cstheme="minorBidi"/>
          <w:color w:val="000000"/>
          <w:lang w:bidi="he-IL"/>
        </w:rPr>
        <w:tab/>
      </w:r>
      <w:r w:rsidRPr="00EB57D6">
        <w:rPr>
          <w:rFonts w:cstheme="minorBidi"/>
          <w:color w:val="000000"/>
          <w:u w:val="single"/>
          <w:lang w:bidi="he-IL"/>
        </w:rPr>
        <w:t>Situation dans le domaine technique</w:t>
      </w:r>
      <w:r w:rsidRPr="00EB57D6">
        <w:rPr>
          <w:rFonts w:cstheme="minorBidi"/>
          <w:color w:val="000000"/>
          <w:lang w:bidi="he-IL"/>
        </w:rPr>
        <w:t> : Aucun élément nouveau.</w:t>
      </w:r>
    </w:p>
    <w:p w:rsidR="00301CEC" w:rsidRPr="00EB57D6" w:rsidRDefault="00301CEC" w:rsidP="00301CEC">
      <w:pPr>
        <w:ind w:left="851" w:hanging="425"/>
        <w:rPr>
          <w:sz w:val="18"/>
        </w:rPr>
      </w:pPr>
    </w:p>
    <w:p w:rsidR="00301CEC" w:rsidRPr="00EB57D6" w:rsidRDefault="00301CEC" w:rsidP="00301CEC">
      <w:pPr>
        <w:ind w:left="851" w:hanging="425"/>
        <w:rPr>
          <w:sz w:val="18"/>
        </w:rPr>
      </w:pPr>
    </w:p>
    <w:p w:rsidR="00301CEC" w:rsidRPr="00EB57D6" w:rsidRDefault="00301CEC" w:rsidP="00301CEC">
      <w:pPr>
        <w:rPr>
          <w:sz w:val="18"/>
          <w:u w:val="single"/>
        </w:rPr>
      </w:pPr>
      <w:r w:rsidRPr="00EB57D6">
        <w:t>5.</w:t>
      </w:r>
      <w:r w:rsidRPr="00EB57D6">
        <w:tab/>
      </w:r>
      <w:r w:rsidRPr="00EB57D6">
        <w:rPr>
          <w:u w:val="single"/>
        </w:rPr>
        <w:t>Activités de promotion de la protection des obtentions végétales</w:t>
      </w:r>
    </w:p>
    <w:p w:rsidR="00301CEC" w:rsidRPr="00EB57D6" w:rsidRDefault="00301CEC" w:rsidP="00301CEC">
      <w:pPr>
        <w:rPr>
          <w:u w:val="single"/>
        </w:rPr>
      </w:pPr>
    </w:p>
    <w:tbl>
      <w:tblPr>
        <w:tblStyle w:val="TableGrid"/>
        <w:tblW w:w="9781" w:type="dxa"/>
        <w:tblInd w:w="-5" w:type="dxa"/>
        <w:tblLayout w:type="fixed"/>
        <w:tblCellMar>
          <w:left w:w="57" w:type="dxa"/>
          <w:right w:w="57" w:type="dxa"/>
        </w:tblCellMar>
        <w:tblLook w:val="01E0" w:firstRow="1" w:lastRow="1" w:firstColumn="1" w:lastColumn="1" w:noHBand="0" w:noVBand="0"/>
      </w:tblPr>
      <w:tblGrid>
        <w:gridCol w:w="1560"/>
        <w:gridCol w:w="1275"/>
        <w:gridCol w:w="1276"/>
        <w:gridCol w:w="1276"/>
        <w:gridCol w:w="1417"/>
        <w:gridCol w:w="1600"/>
        <w:gridCol w:w="1377"/>
      </w:tblGrid>
      <w:tr w:rsidR="00301CEC" w:rsidRPr="00EB57D6" w:rsidTr="00301CEC">
        <w:tc>
          <w:tcPr>
            <w:tcW w:w="1560" w:type="dxa"/>
          </w:tcPr>
          <w:p w:rsidR="00301CEC" w:rsidRPr="00EB57D6" w:rsidRDefault="00301CEC" w:rsidP="00301CEC">
            <w:pPr>
              <w:jc w:val="center"/>
              <w:rPr>
                <w:bCs/>
                <w:sz w:val="16"/>
              </w:rPr>
            </w:pPr>
            <w:r w:rsidRPr="00EB57D6">
              <w:rPr>
                <w:bCs/>
                <w:sz w:val="16"/>
              </w:rPr>
              <w:t>Titre de l’activité</w:t>
            </w:r>
          </w:p>
        </w:tc>
        <w:tc>
          <w:tcPr>
            <w:tcW w:w="1275" w:type="dxa"/>
          </w:tcPr>
          <w:p w:rsidR="00301CEC" w:rsidRPr="00EB57D6" w:rsidRDefault="00301CEC" w:rsidP="00301CEC">
            <w:pPr>
              <w:jc w:val="center"/>
              <w:rPr>
                <w:bCs/>
                <w:sz w:val="16"/>
              </w:rPr>
            </w:pPr>
            <w:r w:rsidRPr="00EB57D6">
              <w:rPr>
                <w:bCs/>
                <w:sz w:val="16"/>
              </w:rPr>
              <w:t>Date</w:t>
            </w:r>
          </w:p>
        </w:tc>
        <w:tc>
          <w:tcPr>
            <w:tcW w:w="1276" w:type="dxa"/>
          </w:tcPr>
          <w:p w:rsidR="00301CEC" w:rsidRPr="00EB57D6" w:rsidRDefault="00301CEC" w:rsidP="00301CEC">
            <w:pPr>
              <w:jc w:val="center"/>
              <w:rPr>
                <w:bCs/>
                <w:sz w:val="16"/>
              </w:rPr>
            </w:pPr>
            <w:r w:rsidRPr="00EB57D6">
              <w:rPr>
                <w:bCs/>
                <w:sz w:val="16"/>
              </w:rPr>
              <w:t>Lieu</w:t>
            </w:r>
          </w:p>
        </w:tc>
        <w:tc>
          <w:tcPr>
            <w:tcW w:w="1276" w:type="dxa"/>
          </w:tcPr>
          <w:p w:rsidR="00301CEC" w:rsidRPr="00EB57D6" w:rsidRDefault="00301CEC" w:rsidP="00301CEC">
            <w:pPr>
              <w:jc w:val="center"/>
              <w:rPr>
                <w:bCs/>
                <w:sz w:val="16"/>
              </w:rPr>
            </w:pPr>
            <w:r w:rsidRPr="00EB57D6">
              <w:rPr>
                <w:bCs/>
                <w:sz w:val="16"/>
              </w:rPr>
              <w:t>Organisateur(s)</w:t>
            </w:r>
          </w:p>
        </w:tc>
        <w:tc>
          <w:tcPr>
            <w:tcW w:w="1417" w:type="dxa"/>
          </w:tcPr>
          <w:p w:rsidR="00301CEC" w:rsidRPr="00EB57D6" w:rsidRDefault="00301CEC" w:rsidP="00301CEC">
            <w:pPr>
              <w:jc w:val="center"/>
              <w:rPr>
                <w:bCs/>
                <w:sz w:val="16"/>
              </w:rPr>
            </w:pPr>
            <w:r w:rsidRPr="00EB57D6">
              <w:rPr>
                <w:bCs/>
                <w:sz w:val="16"/>
              </w:rPr>
              <w:t>But de l’activité</w:t>
            </w:r>
          </w:p>
        </w:tc>
        <w:tc>
          <w:tcPr>
            <w:tcW w:w="1600" w:type="dxa"/>
          </w:tcPr>
          <w:p w:rsidR="00301CEC" w:rsidRPr="00EB57D6" w:rsidRDefault="00301CEC" w:rsidP="00301CEC">
            <w:pPr>
              <w:jc w:val="center"/>
              <w:rPr>
                <w:bCs/>
                <w:sz w:val="16"/>
              </w:rPr>
            </w:pPr>
            <w:r w:rsidRPr="00EB57D6">
              <w:rPr>
                <w:bCs/>
                <w:sz w:val="16"/>
              </w:rPr>
              <w:t>Pays/organisations participants (nombre de participants de chacun d’eux)</w:t>
            </w:r>
          </w:p>
        </w:tc>
        <w:tc>
          <w:tcPr>
            <w:tcW w:w="1377" w:type="dxa"/>
          </w:tcPr>
          <w:p w:rsidR="00301CEC" w:rsidRPr="00EB57D6" w:rsidRDefault="00301CEC" w:rsidP="00301CEC">
            <w:pPr>
              <w:jc w:val="center"/>
              <w:rPr>
                <w:bCs/>
                <w:sz w:val="16"/>
              </w:rPr>
            </w:pPr>
            <w:r w:rsidRPr="00EB57D6">
              <w:rPr>
                <w:bCs/>
                <w:sz w:val="16"/>
              </w:rPr>
              <w:t>Commentaires</w:t>
            </w:r>
          </w:p>
        </w:tc>
      </w:tr>
      <w:tr w:rsidR="00301CEC" w:rsidRPr="00EB57D6" w:rsidTr="00301CEC">
        <w:tc>
          <w:tcPr>
            <w:tcW w:w="1560" w:type="dxa"/>
          </w:tcPr>
          <w:p w:rsidR="00301CEC" w:rsidRPr="00EB57D6" w:rsidRDefault="00301CEC" w:rsidP="00301CEC">
            <w:pPr>
              <w:jc w:val="left"/>
              <w:rPr>
                <w:rFonts w:cstheme="minorBidi"/>
                <w:sz w:val="16"/>
                <w:lang w:bidi="he-IL"/>
              </w:rPr>
            </w:pPr>
            <w:r w:rsidRPr="00EB57D6">
              <w:rPr>
                <w:rFonts w:cstheme="minorBidi"/>
                <w:color w:val="000000"/>
                <w:sz w:val="16"/>
                <w:lang w:bidi="he-IL"/>
              </w:rPr>
              <w:t xml:space="preserve">Journée portes ouvertes à </w:t>
            </w:r>
            <w:proofErr w:type="spellStart"/>
            <w:r w:rsidRPr="00EB57D6">
              <w:rPr>
                <w:rFonts w:cstheme="minorBidi"/>
                <w:color w:val="000000"/>
                <w:sz w:val="16"/>
                <w:lang w:bidi="he-IL"/>
              </w:rPr>
              <w:t>Ha’ARAVA</w:t>
            </w:r>
            <w:proofErr w:type="spellEnd"/>
            <w:r w:rsidRPr="00EB57D6">
              <w:rPr>
                <w:rFonts w:cstheme="minorBidi"/>
                <w:color w:val="000000"/>
                <w:sz w:val="16"/>
                <w:lang w:bidi="he-IL"/>
              </w:rPr>
              <w:t xml:space="preserve"> – </w:t>
            </w:r>
            <w:r w:rsidRPr="00EB57D6">
              <w:rPr>
                <w:rFonts w:cstheme="minorBidi"/>
                <w:color w:val="000000"/>
                <w:sz w:val="16"/>
                <w:lang w:bidi="he-IL"/>
              </w:rPr>
              <w:br/>
              <w:t>La plus grande exposition en Israël</w:t>
            </w:r>
          </w:p>
        </w:tc>
        <w:tc>
          <w:tcPr>
            <w:tcW w:w="1275" w:type="dxa"/>
          </w:tcPr>
          <w:p w:rsidR="00301CEC" w:rsidRPr="00EB57D6" w:rsidRDefault="00301CEC" w:rsidP="00301CEC">
            <w:pPr>
              <w:jc w:val="left"/>
              <w:rPr>
                <w:rFonts w:cs="Arial Unicode MS"/>
                <w:sz w:val="16"/>
                <w:cs/>
              </w:rPr>
            </w:pPr>
            <w:r w:rsidRPr="00EB57D6">
              <w:rPr>
                <w:rFonts w:cs="Arial Unicode MS"/>
                <w:sz w:val="16"/>
              </w:rPr>
              <w:t>12 et 13 février 2020</w:t>
            </w:r>
          </w:p>
        </w:tc>
        <w:tc>
          <w:tcPr>
            <w:tcW w:w="1276" w:type="dxa"/>
          </w:tcPr>
          <w:p w:rsidR="00301CEC" w:rsidRPr="00EB57D6" w:rsidRDefault="00301CEC" w:rsidP="00301CEC">
            <w:pPr>
              <w:jc w:val="left"/>
              <w:rPr>
                <w:sz w:val="16"/>
              </w:rPr>
            </w:pPr>
            <w:r w:rsidRPr="00EB57D6">
              <w:rPr>
                <w:sz w:val="16"/>
              </w:rPr>
              <w:t xml:space="preserve">Tamar – Station de </w:t>
            </w:r>
            <w:proofErr w:type="spellStart"/>
            <w:r w:rsidRPr="00EB57D6">
              <w:rPr>
                <w:sz w:val="16"/>
              </w:rPr>
              <w:t>Yair</w:t>
            </w:r>
            <w:proofErr w:type="spellEnd"/>
          </w:p>
        </w:tc>
        <w:tc>
          <w:tcPr>
            <w:tcW w:w="1276" w:type="dxa"/>
          </w:tcPr>
          <w:p w:rsidR="00301CEC" w:rsidRPr="00EB57D6" w:rsidRDefault="00301CEC" w:rsidP="00301CEC">
            <w:pPr>
              <w:jc w:val="left"/>
              <w:rPr>
                <w:sz w:val="16"/>
              </w:rPr>
            </w:pPr>
            <w:r w:rsidRPr="00EB57D6">
              <w:rPr>
                <w:sz w:val="16"/>
              </w:rPr>
              <w:t xml:space="preserve">Nord et centre MOP </w:t>
            </w:r>
            <w:proofErr w:type="spellStart"/>
            <w:r w:rsidRPr="00EB57D6">
              <w:rPr>
                <w:sz w:val="16"/>
              </w:rPr>
              <w:t>Arava</w:t>
            </w:r>
            <w:proofErr w:type="spellEnd"/>
            <w:r w:rsidRPr="00EB57D6">
              <w:rPr>
                <w:sz w:val="16"/>
              </w:rPr>
              <w:t>-Tamar</w:t>
            </w:r>
          </w:p>
        </w:tc>
        <w:tc>
          <w:tcPr>
            <w:tcW w:w="1417" w:type="dxa"/>
          </w:tcPr>
          <w:p w:rsidR="00301CEC" w:rsidRPr="00EB57D6" w:rsidRDefault="00301CEC" w:rsidP="00301CEC">
            <w:pPr>
              <w:jc w:val="left"/>
              <w:rPr>
                <w:sz w:val="16"/>
              </w:rPr>
            </w:pPr>
            <w:r w:rsidRPr="00EB57D6">
              <w:rPr>
                <w:color w:val="000000"/>
                <w:sz w:val="16"/>
              </w:rPr>
              <w:t>Promotion du système de</w:t>
            </w:r>
            <w:r w:rsidRPr="00EB57D6">
              <w:rPr>
                <w:sz w:val="16"/>
              </w:rPr>
              <w:t xml:space="preserve"> droits d’obtenteur</w:t>
            </w:r>
            <w:r w:rsidRPr="00EB57D6">
              <w:rPr>
                <w:color w:val="000000"/>
                <w:sz w:val="16"/>
              </w:rPr>
              <w:t xml:space="preserve"> et participation au système</w:t>
            </w:r>
          </w:p>
        </w:tc>
        <w:tc>
          <w:tcPr>
            <w:tcW w:w="1600" w:type="dxa"/>
          </w:tcPr>
          <w:p w:rsidR="00301CEC" w:rsidRPr="00EB57D6" w:rsidRDefault="00301CEC" w:rsidP="00301CEC">
            <w:pPr>
              <w:jc w:val="left"/>
              <w:rPr>
                <w:sz w:val="16"/>
              </w:rPr>
            </w:pPr>
            <w:r w:rsidRPr="00EB57D6">
              <w:rPr>
                <w:sz w:val="16"/>
              </w:rPr>
              <w:t>Sociétés agricoles, producteurs, etc., locaux</w:t>
            </w:r>
          </w:p>
        </w:tc>
        <w:tc>
          <w:tcPr>
            <w:tcW w:w="1377" w:type="dxa"/>
          </w:tcPr>
          <w:p w:rsidR="00301CEC" w:rsidRPr="00EB57D6" w:rsidRDefault="00301CEC" w:rsidP="00301CEC">
            <w:pPr>
              <w:jc w:val="left"/>
              <w:rPr>
                <w:sz w:val="16"/>
              </w:rPr>
            </w:pPr>
            <w:r w:rsidRPr="00EB57D6">
              <w:rPr>
                <w:sz w:val="16"/>
              </w:rPr>
              <w:t>Stand et représentation dans le pavillon du ministère</w:t>
            </w:r>
          </w:p>
        </w:tc>
      </w:tr>
      <w:tr w:rsidR="00301CEC" w:rsidRPr="00EB57D6" w:rsidTr="00301CEC">
        <w:tc>
          <w:tcPr>
            <w:tcW w:w="1560" w:type="dxa"/>
          </w:tcPr>
          <w:p w:rsidR="00301CEC" w:rsidRPr="00EB57D6" w:rsidRDefault="00301CEC" w:rsidP="00301CEC">
            <w:pPr>
              <w:jc w:val="left"/>
              <w:rPr>
                <w:rFonts w:cstheme="minorBidi"/>
                <w:sz w:val="16"/>
                <w:lang w:bidi="he-IL"/>
              </w:rPr>
            </w:pPr>
            <w:r w:rsidRPr="00EB57D6">
              <w:rPr>
                <w:rFonts w:cstheme="minorBidi"/>
                <w:sz w:val="16"/>
                <w:lang w:bidi="he-IL"/>
              </w:rPr>
              <w:t xml:space="preserve">Exposition </w:t>
            </w:r>
            <w:proofErr w:type="spellStart"/>
            <w:r w:rsidRPr="00EB57D6">
              <w:rPr>
                <w:rFonts w:cstheme="minorBidi"/>
                <w:sz w:val="16"/>
                <w:lang w:bidi="he-IL"/>
              </w:rPr>
              <w:t>Fresh</w:t>
            </w:r>
            <w:proofErr w:type="spellEnd"/>
            <w:r w:rsidRPr="00EB57D6">
              <w:rPr>
                <w:rFonts w:cstheme="minorBidi"/>
                <w:sz w:val="16"/>
                <w:lang w:bidi="he-IL"/>
              </w:rPr>
              <w:t xml:space="preserve"> Agro </w:t>
            </w:r>
            <w:proofErr w:type="spellStart"/>
            <w:r w:rsidRPr="00EB57D6">
              <w:rPr>
                <w:rFonts w:cstheme="minorBidi"/>
                <w:sz w:val="16"/>
                <w:lang w:bidi="he-IL"/>
              </w:rPr>
              <w:t>Mashov</w:t>
            </w:r>
            <w:proofErr w:type="spellEnd"/>
          </w:p>
        </w:tc>
        <w:tc>
          <w:tcPr>
            <w:tcW w:w="1275" w:type="dxa"/>
          </w:tcPr>
          <w:p w:rsidR="00301CEC" w:rsidRPr="00EB57D6" w:rsidRDefault="00301CEC" w:rsidP="00301CEC">
            <w:pPr>
              <w:jc w:val="left"/>
              <w:rPr>
                <w:rFonts w:cs="Arial Unicode MS"/>
                <w:sz w:val="16"/>
                <w:lang w:bidi="he-IL"/>
              </w:rPr>
            </w:pPr>
            <w:r w:rsidRPr="00EB57D6">
              <w:rPr>
                <w:rFonts w:cs="Arial Unicode MS"/>
                <w:color w:val="000000"/>
                <w:sz w:val="16"/>
                <w:lang w:bidi="he-IL"/>
              </w:rPr>
              <w:t>Annulée cette année en raison de la pandémie de COVID-19</w:t>
            </w:r>
          </w:p>
        </w:tc>
        <w:tc>
          <w:tcPr>
            <w:tcW w:w="1276" w:type="dxa"/>
          </w:tcPr>
          <w:p w:rsidR="00301CEC" w:rsidRPr="00EB57D6" w:rsidRDefault="00301CEC" w:rsidP="00301CEC">
            <w:pPr>
              <w:jc w:val="left"/>
              <w:rPr>
                <w:sz w:val="16"/>
              </w:rPr>
            </w:pPr>
            <w:r w:rsidRPr="00EB57D6">
              <w:rPr>
                <w:sz w:val="16"/>
              </w:rPr>
              <w:t>TLV Convention Center, Tel Aviv, Israël</w:t>
            </w:r>
          </w:p>
        </w:tc>
        <w:tc>
          <w:tcPr>
            <w:tcW w:w="1276" w:type="dxa"/>
          </w:tcPr>
          <w:p w:rsidR="00301CEC" w:rsidRPr="00EB57D6" w:rsidRDefault="00301CEC" w:rsidP="00301CEC">
            <w:pPr>
              <w:jc w:val="left"/>
              <w:rPr>
                <w:sz w:val="16"/>
              </w:rPr>
            </w:pPr>
            <w:proofErr w:type="spellStart"/>
            <w:r w:rsidRPr="00EB57D6">
              <w:rPr>
                <w:sz w:val="16"/>
              </w:rPr>
              <w:t>Mashov</w:t>
            </w:r>
            <w:proofErr w:type="spellEnd"/>
            <w:r w:rsidRPr="00EB57D6">
              <w:rPr>
                <w:sz w:val="16"/>
              </w:rPr>
              <w:t xml:space="preserve"> Group</w:t>
            </w:r>
          </w:p>
        </w:tc>
        <w:tc>
          <w:tcPr>
            <w:tcW w:w="1417" w:type="dxa"/>
          </w:tcPr>
          <w:p w:rsidR="00301CEC" w:rsidRPr="00EB57D6" w:rsidRDefault="00301CEC" w:rsidP="00301CEC">
            <w:pPr>
              <w:jc w:val="left"/>
              <w:rPr>
                <w:sz w:val="16"/>
              </w:rPr>
            </w:pPr>
            <w:r w:rsidRPr="00EB57D6">
              <w:rPr>
                <w:color w:val="000000"/>
                <w:sz w:val="16"/>
              </w:rPr>
              <w:t>Promotion du système de</w:t>
            </w:r>
            <w:r w:rsidRPr="00EB57D6">
              <w:rPr>
                <w:sz w:val="16"/>
              </w:rPr>
              <w:t xml:space="preserve"> droits d’obtenteur</w:t>
            </w:r>
            <w:r w:rsidRPr="00EB57D6">
              <w:rPr>
                <w:color w:val="000000"/>
                <w:sz w:val="16"/>
              </w:rPr>
              <w:t xml:space="preserve"> et participation au système</w:t>
            </w:r>
          </w:p>
        </w:tc>
        <w:tc>
          <w:tcPr>
            <w:tcW w:w="1600" w:type="dxa"/>
          </w:tcPr>
          <w:p w:rsidR="00301CEC" w:rsidRPr="00EB57D6" w:rsidRDefault="00301CEC" w:rsidP="00301CEC">
            <w:pPr>
              <w:jc w:val="left"/>
              <w:rPr>
                <w:sz w:val="16"/>
              </w:rPr>
            </w:pPr>
            <w:r w:rsidRPr="00EB57D6">
              <w:rPr>
                <w:sz w:val="16"/>
              </w:rPr>
              <w:t>Sociétés agricoles, producteurs, etc., locaux</w:t>
            </w:r>
          </w:p>
        </w:tc>
        <w:tc>
          <w:tcPr>
            <w:tcW w:w="1377" w:type="dxa"/>
          </w:tcPr>
          <w:p w:rsidR="00301CEC" w:rsidRPr="00EB57D6" w:rsidRDefault="00301CEC" w:rsidP="00301CEC">
            <w:pPr>
              <w:jc w:val="left"/>
              <w:rPr>
                <w:sz w:val="16"/>
              </w:rPr>
            </w:pPr>
            <w:r w:rsidRPr="00EB57D6">
              <w:rPr>
                <w:sz w:val="16"/>
              </w:rPr>
              <w:t>Stand et représentation dans le pavillon du ministère</w:t>
            </w:r>
          </w:p>
        </w:tc>
      </w:tr>
    </w:tbl>
    <w:p w:rsidR="00301CEC" w:rsidRPr="00EB57D6" w:rsidRDefault="00301CEC" w:rsidP="00301CEC">
      <w:pPr>
        <w:rPr>
          <w:sz w:val="18"/>
        </w:rPr>
      </w:pPr>
    </w:p>
    <w:p w:rsidR="00845D57" w:rsidRPr="00EB57D6" w:rsidRDefault="00845D57" w:rsidP="00845D57">
      <w:pPr>
        <w:jc w:val="left"/>
      </w:pPr>
    </w:p>
    <w:p w:rsidR="00301CEC" w:rsidRPr="00EB57D6" w:rsidRDefault="00301CEC" w:rsidP="00845D57">
      <w:pPr>
        <w:jc w:val="left"/>
      </w:pPr>
    </w:p>
    <w:p w:rsidR="00845D57" w:rsidRPr="00EB57D6" w:rsidRDefault="00845D57" w:rsidP="00845D57">
      <w:pPr>
        <w:jc w:val="right"/>
      </w:pPr>
      <w:r w:rsidRPr="00EB57D6">
        <w:t>[L’annexe VIII suit]</w:t>
      </w:r>
    </w:p>
    <w:p w:rsidR="00845D57" w:rsidRPr="00EB57D6" w:rsidRDefault="00845D57" w:rsidP="00845D57"/>
    <w:p w:rsidR="00845D57" w:rsidRPr="00EB57D6" w:rsidRDefault="00845D57" w:rsidP="00845D57">
      <w:pPr>
        <w:jc w:val="left"/>
        <w:sectPr w:rsidR="00845D57" w:rsidRPr="00EB57D6" w:rsidSect="009B2909">
          <w:headerReference w:type="default" r:id="rId16"/>
          <w:pgSz w:w="11907" w:h="16840" w:code="9"/>
          <w:pgMar w:top="510" w:right="1134" w:bottom="1134" w:left="1134" w:header="510" w:footer="680" w:gutter="0"/>
          <w:pgNumType w:start="1"/>
          <w:cols w:space="720"/>
          <w:titlePg/>
        </w:sectPr>
      </w:pPr>
    </w:p>
    <w:p w:rsidR="00845D57" w:rsidRPr="00EB57D6" w:rsidRDefault="00845D57" w:rsidP="00845D57">
      <w:pPr>
        <w:jc w:val="center"/>
      </w:pPr>
      <w:r w:rsidRPr="00EB57D6">
        <w:lastRenderedPageBreak/>
        <w:t>C/54/INF/4</w:t>
      </w:r>
    </w:p>
    <w:p w:rsidR="00845D57" w:rsidRPr="00EB57D6" w:rsidRDefault="00845D57" w:rsidP="00845D57">
      <w:pPr>
        <w:jc w:val="center"/>
      </w:pPr>
    </w:p>
    <w:p w:rsidR="00845D57" w:rsidRPr="00EB57D6" w:rsidRDefault="00845D57" w:rsidP="00845D57">
      <w:pPr>
        <w:jc w:val="center"/>
      </w:pPr>
      <w:r w:rsidRPr="00EB57D6">
        <w:t>ANNEXE VIII</w:t>
      </w:r>
    </w:p>
    <w:p w:rsidR="00845D57" w:rsidRPr="00EB57D6" w:rsidRDefault="00845D57" w:rsidP="00845D57">
      <w:pPr>
        <w:jc w:val="center"/>
      </w:pPr>
    </w:p>
    <w:p w:rsidR="00845D57" w:rsidRPr="00EB57D6" w:rsidRDefault="00845D57" w:rsidP="00845D57">
      <w:pPr>
        <w:jc w:val="center"/>
      </w:pPr>
    </w:p>
    <w:p w:rsidR="005917D2" w:rsidRPr="00EB57D6" w:rsidRDefault="005917D2" w:rsidP="005917D2">
      <w:pPr>
        <w:jc w:val="center"/>
        <w:rPr>
          <w:sz w:val="18"/>
        </w:rPr>
      </w:pPr>
      <w:r w:rsidRPr="00EB57D6">
        <w:t>JAPON</w:t>
      </w:r>
    </w:p>
    <w:p w:rsidR="005917D2" w:rsidRPr="00EB57D6" w:rsidRDefault="005917D2" w:rsidP="005917D2">
      <w:pPr>
        <w:jc w:val="center"/>
        <w:rPr>
          <w:sz w:val="18"/>
        </w:rPr>
      </w:pPr>
    </w:p>
    <w:p w:rsidR="005917D2" w:rsidRPr="00EB57D6" w:rsidRDefault="005917D2" w:rsidP="005917D2">
      <w:pPr>
        <w:jc w:val="center"/>
        <w:rPr>
          <w:sz w:val="18"/>
        </w:rPr>
      </w:pPr>
    </w:p>
    <w:p w:rsidR="005917D2" w:rsidRPr="00EB57D6" w:rsidRDefault="005917D2" w:rsidP="005917D2">
      <w:pPr>
        <w:rPr>
          <w:sz w:val="18"/>
          <w:lang w:eastAsia="ja-JP"/>
        </w:rPr>
      </w:pPr>
      <w:r w:rsidRPr="00EB57D6">
        <w:rPr>
          <w:color w:val="000000"/>
          <w:lang w:eastAsia="ja-JP"/>
        </w:rPr>
        <w:t>I.</w:t>
      </w:r>
      <w:r w:rsidRPr="00EB57D6">
        <w:rPr>
          <w:color w:val="000000"/>
          <w:lang w:eastAsia="ja-JP"/>
        </w:rPr>
        <w:tab/>
        <w:t>CONTRIBUTION FINANCIÈRE</w:t>
      </w:r>
    </w:p>
    <w:p w:rsidR="005917D2" w:rsidRPr="00EB57D6" w:rsidRDefault="005917D2" w:rsidP="005917D2">
      <w:pPr>
        <w:rPr>
          <w:sz w:val="18"/>
        </w:rPr>
      </w:pPr>
    </w:p>
    <w:p w:rsidR="005917D2" w:rsidRPr="00EB57D6" w:rsidRDefault="005917D2" w:rsidP="005917D2">
      <w:pPr>
        <w:rPr>
          <w:i/>
          <w:sz w:val="18"/>
        </w:rPr>
      </w:pPr>
      <w:r w:rsidRPr="00EB57D6">
        <w:rPr>
          <w:i/>
          <w:color w:val="000000"/>
        </w:rPr>
        <w:t>Fonds fiduciaire du Gouvernement du Japon (JP-FIT)</w:t>
      </w:r>
    </w:p>
    <w:p w:rsidR="005917D2" w:rsidRPr="00EB57D6" w:rsidRDefault="005917D2" w:rsidP="005917D2">
      <w:pPr>
        <w:rPr>
          <w:sz w:val="18"/>
          <w:u w:val="single"/>
        </w:rPr>
      </w:pPr>
    </w:p>
    <w:p w:rsidR="005917D2" w:rsidRPr="00EB57D6" w:rsidRDefault="005917D2" w:rsidP="005917D2">
      <w:pPr>
        <w:rPr>
          <w:sz w:val="18"/>
        </w:rPr>
      </w:pPr>
      <w:r w:rsidRPr="00EB57D6">
        <w:rPr>
          <w:color w:val="000000"/>
        </w:rPr>
        <w:t>Le Japon a contribué à hauteur de 353 982 francs suisses sous forme de fonds fiduciaire en 2019, afin de soutenir les activités du Secrétariat de l’UPOV visant à mettre en place le système de protection des obtentions végétales dans la région Asie, telles que :</w:t>
      </w:r>
    </w:p>
    <w:p w:rsidR="005917D2" w:rsidRPr="00EB57D6" w:rsidRDefault="005917D2" w:rsidP="005917D2">
      <w:pPr>
        <w:rPr>
          <w:sz w:val="18"/>
        </w:rPr>
      </w:pPr>
    </w:p>
    <w:p w:rsidR="005917D2" w:rsidRPr="00EB57D6" w:rsidRDefault="005917D2" w:rsidP="005917D2">
      <w:pPr>
        <w:ind w:left="1134" w:hanging="567"/>
        <w:rPr>
          <w:color w:val="000000"/>
          <w:sz w:val="18"/>
          <w:lang w:eastAsia="ja-JP"/>
        </w:rPr>
      </w:pPr>
      <w:r w:rsidRPr="00EB57D6">
        <w:rPr>
          <w:color w:val="000000"/>
          <w:lang w:eastAsia="ja-JP"/>
        </w:rPr>
        <w:t>i.</w:t>
      </w:r>
      <w:r w:rsidRPr="00EB57D6">
        <w:rPr>
          <w:color w:val="000000"/>
          <w:lang w:eastAsia="ja-JP"/>
        </w:rPr>
        <w:tab/>
        <w:t>réunions de consultation avec les services juridiques et techniques des pays concernés;</w:t>
      </w:r>
    </w:p>
    <w:p w:rsidR="005917D2" w:rsidRPr="00EB57D6" w:rsidRDefault="005917D2" w:rsidP="005917D2">
      <w:pPr>
        <w:ind w:left="1134" w:hanging="567"/>
        <w:rPr>
          <w:sz w:val="18"/>
          <w:lang w:eastAsia="ja-JP"/>
        </w:rPr>
      </w:pPr>
      <w:r w:rsidRPr="00EB57D6">
        <w:rPr>
          <w:color w:val="000000"/>
          <w:lang w:eastAsia="ja-JP"/>
        </w:rPr>
        <w:t>ii.</w:t>
      </w:r>
      <w:r w:rsidRPr="00EB57D6">
        <w:rPr>
          <w:color w:val="000000"/>
          <w:lang w:eastAsia="ja-JP"/>
        </w:rPr>
        <w:tab/>
        <w:t>ateliers juridiques internationaux organisés par le Bureau de l’Union (par exemple</w:t>
      </w:r>
      <w:r w:rsidRPr="00EB57D6">
        <w:rPr>
          <w:lang w:eastAsia="ja-JP"/>
        </w:rPr>
        <w:t xml:space="preserve"> </w:t>
      </w:r>
      <w:r w:rsidRPr="00EB57D6">
        <w:rPr>
          <w:color w:val="000000"/>
          <w:lang w:eastAsia="ja-JP"/>
        </w:rPr>
        <w:t xml:space="preserve">un </w:t>
      </w:r>
      <w:r w:rsidRPr="00EB57D6">
        <w:rPr>
          <w:lang w:eastAsia="ja-JP"/>
        </w:rPr>
        <w:t>atelier sur la rédaction d’une législation conforme à la Convention UPOV</w:t>
      </w:r>
      <w:r w:rsidRPr="00EB57D6">
        <w:rPr>
          <w:color w:val="000000"/>
          <w:lang w:eastAsia="ja-JP"/>
        </w:rPr>
        <w:t>);</w:t>
      </w:r>
    </w:p>
    <w:p w:rsidR="005917D2" w:rsidRPr="00EB57D6" w:rsidRDefault="005917D2" w:rsidP="005917D2">
      <w:pPr>
        <w:ind w:left="1134" w:hanging="567"/>
        <w:rPr>
          <w:sz w:val="18"/>
          <w:lang w:eastAsia="ja-JP"/>
        </w:rPr>
      </w:pPr>
      <w:r w:rsidRPr="00EB57D6">
        <w:rPr>
          <w:lang w:eastAsia="ja-JP"/>
        </w:rPr>
        <w:t>iii.</w:t>
      </w:r>
      <w:r w:rsidRPr="00EB57D6">
        <w:rPr>
          <w:lang w:eastAsia="ja-JP"/>
        </w:rPr>
        <w:tab/>
      </w:r>
      <w:r w:rsidRPr="00EB57D6">
        <w:rPr>
          <w:color w:val="000000"/>
          <w:lang w:eastAsia="ja-JP"/>
        </w:rPr>
        <w:t>voyages d’études sur le système de protection des obtentions végétales pour les hauts fonctionnaires des pays d’Asie;</w:t>
      </w:r>
    </w:p>
    <w:p w:rsidR="005917D2" w:rsidRPr="00EB57D6" w:rsidRDefault="005917D2" w:rsidP="005917D2">
      <w:pPr>
        <w:ind w:left="1134" w:hanging="567"/>
        <w:rPr>
          <w:sz w:val="18"/>
          <w:lang w:eastAsia="ja-JP"/>
        </w:rPr>
      </w:pPr>
      <w:r w:rsidRPr="00EB57D6">
        <w:rPr>
          <w:color w:val="000000"/>
          <w:lang w:eastAsia="ja-JP"/>
        </w:rPr>
        <w:t>iv.</w:t>
      </w:r>
      <w:r w:rsidRPr="00EB57D6">
        <w:rPr>
          <w:color w:val="000000"/>
          <w:lang w:eastAsia="ja-JP"/>
        </w:rPr>
        <w:tab/>
        <w:t>ateliers nationaux de sensibilisation à la protection des obtentions végétales dans les pays d’Asie;</w:t>
      </w:r>
    </w:p>
    <w:p w:rsidR="005917D2" w:rsidRPr="00EB57D6" w:rsidRDefault="005917D2" w:rsidP="005917D2">
      <w:pPr>
        <w:ind w:left="1134" w:hanging="567"/>
        <w:rPr>
          <w:sz w:val="18"/>
          <w:lang w:eastAsia="ja-JP"/>
        </w:rPr>
      </w:pPr>
      <w:r w:rsidRPr="00EB57D6">
        <w:rPr>
          <w:color w:val="000000"/>
          <w:lang w:eastAsia="ja-JP"/>
        </w:rPr>
        <w:t>v.</w:t>
      </w:r>
      <w:r w:rsidRPr="00EB57D6">
        <w:rPr>
          <w:color w:val="000000"/>
          <w:lang w:eastAsia="ja-JP"/>
        </w:rPr>
        <w:tab/>
        <w:t>ateliers internationaux sur la protection des obtentions végétales selon la Convention UPOV;</w:t>
      </w:r>
    </w:p>
    <w:p w:rsidR="005917D2" w:rsidRPr="00EB57D6" w:rsidRDefault="005917D2" w:rsidP="005917D2">
      <w:pPr>
        <w:ind w:left="1134" w:hanging="567"/>
        <w:rPr>
          <w:sz w:val="18"/>
          <w:lang w:eastAsia="ja-JP"/>
        </w:rPr>
      </w:pPr>
      <w:r w:rsidRPr="00EB57D6">
        <w:rPr>
          <w:color w:val="000000"/>
          <w:lang w:eastAsia="ja-JP"/>
        </w:rPr>
        <w:t>vi.</w:t>
      </w:r>
      <w:r w:rsidRPr="00EB57D6">
        <w:rPr>
          <w:color w:val="000000"/>
          <w:lang w:eastAsia="ja-JP"/>
        </w:rPr>
        <w:tab/>
        <w:t>réunions annuelles du Forum sur la protection des obtentions végétales en Asie orientale (Forum EAPVP);  et</w:t>
      </w:r>
    </w:p>
    <w:p w:rsidR="005917D2" w:rsidRPr="00EB57D6" w:rsidRDefault="005917D2" w:rsidP="005917D2">
      <w:pPr>
        <w:ind w:left="1134" w:hanging="567"/>
        <w:rPr>
          <w:sz w:val="18"/>
          <w:lang w:eastAsia="ja-JP"/>
        </w:rPr>
      </w:pPr>
      <w:r w:rsidRPr="00EB57D6">
        <w:rPr>
          <w:lang w:eastAsia="ja-JP"/>
        </w:rPr>
        <w:t>vii.</w:t>
      </w:r>
      <w:r w:rsidRPr="00EB57D6">
        <w:rPr>
          <w:lang w:eastAsia="ja-JP"/>
        </w:rPr>
        <w:tab/>
      </w:r>
      <w:r w:rsidRPr="00EB57D6">
        <w:rPr>
          <w:color w:val="000000"/>
          <w:lang w:eastAsia="ja-JP"/>
        </w:rPr>
        <w:t>projet pilote EAPVP pour faciliter l’harmonisation des procédures de demande et d’examen et améliorer l’efficacité de la coopération en matière de protection des obtentions végétales dans la région Asie.</w:t>
      </w:r>
    </w:p>
    <w:p w:rsidR="005917D2" w:rsidRPr="00EB57D6" w:rsidRDefault="005917D2" w:rsidP="005917D2">
      <w:pPr>
        <w:rPr>
          <w:sz w:val="18"/>
          <w:lang w:eastAsia="ja-JP"/>
        </w:rPr>
      </w:pPr>
    </w:p>
    <w:p w:rsidR="005917D2" w:rsidRPr="00EB57D6" w:rsidRDefault="005917D2" w:rsidP="005917D2">
      <w:pPr>
        <w:rPr>
          <w:sz w:val="18"/>
          <w:lang w:eastAsia="ja-JP"/>
        </w:rPr>
      </w:pPr>
    </w:p>
    <w:p w:rsidR="005917D2" w:rsidRPr="00EB57D6" w:rsidRDefault="005917D2" w:rsidP="005917D2">
      <w:pPr>
        <w:rPr>
          <w:sz w:val="18"/>
        </w:rPr>
      </w:pPr>
      <w:r w:rsidRPr="00EB57D6">
        <w:rPr>
          <w:color w:val="000000"/>
        </w:rPr>
        <w:t>II.</w:t>
      </w:r>
      <w:r w:rsidRPr="00EB57D6">
        <w:rPr>
          <w:color w:val="000000"/>
        </w:rPr>
        <w:tab/>
        <w:t>PROTECTION DES VARIÉTÉS VÉGÉTALES</w:t>
      </w:r>
    </w:p>
    <w:p w:rsidR="005917D2" w:rsidRPr="00EB57D6" w:rsidRDefault="005917D2" w:rsidP="005917D2">
      <w:pPr>
        <w:rPr>
          <w:sz w:val="18"/>
        </w:rPr>
      </w:pPr>
    </w:p>
    <w:p w:rsidR="005917D2" w:rsidRPr="00EB57D6" w:rsidRDefault="005917D2" w:rsidP="005917D2">
      <w:pPr>
        <w:rPr>
          <w:sz w:val="18"/>
        </w:rPr>
      </w:pPr>
      <w:r w:rsidRPr="00EB57D6">
        <w:t>1.</w:t>
      </w:r>
      <w:r w:rsidRPr="00EB57D6">
        <w:tab/>
      </w:r>
      <w:r w:rsidRPr="00EB57D6">
        <w:rPr>
          <w:u w:val="single"/>
        </w:rPr>
        <w:t>Situation dans le domaine législatif</w:t>
      </w:r>
    </w:p>
    <w:p w:rsidR="005917D2" w:rsidRPr="00EB57D6" w:rsidRDefault="005917D2" w:rsidP="005917D2">
      <w:pPr>
        <w:tabs>
          <w:tab w:val="left" w:pos="426"/>
          <w:tab w:val="left" w:pos="1276"/>
        </w:tabs>
        <w:rPr>
          <w:bCs/>
          <w:sz w:val="18"/>
          <w:lang w:eastAsia="ja-JP"/>
        </w:rPr>
      </w:pPr>
    </w:p>
    <w:p w:rsidR="005917D2" w:rsidRPr="00EB57D6" w:rsidRDefault="005917D2" w:rsidP="005917D2">
      <w:pPr>
        <w:rPr>
          <w:i/>
          <w:sz w:val="18"/>
        </w:rPr>
      </w:pPr>
      <w:r w:rsidRPr="00EB57D6">
        <w:rPr>
          <w:i/>
        </w:rPr>
        <w:t>Modifications de la loi et des textes d’application</w:t>
      </w:r>
    </w:p>
    <w:p w:rsidR="005917D2" w:rsidRPr="00EB57D6" w:rsidRDefault="005917D2" w:rsidP="005917D2">
      <w:pPr>
        <w:rPr>
          <w:sz w:val="18"/>
        </w:rPr>
      </w:pPr>
    </w:p>
    <w:p w:rsidR="005917D2" w:rsidRPr="00EB57D6" w:rsidRDefault="005917D2" w:rsidP="005917D2">
      <w:pPr>
        <w:rPr>
          <w:sz w:val="18"/>
        </w:rPr>
      </w:pPr>
      <w:r w:rsidRPr="00EB57D6">
        <w:t>L’ordonnance d’application de la loi sur la protection des obtentions végétales et des semences (ordonnance n° 83 du Ministère de l’agriculture, des forêts et de la pêche du 3 décembre 1998) a été modifiée et est entrée en vigueur le 16 mars 2020.  Cette modification a ajouté les genres et espèces végétaux auxquels s’étend le droit d’obtenteur compte tenu de l’utilisation par les agriculteurs de semences de ferme obtenues dans leurs propres exploitations, conformément à l’article 21</w:t>
      </w:r>
      <w:r w:rsidRPr="00EB57D6">
        <w:rPr>
          <w:color w:val="000000"/>
        </w:rPr>
        <w:t>.</w:t>
      </w:r>
      <w:r w:rsidRPr="00EB57D6">
        <w:t>3 de la loi sur la protection des variétés végétales et des semences.</w:t>
      </w:r>
    </w:p>
    <w:p w:rsidR="005917D2" w:rsidRPr="00EB57D6" w:rsidRDefault="005917D2" w:rsidP="005917D2">
      <w:pPr>
        <w:rPr>
          <w:sz w:val="18"/>
        </w:rPr>
      </w:pPr>
    </w:p>
    <w:p w:rsidR="005917D2" w:rsidRPr="00EB57D6" w:rsidRDefault="005917D2" w:rsidP="005917D2">
      <w:pPr>
        <w:rPr>
          <w:sz w:val="18"/>
        </w:rPr>
      </w:pPr>
      <w:r w:rsidRPr="00EB57D6">
        <w:rPr>
          <w:color w:val="000000"/>
        </w:rPr>
        <w:t xml:space="preserve">Actuellement, le projet de loi relatif à la modification de la loi sur la protection des obtentions végétales et des semences a été soumis à la </w:t>
      </w:r>
      <w:proofErr w:type="spellStart"/>
      <w:r w:rsidRPr="00EB57D6">
        <w:rPr>
          <w:color w:val="000000"/>
        </w:rPr>
        <w:t>Diet</w:t>
      </w:r>
      <w:proofErr w:type="spellEnd"/>
      <w:r w:rsidRPr="00EB57D6">
        <w:rPr>
          <w:color w:val="000000"/>
        </w:rPr>
        <w:t>.</w:t>
      </w:r>
    </w:p>
    <w:p w:rsidR="005917D2" w:rsidRPr="00EB57D6" w:rsidRDefault="005917D2" w:rsidP="005917D2">
      <w:pPr>
        <w:rPr>
          <w:sz w:val="18"/>
          <w:lang w:eastAsia="ja-JP"/>
        </w:rPr>
      </w:pPr>
    </w:p>
    <w:p w:rsidR="005917D2" w:rsidRPr="00EB57D6" w:rsidRDefault="005917D2" w:rsidP="005917D2">
      <w:pPr>
        <w:rPr>
          <w:sz w:val="18"/>
          <w:lang w:eastAsia="ja-JP"/>
        </w:rPr>
      </w:pPr>
    </w:p>
    <w:p w:rsidR="005917D2" w:rsidRPr="00EB57D6" w:rsidRDefault="005917D2" w:rsidP="005917D2">
      <w:pPr>
        <w:rPr>
          <w:sz w:val="18"/>
        </w:rPr>
      </w:pPr>
      <w:r w:rsidRPr="00EB57D6">
        <w:t>2.</w:t>
      </w:r>
      <w:r w:rsidRPr="00EB57D6">
        <w:tab/>
      </w:r>
      <w:r w:rsidRPr="00EB57D6">
        <w:rPr>
          <w:u w:val="single"/>
        </w:rPr>
        <w:t>Coopération en matière d’examen</w:t>
      </w:r>
    </w:p>
    <w:p w:rsidR="005917D2" w:rsidRPr="00EB57D6" w:rsidRDefault="005917D2" w:rsidP="005917D2">
      <w:pPr>
        <w:rPr>
          <w:bCs/>
          <w:sz w:val="18"/>
        </w:rPr>
      </w:pPr>
    </w:p>
    <w:p w:rsidR="005917D2" w:rsidRPr="00EB57D6" w:rsidRDefault="005917D2" w:rsidP="005917D2">
      <w:pPr>
        <w:rPr>
          <w:sz w:val="18"/>
          <w:lang w:eastAsia="ja-JP"/>
        </w:rPr>
      </w:pPr>
      <w:r w:rsidRPr="00EB57D6">
        <w:rPr>
          <w:lang w:eastAsia="ja-JP"/>
        </w:rPr>
        <w:t xml:space="preserve">Le Japon a signé les mémorandums de coopération sur l’échange des rapports d’examen DHS existants pour un enregistrement efficace des droits d’obtenteur entre 15 membres de l’UPOV.  </w:t>
      </w:r>
      <w:r w:rsidRPr="00EB57D6">
        <w:rPr>
          <w:color w:val="000000"/>
          <w:lang w:eastAsia="ja-JP"/>
        </w:rPr>
        <w:t>En 2019, le Japon a fourni au total 27 rapports d’examen DHS à l’Australie, au Brésil, à la Chine, à la Colombie, à la Fédération de Russie, au Kenya, à la Nouvelle-Zélande et au Viet Nam.  La Japon a repris 4 rapports d’examen DHS de la République de Corée et de l’Union européenne.</w:t>
      </w:r>
    </w:p>
    <w:p w:rsidR="005917D2" w:rsidRPr="00EB57D6" w:rsidRDefault="005917D2" w:rsidP="005917D2">
      <w:pPr>
        <w:rPr>
          <w:sz w:val="18"/>
          <w:lang w:eastAsia="ja-JP"/>
        </w:rPr>
      </w:pPr>
    </w:p>
    <w:p w:rsidR="005917D2" w:rsidRPr="00EB57D6" w:rsidRDefault="005917D2" w:rsidP="005917D2">
      <w:pPr>
        <w:rPr>
          <w:sz w:val="18"/>
          <w:lang w:eastAsia="ja-JP"/>
        </w:rPr>
      </w:pPr>
    </w:p>
    <w:p w:rsidR="005917D2" w:rsidRPr="00EB57D6" w:rsidRDefault="005917D2" w:rsidP="005917D2">
      <w:pPr>
        <w:rPr>
          <w:bCs/>
          <w:sz w:val="18"/>
          <w:u w:val="single"/>
        </w:rPr>
      </w:pPr>
      <w:r w:rsidRPr="00EB57D6">
        <w:rPr>
          <w:bCs/>
        </w:rPr>
        <w:t>3.</w:t>
      </w:r>
      <w:r w:rsidRPr="00EB57D6">
        <w:rPr>
          <w:bCs/>
        </w:rPr>
        <w:tab/>
      </w:r>
      <w:r w:rsidRPr="00EB57D6">
        <w:rPr>
          <w:bCs/>
          <w:u w:val="single"/>
        </w:rPr>
        <w:t>Situation dans le domaine administratif</w:t>
      </w:r>
    </w:p>
    <w:p w:rsidR="005917D2" w:rsidRPr="00EB57D6" w:rsidRDefault="005917D2" w:rsidP="005917D2">
      <w:pPr>
        <w:rPr>
          <w:bCs/>
          <w:sz w:val="18"/>
          <w:u w:val="single"/>
        </w:rPr>
      </w:pPr>
    </w:p>
    <w:p w:rsidR="005917D2" w:rsidRPr="00EB57D6" w:rsidRDefault="005917D2" w:rsidP="005917D2">
      <w:pPr>
        <w:rPr>
          <w:i/>
          <w:sz w:val="18"/>
        </w:rPr>
      </w:pPr>
      <w:r w:rsidRPr="00EB57D6">
        <w:rPr>
          <w:i/>
        </w:rPr>
        <w:t>Systèmes de dépôt électronique des demandes</w:t>
      </w:r>
    </w:p>
    <w:p w:rsidR="005917D2" w:rsidRPr="00EB57D6" w:rsidRDefault="005917D2" w:rsidP="005917D2">
      <w:pPr>
        <w:rPr>
          <w:sz w:val="18"/>
        </w:rPr>
      </w:pPr>
    </w:p>
    <w:p w:rsidR="005917D2" w:rsidRPr="00EB57D6" w:rsidRDefault="005917D2" w:rsidP="005917D2">
      <w:pPr>
        <w:rPr>
          <w:sz w:val="18"/>
        </w:rPr>
      </w:pPr>
      <w:r w:rsidRPr="00EB57D6">
        <w:t xml:space="preserve">Le Ministère de l’agriculture, des forêts et de la pêche a lancé un système national de dépôt électronique des demandes pour la protection des obtentions végétales le 26 mars 2018 afin de faciliter la tâche des demandeurs.  </w:t>
      </w:r>
      <w:r w:rsidRPr="00EB57D6">
        <w:rPr>
          <w:color w:val="000000"/>
        </w:rPr>
        <w:t xml:space="preserve">Avec ce système, ils peuvent déposer leurs demandes et acquitter les taxes de dépôt et d’enregistrement par voie électronique sur le site Web.  Au 31 mars 2020, 321 demandes avaient été ainsi déposées.  </w:t>
      </w:r>
      <w:r w:rsidRPr="00EB57D6">
        <w:t>En ce qui concerne les activités d’UPOV PRISMA, le Ministère communique avec le Bureau de l’UPOV pour mettre à jour le système de navigation en japonais dans UPOV PRISMA afin de préparer l’échange de données entre les deux systèmes.</w:t>
      </w:r>
    </w:p>
    <w:p w:rsidR="005917D2" w:rsidRPr="00EB57D6" w:rsidRDefault="005917D2" w:rsidP="005917D2">
      <w:pPr>
        <w:keepNext/>
        <w:rPr>
          <w:bCs/>
          <w:sz w:val="18"/>
          <w:u w:val="single"/>
          <w:lang w:eastAsia="ja-JP"/>
        </w:rPr>
      </w:pPr>
      <w:r w:rsidRPr="00EB57D6">
        <w:rPr>
          <w:bCs/>
          <w:lang w:eastAsia="ja-JP"/>
        </w:rPr>
        <w:lastRenderedPageBreak/>
        <w:t>4.</w:t>
      </w:r>
      <w:r w:rsidRPr="00EB57D6">
        <w:rPr>
          <w:bCs/>
          <w:lang w:eastAsia="ja-JP"/>
        </w:rPr>
        <w:tab/>
      </w:r>
      <w:r w:rsidRPr="00EB57D6">
        <w:rPr>
          <w:bCs/>
          <w:u w:val="single"/>
          <w:lang w:eastAsia="ja-JP"/>
        </w:rPr>
        <w:t>Situation dans le domaine technique</w:t>
      </w:r>
    </w:p>
    <w:p w:rsidR="005917D2" w:rsidRPr="00EB57D6" w:rsidRDefault="005917D2" w:rsidP="005917D2">
      <w:pPr>
        <w:keepNext/>
        <w:rPr>
          <w:bCs/>
          <w:sz w:val="18"/>
          <w:u w:val="single"/>
          <w:lang w:eastAsia="ja-JP"/>
        </w:rPr>
      </w:pPr>
    </w:p>
    <w:p w:rsidR="005917D2" w:rsidRPr="00EB57D6" w:rsidRDefault="005917D2" w:rsidP="005917D2">
      <w:pPr>
        <w:keepNext/>
        <w:rPr>
          <w:sz w:val="18"/>
        </w:rPr>
      </w:pPr>
      <w:r w:rsidRPr="00EB57D6">
        <w:t>De nouveaux principes directeurs d’examen nationaux pour 14 genres et espèces ont été établis en 2019.</w:t>
      </w:r>
    </w:p>
    <w:p w:rsidR="005917D2" w:rsidRPr="00EB57D6" w:rsidRDefault="005917D2" w:rsidP="005917D2">
      <w:pPr>
        <w:keepNext/>
        <w:rPr>
          <w:sz w:val="18"/>
        </w:rPr>
      </w:pPr>
    </w:p>
    <w:p w:rsidR="005917D2" w:rsidRPr="00EB57D6" w:rsidRDefault="005917D2" w:rsidP="005917D2">
      <w:pPr>
        <w:rPr>
          <w:sz w:val="18"/>
        </w:rPr>
      </w:pPr>
      <w:r w:rsidRPr="00EB57D6">
        <w:rPr>
          <w:color w:val="000000"/>
        </w:rPr>
        <w:t xml:space="preserve">Le Centre national des semences et des jeunes plants, l’institut japonais des essais de mise en culture DHS, travaille en collaboration avec </w:t>
      </w:r>
      <w:proofErr w:type="spellStart"/>
      <w:r w:rsidRPr="00EB57D6">
        <w:rPr>
          <w:color w:val="000000"/>
        </w:rPr>
        <w:t>Naktuinbouw</w:t>
      </w:r>
      <w:proofErr w:type="spellEnd"/>
      <w:r w:rsidRPr="00EB57D6">
        <w:rPr>
          <w:color w:val="000000"/>
        </w:rPr>
        <w:t xml:space="preserve"> pour établir les manuels d’étalonnage afin d’harmoniser l’examen DHS.  </w:t>
      </w:r>
      <w:r w:rsidRPr="00EB57D6">
        <w:t xml:space="preserve">Les manuels d’étalonnage fournissent aux utilisateurs du matériel de référence facile à comprendre, notamment des photographies expliquant comment observer et mesurer les caractères des variétés candidates.  </w:t>
      </w:r>
      <w:r w:rsidRPr="00EB57D6">
        <w:rPr>
          <w:color w:val="000000"/>
        </w:rPr>
        <w:t xml:space="preserve">Cette activité conjointe porte sur 10 plantes, à savoir : l’anthurium, l’aubergine, le chrysanthème, le gerbera, la tomate, la tulipe, le rosier, la laitue, l’œillet et la pastèque.  Huit manuels pour le rosier (type fleur coupée), le </w:t>
      </w:r>
      <w:proofErr w:type="spellStart"/>
      <w:r w:rsidRPr="00EB57D6">
        <w:rPr>
          <w:color w:val="000000"/>
        </w:rPr>
        <w:t>dianthus</w:t>
      </w:r>
      <w:proofErr w:type="spellEnd"/>
      <w:r w:rsidRPr="00EB57D6">
        <w:rPr>
          <w:color w:val="000000"/>
        </w:rPr>
        <w:t xml:space="preserve">, l’anthurium, la laitue, la pastèque, l’aubergine, le gerbera et la tomate ont été achevés et sont maintenant disponibles sur le site Web du centre et sur celui de </w:t>
      </w:r>
      <w:proofErr w:type="spellStart"/>
      <w:r w:rsidRPr="00EB57D6">
        <w:rPr>
          <w:color w:val="000000"/>
        </w:rPr>
        <w:t>Naktuinbouw</w:t>
      </w:r>
      <w:proofErr w:type="spellEnd"/>
      <w:r w:rsidRPr="00EB57D6">
        <w:rPr>
          <w:color w:val="000000"/>
        </w:rPr>
        <w:t> :</w:t>
      </w:r>
    </w:p>
    <w:p w:rsidR="005917D2" w:rsidRPr="00EB57D6" w:rsidRDefault="00867E38" w:rsidP="005917D2">
      <w:pPr>
        <w:rPr>
          <w:rStyle w:val="Hyperlink"/>
        </w:rPr>
      </w:pPr>
      <w:hyperlink r:id="rId17" w:history="1">
        <w:r w:rsidR="005917D2" w:rsidRPr="00EB57D6">
          <w:rPr>
            <w:rStyle w:val="Hyperlink"/>
          </w:rPr>
          <w:t>http://www.naro.affrc.go.jp/english/laboratory/ncss/dus_growing_test/index.html</w:t>
        </w:r>
      </w:hyperlink>
    </w:p>
    <w:p w:rsidR="005917D2" w:rsidRPr="00EB57D6" w:rsidRDefault="005917D2" w:rsidP="005917D2">
      <w:pPr>
        <w:rPr>
          <w:sz w:val="18"/>
          <w:lang w:eastAsia="ja-JP"/>
        </w:rPr>
      </w:pPr>
    </w:p>
    <w:p w:rsidR="005917D2" w:rsidRPr="00EB57D6" w:rsidRDefault="005917D2" w:rsidP="005917D2">
      <w:pPr>
        <w:rPr>
          <w:sz w:val="18"/>
          <w:lang w:eastAsia="ja-JP"/>
        </w:rPr>
      </w:pPr>
    </w:p>
    <w:p w:rsidR="005917D2" w:rsidRPr="00EB57D6" w:rsidRDefault="005917D2" w:rsidP="005917D2">
      <w:pPr>
        <w:jc w:val="left"/>
        <w:rPr>
          <w:bCs/>
          <w:sz w:val="18"/>
          <w:u w:val="single"/>
        </w:rPr>
      </w:pPr>
      <w:r w:rsidRPr="00EB57D6">
        <w:rPr>
          <w:bCs/>
        </w:rPr>
        <w:t>5.</w:t>
      </w:r>
      <w:r w:rsidRPr="00EB57D6">
        <w:rPr>
          <w:bCs/>
        </w:rPr>
        <w:tab/>
      </w:r>
      <w:r w:rsidRPr="00EB57D6">
        <w:rPr>
          <w:bCs/>
          <w:u w:val="single"/>
        </w:rPr>
        <w:t>Activités de promotion de la protection des obtentions végétales</w:t>
      </w:r>
    </w:p>
    <w:p w:rsidR="005917D2" w:rsidRPr="00EB57D6" w:rsidRDefault="005917D2" w:rsidP="005917D2">
      <w:pPr>
        <w:jc w:val="left"/>
        <w:rPr>
          <w:bCs/>
          <w:sz w:val="18"/>
          <w:u w:val="single"/>
        </w:rPr>
      </w:pPr>
    </w:p>
    <w:p w:rsidR="005917D2" w:rsidRPr="00EB57D6" w:rsidRDefault="005917D2" w:rsidP="005917D2">
      <w:pPr>
        <w:rPr>
          <w:i/>
          <w:sz w:val="18"/>
        </w:rPr>
      </w:pPr>
      <w:r w:rsidRPr="00EB57D6">
        <w:rPr>
          <w:i/>
        </w:rPr>
        <w:t>5</w:t>
      </w:r>
      <w:r w:rsidRPr="00EB57D6">
        <w:rPr>
          <w:i/>
          <w:color w:val="000000"/>
        </w:rPr>
        <w:t>.</w:t>
      </w:r>
      <w:r w:rsidRPr="00EB57D6">
        <w:rPr>
          <w:i/>
        </w:rPr>
        <w:t>1</w:t>
      </w:r>
      <w:r w:rsidRPr="00EB57D6">
        <w:rPr>
          <w:i/>
          <w:color w:val="000000"/>
        </w:rPr>
        <w:tab/>
      </w:r>
      <w:r w:rsidRPr="00EB57D6">
        <w:rPr>
          <w:i/>
        </w:rPr>
        <w:t>Forum sur la protection des obtentions végétales en Asie orientale (Forum EAPVP)</w:t>
      </w:r>
    </w:p>
    <w:p w:rsidR="005917D2" w:rsidRPr="00EB57D6" w:rsidRDefault="005917D2" w:rsidP="005917D2">
      <w:pPr>
        <w:rPr>
          <w:sz w:val="18"/>
        </w:rPr>
      </w:pPr>
    </w:p>
    <w:p w:rsidR="005917D2" w:rsidRPr="00EB57D6" w:rsidRDefault="005917D2" w:rsidP="005917D2">
      <w:pPr>
        <w:rPr>
          <w:sz w:val="18"/>
        </w:rPr>
      </w:pPr>
      <w:r w:rsidRPr="00EB57D6">
        <w:rPr>
          <w:color w:val="000000"/>
        </w:rPr>
        <w:t>Conformément au “Plan stratégique pour les 10 prochaines années du Forum EAPVP (2018-2027)”, adopté lors de sa 11e réunion annuelle tenue en 2018, chaque pays membre du Forum promeut des activités individuelles ou régionales concernant la protection des obtentions végétales.</w:t>
      </w:r>
    </w:p>
    <w:p w:rsidR="005917D2" w:rsidRPr="00EB57D6" w:rsidRDefault="005917D2" w:rsidP="005917D2">
      <w:pPr>
        <w:rPr>
          <w:sz w:val="18"/>
        </w:rPr>
      </w:pPr>
    </w:p>
    <w:p w:rsidR="005917D2" w:rsidRPr="00EB57D6" w:rsidRDefault="005917D2" w:rsidP="005917D2">
      <w:pPr>
        <w:rPr>
          <w:sz w:val="18"/>
        </w:rPr>
      </w:pPr>
      <w:r w:rsidRPr="00EB57D6">
        <w:rPr>
          <w:color w:val="000000"/>
        </w:rPr>
        <w:t>À la treizième réunion annuelle qui se tiendra en novembre 2020 (à déterminer), des activités de coopération seront adoptées et les progrès réalisés dans le cadre du projet pilote de l’EAPVP seront présentés.  (En raison de l’impact de la pandémie de COVID-19, la réunion annuelle a été reportée de juillet à novembre).</w:t>
      </w:r>
    </w:p>
    <w:p w:rsidR="005917D2" w:rsidRPr="00EB57D6" w:rsidRDefault="005917D2" w:rsidP="005917D2">
      <w:pPr>
        <w:rPr>
          <w:sz w:val="18"/>
        </w:rPr>
      </w:pPr>
    </w:p>
    <w:p w:rsidR="005917D2" w:rsidRPr="00EB57D6" w:rsidRDefault="005917D2" w:rsidP="005917D2">
      <w:pPr>
        <w:rPr>
          <w:sz w:val="18"/>
        </w:rPr>
      </w:pPr>
      <w:r w:rsidRPr="00EB57D6">
        <w:rPr>
          <w:color w:val="000000"/>
        </w:rPr>
        <w:t>5.1.1</w:t>
      </w:r>
      <w:r w:rsidRPr="00EB57D6">
        <w:rPr>
          <w:color w:val="000000"/>
        </w:rPr>
        <w:tab/>
        <w:t>Projet pilote de l’EAPVP</w:t>
      </w:r>
    </w:p>
    <w:p w:rsidR="005917D2" w:rsidRPr="00EB57D6" w:rsidRDefault="005917D2" w:rsidP="005917D2">
      <w:pPr>
        <w:rPr>
          <w:sz w:val="18"/>
        </w:rPr>
      </w:pPr>
    </w:p>
    <w:p w:rsidR="005917D2" w:rsidRPr="00EB57D6" w:rsidRDefault="005917D2" w:rsidP="005917D2">
      <w:pPr>
        <w:rPr>
          <w:sz w:val="18"/>
        </w:rPr>
      </w:pPr>
      <w:r w:rsidRPr="00EB57D6">
        <w:rPr>
          <w:color w:val="000000"/>
        </w:rPr>
        <w:t xml:space="preserve">À sa onzième réunion annuelle, le Forum EAPVP est convenu de lancer le projet pilote en tant qu’activité de coopération régionale proposée par le Japon et le Viet Nam.  </w:t>
      </w:r>
      <w:r w:rsidRPr="00EB57D6">
        <w:t>Le projet comporte deux phases, à savoir la phase 1 (élaboration et essai;  2018-2021) et la phase 2 (opérationnelle;  2022-2023).  Il a donné lieu à quatre réunions depuis octobre 2018 au Viet Nam.</w:t>
      </w:r>
    </w:p>
    <w:p w:rsidR="005917D2" w:rsidRPr="00EB57D6" w:rsidRDefault="005917D2" w:rsidP="005917D2">
      <w:pPr>
        <w:rPr>
          <w:sz w:val="18"/>
        </w:rPr>
      </w:pPr>
    </w:p>
    <w:p w:rsidR="005917D2" w:rsidRPr="00EB57D6" w:rsidRDefault="005917D2" w:rsidP="005917D2">
      <w:pPr>
        <w:rPr>
          <w:sz w:val="18"/>
        </w:rPr>
      </w:pPr>
      <w:r w:rsidRPr="00EB57D6">
        <w:rPr>
          <w:color w:val="000000"/>
        </w:rPr>
        <w:t>i</w:t>
      </w:r>
      <w:r w:rsidRPr="00EB57D6">
        <w:rPr>
          <w:color w:val="000000"/>
        </w:rPr>
        <w:tab/>
        <w:t>Pays participants</w:t>
      </w:r>
    </w:p>
    <w:p w:rsidR="005917D2" w:rsidRPr="00EB57D6" w:rsidRDefault="005917D2" w:rsidP="005917D2">
      <w:pPr>
        <w:rPr>
          <w:sz w:val="18"/>
        </w:rPr>
      </w:pPr>
    </w:p>
    <w:p w:rsidR="005917D2" w:rsidRPr="00EB57D6" w:rsidRDefault="005917D2" w:rsidP="005917D2">
      <w:pPr>
        <w:rPr>
          <w:color w:val="000000"/>
          <w:sz w:val="18"/>
        </w:rPr>
      </w:pPr>
      <w:r w:rsidRPr="00EB57D6">
        <w:rPr>
          <w:color w:val="000000"/>
        </w:rPr>
        <w:t xml:space="preserve">Actuellement, les pays participant à ce projet sont le Japon et le Viet Nam.  Le </w:t>
      </w:r>
      <w:proofErr w:type="spellStart"/>
      <w:r w:rsidRPr="00EB57D6">
        <w:rPr>
          <w:color w:val="000000"/>
        </w:rPr>
        <w:t>Brunéi</w:t>
      </w:r>
      <w:proofErr w:type="spellEnd"/>
      <w:r w:rsidRPr="00EB57D6">
        <w:rPr>
          <w:color w:val="000000"/>
        </w:rPr>
        <w:t xml:space="preserve"> Darussalam, la Malaisie et le Myanmar figurent sur la liste provisoire des participants.  </w:t>
      </w:r>
      <w:r w:rsidRPr="00EB57D6">
        <w:t xml:space="preserve">Le Bureau de l’UPOV est un partenaire ressource.  Ceux qui le souhaitent peuvent figurer parmi les pays participants.  </w:t>
      </w:r>
      <w:r w:rsidRPr="00EB57D6">
        <w:rPr>
          <w:color w:val="000000"/>
        </w:rPr>
        <w:t>Ceux qui se sont officiellement engagés à adhérer à l’UPOV peuvent, à leur demande, figurer sur la liste provisoire des pays participants durant la phase 1.  Tout pays membre du Forum EAPVP peut assister aux réunions concernant le projet pilote.</w:t>
      </w:r>
    </w:p>
    <w:p w:rsidR="005917D2" w:rsidRPr="00EB57D6" w:rsidRDefault="005917D2" w:rsidP="005917D2">
      <w:pPr>
        <w:rPr>
          <w:sz w:val="18"/>
        </w:rPr>
      </w:pPr>
    </w:p>
    <w:p w:rsidR="005917D2" w:rsidRPr="00EB57D6" w:rsidRDefault="005917D2" w:rsidP="005917D2">
      <w:pPr>
        <w:rPr>
          <w:sz w:val="18"/>
        </w:rPr>
      </w:pPr>
      <w:r w:rsidRPr="00EB57D6">
        <w:rPr>
          <w:color w:val="000000"/>
        </w:rPr>
        <w:t>ii.</w:t>
      </w:r>
      <w:r w:rsidRPr="00EB57D6">
        <w:rPr>
          <w:color w:val="000000"/>
        </w:rPr>
        <w:tab/>
        <w:t>Avantages du projet pilote EAPVP (projet)</w:t>
      </w:r>
    </w:p>
    <w:p w:rsidR="005917D2" w:rsidRPr="00EB57D6" w:rsidRDefault="005917D2" w:rsidP="005917D2">
      <w:pPr>
        <w:rPr>
          <w:sz w:val="18"/>
        </w:rPr>
      </w:pPr>
    </w:p>
    <w:p w:rsidR="005917D2" w:rsidRPr="00EB57D6" w:rsidRDefault="005917D2" w:rsidP="005917D2">
      <w:pPr>
        <w:rPr>
          <w:sz w:val="18"/>
        </w:rPr>
      </w:pPr>
      <w:r w:rsidRPr="00EB57D6">
        <w:rPr>
          <w:color w:val="000000"/>
        </w:rPr>
        <w:t>Pour les obtenteurs/agents, le projet (la plateforme de protection des obtentions végétales) fournirait :</w:t>
      </w:r>
    </w:p>
    <w:p w:rsidR="005917D2" w:rsidRPr="00EB57D6" w:rsidRDefault="005917D2" w:rsidP="005917D2">
      <w:pPr>
        <w:rPr>
          <w:sz w:val="18"/>
        </w:rPr>
      </w:pPr>
    </w:p>
    <w:p w:rsidR="005917D2" w:rsidRPr="00EB57D6" w:rsidRDefault="005917D2" w:rsidP="005917D2">
      <w:pPr>
        <w:pStyle w:val="ListParagraph"/>
        <w:numPr>
          <w:ilvl w:val="0"/>
          <w:numId w:val="3"/>
        </w:numPr>
        <w:jc w:val="both"/>
        <w:rPr>
          <w:sz w:val="18"/>
          <w:lang w:val="fr-FR"/>
        </w:rPr>
      </w:pPr>
      <w:r w:rsidRPr="00EB57D6">
        <w:rPr>
          <w:lang w:val="fr-FR"/>
        </w:rPr>
        <w:t>une plateforme en ligne unique pour transmettre les données relatives aux demandes aux services de protection des obtentions végétales des pays participant au projet;  et</w:t>
      </w:r>
    </w:p>
    <w:p w:rsidR="005917D2" w:rsidRPr="00EB57D6" w:rsidRDefault="005917D2" w:rsidP="005917D2">
      <w:pPr>
        <w:pStyle w:val="ListParagraph"/>
        <w:numPr>
          <w:ilvl w:val="0"/>
          <w:numId w:val="3"/>
        </w:numPr>
        <w:jc w:val="both"/>
        <w:rPr>
          <w:sz w:val="18"/>
          <w:lang w:val="fr-FR"/>
        </w:rPr>
      </w:pPr>
      <w:r w:rsidRPr="00EB57D6">
        <w:rPr>
          <w:lang w:val="fr-FR"/>
        </w:rPr>
        <w:t>une plateforme pour renforcer la coopération en matière d’examen DHS entre les pays participant au projet, permettant d’économiser du temps et de l’argent en réduisant le nombre d’examens DHS.</w:t>
      </w:r>
    </w:p>
    <w:p w:rsidR="005917D2" w:rsidRPr="00EB57D6" w:rsidRDefault="005917D2" w:rsidP="005917D2">
      <w:pPr>
        <w:rPr>
          <w:sz w:val="18"/>
        </w:rPr>
      </w:pPr>
    </w:p>
    <w:p w:rsidR="005917D2" w:rsidRPr="00EB57D6" w:rsidRDefault="005917D2" w:rsidP="005917D2">
      <w:pPr>
        <w:rPr>
          <w:sz w:val="18"/>
        </w:rPr>
      </w:pPr>
      <w:r w:rsidRPr="00EB57D6">
        <w:rPr>
          <w:color w:val="000000"/>
        </w:rPr>
        <w:t>Pour les services de protection des obtentions végétales participants, le projet (la plateforme de protection des obtentions végétales) :</w:t>
      </w:r>
    </w:p>
    <w:p w:rsidR="005917D2" w:rsidRPr="00EB57D6" w:rsidRDefault="005917D2" w:rsidP="005917D2">
      <w:pPr>
        <w:rPr>
          <w:sz w:val="18"/>
        </w:rPr>
      </w:pPr>
    </w:p>
    <w:p w:rsidR="005917D2" w:rsidRPr="00EB57D6" w:rsidRDefault="005917D2" w:rsidP="005917D2">
      <w:pPr>
        <w:pStyle w:val="ListParagraph"/>
        <w:numPr>
          <w:ilvl w:val="0"/>
          <w:numId w:val="4"/>
        </w:numPr>
        <w:jc w:val="both"/>
        <w:rPr>
          <w:sz w:val="18"/>
          <w:lang w:val="fr-FR"/>
        </w:rPr>
      </w:pPr>
      <w:r w:rsidRPr="00EB57D6">
        <w:rPr>
          <w:lang w:val="fr-FR"/>
        </w:rPr>
        <w:t>renforcerait la coopération en matière d’examen DHS entre les services de protection des obtentions végétales des pays participants, contribuant à combler les lacunes en matière de capacité d’examen DHS dues aux ressources humaines, à l’infrastructure et aux conditions naturelles des essais en culture;  et</w:t>
      </w:r>
    </w:p>
    <w:p w:rsidR="005917D2" w:rsidRPr="00EB57D6" w:rsidRDefault="005917D2" w:rsidP="005917D2">
      <w:pPr>
        <w:pStyle w:val="ListParagraph"/>
        <w:numPr>
          <w:ilvl w:val="0"/>
          <w:numId w:val="4"/>
        </w:numPr>
        <w:jc w:val="both"/>
        <w:rPr>
          <w:sz w:val="18"/>
          <w:lang w:val="fr-FR"/>
        </w:rPr>
      </w:pPr>
      <w:r w:rsidRPr="00EB57D6">
        <w:rPr>
          <w:lang w:val="fr-FR"/>
        </w:rPr>
        <w:t>faciliterait le respect, par les nouveaux membres de l’UPOV, de l’obligation prévue par l’Acte de 1991 de l’UPOV de prévoir la protection des droits d’obtenteur pour tous les genres et espèces végétaux dans les 10 ans suivant leur adhésion, dans le cadre de la coopération renforcée en matière d’examen DHS entre les pays participant au projet.</w:t>
      </w:r>
    </w:p>
    <w:p w:rsidR="005917D2" w:rsidRPr="00EB57D6" w:rsidRDefault="005917D2" w:rsidP="005917D2">
      <w:pPr>
        <w:rPr>
          <w:sz w:val="18"/>
        </w:rPr>
      </w:pPr>
    </w:p>
    <w:p w:rsidR="005917D2" w:rsidRPr="00EB57D6" w:rsidRDefault="005917D2" w:rsidP="005917D2">
      <w:pPr>
        <w:keepNext/>
        <w:rPr>
          <w:sz w:val="18"/>
        </w:rPr>
      </w:pPr>
      <w:r w:rsidRPr="00EB57D6">
        <w:lastRenderedPageBreak/>
        <w:t xml:space="preserve">iii.  </w:t>
      </w:r>
      <w:r w:rsidRPr="00EB57D6">
        <w:tab/>
        <w:t>Progrès accomplis dans le cadre du projet pilote</w:t>
      </w:r>
    </w:p>
    <w:p w:rsidR="005917D2" w:rsidRPr="00EB57D6" w:rsidRDefault="005917D2" w:rsidP="005917D2">
      <w:pPr>
        <w:keepNext/>
        <w:rPr>
          <w:sz w:val="18"/>
        </w:rPr>
      </w:pPr>
    </w:p>
    <w:p w:rsidR="005917D2" w:rsidRPr="00EB57D6" w:rsidRDefault="005917D2" w:rsidP="005917D2">
      <w:pPr>
        <w:rPr>
          <w:sz w:val="18"/>
        </w:rPr>
      </w:pPr>
      <w:r w:rsidRPr="00EB57D6">
        <w:rPr>
          <w:color w:val="000000"/>
        </w:rPr>
        <w:t>À la quatrième réunion sur le projet pilote, organisée par correspondance en juillet 2020, le plan du projet a été arrêté et les écrans des utilisateurs du projet du Forum EAPVP ont été présentés.  Les pays participant au projet ont partagé ce plan avec tous les autres membres du Forum et ont invité ces derniers à formuler des observations.  Un rapport sur l’état d’avancement du projet sera présenté à la treizième réunion annuelle du Forum EAPVP.</w:t>
      </w:r>
    </w:p>
    <w:p w:rsidR="005917D2" w:rsidRPr="00EB57D6" w:rsidRDefault="005917D2" w:rsidP="005917D2">
      <w:pPr>
        <w:rPr>
          <w:sz w:val="18"/>
          <w:lang w:eastAsia="ja-JP"/>
        </w:rPr>
      </w:pPr>
    </w:p>
    <w:p w:rsidR="005917D2" w:rsidRPr="00EB57D6" w:rsidRDefault="005917D2" w:rsidP="005917D2">
      <w:pPr>
        <w:jc w:val="left"/>
        <w:rPr>
          <w:bCs/>
          <w:sz w:val="18"/>
          <w:lang w:eastAsia="ja-JP"/>
        </w:rPr>
      </w:pPr>
    </w:p>
    <w:p w:rsidR="005917D2" w:rsidRPr="00EB57D6" w:rsidRDefault="005917D2" w:rsidP="005917D2">
      <w:pPr>
        <w:rPr>
          <w:sz w:val="18"/>
          <w:lang w:eastAsia="ja-JP"/>
        </w:rPr>
      </w:pPr>
      <w:r w:rsidRPr="00EB57D6">
        <w:rPr>
          <w:lang w:eastAsia="ja-JP"/>
        </w:rPr>
        <w:t>5.1.2</w:t>
      </w:r>
      <w:r w:rsidRPr="00EB57D6">
        <w:rPr>
          <w:color w:val="000000"/>
          <w:lang w:eastAsia="ja-JP"/>
        </w:rPr>
        <w:tab/>
      </w:r>
      <w:r w:rsidRPr="00EB57D6">
        <w:rPr>
          <w:lang w:eastAsia="ja-JP"/>
        </w:rPr>
        <w:t>Activités de coopération du Forum EAPVP (avril 2019 – mars 2020)</w:t>
      </w:r>
    </w:p>
    <w:p w:rsidR="005917D2" w:rsidRPr="00EB57D6" w:rsidRDefault="005917D2" w:rsidP="005917D2">
      <w:pPr>
        <w:rPr>
          <w:lang w:eastAsia="ja-JP"/>
        </w:rPr>
      </w:pPr>
    </w:p>
    <w:tbl>
      <w:tblPr>
        <w:tblStyle w:val="TableGrid"/>
        <w:tblW w:w="9923" w:type="dxa"/>
        <w:tblInd w:w="-147" w:type="dxa"/>
        <w:tblLayout w:type="fixed"/>
        <w:tblLook w:val="04A0" w:firstRow="1" w:lastRow="0" w:firstColumn="1" w:lastColumn="0" w:noHBand="0" w:noVBand="1"/>
      </w:tblPr>
      <w:tblGrid>
        <w:gridCol w:w="2127"/>
        <w:gridCol w:w="1370"/>
        <w:gridCol w:w="1370"/>
        <w:gridCol w:w="2788"/>
        <w:gridCol w:w="2268"/>
      </w:tblGrid>
      <w:tr w:rsidR="005917D2" w:rsidRPr="00EB57D6" w:rsidTr="005917D2">
        <w:tc>
          <w:tcPr>
            <w:tcW w:w="2127" w:type="dxa"/>
            <w:tcMar>
              <w:top w:w="28" w:type="dxa"/>
              <w:left w:w="57" w:type="dxa"/>
              <w:bottom w:w="28" w:type="dxa"/>
              <w:right w:w="57" w:type="dxa"/>
            </w:tcMar>
          </w:tcPr>
          <w:p w:rsidR="005917D2" w:rsidRPr="00EB57D6" w:rsidRDefault="005917D2" w:rsidP="009B2909">
            <w:pPr>
              <w:jc w:val="left"/>
              <w:rPr>
                <w:bCs/>
                <w:sz w:val="16"/>
              </w:rPr>
            </w:pPr>
            <w:r w:rsidRPr="00EB57D6">
              <w:rPr>
                <w:bCs/>
                <w:sz w:val="16"/>
              </w:rPr>
              <w:t>Titre de l’activité</w:t>
            </w:r>
          </w:p>
        </w:tc>
        <w:tc>
          <w:tcPr>
            <w:tcW w:w="1370" w:type="dxa"/>
            <w:tcMar>
              <w:top w:w="28" w:type="dxa"/>
              <w:left w:w="57" w:type="dxa"/>
              <w:bottom w:w="28" w:type="dxa"/>
              <w:right w:w="57" w:type="dxa"/>
            </w:tcMar>
          </w:tcPr>
          <w:p w:rsidR="005917D2" w:rsidRPr="00EB57D6" w:rsidRDefault="005917D2" w:rsidP="009B2909">
            <w:pPr>
              <w:jc w:val="left"/>
              <w:rPr>
                <w:bCs/>
                <w:sz w:val="16"/>
              </w:rPr>
            </w:pPr>
            <w:r w:rsidRPr="00EB57D6">
              <w:rPr>
                <w:bCs/>
                <w:sz w:val="16"/>
              </w:rPr>
              <w:t>Date</w:t>
            </w:r>
          </w:p>
        </w:tc>
        <w:tc>
          <w:tcPr>
            <w:tcW w:w="1370" w:type="dxa"/>
            <w:tcMar>
              <w:top w:w="28" w:type="dxa"/>
              <w:left w:w="57" w:type="dxa"/>
              <w:bottom w:w="28" w:type="dxa"/>
              <w:right w:w="57" w:type="dxa"/>
            </w:tcMar>
          </w:tcPr>
          <w:p w:rsidR="005917D2" w:rsidRPr="00EB57D6" w:rsidRDefault="005917D2" w:rsidP="009B2909">
            <w:pPr>
              <w:jc w:val="left"/>
              <w:rPr>
                <w:bCs/>
                <w:sz w:val="16"/>
                <w:lang w:eastAsia="ja-JP"/>
              </w:rPr>
            </w:pPr>
            <w:r w:rsidRPr="00EB57D6">
              <w:rPr>
                <w:bCs/>
                <w:sz w:val="16"/>
                <w:lang w:eastAsia="ja-JP"/>
              </w:rPr>
              <w:t>Lieu</w:t>
            </w:r>
          </w:p>
        </w:tc>
        <w:tc>
          <w:tcPr>
            <w:tcW w:w="2788" w:type="dxa"/>
            <w:tcMar>
              <w:top w:w="28" w:type="dxa"/>
              <w:left w:w="57" w:type="dxa"/>
              <w:bottom w:w="28" w:type="dxa"/>
              <w:right w:w="57" w:type="dxa"/>
            </w:tcMar>
          </w:tcPr>
          <w:p w:rsidR="005917D2" w:rsidRPr="00EB57D6" w:rsidRDefault="005917D2" w:rsidP="009B2909">
            <w:pPr>
              <w:jc w:val="left"/>
              <w:rPr>
                <w:bCs/>
                <w:sz w:val="16"/>
              </w:rPr>
            </w:pPr>
            <w:r w:rsidRPr="00EB57D6">
              <w:rPr>
                <w:bCs/>
                <w:sz w:val="16"/>
              </w:rPr>
              <w:t>But de l’activité</w:t>
            </w:r>
          </w:p>
        </w:tc>
        <w:tc>
          <w:tcPr>
            <w:tcW w:w="2268" w:type="dxa"/>
            <w:tcMar>
              <w:top w:w="28" w:type="dxa"/>
              <w:left w:w="57" w:type="dxa"/>
              <w:bottom w:w="28" w:type="dxa"/>
              <w:right w:w="57" w:type="dxa"/>
            </w:tcMar>
          </w:tcPr>
          <w:p w:rsidR="005917D2" w:rsidRPr="00EB57D6" w:rsidRDefault="005917D2" w:rsidP="009B2909">
            <w:pPr>
              <w:jc w:val="left"/>
              <w:rPr>
                <w:bCs/>
                <w:sz w:val="16"/>
              </w:rPr>
            </w:pPr>
            <w:r w:rsidRPr="00EB57D6">
              <w:rPr>
                <w:bCs/>
                <w:sz w:val="16"/>
              </w:rPr>
              <w:t>Pays/organisations participants (nombre de participants)</w:t>
            </w:r>
          </w:p>
        </w:tc>
      </w:tr>
      <w:tr w:rsidR="005917D2" w:rsidRPr="00EB57D6" w:rsidTr="005917D2">
        <w:tc>
          <w:tcPr>
            <w:tcW w:w="2127" w:type="dxa"/>
            <w:tcMar>
              <w:top w:w="28" w:type="dxa"/>
              <w:left w:w="57" w:type="dxa"/>
              <w:bottom w:w="28" w:type="dxa"/>
              <w:right w:w="57" w:type="dxa"/>
            </w:tcMar>
          </w:tcPr>
          <w:p w:rsidR="005917D2" w:rsidRPr="00EB57D6" w:rsidRDefault="005917D2" w:rsidP="009B2909">
            <w:pPr>
              <w:jc w:val="left"/>
              <w:rPr>
                <w:color w:val="000000" w:themeColor="text1"/>
                <w:sz w:val="16"/>
              </w:rPr>
            </w:pPr>
            <w:r w:rsidRPr="00EB57D6">
              <w:rPr>
                <w:color w:val="000000"/>
                <w:sz w:val="16"/>
              </w:rPr>
              <w:t>1.  Séminaire international sur la protection des obtentions végétales</w:t>
            </w:r>
          </w:p>
        </w:tc>
        <w:tc>
          <w:tcPr>
            <w:tcW w:w="1370" w:type="dxa"/>
            <w:tcMar>
              <w:top w:w="28" w:type="dxa"/>
              <w:left w:w="57" w:type="dxa"/>
              <w:bottom w:w="28" w:type="dxa"/>
              <w:right w:w="57" w:type="dxa"/>
            </w:tcMar>
          </w:tcPr>
          <w:p w:rsidR="005917D2" w:rsidRPr="00EB57D6" w:rsidRDefault="005917D2" w:rsidP="009B2909">
            <w:pPr>
              <w:jc w:val="left"/>
              <w:rPr>
                <w:color w:val="000000" w:themeColor="text1"/>
                <w:sz w:val="16"/>
              </w:rPr>
            </w:pPr>
            <w:r w:rsidRPr="00EB57D6">
              <w:rPr>
                <w:sz w:val="16"/>
              </w:rPr>
              <w:t>23 avril 2019</w:t>
            </w:r>
          </w:p>
        </w:tc>
        <w:tc>
          <w:tcPr>
            <w:tcW w:w="1370" w:type="dxa"/>
            <w:tcMar>
              <w:top w:w="28" w:type="dxa"/>
              <w:left w:w="57" w:type="dxa"/>
              <w:bottom w:w="28" w:type="dxa"/>
              <w:right w:w="57" w:type="dxa"/>
            </w:tcMar>
          </w:tcPr>
          <w:p w:rsidR="005917D2" w:rsidRPr="00EB57D6" w:rsidRDefault="005917D2" w:rsidP="009B2909">
            <w:pPr>
              <w:jc w:val="left"/>
              <w:rPr>
                <w:color w:val="000000" w:themeColor="text1"/>
                <w:sz w:val="16"/>
                <w:lang w:eastAsia="ja-JP"/>
              </w:rPr>
            </w:pPr>
            <w:r w:rsidRPr="00EB57D6">
              <w:rPr>
                <w:sz w:val="16"/>
                <w:lang w:eastAsia="ja-JP"/>
              </w:rPr>
              <w:t>Beijing (Chine)</w:t>
            </w:r>
          </w:p>
        </w:tc>
        <w:tc>
          <w:tcPr>
            <w:tcW w:w="2788" w:type="dxa"/>
            <w:tcMar>
              <w:top w:w="28" w:type="dxa"/>
              <w:left w:w="57" w:type="dxa"/>
              <w:bottom w:w="28" w:type="dxa"/>
              <w:right w:w="57" w:type="dxa"/>
            </w:tcMar>
          </w:tcPr>
          <w:p w:rsidR="005917D2" w:rsidRPr="00EB57D6" w:rsidRDefault="005917D2" w:rsidP="009B2909">
            <w:pPr>
              <w:jc w:val="left"/>
              <w:rPr>
                <w:color w:val="000000" w:themeColor="text1"/>
                <w:sz w:val="16"/>
              </w:rPr>
            </w:pPr>
            <w:r w:rsidRPr="00EB57D6">
              <w:rPr>
                <w:sz w:val="16"/>
              </w:rPr>
              <w:t>Sensibilisation accrue au système de protection des obtentions végétales selon la Convention UPOV</w:t>
            </w:r>
          </w:p>
        </w:tc>
        <w:tc>
          <w:tcPr>
            <w:tcW w:w="2268" w:type="dxa"/>
            <w:tcMar>
              <w:top w:w="28" w:type="dxa"/>
              <w:left w:w="57" w:type="dxa"/>
              <w:bottom w:w="28" w:type="dxa"/>
              <w:right w:w="57" w:type="dxa"/>
            </w:tcMar>
          </w:tcPr>
          <w:p w:rsidR="005917D2" w:rsidRPr="00EB57D6" w:rsidRDefault="005917D2" w:rsidP="009B2909">
            <w:pPr>
              <w:jc w:val="left"/>
              <w:rPr>
                <w:color w:val="000000" w:themeColor="text1"/>
                <w:sz w:val="16"/>
              </w:rPr>
            </w:pPr>
            <w:r w:rsidRPr="00EB57D6">
              <w:rPr>
                <w:color w:val="000000"/>
                <w:sz w:val="16"/>
              </w:rPr>
              <w:t>Membres de l’EAPVP, UPOV, OCVV, USPTO</w:t>
            </w:r>
          </w:p>
        </w:tc>
      </w:tr>
      <w:tr w:rsidR="005917D2" w:rsidRPr="00EB57D6" w:rsidTr="005917D2">
        <w:tc>
          <w:tcPr>
            <w:tcW w:w="2127" w:type="dxa"/>
            <w:tcMar>
              <w:top w:w="28" w:type="dxa"/>
              <w:left w:w="57" w:type="dxa"/>
              <w:bottom w:w="28" w:type="dxa"/>
              <w:right w:w="57" w:type="dxa"/>
            </w:tcMar>
          </w:tcPr>
          <w:p w:rsidR="005917D2" w:rsidRPr="00EB57D6" w:rsidRDefault="005917D2" w:rsidP="009B2909">
            <w:pPr>
              <w:jc w:val="left"/>
              <w:rPr>
                <w:color w:val="000000" w:themeColor="text1"/>
                <w:sz w:val="16"/>
              </w:rPr>
            </w:pPr>
            <w:r w:rsidRPr="00EB57D6">
              <w:rPr>
                <w:color w:val="000000"/>
                <w:sz w:val="16"/>
              </w:rPr>
              <w:t>2.  Voyage d’étude pour les hauts fonctionnaires au Viet Nam</w:t>
            </w:r>
          </w:p>
        </w:tc>
        <w:tc>
          <w:tcPr>
            <w:tcW w:w="1370" w:type="dxa"/>
            <w:tcMar>
              <w:top w:w="28" w:type="dxa"/>
              <w:left w:w="57" w:type="dxa"/>
              <w:bottom w:w="28" w:type="dxa"/>
              <w:right w:w="57" w:type="dxa"/>
            </w:tcMar>
          </w:tcPr>
          <w:p w:rsidR="005917D2" w:rsidRPr="00EB57D6" w:rsidRDefault="005917D2" w:rsidP="009B2909">
            <w:pPr>
              <w:jc w:val="left"/>
              <w:rPr>
                <w:color w:val="000000" w:themeColor="text1"/>
                <w:sz w:val="16"/>
              </w:rPr>
            </w:pPr>
            <w:r w:rsidRPr="00EB57D6">
              <w:rPr>
                <w:color w:val="000000" w:themeColor="text1"/>
                <w:sz w:val="16"/>
                <w:lang w:eastAsia="ja-JP"/>
              </w:rPr>
              <w:t>9 au 11 juillet 2019</w:t>
            </w:r>
          </w:p>
        </w:tc>
        <w:tc>
          <w:tcPr>
            <w:tcW w:w="1370" w:type="dxa"/>
            <w:tcMar>
              <w:top w:w="28" w:type="dxa"/>
              <w:left w:w="57" w:type="dxa"/>
              <w:bottom w:w="28" w:type="dxa"/>
              <w:right w:w="57" w:type="dxa"/>
            </w:tcMar>
          </w:tcPr>
          <w:p w:rsidR="005917D2" w:rsidRPr="00EB57D6" w:rsidRDefault="005917D2" w:rsidP="009B2909">
            <w:pPr>
              <w:jc w:val="left"/>
              <w:rPr>
                <w:color w:val="000000" w:themeColor="text1"/>
                <w:sz w:val="16"/>
                <w:lang w:eastAsia="ja-JP"/>
              </w:rPr>
            </w:pPr>
            <w:r w:rsidRPr="00EB57D6">
              <w:rPr>
                <w:sz w:val="16"/>
                <w:lang w:eastAsia="ja-JP"/>
              </w:rPr>
              <w:t>Viet Nam</w:t>
            </w:r>
          </w:p>
        </w:tc>
        <w:tc>
          <w:tcPr>
            <w:tcW w:w="2788" w:type="dxa"/>
            <w:tcMar>
              <w:top w:w="28" w:type="dxa"/>
              <w:left w:w="57" w:type="dxa"/>
              <w:bottom w:w="28" w:type="dxa"/>
              <w:right w:w="57" w:type="dxa"/>
            </w:tcMar>
          </w:tcPr>
          <w:p w:rsidR="005917D2" w:rsidRPr="00EB57D6" w:rsidRDefault="005917D2" w:rsidP="009B2909">
            <w:pPr>
              <w:jc w:val="left"/>
              <w:rPr>
                <w:color w:val="000000" w:themeColor="text1"/>
                <w:sz w:val="16"/>
              </w:rPr>
            </w:pPr>
            <w:r w:rsidRPr="00EB57D6">
              <w:rPr>
                <w:color w:val="000000"/>
                <w:sz w:val="16"/>
              </w:rPr>
              <w:t>Sensibilisation des hauts fonctionnaires aux avantages que peut apporter le système de protection des obtentions végétales selon la Convention UPOV.</w:t>
            </w:r>
          </w:p>
        </w:tc>
        <w:tc>
          <w:tcPr>
            <w:tcW w:w="2268" w:type="dxa"/>
            <w:tcMar>
              <w:top w:w="28" w:type="dxa"/>
              <w:left w:w="57" w:type="dxa"/>
              <w:bottom w:w="28" w:type="dxa"/>
              <w:right w:w="57" w:type="dxa"/>
            </w:tcMar>
          </w:tcPr>
          <w:p w:rsidR="005917D2" w:rsidRPr="00EB57D6" w:rsidRDefault="005917D2" w:rsidP="009B2909">
            <w:pPr>
              <w:jc w:val="left"/>
              <w:rPr>
                <w:color w:val="000000" w:themeColor="text1"/>
                <w:sz w:val="16"/>
              </w:rPr>
            </w:pPr>
            <w:r w:rsidRPr="00EB57D6">
              <w:rPr>
                <w:color w:val="000000" w:themeColor="text1"/>
                <w:sz w:val="16"/>
              </w:rPr>
              <w:t>Myanmar (4), Malaisie (2), République démocratique populaire lao (2)</w:t>
            </w:r>
          </w:p>
        </w:tc>
      </w:tr>
      <w:tr w:rsidR="005917D2" w:rsidRPr="00EB57D6" w:rsidTr="005917D2">
        <w:tc>
          <w:tcPr>
            <w:tcW w:w="2127" w:type="dxa"/>
            <w:tcMar>
              <w:top w:w="28" w:type="dxa"/>
              <w:left w:w="57" w:type="dxa"/>
              <w:bottom w:w="28" w:type="dxa"/>
              <w:right w:w="57" w:type="dxa"/>
            </w:tcMar>
          </w:tcPr>
          <w:p w:rsidR="005917D2" w:rsidRPr="00EB57D6" w:rsidRDefault="005917D2" w:rsidP="009B2909">
            <w:pPr>
              <w:jc w:val="left"/>
              <w:rPr>
                <w:color w:val="000000" w:themeColor="text1"/>
                <w:sz w:val="16"/>
              </w:rPr>
            </w:pPr>
            <w:r w:rsidRPr="00EB57D6">
              <w:rPr>
                <w:color w:val="000000"/>
                <w:sz w:val="16"/>
              </w:rPr>
              <w:t>3.  Troisième réunion du projet pilote</w:t>
            </w:r>
          </w:p>
        </w:tc>
        <w:tc>
          <w:tcPr>
            <w:tcW w:w="1370" w:type="dxa"/>
            <w:tcMar>
              <w:top w:w="28" w:type="dxa"/>
              <w:left w:w="57" w:type="dxa"/>
              <w:bottom w:w="28" w:type="dxa"/>
              <w:right w:w="57" w:type="dxa"/>
            </w:tcMar>
          </w:tcPr>
          <w:p w:rsidR="005917D2" w:rsidRPr="00EB57D6" w:rsidRDefault="005917D2" w:rsidP="009B2909">
            <w:pPr>
              <w:jc w:val="left"/>
              <w:rPr>
                <w:color w:val="000000" w:themeColor="text1"/>
                <w:sz w:val="16"/>
              </w:rPr>
            </w:pPr>
            <w:r w:rsidRPr="00EB57D6">
              <w:rPr>
                <w:color w:val="000000" w:themeColor="text1"/>
                <w:sz w:val="16"/>
                <w:lang w:eastAsia="ja-JP"/>
              </w:rPr>
              <w:t>3 et 4 septembre 2019</w:t>
            </w:r>
          </w:p>
        </w:tc>
        <w:tc>
          <w:tcPr>
            <w:tcW w:w="1370" w:type="dxa"/>
            <w:tcMar>
              <w:top w:w="28" w:type="dxa"/>
              <w:left w:w="57" w:type="dxa"/>
              <w:bottom w:w="28" w:type="dxa"/>
              <w:right w:w="57" w:type="dxa"/>
            </w:tcMar>
          </w:tcPr>
          <w:p w:rsidR="005917D2" w:rsidRPr="00EB57D6" w:rsidRDefault="005917D2" w:rsidP="009B2909">
            <w:pPr>
              <w:jc w:val="left"/>
              <w:rPr>
                <w:color w:val="000000" w:themeColor="text1"/>
                <w:sz w:val="16"/>
                <w:lang w:eastAsia="ja-JP"/>
              </w:rPr>
            </w:pPr>
            <w:r w:rsidRPr="00EB57D6">
              <w:rPr>
                <w:sz w:val="16"/>
                <w:lang w:eastAsia="ja-JP"/>
              </w:rPr>
              <w:t>Hanoi (Viet Nam)</w:t>
            </w:r>
          </w:p>
        </w:tc>
        <w:tc>
          <w:tcPr>
            <w:tcW w:w="2788" w:type="dxa"/>
            <w:tcMar>
              <w:top w:w="28" w:type="dxa"/>
              <w:left w:w="57" w:type="dxa"/>
              <w:bottom w:w="28" w:type="dxa"/>
              <w:right w:w="57" w:type="dxa"/>
            </w:tcMar>
          </w:tcPr>
          <w:p w:rsidR="005917D2" w:rsidRPr="00EB57D6" w:rsidRDefault="005917D2" w:rsidP="009B2909">
            <w:pPr>
              <w:jc w:val="left"/>
              <w:rPr>
                <w:color w:val="000000" w:themeColor="text1"/>
                <w:sz w:val="16"/>
              </w:rPr>
            </w:pPr>
            <w:r w:rsidRPr="00EB57D6">
              <w:rPr>
                <w:sz w:val="16"/>
              </w:rPr>
              <w:t>Harmonisation des procédures de dépôt et d’examen et amélioration de l’efficacité de la coopération en matière de protection des obtentions végétales dans la région</w:t>
            </w:r>
          </w:p>
        </w:tc>
        <w:tc>
          <w:tcPr>
            <w:tcW w:w="2268" w:type="dxa"/>
            <w:tcMar>
              <w:top w:w="28" w:type="dxa"/>
              <w:left w:w="57" w:type="dxa"/>
              <w:bottom w:w="28" w:type="dxa"/>
              <w:right w:w="57" w:type="dxa"/>
            </w:tcMar>
          </w:tcPr>
          <w:p w:rsidR="005917D2" w:rsidRPr="00EB57D6" w:rsidRDefault="005917D2" w:rsidP="009B2909">
            <w:pPr>
              <w:jc w:val="left"/>
              <w:rPr>
                <w:color w:val="000000" w:themeColor="text1"/>
                <w:sz w:val="16"/>
              </w:rPr>
            </w:pPr>
            <w:r w:rsidRPr="00EB57D6">
              <w:rPr>
                <w:color w:val="000000"/>
                <w:sz w:val="16"/>
              </w:rPr>
              <w:t>Viet Nam (5), Malaisie (2), Myanmar (2), Japon (4), Philippines (1), Thaïlande (1), UPOV (3)</w:t>
            </w:r>
          </w:p>
        </w:tc>
      </w:tr>
      <w:tr w:rsidR="005917D2" w:rsidRPr="00EB57D6" w:rsidTr="005917D2">
        <w:tc>
          <w:tcPr>
            <w:tcW w:w="2127" w:type="dxa"/>
            <w:tcMar>
              <w:top w:w="28" w:type="dxa"/>
              <w:left w:w="57" w:type="dxa"/>
              <w:bottom w:w="28" w:type="dxa"/>
              <w:right w:w="57" w:type="dxa"/>
            </w:tcMar>
          </w:tcPr>
          <w:p w:rsidR="005917D2" w:rsidRPr="00EB57D6" w:rsidRDefault="005917D2" w:rsidP="009B2909">
            <w:pPr>
              <w:jc w:val="left"/>
              <w:rPr>
                <w:b/>
                <w:color w:val="000000" w:themeColor="text1"/>
                <w:sz w:val="16"/>
              </w:rPr>
            </w:pPr>
            <w:r w:rsidRPr="00EB57D6">
              <w:rPr>
                <w:color w:val="000000" w:themeColor="text1"/>
                <w:sz w:val="16"/>
              </w:rPr>
              <w:t xml:space="preserve">4.  </w:t>
            </w:r>
            <w:r w:rsidRPr="00EB57D6">
              <w:rPr>
                <w:color w:val="000000"/>
                <w:sz w:val="16"/>
              </w:rPr>
              <w:t>Séminaire sur le système de protection des obtentions végétales dans la zone de plages de la région sud centrale</w:t>
            </w:r>
            <w:r w:rsidRPr="00EB57D6">
              <w:rPr>
                <w:color w:val="000000" w:themeColor="text1"/>
                <w:sz w:val="16"/>
              </w:rPr>
              <w:t xml:space="preserve"> </w:t>
            </w:r>
          </w:p>
        </w:tc>
        <w:tc>
          <w:tcPr>
            <w:tcW w:w="1370" w:type="dxa"/>
            <w:tcMar>
              <w:top w:w="28" w:type="dxa"/>
              <w:left w:w="57" w:type="dxa"/>
              <w:bottom w:w="28" w:type="dxa"/>
              <w:right w:w="57" w:type="dxa"/>
            </w:tcMar>
          </w:tcPr>
          <w:p w:rsidR="005917D2" w:rsidRPr="00EB57D6" w:rsidRDefault="005917D2" w:rsidP="009B2909">
            <w:pPr>
              <w:jc w:val="left"/>
              <w:rPr>
                <w:b/>
                <w:color w:val="000000" w:themeColor="text1"/>
                <w:sz w:val="16"/>
              </w:rPr>
            </w:pPr>
            <w:r w:rsidRPr="00EB57D6">
              <w:rPr>
                <w:color w:val="000000" w:themeColor="text1"/>
                <w:sz w:val="16"/>
                <w:lang w:eastAsia="ja-JP"/>
              </w:rPr>
              <w:t>6 septembre 2019</w:t>
            </w:r>
          </w:p>
        </w:tc>
        <w:tc>
          <w:tcPr>
            <w:tcW w:w="1370" w:type="dxa"/>
            <w:tcMar>
              <w:top w:w="28" w:type="dxa"/>
              <w:left w:w="57" w:type="dxa"/>
              <w:bottom w:w="28" w:type="dxa"/>
              <w:right w:w="57" w:type="dxa"/>
            </w:tcMar>
          </w:tcPr>
          <w:p w:rsidR="005917D2" w:rsidRPr="00EB57D6" w:rsidRDefault="005917D2" w:rsidP="009B2909">
            <w:pPr>
              <w:jc w:val="left"/>
              <w:rPr>
                <w:b/>
                <w:color w:val="000000" w:themeColor="text1"/>
                <w:sz w:val="16"/>
                <w:lang w:eastAsia="ja-JP"/>
              </w:rPr>
            </w:pPr>
            <w:r w:rsidRPr="00EB57D6">
              <w:rPr>
                <w:color w:val="000000" w:themeColor="text1"/>
                <w:sz w:val="16"/>
              </w:rPr>
              <w:t xml:space="preserve">Danang, </w:t>
            </w:r>
            <w:r w:rsidRPr="00EB57D6">
              <w:rPr>
                <w:color w:val="000000" w:themeColor="text1"/>
                <w:sz w:val="16"/>
                <w:lang w:eastAsia="ja-JP"/>
              </w:rPr>
              <w:t>Viet Nam</w:t>
            </w:r>
          </w:p>
        </w:tc>
        <w:tc>
          <w:tcPr>
            <w:tcW w:w="2788" w:type="dxa"/>
            <w:tcMar>
              <w:top w:w="28" w:type="dxa"/>
              <w:left w:w="57" w:type="dxa"/>
              <w:bottom w:w="28" w:type="dxa"/>
              <w:right w:w="57" w:type="dxa"/>
            </w:tcMar>
          </w:tcPr>
          <w:p w:rsidR="005917D2" w:rsidRPr="00EB57D6" w:rsidRDefault="005917D2" w:rsidP="009B2909">
            <w:pPr>
              <w:jc w:val="left"/>
              <w:rPr>
                <w:color w:val="000000" w:themeColor="text1"/>
                <w:sz w:val="16"/>
              </w:rPr>
            </w:pPr>
            <w:r w:rsidRPr="00EB57D6">
              <w:rPr>
                <w:sz w:val="16"/>
              </w:rPr>
              <w:t>Sensibilisation accrue au système de protection des obtentions végétales selon la Convention UPOV</w:t>
            </w:r>
          </w:p>
        </w:tc>
        <w:tc>
          <w:tcPr>
            <w:tcW w:w="2268" w:type="dxa"/>
            <w:tcMar>
              <w:top w:w="28" w:type="dxa"/>
              <w:left w:w="57" w:type="dxa"/>
              <w:bottom w:w="28" w:type="dxa"/>
              <w:right w:w="57" w:type="dxa"/>
            </w:tcMar>
          </w:tcPr>
          <w:p w:rsidR="005917D2" w:rsidRPr="00EB57D6" w:rsidRDefault="005917D2" w:rsidP="009B2909">
            <w:pPr>
              <w:jc w:val="left"/>
              <w:rPr>
                <w:b/>
                <w:color w:val="000000" w:themeColor="text1"/>
                <w:sz w:val="16"/>
              </w:rPr>
            </w:pPr>
            <w:r w:rsidRPr="00EB57D6">
              <w:rPr>
                <w:color w:val="000000" w:themeColor="text1"/>
                <w:sz w:val="16"/>
                <w:lang w:eastAsia="ja-JP"/>
              </w:rPr>
              <w:t>Viet Nam (28), Japon (2), UPOV (1)</w:t>
            </w:r>
          </w:p>
        </w:tc>
      </w:tr>
      <w:tr w:rsidR="005917D2" w:rsidRPr="00EB57D6" w:rsidTr="005917D2">
        <w:tc>
          <w:tcPr>
            <w:tcW w:w="2127" w:type="dxa"/>
            <w:tcMar>
              <w:top w:w="28" w:type="dxa"/>
              <w:left w:w="57" w:type="dxa"/>
              <w:bottom w:w="28" w:type="dxa"/>
              <w:right w:w="57" w:type="dxa"/>
            </w:tcMar>
          </w:tcPr>
          <w:p w:rsidR="005917D2" w:rsidRPr="00EB57D6" w:rsidRDefault="005917D2" w:rsidP="009B2909">
            <w:pPr>
              <w:jc w:val="left"/>
              <w:rPr>
                <w:b/>
                <w:color w:val="000000" w:themeColor="text1"/>
                <w:sz w:val="16"/>
              </w:rPr>
            </w:pPr>
            <w:r w:rsidRPr="00EB57D6">
              <w:rPr>
                <w:color w:val="000000"/>
                <w:sz w:val="16"/>
              </w:rPr>
              <w:t>5.  Formation / atelier sur l’examen DHS de la tomate</w:t>
            </w:r>
            <w:r w:rsidRPr="00EB57D6">
              <w:rPr>
                <w:color w:val="000000" w:themeColor="text1"/>
                <w:sz w:val="16"/>
              </w:rPr>
              <w:t xml:space="preserve"> </w:t>
            </w:r>
          </w:p>
        </w:tc>
        <w:tc>
          <w:tcPr>
            <w:tcW w:w="1370" w:type="dxa"/>
            <w:tcMar>
              <w:top w:w="28" w:type="dxa"/>
              <w:left w:w="57" w:type="dxa"/>
              <w:bottom w:w="28" w:type="dxa"/>
              <w:right w:w="57" w:type="dxa"/>
            </w:tcMar>
          </w:tcPr>
          <w:p w:rsidR="005917D2" w:rsidRPr="00EB57D6" w:rsidRDefault="005917D2" w:rsidP="009B2909">
            <w:pPr>
              <w:jc w:val="left"/>
              <w:rPr>
                <w:b/>
                <w:color w:val="000000" w:themeColor="text1"/>
                <w:sz w:val="16"/>
              </w:rPr>
            </w:pPr>
            <w:r w:rsidRPr="00EB57D6">
              <w:rPr>
                <w:color w:val="000000" w:themeColor="text1"/>
                <w:sz w:val="16"/>
                <w:lang w:eastAsia="ja-JP"/>
              </w:rPr>
              <w:t>30 septembre au 4 octobre 2019</w:t>
            </w:r>
          </w:p>
        </w:tc>
        <w:tc>
          <w:tcPr>
            <w:tcW w:w="1370" w:type="dxa"/>
            <w:tcMar>
              <w:top w:w="28" w:type="dxa"/>
              <w:left w:w="57" w:type="dxa"/>
              <w:bottom w:w="28" w:type="dxa"/>
              <w:right w:w="57" w:type="dxa"/>
            </w:tcMar>
          </w:tcPr>
          <w:p w:rsidR="005917D2" w:rsidRPr="00EB57D6" w:rsidRDefault="005917D2" w:rsidP="009B2909">
            <w:pPr>
              <w:jc w:val="left"/>
              <w:rPr>
                <w:color w:val="000000" w:themeColor="text1"/>
                <w:sz w:val="16"/>
                <w:lang w:eastAsia="ja-JP"/>
              </w:rPr>
            </w:pPr>
            <w:proofErr w:type="spellStart"/>
            <w:r w:rsidRPr="00EB57D6">
              <w:rPr>
                <w:sz w:val="16"/>
                <w:lang w:eastAsia="ja-JP"/>
              </w:rPr>
              <w:t>Naypyitaw</w:t>
            </w:r>
            <w:proofErr w:type="spellEnd"/>
            <w:r w:rsidRPr="00EB57D6">
              <w:rPr>
                <w:sz w:val="16"/>
                <w:lang w:eastAsia="ja-JP"/>
              </w:rPr>
              <w:t xml:space="preserve"> (Myanmar)</w:t>
            </w:r>
          </w:p>
        </w:tc>
        <w:tc>
          <w:tcPr>
            <w:tcW w:w="2788" w:type="dxa"/>
            <w:tcMar>
              <w:top w:w="28" w:type="dxa"/>
              <w:left w:w="57" w:type="dxa"/>
              <w:bottom w:w="28" w:type="dxa"/>
              <w:right w:w="57" w:type="dxa"/>
            </w:tcMar>
          </w:tcPr>
          <w:p w:rsidR="005917D2" w:rsidRPr="00EB57D6" w:rsidRDefault="005917D2" w:rsidP="009B2909">
            <w:pPr>
              <w:jc w:val="left"/>
              <w:rPr>
                <w:color w:val="000000" w:themeColor="text1"/>
                <w:sz w:val="16"/>
              </w:rPr>
            </w:pPr>
            <w:r w:rsidRPr="00EB57D6">
              <w:rPr>
                <w:color w:val="000000"/>
                <w:sz w:val="16"/>
              </w:rPr>
              <w:t>Formation à l’examen DHS de la tomate</w:t>
            </w:r>
          </w:p>
        </w:tc>
        <w:tc>
          <w:tcPr>
            <w:tcW w:w="2268" w:type="dxa"/>
            <w:tcMar>
              <w:top w:w="28" w:type="dxa"/>
              <w:left w:w="57" w:type="dxa"/>
              <w:bottom w:w="28" w:type="dxa"/>
              <w:right w:w="57" w:type="dxa"/>
            </w:tcMar>
          </w:tcPr>
          <w:p w:rsidR="005917D2" w:rsidRPr="00EB57D6" w:rsidRDefault="005917D2" w:rsidP="009B2909">
            <w:pPr>
              <w:jc w:val="left"/>
              <w:rPr>
                <w:color w:val="000000" w:themeColor="text1"/>
                <w:sz w:val="16"/>
              </w:rPr>
            </w:pPr>
            <w:r w:rsidRPr="00EB57D6">
              <w:rPr>
                <w:sz w:val="16"/>
              </w:rPr>
              <w:t>Myanmar (22), Viet Nam (2), Japon (1)</w:t>
            </w:r>
          </w:p>
        </w:tc>
      </w:tr>
      <w:tr w:rsidR="005917D2" w:rsidRPr="00EB57D6" w:rsidTr="005917D2">
        <w:tc>
          <w:tcPr>
            <w:tcW w:w="2127" w:type="dxa"/>
            <w:tcMar>
              <w:top w:w="28" w:type="dxa"/>
              <w:left w:w="57" w:type="dxa"/>
              <w:bottom w:w="28" w:type="dxa"/>
              <w:right w:w="57" w:type="dxa"/>
            </w:tcMar>
          </w:tcPr>
          <w:p w:rsidR="005917D2" w:rsidRPr="00EB57D6" w:rsidRDefault="005917D2" w:rsidP="009B2909">
            <w:pPr>
              <w:jc w:val="left"/>
              <w:rPr>
                <w:color w:val="000000" w:themeColor="text1"/>
                <w:sz w:val="16"/>
              </w:rPr>
            </w:pPr>
            <w:r w:rsidRPr="00EB57D6">
              <w:rPr>
                <w:color w:val="000000" w:themeColor="text1"/>
                <w:sz w:val="16"/>
              </w:rPr>
              <w:t xml:space="preserve">6.  </w:t>
            </w:r>
            <w:r w:rsidRPr="00EB57D6">
              <w:rPr>
                <w:color w:val="000000"/>
                <w:sz w:val="16"/>
              </w:rPr>
              <w:t>Séminaire sur le système de protection des obtentions végétales dans les hautes terres centrales</w:t>
            </w:r>
            <w:r w:rsidRPr="00EB57D6">
              <w:rPr>
                <w:color w:val="000000" w:themeColor="text1"/>
                <w:sz w:val="16"/>
              </w:rPr>
              <w:t xml:space="preserve"> </w:t>
            </w:r>
          </w:p>
        </w:tc>
        <w:tc>
          <w:tcPr>
            <w:tcW w:w="1370" w:type="dxa"/>
            <w:tcMar>
              <w:top w:w="28" w:type="dxa"/>
              <w:left w:w="57" w:type="dxa"/>
              <w:bottom w:w="28" w:type="dxa"/>
              <w:right w:w="57" w:type="dxa"/>
            </w:tcMar>
          </w:tcPr>
          <w:p w:rsidR="005917D2" w:rsidRPr="00EB57D6" w:rsidRDefault="005917D2" w:rsidP="009B2909">
            <w:pPr>
              <w:jc w:val="left"/>
              <w:rPr>
                <w:color w:val="000000" w:themeColor="text1"/>
                <w:sz w:val="16"/>
              </w:rPr>
            </w:pPr>
            <w:r w:rsidRPr="00EB57D6">
              <w:rPr>
                <w:color w:val="000000" w:themeColor="text1"/>
                <w:sz w:val="16"/>
                <w:lang w:eastAsia="ja-JP"/>
              </w:rPr>
              <w:t>21 novembre 2019</w:t>
            </w:r>
          </w:p>
        </w:tc>
        <w:tc>
          <w:tcPr>
            <w:tcW w:w="1370" w:type="dxa"/>
            <w:tcMar>
              <w:top w:w="28" w:type="dxa"/>
              <w:left w:w="57" w:type="dxa"/>
              <w:bottom w:w="28" w:type="dxa"/>
              <w:right w:w="57" w:type="dxa"/>
            </w:tcMar>
          </w:tcPr>
          <w:p w:rsidR="005917D2" w:rsidRPr="00EB57D6" w:rsidRDefault="005917D2" w:rsidP="009B2909">
            <w:pPr>
              <w:jc w:val="left"/>
              <w:rPr>
                <w:color w:val="000000" w:themeColor="text1"/>
                <w:sz w:val="16"/>
                <w:lang w:eastAsia="ja-JP"/>
              </w:rPr>
            </w:pPr>
            <w:r w:rsidRPr="00EB57D6">
              <w:rPr>
                <w:color w:val="000000" w:themeColor="text1"/>
                <w:sz w:val="16"/>
              </w:rPr>
              <w:t xml:space="preserve">Dalat, </w:t>
            </w:r>
            <w:r w:rsidRPr="00EB57D6">
              <w:rPr>
                <w:color w:val="000000" w:themeColor="text1"/>
                <w:sz w:val="16"/>
                <w:lang w:eastAsia="ja-JP"/>
              </w:rPr>
              <w:t>Viet Nam</w:t>
            </w:r>
          </w:p>
        </w:tc>
        <w:tc>
          <w:tcPr>
            <w:tcW w:w="2788" w:type="dxa"/>
            <w:tcMar>
              <w:top w:w="28" w:type="dxa"/>
              <w:left w:w="57" w:type="dxa"/>
              <w:bottom w:w="28" w:type="dxa"/>
              <w:right w:w="57" w:type="dxa"/>
            </w:tcMar>
          </w:tcPr>
          <w:p w:rsidR="005917D2" w:rsidRPr="00EB57D6" w:rsidRDefault="005917D2" w:rsidP="009B2909">
            <w:pPr>
              <w:jc w:val="left"/>
              <w:rPr>
                <w:color w:val="000000" w:themeColor="text1"/>
                <w:sz w:val="16"/>
              </w:rPr>
            </w:pPr>
            <w:r w:rsidRPr="00EB57D6">
              <w:rPr>
                <w:sz w:val="16"/>
              </w:rPr>
              <w:t>Sensibilisation accrue au système de protection des obtentions végétales selon la Convention UPOV</w:t>
            </w:r>
          </w:p>
        </w:tc>
        <w:tc>
          <w:tcPr>
            <w:tcW w:w="2268" w:type="dxa"/>
            <w:tcMar>
              <w:top w:w="28" w:type="dxa"/>
              <w:left w:w="57" w:type="dxa"/>
              <w:bottom w:w="28" w:type="dxa"/>
              <w:right w:w="57" w:type="dxa"/>
            </w:tcMar>
          </w:tcPr>
          <w:p w:rsidR="005917D2" w:rsidRPr="00EB57D6" w:rsidRDefault="005917D2" w:rsidP="009B2909">
            <w:pPr>
              <w:jc w:val="left"/>
              <w:rPr>
                <w:color w:val="000000" w:themeColor="text1"/>
                <w:sz w:val="16"/>
              </w:rPr>
            </w:pPr>
            <w:r w:rsidRPr="00EB57D6">
              <w:rPr>
                <w:color w:val="000000" w:themeColor="text1"/>
                <w:sz w:val="16"/>
                <w:lang w:eastAsia="ja-JP"/>
              </w:rPr>
              <w:t>Viet Nam (80), Japon (1), UPOV (1), GNIS (1)</w:t>
            </w:r>
          </w:p>
        </w:tc>
      </w:tr>
      <w:tr w:rsidR="005917D2" w:rsidRPr="00EB57D6" w:rsidTr="005917D2">
        <w:tc>
          <w:tcPr>
            <w:tcW w:w="2127" w:type="dxa"/>
            <w:tcMar>
              <w:top w:w="28" w:type="dxa"/>
              <w:left w:w="57" w:type="dxa"/>
              <w:bottom w:w="28" w:type="dxa"/>
              <w:right w:w="57" w:type="dxa"/>
            </w:tcMar>
          </w:tcPr>
          <w:p w:rsidR="005917D2" w:rsidRPr="00EB57D6" w:rsidRDefault="005917D2" w:rsidP="009B2909">
            <w:pPr>
              <w:jc w:val="left"/>
              <w:rPr>
                <w:color w:val="000000" w:themeColor="text1"/>
                <w:sz w:val="16"/>
              </w:rPr>
            </w:pPr>
            <w:r w:rsidRPr="00EB57D6">
              <w:rPr>
                <w:color w:val="000000" w:themeColor="text1"/>
                <w:sz w:val="16"/>
              </w:rPr>
              <w:t xml:space="preserve">7.  </w:t>
            </w:r>
            <w:r w:rsidRPr="00EB57D6">
              <w:rPr>
                <w:color w:val="000000"/>
                <w:sz w:val="16"/>
              </w:rPr>
              <w:t>Formation / atelier sur l’examen DHS du maïs</w:t>
            </w:r>
            <w:r w:rsidRPr="00EB57D6">
              <w:rPr>
                <w:color w:val="000000" w:themeColor="text1"/>
                <w:sz w:val="16"/>
              </w:rPr>
              <w:t xml:space="preserve"> </w:t>
            </w:r>
          </w:p>
        </w:tc>
        <w:tc>
          <w:tcPr>
            <w:tcW w:w="1370" w:type="dxa"/>
            <w:tcMar>
              <w:top w:w="28" w:type="dxa"/>
              <w:left w:w="57" w:type="dxa"/>
              <w:bottom w:w="28" w:type="dxa"/>
              <w:right w:w="57" w:type="dxa"/>
            </w:tcMar>
          </w:tcPr>
          <w:p w:rsidR="005917D2" w:rsidRPr="00EB57D6" w:rsidRDefault="005917D2" w:rsidP="009B2909">
            <w:pPr>
              <w:jc w:val="left"/>
              <w:rPr>
                <w:color w:val="000000" w:themeColor="text1"/>
                <w:sz w:val="16"/>
              </w:rPr>
            </w:pPr>
            <w:r w:rsidRPr="00EB57D6">
              <w:rPr>
                <w:color w:val="000000" w:themeColor="text1"/>
                <w:sz w:val="16"/>
                <w:lang w:eastAsia="ja-JP"/>
              </w:rPr>
              <w:t>17 au 20 décembre 2019</w:t>
            </w:r>
          </w:p>
        </w:tc>
        <w:tc>
          <w:tcPr>
            <w:tcW w:w="1370" w:type="dxa"/>
            <w:tcMar>
              <w:top w:w="28" w:type="dxa"/>
              <w:left w:w="57" w:type="dxa"/>
              <w:bottom w:w="28" w:type="dxa"/>
              <w:right w:w="57" w:type="dxa"/>
            </w:tcMar>
          </w:tcPr>
          <w:p w:rsidR="005917D2" w:rsidRPr="00EB57D6" w:rsidRDefault="005917D2" w:rsidP="009B2909">
            <w:pPr>
              <w:jc w:val="left"/>
              <w:rPr>
                <w:color w:val="000000" w:themeColor="text1"/>
                <w:sz w:val="16"/>
                <w:lang w:eastAsia="ja-JP"/>
              </w:rPr>
            </w:pPr>
            <w:r w:rsidRPr="00EB57D6">
              <w:rPr>
                <w:sz w:val="16"/>
                <w:lang w:eastAsia="ja-JP"/>
              </w:rPr>
              <w:t>Phnom Penh (Cambodge)</w:t>
            </w:r>
          </w:p>
        </w:tc>
        <w:tc>
          <w:tcPr>
            <w:tcW w:w="2788" w:type="dxa"/>
            <w:tcMar>
              <w:top w:w="28" w:type="dxa"/>
              <w:left w:w="57" w:type="dxa"/>
              <w:bottom w:w="28" w:type="dxa"/>
              <w:right w:w="57" w:type="dxa"/>
            </w:tcMar>
          </w:tcPr>
          <w:p w:rsidR="005917D2" w:rsidRPr="00EB57D6" w:rsidRDefault="005917D2" w:rsidP="009B2909">
            <w:pPr>
              <w:jc w:val="left"/>
              <w:rPr>
                <w:color w:val="000000" w:themeColor="text1"/>
                <w:sz w:val="16"/>
              </w:rPr>
            </w:pPr>
            <w:r w:rsidRPr="00EB57D6">
              <w:rPr>
                <w:color w:val="000000"/>
                <w:sz w:val="16"/>
              </w:rPr>
              <w:t>Formation à l’examen DHS du maïs</w:t>
            </w:r>
          </w:p>
        </w:tc>
        <w:tc>
          <w:tcPr>
            <w:tcW w:w="2268" w:type="dxa"/>
            <w:tcMar>
              <w:top w:w="28" w:type="dxa"/>
              <w:left w:w="57" w:type="dxa"/>
              <w:bottom w:w="28" w:type="dxa"/>
              <w:right w:w="57" w:type="dxa"/>
            </w:tcMar>
          </w:tcPr>
          <w:p w:rsidR="005917D2" w:rsidRPr="00EB57D6" w:rsidRDefault="005917D2" w:rsidP="009B2909">
            <w:pPr>
              <w:jc w:val="left"/>
              <w:rPr>
                <w:color w:val="000000" w:themeColor="text1"/>
                <w:sz w:val="16"/>
              </w:rPr>
            </w:pPr>
            <w:r w:rsidRPr="00EB57D6">
              <w:rPr>
                <w:color w:val="000000" w:themeColor="text1"/>
                <w:sz w:val="16"/>
                <w:lang w:eastAsia="ja-JP"/>
              </w:rPr>
              <w:t>Cambodge (13), Myanmar (2), Viet Nam (1), Japon (1)</w:t>
            </w:r>
          </w:p>
        </w:tc>
      </w:tr>
    </w:tbl>
    <w:p w:rsidR="005917D2" w:rsidRPr="00EB57D6" w:rsidRDefault="005917D2" w:rsidP="005917D2">
      <w:pPr>
        <w:rPr>
          <w:sz w:val="18"/>
          <w:lang w:eastAsia="ja-JP"/>
        </w:rPr>
      </w:pPr>
    </w:p>
    <w:p w:rsidR="005917D2" w:rsidRPr="00EB57D6" w:rsidRDefault="005917D2" w:rsidP="005917D2">
      <w:pPr>
        <w:rPr>
          <w:sz w:val="18"/>
          <w:lang w:eastAsia="ja-JP"/>
        </w:rPr>
      </w:pPr>
    </w:p>
    <w:p w:rsidR="005917D2" w:rsidRPr="00EB57D6" w:rsidRDefault="005917D2" w:rsidP="005917D2">
      <w:pPr>
        <w:rPr>
          <w:sz w:val="18"/>
        </w:rPr>
      </w:pPr>
      <w:r w:rsidRPr="00EB57D6">
        <w:t>5.2</w:t>
      </w:r>
      <w:r w:rsidRPr="00EB57D6">
        <w:tab/>
      </w:r>
      <w:r w:rsidRPr="00EB57D6">
        <w:rPr>
          <w:color w:val="000000"/>
        </w:rPr>
        <w:t>Cours de formation international organisé par l’Agence japonaise de coopération internationale (JICA)</w:t>
      </w:r>
    </w:p>
    <w:p w:rsidR="005917D2" w:rsidRPr="00EB57D6" w:rsidRDefault="005917D2" w:rsidP="005917D2">
      <w:pPr>
        <w:rPr>
          <w:sz w:val="18"/>
        </w:rPr>
      </w:pPr>
    </w:p>
    <w:p w:rsidR="005917D2" w:rsidRPr="00EB57D6" w:rsidRDefault="005917D2" w:rsidP="005917D2">
      <w:pPr>
        <w:rPr>
          <w:sz w:val="18"/>
        </w:rPr>
      </w:pPr>
      <w:r w:rsidRPr="00EB57D6">
        <w:rPr>
          <w:color w:val="000000"/>
        </w:rPr>
        <w:t>Bien qu’un cours de formation international de trois mois intitulé “protéger les obtentions végétales et mettre en œuvre un système de contrôle de la qualité des semences pour assurer la distribution de semences de haute qualité” ait été prévu par l’Agence japonaise de coopération internationale en collaboration avec le secrétariat du Bureau de l’UPOV en 2020, ce cours a été reporté à l’année prochaine en raison de l’impact de la pandémie de COVID-19.</w:t>
      </w:r>
    </w:p>
    <w:p w:rsidR="005917D2" w:rsidRPr="00EB57D6" w:rsidRDefault="005917D2" w:rsidP="005917D2">
      <w:pPr>
        <w:rPr>
          <w:sz w:val="18"/>
        </w:rPr>
      </w:pPr>
    </w:p>
    <w:p w:rsidR="00845D57" w:rsidRPr="00EB57D6" w:rsidRDefault="00845D57" w:rsidP="00845D57">
      <w:pPr>
        <w:jc w:val="left"/>
      </w:pPr>
    </w:p>
    <w:p w:rsidR="005917D2" w:rsidRPr="00EB57D6" w:rsidRDefault="005917D2" w:rsidP="00845D57">
      <w:pPr>
        <w:jc w:val="left"/>
      </w:pPr>
    </w:p>
    <w:p w:rsidR="00845D57" w:rsidRPr="00EB57D6" w:rsidRDefault="00845D57" w:rsidP="00845D57">
      <w:pPr>
        <w:jc w:val="right"/>
      </w:pPr>
      <w:r w:rsidRPr="00EB57D6">
        <w:t>[L’annexe IX suit]</w:t>
      </w:r>
    </w:p>
    <w:p w:rsidR="00845D57" w:rsidRPr="00EB57D6" w:rsidRDefault="00845D57" w:rsidP="00845D57"/>
    <w:p w:rsidR="00845D57" w:rsidRPr="00EB57D6" w:rsidRDefault="00845D57" w:rsidP="00845D57">
      <w:pPr>
        <w:jc w:val="left"/>
        <w:sectPr w:rsidR="00845D57" w:rsidRPr="00EB57D6" w:rsidSect="009B2909">
          <w:headerReference w:type="default" r:id="rId18"/>
          <w:pgSz w:w="11907" w:h="16840" w:code="9"/>
          <w:pgMar w:top="510" w:right="1134" w:bottom="1134" w:left="1134" w:header="510" w:footer="680" w:gutter="0"/>
          <w:pgNumType w:start="1"/>
          <w:cols w:space="720"/>
          <w:titlePg/>
        </w:sectPr>
      </w:pPr>
    </w:p>
    <w:p w:rsidR="00845D57" w:rsidRPr="00EB57D6" w:rsidRDefault="00845D57" w:rsidP="00845D57">
      <w:pPr>
        <w:jc w:val="center"/>
      </w:pPr>
      <w:r w:rsidRPr="00EB57D6">
        <w:lastRenderedPageBreak/>
        <w:t>C/54/INF/4</w:t>
      </w:r>
    </w:p>
    <w:p w:rsidR="00845D57" w:rsidRPr="00EB57D6" w:rsidRDefault="00845D57" w:rsidP="00845D57">
      <w:pPr>
        <w:jc w:val="center"/>
      </w:pPr>
    </w:p>
    <w:p w:rsidR="00845D57" w:rsidRPr="00EB57D6" w:rsidRDefault="00845D57" w:rsidP="00845D57">
      <w:pPr>
        <w:jc w:val="center"/>
      </w:pPr>
      <w:r w:rsidRPr="00EB57D6">
        <w:t>ANNEXE IX</w:t>
      </w:r>
    </w:p>
    <w:p w:rsidR="00845D57" w:rsidRPr="00EB57D6" w:rsidRDefault="00845D57" w:rsidP="00845D57">
      <w:pPr>
        <w:jc w:val="center"/>
      </w:pPr>
    </w:p>
    <w:p w:rsidR="00845D57" w:rsidRPr="00EB57D6" w:rsidRDefault="00845D57" w:rsidP="00845D57">
      <w:pPr>
        <w:jc w:val="center"/>
      </w:pPr>
    </w:p>
    <w:p w:rsidR="0036395D" w:rsidRPr="00EB57D6" w:rsidRDefault="0036395D" w:rsidP="0036395D">
      <w:pPr>
        <w:jc w:val="center"/>
        <w:rPr>
          <w:sz w:val="18"/>
        </w:rPr>
      </w:pPr>
      <w:r w:rsidRPr="00EB57D6">
        <w:t>LITUANIE</w:t>
      </w:r>
    </w:p>
    <w:p w:rsidR="0036395D" w:rsidRPr="00EB57D6" w:rsidRDefault="0036395D" w:rsidP="0036395D">
      <w:pPr>
        <w:rPr>
          <w:sz w:val="18"/>
        </w:rPr>
      </w:pPr>
    </w:p>
    <w:p w:rsidR="0036395D" w:rsidRPr="00EB57D6" w:rsidRDefault="0036395D" w:rsidP="0036395D">
      <w:pPr>
        <w:rPr>
          <w:sz w:val="18"/>
        </w:rPr>
      </w:pPr>
    </w:p>
    <w:p w:rsidR="0036395D" w:rsidRPr="00EB57D6" w:rsidRDefault="0036395D" w:rsidP="0036395D">
      <w:pPr>
        <w:rPr>
          <w:sz w:val="18"/>
        </w:rPr>
      </w:pPr>
      <w:r w:rsidRPr="00EB57D6">
        <w:t>I.</w:t>
      </w:r>
      <w:r w:rsidRPr="00EB57D6">
        <w:rPr>
          <w:color w:val="000000"/>
        </w:rPr>
        <w:tab/>
      </w:r>
      <w:r w:rsidRPr="00EB57D6">
        <w:t>PROTECTION DES OBTENTIONS VÉGÉTALES</w:t>
      </w:r>
    </w:p>
    <w:p w:rsidR="0036395D" w:rsidRPr="00EB57D6" w:rsidRDefault="0036395D" w:rsidP="0036395D">
      <w:pPr>
        <w:rPr>
          <w:sz w:val="18"/>
        </w:rPr>
      </w:pPr>
    </w:p>
    <w:p w:rsidR="0036395D" w:rsidRPr="00EB57D6" w:rsidRDefault="0036395D" w:rsidP="0036395D">
      <w:pPr>
        <w:rPr>
          <w:rFonts w:cs="Arial"/>
          <w:sz w:val="18"/>
        </w:rPr>
      </w:pPr>
      <w:r w:rsidRPr="00EB57D6">
        <w:rPr>
          <w:rFonts w:cs="Arial"/>
        </w:rPr>
        <w:t>1.</w:t>
      </w:r>
      <w:r w:rsidRPr="00EB57D6">
        <w:rPr>
          <w:rFonts w:cs="Arial"/>
        </w:rPr>
        <w:tab/>
      </w:r>
      <w:r w:rsidRPr="00EB57D6">
        <w:rPr>
          <w:rFonts w:cs="Arial"/>
          <w:u w:val="single"/>
        </w:rPr>
        <w:t>Situation dans le domaine législatif</w:t>
      </w:r>
    </w:p>
    <w:p w:rsidR="0036395D" w:rsidRPr="00EB57D6" w:rsidRDefault="0036395D" w:rsidP="0036395D">
      <w:pPr>
        <w:rPr>
          <w:rFonts w:cs="Arial"/>
          <w:sz w:val="18"/>
        </w:rPr>
      </w:pPr>
    </w:p>
    <w:p w:rsidR="0036395D" w:rsidRPr="00EB57D6" w:rsidRDefault="0036395D" w:rsidP="0036395D">
      <w:pPr>
        <w:rPr>
          <w:rFonts w:cs="Arial"/>
          <w:sz w:val="18"/>
        </w:rPr>
      </w:pPr>
      <w:r w:rsidRPr="00EB57D6">
        <w:rPr>
          <w:rFonts w:cs="Arial"/>
        </w:rPr>
        <w:t>1.1</w:t>
      </w:r>
      <w:r w:rsidRPr="00EB57D6">
        <w:rPr>
          <w:rFonts w:cs="Arial"/>
        </w:rPr>
        <w:tab/>
        <w:t>Modifications de la loi et des textes d’application</w:t>
      </w:r>
    </w:p>
    <w:p w:rsidR="0036395D" w:rsidRPr="00EB57D6" w:rsidRDefault="0036395D" w:rsidP="0036395D">
      <w:pPr>
        <w:rPr>
          <w:rFonts w:cs="Arial"/>
          <w:sz w:val="18"/>
        </w:rPr>
      </w:pPr>
    </w:p>
    <w:p w:rsidR="0036395D" w:rsidRPr="00EB57D6" w:rsidRDefault="0036395D" w:rsidP="0036395D">
      <w:pPr>
        <w:ind w:left="567" w:hanging="567"/>
        <w:rPr>
          <w:sz w:val="18"/>
        </w:rPr>
      </w:pPr>
      <w:r w:rsidRPr="00EB57D6">
        <w:rPr>
          <w:color w:val="000000"/>
        </w:rPr>
        <w:t>–</w:t>
      </w:r>
      <w:r w:rsidRPr="00EB57D6">
        <w:rPr>
          <w:color w:val="000000"/>
        </w:rPr>
        <w:tab/>
      </w:r>
      <w:r w:rsidRPr="00EB57D6">
        <w:t>Loi sur la protection des obtentions végétales de la République de Lituanie modifiée le 19 octobre 2006 et modifiée en dernier lieu le 26 avril 2012;</w:t>
      </w:r>
    </w:p>
    <w:p w:rsidR="0036395D" w:rsidRPr="00EB57D6" w:rsidRDefault="0036395D" w:rsidP="0036395D">
      <w:pPr>
        <w:ind w:left="567" w:hanging="567"/>
        <w:rPr>
          <w:sz w:val="18"/>
        </w:rPr>
      </w:pPr>
    </w:p>
    <w:p w:rsidR="0036395D" w:rsidRPr="00EB57D6" w:rsidRDefault="0036395D" w:rsidP="0036395D">
      <w:pPr>
        <w:ind w:left="567" w:hanging="567"/>
        <w:rPr>
          <w:sz w:val="18"/>
        </w:rPr>
      </w:pPr>
      <w:r w:rsidRPr="00EB57D6">
        <w:rPr>
          <w:color w:val="000000"/>
        </w:rPr>
        <w:t>–</w:t>
      </w:r>
      <w:r w:rsidRPr="00EB57D6">
        <w:rPr>
          <w:color w:val="000000"/>
        </w:rPr>
        <w:tab/>
      </w:r>
      <w:r w:rsidRPr="00EB57D6">
        <w:t>Règlement n° 1458 du Gouvernement de la République de Lituanie du 15 décembre 2000 relatif au montant des taxes;</w:t>
      </w:r>
    </w:p>
    <w:p w:rsidR="0036395D" w:rsidRPr="00EB57D6" w:rsidRDefault="0036395D" w:rsidP="0036395D">
      <w:pPr>
        <w:ind w:left="567" w:hanging="567"/>
        <w:rPr>
          <w:sz w:val="18"/>
        </w:rPr>
      </w:pPr>
    </w:p>
    <w:p w:rsidR="0036395D" w:rsidRPr="00EB57D6" w:rsidRDefault="0036395D" w:rsidP="0036395D">
      <w:pPr>
        <w:ind w:left="567" w:hanging="567"/>
        <w:rPr>
          <w:sz w:val="18"/>
        </w:rPr>
      </w:pPr>
      <w:r w:rsidRPr="00EB57D6">
        <w:rPr>
          <w:color w:val="000000"/>
        </w:rPr>
        <w:t>–</w:t>
      </w:r>
      <w:r w:rsidRPr="00EB57D6">
        <w:rPr>
          <w:color w:val="000000"/>
        </w:rPr>
        <w:tab/>
      </w:r>
      <w:r w:rsidRPr="00EB57D6">
        <w:t>Décision n° A1-50 du directeur du Service des obtentions végétales du Ministère de l’agriculture du 8 août 2010, relative à l’approbation du formulaire de demande de protection des obtentions végétales;</w:t>
      </w:r>
    </w:p>
    <w:p w:rsidR="0036395D" w:rsidRPr="00EB57D6" w:rsidRDefault="0036395D" w:rsidP="0036395D">
      <w:pPr>
        <w:ind w:left="567" w:hanging="567"/>
        <w:rPr>
          <w:sz w:val="18"/>
        </w:rPr>
      </w:pPr>
    </w:p>
    <w:p w:rsidR="0036395D" w:rsidRPr="00EB57D6" w:rsidRDefault="0036395D" w:rsidP="0036395D">
      <w:pPr>
        <w:ind w:left="567" w:hanging="567"/>
        <w:rPr>
          <w:sz w:val="18"/>
        </w:rPr>
      </w:pPr>
      <w:r w:rsidRPr="00EB57D6">
        <w:t xml:space="preserve">– </w:t>
      </w:r>
      <w:r w:rsidRPr="00EB57D6">
        <w:tab/>
        <w:t>Décret n° 3 D –371 du ministre de l’agriculture de la République de Lituanie du 23 juin 2004 relatif à la rémunération.</w:t>
      </w:r>
    </w:p>
    <w:p w:rsidR="0036395D" w:rsidRPr="00EB57D6" w:rsidRDefault="0036395D" w:rsidP="0036395D">
      <w:pPr>
        <w:rPr>
          <w:rFonts w:cs="Arial"/>
          <w:sz w:val="18"/>
        </w:rPr>
      </w:pPr>
    </w:p>
    <w:p w:rsidR="0036395D" w:rsidRPr="00EB57D6" w:rsidRDefault="0036395D" w:rsidP="0036395D">
      <w:pPr>
        <w:rPr>
          <w:rFonts w:cs="Arial"/>
          <w:sz w:val="18"/>
        </w:rPr>
      </w:pPr>
      <w:r w:rsidRPr="00EB57D6">
        <w:rPr>
          <w:rFonts w:cs="Arial"/>
        </w:rPr>
        <w:t>1.2</w:t>
      </w:r>
      <w:r w:rsidRPr="00EB57D6">
        <w:rPr>
          <w:rFonts w:cs="Arial"/>
        </w:rPr>
        <w:tab/>
        <w:t>Extension de la protection à d’autres genres et espèces (effectuée ou prévue) :</w:t>
      </w:r>
    </w:p>
    <w:p w:rsidR="0036395D" w:rsidRPr="00EB57D6" w:rsidRDefault="0036395D" w:rsidP="0036395D">
      <w:pPr>
        <w:rPr>
          <w:rFonts w:cs="Arial"/>
          <w:sz w:val="18"/>
        </w:rPr>
      </w:pPr>
    </w:p>
    <w:p w:rsidR="0036395D" w:rsidRPr="00EB57D6" w:rsidRDefault="0036395D" w:rsidP="0036395D">
      <w:pPr>
        <w:ind w:left="567" w:hanging="567"/>
        <w:rPr>
          <w:rFonts w:cs="Arial"/>
          <w:sz w:val="18"/>
        </w:rPr>
      </w:pPr>
      <w:r w:rsidRPr="00EB57D6">
        <w:rPr>
          <w:rFonts w:cs="Arial"/>
          <w:color w:val="000000"/>
        </w:rPr>
        <w:t>–</w:t>
      </w:r>
      <w:r w:rsidRPr="00EB57D6">
        <w:rPr>
          <w:rFonts w:cs="Arial"/>
          <w:color w:val="000000"/>
        </w:rPr>
        <w:tab/>
      </w:r>
      <w:r w:rsidRPr="00EB57D6">
        <w:rPr>
          <w:rFonts w:cs="Arial"/>
        </w:rPr>
        <w:t>Conformément aux modifications de la loi sur la protection des obtentions végétales de la République de Lituanie en date du 26 avril 2012, les variétés de tous les genres et espèces pourraient être protégées en République de Lituanie.</w:t>
      </w:r>
    </w:p>
    <w:p w:rsidR="0036395D" w:rsidRPr="00EB57D6" w:rsidRDefault="0036395D" w:rsidP="0036395D">
      <w:pPr>
        <w:ind w:left="567" w:hanging="567"/>
        <w:rPr>
          <w:rFonts w:cs="Arial"/>
          <w:sz w:val="18"/>
        </w:rPr>
      </w:pPr>
    </w:p>
    <w:p w:rsidR="0036395D" w:rsidRPr="00EB57D6" w:rsidRDefault="0036395D" w:rsidP="0036395D">
      <w:pPr>
        <w:rPr>
          <w:rFonts w:cs="Arial"/>
          <w:sz w:val="18"/>
        </w:rPr>
      </w:pPr>
      <w:r w:rsidRPr="00EB57D6">
        <w:rPr>
          <w:rFonts w:cs="Arial"/>
        </w:rPr>
        <w:t>1.3</w:t>
      </w:r>
      <w:r w:rsidRPr="00EB57D6">
        <w:rPr>
          <w:rFonts w:cs="Arial"/>
        </w:rPr>
        <w:tab/>
        <w:t>Jurisprudence</w:t>
      </w:r>
    </w:p>
    <w:p w:rsidR="0036395D" w:rsidRPr="00EB57D6" w:rsidRDefault="0036395D" w:rsidP="0036395D">
      <w:pPr>
        <w:rPr>
          <w:rFonts w:cs="Arial"/>
          <w:sz w:val="18"/>
        </w:rPr>
      </w:pPr>
    </w:p>
    <w:p w:rsidR="0036395D" w:rsidRPr="00EB57D6" w:rsidRDefault="0036395D" w:rsidP="0036395D">
      <w:pPr>
        <w:ind w:left="567" w:hanging="567"/>
        <w:rPr>
          <w:rFonts w:cs="Arial"/>
          <w:sz w:val="18"/>
        </w:rPr>
      </w:pPr>
      <w:r w:rsidRPr="00EB57D6">
        <w:rPr>
          <w:rFonts w:cs="Arial"/>
        </w:rPr>
        <w:t>Il n’existe pas de jurisprudence relative à la protection des obtentions végétales en Lituanie pour 2019.</w:t>
      </w:r>
    </w:p>
    <w:p w:rsidR="0036395D" w:rsidRPr="00EB57D6" w:rsidRDefault="0036395D" w:rsidP="0036395D">
      <w:pPr>
        <w:ind w:left="567" w:hanging="567"/>
        <w:rPr>
          <w:rFonts w:cs="Arial"/>
          <w:sz w:val="18"/>
        </w:rPr>
      </w:pPr>
    </w:p>
    <w:p w:rsidR="0036395D" w:rsidRPr="00EB57D6" w:rsidRDefault="0036395D" w:rsidP="0036395D">
      <w:pPr>
        <w:ind w:left="567" w:hanging="567"/>
        <w:rPr>
          <w:rFonts w:cs="Arial"/>
          <w:sz w:val="18"/>
        </w:rPr>
      </w:pPr>
    </w:p>
    <w:p w:rsidR="0036395D" w:rsidRPr="00EB57D6" w:rsidRDefault="0036395D" w:rsidP="0036395D">
      <w:pPr>
        <w:rPr>
          <w:rFonts w:cs="Arial"/>
          <w:sz w:val="18"/>
          <w:u w:val="single"/>
        </w:rPr>
      </w:pPr>
      <w:r w:rsidRPr="00EB57D6">
        <w:rPr>
          <w:rFonts w:cs="Arial"/>
        </w:rPr>
        <w:t>2.</w:t>
      </w:r>
      <w:r w:rsidRPr="00EB57D6">
        <w:rPr>
          <w:rFonts w:cs="Arial"/>
        </w:rPr>
        <w:tab/>
      </w:r>
      <w:r w:rsidRPr="00EB57D6">
        <w:rPr>
          <w:rFonts w:cs="Arial"/>
          <w:u w:val="single"/>
        </w:rPr>
        <w:t>Coopération en matière d’examen</w:t>
      </w:r>
    </w:p>
    <w:p w:rsidR="0036395D" w:rsidRPr="00EB57D6" w:rsidRDefault="0036395D" w:rsidP="0036395D">
      <w:pPr>
        <w:rPr>
          <w:rFonts w:cs="Arial"/>
          <w:sz w:val="18"/>
        </w:rPr>
      </w:pPr>
    </w:p>
    <w:p w:rsidR="0036395D" w:rsidRPr="00EB57D6" w:rsidRDefault="0036395D" w:rsidP="0036395D">
      <w:pPr>
        <w:rPr>
          <w:rFonts w:cs="Arial"/>
          <w:sz w:val="18"/>
        </w:rPr>
      </w:pPr>
      <w:r w:rsidRPr="00EB57D6">
        <w:rPr>
          <w:rFonts w:cs="Arial"/>
        </w:rPr>
        <w:t>Deux accords de coopération en matière d’examen ont été signés en Lituanie :</w:t>
      </w:r>
    </w:p>
    <w:p w:rsidR="0036395D" w:rsidRPr="00EB57D6" w:rsidRDefault="0036395D" w:rsidP="0036395D">
      <w:pPr>
        <w:rPr>
          <w:rFonts w:cs="Arial"/>
          <w:sz w:val="18"/>
        </w:rPr>
      </w:pPr>
    </w:p>
    <w:p w:rsidR="0036395D" w:rsidRPr="00EB57D6" w:rsidRDefault="0036395D" w:rsidP="0036395D">
      <w:pPr>
        <w:ind w:left="567" w:hanging="567"/>
        <w:rPr>
          <w:sz w:val="18"/>
        </w:rPr>
      </w:pPr>
      <w:r w:rsidRPr="00EB57D6">
        <w:rPr>
          <w:color w:val="000000"/>
        </w:rPr>
        <w:t>–</w:t>
      </w:r>
      <w:r w:rsidRPr="00EB57D6">
        <w:rPr>
          <w:color w:val="000000"/>
        </w:rPr>
        <w:tab/>
      </w:r>
      <w:r w:rsidRPr="00EB57D6">
        <w:t>L’accord bilatéral du 11 août 2000 avec le Centre de recherche polonais pour les essais de cultivars (COBORU), relatif aux essais DHS, a été modifié le 14 novembre 2012 par l’accord d’administration n° 1/2012/19T-247;</w:t>
      </w:r>
    </w:p>
    <w:p w:rsidR="0036395D" w:rsidRPr="00EB57D6" w:rsidRDefault="0036395D" w:rsidP="0036395D">
      <w:pPr>
        <w:ind w:left="567" w:hanging="567"/>
        <w:rPr>
          <w:sz w:val="18"/>
        </w:rPr>
      </w:pPr>
    </w:p>
    <w:p w:rsidR="0036395D" w:rsidRPr="00EB57D6" w:rsidRDefault="0036395D" w:rsidP="0036395D">
      <w:pPr>
        <w:ind w:left="567" w:hanging="567"/>
        <w:rPr>
          <w:sz w:val="18"/>
        </w:rPr>
      </w:pPr>
      <w:r w:rsidRPr="00EB57D6">
        <w:rPr>
          <w:color w:val="000000"/>
        </w:rPr>
        <w:t>–</w:t>
      </w:r>
      <w:r w:rsidRPr="00EB57D6">
        <w:rPr>
          <w:color w:val="000000"/>
        </w:rPr>
        <w:tab/>
      </w:r>
      <w:r w:rsidRPr="00EB57D6">
        <w:t xml:space="preserve">L’accord n° 10 signé le 30 juin 2006 avec le </w:t>
      </w:r>
      <w:proofErr w:type="spellStart"/>
      <w:r w:rsidRPr="00EB57D6">
        <w:t>Bundessortenamt</w:t>
      </w:r>
      <w:proofErr w:type="spellEnd"/>
      <w:r w:rsidRPr="00EB57D6">
        <w:t xml:space="preserve"> (Office fédéral des variétés végétales), Allemagne, relatif à la transmission des résultats d’examens techniques pour ce qui est des examens DHS, a été modifié le 18 octobre 2010 par l’accord n° 19T-98.</w:t>
      </w:r>
    </w:p>
    <w:p w:rsidR="0036395D" w:rsidRPr="00EB57D6" w:rsidRDefault="0036395D" w:rsidP="0036395D">
      <w:pPr>
        <w:ind w:left="567" w:hanging="567"/>
        <w:rPr>
          <w:sz w:val="18"/>
        </w:rPr>
      </w:pPr>
    </w:p>
    <w:p w:rsidR="0036395D" w:rsidRPr="00EB57D6" w:rsidRDefault="0036395D" w:rsidP="0036395D">
      <w:pPr>
        <w:ind w:left="567" w:hanging="567"/>
        <w:rPr>
          <w:sz w:val="18"/>
        </w:rPr>
      </w:pPr>
    </w:p>
    <w:p w:rsidR="0036395D" w:rsidRPr="00EB57D6" w:rsidRDefault="0036395D" w:rsidP="0036395D">
      <w:pPr>
        <w:rPr>
          <w:rFonts w:cs="Arial"/>
          <w:sz w:val="18"/>
          <w:u w:val="single"/>
        </w:rPr>
      </w:pPr>
      <w:r w:rsidRPr="00EB57D6">
        <w:rPr>
          <w:rFonts w:cs="Arial"/>
        </w:rPr>
        <w:t>3.</w:t>
      </w:r>
      <w:r w:rsidRPr="00EB57D6">
        <w:rPr>
          <w:rFonts w:cs="Arial"/>
        </w:rPr>
        <w:tab/>
      </w:r>
      <w:r w:rsidRPr="00EB57D6">
        <w:rPr>
          <w:rFonts w:cs="Arial"/>
          <w:u w:val="single"/>
        </w:rPr>
        <w:t>Situation dans le domaine administratif</w:t>
      </w:r>
    </w:p>
    <w:p w:rsidR="0036395D" w:rsidRPr="00EB57D6" w:rsidRDefault="0036395D" w:rsidP="0036395D">
      <w:pPr>
        <w:rPr>
          <w:rFonts w:cs="Arial"/>
          <w:sz w:val="18"/>
        </w:rPr>
      </w:pPr>
    </w:p>
    <w:p w:rsidR="0036395D" w:rsidRPr="00EB57D6" w:rsidRDefault="0036395D" w:rsidP="0036395D">
      <w:pPr>
        <w:ind w:left="567" w:hanging="567"/>
        <w:rPr>
          <w:rFonts w:cs="Arial"/>
          <w:sz w:val="18"/>
        </w:rPr>
      </w:pPr>
      <w:r w:rsidRPr="00EB57D6">
        <w:rPr>
          <w:rFonts w:cs="Arial"/>
          <w:color w:val="000000"/>
        </w:rPr>
        <w:t>–</w:t>
      </w:r>
      <w:r w:rsidRPr="00EB57D6">
        <w:rPr>
          <w:rFonts w:cs="Arial"/>
          <w:color w:val="000000"/>
        </w:rPr>
        <w:tab/>
      </w:r>
      <w:r w:rsidRPr="00EB57D6">
        <w:rPr>
          <w:rFonts w:cs="Arial"/>
        </w:rPr>
        <w:t>La Division des obtentions végétales relevant du Service des obtentions végétales du Ministère de l’agriculture de la République de Lituanie est responsable des essais, de l’établissement de la liste et de la protection juridique des variétés végétales;</w:t>
      </w:r>
    </w:p>
    <w:p w:rsidR="0036395D" w:rsidRPr="00EB57D6" w:rsidRDefault="0036395D" w:rsidP="0036395D">
      <w:pPr>
        <w:ind w:left="567" w:hanging="567"/>
        <w:rPr>
          <w:rFonts w:cs="Arial"/>
          <w:sz w:val="18"/>
        </w:rPr>
      </w:pPr>
    </w:p>
    <w:p w:rsidR="0036395D" w:rsidRPr="00EB57D6" w:rsidRDefault="0036395D" w:rsidP="0036395D">
      <w:pPr>
        <w:ind w:left="567" w:hanging="567"/>
        <w:rPr>
          <w:rFonts w:cs="Arial"/>
          <w:sz w:val="18"/>
        </w:rPr>
      </w:pPr>
      <w:r w:rsidRPr="00EB57D6">
        <w:rPr>
          <w:rFonts w:cs="Arial"/>
          <w:color w:val="000000"/>
        </w:rPr>
        <w:t>–</w:t>
      </w:r>
      <w:r w:rsidRPr="00EB57D6">
        <w:rPr>
          <w:rFonts w:cs="Arial"/>
          <w:color w:val="000000"/>
        </w:rPr>
        <w:tab/>
      </w:r>
      <w:r w:rsidRPr="00EB57D6">
        <w:rPr>
          <w:rFonts w:cs="Arial"/>
        </w:rPr>
        <w:t>La Commission pour l’évaluation des demandes de protection des variétés a été approuvée le 6 mai 2011 par la décision n° A1-141 du directeur du Service des obtentions végétales du Ministère de l’agriculture de la République de Lituanie et modifiée le 14 mars 2019 par la décision n° A1-148 du directeur du Service des obtentions végétales du Ministère de l’agriculture de la République de Lituanie;</w:t>
      </w:r>
    </w:p>
    <w:p w:rsidR="0036395D" w:rsidRPr="00EB57D6" w:rsidRDefault="0036395D" w:rsidP="0036395D">
      <w:pPr>
        <w:ind w:left="567" w:hanging="567"/>
        <w:rPr>
          <w:rFonts w:cs="Arial"/>
          <w:sz w:val="18"/>
        </w:rPr>
      </w:pPr>
    </w:p>
    <w:p w:rsidR="0036395D" w:rsidRPr="00EB57D6" w:rsidRDefault="0036395D" w:rsidP="0036395D">
      <w:pPr>
        <w:ind w:left="567" w:hanging="567"/>
        <w:rPr>
          <w:rFonts w:cs="Arial"/>
          <w:sz w:val="18"/>
        </w:rPr>
      </w:pPr>
      <w:r w:rsidRPr="00EB57D6">
        <w:rPr>
          <w:rFonts w:cs="Arial"/>
          <w:color w:val="000000"/>
        </w:rPr>
        <w:t>–</w:t>
      </w:r>
      <w:r w:rsidRPr="00EB57D6">
        <w:rPr>
          <w:rFonts w:cs="Arial"/>
          <w:color w:val="000000"/>
        </w:rPr>
        <w:tab/>
      </w:r>
      <w:r w:rsidRPr="00EB57D6">
        <w:rPr>
          <w:rFonts w:cs="Arial"/>
        </w:rPr>
        <w:t>L’octroi de la protection des obtentions végétales doit être approuvé par décision du directeur du Service des obtentions végétales du Ministère de l’agriculture de la République de Lituanie;</w:t>
      </w:r>
    </w:p>
    <w:p w:rsidR="0036395D" w:rsidRPr="00EB57D6" w:rsidRDefault="0036395D" w:rsidP="0036395D">
      <w:pPr>
        <w:ind w:left="567" w:hanging="567"/>
        <w:rPr>
          <w:rFonts w:cs="Arial"/>
          <w:sz w:val="18"/>
        </w:rPr>
      </w:pPr>
    </w:p>
    <w:p w:rsidR="0036395D" w:rsidRPr="00EB57D6" w:rsidRDefault="0036395D" w:rsidP="0036395D">
      <w:pPr>
        <w:ind w:left="567" w:hanging="567"/>
        <w:rPr>
          <w:rFonts w:cs="Arial"/>
          <w:sz w:val="18"/>
        </w:rPr>
      </w:pPr>
      <w:r w:rsidRPr="00EB57D6">
        <w:rPr>
          <w:rFonts w:cs="Arial"/>
          <w:color w:val="000000"/>
        </w:rPr>
        <w:t>–</w:t>
      </w:r>
      <w:r w:rsidRPr="00EB57D6">
        <w:rPr>
          <w:rFonts w:cs="Arial"/>
          <w:color w:val="000000"/>
        </w:rPr>
        <w:tab/>
      </w:r>
      <w:r w:rsidRPr="00EB57D6">
        <w:rPr>
          <w:rFonts w:cs="Arial"/>
        </w:rPr>
        <w:t>Les procédures et le système de protection des obtentions végétales sont définis par la loi sur la protection des obtentions végétales de la République de Lituanie.</w:t>
      </w:r>
    </w:p>
    <w:p w:rsidR="0036395D" w:rsidRPr="00EB57D6" w:rsidRDefault="0036395D" w:rsidP="0036395D">
      <w:pPr>
        <w:ind w:left="567" w:hanging="567"/>
        <w:rPr>
          <w:rFonts w:cs="Arial"/>
          <w:sz w:val="18"/>
        </w:rPr>
      </w:pPr>
    </w:p>
    <w:p w:rsidR="0036395D" w:rsidRPr="00EB57D6" w:rsidRDefault="0036395D" w:rsidP="0036395D">
      <w:pPr>
        <w:keepNext/>
        <w:rPr>
          <w:rFonts w:cs="Arial"/>
          <w:sz w:val="18"/>
        </w:rPr>
      </w:pPr>
      <w:r w:rsidRPr="00EB57D6">
        <w:rPr>
          <w:rFonts w:cs="Arial"/>
        </w:rPr>
        <w:lastRenderedPageBreak/>
        <w:t>4.</w:t>
      </w:r>
      <w:r w:rsidRPr="00EB57D6">
        <w:rPr>
          <w:rFonts w:cs="Arial"/>
        </w:rPr>
        <w:tab/>
      </w:r>
      <w:r w:rsidRPr="00EB57D6">
        <w:rPr>
          <w:rFonts w:cs="Arial"/>
          <w:u w:val="single"/>
        </w:rPr>
        <w:t>Situation dans le domaine technique</w:t>
      </w:r>
    </w:p>
    <w:p w:rsidR="0036395D" w:rsidRPr="00EB57D6" w:rsidRDefault="0036395D" w:rsidP="0036395D">
      <w:pPr>
        <w:keepNext/>
        <w:rPr>
          <w:rFonts w:cs="Arial"/>
          <w:sz w:val="18"/>
        </w:rPr>
      </w:pPr>
    </w:p>
    <w:p w:rsidR="0036395D" w:rsidRPr="00EB57D6" w:rsidRDefault="0036395D" w:rsidP="0036395D">
      <w:pPr>
        <w:ind w:left="567" w:hanging="567"/>
        <w:rPr>
          <w:rFonts w:cs="Arial"/>
          <w:sz w:val="18"/>
        </w:rPr>
      </w:pPr>
      <w:r w:rsidRPr="00EB57D6">
        <w:rPr>
          <w:rFonts w:cs="Arial"/>
          <w:color w:val="000000"/>
        </w:rPr>
        <w:t>–</w:t>
      </w:r>
      <w:r w:rsidRPr="00EB57D6">
        <w:rPr>
          <w:rFonts w:cs="Arial"/>
          <w:color w:val="000000"/>
        </w:rPr>
        <w:tab/>
      </w:r>
      <w:r w:rsidRPr="00EB57D6">
        <w:rPr>
          <w:rFonts w:cs="Arial"/>
        </w:rPr>
        <w:t>Les examens DHS sont effectués par le Centre de recherche polonais pour les essais de cultivars (COBORU), conformément à l’accord d’administration n° 1/2012/19 T 247, modifié le 14 novembre 2012, ou par l’autre autorité compétente de l’Union européenne à la demande des obtenteurs.</w:t>
      </w:r>
    </w:p>
    <w:p w:rsidR="0036395D" w:rsidRPr="00EB57D6" w:rsidRDefault="0036395D" w:rsidP="0036395D">
      <w:pPr>
        <w:ind w:left="567" w:hanging="567"/>
        <w:rPr>
          <w:rFonts w:cs="Arial"/>
          <w:sz w:val="18"/>
        </w:rPr>
      </w:pPr>
    </w:p>
    <w:p w:rsidR="0036395D" w:rsidRPr="00EB57D6" w:rsidRDefault="0036395D" w:rsidP="0036395D">
      <w:pPr>
        <w:ind w:left="567" w:hanging="567"/>
        <w:rPr>
          <w:rFonts w:cs="Arial"/>
          <w:sz w:val="18"/>
        </w:rPr>
      </w:pPr>
    </w:p>
    <w:p w:rsidR="0036395D" w:rsidRPr="00EB57D6" w:rsidRDefault="0036395D" w:rsidP="0036395D">
      <w:pPr>
        <w:rPr>
          <w:rFonts w:cs="Arial"/>
          <w:sz w:val="18"/>
          <w:u w:val="single"/>
        </w:rPr>
      </w:pPr>
      <w:r w:rsidRPr="00EB57D6">
        <w:rPr>
          <w:rFonts w:cs="Arial"/>
        </w:rPr>
        <w:t>5.</w:t>
      </w:r>
      <w:r w:rsidRPr="00EB57D6">
        <w:rPr>
          <w:rFonts w:cs="Arial"/>
        </w:rPr>
        <w:tab/>
      </w:r>
      <w:r w:rsidRPr="00EB57D6">
        <w:rPr>
          <w:rFonts w:cs="Arial"/>
          <w:u w:val="single"/>
        </w:rPr>
        <w:t>Activités de promotion de la protection des obtentions végétales</w:t>
      </w:r>
    </w:p>
    <w:p w:rsidR="0036395D" w:rsidRPr="00EB57D6" w:rsidRDefault="0036395D" w:rsidP="0036395D">
      <w:pPr>
        <w:rPr>
          <w:rFonts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447"/>
        <w:gridCol w:w="1247"/>
        <w:gridCol w:w="1275"/>
        <w:gridCol w:w="1418"/>
        <w:gridCol w:w="2580"/>
      </w:tblGrid>
      <w:tr w:rsidR="0036395D" w:rsidRPr="00EB57D6" w:rsidTr="009B2909">
        <w:tc>
          <w:tcPr>
            <w:tcW w:w="1809" w:type="dxa"/>
            <w:shd w:val="clear" w:color="auto" w:fill="auto"/>
            <w:tcMar>
              <w:top w:w="28" w:type="dxa"/>
              <w:left w:w="57" w:type="dxa"/>
              <w:bottom w:w="28" w:type="dxa"/>
              <w:right w:w="57" w:type="dxa"/>
            </w:tcMar>
          </w:tcPr>
          <w:p w:rsidR="0036395D" w:rsidRPr="00EB57D6" w:rsidRDefault="0036395D" w:rsidP="009B2909">
            <w:pPr>
              <w:jc w:val="left"/>
              <w:rPr>
                <w:rFonts w:cs="Arial"/>
                <w:sz w:val="16"/>
              </w:rPr>
            </w:pPr>
            <w:r w:rsidRPr="00EB57D6">
              <w:rPr>
                <w:rFonts w:cs="Arial"/>
                <w:sz w:val="16"/>
              </w:rPr>
              <w:t>Titre de l’activité</w:t>
            </w:r>
          </w:p>
        </w:tc>
        <w:tc>
          <w:tcPr>
            <w:tcW w:w="1447" w:type="dxa"/>
            <w:shd w:val="clear" w:color="auto" w:fill="auto"/>
            <w:tcMar>
              <w:top w:w="28" w:type="dxa"/>
              <w:left w:w="57" w:type="dxa"/>
              <w:bottom w:w="28" w:type="dxa"/>
              <w:right w:w="57" w:type="dxa"/>
            </w:tcMar>
          </w:tcPr>
          <w:p w:rsidR="0036395D" w:rsidRPr="00EB57D6" w:rsidRDefault="0036395D" w:rsidP="009B2909">
            <w:pPr>
              <w:jc w:val="left"/>
              <w:rPr>
                <w:rFonts w:cs="Arial"/>
                <w:sz w:val="16"/>
              </w:rPr>
            </w:pPr>
            <w:r w:rsidRPr="00EB57D6">
              <w:rPr>
                <w:rFonts w:cs="Arial"/>
                <w:sz w:val="16"/>
              </w:rPr>
              <w:t>Date</w:t>
            </w:r>
          </w:p>
        </w:tc>
        <w:tc>
          <w:tcPr>
            <w:tcW w:w="1247" w:type="dxa"/>
            <w:shd w:val="clear" w:color="auto" w:fill="auto"/>
            <w:tcMar>
              <w:top w:w="28" w:type="dxa"/>
              <w:left w:w="57" w:type="dxa"/>
              <w:bottom w:w="28" w:type="dxa"/>
              <w:right w:w="57" w:type="dxa"/>
            </w:tcMar>
          </w:tcPr>
          <w:p w:rsidR="0036395D" w:rsidRPr="00EB57D6" w:rsidRDefault="0036395D" w:rsidP="009B2909">
            <w:pPr>
              <w:jc w:val="left"/>
              <w:rPr>
                <w:rFonts w:cs="Arial"/>
                <w:sz w:val="16"/>
              </w:rPr>
            </w:pPr>
            <w:r w:rsidRPr="00EB57D6">
              <w:rPr>
                <w:rFonts w:cs="Arial"/>
                <w:sz w:val="16"/>
              </w:rPr>
              <w:t>Lieu</w:t>
            </w:r>
          </w:p>
        </w:tc>
        <w:tc>
          <w:tcPr>
            <w:tcW w:w="1275" w:type="dxa"/>
            <w:shd w:val="clear" w:color="auto" w:fill="auto"/>
            <w:tcMar>
              <w:top w:w="28" w:type="dxa"/>
              <w:left w:w="57" w:type="dxa"/>
              <w:bottom w:w="28" w:type="dxa"/>
              <w:right w:w="57" w:type="dxa"/>
            </w:tcMar>
          </w:tcPr>
          <w:p w:rsidR="0036395D" w:rsidRPr="00EB57D6" w:rsidRDefault="0036395D" w:rsidP="009B2909">
            <w:pPr>
              <w:jc w:val="left"/>
              <w:rPr>
                <w:rFonts w:cs="Arial"/>
                <w:sz w:val="16"/>
              </w:rPr>
            </w:pPr>
            <w:r w:rsidRPr="00EB57D6">
              <w:rPr>
                <w:rFonts w:cs="Arial"/>
                <w:sz w:val="16"/>
              </w:rPr>
              <w:t>Organisateur(s)</w:t>
            </w:r>
          </w:p>
        </w:tc>
        <w:tc>
          <w:tcPr>
            <w:tcW w:w="1418" w:type="dxa"/>
            <w:shd w:val="clear" w:color="auto" w:fill="auto"/>
            <w:tcMar>
              <w:top w:w="28" w:type="dxa"/>
              <w:left w:w="57" w:type="dxa"/>
              <w:bottom w:w="28" w:type="dxa"/>
              <w:right w:w="57" w:type="dxa"/>
            </w:tcMar>
          </w:tcPr>
          <w:p w:rsidR="0036395D" w:rsidRPr="00EB57D6" w:rsidRDefault="0036395D" w:rsidP="009B2909">
            <w:pPr>
              <w:jc w:val="left"/>
              <w:rPr>
                <w:rFonts w:cs="Arial"/>
                <w:sz w:val="16"/>
              </w:rPr>
            </w:pPr>
            <w:r w:rsidRPr="00EB57D6">
              <w:rPr>
                <w:rFonts w:cs="Arial"/>
                <w:sz w:val="16"/>
              </w:rPr>
              <w:t>But de l’activité</w:t>
            </w:r>
          </w:p>
        </w:tc>
        <w:tc>
          <w:tcPr>
            <w:tcW w:w="2580" w:type="dxa"/>
            <w:shd w:val="clear" w:color="auto" w:fill="auto"/>
            <w:tcMar>
              <w:top w:w="28" w:type="dxa"/>
              <w:left w:w="57" w:type="dxa"/>
              <w:bottom w:w="28" w:type="dxa"/>
              <w:right w:w="57" w:type="dxa"/>
            </w:tcMar>
          </w:tcPr>
          <w:p w:rsidR="0036395D" w:rsidRPr="00EB57D6" w:rsidRDefault="0036395D" w:rsidP="009B2909">
            <w:pPr>
              <w:jc w:val="left"/>
              <w:rPr>
                <w:rFonts w:cs="Arial"/>
                <w:sz w:val="16"/>
              </w:rPr>
            </w:pPr>
            <w:r w:rsidRPr="00EB57D6">
              <w:rPr>
                <w:rFonts w:cs="Arial"/>
                <w:sz w:val="16"/>
              </w:rPr>
              <w:t>Pays/organisations participants (nombre de participants de chacun d’eux)</w:t>
            </w:r>
          </w:p>
        </w:tc>
      </w:tr>
      <w:tr w:rsidR="0036395D" w:rsidRPr="00EB57D6" w:rsidTr="009B2909">
        <w:tc>
          <w:tcPr>
            <w:tcW w:w="1809" w:type="dxa"/>
            <w:shd w:val="clear" w:color="auto" w:fill="auto"/>
            <w:tcMar>
              <w:top w:w="28" w:type="dxa"/>
              <w:left w:w="57" w:type="dxa"/>
              <w:bottom w:w="28" w:type="dxa"/>
              <w:right w:w="57" w:type="dxa"/>
            </w:tcMar>
          </w:tcPr>
          <w:p w:rsidR="0036395D" w:rsidRPr="00EB57D6" w:rsidRDefault="0036395D" w:rsidP="009B2909">
            <w:pPr>
              <w:jc w:val="left"/>
              <w:rPr>
                <w:rFonts w:cs="Arial"/>
                <w:sz w:val="16"/>
              </w:rPr>
            </w:pPr>
            <w:r w:rsidRPr="00EB57D6">
              <w:rPr>
                <w:rFonts w:cs="Arial"/>
                <w:sz w:val="16"/>
              </w:rPr>
              <w:t xml:space="preserve">1. </w:t>
            </w:r>
            <w:r w:rsidRPr="00EB57D6">
              <w:rPr>
                <w:sz w:val="16"/>
              </w:rPr>
              <w:t xml:space="preserve"> </w:t>
            </w:r>
            <w:r w:rsidRPr="00EB57D6">
              <w:rPr>
                <w:rFonts w:cs="Arial"/>
                <w:sz w:val="16"/>
              </w:rPr>
              <w:t xml:space="preserve">Réunion du Conseil d’administration de l’OCVV </w:t>
            </w:r>
          </w:p>
        </w:tc>
        <w:tc>
          <w:tcPr>
            <w:tcW w:w="1447" w:type="dxa"/>
            <w:shd w:val="clear" w:color="auto" w:fill="auto"/>
            <w:tcMar>
              <w:top w:w="28" w:type="dxa"/>
              <w:left w:w="57" w:type="dxa"/>
              <w:bottom w:w="28" w:type="dxa"/>
              <w:right w:w="57" w:type="dxa"/>
            </w:tcMar>
          </w:tcPr>
          <w:p w:rsidR="0036395D" w:rsidRPr="00EB57D6" w:rsidRDefault="0036395D" w:rsidP="009B2909">
            <w:pPr>
              <w:jc w:val="left"/>
              <w:rPr>
                <w:rFonts w:cs="Arial"/>
                <w:sz w:val="16"/>
              </w:rPr>
            </w:pPr>
            <w:r w:rsidRPr="00EB57D6">
              <w:rPr>
                <w:rFonts w:cs="Arial"/>
                <w:sz w:val="16"/>
              </w:rPr>
              <w:t>19 mars 2019</w:t>
            </w:r>
          </w:p>
        </w:tc>
        <w:tc>
          <w:tcPr>
            <w:tcW w:w="1247" w:type="dxa"/>
            <w:shd w:val="clear" w:color="auto" w:fill="auto"/>
            <w:tcMar>
              <w:top w:w="28" w:type="dxa"/>
              <w:left w:w="57" w:type="dxa"/>
              <w:bottom w:w="28" w:type="dxa"/>
              <w:right w:w="57" w:type="dxa"/>
            </w:tcMar>
          </w:tcPr>
          <w:p w:rsidR="0036395D" w:rsidRPr="00EB57D6" w:rsidRDefault="0036395D" w:rsidP="009B2909">
            <w:pPr>
              <w:jc w:val="left"/>
              <w:rPr>
                <w:rFonts w:cs="Arial"/>
                <w:sz w:val="16"/>
              </w:rPr>
            </w:pPr>
            <w:r w:rsidRPr="00EB57D6">
              <w:rPr>
                <w:rFonts w:cs="Arial"/>
                <w:sz w:val="16"/>
              </w:rPr>
              <w:t>Angers (France)</w:t>
            </w:r>
          </w:p>
        </w:tc>
        <w:tc>
          <w:tcPr>
            <w:tcW w:w="1275" w:type="dxa"/>
            <w:shd w:val="clear" w:color="auto" w:fill="auto"/>
            <w:tcMar>
              <w:top w:w="28" w:type="dxa"/>
              <w:left w:w="57" w:type="dxa"/>
              <w:bottom w:w="28" w:type="dxa"/>
              <w:right w:w="57" w:type="dxa"/>
            </w:tcMar>
          </w:tcPr>
          <w:p w:rsidR="0036395D" w:rsidRPr="00EB57D6" w:rsidRDefault="0036395D" w:rsidP="009B2909">
            <w:pPr>
              <w:jc w:val="left"/>
              <w:rPr>
                <w:rFonts w:cs="Arial"/>
                <w:sz w:val="16"/>
              </w:rPr>
            </w:pPr>
            <w:r w:rsidRPr="00EB57D6">
              <w:rPr>
                <w:rFonts w:cs="Arial"/>
                <w:sz w:val="16"/>
              </w:rPr>
              <w:t>OCVV</w:t>
            </w:r>
          </w:p>
        </w:tc>
        <w:tc>
          <w:tcPr>
            <w:tcW w:w="1418" w:type="dxa"/>
            <w:shd w:val="clear" w:color="auto" w:fill="auto"/>
            <w:tcMar>
              <w:top w:w="28" w:type="dxa"/>
              <w:left w:w="57" w:type="dxa"/>
              <w:bottom w:w="28" w:type="dxa"/>
              <w:right w:w="57" w:type="dxa"/>
            </w:tcMar>
          </w:tcPr>
          <w:p w:rsidR="0036395D" w:rsidRPr="00EB57D6" w:rsidRDefault="0036395D" w:rsidP="009B2909">
            <w:pPr>
              <w:jc w:val="left"/>
              <w:rPr>
                <w:rFonts w:cs="Arial"/>
                <w:sz w:val="16"/>
              </w:rPr>
            </w:pPr>
            <w:r w:rsidRPr="00EB57D6">
              <w:rPr>
                <w:rFonts w:cs="Arial"/>
                <w:sz w:val="16"/>
              </w:rPr>
              <w:t>Examiner les principales questions concernant la protection des obtentions végétales</w:t>
            </w:r>
          </w:p>
        </w:tc>
        <w:tc>
          <w:tcPr>
            <w:tcW w:w="2580" w:type="dxa"/>
            <w:shd w:val="clear" w:color="auto" w:fill="auto"/>
            <w:tcMar>
              <w:top w:w="28" w:type="dxa"/>
              <w:left w:w="57" w:type="dxa"/>
              <w:bottom w:w="28" w:type="dxa"/>
              <w:right w:w="57" w:type="dxa"/>
            </w:tcMar>
          </w:tcPr>
          <w:p w:rsidR="0036395D" w:rsidRPr="00EB57D6" w:rsidRDefault="0036395D" w:rsidP="009B2909">
            <w:pPr>
              <w:jc w:val="left"/>
              <w:rPr>
                <w:rFonts w:cs="Arial"/>
                <w:sz w:val="16"/>
              </w:rPr>
            </w:pPr>
            <w:r w:rsidRPr="00EB57D6">
              <w:rPr>
                <w:rFonts w:cs="Arial"/>
                <w:color w:val="000000"/>
                <w:sz w:val="16"/>
              </w:rPr>
              <w:t>Commission européenne, OCVV, UPOV, observateurs et États membres – 43 au total</w:t>
            </w:r>
          </w:p>
          <w:p w:rsidR="0036395D" w:rsidRPr="00EB57D6" w:rsidRDefault="0036395D" w:rsidP="009B2909">
            <w:pPr>
              <w:jc w:val="left"/>
              <w:rPr>
                <w:rFonts w:cs="Arial"/>
                <w:sz w:val="16"/>
              </w:rPr>
            </w:pPr>
          </w:p>
        </w:tc>
      </w:tr>
      <w:tr w:rsidR="0036395D" w:rsidRPr="00EB57D6" w:rsidTr="009B2909">
        <w:trPr>
          <w:trHeight w:val="1656"/>
        </w:trPr>
        <w:tc>
          <w:tcPr>
            <w:tcW w:w="1809" w:type="dxa"/>
            <w:shd w:val="clear" w:color="auto" w:fill="auto"/>
            <w:tcMar>
              <w:top w:w="28" w:type="dxa"/>
              <w:left w:w="57" w:type="dxa"/>
              <w:bottom w:w="28" w:type="dxa"/>
              <w:right w:w="57" w:type="dxa"/>
            </w:tcMar>
          </w:tcPr>
          <w:p w:rsidR="0036395D" w:rsidRPr="00EB57D6" w:rsidRDefault="0036395D" w:rsidP="009B2909">
            <w:pPr>
              <w:jc w:val="left"/>
              <w:rPr>
                <w:rFonts w:cs="Arial"/>
                <w:sz w:val="16"/>
              </w:rPr>
            </w:pPr>
            <w:r w:rsidRPr="00EB57D6">
              <w:rPr>
                <w:rFonts w:cs="Arial"/>
                <w:sz w:val="16"/>
              </w:rPr>
              <w:t xml:space="preserve">2. </w:t>
            </w:r>
            <w:r w:rsidRPr="00EB57D6">
              <w:rPr>
                <w:sz w:val="16"/>
              </w:rPr>
              <w:t xml:space="preserve"> </w:t>
            </w:r>
            <w:r w:rsidRPr="00EB57D6">
              <w:rPr>
                <w:rFonts w:cs="Arial"/>
                <w:sz w:val="16"/>
              </w:rPr>
              <w:t>Réunion du Conseil d’administration de l’OCVV</w:t>
            </w:r>
          </w:p>
        </w:tc>
        <w:tc>
          <w:tcPr>
            <w:tcW w:w="1447" w:type="dxa"/>
            <w:shd w:val="clear" w:color="auto" w:fill="auto"/>
            <w:tcMar>
              <w:top w:w="28" w:type="dxa"/>
              <w:left w:w="57" w:type="dxa"/>
              <w:bottom w:w="28" w:type="dxa"/>
              <w:right w:w="57" w:type="dxa"/>
            </w:tcMar>
          </w:tcPr>
          <w:p w:rsidR="0036395D" w:rsidRPr="00EB57D6" w:rsidRDefault="0036395D" w:rsidP="009B2909">
            <w:pPr>
              <w:jc w:val="left"/>
              <w:rPr>
                <w:rFonts w:cs="Arial"/>
                <w:sz w:val="16"/>
              </w:rPr>
            </w:pPr>
            <w:r w:rsidRPr="00EB57D6">
              <w:rPr>
                <w:rFonts w:cs="Arial"/>
                <w:sz w:val="16"/>
              </w:rPr>
              <w:t>19 septembre 2019</w:t>
            </w:r>
          </w:p>
        </w:tc>
        <w:tc>
          <w:tcPr>
            <w:tcW w:w="1247" w:type="dxa"/>
            <w:shd w:val="clear" w:color="auto" w:fill="auto"/>
            <w:tcMar>
              <w:top w:w="28" w:type="dxa"/>
              <w:left w:w="57" w:type="dxa"/>
              <w:bottom w:w="28" w:type="dxa"/>
              <w:right w:w="57" w:type="dxa"/>
            </w:tcMar>
          </w:tcPr>
          <w:p w:rsidR="0036395D" w:rsidRPr="00EB57D6" w:rsidRDefault="0036395D" w:rsidP="009B2909">
            <w:pPr>
              <w:jc w:val="left"/>
              <w:rPr>
                <w:rFonts w:cs="Arial"/>
                <w:sz w:val="16"/>
              </w:rPr>
            </w:pPr>
            <w:r w:rsidRPr="00EB57D6">
              <w:rPr>
                <w:rFonts w:cs="Arial"/>
                <w:sz w:val="16"/>
              </w:rPr>
              <w:t>Bruxelles (Belgique)</w:t>
            </w:r>
          </w:p>
        </w:tc>
        <w:tc>
          <w:tcPr>
            <w:tcW w:w="1275" w:type="dxa"/>
            <w:shd w:val="clear" w:color="auto" w:fill="auto"/>
            <w:tcMar>
              <w:top w:w="28" w:type="dxa"/>
              <w:left w:w="57" w:type="dxa"/>
              <w:bottom w:w="28" w:type="dxa"/>
              <w:right w:w="57" w:type="dxa"/>
            </w:tcMar>
          </w:tcPr>
          <w:p w:rsidR="0036395D" w:rsidRPr="00EB57D6" w:rsidRDefault="0036395D" w:rsidP="009B2909">
            <w:pPr>
              <w:jc w:val="left"/>
              <w:rPr>
                <w:rFonts w:cs="Arial"/>
                <w:sz w:val="16"/>
              </w:rPr>
            </w:pPr>
            <w:r w:rsidRPr="00EB57D6">
              <w:rPr>
                <w:rFonts w:cs="Arial"/>
                <w:sz w:val="16"/>
              </w:rPr>
              <w:t>OCVV</w:t>
            </w:r>
          </w:p>
        </w:tc>
        <w:tc>
          <w:tcPr>
            <w:tcW w:w="1418" w:type="dxa"/>
            <w:shd w:val="clear" w:color="auto" w:fill="auto"/>
            <w:tcMar>
              <w:top w:w="28" w:type="dxa"/>
              <w:left w:w="57" w:type="dxa"/>
              <w:bottom w:w="28" w:type="dxa"/>
              <w:right w:w="57" w:type="dxa"/>
            </w:tcMar>
          </w:tcPr>
          <w:p w:rsidR="0036395D" w:rsidRPr="00EB57D6" w:rsidRDefault="0036395D" w:rsidP="009B2909">
            <w:pPr>
              <w:jc w:val="left"/>
              <w:rPr>
                <w:rFonts w:cs="Arial"/>
                <w:sz w:val="16"/>
              </w:rPr>
            </w:pPr>
            <w:r w:rsidRPr="00EB57D6">
              <w:rPr>
                <w:rFonts w:cs="Arial"/>
                <w:sz w:val="16"/>
              </w:rPr>
              <w:t>Examiner les principales questions concernant la protection des obtentions végétales</w:t>
            </w:r>
          </w:p>
        </w:tc>
        <w:tc>
          <w:tcPr>
            <w:tcW w:w="2580" w:type="dxa"/>
            <w:shd w:val="clear" w:color="auto" w:fill="auto"/>
            <w:tcMar>
              <w:top w:w="28" w:type="dxa"/>
              <w:left w:w="57" w:type="dxa"/>
              <w:bottom w:w="28" w:type="dxa"/>
              <w:right w:w="57" w:type="dxa"/>
            </w:tcMar>
          </w:tcPr>
          <w:p w:rsidR="0036395D" w:rsidRPr="00EB57D6" w:rsidRDefault="0036395D" w:rsidP="009B2909">
            <w:pPr>
              <w:jc w:val="left"/>
              <w:rPr>
                <w:rFonts w:cs="Arial"/>
                <w:sz w:val="16"/>
              </w:rPr>
            </w:pPr>
            <w:r w:rsidRPr="00EB57D6">
              <w:rPr>
                <w:rFonts w:cs="Arial"/>
                <w:sz w:val="16"/>
              </w:rPr>
              <w:t>Commission européenne, OCVV, UPOV, observateurs et États membres – 47 au total</w:t>
            </w:r>
          </w:p>
        </w:tc>
      </w:tr>
    </w:tbl>
    <w:p w:rsidR="0036395D" w:rsidRPr="00EB57D6" w:rsidRDefault="0036395D" w:rsidP="0036395D">
      <w:pPr>
        <w:rPr>
          <w:rFonts w:cs="Arial"/>
          <w:sz w:val="18"/>
        </w:rPr>
      </w:pPr>
    </w:p>
    <w:p w:rsidR="0036395D" w:rsidRPr="00EB57D6" w:rsidRDefault="0036395D" w:rsidP="0036395D">
      <w:pPr>
        <w:ind w:left="567" w:hanging="567"/>
        <w:rPr>
          <w:rFonts w:cs="Arial"/>
          <w:sz w:val="18"/>
        </w:rPr>
      </w:pPr>
      <w:r w:rsidRPr="00EB57D6">
        <w:rPr>
          <w:rFonts w:cs="Arial"/>
          <w:color w:val="000000"/>
        </w:rPr>
        <w:t>–</w:t>
      </w:r>
      <w:r w:rsidRPr="00EB57D6">
        <w:rPr>
          <w:rFonts w:cs="Arial"/>
          <w:color w:val="000000"/>
        </w:rPr>
        <w:tab/>
      </w:r>
      <w:r w:rsidRPr="00EB57D6">
        <w:rPr>
          <w:rFonts w:cs="Arial"/>
        </w:rPr>
        <w:t xml:space="preserve">Le Bulletin d’information n° 1 (31) sur les droits d’obtenteur et la liste nationale des obtentions végétales du Service des obtentions végétales du Ministère de l’agriculture de la République de Lituanie a été publié le </w:t>
      </w:r>
      <w:r w:rsidRPr="00EB57D6">
        <w:rPr>
          <w:rFonts w:cs="Arial"/>
          <w:color w:val="000000"/>
        </w:rPr>
        <w:t>8 </w:t>
      </w:r>
      <w:r w:rsidRPr="00EB57D6">
        <w:rPr>
          <w:rFonts w:cs="Arial"/>
        </w:rPr>
        <w:t xml:space="preserve">janvier 2019 et le n° 2 (32), le </w:t>
      </w:r>
      <w:r w:rsidRPr="00EB57D6">
        <w:rPr>
          <w:rFonts w:cs="Arial"/>
          <w:color w:val="000000"/>
        </w:rPr>
        <w:t>7 </w:t>
      </w:r>
      <w:r w:rsidRPr="00EB57D6">
        <w:rPr>
          <w:rFonts w:cs="Arial"/>
        </w:rPr>
        <w:t>juin 2019.</w:t>
      </w:r>
    </w:p>
    <w:p w:rsidR="0036395D" w:rsidRPr="00EB57D6" w:rsidRDefault="0036395D" w:rsidP="0036395D">
      <w:pPr>
        <w:rPr>
          <w:sz w:val="18"/>
        </w:rPr>
      </w:pPr>
    </w:p>
    <w:p w:rsidR="0036395D" w:rsidRPr="00EB57D6" w:rsidRDefault="0036395D" w:rsidP="0036395D">
      <w:pPr>
        <w:rPr>
          <w:sz w:val="18"/>
        </w:rPr>
      </w:pPr>
    </w:p>
    <w:p w:rsidR="0036395D" w:rsidRPr="00EB57D6" w:rsidRDefault="0036395D" w:rsidP="0036395D">
      <w:pPr>
        <w:rPr>
          <w:sz w:val="18"/>
        </w:rPr>
      </w:pPr>
    </w:p>
    <w:p w:rsidR="0036395D" w:rsidRPr="00EB57D6" w:rsidRDefault="0036395D" w:rsidP="0036395D">
      <w:pPr>
        <w:rPr>
          <w:sz w:val="18"/>
        </w:rPr>
      </w:pPr>
      <w:r w:rsidRPr="00EB57D6">
        <w:t>II.</w:t>
      </w:r>
      <w:r w:rsidRPr="00EB57D6">
        <w:tab/>
        <w:t>AUTRES ÉLÉMENTS NOUVEAUX PRÉSENTANT UN INTÉRÊT POUR L’UPOV</w:t>
      </w:r>
    </w:p>
    <w:p w:rsidR="0036395D" w:rsidRPr="00EB57D6" w:rsidRDefault="0036395D" w:rsidP="0036395D">
      <w:pPr>
        <w:rPr>
          <w:sz w:val="18"/>
        </w:rPr>
      </w:pPr>
    </w:p>
    <w:p w:rsidR="0036395D" w:rsidRPr="00EB57D6" w:rsidRDefault="0036395D" w:rsidP="0036395D">
      <w:pPr>
        <w:rPr>
          <w:sz w:val="18"/>
        </w:rPr>
      </w:pPr>
    </w:p>
    <w:p w:rsidR="0036395D" w:rsidRPr="00EB57D6" w:rsidRDefault="0036395D" w:rsidP="0036395D">
      <w:pPr>
        <w:ind w:left="567" w:hanging="567"/>
        <w:rPr>
          <w:rFonts w:cs="Arial"/>
          <w:sz w:val="18"/>
        </w:rPr>
      </w:pPr>
      <w:r w:rsidRPr="00EB57D6">
        <w:rPr>
          <w:rFonts w:cs="Arial"/>
          <w:color w:val="000000"/>
        </w:rPr>
        <w:t>–</w:t>
      </w:r>
      <w:r w:rsidRPr="00EB57D6">
        <w:rPr>
          <w:rFonts w:cs="Arial"/>
          <w:color w:val="000000"/>
        </w:rPr>
        <w:tab/>
      </w:r>
      <w:r w:rsidRPr="00EB57D6">
        <w:rPr>
          <w:rFonts w:cs="Arial"/>
        </w:rPr>
        <w:t xml:space="preserve">La liste nationale des variétés végétales 2019 a été approuvée le </w:t>
      </w:r>
      <w:r w:rsidRPr="00EB57D6">
        <w:rPr>
          <w:rFonts w:cs="Arial"/>
          <w:color w:val="000000"/>
        </w:rPr>
        <w:t>27 </w:t>
      </w:r>
      <w:r w:rsidRPr="00EB57D6">
        <w:rPr>
          <w:rFonts w:cs="Arial"/>
        </w:rPr>
        <w:t>février 2019</w:t>
      </w:r>
      <w:r w:rsidRPr="00EB57D6">
        <w:rPr>
          <w:rFonts w:cs="Arial"/>
          <w:color w:val="000000"/>
        </w:rPr>
        <w:t xml:space="preserve"> </w:t>
      </w:r>
      <w:r w:rsidRPr="00EB57D6">
        <w:rPr>
          <w:rFonts w:cs="Arial"/>
        </w:rPr>
        <w:t>par décision n° A1-112 du directeur du Service des obtentions végétales du Ministère de l’agriculture de la République de Lituanie.  Le matériel de reproduction ou de multiplication de chaque variété enregistrée d’espèce végétale peut être certifié conformément aux normes obligatoires établies en application des directives européennes pertinentes.</w:t>
      </w:r>
    </w:p>
    <w:p w:rsidR="0036395D" w:rsidRPr="00EB57D6" w:rsidRDefault="0036395D" w:rsidP="0036395D">
      <w:pPr>
        <w:rPr>
          <w:rFonts w:cs="Arial"/>
          <w:sz w:val="18"/>
        </w:rPr>
      </w:pPr>
    </w:p>
    <w:p w:rsidR="0036395D" w:rsidRPr="00EB57D6" w:rsidRDefault="0036395D" w:rsidP="0036395D">
      <w:pPr>
        <w:rPr>
          <w:rFonts w:cs="Arial"/>
          <w:sz w:val="18"/>
        </w:rPr>
      </w:pPr>
    </w:p>
    <w:p w:rsidR="00845D57" w:rsidRPr="00EB57D6" w:rsidRDefault="00845D57" w:rsidP="00845D57">
      <w:pPr>
        <w:jc w:val="left"/>
      </w:pPr>
    </w:p>
    <w:p w:rsidR="00845D57" w:rsidRPr="00EB57D6" w:rsidRDefault="00845D57" w:rsidP="00845D57">
      <w:pPr>
        <w:jc w:val="right"/>
      </w:pPr>
      <w:r w:rsidRPr="00EB57D6">
        <w:t>[L’annexe X suit]</w:t>
      </w:r>
    </w:p>
    <w:p w:rsidR="00845D57" w:rsidRPr="00EB57D6" w:rsidRDefault="00845D57" w:rsidP="00845D57"/>
    <w:p w:rsidR="00845D57" w:rsidRPr="00EB57D6" w:rsidRDefault="00845D57" w:rsidP="00845D57">
      <w:pPr>
        <w:jc w:val="left"/>
        <w:sectPr w:rsidR="00845D57" w:rsidRPr="00EB57D6" w:rsidSect="009B2909">
          <w:headerReference w:type="default" r:id="rId19"/>
          <w:pgSz w:w="11907" w:h="16840" w:code="9"/>
          <w:pgMar w:top="510" w:right="1134" w:bottom="1134" w:left="1134" w:header="510" w:footer="680" w:gutter="0"/>
          <w:pgNumType w:start="1"/>
          <w:cols w:space="720"/>
          <w:titlePg/>
        </w:sectPr>
      </w:pPr>
    </w:p>
    <w:p w:rsidR="00845D57" w:rsidRPr="00EB57D6" w:rsidRDefault="00845D57" w:rsidP="00845D57">
      <w:pPr>
        <w:jc w:val="center"/>
      </w:pPr>
      <w:r w:rsidRPr="00EB57D6">
        <w:lastRenderedPageBreak/>
        <w:t>C/54/INF/4</w:t>
      </w:r>
    </w:p>
    <w:p w:rsidR="00845D57" w:rsidRPr="00EB57D6" w:rsidRDefault="00845D57" w:rsidP="00845D57">
      <w:pPr>
        <w:jc w:val="center"/>
      </w:pPr>
    </w:p>
    <w:p w:rsidR="00845D57" w:rsidRPr="00EB57D6" w:rsidRDefault="00845D57" w:rsidP="00845D57">
      <w:pPr>
        <w:jc w:val="center"/>
      </w:pPr>
      <w:r w:rsidRPr="00EB57D6">
        <w:t>ANNEXE X</w:t>
      </w:r>
    </w:p>
    <w:p w:rsidR="00845D57" w:rsidRPr="00EB57D6" w:rsidRDefault="00845D57" w:rsidP="00845D57">
      <w:pPr>
        <w:jc w:val="center"/>
      </w:pPr>
    </w:p>
    <w:p w:rsidR="00845D57" w:rsidRPr="00EB57D6" w:rsidRDefault="00845D57" w:rsidP="00845D57">
      <w:pPr>
        <w:jc w:val="center"/>
      </w:pPr>
    </w:p>
    <w:p w:rsidR="003272E7" w:rsidRPr="00EB57D6" w:rsidRDefault="003272E7" w:rsidP="003272E7">
      <w:pPr>
        <w:jc w:val="center"/>
        <w:rPr>
          <w:sz w:val="18"/>
        </w:rPr>
      </w:pPr>
      <w:r w:rsidRPr="00EB57D6">
        <w:t>NOUVELLE-ZÉLANDE</w:t>
      </w:r>
    </w:p>
    <w:p w:rsidR="003272E7" w:rsidRPr="00EB57D6" w:rsidRDefault="003272E7" w:rsidP="003272E7">
      <w:pPr>
        <w:rPr>
          <w:sz w:val="18"/>
        </w:rPr>
      </w:pPr>
    </w:p>
    <w:p w:rsidR="003272E7" w:rsidRPr="00EB57D6" w:rsidRDefault="003272E7" w:rsidP="003272E7">
      <w:pPr>
        <w:rPr>
          <w:sz w:val="18"/>
        </w:rPr>
      </w:pPr>
    </w:p>
    <w:p w:rsidR="003272E7" w:rsidRPr="00EB57D6" w:rsidRDefault="003272E7" w:rsidP="003272E7">
      <w:pPr>
        <w:rPr>
          <w:sz w:val="18"/>
        </w:rPr>
      </w:pPr>
      <w:r w:rsidRPr="00EB57D6">
        <w:t>PROTECTION DES OBTENTIONS VÉGÉTALES</w:t>
      </w:r>
    </w:p>
    <w:p w:rsidR="003272E7" w:rsidRPr="00EB57D6" w:rsidRDefault="003272E7" w:rsidP="003272E7">
      <w:pPr>
        <w:rPr>
          <w:sz w:val="18"/>
        </w:rPr>
      </w:pPr>
    </w:p>
    <w:p w:rsidR="003272E7" w:rsidRPr="00EB57D6" w:rsidRDefault="003272E7" w:rsidP="003272E7">
      <w:pPr>
        <w:rPr>
          <w:sz w:val="18"/>
        </w:rPr>
      </w:pPr>
      <w:r w:rsidRPr="00EB57D6">
        <w:t>1.</w:t>
      </w:r>
      <w:r w:rsidRPr="00EB57D6">
        <w:tab/>
      </w:r>
      <w:r w:rsidRPr="00EB57D6">
        <w:rPr>
          <w:u w:val="single"/>
        </w:rPr>
        <w:t>Situation dans le domaine législatif</w:t>
      </w:r>
    </w:p>
    <w:p w:rsidR="003272E7" w:rsidRPr="00EB57D6" w:rsidRDefault="003272E7" w:rsidP="003272E7">
      <w:pPr>
        <w:rPr>
          <w:sz w:val="18"/>
        </w:rPr>
      </w:pPr>
    </w:p>
    <w:p w:rsidR="003272E7" w:rsidRPr="00EB57D6" w:rsidRDefault="003272E7" w:rsidP="003272E7">
      <w:pPr>
        <w:rPr>
          <w:sz w:val="18"/>
        </w:rPr>
      </w:pPr>
    </w:p>
    <w:p w:rsidR="003272E7" w:rsidRPr="00EB57D6" w:rsidRDefault="003272E7" w:rsidP="003272E7">
      <w:pPr>
        <w:rPr>
          <w:sz w:val="18"/>
        </w:rPr>
      </w:pPr>
      <w:r w:rsidRPr="00EB57D6">
        <w:t>La loi de 1987 sur la protection des obtentions végétales reste en vigueur et est conforme à l’Acte de 1978 de la convention.</w:t>
      </w:r>
    </w:p>
    <w:p w:rsidR="003272E7" w:rsidRPr="00EB57D6" w:rsidRDefault="003272E7" w:rsidP="003272E7">
      <w:pPr>
        <w:rPr>
          <w:sz w:val="18"/>
        </w:rPr>
      </w:pPr>
    </w:p>
    <w:p w:rsidR="003272E7" w:rsidRPr="00EB57D6" w:rsidRDefault="003272E7" w:rsidP="003272E7">
      <w:pPr>
        <w:rPr>
          <w:sz w:val="18"/>
        </w:rPr>
      </w:pPr>
      <w:r w:rsidRPr="00EB57D6">
        <w:t>Le Gouvernement de la Nouvelle-Zélande a poursuivi la révision de la loi de 1987 sur la protection des obtentions végétales.  Le document relatif aux options a été diffusé pour consultation publique en juillet 2019 et a été enrichi par les consultations menées dans le cadre de la phase “Questions” en 2018.  La phase “Options” comprenait une nouvelle consultation avec les entreprises, les Maoris et le public.  En novembre 2019, le Cabinet a accepté de modifier la loi sur la protection des obtentions végétales et un projet de loi a commencé à être rédigé.  L’objectif est de présenter un projet de loi au Parlement d’ici la fin de 2020 et de mettre en place un nouveau régime d’ici la fin de 2021.</w:t>
      </w:r>
    </w:p>
    <w:p w:rsidR="003272E7" w:rsidRPr="00EB57D6" w:rsidRDefault="003272E7" w:rsidP="003272E7">
      <w:pPr>
        <w:rPr>
          <w:sz w:val="18"/>
        </w:rPr>
      </w:pPr>
    </w:p>
    <w:p w:rsidR="003272E7" w:rsidRPr="00EB57D6" w:rsidRDefault="003272E7" w:rsidP="003272E7">
      <w:pPr>
        <w:rPr>
          <w:sz w:val="18"/>
        </w:rPr>
      </w:pPr>
      <w:r w:rsidRPr="00EB57D6">
        <w:t xml:space="preserve">Quelques questions politiques nécessitent encore un examen et une consultation plus approfondis.  Il s’agit notamment des questions de conformité au Traité de </w:t>
      </w:r>
      <w:proofErr w:type="spellStart"/>
      <w:r w:rsidRPr="00EB57D6">
        <w:t>Waitangi</w:t>
      </w:r>
      <w:proofErr w:type="spellEnd"/>
      <w:r w:rsidRPr="00EB57D6">
        <w:t xml:space="preserve"> et de questions opérationnelles concernant le Service de protection des obtentions végétales.  Elles sont en cours d’examen.</w:t>
      </w:r>
    </w:p>
    <w:p w:rsidR="003272E7" w:rsidRPr="00EB57D6" w:rsidRDefault="003272E7" w:rsidP="003272E7">
      <w:pPr>
        <w:rPr>
          <w:sz w:val="18"/>
        </w:rPr>
      </w:pPr>
    </w:p>
    <w:p w:rsidR="003272E7" w:rsidRPr="00EB57D6" w:rsidRDefault="003272E7" w:rsidP="003272E7">
      <w:pPr>
        <w:rPr>
          <w:rStyle w:val="Hyperlink"/>
        </w:rPr>
      </w:pPr>
      <w:r w:rsidRPr="00EB57D6">
        <w:t xml:space="preserve">Des informations détaillées sur l’examen de la loi sur la protection des obtentions végétales sont disponibles à l’adresse </w:t>
      </w:r>
      <w:hyperlink r:id="rId20" w:history="1">
        <w:r w:rsidRPr="00EB57D6">
          <w:rPr>
            <w:rStyle w:val="Hyperlink"/>
          </w:rPr>
          <w:t>https://www.mbie.govt.nz/business-and-employment/business/intellectual-property/plant-variety-rights/plant-variety-rights-act-review/</w:t>
        </w:r>
      </w:hyperlink>
    </w:p>
    <w:p w:rsidR="003272E7" w:rsidRPr="00EB57D6" w:rsidRDefault="003272E7" w:rsidP="003272E7">
      <w:pPr>
        <w:rPr>
          <w:sz w:val="18"/>
        </w:rPr>
      </w:pPr>
    </w:p>
    <w:p w:rsidR="003272E7" w:rsidRPr="00EB57D6" w:rsidRDefault="003272E7" w:rsidP="003272E7">
      <w:pPr>
        <w:rPr>
          <w:sz w:val="18"/>
        </w:rPr>
      </w:pPr>
    </w:p>
    <w:p w:rsidR="003272E7" w:rsidRPr="00EB57D6" w:rsidRDefault="003272E7" w:rsidP="003272E7">
      <w:pPr>
        <w:rPr>
          <w:sz w:val="18"/>
          <w:u w:val="single"/>
        </w:rPr>
      </w:pPr>
      <w:r w:rsidRPr="00EB57D6">
        <w:t>2.</w:t>
      </w:r>
      <w:r w:rsidRPr="00EB57D6">
        <w:tab/>
      </w:r>
      <w:r w:rsidRPr="00EB57D6">
        <w:rPr>
          <w:u w:val="single"/>
        </w:rPr>
        <w:t>Coopération en matière d’examen</w:t>
      </w:r>
    </w:p>
    <w:p w:rsidR="003272E7" w:rsidRPr="00EB57D6" w:rsidRDefault="003272E7" w:rsidP="003272E7">
      <w:pPr>
        <w:rPr>
          <w:sz w:val="18"/>
          <w:u w:val="single"/>
        </w:rPr>
      </w:pPr>
    </w:p>
    <w:p w:rsidR="003272E7" w:rsidRPr="00EB57D6" w:rsidRDefault="003272E7" w:rsidP="003272E7">
      <w:pPr>
        <w:rPr>
          <w:sz w:val="18"/>
        </w:rPr>
      </w:pPr>
      <w:r w:rsidRPr="00EB57D6">
        <w:t>La Nouvelle-Zélande continue de se procurer des rapports d’examen auprès d’États membres, pour certaines espèces et sur demande, conformément aux dispositions générales de la convention.  La Nouvelle-Zélande continue de fournir un rapport d’examen, sur demande d’une autorité et gratuitement.</w:t>
      </w:r>
    </w:p>
    <w:p w:rsidR="003272E7" w:rsidRPr="00EB57D6" w:rsidRDefault="003272E7" w:rsidP="003272E7">
      <w:pPr>
        <w:rPr>
          <w:sz w:val="18"/>
        </w:rPr>
      </w:pPr>
    </w:p>
    <w:p w:rsidR="003272E7" w:rsidRPr="00EB57D6" w:rsidRDefault="003272E7" w:rsidP="003272E7">
      <w:pPr>
        <w:rPr>
          <w:sz w:val="18"/>
        </w:rPr>
      </w:pPr>
    </w:p>
    <w:p w:rsidR="003272E7" w:rsidRPr="00EB57D6" w:rsidRDefault="003272E7" w:rsidP="003272E7">
      <w:pPr>
        <w:rPr>
          <w:sz w:val="18"/>
          <w:u w:val="single"/>
        </w:rPr>
      </w:pPr>
      <w:r w:rsidRPr="00EB57D6">
        <w:t>3.</w:t>
      </w:r>
      <w:r w:rsidRPr="00EB57D6">
        <w:tab/>
      </w:r>
      <w:r w:rsidRPr="00EB57D6">
        <w:rPr>
          <w:u w:val="single"/>
        </w:rPr>
        <w:t>Situation dans le domaine administratif</w:t>
      </w:r>
    </w:p>
    <w:p w:rsidR="003272E7" w:rsidRPr="00EB57D6" w:rsidRDefault="003272E7" w:rsidP="003272E7">
      <w:pPr>
        <w:rPr>
          <w:b/>
          <w:sz w:val="18"/>
        </w:rPr>
      </w:pPr>
    </w:p>
    <w:p w:rsidR="003272E7" w:rsidRPr="00EB57D6" w:rsidRDefault="003272E7" w:rsidP="003272E7">
      <w:pPr>
        <w:rPr>
          <w:sz w:val="18"/>
        </w:rPr>
      </w:pPr>
      <w:r w:rsidRPr="00EB57D6">
        <w:t>Durant l’exercice financier clos au 30 juin 2020, 87 demandes de droits d’obtenteur ont été acceptées (22% de moins que l’année précédente), 98 titres ont été délivrés (12% de plus que l’année précédente) et 100 titres ont expiré (24% de plus que l’année précédente).  Au 30 juin 2020, 1286 titres étaient en vigueur (moins que l’année précédente).  Le nombre de demandes est relativement stable, mais la légère tendance à la baisse se poursuit.</w:t>
      </w:r>
    </w:p>
    <w:p w:rsidR="003272E7" w:rsidRPr="00EB57D6" w:rsidRDefault="003272E7" w:rsidP="003272E7">
      <w:pPr>
        <w:rPr>
          <w:sz w:val="18"/>
        </w:rPr>
      </w:pPr>
    </w:p>
    <w:p w:rsidR="003272E7" w:rsidRPr="00EB57D6" w:rsidRDefault="003272E7" w:rsidP="003272E7">
      <w:pPr>
        <w:rPr>
          <w:sz w:val="18"/>
        </w:rPr>
      </w:pPr>
      <w:r w:rsidRPr="00EB57D6">
        <w:t>Parallèlement à l’examen de la loi de 1987 sur la protection des obtentions végétales, un vaste examen des activités opérationnelles et des fonctions du Service a été réalisé.  Les résultats de l’examen ont conduit à des propositions de modification de la législation nationale et nécessiteront l’élaboration de futurs règlements.  Les éléments qui n’ont pas de lien direct avec la législation ont été consignés et donneront lieu à des modifications des pratiques internes du Service.</w:t>
      </w:r>
    </w:p>
    <w:p w:rsidR="003272E7" w:rsidRPr="00EB57D6" w:rsidRDefault="003272E7" w:rsidP="003272E7">
      <w:pPr>
        <w:rPr>
          <w:sz w:val="18"/>
        </w:rPr>
      </w:pPr>
    </w:p>
    <w:p w:rsidR="003272E7" w:rsidRPr="00EB57D6" w:rsidRDefault="003272E7" w:rsidP="003272E7">
      <w:pPr>
        <w:rPr>
          <w:sz w:val="18"/>
        </w:rPr>
      </w:pPr>
      <w:r w:rsidRPr="00EB57D6">
        <w:t>Durant les travaux d’examen, il a été reconnu qu’une mise à jour de la base de données nationale sur la protection des obtentions végétales était nécessaire concernant plusieurs dénominations d’espèces ornementales et les codes UPOV correspondants.  La révision de la nomenclature botanique et la modification fréquente des codes UPOV correspondants constituent un exercice continu en ce qui concerne les plantes ornementales en raison du très grand nombre de genres et d’espèces couverts.  Un projet est en cours d’élaboration pour améliorer la gestion de la base de données et permettre un suivi plus efficace des modifications sur le plan botanique et des processus de mise à jour.</w:t>
      </w:r>
    </w:p>
    <w:p w:rsidR="003272E7" w:rsidRPr="00EB57D6" w:rsidRDefault="003272E7" w:rsidP="003272E7">
      <w:pPr>
        <w:rPr>
          <w:sz w:val="18"/>
        </w:rPr>
      </w:pPr>
    </w:p>
    <w:p w:rsidR="003272E7" w:rsidRPr="00EB57D6" w:rsidRDefault="003272E7" w:rsidP="003272E7">
      <w:pPr>
        <w:jc w:val="left"/>
        <w:rPr>
          <w:sz w:val="18"/>
        </w:rPr>
      </w:pPr>
      <w:r w:rsidRPr="00EB57D6">
        <w:rPr>
          <w:sz w:val="18"/>
        </w:rPr>
        <w:br w:type="page"/>
      </w:r>
    </w:p>
    <w:p w:rsidR="003272E7" w:rsidRPr="00EB57D6" w:rsidRDefault="003272E7" w:rsidP="003272E7">
      <w:pPr>
        <w:rPr>
          <w:sz w:val="18"/>
        </w:rPr>
      </w:pPr>
      <w:r w:rsidRPr="00EB57D6">
        <w:lastRenderedPageBreak/>
        <w:t>4.</w:t>
      </w:r>
      <w:r w:rsidRPr="00EB57D6">
        <w:tab/>
      </w:r>
      <w:r w:rsidRPr="00EB57D6">
        <w:rPr>
          <w:u w:val="single"/>
        </w:rPr>
        <w:t>Situation dans le domaine technique</w:t>
      </w:r>
    </w:p>
    <w:p w:rsidR="003272E7" w:rsidRPr="00EB57D6" w:rsidRDefault="003272E7" w:rsidP="003272E7">
      <w:pPr>
        <w:rPr>
          <w:sz w:val="18"/>
        </w:rPr>
      </w:pPr>
    </w:p>
    <w:p w:rsidR="003272E7" w:rsidRPr="00EB57D6" w:rsidRDefault="003272E7" w:rsidP="003272E7">
      <w:pPr>
        <w:rPr>
          <w:sz w:val="18"/>
        </w:rPr>
      </w:pPr>
      <w:r w:rsidRPr="00EB57D6">
        <w:t>Les restrictions nationales dues à la pandémie mondiale ont engendré des difficultés pour les travaux techniques à l’automne 2020.  L’automne est la période habituelle pour l’achèvement des essais concernant la pomme de terre et certaines espèces fruitières, ainsi que pour la plantation et la mise en place des essais concernant certaines espèces agricoles.  Heureusement, ces activités ont finalement pu se poursuivre, avec succès, sans conséquence notable.  La crise a entraîné des retards dans le calendrier des examens et les décisions relatives aux droits seront prises plus tard que d’habitude au cours de l’année 2020.</w:t>
      </w:r>
    </w:p>
    <w:p w:rsidR="003272E7" w:rsidRPr="00EB57D6" w:rsidRDefault="003272E7" w:rsidP="003272E7">
      <w:pPr>
        <w:rPr>
          <w:sz w:val="18"/>
        </w:rPr>
      </w:pPr>
    </w:p>
    <w:p w:rsidR="003272E7" w:rsidRPr="00EB57D6" w:rsidRDefault="003272E7" w:rsidP="003272E7">
      <w:pPr>
        <w:rPr>
          <w:sz w:val="18"/>
        </w:rPr>
      </w:pPr>
      <w:r w:rsidRPr="00EB57D6">
        <w:t>Un système de gestion de la qualité pour l’examen DHS a été mis en place.  L’Office de la propriété intellectuelle de la Nouvelle-Zélande est certifié ISO 9001 :2018;  il dispose d’un système global de gestion de la qualité en matière d’examen mais il n’existe pas de système spécifique pour l’examen DHS.  Des conseils ont été donnés par d’autres services expérimentés et un modèle a été élaboré pour la Nouvelle-Zélande.  La première vérification a été effectuée avec succès pour les pommiers, les pêchers et les pruniers à la fin de l’année 2019.</w:t>
      </w:r>
    </w:p>
    <w:p w:rsidR="003272E7" w:rsidRPr="00EB57D6" w:rsidRDefault="003272E7" w:rsidP="003272E7">
      <w:pPr>
        <w:rPr>
          <w:sz w:val="18"/>
        </w:rPr>
      </w:pPr>
    </w:p>
    <w:p w:rsidR="003272E7" w:rsidRPr="00EB57D6" w:rsidRDefault="003272E7" w:rsidP="003272E7">
      <w:pPr>
        <w:rPr>
          <w:sz w:val="18"/>
        </w:rPr>
      </w:pPr>
    </w:p>
    <w:p w:rsidR="003272E7" w:rsidRPr="00EB57D6" w:rsidRDefault="003272E7" w:rsidP="003272E7">
      <w:pPr>
        <w:rPr>
          <w:sz w:val="18"/>
          <w:u w:val="single"/>
        </w:rPr>
      </w:pPr>
      <w:r w:rsidRPr="00EB57D6">
        <w:t>5.</w:t>
      </w:r>
      <w:r w:rsidRPr="00EB57D6">
        <w:tab/>
      </w:r>
      <w:r w:rsidRPr="00EB57D6">
        <w:rPr>
          <w:u w:val="single"/>
        </w:rPr>
        <w:t>Activités de promotion de la protection des obtentions végétales</w:t>
      </w:r>
    </w:p>
    <w:p w:rsidR="003272E7" w:rsidRPr="00EB57D6" w:rsidRDefault="003272E7" w:rsidP="003272E7"/>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993"/>
        <w:gridCol w:w="992"/>
        <w:gridCol w:w="1276"/>
        <w:gridCol w:w="1417"/>
        <w:gridCol w:w="2126"/>
        <w:gridCol w:w="1730"/>
      </w:tblGrid>
      <w:tr w:rsidR="003272E7" w:rsidRPr="00EB57D6" w:rsidTr="003272E7">
        <w:tc>
          <w:tcPr>
            <w:tcW w:w="1242" w:type="dxa"/>
            <w:shd w:val="clear" w:color="auto" w:fill="auto"/>
            <w:tcMar>
              <w:top w:w="28" w:type="dxa"/>
              <w:left w:w="57" w:type="dxa"/>
              <w:bottom w:w="28" w:type="dxa"/>
              <w:right w:w="57" w:type="dxa"/>
            </w:tcMar>
          </w:tcPr>
          <w:p w:rsidR="003272E7" w:rsidRPr="00EB57D6" w:rsidRDefault="003272E7" w:rsidP="009B2909">
            <w:pPr>
              <w:jc w:val="left"/>
              <w:rPr>
                <w:rFonts w:cs="Mangal"/>
                <w:sz w:val="16"/>
                <w:szCs w:val="26"/>
                <w:lang w:bidi="ne-NP"/>
              </w:rPr>
            </w:pPr>
            <w:r w:rsidRPr="00EB57D6">
              <w:rPr>
                <w:rFonts w:cs="Mangal"/>
                <w:sz w:val="16"/>
                <w:szCs w:val="26"/>
                <w:lang w:bidi="ne-NP"/>
              </w:rPr>
              <w:t>Intitulé de l’activité</w:t>
            </w:r>
          </w:p>
        </w:tc>
        <w:tc>
          <w:tcPr>
            <w:tcW w:w="993" w:type="dxa"/>
            <w:shd w:val="clear" w:color="auto" w:fill="auto"/>
            <w:tcMar>
              <w:top w:w="28" w:type="dxa"/>
              <w:left w:w="57" w:type="dxa"/>
              <w:bottom w:w="28" w:type="dxa"/>
              <w:right w:w="57" w:type="dxa"/>
            </w:tcMar>
          </w:tcPr>
          <w:p w:rsidR="003272E7" w:rsidRPr="00EB57D6" w:rsidRDefault="003272E7" w:rsidP="009B2909">
            <w:pPr>
              <w:jc w:val="left"/>
              <w:rPr>
                <w:rFonts w:cs="Mangal"/>
                <w:sz w:val="16"/>
                <w:szCs w:val="26"/>
                <w:lang w:bidi="ne-NP"/>
              </w:rPr>
            </w:pPr>
            <w:r w:rsidRPr="00EB57D6">
              <w:rPr>
                <w:rFonts w:cs="Mangal"/>
                <w:sz w:val="16"/>
                <w:szCs w:val="26"/>
                <w:lang w:bidi="ne-NP"/>
              </w:rPr>
              <w:t>Date</w:t>
            </w:r>
          </w:p>
        </w:tc>
        <w:tc>
          <w:tcPr>
            <w:tcW w:w="992" w:type="dxa"/>
            <w:shd w:val="clear" w:color="auto" w:fill="auto"/>
            <w:tcMar>
              <w:top w:w="28" w:type="dxa"/>
              <w:left w:w="57" w:type="dxa"/>
              <w:bottom w:w="28" w:type="dxa"/>
              <w:right w:w="57" w:type="dxa"/>
            </w:tcMar>
          </w:tcPr>
          <w:p w:rsidR="003272E7" w:rsidRPr="00EB57D6" w:rsidRDefault="003272E7" w:rsidP="009B2909">
            <w:pPr>
              <w:jc w:val="left"/>
              <w:rPr>
                <w:rFonts w:cs="Mangal"/>
                <w:sz w:val="16"/>
                <w:szCs w:val="26"/>
                <w:lang w:bidi="ne-NP"/>
              </w:rPr>
            </w:pPr>
            <w:r w:rsidRPr="00EB57D6">
              <w:rPr>
                <w:rFonts w:cs="Mangal"/>
                <w:sz w:val="16"/>
                <w:szCs w:val="26"/>
                <w:lang w:bidi="ne-NP"/>
              </w:rPr>
              <w:t>Lieu</w:t>
            </w:r>
          </w:p>
        </w:tc>
        <w:tc>
          <w:tcPr>
            <w:tcW w:w="1276" w:type="dxa"/>
            <w:shd w:val="clear" w:color="auto" w:fill="auto"/>
            <w:tcMar>
              <w:top w:w="28" w:type="dxa"/>
              <w:left w:w="57" w:type="dxa"/>
              <w:bottom w:w="28" w:type="dxa"/>
              <w:right w:w="57" w:type="dxa"/>
            </w:tcMar>
          </w:tcPr>
          <w:p w:rsidR="003272E7" w:rsidRPr="00EB57D6" w:rsidRDefault="003272E7" w:rsidP="009B2909">
            <w:pPr>
              <w:jc w:val="left"/>
              <w:rPr>
                <w:rFonts w:cs="Mangal"/>
                <w:sz w:val="16"/>
                <w:szCs w:val="26"/>
                <w:lang w:bidi="ne-NP"/>
              </w:rPr>
            </w:pPr>
            <w:r w:rsidRPr="00EB57D6">
              <w:rPr>
                <w:rFonts w:cs="Mangal"/>
                <w:sz w:val="16"/>
                <w:szCs w:val="26"/>
                <w:lang w:bidi="ne-NP"/>
              </w:rPr>
              <w:t>Organisateur(s)</w:t>
            </w:r>
          </w:p>
        </w:tc>
        <w:tc>
          <w:tcPr>
            <w:tcW w:w="1417" w:type="dxa"/>
            <w:shd w:val="clear" w:color="auto" w:fill="auto"/>
            <w:tcMar>
              <w:top w:w="28" w:type="dxa"/>
              <w:left w:w="57" w:type="dxa"/>
              <w:bottom w:w="28" w:type="dxa"/>
              <w:right w:w="57" w:type="dxa"/>
            </w:tcMar>
          </w:tcPr>
          <w:p w:rsidR="003272E7" w:rsidRPr="00EB57D6" w:rsidRDefault="003272E7" w:rsidP="009B2909">
            <w:pPr>
              <w:jc w:val="left"/>
              <w:rPr>
                <w:rFonts w:cs="Mangal"/>
                <w:sz w:val="16"/>
                <w:szCs w:val="26"/>
                <w:lang w:bidi="ne-NP"/>
              </w:rPr>
            </w:pPr>
            <w:r w:rsidRPr="00EB57D6">
              <w:rPr>
                <w:rFonts w:cs="Mangal"/>
                <w:sz w:val="16"/>
                <w:szCs w:val="26"/>
                <w:lang w:bidi="ne-NP"/>
              </w:rPr>
              <w:t>But de l’activité</w:t>
            </w:r>
          </w:p>
        </w:tc>
        <w:tc>
          <w:tcPr>
            <w:tcW w:w="2126" w:type="dxa"/>
            <w:shd w:val="clear" w:color="auto" w:fill="auto"/>
            <w:tcMar>
              <w:top w:w="28" w:type="dxa"/>
              <w:left w:w="57" w:type="dxa"/>
              <w:bottom w:w="28" w:type="dxa"/>
              <w:right w:w="57" w:type="dxa"/>
            </w:tcMar>
          </w:tcPr>
          <w:p w:rsidR="003272E7" w:rsidRPr="00EB57D6" w:rsidRDefault="003272E7" w:rsidP="009B2909">
            <w:pPr>
              <w:jc w:val="left"/>
              <w:rPr>
                <w:rFonts w:cs="Mangal"/>
                <w:sz w:val="16"/>
                <w:szCs w:val="26"/>
                <w:lang w:bidi="ne-NP"/>
              </w:rPr>
            </w:pPr>
            <w:r w:rsidRPr="00EB57D6">
              <w:rPr>
                <w:rFonts w:cs="Mangal"/>
                <w:sz w:val="16"/>
                <w:szCs w:val="26"/>
                <w:lang w:bidi="ne-NP"/>
              </w:rPr>
              <w:t>Pays/organisations participants (nombre de participants de chacun d’eux)</w:t>
            </w:r>
          </w:p>
        </w:tc>
        <w:tc>
          <w:tcPr>
            <w:tcW w:w="1730" w:type="dxa"/>
            <w:shd w:val="clear" w:color="auto" w:fill="auto"/>
            <w:tcMar>
              <w:top w:w="28" w:type="dxa"/>
              <w:left w:w="57" w:type="dxa"/>
              <w:bottom w:w="28" w:type="dxa"/>
              <w:right w:w="57" w:type="dxa"/>
            </w:tcMar>
          </w:tcPr>
          <w:p w:rsidR="003272E7" w:rsidRPr="00EB57D6" w:rsidRDefault="003272E7" w:rsidP="009B2909">
            <w:pPr>
              <w:jc w:val="left"/>
              <w:rPr>
                <w:rFonts w:cs="Mangal"/>
                <w:sz w:val="16"/>
                <w:szCs w:val="26"/>
                <w:lang w:bidi="ne-NP"/>
              </w:rPr>
            </w:pPr>
            <w:r w:rsidRPr="00EB57D6">
              <w:rPr>
                <w:rFonts w:cs="Mangal"/>
                <w:sz w:val="16"/>
                <w:szCs w:val="26"/>
                <w:lang w:bidi="ne-NP"/>
              </w:rPr>
              <w:t>Commentaires</w:t>
            </w:r>
          </w:p>
        </w:tc>
      </w:tr>
      <w:tr w:rsidR="003272E7" w:rsidRPr="00EB57D6" w:rsidTr="003272E7">
        <w:tc>
          <w:tcPr>
            <w:tcW w:w="1242" w:type="dxa"/>
            <w:shd w:val="clear" w:color="auto" w:fill="auto"/>
            <w:tcMar>
              <w:top w:w="28" w:type="dxa"/>
              <w:left w:w="57" w:type="dxa"/>
              <w:bottom w:w="28" w:type="dxa"/>
              <w:right w:w="57" w:type="dxa"/>
            </w:tcMar>
          </w:tcPr>
          <w:p w:rsidR="003272E7" w:rsidRPr="00EB57D6" w:rsidRDefault="003272E7" w:rsidP="00FA5C1B">
            <w:pPr>
              <w:jc w:val="left"/>
            </w:pPr>
            <w:r w:rsidRPr="00EB57D6">
              <w:rPr>
                <w:sz w:val="16"/>
              </w:rPr>
              <w:t xml:space="preserve">Série de la CIOPORA </w:t>
            </w:r>
            <w:proofErr w:type="spellStart"/>
            <w:r w:rsidRPr="00EB57D6">
              <w:rPr>
                <w:sz w:val="16"/>
              </w:rPr>
              <w:t>Academy</w:t>
            </w:r>
            <w:proofErr w:type="spellEnd"/>
          </w:p>
        </w:tc>
        <w:tc>
          <w:tcPr>
            <w:tcW w:w="993" w:type="dxa"/>
            <w:shd w:val="clear" w:color="auto" w:fill="auto"/>
            <w:tcMar>
              <w:top w:w="28" w:type="dxa"/>
              <w:left w:w="57" w:type="dxa"/>
              <w:bottom w:w="28" w:type="dxa"/>
              <w:right w:w="57" w:type="dxa"/>
            </w:tcMar>
          </w:tcPr>
          <w:p w:rsidR="003272E7" w:rsidRPr="00EB57D6" w:rsidRDefault="003272E7" w:rsidP="009B2909">
            <w:pPr>
              <w:jc w:val="left"/>
              <w:rPr>
                <w:rFonts w:cs="Mangal"/>
                <w:sz w:val="16"/>
                <w:szCs w:val="26"/>
                <w:lang w:bidi="ne-NP"/>
              </w:rPr>
            </w:pPr>
            <w:r w:rsidRPr="00EB57D6">
              <w:rPr>
                <w:rFonts w:cs="Mangal"/>
                <w:sz w:val="16"/>
                <w:szCs w:val="26"/>
                <w:lang w:bidi="ne-NP"/>
              </w:rPr>
              <w:t>Septembre 2020</w:t>
            </w:r>
          </w:p>
        </w:tc>
        <w:tc>
          <w:tcPr>
            <w:tcW w:w="992" w:type="dxa"/>
            <w:shd w:val="clear" w:color="auto" w:fill="auto"/>
            <w:tcMar>
              <w:top w:w="28" w:type="dxa"/>
              <w:left w:w="57" w:type="dxa"/>
              <w:bottom w:w="28" w:type="dxa"/>
              <w:right w:w="57" w:type="dxa"/>
            </w:tcMar>
          </w:tcPr>
          <w:p w:rsidR="003272E7" w:rsidRPr="00EB57D6" w:rsidRDefault="003272E7" w:rsidP="009B2909">
            <w:pPr>
              <w:jc w:val="left"/>
              <w:rPr>
                <w:rFonts w:cs="Mangal"/>
                <w:sz w:val="16"/>
                <w:szCs w:val="26"/>
                <w:lang w:bidi="ne-NP"/>
              </w:rPr>
            </w:pPr>
            <w:r w:rsidRPr="00EB57D6">
              <w:rPr>
                <w:rFonts w:cs="Mangal"/>
                <w:sz w:val="16"/>
                <w:szCs w:val="26"/>
                <w:lang w:bidi="ne-NP"/>
              </w:rPr>
              <w:t>Webinaire</w:t>
            </w:r>
          </w:p>
        </w:tc>
        <w:tc>
          <w:tcPr>
            <w:tcW w:w="1276" w:type="dxa"/>
            <w:shd w:val="clear" w:color="auto" w:fill="auto"/>
            <w:tcMar>
              <w:top w:w="28" w:type="dxa"/>
              <w:left w:w="57" w:type="dxa"/>
              <w:bottom w:w="28" w:type="dxa"/>
              <w:right w:w="57" w:type="dxa"/>
            </w:tcMar>
          </w:tcPr>
          <w:p w:rsidR="003272E7" w:rsidRPr="00EB57D6" w:rsidRDefault="003272E7" w:rsidP="009B2909">
            <w:pPr>
              <w:jc w:val="left"/>
              <w:rPr>
                <w:rFonts w:cs="Mangal"/>
                <w:sz w:val="16"/>
                <w:szCs w:val="26"/>
                <w:lang w:bidi="ne-NP"/>
              </w:rPr>
            </w:pPr>
            <w:r w:rsidRPr="00EB57D6">
              <w:rPr>
                <w:rFonts w:cs="Mangal"/>
                <w:sz w:val="16"/>
                <w:szCs w:val="26"/>
                <w:lang w:bidi="ne-NP"/>
              </w:rPr>
              <w:t>CIOPORA</w:t>
            </w:r>
          </w:p>
        </w:tc>
        <w:tc>
          <w:tcPr>
            <w:tcW w:w="1417" w:type="dxa"/>
            <w:shd w:val="clear" w:color="auto" w:fill="auto"/>
            <w:tcMar>
              <w:top w:w="28" w:type="dxa"/>
              <w:left w:w="57" w:type="dxa"/>
              <w:bottom w:w="28" w:type="dxa"/>
              <w:right w:w="57" w:type="dxa"/>
            </w:tcMar>
          </w:tcPr>
          <w:p w:rsidR="003272E7" w:rsidRPr="00EB57D6" w:rsidRDefault="003272E7" w:rsidP="009B2909">
            <w:pPr>
              <w:jc w:val="left"/>
              <w:rPr>
                <w:rFonts w:cs="Mangal"/>
                <w:sz w:val="16"/>
                <w:szCs w:val="26"/>
                <w:lang w:bidi="ne-NP"/>
              </w:rPr>
            </w:pPr>
            <w:r w:rsidRPr="00EB57D6">
              <w:rPr>
                <w:rFonts w:cs="Mangal"/>
                <w:sz w:val="16"/>
                <w:szCs w:val="26"/>
                <w:lang w:bidi="ne-NP"/>
              </w:rPr>
              <w:t>Formation et information</w:t>
            </w:r>
          </w:p>
        </w:tc>
        <w:tc>
          <w:tcPr>
            <w:tcW w:w="2126" w:type="dxa"/>
            <w:shd w:val="clear" w:color="auto" w:fill="auto"/>
            <w:tcMar>
              <w:top w:w="28" w:type="dxa"/>
              <w:left w:w="57" w:type="dxa"/>
              <w:bottom w:w="28" w:type="dxa"/>
              <w:right w:w="57" w:type="dxa"/>
            </w:tcMar>
          </w:tcPr>
          <w:p w:rsidR="003272E7" w:rsidRPr="00EB57D6" w:rsidRDefault="003272E7" w:rsidP="009B2909">
            <w:pPr>
              <w:jc w:val="left"/>
              <w:rPr>
                <w:rFonts w:cs="Mangal"/>
                <w:sz w:val="16"/>
                <w:szCs w:val="26"/>
                <w:lang w:bidi="ne-NP"/>
              </w:rPr>
            </w:pPr>
            <w:r w:rsidRPr="00EB57D6">
              <w:rPr>
                <w:rFonts w:cs="Mangal"/>
                <w:sz w:val="16"/>
                <w:szCs w:val="26"/>
                <w:lang w:bidi="ne-NP"/>
              </w:rPr>
              <w:t xml:space="preserve">CIOPORA </w:t>
            </w:r>
          </w:p>
        </w:tc>
        <w:tc>
          <w:tcPr>
            <w:tcW w:w="1730" w:type="dxa"/>
            <w:shd w:val="clear" w:color="auto" w:fill="auto"/>
            <w:tcMar>
              <w:top w:w="28" w:type="dxa"/>
              <w:left w:w="57" w:type="dxa"/>
              <w:bottom w:w="28" w:type="dxa"/>
              <w:right w:w="57" w:type="dxa"/>
            </w:tcMar>
          </w:tcPr>
          <w:p w:rsidR="003272E7" w:rsidRPr="00EB57D6" w:rsidRDefault="003272E7" w:rsidP="009B2909">
            <w:pPr>
              <w:jc w:val="left"/>
              <w:rPr>
                <w:rFonts w:cs="Mangal"/>
                <w:sz w:val="16"/>
                <w:szCs w:val="26"/>
                <w:lang w:bidi="ne-NP"/>
              </w:rPr>
            </w:pPr>
            <w:r w:rsidRPr="00EB57D6">
              <w:rPr>
                <w:rFonts w:cs="Mangal"/>
                <w:sz w:val="16"/>
                <w:szCs w:val="26"/>
                <w:lang w:bidi="ne-NP"/>
              </w:rPr>
              <w:t>UPOV, Pays-Bas, Nouvelle-Zélande : un conférencier chacun</w:t>
            </w:r>
          </w:p>
        </w:tc>
      </w:tr>
    </w:tbl>
    <w:p w:rsidR="003272E7" w:rsidRPr="00EB57D6" w:rsidRDefault="003272E7" w:rsidP="003272E7">
      <w:pPr>
        <w:rPr>
          <w:rFonts w:cs="Mangal"/>
          <w:sz w:val="18"/>
          <w:lang w:bidi="ne-NP"/>
        </w:rPr>
      </w:pPr>
    </w:p>
    <w:p w:rsidR="003272E7" w:rsidRPr="00EB57D6" w:rsidRDefault="003272E7" w:rsidP="003272E7">
      <w:pPr>
        <w:rPr>
          <w:rFonts w:cs="Mangal"/>
          <w:sz w:val="18"/>
          <w:lang w:bidi="ne-NP"/>
        </w:rPr>
      </w:pPr>
    </w:p>
    <w:p w:rsidR="00845D57" w:rsidRPr="00EB57D6" w:rsidRDefault="00845D57" w:rsidP="00845D57">
      <w:pPr>
        <w:jc w:val="left"/>
      </w:pPr>
    </w:p>
    <w:p w:rsidR="00845D57" w:rsidRPr="00EB57D6" w:rsidRDefault="00845D57" w:rsidP="00845D57">
      <w:pPr>
        <w:jc w:val="right"/>
      </w:pPr>
      <w:r w:rsidRPr="00EB57D6">
        <w:t>[L’annexe XI suit]</w:t>
      </w:r>
    </w:p>
    <w:p w:rsidR="00845D57" w:rsidRPr="00EB57D6" w:rsidRDefault="00845D57" w:rsidP="00845D57"/>
    <w:p w:rsidR="00845D57" w:rsidRPr="00EB57D6" w:rsidRDefault="00845D57" w:rsidP="00845D57">
      <w:pPr>
        <w:jc w:val="left"/>
        <w:sectPr w:rsidR="00845D57" w:rsidRPr="00EB57D6" w:rsidSect="009B2909">
          <w:headerReference w:type="default" r:id="rId21"/>
          <w:pgSz w:w="11907" w:h="16840" w:code="9"/>
          <w:pgMar w:top="510" w:right="1134" w:bottom="1134" w:left="1134" w:header="510" w:footer="680" w:gutter="0"/>
          <w:pgNumType w:start="1"/>
          <w:cols w:space="720"/>
          <w:titlePg/>
        </w:sectPr>
      </w:pPr>
    </w:p>
    <w:p w:rsidR="00845D57" w:rsidRPr="00EB57D6" w:rsidRDefault="00845D57" w:rsidP="00845D57">
      <w:pPr>
        <w:jc w:val="center"/>
      </w:pPr>
      <w:r w:rsidRPr="00EB57D6">
        <w:lastRenderedPageBreak/>
        <w:t>C/54/INF/4</w:t>
      </w:r>
    </w:p>
    <w:p w:rsidR="00845D57" w:rsidRPr="00EB57D6" w:rsidRDefault="00845D57" w:rsidP="00845D57">
      <w:pPr>
        <w:jc w:val="center"/>
      </w:pPr>
    </w:p>
    <w:p w:rsidR="00845D57" w:rsidRPr="00EB57D6" w:rsidRDefault="00845D57" w:rsidP="00845D57">
      <w:pPr>
        <w:jc w:val="center"/>
      </w:pPr>
      <w:r w:rsidRPr="00EB57D6">
        <w:t>ANNEXE XI</w:t>
      </w:r>
    </w:p>
    <w:p w:rsidR="00845D57" w:rsidRPr="00EB57D6" w:rsidRDefault="00845D57" w:rsidP="00845D57">
      <w:pPr>
        <w:jc w:val="center"/>
      </w:pPr>
    </w:p>
    <w:p w:rsidR="00845D57" w:rsidRPr="00EB57D6" w:rsidRDefault="00845D57" w:rsidP="00845D57">
      <w:pPr>
        <w:jc w:val="center"/>
      </w:pPr>
    </w:p>
    <w:p w:rsidR="009B2909" w:rsidRPr="00EB57D6" w:rsidRDefault="009B2909" w:rsidP="009B2909">
      <w:pPr>
        <w:jc w:val="center"/>
        <w:rPr>
          <w:sz w:val="18"/>
        </w:rPr>
      </w:pPr>
      <w:r w:rsidRPr="00EB57D6">
        <w:t>POLOGNE</w:t>
      </w:r>
    </w:p>
    <w:p w:rsidR="009B2909" w:rsidRPr="00EB57D6" w:rsidRDefault="009B2909" w:rsidP="009B2909">
      <w:pPr>
        <w:tabs>
          <w:tab w:val="left" w:pos="4962"/>
        </w:tabs>
        <w:jc w:val="center"/>
        <w:rPr>
          <w:rFonts w:cs="Arial"/>
          <w:sz w:val="18"/>
        </w:rPr>
      </w:pPr>
      <w:r w:rsidRPr="00EB57D6">
        <w:rPr>
          <w:rFonts w:cs="Arial"/>
        </w:rPr>
        <w:t>Période : 1</w:t>
      </w:r>
      <w:r w:rsidRPr="00EB57D6">
        <w:rPr>
          <w:rFonts w:cs="Arial"/>
          <w:vertAlign w:val="superscript"/>
        </w:rPr>
        <w:t>er</w:t>
      </w:r>
      <w:r w:rsidRPr="00EB57D6">
        <w:rPr>
          <w:rFonts w:cs="Arial"/>
        </w:rPr>
        <w:t> septembre 2019 – 31 août 2020</w:t>
      </w:r>
    </w:p>
    <w:p w:rsidR="009B2909" w:rsidRPr="00EB57D6" w:rsidRDefault="009B2909" w:rsidP="009B2909">
      <w:pPr>
        <w:tabs>
          <w:tab w:val="left" w:pos="4962"/>
        </w:tabs>
        <w:jc w:val="center"/>
        <w:rPr>
          <w:rFonts w:cs="Arial"/>
          <w:sz w:val="18"/>
        </w:rPr>
      </w:pPr>
    </w:p>
    <w:p w:rsidR="009B2909" w:rsidRPr="00EB57D6" w:rsidRDefault="009B2909" w:rsidP="009B2909">
      <w:pPr>
        <w:tabs>
          <w:tab w:val="left" w:pos="4962"/>
        </w:tabs>
        <w:jc w:val="center"/>
        <w:rPr>
          <w:rFonts w:cs="Arial"/>
          <w:sz w:val="18"/>
        </w:rPr>
      </w:pPr>
    </w:p>
    <w:p w:rsidR="009B2909" w:rsidRPr="00EB57D6" w:rsidRDefault="009B2909" w:rsidP="009B2909">
      <w:pPr>
        <w:rPr>
          <w:sz w:val="18"/>
        </w:rPr>
      </w:pPr>
      <w:r w:rsidRPr="00EB57D6">
        <w:t>I.</w:t>
      </w:r>
      <w:r w:rsidRPr="00EB57D6">
        <w:tab/>
        <w:t>PROTECTION DES OBTENTIONS VÉGÉTALES</w:t>
      </w:r>
    </w:p>
    <w:p w:rsidR="009B2909" w:rsidRPr="00EB57D6" w:rsidRDefault="009B2909" w:rsidP="009B2909">
      <w:pPr>
        <w:tabs>
          <w:tab w:val="left" w:pos="4962"/>
        </w:tabs>
        <w:rPr>
          <w:rFonts w:cs="Arial"/>
          <w:sz w:val="18"/>
          <w:u w:val="single"/>
        </w:rPr>
      </w:pPr>
    </w:p>
    <w:p w:rsidR="009B2909" w:rsidRPr="00EB57D6" w:rsidRDefault="009B2909" w:rsidP="009B2909">
      <w:pPr>
        <w:tabs>
          <w:tab w:val="left" w:pos="567"/>
          <w:tab w:val="left" w:pos="4962"/>
        </w:tabs>
        <w:rPr>
          <w:rFonts w:cs="Arial"/>
          <w:sz w:val="18"/>
          <w:u w:val="single"/>
        </w:rPr>
      </w:pPr>
      <w:r w:rsidRPr="00EB57D6">
        <w:rPr>
          <w:rFonts w:cs="Arial"/>
        </w:rPr>
        <w:t>1.</w:t>
      </w:r>
      <w:r w:rsidRPr="00EB57D6">
        <w:rPr>
          <w:rFonts w:cs="Arial"/>
        </w:rPr>
        <w:tab/>
      </w:r>
      <w:r w:rsidRPr="00EB57D6">
        <w:rPr>
          <w:rFonts w:cs="Arial"/>
          <w:u w:val="single"/>
        </w:rPr>
        <w:t>Situation dans le domaine législatif</w:t>
      </w:r>
    </w:p>
    <w:p w:rsidR="009B2909" w:rsidRPr="00EB57D6" w:rsidRDefault="009B2909" w:rsidP="009B2909">
      <w:pPr>
        <w:tabs>
          <w:tab w:val="left" w:pos="4962"/>
        </w:tabs>
        <w:rPr>
          <w:rFonts w:cs="Arial"/>
          <w:sz w:val="18"/>
        </w:rPr>
      </w:pPr>
    </w:p>
    <w:p w:rsidR="009B2909" w:rsidRPr="00EB57D6" w:rsidRDefault="009B2909" w:rsidP="009B2909">
      <w:pPr>
        <w:tabs>
          <w:tab w:val="left" w:pos="4962"/>
        </w:tabs>
        <w:rPr>
          <w:rFonts w:cs="Arial"/>
          <w:sz w:val="18"/>
        </w:rPr>
      </w:pPr>
      <w:r w:rsidRPr="00EB57D6">
        <w:rPr>
          <w:rFonts w:cs="Arial"/>
        </w:rPr>
        <w:t>La loi du 26 juin 2003 sur la protection juridique des variétés végétales (texte consolidé : Journal officiel de 2018, rubrique 432, modifiée par le Journal officiel de 2020, rubrique 288) constitue la base juridique du système de protection du droit d’obtenteur en Pologne.</w:t>
      </w:r>
    </w:p>
    <w:p w:rsidR="009B2909" w:rsidRPr="00EB57D6" w:rsidRDefault="009B2909" w:rsidP="009B2909">
      <w:pPr>
        <w:tabs>
          <w:tab w:val="left" w:pos="4962"/>
        </w:tabs>
        <w:rPr>
          <w:rFonts w:cs="Arial"/>
          <w:sz w:val="18"/>
        </w:rPr>
      </w:pPr>
    </w:p>
    <w:p w:rsidR="009B2909" w:rsidRPr="00EB57D6" w:rsidRDefault="009B2909" w:rsidP="009B2909">
      <w:pPr>
        <w:rPr>
          <w:rFonts w:cs="Arial"/>
          <w:sz w:val="18"/>
        </w:rPr>
      </w:pPr>
      <w:r w:rsidRPr="00EB57D6">
        <w:rPr>
          <w:rFonts w:cs="Arial"/>
        </w:rPr>
        <w:t>Les récentes modifications de la législation régissant les droits d’obtenteur en Pologne ont été introduites par la loi du 13 février 2020 portant modification de la loi – Code de procédure civile et quelques autres lois (Journal officiel de 2020, rubrique 288) qui est entrée en vigueur le 1</w:t>
      </w:r>
      <w:r w:rsidRPr="00EB57D6">
        <w:rPr>
          <w:rFonts w:cs="Arial"/>
          <w:vertAlign w:val="superscript"/>
        </w:rPr>
        <w:t>er</w:t>
      </w:r>
      <w:r w:rsidRPr="00EB57D6">
        <w:rPr>
          <w:rFonts w:cs="Arial"/>
        </w:rPr>
        <w:t> juillet 2020.</w:t>
      </w:r>
    </w:p>
    <w:p w:rsidR="009B2909" w:rsidRPr="00EB57D6" w:rsidRDefault="009B2909" w:rsidP="009B2909">
      <w:pPr>
        <w:rPr>
          <w:rFonts w:cs="Arial"/>
          <w:sz w:val="18"/>
        </w:rPr>
      </w:pPr>
    </w:p>
    <w:p w:rsidR="009B2909" w:rsidRPr="00EB57D6" w:rsidRDefault="009B2909" w:rsidP="009B2909">
      <w:pPr>
        <w:rPr>
          <w:rFonts w:cs="Arial"/>
          <w:sz w:val="18"/>
        </w:rPr>
      </w:pPr>
      <w:r w:rsidRPr="00EB57D6">
        <w:rPr>
          <w:rFonts w:cs="Arial"/>
        </w:rPr>
        <w:t>Surtout, le tribunal du district de Varsovie a été désigné juridiction compétente en matière de droits de propriété intellectuelle.</w:t>
      </w:r>
    </w:p>
    <w:p w:rsidR="009B2909" w:rsidRPr="00EB57D6" w:rsidRDefault="009B2909" w:rsidP="009B2909">
      <w:pPr>
        <w:rPr>
          <w:rFonts w:cs="Arial"/>
          <w:sz w:val="18"/>
        </w:rPr>
      </w:pPr>
    </w:p>
    <w:p w:rsidR="009B2909" w:rsidRPr="00EB57D6" w:rsidRDefault="009B2909" w:rsidP="009B2909">
      <w:pPr>
        <w:rPr>
          <w:rFonts w:cs="Arial"/>
          <w:sz w:val="18"/>
        </w:rPr>
      </w:pPr>
      <w:r w:rsidRPr="00EB57D6">
        <w:rPr>
          <w:rFonts w:cs="Arial"/>
        </w:rPr>
        <w:t>En outre, l’article 36b de la loi du 26 juin 2003 sur la protection juridique des obtentions végétales relative aux questions de droit civil a été modifié.</w:t>
      </w:r>
    </w:p>
    <w:p w:rsidR="009B2909" w:rsidRPr="00EB57D6" w:rsidRDefault="009B2909" w:rsidP="009B2909">
      <w:pPr>
        <w:tabs>
          <w:tab w:val="left" w:pos="4962"/>
        </w:tabs>
        <w:rPr>
          <w:rFonts w:cs="Arial"/>
          <w:sz w:val="18"/>
        </w:rPr>
      </w:pPr>
    </w:p>
    <w:p w:rsidR="009B2909" w:rsidRPr="00EB57D6" w:rsidRDefault="009B2909" w:rsidP="009B2909">
      <w:pPr>
        <w:tabs>
          <w:tab w:val="left" w:pos="4962"/>
        </w:tabs>
        <w:rPr>
          <w:rFonts w:cs="Arial"/>
          <w:sz w:val="18"/>
        </w:rPr>
      </w:pPr>
      <w:r w:rsidRPr="00EB57D6">
        <w:rPr>
          <w:rFonts w:cs="Arial"/>
        </w:rPr>
        <w:t>La loi polonaise sur la protection des obtentions végétales est fondée sur l’Acte de 1991 de la Convention UPOV.  Depuis le 1</w:t>
      </w:r>
      <w:r w:rsidRPr="00EB57D6">
        <w:rPr>
          <w:rFonts w:cs="Arial"/>
          <w:vertAlign w:val="superscript"/>
        </w:rPr>
        <w:t>er</w:t>
      </w:r>
      <w:r w:rsidRPr="00EB57D6">
        <w:rPr>
          <w:rFonts w:cs="Arial"/>
        </w:rPr>
        <w:t> novembre 2000, tous les genres et espèces peuvent bénéficier de la protection prévue au titre du droit d’obtenteur en Pologne.</w:t>
      </w:r>
    </w:p>
    <w:p w:rsidR="009B2909" w:rsidRPr="00EB57D6" w:rsidRDefault="009B2909" w:rsidP="009B2909">
      <w:pPr>
        <w:tabs>
          <w:tab w:val="left" w:pos="4962"/>
        </w:tabs>
        <w:rPr>
          <w:rFonts w:cs="Arial"/>
          <w:sz w:val="18"/>
        </w:rPr>
      </w:pPr>
    </w:p>
    <w:p w:rsidR="009B2909" w:rsidRPr="00EB57D6" w:rsidRDefault="009B2909" w:rsidP="009B2909">
      <w:pPr>
        <w:tabs>
          <w:tab w:val="left" w:pos="4962"/>
        </w:tabs>
        <w:rPr>
          <w:rFonts w:cs="Arial"/>
          <w:sz w:val="18"/>
        </w:rPr>
      </w:pPr>
      <w:r w:rsidRPr="00EB57D6">
        <w:rPr>
          <w:rFonts w:cs="Arial"/>
        </w:rPr>
        <w:t>En ce qui concerne les taxes, le décret du Ministère de l’agriculture et du développement rural du 17 février 2004 sur le montant des taxes pour le dépôt d’une demande de protection, l’examen DHS et la délivrance et le maintien des droits exclusifs (</w:t>
      </w:r>
      <w:hyperlink r:id="rId22" w:tgtFrame="_blank" w:history="1">
        <w:r w:rsidRPr="00EB57D6">
          <w:rPr>
            <w:rStyle w:val="Hyperlink"/>
            <w:rFonts w:cs="Arial"/>
          </w:rPr>
          <w:t>Journal officiel n° 60 de 2004, rubrique 567</w:t>
        </w:r>
      </w:hyperlink>
      <w:r w:rsidRPr="00EB57D6">
        <w:rPr>
          <w:rFonts w:cs="Arial"/>
        </w:rPr>
        <w:t xml:space="preserve">;  </w:t>
      </w:r>
      <w:hyperlink r:id="rId23" w:tgtFrame="_blank" w:history="1">
        <w:r w:rsidRPr="00EB57D6">
          <w:rPr>
            <w:rStyle w:val="Hyperlink"/>
            <w:rFonts w:cs="Arial"/>
          </w:rPr>
          <w:t>Journal officiel de 2015, rubrique 2166</w:t>
        </w:r>
      </w:hyperlink>
      <w:r w:rsidRPr="00EB57D6">
        <w:rPr>
          <w:rFonts w:cs="Arial"/>
        </w:rPr>
        <w:t>) s’applique.</w:t>
      </w:r>
    </w:p>
    <w:p w:rsidR="009B2909" w:rsidRPr="00EB57D6" w:rsidRDefault="009B2909" w:rsidP="009B2909">
      <w:pPr>
        <w:tabs>
          <w:tab w:val="left" w:pos="4962"/>
        </w:tabs>
        <w:rPr>
          <w:rFonts w:cs="Arial"/>
          <w:sz w:val="18"/>
        </w:rPr>
      </w:pPr>
    </w:p>
    <w:p w:rsidR="009B2909" w:rsidRPr="00EB57D6" w:rsidRDefault="009B2909" w:rsidP="009B2909">
      <w:pPr>
        <w:tabs>
          <w:tab w:val="left" w:pos="4962"/>
        </w:tabs>
        <w:rPr>
          <w:rFonts w:cs="Arial"/>
          <w:sz w:val="18"/>
        </w:rPr>
      </w:pPr>
      <w:r w:rsidRPr="00EB57D6">
        <w:rPr>
          <w:rFonts w:cs="Arial"/>
        </w:rPr>
        <w:t>La Pologne est devenue membre de l’UPOV le 11 novembre 1989 et a été le vingt-quatrième État à adhérer à l’Acte de 1991 de la Convention UPOV, le 15 août 2003.</w:t>
      </w:r>
    </w:p>
    <w:p w:rsidR="009B2909" w:rsidRPr="00EB57D6" w:rsidRDefault="009B2909" w:rsidP="009B2909">
      <w:pPr>
        <w:tabs>
          <w:tab w:val="left" w:pos="4962"/>
        </w:tabs>
        <w:rPr>
          <w:rFonts w:cs="Arial"/>
          <w:sz w:val="18"/>
        </w:rPr>
      </w:pPr>
    </w:p>
    <w:p w:rsidR="009B2909" w:rsidRPr="00EB57D6" w:rsidRDefault="009B2909" w:rsidP="009B2909">
      <w:pPr>
        <w:tabs>
          <w:tab w:val="left" w:pos="4962"/>
        </w:tabs>
        <w:rPr>
          <w:rFonts w:cs="Arial"/>
          <w:sz w:val="18"/>
        </w:rPr>
      </w:pPr>
    </w:p>
    <w:p w:rsidR="009B2909" w:rsidRPr="00EB57D6" w:rsidRDefault="009B2909" w:rsidP="009B2909">
      <w:pPr>
        <w:tabs>
          <w:tab w:val="left" w:pos="567"/>
          <w:tab w:val="left" w:pos="4962"/>
        </w:tabs>
        <w:rPr>
          <w:rFonts w:cs="Arial"/>
          <w:sz w:val="18"/>
          <w:u w:val="single"/>
        </w:rPr>
      </w:pPr>
      <w:r w:rsidRPr="00EB57D6">
        <w:rPr>
          <w:rFonts w:cs="Arial"/>
        </w:rPr>
        <w:t>2.</w:t>
      </w:r>
      <w:r w:rsidRPr="00EB57D6">
        <w:rPr>
          <w:rFonts w:cs="Arial"/>
        </w:rPr>
        <w:tab/>
      </w:r>
      <w:r w:rsidRPr="00EB57D6">
        <w:rPr>
          <w:rFonts w:cs="Arial"/>
          <w:u w:val="single"/>
        </w:rPr>
        <w:t>Coopération en matière d’examen</w:t>
      </w:r>
    </w:p>
    <w:p w:rsidR="009B2909" w:rsidRPr="00EB57D6" w:rsidRDefault="009B2909" w:rsidP="009B2909">
      <w:pPr>
        <w:tabs>
          <w:tab w:val="left" w:pos="4962"/>
        </w:tabs>
        <w:rPr>
          <w:rFonts w:cs="Arial"/>
          <w:sz w:val="18"/>
        </w:rPr>
      </w:pPr>
    </w:p>
    <w:p w:rsidR="009B2909" w:rsidRPr="00EB57D6" w:rsidRDefault="009B2909" w:rsidP="009B2909">
      <w:pPr>
        <w:tabs>
          <w:tab w:val="left" w:pos="4962"/>
        </w:tabs>
        <w:rPr>
          <w:rFonts w:cs="Arial"/>
          <w:sz w:val="18"/>
        </w:rPr>
      </w:pPr>
      <w:r w:rsidRPr="00EB57D6">
        <w:rPr>
          <w:rFonts w:cs="Arial"/>
        </w:rPr>
        <w:t xml:space="preserve">Le Centre de recherche pour l’examen des cultivars (COBORU) de </w:t>
      </w:r>
      <w:proofErr w:type="spellStart"/>
      <w:r w:rsidRPr="00EB57D6">
        <w:rPr>
          <w:rFonts w:cs="Arial"/>
        </w:rPr>
        <w:t>Słupia</w:t>
      </w:r>
      <w:proofErr w:type="spellEnd"/>
      <w:r w:rsidRPr="00EB57D6">
        <w:rPr>
          <w:rFonts w:cs="Arial"/>
        </w:rPr>
        <w:t xml:space="preserve"> </w:t>
      </w:r>
      <w:proofErr w:type="spellStart"/>
      <w:r w:rsidRPr="00EB57D6">
        <w:rPr>
          <w:rFonts w:cs="Arial"/>
        </w:rPr>
        <w:t>Wielka</w:t>
      </w:r>
      <w:proofErr w:type="spellEnd"/>
      <w:r w:rsidRPr="00EB57D6">
        <w:rPr>
          <w:rFonts w:cs="Arial"/>
        </w:rPr>
        <w:t xml:space="preserve"> continue de collaborer avec différents pays dans le domaine de l’examen technique.</w:t>
      </w:r>
    </w:p>
    <w:p w:rsidR="009B2909" w:rsidRPr="00EB57D6" w:rsidRDefault="009B2909" w:rsidP="009B2909">
      <w:pPr>
        <w:tabs>
          <w:tab w:val="left" w:pos="4962"/>
        </w:tabs>
        <w:rPr>
          <w:rFonts w:cs="Arial"/>
          <w:sz w:val="18"/>
        </w:rPr>
      </w:pPr>
    </w:p>
    <w:p w:rsidR="009B2909" w:rsidRPr="00EB57D6" w:rsidRDefault="009B2909" w:rsidP="009B2909">
      <w:pPr>
        <w:tabs>
          <w:tab w:val="left" w:pos="4962"/>
        </w:tabs>
        <w:rPr>
          <w:rFonts w:cs="Arial"/>
          <w:sz w:val="18"/>
        </w:rPr>
      </w:pPr>
      <w:r w:rsidRPr="00EB57D6">
        <w:rPr>
          <w:rFonts w:cs="Arial"/>
        </w:rPr>
        <w:t xml:space="preserve">La Pologne a conclu des accords bilatéraux en matière d’examen DHS avec la République tchèque, la Hongrie et la Slovaquie.  Des accords unilatéraux avec le </w:t>
      </w:r>
      <w:proofErr w:type="spellStart"/>
      <w:r w:rsidRPr="00EB57D6">
        <w:rPr>
          <w:rFonts w:cs="Arial"/>
        </w:rPr>
        <w:t>Bélarus</w:t>
      </w:r>
      <w:proofErr w:type="spellEnd"/>
      <w:r w:rsidRPr="00EB57D6">
        <w:rPr>
          <w:rFonts w:cs="Arial"/>
        </w:rPr>
        <w:t>, l’Estonie, la Fédération de Russie, la Lettonie, la Lituanie, la Roumanie, la Slovénie et l’Ukraine sont en vigueur.</w:t>
      </w:r>
    </w:p>
    <w:p w:rsidR="009B2909" w:rsidRPr="00EB57D6" w:rsidRDefault="009B2909" w:rsidP="009B2909">
      <w:pPr>
        <w:tabs>
          <w:tab w:val="left" w:pos="4962"/>
        </w:tabs>
        <w:rPr>
          <w:rFonts w:cs="Arial"/>
          <w:sz w:val="18"/>
        </w:rPr>
      </w:pPr>
    </w:p>
    <w:p w:rsidR="009B2909" w:rsidRPr="00EB57D6" w:rsidRDefault="009B2909" w:rsidP="009B2909">
      <w:pPr>
        <w:tabs>
          <w:tab w:val="left" w:pos="4962"/>
        </w:tabs>
        <w:rPr>
          <w:rFonts w:cs="Arial"/>
          <w:sz w:val="18"/>
        </w:rPr>
      </w:pPr>
      <w:r w:rsidRPr="00EB57D6">
        <w:rPr>
          <w:rFonts w:cs="Arial"/>
        </w:rPr>
        <w:t>Pendant la période considérée, la Pologne a procédé à des examens DHS pour le compte des services des pays suivants : Autriche (1 variété), Belgique (1 variété), Croatie (1 variété), Danemark (1 variété), Estonie (14 variétés), Hongrie (28 variétés), Lettonie (6 variétés), Lituanie (59 variétés), Pays-Bas (1 variété), République tchèque (10 variétés), Slovaquie (2 variétés), Slovénie (2 variétés), Suède (2 variétés);  ainsi que pour l’OCVV (139 variétés).</w:t>
      </w:r>
    </w:p>
    <w:p w:rsidR="009B2909" w:rsidRPr="00EB57D6" w:rsidRDefault="009B2909" w:rsidP="009B2909">
      <w:pPr>
        <w:tabs>
          <w:tab w:val="left" w:pos="4962"/>
        </w:tabs>
        <w:rPr>
          <w:rFonts w:cs="Arial"/>
          <w:sz w:val="18"/>
        </w:rPr>
      </w:pPr>
    </w:p>
    <w:p w:rsidR="009B2909" w:rsidRPr="00EB57D6" w:rsidRDefault="009B2909" w:rsidP="009B2909">
      <w:pPr>
        <w:tabs>
          <w:tab w:val="left" w:pos="4962"/>
        </w:tabs>
        <w:rPr>
          <w:rFonts w:cs="Arial"/>
          <w:sz w:val="18"/>
        </w:rPr>
      </w:pPr>
      <w:r w:rsidRPr="00EB57D6">
        <w:rPr>
          <w:rFonts w:cs="Arial"/>
        </w:rPr>
        <w:t>Ces examens portaient sur différentes espèces de plantes agricoles (72 variétés), potagères (36 variétés), ornementales (113 variétés) et fruitières (46 variétés).</w:t>
      </w:r>
    </w:p>
    <w:p w:rsidR="009B2909" w:rsidRPr="00EB57D6" w:rsidRDefault="009B2909" w:rsidP="009B2909">
      <w:pPr>
        <w:tabs>
          <w:tab w:val="left" w:pos="4962"/>
        </w:tabs>
        <w:rPr>
          <w:rFonts w:cs="Arial"/>
          <w:sz w:val="18"/>
        </w:rPr>
      </w:pPr>
    </w:p>
    <w:p w:rsidR="009B2909" w:rsidRPr="00EB57D6" w:rsidRDefault="009B2909" w:rsidP="009B2909">
      <w:pPr>
        <w:tabs>
          <w:tab w:val="left" w:pos="4962"/>
        </w:tabs>
        <w:rPr>
          <w:rFonts w:cs="Arial"/>
          <w:sz w:val="18"/>
        </w:rPr>
      </w:pPr>
      <w:r w:rsidRPr="00EB57D6">
        <w:rPr>
          <w:rFonts w:cs="Arial"/>
        </w:rPr>
        <w:t>Au total, 267 variétés ont fait l’objet d’un examen à la demande de ces services.</w:t>
      </w:r>
    </w:p>
    <w:p w:rsidR="009B2909" w:rsidRPr="00EB57D6" w:rsidRDefault="009B2909" w:rsidP="009B2909">
      <w:pPr>
        <w:tabs>
          <w:tab w:val="left" w:pos="4962"/>
        </w:tabs>
        <w:rPr>
          <w:rFonts w:cs="Arial"/>
          <w:sz w:val="18"/>
        </w:rPr>
      </w:pPr>
    </w:p>
    <w:p w:rsidR="009B2909" w:rsidRPr="00EB57D6" w:rsidRDefault="009B2909" w:rsidP="009B2909">
      <w:pPr>
        <w:tabs>
          <w:tab w:val="left" w:pos="4962"/>
        </w:tabs>
        <w:rPr>
          <w:rFonts w:cs="Arial"/>
          <w:sz w:val="18"/>
        </w:rPr>
      </w:pPr>
      <w:r w:rsidRPr="00EB57D6">
        <w:rPr>
          <w:rFonts w:cs="Arial"/>
        </w:rPr>
        <w:t>Comme les années précédentes, quelques pays et entités (Autriche, Bulgarie, Danemark, Estonie, Fédération de Russie, Finlande, France, Iran, Lituanie, Norvège, OCVV, République tchèque, Roumanie, Royaume-Uni, Serbie, Suède et Turquie) ont utilisé les résultats d’examens techniques du COBORU pour fonder leurs décisions dans le cadre de leurs procédures nationales.</w:t>
      </w:r>
    </w:p>
    <w:p w:rsidR="009B2909" w:rsidRPr="00EB57D6" w:rsidRDefault="009B2909" w:rsidP="009B2909">
      <w:pPr>
        <w:tabs>
          <w:tab w:val="left" w:pos="4962"/>
        </w:tabs>
        <w:rPr>
          <w:rFonts w:cs="Arial"/>
          <w:sz w:val="18"/>
        </w:rPr>
      </w:pPr>
    </w:p>
    <w:p w:rsidR="009B2909" w:rsidRPr="00EB57D6" w:rsidRDefault="009B2909" w:rsidP="009B2909">
      <w:pPr>
        <w:tabs>
          <w:tab w:val="left" w:pos="4962"/>
        </w:tabs>
        <w:rPr>
          <w:rFonts w:cs="Arial"/>
          <w:sz w:val="18"/>
        </w:rPr>
      </w:pPr>
      <w:r w:rsidRPr="00EB57D6">
        <w:rPr>
          <w:rFonts w:cs="Arial"/>
        </w:rPr>
        <w:t>La Pologne a participé activement aux travaux relatifs à l’élaboration des protocoles techniques lors des réunions organisées par l’OCVV.</w:t>
      </w:r>
    </w:p>
    <w:p w:rsidR="009B2909" w:rsidRPr="00EB57D6" w:rsidRDefault="009B2909" w:rsidP="009B2909">
      <w:pPr>
        <w:tabs>
          <w:tab w:val="left" w:pos="4962"/>
        </w:tabs>
        <w:rPr>
          <w:rFonts w:cs="Arial"/>
          <w:sz w:val="18"/>
        </w:rPr>
      </w:pPr>
    </w:p>
    <w:p w:rsidR="009B2909" w:rsidRPr="00EB57D6" w:rsidRDefault="009B2909" w:rsidP="009B2909">
      <w:pPr>
        <w:tabs>
          <w:tab w:val="left" w:pos="4962"/>
        </w:tabs>
        <w:rPr>
          <w:rFonts w:cs="Arial"/>
          <w:sz w:val="18"/>
        </w:rPr>
      </w:pPr>
    </w:p>
    <w:p w:rsidR="009B2909" w:rsidRPr="00EB57D6" w:rsidRDefault="009B2909" w:rsidP="009B2909">
      <w:pPr>
        <w:tabs>
          <w:tab w:val="left" w:pos="567"/>
        </w:tabs>
        <w:rPr>
          <w:rFonts w:cs="Arial"/>
          <w:sz w:val="18"/>
          <w:u w:val="single"/>
        </w:rPr>
      </w:pPr>
      <w:r w:rsidRPr="00EB57D6">
        <w:rPr>
          <w:rFonts w:cs="Arial"/>
        </w:rPr>
        <w:t>3. et 4.</w:t>
      </w:r>
      <w:r w:rsidRPr="00EB57D6">
        <w:rPr>
          <w:rFonts w:cs="Arial"/>
        </w:rPr>
        <w:tab/>
      </w:r>
      <w:r w:rsidRPr="00EB57D6">
        <w:rPr>
          <w:rFonts w:cs="Arial"/>
          <w:u w:val="single"/>
        </w:rPr>
        <w:t>Situation dans les domaines administratif et technique</w:t>
      </w:r>
    </w:p>
    <w:p w:rsidR="009B2909" w:rsidRPr="00EB57D6" w:rsidRDefault="009B2909" w:rsidP="009B2909">
      <w:pPr>
        <w:tabs>
          <w:tab w:val="left" w:pos="567"/>
          <w:tab w:val="left" w:pos="4962"/>
        </w:tabs>
        <w:rPr>
          <w:rFonts w:cs="Arial"/>
          <w:sz w:val="18"/>
          <w:u w:val="single"/>
        </w:rPr>
      </w:pPr>
    </w:p>
    <w:p w:rsidR="009B2909" w:rsidRPr="00EB57D6" w:rsidRDefault="009B2909" w:rsidP="009B2909">
      <w:pPr>
        <w:rPr>
          <w:rFonts w:cs="Arial"/>
          <w:sz w:val="18"/>
        </w:rPr>
      </w:pPr>
      <w:r w:rsidRPr="00EB57D6">
        <w:rPr>
          <w:rFonts w:cs="Arial"/>
        </w:rPr>
        <w:t>Le COBORU procède aux essais aux fins de l’examen DHS des variétés dans 13 stations d’essais expérimentales qui sont réparties dans l’ensemble du pays.  Dans le cas des variétés fruitières, des essais sont également menés à l’Institut de recherche sur l’horticulture à Skierniewice.</w:t>
      </w:r>
    </w:p>
    <w:p w:rsidR="009B2909" w:rsidRPr="00EB57D6" w:rsidRDefault="009B2909" w:rsidP="009B2909">
      <w:pPr>
        <w:rPr>
          <w:rFonts w:cs="Arial"/>
          <w:sz w:val="18"/>
        </w:rPr>
      </w:pPr>
    </w:p>
    <w:p w:rsidR="009B2909" w:rsidRPr="00EB57D6" w:rsidRDefault="009B2909" w:rsidP="009B2909">
      <w:pPr>
        <w:tabs>
          <w:tab w:val="left" w:pos="567"/>
          <w:tab w:val="left" w:pos="4962"/>
        </w:tabs>
        <w:rPr>
          <w:rFonts w:cs="Arial"/>
          <w:sz w:val="18"/>
        </w:rPr>
      </w:pPr>
      <w:r w:rsidRPr="00EB57D6">
        <w:rPr>
          <w:rFonts w:cs="Arial"/>
        </w:rPr>
        <w:t>En 2019, 10 727 variétés relevant de 197 espèces végétales ont fait l’objet d’un examen (dont 9584 variétés répertoriées dans des collections de référence vivantes et 1143 variétés candidates).</w:t>
      </w:r>
    </w:p>
    <w:p w:rsidR="009B2909" w:rsidRPr="00EB57D6" w:rsidRDefault="009B2909" w:rsidP="009B2909">
      <w:pPr>
        <w:tabs>
          <w:tab w:val="left" w:pos="567"/>
          <w:tab w:val="left" w:pos="4962"/>
        </w:tabs>
        <w:rPr>
          <w:rFonts w:cs="Arial"/>
          <w:sz w:val="18"/>
        </w:rPr>
      </w:pPr>
    </w:p>
    <w:p w:rsidR="009B2909" w:rsidRPr="00EB57D6" w:rsidRDefault="009B2909" w:rsidP="009B2909">
      <w:pPr>
        <w:tabs>
          <w:tab w:val="left" w:pos="567"/>
          <w:tab w:val="left" w:pos="4962"/>
        </w:tabs>
        <w:rPr>
          <w:rFonts w:cs="Arial"/>
          <w:sz w:val="18"/>
        </w:rPr>
      </w:pPr>
      <w:r w:rsidRPr="00EB57D6">
        <w:rPr>
          <w:rFonts w:cs="Arial"/>
        </w:rPr>
        <w:t>Le nombre de variétés ayant fait l’objet d’un examen DHS en Pologne est indiqué dans le graphique ci-dessous.</w:t>
      </w:r>
    </w:p>
    <w:p w:rsidR="009B2909" w:rsidRPr="00EB57D6" w:rsidRDefault="009B2909" w:rsidP="009B2909">
      <w:pPr>
        <w:rPr>
          <w:sz w:val="18"/>
        </w:rPr>
      </w:pPr>
    </w:p>
    <w:p w:rsidR="009B2909" w:rsidRPr="00EB57D6" w:rsidRDefault="009B2909" w:rsidP="009B2909">
      <w:pPr>
        <w:pStyle w:val="Heading8"/>
        <w:rPr>
          <w:rFonts w:cs="Arial"/>
          <w:sz w:val="18"/>
          <w:lang w:val="fr-FR"/>
        </w:rPr>
      </w:pPr>
      <w:r w:rsidRPr="00EB57D6">
        <w:rPr>
          <w:rFonts w:cs="Arial"/>
          <w:lang w:val="fr-FR"/>
        </w:rPr>
        <w:t>Nombre de variétés ayant fait l’objet d’un examen DHS en 2019</w:t>
      </w:r>
    </w:p>
    <w:p w:rsidR="009B2909" w:rsidRPr="00EB57D6" w:rsidRDefault="009B2909" w:rsidP="009B2909">
      <w:pPr>
        <w:rPr>
          <w:rFonts w:cs="Arial"/>
          <w:sz w:val="18"/>
        </w:rPr>
      </w:pPr>
    </w:p>
    <w:p w:rsidR="009B2909" w:rsidRPr="00EB57D6" w:rsidRDefault="001E54FA" w:rsidP="009B2909">
      <w:pPr>
        <w:jc w:val="center"/>
        <w:rPr>
          <w:rFonts w:cs="Arial"/>
          <w:sz w:val="18"/>
        </w:rPr>
      </w:pPr>
      <w:r w:rsidRPr="00EB57D6">
        <w:rPr>
          <w:rFonts w:cs="Arial"/>
          <w:noProof/>
          <w:sz w:val="18"/>
          <w:lang w:val="en-US"/>
        </w:rPr>
        <w:drawing>
          <wp:inline distT="0" distB="0" distL="0" distR="0" wp14:anchorId="12D645BA">
            <wp:extent cx="5742940" cy="35179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42940" cy="3517900"/>
                    </a:xfrm>
                    <a:prstGeom prst="rect">
                      <a:avLst/>
                    </a:prstGeom>
                    <a:noFill/>
                  </pic:spPr>
                </pic:pic>
              </a:graphicData>
            </a:graphic>
          </wp:inline>
        </w:drawing>
      </w:r>
    </w:p>
    <w:p w:rsidR="009B2909" w:rsidRPr="00EB57D6" w:rsidRDefault="009B2909" w:rsidP="009B2909">
      <w:pPr>
        <w:rPr>
          <w:rFonts w:cs="Arial"/>
          <w:sz w:val="18"/>
        </w:rPr>
      </w:pPr>
    </w:p>
    <w:p w:rsidR="009B2909" w:rsidRPr="00EB57D6" w:rsidRDefault="009B2909" w:rsidP="009B2909">
      <w:pPr>
        <w:pStyle w:val="BodyText"/>
        <w:rPr>
          <w:rFonts w:cs="Arial"/>
          <w:sz w:val="18"/>
        </w:rPr>
      </w:pPr>
      <w:r w:rsidRPr="00EB57D6">
        <w:rPr>
          <w:rFonts w:cs="Arial"/>
        </w:rPr>
        <w:t>En 2019, le COBORU a reçu au total 127 demandes de protection nationale du droit d’obtenteur, soit 24 demandes de plus que l’année précédente.</w:t>
      </w:r>
    </w:p>
    <w:p w:rsidR="009B2909" w:rsidRPr="00EB57D6" w:rsidRDefault="009B2909" w:rsidP="009B2909">
      <w:pPr>
        <w:pStyle w:val="BodyText"/>
        <w:rPr>
          <w:rFonts w:cs="Arial"/>
          <w:sz w:val="18"/>
        </w:rPr>
      </w:pPr>
    </w:p>
    <w:p w:rsidR="009B2909" w:rsidRPr="00EB57D6" w:rsidRDefault="009B2909" w:rsidP="009B2909">
      <w:pPr>
        <w:pStyle w:val="BodyText"/>
        <w:rPr>
          <w:rFonts w:cs="Arial"/>
          <w:sz w:val="18"/>
        </w:rPr>
      </w:pPr>
      <w:r w:rsidRPr="00EB57D6">
        <w:rPr>
          <w:rFonts w:cs="Arial"/>
        </w:rPr>
        <w:t>Du 1</w:t>
      </w:r>
      <w:r w:rsidRPr="00EB57D6">
        <w:rPr>
          <w:rFonts w:cs="Arial"/>
          <w:vertAlign w:val="superscript"/>
        </w:rPr>
        <w:t>er</w:t>
      </w:r>
      <w:r w:rsidRPr="00EB57D6">
        <w:rPr>
          <w:rFonts w:cs="Arial"/>
        </w:rPr>
        <w:t> janvier au 1</w:t>
      </w:r>
      <w:r w:rsidRPr="00EB57D6">
        <w:rPr>
          <w:rFonts w:cs="Arial"/>
          <w:vertAlign w:val="superscript"/>
        </w:rPr>
        <w:t>er</w:t>
      </w:r>
      <w:r w:rsidRPr="00EB57D6">
        <w:rPr>
          <w:rFonts w:cs="Arial"/>
        </w:rPr>
        <w:t> septembre 2020, 98 nouvelles demandes droit d’obtenteur national, dont 76 demandes nationales et 22 étrangères, ont été déposées, soit 14 de moins qu’au cours de la période de référence précédente (112).</w:t>
      </w:r>
    </w:p>
    <w:p w:rsidR="009B2909" w:rsidRPr="00EB57D6" w:rsidRDefault="009B2909" w:rsidP="009B2909">
      <w:pPr>
        <w:pStyle w:val="BodyText"/>
        <w:rPr>
          <w:rFonts w:cs="Arial"/>
          <w:sz w:val="18"/>
        </w:rPr>
      </w:pPr>
    </w:p>
    <w:p w:rsidR="009B2909" w:rsidRPr="00EB57D6" w:rsidRDefault="009B2909" w:rsidP="009B2909">
      <w:pPr>
        <w:pStyle w:val="BodyText"/>
        <w:rPr>
          <w:rFonts w:cs="Arial"/>
          <w:sz w:val="18"/>
        </w:rPr>
      </w:pPr>
      <w:r w:rsidRPr="00EB57D6">
        <w:rPr>
          <w:rFonts w:cs="Arial"/>
        </w:rPr>
        <w:t>En 2019, le COBORU a octroyé 89 titres de protection nationale (2 titres de moins qu’en 2018).  À la fin de 2019, 1231 titres nationaux étaient en vigueur, soit une augmentation de 2 variétés par rapport à l’année précédente.</w:t>
      </w:r>
    </w:p>
    <w:p w:rsidR="009B2909" w:rsidRPr="00EB57D6" w:rsidRDefault="009B2909" w:rsidP="009B2909">
      <w:pPr>
        <w:pStyle w:val="BodyText"/>
        <w:rPr>
          <w:rFonts w:cs="Arial"/>
          <w:sz w:val="18"/>
        </w:rPr>
      </w:pPr>
    </w:p>
    <w:p w:rsidR="009B2909" w:rsidRPr="00EB57D6" w:rsidRDefault="009B2909" w:rsidP="009B2909">
      <w:pPr>
        <w:pStyle w:val="BodyText"/>
        <w:rPr>
          <w:rFonts w:cs="Arial"/>
          <w:sz w:val="18"/>
        </w:rPr>
      </w:pPr>
      <w:r w:rsidRPr="00EB57D6">
        <w:rPr>
          <w:rFonts w:cs="Arial"/>
        </w:rPr>
        <w:t>Du 1</w:t>
      </w:r>
      <w:r w:rsidRPr="00EB57D6">
        <w:rPr>
          <w:rFonts w:cs="Arial"/>
          <w:vertAlign w:val="superscript"/>
        </w:rPr>
        <w:t>er</w:t>
      </w:r>
      <w:r w:rsidRPr="00EB57D6">
        <w:rPr>
          <w:rFonts w:cs="Arial"/>
        </w:rPr>
        <w:t> janvier au 1</w:t>
      </w:r>
      <w:r w:rsidRPr="00EB57D6">
        <w:rPr>
          <w:rFonts w:cs="Arial"/>
          <w:vertAlign w:val="superscript"/>
        </w:rPr>
        <w:t>er</w:t>
      </w:r>
      <w:r w:rsidRPr="00EB57D6">
        <w:rPr>
          <w:rFonts w:cs="Arial"/>
        </w:rPr>
        <w:t> septembre 2020, 90 titres de protection du droit d’obtenteur ont été octroyés.  Au total, 1283 variétés sont protégées en Pologne (au 1</w:t>
      </w:r>
      <w:r w:rsidRPr="00EB57D6">
        <w:rPr>
          <w:rFonts w:cs="Arial"/>
          <w:vertAlign w:val="superscript"/>
        </w:rPr>
        <w:t>er</w:t>
      </w:r>
      <w:r w:rsidRPr="00EB57D6">
        <w:rPr>
          <w:rFonts w:cs="Arial"/>
        </w:rPr>
        <w:t> septembre 2020).</w:t>
      </w:r>
    </w:p>
    <w:p w:rsidR="009B2909" w:rsidRPr="00EB57D6" w:rsidRDefault="009B2909" w:rsidP="009B2909">
      <w:pPr>
        <w:pStyle w:val="BodyText"/>
        <w:rPr>
          <w:rFonts w:cs="Arial"/>
          <w:sz w:val="18"/>
        </w:rPr>
      </w:pPr>
    </w:p>
    <w:p w:rsidR="009B2909" w:rsidRPr="00EB57D6" w:rsidRDefault="009B2909" w:rsidP="009B2909">
      <w:pPr>
        <w:pStyle w:val="BodyText"/>
        <w:rPr>
          <w:rFonts w:cs="Arial"/>
          <w:sz w:val="18"/>
        </w:rPr>
      </w:pPr>
      <w:r w:rsidRPr="00EB57D6">
        <w:rPr>
          <w:rFonts w:cs="Arial"/>
        </w:rPr>
        <w:t>On trouvera des statistiques détaillées dans le tableau ci-après.</w:t>
      </w:r>
    </w:p>
    <w:p w:rsidR="009B2909" w:rsidRPr="00EB57D6" w:rsidRDefault="009B2909" w:rsidP="009B2909">
      <w:pPr>
        <w:pStyle w:val="BodyText2"/>
        <w:jc w:val="both"/>
        <w:rPr>
          <w:rFonts w:ascii="Arial" w:hAnsi="Arial" w:cs="Arial"/>
          <w:sz w:val="18"/>
          <w:lang w:val="fr-FR"/>
        </w:rPr>
      </w:pPr>
    </w:p>
    <w:p w:rsidR="009B2909" w:rsidRPr="00EB57D6" w:rsidRDefault="009B2909" w:rsidP="009B2909">
      <w:pPr>
        <w:pStyle w:val="BodyText2"/>
        <w:jc w:val="both"/>
        <w:rPr>
          <w:rFonts w:ascii="Arial" w:hAnsi="Arial" w:cs="Arial"/>
          <w:sz w:val="18"/>
          <w:lang w:val="fr-FR"/>
        </w:rPr>
      </w:pPr>
      <w:r w:rsidRPr="00EB57D6">
        <w:rPr>
          <w:rFonts w:ascii="Arial" w:hAnsi="Arial" w:cs="Arial"/>
          <w:sz w:val="20"/>
          <w:lang w:val="fr-FR"/>
        </w:rPr>
        <w:t>Dans la colonne intitulée “Titres ayant expiré” ne figure aucune variété pour laquelle – pendant la période considérée – des titres nationaux d’obtenteur ont expiré.</w:t>
      </w:r>
    </w:p>
    <w:p w:rsidR="009B2909" w:rsidRPr="00EB57D6" w:rsidRDefault="009B2909" w:rsidP="009B2909">
      <w:pPr>
        <w:pStyle w:val="BodyText2"/>
        <w:jc w:val="both"/>
        <w:rPr>
          <w:rFonts w:ascii="Arial" w:hAnsi="Arial" w:cs="Arial"/>
          <w:sz w:val="18"/>
          <w:lang w:val="fr-FR"/>
        </w:rPr>
      </w:pPr>
    </w:p>
    <w:p w:rsidR="009B2909" w:rsidRPr="00EB57D6" w:rsidRDefault="009B2909" w:rsidP="009B2909"/>
    <w:p w:rsidR="001E54FA" w:rsidRPr="00EB57D6" w:rsidRDefault="001E54FA">
      <w:r w:rsidRPr="00EB57D6">
        <w:br w:type="page"/>
      </w:r>
    </w:p>
    <w:tbl>
      <w:tblPr>
        <w:tblW w:w="9631" w:type="dxa"/>
        <w:tblLayout w:type="fixed"/>
        <w:tblCellMar>
          <w:left w:w="70" w:type="dxa"/>
          <w:right w:w="70" w:type="dxa"/>
        </w:tblCellMar>
        <w:tblLook w:val="0000" w:firstRow="0" w:lastRow="0" w:firstColumn="0" w:lastColumn="0" w:noHBand="0" w:noVBand="0"/>
      </w:tblPr>
      <w:tblGrid>
        <w:gridCol w:w="1630"/>
        <w:gridCol w:w="1052"/>
        <w:gridCol w:w="1138"/>
        <w:gridCol w:w="650"/>
        <w:gridCol w:w="9"/>
        <w:gridCol w:w="1043"/>
        <w:gridCol w:w="1133"/>
        <w:gridCol w:w="708"/>
        <w:gridCol w:w="851"/>
        <w:gridCol w:w="1417"/>
      </w:tblGrid>
      <w:tr w:rsidR="009B2909" w:rsidRPr="00EB57D6" w:rsidTr="009B2909">
        <w:tc>
          <w:tcPr>
            <w:tcW w:w="1630" w:type="dxa"/>
            <w:tcBorders>
              <w:top w:val="single" w:sz="4" w:space="0" w:color="auto"/>
              <w:left w:val="single" w:sz="6" w:space="0" w:color="auto"/>
            </w:tcBorders>
          </w:tcPr>
          <w:p w:rsidR="009B2909" w:rsidRPr="00EB57D6" w:rsidRDefault="009B2909" w:rsidP="009B2909">
            <w:pPr>
              <w:jc w:val="center"/>
              <w:rPr>
                <w:rFonts w:cs="Arial"/>
                <w:sz w:val="18"/>
              </w:rPr>
            </w:pPr>
          </w:p>
          <w:p w:rsidR="009B2909" w:rsidRPr="00EB57D6" w:rsidRDefault="009B2909" w:rsidP="009B2909">
            <w:pPr>
              <w:jc w:val="center"/>
              <w:rPr>
                <w:rFonts w:cs="Arial"/>
                <w:sz w:val="18"/>
              </w:rPr>
            </w:pPr>
            <w:r w:rsidRPr="00EB57D6">
              <w:rPr>
                <w:rFonts w:cs="Arial"/>
              </w:rPr>
              <w:t>Espèces</w:t>
            </w:r>
          </w:p>
          <w:p w:rsidR="009B2909" w:rsidRPr="00EB57D6" w:rsidRDefault="009B2909" w:rsidP="009B2909">
            <w:pPr>
              <w:jc w:val="center"/>
              <w:rPr>
                <w:rFonts w:cs="Arial"/>
              </w:rPr>
            </w:pPr>
            <w:r w:rsidRPr="00EB57D6">
              <w:rPr>
                <w:rFonts w:cs="Arial"/>
              </w:rPr>
              <w:t>végétales :</w:t>
            </w:r>
          </w:p>
        </w:tc>
        <w:tc>
          <w:tcPr>
            <w:tcW w:w="2849" w:type="dxa"/>
            <w:gridSpan w:val="4"/>
            <w:tcBorders>
              <w:top w:val="single" w:sz="4" w:space="0" w:color="auto"/>
              <w:left w:val="single" w:sz="12" w:space="0" w:color="auto"/>
              <w:right w:val="single" w:sz="12" w:space="0" w:color="auto"/>
            </w:tcBorders>
          </w:tcPr>
          <w:p w:rsidR="009B2909" w:rsidRPr="00EB57D6" w:rsidRDefault="009B2909" w:rsidP="009B2909">
            <w:pPr>
              <w:jc w:val="center"/>
              <w:rPr>
                <w:rFonts w:cs="Arial"/>
                <w:sz w:val="18"/>
              </w:rPr>
            </w:pPr>
            <w:r w:rsidRPr="00EB57D6">
              <w:rPr>
                <w:rFonts w:cs="Arial"/>
              </w:rPr>
              <w:t>Demandes de droit d’obtenteur</w:t>
            </w:r>
          </w:p>
          <w:p w:rsidR="009B2909" w:rsidRPr="00EB57D6" w:rsidRDefault="009B2909" w:rsidP="009B2909">
            <w:pPr>
              <w:jc w:val="center"/>
              <w:rPr>
                <w:rFonts w:cs="Arial"/>
              </w:rPr>
            </w:pPr>
            <w:r w:rsidRPr="00EB57D6">
              <w:rPr>
                <w:rFonts w:cs="Arial"/>
              </w:rPr>
              <w:t>1</w:t>
            </w:r>
            <w:r w:rsidRPr="00EB57D6">
              <w:rPr>
                <w:rFonts w:cs="Arial"/>
                <w:vertAlign w:val="superscript"/>
              </w:rPr>
              <w:t>er</w:t>
            </w:r>
            <w:r w:rsidRPr="00EB57D6">
              <w:rPr>
                <w:rFonts w:cs="Arial"/>
              </w:rPr>
              <w:t> janvier – 1</w:t>
            </w:r>
            <w:r w:rsidRPr="00EB57D6">
              <w:rPr>
                <w:rFonts w:cs="Arial"/>
                <w:vertAlign w:val="superscript"/>
              </w:rPr>
              <w:t>er</w:t>
            </w:r>
            <w:r w:rsidRPr="00EB57D6">
              <w:rPr>
                <w:rFonts w:cs="Arial"/>
              </w:rPr>
              <w:t> septembre 2020</w:t>
            </w:r>
          </w:p>
        </w:tc>
        <w:tc>
          <w:tcPr>
            <w:tcW w:w="2884" w:type="dxa"/>
            <w:gridSpan w:val="3"/>
            <w:tcBorders>
              <w:top w:val="single" w:sz="4" w:space="0" w:color="auto"/>
              <w:left w:val="nil"/>
              <w:right w:val="single" w:sz="12" w:space="0" w:color="auto"/>
            </w:tcBorders>
            <w:shd w:val="clear" w:color="auto" w:fill="FFFFFF"/>
          </w:tcPr>
          <w:p w:rsidR="009B2909" w:rsidRPr="00EB57D6" w:rsidRDefault="009B2909" w:rsidP="009B2909">
            <w:pPr>
              <w:shd w:val="clear" w:color="auto" w:fill="FFFFFF"/>
              <w:jc w:val="center"/>
              <w:rPr>
                <w:rFonts w:cs="Arial"/>
                <w:sz w:val="18"/>
              </w:rPr>
            </w:pPr>
            <w:r w:rsidRPr="00EB57D6">
              <w:rPr>
                <w:rFonts w:cs="Arial"/>
              </w:rPr>
              <w:t>Titres de protection délivrés</w:t>
            </w:r>
          </w:p>
          <w:p w:rsidR="009B2909" w:rsidRPr="00EB57D6" w:rsidRDefault="009B2909" w:rsidP="009B2909">
            <w:pPr>
              <w:shd w:val="clear" w:color="auto" w:fill="FFFFFF"/>
              <w:jc w:val="center"/>
              <w:rPr>
                <w:rFonts w:cs="Arial"/>
              </w:rPr>
            </w:pPr>
            <w:r w:rsidRPr="00EB57D6">
              <w:rPr>
                <w:rFonts w:cs="Arial"/>
              </w:rPr>
              <w:t>1</w:t>
            </w:r>
            <w:r w:rsidRPr="00EB57D6">
              <w:rPr>
                <w:rFonts w:cs="Arial"/>
                <w:vertAlign w:val="superscript"/>
              </w:rPr>
              <w:t>er</w:t>
            </w:r>
            <w:r w:rsidRPr="00EB57D6">
              <w:rPr>
                <w:rFonts w:cs="Arial"/>
              </w:rPr>
              <w:t> janvier – 1</w:t>
            </w:r>
            <w:r w:rsidRPr="00EB57D6">
              <w:rPr>
                <w:rFonts w:cs="Arial"/>
                <w:vertAlign w:val="superscript"/>
              </w:rPr>
              <w:t>er</w:t>
            </w:r>
            <w:r w:rsidRPr="00EB57D6">
              <w:rPr>
                <w:rFonts w:cs="Arial"/>
              </w:rPr>
              <w:t> septembre 2020</w:t>
            </w:r>
          </w:p>
        </w:tc>
        <w:tc>
          <w:tcPr>
            <w:tcW w:w="851" w:type="dxa"/>
            <w:tcBorders>
              <w:top w:val="single" w:sz="4" w:space="0" w:color="auto"/>
              <w:left w:val="nil"/>
              <w:right w:val="single" w:sz="12" w:space="0" w:color="auto"/>
            </w:tcBorders>
          </w:tcPr>
          <w:p w:rsidR="009B2909" w:rsidRPr="00EB57D6" w:rsidRDefault="009B2909" w:rsidP="009B2909">
            <w:pPr>
              <w:jc w:val="center"/>
              <w:rPr>
                <w:rFonts w:cs="Arial"/>
                <w:sz w:val="18"/>
              </w:rPr>
            </w:pPr>
            <w:r w:rsidRPr="00EB57D6">
              <w:rPr>
                <w:rFonts w:cs="Arial"/>
              </w:rPr>
              <w:t>Titres</w:t>
            </w:r>
          </w:p>
          <w:p w:rsidR="009B2909" w:rsidRPr="00EB57D6" w:rsidRDefault="009B2909" w:rsidP="009B2909">
            <w:pPr>
              <w:jc w:val="center"/>
              <w:rPr>
                <w:rFonts w:cs="Arial"/>
              </w:rPr>
            </w:pPr>
            <w:r w:rsidRPr="00EB57D6">
              <w:rPr>
                <w:rFonts w:cs="Arial"/>
              </w:rPr>
              <w:t>ayant expiré</w:t>
            </w:r>
          </w:p>
        </w:tc>
        <w:tc>
          <w:tcPr>
            <w:tcW w:w="1417" w:type="dxa"/>
            <w:tcBorders>
              <w:top w:val="single" w:sz="4" w:space="0" w:color="auto"/>
              <w:left w:val="nil"/>
              <w:right w:val="single" w:sz="6" w:space="0" w:color="auto"/>
            </w:tcBorders>
            <w:shd w:val="clear" w:color="auto" w:fill="FFFFFF"/>
          </w:tcPr>
          <w:p w:rsidR="009B2909" w:rsidRPr="00EB57D6" w:rsidRDefault="009B2909" w:rsidP="009B2909">
            <w:pPr>
              <w:ind w:right="-6"/>
              <w:jc w:val="center"/>
              <w:rPr>
                <w:rFonts w:cs="Arial"/>
              </w:rPr>
            </w:pPr>
            <w:r w:rsidRPr="00EB57D6">
              <w:rPr>
                <w:rFonts w:cs="Arial"/>
              </w:rPr>
              <w:t>Titres en vigueur au 1</w:t>
            </w:r>
            <w:r w:rsidRPr="00EB57D6">
              <w:rPr>
                <w:rFonts w:cs="Arial"/>
                <w:vertAlign w:val="superscript"/>
              </w:rPr>
              <w:t>er</w:t>
            </w:r>
            <w:r w:rsidRPr="00EB57D6">
              <w:rPr>
                <w:rFonts w:cs="Arial"/>
              </w:rPr>
              <w:t> septembre 2020</w:t>
            </w:r>
          </w:p>
        </w:tc>
      </w:tr>
      <w:tr w:rsidR="009B2909" w:rsidRPr="00EB57D6" w:rsidTr="001E54FA">
        <w:tc>
          <w:tcPr>
            <w:tcW w:w="1630" w:type="dxa"/>
            <w:tcBorders>
              <w:left w:val="single" w:sz="6" w:space="0" w:color="auto"/>
              <w:right w:val="single" w:sz="12" w:space="0" w:color="auto"/>
            </w:tcBorders>
          </w:tcPr>
          <w:p w:rsidR="009B2909" w:rsidRPr="00EB57D6" w:rsidRDefault="009B2909" w:rsidP="009B2909">
            <w:pPr>
              <w:rPr>
                <w:rFonts w:cs="Arial"/>
              </w:rPr>
            </w:pPr>
          </w:p>
        </w:tc>
        <w:tc>
          <w:tcPr>
            <w:tcW w:w="1052" w:type="dxa"/>
            <w:tcBorders>
              <w:top w:val="single" w:sz="6" w:space="0" w:color="auto"/>
              <w:left w:val="nil"/>
              <w:right w:val="single" w:sz="6" w:space="0" w:color="auto"/>
            </w:tcBorders>
          </w:tcPr>
          <w:p w:rsidR="009B2909" w:rsidRPr="00EB57D6" w:rsidRDefault="009B2909" w:rsidP="009B2909">
            <w:pPr>
              <w:jc w:val="center"/>
              <w:rPr>
                <w:rFonts w:cs="Arial"/>
              </w:rPr>
            </w:pPr>
            <w:r w:rsidRPr="00EB57D6">
              <w:rPr>
                <w:rFonts w:cs="Arial"/>
              </w:rPr>
              <w:t>nationales</w:t>
            </w:r>
          </w:p>
        </w:tc>
        <w:tc>
          <w:tcPr>
            <w:tcW w:w="1138" w:type="dxa"/>
            <w:tcBorders>
              <w:top w:val="single" w:sz="6" w:space="0" w:color="auto"/>
              <w:left w:val="nil"/>
              <w:right w:val="single" w:sz="6" w:space="0" w:color="auto"/>
            </w:tcBorders>
          </w:tcPr>
          <w:p w:rsidR="009B2909" w:rsidRPr="00EB57D6" w:rsidRDefault="009B2909" w:rsidP="009B2909">
            <w:pPr>
              <w:jc w:val="center"/>
              <w:rPr>
                <w:rFonts w:cs="Arial"/>
              </w:rPr>
            </w:pPr>
            <w:r w:rsidRPr="00EB57D6">
              <w:rPr>
                <w:rFonts w:cs="Arial"/>
              </w:rPr>
              <w:t>étrangères</w:t>
            </w:r>
          </w:p>
        </w:tc>
        <w:tc>
          <w:tcPr>
            <w:tcW w:w="650" w:type="dxa"/>
            <w:tcBorders>
              <w:top w:val="single" w:sz="6" w:space="0" w:color="auto"/>
              <w:left w:val="nil"/>
              <w:right w:val="single" w:sz="12" w:space="0" w:color="auto"/>
            </w:tcBorders>
          </w:tcPr>
          <w:p w:rsidR="009B2909" w:rsidRPr="00EB57D6" w:rsidRDefault="009B2909" w:rsidP="009B2909">
            <w:pPr>
              <w:jc w:val="center"/>
              <w:rPr>
                <w:rFonts w:cs="Arial"/>
              </w:rPr>
            </w:pPr>
            <w:r w:rsidRPr="00EB57D6">
              <w:rPr>
                <w:rFonts w:cs="Arial"/>
              </w:rPr>
              <w:t>total</w:t>
            </w:r>
          </w:p>
        </w:tc>
        <w:tc>
          <w:tcPr>
            <w:tcW w:w="1052" w:type="dxa"/>
            <w:gridSpan w:val="2"/>
            <w:tcBorders>
              <w:top w:val="single" w:sz="6" w:space="0" w:color="auto"/>
              <w:left w:val="nil"/>
              <w:right w:val="single" w:sz="6" w:space="0" w:color="auto"/>
            </w:tcBorders>
          </w:tcPr>
          <w:p w:rsidR="009B2909" w:rsidRPr="00EB57D6" w:rsidRDefault="009B2909" w:rsidP="009B2909">
            <w:pPr>
              <w:jc w:val="center"/>
              <w:rPr>
                <w:rFonts w:cs="Arial"/>
              </w:rPr>
            </w:pPr>
            <w:r w:rsidRPr="00EB57D6">
              <w:rPr>
                <w:rFonts w:cs="Arial"/>
              </w:rPr>
              <w:t>nationales</w:t>
            </w:r>
          </w:p>
        </w:tc>
        <w:tc>
          <w:tcPr>
            <w:tcW w:w="1133" w:type="dxa"/>
            <w:tcBorders>
              <w:top w:val="single" w:sz="6" w:space="0" w:color="auto"/>
              <w:left w:val="nil"/>
              <w:right w:val="single" w:sz="6" w:space="0" w:color="auto"/>
            </w:tcBorders>
          </w:tcPr>
          <w:p w:rsidR="009B2909" w:rsidRPr="00EB57D6" w:rsidRDefault="009B2909" w:rsidP="009B2909">
            <w:pPr>
              <w:jc w:val="center"/>
              <w:rPr>
                <w:rFonts w:cs="Arial"/>
              </w:rPr>
            </w:pPr>
            <w:r w:rsidRPr="00EB57D6">
              <w:rPr>
                <w:rFonts w:cs="Arial"/>
              </w:rPr>
              <w:t>étrangères</w:t>
            </w:r>
          </w:p>
        </w:tc>
        <w:tc>
          <w:tcPr>
            <w:tcW w:w="708" w:type="dxa"/>
            <w:tcBorders>
              <w:top w:val="single" w:sz="6" w:space="0" w:color="auto"/>
              <w:left w:val="nil"/>
              <w:right w:val="single" w:sz="12" w:space="0" w:color="auto"/>
            </w:tcBorders>
          </w:tcPr>
          <w:p w:rsidR="009B2909" w:rsidRPr="00EB57D6" w:rsidRDefault="009B2909" w:rsidP="009B2909">
            <w:pPr>
              <w:jc w:val="center"/>
              <w:rPr>
                <w:rFonts w:cs="Arial"/>
              </w:rPr>
            </w:pPr>
            <w:r w:rsidRPr="00EB57D6">
              <w:rPr>
                <w:rFonts w:cs="Arial"/>
              </w:rPr>
              <w:t>total</w:t>
            </w:r>
          </w:p>
        </w:tc>
        <w:tc>
          <w:tcPr>
            <w:tcW w:w="851" w:type="dxa"/>
            <w:tcBorders>
              <w:left w:val="nil"/>
              <w:right w:val="single" w:sz="12" w:space="0" w:color="auto"/>
            </w:tcBorders>
          </w:tcPr>
          <w:p w:rsidR="009B2909" w:rsidRPr="00EB57D6" w:rsidRDefault="009B2909" w:rsidP="009B2909">
            <w:pPr>
              <w:jc w:val="center"/>
              <w:rPr>
                <w:rFonts w:cs="Arial"/>
              </w:rPr>
            </w:pPr>
          </w:p>
        </w:tc>
        <w:tc>
          <w:tcPr>
            <w:tcW w:w="1417" w:type="dxa"/>
            <w:tcBorders>
              <w:left w:val="nil"/>
              <w:right w:val="single" w:sz="6" w:space="0" w:color="auto"/>
            </w:tcBorders>
            <w:shd w:val="clear" w:color="auto" w:fill="FFFFFF"/>
          </w:tcPr>
          <w:p w:rsidR="009B2909" w:rsidRPr="00EB57D6" w:rsidRDefault="009B2909" w:rsidP="009B2909">
            <w:pPr>
              <w:jc w:val="center"/>
              <w:rPr>
                <w:rFonts w:cs="Arial"/>
              </w:rPr>
            </w:pPr>
          </w:p>
        </w:tc>
      </w:tr>
      <w:tr w:rsidR="009B2909" w:rsidRPr="00EB57D6" w:rsidTr="001E54FA">
        <w:tc>
          <w:tcPr>
            <w:tcW w:w="1630" w:type="dxa"/>
            <w:tcBorders>
              <w:top w:val="single" w:sz="12" w:space="0" w:color="auto"/>
              <w:left w:val="single" w:sz="6" w:space="0" w:color="auto"/>
              <w:bottom w:val="single" w:sz="6" w:space="0" w:color="auto"/>
              <w:right w:val="single" w:sz="12" w:space="0" w:color="auto"/>
            </w:tcBorders>
          </w:tcPr>
          <w:p w:rsidR="009B2909" w:rsidRPr="00EB57D6" w:rsidRDefault="009B2909" w:rsidP="009B2909">
            <w:pPr>
              <w:spacing w:before="120"/>
              <w:jc w:val="center"/>
              <w:rPr>
                <w:rFonts w:cs="Arial"/>
              </w:rPr>
            </w:pPr>
            <w:r w:rsidRPr="00EB57D6">
              <w:rPr>
                <w:rFonts w:cs="Arial"/>
              </w:rPr>
              <w:t>agricoles</w:t>
            </w:r>
          </w:p>
        </w:tc>
        <w:tc>
          <w:tcPr>
            <w:tcW w:w="1052" w:type="dxa"/>
            <w:tcBorders>
              <w:top w:val="single" w:sz="12" w:space="0" w:color="auto"/>
              <w:left w:val="nil"/>
              <w:bottom w:val="single" w:sz="6" w:space="0" w:color="auto"/>
              <w:right w:val="single" w:sz="6" w:space="0" w:color="auto"/>
            </w:tcBorders>
          </w:tcPr>
          <w:p w:rsidR="009B2909" w:rsidRPr="00EB57D6" w:rsidRDefault="009B2909" w:rsidP="009B2909">
            <w:pPr>
              <w:spacing w:before="120"/>
              <w:jc w:val="center"/>
              <w:rPr>
                <w:rFonts w:cs="Arial"/>
              </w:rPr>
            </w:pPr>
            <w:r w:rsidRPr="00EB57D6">
              <w:rPr>
                <w:rFonts w:cs="Arial"/>
              </w:rPr>
              <w:t>43</w:t>
            </w:r>
          </w:p>
        </w:tc>
        <w:tc>
          <w:tcPr>
            <w:tcW w:w="1138" w:type="dxa"/>
            <w:tcBorders>
              <w:top w:val="single" w:sz="12" w:space="0" w:color="auto"/>
              <w:left w:val="single" w:sz="6" w:space="0" w:color="auto"/>
              <w:bottom w:val="single" w:sz="6" w:space="0" w:color="auto"/>
              <w:right w:val="single" w:sz="6" w:space="0" w:color="auto"/>
            </w:tcBorders>
          </w:tcPr>
          <w:p w:rsidR="009B2909" w:rsidRPr="00EB57D6" w:rsidRDefault="009B2909" w:rsidP="009B2909">
            <w:pPr>
              <w:spacing w:before="120"/>
              <w:jc w:val="center"/>
              <w:rPr>
                <w:rFonts w:cs="Arial"/>
              </w:rPr>
            </w:pPr>
            <w:r w:rsidRPr="00EB57D6">
              <w:rPr>
                <w:rFonts w:cs="Arial"/>
              </w:rPr>
              <w:t>2</w:t>
            </w:r>
          </w:p>
        </w:tc>
        <w:tc>
          <w:tcPr>
            <w:tcW w:w="650" w:type="dxa"/>
            <w:tcBorders>
              <w:top w:val="single" w:sz="12" w:space="0" w:color="auto"/>
              <w:left w:val="single" w:sz="6" w:space="0" w:color="auto"/>
              <w:bottom w:val="single" w:sz="6" w:space="0" w:color="auto"/>
              <w:right w:val="single" w:sz="12" w:space="0" w:color="auto"/>
            </w:tcBorders>
            <w:shd w:val="clear" w:color="auto" w:fill="D9D9D9"/>
          </w:tcPr>
          <w:p w:rsidR="009B2909" w:rsidRPr="00EB57D6" w:rsidRDefault="009B2909" w:rsidP="009B2909">
            <w:pPr>
              <w:spacing w:before="120"/>
              <w:jc w:val="center"/>
              <w:rPr>
                <w:rFonts w:cs="Arial"/>
              </w:rPr>
            </w:pPr>
            <w:r w:rsidRPr="00EB57D6">
              <w:rPr>
                <w:rFonts w:cs="Arial"/>
              </w:rPr>
              <w:t>45</w:t>
            </w:r>
          </w:p>
        </w:tc>
        <w:tc>
          <w:tcPr>
            <w:tcW w:w="1052" w:type="dxa"/>
            <w:gridSpan w:val="2"/>
            <w:tcBorders>
              <w:top w:val="single" w:sz="12" w:space="0" w:color="auto"/>
              <w:left w:val="nil"/>
              <w:bottom w:val="single" w:sz="6" w:space="0" w:color="auto"/>
              <w:right w:val="single" w:sz="6" w:space="0" w:color="auto"/>
            </w:tcBorders>
          </w:tcPr>
          <w:p w:rsidR="009B2909" w:rsidRPr="00EB57D6" w:rsidRDefault="009B2909" w:rsidP="009B2909">
            <w:pPr>
              <w:spacing w:before="120"/>
              <w:jc w:val="center"/>
              <w:rPr>
                <w:rFonts w:cs="Arial"/>
              </w:rPr>
            </w:pPr>
            <w:r w:rsidRPr="00EB57D6">
              <w:rPr>
                <w:rFonts w:cs="Arial"/>
              </w:rPr>
              <w:t>47</w:t>
            </w:r>
          </w:p>
        </w:tc>
        <w:tc>
          <w:tcPr>
            <w:tcW w:w="1133" w:type="dxa"/>
            <w:tcBorders>
              <w:top w:val="single" w:sz="12" w:space="0" w:color="auto"/>
              <w:left w:val="single" w:sz="6" w:space="0" w:color="auto"/>
              <w:bottom w:val="single" w:sz="6" w:space="0" w:color="auto"/>
              <w:right w:val="single" w:sz="6" w:space="0" w:color="auto"/>
            </w:tcBorders>
          </w:tcPr>
          <w:p w:rsidR="009B2909" w:rsidRPr="00EB57D6" w:rsidRDefault="009B2909" w:rsidP="009B2909">
            <w:pPr>
              <w:spacing w:before="120"/>
              <w:jc w:val="center"/>
              <w:rPr>
                <w:rFonts w:cs="Arial"/>
              </w:rPr>
            </w:pPr>
            <w:r w:rsidRPr="00EB57D6">
              <w:rPr>
                <w:rFonts w:cs="Arial"/>
              </w:rPr>
              <w:t>2</w:t>
            </w:r>
          </w:p>
        </w:tc>
        <w:tc>
          <w:tcPr>
            <w:tcW w:w="708" w:type="dxa"/>
            <w:tcBorders>
              <w:top w:val="single" w:sz="12" w:space="0" w:color="auto"/>
              <w:left w:val="single" w:sz="6" w:space="0" w:color="auto"/>
              <w:bottom w:val="single" w:sz="6" w:space="0" w:color="auto"/>
              <w:right w:val="single" w:sz="12" w:space="0" w:color="auto"/>
            </w:tcBorders>
            <w:shd w:val="clear" w:color="auto" w:fill="D9D9D9"/>
          </w:tcPr>
          <w:p w:rsidR="009B2909" w:rsidRPr="00EB57D6" w:rsidRDefault="009B2909" w:rsidP="009B2909">
            <w:pPr>
              <w:spacing w:before="120"/>
              <w:jc w:val="center"/>
              <w:rPr>
                <w:rFonts w:cs="Arial"/>
              </w:rPr>
            </w:pPr>
            <w:r w:rsidRPr="00EB57D6">
              <w:rPr>
                <w:rFonts w:cs="Arial"/>
              </w:rPr>
              <w:t>49</w:t>
            </w:r>
          </w:p>
        </w:tc>
        <w:tc>
          <w:tcPr>
            <w:tcW w:w="851" w:type="dxa"/>
            <w:tcBorders>
              <w:top w:val="single" w:sz="12" w:space="0" w:color="auto"/>
              <w:left w:val="nil"/>
              <w:bottom w:val="single" w:sz="6" w:space="0" w:color="auto"/>
              <w:right w:val="single" w:sz="12" w:space="0" w:color="auto"/>
            </w:tcBorders>
          </w:tcPr>
          <w:p w:rsidR="009B2909" w:rsidRPr="00EB57D6" w:rsidRDefault="009B2909" w:rsidP="009B2909">
            <w:pPr>
              <w:spacing w:before="120"/>
              <w:jc w:val="center"/>
              <w:rPr>
                <w:rFonts w:cs="Arial"/>
              </w:rPr>
            </w:pPr>
            <w:r w:rsidRPr="00EB57D6">
              <w:rPr>
                <w:rFonts w:cs="Arial"/>
              </w:rPr>
              <w:t>19</w:t>
            </w:r>
          </w:p>
        </w:tc>
        <w:tc>
          <w:tcPr>
            <w:tcW w:w="1417" w:type="dxa"/>
            <w:tcBorders>
              <w:top w:val="single" w:sz="12" w:space="0" w:color="auto"/>
              <w:left w:val="nil"/>
              <w:bottom w:val="single" w:sz="6" w:space="0" w:color="auto"/>
              <w:right w:val="single" w:sz="6" w:space="0" w:color="auto"/>
            </w:tcBorders>
            <w:shd w:val="clear" w:color="auto" w:fill="D9D9D9"/>
          </w:tcPr>
          <w:p w:rsidR="009B2909" w:rsidRPr="00EB57D6" w:rsidRDefault="009B2909" w:rsidP="009B2909">
            <w:pPr>
              <w:spacing w:before="120"/>
              <w:jc w:val="center"/>
              <w:rPr>
                <w:rFonts w:cs="Arial"/>
              </w:rPr>
            </w:pPr>
            <w:r w:rsidRPr="00EB57D6">
              <w:rPr>
                <w:rFonts w:cs="Arial"/>
              </w:rPr>
              <w:t>723</w:t>
            </w:r>
          </w:p>
        </w:tc>
      </w:tr>
      <w:tr w:rsidR="009B2909" w:rsidRPr="00EB57D6" w:rsidTr="001E54FA">
        <w:tc>
          <w:tcPr>
            <w:tcW w:w="1630" w:type="dxa"/>
            <w:tcBorders>
              <w:top w:val="single" w:sz="6" w:space="0" w:color="auto"/>
              <w:left w:val="single" w:sz="6" w:space="0" w:color="auto"/>
              <w:bottom w:val="single" w:sz="6" w:space="0" w:color="auto"/>
              <w:right w:val="single" w:sz="12" w:space="0" w:color="auto"/>
            </w:tcBorders>
          </w:tcPr>
          <w:p w:rsidR="009B2909" w:rsidRPr="00EB57D6" w:rsidRDefault="009B2909" w:rsidP="009B2909">
            <w:pPr>
              <w:spacing w:before="120"/>
              <w:jc w:val="center"/>
              <w:rPr>
                <w:rFonts w:cs="Arial"/>
              </w:rPr>
            </w:pPr>
            <w:r w:rsidRPr="00EB57D6">
              <w:rPr>
                <w:rFonts w:cs="Arial"/>
              </w:rPr>
              <w:t>potagères</w:t>
            </w:r>
          </w:p>
        </w:tc>
        <w:tc>
          <w:tcPr>
            <w:tcW w:w="1052" w:type="dxa"/>
            <w:tcBorders>
              <w:top w:val="single" w:sz="6" w:space="0" w:color="auto"/>
              <w:left w:val="nil"/>
              <w:bottom w:val="single" w:sz="6" w:space="0" w:color="auto"/>
              <w:right w:val="single" w:sz="6" w:space="0" w:color="auto"/>
            </w:tcBorders>
          </w:tcPr>
          <w:p w:rsidR="009B2909" w:rsidRPr="00EB57D6" w:rsidRDefault="009B2909" w:rsidP="009B2909">
            <w:pPr>
              <w:spacing w:before="120"/>
              <w:jc w:val="center"/>
              <w:rPr>
                <w:rFonts w:cs="Arial"/>
              </w:rPr>
            </w:pPr>
            <w:r w:rsidRPr="00EB57D6">
              <w:rPr>
                <w:rFonts w:cs="Arial"/>
              </w:rPr>
              <w:t>6</w:t>
            </w:r>
          </w:p>
        </w:tc>
        <w:tc>
          <w:tcPr>
            <w:tcW w:w="1138" w:type="dxa"/>
            <w:tcBorders>
              <w:top w:val="single" w:sz="6" w:space="0" w:color="auto"/>
              <w:left w:val="single" w:sz="6" w:space="0" w:color="auto"/>
              <w:bottom w:val="single" w:sz="6" w:space="0" w:color="auto"/>
              <w:right w:val="single" w:sz="6" w:space="0" w:color="auto"/>
            </w:tcBorders>
          </w:tcPr>
          <w:p w:rsidR="009B2909" w:rsidRPr="00EB57D6" w:rsidRDefault="009B2909" w:rsidP="009B2909">
            <w:pPr>
              <w:spacing w:before="120"/>
              <w:jc w:val="center"/>
              <w:rPr>
                <w:rFonts w:cs="Arial"/>
              </w:rPr>
            </w:pPr>
            <w:r w:rsidRPr="00EB57D6">
              <w:rPr>
                <w:rFonts w:cs="Arial"/>
              </w:rPr>
              <w:t>-</w:t>
            </w:r>
          </w:p>
        </w:tc>
        <w:tc>
          <w:tcPr>
            <w:tcW w:w="650" w:type="dxa"/>
            <w:tcBorders>
              <w:top w:val="single" w:sz="6" w:space="0" w:color="auto"/>
              <w:left w:val="single" w:sz="6" w:space="0" w:color="auto"/>
              <w:bottom w:val="single" w:sz="6" w:space="0" w:color="auto"/>
              <w:right w:val="single" w:sz="12" w:space="0" w:color="auto"/>
            </w:tcBorders>
            <w:shd w:val="clear" w:color="auto" w:fill="D9D9D9"/>
          </w:tcPr>
          <w:p w:rsidR="009B2909" w:rsidRPr="00EB57D6" w:rsidRDefault="009B2909" w:rsidP="009B2909">
            <w:pPr>
              <w:spacing w:before="120"/>
              <w:jc w:val="center"/>
              <w:rPr>
                <w:rFonts w:cs="Arial"/>
              </w:rPr>
            </w:pPr>
            <w:r w:rsidRPr="00EB57D6">
              <w:rPr>
                <w:rFonts w:cs="Arial"/>
              </w:rPr>
              <w:t>6</w:t>
            </w:r>
          </w:p>
        </w:tc>
        <w:tc>
          <w:tcPr>
            <w:tcW w:w="1052" w:type="dxa"/>
            <w:gridSpan w:val="2"/>
            <w:tcBorders>
              <w:top w:val="single" w:sz="6" w:space="0" w:color="auto"/>
              <w:left w:val="nil"/>
              <w:bottom w:val="single" w:sz="6" w:space="0" w:color="auto"/>
              <w:right w:val="single" w:sz="6" w:space="0" w:color="auto"/>
            </w:tcBorders>
          </w:tcPr>
          <w:p w:rsidR="009B2909" w:rsidRPr="00EB57D6" w:rsidRDefault="009B2909" w:rsidP="009B2909">
            <w:pPr>
              <w:spacing w:before="120"/>
              <w:jc w:val="center"/>
              <w:rPr>
                <w:rFonts w:cs="Arial"/>
              </w:rPr>
            </w:pPr>
            <w:r w:rsidRPr="00EB57D6">
              <w:rPr>
                <w:rFonts w:cs="Arial"/>
              </w:rPr>
              <w:t>6</w:t>
            </w:r>
          </w:p>
        </w:tc>
        <w:tc>
          <w:tcPr>
            <w:tcW w:w="1133" w:type="dxa"/>
            <w:tcBorders>
              <w:top w:val="single" w:sz="6" w:space="0" w:color="auto"/>
              <w:left w:val="single" w:sz="6" w:space="0" w:color="auto"/>
              <w:bottom w:val="single" w:sz="6" w:space="0" w:color="auto"/>
              <w:right w:val="single" w:sz="6" w:space="0" w:color="auto"/>
            </w:tcBorders>
          </w:tcPr>
          <w:p w:rsidR="009B2909" w:rsidRPr="00EB57D6" w:rsidRDefault="009B2909" w:rsidP="009B2909">
            <w:pPr>
              <w:spacing w:before="120"/>
              <w:jc w:val="center"/>
              <w:rPr>
                <w:rFonts w:cs="Arial"/>
              </w:rPr>
            </w:pPr>
            <w:r w:rsidRPr="00EB57D6">
              <w:rPr>
                <w:rFonts w:cs="Arial"/>
              </w:rPr>
              <w:t>-</w:t>
            </w:r>
          </w:p>
        </w:tc>
        <w:tc>
          <w:tcPr>
            <w:tcW w:w="708" w:type="dxa"/>
            <w:tcBorders>
              <w:top w:val="single" w:sz="6" w:space="0" w:color="auto"/>
              <w:left w:val="single" w:sz="6" w:space="0" w:color="auto"/>
              <w:bottom w:val="single" w:sz="6" w:space="0" w:color="auto"/>
              <w:right w:val="single" w:sz="12" w:space="0" w:color="auto"/>
            </w:tcBorders>
            <w:shd w:val="clear" w:color="auto" w:fill="D9D9D9"/>
          </w:tcPr>
          <w:p w:rsidR="009B2909" w:rsidRPr="00EB57D6" w:rsidRDefault="009B2909" w:rsidP="009B2909">
            <w:pPr>
              <w:spacing w:before="120"/>
              <w:jc w:val="center"/>
              <w:rPr>
                <w:rFonts w:cs="Arial"/>
              </w:rPr>
            </w:pPr>
            <w:r w:rsidRPr="00EB57D6">
              <w:rPr>
                <w:rFonts w:cs="Arial"/>
              </w:rPr>
              <w:t>6</w:t>
            </w:r>
          </w:p>
        </w:tc>
        <w:tc>
          <w:tcPr>
            <w:tcW w:w="851" w:type="dxa"/>
            <w:tcBorders>
              <w:top w:val="single" w:sz="6" w:space="0" w:color="auto"/>
              <w:left w:val="nil"/>
              <w:bottom w:val="single" w:sz="6" w:space="0" w:color="auto"/>
              <w:right w:val="single" w:sz="12" w:space="0" w:color="auto"/>
            </w:tcBorders>
          </w:tcPr>
          <w:p w:rsidR="009B2909" w:rsidRPr="00EB57D6" w:rsidRDefault="009B2909" w:rsidP="009B2909">
            <w:pPr>
              <w:spacing w:before="120"/>
              <w:jc w:val="center"/>
              <w:rPr>
                <w:rFonts w:cs="Arial"/>
              </w:rPr>
            </w:pPr>
            <w:r w:rsidRPr="00EB57D6">
              <w:rPr>
                <w:rFonts w:cs="Arial"/>
              </w:rPr>
              <w:t>5</w:t>
            </w:r>
          </w:p>
        </w:tc>
        <w:tc>
          <w:tcPr>
            <w:tcW w:w="1417" w:type="dxa"/>
            <w:tcBorders>
              <w:top w:val="single" w:sz="6" w:space="0" w:color="auto"/>
              <w:left w:val="nil"/>
              <w:bottom w:val="single" w:sz="6" w:space="0" w:color="auto"/>
              <w:right w:val="single" w:sz="6" w:space="0" w:color="auto"/>
            </w:tcBorders>
            <w:shd w:val="clear" w:color="auto" w:fill="D9D9D9"/>
          </w:tcPr>
          <w:p w:rsidR="009B2909" w:rsidRPr="00EB57D6" w:rsidRDefault="009B2909" w:rsidP="009B2909">
            <w:pPr>
              <w:spacing w:before="120"/>
              <w:jc w:val="center"/>
              <w:rPr>
                <w:rFonts w:cs="Arial"/>
              </w:rPr>
            </w:pPr>
            <w:r w:rsidRPr="00EB57D6">
              <w:rPr>
                <w:rFonts w:cs="Arial"/>
              </w:rPr>
              <w:t>200</w:t>
            </w:r>
          </w:p>
        </w:tc>
      </w:tr>
      <w:tr w:rsidR="009B2909" w:rsidRPr="00EB57D6" w:rsidTr="001E54FA">
        <w:tc>
          <w:tcPr>
            <w:tcW w:w="1630" w:type="dxa"/>
            <w:tcBorders>
              <w:top w:val="single" w:sz="6" w:space="0" w:color="auto"/>
              <w:left w:val="single" w:sz="6" w:space="0" w:color="auto"/>
              <w:right w:val="single" w:sz="12" w:space="0" w:color="auto"/>
            </w:tcBorders>
          </w:tcPr>
          <w:p w:rsidR="009B2909" w:rsidRPr="00EB57D6" w:rsidRDefault="009B2909" w:rsidP="009B2909">
            <w:pPr>
              <w:spacing w:before="120"/>
              <w:jc w:val="center"/>
              <w:rPr>
                <w:rFonts w:cs="Arial"/>
              </w:rPr>
            </w:pPr>
            <w:r w:rsidRPr="00EB57D6">
              <w:rPr>
                <w:rFonts w:cs="Arial"/>
              </w:rPr>
              <w:t>ornementales</w:t>
            </w:r>
          </w:p>
        </w:tc>
        <w:tc>
          <w:tcPr>
            <w:tcW w:w="1052" w:type="dxa"/>
            <w:tcBorders>
              <w:top w:val="single" w:sz="6" w:space="0" w:color="auto"/>
              <w:left w:val="nil"/>
              <w:right w:val="single" w:sz="6" w:space="0" w:color="auto"/>
            </w:tcBorders>
          </w:tcPr>
          <w:p w:rsidR="009B2909" w:rsidRPr="00EB57D6" w:rsidRDefault="009B2909" w:rsidP="009B2909">
            <w:pPr>
              <w:spacing w:before="120"/>
              <w:jc w:val="center"/>
              <w:rPr>
                <w:rFonts w:cs="Arial"/>
              </w:rPr>
            </w:pPr>
            <w:r w:rsidRPr="00EB57D6">
              <w:rPr>
                <w:rFonts w:cs="Arial"/>
              </w:rPr>
              <w:t>27</w:t>
            </w:r>
          </w:p>
        </w:tc>
        <w:tc>
          <w:tcPr>
            <w:tcW w:w="1138" w:type="dxa"/>
            <w:tcBorders>
              <w:top w:val="single" w:sz="6" w:space="0" w:color="auto"/>
              <w:left w:val="single" w:sz="6" w:space="0" w:color="auto"/>
              <w:right w:val="single" w:sz="6" w:space="0" w:color="auto"/>
            </w:tcBorders>
          </w:tcPr>
          <w:p w:rsidR="009B2909" w:rsidRPr="00EB57D6" w:rsidRDefault="009B2909" w:rsidP="009B2909">
            <w:pPr>
              <w:spacing w:before="120"/>
              <w:jc w:val="center"/>
              <w:rPr>
                <w:rFonts w:cs="Arial"/>
              </w:rPr>
            </w:pPr>
            <w:r w:rsidRPr="00EB57D6">
              <w:rPr>
                <w:rFonts w:cs="Arial"/>
              </w:rPr>
              <w:t>20</w:t>
            </w:r>
          </w:p>
        </w:tc>
        <w:tc>
          <w:tcPr>
            <w:tcW w:w="650" w:type="dxa"/>
            <w:tcBorders>
              <w:top w:val="single" w:sz="6" w:space="0" w:color="auto"/>
              <w:left w:val="single" w:sz="6" w:space="0" w:color="auto"/>
              <w:right w:val="single" w:sz="12" w:space="0" w:color="auto"/>
            </w:tcBorders>
            <w:shd w:val="clear" w:color="auto" w:fill="D9D9D9"/>
          </w:tcPr>
          <w:p w:rsidR="009B2909" w:rsidRPr="00EB57D6" w:rsidRDefault="009B2909" w:rsidP="009B2909">
            <w:pPr>
              <w:spacing w:before="120"/>
              <w:jc w:val="center"/>
              <w:rPr>
                <w:rFonts w:cs="Arial"/>
              </w:rPr>
            </w:pPr>
            <w:r w:rsidRPr="00EB57D6">
              <w:rPr>
                <w:rFonts w:cs="Arial"/>
              </w:rPr>
              <w:t>47</w:t>
            </w:r>
          </w:p>
        </w:tc>
        <w:tc>
          <w:tcPr>
            <w:tcW w:w="1052" w:type="dxa"/>
            <w:gridSpan w:val="2"/>
            <w:tcBorders>
              <w:top w:val="single" w:sz="6" w:space="0" w:color="auto"/>
              <w:left w:val="nil"/>
              <w:right w:val="single" w:sz="6" w:space="0" w:color="auto"/>
            </w:tcBorders>
          </w:tcPr>
          <w:p w:rsidR="009B2909" w:rsidRPr="00EB57D6" w:rsidRDefault="009B2909" w:rsidP="009B2909">
            <w:pPr>
              <w:spacing w:before="120"/>
              <w:jc w:val="center"/>
              <w:rPr>
                <w:rFonts w:cs="Arial"/>
              </w:rPr>
            </w:pPr>
            <w:r w:rsidRPr="00EB57D6">
              <w:rPr>
                <w:rFonts w:cs="Arial"/>
              </w:rPr>
              <w:t>17</w:t>
            </w:r>
          </w:p>
        </w:tc>
        <w:tc>
          <w:tcPr>
            <w:tcW w:w="1133" w:type="dxa"/>
            <w:tcBorders>
              <w:top w:val="single" w:sz="6" w:space="0" w:color="auto"/>
              <w:left w:val="single" w:sz="6" w:space="0" w:color="auto"/>
              <w:right w:val="single" w:sz="6" w:space="0" w:color="auto"/>
            </w:tcBorders>
          </w:tcPr>
          <w:p w:rsidR="009B2909" w:rsidRPr="00EB57D6" w:rsidRDefault="009B2909" w:rsidP="009B2909">
            <w:pPr>
              <w:spacing w:before="120"/>
              <w:jc w:val="center"/>
              <w:rPr>
                <w:rFonts w:cs="Arial"/>
              </w:rPr>
            </w:pPr>
            <w:r w:rsidRPr="00EB57D6">
              <w:rPr>
                <w:rFonts w:cs="Arial"/>
              </w:rPr>
              <w:t>12</w:t>
            </w:r>
          </w:p>
        </w:tc>
        <w:tc>
          <w:tcPr>
            <w:tcW w:w="708" w:type="dxa"/>
            <w:tcBorders>
              <w:top w:val="single" w:sz="6" w:space="0" w:color="auto"/>
              <w:left w:val="single" w:sz="6" w:space="0" w:color="auto"/>
              <w:right w:val="single" w:sz="12" w:space="0" w:color="auto"/>
            </w:tcBorders>
            <w:shd w:val="clear" w:color="auto" w:fill="D9D9D9"/>
          </w:tcPr>
          <w:p w:rsidR="009B2909" w:rsidRPr="00EB57D6" w:rsidRDefault="009B2909" w:rsidP="009B2909">
            <w:pPr>
              <w:spacing w:before="120"/>
              <w:jc w:val="center"/>
              <w:rPr>
                <w:rFonts w:cs="Arial"/>
              </w:rPr>
            </w:pPr>
            <w:r w:rsidRPr="00EB57D6">
              <w:rPr>
                <w:rFonts w:cs="Arial"/>
              </w:rPr>
              <w:t>29</w:t>
            </w:r>
          </w:p>
        </w:tc>
        <w:tc>
          <w:tcPr>
            <w:tcW w:w="851" w:type="dxa"/>
            <w:tcBorders>
              <w:top w:val="single" w:sz="6" w:space="0" w:color="auto"/>
              <w:left w:val="nil"/>
              <w:right w:val="single" w:sz="12" w:space="0" w:color="auto"/>
            </w:tcBorders>
          </w:tcPr>
          <w:p w:rsidR="009B2909" w:rsidRPr="00EB57D6" w:rsidRDefault="009B2909" w:rsidP="009B2909">
            <w:pPr>
              <w:spacing w:before="120"/>
              <w:jc w:val="center"/>
              <w:rPr>
                <w:rFonts w:cs="Arial"/>
              </w:rPr>
            </w:pPr>
            <w:r w:rsidRPr="00EB57D6">
              <w:rPr>
                <w:rFonts w:cs="Arial"/>
              </w:rPr>
              <w:t>8</w:t>
            </w:r>
          </w:p>
        </w:tc>
        <w:tc>
          <w:tcPr>
            <w:tcW w:w="1417" w:type="dxa"/>
            <w:tcBorders>
              <w:top w:val="single" w:sz="6" w:space="0" w:color="auto"/>
              <w:left w:val="nil"/>
              <w:right w:val="single" w:sz="6" w:space="0" w:color="auto"/>
            </w:tcBorders>
            <w:shd w:val="clear" w:color="auto" w:fill="D9D9D9"/>
          </w:tcPr>
          <w:p w:rsidR="009B2909" w:rsidRPr="00EB57D6" w:rsidRDefault="009B2909" w:rsidP="009B2909">
            <w:pPr>
              <w:spacing w:before="120"/>
              <w:jc w:val="center"/>
              <w:rPr>
                <w:rFonts w:cs="Arial"/>
              </w:rPr>
            </w:pPr>
            <w:r w:rsidRPr="00EB57D6">
              <w:rPr>
                <w:rFonts w:cs="Arial"/>
              </w:rPr>
              <w:t>247</w:t>
            </w:r>
          </w:p>
        </w:tc>
      </w:tr>
      <w:tr w:rsidR="009B2909" w:rsidRPr="00EB57D6" w:rsidTr="001E54FA">
        <w:tc>
          <w:tcPr>
            <w:tcW w:w="1630" w:type="dxa"/>
            <w:tcBorders>
              <w:top w:val="single" w:sz="6" w:space="0" w:color="auto"/>
              <w:left w:val="single" w:sz="6" w:space="0" w:color="auto"/>
              <w:right w:val="single" w:sz="12" w:space="0" w:color="auto"/>
            </w:tcBorders>
          </w:tcPr>
          <w:p w:rsidR="009B2909" w:rsidRPr="00EB57D6" w:rsidRDefault="009B2909" w:rsidP="009B2909">
            <w:pPr>
              <w:spacing w:before="120"/>
              <w:jc w:val="center"/>
              <w:rPr>
                <w:rFonts w:cs="Arial"/>
              </w:rPr>
            </w:pPr>
            <w:r w:rsidRPr="00EB57D6">
              <w:rPr>
                <w:rFonts w:cs="Arial"/>
              </w:rPr>
              <w:t>fruitières</w:t>
            </w:r>
          </w:p>
        </w:tc>
        <w:tc>
          <w:tcPr>
            <w:tcW w:w="1052" w:type="dxa"/>
            <w:tcBorders>
              <w:top w:val="single" w:sz="6" w:space="0" w:color="auto"/>
              <w:left w:val="nil"/>
              <w:right w:val="single" w:sz="6" w:space="0" w:color="auto"/>
            </w:tcBorders>
          </w:tcPr>
          <w:p w:rsidR="009B2909" w:rsidRPr="00EB57D6" w:rsidRDefault="009B2909" w:rsidP="009B2909">
            <w:pPr>
              <w:spacing w:before="120"/>
              <w:jc w:val="center"/>
              <w:rPr>
                <w:rFonts w:cs="Arial"/>
              </w:rPr>
            </w:pPr>
            <w:r w:rsidRPr="00EB57D6">
              <w:rPr>
                <w:rFonts w:cs="Arial"/>
              </w:rPr>
              <w:t>-</w:t>
            </w:r>
          </w:p>
        </w:tc>
        <w:tc>
          <w:tcPr>
            <w:tcW w:w="1138" w:type="dxa"/>
            <w:tcBorders>
              <w:top w:val="single" w:sz="6" w:space="0" w:color="auto"/>
              <w:left w:val="single" w:sz="6" w:space="0" w:color="auto"/>
              <w:right w:val="single" w:sz="6" w:space="0" w:color="auto"/>
            </w:tcBorders>
          </w:tcPr>
          <w:p w:rsidR="009B2909" w:rsidRPr="00EB57D6" w:rsidRDefault="009B2909" w:rsidP="009B2909">
            <w:pPr>
              <w:spacing w:before="120"/>
              <w:jc w:val="center"/>
              <w:rPr>
                <w:rFonts w:cs="Arial"/>
              </w:rPr>
            </w:pPr>
            <w:r w:rsidRPr="00EB57D6">
              <w:rPr>
                <w:rFonts w:cs="Arial"/>
              </w:rPr>
              <w:t>-</w:t>
            </w:r>
          </w:p>
        </w:tc>
        <w:tc>
          <w:tcPr>
            <w:tcW w:w="650" w:type="dxa"/>
            <w:tcBorders>
              <w:top w:val="single" w:sz="6" w:space="0" w:color="auto"/>
              <w:left w:val="single" w:sz="6" w:space="0" w:color="auto"/>
              <w:right w:val="single" w:sz="12" w:space="0" w:color="auto"/>
            </w:tcBorders>
            <w:shd w:val="clear" w:color="auto" w:fill="D9D9D9"/>
          </w:tcPr>
          <w:p w:rsidR="009B2909" w:rsidRPr="00EB57D6" w:rsidRDefault="009B2909" w:rsidP="009B2909">
            <w:pPr>
              <w:spacing w:before="120"/>
              <w:jc w:val="center"/>
              <w:rPr>
                <w:rFonts w:cs="Arial"/>
              </w:rPr>
            </w:pPr>
            <w:r w:rsidRPr="00EB57D6">
              <w:rPr>
                <w:rFonts w:cs="Arial"/>
              </w:rPr>
              <w:t>-</w:t>
            </w:r>
          </w:p>
        </w:tc>
        <w:tc>
          <w:tcPr>
            <w:tcW w:w="1052" w:type="dxa"/>
            <w:gridSpan w:val="2"/>
            <w:tcBorders>
              <w:top w:val="single" w:sz="6" w:space="0" w:color="auto"/>
              <w:left w:val="nil"/>
              <w:right w:val="single" w:sz="6" w:space="0" w:color="auto"/>
            </w:tcBorders>
          </w:tcPr>
          <w:p w:rsidR="009B2909" w:rsidRPr="00EB57D6" w:rsidRDefault="009B2909" w:rsidP="009B2909">
            <w:pPr>
              <w:pStyle w:val="Footer"/>
              <w:spacing w:before="120"/>
              <w:jc w:val="center"/>
              <w:rPr>
                <w:rFonts w:cs="Arial"/>
                <w:sz w:val="20"/>
                <w:lang w:val="fr-FR"/>
              </w:rPr>
            </w:pPr>
            <w:r w:rsidRPr="00EB57D6">
              <w:rPr>
                <w:rFonts w:cs="Arial"/>
                <w:sz w:val="20"/>
                <w:lang w:val="fr-FR"/>
              </w:rPr>
              <w:t>5</w:t>
            </w:r>
          </w:p>
        </w:tc>
        <w:tc>
          <w:tcPr>
            <w:tcW w:w="1133" w:type="dxa"/>
            <w:tcBorders>
              <w:top w:val="single" w:sz="6" w:space="0" w:color="auto"/>
              <w:left w:val="single" w:sz="6" w:space="0" w:color="auto"/>
              <w:right w:val="single" w:sz="6" w:space="0" w:color="auto"/>
            </w:tcBorders>
          </w:tcPr>
          <w:p w:rsidR="009B2909" w:rsidRPr="00EB57D6" w:rsidRDefault="009B2909" w:rsidP="009B2909">
            <w:pPr>
              <w:spacing w:before="120"/>
              <w:jc w:val="center"/>
              <w:rPr>
                <w:rFonts w:cs="Arial"/>
              </w:rPr>
            </w:pPr>
            <w:r w:rsidRPr="00EB57D6">
              <w:rPr>
                <w:rFonts w:cs="Arial"/>
              </w:rPr>
              <w:t>1</w:t>
            </w:r>
          </w:p>
        </w:tc>
        <w:tc>
          <w:tcPr>
            <w:tcW w:w="708" w:type="dxa"/>
            <w:tcBorders>
              <w:top w:val="single" w:sz="6" w:space="0" w:color="auto"/>
              <w:left w:val="single" w:sz="6" w:space="0" w:color="auto"/>
              <w:right w:val="single" w:sz="12" w:space="0" w:color="auto"/>
            </w:tcBorders>
            <w:shd w:val="clear" w:color="auto" w:fill="D9D9D9"/>
          </w:tcPr>
          <w:p w:rsidR="009B2909" w:rsidRPr="00EB57D6" w:rsidRDefault="009B2909" w:rsidP="009B2909">
            <w:pPr>
              <w:spacing w:before="120"/>
              <w:jc w:val="center"/>
              <w:rPr>
                <w:rFonts w:cs="Arial"/>
              </w:rPr>
            </w:pPr>
            <w:r w:rsidRPr="00EB57D6">
              <w:rPr>
                <w:rFonts w:cs="Arial"/>
              </w:rPr>
              <w:t>6</w:t>
            </w:r>
          </w:p>
        </w:tc>
        <w:tc>
          <w:tcPr>
            <w:tcW w:w="851" w:type="dxa"/>
            <w:tcBorders>
              <w:top w:val="single" w:sz="6" w:space="0" w:color="auto"/>
              <w:left w:val="nil"/>
              <w:right w:val="single" w:sz="12" w:space="0" w:color="auto"/>
            </w:tcBorders>
          </w:tcPr>
          <w:p w:rsidR="009B2909" w:rsidRPr="00EB57D6" w:rsidRDefault="009B2909" w:rsidP="009B2909">
            <w:pPr>
              <w:spacing w:before="120"/>
              <w:jc w:val="center"/>
              <w:rPr>
                <w:rFonts w:cs="Arial"/>
              </w:rPr>
            </w:pPr>
            <w:r w:rsidRPr="00EB57D6">
              <w:rPr>
                <w:rFonts w:cs="Arial"/>
              </w:rPr>
              <w:t>6</w:t>
            </w:r>
          </w:p>
        </w:tc>
        <w:tc>
          <w:tcPr>
            <w:tcW w:w="1417" w:type="dxa"/>
            <w:tcBorders>
              <w:top w:val="single" w:sz="6" w:space="0" w:color="auto"/>
              <w:left w:val="nil"/>
              <w:right w:val="single" w:sz="6" w:space="0" w:color="auto"/>
            </w:tcBorders>
            <w:shd w:val="clear" w:color="auto" w:fill="D9D9D9"/>
          </w:tcPr>
          <w:p w:rsidR="009B2909" w:rsidRPr="00EB57D6" w:rsidRDefault="009B2909" w:rsidP="009B2909">
            <w:pPr>
              <w:spacing w:before="120"/>
              <w:jc w:val="center"/>
              <w:rPr>
                <w:rFonts w:cs="Arial"/>
              </w:rPr>
            </w:pPr>
            <w:r w:rsidRPr="00EB57D6">
              <w:rPr>
                <w:rFonts w:cs="Arial"/>
              </w:rPr>
              <w:t>113</w:t>
            </w:r>
          </w:p>
        </w:tc>
      </w:tr>
      <w:tr w:rsidR="009B2909" w:rsidRPr="00EB57D6" w:rsidTr="001E54FA">
        <w:tc>
          <w:tcPr>
            <w:tcW w:w="1630" w:type="dxa"/>
            <w:tcBorders>
              <w:top w:val="single" w:sz="12" w:space="0" w:color="auto"/>
              <w:left w:val="single" w:sz="6" w:space="0" w:color="auto"/>
              <w:bottom w:val="single" w:sz="6" w:space="0" w:color="auto"/>
              <w:right w:val="single" w:sz="12" w:space="0" w:color="auto"/>
            </w:tcBorders>
            <w:shd w:val="clear" w:color="auto" w:fill="FFFFFF"/>
          </w:tcPr>
          <w:p w:rsidR="009B2909" w:rsidRPr="00EB57D6" w:rsidRDefault="009B2909" w:rsidP="009B2909">
            <w:pPr>
              <w:spacing w:before="120"/>
              <w:jc w:val="center"/>
              <w:rPr>
                <w:rFonts w:cs="Arial"/>
              </w:rPr>
            </w:pPr>
            <w:r w:rsidRPr="00EB57D6">
              <w:rPr>
                <w:rFonts w:cs="Arial"/>
                <w:b/>
              </w:rPr>
              <w:t>Total</w:t>
            </w:r>
          </w:p>
        </w:tc>
        <w:tc>
          <w:tcPr>
            <w:tcW w:w="1052" w:type="dxa"/>
            <w:tcBorders>
              <w:top w:val="single" w:sz="12" w:space="0" w:color="auto"/>
              <w:left w:val="nil"/>
              <w:bottom w:val="single" w:sz="6" w:space="0" w:color="auto"/>
              <w:right w:val="single" w:sz="6" w:space="0" w:color="auto"/>
            </w:tcBorders>
            <w:shd w:val="clear" w:color="auto" w:fill="D9D9D9"/>
          </w:tcPr>
          <w:p w:rsidR="009B2909" w:rsidRPr="00EB57D6" w:rsidRDefault="009B2909" w:rsidP="009B2909">
            <w:pPr>
              <w:spacing w:before="120"/>
              <w:jc w:val="center"/>
              <w:rPr>
                <w:rFonts w:cs="Arial"/>
                <w:b/>
              </w:rPr>
            </w:pPr>
            <w:r w:rsidRPr="00EB57D6">
              <w:rPr>
                <w:rFonts w:cs="Arial"/>
                <w:b/>
              </w:rPr>
              <w:t>76</w:t>
            </w:r>
          </w:p>
        </w:tc>
        <w:tc>
          <w:tcPr>
            <w:tcW w:w="1138" w:type="dxa"/>
            <w:tcBorders>
              <w:top w:val="single" w:sz="12" w:space="0" w:color="auto"/>
              <w:left w:val="single" w:sz="6" w:space="0" w:color="auto"/>
              <w:bottom w:val="single" w:sz="6" w:space="0" w:color="auto"/>
              <w:right w:val="single" w:sz="6" w:space="0" w:color="auto"/>
            </w:tcBorders>
            <w:shd w:val="clear" w:color="auto" w:fill="D9D9D9"/>
          </w:tcPr>
          <w:p w:rsidR="009B2909" w:rsidRPr="00EB57D6" w:rsidRDefault="009B2909" w:rsidP="009B2909">
            <w:pPr>
              <w:spacing w:before="120"/>
              <w:jc w:val="center"/>
              <w:rPr>
                <w:rFonts w:cs="Arial"/>
                <w:b/>
              </w:rPr>
            </w:pPr>
            <w:r w:rsidRPr="00EB57D6">
              <w:rPr>
                <w:rFonts w:cs="Arial"/>
                <w:b/>
              </w:rPr>
              <w:t>22</w:t>
            </w:r>
          </w:p>
        </w:tc>
        <w:tc>
          <w:tcPr>
            <w:tcW w:w="650" w:type="dxa"/>
            <w:tcBorders>
              <w:top w:val="single" w:sz="12" w:space="0" w:color="auto"/>
              <w:left w:val="single" w:sz="6" w:space="0" w:color="auto"/>
              <w:bottom w:val="single" w:sz="6" w:space="0" w:color="auto"/>
              <w:right w:val="single" w:sz="12" w:space="0" w:color="auto"/>
            </w:tcBorders>
            <w:shd w:val="clear" w:color="auto" w:fill="D9D9D9"/>
          </w:tcPr>
          <w:p w:rsidR="009B2909" w:rsidRPr="00EB57D6" w:rsidRDefault="009B2909" w:rsidP="009B2909">
            <w:pPr>
              <w:spacing w:before="120"/>
              <w:jc w:val="center"/>
              <w:rPr>
                <w:rFonts w:cs="Arial"/>
                <w:b/>
              </w:rPr>
            </w:pPr>
            <w:r w:rsidRPr="00EB57D6">
              <w:rPr>
                <w:rFonts w:cs="Arial"/>
                <w:b/>
              </w:rPr>
              <w:t>98</w:t>
            </w:r>
          </w:p>
        </w:tc>
        <w:tc>
          <w:tcPr>
            <w:tcW w:w="1052" w:type="dxa"/>
            <w:gridSpan w:val="2"/>
            <w:tcBorders>
              <w:top w:val="single" w:sz="12" w:space="0" w:color="auto"/>
              <w:left w:val="nil"/>
              <w:bottom w:val="single" w:sz="6" w:space="0" w:color="auto"/>
              <w:right w:val="single" w:sz="6" w:space="0" w:color="auto"/>
            </w:tcBorders>
            <w:shd w:val="clear" w:color="auto" w:fill="D9D9D9"/>
          </w:tcPr>
          <w:p w:rsidR="009B2909" w:rsidRPr="00EB57D6" w:rsidRDefault="009B2909" w:rsidP="009B2909">
            <w:pPr>
              <w:spacing w:before="120"/>
              <w:jc w:val="center"/>
              <w:rPr>
                <w:rFonts w:cs="Arial"/>
                <w:b/>
              </w:rPr>
            </w:pPr>
            <w:r w:rsidRPr="00EB57D6">
              <w:rPr>
                <w:rFonts w:cs="Arial"/>
                <w:b/>
              </w:rPr>
              <w:t>75</w:t>
            </w:r>
          </w:p>
        </w:tc>
        <w:tc>
          <w:tcPr>
            <w:tcW w:w="1133" w:type="dxa"/>
            <w:tcBorders>
              <w:top w:val="single" w:sz="12" w:space="0" w:color="auto"/>
              <w:left w:val="single" w:sz="6" w:space="0" w:color="auto"/>
              <w:bottom w:val="single" w:sz="6" w:space="0" w:color="auto"/>
              <w:right w:val="single" w:sz="6" w:space="0" w:color="auto"/>
            </w:tcBorders>
            <w:shd w:val="clear" w:color="auto" w:fill="D9D9D9"/>
          </w:tcPr>
          <w:p w:rsidR="009B2909" w:rsidRPr="00EB57D6" w:rsidRDefault="009B2909" w:rsidP="009B2909">
            <w:pPr>
              <w:spacing w:before="120"/>
              <w:jc w:val="center"/>
              <w:rPr>
                <w:rFonts w:cs="Arial"/>
                <w:b/>
              </w:rPr>
            </w:pPr>
            <w:r w:rsidRPr="00EB57D6">
              <w:rPr>
                <w:rFonts w:cs="Arial"/>
                <w:b/>
              </w:rPr>
              <w:t>15</w:t>
            </w:r>
          </w:p>
        </w:tc>
        <w:tc>
          <w:tcPr>
            <w:tcW w:w="708" w:type="dxa"/>
            <w:tcBorders>
              <w:top w:val="single" w:sz="12" w:space="0" w:color="auto"/>
              <w:left w:val="single" w:sz="6" w:space="0" w:color="auto"/>
              <w:bottom w:val="single" w:sz="6" w:space="0" w:color="auto"/>
              <w:right w:val="single" w:sz="12" w:space="0" w:color="auto"/>
            </w:tcBorders>
            <w:shd w:val="clear" w:color="auto" w:fill="D9D9D9"/>
          </w:tcPr>
          <w:p w:rsidR="009B2909" w:rsidRPr="00EB57D6" w:rsidRDefault="009B2909" w:rsidP="009B2909">
            <w:pPr>
              <w:spacing w:before="120"/>
              <w:jc w:val="center"/>
              <w:rPr>
                <w:rFonts w:cs="Arial"/>
                <w:b/>
              </w:rPr>
            </w:pPr>
            <w:r w:rsidRPr="00EB57D6">
              <w:rPr>
                <w:rFonts w:cs="Arial"/>
                <w:b/>
              </w:rPr>
              <w:t>90</w:t>
            </w:r>
          </w:p>
        </w:tc>
        <w:tc>
          <w:tcPr>
            <w:tcW w:w="851" w:type="dxa"/>
            <w:tcBorders>
              <w:top w:val="single" w:sz="12" w:space="0" w:color="auto"/>
              <w:left w:val="nil"/>
              <w:bottom w:val="single" w:sz="6" w:space="0" w:color="auto"/>
              <w:right w:val="single" w:sz="12" w:space="0" w:color="auto"/>
            </w:tcBorders>
            <w:shd w:val="clear" w:color="auto" w:fill="D9D9D9"/>
          </w:tcPr>
          <w:p w:rsidR="009B2909" w:rsidRPr="00EB57D6" w:rsidRDefault="009B2909" w:rsidP="009B2909">
            <w:pPr>
              <w:spacing w:before="120"/>
              <w:jc w:val="center"/>
              <w:rPr>
                <w:rFonts w:cs="Arial"/>
                <w:b/>
              </w:rPr>
            </w:pPr>
            <w:r w:rsidRPr="00EB57D6">
              <w:rPr>
                <w:rFonts w:cs="Arial"/>
                <w:b/>
              </w:rPr>
              <w:t>38</w:t>
            </w:r>
          </w:p>
        </w:tc>
        <w:tc>
          <w:tcPr>
            <w:tcW w:w="1417" w:type="dxa"/>
            <w:tcBorders>
              <w:top w:val="single" w:sz="12" w:space="0" w:color="auto"/>
              <w:left w:val="nil"/>
              <w:bottom w:val="single" w:sz="6" w:space="0" w:color="auto"/>
              <w:right w:val="single" w:sz="6" w:space="0" w:color="auto"/>
            </w:tcBorders>
            <w:shd w:val="clear" w:color="auto" w:fill="D9D9D9"/>
          </w:tcPr>
          <w:p w:rsidR="009B2909" w:rsidRPr="00EB57D6" w:rsidRDefault="009B2909" w:rsidP="009B2909">
            <w:pPr>
              <w:spacing w:before="120"/>
              <w:jc w:val="center"/>
              <w:rPr>
                <w:rFonts w:cs="Arial"/>
                <w:b/>
              </w:rPr>
            </w:pPr>
            <w:r w:rsidRPr="00EB57D6">
              <w:rPr>
                <w:rFonts w:cs="Arial"/>
                <w:b/>
              </w:rPr>
              <w:t>1283</w:t>
            </w:r>
          </w:p>
        </w:tc>
      </w:tr>
    </w:tbl>
    <w:p w:rsidR="009B2909" w:rsidRPr="00EB57D6" w:rsidRDefault="009B2909" w:rsidP="009B2909">
      <w:pPr>
        <w:tabs>
          <w:tab w:val="left" w:pos="4962"/>
        </w:tabs>
        <w:rPr>
          <w:rFonts w:cs="Arial"/>
          <w:sz w:val="18"/>
          <w:u w:val="single"/>
        </w:rPr>
      </w:pPr>
    </w:p>
    <w:p w:rsidR="009B2909" w:rsidRPr="00EB57D6" w:rsidRDefault="009B2909" w:rsidP="009B2909">
      <w:pPr>
        <w:tabs>
          <w:tab w:val="left" w:pos="4962"/>
        </w:tabs>
        <w:rPr>
          <w:rFonts w:cs="Arial"/>
          <w:sz w:val="18"/>
          <w:u w:val="single"/>
        </w:rPr>
      </w:pPr>
    </w:p>
    <w:p w:rsidR="009B2909" w:rsidRPr="00EB57D6" w:rsidRDefault="009B2909" w:rsidP="009B2909">
      <w:pPr>
        <w:tabs>
          <w:tab w:val="left" w:pos="567"/>
          <w:tab w:val="left" w:pos="4962"/>
        </w:tabs>
        <w:rPr>
          <w:rFonts w:cs="Arial"/>
          <w:sz w:val="18"/>
          <w:u w:val="single"/>
        </w:rPr>
      </w:pPr>
      <w:r w:rsidRPr="00EB57D6">
        <w:rPr>
          <w:rFonts w:cs="Arial"/>
        </w:rPr>
        <w:t>5.</w:t>
      </w:r>
      <w:r w:rsidRPr="00EB57D6">
        <w:rPr>
          <w:rFonts w:cs="Arial"/>
        </w:rPr>
        <w:tab/>
      </w:r>
      <w:r w:rsidRPr="00EB57D6">
        <w:rPr>
          <w:rFonts w:cs="Arial"/>
          <w:u w:val="single"/>
        </w:rPr>
        <w:t>Activités de promotion de la protection des obtentions végétales</w:t>
      </w:r>
    </w:p>
    <w:p w:rsidR="009B2909" w:rsidRPr="00EB57D6" w:rsidRDefault="009B2909" w:rsidP="009B2909">
      <w:pPr>
        <w:tabs>
          <w:tab w:val="left" w:pos="567"/>
          <w:tab w:val="left" w:pos="4962"/>
        </w:tabs>
        <w:rPr>
          <w:rFonts w:cs="Arial"/>
          <w:sz w:val="18"/>
          <w:u w:val="single"/>
        </w:rPr>
      </w:pPr>
    </w:p>
    <w:p w:rsidR="009B2909" w:rsidRPr="00EB57D6" w:rsidRDefault="009B2909" w:rsidP="009B2909">
      <w:pPr>
        <w:pStyle w:val="BodyText"/>
        <w:rPr>
          <w:rFonts w:cs="Arial"/>
          <w:sz w:val="18"/>
        </w:rPr>
      </w:pPr>
      <w:r w:rsidRPr="00EB57D6">
        <w:rPr>
          <w:rFonts w:cs="Arial"/>
        </w:rPr>
        <w:t>Des représentants de la Pologne participent régulièrement aux sessions des organes de l’UPOV et aux groupes de travail techniques de l’UPOV.</w:t>
      </w:r>
    </w:p>
    <w:p w:rsidR="009B2909" w:rsidRPr="00EB57D6" w:rsidRDefault="009B2909" w:rsidP="009B2909">
      <w:pPr>
        <w:pStyle w:val="BodyText"/>
        <w:rPr>
          <w:rFonts w:cs="Arial"/>
          <w:sz w:val="18"/>
        </w:rPr>
      </w:pPr>
    </w:p>
    <w:p w:rsidR="009B2909" w:rsidRPr="00EB57D6" w:rsidRDefault="009B2909" w:rsidP="009B2909">
      <w:pPr>
        <w:pStyle w:val="BodyText"/>
        <w:rPr>
          <w:rFonts w:cs="Arial"/>
          <w:sz w:val="18"/>
        </w:rPr>
      </w:pPr>
      <w:r w:rsidRPr="00EB57D6">
        <w:rPr>
          <w:rFonts w:cs="Arial"/>
        </w:rPr>
        <w:t>En outre, des représentants de la Pologne participent aux réunions du Comité permanent sur les droits d’obtenteur de la DG SANTÉ à Bruxelles, ainsi qu’aux réunions du Conseil d’administration de l’OCVV.</w:t>
      </w:r>
    </w:p>
    <w:p w:rsidR="009B2909" w:rsidRPr="00EB57D6" w:rsidRDefault="009B2909" w:rsidP="009B2909">
      <w:pPr>
        <w:tabs>
          <w:tab w:val="left" w:pos="4962"/>
        </w:tabs>
        <w:rPr>
          <w:rFonts w:cs="Arial"/>
          <w:sz w:val="18"/>
        </w:rPr>
      </w:pPr>
    </w:p>
    <w:p w:rsidR="009B2909" w:rsidRPr="00EB57D6" w:rsidRDefault="009B2909" w:rsidP="009B2909">
      <w:pPr>
        <w:tabs>
          <w:tab w:val="left" w:pos="4962"/>
        </w:tabs>
        <w:rPr>
          <w:rFonts w:cs="Arial"/>
          <w:sz w:val="18"/>
        </w:rPr>
      </w:pPr>
      <w:r w:rsidRPr="00EB57D6">
        <w:rPr>
          <w:rFonts w:cs="Arial"/>
        </w:rPr>
        <w:t>Pendant la période considérée, le cours d’enseignement à distance de l’UPOV intitulé “Introduction au système UPOV de protection des obtentions végétales selon la Convention UPOV” (DL-205) a été suivi avec succès par deux experts du COBORU et un examinateur DHS.</w:t>
      </w:r>
    </w:p>
    <w:p w:rsidR="009B2909" w:rsidRPr="00EB57D6" w:rsidRDefault="009B2909" w:rsidP="009B2909">
      <w:pPr>
        <w:tabs>
          <w:tab w:val="left" w:pos="4962"/>
        </w:tabs>
        <w:rPr>
          <w:rFonts w:cs="Arial"/>
          <w:sz w:val="18"/>
        </w:rPr>
      </w:pPr>
    </w:p>
    <w:p w:rsidR="009B2909" w:rsidRPr="00EB57D6" w:rsidRDefault="009B2909" w:rsidP="009B2909">
      <w:pPr>
        <w:pStyle w:val="BodyText"/>
        <w:tabs>
          <w:tab w:val="left" w:pos="567"/>
        </w:tabs>
        <w:rPr>
          <w:rFonts w:cs="Arial"/>
          <w:i/>
          <w:iCs/>
          <w:sz w:val="18"/>
        </w:rPr>
      </w:pPr>
      <w:r w:rsidRPr="00EB57D6">
        <w:rPr>
          <w:rFonts w:cs="Arial"/>
          <w:i/>
          <w:iCs/>
        </w:rPr>
        <w:t>–</w:t>
      </w:r>
      <w:r w:rsidRPr="00EB57D6">
        <w:rPr>
          <w:rFonts w:cs="Arial"/>
          <w:i/>
          <w:iCs/>
        </w:rPr>
        <w:tab/>
        <w:t>Publications</w:t>
      </w:r>
    </w:p>
    <w:p w:rsidR="009B2909" w:rsidRPr="00EB57D6" w:rsidRDefault="009B2909" w:rsidP="009B2909">
      <w:pPr>
        <w:pStyle w:val="BodyText"/>
        <w:rPr>
          <w:rFonts w:cs="Arial"/>
          <w:sz w:val="18"/>
          <w:u w:val="single"/>
        </w:rPr>
      </w:pPr>
    </w:p>
    <w:p w:rsidR="009B2909" w:rsidRPr="00EB57D6" w:rsidRDefault="009B2909" w:rsidP="009B2909">
      <w:pPr>
        <w:pStyle w:val="BodyText"/>
        <w:rPr>
          <w:rFonts w:cs="Arial"/>
          <w:sz w:val="18"/>
        </w:rPr>
      </w:pPr>
      <w:r w:rsidRPr="00EB57D6">
        <w:rPr>
          <w:rFonts w:cs="Arial"/>
        </w:rPr>
        <w:t xml:space="preserve">Tous les deux mois, le COBORU publie la </w:t>
      </w:r>
      <w:r w:rsidRPr="00EB57D6">
        <w:rPr>
          <w:rFonts w:cs="Arial"/>
          <w:i/>
        </w:rPr>
        <w:t>Gazette polonaise des droits d’obtenteur et liste nationale</w:t>
      </w:r>
      <w:r w:rsidRPr="00EB57D6">
        <w:rPr>
          <w:rFonts w:cs="Arial"/>
        </w:rPr>
        <w:t xml:space="preserve"> (</w:t>
      </w:r>
      <w:proofErr w:type="spellStart"/>
      <w:r w:rsidRPr="00EB57D6">
        <w:rPr>
          <w:rFonts w:cs="Arial"/>
        </w:rPr>
        <w:t>Diariusz</w:t>
      </w:r>
      <w:proofErr w:type="spellEnd"/>
      <w:r w:rsidRPr="00EB57D6">
        <w:rPr>
          <w:rFonts w:cs="Arial"/>
        </w:rPr>
        <w:t>) contenant des informations détaillées sur les systèmes nationaux de protection du droit d’obtenteur et de listes.</w:t>
      </w:r>
    </w:p>
    <w:p w:rsidR="009B2909" w:rsidRPr="00EB57D6" w:rsidRDefault="009B2909" w:rsidP="009B2909">
      <w:pPr>
        <w:pStyle w:val="BodyText"/>
        <w:rPr>
          <w:rFonts w:cs="Arial"/>
          <w:sz w:val="18"/>
        </w:rPr>
      </w:pPr>
    </w:p>
    <w:p w:rsidR="009B2909" w:rsidRPr="00EB57D6" w:rsidRDefault="009B2909" w:rsidP="009B2909">
      <w:pPr>
        <w:pStyle w:val="BodyText"/>
        <w:rPr>
          <w:rFonts w:cs="Arial"/>
          <w:sz w:val="18"/>
        </w:rPr>
      </w:pPr>
      <w:r w:rsidRPr="00EB57D6">
        <w:rPr>
          <w:rFonts w:cs="Arial"/>
        </w:rPr>
        <w:t xml:space="preserve">La liste des variétés protégées par un droit d’obtenteur au niveau national (y compris provisoire), en vigueur au 30 juin 2020, a été publiée dans le troisième numéro de la </w:t>
      </w:r>
      <w:r w:rsidRPr="00EB57D6">
        <w:rPr>
          <w:rFonts w:cs="Arial"/>
          <w:i/>
        </w:rPr>
        <w:t>Gazette polonaise des droits d’obtenteur et liste nationale</w:t>
      </w:r>
      <w:r w:rsidRPr="00EB57D6">
        <w:rPr>
          <w:rFonts w:cs="Arial"/>
        </w:rPr>
        <w:t xml:space="preserve"> n° 3(158)2020.</w:t>
      </w:r>
    </w:p>
    <w:p w:rsidR="009B2909" w:rsidRPr="00EB57D6" w:rsidRDefault="009B2909" w:rsidP="009B2909">
      <w:pPr>
        <w:pStyle w:val="BodyText"/>
        <w:rPr>
          <w:rFonts w:cs="Arial"/>
          <w:sz w:val="18"/>
        </w:rPr>
      </w:pPr>
    </w:p>
    <w:p w:rsidR="009B2909" w:rsidRPr="00EB57D6" w:rsidRDefault="009B2909" w:rsidP="009B2909">
      <w:pPr>
        <w:pStyle w:val="BodyText"/>
        <w:rPr>
          <w:rFonts w:cs="Arial"/>
          <w:sz w:val="18"/>
        </w:rPr>
      </w:pPr>
      <w:r w:rsidRPr="00EB57D6">
        <w:rPr>
          <w:rFonts w:cs="Arial"/>
        </w:rPr>
        <w:t>La Gazette officielle figure également sur notre site Internet dans la section </w:t>
      </w:r>
      <w:r w:rsidRPr="00EB57D6">
        <w:rPr>
          <w:rFonts w:cs="Arial"/>
          <w:i/>
        </w:rPr>
        <w:t>Publications</w:t>
      </w:r>
      <w:r w:rsidRPr="00EB57D6">
        <w:rPr>
          <w:rFonts w:cs="Arial"/>
        </w:rPr>
        <w:t>.</w:t>
      </w:r>
    </w:p>
    <w:p w:rsidR="009B2909" w:rsidRPr="00EB57D6" w:rsidRDefault="009B2909" w:rsidP="009B2909">
      <w:pPr>
        <w:pStyle w:val="BodyText"/>
        <w:rPr>
          <w:rFonts w:cs="Arial"/>
          <w:sz w:val="18"/>
        </w:rPr>
      </w:pPr>
    </w:p>
    <w:p w:rsidR="009B2909" w:rsidRPr="00EB57D6" w:rsidRDefault="009B2909" w:rsidP="009B2909">
      <w:pPr>
        <w:pStyle w:val="BodyText"/>
        <w:rPr>
          <w:rFonts w:cs="Arial"/>
          <w:sz w:val="18"/>
        </w:rPr>
      </w:pPr>
      <w:r w:rsidRPr="00EB57D6">
        <w:rPr>
          <w:rFonts w:cs="Arial"/>
        </w:rPr>
        <w:t>De plus, le Centre de recherche pour l’examen des cultivars tient à jour et actualise systématiquement un site Internet (</w:t>
      </w:r>
      <w:hyperlink r:id="rId25" w:history="1">
        <w:r w:rsidRPr="00EB57D6">
          <w:rPr>
            <w:rStyle w:val="Hyperlink"/>
          </w:rPr>
          <w:t>www.coboru.gov.pl</w:t>
        </w:r>
      </w:hyperlink>
      <w:r w:rsidRPr="00EB57D6">
        <w:rPr>
          <w:rFonts w:cs="Arial"/>
        </w:rPr>
        <w:t xml:space="preserve">) contenant des renseignements officiels sur les questions touchant à la protection des obtentions végétales en Pologne. </w:t>
      </w:r>
    </w:p>
    <w:p w:rsidR="009B2909" w:rsidRPr="00EB57D6" w:rsidRDefault="009B2909" w:rsidP="009B2909">
      <w:pPr>
        <w:jc w:val="left"/>
        <w:rPr>
          <w:rFonts w:cs="Arial"/>
          <w:sz w:val="18"/>
        </w:rPr>
      </w:pPr>
    </w:p>
    <w:p w:rsidR="009B2909" w:rsidRPr="00EB57D6" w:rsidRDefault="009B2909" w:rsidP="009B2909">
      <w:pPr>
        <w:tabs>
          <w:tab w:val="left" w:pos="4962"/>
        </w:tabs>
        <w:rPr>
          <w:rFonts w:cs="Arial"/>
          <w:sz w:val="18"/>
        </w:rPr>
      </w:pPr>
      <w:r w:rsidRPr="00EB57D6">
        <w:rPr>
          <w:rFonts w:cs="Arial"/>
        </w:rPr>
        <w:t>Pendant la période considérée, le COBORU a participé aux activités de promotion suivantes :</w:t>
      </w:r>
    </w:p>
    <w:p w:rsidR="009B2909" w:rsidRPr="00EB57D6" w:rsidRDefault="009B2909" w:rsidP="009B2909">
      <w:pPr>
        <w:tabs>
          <w:tab w:val="left" w:pos="4962"/>
        </w:tabs>
        <w:rPr>
          <w:rFonts w:cs="Arial"/>
        </w:rPr>
      </w:pPr>
    </w:p>
    <w:tbl>
      <w:tblPr>
        <w:tblW w:w="10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91"/>
        <w:gridCol w:w="1276"/>
        <w:gridCol w:w="1559"/>
        <w:gridCol w:w="1418"/>
        <w:gridCol w:w="2413"/>
        <w:gridCol w:w="1698"/>
      </w:tblGrid>
      <w:tr w:rsidR="009B2909" w:rsidRPr="00EB57D6" w:rsidTr="001E54FA">
        <w:trPr>
          <w:cantSplit/>
          <w:tblHeader/>
        </w:trPr>
        <w:tc>
          <w:tcPr>
            <w:tcW w:w="1691" w:type="dxa"/>
            <w:tcMar>
              <w:top w:w="28" w:type="dxa"/>
              <w:left w:w="57" w:type="dxa"/>
              <w:bottom w:w="28" w:type="dxa"/>
              <w:right w:w="57" w:type="dxa"/>
            </w:tcMar>
            <w:hideMark/>
          </w:tcPr>
          <w:p w:rsidR="009B2909" w:rsidRPr="00EB57D6" w:rsidRDefault="001E54FA" w:rsidP="009B2909">
            <w:pPr>
              <w:keepNext/>
              <w:rPr>
                <w:rFonts w:cs="Arial"/>
                <w:sz w:val="16"/>
              </w:rPr>
            </w:pPr>
            <w:r w:rsidRPr="00EB57D6">
              <w:rPr>
                <w:rFonts w:cs="Arial"/>
                <w:sz w:val="16"/>
              </w:rPr>
              <w:t>Titre</w:t>
            </w:r>
            <w:r w:rsidR="009B2909" w:rsidRPr="00EB57D6">
              <w:rPr>
                <w:rFonts w:cs="Arial"/>
                <w:sz w:val="16"/>
              </w:rPr>
              <w:t xml:space="preserve"> de l’activité</w:t>
            </w:r>
          </w:p>
        </w:tc>
        <w:tc>
          <w:tcPr>
            <w:tcW w:w="1276" w:type="dxa"/>
            <w:tcMar>
              <w:top w:w="28" w:type="dxa"/>
              <w:left w:w="57" w:type="dxa"/>
              <w:bottom w:w="28" w:type="dxa"/>
              <w:right w:w="57" w:type="dxa"/>
            </w:tcMar>
            <w:hideMark/>
          </w:tcPr>
          <w:p w:rsidR="009B2909" w:rsidRPr="00EB57D6" w:rsidRDefault="009B2909" w:rsidP="009B2909">
            <w:pPr>
              <w:keepNext/>
              <w:jc w:val="left"/>
              <w:rPr>
                <w:rFonts w:cs="Arial"/>
                <w:sz w:val="16"/>
              </w:rPr>
            </w:pPr>
            <w:r w:rsidRPr="00EB57D6">
              <w:rPr>
                <w:rFonts w:cs="Arial"/>
                <w:sz w:val="16"/>
              </w:rPr>
              <w:t>Date</w:t>
            </w:r>
          </w:p>
        </w:tc>
        <w:tc>
          <w:tcPr>
            <w:tcW w:w="1559" w:type="dxa"/>
            <w:tcMar>
              <w:top w:w="28" w:type="dxa"/>
              <w:left w:w="57" w:type="dxa"/>
              <w:bottom w:w="28" w:type="dxa"/>
              <w:right w:w="57" w:type="dxa"/>
            </w:tcMar>
            <w:hideMark/>
          </w:tcPr>
          <w:p w:rsidR="009B2909" w:rsidRPr="00EB57D6" w:rsidRDefault="009B2909" w:rsidP="009B2909">
            <w:pPr>
              <w:keepNext/>
              <w:jc w:val="left"/>
              <w:rPr>
                <w:rFonts w:cs="Arial"/>
                <w:sz w:val="16"/>
              </w:rPr>
            </w:pPr>
            <w:r w:rsidRPr="00EB57D6">
              <w:rPr>
                <w:rFonts w:cs="Arial"/>
                <w:sz w:val="16"/>
              </w:rPr>
              <w:t>Lieu</w:t>
            </w:r>
          </w:p>
        </w:tc>
        <w:tc>
          <w:tcPr>
            <w:tcW w:w="1418" w:type="dxa"/>
            <w:tcMar>
              <w:top w:w="28" w:type="dxa"/>
              <w:left w:w="57" w:type="dxa"/>
              <w:bottom w:w="28" w:type="dxa"/>
              <w:right w:w="57" w:type="dxa"/>
            </w:tcMar>
            <w:hideMark/>
          </w:tcPr>
          <w:p w:rsidR="009B2909" w:rsidRPr="00EB57D6" w:rsidRDefault="009B2909" w:rsidP="009B2909">
            <w:pPr>
              <w:keepNext/>
              <w:jc w:val="left"/>
              <w:rPr>
                <w:rFonts w:cs="Arial"/>
                <w:spacing w:val="4"/>
                <w:sz w:val="16"/>
              </w:rPr>
            </w:pPr>
            <w:r w:rsidRPr="00EB57D6">
              <w:rPr>
                <w:rFonts w:cs="Arial"/>
                <w:spacing w:val="4"/>
                <w:sz w:val="16"/>
              </w:rPr>
              <w:t>Organisateur(s)</w:t>
            </w:r>
          </w:p>
        </w:tc>
        <w:tc>
          <w:tcPr>
            <w:tcW w:w="2413" w:type="dxa"/>
            <w:tcMar>
              <w:top w:w="28" w:type="dxa"/>
              <w:left w:w="57" w:type="dxa"/>
              <w:bottom w:w="28" w:type="dxa"/>
              <w:right w:w="57" w:type="dxa"/>
            </w:tcMar>
            <w:hideMark/>
          </w:tcPr>
          <w:p w:rsidR="009B2909" w:rsidRPr="00EB57D6" w:rsidRDefault="009B2909" w:rsidP="009B2909">
            <w:pPr>
              <w:keepNext/>
              <w:jc w:val="left"/>
              <w:rPr>
                <w:rFonts w:cs="Arial"/>
                <w:sz w:val="16"/>
              </w:rPr>
            </w:pPr>
            <w:r w:rsidRPr="00EB57D6">
              <w:rPr>
                <w:rFonts w:cs="Arial"/>
                <w:sz w:val="16"/>
              </w:rPr>
              <w:t>But de l’activité</w:t>
            </w:r>
          </w:p>
        </w:tc>
        <w:tc>
          <w:tcPr>
            <w:tcW w:w="1698" w:type="dxa"/>
            <w:tcMar>
              <w:top w:w="28" w:type="dxa"/>
              <w:left w:w="57" w:type="dxa"/>
              <w:bottom w:w="28" w:type="dxa"/>
              <w:right w:w="57" w:type="dxa"/>
            </w:tcMar>
            <w:hideMark/>
          </w:tcPr>
          <w:p w:rsidR="009B2909" w:rsidRPr="00EB57D6" w:rsidRDefault="009B2909" w:rsidP="009B2909">
            <w:pPr>
              <w:keepNext/>
              <w:jc w:val="left"/>
              <w:rPr>
                <w:rFonts w:cs="Arial"/>
                <w:sz w:val="16"/>
              </w:rPr>
            </w:pPr>
            <w:r w:rsidRPr="00EB57D6">
              <w:rPr>
                <w:rFonts w:cs="Arial"/>
                <w:sz w:val="16"/>
              </w:rPr>
              <w:t>Pays/organisations participants (nombre de participants de chacun d’eux)</w:t>
            </w:r>
          </w:p>
        </w:tc>
      </w:tr>
      <w:tr w:rsidR="009B2909" w:rsidRPr="00EB57D6" w:rsidTr="001E54FA">
        <w:trPr>
          <w:cantSplit/>
        </w:trPr>
        <w:tc>
          <w:tcPr>
            <w:tcW w:w="1691" w:type="dxa"/>
            <w:tcMar>
              <w:top w:w="28" w:type="dxa"/>
              <w:left w:w="57" w:type="dxa"/>
              <w:bottom w:w="28" w:type="dxa"/>
              <w:right w:w="57" w:type="dxa"/>
            </w:tcMar>
          </w:tcPr>
          <w:p w:rsidR="009B2909" w:rsidRPr="00EB57D6" w:rsidRDefault="009B2909" w:rsidP="009B2909">
            <w:pPr>
              <w:pStyle w:val="ListParagraph"/>
              <w:keepNext/>
              <w:ind w:left="5" w:hanging="5"/>
              <w:rPr>
                <w:rFonts w:cs="Arial"/>
                <w:sz w:val="16"/>
                <w:szCs w:val="20"/>
                <w:lang w:val="fr-FR"/>
              </w:rPr>
            </w:pPr>
            <w:r w:rsidRPr="00EB57D6">
              <w:rPr>
                <w:rFonts w:cs="Arial"/>
                <w:sz w:val="16"/>
                <w:szCs w:val="20"/>
                <w:lang w:val="fr-FR"/>
              </w:rPr>
              <w:t>1. Visite de la délégation de l’Académie chinoise des forêts</w:t>
            </w:r>
          </w:p>
        </w:tc>
        <w:tc>
          <w:tcPr>
            <w:tcW w:w="1276" w:type="dxa"/>
            <w:tcMar>
              <w:top w:w="28" w:type="dxa"/>
              <w:left w:w="57" w:type="dxa"/>
              <w:bottom w:w="28" w:type="dxa"/>
              <w:right w:w="57" w:type="dxa"/>
            </w:tcMar>
          </w:tcPr>
          <w:p w:rsidR="009B2909" w:rsidRPr="00EB57D6" w:rsidRDefault="009B2909" w:rsidP="009B2909">
            <w:pPr>
              <w:keepNext/>
              <w:jc w:val="left"/>
              <w:rPr>
                <w:rFonts w:cs="Arial"/>
                <w:sz w:val="16"/>
              </w:rPr>
            </w:pPr>
            <w:r w:rsidRPr="00EB57D6">
              <w:rPr>
                <w:rFonts w:cs="Arial"/>
                <w:sz w:val="16"/>
              </w:rPr>
              <w:t xml:space="preserve">03-04.09.2019 </w:t>
            </w:r>
          </w:p>
        </w:tc>
        <w:tc>
          <w:tcPr>
            <w:tcW w:w="1559" w:type="dxa"/>
            <w:tcMar>
              <w:top w:w="28" w:type="dxa"/>
              <w:left w:w="57" w:type="dxa"/>
              <w:bottom w:w="28" w:type="dxa"/>
              <w:right w:w="57" w:type="dxa"/>
            </w:tcMar>
          </w:tcPr>
          <w:p w:rsidR="009B2909" w:rsidRPr="00EB57D6" w:rsidRDefault="009B2909" w:rsidP="009B2909">
            <w:pPr>
              <w:keepNext/>
              <w:jc w:val="left"/>
              <w:rPr>
                <w:rFonts w:cs="Arial"/>
                <w:sz w:val="16"/>
              </w:rPr>
            </w:pPr>
            <w:r w:rsidRPr="00EB57D6">
              <w:rPr>
                <w:rFonts w:cs="Arial"/>
                <w:sz w:val="16"/>
              </w:rPr>
              <w:t xml:space="preserve">Pologne, siège du COBORU, stations d’essai : </w:t>
            </w:r>
            <w:proofErr w:type="spellStart"/>
            <w:r w:rsidRPr="00EB57D6">
              <w:rPr>
                <w:rFonts w:cs="Arial"/>
                <w:sz w:val="16"/>
              </w:rPr>
              <w:t>Zybiszów</w:t>
            </w:r>
            <w:proofErr w:type="spellEnd"/>
            <w:r w:rsidRPr="00EB57D6">
              <w:rPr>
                <w:rFonts w:cs="Arial"/>
                <w:sz w:val="16"/>
              </w:rPr>
              <w:t>, Śrem</w:t>
            </w:r>
          </w:p>
        </w:tc>
        <w:tc>
          <w:tcPr>
            <w:tcW w:w="1418" w:type="dxa"/>
            <w:tcMar>
              <w:top w:w="28" w:type="dxa"/>
              <w:left w:w="57" w:type="dxa"/>
              <w:bottom w:w="28" w:type="dxa"/>
              <w:right w:w="57" w:type="dxa"/>
            </w:tcMar>
          </w:tcPr>
          <w:p w:rsidR="009B2909" w:rsidRPr="00EB57D6" w:rsidRDefault="009B2909" w:rsidP="009B2909">
            <w:pPr>
              <w:keepNext/>
              <w:jc w:val="left"/>
              <w:rPr>
                <w:rFonts w:cs="Arial"/>
                <w:sz w:val="16"/>
              </w:rPr>
            </w:pPr>
            <w:r w:rsidRPr="00EB57D6">
              <w:rPr>
                <w:rFonts w:cs="Arial"/>
                <w:sz w:val="16"/>
              </w:rPr>
              <w:t>COBORU</w:t>
            </w:r>
          </w:p>
        </w:tc>
        <w:tc>
          <w:tcPr>
            <w:tcW w:w="2413" w:type="dxa"/>
            <w:tcMar>
              <w:top w:w="28" w:type="dxa"/>
              <w:left w:w="57" w:type="dxa"/>
              <w:bottom w:w="28" w:type="dxa"/>
              <w:right w:w="57" w:type="dxa"/>
            </w:tcMar>
          </w:tcPr>
          <w:p w:rsidR="009B2909" w:rsidRPr="00EB57D6" w:rsidRDefault="009B2909" w:rsidP="009B2909">
            <w:pPr>
              <w:keepNext/>
              <w:jc w:val="left"/>
              <w:rPr>
                <w:rFonts w:cs="Arial"/>
                <w:sz w:val="16"/>
              </w:rPr>
            </w:pPr>
            <w:r w:rsidRPr="00EB57D6">
              <w:rPr>
                <w:rFonts w:cs="Arial"/>
                <w:sz w:val="16"/>
              </w:rPr>
              <w:t>Présentation de l’organisation et des activités du COBORU, des procédures de listage et de protection des variétés en Pologne, du système d’examen DHS;  débat sur les éventuels domaines de coopération;  inspection des essais DHS pour les plantes ornementales et fruitières</w:t>
            </w:r>
          </w:p>
        </w:tc>
        <w:tc>
          <w:tcPr>
            <w:tcW w:w="1698" w:type="dxa"/>
            <w:tcMar>
              <w:top w:w="28" w:type="dxa"/>
              <w:left w:w="57" w:type="dxa"/>
              <w:bottom w:w="28" w:type="dxa"/>
              <w:right w:w="57" w:type="dxa"/>
            </w:tcMar>
          </w:tcPr>
          <w:p w:rsidR="009B2909" w:rsidRPr="00EB57D6" w:rsidRDefault="009B2909" w:rsidP="009B2909">
            <w:pPr>
              <w:keepNext/>
              <w:jc w:val="left"/>
              <w:rPr>
                <w:rFonts w:cs="Arial"/>
                <w:sz w:val="16"/>
              </w:rPr>
            </w:pPr>
            <w:r w:rsidRPr="00EB57D6">
              <w:rPr>
                <w:rFonts w:cs="Arial"/>
                <w:sz w:val="16"/>
              </w:rPr>
              <w:t>CN – 3</w:t>
            </w:r>
          </w:p>
          <w:p w:rsidR="009B2909" w:rsidRPr="00EB57D6" w:rsidRDefault="009B2909" w:rsidP="009B2909">
            <w:pPr>
              <w:keepNext/>
              <w:jc w:val="left"/>
              <w:rPr>
                <w:rFonts w:cs="Arial"/>
                <w:sz w:val="16"/>
              </w:rPr>
            </w:pPr>
            <w:r w:rsidRPr="00EB57D6">
              <w:rPr>
                <w:rFonts w:cs="Arial"/>
                <w:sz w:val="16"/>
              </w:rPr>
              <w:t>PL – 10</w:t>
            </w:r>
          </w:p>
        </w:tc>
      </w:tr>
      <w:tr w:rsidR="009B2909" w:rsidRPr="00EB57D6" w:rsidTr="001E54FA">
        <w:trPr>
          <w:cantSplit/>
        </w:trPr>
        <w:tc>
          <w:tcPr>
            <w:tcW w:w="1691" w:type="dxa"/>
            <w:tcMar>
              <w:top w:w="28" w:type="dxa"/>
              <w:left w:w="57" w:type="dxa"/>
              <w:bottom w:w="28" w:type="dxa"/>
              <w:right w:w="57" w:type="dxa"/>
            </w:tcMar>
          </w:tcPr>
          <w:p w:rsidR="009B2909" w:rsidRPr="00EB57D6" w:rsidRDefault="009B2909" w:rsidP="009B2909">
            <w:pPr>
              <w:jc w:val="left"/>
              <w:rPr>
                <w:rFonts w:cs="Arial"/>
                <w:sz w:val="16"/>
              </w:rPr>
            </w:pPr>
            <w:r w:rsidRPr="00EB57D6">
              <w:rPr>
                <w:rFonts w:cs="Arial"/>
                <w:sz w:val="16"/>
              </w:rPr>
              <w:t>2. Visite de la délégation du service ukrainien (YIECP)</w:t>
            </w:r>
          </w:p>
        </w:tc>
        <w:tc>
          <w:tcPr>
            <w:tcW w:w="1276" w:type="dxa"/>
            <w:tcMar>
              <w:top w:w="28" w:type="dxa"/>
              <w:left w:w="57" w:type="dxa"/>
              <w:bottom w:w="28" w:type="dxa"/>
              <w:right w:w="57" w:type="dxa"/>
            </w:tcMar>
          </w:tcPr>
          <w:p w:rsidR="009B2909" w:rsidRPr="00EB57D6" w:rsidRDefault="009B2909" w:rsidP="009B2909">
            <w:pPr>
              <w:keepNext/>
              <w:jc w:val="left"/>
              <w:rPr>
                <w:rFonts w:cs="Arial"/>
                <w:sz w:val="16"/>
              </w:rPr>
            </w:pPr>
            <w:r w:rsidRPr="00EB57D6">
              <w:rPr>
                <w:rFonts w:cs="Arial"/>
                <w:sz w:val="16"/>
              </w:rPr>
              <w:t>23-26.09.2019</w:t>
            </w:r>
          </w:p>
        </w:tc>
        <w:tc>
          <w:tcPr>
            <w:tcW w:w="1559" w:type="dxa"/>
            <w:tcMar>
              <w:top w:w="28" w:type="dxa"/>
              <w:left w:w="57" w:type="dxa"/>
              <w:bottom w:w="28" w:type="dxa"/>
              <w:right w:w="57" w:type="dxa"/>
            </w:tcMar>
          </w:tcPr>
          <w:p w:rsidR="009B2909" w:rsidRPr="00EB57D6" w:rsidRDefault="009B2909" w:rsidP="009B2909">
            <w:pPr>
              <w:keepNext/>
              <w:jc w:val="left"/>
              <w:rPr>
                <w:rFonts w:cs="Arial"/>
                <w:sz w:val="16"/>
              </w:rPr>
            </w:pPr>
            <w:r w:rsidRPr="00EB57D6">
              <w:rPr>
                <w:rFonts w:cs="Arial"/>
                <w:sz w:val="16"/>
              </w:rPr>
              <w:t xml:space="preserve">Pologne, siège du COBORU, stations d’essai : </w:t>
            </w:r>
            <w:proofErr w:type="spellStart"/>
            <w:r w:rsidRPr="00EB57D6">
              <w:rPr>
                <w:rFonts w:cs="Arial"/>
                <w:sz w:val="16"/>
              </w:rPr>
              <w:t>Słupia</w:t>
            </w:r>
            <w:proofErr w:type="spellEnd"/>
            <w:r w:rsidRPr="00EB57D6">
              <w:rPr>
                <w:rFonts w:cs="Arial"/>
                <w:sz w:val="16"/>
              </w:rPr>
              <w:t xml:space="preserve"> </w:t>
            </w:r>
            <w:proofErr w:type="spellStart"/>
            <w:r w:rsidRPr="00EB57D6">
              <w:rPr>
                <w:rFonts w:cs="Arial"/>
                <w:sz w:val="16"/>
              </w:rPr>
              <w:t>Wielka</w:t>
            </w:r>
            <w:proofErr w:type="spellEnd"/>
            <w:r w:rsidRPr="00EB57D6">
              <w:rPr>
                <w:rFonts w:cs="Arial"/>
                <w:sz w:val="16"/>
              </w:rPr>
              <w:t xml:space="preserve">, </w:t>
            </w:r>
            <w:proofErr w:type="spellStart"/>
            <w:r w:rsidRPr="00EB57D6">
              <w:rPr>
                <w:rFonts w:cs="Arial"/>
                <w:sz w:val="16"/>
              </w:rPr>
              <w:t>Zybiszów</w:t>
            </w:r>
            <w:proofErr w:type="spellEnd"/>
          </w:p>
        </w:tc>
        <w:tc>
          <w:tcPr>
            <w:tcW w:w="1418" w:type="dxa"/>
            <w:tcMar>
              <w:top w:w="28" w:type="dxa"/>
              <w:left w:w="57" w:type="dxa"/>
              <w:bottom w:w="28" w:type="dxa"/>
              <w:right w:w="57" w:type="dxa"/>
            </w:tcMar>
          </w:tcPr>
          <w:p w:rsidR="009B2909" w:rsidRPr="00EB57D6" w:rsidRDefault="009B2909" w:rsidP="009B2909">
            <w:pPr>
              <w:keepNext/>
              <w:jc w:val="left"/>
              <w:rPr>
                <w:rFonts w:cs="Arial"/>
                <w:sz w:val="16"/>
              </w:rPr>
            </w:pPr>
            <w:r w:rsidRPr="00EB57D6">
              <w:rPr>
                <w:rFonts w:cs="Arial"/>
                <w:sz w:val="16"/>
              </w:rPr>
              <w:t>COBORU</w:t>
            </w:r>
          </w:p>
        </w:tc>
        <w:tc>
          <w:tcPr>
            <w:tcW w:w="2413" w:type="dxa"/>
            <w:tcMar>
              <w:top w:w="28" w:type="dxa"/>
              <w:left w:w="57" w:type="dxa"/>
              <w:bottom w:w="28" w:type="dxa"/>
              <w:right w:w="57" w:type="dxa"/>
            </w:tcMar>
          </w:tcPr>
          <w:p w:rsidR="009B2909" w:rsidRPr="00EB57D6" w:rsidRDefault="009B2909" w:rsidP="009B2909">
            <w:pPr>
              <w:keepNext/>
              <w:jc w:val="left"/>
              <w:rPr>
                <w:rFonts w:cs="Arial"/>
                <w:sz w:val="16"/>
              </w:rPr>
            </w:pPr>
            <w:r w:rsidRPr="00EB57D6">
              <w:rPr>
                <w:rFonts w:cs="Arial"/>
                <w:sz w:val="16"/>
              </w:rPr>
              <w:t>Présentation de l’organisation et des activités du COBORU, y compris du système d’examen DHS;  débat sur les éventuels domaines de coopération future;  visite d’un entrepôt central de semences</w:t>
            </w:r>
          </w:p>
        </w:tc>
        <w:tc>
          <w:tcPr>
            <w:tcW w:w="1698" w:type="dxa"/>
            <w:tcMar>
              <w:top w:w="28" w:type="dxa"/>
              <w:left w:w="57" w:type="dxa"/>
              <w:bottom w:w="28" w:type="dxa"/>
              <w:right w:w="57" w:type="dxa"/>
            </w:tcMar>
          </w:tcPr>
          <w:p w:rsidR="009B2909" w:rsidRPr="00EB57D6" w:rsidRDefault="009B2909" w:rsidP="009B2909">
            <w:pPr>
              <w:keepNext/>
              <w:jc w:val="left"/>
              <w:rPr>
                <w:rFonts w:cs="Arial"/>
                <w:sz w:val="16"/>
              </w:rPr>
            </w:pPr>
            <w:r w:rsidRPr="00EB57D6">
              <w:rPr>
                <w:rFonts w:cs="Arial"/>
                <w:sz w:val="16"/>
              </w:rPr>
              <w:t>UA – 4</w:t>
            </w:r>
          </w:p>
          <w:p w:rsidR="009B2909" w:rsidRPr="00EB57D6" w:rsidRDefault="009B2909" w:rsidP="009B2909">
            <w:pPr>
              <w:keepNext/>
              <w:jc w:val="left"/>
              <w:rPr>
                <w:rFonts w:cs="Arial"/>
                <w:sz w:val="16"/>
              </w:rPr>
            </w:pPr>
            <w:r w:rsidRPr="00EB57D6">
              <w:rPr>
                <w:rFonts w:cs="Arial"/>
                <w:sz w:val="16"/>
              </w:rPr>
              <w:t>PL – 9</w:t>
            </w:r>
          </w:p>
        </w:tc>
      </w:tr>
      <w:tr w:rsidR="009B2909" w:rsidRPr="00EB57D6" w:rsidTr="001E54FA">
        <w:trPr>
          <w:cantSplit/>
        </w:trPr>
        <w:tc>
          <w:tcPr>
            <w:tcW w:w="1691" w:type="dxa"/>
            <w:tcMar>
              <w:top w:w="28" w:type="dxa"/>
              <w:left w:w="57" w:type="dxa"/>
              <w:bottom w:w="28" w:type="dxa"/>
              <w:right w:w="57" w:type="dxa"/>
            </w:tcMar>
          </w:tcPr>
          <w:p w:rsidR="009B2909" w:rsidRPr="00EB57D6" w:rsidRDefault="009B2909" w:rsidP="009B2909">
            <w:pPr>
              <w:jc w:val="left"/>
              <w:rPr>
                <w:rFonts w:cs="Arial"/>
                <w:sz w:val="16"/>
              </w:rPr>
            </w:pPr>
            <w:r w:rsidRPr="00EB57D6">
              <w:rPr>
                <w:rFonts w:cs="Arial"/>
                <w:sz w:val="16"/>
              </w:rPr>
              <w:lastRenderedPageBreak/>
              <w:t>3. Visite du directeur d’AGES (Autriche)</w:t>
            </w:r>
          </w:p>
        </w:tc>
        <w:tc>
          <w:tcPr>
            <w:tcW w:w="1276" w:type="dxa"/>
            <w:tcMar>
              <w:top w:w="28" w:type="dxa"/>
              <w:left w:w="57" w:type="dxa"/>
              <w:bottom w:w="28" w:type="dxa"/>
              <w:right w:w="57" w:type="dxa"/>
            </w:tcMar>
          </w:tcPr>
          <w:p w:rsidR="009B2909" w:rsidRPr="00EB57D6" w:rsidRDefault="009B2909" w:rsidP="009B2909">
            <w:pPr>
              <w:keepNext/>
              <w:jc w:val="left"/>
              <w:rPr>
                <w:rFonts w:cs="Arial"/>
                <w:sz w:val="16"/>
              </w:rPr>
            </w:pPr>
            <w:r w:rsidRPr="00EB57D6">
              <w:rPr>
                <w:rFonts w:cs="Arial"/>
                <w:sz w:val="16"/>
              </w:rPr>
              <w:t>06.02.2020</w:t>
            </w:r>
          </w:p>
        </w:tc>
        <w:tc>
          <w:tcPr>
            <w:tcW w:w="1559" w:type="dxa"/>
            <w:tcMar>
              <w:top w:w="28" w:type="dxa"/>
              <w:left w:w="57" w:type="dxa"/>
              <w:bottom w:w="28" w:type="dxa"/>
              <w:right w:w="57" w:type="dxa"/>
            </w:tcMar>
          </w:tcPr>
          <w:p w:rsidR="009B2909" w:rsidRPr="00EB57D6" w:rsidRDefault="009B2909" w:rsidP="009B2909">
            <w:pPr>
              <w:keepNext/>
              <w:jc w:val="left"/>
              <w:rPr>
                <w:rFonts w:cs="Arial"/>
                <w:sz w:val="16"/>
              </w:rPr>
            </w:pPr>
            <w:r w:rsidRPr="00EB57D6">
              <w:rPr>
                <w:rFonts w:cs="Arial"/>
                <w:sz w:val="16"/>
              </w:rPr>
              <w:t>Pologne, siège du COBORU</w:t>
            </w:r>
          </w:p>
        </w:tc>
        <w:tc>
          <w:tcPr>
            <w:tcW w:w="1418" w:type="dxa"/>
            <w:tcMar>
              <w:top w:w="28" w:type="dxa"/>
              <w:left w:w="57" w:type="dxa"/>
              <w:bottom w:w="28" w:type="dxa"/>
              <w:right w:w="57" w:type="dxa"/>
            </w:tcMar>
          </w:tcPr>
          <w:p w:rsidR="009B2909" w:rsidRPr="00EB57D6" w:rsidRDefault="009B2909" w:rsidP="009B2909">
            <w:pPr>
              <w:keepNext/>
              <w:jc w:val="left"/>
              <w:rPr>
                <w:rFonts w:cs="Arial"/>
                <w:sz w:val="16"/>
              </w:rPr>
            </w:pPr>
            <w:r w:rsidRPr="00EB57D6">
              <w:rPr>
                <w:rFonts w:cs="Arial"/>
                <w:sz w:val="16"/>
              </w:rPr>
              <w:t>COBORU</w:t>
            </w:r>
          </w:p>
        </w:tc>
        <w:tc>
          <w:tcPr>
            <w:tcW w:w="2413" w:type="dxa"/>
            <w:tcMar>
              <w:top w:w="28" w:type="dxa"/>
              <w:left w:w="57" w:type="dxa"/>
              <w:bottom w:w="28" w:type="dxa"/>
              <w:right w:w="57" w:type="dxa"/>
            </w:tcMar>
          </w:tcPr>
          <w:p w:rsidR="009B2909" w:rsidRPr="00EB57D6" w:rsidRDefault="009B2909" w:rsidP="009B2909">
            <w:pPr>
              <w:keepNext/>
              <w:jc w:val="left"/>
              <w:rPr>
                <w:rFonts w:cs="Arial"/>
                <w:sz w:val="16"/>
              </w:rPr>
            </w:pPr>
            <w:r w:rsidRPr="00EB57D6">
              <w:rPr>
                <w:rFonts w:cs="Arial"/>
                <w:sz w:val="16"/>
              </w:rPr>
              <w:t xml:space="preserve">Échange d’informations sur : l’organisation des deux unités – COBORU et AGES, leurs tâches et règles de fonctionnement, le système d’enregistrement et de protection juridique des variétés végétales dans les deux pays et la portée de l’évaluation VCU des variétés de soja;  débat sur les possibilités de coopération future </w:t>
            </w:r>
          </w:p>
        </w:tc>
        <w:tc>
          <w:tcPr>
            <w:tcW w:w="1698" w:type="dxa"/>
            <w:tcMar>
              <w:top w:w="28" w:type="dxa"/>
              <w:left w:w="57" w:type="dxa"/>
              <w:bottom w:w="28" w:type="dxa"/>
              <w:right w:w="57" w:type="dxa"/>
            </w:tcMar>
          </w:tcPr>
          <w:p w:rsidR="009B2909" w:rsidRPr="00EB57D6" w:rsidRDefault="009B2909" w:rsidP="009B2909">
            <w:pPr>
              <w:keepNext/>
              <w:jc w:val="left"/>
              <w:rPr>
                <w:rFonts w:cs="Arial"/>
                <w:sz w:val="16"/>
              </w:rPr>
            </w:pPr>
            <w:r w:rsidRPr="00EB57D6">
              <w:rPr>
                <w:rFonts w:cs="Arial"/>
                <w:sz w:val="16"/>
              </w:rPr>
              <w:t>AT – 1</w:t>
            </w:r>
          </w:p>
          <w:p w:rsidR="009B2909" w:rsidRPr="00EB57D6" w:rsidRDefault="009B2909" w:rsidP="009B2909">
            <w:pPr>
              <w:keepNext/>
              <w:jc w:val="left"/>
              <w:rPr>
                <w:rFonts w:cs="Arial"/>
                <w:sz w:val="16"/>
              </w:rPr>
            </w:pPr>
            <w:r w:rsidRPr="00EB57D6">
              <w:rPr>
                <w:rFonts w:cs="Arial"/>
                <w:sz w:val="16"/>
              </w:rPr>
              <w:t>PL – 30</w:t>
            </w:r>
          </w:p>
        </w:tc>
      </w:tr>
      <w:tr w:rsidR="009B2909" w:rsidRPr="00EB57D6" w:rsidTr="001E54FA">
        <w:trPr>
          <w:cantSplit/>
        </w:trPr>
        <w:tc>
          <w:tcPr>
            <w:tcW w:w="1691" w:type="dxa"/>
            <w:tcMar>
              <w:top w:w="28" w:type="dxa"/>
              <w:left w:w="57" w:type="dxa"/>
              <w:bottom w:w="28" w:type="dxa"/>
              <w:right w:w="57" w:type="dxa"/>
            </w:tcMar>
          </w:tcPr>
          <w:p w:rsidR="009B2909" w:rsidRPr="00EB57D6" w:rsidRDefault="009B2909" w:rsidP="009B2909">
            <w:pPr>
              <w:jc w:val="left"/>
              <w:rPr>
                <w:rFonts w:cs="Arial"/>
                <w:sz w:val="16"/>
              </w:rPr>
            </w:pPr>
            <w:r w:rsidRPr="00EB57D6">
              <w:rPr>
                <w:rFonts w:cs="Arial"/>
                <w:sz w:val="16"/>
              </w:rPr>
              <w:t>4. Visite du Secrétaire général adjoint de l’UPOV</w:t>
            </w:r>
          </w:p>
        </w:tc>
        <w:tc>
          <w:tcPr>
            <w:tcW w:w="1276" w:type="dxa"/>
            <w:tcMar>
              <w:top w:w="28" w:type="dxa"/>
              <w:left w:w="57" w:type="dxa"/>
              <w:bottom w:w="28" w:type="dxa"/>
              <w:right w:w="57" w:type="dxa"/>
            </w:tcMar>
          </w:tcPr>
          <w:p w:rsidR="009B2909" w:rsidRPr="00EB57D6" w:rsidRDefault="009B2909" w:rsidP="009B2909">
            <w:pPr>
              <w:keepNext/>
              <w:jc w:val="left"/>
              <w:rPr>
                <w:rFonts w:cs="Arial"/>
                <w:sz w:val="16"/>
              </w:rPr>
            </w:pPr>
            <w:r w:rsidRPr="00EB57D6">
              <w:rPr>
                <w:rFonts w:cs="Arial"/>
                <w:sz w:val="16"/>
              </w:rPr>
              <w:t>11.02.2020</w:t>
            </w:r>
          </w:p>
        </w:tc>
        <w:tc>
          <w:tcPr>
            <w:tcW w:w="1559" w:type="dxa"/>
            <w:tcMar>
              <w:top w:w="28" w:type="dxa"/>
              <w:left w:w="57" w:type="dxa"/>
              <w:bottom w:w="28" w:type="dxa"/>
              <w:right w:w="57" w:type="dxa"/>
            </w:tcMar>
          </w:tcPr>
          <w:p w:rsidR="009B2909" w:rsidRPr="00EB57D6" w:rsidRDefault="009B2909" w:rsidP="009B2909">
            <w:pPr>
              <w:keepNext/>
              <w:jc w:val="left"/>
              <w:rPr>
                <w:rFonts w:cs="Arial"/>
                <w:sz w:val="16"/>
              </w:rPr>
            </w:pPr>
            <w:r w:rsidRPr="00EB57D6">
              <w:rPr>
                <w:rFonts w:cs="Arial"/>
                <w:sz w:val="16"/>
              </w:rPr>
              <w:t>Pologne, siège du COBORU</w:t>
            </w:r>
          </w:p>
        </w:tc>
        <w:tc>
          <w:tcPr>
            <w:tcW w:w="1418" w:type="dxa"/>
            <w:tcMar>
              <w:top w:w="28" w:type="dxa"/>
              <w:left w:w="57" w:type="dxa"/>
              <w:bottom w:w="28" w:type="dxa"/>
              <w:right w:w="57" w:type="dxa"/>
            </w:tcMar>
          </w:tcPr>
          <w:p w:rsidR="009B2909" w:rsidRPr="00EB57D6" w:rsidRDefault="009B2909" w:rsidP="009B2909">
            <w:pPr>
              <w:keepNext/>
              <w:jc w:val="left"/>
              <w:rPr>
                <w:rFonts w:cs="Arial"/>
                <w:sz w:val="16"/>
              </w:rPr>
            </w:pPr>
            <w:r w:rsidRPr="00EB57D6">
              <w:rPr>
                <w:rFonts w:cs="Arial"/>
                <w:sz w:val="16"/>
              </w:rPr>
              <w:t>COBORU</w:t>
            </w:r>
          </w:p>
        </w:tc>
        <w:tc>
          <w:tcPr>
            <w:tcW w:w="2413" w:type="dxa"/>
            <w:tcMar>
              <w:top w:w="28" w:type="dxa"/>
              <w:left w:w="57" w:type="dxa"/>
              <w:bottom w:w="28" w:type="dxa"/>
              <w:right w:w="57" w:type="dxa"/>
            </w:tcMar>
          </w:tcPr>
          <w:p w:rsidR="009B2909" w:rsidRPr="00EB57D6" w:rsidRDefault="009B2909" w:rsidP="009B2909">
            <w:pPr>
              <w:keepNext/>
              <w:jc w:val="left"/>
              <w:rPr>
                <w:rFonts w:cs="Arial"/>
                <w:sz w:val="16"/>
              </w:rPr>
            </w:pPr>
            <w:r w:rsidRPr="00EB57D6">
              <w:rPr>
                <w:rFonts w:cs="Arial"/>
                <w:sz w:val="16"/>
              </w:rPr>
              <w:t>Présentation de l’organisation, des tâches et des activités du COBORU, ainsi que des règles d’enregistrement et du système national de droit d’obtenteur en Pologne, y compris la portée de l’examen DHS;</w:t>
            </w:r>
          </w:p>
          <w:p w:rsidR="009B2909" w:rsidRPr="00EB57D6" w:rsidRDefault="009B2909" w:rsidP="009B2909">
            <w:pPr>
              <w:keepNext/>
              <w:jc w:val="left"/>
              <w:rPr>
                <w:rFonts w:cs="Arial"/>
                <w:sz w:val="16"/>
              </w:rPr>
            </w:pPr>
            <w:r w:rsidRPr="00EB57D6">
              <w:rPr>
                <w:rFonts w:cs="Arial"/>
                <w:sz w:val="16"/>
              </w:rPr>
              <w:t xml:space="preserve">présentation de l’organisation et des règles de fonctionnement de l’UPOV;  présentation et débat sur la notion de variétés essentiellement dérivées, la nouveauté des lignées parentales des variétés hybrides, la possibilité d’utiliser des marqueurs d’ADN dans l’examen DHS, le système UPOV PRISMA et l’application des droits d’obtenteur </w:t>
            </w:r>
          </w:p>
        </w:tc>
        <w:tc>
          <w:tcPr>
            <w:tcW w:w="1698" w:type="dxa"/>
            <w:tcMar>
              <w:top w:w="28" w:type="dxa"/>
              <w:left w:w="57" w:type="dxa"/>
              <w:bottom w:w="28" w:type="dxa"/>
              <w:right w:w="57" w:type="dxa"/>
            </w:tcMar>
          </w:tcPr>
          <w:p w:rsidR="009B2909" w:rsidRPr="00EB57D6" w:rsidRDefault="009B2909" w:rsidP="009B2909">
            <w:pPr>
              <w:keepNext/>
              <w:jc w:val="left"/>
              <w:rPr>
                <w:rFonts w:cs="Arial"/>
                <w:sz w:val="16"/>
              </w:rPr>
            </w:pPr>
            <w:r w:rsidRPr="00EB57D6">
              <w:rPr>
                <w:rFonts w:cs="Arial"/>
                <w:sz w:val="16"/>
              </w:rPr>
              <w:t>CH – 1</w:t>
            </w:r>
          </w:p>
          <w:p w:rsidR="009B2909" w:rsidRPr="00EB57D6" w:rsidRDefault="009B2909" w:rsidP="009B2909">
            <w:pPr>
              <w:keepNext/>
              <w:jc w:val="left"/>
              <w:rPr>
                <w:rFonts w:cs="Arial"/>
                <w:sz w:val="16"/>
              </w:rPr>
            </w:pPr>
            <w:r w:rsidRPr="00EB57D6">
              <w:rPr>
                <w:rFonts w:cs="Arial"/>
                <w:sz w:val="16"/>
              </w:rPr>
              <w:t>PL – 17</w:t>
            </w:r>
          </w:p>
        </w:tc>
      </w:tr>
    </w:tbl>
    <w:p w:rsidR="009B2909" w:rsidRPr="00EB57D6" w:rsidRDefault="009B2909" w:rsidP="009B2909">
      <w:pPr>
        <w:tabs>
          <w:tab w:val="left" w:pos="567"/>
          <w:tab w:val="left" w:pos="4962"/>
        </w:tabs>
        <w:rPr>
          <w:rFonts w:cs="Arial"/>
          <w:sz w:val="18"/>
        </w:rPr>
      </w:pPr>
    </w:p>
    <w:p w:rsidR="009B2909" w:rsidRPr="00EB57D6" w:rsidRDefault="009B2909" w:rsidP="009B2909">
      <w:pPr>
        <w:tabs>
          <w:tab w:val="left" w:pos="567"/>
          <w:tab w:val="left" w:pos="4962"/>
        </w:tabs>
        <w:rPr>
          <w:rFonts w:cs="Arial"/>
          <w:sz w:val="18"/>
        </w:rPr>
      </w:pPr>
    </w:p>
    <w:p w:rsidR="009B2909" w:rsidRPr="00EB57D6" w:rsidRDefault="009B2909" w:rsidP="009B2909">
      <w:pPr>
        <w:rPr>
          <w:sz w:val="18"/>
        </w:rPr>
      </w:pPr>
      <w:r w:rsidRPr="00EB57D6">
        <w:t>II.</w:t>
      </w:r>
      <w:r w:rsidRPr="00EB57D6">
        <w:tab/>
        <w:t>AUTRES ÉLÉMENTS NOUVEAUX PRÉSENTANT UN INTÉRÊT POUR L’UPOV</w:t>
      </w:r>
    </w:p>
    <w:p w:rsidR="009B2909" w:rsidRPr="00EB57D6" w:rsidRDefault="009B2909" w:rsidP="009B2909">
      <w:pPr>
        <w:rPr>
          <w:sz w:val="18"/>
        </w:rPr>
      </w:pPr>
    </w:p>
    <w:p w:rsidR="009B2909" w:rsidRPr="00EB57D6" w:rsidRDefault="009B2909" w:rsidP="009B2909">
      <w:r w:rsidRPr="00EB57D6">
        <w:t xml:space="preserve">La liste nationale polonaise des variétés de plantes agricoles, la liste nationale polonaise des variétés de plantes potagères et la liste nationale polonaise des variétés de plantes fruitières ont été publiées en mai et juin 2020.  Ces listes officielles et les listes actualisées de variétés sont également disponibles à l’adresse suivante : </w:t>
      </w:r>
      <w:hyperlink r:id="rId26" w:history="1">
        <w:r w:rsidRPr="00EB57D6">
          <w:rPr>
            <w:rStyle w:val="Hyperlink"/>
          </w:rPr>
          <w:t>www.coboru.gov.pl</w:t>
        </w:r>
      </w:hyperlink>
      <w:r w:rsidRPr="00EB57D6">
        <w:t>.</w:t>
      </w:r>
    </w:p>
    <w:p w:rsidR="009B2909" w:rsidRPr="00EB57D6" w:rsidRDefault="009B2909" w:rsidP="009B2909"/>
    <w:p w:rsidR="00845D57" w:rsidRPr="00EB57D6" w:rsidRDefault="00845D57" w:rsidP="00845D57">
      <w:pPr>
        <w:jc w:val="left"/>
      </w:pPr>
    </w:p>
    <w:p w:rsidR="009B2909" w:rsidRPr="00EB57D6" w:rsidRDefault="009B2909" w:rsidP="00845D57">
      <w:pPr>
        <w:jc w:val="left"/>
      </w:pPr>
    </w:p>
    <w:p w:rsidR="00845D57" w:rsidRPr="00EB57D6" w:rsidRDefault="00845D57" w:rsidP="00845D57">
      <w:pPr>
        <w:jc w:val="right"/>
      </w:pPr>
      <w:r w:rsidRPr="00EB57D6">
        <w:t>[L’annexe XII suit]</w:t>
      </w:r>
    </w:p>
    <w:p w:rsidR="00845D57" w:rsidRPr="00EB57D6" w:rsidRDefault="00845D57" w:rsidP="00845D57"/>
    <w:p w:rsidR="00845D57" w:rsidRPr="00EB57D6" w:rsidRDefault="00845D57" w:rsidP="00845D57">
      <w:pPr>
        <w:jc w:val="left"/>
        <w:sectPr w:rsidR="00845D57" w:rsidRPr="00EB57D6" w:rsidSect="009B2909">
          <w:headerReference w:type="default" r:id="rId27"/>
          <w:pgSz w:w="11907" w:h="16840" w:code="9"/>
          <w:pgMar w:top="510" w:right="1134" w:bottom="1134" w:left="1134" w:header="510" w:footer="680" w:gutter="0"/>
          <w:pgNumType w:start="1"/>
          <w:cols w:space="720"/>
          <w:titlePg/>
        </w:sectPr>
      </w:pPr>
    </w:p>
    <w:p w:rsidR="00845D57" w:rsidRPr="00EB57D6" w:rsidRDefault="00845D57" w:rsidP="00845D57">
      <w:pPr>
        <w:jc w:val="center"/>
      </w:pPr>
      <w:r w:rsidRPr="00EB57D6">
        <w:lastRenderedPageBreak/>
        <w:t>C/54/INF/4</w:t>
      </w:r>
    </w:p>
    <w:p w:rsidR="00845D57" w:rsidRPr="00EB57D6" w:rsidRDefault="00845D57" w:rsidP="00845D57">
      <w:pPr>
        <w:jc w:val="center"/>
      </w:pPr>
    </w:p>
    <w:p w:rsidR="00845D57" w:rsidRPr="00EB57D6" w:rsidRDefault="00845D57" w:rsidP="00845D57">
      <w:pPr>
        <w:jc w:val="center"/>
      </w:pPr>
      <w:r w:rsidRPr="00EB57D6">
        <w:t>ANNEXE XII</w:t>
      </w:r>
    </w:p>
    <w:p w:rsidR="00845D57" w:rsidRPr="00EB57D6" w:rsidRDefault="00845D57" w:rsidP="00845D57">
      <w:pPr>
        <w:jc w:val="center"/>
      </w:pPr>
    </w:p>
    <w:p w:rsidR="00845D57" w:rsidRPr="00EB57D6" w:rsidRDefault="00845D57" w:rsidP="00845D57">
      <w:pPr>
        <w:jc w:val="center"/>
      </w:pPr>
    </w:p>
    <w:p w:rsidR="006865B4" w:rsidRPr="00EB57D6" w:rsidRDefault="006865B4" w:rsidP="006865B4">
      <w:pPr>
        <w:jc w:val="center"/>
        <w:rPr>
          <w:sz w:val="18"/>
        </w:rPr>
      </w:pPr>
      <w:r w:rsidRPr="00EB57D6">
        <w:t>RÉPUBLIQUE DE MOLDOVA</w:t>
      </w:r>
    </w:p>
    <w:p w:rsidR="006865B4" w:rsidRPr="00EB57D6" w:rsidRDefault="006865B4" w:rsidP="006865B4">
      <w:pPr>
        <w:rPr>
          <w:rFonts w:cs="Arial"/>
          <w:sz w:val="18"/>
        </w:rPr>
      </w:pPr>
    </w:p>
    <w:p w:rsidR="006865B4" w:rsidRPr="00EB57D6" w:rsidRDefault="006865B4" w:rsidP="006865B4">
      <w:pPr>
        <w:rPr>
          <w:rFonts w:cs="Arial"/>
          <w:sz w:val="18"/>
        </w:rPr>
      </w:pPr>
    </w:p>
    <w:p w:rsidR="006865B4" w:rsidRPr="00EB57D6" w:rsidRDefault="006865B4" w:rsidP="006865B4">
      <w:pPr>
        <w:rPr>
          <w:sz w:val="18"/>
        </w:rPr>
      </w:pPr>
      <w:r w:rsidRPr="00EB57D6">
        <w:t>I.</w:t>
      </w:r>
      <w:r w:rsidRPr="00EB57D6">
        <w:tab/>
        <w:t>PROTECTION DES OBTENTIONS VÉGÉTALES</w:t>
      </w:r>
    </w:p>
    <w:p w:rsidR="006865B4" w:rsidRPr="00EB57D6" w:rsidRDefault="006865B4" w:rsidP="006865B4">
      <w:pPr>
        <w:tabs>
          <w:tab w:val="left" w:pos="4962"/>
        </w:tabs>
        <w:rPr>
          <w:rFonts w:cs="Arial"/>
          <w:sz w:val="18"/>
          <w:u w:val="single"/>
        </w:rPr>
      </w:pPr>
    </w:p>
    <w:p w:rsidR="006865B4" w:rsidRPr="00EB57D6" w:rsidRDefault="006865B4" w:rsidP="006865B4">
      <w:pPr>
        <w:rPr>
          <w:sz w:val="18"/>
          <w:u w:val="single"/>
        </w:rPr>
      </w:pPr>
      <w:r w:rsidRPr="00EB57D6">
        <w:t>1.</w:t>
      </w:r>
      <w:r w:rsidRPr="00EB57D6">
        <w:tab/>
      </w:r>
      <w:r w:rsidRPr="00EB57D6">
        <w:rPr>
          <w:u w:val="single"/>
        </w:rPr>
        <w:t>Situation dans le domaine législatif</w:t>
      </w:r>
    </w:p>
    <w:p w:rsidR="006865B4" w:rsidRPr="00EB57D6" w:rsidRDefault="006865B4" w:rsidP="006865B4">
      <w:pPr>
        <w:rPr>
          <w:sz w:val="18"/>
        </w:rPr>
      </w:pPr>
    </w:p>
    <w:p w:rsidR="006865B4" w:rsidRPr="00EB57D6" w:rsidRDefault="006865B4" w:rsidP="006865B4">
      <w:pPr>
        <w:rPr>
          <w:sz w:val="18"/>
        </w:rPr>
      </w:pPr>
      <w:r w:rsidRPr="00EB57D6">
        <w:t>1.1</w:t>
      </w:r>
      <w:r w:rsidRPr="00EB57D6">
        <w:tab/>
        <w:t>Modifications de la loi et des textes d’application</w:t>
      </w:r>
      <w:r w:rsidRPr="00EB57D6">
        <w:rPr>
          <w:u w:val="single"/>
        </w:rPr>
        <w:t> :</w:t>
      </w:r>
      <w:r w:rsidRPr="00EB57D6">
        <w:t xml:space="preserve"> Aucun changement.</w:t>
      </w:r>
    </w:p>
    <w:p w:rsidR="006865B4" w:rsidRPr="00EB57D6" w:rsidRDefault="006865B4" w:rsidP="006865B4">
      <w:pPr>
        <w:rPr>
          <w:sz w:val="18"/>
        </w:rPr>
      </w:pPr>
    </w:p>
    <w:p w:rsidR="006865B4" w:rsidRPr="00EB57D6" w:rsidRDefault="006865B4" w:rsidP="006865B4">
      <w:pPr>
        <w:rPr>
          <w:sz w:val="18"/>
        </w:rPr>
      </w:pPr>
      <w:r w:rsidRPr="00EB57D6">
        <w:t>1.2</w:t>
      </w:r>
      <w:r w:rsidRPr="00EB57D6">
        <w:tab/>
        <w:t>Extension de la protection à d’autres genres et espèces</w:t>
      </w:r>
    </w:p>
    <w:p w:rsidR="006865B4" w:rsidRPr="00EB57D6" w:rsidRDefault="006865B4" w:rsidP="006865B4">
      <w:pPr>
        <w:rPr>
          <w:sz w:val="18"/>
        </w:rPr>
      </w:pPr>
    </w:p>
    <w:p w:rsidR="006865B4" w:rsidRPr="00EB57D6" w:rsidRDefault="006865B4" w:rsidP="006865B4">
      <w:pPr>
        <w:rPr>
          <w:sz w:val="18"/>
        </w:rPr>
      </w:pPr>
      <w:r w:rsidRPr="00EB57D6">
        <w:t>En vertu de la loi n° 39-XVI/2008 sur la protection des obtentions végétales, la protection a été étendue aux variétés de tous les genres et espèces botaniques, y compris les hybrides entre genres et espèces.</w:t>
      </w:r>
    </w:p>
    <w:p w:rsidR="006865B4" w:rsidRPr="00EB57D6" w:rsidRDefault="006865B4" w:rsidP="006865B4">
      <w:pPr>
        <w:rPr>
          <w:sz w:val="18"/>
        </w:rPr>
      </w:pPr>
    </w:p>
    <w:p w:rsidR="006865B4" w:rsidRPr="00EB57D6" w:rsidRDefault="006865B4" w:rsidP="006865B4">
      <w:pPr>
        <w:rPr>
          <w:sz w:val="18"/>
        </w:rPr>
      </w:pPr>
      <w:r w:rsidRPr="00EB57D6">
        <w:t>1.3</w:t>
      </w:r>
      <w:r w:rsidRPr="00EB57D6">
        <w:tab/>
        <w:t>Jurisprudence</w:t>
      </w:r>
    </w:p>
    <w:p w:rsidR="006865B4" w:rsidRPr="00EB57D6" w:rsidRDefault="006865B4" w:rsidP="006865B4">
      <w:pPr>
        <w:rPr>
          <w:sz w:val="18"/>
        </w:rPr>
      </w:pPr>
    </w:p>
    <w:p w:rsidR="006865B4" w:rsidRPr="00EB57D6" w:rsidRDefault="006865B4" w:rsidP="006865B4">
      <w:pPr>
        <w:rPr>
          <w:sz w:val="18"/>
        </w:rPr>
      </w:pPr>
      <w:r w:rsidRPr="00EB57D6">
        <w:t>Il n’existe aucun précédent en matière de protection du droit d’obtenteur.</w:t>
      </w:r>
    </w:p>
    <w:p w:rsidR="006865B4" w:rsidRPr="00EB57D6" w:rsidRDefault="006865B4" w:rsidP="006865B4">
      <w:pPr>
        <w:rPr>
          <w:sz w:val="18"/>
        </w:rPr>
      </w:pPr>
    </w:p>
    <w:p w:rsidR="006865B4" w:rsidRPr="00EB57D6" w:rsidRDefault="006865B4" w:rsidP="006865B4">
      <w:pPr>
        <w:rPr>
          <w:sz w:val="18"/>
        </w:rPr>
      </w:pPr>
    </w:p>
    <w:p w:rsidR="006865B4" w:rsidRPr="00EB57D6" w:rsidRDefault="006865B4" w:rsidP="006865B4">
      <w:pPr>
        <w:rPr>
          <w:sz w:val="18"/>
          <w:u w:val="single"/>
        </w:rPr>
      </w:pPr>
      <w:r w:rsidRPr="00EB57D6">
        <w:t>2.</w:t>
      </w:r>
      <w:r w:rsidRPr="00EB57D6">
        <w:tab/>
      </w:r>
      <w:r w:rsidRPr="00EB57D6">
        <w:rPr>
          <w:u w:val="single"/>
        </w:rPr>
        <w:t>Coopération en matière d’examen</w:t>
      </w:r>
    </w:p>
    <w:p w:rsidR="006865B4" w:rsidRPr="00EB57D6" w:rsidRDefault="006865B4" w:rsidP="006865B4">
      <w:pPr>
        <w:rPr>
          <w:sz w:val="18"/>
        </w:rPr>
      </w:pPr>
    </w:p>
    <w:p w:rsidR="006865B4" w:rsidRPr="00EB57D6" w:rsidRDefault="006865B4" w:rsidP="006865B4">
      <w:pPr>
        <w:rPr>
          <w:sz w:val="18"/>
        </w:rPr>
      </w:pPr>
      <w:r w:rsidRPr="00EB57D6">
        <w:t>Utilisation du rapport DHS existant proposée par :</w:t>
      </w:r>
    </w:p>
    <w:p w:rsidR="006865B4" w:rsidRPr="00EB57D6" w:rsidRDefault="006865B4" w:rsidP="006865B4">
      <w:pPr>
        <w:rPr>
          <w:sz w:val="18"/>
        </w:rPr>
      </w:pPr>
    </w:p>
    <w:p w:rsidR="006865B4" w:rsidRPr="00EB57D6" w:rsidRDefault="006865B4" w:rsidP="006865B4">
      <w:pPr>
        <w:pStyle w:val="ListParagraph"/>
        <w:numPr>
          <w:ilvl w:val="0"/>
          <w:numId w:val="5"/>
        </w:numPr>
        <w:ind w:left="426" w:hanging="426"/>
        <w:rPr>
          <w:sz w:val="18"/>
          <w:lang w:val="fr-FR"/>
        </w:rPr>
      </w:pPr>
      <w:r w:rsidRPr="00EB57D6">
        <w:rPr>
          <w:lang w:val="fr-FR"/>
        </w:rPr>
        <w:t xml:space="preserve">GEVES, </w:t>
      </w:r>
      <w:proofErr w:type="spellStart"/>
      <w:r w:rsidRPr="00EB57D6">
        <w:rPr>
          <w:lang w:val="fr-FR"/>
        </w:rPr>
        <w:t>Beaucouzé</w:t>
      </w:r>
      <w:proofErr w:type="spellEnd"/>
      <w:r w:rsidRPr="00EB57D6">
        <w:rPr>
          <w:lang w:val="fr-FR"/>
        </w:rPr>
        <w:t xml:space="preserve"> (France)</w:t>
      </w:r>
    </w:p>
    <w:p w:rsidR="006865B4" w:rsidRPr="00EB57D6" w:rsidRDefault="006865B4" w:rsidP="006865B4">
      <w:pPr>
        <w:pStyle w:val="ListParagraph"/>
        <w:numPr>
          <w:ilvl w:val="0"/>
          <w:numId w:val="5"/>
        </w:numPr>
        <w:ind w:left="426" w:hanging="426"/>
        <w:rPr>
          <w:sz w:val="18"/>
          <w:lang w:val="fr-FR"/>
        </w:rPr>
      </w:pPr>
      <w:r w:rsidRPr="00EB57D6">
        <w:rPr>
          <w:lang w:val="fr-FR"/>
        </w:rPr>
        <w:t>Service de protection des obtentions végétales (Royaume-Uni)</w:t>
      </w:r>
    </w:p>
    <w:p w:rsidR="006865B4" w:rsidRPr="00EB57D6" w:rsidRDefault="006865B4" w:rsidP="006865B4">
      <w:pPr>
        <w:pStyle w:val="ListParagraph"/>
        <w:numPr>
          <w:ilvl w:val="0"/>
          <w:numId w:val="5"/>
        </w:numPr>
        <w:ind w:left="426" w:hanging="426"/>
        <w:rPr>
          <w:sz w:val="18"/>
          <w:lang w:val="fr-FR"/>
        </w:rPr>
      </w:pPr>
      <w:proofErr w:type="spellStart"/>
      <w:r w:rsidRPr="00EB57D6">
        <w:rPr>
          <w:lang w:val="fr-FR"/>
        </w:rPr>
        <w:t>Naktuinbouw</w:t>
      </w:r>
      <w:proofErr w:type="spellEnd"/>
      <w:r w:rsidRPr="00EB57D6">
        <w:rPr>
          <w:lang w:val="fr-FR"/>
        </w:rPr>
        <w:t xml:space="preserve"> (Pays-Bas)</w:t>
      </w:r>
    </w:p>
    <w:p w:rsidR="006865B4" w:rsidRPr="00EB57D6" w:rsidRDefault="006865B4" w:rsidP="006865B4">
      <w:pPr>
        <w:pStyle w:val="ListParagraph"/>
        <w:numPr>
          <w:ilvl w:val="0"/>
          <w:numId w:val="5"/>
        </w:numPr>
        <w:ind w:left="426" w:hanging="426"/>
        <w:rPr>
          <w:sz w:val="18"/>
          <w:lang w:val="fr-FR"/>
        </w:rPr>
      </w:pPr>
      <w:r w:rsidRPr="00EB57D6">
        <w:rPr>
          <w:lang w:val="fr-FR"/>
        </w:rPr>
        <w:t>OEVV, Office espagnol des variétés végétales (Espagne)</w:t>
      </w:r>
    </w:p>
    <w:p w:rsidR="006865B4" w:rsidRPr="00EB57D6" w:rsidRDefault="006865B4" w:rsidP="006865B4">
      <w:pPr>
        <w:rPr>
          <w:sz w:val="18"/>
        </w:rPr>
      </w:pPr>
    </w:p>
    <w:p w:rsidR="006865B4" w:rsidRPr="00EB57D6" w:rsidRDefault="006865B4" w:rsidP="006865B4">
      <w:pPr>
        <w:rPr>
          <w:sz w:val="18"/>
        </w:rPr>
      </w:pPr>
    </w:p>
    <w:p w:rsidR="006865B4" w:rsidRPr="00EB57D6" w:rsidRDefault="006865B4" w:rsidP="006865B4">
      <w:pPr>
        <w:rPr>
          <w:sz w:val="18"/>
        </w:rPr>
      </w:pPr>
      <w:r w:rsidRPr="00EB57D6">
        <w:t>3.</w:t>
      </w:r>
      <w:r w:rsidRPr="00EB57D6">
        <w:tab/>
      </w:r>
      <w:r w:rsidRPr="00EB57D6">
        <w:rPr>
          <w:u w:val="single"/>
        </w:rPr>
        <w:t>Situation dans le domaine administratif</w:t>
      </w:r>
      <w:r w:rsidRPr="00EB57D6">
        <w:t> : Aucun changement.</w:t>
      </w:r>
    </w:p>
    <w:p w:rsidR="006865B4" w:rsidRPr="00EB57D6" w:rsidRDefault="006865B4" w:rsidP="006865B4">
      <w:pPr>
        <w:rPr>
          <w:sz w:val="18"/>
        </w:rPr>
      </w:pPr>
    </w:p>
    <w:p w:rsidR="006865B4" w:rsidRPr="00EB57D6" w:rsidRDefault="006865B4" w:rsidP="006865B4">
      <w:pPr>
        <w:rPr>
          <w:i/>
          <w:sz w:val="18"/>
        </w:rPr>
      </w:pPr>
      <w:r w:rsidRPr="00EB57D6">
        <w:rPr>
          <w:i/>
        </w:rPr>
        <w:t>Statistiques</w:t>
      </w:r>
    </w:p>
    <w:p w:rsidR="006865B4" w:rsidRPr="00EB57D6" w:rsidRDefault="006865B4" w:rsidP="006865B4">
      <w:pPr>
        <w:rPr>
          <w:sz w:val="18"/>
        </w:rPr>
      </w:pPr>
    </w:p>
    <w:p w:rsidR="006865B4" w:rsidRPr="00EB57D6" w:rsidRDefault="006865B4" w:rsidP="006865B4">
      <w:pPr>
        <w:rPr>
          <w:sz w:val="18"/>
        </w:rPr>
      </w:pPr>
      <w:r w:rsidRPr="00EB57D6">
        <w:t>Du 1</w:t>
      </w:r>
      <w:r w:rsidRPr="00EB57D6">
        <w:rPr>
          <w:vertAlign w:val="superscript"/>
        </w:rPr>
        <w:t>er</w:t>
      </w:r>
      <w:r w:rsidRPr="00EB57D6">
        <w:t> janvier 2019 au 31 décembre 2019 :</w:t>
      </w:r>
    </w:p>
    <w:p w:rsidR="006865B4" w:rsidRPr="00EB57D6" w:rsidRDefault="006865B4" w:rsidP="006865B4">
      <w:pPr>
        <w:rPr>
          <w:sz w:val="18"/>
        </w:rPr>
      </w:pPr>
    </w:p>
    <w:p w:rsidR="006865B4" w:rsidRPr="00EB57D6" w:rsidRDefault="006865B4" w:rsidP="006865B4">
      <w:pPr>
        <w:pStyle w:val="ListParagraph"/>
        <w:numPr>
          <w:ilvl w:val="0"/>
          <w:numId w:val="5"/>
        </w:numPr>
        <w:ind w:left="426" w:hanging="426"/>
        <w:rPr>
          <w:sz w:val="18"/>
          <w:lang w:val="fr-FR"/>
        </w:rPr>
      </w:pPr>
      <w:r w:rsidRPr="00EB57D6">
        <w:rPr>
          <w:lang w:val="fr-FR"/>
        </w:rPr>
        <w:t>16 demandes ont été reçues (11 demandes nationales et 5 demandes étrangères), comme indiqué ci-après :</w:t>
      </w:r>
    </w:p>
    <w:p w:rsidR="006865B4" w:rsidRPr="00EB57D6" w:rsidRDefault="006865B4" w:rsidP="006865B4">
      <w:pPr>
        <w:rPr>
          <w:sz w:val="18"/>
        </w:rPr>
      </w:pPr>
    </w:p>
    <w:p w:rsidR="006865B4" w:rsidRPr="008E0BFA" w:rsidRDefault="006865B4" w:rsidP="006865B4">
      <w:pPr>
        <w:ind w:left="426"/>
        <w:rPr>
          <w:rFonts w:eastAsia="Calibri"/>
          <w:sz w:val="18"/>
          <w:lang w:val="pt-PT"/>
        </w:rPr>
      </w:pPr>
      <w:r w:rsidRPr="008E0BFA">
        <w:rPr>
          <w:rFonts w:eastAsia="Calibri"/>
          <w:lang w:val="pt-PT"/>
        </w:rPr>
        <w:t>Astragale (Astragalus galegiformis L.) – 1</w:t>
      </w:r>
    </w:p>
    <w:p w:rsidR="006865B4" w:rsidRPr="008E0BFA" w:rsidRDefault="006865B4" w:rsidP="006865B4">
      <w:pPr>
        <w:ind w:left="426"/>
        <w:rPr>
          <w:rFonts w:eastAsia="Calibri"/>
          <w:sz w:val="18"/>
          <w:lang w:val="pt-PT"/>
        </w:rPr>
      </w:pPr>
      <w:r w:rsidRPr="008E0BFA">
        <w:rPr>
          <w:rFonts w:eastAsia="Calibri"/>
          <w:lang w:val="pt-PT"/>
        </w:rPr>
        <w:t>Orge (Hordeum vulgare L.) – 1</w:t>
      </w:r>
    </w:p>
    <w:p w:rsidR="006865B4" w:rsidRPr="00EB57D6" w:rsidRDefault="006865B4" w:rsidP="006865B4">
      <w:pPr>
        <w:ind w:left="426"/>
        <w:rPr>
          <w:rFonts w:eastAsia="Calibri"/>
          <w:sz w:val="18"/>
        </w:rPr>
      </w:pPr>
      <w:r w:rsidRPr="00EB57D6">
        <w:rPr>
          <w:rFonts w:eastAsia="Calibri"/>
        </w:rPr>
        <w:t>Noisetier (</w:t>
      </w:r>
      <w:proofErr w:type="spellStart"/>
      <w:r w:rsidRPr="00EB57D6">
        <w:rPr>
          <w:rFonts w:eastAsia="Calibri"/>
        </w:rPr>
        <w:t>Corylus</w:t>
      </w:r>
      <w:proofErr w:type="spellEnd"/>
      <w:r w:rsidRPr="00EB57D6">
        <w:rPr>
          <w:rFonts w:eastAsia="Calibri"/>
        </w:rPr>
        <w:t xml:space="preserve"> </w:t>
      </w:r>
      <w:proofErr w:type="spellStart"/>
      <w:r w:rsidRPr="00EB57D6">
        <w:rPr>
          <w:rFonts w:eastAsia="Calibri"/>
        </w:rPr>
        <w:t>avellana</w:t>
      </w:r>
      <w:proofErr w:type="spellEnd"/>
      <w:r w:rsidRPr="00EB57D6">
        <w:rPr>
          <w:rFonts w:eastAsia="Calibri"/>
        </w:rPr>
        <w:t xml:space="preserve"> L.) – 1</w:t>
      </w:r>
    </w:p>
    <w:p w:rsidR="006865B4" w:rsidRPr="00EB57D6" w:rsidRDefault="006865B4" w:rsidP="006865B4">
      <w:pPr>
        <w:ind w:left="426"/>
        <w:rPr>
          <w:rFonts w:eastAsia="Calibri"/>
          <w:sz w:val="18"/>
        </w:rPr>
      </w:pPr>
      <w:r w:rsidRPr="00EB57D6">
        <w:rPr>
          <w:rFonts w:eastAsia="Calibri"/>
        </w:rPr>
        <w:t>Grande Aunée (</w:t>
      </w:r>
      <w:proofErr w:type="spellStart"/>
      <w:r w:rsidRPr="00EB57D6">
        <w:rPr>
          <w:rFonts w:eastAsia="Calibri"/>
        </w:rPr>
        <w:t>Inula</w:t>
      </w:r>
      <w:proofErr w:type="spellEnd"/>
      <w:r w:rsidRPr="00EB57D6">
        <w:rPr>
          <w:rFonts w:eastAsia="Calibri"/>
        </w:rPr>
        <w:t xml:space="preserve"> </w:t>
      </w:r>
      <w:proofErr w:type="spellStart"/>
      <w:r w:rsidRPr="00EB57D6">
        <w:rPr>
          <w:rFonts w:eastAsia="Calibri"/>
        </w:rPr>
        <w:t>helenium</w:t>
      </w:r>
      <w:proofErr w:type="spellEnd"/>
      <w:r w:rsidRPr="00EB57D6">
        <w:rPr>
          <w:rFonts w:eastAsia="Calibri"/>
        </w:rPr>
        <w:t xml:space="preserve"> L.) – 1</w:t>
      </w:r>
    </w:p>
    <w:p w:rsidR="006865B4" w:rsidRPr="00EB57D6" w:rsidRDefault="006865B4" w:rsidP="006865B4">
      <w:pPr>
        <w:ind w:left="426"/>
        <w:rPr>
          <w:rFonts w:eastAsia="Calibri"/>
          <w:sz w:val="18"/>
        </w:rPr>
      </w:pPr>
      <w:proofErr w:type="spellStart"/>
      <w:r w:rsidRPr="00EB57D6">
        <w:rPr>
          <w:rFonts w:eastAsia="Calibri"/>
        </w:rPr>
        <w:t>Kniphofia</w:t>
      </w:r>
      <w:proofErr w:type="spellEnd"/>
      <w:r w:rsidRPr="00EB57D6">
        <w:rPr>
          <w:rFonts w:eastAsia="Calibri"/>
        </w:rPr>
        <w:t xml:space="preserve"> (</w:t>
      </w:r>
      <w:proofErr w:type="spellStart"/>
      <w:r w:rsidRPr="00EB57D6">
        <w:rPr>
          <w:rFonts w:eastAsia="Calibri"/>
        </w:rPr>
        <w:t>Kniphofia</w:t>
      </w:r>
      <w:proofErr w:type="spellEnd"/>
      <w:r w:rsidRPr="00EB57D6">
        <w:rPr>
          <w:rFonts w:eastAsia="Calibri"/>
        </w:rPr>
        <w:t xml:space="preserve"> </w:t>
      </w:r>
      <w:proofErr w:type="spellStart"/>
      <w:r w:rsidRPr="00EB57D6">
        <w:rPr>
          <w:rFonts w:eastAsia="Calibri"/>
        </w:rPr>
        <w:t>nelsonii</w:t>
      </w:r>
      <w:proofErr w:type="spellEnd"/>
      <w:r w:rsidRPr="00EB57D6">
        <w:rPr>
          <w:rFonts w:eastAsia="Calibri"/>
        </w:rPr>
        <w:t xml:space="preserve"> </w:t>
      </w:r>
      <w:proofErr w:type="spellStart"/>
      <w:r w:rsidRPr="00EB57D6">
        <w:rPr>
          <w:rFonts w:eastAsia="Calibri"/>
        </w:rPr>
        <w:t>Mast</w:t>
      </w:r>
      <w:proofErr w:type="spellEnd"/>
      <w:r w:rsidRPr="00EB57D6">
        <w:rPr>
          <w:rFonts w:eastAsia="Calibri"/>
        </w:rPr>
        <w:t>.) – 1</w:t>
      </w:r>
    </w:p>
    <w:p w:rsidR="006865B4" w:rsidRPr="00EB57D6" w:rsidRDefault="006865B4" w:rsidP="006865B4">
      <w:pPr>
        <w:ind w:left="426"/>
        <w:rPr>
          <w:sz w:val="18"/>
        </w:rPr>
      </w:pPr>
      <w:r w:rsidRPr="00EB57D6">
        <w:t>Maïs (</w:t>
      </w:r>
      <w:proofErr w:type="spellStart"/>
      <w:r w:rsidRPr="00EB57D6">
        <w:t>Zea</w:t>
      </w:r>
      <w:proofErr w:type="spellEnd"/>
      <w:r w:rsidRPr="00EB57D6">
        <w:t xml:space="preserve"> </w:t>
      </w:r>
      <w:proofErr w:type="spellStart"/>
      <w:r w:rsidRPr="00EB57D6">
        <w:t>mays</w:t>
      </w:r>
      <w:proofErr w:type="spellEnd"/>
      <w:r w:rsidRPr="00EB57D6">
        <w:t xml:space="preserve"> L.) – 1</w:t>
      </w:r>
    </w:p>
    <w:p w:rsidR="006865B4" w:rsidRPr="00EB57D6" w:rsidRDefault="006865B4" w:rsidP="006865B4">
      <w:pPr>
        <w:ind w:left="426"/>
        <w:rPr>
          <w:sz w:val="18"/>
        </w:rPr>
      </w:pPr>
      <w:r w:rsidRPr="00EB57D6">
        <w:t xml:space="preserve">Miscanthus géant (Miscanthus x </w:t>
      </w:r>
      <w:proofErr w:type="spellStart"/>
      <w:r w:rsidRPr="00EB57D6">
        <w:t>giganteus</w:t>
      </w:r>
      <w:proofErr w:type="spellEnd"/>
      <w:r w:rsidRPr="00EB57D6">
        <w:t xml:space="preserve"> J.M. </w:t>
      </w:r>
      <w:proofErr w:type="spellStart"/>
      <w:r w:rsidRPr="00EB57D6">
        <w:t>Greef</w:t>
      </w:r>
      <w:proofErr w:type="spellEnd"/>
      <w:r w:rsidRPr="00EB57D6">
        <w:t xml:space="preserve"> &amp; </w:t>
      </w:r>
      <w:proofErr w:type="spellStart"/>
      <w:r w:rsidRPr="00EB57D6">
        <w:t>Deuter</w:t>
      </w:r>
      <w:proofErr w:type="spellEnd"/>
      <w:r w:rsidRPr="00EB57D6">
        <w:t xml:space="preserve"> ex </w:t>
      </w:r>
      <w:proofErr w:type="spellStart"/>
      <w:r w:rsidRPr="00EB57D6">
        <w:t>Hodk</w:t>
      </w:r>
      <w:proofErr w:type="spellEnd"/>
      <w:r w:rsidRPr="00EB57D6">
        <w:t xml:space="preserve">. &amp; </w:t>
      </w:r>
      <w:proofErr w:type="spellStart"/>
      <w:r w:rsidRPr="00EB57D6">
        <w:t>Renvoize</w:t>
      </w:r>
      <w:proofErr w:type="spellEnd"/>
      <w:r w:rsidRPr="00EB57D6">
        <w:t>) – 1</w:t>
      </w:r>
    </w:p>
    <w:p w:rsidR="006865B4" w:rsidRPr="00EB57D6" w:rsidRDefault="006865B4" w:rsidP="006865B4">
      <w:pPr>
        <w:ind w:left="426"/>
        <w:rPr>
          <w:rFonts w:eastAsia="Calibri"/>
          <w:sz w:val="18"/>
        </w:rPr>
      </w:pPr>
      <w:r w:rsidRPr="00EB57D6">
        <w:rPr>
          <w:rFonts w:eastAsia="Calibri"/>
        </w:rPr>
        <w:t>Poirier (</w:t>
      </w:r>
      <w:proofErr w:type="spellStart"/>
      <w:r w:rsidRPr="00EB57D6">
        <w:rPr>
          <w:rFonts w:eastAsia="Calibri"/>
        </w:rPr>
        <w:t>Pyrus</w:t>
      </w:r>
      <w:proofErr w:type="spellEnd"/>
      <w:r w:rsidRPr="00EB57D6">
        <w:rPr>
          <w:rFonts w:eastAsia="Calibri"/>
        </w:rPr>
        <w:t xml:space="preserve"> </w:t>
      </w:r>
      <w:proofErr w:type="spellStart"/>
      <w:r w:rsidRPr="00EB57D6">
        <w:rPr>
          <w:rFonts w:eastAsia="Calibri"/>
        </w:rPr>
        <w:t>communis</w:t>
      </w:r>
      <w:proofErr w:type="spellEnd"/>
      <w:r w:rsidRPr="00EB57D6">
        <w:rPr>
          <w:rFonts w:eastAsia="Calibri"/>
        </w:rPr>
        <w:t xml:space="preserve"> L.) – 1</w:t>
      </w:r>
    </w:p>
    <w:p w:rsidR="006865B4" w:rsidRPr="00EB57D6" w:rsidRDefault="006865B4" w:rsidP="006865B4">
      <w:pPr>
        <w:ind w:left="426"/>
        <w:rPr>
          <w:rFonts w:eastAsia="Calibri"/>
          <w:sz w:val="18"/>
        </w:rPr>
      </w:pPr>
      <w:r w:rsidRPr="00EB57D6">
        <w:rPr>
          <w:rFonts w:eastAsia="Calibri"/>
        </w:rPr>
        <w:t>Pois (</w:t>
      </w:r>
      <w:proofErr w:type="spellStart"/>
      <w:r w:rsidRPr="00EB57D6">
        <w:rPr>
          <w:rFonts w:eastAsia="Calibri"/>
        </w:rPr>
        <w:t>Pisum</w:t>
      </w:r>
      <w:proofErr w:type="spellEnd"/>
      <w:r w:rsidRPr="00EB57D6">
        <w:rPr>
          <w:rFonts w:eastAsia="Calibri"/>
        </w:rPr>
        <w:t xml:space="preserve"> </w:t>
      </w:r>
      <w:proofErr w:type="spellStart"/>
      <w:r w:rsidRPr="00EB57D6">
        <w:rPr>
          <w:rFonts w:eastAsia="Calibri"/>
        </w:rPr>
        <w:t>sativum</w:t>
      </w:r>
      <w:proofErr w:type="spellEnd"/>
      <w:r w:rsidRPr="00EB57D6">
        <w:rPr>
          <w:rFonts w:eastAsia="Calibri"/>
        </w:rPr>
        <w:t xml:space="preserve"> L.) – 1</w:t>
      </w:r>
    </w:p>
    <w:p w:rsidR="006865B4" w:rsidRPr="00EB57D6" w:rsidRDefault="006865B4" w:rsidP="006865B4">
      <w:pPr>
        <w:ind w:left="426"/>
        <w:rPr>
          <w:rFonts w:eastAsia="Calibri"/>
          <w:sz w:val="18"/>
        </w:rPr>
      </w:pPr>
      <w:r w:rsidRPr="00EB57D6">
        <w:rPr>
          <w:rFonts w:eastAsia="Calibri"/>
        </w:rPr>
        <w:t xml:space="preserve">Menthe (Mentha x </w:t>
      </w:r>
      <w:proofErr w:type="spellStart"/>
      <w:r w:rsidRPr="00EB57D6">
        <w:rPr>
          <w:rFonts w:eastAsia="Calibri"/>
        </w:rPr>
        <w:t>verticilatta</w:t>
      </w:r>
      <w:proofErr w:type="spellEnd"/>
      <w:r w:rsidRPr="00EB57D6">
        <w:rPr>
          <w:rFonts w:eastAsia="Calibri"/>
        </w:rPr>
        <w:t xml:space="preserve"> L.) – 1</w:t>
      </w:r>
    </w:p>
    <w:p w:rsidR="006865B4" w:rsidRPr="00EB57D6" w:rsidRDefault="006865B4" w:rsidP="006865B4">
      <w:pPr>
        <w:ind w:left="426"/>
        <w:rPr>
          <w:rFonts w:eastAsia="Calibri"/>
          <w:sz w:val="18"/>
        </w:rPr>
      </w:pPr>
      <w:r w:rsidRPr="00EB57D6">
        <w:rPr>
          <w:rFonts w:eastAsia="Calibri"/>
        </w:rPr>
        <w:t>Pomme de terre (</w:t>
      </w:r>
      <w:proofErr w:type="spellStart"/>
      <w:r w:rsidRPr="00EB57D6">
        <w:rPr>
          <w:rFonts w:eastAsia="Calibri"/>
          <w:i/>
        </w:rPr>
        <w:t>Solanum</w:t>
      </w:r>
      <w:proofErr w:type="spellEnd"/>
      <w:r w:rsidRPr="00EB57D6">
        <w:rPr>
          <w:rFonts w:eastAsia="Calibri"/>
          <w:i/>
        </w:rPr>
        <w:t xml:space="preserve"> </w:t>
      </w:r>
      <w:proofErr w:type="spellStart"/>
      <w:r w:rsidRPr="00EB57D6">
        <w:rPr>
          <w:rFonts w:eastAsia="Calibri"/>
          <w:i/>
        </w:rPr>
        <w:t>tuberosum</w:t>
      </w:r>
      <w:proofErr w:type="spellEnd"/>
      <w:r w:rsidRPr="00EB57D6">
        <w:rPr>
          <w:rFonts w:eastAsia="Calibri"/>
        </w:rPr>
        <w:t xml:space="preserve"> L.) – 2</w:t>
      </w:r>
    </w:p>
    <w:p w:rsidR="006865B4" w:rsidRPr="00EB57D6" w:rsidRDefault="006865B4" w:rsidP="006865B4">
      <w:pPr>
        <w:ind w:left="426"/>
        <w:rPr>
          <w:rFonts w:eastAsia="Calibri"/>
          <w:sz w:val="18"/>
        </w:rPr>
      </w:pPr>
      <w:r w:rsidRPr="00EB57D6">
        <w:rPr>
          <w:rFonts w:eastAsia="Calibri"/>
        </w:rPr>
        <w:t>Soja (Glycine max L. Merrill) – 2</w:t>
      </w:r>
    </w:p>
    <w:p w:rsidR="006865B4" w:rsidRPr="00EB57D6" w:rsidRDefault="006865B4" w:rsidP="006865B4">
      <w:pPr>
        <w:ind w:left="426"/>
        <w:rPr>
          <w:sz w:val="18"/>
        </w:rPr>
      </w:pPr>
      <w:r w:rsidRPr="00EB57D6">
        <w:t>Blé (</w:t>
      </w:r>
      <w:proofErr w:type="spellStart"/>
      <w:r w:rsidRPr="00EB57D6">
        <w:t>Triticum</w:t>
      </w:r>
      <w:proofErr w:type="spellEnd"/>
      <w:r w:rsidRPr="00EB57D6">
        <w:t xml:space="preserve"> </w:t>
      </w:r>
      <w:proofErr w:type="spellStart"/>
      <w:r w:rsidRPr="00EB57D6">
        <w:t>aestivum</w:t>
      </w:r>
      <w:proofErr w:type="spellEnd"/>
      <w:r w:rsidRPr="00EB57D6">
        <w:t xml:space="preserve"> L.) – 2</w:t>
      </w:r>
    </w:p>
    <w:p w:rsidR="006865B4" w:rsidRPr="00EB57D6" w:rsidRDefault="006865B4" w:rsidP="006865B4">
      <w:pPr>
        <w:rPr>
          <w:rFonts w:eastAsia="Calibri"/>
          <w:sz w:val="18"/>
        </w:rPr>
      </w:pPr>
    </w:p>
    <w:p w:rsidR="006865B4" w:rsidRPr="00EB57D6" w:rsidRDefault="006865B4" w:rsidP="006865B4">
      <w:pPr>
        <w:pStyle w:val="ListParagraph"/>
        <w:numPr>
          <w:ilvl w:val="0"/>
          <w:numId w:val="5"/>
        </w:numPr>
        <w:ind w:left="426" w:hanging="426"/>
        <w:rPr>
          <w:sz w:val="18"/>
          <w:lang w:val="fr-FR"/>
        </w:rPr>
      </w:pPr>
      <w:r w:rsidRPr="00EB57D6">
        <w:rPr>
          <w:lang w:val="fr-FR"/>
        </w:rPr>
        <w:t>29 brevets d’obtention végétale (23 brevets nationaux et 6 brevets étrangers) ont été octroyés comme indiqué ci-après :</w:t>
      </w:r>
    </w:p>
    <w:p w:rsidR="006865B4" w:rsidRPr="00EB57D6" w:rsidRDefault="006865B4" w:rsidP="006865B4">
      <w:pPr>
        <w:rPr>
          <w:sz w:val="18"/>
        </w:rPr>
      </w:pPr>
    </w:p>
    <w:p w:rsidR="006865B4" w:rsidRPr="00EB57D6" w:rsidRDefault="006865B4" w:rsidP="006865B4">
      <w:pPr>
        <w:ind w:left="426"/>
        <w:rPr>
          <w:sz w:val="18"/>
        </w:rPr>
      </w:pPr>
      <w:r w:rsidRPr="00EB57D6">
        <w:t xml:space="preserve">Ail (Allium </w:t>
      </w:r>
      <w:proofErr w:type="spellStart"/>
      <w:r w:rsidRPr="00EB57D6">
        <w:t>sativum</w:t>
      </w:r>
      <w:proofErr w:type="spellEnd"/>
      <w:r w:rsidRPr="00EB57D6">
        <w:t xml:space="preserve"> L.) – 1</w:t>
      </w:r>
    </w:p>
    <w:p w:rsidR="006865B4" w:rsidRPr="00EB57D6" w:rsidRDefault="006865B4" w:rsidP="006865B4">
      <w:pPr>
        <w:ind w:left="426"/>
        <w:rPr>
          <w:sz w:val="18"/>
        </w:rPr>
      </w:pPr>
      <w:r w:rsidRPr="00EB57D6">
        <w:t>Noyer (</w:t>
      </w:r>
      <w:proofErr w:type="spellStart"/>
      <w:r w:rsidRPr="00EB57D6">
        <w:t>Juglans</w:t>
      </w:r>
      <w:proofErr w:type="spellEnd"/>
      <w:r w:rsidRPr="00EB57D6">
        <w:t xml:space="preserve"> </w:t>
      </w:r>
      <w:proofErr w:type="spellStart"/>
      <w:r w:rsidRPr="00EB57D6">
        <w:t>regia</w:t>
      </w:r>
      <w:proofErr w:type="spellEnd"/>
      <w:r w:rsidRPr="00EB57D6">
        <w:t xml:space="preserve"> L.) – 8</w:t>
      </w:r>
    </w:p>
    <w:p w:rsidR="006865B4" w:rsidRPr="00EB57D6" w:rsidRDefault="006865B4" w:rsidP="006865B4">
      <w:pPr>
        <w:ind w:left="426"/>
        <w:rPr>
          <w:sz w:val="18"/>
        </w:rPr>
      </w:pPr>
      <w:r w:rsidRPr="00EB57D6">
        <w:t>Lavande (</w:t>
      </w:r>
      <w:proofErr w:type="spellStart"/>
      <w:r w:rsidRPr="00EB57D6">
        <w:t>Lavandula</w:t>
      </w:r>
      <w:proofErr w:type="spellEnd"/>
      <w:r w:rsidRPr="00EB57D6">
        <w:t xml:space="preserve"> </w:t>
      </w:r>
      <w:proofErr w:type="spellStart"/>
      <w:r w:rsidRPr="00EB57D6">
        <w:t>angustifolia</w:t>
      </w:r>
      <w:proofErr w:type="spellEnd"/>
      <w:r w:rsidRPr="00EB57D6">
        <w:t xml:space="preserve"> Mill.) – 1</w:t>
      </w:r>
    </w:p>
    <w:p w:rsidR="006865B4" w:rsidRPr="00EB57D6" w:rsidRDefault="006865B4" w:rsidP="006865B4">
      <w:pPr>
        <w:ind w:left="426"/>
        <w:rPr>
          <w:sz w:val="18"/>
        </w:rPr>
      </w:pPr>
      <w:r w:rsidRPr="00EB57D6">
        <w:t xml:space="preserve">Pommier (Malus </w:t>
      </w:r>
      <w:proofErr w:type="spellStart"/>
      <w:r w:rsidRPr="00EB57D6">
        <w:t>domestica</w:t>
      </w:r>
      <w:proofErr w:type="spellEnd"/>
      <w:r w:rsidRPr="00EB57D6">
        <w:t xml:space="preserve"> L.) – 1</w:t>
      </w:r>
    </w:p>
    <w:p w:rsidR="006865B4" w:rsidRPr="00EB57D6" w:rsidRDefault="006865B4" w:rsidP="006865B4">
      <w:pPr>
        <w:ind w:left="426"/>
        <w:rPr>
          <w:sz w:val="18"/>
        </w:rPr>
      </w:pPr>
      <w:r w:rsidRPr="00EB57D6">
        <w:t xml:space="preserve">Mélisse (Melissa </w:t>
      </w:r>
      <w:proofErr w:type="spellStart"/>
      <w:r w:rsidRPr="00EB57D6">
        <w:t>officinalis</w:t>
      </w:r>
      <w:proofErr w:type="spellEnd"/>
      <w:r w:rsidRPr="00EB57D6">
        <w:t xml:space="preserve"> L.) – 1</w:t>
      </w:r>
    </w:p>
    <w:p w:rsidR="006865B4" w:rsidRPr="008E0BFA" w:rsidRDefault="006865B4" w:rsidP="006865B4">
      <w:pPr>
        <w:ind w:left="426"/>
        <w:rPr>
          <w:sz w:val="18"/>
          <w:lang w:val="pt-PT"/>
        </w:rPr>
      </w:pPr>
      <w:r w:rsidRPr="008E0BFA">
        <w:rPr>
          <w:lang w:val="pt-PT"/>
        </w:rPr>
        <w:t>Framboisier (Rubus idaeus L.) – 1</w:t>
      </w:r>
    </w:p>
    <w:p w:rsidR="006865B4" w:rsidRPr="008E0BFA" w:rsidRDefault="006865B4" w:rsidP="006865B4">
      <w:pPr>
        <w:ind w:left="426"/>
        <w:rPr>
          <w:sz w:val="18"/>
          <w:lang w:val="pt-PT"/>
        </w:rPr>
      </w:pPr>
      <w:r w:rsidRPr="008E0BFA">
        <w:rPr>
          <w:lang w:val="pt-PT"/>
        </w:rPr>
        <w:t>Seigle (Secale cereale L.) – 1</w:t>
      </w:r>
    </w:p>
    <w:p w:rsidR="006865B4" w:rsidRPr="008E0BFA" w:rsidRDefault="006865B4" w:rsidP="006865B4">
      <w:pPr>
        <w:ind w:left="426"/>
        <w:rPr>
          <w:sz w:val="18"/>
          <w:lang w:val="pt-PT"/>
        </w:rPr>
      </w:pPr>
      <w:r w:rsidRPr="008E0BFA">
        <w:rPr>
          <w:lang w:val="pt-PT"/>
        </w:rPr>
        <w:t>Tomate (Solanum lycopersicum L.) – 5</w:t>
      </w:r>
    </w:p>
    <w:p w:rsidR="006865B4" w:rsidRPr="008E0BFA" w:rsidRDefault="006865B4" w:rsidP="006865B4">
      <w:pPr>
        <w:ind w:left="426"/>
        <w:rPr>
          <w:sz w:val="18"/>
          <w:lang w:val="pt-PT"/>
        </w:rPr>
      </w:pPr>
      <w:r w:rsidRPr="008E0BFA">
        <w:rPr>
          <w:lang w:val="pt-PT"/>
        </w:rPr>
        <w:lastRenderedPageBreak/>
        <w:t>Triticale (Triticosecale Witt.) – 1</w:t>
      </w:r>
    </w:p>
    <w:p w:rsidR="006865B4" w:rsidRPr="008E0BFA" w:rsidRDefault="006865B4" w:rsidP="006865B4">
      <w:pPr>
        <w:ind w:left="426"/>
        <w:rPr>
          <w:sz w:val="18"/>
          <w:lang w:val="pt-PT"/>
        </w:rPr>
      </w:pPr>
      <w:r w:rsidRPr="008E0BFA">
        <w:rPr>
          <w:lang w:val="pt-PT"/>
        </w:rPr>
        <w:t>Blé (Triticum aestivum L.) – 6</w:t>
      </w:r>
    </w:p>
    <w:p w:rsidR="006865B4" w:rsidRPr="008E0BFA" w:rsidRDefault="006865B4" w:rsidP="006865B4">
      <w:pPr>
        <w:ind w:left="426"/>
        <w:rPr>
          <w:sz w:val="18"/>
          <w:lang w:val="pt-PT"/>
        </w:rPr>
      </w:pPr>
      <w:r w:rsidRPr="008E0BFA">
        <w:rPr>
          <w:lang w:val="pt-PT"/>
        </w:rPr>
        <w:t>Maïs (Zea mays L.) – 3</w:t>
      </w:r>
    </w:p>
    <w:p w:rsidR="006865B4" w:rsidRPr="008E0BFA" w:rsidRDefault="006865B4" w:rsidP="006865B4">
      <w:pPr>
        <w:ind w:left="426"/>
        <w:rPr>
          <w:sz w:val="18"/>
          <w:lang w:val="pt-PT"/>
        </w:rPr>
      </w:pPr>
    </w:p>
    <w:p w:rsidR="006865B4" w:rsidRPr="00EB57D6" w:rsidRDefault="006865B4" w:rsidP="006865B4">
      <w:pPr>
        <w:ind w:left="426"/>
        <w:rPr>
          <w:sz w:val="18"/>
        </w:rPr>
      </w:pPr>
      <w:r w:rsidRPr="00EB57D6">
        <w:t>Au 31 décembre 2019, 254 brevets d’obtention végétale étaient en vigueur.</w:t>
      </w:r>
    </w:p>
    <w:p w:rsidR="006865B4" w:rsidRPr="00EB57D6" w:rsidRDefault="006865B4" w:rsidP="006865B4">
      <w:pPr>
        <w:rPr>
          <w:sz w:val="18"/>
        </w:rPr>
      </w:pPr>
    </w:p>
    <w:p w:rsidR="006865B4" w:rsidRPr="00EB57D6" w:rsidRDefault="006865B4" w:rsidP="006865B4">
      <w:pPr>
        <w:rPr>
          <w:sz w:val="18"/>
        </w:rPr>
      </w:pPr>
    </w:p>
    <w:p w:rsidR="006865B4" w:rsidRPr="00EB57D6" w:rsidRDefault="006865B4" w:rsidP="006865B4">
      <w:pPr>
        <w:rPr>
          <w:sz w:val="18"/>
        </w:rPr>
      </w:pPr>
      <w:r w:rsidRPr="00EB57D6">
        <w:t>4.</w:t>
      </w:r>
      <w:r w:rsidRPr="00EB57D6">
        <w:tab/>
      </w:r>
      <w:r w:rsidRPr="00EB57D6">
        <w:rPr>
          <w:u w:val="single"/>
        </w:rPr>
        <w:t>Situation dans le domaine technique</w:t>
      </w:r>
      <w:r w:rsidRPr="00EB57D6">
        <w:t> : Aucun changement.</w:t>
      </w:r>
    </w:p>
    <w:p w:rsidR="006865B4" w:rsidRPr="00EB57D6" w:rsidRDefault="006865B4" w:rsidP="006865B4">
      <w:pPr>
        <w:rPr>
          <w:sz w:val="18"/>
        </w:rPr>
      </w:pPr>
    </w:p>
    <w:p w:rsidR="006865B4" w:rsidRPr="00EB57D6" w:rsidRDefault="006865B4" w:rsidP="006865B4">
      <w:pPr>
        <w:rPr>
          <w:sz w:val="18"/>
        </w:rPr>
      </w:pPr>
    </w:p>
    <w:p w:rsidR="006865B4" w:rsidRPr="00EB57D6" w:rsidRDefault="006865B4" w:rsidP="006865B4">
      <w:pPr>
        <w:rPr>
          <w:sz w:val="18"/>
          <w:u w:val="single"/>
        </w:rPr>
      </w:pPr>
      <w:r w:rsidRPr="00EB57D6">
        <w:t>5.</w:t>
      </w:r>
      <w:r w:rsidRPr="00EB57D6">
        <w:tab/>
      </w:r>
      <w:r w:rsidRPr="00EB57D6">
        <w:rPr>
          <w:u w:val="single"/>
        </w:rPr>
        <w:t>Activités de promotion de la protection des obtentions végétales</w:t>
      </w:r>
    </w:p>
    <w:p w:rsidR="006865B4" w:rsidRPr="00EB57D6" w:rsidRDefault="006865B4" w:rsidP="006865B4">
      <w:pPr>
        <w:rPr>
          <w:sz w:val="18"/>
        </w:rPr>
      </w:pPr>
    </w:p>
    <w:p w:rsidR="006865B4" w:rsidRPr="00EB57D6" w:rsidRDefault="006865B4" w:rsidP="006865B4">
      <w:pPr>
        <w:rPr>
          <w:sz w:val="18"/>
        </w:rPr>
      </w:pPr>
      <w:r w:rsidRPr="00EB57D6">
        <w:t xml:space="preserve">L’AGEPI tient à jour régulièrement, en anglais, roumain et russe, le site Internet </w:t>
      </w:r>
      <w:hyperlink r:id="rId28" w:history="1">
        <w:r w:rsidRPr="00EB57D6">
          <w:rPr>
            <w:rStyle w:val="Hyperlink"/>
          </w:rPr>
          <w:t>www.agepi.gov.md</w:t>
        </w:r>
      </w:hyperlink>
      <w:r w:rsidRPr="00EB57D6">
        <w:t xml:space="preserve"> où l’on trouve la législation nationale dans le domaine de la protection des obtentions végétales, le formulaire de demande d’un brevet d’obtention végétale, ainsi que des informations utiles pour les demandeurs et les obtenteurs.</w:t>
      </w:r>
    </w:p>
    <w:p w:rsidR="006865B4" w:rsidRPr="00EB57D6" w:rsidRDefault="006865B4" w:rsidP="006865B4">
      <w:pPr>
        <w:rPr>
          <w:sz w:val="18"/>
        </w:rPr>
      </w:pPr>
    </w:p>
    <w:p w:rsidR="006865B4" w:rsidRPr="00EB57D6" w:rsidRDefault="006865B4" w:rsidP="006865B4">
      <w:pPr>
        <w:rPr>
          <w:sz w:val="18"/>
        </w:rPr>
      </w:pPr>
      <w:r w:rsidRPr="00EB57D6">
        <w:t>Le matériel d’information relatif à la protection des obtentions végétales est distribué dans le cadre des différentes activités organisées par l’AGEPI ou auxquelles l’AGEPI prend part, telles que séminaires, campagnes de sensibilisation à la propriété intellectuelle, expositions, etc.</w:t>
      </w:r>
    </w:p>
    <w:p w:rsidR="006865B4" w:rsidRPr="00EB57D6" w:rsidRDefault="006865B4" w:rsidP="006865B4">
      <w:pPr>
        <w:rPr>
          <w:sz w:val="18"/>
        </w:rPr>
      </w:pPr>
    </w:p>
    <w:p w:rsidR="006865B4" w:rsidRPr="00EB57D6" w:rsidRDefault="006865B4" w:rsidP="006865B4">
      <w:pPr>
        <w:rPr>
          <w:sz w:val="18"/>
        </w:rPr>
      </w:pPr>
      <w:r w:rsidRPr="00EB57D6">
        <w:t>Depuis 2016, la République de Moldova, représentée par l’AGEPI, participe en tant que membre au projet de l’UPOV relatif à l’élaboration d’un formulaire de demande électronique (UPOV PRISMA).</w:t>
      </w:r>
    </w:p>
    <w:p w:rsidR="006865B4" w:rsidRPr="00EB57D6" w:rsidRDefault="006865B4" w:rsidP="006865B4">
      <w:pPr>
        <w:rPr>
          <w:sz w:val="18"/>
        </w:rPr>
      </w:pPr>
    </w:p>
    <w:p w:rsidR="006865B4" w:rsidRPr="00EB57D6" w:rsidRDefault="006865B4" w:rsidP="006865B4">
      <w:pPr>
        <w:rPr>
          <w:sz w:val="18"/>
        </w:rPr>
      </w:pPr>
      <w:r w:rsidRPr="00EB57D6">
        <w:t>En 2019, les 10 plantes supplémentaires ci-après étaient couvertes par UPOV PRISMA : avoine, fraisier, seigle, mûrier, blé, cerisier acide, poirier, framboisier, tournesol, oignon.</w:t>
      </w:r>
    </w:p>
    <w:p w:rsidR="006865B4" w:rsidRPr="00EB57D6" w:rsidRDefault="006865B4" w:rsidP="006865B4">
      <w:pPr>
        <w:jc w:val="left"/>
        <w:rPr>
          <w:sz w:val="18"/>
        </w:rPr>
      </w:pPr>
    </w:p>
    <w:p w:rsidR="006865B4" w:rsidRPr="00EB57D6" w:rsidRDefault="006865B4" w:rsidP="006865B4">
      <w:pPr>
        <w:jc w:val="left"/>
        <w:rPr>
          <w:sz w:val="18"/>
        </w:rPr>
      </w:pPr>
    </w:p>
    <w:p w:rsidR="00845D57" w:rsidRPr="00EB57D6" w:rsidRDefault="00845D57" w:rsidP="00845D57">
      <w:pPr>
        <w:jc w:val="left"/>
      </w:pPr>
    </w:p>
    <w:p w:rsidR="00845D57" w:rsidRPr="00EB57D6" w:rsidRDefault="00845D57" w:rsidP="00845D57">
      <w:pPr>
        <w:jc w:val="right"/>
      </w:pPr>
      <w:r w:rsidRPr="00EB57D6">
        <w:t>[L’annexe XIII suit]</w:t>
      </w:r>
    </w:p>
    <w:p w:rsidR="00845D57" w:rsidRPr="00EB57D6" w:rsidRDefault="00845D57" w:rsidP="00845D57"/>
    <w:p w:rsidR="00845D57" w:rsidRPr="00EB57D6" w:rsidRDefault="00845D57" w:rsidP="00845D57">
      <w:pPr>
        <w:jc w:val="left"/>
        <w:sectPr w:rsidR="00845D57" w:rsidRPr="00EB57D6" w:rsidSect="009B2909">
          <w:headerReference w:type="default" r:id="rId29"/>
          <w:pgSz w:w="11907" w:h="16840" w:code="9"/>
          <w:pgMar w:top="510" w:right="1134" w:bottom="1134" w:left="1134" w:header="510" w:footer="680" w:gutter="0"/>
          <w:pgNumType w:start="1"/>
          <w:cols w:space="720"/>
          <w:titlePg/>
        </w:sectPr>
      </w:pPr>
    </w:p>
    <w:p w:rsidR="00845D57" w:rsidRPr="00EB57D6" w:rsidRDefault="00845D57" w:rsidP="00845D57">
      <w:pPr>
        <w:jc w:val="center"/>
      </w:pPr>
      <w:r w:rsidRPr="00EB57D6">
        <w:lastRenderedPageBreak/>
        <w:t>C/54/INF/4</w:t>
      </w:r>
    </w:p>
    <w:p w:rsidR="00845D57" w:rsidRPr="00EB57D6" w:rsidRDefault="00845D57" w:rsidP="00845D57">
      <w:pPr>
        <w:jc w:val="center"/>
      </w:pPr>
    </w:p>
    <w:p w:rsidR="00845D57" w:rsidRPr="00EB57D6" w:rsidRDefault="00845D57" w:rsidP="00845D57">
      <w:pPr>
        <w:jc w:val="center"/>
      </w:pPr>
      <w:r w:rsidRPr="00EB57D6">
        <w:t>ANNEXE XIII</w:t>
      </w:r>
    </w:p>
    <w:p w:rsidR="00845D57" w:rsidRPr="00EB57D6" w:rsidRDefault="00845D57" w:rsidP="00845D57">
      <w:pPr>
        <w:jc w:val="center"/>
      </w:pPr>
    </w:p>
    <w:p w:rsidR="00845D57" w:rsidRPr="00EB57D6" w:rsidRDefault="00845D57" w:rsidP="00845D57">
      <w:pPr>
        <w:jc w:val="center"/>
      </w:pPr>
    </w:p>
    <w:p w:rsidR="00FD4F25" w:rsidRPr="00EB57D6" w:rsidRDefault="00FD4F25" w:rsidP="00FD4F25">
      <w:pPr>
        <w:jc w:val="center"/>
        <w:rPr>
          <w:sz w:val="18"/>
        </w:rPr>
      </w:pPr>
      <w:r w:rsidRPr="00EB57D6">
        <w:t>RÉPUBLIQUE TCHÈQUE</w:t>
      </w:r>
    </w:p>
    <w:p w:rsidR="00FD4F25" w:rsidRPr="00EB57D6" w:rsidRDefault="00FD4F25" w:rsidP="00FD4F25">
      <w:pPr>
        <w:jc w:val="center"/>
        <w:rPr>
          <w:sz w:val="18"/>
        </w:rPr>
      </w:pPr>
    </w:p>
    <w:p w:rsidR="00FD4F25" w:rsidRPr="00EB57D6" w:rsidRDefault="00FD4F25" w:rsidP="00FD4F25">
      <w:pPr>
        <w:jc w:val="center"/>
        <w:rPr>
          <w:sz w:val="18"/>
        </w:rPr>
      </w:pPr>
    </w:p>
    <w:p w:rsidR="00FD4F25" w:rsidRPr="00EB57D6" w:rsidRDefault="00FD4F25" w:rsidP="00FD4F25">
      <w:pPr>
        <w:rPr>
          <w:sz w:val="18"/>
        </w:rPr>
      </w:pPr>
      <w:r w:rsidRPr="00EB57D6">
        <w:t>I.</w:t>
      </w:r>
      <w:r w:rsidRPr="00EB57D6">
        <w:tab/>
        <w:t>PROTECTION DES OBTENTIONS VÉGÉTALES</w:t>
      </w:r>
    </w:p>
    <w:p w:rsidR="00FD4F25" w:rsidRPr="00EB57D6" w:rsidRDefault="00FD4F25" w:rsidP="00FD4F25">
      <w:pPr>
        <w:rPr>
          <w:sz w:val="18"/>
        </w:rPr>
      </w:pPr>
    </w:p>
    <w:p w:rsidR="00FD4F25" w:rsidRPr="00EB57D6" w:rsidRDefault="00FD4F25" w:rsidP="00FD4F25">
      <w:pPr>
        <w:rPr>
          <w:sz w:val="18"/>
        </w:rPr>
      </w:pPr>
      <w:r w:rsidRPr="00EB57D6">
        <w:t>1.</w:t>
      </w:r>
      <w:r w:rsidRPr="00EB57D6">
        <w:tab/>
      </w:r>
      <w:r w:rsidRPr="00EB57D6">
        <w:rPr>
          <w:u w:val="single"/>
        </w:rPr>
        <w:t>Situation dans le domaine législatif</w:t>
      </w:r>
      <w:r w:rsidRPr="00EB57D6">
        <w:t> : Aucun élément nouveau.</w:t>
      </w:r>
    </w:p>
    <w:p w:rsidR="00FD4F25" w:rsidRPr="00EB57D6" w:rsidRDefault="00FD4F25" w:rsidP="00FD4F25">
      <w:pPr>
        <w:rPr>
          <w:sz w:val="18"/>
        </w:rPr>
      </w:pPr>
    </w:p>
    <w:p w:rsidR="00FD4F25" w:rsidRPr="00EB57D6" w:rsidRDefault="00FD4F25" w:rsidP="00FD4F25">
      <w:pPr>
        <w:rPr>
          <w:sz w:val="18"/>
        </w:rPr>
      </w:pPr>
    </w:p>
    <w:p w:rsidR="00FD4F25" w:rsidRPr="00EB57D6" w:rsidRDefault="00FD4F25" w:rsidP="00FD4F25">
      <w:pPr>
        <w:rPr>
          <w:sz w:val="18"/>
          <w:u w:val="single"/>
        </w:rPr>
      </w:pPr>
      <w:r w:rsidRPr="00EB57D6">
        <w:t>2.</w:t>
      </w:r>
      <w:r w:rsidRPr="00EB57D6">
        <w:tab/>
      </w:r>
      <w:r w:rsidRPr="00EB57D6">
        <w:rPr>
          <w:u w:val="single"/>
        </w:rPr>
        <w:t>Coopération en matière d’examen</w:t>
      </w:r>
    </w:p>
    <w:p w:rsidR="00FD4F25" w:rsidRPr="00EB57D6" w:rsidRDefault="00FD4F25" w:rsidP="00FD4F25">
      <w:pPr>
        <w:rPr>
          <w:sz w:val="18"/>
        </w:rPr>
      </w:pPr>
    </w:p>
    <w:p w:rsidR="00FD4F25" w:rsidRPr="00EB57D6" w:rsidRDefault="00FD4F25" w:rsidP="00FD4F25">
      <w:pPr>
        <w:rPr>
          <w:sz w:val="18"/>
        </w:rPr>
      </w:pPr>
      <w:r w:rsidRPr="00EB57D6">
        <w:t>Les accords bilatéraux de coopération en matière d’examen DHS avec l’Autriche, le Danemark, la Hongrie, les Pays-Bas, la Pologne, la Roumanie, la Slovaquie, la Slovénie et l’OCVV demeurent inchangés.</w:t>
      </w:r>
    </w:p>
    <w:p w:rsidR="00FD4F25" w:rsidRPr="00EB57D6" w:rsidRDefault="00FD4F25" w:rsidP="00FD4F25">
      <w:pPr>
        <w:rPr>
          <w:sz w:val="18"/>
        </w:rPr>
      </w:pPr>
    </w:p>
    <w:p w:rsidR="00FD4F25" w:rsidRPr="00EB57D6" w:rsidRDefault="00FD4F25" w:rsidP="00FD4F25">
      <w:pPr>
        <w:rPr>
          <w:sz w:val="18"/>
        </w:rPr>
      </w:pPr>
    </w:p>
    <w:p w:rsidR="00FD4F25" w:rsidRPr="00EB57D6" w:rsidRDefault="00FD4F25" w:rsidP="00FD4F25">
      <w:pPr>
        <w:rPr>
          <w:sz w:val="18"/>
        </w:rPr>
      </w:pPr>
      <w:r w:rsidRPr="00EB57D6">
        <w:t>3.</w:t>
      </w:r>
      <w:r w:rsidRPr="00EB57D6">
        <w:tab/>
      </w:r>
      <w:r w:rsidRPr="00EB57D6">
        <w:rPr>
          <w:u w:val="single"/>
        </w:rPr>
        <w:t>Situation dans le domaine administratif</w:t>
      </w:r>
      <w:r w:rsidRPr="00EB57D6">
        <w:t> : Aucun élément nouveau.</w:t>
      </w:r>
    </w:p>
    <w:p w:rsidR="00FD4F25" w:rsidRPr="00EB57D6" w:rsidRDefault="00FD4F25" w:rsidP="00FD4F25">
      <w:pPr>
        <w:rPr>
          <w:sz w:val="18"/>
        </w:rPr>
      </w:pPr>
    </w:p>
    <w:p w:rsidR="00FD4F25" w:rsidRPr="00EB57D6" w:rsidRDefault="00FD4F25" w:rsidP="00FD4F25">
      <w:pPr>
        <w:rPr>
          <w:sz w:val="18"/>
        </w:rPr>
      </w:pPr>
    </w:p>
    <w:p w:rsidR="00FD4F25" w:rsidRPr="00EB57D6" w:rsidRDefault="00FD4F25" w:rsidP="00FD4F25">
      <w:pPr>
        <w:rPr>
          <w:sz w:val="18"/>
        </w:rPr>
      </w:pPr>
      <w:r w:rsidRPr="00EB57D6">
        <w:t>4.</w:t>
      </w:r>
      <w:r w:rsidRPr="00EB57D6">
        <w:tab/>
      </w:r>
      <w:r w:rsidRPr="00EB57D6">
        <w:rPr>
          <w:u w:val="single"/>
        </w:rPr>
        <w:t>Situation dans le domaine technique</w:t>
      </w:r>
      <w:r w:rsidRPr="00EB57D6">
        <w:t> : Aucun élément nouveau.</w:t>
      </w:r>
    </w:p>
    <w:p w:rsidR="00FD4F25" w:rsidRPr="00EB57D6" w:rsidRDefault="00FD4F25" w:rsidP="00FD4F25">
      <w:pPr>
        <w:rPr>
          <w:sz w:val="18"/>
        </w:rPr>
      </w:pPr>
    </w:p>
    <w:p w:rsidR="00FD4F25" w:rsidRPr="00EB57D6" w:rsidRDefault="00FD4F25" w:rsidP="00FD4F25">
      <w:pPr>
        <w:rPr>
          <w:sz w:val="18"/>
        </w:rPr>
      </w:pPr>
    </w:p>
    <w:p w:rsidR="00FD4F25" w:rsidRPr="00EB57D6" w:rsidRDefault="00FD4F25" w:rsidP="00FD4F25">
      <w:pPr>
        <w:rPr>
          <w:sz w:val="18"/>
        </w:rPr>
      </w:pPr>
      <w:r w:rsidRPr="00EB57D6">
        <w:t>5.</w:t>
      </w:r>
      <w:r w:rsidRPr="00EB57D6">
        <w:tab/>
      </w:r>
      <w:r w:rsidRPr="00EB57D6">
        <w:rPr>
          <w:u w:val="single"/>
        </w:rPr>
        <w:t>Activités de promotion de la protection des obtentions végétales</w:t>
      </w:r>
    </w:p>
    <w:p w:rsidR="00FD4F25" w:rsidRPr="00EB57D6" w:rsidRDefault="00FD4F25" w:rsidP="00FD4F25">
      <w:pPr>
        <w:rPr>
          <w:sz w:val="18"/>
        </w:rPr>
      </w:pPr>
    </w:p>
    <w:p w:rsidR="00FD4F25" w:rsidRPr="00EB57D6" w:rsidRDefault="00FD4F25" w:rsidP="00FD4F25">
      <w:pPr>
        <w:rPr>
          <w:sz w:val="18"/>
        </w:rPr>
      </w:pPr>
      <w:r w:rsidRPr="00EB57D6">
        <w:t>Des experts de l’Institut central de supervision et d’essai en agriculture ont participé aux réunions des organes de l’UPOV (C, CAJ, CC, TC, TWA, TWC, TWV) et aux réunions organisées par l’OCVV (conseil d’administration, réunions avec des experts des espèces agricoles, des espèces potagères et fruitières, réunion annuelle avec les services d’examen).</w:t>
      </w:r>
    </w:p>
    <w:p w:rsidR="00FD4F25" w:rsidRPr="00EB57D6" w:rsidRDefault="00FD4F25" w:rsidP="00FD4F25">
      <w:pPr>
        <w:rPr>
          <w:sz w:val="18"/>
        </w:rPr>
      </w:pPr>
    </w:p>
    <w:p w:rsidR="00FD4F25" w:rsidRPr="00EB57D6" w:rsidRDefault="00FD4F25" w:rsidP="00FD4F25">
      <w:pPr>
        <w:rPr>
          <w:sz w:val="18"/>
        </w:rPr>
      </w:pPr>
    </w:p>
    <w:p w:rsidR="00FD4F25" w:rsidRPr="00EB57D6" w:rsidRDefault="00FD4F25" w:rsidP="00FD4F25">
      <w:pPr>
        <w:rPr>
          <w:sz w:val="18"/>
        </w:rPr>
      </w:pPr>
      <w:r w:rsidRPr="00EB57D6">
        <w:t>II.</w:t>
      </w:r>
      <w:r w:rsidRPr="00EB57D6">
        <w:tab/>
        <w:t>AUTRES ÉLÉMENTS NOUVEAUX PRÉSENTANT UN INTÉRÊT POUR L’UPOV</w:t>
      </w:r>
    </w:p>
    <w:p w:rsidR="00FD4F25" w:rsidRPr="00EB57D6" w:rsidRDefault="00FD4F25" w:rsidP="00FD4F25">
      <w:pPr>
        <w:rPr>
          <w:sz w:val="18"/>
        </w:rPr>
      </w:pPr>
    </w:p>
    <w:p w:rsidR="00FD4F25" w:rsidRPr="00EB57D6" w:rsidRDefault="00FD4F25" w:rsidP="00FD4F25">
      <w:pPr>
        <w:rPr>
          <w:sz w:val="18"/>
        </w:rPr>
      </w:pPr>
      <w:r w:rsidRPr="00EB57D6">
        <w:t>Aucun élément nouveau.</w:t>
      </w:r>
    </w:p>
    <w:p w:rsidR="00FD4F25" w:rsidRPr="00EB57D6" w:rsidRDefault="00FD4F25" w:rsidP="00FD4F25">
      <w:pPr>
        <w:jc w:val="left"/>
        <w:rPr>
          <w:sz w:val="18"/>
        </w:rPr>
      </w:pPr>
    </w:p>
    <w:p w:rsidR="00FD4F25" w:rsidRPr="00EB57D6" w:rsidRDefault="00FD4F25" w:rsidP="00FD4F25">
      <w:pPr>
        <w:jc w:val="left"/>
        <w:rPr>
          <w:sz w:val="18"/>
        </w:rPr>
      </w:pPr>
    </w:p>
    <w:p w:rsidR="00845D57" w:rsidRPr="00EB57D6" w:rsidRDefault="00845D57" w:rsidP="00845D57">
      <w:pPr>
        <w:jc w:val="left"/>
      </w:pPr>
    </w:p>
    <w:p w:rsidR="00845D57" w:rsidRPr="00EB57D6" w:rsidRDefault="00845D57" w:rsidP="00845D57">
      <w:pPr>
        <w:jc w:val="right"/>
      </w:pPr>
      <w:r w:rsidRPr="00EB57D6">
        <w:t>[L’annexe XIV suit]</w:t>
      </w:r>
    </w:p>
    <w:p w:rsidR="00845D57" w:rsidRPr="00EB57D6" w:rsidRDefault="00845D57" w:rsidP="00845D57"/>
    <w:p w:rsidR="00845D57" w:rsidRPr="00EB57D6" w:rsidRDefault="00845D57" w:rsidP="00845D57">
      <w:pPr>
        <w:jc w:val="left"/>
        <w:sectPr w:rsidR="00845D57" w:rsidRPr="00EB57D6" w:rsidSect="009B2909">
          <w:headerReference w:type="default" r:id="rId30"/>
          <w:pgSz w:w="11907" w:h="16840" w:code="9"/>
          <w:pgMar w:top="510" w:right="1134" w:bottom="1134" w:left="1134" w:header="510" w:footer="680" w:gutter="0"/>
          <w:pgNumType w:start="1"/>
          <w:cols w:space="720"/>
          <w:titlePg/>
        </w:sectPr>
      </w:pPr>
    </w:p>
    <w:p w:rsidR="00845D57" w:rsidRPr="00EB57D6" w:rsidRDefault="00845D57" w:rsidP="00845D57">
      <w:pPr>
        <w:jc w:val="center"/>
      </w:pPr>
      <w:r w:rsidRPr="00EB57D6">
        <w:lastRenderedPageBreak/>
        <w:t>C/54/INF/4</w:t>
      </w:r>
    </w:p>
    <w:p w:rsidR="00845D57" w:rsidRPr="00EB57D6" w:rsidRDefault="00845D57" w:rsidP="00845D57">
      <w:pPr>
        <w:jc w:val="center"/>
      </w:pPr>
    </w:p>
    <w:p w:rsidR="00845D57" w:rsidRPr="00EB57D6" w:rsidRDefault="00845D57" w:rsidP="00845D57">
      <w:pPr>
        <w:jc w:val="center"/>
      </w:pPr>
      <w:r w:rsidRPr="00EB57D6">
        <w:t>ANNEXE XIV</w:t>
      </w:r>
    </w:p>
    <w:p w:rsidR="00845D57" w:rsidRPr="00EB57D6" w:rsidRDefault="00845D57" w:rsidP="00845D57">
      <w:pPr>
        <w:jc w:val="center"/>
      </w:pPr>
    </w:p>
    <w:p w:rsidR="00845D57" w:rsidRPr="00EB57D6" w:rsidRDefault="00845D57" w:rsidP="00845D57">
      <w:pPr>
        <w:jc w:val="center"/>
      </w:pPr>
    </w:p>
    <w:p w:rsidR="00FD4F25" w:rsidRPr="00EB57D6" w:rsidRDefault="00FD4F25" w:rsidP="00FD4F25">
      <w:pPr>
        <w:jc w:val="center"/>
        <w:rPr>
          <w:sz w:val="18"/>
        </w:rPr>
      </w:pPr>
      <w:r w:rsidRPr="00EB57D6">
        <w:t>SINGAPOUR</w:t>
      </w:r>
    </w:p>
    <w:p w:rsidR="00FD4F25" w:rsidRPr="00EB57D6" w:rsidRDefault="00FD4F25" w:rsidP="00FD4F25">
      <w:pPr>
        <w:jc w:val="center"/>
        <w:rPr>
          <w:sz w:val="18"/>
        </w:rPr>
      </w:pPr>
    </w:p>
    <w:p w:rsidR="00FD4F25" w:rsidRPr="00EB57D6" w:rsidRDefault="00FD4F25" w:rsidP="00FD4F25">
      <w:pPr>
        <w:jc w:val="center"/>
        <w:rPr>
          <w:sz w:val="18"/>
        </w:rPr>
      </w:pPr>
    </w:p>
    <w:p w:rsidR="00FD4F25" w:rsidRPr="00EB57D6" w:rsidRDefault="00FD4F25" w:rsidP="00FD4F25">
      <w:pPr>
        <w:rPr>
          <w:sz w:val="18"/>
        </w:rPr>
      </w:pPr>
      <w:r w:rsidRPr="00EB57D6">
        <w:t>I.</w:t>
      </w:r>
      <w:r w:rsidRPr="00EB57D6">
        <w:tab/>
        <w:t>PROTECTION DES OBTENTIONS VÉGÉTALES</w:t>
      </w:r>
    </w:p>
    <w:p w:rsidR="00FD4F25" w:rsidRPr="00EB57D6" w:rsidRDefault="00FD4F25" w:rsidP="00FD4F25">
      <w:pPr>
        <w:rPr>
          <w:sz w:val="18"/>
        </w:rPr>
      </w:pPr>
    </w:p>
    <w:p w:rsidR="00FD4F25" w:rsidRPr="00EB57D6" w:rsidRDefault="00FD4F25" w:rsidP="00FD4F25">
      <w:pPr>
        <w:rPr>
          <w:sz w:val="18"/>
        </w:rPr>
      </w:pPr>
      <w:r w:rsidRPr="00EB57D6">
        <w:t>1.</w:t>
      </w:r>
      <w:r w:rsidRPr="00EB57D6">
        <w:tab/>
      </w:r>
      <w:r w:rsidRPr="00EB57D6">
        <w:rPr>
          <w:u w:val="single"/>
        </w:rPr>
        <w:t>Situation dans le domaine législatif</w:t>
      </w:r>
    </w:p>
    <w:p w:rsidR="00FD4F25" w:rsidRPr="00EB57D6" w:rsidRDefault="00FD4F25" w:rsidP="00FD4F25">
      <w:pPr>
        <w:rPr>
          <w:sz w:val="18"/>
        </w:rPr>
      </w:pPr>
    </w:p>
    <w:p w:rsidR="00FD4F25" w:rsidRPr="00EB57D6" w:rsidRDefault="00FD4F25" w:rsidP="00FD4F25">
      <w:pPr>
        <w:rPr>
          <w:sz w:val="18"/>
        </w:rPr>
      </w:pPr>
      <w:r w:rsidRPr="00EB57D6">
        <w:t>1.1</w:t>
      </w:r>
      <w:r w:rsidRPr="00EB57D6">
        <w:tab/>
        <w:t>Modifications de la loi et des textes d’application</w:t>
      </w:r>
    </w:p>
    <w:p w:rsidR="00FD4F25" w:rsidRPr="00EB57D6" w:rsidRDefault="00FD4F25" w:rsidP="00FD4F25">
      <w:pPr>
        <w:rPr>
          <w:sz w:val="18"/>
        </w:rPr>
      </w:pPr>
    </w:p>
    <w:p w:rsidR="00FD4F25" w:rsidRPr="00EB57D6" w:rsidRDefault="00FD4F25" w:rsidP="00FD4F25">
      <w:pPr>
        <w:pStyle w:val="ListParagraph"/>
        <w:numPr>
          <w:ilvl w:val="0"/>
          <w:numId w:val="6"/>
        </w:numPr>
        <w:ind w:left="567" w:hanging="567"/>
        <w:jc w:val="both"/>
        <w:rPr>
          <w:sz w:val="18"/>
          <w:lang w:val="fr-FR"/>
        </w:rPr>
      </w:pPr>
      <w:r w:rsidRPr="00EB57D6">
        <w:rPr>
          <w:lang w:val="fr-FR"/>
        </w:rPr>
        <w:t>Modification de la loi de Singapour sur la protection des obtentions végétales en ce qui concerne le règlement des litiges de propriété intellectuelle et d’autres questions connexes, ainsi que la qualification des infractions le 21 novembre 2019.</w:t>
      </w:r>
    </w:p>
    <w:p w:rsidR="00FD4F25" w:rsidRPr="00EB57D6" w:rsidRDefault="00FD4F25" w:rsidP="00FD4F25">
      <w:pPr>
        <w:rPr>
          <w:sz w:val="18"/>
        </w:rPr>
      </w:pPr>
    </w:p>
    <w:p w:rsidR="00FD4F25" w:rsidRPr="00EB57D6" w:rsidRDefault="00FD4F25" w:rsidP="00FD4F25">
      <w:pPr>
        <w:pStyle w:val="ListParagraph"/>
        <w:numPr>
          <w:ilvl w:val="0"/>
          <w:numId w:val="6"/>
        </w:numPr>
        <w:ind w:left="567" w:hanging="567"/>
        <w:jc w:val="both"/>
        <w:rPr>
          <w:sz w:val="18"/>
          <w:lang w:val="fr-FR"/>
        </w:rPr>
      </w:pPr>
      <w:r w:rsidRPr="00EB57D6">
        <w:rPr>
          <w:lang w:val="fr-FR"/>
        </w:rPr>
        <w:t>Modification des règles de protection des obtentions végétales de Singapour en ce qui concerne la transmission des documents, les exigences en matière de dépôt et la prolongation des délais dans des circonstances particulières le 5 juin 2020.</w:t>
      </w:r>
    </w:p>
    <w:p w:rsidR="00FD4F25" w:rsidRPr="00EB57D6" w:rsidRDefault="00FD4F25" w:rsidP="00FD4F25"/>
    <w:p w:rsidR="00FD4F25" w:rsidRPr="00EB57D6" w:rsidRDefault="00FD4F25" w:rsidP="00FD4F25">
      <w:pPr>
        <w:rPr>
          <w:sz w:val="18"/>
        </w:rPr>
      </w:pPr>
      <w:r w:rsidRPr="00EB57D6">
        <w:t>1.2</w:t>
      </w:r>
      <w:r w:rsidRPr="00EB57D6">
        <w:tab/>
        <w:t>Extension de la protection à d’autres genres et espèces (effectuée ou prévue)</w:t>
      </w:r>
    </w:p>
    <w:p w:rsidR="00FD4F25" w:rsidRPr="00EB57D6" w:rsidRDefault="00FD4F25" w:rsidP="00FD4F25">
      <w:pPr>
        <w:rPr>
          <w:sz w:val="18"/>
        </w:rPr>
      </w:pPr>
    </w:p>
    <w:p w:rsidR="00FD4F25" w:rsidRPr="00EB57D6" w:rsidRDefault="00FD4F25" w:rsidP="00FD4F25">
      <w:pPr>
        <w:rPr>
          <w:sz w:val="18"/>
        </w:rPr>
      </w:pPr>
      <w:r w:rsidRPr="00EB57D6">
        <w:t>Singapour autorise la protection de tous les genres et espèces végétaux depuis le 30 juillet 2014.</w:t>
      </w:r>
    </w:p>
    <w:p w:rsidR="00FD4F25" w:rsidRPr="00EB57D6" w:rsidRDefault="00FD4F25" w:rsidP="00FD4F25">
      <w:pPr>
        <w:rPr>
          <w:sz w:val="18"/>
        </w:rPr>
      </w:pPr>
    </w:p>
    <w:p w:rsidR="00FD4F25" w:rsidRPr="00EB57D6" w:rsidRDefault="00FD4F25" w:rsidP="00FD4F25">
      <w:pPr>
        <w:rPr>
          <w:sz w:val="18"/>
        </w:rPr>
      </w:pPr>
    </w:p>
    <w:p w:rsidR="00FD4F25" w:rsidRPr="00EB57D6" w:rsidRDefault="00FD4F25" w:rsidP="00FD4F25">
      <w:pPr>
        <w:rPr>
          <w:sz w:val="18"/>
        </w:rPr>
      </w:pPr>
      <w:r w:rsidRPr="00EB57D6">
        <w:t>1.3</w:t>
      </w:r>
      <w:r w:rsidRPr="00EB57D6">
        <w:tab/>
        <w:t>Jurisprudence : Aucun élément nouveau.</w:t>
      </w:r>
    </w:p>
    <w:p w:rsidR="00FD4F25" w:rsidRPr="00EB57D6" w:rsidRDefault="00FD4F25" w:rsidP="00FD4F25">
      <w:pPr>
        <w:rPr>
          <w:sz w:val="18"/>
        </w:rPr>
      </w:pPr>
    </w:p>
    <w:p w:rsidR="00FD4F25" w:rsidRPr="00EB57D6" w:rsidRDefault="00FD4F25" w:rsidP="00FD4F25">
      <w:pPr>
        <w:rPr>
          <w:sz w:val="18"/>
        </w:rPr>
      </w:pPr>
    </w:p>
    <w:p w:rsidR="00FD4F25" w:rsidRPr="00EB57D6" w:rsidRDefault="00FD4F25" w:rsidP="00FD4F25">
      <w:pPr>
        <w:rPr>
          <w:sz w:val="18"/>
          <w:u w:val="single"/>
        </w:rPr>
      </w:pPr>
      <w:r w:rsidRPr="00EB57D6">
        <w:t>2.</w:t>
      </w:r>
      <w:r w:rsidRPr="00EB57D6">
        <w:tab/>
      </w:r>
      <w:r w:rsidRPr="00EB57D6">
        <w:rPr>
          <w:u w:val="single"/>
        </w:rPr>
        <w:t>Coopération en matière d’examen</w:t>
      </w:r>
    </w:p>
    <w:p w:rsidR="00FD4F25" w:rsidRPr="00EB57D6" w:rsidRDefault="00FD4F25" w:rsidP="00FD4F25">
      <w:pPr>
        <w:rPr>
          <w:sz w:val="18"/>
        </w:rPr>
      </w:pPr>
    </w:p>
    <w:p w:rsidR="00FD4F25" w:rsidRPr="00EB57D6" w:rsidRDefault="00FD4F25" w:rsidP="00FD4F25">
      <w:pPr>
        <w:pStyle w:val="ListParagraph"/>
        <w:numPr>
          <w:ilvl w:val="0"/>
          <w:numId w:val="6"/>
        </w:numPr>
        <w:ind w:left="567" w:hanging="567"/>
        <w:jc w:val="both"/>
        <w:rPr>
          <w:sz w:val="18"/>
          <w:lang w:val="fr-FR"/>
        </w:rPr>
      </w:pPr>
      <w:r w:rsidRPr="00EB57D6">
        <w:rPr>
          <w:lang w:val="fr-FR"/>
        </w:rPr>
        <w:t>Le mémorandum de coopération entre l’Office de la propriété intellectuelle de Singapour (IPOS) et le Ministère de l’agriculture, des forêts et de la pêche du Japon est entré en vigueur le 1</w:t>
      </w:r>
      <w:r w:rsidRPr="00EB57D6">
        <w:rPr>
          <w:vertAlign w:val="superscript"/>
          <w:lang w:val="fr-FR"/>
        </w:rPr>
        <w:t>er</w:t>
      </w:r>
      <w:r w:rsidRPr="00EB57D6">
        <w:rPr>
          <w:lang w:val="fr-FR"/>
        </w:rPr>
        <w:t> octobre 2018 pour la communication mutuelle des résultats d’examen DHS.</w:t>
      </w:r>
    </w:p>
    <w:p w:rsidR="00FD4F25" w:rsidRPr="00EB57D6" w:rsidRDefault="00FD4F25" w:rsidP="00FD4F25">
      <w:pPr>
        <w:rPr>
          <w:sz w:val="18"/>
        </w:rPr>
      </w:pPr>
    </w:p>
    <w:p w:rsidR="00FD4F25" w:rsidRPr="00EB57D6" w:rsidRDefault="00FD4F25" w:rsidP="00FD4F25">
      <w:pPr>
        <w:pStyle w:val="ListParagraph"/>
        <w:numPr>
          <w:ilvl w:val="0"/>
          <w:numId w:val="6"/>
        </w:numPr>
        <w:ind w:left="567" w:hanging="567"/>
        <w:jc w:val="both"/>
        <w:rPr>
          <w:sz w:val="18"/>
          <w:lang w:val="fr-FR"/>
        </w:rPr>
      </w:pPr>
      <w:r w:rsidRPr="00EB57D6">
        <w:rPr>
          <w:lang w:val="fr-FR"/>
        </w:rPr>
        <w:t>Renouvellement du mémorandum d’accord entre l’Office de la propriété intellectuelle de Singapour et le Service coréen des semences et des variétés sur la fourniture de services d’examen des variétés végétales jusqu’au 16 mars 2025.</w:t>
      </w:r>
    </w:p>
    <w:p w:rsidR="00FD4F25" w:rsidRPr="00EB57D6" w:rsidRDefault="00FD4F25" w:rsidP="00FD4F25">
      <w:pPr>
        <w:rPr>
          <w:sz w:val="18"/>
        </w:rPr>
      </w:pPr>
    </w:p>
    <w:p w:rsidR="00FD4F25" w:rsidRPr="00EB57D6" w:rsidRDefault="00FD4F25" w:rsidP="00FD4F25">
      <w:pPr>
        <w:pStyle w:val="ListParagraph"/>
        <w:numPr>
          <w:ilvl w:val="0"/>
          <w:numId w:val="6"/>
        </w:numPr>
        <w:ind w:left="567" w:hanging="567"/>
        <w:jc w:val="both"/>
        <w:rPr>
          <w:sz w:val="18"/>
          <w:lang w:val="fr-FR"/>
        </w:rPr>
      </w:pPr>
      <w:r w:rsidRPr="00EB57D6">
        <w:rPr>
          <w:lang w:val="fr-FR"/>
        </w:rPr>
        <w:t>Renouvellement du mémorandum d’accord entre l’Office de la propriété intellectuelle de Singapour et le Département de la production végétale du Viet Nam sur la fourniture de services d’examen des variétés végétales jusqu’au 25 juillet 2024.</w:t>
      </w:r>
    </w:p>
    <w:p w:rsidR="00FD4F25" w:rsidRPr="00EB57D6" w:rsidRDefault="00FD4F25" w:rsidP="00FD4F25">
      <w:pPr>
        <w:rPr>
          <w:sz w:val="18"/>
        </w:rPr>
      </w:pPr>
    </w:p>
    <w:p w:rsidR="00FD4F25" w:rsidRPr="00EB57D6" w:rsidRDefault="00FD4F25" w:rsidP="00FD4F25">
      <w:pPr>
        <w:jc w:val="left"/>
        <w:rPr>
          <w:sz w:val="18"/>
        </w:rPr>
      </w:pPr>
    </w:p>
    <w:p w:rsidR="00FD4F25" w:rsidRPr="00EB57D6" w:rsidRDefault="00FD4F25" w:rsidP="00FD4F25">
      <w:pPr>
        <w:rPr>
          <w:sz w:val="18"/>
        </w:rPr>
      </w:pPr>
      <w:r w:rsidRPr="00EB57D6">
        <w:t>3.</w:t>
      </w:r>
      <w:r w:rsidRPr="00EB57D6">
        <w:tab/>
      </w:r>
      <w:r w:rsidRPr="00EB57D6">
        <w:rPr>
          <w:u w:val="single"/>
        </w:rPr>
        <w:t>Situation dans le domaine administratif</w:t>
      </w:r>
    </w:p>
    <w:p w:rsidR="00FD4F25" w:rsidRPr="00EB57D6" w:rsidRDefault="00FD4F25" w:rsidP="00FD4F25">
      <w:pPr>
        <w:rPr>
          <w:sz w:val="18"/>
        </w:rPr>
      </w:pPr>
    </w:p>
    <w:p w:rsidR="00FD4F25" w:rsidRPr="00EB57D6" w:rsidRDefault="00FD4F25" w:rsidP="00FD4F25">
      <w:pPr>
        <w:pStyle w:val="ListParagraph"/>
        <w:numPr>
          <w:ilvl w:val="0"/>
          <w:numId w:val="6"/>
        </w:numPr>
        <w:ind w:left="567" w:hanging="567"/>
        <w:jc w:val="both"/>
        <w:rPr>
          <w:sz w:val="18"/>
          <w:lang w:val="fr-FR"/>
        </w:rPr>
      </w:pPr>
      <w:r w:rsidRPr="00EB57D6">
        <w:rPr>
          <w:lang w:val="fr-FR"/>
        </w:rPr>
        <w:t xml:space="preserve">Introduction de formulaires électroniques pour les demandes de protection des obtentions végétales par l’intermédiaire de </w:t>
      </w:r>
      <w:proofErr w:type="spellStart"/>
      <w:r w:rsidRPr="00EB57D6">
        <w:rPr>
          <w:lang w:val="fr-FR"/>
        </w:rPr>
        <w:t>FormSG</w:t>
      </w:r>
      <w:proofErr w:type="spellEnd"/>
      <w:r w:rsidRPr="00EB57D6">
        <w:rPr>
          <w:lang w:val="fr-FR"/>
        </w:rPr>
        <w:t xml:space="preserve"> à partir du 5 juin 2020.</w:t>
      </w:r>
    </w:p>
    <w:p w:rsidR="00FD4F25" w:rsidRPr="00EB57D6" w:rsidRDefault="00FD4F25" w:rsidP="00FD4F25">
      <w:pPr>
        <w:rPr>
          <w:sz w:val="18"/>
        </w:rPr>
      </w:pPr>
    </w:p>
    <w:p w:rsidR="00FD4F25" w:rsidRPr="00EB57D6" w:rsidRDefault="00FD4F25" w:rsidP="00FD4F25">
      <w:pPr>
        <w:rPr>
          <w:sz w:val="18"/>
        </w:rPr>
      </w:pPr>
    </w:p>
    <w:p w:rsidR="00FD4F25" w:rsidRPr="00EB57D6" w:rsidRDefault="00FD4F25" w:rsidP="00FD4F25">
      <w:pPr>
        <w:rPr>
          <w:sz w:val="18"/>
          <w:u w:val="single"/>
        </w:rPr>
      </w:pPr>
      <w:r w:rsidRPr="00EB57D6">
        <w:t>4.</w:t>
      </w:r>
      <w:r w:rsidRPr="00EB57D6">
        <w:tab/>
      </w:r>
      <w:r w:rsidRPr="00EB57D6">
        <w:rPr>
          <w:u w:val="single"/>
        </w:rPr>
        <w:t>Situation dans le domaine technique</w:t>
      </w:r>
    </w:p>
    <w:p w:rsidR="00FD4F25" w:rsidRPr="00EB57D6" w:rsidRDefault="00FD4F25" w:rsidP="00FD4F25">
      <w:pPr>
        <w:rPr>
          <w:sz w:val="18"/>
        </w:rPr>
      </w:pPr>
    </w:p>
    <w:p w:rsidR="00FD4F25" w:rsidRPr="00EB57D6" w:rsidRDefault="00FD4F25" w:rsidP="00FD4F25">
      <w:pPr>
        <w:pStyle w:val="ListParagraph"/>
        <w:numPr>
          <w:ilvl w:val="0"/>
          <w:numId w:val="6"/>
        </w:numPr>
        <w:ind w:left="567" w:hanging="567"/>
        <w:jc w:val="both"/>
        <w:rPr>
          <w:sz w:val="18"/>
          <w:lang w:val="fr-FR"/>
        </w:rPr>
      </w:pPr>
      <w:r w:rsidRPr="00EB57D6">
        <w:rPr>
          <w:lang w:val="fr-FR"/>
        </w:rPr>
        <w:t xml:space="preserve">Ajout du questionnaire technique pour le RIZ / </w:t>
      </w:r>
      <w:proofErr w:type="spellStart"/>
      <w:r w:rsidRPr="00EB57D6">
        <w:rPr>
          <w:lang w:val="fr-FR"/>
        </w:rPr>
        <w:t>Oryza</w:t>
      </w:r>
      <w:proofErr w:type="spellEnd"/>
      <w:r w:rsidRPr="00EB57D6">
        <w:rPr>
          <w:lang w:val="fr-FR"/>
        </w:rPr>
        <w:t xml:space="preserve"> </w:t>
      </w:r>
      <w:proofErr w:type="spellStart"/>
      <w:r w:rsidRPr="00EB57D6">
        <w:rPr>
          <w:lang w:val="fr-FR"/>
        </w:rPr>
        <w:t>sativa</w:t>
      </w:r>
      <w:proofErr w:type="spellEnd"/>
      <w:r w:rsidRPr="00EB57D6">
        <w:rPr>
          <w:lang w:val="fr-FR"/>
        </w:rPr>
        <w:t xml:space="preserve"> en juin 2019.</w:t>
      </w:r>
    </w:p>
    <w:p w:rsidR="00FD4F25" w:rsidRPr="00EB57D6" w:rsidRDefault="00FD4F25" w:rsidP="00FD4F25">
      <w:pPr>
        <w:rPr>
          <w:sz w:val="18"/>
        </w:rPr>
      </w:pPr>
    </w:p>
    <w:p w:rsidR="00FD4F25" w:rsidRPr="00EB57D6" w:rsidRDefault="00FD4F25" w:rsidP="00FD4F25">
      <w:pPr>
        <w:rPr>
          <w:sz w:val="18"/>
        </w:rPr>
      </w:pPr>
    </w:p>
    <w:p w:rsidR="00FD4F25" w:rsidRPr="00EB57D6" w:rsidRDefault="00FD4F25" w:rsidP="00FD4F25">
      <w:pPr>
        <w:rPr>
          <w:sz w:val="18"/>
        </w:rPr>
      </w:pPr>
      <w:r w:rsidRPr="00EB57D6">
        <w:t>5.</w:t>
      </w:r>
      <w:r w:rsidRPr="00EB57D6">
        <w:tab/>
      </w:r>
      <w:r w:rsidRPr="00EB57D6">
        <w:rPr>
          <w:u w:val="single"/>
        </w:rPr>
        <w:t>Activités de promotion de la protection des obtentions végétales</w:t>
      </w:r>
      <w:r w:rsidRPr="00EB57D6">
        <w:t> : Aucun élément nouveau.</w:t>
      </w:r>
    </w:p>
    <w:p w:rsidR="00FD4F25" w:rsidRPr="00EB57D6" w:rsidRDefault="00FD4F25" w:rsidP="00FD4F25">
      <w:pPr>
        <w:rPr>
          <w:sz w:val="18"/>
        </w:rPr>
      </w:pPr>
    </w:p>
    <w:p w:rsidR="00FD4F25" w:rsidRPr="00EB57D6" w:rsidRDefault="00FD4F25" w:rsidP="00FD4F25">
      <w:pPr>
        <w:rPr>
          <w:sz w:val="18"/>
        </w:rPr>
      </w:pPr>
    </w:p>
    <w:p w:rsidR="00FD4F25" w:rsidRPr="00EB57D6" w:rsidRDefault="00FD4F25" w:rsidP="00FD4F25">
      <w:pPr>
        <w:rPr>
          <w:sz w:val="18"/>
        </w:rPr>
      </w:pPr>
      <w:r w:rsidRPr="00EB57D6">
        <w:t>II.</w:t>
      </w:r>
      <w:r w:rsidRPr="00EB57D6">
        <w:tab/>
        <w:t>AUTRES ÉLÉMENTS NOUVEAUX PRÉSENTANT UN INTÉRÊT POUR L’UPOV</w:t>
      </w:r>
    </w:p>
    <w:p w:rsidR="00FD4F25" w:rsidRPr="00EB57D6" w:rsidRDefault="00FD4F25" w:rsidP="00FD4F25">
      <w:pPr>
        <w:rPr>
          <w:sz w:val="18"/>
        </w:rPr>
      </w:pPr>
    </w:p>
    <w:p w:rsidR="00FD4F25" w:rsidRPr="00EB57D6" w:rsidRDefault="00FD4F25" w:rsidP="00FD4F25">
      <w:pPr>
        <w:rPr>
          <w:sz w:val="18"/>
        </w:rPr>
      </w:pPr>
      <w:r w:rsidRPr="00EB57D6">
        <w:t>Aucun élément nouveau.</w:t>
      </w:r>
    </w:p>
    <w:p w:rsidR="00FD4F25" w:rsidRPr="00EB57D6" w:rsidRDefault="00FD4F25" w:rsidP="00FD4F25">
      <w:pPr>
        <w:rPr>
          <w:sz w:val="18"/>
        </w:rPr>
      </w:pPr>
    </w:p>
    <w:p w:rsidR="00FD4F25" w:rsidRPr="00EB57D6" w:rsidRDefault="00FD4F25" w:rsidP="00FD4F25">
      <w:pPr>
        <w:rPr>
          <w:sz w:val="18"/>
        </w:rPr>
      </w:pPr>
    </w:p>
    <w:p w:rsidR="00845D57" w:rsidRPr="00EB57D6" w:rsidRDefault="00845D57" w:rsidP="00845D57">
      <w:pPr>
        <w:jc w:val="left"/>
      </w:pPr>
    </w:p>
    <w:p w:rsidR="00845D57" w:rsidRPr="00EB57D6" w:rsidRDefault="00845D57" w:rsidP="00845D57">
      <w:pPr>
        <w:jc w:val="right"/>
      </w:pPr>
      <w:r w:rsidRPr="00EB57D6">
        <w:t>[L’annexe XV suit]</w:t>
      </w:r>
    </w:p>
    <w:p w:rsidR="00845D57" w:rsidRPr="00EB57D6" w:rsidRDefault="00845D57" w:rsidP="00845D57"/>
    <w:p w:rsidR="00845D57" w:rsidRPr="00EB57D6" w:rsidRDefault="00845D57" w:rsidP="00845D57">
      <w:pPr>
        <w:jc w:val="left"/>
        <w:sectPr w:rsidR="00845D57" w:rsidRPr="00EB57D6" w:rsidSect="009B2909">
          <w:headerReference w:type="default" r:id="rId31"/>
          <w:pgSz w:w="11907" w:h="16840" w:code="9"/>
          <w:pgMar w:top="510" w:right="1134" w:bottom="1134" w:left="1134" w:header="510" w:footer="680" w:gutter="0"/>
          <w:pgNumType w:start="1"/>
          <w:cols w:space="720"/>
          <w:titlePg/>
        </w:sectPr>
      </w:pPr>
    </w:p>
    <w:p w:rsidR="00845D57" w:rsidRPr="00EB57D6" w:rsidRDefault="00845D57" w:rsidP="00845D57">
      <w:pPr>
        <w:jc w:val="center"/>
      </w:pPr>
      <w:r w:rsidRPr="00EB57D6">
        <w:lastRenderedPageBreak/>
        <w:t>C/54/INF/4</w:t>
      </w:r>
    </w:p>
    <w:p w:rsidR="00845D57" w:rsidRPr="00EB57D6" w:rsidRDefault="00845D57" w:rsidP="00845D57">
      <w:pPr>
        <w:jc w:val="center"/>
      </w:pPr>
    </w:p>
    <w:p w:rsidR="00845D57" w:rsidRPr="00EB57D6" w:rsidRDefault="00845D57" w:rsidP="00845D57">
      <w:pPr>
        <w:jc w:val="center"/>
      </w:pPr>
      <w:r w:rsidRPr="00EB57D6">
        <w:t>ANNEXE XV</w:t>
      </w:r>
    </w:p>
    <w:p w:rsidR="00845D57" w:rsidRPr="00EB57D6" w:rsidRDefault="00845D57" w:rsidP="00845D57">
      <w:pPr>
        <w:jc w:val="center"/>
      </w:pPr>
    </w:p>
    <w:p w:rsidR="00845D57" w:rsidRPr="00EB57D6" w:rsidRDefault="00845D57" w:rsidP="00845D57">
      <w:pPr>
        <w:jc w:val="center"/>
      </w:pPr>
    </w:p>
    <w:p w:rsidR="00EB57D6" w:rsidRPr="00EB57D6" w:rsidRDefault="00EB57D6" w:rsidP="00EB57D6">
      <w:pPr>
        <w:jc w:val="center"/>
        <w:rPr>
          <w:sz w:val="18"/>
        </w:rPr>
      </w:pPr>
      <w:r w:rsidRPr="00EB57D6">
        <w:t>SLOVÉNIE</w:t>
      </w:r>
    </w:p>
    <w:p w:rsidR="00EB57D6" w:rsidRPr="00EB57D6" w:rsidRDefault="00EB57D6" w:rsidP="00EB57D6">
      <w:pPr>
        <w:jc w:val="center"/>
        <w:rPr>
          <w:sz w:val="18"/>
        </w:rPr>
      </w:pPr>
    </w:p>
    <w:p w:rsidR="00EB57D6" w:rsidRPr="00EB57D6" w:rsidRDefault="00EB57D6" w:rsidP="00EB57D6">
      <w:pPr>
        <w:jc w:val="center"/>
        <w:rPr>
          <w:sz w:val="18"/>
        </w:rPr>
      </w:pPr>
    </w:p>
    <w:p w:rsidR="00EB57D6" w:rsidRPr="00EB57D6" w:rsidRDefault="00EB57D6" w:rsidP="00EB57D6">
      <w:pPr>
        <w:rPr>
          <w:sz w:val="18"/>
        </w:rPr>
      </w:pPr>
      <w:r w:rsidRPr="00EB57D6">
        <w:t>I.</w:t>
      </w:r>
      <w:r w:rsidRPr="00EB57D6">
        <w:tab/>
        <w:t>PROTECTION DES OBTENTIONS VÉGÉTALES EN RÉPUBLIQUE DE SLOVÉNIE</w:t>
      </w:r>
    </w:p>
    <w:p w:rsidR="00EB57D6" w:rsidRPr="00EB57D6" w:rsidRDefault="00EB57D6" w:rsidP="00EB57D6">
      <w:pPr>
        <w:rPr>
          <w:sz w:val="18"/>
        </w:rPr>
      </w:pPr>
    </w:p>
    <w:p w:rsidR="00EB57D6" w:rsidRPr="00EB57D6" w:rsidRDefault="00EB57D6" w:rsidP="00EB57D6">
      <w:pPr>
        <w:rPr>
          <w:sz w:val="18"/>
        </w:rPr>
      </w:pPr>
      <w:r w:rsidRPr="00EB57D6">
        <w:t>1.</w:t>
      </w:r>
      <w:r w:rsidRPr="00EB57D6">
        <w:tab/>
      </w:r>
      <w:r w:rsidRPr="00EB57D6">
        <w:rPr>
          <w:u w:val="single"/>
        </w:rPr>
        <w:t>Situation dans le domaine législatif</w:t>
      </w:r>
    </w:p>
    <w:p w:rsidR="00EB57D6" w:rsidRPr="00EB57D6" w:rsidRDefault="00EB57D6" w:rsidP="00EB57D6">
      <w:pPr>
        <w:rPr>
          <w:sz w:val="18"/>
        </w:rPr>
      </w:pPr>
    </w:p>
    <w:p w:rsidR="00EB57D6" w:rsidRPr="00EB57D6" w:rsidRDefault="00EB57D6" w:rsidP="00EB57D6">
      <w:pPr>
        <w:rPr>
          <w:sz w:val="18"/>
        </w:rPr>
      </w:pPr>
      <w:r w:rsidRPr="00EB57D6">
        <w:t>1.1</w:t>
      </w:r>
      <w:r w:rsidRPr="00EB57D6">
        <w:tab/>
        <w:t>Modifications de la loi et des textes d’application : Aucun changement.</w:t>
      </w:r>
    </w:p>
    <w:p w:rsidR="00EB57D6" w:rsidRPr="00EB57D6" w:rsidRDefault="00EB57D6" w:rsidP="00EB57D6">
      <w:pPr>
        <w:rPr>
          <w:sz w:val="18"/>
        </w:rPr>
      </w:pPr>
    </w:p>
    <w:p w:rsidR="00EB57D6" w:rsidRPr="00EB57D6" w:rsidRDefault="00EB57D6" w:rsidP="00EB57D6">
      <w:pPr>
        <w:rPr>
          <w:sz w:val="18"/>
        </w:rPr>
      </w:pPr>
      <w:r w:rsidRPr="00EB57D6">
        <w:t>1.2</w:t>
      </w:r>
      <w:r w:rsidRPr="00EB57D6">
        <w:tab/>
        <w:t>Extension de la protection à d’autres genres et espèces (effectuée ou prévue)</w:t>
      </w:r>
    </w:p>
    <w:p w:rsidR="00EB57D6" w:rsidRPr="00EB57D6" w:rsidRDefault="00EB57D6" w:rsidP="00EB57D6">
      <w:pPr>
        <w:rPr>
          <w:sz w:val="18"/>
        </w:rPr>
      </w:pPr>
    </w:p>
    <w:p w:rsidR="00EB57D6" w:rsidRPr="00EB57D6" w:rsidRDefault="00EB57D6" w:rsidP="00EB57D6">
      <w:pPr>
        <w:rPr>
          <w:sz w:val="18"/>
        </w:rPr>
      </w:pPr>
      <w:r w:rsidRPr="00EB57D6">
        <w:t>De septembre 2016 à septembre 2019 : trois nouvelles demandes de protection pour trois variétés de patate douce ont été enregistrées et aucun titre n’a été délivré.  Le nombre total de titres en vigueur s’élève à 18 (plantes agricoles : 6, houblon : 1, plantes potagères : 9, plantes fruitières : 1, plantes ornementales : 1).</w:t>
      </w:r>
    </w:p>
    <w:p w:rsidR="00EB57D6" w:rsidRPr="00EB57D6" w:rsidRDefault="00EB57D6" w:rsidP="00EB57D6">
      <w:pPr>
        <w:rPr>
          <w:sz w:val="18"/>
        </w:rPr>
      </w:pPr>
    </w:p>
    <w:p w:rsidR="00EB57D6" w:rsidRPr="00EB57D6" w:rsidRDefault="00EB57D6" w:rsidP="00EB57D6">
      <w:pPr>
        <w:rPr>
          <w:sz w:val="18"/>
        </w:rPr>
      </w:pPr>
      <w:r w:rsidRPr="00EB57D6">
        <w:t>1.3</w:t>
      </w:r>
      <w:r w:rsidRPr="00EB57D6">
        <w:tab/>
        <w:t>Jurisprudence : Pas de jurisprudence.</w:t>
      </w:r>
    </w:p>
    <w:p w:rsidR="00EB57D6" w:rsidRPr="00EB57D6" w:rsidRDefault="00EB57D6" w:rsidP="00EB57D6">
      <w:pPr>
        <w:rPr>
          <w:sz w:val="18"/>
        </w:rPr>
      </w:pPr>
    </w:p>
    <w:p w:rsidR="00EB57D6" w:rsidRPr="00EB57D6" w:rsidRDefault="00EB57D6" w:rsidP="00EB57D6">
      <w:pPr>
        <w:rPr>
          <w:sz w:val="18"/>
        </w:rPr>
      </w:pPr>
    </w:p>
    <w:p w:rsidR="00EB57D6" w:rsidRPr="00EB57D6" w:rsidRDefault="00EB57D6" w:rsidP="00EB57D6">
      <w:pPr>
        <w:rPr>
          <w:sz w:val="18"/>
          <w:u w:val="single"/>
        </w:rPr>
      </w:pPr>
      <w:r w:rsidRPr="00EB57D6">
        <w:t>2.</w:t>
      </w:r>
      <w:r w:rsidRPr="00EB57D6">
        <w:tab/>
      </w:r>
      <w:r w:rsidRPr="00EB57D6">
        <w:rPr>
          <w:u w:val="single"/>
        </w:rPr>
        <w:t>Coopération en matière d’examen</w:t>
      </w:r>
    </w:p>
    <w:p w:rsidR="00EB57D6" w:rsidRPr="00EB57D6" w:rsidRDefault="00EB57D6" w:rsidP="00EB57D6">
      <w:pPr>
        <w:rPr>
          <w:sz w:val="18"/>
        </w:rPr>
      </w:pPr>
    </w:p>
    <w:p w:rsidR="00EB57D6" w:rsidRPr="00EB57D6" w:rsidRDefault="00EB57D6" w:rsidP="00EB57D6">
      <w:pPr>
        <w:rPr>
          <w:sz w:val="18"/>
        </w:rPr>
      </w:pPr>
      <w:r w:rsidRPr="00EB57D6">
        <w:t>Pas de nouvel accord.</w:t>
      </w:r>
    </w:p>
    <w:p w:rsidR="00EB57D6" w:rsidRPr="00EB57D6" w:rsidRDefault="00EB57D6" w:rsidP="00EB57D6">
      <w:pPr>
        <w:rPr>
          <w:sz w:val="18"/>
        </w:rPr>
      </w:pPr>
    </w:p>
    <w:p w:rsidR="00EB57D6" w:rsidRPr="00EB57D6" w:rsidRDefault="00EB57D6" w:rsidP="00EB57D6">
      <w:pPr>
        <w:rPr>
          <w:sz w:val="18"/>
        </w:rPr>
      </w:pPr>
      <w:r w:rsidRPr="00EB57D6">
        <w:t>Nous poursuivons notre coopération en matière d’examen DHS avec l’Autriche, la Croatie, la Hongrie, l’Italie, les Pays-Bas, la Pologne, la République tchèque et la Slovaquie.</w:t>
      </w:r>
    </w:p>
    <w:p w:rsidR="00EB57D6" w:rsidRPr="00EB57D6" w:rsidRDefault="00EB57D6" w:rsidP="00EB57D6">
      <w:pPr>
        <w:rPr>
          <w:sz w:val="18"/>
        </w:rPr>
      </w:pPr>
    </w:p>
    <w:p w:rsidR="00EB57D6" w:rsidRPr="00EB57D6" w:rsidRDefault="00EB57D6" w:rsidP="00EB57D6">
      <w:pPr>
        <w:rPr>
          <w:sz w:val="18"/>
        </w:rPr>
      </w:pPr>
    </w:p>
    <w:p w:rsidR="00EB57D6" w:rsidRPr="00EB57D6" w:rsidRDefault="00EB57D6" w:rsidP="00EB57D6">
      <w:pPr>
        <w:rPr>
          <w:sz w:val="18"/>
        </w:rPr>
      </w:pPr>
      <w:r w:rsidRPr="00EB57D6">
        <w:t>3.</w:t>
      </w:r>
      <w:r w:rsidRPr="00EB57D6">
        <w:tab/>
      </w:r>
      <w:r w:rsidRPr="00EB57D6">
        <w:rPr>
          <w:u w:val="single"/>
        </w:rPr>
        <w:t>Situation dans le domaine administratif</w:t>
      </w:r>
      <w:r w:rsidRPr="00EB57D6">
        <w:t> : Aucun changement.</w:t>
      </w:r>
    </w:p>
    <w:p w:rsidR="00EB57D6" w:rsidRPr="00EB57D6" w:rsidRDefault="00EB57D6" w:rsidP="00EB57D6">
      <w:pPr>
        <w:rPr>
          <w:sz w:val="18"/>
        </w:rPr>
      </w:pPr>
    </w:p>
    <w:p w:rsidR="00EB57D6" w:rsidRPr="00EB57D6" w:rsidRDefault="00EB57D6" w:rsidP="00EB57D6">
      <w:pPr>
        <w:rPr>
          <w:sz w:val="18"/>
        </w:rPr>
      </w:pPr>
    </w:p>
    <w:p w:rsidR="00EB57D6" w:rsidRPr="00EB57D6" w:rsidRDefault="00EB57D6" w:rsidP="00EB57D6">
      <w:pPr>
        <w:rPr>
          <w:sz w:val="18"/>
        </w:rPr>
      </w:pPr>
      <w:r w:rsidRPr="00EB57D6">
        <w:t>4.</w:t>
      </w:r>
      <w:r w:rsidRPr="00EB57D6">
        <w:tab/>
      </w:r>
      <w:r w:rsidRPr="00EB57D6">
        <w:rPr>
          <w:u w:val="single"/>
        </w:rPr>
        <w:t>Situation dans le domaine technique</w:t>
      </w:r>
      <w:r w:rsidRPr="00EB57D6">
        <w:t> : Aucun changement.</w:t>
      </w:r>
    </w:p>
    <w:p w:rsidR="00EB57D6" w:rsidRPr="00EB57D6" w:rsidRDefault="00EB57D6" w:rsidP="00EB57D6">
      <w:pPr>
        <w:rPr>
          <w:sz w:val="18"/>
        </w:rPr>
      </w:pPr>
    </w:p>
    <w:p w:rsidR="00EB57D6" w:rsidRPr="00EB57D6" w:rsidRDefault="00EB57D6" w:rsidP="00EB57D6">
      <w:pPr>
        <w:rPr>
          <w:sz w:val="18"/>
        </w:rPr>
      </w:pPr>
    </w:p>
    <w:p w:rsidR="00EB57D6" w:rsidRPr="00EB57D6" w:rsidRDefault="00EB57D6" w:rsidP="00EB57D6">
      <w:pPr>
        <w:rPr>
          <w:sz w:val="18"/>
        </w:rPr>
      </w:pPr>
      <w:r w:rsidRPr="00EB57D6">
        <w:t>II.</w:t>
      </w:r>
      <w:r w:rsidRPr="00EB57D6">
        <w:tab/>
        <w:t>AUTRES ÉLÉMENTS NOUVEAUX PRÉSENTANT UN INTÉRÊT POUR L’UPOV</w:t>
      </w:r>
    </w:p>
    <w:p w:rsidR="00EB57D6" w:rsidRPr="00EB57D6" w:rsidRDefault="00EB57D6" w:rsidP="00EB57D6">
      <w:pPr>
        <w:rPr>
          <w:sz w:val="18"/>
        </w:rPr>
      </w:pPr>
    </w:p>
    <w:p w:rsidR="00EB57D6" w:rsidRPr="00EB57D6" w:rsidRDefault="00EB57D6" w:rsidP="00EB57D6">
      <w:pPr>
        <w:rPr>
          <w:sz w:val="18"/>
        </w:rPr>
      </w:pPr>
      <w:r w:rsidRPr="00EB57D6">
        <w:t>La nouvelle liste nationale de variétés, qui comprend la liste des variétés protégées, est publiée chaque année en août.</w:t>
      </w:r>
    </w:p>
    <w:p w:rsidR="00EB57D6" w:rsidRPr="00EB57D6" w:rsidRDefault="00EB57D6" w:rsidP="00EB57D6">
      <w:pPr>
        <w:rPr>
          <w:sz w:val="18"/>
        </w:rPr>
      </w:pPr>
    </w:p>
    <w:p w:rsidR="00EB57D6" w:rsidRPr="00EB57D6" w:rsidRDefault="00EB57D6" w:rsidP="00EB57D6">
      <w:pPr>
        <w:rPr>
          <w:sz w:val="18"/>
        </w:rPr>
      </w:pPr>
      <w:r w:rsidRPr="00EB57D6">
        <w:t>Quatre nouveaux numéros du bulletin slovène des droits d’obtenteur et de l’enregistrement des variétés ont été publiés depuis septembre 2016.</w:t>
      </w:r>
    </w:p>
    <w:p w:rsidR="00EB57D6" w:rsidRPr="00EB57D6" w:rsidRDefault="00EB57D6" w:rsidP="00EB57D6">
      <w:pPr>
        <w:rPr>
          <w:sz w:val="18"/>
        </w:rPr>
      </w:pPr>
    </w:p>
    <w:p w:rsidR="00EB57D6" w:rsidRPr="00EB57D6" w:rsidRDefault="00EB57D6" w:rsidP="00EB57D6">
      <w:pPr>
        <w:rPr>
          <w:sz w:val="18"/>
        </w:rPr>
      </w:pPr>
    </w:p>
    <w:p w:rsidR="00845D57" w:rsidRPr="00EB57D6" w:rsidRDefault="00845D57" w:rsidP="00845D57">
      <w:pPr>
        <w:jc w:val="left"/>
      </w:pPr>
    </w:p>
    <w:p w:rsidR="00845D57" w:rsidRPr="00EB57D6" w:rsidRDefault="00845D57" w:rsidP="00845D57">
      <w:pPr>
        <w:jc w:val="right"/>
      </w:pPr>
      <w:r w:rsidRPr="00EB57D6">
        <w:t>[L’annexe XVI suit]</w:t>
      </w:r>
    </w:p>
    <w:p w:rsidR="00845D57" w:rsidRPr="00EB57D6" w:rsidRDefault="00845D57" w:rsidP="00845D57"/>
    <w:p w:rsidR="00845D57" w:rsidRPr="00EB57D6" w:rsidRDefault="00845D57" w:rsidP="00845D57">
      <w:pPr>
        <w:jc w:val="left"/>
        <w:sectPr w:rsidR="00845D57" w:rsidRPr="00EB57D6" w:rsidSect="009B2909">
          <w:headerReference w:type="default" r:id="rId32"/>
          <w:pgSz w:w="11907" w:h="16840" w:code="9"/>
          <w:pgMar w:top="510" w:right="1134" w:bottom="1134" w:left="1134" w:header="510" w:footer="680" w:gutter="0"/>
          <w:pgNumType w:start="1"/>
          <w:cols w:space="720"/>
          <w:titlePg/>
        </w:sectPr>
      </w:pPr>
    </w:p>
    <w:p w:rsidR="00845D57" w:rsidRPr="00EB57D6" w:rsidRDefault="00845D57" w:rsidP="00845D57">
      <w:pPr>
        <w:jc w:val="center"/>
      </w:pPr>
      <w:r w:rsidRPr="00EB57D6">
        <w:lastRenderedPageBreak/>
        <w:t>C/54/INF/4</w:t>
      </w:r>
    </w:p>
    <w:p w:rsidR="00845D57" w:rsidRPr="00EB57D6" w:rsidRDefault="00845D57" w:rsidP="00845D57">
      <w:pPr>
        <w:jc w:val="center"/>
      </w:pPr>
    </w:p>
    <w:p w:rsidR="00845D57" w:rsidRPr="00EB57D6" w:rsidRDefault="00845D57" w:rsidP="00845D57">
      <w:pPr>
        <w:jc w:val="center"/>
      </w:pPr>
      <w:r w:rsidRPr="00EB57D6">
        <w:t>ANNEXE XVI</w:t>
      </w:r>
    </w:p>
    <w:p w:rsidR="00845D57" w:rsidRPr="00EB57D6" w:rsidRDefault="00845D57" w:rsidP="00845D57">
      <w:pPr>
        <w:jc w:val="center"/>
      </w:pPr>
    </w:p>
    <w:p w:rsidR="00845D57" w:rsidRPr="00EB57D6" w:rsidRDefault="00845D57" w:rsidP="00845D57">
      <w:pPr>
        <w:jc w:val="center"/>
      </w:pPr>
    </w:p>
    <w:p w:rsidR="00845D57" w:rsidRPr="00EB57D6" w:rsidRDefault="00845D57" w:rsidP="00845D57">
      <w:pPr>
        <w:jc w:val="center"/>
      </w:pPr>
      <w:r w:rsidRPr="00EB57D6">
        <w:t>UKRAINE</w:t>
      </w:r>
    </w:p>
    <w:p w:rsidR="00845D57" w:rsidRPr="00EB57D6" w:rsidRDefault="00845D57" w:rsidP="00845D57"/>
    <w:p w:rsidR="00845D57" w:rsidRPr="00EB57D6" w:rsidRDefault="00845D57" w:rsidP="00845D57"/>
    <w:p w:rsidR="00EB57D6" w:rsidRPr="00EB57D6" w:rsidRDefault="00EB57D6" w:rsidP="00EB57D6">
      <w:pPr>
        <w:rPr>
          <w:sz w:val="18"/>
        </w:rPr>
      </w:pPr>
      <w:r w:rsidRPr="00EB57D6">
        <w:t>I.</w:t>
      </w:r>
      <w:r w:rsidRPr="00EB57D6">
        <w:tab/>
        <w:t>PROTECTION DES OBTENTIONS VÉGÉTALES</w:t>
      </w:r>
    </w:p>
    <w:p w:rsidR="00EB57D6" w:rsidRPr="00EB57D6" w:rsidRDefault="00EB57D6" w:rsidP="00EB57D6">
      <w:pPr>
        <w:rPr>
          <w:sz w:val="18"/>
        </w:rPr>
      </w:pPr>
    </w:p>
    <w:p w:rsidR="00EB57D6" w:rsidRPr="00EB57D6" w:rsidRDefault="00EB57D6" w:rsidP="00EB57D6">
      <w:pPr>
        <w:rPr>
          <w:sz w:val="18"/>
        </w:rPr>
      </w:pPr>
      <w:r w:rsidRPr="00EB57D6">
        <w:t>1.</w:t>
      </w:r>
      <w:r w:rsidRPr="00EB57D6">
        <w:tab/>
      </w:r>
      <w:r w:rsidRPr="00EB57D6">
        <w:rPr>
          <w:u w:val="single"/>
        </w:rPr>
        <w:t>Situation dans le domaine législatif</w:t>
      </w:r>
    </w:p>
    <w:p w:rsidR="00EB57D6" w:rsidRPr="00EB57D6" w:rsidRDefault="00EB57D6" w:rsidP="00EB57D6">
      <w:pPr>
        <w:rPr>
          <w:sz w:val="18"/>
        </w:rPr>
      </w:pPr>
    </w:p>
    <w:p w:rsidR="00EB57D6" w:rsidRPr="00EB57D6" w:rsidRDefault="00EB57D6" w:rsidP="00EB57D6">
      <w:pPr>
        <w:rPr>
          <w:sz w:val="18"/>
        </w:rPr>
      </w:pPr>
      <w:r w:rsidRPr="00EB57D6">
        <w:t>Dans le cadre de la réforme administrative des organismes publics ukrainiens en 2019, le Ministère ukrainien de la politique agricole et de l’alimentation a été supprimé, ses fonctions étant confiées au Ministère ukrainien du développement de l’économie, du commerce et de l’agriculture (le nom du ministère a été modifié en conséquence).  Parallèlement, des modifications appropriées ont été apportées aux règlements pertinents en matière de protection des obtentions végétales, notamment en ce qui concerne les changements relatifs à l’autorité compétente : le “Ministère de la politique agricole et de l’alimentation de l’Ukraine” est remplacé par le “Ministère du développement de l’économie, du commerce et de l’agriculture de l’Ukraine” :</w:t>
      </w:r>
    </w:p>
    <w:p w:rsidR="00EB57D6" w:rsidRPr="00EB57D6" w:rsidRDefault="00EB57D6" w:rsidP="00EB57D6">
      <w:pPr>
        <w:rPr>
          <w:sz w:val="18"/>
        </w:rPr>
      </w:pPr>
    </w:p>
    <w:p w:rsidR="00EB57D6" w:rsidRPr="00EB57D6" w:rsidRDefault="00EB57D6" w:rsidP="00EB57D6">
      <w:pPr>
        <w:ind w:left="1134" w:hanging="567"/>
        <w:rPr>
          <w:sz w:val="18"/>
        </w:rPr>
      </w:pPr>
      <w:r w:rsidRPr="00EB57D6">
        <w:t>1)</w:t>
      </w:r>
      <w:r w:rsidRPr="00EB57D6">
        <w:tab/>
        <w:t>Décret N 755 du Conseil des ministres de l’Ukraine du 19 septembre 2018 portant approbation de la procédure de tenue du registre des brevets d’obtention végétale;</w:t>
      </w:r>
    </w:p>
    <w:p w:rsidR="00EB57D6" w:rsidRPr="00EB57D6" w:rsidRDefault="00EB57D6" w:rsidP="00EB57D6">
      <w:pPr>
        <w:ind w:left="1134" w:hanging="567"/>
        <w:rPr>
          <w:sz w:val="18"/>
        </w:rPr>
      </w:pPr>
    </w:p>
    <w:p w:rsidR="00EB57D6" w:rsidRPr="00EB57D6" w:rsidRDefault="00EB57D6" w:rsidP="00EB57D6">
      <w:pPr>
        <w:ind w:left="1134" w:hanging="567"/>
        <w:rPr>
          <w:sz w:val="18"/>
        </w:rPr>
      </w:pPr>
      <w:r w:rsidRPr="00EB57D6">
        <w:t>2)</w:t>
      </w:r>
      <w:r w:rsidRPr="00EB57D6">
        <w:tab/>
        <w:t>Décret N 756 du Conseil des ministres de l’Ukraine du 19 septembre 2018 portant approbation de la procédure de demande d’échantillons de matériel végétal issu des lignées parentales de l’objet de la demande;</w:t>
      </w:r>
    </w:p>
    <w:p w:rsidR="00EB57D6" w:rsidRPr="00EB57D6" w:rsidRDefault="00EB57D6" w:rsidP="00EB57D6">
      <w:pPr>
        <w:ind w:left="1134" w:hanging="567"/>
        <w:rPr>
          <w:sz w:val="18"/>
        </w:rPr>
      </w:pPr>
    </w:p>
    <w:p w:rsidR="00EB57D6" w:rsidRPr="00EB57D6" w:rsidRDefault="00EB57D6" w:rsidP="00EB57D6">
      <w:pPr>
        <w:ind w:left="1134" w:hanging="567"/>
        <w:rPr>
          <w:sz w:val="18"/>
        </w:rPr>
      </w:pPr>
      <w:r w:rsidRPr="00EB57D6">
        <w:t>3)</w:t>
      </w:r>
      <w:r w:rsidRPr="00EB57D6">
        <w:tab/>
        <w:t>Décret N2 757 du Conseil des ministres de l’Ukraine du 19 septembre 2018 portant approbation de la procédure de tenue du registre des demandes de droit d’obtenteur;</w:t>
      </w:r>
    </w:p>
    <w:p w:rsidR="00EB57D6" w:rsidRPr="00EB57D6" w:rsidRDefault="00EB57D6" w:rsidP="00EB57D6">
      <w:pPr>
        <w:ind w:left="1134" w:hanging="567"/>
        <w:rPr>
          <w:sz w:val="18"/>
        </w:rPr>
      </w:pPr>
    </w:p>
    <w:p w:rsidR="00EB57D6" w:rsidRPr="00EB57D6" w:rsidRDefault="00EB57D6" w:rsidP="00EB57D6">
      <w:pPr>
        <w:ind w:left="1134" w:hanging="567"/>
        <w:rPr>
          <w:sz w:val="18"/>
        </w:rPr>
      </w:pPr>
      <w:r w:rsidRPr="00EB57D6">
        <w:t>4)</w:t>
      </w:r>
      <w:r w:rsidRPr="00EB57D6">
        <w:tab/>
        <w:t>Décret N2 774 du Conseil des ministres de l’Ukraine du 26 septembre 2018 portant approbation de la procédure de tenue du registre national des obtentions végétales dont la dissémination est autorisée en Ukraine;</w:t>
      </w:r>
    </w:p>
    <w:p w:rsidR="00EB57D6" w:rsidRPr="00EB57D6" w:rsidRDefault="00EB57D6" w:rsidP="00EB57D6">
      <w:pPr>
        <w:ind w:left="1134" w:hanging="567"/>
        <w:rPr>
          <w:sz w:val="18"/>
        </w:rPr>
      </w:pPr>
    </w:p>
    <w:p w:rsidR="00EB57D6" w:rsidRPr="00EB57D6" w:rsidRDefault="00EB57D6" w:rsidP="00EB57D6">
      <w:pPr>
        <w:ind w:left="1134" w:hanging="567"/>
        <w:rPr>
          <w:sz w:val="18"/>
        </w:rPr>
      </w:pPr>
      <w:r w:rsidRPr="00EB57D6">
        <w:t>5)</w:t>
      </w:r>
      <w:r w:rsidRPr="00EB57D6">
        <w:tab/>
        <w:t>La procédure de paiement des taxes pour les actions liées à la protection des obtentions végétales, approuvée par le décret N2 1183 du Conseil des ministres de l’Ukraine du 19 août 2002 sur les mesures d’application de la législation ukrainienne sur la protection des obtentions végétales”.</w:t>
      </w:r>
    </w:p>
    <w:p w:rsidR="00EB57D6" w:rsidRPr="00EB57D6" w:rsidRDefault="00EB57D6" w:rsidP="00EB57D6">
      <w:pPr>
        <w:rPr>
          <w:sz w:val="18"/>
        </w:rPr>
      </w:pPr>
    </w:p>
    <w:p w:rsidR="00EB57D6" w:rsidRPr="00EB57D6" w:rsidRDefault="00EB57D6" w:rsidP="00EB57D6">
      <w:pPr>
        <w:rPr>
          <w:sz w:val="18"/>
        </w:rPr>
      </w:pPr>
    </w:p>
    <w:p w:rsidR="00EB57D6" w:rsidRPr="00EB57D6" w:rsidRDefault="00EB57D6" w:rsidP="00EB57D6">
      <w:pPr>
        <w:rPr>
          <w:sz w:val="18"/>
          <w:u w:val="single"/>
        </w:rPr>
      </w:pPr>
      <w:r w:rsidRPr="00EB57D6">
        <w:t>2.</w:t>
      </w:r>
      <w:r w:rsidRPr="00EB57D6">
        <w:tab/>
      </w:r>
      <w:r w:rsidRPr="00EB57D6">
        <w:rPr>
          <w:u w:val="single"/>
        </w:rPr>
        <w:t>Coopération en matière d’examen</w:t>
      </w:r>
    </w:p>
    <w:p w:rsidR="00EB57D6" w:rsidRPr="00EB57D6" w:rsidRDefault="00EB57D6" w:rsidP="00EB57D6">
      <w:pPr>
        <w:rPr>
          <w:sz w:val="18"/>
        </w:rPr>
      </w:pPr>
    </w:p>
    <w:p w:rsidR="00EB57D6" w:rsidRPr="00EB57D6" w:rsidRDefault="00EB57D6" w:rsidP="00EB57D6">
      <w:pPr>
        <w:rPr>
          <w:sz w:val="18"/>
        </w:rPr>
      </w:pPr>
      <w:r w:rsidRPr="00EB57D6">
        <w:t>Ukraine a partagé les résultats de 138 examens DHS en 2019.  L’Ukraine a utilisé les rapports d’examen DHS des pays suivants : Allemagne, Autriche, Canada, Danemark, Espagne, France, Hongrie, Italie, Pays-Bas, Portugal, République tchèque, Royaume-Uni et Slovaquie.  Elle a fourni des rapports à la Fédération de Russie et à la Serbie.</w:t>
      </w:r>
    </w:p>
    <w:p w:rsidR="00EB57D6" w:rsidRPr="00EB57D6" w:rsidRDefault="00EB57D6" w:rsidP="00EB57D6">
      <w:pPr>
        <w:rPr>
          <w:sz w:val="18"/>
        </w:rPr>
      </w:pPr>
    </w:p>
    <w:p w:rsidR="00EB57D6" w:rsidRPr="00EB57D6" w:rsidRDefault="00EB57D6" w:rsidP="00EB57D6">
      <w:pPr>
        <w:rPr>
          <w:sz w:val="18"/>
          <w:u w:val="single"/>
        </w:rPr>
      </w:pPr>
      <w:r w:rsidRPr="00EB57D6">
        <w:t>3.</w:t>
      </w:r>
      <w:r w:rsidRPr="00EB57D6">
        <w:tab/>
      </w:r>
      <w:r w:rsidRPr="00EB57D6">
        <w:rPr>
          <w:u w:val="single"/>
        </w:rPr>
        <w:t>Situation dans le domaine administratif</w:t>
      </w:r>
    </w:p>
    <w:p w:rsidR="00EB57D6" w:rsidRPr="00EB57D6" w:rsidRDefault="00EB57D6" w:rsidP="00EB57D6">
      <w:pPr>
        <w:rPr>
          <w:sz w:val="18"/>
        </w:rPr>
      </w:pPr>
    </w:p>
    <w:p w:rsidR="00EB57D6" w:rsidRPr="00EB57D6" w:rsidRDefault="00EB57D6" w:rsidP="00EB57D6">
      <w:pPr>
        <w:rPr>
          <w:sz w:val="18"/>
        </w:rPr>
      </w:pPr>
      <w:r w:rsidRPr="00EB57D6">
        <w:t>L’organe compétent a changé : le “Ministère ukrainien de la politique agricole et de l’alimentation” est remplacé par le “Ministère du développement de l’économie, du commerce et de l’agriculture de l’Ukraine”.</w:t>
      </w:r>
    </w:p>
    <w:p w:rsidR="00EB57D6" w:rsidRPr="00EB57D6" w:rsidRDefault="00EB57D6" w:rsidP="00EB57D6">
      <w:pPr>
        <w:rPr>
          <w:sz w:val="18"/>
        </w:rPr>
      </w:pPr>
    </w:p>
    <w:p w:rsidR="00EB57D6" w:rsidRPr="00EB57D6" w:rsidRDefault="00EB57D6" w:rsidP="00EB57D6">
      <w:pPr>
        <w:rPr>
          <w:sz w:val="18"/>
        </w:rPr>
      </w:pPr>
      <w:r w:rsidRPr="00EB57D6">
        <w:t>4.</w:t>
      </w:r>
      <w:r w:rsidRPr="00EB57D6">
        <w:tab/>
      </w:r>
      <w:r w:rsidRPr="00EB57D6">
        <w:rPr>
          <w:u w:val="single"/>
        </w:rPr>
        <w:t>Situation dans le domaine technique</w:t>
      </w:r>
    </w:p>
    <w:p w:rsidR="00EB57D6" w:rsidRPr="00EB57D6" w:rsidRDefault="00EB57D6" w:rsidP="00EB57D6">
      <w:pPr>
        <w:rPr>
          <w:sz w:val="18"/>
        </w:rPr>
      </w:pPr>
    </w:p>
    <w:p w:rsidR="00EB57D6" w:rsidRPr="00EB57D6" w:rsidRDefault="00EB57D6" w:rsidP="00EB57D6">
      <w:pPr>
        <w:rPr>
          <w:sz w:val="18"/>
        </w:rPr>
      </w:pPr>
      <w:r w:rsidRPr="00EB57D6">
        <w:t>En 2019, l’Institut ukrainien de l’examen des variétés végétales a mis au point les principes directeurs d’examen nationaux suivants :</w:t>
      </w:r>
    </w:p>
    <w:p w:rsidR="00EB57D6" w:rsidRPr="00EB57D6" w:rsidRDefault="00EB57D6" w:rsidP="00EB57D6">
      <w:pPr>
        <w:rPr>
          <w:sz w:val="18"/>
        </w:rPr>
      </w:pPr>
    </w:p>
    <w:p w:rsidR="00EB57D6" w:rsidRPr="00EB57D6" w:rsidRDefault="00EB57D6" w:rsidP="00EB57D6">
      <w:pPr>
        <w:ind w:left="1134" w:hanging="567"/>
        <w:rPr>
          <w:sz w:val="18"/>
        </w:rPr>
      </w:pPr>
      <w:r w:rsidRPr="00EB57D6">
        <w:t>1.</w:t>
      </w:r>
      <w:r w:rsidRPr="00EB57D6">
        <w:tab/>
        <w:t>Principes directeurs d’examen pour la détermination de la résistance à la sécheresse des variétés (hybrides) de maïs en plein champ.</w:t>
      </w:r>
    </w:p>
    <w:p w:rsidR="00EB57D6" w:rsidRPr="00EB57D6" w:rsidRDefault="00EB57D6" w:rsidP="00EB57D6">
      <w:pPr>
        <w:ind w:left="1134" w:hanging="567"/>
        <w:rPr>
          <w:sz w:val="18"/>
        </w:rPr>
      </w:pPr>
      <w:r w:rsidRPr="00EB57D6">
        <w:t>2.</w:t>
      </w:r>
      <w:r w:rsidRPr="00EB57D6">
        <w:tab/>
        <w:t xml:space="preserve">Principes directeurs d’examen des variétés du genre </w:t>
      </w:r>
      <w:proofErr w:type="spellStart"/>
      <w:r w:rsidRPr="00EB57D6">
        <w:t>Chaenomeles</w:t>
      </w:r>
      <w:proofErr w:type="spellEnd"/>
      <w:r w:rsidRPr="00EB57D6">
        <w:t xml:space="preserve"> (</w:t>
      </w:r>
      <w:proofErr w:type="spellStart"/>
      <w:r w:rsidRPr="00EB57D6">
        <w:t>Chaenomeles</w:t>
      </w:r>
      <w:proofErr w:type="spellEnd"/>
      <w:r w:rsidRPr="00EB57D6">
        <w:t xml:space="preserve"> </w:t>
      </w:r>
      <w:proofErr w:type="spellStart"/>
      <w:r w:rsidRPr="00EB57D6">
        <w:t>Lind</w:t>
      </w:r>
      <w:proofErr w:type="spellEnd"/>
      <w:r w:rsidRPr="00EB57D6">
        <w:t xml:space="preserve"> i.) pour la distinction, l’homogénéité et la stabilité.</w:t>
      </w:r>
    </w:p>
    <w:p w:rsidR="00EB57D6" w:rsidRPr="00EB57D6" w:rsidRDefault="00EB57D6" w:rsidP="00EB57D6">
      <w:pPr>
        <w:ind w:left="1134" w:hanging="567"/>
        <w:rPr>
          <w:sz w:val="18"/>
        </w:rPr>
      </w:pPr>
      <w:r w:rsidRPr="00EB57D6">
        <w:t>3.</w:t>
      </w:r>
      <w:r w:rsidRPr="00EB57D6">
        <w:tab/>
        <w:t>Recommandations scientifiques et méthodologiques relatives à l’application des marqueurs d’ADN pour la détermination des types S et C de stérilité du maïs (</w:t>
      </w:r>
      <w:proofErr w:type="spellStart"/>
      <w:r w:rsidRPr="00EB57D6">
        <w:t>Zea</w:t>
      </w:r>
      <w:proofErr w:type="spellEnd"/>
      <w:r w:rsidRPr="00EB57D6">
        <w:t xml:space="preserve"> </w:t>
      </w:r>
      <w:proofErr w:type="spellStart"/>
      <w:r w:rsidRPr="00EB57D6">
        <w:t>mays</w:t>
      </w:r>
      <w:proofErr w:type="spellEnd"/>
      <w:r w:rsidRPr="00EB57D6">
        <w:t xml:space="preserve"> L.) dans le cadre de l’examen de la distinction, de l’homogénéité et de la stabilité.</w:t>
      </w:r>
    </w:p>
    <w:p w:rsidR="00EB57D6" w:rsidRPr="00EB57D6" w:rsidRDefault="00EB57D6" w:rsidP="00EB57D6">
      <w:pPr>
        <w:rPr>
          <w:sz w:val="18"/>
        </w:rPr>
      </w:pPr>
    </w:p>
    <w:p w:rsidR="00845D57" w:rsidRPr="00EB57D6" w:rsidRDefault="00845D57" w:rsidP="00845D57">
      <w:pPr>
        <w:jc w:val="left"/>
      </w:pPr>
    </w:p>
    <w:p w:rsidR="00EB57D6" w:rsidRPr="00EB57D6" w:rsidRDefault="00EB57D6" w:rsidP="00845D57">
      <w:pPr>
        <w:jc w:val="left"/>
        <w:sectPr w:rsidR="00EB57D6" w:rsidRPr="00EB57D6" w:rsidSect="009B2909">
          <w:headerReference w:type="default" r:id="rId33"/>
          <w:pgSz w:w="11907" w:h="16840" w:code="9"/>
          <w:pgMar w:top="510" w:right="1134" w:bottom="1134" w:left="1134" w:header="510" w:footer="680" w:gutter="0"/>
          <w:pgNumType w:start="1"/>
          <w:cols w:space="720"/>
          <w:titlePg/>
        </w:sectPr>
      </w:pPr>
    </w:p>
    <w:p w:rsidR="00EB57D6" w:rsidRPr="00EB57D6" w:rsidRDefault="00EB57D6" w:rsidP="00EB57D6">
      <w:pPr>
        <w:rPr>
          <w:sz w:val="18"/>
          <w:u w:val="single"/>
        </w:rPr>
      </w:pPr>
      <w:r w:rsidRPr="00EB57D6">
        <w:lastRenderedPageBreak/>
        <w:t>5.</w:t>
      </w:r>
      <w:r w:rsidRPr="00EB57D6">
        <w:tab/>
      </w:r>
      <w:r w:rsidRPr="00EB57D6">
        <w:rPr>
          <w:u w:val="single"/>
        </w:rPr>
        <w:t>Activités de promotion de la protection des obtentions végétales</w:t>
      </w:r>
    </w:p>
    <w:p w:rsidR="00EB57D6" w:rsidRPr="00EB57D6" w:rsidRDefault="00EB57D6" w:rsidP="00EB57D6"/>
    <w:tbl>
      <w:tblPr>
        <w:tblW w:w="149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006"/>
        <w:gridCol w:w="1276"/>
        <w:gridCol w:w="1210"/>
        <w:gridCol w:w="3118"/>
        <w:gridCol w:w="3261"/>
        <w:gridCol w:w="1843"/>
        <w:gridCol w:w="1275"/>
      </w:tblGrid>
      <w:tr w:rsidR="00EB57D6" w:rsidRPr="00EB57D6" w:rsidTr="00EB57D6">
        <w:trPr>
          <w:tblHeader/>
        </w:trPr>
        <w:tc>
          <w:tcPr>
            <w:tcW w:w="3006" w:type="dxa"/>
            <w:shd w:val="clear" w:color="auto" w:fill="auto"/>
            <w:tcMar>
              <w:top w:w="0" w:type="dxa"/>
              <w:left w:w="108" w:type="dxa"/>
              <w:bottom w:w="0" w:type="dxa"/>
              <w:right w:w="108" w:type="dxa"/>
            </w:tcMar>
            <w:vAlign w:val="center"/>
            <w:hideMark/>
          </w:tcPr>
          <w:p w:rsidR="00EB57D6" w:rsidRPr="00EB57D6" w:rsidRDefault="00EB57D6" w:rsidP="00DB33D9">
            <w:pPr>
              <w:keepNext/>
              <w:jc w:val="left"/>
              <w:rPr>
                <w:rFonts w:cs="Arial"/>
                <w:sz w:val="16"/>
                <w:szCs w:val="16"/>
                <w:lang w:eastAsia="uk-UA"/>
              </w:rPr>
            </w:pPr>
            <w:r w:rsidRPr="00EB57D6">
              <w:rPr>
                <w:rFonts w:cs="Arial"/>
                <w:sz w:val="16"/>
                <w:szCs w:val="16"/>
                <w:lang w:eastAsia="uk-UA"/>
              </w:rPr>
              <w:t>Titre de l’activité</w:t>
            </w:r>
          </w:p>
        </w:tc>
        <w:tc>
          <w:tcPr>
            <w:tcW w:w="1276" w:type="dxa"/>
            <w:shd w:val="clear" w:color="auto" w:fill="auto"/>
            <w:tcMar>
              <w:top w:w="0" w:type="dxa"/>
              <w:left w:w="108" w:type="dxa"/>
              <w:bottom w:w="0" w:type="dxa"/>
              <w:right w:w="108" w:type="dxa"/>
            </w:tcMar>
            <w:vAlign w:val="center"/>
            <w:hideMark/>
          </w:tcPr>
          <w:p w:rsidR="00EB57D6" w:rsidRPr="00EB57D6" w:rsidRDefault="00EB57D6" w:rsidP="00DB33D9">
            <w:pPr>
              <w:jc w:val="left"/>
              <w:rPr>
                <w:sz w:val="16"/>
              </w:rPr>
            </w:pPr>
            <w:r w:rsidRPr="00EB57D6">
              <w:rPr>
                <w:sz w:val="16"/>
              </w:rPr>
              <w:t>Date</w:t>
            </w:r>
          </w:p>
        </w:tc>
        <w:tc>
          <w:tcPr>
            <w:tcW w:w="1210" w:type="dxa"/>
            <w:shd w:val="clear" w:color="auto" w:fill="auto"/>
            <w:tcMar>
              <w:top w:w="0" w:type="dxa"/>
              <w:left w:w="108" w:type="dxa"/>
              <w:bottom w:w="0" w:type="dxa"/>
              <w:right w:w="108" w:type="dxa"/>
            </w:tcMar>
            <w:vAlign w:val="center"/>
            <w:hideMark/>
          </w:tcPr>
          <w:p w:rsidR="00EB57D6" w:rsidRPr="00EB57D6" w:rsidRDefault="00EB57D6" w:rsidP="00DB33D9">
            <w:pPr>
              <w:jc w:val="left"/>
              <w:rPr>
                <w:sz w:val="16"/>
              </w:rPr>
            </w:pPr>
            <w:r w:rsidRPr="00EB57D6">
              <w:rPr>
                <w:sz w:val="16"/>
              </w:rPr>
              <w:t>Lieu</w:t>
            </w:r>
          </w:p>
        </w:tc>
        <w:tc>
          <w:tcPr>
            <w:tcW w:w="3118" w:type="dxa"/>
            <w:shd w:val="clear" w:color="auto" w:fill="auto"/>
            <w:tcMar>
              <w:top w:w="0" w:type="dxa"/>
              <w:left w:w="108" w:type="dxa"/>
              <w:bottom w:w="0" w:type="dxa"/>
              <w:right w:w="108" w:type="dxa"/>
            </w:tcMar>
            <w:vAlign w:val="center"/>
            <w:hideMark/>
          </w:tcPr>
          <w:p w:rsidR="00EB57D6" w:rsidRPr="00EB57D6" w:rsidRDefault="00EB57D6" w:rsidP="00DB33D9">
            <w:pPr>
              <w:jc w:val="left"/>
              <w:rPr>
                <w:sz w:val="16"/>
              </w:rPr>
            </w:pPr>
            <w:r w:rsidRPr="00EB57D6">
              <w:rPr>
                <w:sz w:val="16"/>
              </w:rPr>
              <w:t>Organisateur(s)</w:t>
            </w:r>
          </w:p>
        </w:tc>
        <w:tc>
          <w:tcPr>
            <w:tcW w:w="3261" w:type="dxa"/>
            <w:shd w:val="clear" w:color="auto" w:fill="auto"/>
            <w:tcMar>
              <w:top w:w="0" w:type="dxa"/>
              <w:left w:w="108" w:type="dxa"/>
              <w:bottom w:w="0" w:type="dxa"/>
              <w:right w:w="108" w:type="dxa"/>
            </w:tcMar>
            <w:vAlign w:val="center"/>
            <w:hideMark/>
          </w:tcPr>
          <w:p w:rsidR="00EB57D6" w:rsidRPr="00EB57D6" w:rsidRDefault="00EB57D6" w:rsidP="00DB33D9">
            <w:pPr>
              <w:jc w:val="left"/>
              <w:rPr>
                <w:sz w:val="16"/>
              </w:rPr>
            </w:pPr>
            <w:r w:rsidRPr="00EB57D6">
              <w:rPr>
                <w:sz w:val="16"/>
              </w:rPr>
              <w:t>But de l’activité</w:t>
            </w:r>
          </w:p>
        </w:tc>
        <w:tc>
          <w:tcPr>
            <w:tcW w:w="1843" w:type="dxa"/>
            <w:shd w:val="clear" w:color="auto" w:fill="auto"/>
            <w:tcMar>
              <w:top w:w="0" w:type="dxa"/>
              <w:left w:w="108" w:type="dxa"/>
              <w:bottom w:w="0" w:type="dxa"/>
              <w:right w:w="108" w:type="dxa"/>
            </w:tcMar>
            <w:vAlign w:val="center"/>
            <w:hideMark/>
          </w:tcPr>
          <w:p w:rsidR="00EB57D6" w:rsidRPr="00EB57D6" w:rsidRDefault="00EB57D6" w:rsidP="00DB33D9">
            <w:pPr>
              <w:jc w:val="left"/>
              <w:rPr>
                <w:sz w:val="16"/>
              </w:rPr>
            </w:pPr>
            <w:r w:rsidRPr="00EB57D6">
              <w:rPr>
                <w:sz w:val="16"/>
              </w:rPr>
              <w:t>Pays/organisations participants (nombre de participants de chacun d’eux)</w:t>
            </w:r>
          </w:p>
        </w:tc>
        <w:tc>
          <w:tcPr>
            <w:tcW w:w="1275" w:type="dxa"/>
            <w:shd w:val="clear" w:color="auto" w:fill="auto"/>
            <w:tcMar>
              <w:top w:w="0" w:type="dxa"/>
              <w:left w:w="108" w:type="dxa"/>
              <w:bottom w:w="0" w:type="dxa"/>
              <w:right w:w="108" w:type="dxa"/>
            </w:tcMar>
            <w:vAlign w:val="center"/>
            <w:hideMark/>
          </w:tcPr>
          <w:p w:rsidR="00EB57D6" w:rsidRPr="00EB57D6" w:rsidRDefault="00EB57D6" w:rsidP="00DB33D9">
            <w:pPr>
              <w:jc w:val="left"/>
              <w:rPr>
                <w:sz w:val="16"/>
              </w:rPr>
            </w:pPr>
            <w:r w:rsidRPr="00EB57D6">
              <w:rPr>
                <w:sz w:val="16"/>
              </w:rPr>
              <w:t>Commentaires</w:t>
            </w:r>
          </w:p>
        </w:tc>
      </w:tr>
      <w:tr w:rsidR="00EB57D6" w:rsidRPr="00EB57D6" w:rsidTr="00EB57D6">
        <w:trPr>
          <w:trHeight w:val="1587"/>
        </w:trPr>
        <w:tc>
          <w:tcPr>
            <w:tcW w:w="3006" w:type="dxa"/>
            <w:shd w:val="clear" w:color="auto" w:fill="auto"/>
            <w:tcMar>
              <w:top w:w="0" w:type="dxa"/>
              <w:left w:w="108" w:type="dxa"/>
              <w:bottom w:w="0" w:type="dxa"/>
              <w:right w:w="108" w:type="dxa"/>
            </w:tcMar>
            <w:hideMark/>
          </w:tcPr>
          <w:p w:rsidR="00EB57D6" w:rsidRPr="008E0BFA" w:rsidRDefault="00EB57D6" w:rsidP="00DB33D9">
            <w:pPr>
              <w:jc w:val="left"/>
              <w:rPr>
                <w:sz w:val="16"/>
                <w:szCs w:val="16"/>
                <w:lang w:val="en-US"/>
              </w:rPr>
            </w:pPr>
            <w:r w:rsidRPr="008E0BFA">
              <w:rPr>
                <w:sz w:val="16"/>
                <w:szCs w:val="16"/>
                <w:lang w:val="en-US"/>
              </w:rPr>
              <w:t>“Plant Varieties Studying and Protection”</w:t>
            </w:r>
          </w:p>
          <w:p w:rsidR="00EB57D6" w:rsidRPr="008E0BFA" w:rsidRDefault="00EB57D6" w:rsidP="00DB33D9">
            <w:pPr>
              <w:jc w:val="left"/>
              <w:rPr>
                <w:sz w:val="16"/>
                <w:szCs w:val="16"/>
                <w:lang w:val="en-US"/>
              </w:rPr>
            </w:pPr>
            <w:r w:rsidRPr="008E0BFA">
              <w:rPr>
                <w:sz w:val="16"/>
                <w:szCs w:val="16"/>
                <w:lang w:val="en-US"/>
              </w:rPr>
              <w:t>Print ISSN 2518-1017</w:t>
            </w:r>
          </w:p>
          <w:p w:rsidR="00EB57D6" w:rsidRPr="008E0BFA" w:rsidRDefault="00EB57D6" w:rsidP="00DB33D9">
            <w:pPr>
              <w:jc w:val="left"/>
              <w:rPr>
                <w:sz w:val="16"/>
                <w:szCs w:val="16"/>
                <w:lang w:val="en-US"/>
              </w:rPr>
            </w:pPr>
            <w:r w:rsidRPr="008E0BFA">
              <w:rPr>
                <w:sz w:val="16"/>
                <w:szCs w:val="16"/>
                <w:lang w:val="en-US"/>
              </w:rPr>
              <w:t>Online ISSN 2518-7457</w:t>
            </w:r>
          </w:p>
          <w:p w:rsidR="00EB57D6" w:rsidRPr="008E0BFA" w:rsidRDefault="00EB57D6" w:rsidP="00DB33D9">
            <w:pPr>
              <w:jc w:val="left"/>
              <w:rPr>
                <w:sz w:val="16"/>
                <w:szCs w:val="16"/>
                <w:lang w:val="en-US"/>
              </w:rPr>
            </w:pPr>
            <w:r w:rsidRPr="008E0BFA">
              <w:rPr>
                <w:sz w:val="16"/>
                <w:szCs w:val="16"/>
                <w:lang w:val="en-US"/>
              </w:rPr>
              <w:t>n° 1, 2, 3, 4, volume 15, 2019</w:t>
            </w:r>
          </w:p>
          <w:p w:rsidR="00EB57D6" w:rsidRPr="008E0BFA" w:rsidRDefault="00867E38" w:rsidP="00DB33D9">
            <w:pPr>
              <w:jc w:val="left"/>
              <w:rPr>
                <w:rStyle w:val="Hyperlink"/>
                <w:lang w:val="en-US"/>
              </w:rPr>
            </w:pPr>
            <w:hyperlink r:id="rId34" w:history="1">
              <w:r w:rsidR="00EB57D6" w:rsidRPr="008E0BFA">
                <w:rPr>
                  <w:rStyle w:val="Hyperlink"/>
                  <w:sz w:val="16"/>
                  <w:lang w:val="en-US"/>
                </w:rPr>
                <w:t>http://journal.sops.gov.ua/</w:t>
              </w:r>
            </w:hyperlink>
          </w:p>
        </w:tc>
        <w:tc>
          <w:tcPr>
            <w:tcW w:w="1276" w:type="dxa"/>
            <w:shd w:val="clear" w:color="auto" w:fill="auto"/>
            <w:tcMar>
              <w:top w:w="0" w:type="dxa"/>
              <w:left w:w="108" w:type="dxa"/>
              <w:bottom w:w="0" w:type="dxa"/>
              <w:right w:w="108" w:type="dxa"/>
            </w:tcMar>
            <w:hideMark/>
          </w:tcPr>
          <w:p w:rsidR="00EB57D6" w:rsidRPr="00EB57D6" w:rsidRDefault="00EB57D6" w:rsidP="00DB33D9">
            <w:pPr>
              <w:jc w:val="left"/>
              <w:rPr>
                <w:sz w:val="16"/>
              </w:rPr>
            </w:pPr>
            <w:r w:rsidRPr="00EB57D6">
              <w:rPr>
                <w:sz w:val="16"/>
              </w:rPr>
              <w:t>Trimestriel</w:t>
            </w:r>
          </w:p>
        </w:tc>
        <w:tc>
          <w:tcPr>
            <w:tcW w:w="1210" w:type="dxa"/>
            <w:shd w:val="clear" w:color="auto" w:fill="auto"/>
            <w:tcMar>
              <w:top w:w="0" w:type="dxa"/>
              <w:left w:w="108" w:type="dxa"/>
              <w:bottom w:w="0" w:type="dxa"/>
              <w:right w:w="108" w:type="dxa"/>
            </w:tcMar>
            <w:hideMark/>
          </w:tcPr>
          <w:p w:rsidR="00EB57D6" w:rsidRPr="00EB57D6" w:rsidRDefault="00EB57D6" w:rsidP="00DB33D9">
            <w:pPr>
              <w:jc w:val="left"/>
              <w:rPr>
                <w:sz w:val="16"/>
              </w:rPr>
            </w:pPr>
            <w:r w:rsidRPr="00EB57D6">
              <w:rPr>
                <w:sz w:val="16"/>
              </w:rPr>
              <w:t>Kiev</w:t>
            </w:r>
          </w:p>
          <w:p w:rsidR="00EB57D6" w:rsidRPr="00EB57D6" w:rsidRDefault="00EB57D6" w:rsidP="00DB33D9">
            <w:pPr>
              <w:jc w:val="left"/>
              <w:rPr>
                <w:sz w:val="16"/>
              </w:rPr>
            </w:pPr>
            <w:r w:rsidRPr="00EB57D6">
              <w:rPr>
                <w:sz w:val="16"/>
              </w:rPr>
              <w:t>(Ukraine)</w:t>
            </w:r>
          </w:p>
        </w:tc>
        <w:tc>
          <w:tcPr>
            <w:tcW w:w="3118" w:type="dxa"/>
            <w:shd w:val="clear" w:color="auto" w:fill="auto"/>
            <w:tcMar>
              <w:top w:w="0" w:type="dxa"/>
              <w:left w:w="108" w:type="dxa"/>
              <w:bottom w:w="0" w:type="dxa"/>
              <w:right w:w="108" w:type="dxa"/>
            </w:tcMar>
            <w:hideMark/>
          </w:tcPr>
          <w:p w:rsidR="00EB57D6" w:rsidRPr="00EB57D6" w:rsidRDefault="00EB57D6" w:rsidP="00DB33D9">
            <w:pPr>
              <w:jc w:val="left"/>
              <w:rPr>
                <w:sz w:val="16"/>
              </w:rPr>
            </w:pPr>
            <w:r w:rsidRPr="00EB57D6">
              <w:rPr>
                <w:sz w:val="16"/>
              </w:rPr>
              <w:t>Institut ukrainien chargé de l’examen des obtentions végétales,</w:t>
            </w:r>
          </w:p>
          <w:p w:rsidR="00EB57D6" w:rsidRPr="00EB57D6" w:rsidRDefault="00EB57D6" w:rsidP="00DB33D9">
            <w:pPr>
              <w:jc w:val="left"/>
              <w:rPr>
                <w:sz w:val="16"/>
              </w:rPr>
            </w:pPr>
            <w:r w:rsidRPr="00EB57D6">
              <w:rPr>
                <w:sz w:val="16"/>
              </w:rPr>
              <w:t xml:space="preserve">Institut de sélection végétale et de </w:t>
            </w:r>
            <w:proofErr w:type="spellStart"/>
            <w:r w:rsidRPr="00EB57D6">
              <w:rPr>
                <w:sz w:val="16"/>
              </w:rPr>
              <w:t>phytogénétique</w:t>
            </w:r>
            <w:proofErr w:type="spellEnd"/>
            <w:r w:rsidRPr="00EB57D6">
              <w:rPr>
                <w:sz w:val="16"/>
              </w:rPr>
              <w:t xml:space="preserve"> – Centre national pour l’étude des semences et des cultivars de l’Académie nationale des sciences agricoles (NAAS),</w:t>
            </w:r>
          </w:p>
          <w:p w:rsidR="00EB57D6" w:rsidRPr="00EB57D6" w:rsidRDefault="00EB57D6" w:rsidP="00DB33D9">
            <w:pPr>
              <w:jc w:val="left"/>
              <w:rPr>
                <w:sz w:val="16"/>
              </w:rPr>
            </w:pPr>
            <w:r w:rsidRPr="00EB57D6">
              <w:rPr>
                <w:sz w:val="16"/>
              </w:rPr>
              <w:t xml:space="preserve">Institut de physiologie végétale et de </w:t>
            </w:r>
            <w:proofErr w:type="spellStart"/>
            <w:r w:rsidRPr="00EB57D6">
              <w:rPr>
                <w:sz w:val="16"/>
              </w:rPr>
              <w:t>phytogénétique</w:t>
            </w:r>
            <w:proofErr w:type="spellEnd"/>
            <w:r w:rsidRPr="00EB57D6">
              <w:rPr>
                <w:sz w:val="16"/>
              </w:rPr>
              <w:t>, Académie nationale des sciences d’Ukraine</w:t>
            </w:r>
          </w:p>
        </w:tc>
        <w:tc>
          <w:tcPr>
            <w:tcW w:w="3261" w:type="dxa"/>
            <w:shd w:val="clear" w:color="auto" w:fill="auto"/>
            <w:tcMar>
              <w:top w:w="0" w:type="dxa"/>
              <w:left w:w="108" w:type="dxa"/>
              <w:bottom w:w="0" w:type="dxa"/>
              <w:right w:w="108" w:type="dxa"/>
            </w:tcMar>
            <w:hideMark/>
          </w:tcPr>
          <w:p w:rsidR="00EB57D6" w:rsidRPr="00EB57D6" w:rsidRDefault="00EB57D6" w:rsidP="00DB33D9">
            <w:pPr>
              <w:jc w:val="left"/>
              <w:rPr>
                <w:sz w:val="16"/>
              </w:rPr>
            </w:pPr>
            <w:r w:rsidRPr="00EB57D6">
              <w:rPr>
                <w:sz w:val="16"/>
              </w:rPr>
              <w:t>Publications concernant l’étude des variétés végétales et les sciences, la sélection et la production des semences, la physiologie végétale, la biotechnologie et la biosécurité, la production de variétés, la commercialisation des variétés, la protection des obtentions végétales, la coopération internationale, les systèmes et technologies de l’information, le point de vue des jeunes scientifiques, l’histoire des sciences, les commémorations</w:t>
            </w:r>
          </w:p>
        </w:tc>
        <w:tc>
          <w:tcPr>
            <w:tcW w:w="1843" w:type="dxa"/>
            <w:shd w:val="clear" w:color="auto" w:fill="auto"/>
            <w:tcMar>
              <w:top w:w="0" w:type="dxa"/>
              <w:left w:w="108" w:type="dxa"/>
              <w:bottom w:w="0" w:type="dxa"/>
              <w:right w:w="108" w:type="dxa"/>
            </w:tcMar>
            <w:hideMark/>
          </w:tcPr>
          <w:p w:rsidR="00EB57D6" w:rsidRPr="00EB57D6" w:rsidRDefault="00EB57D6" w:rsidP="00DB33D9">
            <w:pPr>
              <w:jc w:val="left"/>
              <w:rPr>
                <w:sz w:val="16"/>
              </w:rPr>
            </w:pPr>
            <w:r w:rsidRPr="00EB57D6">
              <w:rPr>
                <w:sz w:val="16"/>
              </w:rPr>
              <w:t>Ukraine</w:t>
            </w:r>
          </w:p>
        </w:tc>
        <w:tc>
          <w:tcPr>
            <w:tcW w:w="1275" w:type="dxa"/>
            <w:shd w:val="clear" w:color="auto" w:fill="auto"/>
            <w:tcMar>
              <w:top w:w="0" w:type="dxa"/>
              <w:left w:w="108" w:type="dxa"/>
              <w:bottom w:w="0" w:type="dxa"/>
              <w:right w:w="108" w:type="dxa"/>
            </w:tcMar>
            <w:hideMark/>
          </w:tcPr>
          <w:p w:rsidR="00EB57D6" w:rsidRPr="00EB57D6" w:rsidRDefault="00EB57D6" w:rsidP="00DB33D9">
            <w:pPr>
              <w:jc w:val="left"/>
              <w:rPr>
                <w:sz w:val="16"/>
              </w:rPr>
            </w:pPr>
          </w:p>
        </w:tc>
      </w:tr>
      <w:tr w:rsidR="00EB57D6" w:rsidRPr="00EB57D6" w:rsidTr="00EB57D6">
        <w:trPr>
          <w:trHeight w:val="1313"/>
        </w:trPr>
        <w:tc>
          <w:tcPr>
            <w:tcW w:w="3006" w:type="dxa"/>
            <w:shd w:val="clear" w:color="auto" w:fill="auto"/>
            <w:tcMar>
              <w:top w:w="0" w:type="dxa"/>
              <w:left w:w="108" w:type="dxa"/>
              <w:bottom w:w="0" w:type="dxa"/>
              <w:right w:w="108" w:type="dxa"/>
            </w:tcMar>
            <w:hideMark/>
          </w:tcPr>
          <w:p w:rsidR="00EB57D6" w:rsidRPr="008E0BFA" w:rsidRDefault="00EB57D6" w:rsidP="00DB33D9">
            <w:pPr>
              <w:jc w:val="left"/>
              <w:rPr>
                <w:sz w:val="16"/>
                <w:szCs w:val="16"/>
                <w:lang w:val="pt-PT"/>
              </w:rPr>
            </w:pPr>
            <w:r w:rsidRPr="008E0BFA">
              <w:rPr>
                <w:sz w:val="16"/>
                <w:szCs w:val="16"/>
                <w:lang w:val="pt-PT"/>
              </w:rPr>
              <w:t>Bulletin “Plant Varieties Protection”, n° 1, n° 2, n° 3, n° 4, n° 5, n° 6, 2019.</w:t>
            </w:r>
          </w:p>
          <w:p w:rsidR="00EB57D6" w:rsidRPr="008E0BFA" w:rsidRDefault="00867E38" w:rsidP="00DB33D9">
            <w:pPr>
              <w:jc w:val="left"/>
              <w:rPr>
                <w:rStyle w:val="Hyperlink"/>
                <w:lang w:val="pt-PT"/>
              </w:rPr>
            </w:pPr>
            <w:hyperlink r:id="rId35" w:history="1">
              <w:r w:rsidR="00EB57D6" w:rsidRPr="008E0BFA">
                <w:rPr>
                  <w:rStyle w:val="Hyperlink"/>
                  <w:sz w:val="16"/>
                  <w:lang w:val="pt-PT"/>
                </w:rPr>
                <w:t>https://sops.gov.ua/uploads/page/buleten/B_3_2020.pdf</w:t>
              </w:r>
            </w:hyperlink>
          </w:p>
        </w:tc>
        <w:tc>
          <w:tcPr>
            <w:tcW w:w="1276" w:type="dxa"/>
            <w:shd w:val="clear" w:color="auto" w:fill="auto"/>
            <w:tcMar>
              <w:top w:w="0" w:type="dxa"/>
              <w:left w:w="108" w:type="dxa"/>
              <w:bottom w:w="0" w:type="dxa"/>
              <w:right w:w="108" w:type="dxa"/>
            </w:tcMar>
            <w:hideMark/>
          </w:tcPr>
          <w:p w:rsidR="00EB57D6" w:rsidRPr="00EB57D6" w:rsidRDefault="00EB57D6" w:rsidP="00DB33D9">
            <w:pPr>
              <w:jc w:val="left"/>
              <w:rPr>
                <w:sz w:val="16"/>
              </w:rPr>
            </w:pPr>
            <w:r w:rsidRPr="00EB57D6">
              <w:rPr>
                <w:sz w:val="16"/>
              </w:rPr>
              <w:t>Trimestriel</w:t>
            </w:r>
          </w:p>
        </w:tc>
        <w:tc>
          <w:tcPr>
            <w:tcW w:w="1210" w:type="dxa"/>
            <w:shd w:val="clear" w:color="auto" w:fill="auto"/>
            <w:tcMar>
              <w:top w:w="0" w:type="dxa"/>
              <w:left w:w="108" w:type="dxa"/>
              <w:bottom w:w="0" w:type="dxa"/>
              <w:right w:w="108" w:type="dxa"/>
            </w:tcMar>
            <w:hideMark/>
          </w:tcPr>
          <w:p w:rsidR="00EB57D6" w:rsidRPr="00EB57D6" w:rsidRDefault="00EB57D6" w:rsidP="00DB33D9">
            <w:pPr>
              <w:jc w:val="left"/>
              <w:rPr>
                <w:sz w:val="16"/>
              </w:rPr>
            </w:pPr>
            <w:r w:rsidRPr="00EB57D6">
              <w:rPr>
                <w:sz w:val="16"/>
              </w:rPr>
              <w:t>Kiev</w:t>
            </w:r>
          </w:p>
          <w:p w:rsidR="00EB57D6" w:rsidRPr="00EB57D6" w:rsidRDefault="00EB57D6" w:rsidP="00DB33D9">
            <w:pPr>
              <w:jc w:val="left"/>
              <w:rPr>
                <w:sz w:val="16"/>
              </w:rPr>
            </w:pPr>
            <w:r w:rsidRPr="00EB57D6">
              <w:rPr>
                <w:sz w:val="16"/>
              </w:rPr>
              <w:t>(Ukraine)</w:t>
            </w:r>
          </w:p>
        </w:tc>
        <w:tc>
          <w:tcPr>
            <w:tcW w:w="3118" w:type="dxa"/>
            <w:shd w:val="clear" w:color="auto" w:fill="auto"/>
            <w:tcMar>
              <w:top w:w="0" w:type="dxa"/>
              <w:left w:w="108" w:type="dxa"/>
              <w:bottom w:w="0" w:type="dxa"/>
              <w:right w:w="108" w:type="dxa"/>
            </w:tcMar>
            <w:hideMark/>
          </w:tcPr>
          <w:p w:rsidR="00EB57D6" w:rsidRPr="00EB57D6" w:rsidRDefault="00EB57D6" w:rsidP="00DB33D9">
            <w:pPr>
              <w:jc w:val="left"/>
              <w:rPr>
                <w:sz w:val="16"/>
              </w:rPr>
            </w:pPr>
            <w:r w:rsidRPr="00EB57D6">
              <w:rPr>
                <w:sz w:val="16"/>
              </w:rPr>
              <w:t>Institut ukrainien chargé de l’examen des obtentions végétales</w:t>
            </w:r>
          </w:p>
        </w:tc>
        <w:tc>
          <w:tcPr>
            <w:tcW w:w="3261" w:type="dxa"/>
            <w:shd w:val="clear" w:color="auto" w:fill="auto"/>
            <w:tcMar>
              <w:top w:w="0" w:type="dxa"/>
              <w:left w:w="108" w:type="dxa"/>
              <w:bottom w:w="0" w:type="dxa"/>
              <w:right w:w="108" w:type="dxa"/>
            </w:tcMar>
            <w:hideMark/>
          </w:tcPr>
          <w:p w:rsidR="00EB57D6" w:rsidRPr="00EB57D6" w:rsidRDefault="00EB57D6" w:rsidP="00DB33D9">
            <w:pPr>
              <w:jc w:val="left"/>
              <w:rPr>
                <w:sz w:val="16"/>
              </w:rPr>
            </w:pPr>
            <w:r w:rsidRPr="00EB57D6">
              <w:rPr>
                <w:sz w:val="16"/>
              </w:rPr>
              <w:t>Bulletin publié conformément à la législation ukrainienne en matière de protection des obtentions végétales en vue de fournir des informations officielles concernant les droits relatifs aux obtentions végétales et de satisfaire aux obligations découlant de l’adhésion de l’Ukraine à l’Union internationale pour la protection des obtentions végétales (UPOV)</w:t>
            </w:r>
          </w:p>
        </w:tc>
        <w:tc>
          <w:tcPr>
            <w:tcW w:w="1843" w:type="dxa"/>
            <w:shd w:val="clear" w:color="auto" w:fill="auto"/>
            <w:tcMar>
              <w:top w:w="0" w:type="dxa"/>
              <w:left w:w="108" w:type="dxa"/>
              <w:bottom w:w="0" w:type="dxa"/>
              <w:right w:w="108" w:type="dxa"/>
            </w:tcMar>
            <w:hideMark/>
          </w:tcPr>
          <w:p w:rsidR="00EB57D6" w:rsidRPr="00EB57D6" w:rsidRDefault="00EB57D6" w:rsidP="00DB33D9">
            <w:pPr>
              <w:jc w:val="left"/>
              <w:rPr>
                <w:sz w:val="16"/>
              </w:rPr>
            </w:pPr>
            <w:r w:rsidRPr="00EB57D6">
              <w:rPr>
                <w:sz w:val="16"/>
              </w:rPr>
              <w:t xml:space="preserve">Ukraine </w:t>
            </w:r>
          </w:p>
        </w:tc>
        <w:tc>
          <w:tcPr>
            <w:tcW w:w="1275" w:type="dxa"/>
            <w:shd w:val="clear" w:color="auto" w:fill="auto"/>
            <w:tcMar>
              <w:top w:w="0" w:type="dxa"/>
              <w:left w:w="108" w:type="dxa"/>
              <w:bottom w:w="0" w:type="dxa"/>
              <w:right w:w="108" w:type="dxa"/>
            </w:tcMar>
            <w:hideMark/>
          </w:tcPr>
          <w:p w:rsidR="00EB57D6" w:rsidRPr="00EB57D6" w:rsidRDefault="00EB57D6" w:rsidP="00DB33D9">
            <w:pPr>
              <w:jc w:val="left"/>
              <w:rPr>
                <w:sz w:val="16"/>
                <w:highlight w:val="yellow"/>
              </w:rPr>
            </w:pPr>
          </w:p>
        </w:tc>
      </w:tr>
      <w:tr w:rsidR="00EB57D6" w:rsidRPr="00EB57D6" w:rsidTr="00EB57D6">
        <w:trPr>
          <w:trHeight w:val="1026"/>
        </w:trPr>
        <w:tc>
          <w:tcPr>
            <w:tcW w:w="3006" w:type="dxa"/>
            <w:shd w:val="clear" w:color="auto" w:fill="auto"/>
            <w:tcMar>
              <w:top w:w="0" w:type="dxa"/>
              <w:left w:w="108" w:type="dxa"/>
              <w:bottom w:w="0" w:type="dxa"/>
              <w:right w:w="108" w:type="dxa"/>
            </w:tcMar>
            <w:hideMark/>
          </w:tcPr>
          <w:p w:rsidR="00EB57D6" w:rsidRPr="00EB57D6" w:rsidRDefault="00EB57D6" w:rsidP="00DB33D9">
            <w:pPr>
              <w:jc w:val="left"/>
              <w:rPr>
                <w:sz w:val="16"/>
                <w:szCs w:val="16"/>
              </w:rPr>
            </w:pPr>
            <w:proofErr w:type="spellStart"/>
            <w:r w:rsidRPr="00EB57D6">
              <w:rPr>
                <w:sz w:val="16"/>
                <w:szCs w:val="16"/>
              </w:rPr>
              <w:t>V</w:t>
            </w:r>
            <w:r w:rsidRPr="00EB57D6">
              <w:rPr>
                <w:sz w:val="16"/>
                <w:szCs w:val="16"/>
                <w:vertAlign w:val="superscript"/>
              </w:rPr>
              <w:t>è</w:t>
            </w:r>
            <w:proofErr w:type="spellEnd"/>
            <w:r w:rsidRPr="00EB57D6">
              <w:rPr>
                <w:sz w:val="16"/>
                <w:szCs w:val="16"/>
              </w:rPr>
              <w:t> Conférence internationale sur la recherche appliquée intitulée “Ressources végétales dans le monde : situation actuelle et perspectives de développement”</w:t>
            </w:r>
          </w:p>
          <w:p w:rsidR="00EB57D6" w:rsidRPr="00EB57D6" w:rsidRDefault="00867E38" w:rsidP="00DB33D9">
            <w:pPr>
              <w:jc w:val="left"/>
              <w:rPr>
                <w:rStyle w:val="Hyperlink"/>
              </w:rPr>
            </w:pPr>
            <w:hyperlink r:id="rId36" w:history="1">
              <w:r w:rsidR="00EB57D6" w:rsidRPr="00EB57D6">
                <w:rPr>
                  <w:rStyle w:val="Hyperlink"/>
                  <w:sz w:val="16"/>
                </w:rPr>
                <w:t>https://sops.gov.ua/uploads/page/5d1dfa59bb922.pdf</w:t>
              </w:r>
            </w:hyperlink>
          </w:p>
        </w:tc>
        <w:tc>
          <w:tcPr>
            <w:tcW w:w="1276" w:type="dxa"/>
            <w:shd w:val="clear" w:color="auto" w:fill="auto"/>
            <w:tcMar>
              <w:top w:w="0" w:type="dxa"/>
              <w:left w:w="108" w:type="dxa"/>
              <w:bottom w:w="0" w:type="dxa"/>
              <w:right w:w="108" w:type="dxa"/>
            </w:tcMar>
            <w:hideMark/>
          </w:tcPr>
          <w:p w:rsidR="00EB57D6" w:rsidRPr="00EB57D6" w:rsidRDefault="00EB57D6" w:rsidP="00DB33D9">
            <w:pPr>
              <w:jc w:val="left"/>
              <w:rPr>
                <w:sz w:val="16"/>
              </w:rPr>
            </w:pPr>
            <w:r w:rsidRPr="00EB57D6">
              <w:rPr>
                <w:sz w:val="16"/>
              </w:rPr>
              <w:t>7 juin 2019</w:t>
            </w:r>
          </w:p>
        </w:tc>
        <w:tc>
          <w:tcPr>
            <w:tcW w:w="1210" w:type="dxa"/>
            <w:shd w:val="clear" w:color="auto" w:fill="auto"/>
            <w:tcMar>
              <w:top w:w="0" w:type="dxa"/>
              <w:left w:w="108" w:type="dxa"/>
              <w:bottom w:w="0" w:type="dxa"/>
              <w:right w:w="108" w:type="dxa"/>
            </w:tcMar>
            <w:hideMark/>
          </w:tcPr>
          <w:p w:rsidR="00EB57D6" w:rsidRPr="00EB57D6" w:rsidRDefault="00EB57D6" w:rsidP="00DB33D9">
            <w:pPr>
              <w:jc w:val="left"/>
              <w:rPr>
                <w:sz w:val="16"/>
              </w:rPr>
            </w:pPr>
            <w:r w:rsidRPr="00EB57D6">
              <w:rPr>
                <w:sz w:val="16"/>
              </w:rPr>
              <w:t>Kiev</w:t>
            </w:r>
          </w:p>
          <w:p w:rsidR="00EB57D6" w:rsidRPr="00EB57D6" w:rsidRDefault="00EB57D6" w:rsidP="00DB33D9">
            <w:pPr>
              <w:jc w:val="left"/>
              <w:rPr>
                <w:sz w:val="16"/>
              </w:rPr>
            </w:pPr>
            <w:r w:rsidRPr="00EB57D6">
              <w:rPr>
                <w:sz w:val="16"/>
              </w:rPr>
              <w:t>(Ukraine)</w:t>
            </w:r>
          </w:p>
        </w:tc>
        <w:tc>
          <w:tcPr>
            <w:tcW w:w="3118" w:type="dxa"/>
            <w:shd w:val="clear" w:color="auto" w:fill="auto"/>
            <w:tcMar>
              <w:top w:w="0" w:type="dxa"/>
              <w:left w:w="108" w:type="dxa"/>
              <w:bottom w:w="0" w:type="dxa"/>
              <w:right w:w="108" w:type="dxa"/>
            </w:tcMar>
            <w:hideMark/>
          </w:tcPr>
          <w:p w:rsidR="00EB57D6" w:rsidRPr="00EB57D6" w:rsidRDefault="00EB57D6" w:rsidP="00DB33D9">
            <w:pPr>
              <w:jc w:val="left"/>
              <w:rPr>
                <w:sz w:val="16"/>
              </w:rPr>
            </w:pPr>
            <w:r w:rsidRPr="00EB57D6">
              <w:rPr>
                <w:sz w:val="16"/>
              </w:rPr>
              <w:t>Institut ukrainien chargé de l’examen des obtentions végétales</w:t>
            </w:r>
          </w:p>
        </w:tc>
        <w:tc>
          <w:tcPr>
            <w:tcW w:w="3261" w:type="dxa"/>
            <w:shd w:val="clear" w:color="auto" w:fill="auto"/>
            <w:tcMar>
              <w:top w:w="0" w:type="dxa"/>
              <w:left w:w="108" w:type="dxa"/>
              <w:bottom w:w="0" w:type="dxa"/>
              <w:right w:w="108" w:type="dxa"/>
            </w:tcMar>
            <w:hideMark/>
          </w:tcPr>
          <w:p w:rsidR="00EB57D6" w:rsidRPr="00EB57D6" w:rsidRDefault="00EB57D6" w:rsidP="00DB33D9">
            <w:pPr>
              <w:jc w:val="left"/>
              <w:rPr>
                <w:sz w:val="16"/>
              </w:rPr>
            </w:pPr>
            <w:r w:rsidRPr="00EB57D6">
              <w:rPr>
                <w:sz w:val="16"/>
              </w:rPr>
              <w:t>Étude de questions théoriques et pratiques en rapport avec les ressources végétales dans le monde.  Analyse des enjeux actuels de la protection des obtentions végétales et des aspects historiques en la matière et analyse de la question des compétences en matière de sélection et de la question de la commercialisation des variétés végétales</w:t>
            </w:r>
          </w:p>
        </w:tc>
        <w:tc>
          <w:tcPr>
            <w:tcW w:w="1843" w:type="dxa"/>
            <w:shd w:val="clear" w:color="auto" w:fill="auto"/>
            <w:tcMar>
              <w:top w:w="0" w:type="dxa"/>
              <w:left w:w="108" w:type="dxa"/>
              <w:bottom w:w="0" w:type="dxa"/>
              <w:right w:w="108" w:type="dxa"/>
            </w:tcMar>
            <w:hideMark/>
          </w:tcPr>
          <w:p w:rsidR="00EB57D6" w:rsidRPr="00EB57D6" w:rsidRDefault="00EB57D6" w:rsidP="00DB33D9">
            <w:pPr>
              <w:jc w:val="left"/>
              <w:rPr>
                <w:sz w:val="16"/>
              </w:rPr>
            </w:pPr>
            <w:r w:rsidRPr="00EB57D6">
              <w:rPr>
                <w:sz w:val="16"/>
              </w:rPr>
              <w:t>Ukraine, Moldova,</w:t>
            </w:r>
          </w:p>
          <w:p w:rsidR="00EB57D6" w:rsidRPr="00EB57D6" w:rsidRDefault="00EB57D6" w:rsidP="00DB33D9">
            <w:pPr>
              <w:jc w:val="left"/>
              <w:rPr>
                <w:sz w:val="16"/>
              </w:rPr>
            </w:pPr>
            <w:proofErr w:type="spellStart"/>
            <w:r w:rsidRPr="00EB57D6">
              <w:rPr>
                <w:sz w:val="16"/>
              </w:rPr>
              <w:t>Bélarus</w:t>
            </w:r>
            <w:proofErr w:type="spellEnd"/>
            <w:r w:rsidRPr="00EB57D6">
              <w:rPr>
                <w:sz w:val="16"/>
              </w:rPr>
              <w:t>, Azerbaïdjan,</w:t>
            </w:r>
          </w:p>
          <w:p w:rsidR="00EB57D6" w:rsidRPr="00EB57D6" w:rsidRDefault="00EB57D6" w:rsidP="00DB33D9">
            <w:pPr>
              <w:jc w:val="left"/>
              <w:rPr>
                <w:sz w:val="16"/>
              </w:rPr>
            </w:pPr>
            <w:r w:rsidRPr="00EB57D6">
              <w:rPr>
                <w:sz w:val="16"/>
              </w:rPr>
              <w:t>Fédération de Russie</w:t>
            </w:r>
          </w:p>
          <w:p w:rsidR="00EB57D6" w:rsidRPr="00EB57D6" w:rsidRDefault="00EB57D6" w:rsidP="00DB33D9">
            <w:pPr>
              <w:jc w:val="left"/>
              <w:rPr>
                <w:sz w:val="16"/>
              </w:rPr>
            </w:pPr>
            <w:r w:rsidRPr="00EB57D6">
              <w:rPr>
                <w:sz w:val="16"/>
              </w:rPr>
              <w:t>(227 participants)</w:t>
            </w:r>
          </w:p>
        </w:tc>
        <w:tc>
          <w:tcPr>
            <w:tcW w:w="1275" w:type="dxa"/>
            <w:shd w:val="clear" w:color="auto" w:fill="auto"/>
            <w:tcMar>
              <w:top w:w="0" w:type="dxa"/>
              <w:left w:w="108" w:type="dxa"/>
              <w:bottom w:w="0" w:type="dxa"/>
              <w:right w:w="108" w:type="dxa"/>
            </w:tcMar>
            <w:hideMark/>
          </w:tcPr>
          <w:p w:rsidR="00EB57D6" w:rsidRPr="00EB57D6" w:rsidRDefault="00EB57D6" w:rsidP="00DB33D9">
            <w:pPr>
              <w:jc w:val="left"/>
              <w:rPr>
                <w:sz w:val="16"/>
                <w:highlight w:val="yellow"/>
              </w:rPr>
            </w:pPr>
            <w:r w:rsidRPr="00EB57D6">
              <w:rPr>
                <w:sz w:val="16"/>
              </w:rPr>
              <w:t>les documents de la conférence ont été publiés</w:t>
            </w:r>
          </w:p>
        </w:tc>
      </w:tr>
      <w:tr w:rsidR="00EB57D6" w:rsidRPr="00EB57D6" w:rsidTr="00EB57D6">
        <w:trPr>
          <w:trHeight w:val="843"/>
        </w:trPr>
        <w:tc>
          <w:tcPr>
            <w:tcW w:w="3006" w:type="dxa"/>
            <w:shd w:val="clear" w:color="auto" w:fill="auto"/>
            <w:tcMar>
              <w:top w:w="0" w:type="dxa"/>
              <w:left w:w="108" w:type="dxa"/>
              <w:bottom w:w="0" w:type="dxa"/>
              <w:right w:w="108" w:type="dxa"/>
            </w:tcMar>
          </w:tcPr>
          <w:p w:rsidR="00EB57D6" w:rsidRPr="00EB57D6" w:rsidRDefault="00EB57D6" w:rsidP="00DB33D9">
            <w:pPr>
              <w:jc w:val="left"/>
              <w:rPr>
                <w:sz w:val="16"/>
                <w:szCs w:val="16"/>
              </w:rPr>
            </w:pPr>
            <w:proofErr w:type="spellStart"/>
            <w:r w:rsidRPr="00EB57D6">
              <w:rPr>
                <w:sz w:val="16"/>
                <w:szCs w:val="16"/>
              </w:rPr>
              <w:t>VII</w:t>
            </w:r>
            <w:r w:rsidRPr="00EB57D6">
              <w:rPr>
                <w:sz w:val="16"/>
                <w:szCs w:val="16"/>
                <w:vertAlign w:val="superscript"/>
              </w:rPr>
              <w:t>è</w:t>
            </w:r>
            <w:proofErr w:type="spellEnd"/>
            <w:r w:rsidRPr="00EB57D6">
              <w:rPr>
                <w:sz w:val="16"/>
                <w:szCs w:val="16"/>
              </w:rPr>
              <w:t> Conférence internationale des jeunes scientifiques et spécialistes de la recherche appliquée intitulée “Sélection, génétique et technologies pour la culture des plantes”</w:t>
            </w:r>
          </w:p>
          <w:p w:rsidR="00EB57D6" w:rsidRPr="00EB57D6" w:rsidRDefault="00867E38" w:rsidP="00DB33D9">
            <w:pPr>
              <w:jc w:val="left"/>
              <w:rPr>
                <w:rStyle w:val="Hyperlink"/>
                <w:sz w:val="16"/>
                <w:szCs w:val="16"/>
              </w:rPr>
            </w:pPr>
            <w:hyperlink r:id="rId37" w:history="1">
              <w:r w:rsidR="00EB57D6" w:rsidRPr="00EB57D6">
                <w:rPr>
                  <w:rStyle w:val="Hyperlink"/>
                  <w:sz w:val="16"/>
                  <w:szCs w:val="16"/>
                </w:rPr>
                <w:t>https://sops.gov.ua/uploads/page/5cc15bea99d43.pdf</w:t>
              </w:r>
            </w:hyperlink>
          </w:p>
        </w:tc>
        <w:tc>
          <w:tcPr>
            <w:tcW w:w="1276" w:type="dxa"/>
            <w:shd w:val="clear" w:color="auto" w:fill="auto"/>
            <w:tcMar>
              <w:top w:w="0" w:type="dxa"/>
              <w:left w:w="108" w:type="dxa"/>
              <w:bottom w:w="0" w:type="dxa"/>
              <w:right w:w="108" w:type="dxa"/>
            </w:tcMar>
          </w:tcPr>
          <w:p w:rsidR="00EB57D6" w:rsidRPr="00EB57D6" w:rsidRDefault="00EB57D6" w:rsidP="00DB33D9">
            <w:pPr>
              <w:jc w:val="left"/>
              <w:rPr>
                <w:sz w:val="16"/>
              </w:rPr>
            </w:pPr>
            <w:r w:rsidRPr="00EB57D6">
              <w:rPr>
                <w:sz w:val="16"/>
              </w:rPr>
              <w:t>19.04.2019</w:t>
            </w:r>
          </w:p>
        </w:tc>
        <w:tc>
          <w:tcPr>
            <w:tcW w:w="1210" w:type="dxa"/>
            <w:shd w:val="clear" w:color="auto" w:fill="auto"/>
            <w:tcMar>
              <w:top w:w="0" w:type="dxa"/>
              <w:left w:w="108" w:type="dxa"/>
              <w:bottom w:w="0" w:type="dxa"/>
              <w:right w:w="108" w:type="dxa"/>
            </w:tcMar>
          </w:tcPr>
          <w:p w:rsidR="00EB57D6" w:rsidRPr="00EB57D6" w:rsidRDefault="00EB57D6" w:rsidP="00DB33D9">
            <w:pPr>
              <w:jc w:val="left"/>
              <w:rPr>
                <w:sz w:val="16"/>
              </w:rPr>
            </w:pPr>
            <w:r w:rsidRPr="00EB57D6">
              <w:rPr>
                <w:sz w:val="16"/>
              </w:rPr>
              <w:t xml:space="preserve">village </w:t>
            </w:r>
            <w:proofErr w:type="spellStart"/>
            <w:r w:rsidRPr="00EB57D6">
              <w:rPr>
                <w:sz w:val="16"/>
              </w:rPr>
              <w:t>Centralne</w:t>
            </w:r>
            <w:proofErr w:type="spellEnd"/>
            <w:r w:rsidRPr="00EB57D6">
              <w:rPr>
                <w:sz w:val="16"/>
              </w:rPr>
              <w:t>, région de Kiev</w:t>
            </w:r>
          </w:p>
        </w:tc>
        <w:tc>
          <w:tcPr>
            <w:tcW w:w="3118" w:type="dxa"/>
            <w:shd w:val="clear" w:color="auto" w:fill="auto"/>
            <w:tcMar>
              <w:top w:w="0" w:type="dxa"/>
              <w:left w:w="108" w:type="dxa"/>
              <w:bottom w:w="0" w:type="dxa"/>
              <w:right w:w="108" w:type="dxa"/>
            </w:tcMar>
          </w:tcPr>
          <w:p w:rsidR="00EB57D6" w:rsidRPr="00EB57D6" w:rsidRDefault="00EB57D6" w:rsidP="00DB33D9">
            <w:pPr>
              <w:jc w:val="left"/>
              <w:rPr>
                <w:sz w:val="16"/>
              </w:rPr>
            </w:pPr>
            <w:r w:rsidRPr="00EB57D6">
              <w:rPr>
                <w:sz w:val="16"/>
              </w:rPr>
              <w:t xml:space="preserve">V.M. </w:t>
            </w:r>
            <w:proofErr w:type="spellStart"/>
            <w:r w:rsidRPr="00EB57D6">
              <w:rPr>
                <w:sz w:val="16"/>
              </w:rPr>
              <w:t>Remeslo</w:t>
            </w:r>
            <w:proofErr w:type="spellEnd"/>
            <w:r w:rsidRPr="00EB57D6">
              <w:rPr>
                <w:sz w:val="16"/>
              </w:rPr>
              <w:t xml:space="preserve"> </w:t>
            </w:r>
            <w:proofErr w:type="spellStart"/>
            <w:r w:rsidRPr="00EB57D6">
              <w:rPr>
                <w:sz w:val="16"/>
              </w:rPr>
              <w:t>Myronivka</w:t>
            </w:r>
            <w:proofErr w:type="spellEnd"/>
            <w:r w:rsidRPr="00EB57D6">
              <w:rPr>
                <w:sz w:val="16"/>
              </w:rPr>
              <w:t> Institut du blé,</w:t>
            </w:r>
          </w:p>
          <w:p w:rsidR="00EB57D6" w:rsidRPr="00EB57D6" w:rsidRDefault="00EB57D6" w:rsidP="00DB33D9">
            <w:pPr>
              <w:jc w:val="left"/>
              <w:rPr>
                <w:sz w:val="16"/>
              </w:rPr>
            </w:pPr>
            <w:r w:rsidRPr="00EB57D6">
              <w:rPr>
                <w:sz w:val="16"/>
              </w:rPr>
              <w:t>Académie nationale des sciences agricoles de l’Ukraine;</w:t>
            </w:r>
          </w:p>
          <w:p w:rsidR="00EB57D6" w:rsidRPr="00EB57D6" w:rsidRDefault="00EB57D6" w:rsidP="00DB33D9">
            <w:pPr>
              <w:jc w:val="left"/>
              <w:rPr>
                <w:sz w:val="16"/>
              </w:rPr>
            </w:pPr>
            <w:r w:rsidRPr="00EB57D6">
              <w:rPr>
                <w:sz w:val="16"/>
              </w:rPr>
              <w:t>Institut ukrainien chargé de l’examen des obtentions végétales</w:t>
            </w:r>
          </w:p>
        </w:tc>
        <w:tc>
          <w:tcPr>
            <w:tcW w:w="3261" w:type="dxa"/>
            <w:shd w:val="clear" w:color="auto" w:fill="auto"/>
            <w:tcMar>
              <w:top w:w="0" w:type="dxa"/>
              <w:left w:w="108" w:type="dxa"/>
              <w:bottom w:w="0" w:type="dxa"/>
              <w:right w:w="108" w:type="dxa"/>
            </w:tcMar>
          </w:tcPr>
          <w:p w:rsidR="00EB57D6" w:rsidRPr="00EB57D6" w:rsidRDefault="00EB57D6" w:rsidP="00DB33D9">
            <w:pPr>
              <w:jc w:val="left"/>
              <w:rPr>
                <w:sz w:val="16"/>
              </w:rPr>
            </w:pPr>
            <w:r w:rsidRPr="00EB57D6">
              <w:rPr>
                <w:sz w:val="16"/>
              </w:rPr>
              <w:t>Définition des tendances modernes en matière de recherche agricole et d’évaluation des variétés végétales</w:t>
            </w:r>
          </w:p>
        </w:tc>
        <w:tc>
          <w:tcPr>
            <w:tcW w:w="1843" w:type="dxa"/>
            <w:shd w:val="clear" w:color="auto" w:fill="auto"/>
            <w:tcMar>
              <w:top w:w="0" w:type="dxa"/>
              <w:left w:w="108" w:type="dxa"/>
              <w:bottom w:w="0" w:type="dxa"/>
              <w:right w:w="108" w:type="dxa"/>
            </w:tcMar>
          </w:tcPr>
          <w:p w:rsidR="00EB57D6" w:rsidRPr="00EB57D6" w:rsidRDefault="00EB57D6" w:rsidP="00DB33D9">
            <w:pPr>
              <w:jc w:val="left"/>
              <w:rPr>
                <w:sz w:val="16"/>
              </w:rPr>
            </w:pPr>
            <w:r w:rsidRPr="00EB57D6">
              <w:rPr>
                <w:sz w:val="16"/>
              </w:rPr>
              <w:t xml:space="preserve">Ukraine, </w:t>
            </w:r>
            <w:proofErr w:type="spellStart"/>
            <w:r w:rsidRPr="00EB57D6">
              <w:rPr>
                <w:sz w:val="16"/>
              </w:rPr>
              <w:t>Bélarus</w:t>
            </w:r>
            <w:proofErr w:type="spellEnd"/>
            <w:r w:rsidRPr="00EB57D6">
              <w:rPr>
                <w:sz w:val="16"/>
              </w:rPr>
              <w:t>, Hongrie (190 participants)</w:t>
            </w:r>
          </w:p>
        </w:tc>
        <w:tc>
          <w:tcPr>
            <w:tcW w:w="1275" w:type="dxa"/>
            <w:shd w:val="clear" w:color="auto" w:fill="auto"/>
            <w:tcMar>
              <w:top w:w="0" w:type="dxa"/>
              <w:left w:w="108" w:type="dxa"/>
              <w:bottom w:w="0" w:type="dxa"/>
              <w:right w:w="108" w:type="dxa"/>
            </w:tcMar>
          </w:tcPr>
          <w:p w:rsidR="00EB57D6" w:rsidRPr="00EB57D6" w:rsidRDefault="00EB57D6" w:rsidP="00DB33D9">
            <w:pPr>
              <w:jc w:val="left"/>
              <w:rPr>
                <w:sz w:val="16"/>
              </w:rPr>
            </w:pPr>
            <w:r w:rsidRPr="00EB57D6">
              <w:rPr>
                <w:sz w:val="16"/>
              </w:rPr>
              <w:t>les documents de la conférence ont été publiés</w:t>
            </w:r>
          </w:p>
        </w:tc>
      </w:tr>
      <w:tr w:rsidR="00EB57D6" w:rsidRPr="00EB57D6" w:rsidTr="00EB57D6">
        <w:trPr>
          <w:trHeight w:val="843"/>
        </w:trPr>
        <w:tc>
          <w:tcPr>
            <w:tcW w:w="3006" w:type="dxa"/>
            <w:shd w:val="clear" w:color="auto" w:fill="auto"/>
            <w:tcMar>
              <w:top w:w="0" w:type="dxa"/>
              <w:left w:w="108" w:type="dxa"/>
              <w:bottom w:w="0" w:type="dxa"/>
              <w:right w:w="108" w:type="dxa"/>
            </w:tcMar>
          </w:tcPr>
          <w:p w:rsidR="00EB57D6" w:rsidRPr="00EB57D6" w:rsidRDefault="00EB57D6" w:rsidP="00DB33D9">
            <w:pPr>
              <w:jc w:val="left"/>
              <w:rPr>
                <w:sz w:val="16"/>
                <w:szCs w:val="16"/>
              </w:rPr>
            </w:pPr>
            <w:proofErr w:type="spellStart"/>
            <w:r w:rsidRPr="00EB57D6">
              <w:rPr>
                <w:sz w:val="16"/>
                <w:szCs w:val="16"/>
              </w:rPr>
              <w:t>III</w:t>
            </w:r>
            <w:r w:rsidRPr="00EB57D6">
              <w:rPr>
                <w:sz w:val="16"/>
                <w:szCs w:val="16"/>
                <w:vertAlign w:val="superscript"/>
              </w:rPr>
              <w:t>è</w:t>
            </w:r>
            <w:proofErr w:type="spellEnd"/>
            <w:r w:rsidRPr="00EB57D6">
              <w:rPr>
                <w:sz w:val="16"/>
                <w:szCs w:val="16"/>
              </w:rPr>
              <w:t> Conférence Internet des jeunes scientifiques intitulée “Génétique et sélection des plantes agricoles – de la molécule à la variété”</w:t>
            </w:r>
          </w:p>
          <w:p w:rsidR="00EB57D6" w:rsidRPr="00EB57D6" w:rsidRDefault="00867E38" w:rsidP="00DB33D9">
            <w:pPr>
              <w:jc w:val="left"/>
              <w:rPr>
                <w:rStyle w:val="Hyperlink"/>
                <w:sz w:val="16"/>
                <w:szCs w:val="16"/>
              </w:rPr>
            </w:pPr>
            <w:hyperlink r:id="rId38" w:history="1">
              <w:r w:rsidR="00EB57D6" w:rsidRPr="00EB57D6">
                <w:rPr>
                  <w:rStyle w:val="Hyperlink"/>
                  <w:sz w:val="16"/>
                  <w:szCs w:val="16"/>
                </w:rPr>
                <w:t>https://sops.gov.ua/uploads/page/5d66479943a66.pdf</w:t>
              </w:r>
            </w:hyperlink>
          </w:p>
        </w:tc>
        <w:tc>
          <w:tcPr>
            <w:tcW w:w="1276" w:type="dxa"/>
            <w:shd w:val="clear" w:color="auto" w:fill="auto"/>
            <w:tcMar>
              <w:top w:w="0" w:type="dxa"/>
              <w:left w:w="108" w:type="dxa"/>
              <w:bottom w:w="0" w:type="dxa"/>
              <w:right w:w="108" w:type="dxa"/>
            </w:tcMar>
          </w:tcPr>
          <w:p w:rsidR="00EB57D6" w:rsidRPr="00EB57D6" w:rsidRDefault="00EB57D6" w:rsidP="00DB33D9">
            <w:pPr>
              <w:jc w:val="left"/>
              <w:rPr>
                <w:sz w:val="16"/>
              </w:rPr>
            </w:pPr>
            <w:r w:rsidRPr="00EB57D6">
              <w:rPr>
                <w:sz w:val="16"/>
              </w:rPr>
              <w:t>28.08.2019</w:t>
            </w:r>
          </w:p>
        </w:tc>
        <w:tc>
          <w:tcPr>
            <w:tcW w:w="1210" w:type="dxa"/>
            <w:shd w:val="clear" w:color="auto" w:fill="auto"/>
            <w:tcMar>
              <w:top w:w="0" w:type="dxa"/>
              <w:left w:w="108" w:type="dxa"/>
              <w:bottom w:w="0" w:type="dxa"/>
              <w:right w:w="108" w:type="dxa"/>
            </w:tcMar>
          </w:tcPr>
          <w:p w:rsidR="00EB57D6" w:rsidRPr="00EB57D6" w:rsidRDefault="00EB57D6" w:rsidP="00DB33D9">
            <w:pPr>
              <w:jc w:val="left"/>
              <w:rPr>
                <w:sz w:val="16"/>
              </w:rPr>
            </w:pPr>
            <w:r w:rsidRPr="00EB57D6">
              <w:rPr>
                <w:sz w:val="16"/>
              </w:rPr>
              <w:t>ville de Kiev, Odessa</w:t>
            </w:r>
          </w:p>
        </w:tc>
        <w:tc>
          <w:tcPr>
            <w:tcW w:w="3118" w:type="dxa"/>
            <w:shd w:val="clear" w:color="auto" w:fill="auto"/>
            <w:tcMar>
              <w:top w:w="0" w:type="dxa"/>
              <w:left w:w="108" w:type="dxa"/>
              <w:bottom w:w="0" w:type="dxa"/>
              <w:right w:w="108" w:type="dxa"/>
            </w:tcMar>
          </w:tcPr>
          <w:p w:rsidR="00EB57D6" w:rsidRPr="00EB57D6" w:rsidRDefault="00EB57D6" w:rsidP="00DB33D9">
            <w:pPr>
              <w:jc w:val="left"/>
              <w:rPr>
                <w:sz w:val="16"/>
              </w:rPr>
            </w:pPr>
            <w:r w:rsidRPr="00EB57D6">
              <w:rPr>
                <w:sz w:val="16"/>
              </w:rPr>
              <w:t>Institut ukrainien chargé de l’examen des obtentions végétales</w:t>
            </w:r>
          </w:p>
          <w:p w:rsidR="00EB57D6" w:rsidRPr="00EB57D6" w:rsidRDefault="00EB57D6" w:rsidP="00DB33D9">
            <w:pPr>
              <w:jc w:val="left"/>
              <w:rPr>
                <w:sz w:val="16"/>
              </w:rPr>
            </w:pPr>
            <w:r w:rsidRPr="00EB57D6">
              <w:rPr>
                <w:sz w:val="16"/>
              </w:rPr>
              <w:t xml:space="preserve">Institut de sélection végétale et de </w:t>
            </w:r>
            <w:proofErr w:type="spellStart"/>
            <w:r w:rsidRPr="00EB57D6">
              <w:rPr>
                <w:sz w:val="16"/>
              </w:rPr>
              <w:t>phytogénétique</w:t>
            </w:r>
            <w:proofErr w:type="spellEnd"/>
            <w:r w:rsidRPr="00EB57D6">
              <w:rPr>
                <w:sz w:val="16"/>
              </w:rPr>
              <w:t xml:space="preserve"> – Centre national pour l’étude des semences et des cultivars de l’Académie nationale des sciences agricoles (NAAS)</w:t>
            </w:r>
          </w:p>
          <w:p w:rsidR="00EB57D6" w:rsidRPr="00EB57D6" w:rsidRDefault="00EB57D6" w:rsidP="00DB33D9">
            <w:pPr>
              <w:jc w:val="left"/>
              <w:rPr>
                <w:sz w:val="16"/>
              </w:rPr>
            </w:pPr>
          </w:p>
        </w:tc>
        <w:tc>
          <w:tcPr>
            <w:tcW w:w="3261" w:type="dxa"/>
            <w:shd w:val="clear" w:color="auto" w:fill="auto"/>
            <w:tcMar>
              <w:top w:w="0" w:type="dxa"/>
              <w:left w:w="108" w:type="dxa"/>
              <w:bottom w:w="0" w:type="dxa"/>
              <w:right w:w="108" w:type="dxa"/>
            </w:tcMar>
          </w:tcPr>
          <w:p w:rsidR="00EB57D6" w:rsidRPr="00EB57D6" w:rsidRDefault="00EB57D6" w:rsidP="00DB33D9">
            <w:pPr>
              <w:jc w:val="left"/>
              <w:rPr>
                <w:sz w:val="16"/>
              </w:rPr>
            </w:pPr>
            <w:r w:rsidRPr="00EB57D6">
              <w:rPr>
                <w:sz w:val="16"/>
              </w:rPr>
              <w:t>Application des méthodes modernes de biotechnologie et de génétique dans l’agriculture et l’examen des variétés</w:t>
            </w:r>
          </w:p>
        </w:tc>
        <w:tc>
          <w:tcPr>
            <w:tcW w:w="1843" w:type="dxa"/>
            <w:shd w:val="clear" w:color="auto" w:fill="auto"/>
            <w:tcMar>
              <w:top w:w="0" w:type="dxa"/>
              <w:left w:w="108" w:type="dxa"/>
              <w:bottom w:w="0" w:type="dxa"/>
              <w:right w:w="108" w:type="dxa"/>
            </w:tcMar>
          </w:tcPr>
          <w:p w:rsidR="00EB57D6" w:rsidRPr="00EB57D6" w:rsidRDefault="00EB57D6" w:rsidP="00DB33D9">
            <w:pPr>
              <w:jc w:val="left"/>
              <w:rPr>
                <w:sz w:val="16"/>
              </w:rPr>
            </w:pPr>
            <w:r w:rsidRPr="00EB57D6">
              <w:rPr>
                <w:sz w:val="16"/>
              </w:rPr>
              <w:t>Ukraine</w:t>
            </w:r>
          </w:p>
          <w:p w:rsidR="00EB57D6" w:rsidRPr="00EB57D6" w:rsidRDefault="00EB57D6" w:rsidP="00DB33D9">
            <w:pPr>
              <w:jc w:val="left"/>
              <w:rPr>
                <w:sz w:val="16"/>
              </w:rPr>
            </w:pPr>
            <w:r w:rsidRPr="00EB57D6">
              <w:rPr>
                <w:sz w:val="16"/>
              </w:rPr>
              <w:t>(38 participants)</w:t>
            </w:r>
          </w:p>
        </w:tc>
        <w:tc>
          <w:tcPr>
            <w:tcW w:w="1275" w:type="dxa"/>
            <w:shd w:val="clear" w:color="auto" w:fill="auto"/>
            <w:tcMar>
              <w:top w:w="0" w:type="dxa"/>
              <w:left w:w="108" w:type="dxa"/>
              <w:bottom w:w="0" w:type="dxa"/>
              <w:right w:w="108" w:type="dxa"/>
            </w:tcMar>
          </w:tcPr>
          <w:p w:rsidR="00EB57D6" w:rsidRPr="00EB57D6" w:rsidRDefault="00EB57D6" w:rsidP="00DB33D9">
            <w:pPr>
              <w:jc w:val="left"/>
              <w:rPr>
                <w:sz w:val="16"/>
              </w:rPr>
            </w:pPr>
            <w:r w:rsidRPr="00EB57D6">
              <w:rPr>
                <w:sz w:val="16"/>
              </w:rPr>
              <w:t>les documents de la conférence ont été publiés</w:t>
            </w:r>
          </w:p>
        </w:tc>
      </w:tr>
      <w:tr w:rsidR="00EB57D6" w:rsidRPr="00EB57D6" w:rsidTr="00EB57D6">
        <w:trPr>
          <w:trHeight w:val="1488"/>
        </w:trPr>
        <w:tc>
          <w:tcPr>
            <w:tcW w:w="3006" w:type="dxa"/>
            <w:shd w:val="clear" w:color="auto" w:fill="auto"/>
            <w:tcMar>
              <w:top w:w="0" w:type="dxa"/>
              <w:left w:w="108" w:type="dxa"/>
              <w:bottom w:w="0" w:type="dxa"/>
              <w:right w:w="108" w:type="dxa"/>
            </w:tcMar>
          </w:tcPr>
          <w:p w:rsidR="00EB57D6" w:rsidRPr="00EB57D6" w:rsidRDefault="00EB57D6" w:rsidP="00DB33D9">
            <w:pPr>
              <w:jc w:val="left"/>
              <w:rPr>
                <w:sz w:val="16"/>
                <w:szCs w:val="16"/>
              </w:rPr>
            </w:pPr>
            <w:proofErr w:type="spellStart"/>
            <w:r w:rsidRPr="00EB57D6">
              <w:rPr>
                <w:sz w:val="16"/>
                <w:szCs w:val="16"/>
              </w:rPr>
              <w:lastRenderedPageBreak/>
              <w:t>X</w:t>
            </w:r>
            <w:r w:rsidRPr="00EB57D6">
              <w:rPr>
                <w:sz w:val="16"/>
                <w:szCs w:val="16"/>
                <w:vertAlign w:val="superscript"/>
              </w:rPr>
              <w:t>è</w:t>
            </w:r>
            <w:proofErr w:type="spellEnd"/>
            <w:r w:rsidRPr="00EB57D6">
              <w:rPr>
                <w:sz w:val="16"/>
                <w:szCs w:val="16"/>
              </w:rPr>
              <w:t> Symposium international de l’agriculture “AGROSYM 2019”</w:t>
            </w:r>
          </w:p>
          <w:p w:rsidR="00EB57D6" w:rsidRPr="00EB57D6" w:rsidRDefault="00867E38" w:rsidP="00DB33D9">
            <w:pPr>
              <w:jc w:val="left"/>
              <w:rPr>
                <w:rStyle w:val="Hyperlink"/>
              </w:rPr>
            </w:pPr>
            <w:hyperlink r:id="rId39" w:history="1">
              <w:r w:rsidR="00EB57D6" w:rsidRPr="00EB57D6">
                <w:rPr>
                  <w:rStyle w:val="Hyperlink"/>
                  <w:sz w:val="16"/>
                  <w:szCs w:val="16"/>
                </w:rPr>
                <w:t>http://agrosym.ues.rs.ba/index.php/en/</w:t>
              </w:r>
            </w:hyperlink>
          </w:p>
          <w:p w:rsidR="00EB57D6" w:rsidRPr="00EB57D6" w:rsidRDefault="00EB57D6" w:rsidP="00DB33D9">
            <w:pPr>
              <w:jc w:val="left"/>
              <w:rPr>
                <w:sz w:val="16"/>
                <w:szCs w:val="16"/>
              </w:rPr>
            </w:pPr>
          </w:p>
          <w:p w:rsidR="00EB57D6" w:rsidRPr="00EB57D6" w:rsidRDefault="00867E38" w:rsidP="00DB33D9">
            <w:pPr>
              <w:jc w:val="left"/>
              <w:rPr>
                <w:sz w:val="16"/>
                <w:szCs w:val="16"/>
              </w:rPr>
            </w:pPr>
            <w:hyperlink r:id="rId40" w:history="1">
              <w:r w:rsidR="00EB57D6" w:rsidRPr="00EB57D6">
                <w:rPr>
                  <w:rStyle w:val="Hyperlink"/>
                  <w:sz w:val="16"/>
                  <w:szCs w:val="16"/>
                </w:rPr>
                <w:t>http://agrosym.ues.rs.ba/agrosym/agrosym_2019/BOOK_OF_PROCEEDINGS_2019_FINAL.pdf</w:t>
              </w:r>
            </w:hyperlink>
          </w:p>
        </w:tc>
        <w:tc>
          <w:tcPr>
            <w:tcW w:w="1276" w:type="dxa"/>
            <w:shd w:val="clear" w:color="auto" w:fill="auto"/>
            <w:tcMar>
              <w:top w:w="0" w:type="dxa"/>
              <w:left w:w="108" w:type="dxa"/>
              <w:bottom w:w="0" w:type="dxa"/>
              <w:right w:w="108" w:type="dxa"/>
            </w:tcMar>
          </w:tcPr>
          <w:p w:rsidR="00EB57D6" w:rsidRPr="00EB57D6" w:rsidRDefault="00EB57D6" w:rsidP="00DB33D9">
            <w:pPr>
              <w:jc w:val="left"/>
              <w:rPr>
                <w:sz w:val="16"/>
              </w:rPr>
            </w:pPr>
            <w:r w:rsidRPr="00EB57D6">
              <w:rPr>
                <w:sz w:val="16"/>
              </w:rPr>
              <w:t>03-06.10.2019</w:t>
            </w:r>
          </w:p>
        </w:tc>
        <w:tc>
          <w:tcPr>
            <w:tcW w:w="1210" w:type="dxa"/>
            <w:shd w:val="clear" w:color="auto" w:fill="auto"/>
            <w:tcMar>
              <w:top w:w="0" w:type="dxa"/>
              <w:left w:w="108" w:type="dxa"/>
              <w:bottom w:w="0" w:type="dxa"/>
              <w:right w:w="108" w:type="dxa"/>
            </w:tcMar>
          </w:tcPr>
          <w:p w:rsidR="00EB57D6" w:rsidRPr="00EB57D6" w:rsidRDefault="00EB57D6" w:rsidP="00DB33D9">
            <w:pPr>
              <w:jc w:val="left"/>
              <w:rPr>
                <w:sz w:val="16"/>
              </w:rPr>
            </w:pPr>
            <w:proofErr w:type="spellStart"/>
            <w:r w:rsidRPr="00EB57D6">
              <w:rPr>
                <w:sz w:val="16"/>
              </w:rPr>
              <w:t>Jahorina</w:t>
            </w:r>
            <w:proofErr w:type="spellEnd"/>
            <w:r w:rsidRPr="00EB57D6">
              <w:rPr>
                <w:sz w:val="16"/>
              </w:rPr>
              <w:t xml:space="preserve"> (Bosnie-Herzégovine)</w:t>
            </w:r>
          </w:p>
        </w:tc>
        <w:tc>
          <w:tcPr>
            <w:tcW w:w="3118" w:type="dxa"/>
            <w:shd w:val="clear" w:color="auto" w:fill="auto"/>
            <w:tcMar>
              <w:top w:w="0" w:type="dxa"/>
              <w:left w:w="108" w:type="dxa"/>
              <w:bottom w:w="0" w:type="dxa"/>
              <w:right w:w="108" w:type="dxa"/>
            </w:tcMar>
          </w:tcPr>
          <w:p w:rsidR="00EB57D6" w:rsidRPr="00EB57D6" w:rsidRDefault="00EB57D6" w:rsidP="00DB33D9">
            <w:pPr>
              <w:jc w:val="left"/>
              <w:rPr>
                <w:sz w:val="16"/>
              </w:rPr>
            </w:pPr>
            <w:r w:rsidRPr="00EB57D6">
              <w:rPr>
                <w:sz w:val="16"/>
              </w:rPr>
              <w:t>Faculté d’agriculture de l’Université de Sarajevo Est (Bosnie-Herzégovine);</w:t>
            </w:r>
          </w:p>
          <w:p w:rsidR="00EB57D6" w:rsidRPr="00EB57D6" w:rsidRDefault="00EB57D6" w:rsidP="00DB33D9">
            <w:pPr>
              <w:jc w:val="left"/>
              <w:rPr>
                <w:sz w:val="16"/>
              </w:rPr>
            </w:pPr>
            <w:r w:rsidRPr="00EB57D6">
              <w:rPr>
                <w:sz w:val="16"/>
              </w:rPr>
              <w:t>Institut agronomique méditerranéen de Bari (Italie);</w:t>
            </w:r>
          </w:p>
          <w:p w:rsidR="00EB57D6" w:rsidRPr="00EB57D6" w:rsidRDefault="00EB57D6" w:rsidP="00DB33D9">
            <w:pPr>
              <w:jc w:val="left"/>
              <w:rPr>
                <w:sz w:val="16"/>
              </w:rPr>
            </w:pPr>
            <w:r w:rsidRPr="00EB57D6">
              <w:rPr>
                <w:sz w:val="16"/>
              </w:rPr>
              <w:t>Faculté d’agriculture, Université de Belgrade (Serbie);</w:t>
            </w:r>
          </w:p>
          <w:p w:rsidR="00EB57D6" w:rsidRPr="00EB57D6" w:rsidRDefault="00EB57D6" w:rsidP="00DB33D9">
            <w:pPr>
              <w:jc w:val="left"/>
              <w:rPr>
                <w:sz w:val="16"/>
              </w:rPr>
            </w:pPr>
            <w:r w:rsidRPr="00EB57D6">
              <w:rPr>
                <w:sz w:val="16"/>
              </w:rPr>
              <w:t>Partenaire :</w:t>
            </w:r>
          </w:p>
          <w:p w:rsidR="00EB57D6" w:rsidRPr="00EB57D6" w:rsidRDefault="00EB57D6" w:rsidP="00DB33D9">
            <w:pPr>
              <w:jc w:val="left"/>
              <w:rPr>
                <w:sz w:val="16"/>
              </w:rPr>
            </w:pPr>
            <w:r w:rsidRPr="00EB57D6">
              <w:rPr>
                <w:sz w:val="16"/>
              </w:rPr>
              <w:t>Institut ukrainien chargé de l’examen des obtentions végétales (Ukraine)</w:t>
            </w:r>
          </w:p>
        </w:tc>
        <w:tc>
          <w:tcPr>
            <w:tcW w:w="3261" w:type="dxa"/>
            <w:shd w:val="clear" w:color="auto" w:fill="auto"/>
            <w:tcMar>
              <w:top w:w="0" w:type="dxa"/>
              <w:left w:w="108" w:type="dxa"/>
              <w:bottom w:w="0" w:type="dxa"/>
              <w:right w:w="108" w:type="dxa"/>
            </w:tcMar>
          </w:tcPr>
          <w:p w:rsidR="00EB57D6" w:rsidRPr="00EB57D6" w:rsidRDefault="00EB57D6" w:rsidP="00DB33D9">
            <w:pPr>
              <w:jc w:val="left"/>
              <w:rPr>
                <w:sz w:val="16"/>
              </w:rPr>
            </w:pPr>
            <w:r w:rsidRPr="00EB57D6">
              <w:rPr>
                <w:sz w:val="16"/>
              </w:rPr>
              <w:t>Orientations actuelles en matière de développement de la science agricole dans le monde, questions d’actualité en matière de biotechnologie, création et essais sur les obtentions végétales</w:t>
            </w:r>
          </w:p>
        </w:tc>
        <w:tc>
          <w:tcPr>
            <w:tcW w:w="1843" w:type="dxa"/>
            <w:shd w:val="clear" w:color="auto" w:fill="auto"/>
            <w:tcMar>
              <w:top w:w="0" w:type="dxa"/>
              <w:left w:w="108" w:type="dxa"/>
              <w:bottom w:w="0" w:type="dxa"/>
              <w:right w:w="108" w:type="dxa"/>
            </w:tcMar>
          </w:tcPr>
          <w:p w:rsidR="00EB57D6" w:rsidRPr="00EB57D6" w:rsidRDefault="00EB57D6" w:rsidP="00DB33D9">
            <w:pPr>
              <w:jc w:val="left"/>
              <w:rPr>
                <w:sz w:val="16"/>
              </w:rPr>
            </w:pPr>
            <w:r w:rsidRPr="00EB57D6">
              <w:rPr>
                <w:sz w:val="16"/>
              </w:rPr>
              <w:t>De 80 pays</w:t>
            </w:r>
          </w:p>
          <w:p w:rsidR="00EB57D6" w:rsidRPr="00EB57D6" w:rsidRDefault="00EB57D6" w:rsidP="00DB33D9">
            <w:pPr>
              <w:jc w:val="left"/>
              <w:rPr>
                <w:sz w:val="16"/>
              </w:rPr>
            </w:pPr>
            <w:r w:rsidRPr="00EB57D6">
              <w:rPr>
                <w:sz w:val="16"/>
              </w:rPr>
              <w:t>(environ 1000 participants)</w:t>
            </w:r>
          </w:p>
        </w:tc>
        <w:tc>
          <w:tcPr>
            <w:tcW w:w="1275" w:type="dxa"/>
            <w:shd w:val="clear" w:color="auto" w:fill="auto"/>
            <w:tcMar>
              <w:top w:w="0" w:type="dxa"/>
              <w:left w:w="108" w:type="dxa"/>
              <w:bottom w:w="0" w:type="dxa"/>
              <w:right w:w="108" w:type="dxa"/>
            </w:tcMar>
          </w:tcPr>
          <w:p w:rsidR="00EB57D6" w:rsidRPr="00EB57D6" w:rsidRDefault="00EB57D6" w:rsidP="00DB33D9">
            <w:pPr>
              <w:jc w:val="left"/>
              <w:rPr>
                <w:sz w:val="16"/>
              </w:rPr>
            </w:pPr>
            <w:r w:rsidRPr="00EB57D6">
              <w:rPr>
                <w:sz w:val="16"/>
              </w:rPr>
              <w:t>les documents de la conférence ont été publiés</w:t>
            </w:r>
          </w:p>
        </w:tc>
      </w:tr>
    </w:tbl>
    <w:p w:rsidR="00EB57D6" w:rsidRPr="00EB57D6" w:rsidRDefault="00EB57D6" w:rsidP="00EB57D6">
      <w:pPr>
        <w:rPr>
          <w:sz w:val="18"/>
        </w:rPr>
      </w:pPr>
    </w:p>
    <w:p w:rsidR="00845D57" w:rsidRDefault="00845D57" w:rsidP="00845D57">
      <w:pPr>
        <w:jc w:val="left"/>
      </w:pPr>
    </w:p>
    <w:p w:rsidR="00EB57D6" w:rsidRPr="00EB57D6" w:rsidRDefault="00EB57D6" w:rsidP="00845D57">
      <w:pPr>
        <w:jc w:val="left"/>
      </w:pPr>
    </w:p>
    <w:p w:rsidR="00EB57D6" w:rsidRPr="00EB57D6" w:rsidRDefault="00EB57D6" w:rsidP="00845D57">
      <w:pPr>
        <w:jc w:val="left"/>
        <w:sectPr w:rsidR="00EB57D6" w:rsidRPr="00EB57D6" w:rsidSect="00EB57D6">
          <w:pgSz w:w="16840" w:h="11907" w:orient="landscape" w:code="9"/>
          <w:pgMar w:top="510" w:right="1134" w:bottom="1134" w:left="1134" w:header="510" w:footer="680" w:gutter="0"/>
          <w:cols w:space="720"/>
          <w:docGrid w:linePitch="272"/>
        </w:sectPr>
      </w:pPr>
    </w:p>
    <w:p w:rsidR="00D36011" w:rsidRPr="00BE70A2" w:rsidRDefault="00D36011" w:rsidP="00D36011">
      <w:pPr>
        <w:rPr>
          <w:sz w:val="18"/>
          <w:lang w:val="fr-CH"/>
        </w:rPr>
      </w:pPr>
      <w:r w:rsidRPr="00743BEC">
        <w:rPr>
          <w:lang w:val="fr-CH"/>
        </w:rPr>
        <w:lastRenderedPageBreak/>
        <w:t xml:space="preserve">II. </w:t>
      </w:r>
      <w:r>
        <w:rPr>
          <w:lang w:val="fr-CH"/>
        </w:rPr>
        <w:tab/>
      </w:r>
      <w:r w:rsidRPr="00743BEC">
        <w:rPr>
          <w:lang w:val="fr-CH"/>
        </w:rPr>
        <w:t>DOMAINES D</w:t>
      </w:r>
      <w:r>
        <w:rPr>
          <w:lang w:val="fr-CH"/>
        </w:rPr>
        <w:t>’</w:t>
      </w:r>
      <w:r w:rsidRPr="00743BEC">
        <w:rPr>
          <w:lang w:val="fr-CH"/>
        </w:rPr>
        <w:t>ACTIVITÉ CONNEXES PRÉSENTANT UN INTÉRÊT POUR L</w:t>
      </w:r>
      <w:r>
        <w:rPr>
          <w:lang w:val="fr-CH"/>
        </w:rPr>
        <w:t>’</w:t>
      </w:r>
      <w:r w:rsidRPr="00743BEC">
        <w:rPr>
          <w:lang w:val="fr-CH"/>
        </w:rPr>
        <w:t>UPOV</w:t>
      </w:r>
    </w:p>
    <w:p w:rsidR="00D36011" w:rsidRPr="00BE70A2" w:rsidRDefault="00D36011" w:rsidP="00D36011">
      <w:pPr>
        <w:rPr>
          <w:sz w:val="18"/>
          <w:lang w:val="fr-CH"/>
        </w:rPr>
      </w:pPr>
    </w:p>
    <w:p w:rsidR="00D36011" w:rsidRPr="00BE70A2" w:rsidRDefault="00D36011" w:rsidP="00D36011">
      <w:pPr>
        <w:rPr>
          <w:sz w:val="18"/>
          <w:lang w:val="fr-CH"/>
        </w:rPr>
      </w:pPr>
      <w:r w:rsidRPr="00743BEC">
        <w:rPr>
          <w:lang w:val="fr-CH"/>
        </w:rPr>
        <w:t>Les données statistiques concernant la protection des variétés végétales en Ukraine de 2001 à 2019 sont envoyées par courrier électronique à l</w:t>
      </w:r>
      <w:r>
        <w:rPr>
          <w:lang w:val="fr-CH"/>
        </w:rPr>
        <w:t>’</w:t>
      </w:r>
      <w:r w:rsidRPr="00743BEC">
        <w:rPr>
          <w:lang w:val="fr-CH"/>
        </w:rPr>
        <w:t xml:space="preserve">adresse </w:t>
      </w:r>
      <w:hyperlink r:id="rId41" w:history="1">
        <w:r w:rsidRPr="00FE160C">
          <w:rPr>
            <w:rStyle w:val="Hyperlink"/>
            <w:lang w:val="fr-CH"/>
          </w:rPr>
          <w:t>upov.mail@upov.int</w:t>
        </w:r>
      </w:hyperlink>
      <w:r w:rsidRPr="00743BEC">
        <w:rPr>
          <w:lang w:val="fr-CH"/>
        </w:rPr>
        <w:t xml:space="preserve"> avec le présent rapport.</w:t>
      </w:r>
    </w:p>
    <w:p w:rsidR="00D36011" w:rsidRPr="00EB57D6" w:rsidRDefault="00D36011" w:rsidP="00D36011">
      <w:pPr>
        <w:jc w:val="left"/>
      </w:pPr>
    </w:p>
    <w:p w:rsidR="00EB57D6" w:rsidRDefault="00EB57D6" w:rsidP="00845D57">
      <w:pPr>
        <w:jc w:val="left"/>
      </w:pPr>
    </w:p>
    <w:p w:rsidR="00D36011" w:rsidRPr="00EB57D6" w:rsidRDefault="00D36011" w:rsidP="00845D57">
      <w:pPr>
        <w:jc w:val="left"/>
      </w:pPr>
    </w:p>
    <w:p w:rsidR="00845D57" w:rsidRPr="00EB57D6" w:rsidRDefault="00845D57" w:rsidP="00845D57">
      <w:pPr>
        <w:jc w:val="right"/>
      </w:pPr>
      <w:r w:rsidRPr="00EB57D6">
        <w:t>[L’annexe XVII suit]</w:t>
      </w:r>
    </w:p>
    <w:p w:rsidR="00845D57" w:rsidRPr="00EB57D6" w:rsidRDefault="00845D57" w:rsidP="00845D57"/>
    <w:p w:rsidR="00845D57" w:rsidRPr="00EB57D6" w:rsidRDefault="00845D57" w:rsidP="00845D57">
      <w:pPr>
        <w:jc w:val="left"/>
        <w:sectPr w:rsidR="00845D57" w:rsidRPr="00EB57D6" w:rsidSect="00EB57D6">
          <w:pgSz w:w="11907" w:h="16840" w:code="9"/>
          <w:pgMar w:top="510" w:right="1134" w:bottom="1134" w:left="1134" w:header="510" w:footer="680" w:gutter="0"/>
          <w:cols w:space="720"/>
          <w:docGrid w:linePitch="272"/>
        </w:sectPr>
      </w:pPr>
    </w:p>
    <w:p w:rsidR="00845D57" w:rsidRPr="00EB57D6" w:rsidRDefault="00845D57" w:rsidP="00845D57">
      <w:pPr>
        <w:jc w:val="center"/>
      </w:pPr>
      <w:r w:rsidRPr="00EB57D6">
        <w:lastRenderedPageBreak/>
        <w:t>C/54/INF/4</w:t>
      </w:r>
    </w:p>
    <w:p w:rsidR="00845D57" w:rsidRPr="00EB57D6" w:rsidRDefault="00845D57" w:rsidP="00845D57">
      <w:pPr>
        <w:jc w:val="center"/>
      </w:pPr>
    </w:p>
    <w:p w:rsidR="00845D57" w:rsidRPr="00EB57D6" w:rsidRDefault="00845D57" w:rsidP="00845D57">
      <w:pPr>
        <w:jc w:val="center"/>
      </w:pPr>
      <w:r w:rsidRPr="00EB57D6">
        <w:t>ANNEXE XVII</w:t>
      </w:r>
    </w:p>
    <w:p w:rsidR="00845D57" w:rsidRPr="00EB57D6" w:rsidRDefault="00845D57" w:rsidP="00845D57">
      <w:pPr>
        <w:jc w:val="center"/>
      </w:pPr>
    </w:p>
    <w:p w:rsidR="00845D57" w:rsidRPr="00EB57D6" w:rsidRDefault="00845D57" w:rsidP="00845D57">
      <w:pPr>
        <w:jc w:val="center"/>
      </w:pPr>
    </w:p>
    <w:p w:rsidR="006C5CF8" w:rsidRPr="00BE70A2" w:rsidRDefault="006C5CF8" w:rsidP="006C5CF8">
      <w:pPr>
        <w:jc w:val="center"/>
        <w:rPr>
          <w:sz w:val="18"/>
          <w:lang w:val="fr-CH"/>
        </w:rPr>
      </w:pPr>
      <w:r w:rsidRPr="00743BEC">
        <w:rPr>
          <w:lang w:val="fr-CH"/>
        </w:rPr>
        <w:t>UNION EUROPÉENNE</w:t>
      </w:r>
      <w:r w:rsidRPr="00743BEC">
        <w:rPr>
          <w:rStyle w:val="EndnoteReference"/>
        </w:rPr>
        <w:endnoteReference w:id="2"/>
      </w:r>
    </w:p>
    <w:p w:rsidR="006C5CF8" w:rsidRPr="00E5735D" w:rsidRDefault="006C5CF8" w:rsidP="006C5CF8">
      <w:pPr>
        <w:shd w:val="clear" w:color="auto" w:fill="FFFFFF"/>
        <w:ind w:left="1134" w:right="1134"/>
        <w:jc w:val="center"/>
        <w:rPr>
          <w:rFonts w:cs="Arial"/>
        </w:rPr>
      </w:pPr>
      <w:r w:rsidRPr="00CD4BD6">
        <w:rPr>
          <w:rFonts w:cs="Arial"/>
        </w:rPr>
        <w:t>Période : juillet 2019 – juillet 2020</w:t>
      </w:r>
    </w:p>
    <w:p w:rsidR="006C5CF8" w:rsidRPr="00E5735D" w:rsidRDefault="006C5CF8" w:rsidP="006C5CF8">
      <w:pPr>
        <w:shd w:val="clear" w:color="auto" w:fill="FFFFFF"/>
        <w:ind w:left="1134" w:right="1134"/>
        <w:jc w:val="center"/>
        <w:rPr>
          <w:rFonts w:cs="Arial"/>
        </w:rPr>
      </w:pPr>
    </w:p>
    <w:p w:rsidR="006C5CF8" w:rsidRPr="00E5735D" w:rsidRDefault="006C5CF8" w:rsidP="006C5CF8">
      <w:pPr>
        <w:shd w:val="clear" w:color="auto" w:fill="FFFFFF"/>
        <w:jc w:val="center"/>
        <w:rPr>
          <w:rFonts w:cs="Arial"/>
        </w:rPr>
      </w:pPr>
      <w:r w:rsidRPr="00CD4BD6">
        <w:rPr>
          <w:rFonts w:cs="Arial"/>
        </w:rPr>
        <w:t xml:space="preserve">(Rapport établi par la Commission européenne en étroite collaboration avec </w:t>
      </w:r>
      <w:r>
        <w:rPr>
          <w:rFonts w:cs="Arial"/>
        </w:rPr>
        <w:br/>
      </w:r>
      <w:r w:rsidRPr="00CD4BD6">
        <w:rPr>
          <w:rFonts w:cs="Arial"/>
        </w:rPr>
        <w:t>l’Office communautaire des variétés végétales)</w:t>
      </w:r>
    </w:p>
    <w:p w:rsidR="006C5CF8" w:rsidRPr="00E5735D" w:rsidRDefault="006C5CF8" w:rsidP="006C5CF8">
      <w:pPr>
        <w:shd w:val="clear" w:color="auto" w:fill="FFFFFF"/>
        <w:jc w:val="center"/>
        <w:rPr>
          <w:rFonts w:cs="Arial"/>
        </w:rPr>
      </w:pPr>
    </w:p>
    <w:p w:rsidR="006C5CF8" w:rsidRPr="00E5735D" w:rsidRDefault="006C5CF8" w:rsidP="006C5CF8">
      <w:pPr>
        <w:shd w:val="clear" w:color="auto" w:fill="FFFFFF"/>
        <w:jc w:val="center"/>
        <w:rPr>
          <w:rFonts w:cs="Arial"/>
        </w:rPr>
      </w:pPr>
    </w:p>
    <w:p w:rsidR="006C5CF8" w:rsidRPr="00E5735D" w:rsidRDefault="006C5CF8" w:rsidP="006C5CF8">
      <w:r w:rsidRPr="00CD4BD6">
        <w:t>PROTECTION DES OBTENTIONS VÉGÉTALES</w:t>
      </w:r>
    </w:p>
    <w:p w:rsidR="006C5CF8" w:rsidRPr="00E5735D" w:rsidRDefault="006C5CF8" w:rsidP="006C5CF8">
      <w:pPr>
        <w:rPr>
          <w:rFonts w:cs="Arial"/>
        </w:rPr>
      </w:pPr>
    </w:p>
    <w:p w:rsidR="006C5CF8" w:rsidRPr="00E5735D" w:rsidRDefault="006C5CF8" w:rsidP="006C5CF8">
      <w:pPr>
        <w:rPr>
          <w:rFonts w:cs="Arial"/>
        </w:rPr>
      </w:pPr>
      <w:r>
        <w:rPr>
          <w:rFonts w:cs="Arial"/>
        </w:rPr>
        <w:t>1.</w:t>
      </w:r>
      <w:r w:rsidRPr="00CD4BD6">
        <w:rPr>
          <w:rFonts w:cs="Arial"/>
        </w:rPr>
        <w:tab/>
      </w:r>
      <w:r w:rsidRPr="00693EE2">
        <w:rPr>
          <w:rFonts w:cs="Arial"/>
          <w:u w:val="single"/>
        </w:rPr>
        <w:t>Législation</w:t>
      </w:r>
    </w:p>
    <w:p w:rsidR="006C5CF8" w:rsidRPr="00E5735D" w:rsidRDefault="006C5CF8" w:rsidP="006C5CF8">
      <w:pPr>
        <w:rPr>
          <w:rFonts w:cs="Arial"/>
        </w:rPr>
      </w:pPr>
    </w:p>
    <w:p w:rsidR="006C5CF8" w:rsidRPr="00693EE2" w:rsidRDefault="006C5CF8" w:rsidP="006C5CF8">
      <w:pPr>
        <w:rPr>
          <w:rFonts w:cs="Arial"/>
          <w:u w:val="single"/>
        </w:rPr>
      </w:pPr>
      <w:r w:rsidRPr="00693EE2">
        <w:rPr>
          <w:rFonts w:cs="Arial"/>
          <w:u w:val="single"/>
        </w:rPr>
        <w:t>1.0 Informations générales</w:t>
      </w:r>
      <w:r w:rsidRPr="00693EE2">
        <w:rPr>
          <w:rFonts w:cs="Arial"/>
        </w:rPr>
        <w:t> :</w:t>
      </w:r>
    </w:p>
    <w:p w:rsidR="006C5CF8" w:rsidRPr="00E5735D" w:rsidRDefault="006C5CF8" w:rsidP="006C5CF8">
      <w:pPr>
        <w:rPr>
          <w:rFonts w:cs="Arial"/>
        </w:rPr>
      </w:pPr>
    </w:p>
    <w:p w:rsidR="006C5CF8" w:rsidRPr="00E5735D" w:rsidRDefault="006C5CF8" w:rsidP="006C5CF8">
      <w:pPr>
        <w:rPr>
          <w:rFonts w:cs="Arial"/>
        </w:rPr>
      </w:pPr>
      <w:r>
        <w:rPr>
          <w:rFonts w:cs="Arial"/>
        </w:rPr>
        <w:t>Aucun élément nouveau</w:t>
      </w:r>
    </w:p>
    <w:p w:rsidR="006C5CF8" w:rsidRPr="00E5735D" w:rsidRDefault="006C5CF8" w:rsidP="006C5CF8">
      <w:pPr>
        <w:rPr>
          <w:rFonts w:cs="Arial"/>
        </w:rPr>
      </w:pPr>
    </w:p>
    <w:p w:rsidR="006C5CF8" w:rsidRPr="00E5735D" w:rsidRDefault="006C5CF8" w:rsidP="006C5CF8">
      <w:pPr>
        <w:rPr>
          <w:rFonts w:cs="Arial"/>
          <w:u w:val="single"/>
        </w:rPr>
      </w:pPr>
      <w:r>
        <w:rPr>
          <w:rFonts w:cs="Arial"/>
          <w:u w:val="single"/>
        </w:rPr>
        <w:t xml:space="preserve">1.1 </w:t>
      </w:r>
      <w:r w:rsidRPr="00CD4BD6">
        <w:rPr>
          <w:rFonts w:cs="Arial"/>
          <w:u w:val="single"/>
        </w:rPr>
        <w:t>Modifications de la loi et des textes d’application</w:t>
      </w:r>
    </w:p>
    <w:p w:rsidR="006C5CF8" w:rsidRPr="00E5735D" w:rsidRDefault="006C5CF8" w:rsidP="006C5CF8">
      <w:pPr>
        <w:rPr>
          <w:rFonts w:cs="Arial"/>
        </w:rPr>
      </w:pPr>
    </w:p>
    <w:p w:rsidR="006C5CF8" w:rsidRPr="00E5735D" w:rsidRDefault="006C5CF8" w:rsidP="006C5CF8">
      <w:pPr>
        <w:rPr>
          <w:rFonts w:cs="Arial"/>
        </w:rPr>
      </w:pPr>
      <w:r w:rsidRPr="00E5735D">
        <w:rPr>
          <w:rFonts w:cs="Arial"/>
          <w:color w:val="000000"/>
        </w:rPr>
        <w:t>Le règlement (CE) n° 1238/95 relatif aux taxes dues à l’OCVV a été modifié par le règlement d’exécution (UE) 2019/1978 de la commission du 26 novembre 2019.</w:t>
      </w:r>
      <w:r w:rsidRPr="00E5735D">
        <w:rPr>
          <w:color w:val="000000"/>
        </w:rPr>
        <w:t xml:space="preserve">  </w:t>
      </w:r>
      <w:r w:rsidRPr="00E5735D">
        <w:rPr>
          <w:rFonts w:cs="Arial"/>
          <w:color w:val="000000"/>
        </w:rPr>
        <w:t xml:space="preserve">La principale modification concerne l’augmentation de la taxe de demande, </w:t>
      </w:r>
      <w:r>
        <w:rPr>
          <w:rFonts w:cs="Arial"/>
          <w:color w:val="000000"/>
        </w:rPr>
        <w:t>passée</w:t>
      </w:r>
      <w:r w:rsidRPr="00E5735D">
        <w:rPr>
          <w:rFonts w:cs="Arial"/>
          <w:color w:val="000000"/>
        </w:rPr>
        <w:t xml:space="preserve"> à 800 euros, pour le traitement d’une demande introduite sur papier.</w:t>
      </w:r>
      <w:r w:rsidRPr="00E5735D">
        <w:rPr>
          <w:color w:val="000000"/>
        </w:rPr>
        <w:t xml:space="preserve">  </w:t>
      </w:r>
      <w:r w:rsidRPr="00E5735D">
        <w:rPr>
          <w:rFonts w:cs="Arial"/>
          <w:color w:val="000000"/>
        </w:rPr>
        <w:t>Ce règlement est entré en vigueur le 1</w:t>
      </w:r>
      <w:r w:rsidRPr="00E5735D">
        <w:rPr>
          <w:rFonts w:cs="Arial"/>
          <w:color w:val="000000"/>
          <w:vertAlign w:val="superscript"/>
        </w:rPr>
        <w:t>er</w:t>
      </w:r>
      <w:r w:rsidRPr="00E5735D">
        <w:rPr>
          <w:rFonts w:cs="Arial"/>
          <w:color w:val="000000"/>
        </w:rPr>
        <w:t> avril 2020.</w:t>
      </w:r>
      <w:r>
        <w:rPr>
          <w:rFonts w:cs="Arial"/>
          <w:color w:val="000000"/>
        </w:rPr>
        <w:t xml:space="preserve"> </w:t>
      </w:r>
    </w:p>
    <w:p w:rsidR="006C5CF8" w:rsidRPr="00E5735D" w:rsidRDefault="006C5CF8" w:rsidP="006C5CF8">
      <w:pPr>
        <w:rPr>
          <w:rFonts w:cs="Arial"/>
        </w:rPr>
      </w:pPr>
    </w:p>
    <w:p w:rsidR="006C5CF8" w:rsidRPr="00E5735D" w:rsidRDefault="006C5CF8" w:rsidP="006C5CF8">
      <w:pPr>
        <w:rPr>
          <w:rFonts w:cs="Arial"/>
          <w:u w:val="single"/>
        </w:rPr>
      </w:pPr>
      <w:r>
        <w:rPr>
          <w:rFonts w:cs="Arial"/>
          <w:u w:val="single"/>
        </w:rPr>
        <w:t xml:space="preserve">1.2 </w:t>
      </w:r>
      <w:r w:rsidRPr="00CD4BD6">
        <w:rPr>
          <w:rFonts w:cs="Arial"/>
          <w:u w:val="single"/>
        </w:rPr>
        <w:t>Jurisprudence</w:t>
      </w:r>
    </w:p>
    <w:p w:rsidR="006C5CF8" w:rsidRPr="00E5735D" w:rsidRDefault="006C5CF8" w:rsidP="006C5CF8">
      <w:pPr>
        <w:rPr>
          <w:rFonts w:cs="Arial"/>
        </w:rPr>
      </w:pPr>
    </w:p>
    <w:p w:rsidR="006C5CF8" w:rsidRPr="00E5735D" w:rsidRDefault="006C5CF8" w:rsidP="006C5CF8">
      <w:pPr>
        <w:rPr>
          <w:rFonts w:cs="Arial"/>
          <w:i/>
        </w:rPr>
      </w:pPr>
      <w:r w:rsidRPr="00E5735D">
        <w:rPr>
          <w:rFonts w:cs="Arial"/>
          <w:i/>
          <w:color w:val="000000"/>
        </w:rPr>
        <w:t>Arrêt du Tribunal du 24 septembre 2019 dans l’affaire T-112/18 “Cripps Pink”</w:t>
      </w:r>
    </w:p>
    <w:p w:rsidR="006C5CF8" w:rsidRPr="00E5735D" w:rsidRDefault="006C5CF8" w:rsidP="006C5CF8">
      <w:pPr>
        <w:rPr>
          <w:rFonts w:cs="Arial"/>
        </w:rPr>
      </w:pPr>
    </w:p>
    <w:p w:rsidR="006C5CF8" w:rsidRPr="00E5735D" w:rsidRDefault="006C5CF8" w:rsidP="006C5CF8">
      <w:pPr>
        <w:rPr>
          <w:rFonts w:cs="Arial"/>
        </w:rPr>
      </w:pPr>
      <w:r w:rsidRPr="00E5735D">
        <w:rPr>
          <w:rFonts w:cs="Arial"/>
          <w:color w:val="000000"/>
        </w:rPr>
        <w:t xml:space="preserve">Dans son arrêt du 24 septembre 2019, le Tribunal a rejeté dans son ensemble le recours formé par la partie requérante en donnant des indications </w:t>
      </w:r>
      <w:r>
        <w:rPr>
          <w:rFonts w:cs="Arial"/>
          <w:color w:val="000000"/>
        </w:rPr>
        <w:t>en ce qui concerne</w:t>
      </w:r>
      <w:r w:rsidRPr="00E5735D">
        <w:rPr>
          <w:rFonts w:cs="Arial"/>
          <w:color w:val="000000"/>
        </w:rPr>
        <w:t xml:space="preserve"> l’appréciation de la condition de nouveauté (au sens de l’article 10 du règlement de base), </w:t>
      </w:r>
      <w:r>
        <w:rPr>
          <w:rFonts w:cs="Arial"/>
          <w:color w:val="000000"/>
        </w:rPr>
        <w:t>ainsi que</w:t>
      </w:r>
      <w:r w:rsidRPr="00E5735D">
        <w:rPr>
          <w:rFonts w:cs="Arial"/>
          <w:color w:val="000000"/>
        </w:rPr>
        <w:t xml:space="preserve"> la présentation tardive des éléments de preuve.</w:t>
      </w:r>
    </w:p>
    <w:p w:rsidR="006C5CF8" w:rsidRPr="00E5735D" w:rsidRDefault="006C5CF8" w:rsidP="006C5CF8">
      <w:pPr>
        <w:rPr>
          <w:rFonts w:cs="Arial"/>
        </w:rPr>
      </w:pPr>
    </w:p>
    <w:p w:rsidR="006C5CF8" w:rsidRPr="00E5735D" w:rsidRDefault="006C5CF8" w:rsidP="006C5CF8">
      <w:pPr>
        <w:rPr>
          <w:rFonts w:cs="Arial"/>
        </w:rPr>
      </w:pPr>
      <w:r w:rsidRPr="00E5735D">
        <w:rPr>
          <w:rFonts w:cs="Arial"/>
          <w:color w:val="000000"/>
        </w:rPr>
        <w:t>Le Tribunal a établi que la chambre de recours avait fourni une interprétation correcte de l’article 116 du règlement de base sur les dispositions transitoires concernant la prolongation des périodes de grâce prévues à l’article 10 du règlement de base.</w:t>
      </w:r>
      <w:r w:rsidRPr="00E5735D">
        <w:rPr>
          <w:color w:val="000000"/>
        </w:rPr>
        <w:t xml:space="preserve">  </w:t>
      </w:r>
      <w:r w:rsidRPr="00E5735D">
        <w:rPr>
          <w:rFonts w:cs="Arial"/>
          <w:color w:val="000000"/>
        </w:rPr>
        <w:t>La demande de protection communautaire des obtentions végétales ayant été déposée dans la période d’une année suivant l’entrée en vigueur du règlement de base, deux périodes de grâce étaient applicables, à savoir, premièrement, une période de six ans avant l’entrée en vigueur du règlement de base pour les ventes et les cessions à l’intérieur du territoire de l’Union et, deuxièmement, une période de six ans avant l’introduction de la demande pour les ventes ou les cessions en dehors de ce territoire.</w:t>
      </w:r>
    </w:p>
    <w:p w:rsidR="006C5CF8" w:rsidRPr="00E5735D" w:rsidRDefault="006C5CF8" w:rsidP="006C5CF8">
      <w:pPr>
        <w:rPr>
          <w:rFonts w:cs="Arial"/>
        </w:rPr>
      </w:pPr>
    </w:p>
    <w:p w:rsidR="006C5CF8" w:rsidRPr="00E5735D" w:rsidRDefault="006C5CF8" w:rsidP="006C5CF8">
      <w:pPr>
        <w:rPr>
          <w:rFonts w:cs="Arial"/>
        </w:rPr>
      </w:pPr>
      <w:r w:rsidRPr="00E5735D">
        <w:rPr>
          <w:rFonts w:cs="Arial"/>
          <w:color w:val="000000"/>
        </w:rPr>
        <w:t>Le Tribunal a rejeté l’argument concernant l’absence de nouveauté de la variété “Cripps Pink” au motif que la partie requérante n’avait pas présenté de preuves que la variété avait été vendue ou cédée à des tiers, par l’obtenteur ou avec son consentement, aux fins de son exploitation commerciale.</w:t>
      </w:r>
      <w:r w:rsidRPr="00E5735D">
        <w:rPr>
          <w:color w:val="000000"/>
        </w:rPr>
        <w:t xml:space="preserve">  </w:t>
      </w:r>
      <w:r w:rsidRPr="00E5735D">
        <w:rPr>
          <w:rFonts w:cs="Arial"/>
          <w:color w:val="000000"/>
        </w:rPr>
        <w:t>Le Tribunal a estimé que les éléments fournis par la partie requérante ne permettaient pas de conclure qu’un acte “destructeur de nouveauté” avait eu lieu avant lesdites périodes de grâce.</w:t>
      </w:r>
    </w:p>
    <w:p w:rsidR="006C5CF8" w:rsidRPr="00E5735D" w:rsidRDefault="006C5CF8" w:rsidP="006C5CF8">
      <w:pPr>
        <w:rPr>
          <w:rFonts w:cs="Arial"/>
        </w:rPr>
      </w:pPr>
    </w:p>
    <w:p w:rsidR="006C5CF8" w:rsidRPr="00E5735D" w:rsidRDefault="006C5CF8" w:rsidP="006C5CF8">
      <w:pPr>
        <w:rPr>
          <w:rFonts w:cs="Arial"/>
          <w:i/>
        </w:rPr>
      </w:pPr>
      <w:r w:rsidRPr="00E5735D">
        <w:rPr>
          <w:rFonts w:cs="Arial"/>
          <w:i/>
          <w:color w:val="000000"/>
        </w:rPr>
        <w:t>Ordonnance du Tribunal du 13 mars 2020 dans l’affaire T-278/19 “M 02205”</w:t>
      </w:r>
    </w:p>
    <w:p w:rsidR="006C5CF8" w:rsidRPr="00E5735D" w:rsidRDefault="006C5CF8" w:rsidP="006C5CF8">
      <w:pPr>
        <w:rPr>
          <w:rFonts w:cs="Arial"/>
        </w:rPr>
      </w:pPr>
    </w:p>
    <w:p w:rsidR="006C5CF8" w:rsidRPr="00E5735D" w:rsidRDefault="006C5CF8" w:rsidP="006C5CF8">
      <w:pPr>
        <w:rPr>
          <w:rFonts w:cs="Arial"/>
        </w:rPr>
      </w:pPr>
      <w:r w:rsidRPr="00E5735D">
        <w:rPr>
          <w:rFonts w:cs="Arial"/>
          <w:color w:val="000000"/>
        </w:rPr>
        <w:t>Dans son ordonnance rendue le 13 mars 2020, le Tribunal a rejeté le recours formé par la partie requérante et a condamné chaque partie à supporter ses propres dépens.</w:t>
      </w:r>
      <w:r w:rsidRPr="00E5735D">
        <w:rPr>
          <w:color w:val="000000"/>
        </w:rPr>
        <w:t xml:space="preserve">  </w:t>
      </w:r>
      <w:r w:rsidRPr="00E5735D">
        <w:rPr>
          <w:rFonts w:cs="Arial"/>
          <w:color w:val="000000"/>
        </w:rPr>
        <w:t xml:space="preserve">En substance, la partie requérante a demandé </w:t>
      </w:r>
      <w:r>
        <w:rPr>
          <w:rFonts w:cs="Arial"/>
          <w:color w:val="000000"/>
        </w:rPr>
        <w:t>que soit déclaré</w:t>
      </w:r>
      <w:r w:rsidRPr="00E5735D">
        <w:rPr>
          <w:rFonts w:cs="Arial"/>
          <w:color w:val="000000"/>
        </w:rPr>
        <w:t xml:space="preserve"> nul et non avenu l’octroi de la protection communautaire des obtentions végétales pour la variété contestée, faisant valoir que selon l’article 72 du règlement </w:t>
      </w:r>
      <w:r>
        <w:rPr>
          <w:rFonts w:cs="Arial"/>
          <w:color w:val="000000"/>
        </w:rPr>
        <w:t>de base</w:t>
      </w:r>
      <w:r w:rsidRPr="00E5735D">
        <w:rPr>
          <w:rFonts w:cs="Arial"/>
          <w:color w:val="000000"/>
        </w:rPr>
        <w:t>, la chambre de recours était compétente pour déclarer nul et non avenu l’octroi de la protection communautaire des obtentions végétales pour cette variété et qu’elle considérait que celle-ci n’avait pas exercé sa compétence en renvoyant l’affaire au service compétent de l’OCVV.</w:t>
      </w:r>
      <w:r w:rsidRPr="00E5735D">
        <w:rPr>
          <w:color w:val="000000"/>
        </w:rPr>
        <w:t xml:space="preserve">  </w:t>
      </w:r>
      <w:r w:rsidRPr="00E5735D">
        <w:rPr>
          <w:rFonts w:cs="Arial"/>
          <w:color w:val="000000"/>
        </w:rPr>
        <w:t>Par conséquent, la chambre de recours aurait pu statuer sur la demande en nullité, étant donné qu’il ne subsistait pas de questions techniques à trancher.</w:t>
      </w:r>
    </w:p>
    <w:p w:rsidR="006C5CF8" w:rsidRPr="00E5735D" w:rsidRDefault="006C5CF8" w:rsidP="006C5CF8">
      <w:pPr>
        <w:rPr>
          <w:rFonts w:cs="Arial"/>
        </w:rPr>
      </w:pPr>
    </w:p>
    <w:p w:rsidR="006C5CF8" w:rsidRPr="00E5735D" w:rsidRDefault="006C5CF8" w:rsidP="006C5CF8">
      <w:pPr>
        <w:rPr>
          <w:rFonts w:cs="Arial"/>
        </w:rPr>
      </w:pPr>
      <w:r w:rsidRPr="00E5735D">
        <w:rPr>
          <w:rFonts w:cs="Arial"/>
          <w:color w:val="000000"/>
        </w:rPr>
        <w:t>Le Tribunal a rappelé que la chambre de recours disposait d’un large pouvoir d’appréciation et a déclaré que le renvoi de l’affaire au service compétent de l’OCVV s’inscrivait dans le pouvoir d’appréciation dont elle disposait en vertu de l’article 72 du règlement de base.</w:t>
      </w:r>
      <w:r w:rsidRPr="00E5735D">
        <w:rPr>
          <w:color w:val="000000"/>
        </w:rPr>
        <w:t xml:space="preserve">  </w:t>
      </w:r>
      <w:r w:rsidRPr="00E5735D">
        <w:rPr>
          <w:rFonts w:cs="Arial"/>
          <w:color w:val="000000"/>
        </w:rPr>
        <w:t xml:space="preserve">En outre, </w:t>
      </w:r>
      <w:r>
        <w:rPr>
          <w:rFonts w:cs="Arial"/>
          <w:color w:val="000000"/>
        </w:rPr>
        <w:t>il</w:t>
      </w:r>
      <w:r w:rsidRPr="00E5735D">
        <w:rPr>
          <w:rFonts w:cs="Arial"/>
          <w:color w:val="000000"/>
        </w:rPr>
        <w:t xml:space="preserve"> a fait observer que, contrairement à ce que soutenait la partie requérante, il subsistait des questions techniques à trancher.</w:t>
      </w:r>
    </w:p>
    <w:p w:rsidR="006C5CF8" w:rsidRPr="00E5735D" w:rsidRDefault="006C5CF8" w:rsidP="006C5CF8">
      <w:pPr>
        <w:rPr>
          <w:rFonts w:cs="Arial"/>
        </w:rPr>
      </w:pPr>
    </w:p>
    <w:p w:rsidR="006C5CF8" w:rsidRPr="00E5735D" w:rsidRDefault="006C5CF8" w:rsidP="006C5CF8">
      <w:pPr>
        <w:rPr>
          <w:rFonts w:cs="Arial"/>
        </w:rPr>
      </w:pPr>
      <w:r w:rsidRPr="00E5735D">
        <w:rPr>
          <w:rFonts w:cs="Arial"/>
          <w:color w:val="000000"/>
        </w:rPr>
        <w:lastRenderedPageBreak/>
        <w:t>De plus, selon le Tribunal, la chambre de recours avait considéré à bon droit que le comité auquel elle renvoyait l’affaire devait examiner si le caractère “couleur du limbe” était pertinent ou non pour distinguer la variété en cause de toute autre variété.</w:t>
      </w:r>
      <w:r w:rsidRPr="00E5735D">
        <w:rPr>
          <w:color w:val="000000"/>
        </w:rPr>
        <w:t xml:space="preserve">  </w:t>
      </w:r>
      <w:r w:rsidRPr="00E5735D">
        <w:rPr>
          <w:rFonts w:cs="Arial"/>
          <w:color w:val="000000"/>
        </w:rPr>
        <w:t>À cette fin, compte tenu de l’arrêt T-140/15 (à savoir la première décision du Tribunal qui renvoyait l’affaire à la chambre de recours), la chambre de recours a exigé à juste titre du comité compétent qu’il effectue un examen et une analyse complets pour vérifier l’exactitude des notes relatives au caractère “couleur du limbe” (c’est-à-dire le caractère en cause) et qu’il examine si ce caractère était suffisamment stable et fiable pour être pris en compte afin de déterminer si la variété en cause était susceptible d’être qualifiée de “nettement distincte” de toute autre variété notoirement connue.</w:t>
      </w:r>
    </w:p>
    <w:p w:rsidR="006C5CF8" w:rsidRPr="00E5735D" w:rsidRDefault="006C5CF8" w:rsidP="006C5CF8">
      <w:pPr>
        <w:rPr>
          <w:rFonts w:cs="Arial"/>
        </w:rPr>
      </w:pPr>
    </w:p>
    <w:p w:rsidR="006C5CF8" w:rsidRPr="00E5735D" w:rsidRDefault="006C5CF8" w:rsidP="006C5CF8">
      <w:pPr>
        <w:rPr>
          <w:rFonts w:cs="Arial"/>
          <w:i/>
        </w:rPr>
      </w:pPr>
      <w:r w:rsidRPr="00E5735D">
        <w:rPr>
          <w:rFonts w:cs="Arial"/>
          <w:i/>
          <w:color w:val="000000"/>
        </w:rPr>
        <w:t>Arrêt du Tribunal du 25 juin 2020 dans l’affaire T-737/18 “</w:t>
      </w:r>
      <w:proofErr w:type="spellStart"/>
      <w:r w:rsidRPr="00E5735D">
        <w:rPr>
          <w:rFonts w:cs="Arial"/>
          <w:i/>
          <w:color w:val="000000"/>
        </w:rPr>
        <w:t>Siberia</w:t>
      </w:r>
      <w:proofErr w:type="spellEnd"/>
      <w:r w:rsidRPr="00E5735D">
        <w:rPr>
          <w:rFonts w:cs="Arial"/>
          <w:i/>
          <w:color w:val="000000"/>
        </w:rPr>
        <w:t>”</w:t>
      </w:r>
    </w:p>
    <w:p w:rsidR="006C5CF8" w:rsidRPr="00E5735D" w:rsidRDefault="006C5CF8" w:rsidP="006C5CF8">
      <w:pPr>
        <w:rPr>
          <w:rFonts w:cs="Arial"/>
        </w:rPr>
      </w:pPr>
    </w:p>
    <w:p w:rsidR="006C5CF8" w:rsidRPr="00E5735D" w:rsidRDefault="006C5CF8" w:rsidP="006C5CF8">
      <w:pPr>
        <w:rPr>
          <w:rFonts w:cs="Arial"/>
        </w:rPr>
      </w:pPr>
      <w:r w:rsidRPr="00E5735D">
        <w:rPr>
          <w:rFonts w:cs="Arial"/>
          <w:color w:val="000000"/>
        </w:rPr>
        <w:t>Dans son arrêt du 25 juin 2020, le Tribunal a rejeté le recours formé par la partie requérante contre la décision de ne pas modifier la date d’expiration de la protection communautaire des obtentions végétales pour la variété “</w:t>
      </w:r>
      <w:proofErr w:type="spellStart"/>
      <w:r w:rsidRPr="00E5735D">
        <w:rPr>
          <w:rFonts w:cs="Arial"/>
          <w:color w:val="000000"/>
        </w:rPr>
        <w:t>Siberia</w:t>
      </w:r>
      <w:proofErr w:type="spellEnd"/>
      <w:r w:rsidRPr="00E5735D">
        <w:rPr>
          <w:rFonts w:cs="Arial"/>
          <w:color w:val="000000"/>
        </w:rPr>
        <w:t>”.</w:t>
      </w:r>
    </w:p>
    <w:p w:rsidR="006C5CF8" w:rsidRPr="00E5735D" w:rsidRDefault="006C5CF8" w:rsidP="006C5CF8">
      <w:pPr>
        <w:rPr>
          <w:rFonts w:cs="Arial"/>
        </w:rPr>
      </w:pPr>
    </w:p>
    <w:p w:rsidR="006C5CF8" w:rsidRPr="00E5735D" w:rsidRDefault="006C5CF8" w:rsidP="006C5CF8">
      <w:pPr>
        <w:rPr>
          <w:rFonts w:cs="Arial"/>
        </w:rPr>
      </w:pPr>
      <w:r w:rsidRPr="00E5735D">
        <w:rPr>
          <w:rFonts w:cs="Arial"/>
          <w:color w:val="000000"/>
        </w:rPr>
        <w:t>En substance, le Tribunal a déclaré, en premier lieu, que la décision de l’OCVV par laquelle celui-ci rejetait la demande de modification de la date d’expiration de la protection communautaire des obtentions végétales inscrite au registre pour la variété “</w:t>
      </w:r>
      <w:proofErr w:type="spellStart"/>
      <w:r w:rsidRPr="00E5735D">
        <w:rPr>
          <w:rFonts w:cs="Arial"/>
          <w:color w:val="000000"/>
        </w:rPr>
        <w:t>Siberia</w:t>
      </w:r>
      <w:proofErr w:type="spellEnd"/>
      <w:r w:rsidRPr="00E5735D">
        <w:rPr>
          <w:rFonts w:cs="Arial"/>
          <w:color w:val="000000"/>
        </w:rPr>
        <w:t>” n’était pas visée par les articles 67.1) et 87.2) du règlement de base concernant les décisions susceptibles de recours.</w:t>
      </w:r>
      <w:r w:rsidRPr="00E5735D">
        <w:rPr>
          <w:color w:val="000000"/>
        </w:rPr>
        <w:t xml:space="preserve">  </w:t>
      </w:r>
      <w:r w:rsidRPr="00E5735D">
        <w:rPr>
          <w:rFonts w:cs="Arial"/>
          <w:color w:val="000000"/>
        </w:rPr>
        <w:t>En outre, il a également déclaré que la partie requérante n’avait pas formé de recours contre la décision du 2 août 1996 fixant la date d’expiration de la protection communautaire des obtentions végétales pour la variété “</w:t>
      </w:r>
      <w:proofErr w:type="spellStart"/>
      <w:r w:rsidRPr="00E5735D">
        <w:rPr>
          <w:rFonts w:cs="Arial"/>
          <w:color w:val="000000"/>
        </w:rPr>
        <w:t>Siberia</w:t>
      </w:r>
      <w:proofErr w:type="spellEnd"/>
      <w:r w:rsidRPr="00E5735D">
        <w:rPr>
          <w:rFonts w:cs="Arial"/>
          <w:color w:val="000000"/>
        </w:rPr>
        <w:t>” au 1</w:t>
      </w:r>
      <w:r w:rsidRPr="00E5735D">
        <w:rPr>
          <w:rFonts w:cs="Arial"/>
          <w:color w:val="000000"/>
          <w:vertAlign w:val="superscript"/>
        </w:rPr>
        <w:t>er</w:t>
      </w:r>
      <w:r w:rsidRPr="00E5735D">
        <w:rPr>
          <w:rFonts w:cs="Arial"/>
          <w:color w:val="000000"/>
        </w:rPr>
        <w:t> février 2018 et que cette décision était donc devenue définitive.</w:t>
      </w:r>
      <w:r w:rsidRPr="00E5735D">
        <w:rPr>
          <w:color w:val="000000"/>
        </w:rPr>
        <w:t xml:space="preserve">  </w:t>
      </w:r>
      <w:r w:rsidRPr="00E5735D">
        <w:rPr>
          <w:rFonts w:cs="Arial"/>
        </w:rPr>
        <w:t>À cet égard, le Tribunal a aussi déclaré qu’il ne saurait être permis à la partie requérante de rouvrir le délai de recours en soutenant que sa demande de rectification relève de l’inscription ou de la suppression de données dans le registre conformément à l’article 87 du règlement de base, car cela aurait pour conséquence de porter atteinte au caractère définitif de la décision d’octroi.  En outre, la partie requérante n’avait pas fait valoir l’existence de faits nouveaux substantiels qui puissent appuyer sa demande.</w:t>
      </w:r>
    </w:p>
    <w:p w:rsidR="006C5CF8" w:rsidRPr="00E5735D" w:rsidRDefault="006C5CF8" w:rsidP="006C5CF8">
      <w:pPr>
        <w:rPr>
          <w:rFonts w:cs="Arial"/>
        </w:rPr>
      </w:pPr>
    </w:p>
    <w:p w:rsidR="006C5CF8" w:rsidRPr="00E5735D" w:rsidRDefault="006C5CF8" w:rsidP="006C5CF8">
      <w:pPr>
        <w:rPr>
          <w:rFonts w:cs="Arial"/>
        </w:rPr>
      </w:pPr>
      <w:r w:rsidRPr="00E5735D">
        <w:rPr>
          <w:rFonts w:cs="Arial"/>
          <w:color w:val="000000"/>
        </w:rPr>
        <w:t xml:space="preserve">En ce qui concerne la supposée violation de l’article 53, paragraphe 4, du règlement (CE) n° 874/2009 de la Commission, du 17 septembre 2009, établissant les modalités d’application du règlement n° 2100/94 du Conseil en ce qui concerne la procédure devant l’OCVV, le Tribunal a déclaré que, par respect du </w:t>
      </w:r>
      <w:r>
        <w:rPr>
          <w:rFonts w:cs="Arial"/>
          <w:color w:val="000000"/>
        </w:rPr>
        <w:t xml:space="preserve">principe de </w:t>
      </w:r>
      <w:r w:rsidRPr="00E5735D">
        <w:rPr>
          <w:rFonts w:cs="Arial"/>
          <w:color w:val="000000"/>
        </w:rPr>
        <w:t>sécurité juridique, la règle permettant d’apporter, à titre exceptionnel, des rectifications à des erreurs manifestes était d’interprétation stricte.  Par conséquent, une telle modification de la date d’expiration de la protection communautaire des obtentions végétales affecterait la portée et la substance de la décision d’octroi et ne saurait donc pas être considérée comme une demande de rectification d’une erreur linguistique, d’une faute de transcription ou d’une erreur manifeste au sens de l’article 53, paragraphe 4, du règlement n° 874/2009.</w:t>
      </w:r>
    </w:p>
    <w:p w:rsidR="006C5CF8" w:rsidRPr="00E5735D" w:rsidRDefault="006C5CF8" w:rsidP="006C5CF8">
      <w:pPr>
        <w:rPr>
          <w:rFonts w:cs="Arial"/>
        </w:rPr>
      </w:pPr>
    </w:p>
    <w:p w:rsidR="006C5CF8" w:rsidRPr="00E5735D" w:rsidRDefault="006C5CF8" w:rsidP="006C5CF8">
      <w:pPr>
        <w:rPr>
          <w:rFonts w:cs="Arial"/>
        </w:rPr>
      </w:pPr>
    </w:p>
    <w:p w:rsidR="006C5CF8" w:rsidRPr="00E5735D" w:rsidRDefault="006C5CF8" w:rsidP="006C5CF8">
      <w:pPr>
        <w:rPr>
          <w:rFonts w:cs="Arial"/>
          <w:i/>
        </w:rPr>
      </w:pPr>
      <w:r w:rsidRPr="00E5735D">
        <w:rPr>
          <w:rFonts w:cs="Arial"/>
          <w:i/>
          <w:color w:val="000000"/>
        </w:rPr>
        <w:t>Décisions préjudicielles</w:t>
      </w:r>
    </w:p>
    <w:p w:rsidR="006C5CF8" w:rsidRPr="00E5735D" w:rsidRDefault="006C5CF8" w:rsidP="006C5CF8">
      <w:pPr>
        <w:rPr>
          <w:rFonts w:cs="Arial"/>
        </w:rPr>
      </w:pPr>
    </w:p>
    <w:p w:rsidR="006C5CF8" w:rsidRPr="00E5735D" w:rsidRDefault="006C5CF8" w:rsidP="006C5CF8">
      <w:pPr>
        <w:rPr>
          <w:rFonts w:cs="Arial"/>
          <w:i/>
        </w:rPr>
      </w:pPr>
      <w:r w:rsidRPr="00E5735D">
        <w:rPr>
          <w:rFonts w:cs="Arial"/>
          <w:i/>
          <w:color w:val="000000"/>
        </w:rPr>
        <w:t>Arrêt de la Cour du 17 octobre 2019 dans l’affaire C-239/18, ayant pour objet une demande de décision préjudicielle au titre de l’article 267 TFUE</w:t>
      </w:r>
    </w:p>
    <w:p w:rsidR="006C5CF8" w:rsidRPr="00E5735D" w:rsidRDefault="006C5CF8" w:rsidP="006C5CF8">
      <w:pPr>
        <w:rPr>
          <w:rFonts w:cs="Arial"/>
        </w:rPr>
      </w:pPr>
    </w:p>
    <w:p w:rsidR="006C5CF8" w:rsidRPr="00E5735D" w:rsidRDefault="006C5CF8" w:rsidP="006C5CF8">
      <w:pPr>
        <w:rPr>
          <w:rFonts w:cs="Arial"/>
        </w:rPr>
      </w:pPr>
      <w:r w:rsidRPr="00E5735D">
        <w:rPr>
          <w:rFonts w:cs="Arial"/>
          <w:color w:val="000000"/>
        </w:rPr>
        <w:t>Dans cette décision préjudicielle, la juridiction de renvoi a demandé à la Cour si l’article 11, paragraphe 1, du règlement n° 1768/95 (établissant les modalités d’application de la dérogation à la protection communautaire des obtentions végétales) conférait envers des organismes officiels un droit à l’information se cantonnant à des informations relatives à des espèces végétales sans que la demande d’information sollicite également des informations sur une variété protégée.</w:t>
      </w:r>
    </w:p>
    <w:p w:rsidR="006C5CF8" w:rsidRPr="00E5735D" w:rsidRDefault="006C5CF8" w:rsidP="006C5CF8">
      <w:pPr>
        <w:rPr>
          <w:rFonts w:cs="Arial"/>
        </w:rPr>
      </w:pPr>
    </w:p>
    <w:p w:rsidR="006C5CF8" w:rsidRPr="00E5735D" w:rsidRDefault="006C5CF8" w:rsidP="006C5CF8">
      <w:pPr>
        <w:rPr>
          <w:rFonts w:cs="Arial"/>
        </w:rPr>
      </w:pPr>
      <w:r w:rsidRPr="00E5735D">
        <w:rPr>
          <w:rFonts w:cs="Arial"/>
          <w:color w:val="000000"/>
        </w:rPr>
        <w:t>L’article 14 du règlement de base prévoit que les agriculteurs sont autorisés à utiliser, à des fins de multiplication en plein air dans leur propre exploitation, le produit de la récolte obtenu par la mise en culture, dans leur propre exploitation, de matériel de multiplication d’une variété protégée.</w:t>
      </w:r>
      <w:r w:rsidRPr="00E5735D">
        <w:rPr>
          <w:color w:val="000000"/>
        </w:rPr>
        <w:t xml:space="preserve">  </w:t>
      </w:r>
      <w:r w:rsidRPr="00E5735D">
        <w:rPr>
          <w:rFonts w:cs="Arial"/>
          <w:color w:val="000000"/>
        </w:rPr>
        <w:t>Les agriculteurs sont tenus de payer au titulaire du droit une rémunération équitable (qui doit être sensiblement inférieure au montant perçu à titre de redevance).</w:t>
      </w:r>
      <w:r w:rsidRPr="00E5735D">
        <w:rPr>
          <w:color w:val="000000"/>
        </w:rPr>
        <w:t xml:space="preserve">  </w:t>
      </w:r>
      <w:r w:rsidRPr="00E5735D">
        <w:rPr>
          <w:rFonts w:cs="Arial"/>
          <w:color w:val="000000"/>
        </w:rPr>
        <w:t>Les petits agriculteurs sont exemptés de cette obligation.</w:t>
      </w:r>
    </w:p>
    <w:p w:rsidR="006C5CF8" w:rsidRPr="00E5735D" w:rsidRDefault="006C5CF8" w:rsidP="006C5CF8">
      <w:pPr>
        <w:rPr>
          <w:rFonts w:cs="Arial"/>
        </w:rPr>
      </w:pPr>
    </w:p>
    <w:p w:rsidR="006C5CF8" w:rsidRPr="00E5735D" w:rsidRDefault="006C5CF8" w:rsidP="006C5CF8">
      <w:pPr>
        <w:rPr>
          <w:rFonts w:cs="Arial"/>
        </w:rPr>
      </w:pPr>
      <w:r w:rsidRPr="00E5735D">
        <w:rPr>
          <w:rFonts w:cs="Arial"/>
          <w:color w:val="000000"/>
        </w:rPr>
        <w:t xml:space="preserve">La Cour a fait observer que, selon l’article 11 du règlement n° 1768/1995, le titulaire d’une protection communautaire des obtentions végétales a le droit de demander à un organisme officiel des informations relatives à l’utilisation réelle de la variété </w:t>
      </w:r>
      <w:r>
        <w:rPr>
          <w:rFonts w:cs="Arial"/>
          <w:color w:val="000000"/>
        </w:rPr>
        <w:t>protégée</w:t>
      </w:r>
      <w:r w:rsidRPr="00E5735D">
        <w:rPr>
          <w:rFonts w:cs="Arial"/>
          <w:color w:val="000000"/>
        </w:rPr>
        <w:t>.</w:t>
      </w:r>
      <w:r w:rsidRPr="00E5735D">
        <w:rPr>
          <w:color w:val="000000"/>
        </w:rPr>
        <w:t xml:space="preserve">  </w:t>
      </w:r>
      <w:r w:rsidRPr="00E5735D">
        <w:rPr>
          <w:rFonts w:cs="Arial"/>
          <w:color w:val="000000"/>
        </w:rPr>
        <w:t>Ce droit à l’information dont dispose le titulaire vise à assurer le respect par les agriculteurs de leur obligation de lui payer une rémunération équitable.</w:t>
      </w:r>
      <w:r w:rsidRPr="00E5735D">
        <w:rPr>
          <w:color w:val="000000"/>
        </w:rPr>
        <w:t xml:space="preserve">  </w:t>
      </w:r>
      <w:r w:rsidRPr="00E5735D">
        <w:rPr>
          <w:rFonts w:cs="Arial"/>
          <w:color w:val="000000"/>
        </w:rPr>
        <w:t>La Cour a indiqué en conclusion que l’article 11, paragraphe 1, du règlement n° 1768/1995 devait être interprété comme s’appliquant uniquement aux demandes d’informations adressées aux organismes officiels précisant la variété protégée pour laquelle les informations sont demandées.</w:t>
      </w:r>
    </w:p>
    <w:p w:rsidR="006C5CF8" w:rsidRPr="00E5735D" w:rsidRDefault="006C5CF8" w:rsidP="00867E38">
      <w:pPr>
        <w:keepNext/>
        <w:rPr>
          <w:rFonts w:cs="Arial"/>
          <w:i/>
        </w:rPr>
      </w:pPr>
      <w:r w:rsidRPr="00E5735D">
        <w:rPr>
          <w:rFonts w:cs="Arial"/>
          <w:i/>
        </w:rPr>
        <w:lastRenderedPageBreak/>
        <w:t>Arrêt de la Cour du 19 décembre 2019 dans l’affaire C-176/18, ayant pour objet une demande de décision préjudicielle au titre de l’article 267 TFUE</w:t>
      </w:r>
    </w:p>
    <w:p w:rsidR="006C5CF8" w:rsidRPr="00E5735D" w:rsidRDefault="006C5CF8" w:rsidP="00867E38">
      <w:pPr>
        <w:keepNext/>
        <w:rPr>
          <w:rFonts w:cs="Arial"/>
        </w:rPr>
      </w:pPr>
    </w:p>
    <w:p w:rsidR="006C5CF8" w:rsidRPr="00E5735D" w:rsidRDefault="006C5CF8" w:rsidP="006C5CF8">
      <w:pPr>
        <w:rPr>
          <w:rFonts w:cs="Arial"/>
        </w:rPr>
      </w:pPr>
      <w:r w:rsidRPr="00E5735D">
        <w:rPr>
          <w:rFonts w:cs="Arial"/>
          <w:color w:val="000000"/>
        </w:rPr>
        <w:t xml:space="preserve">Dans sa décision préjudicielle du 19 décembre 2019, la Cour a précisé l’étendue de la protection communautaire des obtentions végétales, à savoir la mesure dans laquelle les actes portant sur le matériel de récolte de variétés protégées constituent une </w:t>
      </w:r>
      <w:r>
        <w:rPr>
          <w:rFonts w:cs="Arial"/>
          <w:color w:val="000000"/>
        </w:rPr>
        <w:t>contrefaçon</w:t>
      </w:r>
      <w:r w:rsidRPr="00E5735D">
        <w:rPr>
          <w:rFonts w:cs="Arial"/>
          <w:color w:val="000000"/>
        </w:rPr>
        <w:t>.</w:t>
      </w:r>
      <w:r w:rsidRPr="00E5735D">
        <w:rPr>
          <w:color w:val="000000"/>
        </w:rPr>
        <w:t xml:space="preserve">  </w:t>
      </w:r>
      <w:r w:rsidRPr="00E5735D">
        <w:rPr>
          <w:rFonts w:cs="Arial"/>
          <w:color w:val="000000"/>
        </w:rPr>
        <w:t>L’arrêt fait clairement la distinction entre la protection primaire qui couvre les constituants variét</w:t>
      </w:r>
      <w:r>
        <w:rPr>
          <w:rFonts w:cs="Arial"/>
          <w:color w:val="000000"/>
        </w:rPr>
        <w:t>aux, et la protection secondaire</w:t>
      </w:r>
      <w:r w:rsidRPr="00E5735D">
        <w:rPr>
          <w:rFonts w:cs="Arial"/>
          <w:color w:val="000000"/>
        </w:rPr>
        <w:t xml:space="preserve"> qui a un caractère auxiliaire.</w:t>
      </w:r>
      <w:r w:rsidRPr="00E5735D">
        <w:rPr>
          <w:color w:val="000000"/>
        </w:rPr>
        <w:t xml:space="preserve">  </w:t>
      </w:r>
      <w:r w:rsidRPr="00E5735D">
        <w:rPr>
          <w:rFonts w:cs="Arial"/>
          <w:color w:val="000000"/>
        </w:rPr>
        <w:t>Selon l’article 13, paragraphe 3, du règlement de base, la vente de matériel de récolte ne peut être considérée comme un acte de contrefaçon que si ledit matériel a été obtenu par l’utilisation non autorisée des constituants variétaux.</w:t>
      </w:r>
    </w:p>
    <w:p w:rsidR="006C5CF8" w:rsidRPr="00E5735D" w:rsidRDefault="006C5CF8" w:rsidP="006C5CF8">
      <w:pPr>
        <w:rPr>
          <w:rFonts w:cs="Arial"/>
        </w:rPr>
      </w:pPr>
    </w:p>
    <w:p w:rsidR="006C5CF8" w:rsidRPr="00E5735D" w:rsidRDefault="006C5CF8" w:rsidP="006C5CF8">
      <w:pPr>
        <w:rPr>
          <w:rFonts w:cs="Arial"/>
        </w:rPr>
      </w:pPr>
      <w:r w:rsidRPr="00E5735D">
        <w:rPr>
          <w:rFonts w:cs="Arial"/>
          <w:color w:val="000000"/>
        </w:rPr>
        <w:t>La Cour a également fait référence à la protection conférée aux titulaires de droits durant la période de protection provisoire (c’est-à-dire après la publication de la demande de protection, mais avant l’octroi de cette protection) en ce qui concerne l’achat et la mise en culture du matériel contrefaisant.</w:t>
      </w:r>
      <w:r w:rsidRPr="00E5735D">
        <w:rPr>
          <w:color w:val="000000"/>
        </w:rPr>
        <w:t xml:space="preserve">  </w:t>
      </w:r>
      <w:r w:rsidRPr="00E5735D">
        <w:rPr>
          <w:rFonts w:cs="Arial"/>
          <w:color w:val="000000"/>
        </w:rPr>
        <w:t>L’article 94 du règlement de base confère au titulaire des droits exclusifs à l’égard des actes visés à l’article 13 dudit règlement.</w:t>
      </w:r>
      <w:r w:rsidRPr="00E5735D">
        <w:rPr>
          <w:color w:val="000000"/>
        </w:rPr>
        <w:t xml:space="preserve">  </w:t>
      </w:r>
      <w:r w:rsidRPr="00E5735D">
        <w:rPr>
          <w:rFonts w:cs="Arial"/>
          <w:color w:val="000000"/>
        </w:rPr>
        <w:t>Par ailleurs, selon l’article 95 du règlement de base, lorsque ces actes contrefaisants sont accomplis durant la période de protection provisoire, le titulaire peut uniquement exiger une rémunération équitable.</w:t>
      </w:r>
      <w:r w:rsidRPr="00E5735D">
        <w:rPr>
          <w:color w:val="000000"/>
        </w:rPr>
        <w:t xml:space="preserve">  </w:t>
      </w:r>
      <w:r w:rsidRPr="00E5735D">
        <w:rPr>
          <w:rFonts w:cs="Arial"/>
          <w:color w:val="000000"/>
        </w:rPr>
        <w:t>Le régime de compensation ne correspond pas entièrement au régime de protection prévu après l’octroi du droit.</w:t>
      </w:r>
      <w:r w:rsidRPr="00E5735D">
        <w:rPr>
          <w:color w:val="000000"/>
        </w:rPr>
        <w:t xml:space="preserve">  </w:t>
      </w:r>
      <w:r w:rsidRPr="00E5735D">
        <w:rPr>
          <w:rFonts w:cs="Arial"/>
          <w:color w:val="000000"/>
        </w:rPr>
        <w:t>En effet, la disposition ne fait pas référence au fait que l’autorisation du titulaire est requise.</w:t>
      </w:r>
      <w:r w:rsidRPr="00E5735D">
        <w:rPr>
          <w:color w:val="000000"/>
        </w:rPr>
        <w:t xml:space="preserve">  </w:t>
      </w:r>
      <w:r w:rsidRPr="00E5735D">
        <w:rPr>
          <w:rFonts w:cs="Arial"/>
          <w:color w:val="000000"/>
        </w:rPr>
        <w:t>Par conséquent, durant la période de protection provisoire, le titulaire ne peut pas interdire l’accomplissement d’un des actes visés à l’article 13 du règlement de base au motif qu’il constitue un acte contrefaisant, mais peut uniquement exiger une rémunération équitable après l’octroi de la protection.</w:t>
      </w:r>
      <w:r w:rsidRPr="00E5735D">
        <w:rPr>
          <w:color w:val="000000"/>
        </w:rPr>
        <w:t xml:space="preserve">  </w:t>
      </w:r>
      <w:r>
        <w:rPr>
          <w:color w:val="000000"/>
        </w:rPr>
        <w:t>La notion d’</w:t>
      </w:r>
      <w:r w:rsidRPr="00E5735D">
        <w:rPr>
          <w:rFonts w:cs="Arial"/>
        </w:rPr>
        <w:t>“</w:t>
      </w:r>
      <w:r>
        <w:rPr>
          <w:rFonts w:cs="Arial"/>
        </w:rPr>
        <w:t>utilisation non autorisée</w:t>
      </w:r>
      <w:r w:rsidRPr="00E5735D">
        <w:rPr>
          <w:rFonts w:cs="Arial"/>
        </w:rPr>
        <w:t xml:space="preserve">” </w:t>
      </w:r>
      <w:r>
        <w:rPr>
          <w:rFonts w:cs="Arial"/>
        </w:rPr>
        <w:t>ne peut concerner que l’utilisation qui aurait pu être autorisée ou interdite par le titulaire</w:t>
      </w:r>
      <w:r w:rsidRPr="00E5735D">
        <w:rPr>
          <w:rFonts w:cs="Arial"/>
        </w:rPr>
        <w:t xml:space="preserve">.  </w:t>
      </w:r>
      <w:r w:rsidRPr="00E5735D">
        <w:rPr>
          <w:rFonts w:cs="Arial"/>
          <w:color w:val="000000"/>
        </w:rPr>
        <w:t>Par conséquent, dans la présente affaire, l’utilisation du produit de la récolte par la personne supposément à l’origine de l’acte contrefaisant n’a pas été “non autorisée” du fait qu’il n’existait aucune obligation de demander l’autorisation du titulaire.</w:t>
      </w:r>
    </w:p>
    <w:p w:rsidR="006C5CF8" w:rsidRPr="00E5735D" w:rsidRDefault="006C5CF8" w:rsidP="006C5CF8">
      <w:pPr>
        <w:rPr>
          <w:rFonts w:cs="Arial"/>
        </w:rPr>
      </w:pPr>
    </w:p>
    <w:p w:rsidR="006C5CF8" w:rsidRPr="00E5735D" w:rsidRDefault="006C5CF8" w:rsidP="006C5CF8">
      <w:pPr>
        <w:rPr>
          <w:rFonts w:cs="Arial"/>
        </w:rPr>
      </w:pPr>
      <w:r w:rsidRPr="00E5735D">
        <w:rPr>
          <w:rFonts w:cs="Arial"/>
          <w:color w:val="000000"/>
        </w:rPr>
        <w:t>Compte tenu de ce qui précède, les fruits récoltés des mandariniers après l’octroi du titre ne provenaient pas d’une utilisation non autorisée des constituants végétaux du fait que la multiplication et la vente avaient eu lieu durant la période de protection provisoire, ce qui signifie que le régime de protection secondaire ne pouvait être appliqué dans ce cas.</w:t>
      </w:r>
      <w:r w:rsidRPr="00E5735D">
        <w:rPr>
          <w:color w:val="000000"/>
        </w:rPr>
        <w:t xml:space="preserve">  </w:t>
      </w:r>
      <w:r w:rsidRPr="00E5735D">
        <w:rPr>
          <w:rFonts w:cs="Arial"/>
          <w:color w:val="000000"/>
        </w:rPr>
        <w:t>À l’inverse, dans le cas de la multiplication et de la vente non autorisées des constituants végétaux après l’octroi du titre, le titulaire pouvait invoquer la protection secondaire également à l’égard du produit de la récolte, à la condition qu’il n’ait pas pu exercer son droit (cette question devait être tranchée par la juridiction nationale).</w:t>
      </w:r>
    </w:p>
    <w:p w:rsidR="006C5CF8" w:rsidRPr="00E5735D" w:rsidRDefault="006C5CF8" w:rsidP="006C5CF8">
      <w:pPr>
        <w:rPr>
          <w:rFonts w:cs="Arial"/>
        </w:rPr>
      </w:pPr>
    </w:p>
    <w:p w:rsidR="006C5CF8" w:rsidRPr="00E5735D" w:rsidRDefault="006C5CF8" w:rsidP="006C5CF8">
      <w:pPr>
        <w:rPr>
          <w:rFonts w:cs="Arial"/>
        </w:rPr>
      </w:pPr>
    </w:p>
    <w:p w:rsidR="006C5CF8" w:rsidRPr="00E5735D" w:rsidRDefault="006C5CF8" w:rsidP="006C5CF8">
      <w:pPr>
        <w:rPr>
          <w:rFonts w:cs="Arial"/>
          <w:u w:val="single"/>
        </w:rPr>
      </w:pPr>
      <w:r w:rsidRPr="00CD4BD6">
        <w:rPr>
          <w:rFonts w:cs="Arial"/>
        </w:rPr>
        <w:t>2.</w:t>
      </w:r>
      <w:r w:rsidRPr="00CD4BD6">
        <w:rPr>
          <w:rFonts w:cs="Arial"/>
        </w:rPr>
        <w:tab/>
      </w:r>
      <w:r w:rsidRPr="00CD4BD6">
        <w:rPr>
          <w:rFonts w:cs="Arial"/>
          <w:u w:val="single"/>
        </w:rPr>
        <w:t>Coopération en matière d’examen</w:t>
      </w:r>
    </w:p>
    <w:p w:rsidR="006C5CF8" w:rsidRPr="00E5735D" w:rsidRDefault="006C5CF8" w:rsidP="006C5CF8">
      <w:pPr>
        <w:rPr>
          <w:rFonts w:cs="Arial"/>
        </w:rPr>
      </w:pPr>
    </w:p>
    <w:p w:rsidR="006C5CF8" w:rsidRPr="00E5735D" w:rsidRDefault="006C5CF8" w:rsidP="006C5CF8">
      <w:pPr>
        <w:rPr>
          <w:rFonts w:cs="Arial"/>
          <w:u w:val="single"/>
        </w:rPr>
      </w:pPr>
      <w:r>
        <w:rPr>
          <w:rFonts w:cs="Arial"/>
          <w:u w:val="single"/>
        </w:rPr>
        <w:t xml:space="preserve">2.1 </w:t>
      </w:r>
      <w:r w:rsidRPr="00CD4BD6">
        <w:rPr>
          <w:rFonts w:cs="Arial"/>
          <w:u w:val="single"/>
        </w:rPr>
        <w:t>Conclusion de nouveaux accords</w:t>
      </w:r>
    </w:p>
    <w:p w:rsidR="006C5CF8" w:rsidRPr="00E5735D" w:rsidRDefault="006C5CF8" w:rsidP="006C5CF8">
      <w:pPr>
        <w:rPr>
          <w:rFonts w:cs="Arial"/>
        </w:rPr>
      </w:pPr>
    </w:p>
    <w:p w:rsidR="006C5CF8" w:rsidRPr="00E5735D" w:rsidRDefault="006C5CF8" w:rsidP="006C5CF8">
      <w:pPr>
        <w:rPr>
          <w:rFonts w:cs="Arial"/>
        </w:rPr>
      </w:pPr>
      <w:r w:rsidRPr="00E5735D">
        <w:rPr>
          <w:rFonts w:cs="Arial"/>
          <w:color w:val="000000"/>
        </w:rPr>
        <w:t>Le Conseil d’administration de l’OCVV a accepté en septembre 2019 que l’</w:t>
      </w:r>
      <w:r>
        <w:rPr>
          <w:rFonts w:cs="Arial"/>
          <w:color w:val="000000"/>
        </w:rPr>
        <w:t>OCVV conclue un accord avec l’</w:t>
      </w:r>
      <w:proofErr w:type="spellStart"/>
      <w:r>
        <w:rPr>
          <w:rFonts w:cs="Arial"/>
          <w:i/>
          <w:color w:val="000000"/>
        </w:rPr>
        <w:t>Oficina</w:t>
      </w:r>
      <w:proofErr w:type="spellEnd"/>
      <w:r>
        <w:rPr>
          <w:rFonts w:cs="Arial"/>
          <w:i/>
          <w:color w:val="000000"/>
        </w:rPr>
        <w:t xml:space="preserve"> </w:t>
      </w:r>
      <w:proofErr w:type="spellStart"/>
      <w:r>
        <w:rPr>
          <w:rFonts w:cs="Arial"/>
          <w:i/>
          <w:color w:val="000000"/>
        </w:rPr>
        <w:t>Nacional</w:t>
      </w:r>
      <w:proofErr w:type="spellEnd"/>
      <w:r>
        <w:rPr>
          <w:rFonts w:cs="Arial"/>
          <w:i/>
          <w:color w:val="000000"/>
        </w:rPr>
        <w:t xml:space="preserve"> de </w:t>
      </w:r>
      <w:proofErr w:type="spellStart"/>
      <w:r>
        <w:rPr>
          <w:rFonts w:cs="Arial"/>
          <w:i/>
          <w:color w:val="000000"/>
        </w:rPr>
        <w:t>Semillas</w:t>
      </w:r>
      <w:proofErr w:type="spellEnd"/>
      <w:r w:rsidRPr="00E5735D">
        <w:rPr>
          <w:rFonts w:cs="Arial"/>
          <w:color w:val="000000"/>
        </w:rPr>
        <w:t xml:space="preserve"> (ONS) du Costa Rica</w:t>
      </w:r>
      <w:r>
        <w:rPr>
          <w:rFonts w:cs="Arial"/>
          <w:color w:val="000000"/>
        </w:rPr>
        <w:t>,</w:t>
      </w:r>
      <w:r w:rsidRPr="00E5735D">
        <w:rPr>
          <w:rFonts w:cs="Arial"/>
          <w:color w:val="000000"/>
        </w:rPr>
        <w:t xml:space="preserve"> concernant la prise en charge des rapports DHS pour l’Ananas </w:t>
      </w:r>
      <w:proofErr w:type="spellStart"/>
      <w:r w:rsidRPr="00E5735D">
        <w:rPr>
          <w:rFonts w:cs="Arial"/>
          <w:color w:val="000000"/>
        </w:rPr>
        <w:t>comosus</w:t>
      </w:r>
      <w:proofErr w:type="spellEnd"/>
      <w:r w:rsidRPr="00E5735D">
        <w:rPr>
          <w:rFonts w:cs="Arial"/>
          <w:color w:val="000000"/>
        </w:rPr>
        <w:t xml:space="preserve"> de la variété “Rose”.</w:t>
      </w:r>
    </w:p>
    <w:p w:rsidR="006C5CF8" w:rsidRPr="00E5735D" w:rsidRDefault="006C5CF8" w:rsidP="006C5CF8">
      <w:pPr>
        <w:rPr>
          <w:rFonts w:cs="Arial"/>
        </w:rPr>
      </w:pPr>
    </w:p>
    <w:p w:rsidR="006C5CF8" w:rsidRPr="00E5735D" w:rsidRDefault="006C5CF8" w:rsidP="006C5CF8">
      <w:pPr>
        <w:rPr>
          <w:rFonts w:cs="Arial"/>
          <w:u w:val="single"/>
        </w:rPr>
      </w:pPr>
      <w:r>
        <w:rPr>
          <w:rFonts w:cs="Arial"/>
          <w:color w:val="000000"/>
          <w:u w:val="single"/>
        </w:rPr>
        <w:t xml:space="preserve">2.2 </w:t>
      </w:r>
      <w:r w:rsidRPr="00E5735D">
        <w:rPr>
          <w:rFonts w:cs="Arial"/>
          <w:color w:val="000000"/>
          <w:u w:val="single"/>
        </w:rPr>
        <w:t>Modification d’accords existants</w:t>
      </w:r>
    </w:p>
    <w:p w:rsidR="006C5CF8" w:rsidRPr="00E5735D" w:rsidRDefault="006C5CF8" w:rsidP="006C5CF8">
      <w:pPr>
        <w:rPr>
          <w:rFonts w:cs="Arial"/>
        </w:rPr>
      </w:pPr>
    </w:p>
    <w:p w:rsidR="006C5CF8" w:rsidRPr="00E5735D" w:rsidRDefault="006C5CF8" w:rsidP="006C5CF8">
      <w:pPr>
        <w:rPr>
          <w:rFonts w:cs="Arial"/>
        </w:rPr>
      </w:pPr>
      <w:r w:rsidRPr="00E5735D">
        <w:rPr>
          <w:rFonts w:cs="Arial"/>
          <w:color w:val="000000"/>
        </w:rPr>
        <w:t>Prolongation de l’accord avec le</w:t>
      </w:r>
      <w:r>
        <w:rPr>
          <w:rFonts w:cs="Arial"/>
          <w:color w:val="000000"/>
        </w:rPr>
        <w:t xml:space="preserve"> SNICS du Mexique –</w:t>
      </w:r>
      <w:r w:rsidRPr="00E5735D">
        <w:rPr>
          <w:rFonts w:cs="Arial"/>
          <w:color w:val="000000"/>
        </w:rPr>
        <w:t xml:space="preserve"> </w:t>
      </w:r>
      <w:proofErr w:type="spellStart"/>
      <w:r>
        <w:rPr>
          <w:rFonts w:cs="Arial"/>
          <w:i/>
          <w:color w:val="000000"/>
        </w:rPr>
        <w:t>Servicio</w:t>
      </w:r>
      <w:proofErr w:type="spellEnd"/>
      <w:r>
        <w:rPr>
          <w:rFonts w:cs="Arial"/>
          <w:i/>
          <w:color w:val="000000"/>
        </w:rPr>
        <w:t xml:space="preserve"> </w:t>
      </w:r>
      <w:proofErr w:type="spellStart"/>
      <w:r>
        <w:rPr>
          <w:rFonts w:cs="Arial"/>
          <w:i/>
          <w:color w:val="000000"/>
        </w:rPr>
        <w:t>Nacional</w:t>
      </w:r>
      <w:proofErr w:type="spellEnd"/>
      <w:r>
        <w:rPr>
          <w:rFonts w:cs="Arial"/>
          <w:i/>
          <w:color w:val="000000"/>
        </w:rPr>
        <w:t xml:space="preserve"> de </w:t>
      </w:r>
      <w:proofErr w:type="spellStart"/>
      <w:r>
        <w:rPr>
          <w:rFonts w:cs="Arial"/>
          <w:i/>
          <w:color w:val="000000"/>
        </w:rPr>
        <w:t>Inspección</w:t>
      </w:r>
      <w:proofErr w:type="spellEnd"/>
      <w:r>
        <w:rPr>
          <w:rFonts w:cs="Arial"/>
          <w:i/>
          <w:color w:val="000000"/>
        </w:rPr>
        <w:t xml:space="preserve"> y </w:t>
      </w:r>
      <w:proofErr w:type="spellStart"/>
      <w:r>
        <w:rPr>
          <w:rFonts w:cs="Arial"/>
          <w:i/>
          <w:color w:val="000000"/>
        </w:rPr>
        <w:t>Certificación</w:t>
      </w:r>
      <w:proofErr w:type="spellEnd"/>
      <w:r>
        <w:rPr>
          <w:rFonts w:cs="Arial"/>
          <w:i/>
          <w:color w:val="000000"/>
        </w:rPr>
        <w:t xml:space="preserve"> de </w:t>
      </w:r>
      <w:proofErr w:type="spellStart"/>
      <w:r>
        <w:rPr>
          <w:rFonts w:cs="Arial"/>
          <w:i/>
          <w:color w:val="000000"/>
        </w:rPr>
        <w:t>Semillas</w:t>
      </w:r>
      <w:proofErr w:type="spellEnd"/>
      <w:r>
        <w:rPr>
          <w:rFonts w:cs="Arial"/>
          <w:i/>
          <w:color w:val="000000"/>
        </w:rPr>
        <w:t xml:space="preserve"> - </w:t>
      </w:r>
      <w:r w:rsidRPr="00E5735D">
        <w:rPr>
          <w:rFonts w:cs="Arial"/>
          <w:color w:val="000000"/>
        </w:rPr>
        <w:t xml:space="preserve">concernant l’examen DHS pour l’espèce </w:t>
      </w:r>
      <w:proofErr w:type="spellStart"/>
      <w:r>
        <w:rPr>
          <w:rFonts w:cs="Arial"/>
          <w:color w:val="000000"/>
        </w:rPr>
        <w:t>Psidium</w:t>
      </w:r>
      <w:proofErr w:type="spellEnd"/>
      <w:r w:rsidRPr="00E5735D">
        <w:rPr>
          <w:rFonts w:cs="Arial"/>
          <w:color w:val="000000"/>
        </w:rPr>
        <w:t> </w:t>
      </w:r>
      <w:proofErr w:type="spellStart"/>
      <w:r w:rsidRPr="00E5735D">
        <w:rPr>
          <w:rFonts w:cs="Arial"/>
          <w:color w:val="000000"/>
        </w:rPr>
        <w:t>gujava</w:t>
      </w:r>
      <w:proofErr w:type="spellEnd"/>
      <w:r w:rsidRPr="00E5735D">
        <w:rPr>
          <w:rFonts w:cs="Arial"/>
          <w:color w:val="000000"/>
        </w:rPr>
        <w:t>.</w:t>
      </w:r>
    </w:p>
    <w:p w:rsidR="006C5CF8" w:rsidRPr="00E5735D" w:rsidRDefault="006C5CF8" w:rsidP="006C5CF8">
      <w:pPr>
        <w:rPr>
          <w:rFonts w:cs="Arial"/>
        </w:rPr>
      </w:pPr>
    </w:p>
    <w:p w:rsidR="006C5CF8" w:rsidRPr="00E5735D" w:rsidRDefault="006C5CF8" w:rsidP="006C5CF8">
      <w:pPr>
        <w:rPr>
          <w:rFonts w:cs="Arial"/>
          <w:u w:val="single"/>
        </w:rPr>
      </w:pPr>
      <w:r>
        <w:rPr>
          <w:rFonts w:cs="Arial"/>
          <w:color w:val="000000"/>
          <w:u w:val="single"/>
        </w:rPr>
        <w:t xml:space="preserve">2.3 </w:t>
      </w:r>
      <w:r w:rsidRPr="00E5735D">
        <w:rPr>
          <w:rFonts w:cs="Arial"/>
          <w:color w:val="000000"/>
          <w:u w:val="single"/>
        </w:rPr>
        <w:t>Mémorandum d’accord avec des pays tiers</w:t>
      </w:r>
    </w:p>
    <w:p w:rsidR="006C5CF8" w:rsidRPr="00E5735D" w:rsidRDefault="006C5CF8" w:rsidP="006C5CF8">
      <w:pPr>
        <w:rPr>
          <w:rFonts w:cs="Arial"/>
        </w:rPr>
      </w:pPr>
    </w:p>
    <w:p w:rsidR="006C5CF8" w:rsidRPr="00E5735D" w:rsidRDefault="006C5CF8" w:rsidP="006C5CF8">
      <w:pPr>
        <w:rPr>
          <w:rFonts w:cs="Arial"/>
        </w:rPr>
      </w:pPr>
      <w:r w:rsidRPr="00CD4BD6">
        <w:rPr>
          <w:rFonts w:cs="Arial"/>
        </w:rPr>
        <w:t>Voir point 2</w:t>
      </w:r>
      <w:r w:rsidRPr="00E5735D">
        <w:rPr>
          <w:rFonts w:cs="Arial"/>
          <w:color w:val="000000"/>
        </w:rPr>
        <w:t xml:space="preserve">.1, </w:t>
      </w:r>
      <w:r>
        <w:rPr>
          <w:rFonts w:cs="Arial"/>
          <w:color w:val="000000"/>
        </w:rPr>
        <w:t>ri</w:t>
      </w:r>
      <w:r w:rsidRPr="00CD4BD6">
        <w:rPr>
          <w:rFonts w:cs="Arial"/>
        </w:rPr>
        <w:t>en d’autre à signaler.</w:t>
      </w:r>
    </w:p>
    <w:p w:rsidR="006C5CF8" w:rsidRPr="00E5735D" w:rsidRDefault="006C5CF8" w:rsidP="006C5CF8">
      <w:pPr>
        <w:rPr>
          <w:rFonts w:cs="Arial"/>
        </w:rPr>
      </w:pPr>
    </w:p>
    <w:p w:rsidR="006C5CF8" w:rsidRPr="00E5735D" w:rsidRDefault="006C5CF8" w:rsidP="006C5CF8">
      <w:pPr>
        <w:rPr>
          <w:rFonts w:cs="Arial"/>
        </w:rPr>
      </w:pPr>
    </w:p>
    <w:p w:rsidR="006C5CF8" w:rsidRPr="00E5735D" w:rsidRDefault="006C5CF8" w:rsidP="006C5CF8">
      <w:pPr>
        <w:rPr>
          <w:rFonts w:cs="Arial"/>
          <w:u w:val="single"/>
        </w:rPr>
      </w:pPr>
      <w:r w:rsidRPr="00CD4BD6">
        <w:rPr>
          <w:rFonts w:cs="Arial"/>
        </w:rPr>
        <w:t>3.</w:t>
      </w:r>
      <w:r w:rsidRPr="00CD4BD6">
        <w:rPr>
          <w:rFonts w:cs="Arial"/>
        </w:rPr>
        <w:tab/>
      </w:r>
      <w:r w:rsidRPr="00CD4BD6">
        <w:rPr>
          <w:rFonts w:cs="Arial"/>
          <w:u w:val="single"/>
        </w:rPr>
        <w:t>Situation dans le domaine administratif</w:t>
      </w:r>
    </w:p>
    <w:p w:rsidR="006C5CF8" w:rsidRPr="00E5735D" w:rsidRDefault="006C5CF8" w:rsidP="006C5CF8">
      <w:pPr>
        <w:rPr>
          <w:rFonts w:cs="Arial"/>
        </w:rPr>
      </w:pPr>
    </w:p>
    <w:p w:rsidR="006C5CF8" w:rsidRPr="00E5735D" w:rsidRDefault="006C5CF8" w:rsidP="006C5CF8">
      <w:pPr>
        <w:rPr>
          <w:rFonts w:cs="Arial"/>
        </w:rPr>
      </w:pPr>
      <w:r>
        <w:rPr>
          <w:rFonts w:cs="Arial"/>
        </w:rPr>
        <w:t>Aucun élément nouveau</w:t>
      </w:r>
    </w:p>
    <w:p w:rsidR="006C5CF8" w:rsidRPr="00E5735D" w:rsidRDefault="006C5CF8" w:rsidP="006C5CF8">
      <w:pPr>
        <w:rPr>
          <w:rFonts w:cs="Arial"/>
        </w:rPr>
      </w:pPr>
    </w:p>
    <w:p w:rsidR="006C5CF8" w:rsidRPr="00E5735D" w:rsidRDefault="006C5CF8" w:rsidP="006C5CF8">
      <w:pPr>
        <w:rPr>
          <w:rFonts w:cs="Arial"/>
        </w:rPr>
      </w:pPr>
    </w:p>
    <w:p w:rsidR="006C5CF8" w:rsidRPr="00E5735D" w:rsidRDefault="006C5CF8" w:rsidP="006C5CF8">
      <w:pPr>
        <w:keepNext/>
        <w:rPr>
          <w:rFonts w:cs="Arial"/>
        </w:rPr>
      </w:pPr>
      <w:r w:rsidRPr="00CD4BD6">
        <w:rPr>
          <w:rFonts w:cs="Arial"/>
        </w:rPr>
        <w:lastRenderedPageBreak/>
        <w:t>4.</w:t>
      </w:r>
      <w:r w:rsidRPr="00CD4BD6">
        <w:rPr>
          <w:rFonts w:cs="Arial"/>
        </w:rPr>
        <w:tab/>
      </w:r>
      <w:r w:rsidRPr="00CD4BD6">
        <w:rPr>
          <w:rFonts w:cs="Arial"/>
          <w:u w:val="single"/>
        </w:rPr>
        <w:t>Situation dans le domaine technique</w:t>
      </w:r>
    </w:p>
    <w:p w:rsidR="006C5CF8" w:rsidRPr="00E5735D" w:rsidRDefault="006C5CF8" w:rsidP="006C5CF8">
      <w:pPr>
        <w:keepNext/>
        <w:rPr>
          <w:rFonts w:cs="Arial"/>
        </w:rPr>
      </w:pPr>
    </w:p>
    <w:p w:rsidR="006C5CF8" w:rsidRPr="00E5735D" w:rsidRDefault="006C5CF8" w:rsidP="006C5CF8">
      <w:pPr>
        <w:keepNext/>
        <w:rPr>
          <w:rFonts w:cs="Arial"/>
          <w:u w:val="single"/>
        </w:rPr>
      </w:pPr>
      <w:r>
        <w:rPr>
          <w:rFonts w:cs="Arial"/>
          <w:u w:val="single"/>
        </w:rPr>
        <w:t xml:space="preserve">4.1 </w:t>
      </w:r>
      <w:r w:rsidRPr="00CD4BD6">
        <w:rPr>
          <w:rFonts w:cs="Arial"/>
          <w:u w:val="single"/>
        </w:rPr>
        <w:t>Informations concernant le fonctionnement de la protection des obtentions végétales dans l’Union européenne</w:t>
      </w:r>
    </w:p>
    <w:p w:rsidR="006C5CF8" w:rsidRPr="00E5735D" w:rsidRDefault="006C5CF8" w:rsidP="006C5CF8">
      <w:pPr>
        <w:keepNext/>
        <w:rPr>
          <w:rFonts w:cs="Arial"/>
        </w:rPr>
      </w:pPr>
    </w:p>
    <w:p w:rsidR="006C5CF8" w:rsidRPr="00E5735D" w:rsidRDefault="006C5CF8" w:rsidP="006C5CF8">
      <w:pPr>
        <w:rPr>
          <w:rFonts w:cs="Arial"/>
          <w:u w:val="single"/>
        </w:rPr>
      </w:pPr>
      <w:r>
        <w:rPr>
          <w:rFonts w:cs="Arial"/>
          <w:u w:val="single"/>
        </w:rPr>
        <w:t xml:space="preserve">a. </w:t>
      </w:r>
      <w:r w:rsidRPr="00CD4BD6">
        <w:rPr>
          <w:rFonts w:cs="Arial"/>
          <w:u w:val="single"/>
        </w:rPr>
        <w:t>Relation avec les offices d’examen</w:t>
      </w:r>
    </w:p>
    <w:p w:rsidR="006C5CF8" w:rsidRPr="00E5735D" w:rsidRDefault="006C5CF8" w:rsidP="006C5CF8">
      <w:pPr>
        <w:rPr>
          <w:rFonts w:cs="Arial"/>
        </w:rPr>
      </w:pPr>
    </w:p>
    <w:p w:rsidR="006C5CF8" w:rsidRPr="00E5735D" w:rsidRDefault="006C5CF8" w:rsidP="006C5CF8">
      <w:pPr>
        <w:rPr>
          <w:rFonts w:cs="Arial"/>
        </w:rPr>
      </w:pPr>
      <w:r w:rsidRPr="00E5735D">
        <w:rPr>
          <w:rFonts w:cs="Arial"/>
          <w:color w:val="000000"/>
        </w:rPr>
        <w:t>En décembre 2019 l’OCVV a tenu avec ses offices d’examen sa vingt-troisième réunion annuelle, à laquelle ont également assisté des représentants de la Commission européenne, du Bureau de l’UPOV, du Bureau suisse de la protection des obtentions végétales et d’organisations d’obtenteurs (</w:t>
      </w:r>
      <w:proofErr w:type="spellStart"/>
      <w:r w:rsidRPr="00E5735D">
        <w:rPr>
          <w:rFonts w:cs="Arial"/>
          <w:color w:val="000000"/>
        </w:rPr>
        <w:t>Euroseeds</w:t>
      </w:r>
      <w:proofErr w:type="spellEnd"/>
      <w:r w:rsidRPr="00E5735D">
        <w:rPr>
          <w:rFonts w:cs="Arial"/>
          <w:color w:val="000000"/>
        </w:rPr>
        <w:t xml:space="preserve">, CIOPORA, </w:t>
      </w:r>
      <w:proofErr w:type="spellStart"/>
      <w:r w:rsidRPr="00E5735D">
        <w:rPr>
          <w:rFonts w:cs="Arial"/>
          <w:color w:val="000000"/>
        </w:rPr>
        <w:t>Plantum</w:t>
      </w:r>
      <w:proofErr w:type="spellEnd"/>
      <w:r w:rsidRPr="00E5735D">
        <w:rPr>
          <w:rFonts w:cs="Arial"/>
          <w:color w:val="000000"/>
        </w:rPr>
        <w:t>, Consortium européen pour l’amélioration des plantes dans les systèmes agrobiologiques, ECO-PB).</w:t>
      </w:r>
      <w:r w:rsidRPr="00E5735D">
        <w:rPr>
          <w:color w:val="000000"/>
        </w:rPr>
        <w:t xml:space="preserve">  </w:t>
      </w:r>
      <w:r w:rsidRPr="00CD4BD6">
        <w:rPr>
          <w:rFonts w:cs="Arial"/>
        </w:rPr>
        <w:t>Les principaux sujets de discussion ont été les suivants :</w:t>
      </w:r>
    </w:p>
    <w:p w:rsidR="006C5CF8" w:rsidRPr="00E5735D" w:rsidRDefault="006C5CF8" w:rsidP="006C5CF8">
      <w:pPr>
        <w:rPr>
          <w:rFonts w:cs="Arial"/>
        </w:rPr>
      </w:pPr>
    </w:p>
    <w:p w:rsidR="006C5CF8" w:rsidRPr="00E5735D" w:rsidRDefault="006C5CF8" w:rsidP="006C5CF8">
      <w:pPr>
        <w:numPr>
          <w:ilvl w:val="0"/>
          <w:numId w:val="36"/>
        </w:numPr>
        <w:ind w:left="567" w:hanging="283"/>
        <w:rPr>
          <w:rFonts w:cs="Arial"/>
        </w:rPr>
      </w:pPr>
      <w:r>
        <w:rPr>
          <w:rFonts w:cs="Arial"/>
        </w:rPr>
        <w:t xml:space="preserve">la </w:t>
      </w:r>
      <w:r w:rsidRPr="00CD4BD6">
        <w:rPr>
          <w:rFonts w:cs="Arial"/>
        </w:rPr>
        <w:t>prise de photos lors de l’accès aux examens DHS aux fins d’inspection et de prélèvement;</w:t>
      </w:r>
    </w:p>
    <w:p w:rsidR="006C5CF8" w:rsidRPr="00E5735D" w:rsidRDefault="006C5CF8" w:rsidP="006C5CF8">
      <w:pPr>
        <w:numPr>
          <w:ilvl w:val="0"/>
          <w:numId w:val="36"/>
        </w:numPr>
        <w:ind w:left="567" w:hanging="283"/>
        <w:rPr>
          <w:rFonts w:cs="Arial"/>
        </w:rPr>
      </w:pPr>
      <w:r w:rsidRPr="00E5735D">
        <w:rPr>
          <w:rFonts w:cs="Arial"/>
          <w:color w:val="000000"/>
        </w:rPr>
        <w:t>l’incidence des règlements phytosanitaires sur les exigences en matière de soumission de végétaux</w:t>
      </w:r>
    </w:p>
    <w:p w:rsidR="006C5CF8" w:rsidRPr="00E5735D" w:rsidRDefault="006C5CF8" w:rsidP="006C5CF8">
      <w:pPr>
        <w:numPr>
          <w:ilvl w:val="0"/>
          <w:numId w:val="36"/>
        </w:numPr>
        <w:ind w:left="567" w:hanging="283"/>
        <w:rPr>
          <w:rFonts w:cs="Arial"/>
        </w:rPr>
      </w:pPr>
      <w:r w:rsidRPr="00E5735D">
        <w:rPr>
          <w:rFonts w:cs="Arial"/>
          <w:color w:val="000000"/>
        </w:rPr>
        <w:t>une révision de la procédure de vérification technique;</w:t>
      </w:r>
    </w:p>
    <w:p w:rsidR="006C5CF8" w:rsidRPr="00E5735D" w:rsidRDefault="006C5CF8" w:rsidP="006C5CF8">
      <w:pPr>
        <w:numPr>
          <w:ilvl w:val="0"/>
          <w:numId w:val="36"/>
        </w:numPr>
        <w:ind w:left="567" w:hanging="283"/>
        <w:rPr>
          <w:rFonts w:cs="Arial"/>
        </w:rPr>
      </w:pPr>
      <w:r w:rsidRPr="00E5735D">
        <w:rPr>
          <w:rFonts w:cs="Arial"/>
          <w:color w:val="000000"/>
        </w:rPr>
        <w:t>une procédure concernant l’éventuelle revendication de la compétence des offices d’examen avant le moment de la décision d’habilitation;</w:t>
      </w:r>
    </w:p>
    <w:p w:rsidR="006C5CF8" w:rsidRPr="00E5735D" w:rsidRDefault="006C5CF8" w:rsidP="006C5CF8">
      <w:pPr>
        <w:numPr>
          <w:ilvl w:val="0"/>
          <w:numId w:val="36"/>
        </w:numPr>
        <w:ind w:left="567" w:hanging="283"/>
        <w:rPr>
          <w:rFonts w:cs="Arial"/>
        </w:rPr>
      </w:pPr>
      <w:r>
        <w:rPr>
          <w:rFonts w:cs="Arial"/>
          <w:color w:val="000000"/>
        </w:rPr>
        <w:t xml:space="preserve">une </w:t>
      </w:r>
      <w:r w:rsidRPr="00E5735D">
        <w:rPr>
          <w:rFonts w:cs="Arial"/>
          <w:color w:val="000000"/>
        </w:rPr>
        <w:t>révision de la politique d’habilitation pour les espèces ne faisant pas l’objet d’une demande auprès de l’OCVV;</w:t>
      </w:r>
    </w:p>
    <w:p w:rsidR="006C5CF8" w:rsidRPr="00E5735D" w:rsidRDefault="006C5CF8" w:rsidP="006C5CF8">
      <w:pPr>
        <w:numPr>
          <w:ilvl w:val="0"/>
          <w:numId w:val="36"/>
        </w:numPr>
        <w:ind w:left="567" w:hanging="283"/>
        <w:rPr>
          <w:rFonts w:cs="Arial"/>
        </w:rPr>
      </w:pPr>
      <w:r>
        <w:rPr>
          <w:rFonts w:cs="Arial"/>
          <w:color w:val="000000"/>
        </w:rPr>
        <w:t xml:space="preserve">une </w:t>
      </w:r>
      <w:r w:rsidRPr="00E5735D">
        <w:rPr>
          <w:rFonts w:cs="Arial"/>
          <w:color w:val="000000"/>
        </w:rPr>
        <w:t>enquête sur la situation concernant les caractères observés une seule fois dans les cultures faisant l’objet d’essais pluriannuels;</w:t>
      </w:r>
    </w:p>
    <w:p w:rsidR="006C5CF8" w:rsidRPr="00E5735D" w:rsidRDefault="006C5CF8" w:rsidP="006C5CF8">
      <w:pPr>
        <w:numPr>
          <w:ilvl w:val="0"/>
          <w:numId w:val="36"/>
        </w:numPr>
        <w:ind w:left="567" w:hanging="283"/>
        <w:rPr>
          <w:rFonts w:cs="Arial"/>
        </w:rPr>
      </w:pPr>
      <w:r>
        <w:rPr>
          <w:rFonts w:cs="Arial"/>
        </w:rPr>
        <w:t xml:space="preserve">les </w:t>
      </w:r>
      <w:r w:rsidRPr="00CD4BD6">
        <w:rPr>
          <w:rFonts w:cs="Arial"/>
        </w:rPr>
        <w:t>formations techniques pour les examinateurs techniques;</w:t>
      </w:r>
    </w:p>
    <w:p w:rsidR="006C5CF8" w:rsidRPr="00E5735D" w:rsidRDefault="006C5CF8" w:rsidP="006C5CF8">
      <w:pPr>
        <w:numPr>
          <w:ilvl w:val="0"/>
          <w:numId w:val="36"/>
        </w:numPr>
        <w:ind w:left="567" w:hanging="283"/>
        <w:rPr>
          <w:rFonts w:cs="Arial"/>
        </w:rPr>
      </w:pPr>
      <w:r>
        <w:rPr>
          <w:rFonts w:cs="Arial"/>
          <w:color w:val="000000"/>
        </w:rPr>
        <w:t xml:space="preserve">une </w:t>
      </w:r>
      <w:r w:rsidRPr="00E5735D">
        <w:rPr>
          <w:rFonts w:cs="Arial"/>
          <w:color w:val="000000"/>
        </w:rPr>
        <w:t>mise à jour de l’accord sur la protection des données et la politique anti-fraude;  examen des modifications à apporter à la clause de responsabilité et aux délais pour les rapports préliminaires dans certains secteurs agricoles;</w:t>
      </w:r>
    </w:p>
    <w:p w:rsidR="006C5CF8" w:rsidRPr="00E5735D" w:rsidRDefault="006C5CF8" w:rsidP="006C5CF8">
      <w:pPr>
        <w:numPr>
          <w:ilvl w:val="0"/>
          <w:numId w:val="36"/>
        </w:numPr>
        <w:ind w:left="567" w:hanging="283"/>
        <w:rPr>
          <w:rFonts w:cs="Arial"/>
        </w:rPr>
      </w:pPr>
      <w:r>
        <w:rPr>
          <w:rFonts w:cs="Arial"/>
          <w:color w:val="000000"/>
        </w:rPr>
        <w:t xml:space="preserve">la </w:t>
      </w:r>
      <w:r w:rsidRPr="00E5735D">
        <w:rPr>
          <w:rFonts w:cs="Arial"/>
          <w:color w:val="000000"/>
        </w:rPr>
        <w:t>coopération avec l’EUIPO et l’OEB;</w:t>
      </w:r>
    </w:p>
    <w:p w:rsidR="006C5CF8" w:rsidRPr="00E5735D" w:rsidRDefault="006C5CF8" w:rsidP="006C5CF8">
      <w:pPr>
        <w:numPr>
          <w:ilvl w:val="0"/>
          <w:numId w:val="36"/>
        </w:numPr>
        <w:ind w:left="567" w:hanging="283"/>
        <w:rPr>
          <w:rFonts w:cs="Arial"/>
        </w:rPr>
      </w:pPr>
      <w:r>
        <w:rPr>
          <w:rFonts w:cs="Arial"/>
        </w:rPr>
        <w:t xml:space="preserve">la </w:t>
      </w:r>
      <w:r w:rsidRPr="00CD4BD6">
        <w:rPr>
          <w:rFonts w:cs="Arial"/>
        </w:rPr>
        <w:t>mise à jour de la jurisprudence concernant la chambre de recours de l’OCVV, le Tribunal et la Cour de justice de l’Union européenne;</w:t>
      </w:r>
    </w:p>
    <w:p w:rsidR="006C5CF8" w:rsidRPr="00E5735D" w:rsidRDefault="006C5CF8" w:rsidP="006C5CF8">
      <w:pPr>
        <w:numPr>
          <w:ilvl w:val="0"/>
          <w:numId w:val="36"/>
        </w:numPr>
        <w:ind w:left="567" w:hanging="283"/>
        <w:rPr>
          <w:rFonts w:cs="Arial"/>
        </w:rPr>
      </w:pPr>
      <w:r>
        <w:rPr>
          <w:rFonts w:cs="Arial"/>
        </w:rPr>
        <w:t xml:space="preserve">une </w:t>
      </w:r>
      <w:r w:rsidRPr="00CD4BD6">
        <w:rPr>
          <w:rFonts w:cs="Arial"/>
        </w:rPr>
        <w:t>mise à jour de la stratégie en matière de R-D.</w:t>
      </w:r>
    </w:p>
    <w:p w:rsidR="006C5CF8" w:rsidRPr="00E5735D" w:rsidRDefault="006C5CF8" w:rsidP="006C5CF8">
      <w:pPr>
        <w:rPr>
          <w:rFonts w:cs="Arial"/>
        </w:rPr>
      </w:pPr>
    </w:p>
    <w:p w:rsidR="006C5CF8" w:rsidRPr="00E5735D" w:rsidRDefault="006C5CF8" w:rsidP="006C5CF8">
      <w:pPr>
        <w:rPr>
          <w:rFonts w:cs="Arial"/>
          <w:u w:val="single"/>
        </w:rPr>
      </w:pPr>
      <w:r>
        <w:rPr>
          <w:rFonts w:cs="Arial"/>
          <w:u w:val="single"/>
        </w:rPr>
        <w:t xml:space="preserve">b. </w:t>
      </w:r>
      <w:r w:rsidRPr="00CD4BD6">
        <w:rPr>
          <w:rFonts w:cs="Arial"/>
          <w:u w:val="single"/>
        </w:rPr>
        <w:t>Élaboration de protocoles de l’OCVV</w:t>
      </w:r>
    </w:p>
    <w:p w:rsidR="006C5CF8" w:rsidRPr="00E5735D" w:rsidRDefault="006C5CF8" w:rsidP="006C5CF8">
      <w:pPr>
        <w:rPr>
          <w:rFonts w:cs="Arial"/>
        </w:rPr>
      </w:pPr>
    </w:p>
    <w:p w:rsidR="006C5CF8" w:rsidRPr="00E5735D" w:rsidRDefault="006C5CF8" w:rsidP="006C5CF8">
      <w:pPr>
        <w:rPr>
          <w:rFonts w:cs="Arial"/>
        </w:rPr>
      </w:pPr>
      <w:r w:rsidRPr="00CD4BD6">
        <w:rPr>
          <w:rFonts w:cs="Arial"/>
        </w:rPr>
        <w:t xml:space="preserve">En 2019/2020, des experts des offices d’examen des États membres </w:t>
      </w:r>
      <w:r>
        <w:rPr>
          <w:rFonts w:cs="Arial"/>
        </w:rPr>
        <w:t xml:space="preserve">de l’UE </w:t>
      </w:r>
      <w:r w:rsidRPr="00CD4BD6">
        <w:rPr>
          <w:rFonts w:cs="Arial"/>
        </w:rPr>
        <w:t xml:space="preserve">ont été invités à collaborer à l’élaboration ou à la révision des protocoles techniques pour les essais DHS qui ont été approuvés </w:t>
      </w:r>
      <w:r>
        <w:rPr>
          <w:rFonts w:cs="Arial"/>
        </w:rPr>
        <w:t xml:space="preserve">par la suite </w:t>
      </w:r>
      <w:r w:rsidRPr="00CD4BD6">
        <w:rPr>
          <w:rFonts w:cs="Arial"/>
        </w:rPr>
        <w:t>par le Conseil d’administration</w:t>
      </w:r>
      <w:r w:rsidRPr="00E5735D">
        <w:rPr>
          <w:rFonts w:cs="Arial"/>
          <w:color w:val="000000"/>
        </w:rPr>
        <w:t xml:space="preserve"> ou qui devraient l’être en </w:t>
      </w:r>
      <w:r w:rsidRPr="00CD4BD6">
        <w:rPr>
          <w:rFonts w:cs="Arial"/>
        </w:rPr>
        <w:t>202</w:t>
      </w:r>
      <w:r w:rsidR="00B86E6D">
        <w:rPr>
          <w:rFonts w:cs="Arial"/>
        </w:rPr>
        <w:t>1</w:t>
      </w:r>
      <w:r w:rsidRPr="00CD4BD6">
        <w:rPr>
          <w:rFonts w:cs="Arial"/>
        </w:rPr>
        <w:t>.</w:t>
      </w:r>
      <w:r w:rsidRPr="00CD4BD6">
        <w:t xml:space="preserve">  </w:t>
      </w:r>
      <w:r w:rsidRPr="00CD4BD6">
        <w:rPr>
          <w:rFonts w:cs="Arial"/>
        </w:rPr>
        <w:t>Des réunions d’experts ont eu lieu pour examiner les protocoles techniques des plantes suivantes :</w:t>
      </w:r>
    </w:p>
    <w:p w:rsidR="006C5CF8" w:rsidRPr="00E5735D" w:rsidRDefault="006C5CF8" w:rsidP="006C5CF8">
      <w:pPr>
        <w:rPr>
          <w:rFonts w:cs="Arial"/>
        </w:rPr>
      </w:pPr>
    </w:p>
    <w:p w:rsidR="006C5CF8" w:rsidRPr="00E5735D" w:rsidRDefault="006C5CF8" w:rsidP="006C5CF8">
      <w:pPr>
        <w:numPr>
          <w:ilvl w:val="0"/>
          <w:numId w:val="36"/>
        </w:numPr>
        <w:ind w:left="567" w:hanging="283"/>
        <w:rPr>
          <w:rFonts w:cs="Arial"/>
        </w:rPr>
      </w:pPr>
      <w:r>
        <w:rPr>
          <w:rFonts w:cs="Arial"/>
          <w:color w:val="000000"/>
        </w:rPr>
        <w:t>p</w:t>
      </w:r>
      <w:r w:rsidRPr="00E5735D">
        <w:rPr>
          <w:rFonts w:cs="Arial"/>
          <w:color w:val="000000"/>
        </w:rPr>
        <w:t>lantes agricoles : avoine, luzerne, dactyle, semences de pomme de terre;</w:t>
      </w:r>
    </w:p>
    <w:p w:rsidR="006C5CF8" w:rsidRPr="00E5735D" w:rsidRDefault="006C5CF8" w:rsidP="006C5CF8">
      <w:pPr>
        <w:numPr>
          <w:ilvl w:val="0"/>
          <w:numId w:val="36"/>
        </w:numPr>
        <w:ind w:left="567" w:hanging="283"/>
        <w:rPr>
          <w:rFonts w:cs="Arial"/>
        </w:rPr>
      </w:pPr>
      <w:r>
        <w:rPr>
          <w:rFonts w:cs="Arial"/>
        </w:rPr>
        <w:t>p</w:t>
      </w:r>
      <w:r w:rsidRPr="00CD4BD6">
        <w:rPr>
          <w:rFonts w:cs="Arial"/>
        </w:rPr>
        <w:t>lantes potagères : laitue, chicorée à feuilles, chicorée industrielle, tomate, porte-greffes de tomates</w:t>
      </w:r>
      <w:r w:rsidRPr="00E5735D">
        <w:rPr>
          <w:rFonts w:cs="Arial"/>
          <w:color w:val="000000"/>
        </w:rPr>
        <w:t>;</w:t>
      </w:r>
    </w:p>
    <w:p w:rsidR="006C5CF8" w:rsidRPr="00E5735D" w:rsidRDefault="006C5CF8" w:rsidP="006C5CF8">
      <w:pPr>
        <w:numPr>
          <w:ilvl w:val="0"/>
          <w:numId w:val="36"/>
        </w:numPr>
        <w:ind w:left="567" w:hanging="283"/>
        <w:rPr>
          <w:rFonts w:cs="Arial"/>
        </w:rPr>
      </w:pPr>
      <w:r>
        <w:rPr>
          <w:rFonts w:cs="Arial"/>
          <w:color w:val="000000"/>
        </w:rPr>
        <w:t>p</w:t>
      </w:r>
      <w:r w:rsidRPr="00E5735D">
        <w:rPr>
          <w:rFonts w:cs="Arial"/>
          <w:color w:val="000000"/>
        </w:rPr>
        <w:t xml:space="preserve">lantes ornementales : </w:t>
      </w:r>
      <w:proofErr w:type="spellStart"/>
      <w:r>
        <w:rPr>
          <w:rFonts w:cs="Arial"/>
          <w:i/>
          <w:color w:val="000000"/>
          <w:u w:val="single"/>
        </w:rPr>
        <w:t>G</w:t>
      </w:r>
      <w:r w:rsidRPr="00F073BF">
        <w:rPr>
          <w:rFonts w:cs="Arial"/>
          <w:i/>
          <w:color w:val="000000"/>
          <w:u w:val="single"/>
        </w:rPr>
        <w:t>uzmania</w:t>
      </w:r>
      <w:proofErr w:type="spellEnd"/>
      <w:r w:rsidRPr="00F073BF">
        <w:rPr>
          <w:rFonts w:cs="Arial"/>
          <w:i/>
          <w:color w:val="000000"/>
          <w:u w:val="single"/>
        </w:rPr>
        <w:t xml:space="preserve">, </w:t>
      </w:r>
      <w:r>
        <w:rPr>
          <w:rFonts w:cs="Arial"/>
          <w:i/>
          <w:color w:val="000000"/>
          <w:u w:val="single"/>
        </w:rPr>
        <w:t>Lobelia</w:t>
      </w:r>
      <w:r w:rsidRPr="00F073BF">
        <w:rPr>
          <w:rFonts w:cs="Arial"/>
          <w:i/>
          <w:color w:val="000000"/>
          <w:u w:val="single"/>
        </w:rPr>
        <w:t xml:space="preserve">, </w:t>
      </w:r>
      <w:r>
        <w:rPr>
          <w:rFonts w:cs="Arial"/>
          <w:i/>
          <w:color w:val="000000"/>
          <w:u w:val="single"/>
        </w:rPr>
        <w:t xml:space="preserve">Germanium </w:t>
      </w:r>
      <w:r>
        <w:rPr>
          <w:rFonts w:cs="Arial"/>
          <w:color w:val="000000"/>
          <w:u w:val="single"/>
        </w:rPr>
        <w:t>et</w:t>
      </w:r>
      <w:r>
        <w:rPr>
          <w:rFonts w:cs="Arial"/>
          <w:i/>
          <w:color w:val="000000"/>
          <w:u w:val="single"/>
        </w:rPr>
        <w:t xml:space="preserve"> </w:t>
      </w:r>
      <w:proofErr w:type="spellStart"/>
      <w:r>
        <w:rPr>
          <w:rFonts w:cs="Arial"/>
          <w:i/>
          <w:color w:val="000000"/>
          <w:u w:val="single"/>
        </w:rPr>
        <w:t>C</w:t>
      </w:r>
      <w:r w:rsidRPr="00F073BF">
        <w:rPr>
          <w:rFonts w:cs="Arial"/>
          <w:i/>
          <w:color w:val="000000"/>
          <w:u w:val="single"/>
        </w:rPr>
        <w:t>allistephus</w:t>
      </w:r>
      <w:proofErr w:type="spellEnd"/>
      <w:r w:rsidRPr="00F073BF">
        <w:rPr>
          <w:rFonts w:cs="Arial"/>
          <w:i/>
          <w:color w:val="000000"/>
          <w:u w:val="single"/>
        </w:rPr>
        <w:t xml:space="preserve"> </w:t>
      </w:r>
      <w:proofErr w:type="spellStart"/>
      <w:r w:rsidRPr="00F073BF">
        <w:rPr>
          <w:rFonts w:cs="Arial"/>
          <w:i/>
          <w:color w:val="000000"/>
          <w:u w:val="single"/>
        </w:rPr>
        <w:t>chinensis</w:t>
      </w:r>
      <w:proofErr w:type="spellEnd"/>
      <w:r w:rsidRPr="00E5735D">
        <w:rPr>
          <w:rFonts w:cs="Arial"/>
          <w:color w:val="000000"/>
        </w:rPr>
        <w:t>;</w:t>
      </w:r>
    </w:p>
    <w:p w:rsidR="006C5CF8" w:rsidRPr="00E5735D" w:rsidRDefault="006C5CF8" w:rsidP="006C5CF8">
      <w:pPr>
        <w:numPr>
          <w:ilvl w:val="0"/>
          <w:numId w:val="36"/>
        </w:numPr>
        <w:ind w:left="567" w:hanging="283"/>
        <w:rPr>
          <w:rFonts w:cs="Arial"/>
        </w:rPr>
      </w:pPr>
      <w:r>
        <w:rPr>
          <w:rFonts w:cs="Arial"/>
          <w:color w:val="000000"/>
        </w:rPr>
        <w:t>p</w:t>
      </w:r>
      <w:r w:rsidRPr="00E5735D">
        <w:rPr>
          <w:rFonts w:cs="Arial"/>
          <w:color w:val="000000"/>
        </w:rPr>
        <w:t xml:space="preserve">lantes fruitières : </w:t>
      </w:r>
      <w:proofErr w:type="spellStart"/>
      <w:r w:rsidRPr="00F073BF">
        <w:rPr>
          <w:rFonts w:cs="Arial"/>
          <w:i/>
          <w:color w:val="000000"/>
        </w:rPr>
        <w:t>Ribes</w:t>
      </w:r>
      <w:proofErr w:type="spellEnd"/>
      <w:r w:rsidRPr="00F073BF">
        <w:rPr>
          <w:rFonts w:cs="Arial"/>
          <w:i/>
          <w:color w:val="000000"/>
        </w:rPr>
        <w:t xml:space="preserve"> </w:t>
      </w:r>
      <w:proofErr w:type="spellStart"/>
      <w:r w:rsidRPr="00F073BF">
        <w:rPr>
          <w:rFonts w:cs="Arial"/>
          <w:i/>
          <w:color w:val="000000"/>
        </w:rPr>
        <w:t>uva</w:t>
      </w:r>
      <w:proofErr w:type="spellEnd"/>
      <w:r w:rsidRPr="00F073BF">
        <w:rPr>
          <w:rFonts w:cs="Arial"/>
          <w:i/>
          <w:color w:val="000000"/>
        </w:rPr>
        <w:t>-crispa</w:t>
      </w:r>
      <w:r w:rsidRPr="00E5735D">
        <w:rPr>
          <w:rFonts w:cs="Arial"/>
          <w:color w:val="000000"/>
        </w:rPr>
        <w:t>.</w:t>
      </w:r>
    </w:p>
    <w:p w:rsidR="006C5CF8" w:rsidRPr="00E5735D" w:rsidRDefault="006C5CF8" w:rsidP="006C5CF8">
      <w:pPr>
        <w:rPr>
          <w:rFonts w:cs="Arial"/>
        </w:rPr>
      </w:pPr>
    </w:p>
    <w:p w:rsidR="006C5CF8" w:rsidRPr="00E5735D" w:rsidRDefault="006C5CF8" w:rsidP="006C5CF8">
      <w:pPr>
        <w:rPr>
          <w:rFonts w:cs="Arial"/>
          <w:u w:val="single"/>
        </w:rPr>
      </w:pPr>
      <w:r>
        <w:rPr>
          <w:rFonts w:cs="Arial"/>
          <w:u w:val="single"/>
        </w:rPr>
        <w:t xml:space="preserve">c. </w:t>
      </w:r>
      <w:r w:rsidRPr="00CD4BD6">
        <w:rPr>
          <w:rFonts w:cs="Arial"/>
          <w:u w:val="single"/>
        </w:rPr>
        <w:t xml:space="preserve">Poursuite de la mise au point de la base de données </w:t>
      </w:r>
      <w:proofErr w:type="spellStart"/>
      <w:r w:rsidRPr="00CD4BD6">
        <w:rPr>
          <w:rFonts w:cs="Arial"/>
          <w:u w:val="single"/>
        </w:rPr>
        <w:t>Variety</w:t>
      </w:r>
      <w:proofErr w:type="spellEnd"/>
      <w:r w:rsidRPr="00CD4BD6">
        <w:rPr>
          <w:rFonts w:cs="Arial"/>
          <w:u w:val="single"/>
        </w:rPr>
        <w:t xml:space="preserve"> Finder de l’OCVV</w:t>
      </w:r>
    </w:p>
    <w:p w:rsidR="006C5CF8" w:rsidRPr="00E5735D" w:rsidRDefault="006C5CF8" w:rsidP="006C5CF8">
      <w:pPr>
        <w:rPr>
          <w:rFonts w:cs="Arial"/>
        </w:rPr>
      </w:pPr>
    </w:p>
    <w:p w:rsidR="006C5CF8" w:rsidRPr="00E5735D" w:rsidRDefault="006C5CF8" w:rsidP="006C5CF8">
      <w:pPr>
        <w:rPr>
          <w:rFonts w:cs="Arial"/>
        </w:rPr>
      </w:pPr>
      <w:r w:rsidRPr="00CD4BD6">
        <w:rPr>
          <w:rFonts w:cs="Arial"/>
        </w:rPr>
        <w:t xml:space="preserve">Gérée et développée par l’OCVV depuis 2005, la base de données en ligne </w:t>
      </w:r>
      <w:proofErr w:type="spellStart"/>
      <w:r w:rsidRPr="00CD4BD6">
        <w:rPr>
          <w:rFonts w:cs="Arial"/>
        </w:rPr>
        <w:t>Variety</w:t>
      </w:r>
      <w:proofErr w:type="spellEnd"/>
      <w:r w:rsidRPr="00CD4BD6">
        <w:rPr>
          <w:rFonts w:cs="Arial"/>
        </w:rPr>
        <w:t xml:space="preserve"> Finder contient des informations sur les registres de plus de 70 pays et un outil de recherche général.</w:t>
      </w:r>
      <w:r w:rsidRPr="00CD4BD6">
        <w:t xml:space="preserve">  </w:t>
      </w:r>
      <w:r w:rsidRPr="00CD4BD6">
        <w:rPr>
          <w:rFonts w:cs="Arial"/>
        </w:rPr>
        <w:t>Elle inclut également un outil de recherche de similitude afin de tester l’éligibilité des dénominations variétales.</w:t>
      </w:r>
      <w:r w:rsidRPr="00CD4BD6">
        <w:t xml:space="preserve">  </w:t>
      </w:r>
      <w:r w:rsidRPr="00E5735D">
        <w:rPr>
          <w:rFonts w:cs="Arial"/>
          <w:color w:val="000000"/>
        </w:rPr>
        <w:t>Le principe général consiste à mettre à jour la base de données dès que les données sont officiellement publiées.</w:t>
      </w:r>
      <w:r w:rsidRPr="00E5735D">
        <w:rPr>
          <w:color w:val="000000"/>
        </w:rPr>
        <w:t xml:space="preserve">  </w:t>
      </w:r>
      <w:r w:rsidRPr="00E5735D">
        <w:rPr>
          <w:rFonts w:cs="Arial"/>
          <w:color w:val="000000"/>
        </w:rPr>
        <w:t>Un mémorandum d’accord a été signé avec l’UPOV afin de partager la tâche de la collecte de données provenant des États membres de l’UE et de pays non membres de l’UE, et de garantir un échange de données régulier.</w:t>
      </w:r>
    </w:p>
    <w:p w:rsidR="006C5CF8" w:rsidRPr="00E5735D" w:rsidRDefault="006C5CF8" w:rsidP="006C5CF8">
      <w:pPr>
        <w:rPr>
          <w:rFonts w:cs="Arial"/>
        </w:rPr>
      </w:pPr>
    </w:p>
    <w:p w:rsidR="006C5CF8" w:rsidRPr="00E5735D" w:rsidRDefault="006C5CF8" w:rsidP="006C5CF8">
      <w:pPr>
        <w:rPr>
          <w:rFonts w:cs="Arial"/>
        </w:rPr>
      </w:pPr>
      <w:r w:rsidRPr="00E5735D">
        <w:rPr>
          <w:rFonts w:cs="Arial"/>
          <w:color w:val="000000"/>
        </w:rPr>
        <w:t xml:space="preserve">Au total, plus d’un million d’archives provenant des États membres de l’UE et de l’UPOV ont été incluses dans </w:t>
      </w:r>
      <w:proofErr w:type="spellStart"/>
      <w:r w:rsidRPr="00E5735D">
        <w:rPr>
          <w:rFonts w:cs="Arial"/>
          <w:color w:val="000000"/>
        </w:rPr>
        <w:t>Variety</w:t>
      </w:r>
      <w:proofErr w:type="spellEnd"/>
      <w:r w:rsidRPr="00E5735D">
        <w:rPr>
          <w:rFonts w:cs="Arial"/>
          <w:color w:val="000000"/>
        </w:rPr>
        <w:t xml:space="preserve"> Finder.</w:t>
      </w:r>
      <w:r w:rsidRPr="00E5735D">
        <w:rPr>
          <w:color w:val="000000"/>
        </w:rPr>
        <w:t xml:space="preserve">  </w:t>
      </w:r>
      <w:r w:rsidRPr="00E5735D">
        <w:rPr>
          <w:rFonts w:cs="Arial"/>
          <w:color w:val="000000"/>
        </w:rPr>
        <w:t xml:space="preserve">Ces dernières années, l’utilisation du </w:t>
      </w:r>
      <w:proofErr w:type="spellStart"/>
      <w:r w:rsidRPr="00E5735D">
        <w:rPr>
          <w:rFonts w:cs="Arial"/>
          <w:color w:val="000000"/>
        </w:rPr>
        <w:t>Variety</w:t>
      </w:r>
      <w:proofErr w:type="spellEnd"/>
      <w:r w:rsidRPr="00E5735D">
        <w:rPr>
          <w:rFonts w:cs="Arial"/>
          <w:color w:val="000000"/>
        </w:rPr>
        <w:t xml:space="preserve"> Finder est en constante augmentation.</w:t>
      </w:r>
      <w:r w:rsidRPr="00E5735D">
        <w:rPr>
          <w:color w:val="000000"/>
        </w:rPr>
        <w:t xml:space="preserve">  </w:t>
      </w:r>
      <w:r w:rsidRPr="00E5735D">
        <w:rPr>
          <w:rFonts w:cs="Arial"/>
          <w:color w:val="000000"/>
        </w:rPr>
        <w:t>Les clients de l’OCVV représentant la majorité des utilisateurs avec plus de 50% de tests de similitude lancés.</w:t>
      </w:r>
      <w:r w:rsidRPr="00E5735D">
        <w:rPr>
          <w:color w:val="000000"/>
        </w:rPr>
        <w:t xml:space="preserve">  </w:t>
      </w:r>
      <w:r w:rsidRPr="00E5735D">
        <w:rPr>
          <w:rFonts w:cs="Arial"/>
          <w:color w:val="000000"/>
        </w:rPr>
        <w:t>Environ 80 000 tests de similitude de dénomination sont lancés chaque année.</w:t>
      </w:r>
    </w:p>
    <w:p w:rsidR="006C5CF8" w:rsidRPr="00E5735D" w:rsidRDefault="006C5CF8" w:rsidP="006C5CF8">
      <w:pPr>
        <w:rPr>
          <w:rFonts w:cs="Arial"/>
        </w:rPr>
      </w:pPr>
    </w:p>
    <w:p w:rsidR="006C5CF8" w:rsidRPr="00E5735D" w:rsidRDefault="006C5CF8" w:rsidP="006C5CF8">
      <w:pPr>
        <w:keepNext/>
        <w:rPr>
          <w:rFonts w:cs="Arial"/>
        </w:rPr>
      </w:pPr>
      <w:r w:rsidRPr="00CD4BD6">
        <w:rPr>
          <w:rFonts w:cs="Arial"/>
        </w:rPr>
        <w:lastRenderedPageBreak/>
        <w:t>Le graphique ci-après donne un aperçu du contenu de la base de données, avec le nombre d’enregistrements par type de registre.</w:t>
      </w:r>
    </w:p>
    <w:p w:rsidR="006C5CF8" w:rsidRPr="00E5735D" w:rsidRDefault="006C5CF8" w:rsidP="006C5CF8">
      <w:pPr>
        <w:keepNext/>
        <w:rPr>
          <w:rFonts w:cs="Arial"/>
        </w:rPr>
      </w:pPr>
    </w:p>
    <w:p w:rsidR="006C5CF8" w:rsidRPr="00E5735D" w:rsidRDefault="00D86C31" w:rsidP="006C5CF8">
      <w:pPr>
        <w:jc w:val="center"/>
        <w:rPr>
          <w:rFonts w:cs="Arial"/>
        </w:rPr>
      </w:pPr>
      <w:r>
        <w:rPr>
          <w:rFonts w:cs="Arial"/>
          <w:noProof/>
          <w:lang w:val="en-US"/>
        </w:rPr>
        <w:drawing>
          <wp:inline distT="0" distB="0" distL="0" distR="0" wp14:anchorId="10DD7156">
            <wp:extent cx="5389245" cy="310896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89245" cy="3108960"/>
                    </a:xfrm>
                    <a:prstGeom prst="rect">
                      <a:avLst/>
                    </a:prstGeom>
                    <a:noFill/>
                  </pic:spPr>
                </pic:pic>
              </a:graphicData>
            </a:graphic>
          </wp:inline>
        </w:drawing>
      </w:r>
    </w:p>
    <w:p w:rsidR="006C5CF8" w:rsidRPr="00E5735D" w:rsidRDefault="006C5CF8" w:rsidP="006C5CF8">
      <w:pPr>
        <w:rPr>
          <w:rFonts w:cs="Arial"/>
        </w:rPr>
      </w:pPr>
    </w:p>
    <w:p w:rsidR="006C5CF8" w:rsidRPr="00E5735D" w:rsidRDefault="006C5CF8" w:rsidP="006C5CF8">
      <w:pPr>
        <w:keepNext/>
        <w:rPr>
          <w:rFonts w:cs="Arial"/>
          <w:u w:val="single"/>
        </w:rPr>
      </w:pPr>
      <w:r w:rsidRPr="00CD4BD6">
        <w:rPr>
          <w:rFonts w:cs="Arial"/>
          <w:u w:val="single"/>
        </w:rPr>
        <w:t>d.</w:t>
      </w:r>
      <w:r w:rsidRPr="00CD4BD6">
        <w:rPr>
          <w:rFonts w:cs="Arial"/>
          <w:u w:val="single"/>
        </w:rPr>
        <w:tab/>
      </w:r>
      <w:r w:rsidRPr="00E5735D">
        <w:rPr>
          <w:rFonts w:cs="Arial"/>
          <w:color w:val="000000"/>
          <w:u w:val="single"/>
        </w:rPr>
        <w:t>Coopération avec les États membres de l’Union européenne en matière d’essais de dénomination</w:t>
      </w:r>
    </w:p>
    <w:p w:rsidR="006C5CF8" w:rsidRPr="00E5735D" w:rsidRDefault="006C5CF8" w:rsidP="006C5CF8">
      <w:pPr>
        <w:keepNext/>
        <w:rPr>
          <w:rFonts w:cs="Arial"/>
        </w:rPr>
      </w:pPr>
    </w:p>
    <w:p w:rsidR="006C5CF8" w:rsidRPr="00E5735D" w:rsidRDefault="006C5CF8" w:rsidP="006C5CF8">
      <w:pPr>
        <w:keepNext/>
        <w:rPr>
          <w:rFonts w:cs="Arial"/>
        </w:rPr>
      </w:pPr>
      <w:r w:rsidRPr="00E5735D">
        <w:rPr>
          <w:rFonts w:cs="Arial"/>
          <w:color w:val="000000"/>
        </w:rPr>
        <w:t>Nombre de demandes d’analyse reçues et de services nationaux fournissant des données au 31/12 (2012-2019)</w:t>
      </w:r>
    </w:p>
    <w:p w:rsidR="006C5CF8" w:rsidRPr="00E5735D" w:rsidRDefault="006C5CF8" w:rsidP="006C5CF8">
      <w:pPr>
        <w:keepNext/>
        <w:rPr>
          <w:rFonts w:cs="Arial"/>
        </w:rPr>
      </w:pPr>
    </w:p>
    <w:p w:rsidR="006C5CF8" w:rsidRPr="00E5735D" w:rsidRDefault="00D86C31" w:rsidP="006C5CF8">
      <w:pPr>
        <w:jc w:val="center"/>
        <w:rPr>
          <w:rFonts w:cs="Arial"/>
        </w:rPr>
      </w:pPr>
      <w:r>
        <w:rPr>
          <w:rFonts w:cs="Arial"/>
          <w:noProof/>
          <w:lang w:val="en-US"/>
        </w:rPr>
        <w:drawing>
          <wp:inline distT="0" distB="0" distL="0" distR="0" wp14:anchorId="7A736CED">
            <wp:extent cx="5450205" cy="32740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50205" cy="3274060"/>
                    </a:xfrm>
                    <a:prstGeom prst="rect">
                      <a:avLst/>
                    </a:prstGeom>
                    <a:noFill/>
                  </pic:spPr>
                </pic:pic>
              </a:graphicData>
            </a:graphic>
          </wp:inline>
        </w:drawing>
      </w:r>
    </w:p>
    <w:p w:rsidR="006C5CF8" w:rsidRPr="00E5735D" w:rsidRDefault="006C5CF8" w:rsidP="006C5CF8">
      <w:pPr>
        <w:rPr>
          <w:rFonts w:cs="Arial"/>
        </w:rPr>
      </w:pPr>
    </w:p>
    <w:p w:rsidR="006C5CF8" w:rsidRPr="00E5735D" w:rsidRDefault="006C5CF8" w:rsidP="006C5CF8">
      <w:pPr>
        <w:rPr>
          <w:rFonts w:cs="Arial"/>
        </w:rPr>
      </w:pPr>
    </w:p>
    <w:p w:rsidR="006C5CF8" w:rsidRPr="00E5735D" w:rsidRDefault="006C5CF8" w:rsidP="006C5CF8">
      <w:pPr>
        <w:rPr>
          <w:rFonts w:cs="Arial"/>
        </w:rPr>
      </w:pPr>
      <w:r w:rsidRPr="00E5735D">
        <w:rPr>
          <w:rFonts w:cs="Arial"/>
          <w:color w:val="000000"/>
        </w:rPr>
        <w:t>Malgré un léger recul du nombre de demandes d’opinion en 2019, la coopération en matière d’essais de dénomination a fait preuve d’une grande vitalité au fil du temps.</w:t>
      </w:r>
      <w:r w:rsidRPr="00E5735D">
        <w:rPr>
          <w:color w:val="000000"/>
        </w:rPr>
        <w:t xml:space="preserve">  </w:t>
      </w:r>
      <w:r w:rsidRPr="00E5735D">
        <w:rPr>
          <w:rFonts w:cs="Arial"/>
          <w:color w:val="000000"/>
        </w:rPr>
        <w:t>Ce service assure l’harmonisation des approches et une plus grande convergence dans l’application et la mise en œuvre des règles en matière de dénomination, au bénéfice du système de protection des obtentions végétales et des parties concernées.</w:t>
      </w:r>
      <w:r w:rsidRPr="00E5735D">
        <w:rPr>
          <w:color w:val="000000"/>
        </w:rPr>
        <w:t xml:space="preserve">  </w:t>
      </w:r>
      <w:r w:rsidRPr="00E5735D">
        <w:rPr>
          <w:rFonts w:cs="Arial"/>
          <w:color w:val="000000"/>
        </w:rPr>
        <w:t>Le service de coopération est fondé sur un processus dynamique et collaboratif qui permet de rester réactif en ce qui concerne l’interprétation des règles et les besoins d’évolution.</w:t>
      </w:r>
    </w:p>
    <w:p w:rsidR="006C5CF8" w:rsidRPr="00E5735D" w:rsidRDefault="006C5CF8" w:rsidP="006C5CF8">
      <w:pPr>
        <w:rPr>
          <w:rFonts w:cs="Arial"/>
        </w:rPr>
      </w:pPr>
    </w:p>
    <w:p w:rsidR="006C5CF8" w:rsidRPr="00E5735D" w:rsidRDefault="006C5CF8" w:rsidP="006C5CF8">
      <w:pPr>
        <w:keepNext/>
        <w:rPr>
          <w:rFonts w:cs="Arial"/>
          <w:u w:val="single"/>
        </w:rPr>
      </w:pPr>
      <w:r>
        <w:rPr>
          <w:rFonts w:cs="Arial"/>
          <w:u w:val="single"/>
        </w:rPr>
        <w:lastRenderedPageBreak/>
        <w:t xml:space="preserve">4.2 </w:t>
      </w:r>
      <w:r w:rsidRPr="00CD4BD6">
        <w:rPr>
          <w:rFonts w:cs="Arial"/>
          <w:u w:val="single"/>
        </w:rPr>
        <w:t>Réunions des experts en plantes</w:t>
      </w:r>
    </w:p>
    <w:p w:rsidR="006C5CF8" w:rsidRPr="00E5735D" w:rsidRDefault="006C5CF8" w:rsidP="006C5CF8">
      <w:pPr>
        <w:keepNext/>
        <w:rPr>
          <w:rFonts w:cs="Arial"/>
        </w:rPr>
      </w:pPr>
    </w:p>
    <w:p w:rsidR="006C5CF8" w:rsidRPr="00E5735D" w:rsidRDefault="006C5CF8" w:rsidP="006C5CF8">
      <w:pPr>
        <w:keepNext/>
        <w:rPr>
          <w:rFonts w:cs="Arial"/>
        </w:rPr>
      </w:pPr>
      <w:r w:rsidRPr="00CD4BD6">
        <w:rPr>
          <w:rFonts w:cs="Arial"/>
        </w:rPr>
        <w:t>Une réunion d’experts des plantes agricoles a eu lieu les 8 et 9 octobre 2019 pour débattre des points suivants :</w:t>
      </w:r>
    </w:p>
    <w:p w:rsidR="006C5CF8" w:rsidRPr="00E5735D" w:rsidRDefault="006C5CF8" w:rsidP="006C5CF8">
      <w:pPr>
        <w:keepNext/>
        <w:rPr>
          <w:rFonts w:cs="Arial"/>
        </w:rPr>
      </w:pPr>
    </w:p>
    <w:p w:rsidR="006C5CF8" w:rsidRPr="00E5735D" w:rsidRDefault="006C5CF8" w:rsidP="006C5CF8">
      <w:pPr>
        <w:numPr>
          <w:ilvl w:val="0"/>
          <w:numId w:val="36"/>
        </w:numPr>
        <w:ind w:left="567" w:hanging="283"/>
        <w:rPr>
          <w:rFonts w:cs="Arial"/>
        </w:rPr>
      </w:pPr>
      <w:r w:rsidRPr="00CD4BD6">
        <w:rPr>
          <w:rFonts w:cs="Arial"/>
        </w:rPr>
        <w:t>révisions de plusieurs protocoles techniques et nouveaux protocoles techniques;</w:t>
      </w:r>
    </w:p>
    <w:p w:rsidR="006C5CF8" w:rsidRPr="00E5735D" w:rsidRDefault="006C5CF8" w:rsidP="006C5CF8">
      <w:pPr>
        <w:numPr>
          <w:ilvl w:val="0"/>
          <w:numId w:val="36"/>
        </w:numPr>
        <w:ind w:left="567" w:hanging="283"/>
        <w:rPr>
          <w:rFonts w:cs="Arial"/>
        </w:rPr>
      </w:pPr>
      <w:r w:rsidRPr="00E5735D">
        <w:rPr>
          <w:rFonts w:cs="Arial"/>
          <w:color w:val="000000"/>
        </w:rPr>
        <w:t>examen de variétés hybrides du blé;</w:t>
      </w:r>
    </w:p>
    <w:p w:rsidR="006C5CF8" w:rsidRPr="00E5735D" w:rsidRDefault="006C5CF8" w:rsidP="006C5CF8">
      <w:pPr>
        <w:numPr>
          <w:ilvl w:val="0"/>
          <w:numId w:val="36"/>
        </w:numPr>
        <w:ind w:left="567" w:hanging="283"/>
        <w:rPr>
          <w:rFonts w:cs="Arial"/>
        </w:rPr>
      </w:pPr>
      <w:r w:rsidRPr="00E5735D">
        <w:rPr>
          <w:rFonts w:cs="Arial"/>
          <w:color w:val="000000"/>
        </w:rPr>
        <w:t>caractères avec une seule observation dans les essais pluriannuels;</w:t>
      </w:r>
    </w:p>
    <w:p w:rsidR="006C5CF8" w:rsidRPr="00E5735D" w:rsidRDefault="006C5CF8" w:rsidP="006C5CF8">
      <w:pPr>
        <w:numPr>
          <w:ilvl w:val="0"/>
          <w:numId w:val="36"/>
        </w:numPr>
        <w:ind w:left="567" w:hanging="283"/>
        <w:rPr>
          <w:rFonts w:cs="Arial"/>
        </w:rPr>
      </w:pPr>
      <w:r w:rsidRPr="00E5735D">
        <w:rPr>
          <w:rFonts w:cs="Arial"/>
          <w:color w:val="000000"/>
        </w:rPr>
        <w:t>caractères dont la notation est de type VG : exigences du point de vue juridique;</w:t>
      </w:r>
    </w:p>
    <w:p w:rsidR="006C5CF8" w:rsidRPr="00E5735D" w:rsidRDefault="006C5CF8" w:rsidP="006C5CF8">
      <w:pPr>
        <w:numPr>
          <w:ilvl w:val="0"/>
          <w:numId w:val="36"/>
        </w:numPr>
        <w:ind w:left="567" w:hanging="283"/>
        <w:rPr>
          <w:rFonts w:cs="Arial"/>
        </w:rPr>
      </w:pPr>
      <w:r w:rsidRPr="00E5735D">
        <w:rPr>
          <w:rFonts w:cs="Arial"/>
          <w:color w:val="000000"/>
        </w:rPr>
        <w:t>évaluation des risques pour les cycles de végétation non successifs dans les essais pluriannuels;</w:t>
      </w:r>
    </w:p>
    <w:p w:rsidR="006C5CF8" w:rsidRPr="00E5735D" w:rsidRDefault="006C5CF8" w:rsidP="006C5CF8">
      <w:pPr>
        <w:numPr>
          <w:ilvl w:val="0"/>
          <w:numId w:val="36"/>
        </w:numPr>
        <w:ind w:left="567" w:hanging="283"/>
        <w:rPr>
          <w:rFonts w:cs="Arial"/>
        </w:rPr>
      </w:pPr>
      <w:r w:rsidRPr="00E5735D">
        <w:rPr>
          <w:rFonts w:cs="Arial"/>
          <w:color w:val="000000"/>
        </w:rPr>
        <w:t>nouveau règlement phytosanitaire, incidence sur la soumission de matériel végétal pour l’examen DHS;</w:t>
      </w:r>
    </w:p>
    <w:p w:rsidR="006C5CF8" w:rsidRPr="00E5735D" w:rsidRDefault="006C5CF8" w:rsidP="006C5CF8">
      <w:pPr>
        <w:numPr>
          <w:ilvl w:val="0"/>
          <w:numId w:val="36"/>
        </w:numPr>
        <w:ind w:left="567" w:hanging="283"/>
        <w:rPr>
          <w:rFonts w:cs="Arial"/>
        </w:rPr>
      </w:pPr>
      <w:r w:rsidRPr="00CD4BD6">
        <w:rPr>
          <w:rFonts w:cs="Arial"/>
        </w:rPr>
        <w:t xml:space="preserve">situation concernant les projets de </w:t>
      </w:r>
      <w:r>
        <w:rPr>
          <w:rFonts w:cs="Arial"/>
        </w:rPr>
        <w:t>R-D</w:t>
      </w:r>
      <w:r w:rsidRPr="00CD4BD6">
        <w:rPr>
          <w:rFonts w:cs="Arial"/>
        </w:rPr>
        <w:t xml:space="preserve"> en cours et futurs liés au secteur de l’agriculture</w:t>
      </w:r>
      <w:r w:rsidRPr="00E5735D">
        <w:rPr>
          <w:rFonts w:cs="Arial"/>
          <w:color w:val="000000"/>
        </w:rPr>
        <w:t>;</w:t>
      </w:r>
    </w:p>
    <w:p w:rsidR="006C5CF8" w:rsidRPr="00E5735D" w:rsidRDefault="006C5CF8" w:rsidP="006C5CF8">
      <w:pPr>
        <w:numPr>
          <w:ilvl w:val="0"/>
          <w:numId w:val="36"/>
        </w:numPr>
        <w:ind w:left="567" w:hanging="283"/>
        <w:rPr>
          <w:rFonts w:cs="Arial"/>
        </w:rPr>
      </w:pPr>
      <w:r w:rsidRPr="00E5735D">
        <w:rPr>
          <w:rFonts w:cs="Arial"/>
          <w:color w:val="000000"/>
        </w:rPr>
        <w:t>examen du maïs.</w:t>
      </w:r>
    </w:p>
    <w:p w:rsidR="006C5CF8" w:rsidRPr="00E5735D" w:rsidRDefault="006C5CF8" w:rsidP="006C5CF8">
      <w:pPr>
        <w:rPr>
          <w:rFonts w:cs="Arial"/>
        </w:rPr>
      </w:pPr>
    </w:p>
    <w:p w:rsidR="006C5CF8" w:rsidRDefault="006C5CF8" w:rsidP="006C5CF8">
      <w:pPr>
        <w:rPr>
          <w:rFonts w:cs="Arial"/>
        </w:rPr>
      </w:pPr>
      <w:r w:rsidRPr="00CD4BD6">
        <w:rPr>
          <w:rFonts w:cs="Arial"/>
        </w:rPr>
        <w:t>Une réunion d’experts des plantes potagères a été organisée les 2 et 3 décembre 2019 pour débattre des points suivants :</w:t>
      </w:r>
    </w:p>
    <w:p w:rsidR="006C5CF8" w:rsidRPr="00E5735D" w:rsidRDefault="006C5CF8" w:rsidP="006C5CF8">
      <w:pPr>
        <w:rPr>
          <w:rFonts w:cs="Arial"/>
        </w:rPr>
      </w:pPr>
    </w:p>
    <w:p w:rsidR="006C5CF8" w:rsidRPr="00E5735D" w:rsidRDefault="006C5CF8" w:rsidP="006C5CF8">
      <w:pPr>
        <w:numPr>
          <w:ilvl w:val="0"/>
          <w:numId w:val="36"/>
        </w:numPr>
        <w:ind w:left="567" w:hanging="283"/>
        <w:rPr>
          <w:rFonts w:cs="Arial"/>
        </w:rPr>
      </w:pPr>
      <w:r w:rsidRPr="00E5735D">
        <w:rPr>
          <w:rFonts w:cs="Arial"/>
          <w:color w:val="000000"/>
        </w:rPr>
        <w:t xml:space="preserve">révisions de plusieurs protocoles techniques </w:t>
      </w:r>
      <w:r>
        <w:rPr>
          <w:rFonts w:cs="Arial"/>
          <w:color w:val="000000"/>
        </w:rPr>
        <w:t>relatifs aux</w:t>
      </w:r>
      <w:r w:rsidRPr="00E5735D">
        <w:rPr>
          <w:rFonts w:cs="Arial"/>
          <w:color w:val="000000"/>
        </w:rPr>
        <w:t xml:space="preserve"> culture</w:t>
      </w:r>
      <w:r>
        <w:rPr>
          <w:rFonts w:cs="Arial"/>
          <w:color w:val="000000"/>
        </w:rPr>
        <w:t>s</w:t>
      </w:r>
      <w:r w:rsidRPr="00E5735D">
        <w:rPr>
          <w:rFonts w:cs="Arial"/>
          <w:color w:val="000000"/>
        </w:rPr>
        <w:t xml:space="preserve"> potagère</w:t>
      </w:r>
      <w:r>
        <w:rPr>
          <w:rFonts w:cs="Arial"/>
          <w:color w:val="000000"/>
        </w:rPr>
        <w:t>s</w:t>
      </w:r>
      <w:r w:rsidRPr="00E5735D">
        <w:rPr>
          <w:rFonts w:cs="Arial"/>
          <w:color w:val="000000"/>
        </w:rPr>
        <w:t>;</w:t>
      </w:r>
    </w:p>
    <w:p w:rsidR="006C5CF8" w:rsidRPr="00E5735D" w:rsidRDefault="006C5CF8" w:rsidP="006C5CF8">
      <w:pPr>
        <w:numPr>
          <w:ilvl w:val="0"/>
          <w:numId w:val="36"/>
        </w:numPr>
        <w:ind w:left="567" w:hanging="283"/>
        <w:rPr>
          <w:rFonts w:cs="Arial"/>
        </w:rPr>
      </w:pPr>
      <w:r w:rsidRPr="00E5735D">
        <w:rPr>
          <w:rFonts w:cs="Arial"/>
          <w:color w:val="000000"/>
        </w:rPr>
        <w:t>évaluation des risques pour les cycles de végétation non successifs dans les essais pluriannuels;</w:t>
      </w:r>
    </w:p>
    <w:p w:rsidR="006C5CF8" w:rsidRPr="00E5735D" w:rsidRDefault="006C5CF8" w:rsidP="006C5CF8">
      <w:pPr>
        <w:numPr>
          <w:ilvl w:val="0"/>
          <w:numId w:val="36"/>
        </w:numPr>
        <w:ind w:left="567" w:hanging="283"/>
        <w:rPr>
          <w:rFonts w:cs="Arial"/>
        </w:rPr>
      </w:pPr>
      <w:r w:rsidRPr="00E5735D">
        <w:rPr>
          <w:rFonts w:cs="Arial"/>
          <w:color w:val="000000"/>
        </w:rPr>
        <w:t>caractères dont la notation est de type VG : exigences du point de vue juridique;</w:t>
      </w:r>
    </w:p>
    <w:p w:rsidR="006C5CF8" w:rsidRPr="00E5735D" w:rsidRDefault="006C5CF8" w:rsidP="006C5CF8">
      <w:pPr>
        <w:numPr>
          <w:ilvl w:val="0"/>
          <w:numId w:val="36"/>
        </w:numPr>
        <w:ind w:left="567" w:hanging="283"/>
        <w:rPr>
          <w:rFonts w:cs="Arial"/>
        </w:rPr>
      </w:pPr>
      <w:r w:rsidRPr="00E5735D">
        <w:rPr>
          <w:rFonts w:cs="Arial"/>
          <w:color w:val="000000"/>
        </w:rPr>
        <w:t>nouveau règlement phytosanitaire, incidence sur la soumission de matériel végétal pour l’examen DHS;</w:t>
      </w:r>
    </w:p>
    <w:p w:rsidR="006C5CF8" w:rsidRPr="00E5735D" w:rsidRDefault="006C5CF8" w:rsidP="006C5CF8">
      <w:pPr>
        <w:numPr>
          <w:ilvl w:val="0"/>
          <w:numId w:val="36"/>
        </w:numPr>
        <w:ind w:left="567" w:hanging="283"/>
        <w:rPr>
          <w:rFonts w:cs="Arial"/>
        </w:rPr>
      </w:pPr>
      <w:r w:rsidRPr="00E5735D">
        <w:rPr>
          <w:rFonts w:cs="Arial"/>
          <w:color w:val="000000"/>
        </w:rPr>
        <w:t>s</w:t>
      </w:r>
      <w:r w:rsidRPr="00CD4BD6">
        <w:rPr>
          <w:rFonts w:cs="Arial"/>
        </w:rPr>
        <w:t xml:space="preserve">ituation concernant les projets de </w:t>
      </w:r>
      <w:r>
        <w:rPr>
          <w:rFonts w:cs="Arial"/>
        </w:rPr>
        <w:t xml:space="preserve">R-D </w:t>
      </w:r>
      <w:r w:rsidRPr="00CD4BD6">
        <w:rPr>
          <w:rFonts w:cs="Arial"/>
        </w:rPr>
        <w:t>en cours et futurs liés aux plantes potagères, y compris ceux sous IMODDUS.</w:t>
      </w:r>
    </w:p>
    <w:p w:rsidR="006C5CF8" w:rsidRPr="00E5735D" w:rsidRDefault="006C5CF8" w:rsidP="006C5CF8"/>
    <w:p w:rsidR="006C5CF8" w:rsidRPr="00E5735D" w:rsidRDefault="006C5CF8" w:rsidP="006C5CF8">
      <w:r w:rsidRPr="00E5735D">
        <w:rPr>
          <w:color w:val="000000"/>
        </w:rPr>
        <w:t>Une réunion d’experts des plantes fruitières a été organisée les 24 et 25 septembre 2019 pour débattre entre autres des points suivants :</w:t>
      </w:r>
    </w:p>
    <w:p w:rsidR="006C5CF8" w:rsidRPr="00E5735D" w:rsidRDefault="006C5CF8" w:rsidP="006C5CF8"/>
    <w:p w:rsidR="006C5CF8" w:rsidRPr="00E5735D" w:rsidRDefault="006C5CF8" w:rsidP="006C5CF8">
      <w:pPr>
        <w:numPr>
          <w:ilvl w:val="0"/>
          <w:numId w:val="36"/>
        </w:numPr>
        <w:ind w:left="567" w:hanging="283"/>
        <w:rPr>
          <w:rFonts w:cs="Arial"/>
        </w:rPr>
      </w:pPr>
      <w:r w:rsidRPr="00E5735D">
        <w:rPr>
          <w:rFonts w:cs="Arial"/>
          <w:color w:val="000000"/>
        </w:rPr>
        <w:t>examen de groupes de mutations du pommier;</w:t>
      </w:r>
    </w:p>
    <w:p w:rsidR="006C5CF8" w:rsidRPr="00E5735D" w:rsidRDefault="006C5CF8" w:rsidP="006C5CF8">
      <w:pPr>
        <w:numPr>
          <w:ilvl w:val="0"/>
          <w:numId w:val="36"/>
        </w:numPr>
        <w:ind w:left="567" w:hanging="283"/>
        <w:rPr>
          <w:rFonts w:cs="Arial"/>
        </w:rPr>
      </w:pPr>
      <w:r w:rsidRPr="00E5735D">
        <w:rPr>
          <w:rFonts w:cs="Arial"/>
          <w:color w:val="000000"/>
        </w:rPr>
        <w:t>q</w:t>
      </w:r>
      <w:r w:rsidRPr="00CD4BD6">
        <w:rPr>
          <w:rFonts w:cs="Arial"/>
        </w:rPr>
        <w:t>uestions phytosanitaires;</w:t>
      </w:r>
    </w:p>
    <w:p w:rsidR="006C5CF8" w:rsidRPr="00E5735D" w:rsidRDefault="006C5CF8" w:rsidP="006C5CF8">
      <w:pPr>
        <w:numPr>
          <w:ilvl w:val="0"/>
          <w:numId w:val="36"/>
        </w:numPr>
        <w:ind w:left="567" w:hanging="283"/>
        <w:rPr>
          <w:rFonts w:cs="Arial"/>
        </w:rPr>
      </w:pPr>
      <w:r w:rsidRPr="00E5735D">
        <w:rPr>
          <w:rFonts w:cs="Arial"/>
          <w:color w:val="000000"/>
        </w:rPr>
        <w:t>listes d’espèces pouvant faire l’objet d’une demande de report du début de l’examen DHS;</w:t>
      </w:r>
    </w:p>
    <w:p w:rsidR="006C5CF8" w:rsidRPr="00E5735D" w:rsidRDefault="006C5CF8" w:rsidP="006C5CF8">
      <w:pPr>
        <w:numPr>
          <w:ilvl w:val="0"/>
          <w:numId w:val="36"/>
        </w:numPr>
        <w:ind w:left="567" w:hanging="283"/>
        <w:rPr>
          <w:rFonts w:cs="Arial"/>
        </w:rPr>
      </w:pPr>
      <w:r w:rsidRPr="00E5735D">
        <w:rPr>
          <w:rFonts w:cs="Arial"/>
          <w:color w:val="000000"/>
        </w:rPr>
        <w:t>examen de la myrtille;</w:t>
      </w:r>
    </w:p>
    <w:p w:rsidR="006C5CF8" w:rsidRPr="00E5735D" w:rsidRDefault="006C5CF8" w:rsidP="006C5CF8">
      <w:pPr>
        <w:numPr>
          <w:ilvl w:val="0"/>
          <w:numId w:val="36"/>
        </w:numPr>
        <w:ind w:left="567" w:hanging="283"/>
        <w:rPr>
          <w:rFonts w:cs="Arial"/>
        </w:rPr>
      </w:pPr>
      <w:r w:rsidRPr="00E5735D">
        <w:rPr>
          <w:rFonts w:cs="Arial"/>
          <w:color w:val="000000"/>
        </w:rPr>
        <w:t>stockage potentiel d’échantillons d’ADN à des fins d’application;</w:t>
      </w:r>
    </w:p>
    <w:p w:rsidR="006C5CF8" w:rsidRPr="00E5735D" w:rsidRDefault="006C5CF8" w:rsidP="006C5CF8">
      <w:pPr>
        <w:numPr>
          <w:ilvl w:val="0"/>
          <w:numId w:val="36"/>
        </w:numPr>
        <w:ind w:left="567" w:hanging="283"/>
        <w:rPr>
          <w:rFonts w:cs="Arial"/>
        </w:rPr>
      </w:pPr>
      <w:r w:rsidRPr="00CD4BD6">
        <w:rPr>
          <w:rFonts w:cs="Arial"/>
        </w:rPr>
        <w:t>projets de R-D pour les récoltes fruitières</w:t>
      </w:r>
      <w:r w:rsidRPr="00E5735D">
        <w:rPr>
          <w:rFonts w:cs="Arial"/>
          <w:color w:val="000000"/>
        </w:rPr>
        <w:t>.</w:t>
      </w:r>
    </w:p>
    <w:p w:rsidR="006C5CF8" w:rsidRPr="00E5735D" w:rsidRDefault="006C5CF8" w:rsidP="006C5CF8">
      <w:pPr>
        <w:rPr>
          <w:rFonts w:cs="Arial"/>
        </w:rPr>
      </w:pPr>
    </w:p>
    <w:p w:rsidR="006C5CF8" w:rsidRPr="00E5735D" w:rsidRDefault="006C5CF8" w:rsidP="006C5CF8">
      <w:pPr>
        <w:rPr>
          <w:rFonts w:cs="Arial"/>
        </w:rPr>
      </w:pPr>
      <w:r w:rsidRPr="00E5735D">
        <w:rPr>
          <w:rFonts w:cs="Arial"/>
          <w:color w:val="000000"/>
        </w:rPr>
        <w:t>Une réunion d’experts en plantes ornementales a été organisée le 14 novembre 2019 pour débattre entre autres des points suivants :</w:t>
      </w:r>
    </w:p>
    <w:p w:rsidR="006C5CF8" w:rsidRPr="00E5735D" w:rsidRDefault="006C5CF8" w:rsidP="006C5CF8">
      <w:pPr>
        <w:rPr>
          <w:rFonts w:cs="Arial"/>
        </w:rPr>
      </w:pPr>
    </w:p>
    <w:p w:rsidR="006C5CF8" w:rsidRPr="00E5735D" w:rsidRDefault="006C5CF8" w:rsidP="006C5CF8">
      <w:pPr>
        <w:numPr>
          <w:ilvl w:val="0"/>
          <w:numId w:val="36"/>
        </w:numPr>
        <w:ind w:left="567" w:hanging="283"/>
        <w:rPr>
          <w:rFonts w:cs="Arial"/>
        </w:rPr>
      </w:pPr>
      <w:r w:rsidRPr="00E5735D">
        <w:rPr>
          <w:rFonts w:cs="Arial"/>
          <w:color w:val="000000"/>
        </w:rPr>
        <w:t>obtention de variétés de référence pour l’examen DHS;</w:t>
      </w:r>
    </w:p>
    <w:p w:rsidR="006C5CF8" w:rsidRPr="00E5735D" w:rsidRDefault="006C5CF8" w:rsidP="006C5CF8">
      <w:pPr>
        <w:numPr>
          <w:ilvl w:val="0"/>
          <w:numId w:val="36"/>
        </w:numPr>
        <w:ind w:left="567" w:hanging="283"/>
        <w:rPr>
          <w:rFonts w:cs="Arial"/>
        </w:rPr>
      </w:pPr>
      <w:r w:rsidRPr="00E5735D">
        <w:rPr>
          <w:rFonts w:cs="Arial"/>
          <w:color w:val="000000"/>
        </w:rPr>
        <w:t>révision de la procédure de vérification technique;</w:t>
      </w:r>
    </w:p>
    <w:p w:rsidR="006C5CF8" w:rsidRPr="00E5735D" w:rsidRDefault="006C5CF8" w:rsidP="006C5CF8">
      <w:pPr>
        <w:numPr>
          <w:ilvl w:val="0"/>
          <w:numId w:val="36"/>
        </w:numPr>
        <w:ind w:left="567" w:hanging="283"/>
        <w:rPr>
          <w:rFonts w:cs="Arial"/>
        </w:rPr>
      </w:pPr>
      <w:r w:rsidRPr="00E5735D">
        <w:rPr>
          <w:rFonts w:cs="Arial"/>
          <w:color w:val="000000"/>
        </w:rPr>
        <w:t>origine du matériel de référence;</w:t>
      </w:r>
    </w:p>
    <w:p w:rsidR="006C5CF8" w:rsidRPr="00E5735D" w:rsidRDefault="006C5CF8" w:rsidP="006C5CF8">
      <w:pPr>
        <w:numPr>
          <w:ilvl w:val="0"/>
          <w:numId w:val="36"/>
        </w:numPr>
        <w:ind w:left="567" w:hanging="283"/>
        <w:rPr>
          <w:rFonts w:cs="Arial"/>
        </w:rPr>
      </w:pPr>
      <w:r w:rsidRPr="00E5735D">
        <w:rPr>
          <w:rFonts w:cs="Arial"/>
        </w:rPr>
        <w:t>orientations sur le seuil d’homogénéité pour les sections de couleur présentant un petit écart</w:t>
      </w:r>
    </w:p>
    <w:p w:rsidR="006C5CF8" w:rsidRPr="00E5735D" w:rsidRDefault="00C8765E" w:rsidP="006C5CF8">
      <w:pPr>
        <w:numPr>
          <w:ilvl w:val="0"/>
          <w:numId w:val="36"/>
        </w:numPr>
        <w:ind w:left="567" w:hanging="283"/>
        <w:rPr>
          <w:rFonts w:cs="Arial"/>
        </w:rPr>
      </w:pPr>
      <w:r>
        <w:rPr>
          <w:rFonts w:cs="Arial"/>
        </w:rPr>
        <w:t>les exigences d’un passeport végétal/certificat phytosanitaire</w:t>
      </w:r>
    </w:p>
    <w:p w:rsidR="006C5CF8" w:rsidRPr="00E5735D" w:rsidRDefault="006C5CF8" w:rsidP="006C5CF8">
      <w:pPr>
        <w:numPr>
          <w:ilvl w:val="0"/>
          <w:numId w:val="36"/>
        </w:numPr>
        <w:ind w:left="567" w:hanging="283"/>
        <w:rPr>
          <w:rFonts w:cs="Arial"/>
        </w:rPr>
      </w:pPr>
      <w:r w:rsidRPr="00E5735D">
        <w:rPr>
          <w:rFonts w:cs="Arial"/>
          <w:color w:val="000000"/>
        </w:rPr>
        <w:t>citation du nom commercial dans les documents relatifs à la demande;  et</w:t>
      </w:r>
    </w:p>
    <w:p w:rsidR="006C5CF8" w:rsidRPr="00E5735D" w:rsidRDefault="006C5CF8" w:rsidP="006C5CF8">
      <w:pPr>
        <w:numPr>
          <w:ilvl w:val="0"/>
          <w:numId w:val="36"/>
        </w:numPr>
        <w:ind w:left="567" w:hanging="283"/>
        <w:rPr>
          <w:rFonts w:cs="Arial"/>
        </w:rPr>
      </w:pPr>
      <w:r w:rsidRPr="00E5735D">
        <w:rPr>
          <w:rFonts w:cs="Arial"/>
          <w:color w:val="000000"/>
        </w:rPr>
        <w:t>notion de fin d’un examen DHS.</w:t>
      </w:r>
    </w:p>
    <w:p w:rsidR="006C5CF8" w:rsidRPr="00E5735D" w:rsidRDefault="006C5CF8" w:rsidP="006C5CF8"/>
    <w:p w:rsidR="006C5CF8" w:rsidRPr="00E5735D" w:rsidRDefault="006C5CF8" w:rsidP="006C5CF8">
      <w:pPr>
        <w:rPr>
          <w:u w:val="single"/>
        </w:rPr>
      </w:pPr>
      <w:r>
        <w:rPr>
          <w:u w:val="single"/>
        </w:rPr>
        <w:t xml:space="preserve">4.3 </w:t>
      </w:r>
      <w:r w:rsidRPr="00CD4BD6">
        <w:rPr>
          <w:u w:val="single"/>
        </w:rPr>
        <w:t>Service d’audit qualité</w:t>
      </w:r>
    </w:p>
    <w:p w:rsidR="006C5CF8" w:rsidRPr="00E5735D" w:rsidRDefault="006C5CF8" w:rsidP="006C5CF8">
      <w:pPr>
        <w:rPr>
          <w:rFonts w:cs="Arial"/>
        </w:rPr>
      </w:pPr>
    </w:p>
    <w:p w:rsidR="006C5CF8" w:rsidRPr="00E5735D" w:rsidRDefault="006C5CF8" w:rsidP="006C5CF8">
      <w:pPr>
        <w:rPr>
          <w:rFonts w:cs="Arial"/>
        </w:rPr>
      </w:pPr>
      <w:r w:rsidRPr="00E5735D">
        <w:rPr>
          <w:rFonts w:cs="Arial"/>
          <w:color w:val="000000"/>
        </w:rPr>
        <w:t>Le service d’audit qualité a effectué trois exercices d’évaluation auprès des services d’examen qui lui ont été confiés dans l’Union européenne au cours du second semestre de 2019.</w:t>
      </w:r>
    </w:p>
    <w:p w:rsidR="006C5CF8" w:rsidRPr="00E5735D" w:rsidRDefault="006C5CF8" w:rsidP="006C5CF8">
      <w:pPr>
        <w:rPr>
          <w:rFonts w:cs="Arial"/>
        </w:rPr>
      </w:pPr>
    </w:p>
    <w:p w:rsidR="006C5CF8" w:rsidRPr="00E5735D" w:rsidRDefault="006C5CF8" w:rsidP="006C5CF8">
      <w:pPr>
        <w:rPr>
          <w:rFonts w:cs="Arial"/>
        </w:rPr>
      </w:pPr>
      <w:r w:rsidRPr="00E5735D">
        <w:rPr>
          <w:rFonts w:cs="Arial"/>
          <w:color w:val="000000"/>
        </w:rPr>
        <w:t xml:space="preserve">En outre, le service d’audit qualité a fourni aux administrations chargées de l’examen en Chine, par l’intermédiaire du programme </w:t>
      </w:r>
      <w:proofErr w:type="spellStart"/>
      <w:r w:rsidRPr="00E5735D">
        <w:rPr>
          <w:rFonts w:cs="Arial"/>
          <w:color w:val="000000"/>
        </w:rPr>
        <w:t>IPKey</w:t>
      </w:r>
      <w:proofErr w:type="spellEnd"/>
      <w:r w:rsidRPr="00E5735D">
        <w:rPr>
          <w:rFonts w:cs="Arial"/>
          <w:color w:val="000000"/>
        </w:rPr>
        <w:t xml:space="preserve"> </w:t>
      </w:r>
      <w:r>
        <w:rPr>
          <w:rFonts w:cs="Arial"/>
          <w:color w:val="000000"/>
        </w:rPr>
        <w:t>en Chine</w:t>
      </w:r>
      <w:r w:rsidRPr="00E5735D">
        <w:rPr>
          <w:rFonts w:cs="Arial"/>
          <w:color w:val="000000"/>
        </w:rPr>
        <w:t>, des conseils relatifs à l’amélioration de la qualité des activités en matière d’examen DHS.</w:t>
      </w:r>
      <w:r w:rsidRPr="00E5735D">
        <w:rPr>
          <w:color w:val="000000"/>
        </w:rPr>
        <w:t xml:space="preserve">  </w:t>
      </w:r>
      <w:r w:rsidRPr="00E5735D">
        <w:rPr>
          <w:rFonts w:cs="Arial"/>
          <w:color w:val="000000"/>
        </w:rPr>
        <w:t>L’équipe du service d’audit qualité a notamment accueilli des collègues chinois dans l’UE pendant une semaine en septembre 2019 pour leur communiquer des informations sur les principes de l’audit de qualité dans le cadre de l’examen DHS, et s’est déplacée à Nanjing et à Kunming pendant une semaine en octobre 2019 pour se rendre dans les administrations chargées de l’examen en Chine afin de dispenser une formation sur place à de nombreux examinateurs DHS.</w:t>
      </w:r>
    </w:p>
    <w:p w:rsidR="006C5CF8" w:rsidRPr="00E5735D" w:rsidRDefault="006C5CF8" w:rsidP="006C5CF8">
      <w:pPr>
        <w:rPr>
          <w:rFonts w:cs="Arial"/>
        </w:rPr>
      </w:pPr>
    </w:p>
    <w:p w:rsidR="006C5CF8" w:rsidRPr="00E5735D" w:rsidRDefault="006C5CF8" w:rsidP="006C5CF8">
      <w:pPr>
        <w:rPr>
          <w:rFonts w:cs="Arial"/>
        </w:rPr>
      </w:pPr>
      <w:r w:rsidRPr="00E5735D">
        <w:rPr>
          <w:rFonts w:cs="Arial"/>
        </w:rPr>
        <w:t xml:space="preserve">D’autres activités de formation et de consultation menées par le service d’audit qualité au cours du second semestre 2019 étaient en rapport avec le projet de l’OAPI.  En novembre 2019, l’équipe du service d’audit qualité a entrepris un travail de consultation sur place auprès des administrations chargées de l’examen désignées par l’OAPI au Cameroun et au Sénégal, et a ensuite fait des recommandations à l’OAPI sur la façon </w:t>
      </w:r>
      <w:r w:rsidRPr="00E5735D">
        <w:rPr>
          <w:rFonts w:cs="Arial"/>
        </w:rPr>
        <w:lastRenderedPageBreak/>
        <w:t xml:space="preserve">de renforcer les capacités d’examen DHS dans ces deux pays.  D’autres évaluations relatives aux capacités d’examen DHS dans le cadre du programme de l’OAPI ont été réalisées par l’équipe du service d’audit qualité en février 2020 en Côte d’Ivoire et au Burkina Faso, et des recommandations ont également été faites à l’OAPI sur la manière d’intégrer ces deux pays dans </w:t>
      </w:r>
      <w:r>
        <w:rPr>
          <w:rFonts w:cs="Arial"/>
        </w:rPr>
        <w:t>son</w:t>
      </w:r>
      <w:r w:rsidRPr="00E5735D">
        <w:rPr>
          <w:rFonts w:cs="Arial"/>
        </w:rPr>
        <w:t xml:space="preserve"> réseau d’examen DHS.</w:t>
      </w:r>
    </w:p>
    <w:p w:rsidR="006C5CF8" w:rsidRPr="00E5735D" w:rsidRDefault="006C5CF8" w:rsidP="006C5CF8">
      <w:pPr>
        <w:rPr>
          <w:rFonts w:cs="Arial"/>
        </w:rPr>
      </w:pPr>
    </w:p>
    <w:p w:rsidR="006C5CF8" w:rsidRPr="00E5735D" w:rsidRDefault="006C5CF8" w:rsidP="006C5CF8">
      <w:pPr>
        <w:rPr>
          <w:rFonts w:cs="Arial"/>
        </w:rPr>
      </w:pPr>
      <w:r w:rsidRPr="00E5735D">
        <w:rPr>
          <w:rFonts w:cs="Arial"/>
        </w:rPr>
        <w:t>Comme partout ailleurs, la pandémie de COVID-19 a eu un impact important sur les activités du service d’audit qualité au cours du premier semestre 2020.  Alors que huit exercices d’évaluation avaient été programmés pour les services de l’UE chargés d’effectuer les examens au cours de cette période, en raison des restrictions strictes en matière de déplacements, aucun d’entre eux n’a pu avoir lieu.  Au moment de la rédaction du présent rapport, et avec l’assouplissement des restrictions de voyage, il était prévu que le service d’audit qualité puisse entreprendre deux exercices d’évaluation “prioritaires” au cours de la première quinzaine de septembre 2020.  Toutefois, pour des raisons pratiques et de sécurité, le reste de l’évaluation du service d’audit qualité programmée pour 2020 a été reporté à 2021.  Il sera également proposé au Conseil d’administration de l’OCVV, à la fin du mois de septembre 2020, de prolonger d’un an, jusqu’en 2022, le cycle d’évaluation triennal 2019-2021</w:t>
      </w:r>
      <w:r>
        <w:rPr>
          <w:rFonts w:cs="Arial"/>
        </w:rPr>
        <w:t xml:space="preserve"> </w:t>
      </w:r>
      <w:r w:rsidRPr="00E5735D">
        <w:rPr>
          <w:rFonts w:cs="Arial"/>
        </w:rPr>
        <w:t>actuel.</w:t>
      </w:r>
    </w:p>
    <w:p w:rsidR="006C5CF8" w:rsidRPr="00E5735D" w:rsidRDefault="006C5CF8" w:rsidP="006C5CF8">
      <w:pPr>
        <w:rPr>
          <w:rFonts w:cs="Arial"/>
        </w:rPr>
      </w:pPr>
    </w:p>
    <w:p w:rsidR="006C5CF8" w:rsidRPr="00E5735D" w:rsidRDefault="006C5CF8" w:rsidP="006C5CF8">
      <w:pPr>
        <w:rPr>
          <w:rFonts w:cs="Arial"/>
          <w:u w:val="single"/>
        </w:rPr>
      </w:pPr>
      <w:r>
        <w:rPr>
          <w:rFonts w:cs="Arial"/>
          <w:u w:val="single"/>
        </w:rPr>
        <w:t xml:space="preserve">4.4 </w:t>
      </w:r>
      <w:r w:rsidRPr="00CD4BD6">
        <w:rPr>
          <w:rFonts w:cs="Arial"/>
          <w:u w:val="single"/>
        </w:rPr>
        <w:t>Améliorations informatiques</w:t>
      </w:r>
    </w:p>
    <w:p w:rsidR="006C5CF8" w:rsidRPr="00E5735D" w:rsidRDefault="006C5CF8" w:rsidP="006C5CF8">
      <w:pPr>
        <w:rPr>
          <w:rFonts w:cs="Arial"/>
        </w:rPr>
      </w:pPr>
    </w:p>
    <w:p w:rsidR="006C5CF8" w:rsidRPr="00E5735D" w:rsidRDefault="006C5CF8" w:rsidP="006C5CF8">
      <w:pPr>
        <w:rPr>
          <w:rFonts w:cs="Arial"/>
        </w:rPr>
      </w:pPr>
      <w:r w:rsidRPr="00CD4BD6">
        <w:rPr>
          <w:rFonts w:cs="Arial"/>
        </w:rPr>
        <w:t>Le nouvel outil de demande en ligne de l’OCVV a été lancé en juin 2018, améliorant ainsi les échanges avec les demandeurs.</w:t>
      </w:r>
      <w:r w:rsidRPr="00CD4BD6">
        <w:t xml:space="preserve">  </w:t>
      </w:r>
      <w:r w:rsidRPr="00E5735D">
        <w:rPr>
          <w:rFonts w:cs="Arial"/>
          <w:color w:val="000000"/>
        </w:rPr>
        <w:t>Cet outil est également conçu pour être utilisé par les États membres de l’Union européenne pour recevoir des demandes nationales et a été pleinement opérationnel pour les listes nationales des Pays-Bas et les demandes de protection des obtentions végétales des Pays-Bas depuis la fin de 2019.</w:t>
      </w:r>
      <w:r w:rsidRPr="00E5735D">
        <w:rPr>
          <w:color w:val="000000"/>
        </w:rPr>
        <w:t xml:space="preserve">  </w:t>
      </w:r>
      <w:r w:rsidRPr="00E5735D">
        <w:rPr>
          <w:rFonts w:cs="Arial"/>
          <w:color w:val="000000"/>
        </w:rPr>
        <w:t>Les travaux se concentrent sur l’harmonisation des questionnaires techniques au sein de l’UE afin de faciliter le transfert des demandes.</w:t>
      </w:r>
    </w:p>
    <w:p w:rsidR="006C5CF8" w:rsidRPr="00E5735D" w:rsidRDefault="006C5CF8" w:rsidP="006C5CF8">
      <w:pPr>
        <w:rPr>
          <w:rFonts w:cs="Arial"/>
        </w:rPr>
      </w:pPr>
    </w:p>
    <w:p w:rsidR="006C5CF8" w:rsidRPr="00E5735D" w:rsidRDefault="006C5CF8" w:rsidP="006C5CF8">
      <w:pPr>
        <w:rPr>
          <w:rFonts w:cs="Arial"/>
        </w:rPr>
      </w:pPr>
      <w:r w:rsidRPr="00CD4BD6">
        <w:rPr>
          <w:rFonts w:cs="Arial"/>
        </w:rPr>
        <w:t>Dans le même ordre d’idée, l’OCVV peut recevoir des demandes d’UPOV PRISMA pour toutes les variétés potagères, fruitières ou ornementales, les données étant directement transmises à la base de données interne de l’OCVV sans qu’il faille prendre en considération les informations provenant de documents PDF.</w:t>
      </w:r>
      <w:r w:rsidRPr="00CD4BD6">
        <w:t xml:space="preserve">  </w:t>
      </w:r>
      <w:r w:rsidRPr="00CD4BD6">
        <w:rPr>
          <w:rFonts w:cs="Arial"/>
        </w:rPr>
        <w:t>Cette possibilité existe également pour certaines variétés agricoles.</w:t>
      </w:r>
    </w:p>
    <w:p w:rsidR="006C5CF8" w:rsidRPr="00E5735D" w:rsidRDefault="006C5CF8" w:rsidP="006C5CF8">
      <w:pPr>
        <w:rPr>
          <w:rFonts w:cs="Arial"/>
        </w:rPr>
      </w:pPr>
    </w:p>
    <w:p w:rsidR="006C5CF8" w:rsidRPr="00E5735D" w:rsidRDefault="006C5CF8" w:rsidP="006C5CF8">
      <w:pPr>
        <w:rPr>
          <w:rFonts w:cs="Arial"/>
        </w:rPr>
      </w:pPr>
    </w:p>
    <w:p w:rsidR="006C5CF8" w:rsidRPr="00E5735D" w:rsidRDefault="006C5CF8" w:rsidP="006C5CF8">
      <w:pPr>
        <w:rPr>
          <w:rFonts w:cs="Arial"/>
          <w:u w:val="single"/>
        </w:rPr>
      </w:pPr>
      <w:r w:rsidRPr="00CD4BD6">
        <w:rPr>
          <w:rFonts w:cs="Arial"/>
        </w:rPr>
        <w:t>5.</w:t>
      </w:r>
      <w:r w:rsidRPr="00CD4BD6">
        <w:rPr>
          <w:rFonts w:cs="Arial"/>
        </w:rPr>
        <w:tab/>
      </w:r>
      <w:r w:rsidRPr="00CD4BD6">
        <w:rPr>
          <w:rFonts w:cs="Arial"/>
          <w:u w:val="single"/>
        </w:rPr>
        <w:t>Activités de promotion de la protection des obtentions végétales</w:t>
      </w:r>
    </w:p>
    <w:p w:rsidR="006C5CF8" w:rsidRPr="00E5735D" w:rsidRDefault="006C5CF8" w:rsidP="006C5CF8">
      <w:pPr>
        <w:rPr>
          <w:rFonts w:cs="Arial"/>
        </w:rPr>
      </w:pPr>
    </w:p>
    <w:p w:rsidR="006C5CF8" w:rsidRPr="00E5735D" w:rsidRDefault="006C5CF8" w:rsidP="006C5CF8">
      <w:pPr>
        <w:rPr>
          <w:rFonts w:cs="Arial"/>
          <w:u w:val="single"/>
        </w:rPr>
      </w:pPr>
      <w:r w:rsidRPr="00E5735D">
        <w:rPr>
          <w:rFonts w:cs="Arial"/>
          <w:color w:val="000000"/>
          <w:u w:val="single"/>
        </w:rPr>
        <w:t>Coopération internationale</w:t>
      </w:r>
    </w:p>
    <w:p w:rsidR="006C5CF8" w:rsidRPr="00E5735D" w:rsidRDefault="006C5CF8" w:rsidP="006C5CF8">
      <w:pPr>
        <w:rPr>
          <w:rFonts w:cs="Arial"/>
        </w:rPr>
      </w:pPr>
    </w:p>
    <w:p w:rsidR="006C5CF8" w:rsidRPr="00E5735D" w:rsidRDefault="006C5CF8" w:rsidP="006C5CF8">
      <w:pPr>
        <w:rPr>
          <w:rFonts w:cs="Arial"/>
        </w:rPr>
      </w:pPr>
      <w:r w:rsidRPr="00E5735D">
        <w:rPr>
          <w:rFonts w:cs="Arial"/>
          <w:color w:val="000000"/>
        </w:rPr>
        <w:t>Le 4 octobre 2017, l’OCVV a adopté sa stratégie de coo</w:t>
      </w:r>
      <w:r>
        <w:rPr>
          <w:rFonts w:cs="Arial"/>
          <w:color w:val="000000"/>
        </w:rPr>
        <w:t>pération internationale conformément</w:t>
      </w:r>
      <w:r w:rsidRPr="00E5735D">
        <w:rPr>
          <w:rFonts w:cs="Arial"/>
          <w:color w:val="000000"/>
        </w:rPr>
        <w:t xml:space="preserve"> à la politique commerciale de l’UE en matière de droits de propriété intellectuelle afin de soutenir la dimension extérieure des politiques européennes.</w:t>
      </w:r>
      <w:r w:rsidRPr="00E5735D">
        <w:rPr>
          <w:color w:val="000000"/>
        </w:rPr>
        <w:t xml:space="preserve">  </w:t>
      </w:r>
      <w:r w:rsidRPr="00E5735D">
        <w:rPr>
          <w:rFonts w:cs="Arial"/>
          <w:color w:val="000000"/>
        </w:rPr>
        <w:t xml:space="preserve">Dans le cadre de cette stratégie, l’OCVV est devenue partie prenante des projets de coopération internationale </w:t>
      </w:r>
      <w:proofErr w:type="spellStart"/>
      <w:r w:rsidRPr="00E5735D">
        <w:rPr>
          <w:rFonts w:cs="Arial"/>
          <w:color w:val="000000"/>
        </w:rPr>
        <w:t>IPKey</w:t>
      </w:r>
      <w:proofErr w:type="spellEnd"/>
      <w:r w:rsidRPr="00E5735D">
        <w:rPr>
          <w:rFonts w:cs="Arial"/>
          <w:color w:val="000000"/>
        </w:rPr>
        <w:t>.</w:t>
      </w:r>
    </w:p>
    <w:p w:rsidR="006C5CF8" w:rsidRPr="00E5735D" w:rsidRDefault="006C5CF8" w:rsidP="006C5CF8">
      <w:pPr>
        <w:rPr>
          <w:rFonts w:cs="Arial"/>
        </w:rPr>
      </w:pPr>
    </w:p>
    <w:p w:rsidR="006C5CF8" w:rsidRPr="00E5735D" w:rsidRDefault="006C5CF8" w:rsidP="006C5CF8">
      <w:pPr>
        <w:rPr>
          <w:rFonts w:cs="Arial"/>
        </w:rPr>
      </w:pPr>
      <w:r w:rsidRPr="00E5735D">
        <w:rPr>
          <w:rFonts w:cs="Arial"/>
          <w:color w:val="000000"/>
        </w:rPr>
        <w:t xml:space="preserve">Les projets de coopération internationale </w:t>
      </w:r>
      <w:proofErr w:type="spellStart"/>
      <w:r w:rsidRPr="00E5735D">
        <w:rPr>
          <w:rFonts w:cs="Arial"/>
          <w:color w:val="000000"/>
        </w:rPr>
        <w:t>IPKey</w:t>
      </w:r>
      <w:proofErr w:type="spellEnd"/>
      <w:r w:rsidRPr="00E5735D">
        <w:rPr>
          <w:rFonts w:cs="Arial"/>
          <w:color w:val="000000"/>
        </w:rPr>
        <w:t xml:space="preserve"> sont dirigés par la Commission européenne et mis en œuvre en collaboration avec l’Office de l’Union européenne pour la propriété intellectuelle (EUIPO) afin de renforcer la protection de la propriété intellectuelle en Chine, en Amérique latine et dans les pays de l’ASEAN.</w:t>
      </w:r>
      <w:r w:rsidRPr="00E5735D">
        <w:rPr>
          <w:color w:val="000000"/>
        </w:rPr>
        <w:t xml:space="preserve">  </w:t>
      </w:r>
      <w:r w:rsidRPr="00E5735D">
        <w:rPr>
          <w:rFonts w:cs="Arial"/>
          <w:color w:val="000000"/>
        </w:rPr>
        <w:t>Parmi les activités menées dans le cadre de ces projets figurent l’organisation de séminaires et de formations mutuelles ainsi que la fourniture d’études et d’un soutien juridique aux pays bénéficiaires.</w:t>
      </w:r>
      <w:r w:rsidRPr="00E5735D">
        <w:rPr>
          <w:color w:val="000000"/>
        </w:rPr>
        <w:t xml:space="preserve">  </w:t>
      </w:r>
      <w:r w:rsidRPr="00E5735D">
        <w:rPr>
          <w:rFonts w:cs="Arial"/>
        </w:rPr>
        <w:t xml:space="preserve">Pour plus d’informations sur les projets </w:t>
      </w:r>
      <w:proofErr w:type="spellStart"/>
      <w:r w:rsidRPr="00E5735D">
        <w:rPr>
          <w:rFonts w:cs="Arial"/>
        </w:rPr>
        <w:t>IPKey</w:t>
      </w:r>
      <w:proofErr w:type="spellEnd"/>
      <w:r w:rsidRPr="00E5735D">
        <w:rPr>
          <w:rFonts w:cs="Arial"/>
        </w:rPr>
        <w:t>, cliquez ici.</w:t>
      </w:r>
    </w:p>
    <w:p w:rsidR="006C5CF8" w:rsidRPr="00E5735D" w:rsidRDefault="006C5CF8" w:rsidP="006C5CF8">
      <w:pPr>
        <w:rPr>
          <w:rFonts w:cs="Arial"/>
        </w:rPr>
      </w:pPr>
    </w:p>
    <w:p w:rsidR="006C5CF8" w:rsidRPr="00E5735D" w:rsidRDefault="006C5CF8" w:rsidP="006C5CF8">
      <w:pPr>
        <w:rPr>
          <w:rFonts w:cs="Arial"/>
        </w:rPr>
      </w:pPr>
      <w:r w:rsidRPr="00E5735D">
        <w:rPr>
          <w:rFonts w:cs="Arial"/>
          <w:color w:val="000000"/>
        </w:rPr>
        <w:t>Dans le cadre d’</w:t>
      </w:r>
      <w:proofErr w:type="spellStart"/>
      <w:r w:rsidRPr="00E5735D">
        <w:rPr>
          <w:rFonts w:cs="Arial"/>
          <w:b/>
          <w:color w:val="000000"/>
        </w:rPr>
        <w:t>IPKey</w:t>
      </w:r>
      <w:proofErr w:type="spellEnd"/>
      <w:r w:rsidRPr="00E5735D">
        <w:rPr>
          <w:rFonts w:cs="Arial"/>
          <w:b/>
          <w:color w:val="000000"/>
        </w:rPr>
        <w:t xml:space="preserve"> en Chine</w:t>
      </w:r>
      <w:r w:rsidRPr="00E5735D">
        <w:rPr>
          <w:rFonts w:cs="Arial"/>
          <w:color w:val="000000"/>
        </w:rPr>
        <w:t>, en 2019 et à la suite de l’accord administratif signé avec les administrations chargées de la protection des variétés végétales en Chine en novembre 2017, l’OCVV a organisé plusieurs formations destinées aux experts chinois, en collaboration avec les services d’examen de l’Allemagne, de la France et des Pays-Bas.</w:t>
      </w:r>
      <w:r w:rsidRPr="00E5735D">
        <w:rPr>
          <w:color w:val="000000"/>
        </w:rPr>
        <w:t xml:space="preserve">  </w:t>
      </w:r>
      <w:r w:rsidRPr="00E5735D">
        <w:rPr>
          <w:rFonts w:cs="Arial"/>
          <w:color w:val="000000"/>
        </w:rPr>
        <w:t>Ces formations ont eu lieu entre les mois de juin et novembre 2019 dans l’UE et en Chine et ont été une excellente occasion pour les experts de l’examen DHS de différents horizons d’échanger leurs connaissances.</w:t>
      </w:r>
      <w:r w:rsidRPr="00E5735D">
        <w:rPr>
          <w:color w:val="000000"/>
        </w:rPr>
        <w:t xml:space="preserve">  </w:t>
      </w:r>
      <w:r w:rsidRPr="00E5735D">
        <w:rPr>
          <w:rFonts w:cs="Arial"/>
          <w:color w:val="000000"/>
        </w:rPr>
        <w:t>Les experts ont pu avoir un aperçu du système de protection des obtentions végétales de l’UE, notamment en ce qui concerne l’examen des demandes de protection, les questions techniques et procédurales et en particulier l’audit de qualité.</w:t>
      </w:r>
    </w:p>
    <w:p w:rsidR="006C5CF8" w:rsidRPr="00E5735D" w:rsidRDefault="006C5CF8" w:rsidP="006C5CF8">
      <w:pPr>
        <w:rPr>
          <w:rFonts w:cs="Arial"/>
        </w:rPr>
      </w:pPr>
    </w:p>
    <w:p w:rsidR="006C5CF8" w:rsidRPr="00E5735D" w:rsidRDefault="006C5CF8" w:rsidP="006C5CF8">
      <w:pPr>
        <w:rPr>
          <w:rFonts w:cs="Arial"/>
        </w:rPr>
      </w:pPr>
      <w:r w:rsidRPr="00E5735D">
        <w:rPr>
          <w:rFonts w:cs="Arial"/>
        </w:rPr>
        <w:t>Dans le cadre d’</w:t>
      </w:r>
      <w:proofErr w:type="spellStart"/>
      <w:r w:rsidRPr="00E5735D">
        <w:rPr>
          <w:rFonts w:cs="Arial"/>
          <w:b/>
        </w:rPr>
        <w:t>IPKey</w:t>
      </w:r>
      <w:proofErr w:type="spellEnd"/>
      <w:r w:rsidRPr="00E5735D">
        <w:rPr>
          <w:rFonts w:cs="Arial"/>
          <w:b/>
        </w:rPr>
        <w:t xml:space="preserve"> en Asie du Sud-Est</w:t>
      </w:r>
      <w:r w:rsidRPr="00E5735D">
        <w:rPr>
          <w:rFonts w:cs="Arial"/>
        </w:rPr>
        <w:t xml:space="preserve">, en septembre 2019, l’OCVV a accueilli une visite d’étude de haut niveau de fonctionnaires d’Indonésie, de Malaisie, de Thaïlande et du Viet Nam.  Les échanges et les discussions entre les hauts fonctionnaires, les agriculteurs et les obtenteurs visaient à faire mieux comprendre aux </w:t>
      </w:r>
      <w:r>
        <w:rPr>
          <w:rFonts w:cs="Arial"/>
        </w:rPr>
        <w:t>administrations</w:t>
      </w:r>
      <w:r w:rsidRPr="00E5735D">
        <w:rPr>
          <w:rFonts w:cs="Arial"/>
        </w:rPr>
        <w:t xml:space="preserve"> nationales responsables de la protection des obtentions végétales les avantages de l’Acte de 1991 de la Convention UPOV et de systèmes solides de protection des obtentions végétales pour le développement agricole et rural et la sécurité alimentaire.</w:t>
      </w:r>
    </w:p>
    <w:p w:rsidR="006C5CF8" w:rsidRPr="00E5735D" w:rsidRDefault="006C5CF8" w:rsidP="006C5CF8">
      <w:pPr>
        <w:rPr>
          <w:rFonts w:cs="Arial"/>
        </w:rPr>
      </w:pPr>
    </w:p>
    <w:p w:rsidR="006C5CF8" w:rsidRPr="00E5735D" w:rsidRDefault="006C5CF8" w:rsidP="006C5CF8">
      <w:pPr>
        <w:rPr>
          <w:rFonts w:cs="Arial"/>
        </w:rPr>
      </w:pPr>
      <w:r w:rsidRPr="00E5735D">
        <w:rPr>
          <w:rFonts w:cs="Arial"/>
        </w:rPr>
        <w:lastRenderedPageBreak/>
        <w:t>Dans le cadre d’</w:t>
      </w:r>
      <w:proofErr w:type="spellStart"/>
      <w:r w:rsidRPr="00E5735D">
        <w:rPr>
          <w:rFonts w:cs="Arial"/>
          <w:b/>
        </w:rPr>
        <w:t>IPKey</w:t>
      </w:r>
      <w:proofErr w:type="spellEnd"/>
      <w:r w:rsidRPr="00E5735D">
        <w:rPr>
          <w:rFonts w:cs="Arial"/>
          <w:b/>
        </w:rPr>
        <w:t xml:space="preserve"> en Amérique latine</w:t>
      </w:r>
      <w:r w:rsidRPr="00E5735D">
        <w:rPr>
          <w:rFonts w:cs="Arial"/>
        </w:rPr>
        <w:t xml:space="preserve">, en novembre 2019, un atelier régional sur la coopération </w:t>
      </w:r>
      <w:r>
        <w:rPr>
          <w:rFonts w:cs="Arial"/>
        </w:rPr>
        <w:t>en matière d</w:t>
      </w:r>
      <w:r w:rsidRPr="00E5735D">
        <w:rPr>
          <w:rFonts w:cs="Arial"/>
        </w:rPr>
        <w:t xml:space="preserve">’examen des demandes de protection des obtentions végétales a été organisé au Pérou.  Cet atelier visait à renforcer la coopération technique entre les services d’examen de l’Argentine, de </w:t>
      </w:r>
      <w:r>
        <w:rPr>
          <w:rFonts w:cs="Arial"/>
        </w:rPr>
        <w:t>la</w:t>
      </w:r>
      <w:r w:rsidRPr="00E5735D">
        <w:rPr>
          <w:rFonts w:cs="Arial"/>
        </w:rPr>
        <w:t xml:space="preserve"> Bolivie</w:t>
      </w:r>
      <w:r>
        <w:rPr>
          <w:rFonts w:cs="Arial"/>
        </w:rPr>
        <w:t xml:space="preserve"> (État plurinational de)</w:t>
      </w:r>
      <w:r w:rsidRPr="00E5735D">
        <w:rPr>
          <w:rFonts w:cs="Arial"/>
        </w:rPr>
        <w:t xml:space="preserve">, du Brésil, du Chili, de la Colombie, du Costa Rica, de l’Équateur, du Mexique, du Panama, du Pérou et de l’Uruguay.  Cette activité visait à encourager les services d’examen participants à débattre de l’utilisation des techniques </w:t>
      </w:r>
      <w:r w:rsidR="00D067B6">
        <w:rPr>
          <w:rFonts w:cs="Arial"/>
        </w:rPr>
        <w:t xml:space="preserve">faisant intervenir des marqueurs </w:t>
      </w:r>
      <w:r w:rsidRPr="00E5735D">
        <w:rPr>
          <w:rFonts w:cs="Arial"/>
        </w:rPr>
        <w:t>moléculaires dans l’examen DHS et à envisager la reconnaissance mutuelle des rapports d’examen DHS produits par d’autres services afin de comparer les questionnaires techniques utilisés pour les principales cultures de la région dans le but d’adhérer à UPOV PRISMA, ainsi qu’à examiner les meilleures méthodes pour l’analyse de la nouveauté et des dénominations, entre autres.</w:t>
      </w:r>
    </w:p>
    <w:p w:rsidR="006C5CF8" w:rsidRPr="00E5735D" w:rsidRDefault="006C5CF8" w:rsidP="006C5CF8">
      <w:pPr>
        <w:rPr>
          <w:rFonts w:cs="Arial"/>
        </w:rPr>
      </w:pPr>
    </w:p>
    <w:p w:rsidR="006C5CF8" w:rsidRPr="00E5735D" w:rsidRDefault="006C5CF8" w:rsidP="006C5CF8">
      <w:pPr>
        <w:rPr>
          <w:rFonts w:cs="Arial"/>
        </w:rPr>
      </w:pPr>
      <w:r w:rsidRPr="00E5735D">
        <w:rPr>
          <w:rFonts w:cs="Arial"/>
        </w:rPr>
        <w:t xml:space="preserve">En février 2020, quatre activités ont été organisées en Équateur.  La première activité concernait un “laboratoire sur la concession de licences pour la protection des obtentions végétales” </w:t>
      </w:r>
      <w:r>
        <w:rPr>
          <w:rFonts w:cs="Arial"/>
        </w:rPr>
        <w:t>destiné à approfondir</w:t>
      </w:r>
      <w:r w:rsidRPr="00E5735D">
        <w:rPr>
          <w:rFonts w:cs="Arial"/>
        </w:rPr>
        <w:t xml:space="preserve"> les connaissances </w:t>
      </w:r>
      <w:r>
        <w:rPr>
          <w:rFonts w:cs="Arial"/>
        </w:rPr>
        <w:t>des</w:t>
      </w:r>
      <w:r w:rsidRPr="00E5735D">
        <w:rPr>
          <w:rFonts w:cs="Arial"/>
        </w:rPr>
        <w:t xml:space="preserve"> instituts de recherche publics et </w:t>
      </w:r>
      <w:r>
        <w:rPr>
          <w:rFonts w:cs="Arial"/>
        </w:rPr>
        <w:t>des</w:t>
      </w:r>
      <w:r w:rsidRPr="00E5735D">
        <w:rPr>
          <w:rFonts w:cs="Arial"/>
        </w:rPr>
        <w:t xml:space="preserve"> petits et moyens obtenteurs privés sur les pratiques de concession de licences pour la protection des obtentions végétales.  L’objectif final de cette activité est la création d’un cours en ligne sur les pratiques en matière de concession de licences pour la protection des obtentions végétales.  La deuxième activité concernait un séminaire international sur l’application des droits d’obtenteur visant à faire mieux connaître le système des droits d’obtenteur en Amérique latine, en mettant l’accent sur l’application des lois.  Les participants de différents pays, dont l’Argentine, le Brésil, l’Équateur, le Mexique, le Pérou et l’Uruguay, tant du secteur privé que du secteur public, ont apporté des contributions intéressantes, en partageant leurs expériences, leurs difficultés et leurs idées sur la meilleure façon de faire respecter les droits d’obtenteur au niveau national.  La troisième activité concernait un atelier destiné aux experts techniques des pays susmentionnés sur l’utilisation du logiciel GAIA, qui devrait améliorer les procédures d’examen DHS des services chargés de la protection des obtentions végétales.  Cet atelier était dirigé par deux experts du GEVES.  La quatrième activité concernait une formation sur les droits d’obtenteur organisée par l’OCVV, en coopération avec </w:t>
      </w:r>
      <w:proofErr w:type="spellStart"/>
      <w:r w:rsidRPr="00E5735D">
        <w:rPr>
          <w:rFonts w:cs="Arial"/>
        </w:rPr>
        <w:t>IPKey</w:t>
      </w:r>
      <w:proofErr w:type="spellEnd"/>
      <w:r w:rsidRPr="00E5735D">
        <w:rPr>
          <w:rFonts w:cs="Arial"/>
        </w:rPr>
        <w:t xml:space="preserve"> et la délégation de l’UE en Équateur, pour les fonctionnaires des délégations de l’UE en Amérique latine.  Une visite d’étude a été organisée à </w:t>
      </w:r>
      <w:proofErr w:type="spellStart"/>
      <w:r w:rsidRPr="00E5735D">
        <w:rPr>
          <w:rFonts w:cs="Arial"/>
        </w:rPr>
        <w:t>Plantec</w:t>
      </w:r>
      <w:proofErr w:type="spellEnd"/>
      <w:r w:rsidRPr="00E5735D">
        <w:rPr>
          <w:rFonts w:cs="Arial"/>
        </w:rPr>
        <w:t xml:space="preserve">, une entreprise équatorienne spécialisée dans la multiplication de variétés de rosiers en Amérique latine pour le compte d’obtenteurs européens.  Cette visite a permis aux participants de découvrir les processus de sélection utilisés et de mieux comprendre le </w:t>
      </w:r>
      <w:r>
        <w:rPr>
          <w:rFonts w:cs="Arial"/>
        </w:rPr>
        <w:t xml:space="preserve">fonctionnement du </w:t>
      </w:r>
      <w:r w:rsidRPr="00E5735D">
        <w:rPr>
          <w:rFonts w:cs="Arial"/>
        </w:rPr>
        <w:t>système de protection des obtentions végétales dans le cadre de la Convention UPOV.</w:t>
      </w:r>
    </w:p>
    <w:p w:rsidR="006C5CF8" w:rsidRPr="00E5735D" w:rsidRDefault="006C5CF8" w:rsidP="006C5CF8">
      <w:pPr>
        <w:rPr>
          <w:rFonts w:cs="Arial"/>
        </w:rPr>
      </w:pPr>
    </w:p>
    <w:p w:rsidR="006C5CF8" w:rsidRPr="00E5735D" w:rsidRDefault="006C5CF8" w:rsidP="006C5CF8">
      <w:pPr>
        <w:rPr>
          <w:rFonts w:cs="Arial"/>
        </w:rPr>
      </w:pPr>
      <w:r w:rsidRPr="00E5735D">
        <w:rPr>
          <w:rFonts w:cs="Arial"/>
        </w:rPr>
        <w:t xml:space="preserve">Le projet </w:t>
      </w:r>
      <w:proofErr w:type="spellStart"/>
      <w:r w:rsidRPr="00E5735D">
        <w:rPr>
          <w:rFonts w:cs="Arial"/>
          <w:b/>
        </w:rPr>
        <w:t>CarIPI</w:t>
      </w:r>
      <w:proofErr w:type="spellEnd"/>
      <w:r w:rsidRPr="00E5735D">
        <w:rPr>
          <w:rFonts w:cs="Arial"/>
        </w:rPr>
        <w:t xml:space="preserve"> a démarré le 1</w:t>
      </w:r>
      <w:r w:rsidRPr="00E5735D">
        <w:rPr>
          <w:rFonts w:cs="Arial"/>
          <w:vertAlign w:val="superscript"/>
        </w:rPr>
        <w:t>er</w:t>
      </w:r>
      <w:r w:rsidRPr="00E5735D">
        <w:rPr>
          <w:rFonts w:cs="Arial"/>
        </w:rPr>
        <w:t> novembre 2019 pour une durée initiale de quatre ans.  Ce projet est financé par l’Union européenne dans le cadre du 11e Fonds européen de développement et mis en œuvre par l’Office de l’Union européenne pour la propriété intellectuelle (EUIPO).  Il a pour objectif principal de renforcer l’environnement des droits de propriété intellectuelle dans la région du CARIFORUM afin de favoriser le commerce et l’investissement et de stimuler l’innovation et la compétitivité du secteur privé.  Le projet comprend des activités liées à la protection des obtentions végétales.  En mai 2020, l’OCVV a contribué à la révision de la mise en œuvre de la législation sur la protection des obtentions végétales en République dominicaine.</w:t>
      </w:r>
    </w:p>
    <w:p w:rsidR="006C5CF8" w:rsidRPr="00E5735D" w:rsidRDefault="006C5CF8" w:rsidP="006C5CF8">
      <w:pPr>
        <w:rPr>
          <w:rFonts w:cs="Arial"/>
        </w:rPr>
      </w:pPr>
    </w:p>
    <w:p w:rsidR="006C5CF8" w:rsidRPr="00E5735D" w:rsidRDefault="006C5CF8" w:rsidP="006C5CF8">
      <w:pPr>
        <w:rPr>
          <w:rFonts w:cs="Arial"/>
          <w:u w:val="single"/>
        </w:rPr>
      </w:pPr>
      <w:r w:rsidRPr="00CD4BD6">
        <w:rPr>
          <w:rFonts w:cs="Arial"/>
          <w:u w:val="single"/>
        </w:rPr>
        <w:t>Forum EAPVP</w:t>
      </w:r>
    </w:p>
    <w:p w:rsidR="006C5CF8" w:rsidRPr="00E5735D" w:rsidRDefault="006C5CF8" w:rsidP="006C5CF8">
      <w:pPr>
        <w:rPr>
          <w:rFonts w:cs="Arial"/>
        </w:rPr>
      </w:pPr>
    </w:p>
    <w:p w:rsidR="006C5CF8" w:rsidRPr="00E5735D" w:rsidRDefault="006C5CF8" w:rsidP="006C5CF8">
      <w:pPr>
        <w:rPr>
          <w:rFonts w:cs="Arial"/>
        </w:rPr>
      </w:pPr>
      <w:r w:rsidRPr="00E5735D">
        <w:rPr>
          <w:rFonts w:cs="Arial"/>
          <w:color w:val="000000"/>
        </w:rPr>
        <w:t>En raison de la pandémie de COVID-19, la treizième réunion du Forum EAPVP a été reportée.</w:t>
      </w:r>
    </w:p>
    <w:p w:rsidR="006C5CF8" w:rsidRPr="00E5735D" w:rsidRDefault="006C5CF8" w:rsidP="006C5CF8">
      <w:pPr>
        <w:rPr>
          <w:rFonts w:cs="Arial"/>
        </w:rPr>
      </w:pPr>
    </w:p>
    <w:p w:rsidR="006C5CF8" w:rsidRPr="00E5735D" w:rsidRDefault="006C5CF8" w:rsidP="006C5CF8">
      <w:pPr>
        <w:rPr>
          <w:rFonts w:cs="Arial"/>
          <w:u w:val="single"/>
        </w:rPr>
      </w:pPr>
      <w:r w:rsidRPr="00CD4BD6">
        <w:rPr>
          <w:rFonts w:cs="Arial"/>
          <w:u w:val="single"/>
        </w:rPr>
        <w:t>OCVV – Office européen des brevets</w:t>
      </w:r>
    </w:p>
    <w:p w:rsidR="006C5CF8" w:rsidRPr="00E5735D" w:rsidRDefault="006C5CF8" w:rsidP="006C5CF8">
      <w:pPr>
        <w:rPr>
          <w:rFonts w:cs="Arial"/>
        </w:rPr>
      </w:pPr>
    </w:p>
    <w:p w:rsidR="006C5CF8" w:rsidRPr="00E5735D" w:rsidRDefault="006C5CF8" w:rsidP="006C5CF8">
      <w:pPr>
        <w:rPr>
          <w:rFonts w:cs="Arial"/>
        </w:rPr>
      </w:pPr>
      <w:r w:rsidRPr="00E5735D">
        <w:rPr>
          <w:rFonts w:cs="Arial"/>
          <w:color w:val="000000"/>
        </w:rPr>
        <w:t>Le 11 février 2016, la présidence de l’OCVV et l’OEB ont signé un accord administratif (n° 2016/0009) pour une période de trois ans, visant à améliorer la coopération bilatérale en ce qui concerne l’échange d’informations et de bonnes pratiques dans le domaine des brevets de plantes et des droits d’obtenteur.</w:t>
      </w:r>
      <w:r w:rsidRPr="00E5735D">
        <w:rPr>
          <w:color w:val="000000"/>
        </w:rPr>
        <w:t xml:space="preserve">  </w:t>
      </w:r>
      <w:r w:rsidRPr="00CD4BD6">
        <w:rPr>
          <w:rFonts w:cs="Arial"/>
        </w:rPr>
        <w:t>Cet accord a été renouvelé le 26 octobre 2018.</w:t>
      </w:r>
    </w:p>
    <w:p w:rsidR="006C5CF8" w:rsidRPr="00E5735D" w:rsidRDefault="006C5CF8" w:rsidP="006C5CF8">
      <w:pPr>
        <w:rPr>
          <w:rFonts w:cs="Arial"/>
        </w:rPr>
      </w:pPr>
    </w:p>
    <w:p w:rsidR="006C5CF8" w:rsidRPr="00E5735D" w:rsidRDefault="006C5CF8" w:rsidP="006C5CF8">
      <w:pPr>
        <w:rPr>
          <w:rFonts w:cs="Arial"/>
        </w:rPr>
      </w:pPr>
      <w:r w:rsidRPr="00E5735D">
        <w:rPr>
          <w:rFonts w:cs="Arial"/>
        </w:rPr>
        <w:t>En application de l’accord, du 18 au 22 novembre 2019, un expert de l’OCVV a passé une semaine en détachement dans les locaux de l’OEB.  Différents sujets ont été abordés, tels que la brevetabilité des champignons et des algues.</w:t>
      </w:r>
    </w:p>
    <w:p w:rsidR="006C5CF8" w:rsidRPr="00E5735D" w:rsidRDefault="006C5CF8" w:rsidP="006C5CF8">
      <w:pPr>
        <w:rPr>
          <w:rFonts w:cs="Arial"/>
        </w:rPr>
      </w:pPr>
    </w:p>
    <w:p w:rsidR="006C5CF8" w:rsidRPr="00E5735D" w:rsidRDefault="006C5CF8" w:rsidP="006C5CF8">
      <w:pPr>
        <w:rPr>
          <w:rFonts w:cs="Arial"/>
          <w:u w:val="single"/>
        </w:rPr>
      </w:pPr>
      <w:r w:rsidRPr="00E5735D">
        <w:rPr>
          <w:rFonts w:cs="Arial"/>
          <w:u w:val="single"/>
        </w:rPr>
        <w:t>OAPI</w:t>
      </w:r>
    </w:p>
    <w:p w:rsidR="006C5CF8" w:rsidRPr="00E5735D" w:rsidRDefault="006C5CF8" w:rsidP="006C5CF8">
      <w:pPr>
        <w:rPr>
          <w:rFonts w:cs="Arial"/>
        </w:rPr>
      </w:pPr>
    </w:p>
    <w:p w:rsidR="006C5CF8" w:rsidRPr="00E5735D" w:rsidRDefault="006C5CF8" w:rsidP="006C5CF8">
      <w:pPr>
        <w:rPr>
          <w:rFonts w:cs="Arial"/>
        </w:rPr>
      </w:pPr>
      <w:r w:rsidRPr="00CD4BD6">
        <w:rPr>
          <w:rFonts w:cs="Arial"/>
        </w:rPr>
        <w:t>Au début du mois de juillet 2019, la Commission européenne a signé un contrat avec l’Organisation africaine de la propriété intellectuelle (OAPI) à Genève prévoyant des fonds pour une feuille de route visant à promouvoir la propriété intellectuelle pour encourager la création de nouvelles variétés adaptées au marché africain et pour faciliter l’utilisation dans les pays de l’OAPI de variétés supérieures existant ailleurs.</w:t>
      </w:r>
    </w:p>
    <w:p w:rsidR="006C5CF8" w:rsidRPr="00E5735D" w:rsidRDefault="006C5CF8" w:rsidP="006C5CF8">
      <w:pPr>
        <w:rPr>
          <w:rFonts w:cs="Arial"/>
        </w:rPr>
      </w:pPr>
    </w:p>
    <w:p w:rsidR="006C5CF8" w:rsidRPr="00E5735D" w:rsidRDefault="006C5CF8" w:rsidP="006C5CF8">
      <w:pPr>
        <w:rPr>
          <w:rFonts w:cs="Arial"/>
        </w:rPr>
      </w:pPr>
      <w:r w:rsidRPr="00CD4BD6">
        <w:rPr>
          <w:rFonts w:cs="Arial"/>
        </w:rPr>
        <w:lastRenderedPageBreak/>
        <w:t xml:space="preserve">Ce projet sera géré par l’OAPI, en partenariat avec l’OCVV, l’UPOV, le GEVES, le GNIS, et </w:t>
      </w:r>
      <w:proofErr w:type="spellStart"/>
      <w:r w:rsidRPr="00CD4BD6">
        <w:rPr>
          <w:rFonts w:cs="Arial"/>
        </w:rPr>
        <w:t>Naktuinbouw</w:t>
      </w:r>
      <w:proofErr w:type="spellEnd"/>
      <w:r w:rsidRPr="00CD4BD6">
        <w:rPr>
          <w:rFonts w:cs="Arial"/>
        </w:rPr>
        <w:t>.</w:t>
      </w:r>
      <w:r w:rsidRPr="00CD4BD6">
        <w:t xml:space="preserve">  </w:t>
      </w:r>
      <w:r w:rsidRPr="00E5735D">
        <w:rPr>
          <w:rFonts w:cs="Arial"/>
          <w:color w:val="000000"/>
        </w:rPr>
        <w:t>Onze activités à mener au cours des deux prochaines années et portant sur la formation et le renforcement des capacités ont été approuvées.</w:t>
      </w:r>
      <w:r w:rsidRPr="00E5735D">
        <w:rPr>
          <w:color w:val="000000"/>
        </w:rPr>
        <w:t xml:space="preserve">  </w:t>
      </w:r>
      <w:r w:rsidRPr="00CD4BD6">
        <w:rPr>
          <w:rFonts w:cs="Arial"/>
        </w:rPr>
        <w:t>Cette série d’activités a commencé à la fin du mois d’août par un atelier qui s’est tenu au siège de l’OAPI à Yaoundé, au cours duquel l’OCVV a présenté les procédures administratives en vigueur et l’UPOV a présenté l’infrastructure informatique existante.</w:t>
      </w:r>
      <w:r w:rsidRPr="00CD4BD6">
        <w:t xml:space="preserve">  </w:t>
      </w:r>
      <w:r w:rsidRPr="00CD4BD6">
        <w:rPr>
          <w:rFonts w:cs="Arial"/>
        </w:rPr>
        <w:t xml:space="preserve">L’idée est de rationaliser les procédures administratives et d’adapter le système informatique </w:t>
      </w:r>
      <w:r>
        <w:rPr>
          <w:rFonts w:cs="Arial"/>
        </w:rPr>
        <w:t xml:space="preserve">afin </w:t>
      </w:r>
      <w:r w:rsidRPr="00CD4BD6">
        <w:rPr>
          <w:rFonts w:cs="Arial"/>
        </w:rPr>
        <w:t xml:space="preserve">que les obtenteurs étrangers puissent déposer des demandes de droits d’obtenteur </w:t>
      </w:r>
      <w:r>
        <w:rPr>
          <w:rFonts w:cs="Arial"/>
        </w:rPr>
        <w:t xml:space="preserve">par </w:t>
      </w:r>
      <w:r w:rsidRPr="00CD4BD6">
        <w:rPr>
          <w:rFonts w:cs="Arial"/>
        </w:rPr>
        <w:t>l’intermédiaire d’UPOV PRISMA, un système permettant aux obtenteurs de déposer des demandes dans plusieurs pays en même temps.</w:t>
      </w:r>
      <w:r w:rsidRPr="00CD4BD6">
        <w:t xml:space="preserve">  </w:t>
      </w:r>
      <w:r w:rsidRPr="00E5735D">
        <w:rPr>
          <w:rFonts w:cs="Arial"/>
        </w:rPr>
        <w:t xml:space="preserve">L’office a en outre contribué à une formation et à des séminaires de sensibilisation organisés pour les experts nationaux au Burkina Faso, au Mali et au Togo en octobre 2019.  En outre, le service d’audit qualité de l’office a réalisé des audits fictifs dans des services d’examen potentiels au Cameroun et au Sénégal afin de recenser leurs points forts et de donner des conseils sur les améliorations à apporter.  En décembre 2020, cinq experts de l’OAPI ayant une formation technique, juridique ou informatique </w:t>
      </w:r>
      <w:r>
        <w:rPr>
          <w:rFonts w:cs="Arial"/>
        </w:rPr>
        <w:t>se sont rendus à</w:t>
      </w:r>
      <w:r w:rsidRPr="00E5735D">
        <w:rPr>
          <w:rFonts w:cs="Arial"/>
        </w:rPr>
        <w:t xml:space="preserve"> l’OCVV pour examiner le processus de traitement des demandes.</w:t>
      </w:r>
    </w:p>
    <w:p w:rsidR="006C5CF8" w:rsidRPr="00E5735D" w:rsidRDefault="006C5CF8" w:rsidP="006C5CF8">
      <w:pPr>
        <w:rPr>
          <w:rFonts w:cs="Arial"/>
        </w:rPr>
      </w:pPr>
    </w:p>
    <w:p w:rsidR="006C5CF8" w:rsidRPr="00E5735D" w:rsidRDefault="006C5CF8" w:rsidP="006C5CF8">
      <w:pPr>
        <w:rPr>
          <w:rFonts w:cs="Arial"/>
        </w:rPr>
      </w:pPr>
      <w:r w:rsidRPr="00E5735D">
        <w:rPr>
          <w:rFonts w:cs="Arial"/>
        </w:rPr>
        <w:t>En raison des restrictions sanitaires liées à la pandémie de COVID-19, les formations et les séminaires de sensibilisation prévus pour 2020 sont suspendus.</w:t>
      </w:r>
    </w:p>
    <w:p w:rsidR="006C5CF8" w:rsidRPr="00E5735D" w:rsidRDefault="006C5CF8" w:rsidP="006C5CF8">
      <w:pPr>
        <w:rPr>
          <w:rFonts w:cs="Arial"/>
        </w:rPr>
      </w:pPr>
    </w:p>
    <w:p w:rsidR="006C5CF8" w:rsidRPr="00E5735D" w:rsidRDefault="006C5CF8" w:rsidP="006C5CF8">
      <w:pPr>
        <w:rPr>
          <w:rFonts w:cs="Arial"/>
          <w:u w:val="single"/>
        </w:rPr>
      </w:pPr>
      <w:r w:rsidRPr="00CD4BD6">
        <w:rPr>
          <w:rFonts w:cs="Arial"/>
          <w:u w:val="single"/>
        </w:rPr>
        <w:t>Formation</w:t>
      </w:r>
    </w:p>
    <w:p w:rsidR="006C5CF8" w:rsidRPr="00E5735D" w:rsidRDefault="006C5CF8" w:rsidP="006C5CF8">
      <w:pPr>
        <w:rPr>
          <w:rFonts w:cs="Arial"/>
        </w:rPr>
      </w:pPr>
    </w:p>
    <w:p w:rsidR="006C5CF8" w:rsidRPr="00E5735D" w:rsidRDefault="006C5CF8" w:rsidP="006C5CF8">
      <w:pPr>
        <w:rPr>
          <w:rFonts w:cs="Arial"/>
        </w:rPr>
      </w:pPr>
      <w:r w:rsidRPr="00E5735D">
        <w:rPr>
          <w:rFonts w:cs="Arial"/>
        </w:rPr>
        <w:t>Au cours de l’année 2019-2020, l’OCVV a participé à la préparation de plusieurs formations, tant en présentiel qu’en ligne, notamment :</w:t>
      </w:r>
    </w:p>
    <w:p w:rsidR="006C5CF8" w:rsidRPr="00E5735D" w:rsidRDefault="006C5CF8" w:rsidP="006C5CF8">
      <w:pPr>
        <w:rPr>
          <w:rFonts w:cs="Arial"/>
        </w:rPr>
      </w:pPr>
    </w:p>
    <w:p w:rsidR="006C5CF8" w:rsidRPr="00E5735D" w:rsidRDefault="006C5CF8" w:rsidP="006C5CF8">
      <w:pPr>
        <w:numPr>
          <w:ilvl w:val="0"/>
          <w:numId w:val="41"/>
        </w:numPr>
        <w:spacing w:after="120"/>
        <w:rPr>
          <w:rFonts w:cs="Arial"/>
        </w:rPr>
      </w:pPr>
      <w:r w:rsidRPr="00E5735D">
        <w:rPr>
          <w:rFonts w:cs="Arial"/>
        </w:rPr>
        <w:t xml:space="preserve">plusieurs webinaires organisés en collaboration avec </w:t>
      </w:r>
      <w:proofErr w:type="spellStart"/>
      <w:r w:rsidRPr="00E5735D">
        <w:rPr>
          <w:rFonts w:cs="Arial"/>
        </w:rPr>
        <w:t>Vegepolys</w:t>
      </w:r>
      <w:proofErr w:type="spellEnd"/>
      <w:r w:rsidRPr="00E5735D">
        <w:rPr>
          <w:rFonts w:cs="Arial"/>
        </w:rPr>
        <w:t>;</w:t>
      </w:r>
    </w:p>
    <w:p w:rsidR="006C5CF8" w:rsidRPr="00E5735D" w:rsidRDefault="006C5CF8" w:rsidP="006C5CF8">
      <w:pPr>
        <w:numPr>
          <w:ilvl w:val="0"/>
          <w:numId w:val="41"/>
        </w:numPr>
        <w:spacing w:after="120"/>
        <w:ind w:left="714" w:hanging="357"/>
        <w:rPr>
          <w:rFonts w:cs="Arial"/>
        </w:rPr>
      </w:pPr>
      <w:r w:rsidRPr="00E5735D">
        <w:rPr>
          <w:rFonts w:cs="Arial"/>
        </w:rPr>
        <w:t>formation sur les actes de contrefaçon d’une variété végétale communautaire protégée dans l’UE</w:t>
      </w:r>
      <w:r>
        <w:rPr>
          <w:rFonts w:cs="Arial"/>
        </w:rPr>
        <w:t>,</w:t>
      </w:r>
      <w:r w:rsidRPr="00E5735D">
        <w:rPr>
          <w:rFonts w:cs="Arial"/>
        </w:rPr>
        <w:t xml:space="preserve"> à l’intention des services douaniers, dispensée dans le cadre de la réunion annuelle de l’Organisation mondiale des douanes (OMD) le 30 septembre 2019;</w:t>
      </w:r>
    </w:p>
    <w:p w:rsidR="006C5CF8" w:rsidRPr="00E5735D" w:rsidRDefault="006C5CF8" w:rsidP="006C5CF8">
      <w:pPr>
        <w:numPr>
          <w:ilvl w:val="0"/>
          <w:numId w:val="41"/>
        </w:numPr>
        <w:spacing w:after="120"/>
        <w:rPr>
          <w:rFonts w:cs="Arial"/>
        </w:rPr>
      </w:pPr>
      <w:r w:rsidRPr="00E5735D">
        <w:rPr>
          <w:rFonts w:cs="Arial"/>
        </w:rPr>
        <w:t>formation sur les droits d’obtenteur et autres droits de propriété intellectuelle</w:t>
      </w:r>
      <w:r>
        <w:rPr>
          <w:rFonts w:cs="Arial"/>
        </w:rPr>
        <w:t>,</w:t>
      </w:r>
      <w:r w:rsidRPr="00E5735D">
        <w:rPr>
          <w:rFonts w:cs="Arial"/>
        </w:rPr>
        <w:t xml:space="preserve"> dispensée au </w:t>
      </w:r>
      <w:proofErr w:type="spellStart"/>
      <w:r w:rsidRPr="00E5735D">
        <w:rPr>
          <w:rFonts w:cs="Arial"/>
        </w:rPr>
        <w:t>Naktuinbouw</w:t>
      </w:r>
      <w:proofErr w:type="spellEnd"/>
      <w:r w:rsidRPr="00E5735D">
        <w:rPr>
          <w:rFonts w:cs="Arial"/>
        </w:rPr>
        <w:t xml:space="preserve"> le 7 octobre 2019;</w:t>
      </w:r>
    </w:p>
    <w:p w:rsidR="006C5CF8" w:rsidRPr="00E5735D" w:rsidRDefault="006C5CF8" w:rsidP="006C5CF8">
      <w:pPr>
        <w:numPr>
          <w:ilvl w:val="0"/>
          <w:numId w:val="41"/>
        </w:numPr>
        <w:spacing w:after="120"/>
        <w:rPr>
          <w:rFonts w:cs="Arial"/>
        </w:rPr>
      </w:pPr>
      <w:r w:rsidRPr="00E5735D">
        <w:rPr>
          <w:rFonts w:cs="Arial"/>
        </w:rPr>
        <w:t>webinaire sur l’interface entre les dénominations variétales, les indications géographiques et les marques, le 13 décembre 2019;</w:t>
      </w:r>
    </w:p>
    <w:p w:rsidR="006C5CF8" w:rsidRPr="00E5735D" w:rsidRDefault="006C5CF8" w:rsidP="006C5CF8">
      <w:pPr>
        <w:numPr>
          <w:ilvl w:val="0"/>
          <w:numId w:val="41"/>
        </w:numPr>
        <w:spacing w:after="120"/>
        <w:rPr>
          <w:rFonts w:cs="Arial"/>
        </w:rPr>
      </w:pPr>
      <w:r w:rsidRPr="00E5735D">
        <w:rPr>
          <w:rFonts w:cs="Arial"/>
        </w:rPr>
        <w:t>présentation du système des droits d’obtenteur dans le cadre du Master en droit de la propriété intellectuelle de l’Université de Maastricht le 14 janvier 2020;</w:t>
      </w:r>
    </w:p>
    <w:p w:rsidR="006C5CF8" w:rsidRPr="00E5735D" w:rsidRDefault="006C5CF8" w:rsidP="006C5CF8">
      <w:pPr>
        <w:numPr>
          <w:ilvl w:val="0"/>
          <w:numId w:val="41"/>
        </w:numPr>
        <w:rPr>
          <w:rFonts w:cs="Arial"/>
        </w:rPr>
      </w:pPr>
      <w:r w:rsidRPr="00E5735D">
        <w:rPr>
          <w:rFonts w:cs="Arial"/>
        </w:rPr>
        <w:t>présentation du système de protection communautaire de</w:t>
      </w:r>
      <w:r>
        <w:rPr>
          <w:rFonts w:cs="Arial"/>
        </w:rPr>
        <w:t>s</w:t>
      </w:r>
      <w:r w:rsidRPr="00E5735D">
        <w:rPr>
          <w:rFonts w:cs="Arial"/>
        </w:rPr>
        <w:t xml:space="preserve"> obtentions végétales dans le cadre du Master en droit de la propriété intellectuelle de l’Université d’Alicante le 7 mai 2020.</w:t>
      </w:r>
    </w:p>
    <w:p w:rsidR="006C5CF8" w:rsidRPr="00E5735D" w:rsidRDefault="006C5CF8" w:rsidP="006C5CF8">
      <w:pPr>
        <w:rPr>
          <w:rFonts w:cs="Arial"/>
        </w:rPr>
      </w:pPr>
    </w:p>
    <w:p w:rsidR="006C5CF8" w:rsidRPr="00E5735D" w:rsidRDefault="006C5CF8" w:rsidP="006C5CF8">
      <w:pPr>
        <w:rPr>
          <w:rFonts w:cs="Arial"/>
          <w:u w:val="single"/>
        </w:rPr>
      </w:pPr>
      <w:r w:rsidRPr="00CD4BD6">
        <w:rPr>
          <w:rFonts w:cs="Arial"/>
          <w:u w:val="single"/>
        </w:rPr>
        <w:t>Autres organisations</w:t>
      </w:r>
    </w:p>
    <w:p w:rsidR="006C5CF8" w:rsidRPr="00E5735D" w:rsidRDefault="006C5CF8" w:rsidP="006C5CF8">
      <w:pPr>
        <w:rPr>
          <w:rFonts w:cs="Arial"/>
        </w:rPr>
      </w:pPr>
    </w:p>
    <w:p w:rsidR="006C5CF8" w:rsidRPr="00E5735D" w:rsidRDefault="006C5CF8" w:rsidP="006C5CF8">
      <w:pPr>
        <w:rPr>
          <w:rFonts w:cs="Arial"/>
        </w:rPr>
      </w:pPr>
      <w:r w:rsidRPr="00E5735D">
        <w:rPr>
          <w:rFonts w:cs="Arial"/>
        </w:rPr>
        <w:t>La Commission européenne et l’OCVV ont participé à la réunion annuelle d’</w:t>
      </w:r>
      <w:proofErr w:type="spellStart"/>
      <w:r w:rsidRPr="00E5735D">
        <w:rPr>
          <w:rFonts w:cs="Arial"/>
        </w:rPr>
        <w:t>Euroseeds</w:t>
      </w:r>
      <w:proofErr w:type="spellEnd"/>
      <w:r w:rsidRPr="00E5735D">
        <w:rPr>
          <w:rFonts w:cs="Arial"/>
        </w:rPr>
        <w:t xml:space="preserve"> à Stockholm du 13 au 15 octobre 2019 et à la réunion annuelle de la CIOPORA </w:t>
      </w:r>
      <w:proofErr w:type="spellStart"/>
      <w:r w:rsidRPr="00E5735D">
        <w:rPr>
          <w:rFonts w:cs="Arial"/>
        </w:rPr>
        <w:t>Deutschland</w:t>
      </w:r>
      <w:proofErr w:type="spellEnd"/>
      <w:r w:rsidRPr="00E5735D">
        <w:rPr>
          <w:rFonts w:cs="Arial"/>
        </w:rPr>
        <w:t xml:space="preserve"> à Dresde les 27 et 28 mars 2020.</w:t>
      </w:r>
    </w:p>
    <w:p w:rsidR="006C5CF8" w:rsidRPr="00E5735D" w:rsidRDefault="006C5CF8" w:rsidP="006C5CF8">
      <w:pPr>
        <w:rPr>
          <w:rFonts w:cs="Arial"/>
        </w:rPr>
      </w:pPr>
    </w:p>
    <w:p w:rsidR="006C5CF8" w:rsidRPr="00E5735D" w:rsidRDefault="006C5CF8" w:rsidP="006C5CF8">
      <w:pPr>
        <w:rPr>
          <w:rFonts w:cs="Arial"/>
        </w:rPr>
      </w:pPr>
      <w:r w:rsidRPr="00E5735D">
        <w:rPr>
          <w:rFonts w:cs="Arial"/>
        </w:rPr>
        <w:t>L’OCVV a également rencontré les organisations d’obtenteurs sur une base bilatérale, notamment</w:t>
      </w:r>
    </w:p>
    <w:p w:rsidR="006C5CF8" w:rsidRPr="00E5735D" w:rsidRDefault="006C5CF8" w:rsidP="006C5CF8">
      <w:pPr>
        <w:rPr>
          <w:rFonts w:cs="Arial"/>
        </w:rPr>
      </w:pPr>
    </w:p>
    <w:p w:rsidR="006C5CF8" w:rsidRPr="00E5735D" w:rsidRDefault="006C5CF8" w:rsidP="006C5CF8">
      <w:pPr>
        <w:numPr>
          <w:ilvl w:val="0"/>
          <w:numId w:val="41"/>
        </w:numPr>
        <w:spacing w:after="120"/>
        <w:ind w:left="714" w:hanging="357"/>
        <w:rPr>
          <w:rFonts w:cs="Arial"/>
        </w:rPr>
      </w:pPr>
      <w:r w:rsidRPr="00E5735D">
        <w:rPr>
          <w:rFonts w:cs="Arial"/>
        </w:rPr>
        <w:t>-</w:t>
      </w:r>
      <w:r w:rsidRPr="00E5735D">
        <w:rPr>
          <w:rFonts w:cs="Arial"/>
        </w:rPr>
        <w:tab/>
      </w:r>
      <w:proofErr w:type="spellStart"/>
      <w:r w:rsidRPr="00E5735D">
        <w:rPr>
          <w:rFonts w:cs="Arial"/>
        </w:rPr>
        <w:t>Euroseeds</w:t>
      </w:r>
      <w:proofErr w:type="spellEnd"/>
      <w:r w:rsidRPr="00E5735D">
        <w:rPr>
          <w:rFonts w:cs="Arial"/>
        </w:rPr>
        <w:t xml:space="preserve"> le 19 novembre 2019 et</w:t>
      </w:r>
    </w:p>
    <w:p w:rsidR="006C5CF8" w:rsidRPr="00E5735D" w:rsidRDefault="006C5CF8" w:rsidP="006C5CF8">
      <w:pPr>
        <w:numPr>
          <w:ilvl w:val="0"/>
          <w:numId w:val="41"/>
        </w:numPr>
        <w:spacing w:after="120"/>
        <w:ind w:left="714" w:hanging="357"/>
        <w:rPr>
          <w:rFonts w:cs="Arial"/>
        </w:rPr>
      </w:pPr>
      <w:r w:rsidRPr="00E5735D">
        <w:rPr>
          <w:rFonts w:cs="Arial"/>
        </w:rPr>
        <w:t>-</w:t>
      </w:r>
      <w:r w:rsidRPr="00E5735D">
        <w:rPr>
          <w:rFonts w:cs="Arial"/>
        </w:rPr>
        <w:tab/>
      </w:r>
      <w:proofErr w:type="spellStart"/>
      <w:r w:rsidRPr="00E5735D">
        <w:rPr>
          <w:rFonts w:cs="Arial"/>
        </w:rPr>
        <w:t>Plantum</w:t>
      </w:r>
      <w:proofErr w:type="spellEnd"/>
      <w:r w:rsidRPr="00E5735D">
        <w:rPr>
          <w:rFonts w:cs="Arial"/>
        </w:rPr>
        <w:t xml:space="preserve"> le 7 mai 2020.</w:t>
      </w:r>
    </w:p>
    <w:p w:rsidR="006C5CF8" w:rsidRPr="00E5735D" w:rsidRDefault="006C5CF8" w:rsidP="006C5CF8"/>
    <w:p w:rsidR="006C5CF8" w:rsidRPr="00E5735D" w:rsidRDefault="006C5CF8" w:rsidP="006C5CF8">
      <w:pPr>
        <w:rPr>
          <w:rFonts w:cs="Arial"/>
        </w:rPr>
      </w:pPr>
      <w:r w:rsidRPr="00E5735D">
        <w:rPr>
          <w:rFonts w:cs="Arial"/>
        </w:rPr>
        <w:t>L’OCVV a organisé des réunions bilatérales annuelles formelles avec l’AIPH et l’ECO-PB.</w:t>
      </w:r>
    </w:p>
    <w:p w:rsidR="006C5CF8" w:rsidRPr="00E5735D" w:rsidRDefault="006C5CF8" w:rsidP="006C5CF8">
      <w:pPr>
        <w:rPr>
          <w:rFonts w:cs="Arial"/>
        </w:rPr>
      </w:pPr>
    </w:p>
    <w:p w:rsidR="006C5CF8" w:rsidRPr="00E5735D" w:rsidRDefault="006C5CF8" w:rsidP="006C5CF8">
      <w:pPr>
        <w:keepNext/>
        <w:rPr>
          <w:rFonts w:cs="Arial"/>
          <w:u w:val="single"/>
        </w:rPr>
      </w:pPr>
      <w:r w:rsidRPr="00CD4BD6">
        <w:rPr>
          <w:rFonts w:cs="Arial"/>
          <w:u w:val="single"/>
        </w:rPr>
        <w:t>Autres activités de promotion</w:t>
      </w:r>
    </w:p>
    <w:p w:rsidR="006C5CF8" w:rsidRPr="00E5735D" w:rsidRDefault="006C5CF8" w:rsidP="006C5CF8">
      <w:pPr>
        <w:keepNext/>
        <w:rPr>
          <w:rFonts w:cs="Arial"/>
        </w:rPr>
      </w:pPr>
    </w:p>
    <w:p w:rsidR="006C5CF8" w:rsidRPr="00E5735D" w:rsidRDefault="006C5CF8" w:rsidP="006C5CF8">
      <w:pPr>
        <w:keepNext/>
        <w:rPr>
          <w:rFonts w:cs="Arial"/>
          <w:i/>
        </w:rPr>
      </w:pPr>
      <w:r w:rsidRPr="00CD4BD6">
        <w:rPr>
          <w:rFonts w:cs="Arial"/>
          <w:i/>
        </w:rPr>
        <w:t>Participation à des foires internationales et à des journées portes ouvertes</w:t>
      </w:r>
    </w:p>
    <w:p w:rsidR="006C5CF8" w:rsidRPr="00E5735D" w:rsidRDefault="006C5CF8" w:rsidP="006C5CF8">
      <w:pPr>
        <w:keepNext/>
        <w:rPr>
          <w:rFonts w:cs="Arial"/>
        </w:rPr>
      </w:pPr>
    </w:p>
    <w:p w:rsidR="006C5CF8" w:rsidRPr="00E5735D" w:rsidRDefault="006C5CF8" w:rsidP="006C5CF8">
      <w:pPr>
        <w:rPr>
          <w:rFonts w:cs="Arial"/>
        </w:rPr>
      </w:pPr>
      <w:r w:rsidRPr="00CD4BD6">
        <w:rPr>
          <w:rFonts w:cs="Arial"/>
        </w:rPr>
        <w:t xml:space="preserve">L’OCVV considère sa participation à des foires internationales et à des journées “Portes ouvertes” </w:t>
      </w:r>
      <w:r>
        <w:rPr>
          <w:rFonts w:cs="Arial"/>
        </w:rPr>
        <w:t>d’</w:t>
      </w:r>
      <w:r w:rsidRPr="00CD4BD6">
        <w:rPr>
          <w:rFonts w:cs="Arial"/>
        </w:rPr>
        <w:t xml:space="preserve">offices d’examen comme bon moyen de promouvoir le régime de protection communautaire des obtentions végétales, d’avoir des contacts directs avec les demandeurs et de fournir des informations aux </w:t>
      </w:r>
      <w:r>
        <w:rPr>
          <w:rFonts w:cs="Arial"/>
        </w:rPr>
        <w:t>producteurs</w:t>
      </w:r>
      <w:r w:rsidRPr="00CD4BD6">
        <w:rPr>
          <w:rFonts w:cs="Arial"/>
        </w:rPr>
        <w:t>.</w:t>
      </w:r>
    </w:p>
    <w:p w:rsidR="006C5CF8" w:rsidRPr="00E5735D" w:rsidRDefault="006C5CF8" w:rsidP="006C5CF8">
      <w:pPr>
        <w:rPr>
          <w:rFonts w:cs="Arial"/>
        </w:rPr>
      </w:pPr>
    </w:p>
    <w:p w:rsidR="006C5CF8" w:rsidRPr="00E5735D" w:rsidRDefault="006C5CF8" w:rsidP="006C5CF8">
      <w:pPr>
        <w:rPr>
          <w:rFonts w:cs="Arial"/>
        </w:rPr>
      </w:pPr>
      <w:r w:rsidRPr="00E5735D">
        <w:rPr>
          <w:rFonts w:cs="Arial"/>
        </w:rPr>
        <w:t xml:space="preserve">En janvier 2020, l’office a participé avec le GEVES au Salon </w:t>
      </w:r>
      <w:proofErr w:type="spellStart"/>
      <w:r w:rsidRPr="00E5735D">
        <w:rPr>
          <w:rFonts w:cs="Arial"/>
        </w:rPr>
        <w:t>Sival</w:t>
      </w:r>
      <w:proofErr w:type="spellEnd"/>
      <w:r w:rsidRPr="00E5735D">
        <w:rPr>
          <w:rFonts w:cs="Arial"/>
        </w:rPr>
        <w:t xml:space="preserve"> à Angers, une foire destinée principalement aux producteurs de fruits et de légumes.  </w:t>
      </w:r>
      <w:r w:rsidRPr="00E5735D">
        <w:rPr>
          <w:rFonts w:cs="Arial"/>
          <w:color w:val="000000"/>
        </w:rPr>
        <w:t xml:space="preserve">Également en janvier 2020, l’office a participé au salon IPM à Essen, en Allemagne, la plus grande foire </w:t>
      </w:r>
      <w:r>
        <w:rPr>
          <w:rFonts w:cs="Arial"/>
          <w:color w:val="000000"/>
        </w:rPr>
        <w:t>au monde consacrée aux</w:t>
      </w:r>
      <w:r w:rsidRPr="00E5735D">
        <w:rPr>
          <w:rFonts w:cs="Arial"/>
          <w:color w:val="000000"/>
        </w:rPr>
        <w:t xml:space="preserve"> plantes ornementales.</w:t>
      </w:r>
      <w:r w:rsidRPr="00E5735D">
        <w:rPr>
          <w:color w:val="000000"/>
        </w:rPr>
        <w:t xml:space="preserve">  </w:t>
      </w:r>
      <w:r w:rsidRPr="00E5735D">
        <w:rPr>
          <w:rFonts w:cs="Arial"/>
        </w:rPr>
        <w:t xml:space="preserve">Le stand a été partagé avec des collègues du </w:t>
      </w:r>
      <w:proofErr w:type="spellStart"/>
      <w:r w:rsidRPr="00E5735D">
        <w:rPr>
          <w:rFonts w:cs="Arial"/>
        </w:rPr>
        <w:t>Bundessortenamt</w:t>
      </w:r>
      <w:proofErr w:type="spellEnd"/>
      <w:r w:rsidRPr="00E5735D">
        <w:rPr>
          <w:rFonts w:cs="Arial"/>
        </w:rPr>
        <w:t xml:space="preserve">, du GEVES et de </w:t>
      </w:r>
      <w:proofErr w:type="spellStart"/>
      <w:r w:rsidRPr="00E5735D">
        <w:rPr>
          <w:rFonts w:cs="Arial"/>
        </w:rPr>
        <w:t>Naktuinbouw</w:t>
      </w:r>
      <w:proofErr w:type="spellEnd"/>
      <w:r w:rsidRPr="00E5735D">
        <w:rPr>
          <w:rFonts w:cs="Arial"/>
        </w:rPr>
        <w:t>.</w:t>
      </w:r>
    </w:p>
    <w:p w:rsidR="006C5CF8" w:rsidRPr="00E5735D" w:rsidRDefault="006C5CF8" w:rsidP="00867E38">
      <w:pPr>
        <w:keepNext/>
        <w:rPr>
          <w:rFonts w:cs="Arial"/>
          <w:u w:val="single"/>
        </w:rPr>
      </w:pPr>
      <w:r>
        <w:rPr>
          <w:rFonts w:cs="Arial"/>
        </w:rPr>
        <w:lastRenderedPageBreak/>
        <w:t>6.</w:t>
      </w:r>
      <w:r w:rsidRPr="00CD4BD6">
        <w:rPr>
          <w:rFonts w:cs="Arial"/>
        </w:rPr>
        <w:tab/>
      </w:r>
      <w:r w:rsidRPr="00726922">
        <w:rPr>
          <w:rFonts w:cs="Arial"/>
          <w:u w:val="single"/>
        </w:rPr>
        <w:t>R-D</w:t>
      </w:r>
    </w:p>
    <w:p w:rsidR="006C5CF8" w:rsidRPr="00E5735D" w:rsidRDefault="006C5CF8" w:rsidP="00867E38">
      <w:pPr>
        <w:keepNext/>
        <w:rPr>
          <w:rFonts w:cs="Arial"/>
        </w:rPr>
      </w:pPr>
    </w:p>
    <w:p w:rsidR="006C5CF8" w:rsidRPr="00E5735D" w:rsidRDefault="006C5CF8" w:rsidP="00867E38">
      <w:pPr>
        <w:keepNext/>
        <w:rPr>
          <w:rFonts w:cs="Arial"/>
          <w:u w:val="single"/>
        </w:rPr>
      </w:pPr>
      <w:r>
        <w:rPr>
          <w:rFonts w:cs="Arial"/>
          <w:u w:val="single"/>
        </w:rPr>
        <w:t xml:space="preserve">6.1 </w:t>
      </w:r>
      <w:r w:rsidRPr="00CD4BD6">
        <w:rPr>
          <w:rFonts w:cs="Arial"/>
          <w:u w:val="single"/>
        </w:rPr>
        <w:t>Groupe de travail ad hoc IMODDUS</w:t>
      </w:r>
    </w:p>
    <w:p w:rsidR="006C5CF8" w:rsidRPr="00E5735D" w:rsidRDefault="006C5CF8" w:rsidP="00867E38">
      <w:pPr>
        <w:keepNext/>
        <w:rPr>
          <w:rFonts w:cs="Arial"/>
        </w:rPr>
      </w:pPr>
    </w:p>
    <w:p w:rsidR="006C5CF8" w:rsidRPr="00E5735D" w:rsidRDefault="006C5CF8" w:rsidP="006C5CF8">
      <w:pPr>
        <w:rPr>
          <w:rFonts w:cs="Arial"/>
        </w:rPr>
      </w:pPr>
      <w:r>
        <w:rPr>
          <w:rFonts w:cs="Arial"/>
        </w:rPr>
        <w:t>Dans le cadre</w:t>
      </w:r>
      <w:r w:rsidRPr="00CD4BD6">
        <w:rPr>
          <w:rFonts w:cs="Arial"/>
        </w:rPr>
        <w:t xml:space="preserve"> des trois objectifs de la stratégie révisée de </w:t>
      </w:r>
      <w:r>
        <w:rPr>
          <w:rFonts w:cs="Arial"/>
        </w:rPr>
        <w:t>R-D</w:t>
      </w:r>
      <w:r w:rsidRPr="00CD4BD6">
        <w:rPr>
          <w:rFonts w:cs="Arial"/>
        </w:rPr>
        <w:t xml:space="preserve"> de l’OCVV adoptée par le Conseil administratif en mars 2015, le Conseil administratif a voté pour la création d’un groupe de travail ad hoc de l’OCVV sur les techniques biomoléculaires.</w:t>
      </w:r>
      <w:r w:rsidRPr="00CD4BD6">
        <w:t xml:space="preserve">  </w:t>
      </w:r>
      <w:r w:rsidRPr="00CD4BD6">
        <w:rPr>
          <w:rFonts w:cs="Arial"/>
        </w:rPr>
        <w:t>Ce groupe de travail est dénommé IMODDUS, ce qui signifie Intégration de données moléculaires aux examens DHS.</w:t>
      </w:r>
      <w:r w:rsidRPr="00CD4BD6">
        <w:t xml:space="preserve">  </w:t>
      </w:r>
      <w:r w:rsidRPr="00CD4BD6">
        <w:rPr>
          <w:rFonts w:cs="Arial"/>
        </w:rPr>
        <w:t>L’objectif du groupe est de travailler sur des projets dans les différents secteurs de récoltes qui permettraient l’application des techniques biomoléculaires dans les examens DHS, lorsque lesdites techniques peuvent contribuer à l’efficacité et à la qualité.</w:t>
      </w:r>
    </w:p>
    <w:p w:rsidR="006C5CF8" w:rsidRPr="00E5735D" w:rsidRDefault="006C5CF8" w:rsidP="006C5CF8">
      <w:pPr>
        <w:rPr>
          <w:rFonts w:cs="Arial"/>
        </w:rPr>
      </w:pPr>
    </w:p>
    <w:p w:rsidR="006C5CF8" w:rsidRPr="00E5735D" w:rsidRDefault="006C5CF8" w:rsidP="006C5CF8">
      <w:pPr>
        <w:rPr>
          <w:rFonts w:cs="Arial"/>
        </w:rPr>
      </w:pPr>
      <w:r w:rsidRPr="00CD4BD6">
        <w:rPr>
          <w:rFonts w:cs="Arial"/>
        </w:rPr>
        <w:t xml:space="preserve">Le groupe est composé d’experts du BMT provenant des </w:t>
      </w:r>
      <w:r>
        <w:rPr>
          <w:rFonts w:cs="Arial"/>
        </w:rPr>
        <w:t>services</w:t>
      </w:r>
      <w:r w:rsidRPr="00CD4BD6">
        <w:rPr>
          <w:rFonts w:cs="Arial"/>
        </w:rPr>
        <w:t xml:space="preserve"> d’examen et des organisations de </w:t>
      </w:r>
      <w:r>
        <w:rPr>
          <w:rFonts w:cs="Arial"/>
        </w:rPr>
        <w:t>producteurs</w:t>
      </w:r>
      <w:r w:rsidRPr="00CD4BD6">
        <w:rPr>
          <w:rFonts w:cs="Arial"/>
        </w:rPr>
        <w:t xml:space="preserve"> concernés.</w:t>
      </w:r>
      <w:r w:rsidRPr="00CD4BD6">
        <w:t xml:space="preserve">  </w:t>
      </w:r>
      <w:r w:rsidRPr="00CD4BD6">
        <w:rPr>
          <w:rFonts w:cs="Arial"/>
        </w:rPr>
        <w:t>La participation est limitée aux experts qui peuvent activement contribuer à l’élaboration de</w:t>
      </w:r>
      <w:r>
        <w:rPr>
          <w:rFonts w:cs="Arial"/>
        </w:rPr>
        <w:t xml:space="preserve"> documents et d’exposés</w:t>
      </w:r>
      <w:r w:rsidRPr="00CD4BD6">
        <w:rPr>
          <w:rFonts w:cs="Arial"/>
        </w:rPr>
        <w:t>.</w:t>
      </w:r>
      <w:r w:rsidRPr="00CD4BD6">
        <w:t xml:space="preserve">  </w:t>
      </w:r>
      <w:r w:rsidRPr="00CD4BD6">
        <w:rPr>
          <w:rFonts w:cs="Arial"/>
        </w:rPr>
        <w:t>Des experts de laboratoires, d’universités, du secteur de l’industrie, etc., peuvent également être invités par le président du groupe.</w:t>
      </w:r>
    </w:p>
    <w:p w:rsidR="006C5CF8" w:rsidRPr="00E5735D" w:rsidRDefault="006C5CF8" w:rsidP="006C5CF8">
      <w:pPr>
        <w:rPr>
          <w:rFonts w:cs="Arial"/>
        </w:rPr>
      </w:pPr>
    </w:p>
    <w:p w:rsidR="006C5CF8" w:rsidRPr="00E5735D" w:rsidRDefault="006C5CF8" w:rsidP="006C5CF8">
      <w:pPr>
        <w:rPr>
          <w:rFonts w:cs="Arial"/>
        </w:rPr>
      </w:pPr>
      <w:r w:rsidRPr="00E5735D">
        <w:rPr>
          <w:rFonts w:cs="Arial"/>
          <w:color w:val="000000"/>
        </w:rPr>
        <w:t>En raison de la pandémie de COVID-19, aucune réunion physique n’a été organisée en 2020.</w:t>
      </w:r>
      <w:r w:rsidRPr="00E5735D">
        <w:rPr>
          <w:color w:val="000000"/>
        </w:rPr>
        <w:t xml:space="preserve">  </w:t>
      </w:r>
      <w:r w:rsidRPr="00E5735D">
        <w:rPr>
          <w:rFonts w:cs="Arial"/>
          <w:color w:val="000000"/>
        </w:rPr>
        <w:t>La prochaine réunion de ce groupe est prévue en avril 2021.</w:t>
      </w:r>
    </w:p>
    <w:p w:rsidR="006C5CF8" w:rsidRPr="00E5735D" w:rsidRDefault="006C5CF8" w:rsidP="006C5CF8">
      <w:pPr>
        <w:rPr>
          <w:rFonts w:cs="Arial"/>
        </w:rPr>
      </w:pPr>
    </w:p>
    <w:p w:rsidR="006C5CF8" w:rsidRPr="00E5735D" w:rsidRDefault="006C5CF8" w:rsidP="006C5CF8">
      <w:pPr>
        <w:rPr>
          <w:rFonts w:cs="Arial"/>
        </w:rPr>
      </w:pPr>
      <w:r w:rsidRPr="00E5735D">
        <w:rPr>
          <w:rFonts w:cs="Arial"/>
          <w:color w:val="000000"/>
        </w:rPr>
        <w:t>Une proposition de projet de R-D a été examinée par l’IMODDUS et le projet correspondant lancé par la suite :</w:t>
      </w:r>
    </w:p>
    <w:p w:rsidR="006C5CF8" w:rsidRPr="00E5735D" w:rsidRDefault="006C5CF8" w:rsidP="006C5CF8">
      <w:pPr>
        <w:rPr>
          <w:rFonts w:cs="Arial"/>
        </w:rPr>
      </w:pPr>
    </w:p>
    <w:p w:rsidR="006C5CF8" w:rsidRPr="00E5735D" w:rsidRDefault="006C5CF8" w:rsidP="006C5CF8">
      <w:pPr>
        <w:rPr>
          <w:rFonts w:cs="Arial"/>
          <w:i/>
        </w:rPr>
      </w:pPr>
      <w:r w:rsidRPr="00CD4BD6">
        <w:rPr>
          <w:rFonts w:cs="Arial"/>
          <w:i/>
        </w:rPr>
        <w:t>Chanvre</w:t>
      </w:r>
    </w:p>
    <w:p w:rsidR="006C5CF8" w:rsidRPr="00E5735D" w:rsidRDefault="006C5CF8" w:rsidP="006C5CF8">
      <w:pPr>
        <w:rPr>
          <w:rFonts w:cs="Arial"/>
        </w:rPr>
      </w:pPr>
    </w:p>
    <w:p w:rsidR="006C5CF8" w:rsidRPr="00E5735D" w:rsidRDefault="006C5CF8" w:rsidP="006C5CF8">
      <w:pPr>
        <w:rPr>
          <w:rFonts w:cs="Arial"/>
        </w:rPr>
      </w:pPr>
      <w:r w:rsidRPr="00E5735D">
        <w:rPr>
          <w:rFonts w:cs="Arial"/>
          <w:color w:val="000000"/>
        </w:rPr>
        <w:t>“Élaboration d’un ensemble de marqueurs SNP pour le Cannabis pour appuyer l’examen DHS”</w:t>
      </w:r>
      <w:r>
        <w:rPr>
          <w:rFonts w:cs="Arial"/>
          <w:color w:val="000000"/>
        </w:rPr>
        <w:t xml:space="preserve">. </w:t>
      </w:r>
      <w:r w:rsidRPr="00E5735D">
        <w:rPr>
          <w:rFonts w:cs="Arial"/>
        </w:rPr>
        <w:t xml:space="preserve"> </w:t>
      </w:r>
      <w:r w:rsidRPr="00E5735D">
        <w:rPr>
          <w:rFonts w:cs="Arial"/>
          <w:color w:val="000000"/>
        </w:rPr>
        <w:t>Les autres projets de R-D ayant précédemment obtenu une évaluation positive par l’IMODDUS et ayant bénéficié d’un cofinancement ont progressé régulièrement au cours de la période considérée.</w:t>
      </w:r>
    </w:p>
    <w:p w:rsidR="006C5CF8" w:rsidRPr="00E5735D" w:rsidRDefault="006C5CF8" w:rsidP="006C5CF8">
      <w:pPr>
        <w:rPr>
          <w:rFonts w:cs="Arial"/>
        </w:rPr>
      </w:pPr>
    </w:p>
    <w:p w:rsidR="006C5CF8" w:rsidRPr="00E5735D" w:rsidRDefault="006C5CF8" w:rsidP="006C5CF8">
      <w:pPr>
        <w:rPr>
          <w:rFonts w:cs="Arial"/>
          <w:i/>
        </w:rPr>
      </w:pPr>
      <w:r w:rsidRPr="00CD4BD6">
        <w:rPr>
          <w:rFonts w:cs="Arial"/>
          <w:i/>
        </w:rPr>
        <w:t>Tomate</w:t>
      </w:r>
    </w:p>
    <w:p w:rsidR="006C5CF8" w:rsidRPr="00E5735D" w:rsidRDefault="006C5CF8" w:rsidP="006C5CF8">
      <w:pPr>
        <w:rPr>
          <w:rFonts w:cs="Arial"/>
        </w:rPr>
      </w:pPr>
    </w:p>
    <w:p w:rsidR="006C5CF8" w:rsidRPr="00E5735D" w:rsidRDefault="006C5CF8" w:rsidP="006C5CF8">
      <w:pPr>
        <w:rPr>
          <w:rFonts w:cs="Arial"/>
        </w:rPr>
      </w:pPr>
      <w:r w:rsidRPr="00E5735D">
        <w:rPr>
          <w:rFonts w:cs="Arial"/>
          <w:color w:val="000000"/>
        </w:rPr>
        <w:t>“Validation internationale d’un ensemble de marqueurs SNP permettant de déterminer les écarts génétiques pour la gestion de la collection de référence pour la tomate”</w:t>
      </w:r>
    </w:p>
    <w:p w:rsidR="006C5CF8" w:rsidRPr="00E5735D" w:rsidRDefault="006C5CF8" w:rsidP="006C5CF8">
      <w:pPr>
        <w:rPr>
          <w:rFonts w:cs="Arial"/>
        </w:rPr>
      </w:pPr>
    </w:p>
    <w:p w:rsidR="006C5CF8" w:rsidRPr="00E5735D" w:rsidRDefault="006C5CF8" w:rsidP="006C5CF8">
      <w:pPr>
        <w:rPr>
          <w:rFonts w:cs="Arial"/>
          <w:i/>
        </w:rPr>
      </w:pPr>
      <w:r w:rsidRPr="00CD4BD6">
        <w:rPr>
          <w:rFonts w:cs="Arial"/>
          <w:i/>
        </w:rPr>
        <w:t>Colza</w:t>
      </w:r>
    </w:p>
    <w:p w:rsidR="006C5CF8" w:rsidRPr="00E5735D" w:rsidRDefault="006C5CF8" w:rsidP="006C5CF8">
      <w:pPr>
        <w:rPr>
          <w:rFonts w:cs="Arial"/>
        </w:rPr>
      </w:pPr>
    </w:p>
    <w:p w:rsidR="006C5CF8" w:rsidRPr="00E5735D" w:rsidRDefault="006C5CF8" w:rsidP="006C5CF8">
      <w:pPr>
        <w:rPr>
          <w:rFonts w:cs="Arial"/>
        </w:rPr>
      </w:pPr>
      <w:r w:rsidRPr="00E5735D">
        <w:rPr>
          <w:rFonts w:cs="Arial"/>
          <w:color w:val="000000"/>
        </w:rPr>
        <w:t>“Élaboration d’une stratégie relative à l’application de marqueurs moléculaires de type SNP dans le cadre de l’examen DHS du colza oléagineux d’hiver”</w:t>
      </w:r>
    </w:p>
    <w:p w:rsidR="006C5CF8" w:rsidRPr="00E5735D" w:rsidRDefault="006C5CF8" w:rsidP="006C5CF8">
      <w:pPr>
        <w:rPr>
          <w:rFonts w:cs="Arial"/>
        </w:rPr>
      </w:pPr>
    </w:p>
    <w:p w:rsidR="006C5CF8" w:rsidRPr="00E5735D" w:rsidRDefault="006C5CF8" w:rsidP="006C5CF8">
      <w:pPr>
        <w:rPr>
          <w:rFonts w:cs="Arial"/>
          <w:i/>
        </w:rPr>
      </w:pPr>
      <w:r w:rsidRPr="00CD4BD6">
        <w:rPr>
          <w:rFonts w:cs="Arial"/>
          <w:i/>
        </w:rPr>
        <w:t>Blé dur</w:t>
      </w:r>
    </w:p>
    <w:p w:rsidR="006C5CF8" w:rsidRPr="00E5735D" w:rsidRDefault="006C5CF8" w:rsidP="006C5CF8">
      <w:pPr>
        <w:rPr>
          <w:rFonts w:cs="Arial"/>
        </w:rPr>
      </w:pPr>
    </w:p>
    <w:p w:rsidR="006C5CF8" w:rsidRPr="00E5735D" w:rsidRDefault="006C5CF8" w:rsidP="006C5CF8">
      <w:pPr>
        <w:rPr>
          <w:rFonts w:cs="Arial"/>
        </w:rPr>
      </w:pPr>
      <w:r w:rsidRPr="00CD4BD6">
        <w:rPr>
          <w:rFonts w:cs="Arial"/>
        </w:rPr>
        <w:t>“Intégration de données moléculaires à l’examen DHS du blé dur”</w:t>
      </w:r>
    </w:p>
    <w:p w:rsidR="006C5CF8" w:rsidRPr="00E5735D" w:rsidRDefault="006C5CF8" w:rsidP="006C5CF8">
      <w:pPr>
        <w:rPr>
          <w:rFonts w:cs="Arial"/>
        </w:rPr>
      </w:pPr>
    </w:p>
    <w:p w:rsidR="006C5CF8" w:rsidRPr="00E5735D" w:rsidRDefault="006C5CF8" w:rsidP="006C5CF8">
      <w:pPr>
        <w:rPr>
          <w:rFonts w:cs="Arial"/>
          <w:i/>
        </w:rPr>
      </w:pPr>
      <w:r w:rsidRPr="00CD4BD6">
        <w:rPr>
          <w:rFonts w:cs="Arial"/>
          <w:i/>
        </w:rPr>
        <w:t>Pomme</w:t>
      </w:r>
    </w:p>
    <w:p w:rsidR="006C5CF8" w:rsidRPr="00E5735D" w:rsidRDefault="006C5CF8" w:rsidP="006C5CF8">
      <w:pPr>
        <w:rPr>
          <w:rFonts w:cs="Arial"/>
        </w:rPr>
      </w:pPr>
    </w:p>
    <w:p w:rsidR="006C5CF8" w:rsidRPr="00E5735D" w:rsidRDefault="006C5CF8" w:rsidP="006C5CF8">
      <w:pPr>
        <w:rPr>
          <w:rFonts w:cs="Arial"/>
        </w:rPr>
      </w:pPr>
      <w:r w:rsidRPr="00E5735D">
        <w:rPr>
          <w:rFonts w:cs="Arial"/>
        </w:rPr>
        <w:t>“</w:t>
      </w:r>
      <w:r w:rsidRPr="00E5735D">
        <w:rPr>
          <w:rFonts w:cs="Arial"/>
          <w:color w:val="000000"/>
        </w:rPr>
        <w:t xml:space="preserve">“Élaboration de marqueurs moléculaires permettant de distinguer les pommes mutantes (cultivars mutants)” (par association de données de séquençage, de </w:t>
      </w:r>
      <w:proofErr w:type="spellStart"/>
      <w:r w:rsidRPr="00E5735D">
        <w:rPr>
          <w:rFonts w:cs="Arial"/>
          <w:color w:val="000000"/>
        </w:rPr>
        <w:t>transcriptomique</w:t>
      </w:r>
      <w:proofErr w:type="spellEnd"/>
      <w:r w:rsidRPr="00E5735D">
        <w:rPr>
          <w:rFonts w:cs="Arial"/>
          <w:color w:val="000000"/>
        </w:rPr>
        <w:t xml:space="preserve"> et d’épigénétique)</w:t>
      </w:r>
    </w:p>
    <w:p w:rsidR="006C5CF8" w:rsidRPr="00E5735D" w:rsidRDefault="006C5CF8" w:rsidP="006C5CF8">
      <w:pPr>
        <w:rPr>
          <w:rFonts w:cs="Arial"/>
        </w:rPr>
      </w:pPr>
    </w:p>
    <w:p w:rsidR="006C5CF8" w:rsidRPr="00E5735D" w:rsidRDefault="006C5CF8" w:rsidP="006C5CF8">
      <w:pPr>
        <w:rPr>
          <w:rFonts w:cs="Arial"/>
          <w:u w:val="single"/>
        </w:rPr>
      </w:pPr>
      <w:r w:rsidRPr="00CD4BD6">
        <w:rPr>
          <w:rFonts w:cs="Arial"/>
          <w:u w:val="single"/>
        </w:rPr>
        <w:t>6</w:t>
      </w:r>
      <w:r w:rsidRPr="00E5735D">
        <w:rPr>
          <w:rFonts w:cs="Arial"/>
          <w:color w:val="000000"/>
          <w:u w:val="single"/>
        </w:rPr>
        <w:t>.</w:t>
      </w:r>
      <w:r w:rsidRPr="00CD4BD6">
        <w:rPr>
          <w:rFonts w:cs="Arial"/>
          <w:u w:val="single"/>
        </w:rPr>
        <w:t>2</w:t>
      </w:r>
      <w:r>
        <w:rPr>
          <w:rFonts w:cs="Arial"/>
          <w:color w:val="000000"/>
          <w:u w:val="single"/>
        </w:rPr>
        <w:t xml:space="preserve"> </w:t>
      </w:r>
      <w:r w:rsidRPr="00CD4BD6">
        <w:rPr>
          <w:rFonts w:cs="Arial"/>
          <w:u w:val="single"/>
        </w:rPr>
        <w:t>INVITE</w:t>
      </w:r>
    </w:p>
    <w:p w:rsidR="006C5CF8" w:rsidRPr="00E5735D" w:rsidRDefault="006C5CF8" w:rsidP="006C5CF8">
      <w:pPr>
        <w:rPr>
          <w:rFonts w:cs="Arial"/>
        </w:rPr>
      </w:pPr>
    </w:p>
    <w:p w:rsidR="006C5CF8" w:rsidRPr="00E5735D" w:rsidRDefault="006C5CF8" w:rsidP="006C5CF8">
      <w:pPr>
        <w:rPr>
          <w:rFonts w:cs="Arial"/>
        </w:rPr>
      </w:pPr>
      <w:r w:rsidRPr="00E5735D">
        <w:rPr>
          <w:rFonts w:cs="Arial"/>
          <w:color w:val="000000"/>
        </w:rPr>
        <w:t>INVITE signifie “innovation dans les examens de variétés végétales en Europe pour encourager l’introduction de nouvelles variétés mieux adaptées à des conditions biotiques et abiotiques variables et à des pratiques de gestion des plantes plus durables”.</w:t>
      </w:r>
      <w:r w:rsidRPr="00E5735D">
        <w:rPr>
          <w:color w:val="000000"/>
        </w:rPr>
        <w:t xml:space="preserve">  </w:t>
      </w:r>
      <w:r w:rsidRPr="00E5735D">
        <w:rPr>
          <w:rFonts w:cs="Arial"/>
          <w:color w:val="000000"/>
        </w:rPr>
        <w:t>INVITE est un des deux projets lauréats de l’appel à propositions SFS-29-2018 “L’innovation dans les examens de variétés végétales” du défi 2 du programme Horizon 2020.</w:t>
      </w:r>
      <w:r w:rsidRPr="00E5735D">
        <w:rPr>
          <w:color w:val="000000"/>
        </w:rPr>
        <w:t xml:space="preserve">  </w:t>
      </w:r>
      <w:r w:rsidRPr="00CD4BD6">
        <w:rPr>
          <w:rFonts w:cs="Arial"/>
        </w:rPr>
        <w:t>Ce projet vise à améliorer l’efficacité des examens des variétés et la disponibilité des informations dont disposent les parties prenantes concernant les performances des variétés dans diverses conditions de production et le stress biotique et abiotique pour 10 plantes (7 plantes “type” : maïs, blé, ray-grass, tournesol, pomme de terre, tomate, pomme et 3 “plantes demandées” : luzerne, soja et colza).</w:t>
      </w:r>
      <w:r w:rsidRPr="00CD4BD6">
        <w:t xml:space="preserve">  </w:t>
      </w:r>
      <w:r w:rsidRPr="00CD4BD6">
        <w:rPr>
          <w:rFonts w:cs="Arial"/>
        </w:rPr>
        <w:t>Il traite les questions de l’examen DHS et de l’examen des performances de manière équilibrée et vise à maximiser les synergies entre ceux-ci par l’intermédiaire d’activités connexes fondées sur l’établissement de phénotypes, de génotypes et de modèles et la gestion de bases de données.</w:t>
      </w:r>
    </w:p>
    <w:p w:rsidR="006C5CF8" w:rsidRPr="00E5735D" w:rsidRDefault="006C5CF8" w:rsidP="006C5CF8">
      <w:pPr>
        <w:rPr>
          <w:rFonts w:cs="Arial"/>
        </w:rPr>
      </w:pPr>
    </w:p>
    <w:p w:rsidR="006C5CF8" w:rsidRPr="00E5735D" w:rsidRDefault="006C5CF8" w:rsidP="006C5CF8">
      <w:pPr>
        <w:rPr>
          <w:rFonts w:cs="Arial"/>
        </w:rPr>
      </w:pPr>
      <w:r w:rsidRPr="00CD4BD6">
        <w:rPr>
          <w:rFonts w:cs="Arial"/>
        </w:rPr>
        <w:t>En mai-juin 2019, l’accord de consortium et l’accord de subvention ont été signés par tous les bénéficiaires du projet.</w:t>
      </w:r>
      <w:r w:rsidRPr="00CD4BD6">
        <w:t xml:space="preserve">  </w:t>
      </w:r>
      <w:r w:rsidRPr="00E5735D">
        <w:rPr>
          <w:rFonts w:cs="Arial"/>
          <w:color w:val="000000"/>
        </w:rPr>
        <w:t>Le montant total alloué s’élève environ à 8 millions d’euros, à dépenser sur une période de 5 ans à compter de juillet 2019.</w:t>
      </w:r>
      <w:r w:rsidRPr="00E5735D">
        <w:rPr>
          <w:color w:val="000000"/>
        </w:rPr>
        <w:t xml:space="preserve">  </w:t>
      </w:r>
      <w:r w:rsidRPr="00CD4BD6">
        <w:rPr>
          <w:rFonts w:cs="Arial"/>
        </w:rPr>
        <w:t>L’OCVV ne recevra aucun financement.</w:t>
      </w:r>
    </w:p>
    <w:p w:rsidR="006C5CF8" w:rsidRPr="00E5735D" w:rsidRDefault="006C5CF8" w:rsidP="006C5CF8">
      <w:pPr>
        <w:rPr>
          <w:rFonts w:cs="Arial"/>
        </w:rPr>
      </w:pPr>
    </w:p>
    <w:p w:rsidR="006C5CF8" w:rsidRPr="00E5735D" w:rsidRDefault="006C5CF8" w:rsidP="006C5CF8">
      <w:pPr>
        <w:rPr>
          <w:rFonts w:cs="Arial"/>
        </w:rPr>
      </w:pPr>
      <w:r w:rsidRPr="00CD4BD6">
        <w:rPr>
          <w:rFonts w:cs="Arial"/>
        </w:rPr>
        <w:t>Outre sa participation aux tâches du projet, l’OCVV est chargé de gérer toutes les questions concernant l’accès aux données historiques et au matériel de référence détenu par les services d’examen.</w:t>
      </w:r>
      <w:r w:rsidRPr="00CD4BD6">
        <w:t xml:space="preserve">  </w:t>
      </w:r>
      <w:r w:rsidRPr="00E5735D">
        <w:rPr>
          <w:rFonts w:cs="Arial"/>
        </w:rPr>
        <w:t xml:space="preserve">En collaboration avec </w:t>
      </w:r>
      <w:proofErr w:type="spellStart"/>
      <w:r w:rsidRPr="00E5735D">
        <w:rPr>
          <w:rFonts w:cs="Arial"/>
        </w:rPr>
        <w:t>Euroseeds</w:t>
      </w:r>
      <w:proofErr w:type="spellEnd"/>
      <w:r w:rsidRPr="00E5735D">
        <w:rPr>
          <w:rFonts w:cs="Arial"/>
        </w:rPr>
        <w:t>, les responsables des lots de travail et les services d’examen participants, l’OCVV a conçu un accord pour encadrer l’accès des partenaires du consortium INVITE à ces données et matériels.  Cet accord décrit certaines procédures pour : 1) obtenir les consentements individuels des obtenteurs propriétaires des variétés concernées (y compris un modèle de lettre de consentement), 2) encoder les noms de variétés, 3) gérer les données validées sur un système de partage de données, et 4) échanger des échantillons de matériel de référence (avec un modèle d’ATM).  Cet accord a été signé par tous les partenaires concernés le 19 juin 2020.</w:t>
      </w:r>
    </w:p>
    <w:p w:rsidR="006C5CF8" w:rsidRPr="00E5735D" w:rsidRDefault="006C5CF8" w:rsidP="006C5CF8">
      <w:pPr>
        <w:rPr>
          <w:rFonts w:cs="Arial"/>
        </w:rPr>
      </w:pPr>
    </w:p>
    <w:p w:rsidR="006C5CF8" w:rsidRPr="00E5735D" w:rsidRDefault="006C5CF8" w:rsidP="006C5CF8">
      <w:pPr>
        <w:rPr>
          <w:rFonts w:cs="Arial"/>
        </w:rPr>
      </w:pPr>
      <w:r w:rsidRPr="00E5735D">
        <w:rPr>
          <w:rFonts w:cs="Arial"/>
        </w:rPr>
        <w:t>La collaboration avec INNOVAR (le deuxième consortium lauréat de l’appel SFS-29-2018, qui se concentre sur le développement d’une approche d’apprentissage machine pour l’optimisation des examens de variétés de blé) s’est poursuivie.  Le 22 juin 2020, l’OCVV et le coordonnateur d’INVITE ont été invités à une réunion organisée par INNOVAR pour discuter de la question de l’accès aux données et au matériel.  INVITE a partagé son expérience avec INNOVAR sur la question et a fourni des conseils sur la manière d’interagir avec les services d’examen.  Pour soutenir et faciliter la définition d’un système similaire entre les deux consortiums, il a été décidé qu’INVITE enverrait à INNOVAR une copie de son accord sur l’accès aux données historiques et au matériel de référence, ce qui a été fait par l’OCVV le 1</w:t>
      </w:r>
      <w:r w:rsidRPr="00E5735D">
        <w:rPr>
          <w:rFonts w:cs="Arial"/>
          <w:vertAlign w:val="superscript"/>
        </w:rPr>
        <w:t>er</w:t>
      </w:r>
      <w:r w:rsidRPr="00E5735D">
        <w:rPr>
          <w:rFonts w:cs="Arial"/>
        </w:rPr>
        <w:t> juillet 2020.</w:t>
      </w:r>
    </w:p>
    <w:p w:rsidR="006C5CF8" w:rsidRPr="00E5735D" w:rsidRDefault="006C5CF8" w:rsidP="006C5CF8">
      <w:pPr>
        <w:rPr>
          <w:rFonts w:cs="Arial"/>
        </w:rPr>
      </w:pPr>
    </w:p>
    <w:p w:rsidR="006C5CF8" w:rsidRPr="00E5735D" w:rsidRDefault="006C5CF8" w:rsidP="006C5CF8">
      <w:pPr>
        <w:rPr>
          <w:rFonts w:cs="Arial"/>
          <w:u w:val="single"/>
        </w:rPr>
      </w:pPr>
      <w:r w:rsidRPr="00E5735D">
        <w:rPr>
          <w:rFonts w:cs="Arial"/>
          <w:u w:val="single"/>
        </w:rPr>
        <w:t>6.3</w:t>
      </w:r>
      <w:r>
        <w:rPr>
          <w:rFonts w:cs="Arial"/>
          <w:u w:val="single"/>
        </w:rPr>
        <w:t xml:space="preserve"> </w:t>
      </w:r>
      <w:r w:rsidRPr="00E5735D">
        <w:rPr>
          <w:rFonts w:cs="Arial"/>
          <w:u w:val="single"/>
        </w:rPr>
        <w:t>Autres projets de R-D</w:t>
      </w:r>
    </w:p>
    <w:p w:rsidR="006C5CF8" w:rsidRPr="00E5735D" w:rsidRDefault="006C5CF8" w:rsidP="006C5CF8">
      <w:pPr>
        <w:rPr>
          <w:rFonts w:cs="Arial"/>
        </w:rPr>
      </w:pPr>
    </w:p>
    <w:p w:rsidR="006C5CF8" w:rsidRPr="00E5735D" w:rsidRDefault="006C5CF8" w:rsidP="006C5CF8">
      <w:pPr>
        <w:rPr>
          <w:rFonts w:cs="Arial"/>
          <w:i/>
        </w:rPr>
      </w:pPr>
      <w:proofErr w:type="spellStart"/>
      <w:r w:rsidRPr="00E5735D">
        <w:rPr>
          <w:rFonts w:cs="Arial"/>
          <w:i/>
        </w:rPr>
        <w:t>Harmorescoll</w:t>
      </w:r>
      <w:proofErr w:type="spellEnd"/>
    </w:p>
    <w:p w:rsidR="006C5CF8" w:rsidRPr="00E5735D" w:rsidRDefault="006C5CF8" w:rsidP="006C5CF8">
      <w:pPr>
        <w:rPr>
          <w:rFonts w:cs="Arial"/>
        </w:rPr>
      </w:pPr>
    </w:p>
    <w:p w:rsidR="006C5CF8" w:rsidRPr="00E5735D" w:rsidRDefault="006C5CF8" w:rsidP="006C5CF8">
      <w:pPr>
        <w:rPr>
          <w:rFonts w:cs="Arial"/>
        </w:rPr>
      </w:pPr>
      <w:r w:rsidRPr="00E5735D">
        <w:rPr>
          <w:rFonts w:cs="Arial"/>
        </w:rPr>
        <w:t>HARMORESCOLL vise à mettre en place, à l’échelle européenne, un système coordonné permettant d’informer les parties intéressées sur l’accès au matériel de référence pour la réalisation d’examens DHS conformément aux protocoles de l’OCVV et aux principes directeurs de l’UPOV.  Le matériel de référence est constitué d’isolats, de témoins et de variétés différentielles.  Le projet couvre les résistances aux maladies qui font partie des protocoles DHS.  Les projets de R-D précédents ont montré que l’harmonisation est un aspect qui contribue à améliorer le système et l’efficacité de l’examen DHS.</w:t>
      </w:r>
    </w:p>
    <w:p w:rsidR="006C5CF8" w:rsidRPr="00E5735D" w:rsidRDefault="006C5CF8" w:rsidP="006C5CF8">
      <w:pPr>
        <w:rPr>
          <w:rFonts w:cs="Arial"/>
        </w:rPr>
      </w:pPr>
    </w:p>
    <w:p w:rsidR="006C5CF8" w:rsidRPr="00E5735D" w:rsidRDefault="006C5CF8" w:rsidP="006C5CF8">
      <w:pPr>
        <w:rPr>
          <w:rFonts w:cs="Arial"/>
        </w:rPr>
      </w:pPr>
      <w:r w:rsidRPr="00E5735D">
        <w:rPr>
          <w:rFonts w:cs="Arial"/>
        </w:rPr>
        <w:t>Le projet vise à mettre en place le système et repose sur un travail de collaboration entre les services d’examen et les entreprises semencières membres d’</w:t>
      </w:r>
      <w:proofErr w:type="spellStart"/>
      <w:r w:rsidRPr="00E5735D">
        <w:rPr>
          <w:rFonts w:cs="Arial"/>
        </w:rPr>
        <w:t>Euroseeds</w:t>
      </w:r>
      <w:proofErr w:type="spellEnd"/>
      <w:r w:rsidRPr="00E5735D">
        <w:rPr>
          <w:rFonts w:cs="Arial"/>
        </w:rPr>
        <w:t>.  Après la fin du projet, il est prévu que le financement et la maintenance durable s’effectuent sur une base d’autofinancement.</w:t>
      </w:r>
    </w:p>
    <w:p w:rsidR="006C5CF8" w:rsidRPr="00E5735D" w:rsidRDefault="006C5CF8" w:rsidP="006C5CF8">
      <w:pPr>
        <w:rPr>
          <w:rFonts w:cs="Arial"/>
        </w:rPr>
      </w:pPr>
    </w:p>
    <w:p w:rsidR="006C5CF8" w:rsidRPr="00E5735D" w:rsidRDefault="006C5CF8" w:rsidP="006C5CF8">
      <w:pPr>
        <w:rPr>
          <w:rFonts w:cs="Arial"/>
        </w:rPr>
      </w:pPr>
      <w:r w:rsidRPr="00E5735D">
        <w:rPr>
          <w:rFonts w:cs="Arial"/>
        </w:rPr>
        <w:t xml:space="preserve">Le projet est coordonné par le GEVES et </w:t>
      </w:r>
      <w:proofErr w:type="spellStart"/>
      <w:r w:rsidRPr="00E5735D">
        <w:rPr>
          <w:rFonts w:cs="Arial"/>
        </w:rPr>
        <w:t>Naktuinbouw</w:t>
      </w:r>
      <w:proofErr w:type="spellEnd"/>
      <w:r w:rsidRPr="00E5735D">
        <w:rPr>
          <w:rFonts w:cs="Arial"/>
        </w:rPr>
        <w:t>.  Il a débuté en 2020 et est prévu pour une durée de 3 ans.</w:t>
      </w:r>
    </w:p>
    <w:p w:rsidR="006C5CF8" w:rsidRPr="00E5735D" w:rsidRDefault="006C5CF8" w:rsidP="006C5CF8">
      <w:pPr>
        <w:rPr>
          <w:rFonts w:cs="Arial"/>
        </w:rPr>
      </w:pPr>
    </w:p>
    <w:p w:rsidR="006C5CF8" w:rsidRPr="00E5735D" w:rsidRDefault="006C5CF8" w:rsidP="006C5CF8">
      <w:pPr>
        <w:rPr>
          <w:rFonts w:cs="Arial"/>
          <w:i/>
        </w:rPr>
      </w:pPr>
      <w:r w:rsidRPr="00E5735D">
        <w:rPr>
          <w:rFonts w:cs="Arial"/>
          <w:i/>
        </w:rPr>
        <w:t>Melon</w:t>
      </w:r>
    </w:p>
    <w:p w:rsidR="006C5CF8" w:rsidRPr="00E5735D" w:rsidRDefault="006C5CF8" w:rsidP="006C5CF8">
      <w:pPr>
        <w:rPr>
          <w:rFonts w:cs="Arial"/>
        </w:rPr>
      </w:pPr>
    </w:p>
    <w:p w:rsidR="006C5CF8" w:rsidRPr="00E5735D" w:rsidRDefault="006C5CF8" w:rsidP="006C5CF8">
      <w:pPr>
        <w:rPr>
          <w:rFonts w:cs="Arial"/>
        </w:rPr>
      </w:pPr>
      <w:r w:rsidRPr="00E5735D">
        <w:rPr>
          <w:rFonts w:cs="Arial"/>
        </w:rPr>
        <w:t xml:space="preserve">L’objectif est de mettre en place une base de données commune contenant les descriptions variétales et les photos stockées dans tous les services d’examen de l’OCVV chargés de l’examen du melon.  Comme les données ne seront pas harmonisées entre les services d’examen, la base de données ne sera pas directement utilisée pour sélectionner les variétés de référence pour les comparer aux </w:t>
      </w:r>
      <w:r>
        <w:rPr>
          <w:rFonts w:cs="Arial"/>
        </w:rPr>
        <w:t>variétés candidates</w:t>
      </w:r>
      <w:r w:rsidRPr="00E5735D">
        <w:rPr>
          <w:rFonts w:cs="Arial"/>
        </w:rPr>
        <w:t>, mais facilitera l’identification des matériels de référence disponibles et de leurs détenteurs.  Jusqu’à présent, des progrès ont été réalisés dans la conception et l’alimentation de la base de données.  Le chargement des données dans la base de données devrait être finalisé d’ici la fin de 2020 et l’outil sera testé en conditions réelles au début de 2021.</w:t>
      </w:r>
    </w:p>
    <w:p w:rsidR="006C5CF8" w:rsidRPr="00E5735D" w:rsidRDefault="006C5CF8" w:rsidP="006C5CF8">
      <w:pPr>
        <w:rPr>
          <w:rFonts w:cs="Arial"/>
        </w:rPr>
      </w:pPr>
    </w:p>
    <w:p w:rsidR="006C5CF8" w:rsidRPr="00E5735D" w:rsidRDefault="006C5CF8" w:rsidP="006C5CF8">
      <w:pPr>
        <w:rPr>
          <w:rFonts w:cs="Arial"/>
        </w:rPr>
      </w:pPr>
      <w:r w:rsidRPr="00E5735D">
        <w:rPr>
          <w:rFonts w:cs="Arial"/>
        </w:rPr>
        <w:t xml:space="preserve">Le projet est coordonné par </w:t>
      </w:r>
      <w:proofErr w:type="spellStart"/>
      <w:r w:rsidRPr="00E5735D">
        <w:rPr>
          <w:rFonts w:cs="Arial"/>
        </w:rPr>
        <w:t>Naktuinbouw</w:t>
      </w:r>
      <w:proofErr w:type="spellEnd"/>
      <w:r w:rsidRPr="00E5735D">
        <w:rPr>
          <w:rFonts w:cs="Arial"/>
        </w:rPr>
        <w:t xml:space="preserve"> (Pays-Bas), avec comme partenaires du projet : GEVES (France), INIA/OEVV (Espagne), UKSUP (Slovaquie) et DGAV (Portugal).  Le rapport final est attendu en 2021.</w:t>
      </w:r>
    </w:p>
    <w:p w:rsidR="006C5CF8" w:rsidRPr="00E5735D" w:rsidRDefault="006C5CF8" w:rsidP="006C5CF8">
      <w:pPr>
        <w:jc w:val="left"/>
        <w:rPr>
          <w:rFonts w:cs="Arial"/>
        </w:rPr>
      </w:pPr>
    </w:p>
    <w:p w:rsidR="00845D57" w:rsidRDefault="00845D57" w:rsidP="00845D57">
      <w:pPr>
        <w:jc w:val="left"/>
      </w:pPr>
    </w:p>
    <w:p w:rsidR="00985279" w:rsidRPr="00EB57D6" w:rsidRDefault="00985279" w:rsidP="00845D57">
      <w:pPr>
        <w:jc w:val="left"/>
      </w:pPr>
    </w:p>
    <w:p w:rsidR="00845D57" w:rsidRPr="00EB57D6" w:rsidRDefault="00845D57" w:rsidP="00845D57">
      <w:pPr>
        <w:jc w:val="right"/>
      </w:pPr>
      <w:r w:rsidRPr="00EB57D6">
        <w:t>[Fin de l’annexe XVII et du document]</w:t>
      </w:r>
    </w:p>
    <w:p w:rsidR="00845D57" w:rsidRDefault="00845D57" w:rsidP="00845D57">
      <w:bookmarkStart w:id="1" w:name="_GoBack"/>
      <w:bookmarkEnd w:id="1"/>
    </w:p>
    <w:p w:rsidR="007C2C54" w:rsidRPr="00EB57D6" w:rsidRDefault="007C2C54" w:rsidP="00845D57"/>
    <w:sectPr w:rsidR="007C2C54" w:rsidRPr="00EB57D6" w:rsidSect="007C2C54">
      <w:headerReference w:type="default" r:id="rId44"/>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909" w:rsidRDefault="009B2909" w:rsidP="006655D3">
      <w:r>
        <w:separator/>
      </w:r>
    </w:p>
  </w:endnote>
  <w:endnote w:type="continuationSeparator" w:id="0">
    <w:p w:rsidR="009B2909" w:rsidRDefault="009B2909" w:rsidP="006655D3">
      <w:r>
        <w:separator/>
      </w:r>
    </w:p>
    <w:p w:rsidR="009B2909" w:rsidRPr="00294751" w:rsidRDefault="009B2909">
      <w:pPr>
        <w:pStyle w:val="Footer"/>
        <w:spacing w:after="60"/>
        <w:rPr>
          <w:sz w:val="18"/>
          <w:lang w:val="fr-FR"/>
        </w:rPr>
      </w:pPr>
      <w:r w:rsidRPr="00294751">
        <w:rPr>
          <w:sz w:val="18"/>
          <w:lang w:val="fr-FR"/>
        </w:rPr>
        <w:t>[Suite de la note de la page précédente]</w:t>
      </w:r>
    </w:p>
    <w:p w:rsidR="009B2909" w:rsidRPr="00294751" w:rsidRDefault="009B2909" w:rsidP="006655D3"/>
    <w:p w:rsidR="009B2909" w:rsidRPr="00294751" w:rsidRDefault="009B2909" w:rsidP="006655D3"/>
  </w:endnote>
  <w:endnote w:type="continuationNotice" w:id="1">
    <w:p w:rsidR="009B2909" w:rsidRPr="00294751" w:rsidRDefault="009B2909" w:rsidP="006655D3">
      <w:r w:rsidRPr="00294751">
        <w:t>[Suite de la note page suivante]</w:t>
      </w:r>
    </w:p>
    <w:p w:rsidR="009B2909" w:rsidRPr="00294751" w:rsidRDefault="009B2909" w:rsidP="006655D3"/>
    <w:p w:rsidR="009B2909" w:rsidRPr="00294751" w:rsidRDefault="009B2909" w:rsidP="006655D3"/>
  </w:endnote>
  <w:endnote w:id="2">
    <w:p w:rsidR="006C5CF8" w:rsidRPr="00743BEC" w:rsidRDefault="006C5CF8" w:rsidP="007C2C54">
      <w:pPr>
        <w:pStyle w:val="EndnoteText"/>
        <w:tabs>
          <w:tab w:val="left" w:pos="284"/>
        </w:tabs>
        <w:spacing w:before="120"/>
        <w:rPr>
          <w:lang w:val="fr-CH"/>
        </w:rPr>
      </w:pPr>
      <w:r w:rsidRPr="00743BEC">
        <w:rPr>
          <w:rStyle w:val="EndnoteReference"/>
        </w:rPr>
        <w:endnoteRef/>
      </w:r>
      <w:r w:rsidRPr="00743BEC">
        <w:rPr>
          <w:lang w:val="fr-CH"/>
        </w:rPr>
        <w:t xml:space="preserve"> </w:t>
      </w:r>
      <w:r w:rsidRPr="00743BEC">
        <w:rPr>
          <w:lang w:val="fr-CH"/>
        </w:rPr>
        <w:tab/>
      </w:r>
      <w:r w:rsidRPr="004522FF">
        <w:rPr>
          <w:sz w:val="16"/>
          <w:szCs w:val="16"/>
          <w:lang w:val="fr-CH"/>
        </w:rPr>
        <w:t>La terminologie de l’Organisation des Nations Unies est utilisée dans ce rapport.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Yu Gothic"/>
    <w:charset w:val="EE"/>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909" w:rsidRDefault="009B2909" w:rsidP="006655D3">
      <w:r>
        <w:separator/>
      </w:r>
    </w:p>
  </w:footnote>
  <w:footnote w:type="continuationSeparator" w:id="0">
    <w:p w:rsidR="009B2909" w:rsidRDefault="009B2909" w:rsidP="006655D3">
      <w:r>
        <w:separator/>
      </w:r>
    </w:p>
  </w:footnote>
  <w:footnote w:type="continuationNotice" w:id="1">
    <w:p w:rsidR="009B2909" w:rsidRPr="00AB530F" w:rsidRDefault="009B290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909" w:rsidRPr="00C5280D" w:rsidRDefault="009B2909" w:rsidP="00EB048E">
    <w:pPr>
      <w:pStyle w:val="Header"/>
      <w:rPr>
        <w:rStyle w:val="PageNumber"/>
        <w:lang w:val="en-US"/>
      </w:rPr>
    </w:pPr>
    <w:r>
      <w:rPr>
        <w:rStyle w:val="PageNumber"/>
        <w:lang w:val="en-US"/>
      </w:rPr>
      <w:t>C/54/INF/4</w:t>
    </w:r>
  </w:p>
  <w:p w:rsidR="009B2909" w:rsidRPr="00C5280D" w:rsidRDefault="009B290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rsidR="009B2909" w:rsidRPr="00C5280D" w:rsidRDefault="009B2909"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909" w:rsidRPr="00E84C2E" w:rsidRDefault="009B2909" w:rsidP="00EB048E">
    <w:pPr>
      <w:pStyle w:val="Header"/>
      <w:rPr>
        <w:rStyle w:val="PageNumber"/>
      </w:rPr>
    </w:pPr>
    <w:r w:rsidRPr="00E84C2E">
      <w:rPr>
        <w:rStyle w:val="PageNumber"/>
      </w:rPr>
      <w:t>C/54/INF/4</w:t>
    </w:r>
  </w:p>
  <w:p w:rsidR="009B2909" w:rsidRPr="00E84C2E" w:rsidRDefault="009B2909" w:rsidP="00EB048E">
    <w:pPr>
      <w:pStyle w:val="Header"/>
    </w:pPr>
    <w:r w:rsidRPr="00E84C2E">
      <w:t xml:space="preserve">Annexe IX, page </w:t>
    </w:r>
    <w:r w:rsidRPr="00E84C2E">
      <w:rPr>
        <w:rStyle w:val="PageNumber"/>
      </w:rPr>
      <w:fldChar w:fldCharType="begin"/>
    </w:r>
    <w:r w:rsidRPr="00E84C2E">
      <w:rPr>
        <w:rStyle w:val="PageNumber"/>
      </w:rPr>
      <w:instrText xml:space="preserve"> PAGE </w:instrText>
    </w:r>
    <w:r w:rsidRPr="00E84C2E">
      <w:rPr>
        <w:rStyle w:val="PageNumber"/>
      </w:rPr>
      <w:fldChar w:fldCharType="separate"/>
    </w:r>
    <w:r w:rsidR="00867E38">
      <w:rPr>
        <w:rStyle w:val="PageNumber"/>
        <w:noProof/>
      </w:rPr>
      <w:t>2</w:t>
    </w:r>
    <w:r w:rsidRPr="00E84C2E">
      <w:rPr>
        <w:rStyle w:val="PageNumber"/>
      </w:rPr>
      <w:fldChar w:fldCharType="end"/>
    </w:r>
  </w:p>
  <w:p w:rsidR="009B2909" w:rsidRPr="00E84C2E" w:rsidRDefault="009B2909" w:rsidP="006655D3"/>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909" w:rsidRPr="00E84C2E" w:rsidRDefault="009B2909" w:rsidP="00EB048E">
    <w:pPr>
      <w:pStyle w:val="Header"/>
      <w:rPr>
        <w:rStyle w:val="PageNumber"/>
      </w:rPr>
    </w:pPr>
    <w:r w:rsidRPr="00E84C2E">
      <w:rPr>
        <w:rStyle w:val="PageNumber"/>
      </w:rPr>
      <w:t>C/54/INF/4</w:t>
    </w:r>
  </w:p>
  <w:p w:rsidR="009B2909" w:rsidRPr="00E84C2E" w:rsidRDefault="009B2909" w:rsidP="00EB048E">
    <w:pPr>
      <w:pStyle w:val="Header"/>
    </w:pPr>
    <w:r w:rsidRPr="00E84C2E">
      <w:t xml:space="preserve">Annexe X, page </w:t>
    </w:r>
    <w:r w:rsidRPr="00E84C2E">
      <w:rPr>
        <w:rStyle w:val="PageNumber"/>
      </w:rPr>
      <w:fldChar w:fldCharType="begin"/>
    </w:r>
    <w:r w:rsidRPr="00E84C2E">
      <w:rPr>
        <w:rStyle w:val="PageNumber"/>
      </w:rPr>
      <w:instrText xml:space="preserve"> PAGE </w:instrText>
    </w:r>
    <w:r w:rsidRPr="00E84C2E">
      <w:rPr>
        <w:rStyle w:val="PageNumber"/>
      </w:rPr>
      <w:fldChar w:fldCharType="separate"/>
    </w:r>
    <w:r w:rsidR="00867E38">
      <w:rPr>
        <w:rStyle w:val="PageNumber"/>
        <w:noProof/>
      </w:rPr>
      <w:t>2</w:t>
    </w:r>
    <w:r w:rsidRPr="00E84C2E">
      <w:rPr>
        <w:rStyle w:val="PageNumber"/>
      </w:rPr>
      <w:fldChar w:fldCharType="end"/>
    </w:r>
  </w:p>
  <w:p w:rsidR="009B2909" w:rsidRPr="00E84C2E" w:rsidRDefault="009B2909" w:rsidP="006655D3"/>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909" w:rsidRPr="00E84C2E" w:rsidRDefault="009B2909" w:rsidP="00EB048E">
    <w:pPr>
      <w:pStyle w:val="Header"/>
      <w:rPr>
        <w:rStyle w:val="PageNumber"/>
      </w:rPr>
    </w:pPr>
    <w:r w:rsidRPr="00E84C2E">
      <w:rPr>
        <w:rStyle w:val="PageNumber"/>
      </w:rPr>
      <w:t>C/54/INF/4</w:t>
    </w:r>
  </w:p>
  <w:p w:rsidR="009B2909" w:rsidRPr="00E84C2E" w:rsidRDefault="009B2909" w:rsidP="00EB048E">
    <w:pPr>
      <w:pStyle w:val="Header"/>
    </w:pPr>
    <w:r w:rsidRPr="00E84C2E">
      <w:t xml:space="preserve">Annexe XI, page </w:t>
    </w:r>
    <w:r w:rsidRPr="00E84C2E">
      <w:rPr>
        <w:rStyle w:val="PageNumber"/>
      </w:rPr>
      <w:fldChar w:fldCharType="begin"/>
    </w:r>
    <w:r w:rsidRPr="00E84C2E">
      <w:rPr>
        <w:rStyle w:val="PageNumber"/>
      </w:rPr>
      <w:instrText xml:space="preserve"> PAGE </w:instrText>
    </w:r>
    <w:r w:rsidRPr="00E84C2E">
      <w:rPr>
        <w:rStyle w:val="PageNumber"/>
      </w:rPr>
      <w:fldChar w:fldCharType="separate"/>
    </w:r>
    <w:r w:rsidR="00867E38">
      <w:rPr>
        <w:rStyle w:val="PageNumber"/>
        <w:noProof/>
      </w:rPr>
      <w:t>4</w:t>
    </w:r>
    <w:r w:rsidRPr="00E84C2E">
      <w:rPr>
        <w:rStyle w:val="PageNumber"/>
      </w:rPr>
      <w:fldChar w:fldCharType="end"/>
    </w:r>
  </w:p>
  <w:p w:rsidR="009B2909" w:rsidRPr="00E84C2E" w:rsidRDefault="009B2909" w:rsidP="006655D3"/>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909" w:rsidRPr="00E84C2E" w:rsidRDefault="009B2909" w:rsidP="00EB048E">
    <w:pPr>
      <w:pStyle w:val="Header"/>
      <w:rPr>
        <w:rStyle w:val="PageNumber"/>
      </w:rPr>
    </w:pPr>
    <w:r w:rsidRPr="00E84C2E">
      <w:rPr>
        <w:rStyle w:val="PageNumber"/>
      </w:rPr>
      <w:t>C/54/INF/4</w:t>
    </w:r>
  </w:p>
  <w:p w:rsidR="009B2909" w:rsidRPr="00E84C2E" w:rsidRDefault="009B2909" w:rsidP="00EB048E">
    <w:pPr>
      <w:pStyle w:val="Header"/>
    </w:pPr>
    <w:r w:rsidRPr="00E84C2E">
      <w:t xml:space="preserve">Annexe XII, page </w:t>
    </w:r>
    <w:r w:rsidRPr="00E84C2E">
      <w:rPr>
        <w:rStyle w:val="PageNumber"/>
      </w:rPr>
      <w:fldChar w:fldCharType="begin"/>
    </w:r>
    <w:r w:rsidRPr="00E84C2E">
      <w:rPr>
        <w:rStyle w:val="PageNumber"/>
      </w:rPr>
      <w:instrText xml:space="preserve"> PAGE </w:instrText>
    </w:r>
    <w:r w:rsidRPr="00E84C2E">
      <w:rPr>
        <w:rStyle w:val="PageNumber"/>
      </w:rPr>
      <w:fldChar w:fldCharType="separate"/>
    </w:r>
    <w:r w:rsidR="007C2C54">
      <w:rPr>
        <w:rStyle w:val="PageNumber"/>
        <w:noProof/>
      </w:rPr>
      <w:t>2</w:t>
    </w:r>
    <w:r w:rsidRPr="00E84C2E">
      <w:rPr>
        <w:rStyle w:val="PageNumber"/>
      </w:rPr>
      <w:fldChar w:fldCharType="end"/>
    </w:r>
  </w:p>
  <w:p w:rsidR="009B2909" w:rsidRPr="00E84C2E" w:rsidRDefault="009B2909" w:rsidP="006655D3"/>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909" w:rsidRPr="008E0BFA" w:rsidRDefault="009B2909" w:rsidP="00EB048E">
    <w:pPr>
      <w:pStyle w:val="Header"/>
      <w:rPr>
        <w:rStyle w:val="PageNumber"/>
        <w:lang w:val="fr-CH"/>
      </w:rPr>
    </w:pPr>
    <w:r w:rsidRPr="008E0BFA">
      <w:rPr>
        <w:rStyle w:val="PageNumber"/>
        <w:lang w:val="fr-CH"/>
      </w:rPr>
      <w:t>C/54/INF/4</w:t>
    </w:r>
  </w:p>
  <w:p w:rsidR="009B2909" w:rsidRPr="008E0BFA" w:rsidRDefault="009B2909" w:rsidP="00EB048E">
    <w:pPr>
      <w:pStyle w:val="Header"/>
      <w:rPr>
        <w:lang w:val="fr-CH"/>
      </w:rPr>
    </w:pPr>
    <w:r w:rsidRPr="008E0BFA">
      <w:rPr>
        <w:lang w:val="fr-CH"/>
      </w:rPr>
      <w:t xml:space="preserve">Annexe XIII, page </w:t>
    </w:r>
    <w:r w:rsidRPr="00C5280D">
      <w:rPr>
        <w:rStyle w:val="PageNumber"/>
        <w:lang w:val="en-US"/>
      </w:rPr>
      <w:fldChar w:fldCharType="begin"/>
    </w:r>
    <w:r w:rsidRPr="008E0BFA">
      <w:rPr>
        <w:rStyle w:val="PageNumber"/>
        <w:lang w:val="fr-CH"/>
      </w:rPr>
      <w:instrText xml:space="preserve"> PAGE </w:instrText>
    </w:r>
    <w:r w:rsidRPr="00C5280D">
      <w:rPr>
        <w:rStyle w:val="PageNumber"/>
        <w:lang w:val="en-US"/>
      </w:rPr>
      <w:fldChar w:fldCharType="separate"/>
    </w:r>
    <w:r w:rsidR="006865B4" w:rsidRPr="008E0BFA">
      <w:rPr>
        <w:rStyle w:val="PageNumber"/>
        <w:noProof/>
        <w:lang w:val="fr-CH"/>
      </w:rPr>
      <w:t>2</w:t>
    </w:r>
    <w:r w:rsidRPr="00C5280D">
      <w:rPr>
        <w:rStyle w:val="PageNumber"/>
        <w:lang w:val="en-US"/>
      </w:rPr>
      <w:fldChar w:fldCharType="end"/>
    </w:r>
  </w:p>
  <w:p w:rsidR="009B2909" w:rsidRPr="00C5280D" w:rsidRDefault="009B2909" w:rsidP="006655D3"/>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909" w:rsidRPr="008E0BFA" w:rsidRDefault="009B2909" w:rsidP="00EB048E">
    <w:pPr>
      <w:pStyle w:val="Header"/>
      <w:rPr>
        <w:rStyle w:val="PageNumber"/>
        <w:lang w:val="fr-CH"/>
      </w:rPr>
    </w:pPr>
    <w:r w:rsidRPr="008E0BFA">
      <w:rPr>
        <w:rStyle w:val="PageNumber"/>
        <w:lang w:val="fr-CH"/>
      </w:rPr>
      <w:t>C/54/INF/4</w:t>
    </w:r>
  </w:p>
  <w:p w:rsidR="009B2909" w:rsidRPr="008E0BFA" w:rsidRDefault="009B2909" w:rsidP="00EB048E">
    <w:pPr>
      <w:pStyle w:val="Header"/>
      <w:rPr>
        <w:lang w:val="fr-CH"/>
      </w:rPr>
    </w:pPr>
    <w:r w:rsidRPr="008E0BFA">
      <w:rPr>
        <w:lang w:val="fr-CH"/>
      </w:rPr>
      <w:t xml:space="preserve">Annexe XIV, page </w:t>
    </w:r>
    <w:r w:rsidRPr="00C5280D">
      <w:rPr>
        <w:rStyle w:val="PageNumber"/>
        <w:lang w:val="en-US"/>
      </w:rPr>
      <w:fldChar w:fldCharType="begin"/>
    </w:r>
    <w:r w:rsidRPr="008E0BFA">
      <w:rPr>
        <w:rStyle w:val="PageNumber"/>
        <w:lang w:val="fr-CH"/>
      </w:rPr>
      <w:instrText xml:space="preserve"> PAGE </w:instrText>
    </w:r>
    <w:r w:rsidRPr="00C5280D">
      <w:rPr>
        <w:rStyle w:val="PageNumber"/>
        <w:lang w:val="en-US"/>
      </w:rPr>
      <w:fldChar w:fldCharType="separate"/>
    </w:r>
    <w:r w:rsidR="00FD4F25" w:rsidRPr="008E0BFA">
      <w:rPr>
        <w:rStyle w:val="PageNumber"/>
        <w:noProof/>
        <w:lang w:val="fr-CH"/>
      </w:rPr>
      <w:t>2</w:t>
    </w:r>
    <w:r w:rsidRPr="00C5280D">
      <w:rPr>
        <w:rStyle w:val="PageNumber"/>
        <w:lang w:val="en-US"/>
      </w:rPr>
      <w:fldChar w:fldCharType="end"/>
    </w:r>
  </w:p>
  <w:p w:rsidR="009B2909" w:rsidRPr="00C5280D" w:rsidRDefault="009B2909" w:rsidP="006655D3"/>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909" w:rsidRPr="008E0BFA" w:rsidRDefault="009B2909" w:rsidP="00EB048E">
    <w:pPr>
      <w:pStyle w:val="Header"/>
      <w:rPr>
        <w:rStyle w:val="PageNumber"/>
        <w:lang w:val="fr-CH"/>
      </w:rPr>
    </w:pPr>
    <w:r w:rsidRPr="008E0BFA">
      <w:rPr>
        <w:rStyle w:val="PageNumber"/>
        <w:lang w:val="fr-CH"/>
      </w:rPr>
      <w:t>C/54/INF/4</w:t>
    </w:r>
  </w:p>
  <w:p w:rsidR="009B2909" w:rsidRPr="008E0BFA" w:rsidRDefault="009B2909" w:rsidP="00EB048E">
    <w:pPr>
      <w:pStyle w:val="Header"/>
      <w:rPr>
        <w:lang w:val="fr-CH"/>
      </w:rPr>
    </w:pPr>
    <w:r w:rsidRPr="008E0BFA">
      <w:rPr>
        <w:lang w:val="fr-CH"/>
      </w:rPr>
      <w:t xml:space="preserve">Annexe XV, page </w:t>
    </w:r>
    <w:r w:rsidRPr="00C5280D">
      <w:rPr>
        <w:rStyle w:val="PageNumber"/>
        <w:lang w:val="en-US"/>
      </w:rPr>
      <w:fldChar w:fldCharType="begin"/>
    </w:r>
    <w:r w:rsidRPr="008E0BFA">
      <w:rPr>
        <w:rStyle w:val="PageNumber"/>
        <w:lang w:val="fr-CH"/>
      </w:rPr>
      <w:instrText xml:space="preserve"> PAGE </w:instrText>
    </w:r>
    <w:r w:rsidRPr="00C5280D">
      <w:rPr>
        <w:rStyle w:val="PageNumber"/>
        <w:lang w:val="en-US"/>
      </w:rPr>
      <w:fldChar w:fldCharType="separate"/>
    </w:r>
    <w:r w:rsidR="00FD4F25" w:rsidRPr="008E0BFA">
      <w:rPr>
        <w:rStyle w:val="PageNumber"/>
        <w:noProof/>
        <w:lang w:val="fr-CH"/>
      </w:rPr>
      <w:t>2</w:t>
    </w:r>
    <w:r w:rsidRPr="00C5280D">
      <w:rPr>
        <w:rStyle w:val="PageNumber"/>
        <w:lang w:val="en-US"/>
      </w:rPr>
      <w:fldChar w:fldCharType="end"/>
    </w:r>
  </w:p>
  <w:p w:rsidR="009B2909" w:rsidRPr="00C5280D" w:rsidRDefault="009B2909" w:rsidP="006655D3"/>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909" w:rsidRPr="00E84C2E" w:rsidRDefault="009B2909" w:rsidP="00EB048E">
    <w:pPr>
      <w:pStyle w:val="Header"/>
      <w:rPr>
        <w:rStyle w:val="PageNumber"/>
      </w:rPr>
    </w:pPr>
    <w:r w:rsidRPr="00E84C2E">
      <w:rPr>
        <w:rStyle w:val="PageNumber"/>
      </w:rPr>
      <w:t>C/54/INF/4</w:t>
    </w:r>
  </w:p>
  <w:p w:rsidR="009B2909" w:rsidRPr="00E84C2E" w:rsidRDefault="009B2909" w:rsidP="00EB048E">
    <w:pPr>
      <w:pStyle w:val="Header"/>
    </w:pPr>
    <w:r w:rsidRPr="00E84C2E">
      <w:t xml:space="preserve">Annexe XVI, page </w:t>
    </w:r>
    <w:r w:rsidRPr="00E84C2E">
      <w:rPr>
        <w:rStyle w:val="PageNumber"/>
      </w:rPr>
      <w:fldChar w:fldCharType="begin"/>
    </w:r>
    <w:r w:rsidRPr="00E84C2E">
      <w:rPr>
        <w:rStyle w:val="PageNumber"/>
      </w:rPr>
      <w:instrText xml:space="preserve"> PAGE </w:instrText>
    </w:r>
    <w:r w:rsidRPr="00E84C2E">
      <w:rPr>
        <w:rStyle w:val="PageNumber"/>
      </w:rPr>
      <w:fldChar w:fldCharType="separate"/>
    </w:r>
    <w:r w:rsidR="00867E38">
      <w:rPr>
        <w:rStyle w:val="PageNumber"/>
        <w:noProof/>
      </w:rPr>
      <w:t>4</w:t>
    </w:r>
    <w:r w:rsidRPr="00E84C2E">
      <w:rPr>
        <w:rStyle w:val="PageNumber"/>
      </w:rPr>
      <w:fldChar w:fldCharType="end"/>
    </w:r>
  </w:p>
  <w:p w:rsidR="009B2909" w:rsidRPr="00E84C2E" w:rsidRDefault="009B2909" w:rsidP="006655D3"/>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909" w:rsidRPr="00E84C2E" w:rsidRDefault="009B2909" w:rsidP="00A71548">
    <w:pPr>
      <w:pStyle w:val="Header"/>
      <w:rPr>
        <w:rStyle w:val="PageNumber"/>
      </w:rPr>
    </w:pPr>
    <w:r w:rsidRPr="00E84C2E">
      <w:rPr>
        <w:rStyle w:val="PageNumber"/>
      </w:rPr>
      <w:t>C/54/INF/4</w:t>
    </w:r>
  </w:p>
  <w:p w:rsidR="009B2909" w:rsidRPr="00E84C2E" w:rsidRDefault="009B2909" w:rsidP="00EB048E">
    <w:pPr>
      <w:pStyle w:val="Header"/>
    </w:pPr>
    <w:r w:rsidRPr="00E84C2E">
      <w:t xml:space="preserve">Annexe XVII, page </w:t>
    </w:r>
    <w:r w:rsidRPr="00E84C2E">
      <w:rPr>
        <w:rStyle w:val="PageNumber"/>
      </w:rPr>
      <w:fldChar w:fldCharType="begin"/>
    </w:r>
    <w:r w:rsidRPr="00E84C2E">
      <w:rPr>
        <w:rStyle w:val="PageNumber"/>
      </w:rPr>
      <w:instrText xml:space="preserve"> PAGE </w:instrText>
    </w:r>
    <w:r w:rsidRPr="00E84C2E">
      <w:rPr>
        <w:rStyle w:val="PageNumber"/>
      </w:rPr>
      <w:fldChar w:fldCharType="separate"/>
    </w:r>
    <w:r w:rsidR="00867E38">
      <w:rPr>
        <w:rStyle w:val="PageNumber"/>
        <w:noProof/>
      </w:rPr>
      <w:t>11</w:t>
    </w:r>
    <w:r w:rsidRPr="00E84C2E">
      <w:rPr>
        <w:rStyle w:val="PageNumber"/>
      </w:rPr>
      <w:fldChar w:fldCharType="end"/>
    </w:r>
  </w:p>
  <w:p w:rsidR="009B2909" w:rsidRPr="00E84C2E" w:rsidRDefault="009B290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909" w:rsidRPr="00C5280D" w:rsidRDefault="009B2909" w:rsidP="00EB048E">
    <w:pPr>
      <w:pStyle w:val="Header"/>
      <w:rPr>
        <w:rStyle w:val="PageNumber"/>
        <w:lang w:val="en-US"/>
      </w:rPr>
    </w:pPr>
    <w:r>
      <w:rPr>
        <w:rStyle w:val="PageNumber"/>
        <w:lang w:val="en-US"/>
      </w:rPr>
      <w:t>C/54/INF/4</w:t>
    </w:r>
  </w:p>
  <w:p w:rsidR="009B2909" w:rsidRPr="00C5280D" w:rsidRDefault="009B2909" w:rsidP="00EB048E">
    <w:pPr>
      <w:pStyle w:val="Header"/>
      <w:rPr>
        <w:lang w:val="en-US"/>
      </w:rPr>
    </w:pPr>
    <w:proofErr w:type="spellStart"/>
    <w:r>
      <w:rPr>
        <w:lang w:val="en-US"/>
      </w:rPr>
      <w:t>Annexe</w:t>
    </w:r>
    <w:proofErr w:type="spellEnd"/>
    <w:r>
      <w:rPr>
        <w:lang w:val="en-US"/>
      </w:rPr>
      <w:t xml:space="preserve">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9B2909" w:rsidRPr="00C5280D" w:rsidRDefault="009B2909"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909" w:rsidRPr="008E0BFA" w:rsidRDefault="009B2909" w:rsidP="00EB048E">
    <w:pPr>
      <w:pStyle w:val="Header"/>
      <w:rPr>
        <w:rStyle w:val="PageNumber"/>
        <w:lang w:val="fr-CH"/>
      </w:rPr>
    </w:pPr>
    <w:r w:rsidRPr="008E0BFA">
      <w:rPr>
        <w:rStyle w:val="PageNumber"/>
        <w:lang w:val="fr-CH"/>
      </w:rPr>
      <w:t>C/54/INF/4</w:t>
    </w:r>
  </w:p>
  <w:p w:rsidR="009B2909" w:rsidRPr="008E0BFA" w:rsidRDefault="009B2909" w:rsidP="00EB048E">
    <w:pPr>
      <w:pStyle w:val="Header"/>
      <w:rPr>
        <w:lang w:val="fr-CH"/>
      </w:rPr>
    </w:pPr>
    <w:r w:rsidRPr="008E0BFA">
      <w:rPr>
        <w:lang w:val="fr-CH"/>
      </w:rPr>
      <w:t xml:space="preserve">Annexe II, page </w:t>
    </w:r>
    <w:r w:rsidRPr="00C5280D">
      <w:rPr>
        <w:rStyle w:val="PageNumber"/>
        <w:lang w:val="en-US"/>
      </w:rPr>
      <w:fldChar w:fldCharType="begin"/>
    </w:r>
    <w:r w:rsidRPr="008E0BFA">
      <w:rPr>
        <w:rStyle w:val="PageNumber"/>
        <w:lang w:val="fr-CH"/>
      </w:rPr>
      <w:instrText xml:space="preserve"> PAGE </w:instrText>
    </w:r>
    <w:r w:rsidRPr="00C5280D">
      <w:rPr>
        <w:rStyle w:val="PageNumber"/>
        <w:lang w:val="en-US"/>
      </w:rPr>
      <w:fldChar w:fldCharType="separate"/>
    </w:r>
    <w:r w:rsidR="00E84C2E" w:rsidRPr="008E0BFA">
      <w:rPr>
        <w:rStyle w:val="PageNumber"/>
        <w:noProof/>
        <w:lang w:val="fr-CH"/>
      </w:rPr>
      <w:t>2</w:t>
    </w:r>
    <w:r w:rsidRPr="00C5280D">
      <w:rPr>
        <w:rStyle w:val="PageNumber"/>
        <w:lang w:val="en-US"/>
      </w:rPr>
      <w:fldChar w:fldCharType="end"/>
    </w:r>
  </w:p>
  <w:p w:rsidR="009B2909" w:rsidRPr="00C5280D" w:rsidRDefault="009B2909"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909" w:rsidRPr="00E84C2E" w:rsidRDefault="009B2909" w:rsidP="00EB048E">
    <w:pPr>
      <w:pStyle w:val="Header"/>
      <w:rPr>
        <w:rStyle w:val="PageNumber"/>
      </w:rPr>
    </w:pPr>
    <w:r w:rsidRPr="00E84C2E">
      <w:rPr>
        <w:rStyle w:val="PageNumber"/>
      </w:rPr>
      <w:t>C/54/INF/4</w:t>
    </w:r>
  </w:p>
  <w:p w:rsidR="009B2909" w:rsidRPr="00E84C2E" w:rsidRDefault="009B2909" w:rsidP="00EB048E">
    <w:pPr>
      <w:pStyle w:val="Header"/>
    </w:pPr>
    <w:r w:rsidRPr="00E84C2E">
      <w:t xml:space="preserve">Annexe III, page </w:t>
    </w:r>
    <w:r w:rsidRPr="00E84C2E">
      <w:rPr>
        <w:rStyle w:val="PageNumber"/>
      </w:rPr>
      <w:fldChar w:fldCharType="begin"/>
    </w:r>
    <w:r w:rsidRPr="00E84C2E">
      <w:rPr>
        <w:rStyle w:val="PageNumber"/>
      </w:rPr>
      <w:instrText xml:space="preserve"> PAGE </w:instrText>
    </w:r>
    <w:r w:rsidRPr="00E84C2E">
      <w:rPr>
        <w:rStyle w:val="PageNumber"/>
      </w:rPr>
      <w:fldChar w:fldCharType="separate"/>
    </w:r>
    <w:r w:rsidR="00867E38">
      <w:rPr>
        <w:rStyle w:val="PageNumber"/>
        <w:noProof/>
      </w:rPr>
      <w:t>3</w:t>
    </w:r>
    <w:r w:rsidRPr="00E84C2E">
      <w:rPr>
        <w:rStyle w:val="PageNumber"/>
      </w:rPr>
      <w:fldChar w:fldCharType="end"/>
    </w:r>
  </w:p>
  <w:p w:rsidR="009B2909" w:rsidRPr="00E84C2E" w:rsidRDefault="009B2909"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909" w:rsidRPr="008E0BFA" w:rsidRDefault="009B2909" w:rsidP="00EB048E">
    <w:pPr>
      <w:pStyle w:val="Header"/>
      <w:rPr>
        <w:rStyle w:val="PageNumber"/>
        <w:lang w:val="fr-CH"/>
      </w:rPr>
    </w:pPr>
    <w:r w:rsidRPr="008E0BFA">
      <w:rPr>
        <w:rStyle w:val="PageNumber"/>
        <w:lang w:val="fr-CH"/>
      </w:rPr>
      <w:t>C/54/INF/4</w:t>
    </w:r>
  </w:p>
  <w:p w:rsidR="009B2909" w:rsidRPr="008E0BFA" w:rsidRDefault="009B2909" w:rsidP="00EB048E">
    <w:pPr>
      <w:pStyle w:val="Header"/>
      <w:rPr>
        <w:lang w:val="fr-CH"/>
      </w:rPr>
    </w:pPr>
    <w:r w:rsidRPr="008E0BFA">
      <w:rPr>
        <w:lang w:val="fr-CH"/>
      </w:rPr>
      <w:t xml:space="preserve">Annexe IV, page </w:t>
    </w:r>
    <w:r w:rsidRPr="00C5280D">
      <w:rPr>
        <w:rStyle w:val="PageNumber"/>
        <w:lang w:val="en-US"/>
      </w:rPr>
      <w:fldChar w:fldCharType="begin"/>
    </w:r>
    <w:r w:rsidRPr="008E0BFA">
      <w:rPr>
        <w:rStyle w:val="PageNumber"/>
        <w:lang w:val="fr-CH"/>
      </w:rPr>
      <w:instrText xml:space="preserve"> PAGE </w:instrText>
    </w:r>
    <w:r w:rsidRPr="00C5280D">
      <w:rPr>
        <w:rStyle w:val="PageNumber"/>
        <w:lang w:val="en-US"/>
      </w:rPr>
      <w:fldChar w:fldCharType="separate"/>
    </w:r>
    <w:r w:rsidRPr="008E0BFA">
      <w:rPr>
        <w:rStyle w:val="PageNumber"/>
        <w:noProof/>
        <w:lang w:val="fr-CH"/>
      </w:rPr>
      <w:t>2</w:t>
    </w:r>
    <w:r w:rsidRPr="00C5280D">
      <w:rPr>
        <w:rStyle w:val="PageNumber"/>
        <w:lang w:val="en-US"/>
      </w:rPr>
      <w:fldChar w:fldCharType="end"/>
    </w:r>
  </w:p>
  <w:p w:rsidR="009B2909" w:rsidRPr="00C5280D" w:rsidRDefault="009B2909"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909" w:rsidRPr="008E0BFA" w:rsidRDefault="009B2909" w:rsidP="00EB048E">
    <w:pPr>
      <w:pStyle w:val="Header"/>
      <w:rPr>
        <w:rStyle w:val="PageNumber"/>
        <w:lang w:val="fr-CH"/>
      </w:rPr>
    </w:pPr>
    <w:r w:rsidRPr="008E0BFA">
      <w:rPr>
        <w:rStyle w:val="PageNumber"/>
        <w:lang w:val="fr-CH"/>
      </w:rPr>
      <w:t>C/54/INF/4</w:t>
    </w:r>
  </w:p>
  <w:p w:rsidR="009B2909" w:rsidRPr="008E0BFA" w:rsidRDefault="009B2909" w:rsidP="00EB048E">
    <w:pPr>
      <w:pStyle w:val="Header"/>
      <w:rPr>
        <w:lang w:val="fr-CH"/>
      </w:rPr>
    </w:pPr>
    <w:r w:rsidRPr="008E0BFA">
      <w:rPr>
        <w:lang w:val="fr-CH"/>
      </w:rPr>
      <w:t xml:space="preserve">Annexe V, page </w:t>
    </w:r>
    <w:r w:rsidRPr="00C5280D">
      <w:rPr>
        <w:rStyle w:val="PageNumber"/>
        <w:lang w:val="en-US"/>
      </w:rPr>
      <w:fldChar w:fldCharType="begin"/>
    </w:r>
    <w:r w:rsidRPr="008E0BFA">
      <w:rPr>
        <w:rStyle w:val="PageNumber"/>
        <w:lang w:val="fr-CH"/>
      </w:rPr>
      <w:instrText xml:space="preserve"> PAGE </w:instrText>
    </w:r>
    <w:r w:rsidRPr="00C5280D">
      <w:rPr>
        <w:rStyle w:val="PageNumber"/>
        <w:lang w:val="en-US"/>
      </w:rPr>
      <w:fldChar w:fldCharType="separate"/>
    </w:r>
    <w:r w:rsidRPr="008E0BFA">
      <w:rPr>
        <w:rStyle w:val="PageNumber"/>
        <w:noProof/>
        <w:lang w:val="fr-CH"/>
      </w:rPr>
      <w:t>2</w:t>
    </w:r>
    <w:r w:rsidRPr="00C5280D">
      <w:rPr>
        <w:rStyle w:val="PageNumber"/>
        <w:lang w:val="en-US"/>
      </w:rPr>
      <w:fldChar w:fldCharType="end"/>
    </w:r>
  </w:p>
  <w:p w:rsidR="009B2909" w:rsidRPr="00C5280D" w:rsidRDefault="009B2909"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909" w:rsidRPr="008E0BFA" w:rsidRDefault="009B2909" w:rsidP="00EB048E">
    <w:pPr>
      <w:pStyle w:val="Header"/>
      <w:rPr>
        <w:rStyle w:val="PageNumber"/>
        <w:lang w:val="fr-CH"/>
      </w:rPr>
    </w:pPr>
    <w:r w:rsidRPr="008E0BFA">
      <w:rPr>
        <w:rStyle w:val="PageNumber"/>
        <w:lang w:val="fr-CH"/>
      </w:rPr>
      <w:t>C/54/INF/4</w:t>
    </w:r>
  </w:p>
  <w:p w:rsidR="009B2909" w:rsidRPr="008E0BFA" w:rsidRDefault="009B2909" w:rsidP="00EB048E">
    <w:pPr>
      <w:pStyle w:val="Header"/>
      <w:rPr>
        <w:lang w:val="fr-CH"/>
      </w:rPr>
    </w:pPr>
    <w:r w:rsidRPr="008E0BFA">
      <w:rPr>
        <w:lang w:val="fr-CH"/>
      </w:rPr>
      <w:t xml:space="preserve">Annexe VI, page </w:t>
    </w:r>
    <w:r w:rsidRPr="00C5280D">
      <w:rPr>
        <w:rStyle w:val="PageNumber"/>
        <w:lang w:val="en-US"/>
      </w:rPr>
      <w:fldChar w:fldCharType="begin"/>
    </w:r>
    <w:r w:rsidRPr="008E0BFA">
      <w:rPr>
        <w:rStyle w:val="PageNumber"/>
        <w:lang w:val="fr-CH"/>
      </w:rPr>
      <w:instrText xml:space="preserve"> PAGE </w:instrText>
    </w:r>
    <w:r w:rsidRPr="00C5280D">
      <w:rPr>
        <w:rStyle w:val="PageNumber"/>
        <w:lang w:val="en-US"/>
      </w:rPr>
      <w:fldChar w:fldCharType="separate"/>
    </w:r>
    <w:r w:rsidRPr="008E0BFA">
      <w:rPr>
        <w:rStyle w:val="PageNumber"/>
        <w:noProof/>
        <w:lang w:val="fr-CH"/>
      </w:rPr>
      <w:t>2</w:t>
    </w:r>
    <w:r w:rsidRPr="00C5280D">
      <w:rPr>
        <w:rStyle w:val="PageNumber"/>
        <w:lang w:val="en-US"/>
      </w:rPr>
      <w:fldChar w:fldCharType="end"/>
    </w:r>
  </w:p>
  <w:p w:rsidR="009B2909" w:rsidRPr="00C5280D" w:rsidRDefault="009B2909" w:rsidP="006655D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909" w:rsidRPr="008E0BFA" w:rsidRDefault="009B2909" w:rsidP="00EB048E">
    <w:pPr>
      <w:pStyle w:val="Header"/>
      <w:rPr>
        <w:rStyle w:val="PageNumber"/>
        <w:lang w:val="fr-CH"/>
      </w:rPr>
    </w:pPr>
    <w:r w:rsidRPr="008E0BFA">
      <w:rPr>
        <w:rStyle w:val="PageNumber"/>
        <w:lang w:val="fr-CH"/>
      </w:rPr>
      <w:t>C/54/INF/4</w:t>
    </w:r>
  </w:p>
  <w:p w:rsidR="009B2909" w:rsidRPr="008E0BFA" w:rsidRDefault="009B2909" w:rsidP="00EB048E">
    <w:pPr>
      <w:pStyle w:val="Header"/>
      <w:rPr>
        <w:lang w:val="fr-CH"/>
      </w:rPr>
    </w:pPr>
    <w:r w:rsidRPr="008E0BFA">
      <w:rPr>
        <w:lang w:val="fr-CH"/>
      </w:rPr>
      <w:t xml:space="preserve">Annexe VII, page </w:t>
    </w:r>
    <w:r w:rsidRPr="00C5280D">
      <w:rPr>
        <w:rStyle w:val="PageNumber"/>
        <w:lang w:val="en-US"/>
      </w:rPr>
      <w:fldChar w:fldCharType="begin"/>
    </w:r>
    <w:r w:rsidRPr="008E0BFA">
      <w:rPr>
        <w:rStyle w:val="PageNumber"/>
        <w:lang w:val="fr-CH"/>
      </w:rPr>
      <w:instrText xml:space="preserve"> PAGE </w:instrText>
    </w:r>
    <w:r w:rsidRPr="00C5280D">
      <w:rPr>
        <w:rStyle w:val="PageNumber"/>
        <w:lang w:val="en-US"/>
      </w:rPr>
      <w:fldChar w:fldCharType="separate"/>
    </w:r>
    <w:r w:rsidRPr="008E0BFA">
      <w:rPr>
        <w:rStyle w:val="PageNumber"/>
        <w:noProof/>
        <w:lang w:val="fr-CH"/>
      </w:rPr>
      <w:t>2</w:t>
    </w:r>
    <w:r w:rsidRPr="00C5280D">
      <w:rPr>
        <w:rStyle w:val="PageNumber"/>
        <w:lang w:val="en-US"/>
      </w:rPr>
      <w:fldChar w:fldCharType="end"/>
    </w:r>
  </w:p>
  <w:p w:rsidR="009B2909" w:rsidRPr="00C5280D" w:rsidRDefault="009B2909" w:rsidP="006655D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909" w:rsidRPr="00E84C2E" w:rsidRDefault="009B2909" w:rsidP="00EB048E">
    <w:pPr>
      <w:pStyle w:val="Header"/>
      <w:rPr>
        <w:rStyle w:val="PageNumber"/>
      </w:rPr>
    </w:pPr>
    <w:r w:rsidRPr="00E84C2E">
      <w:rPr>
        <w:rStyle w:val="PageNumber"/>
      </w:rPr>
      <w:t>C/54/INF/4</w:t>
    </w:r>
  </w:p>
  <w:p w:rsidR="009B2909" w:rsidRPr="00E84C2E" w:rsidRDefault="009B2909" w:rsidP="00EB048E">
    <w:pPr>
      <w:pStyle w:val="Header"/>
    </w:pPr>
    <w:r w:rsidRPr="00E84C2E">
      <w:t xml:space="preserve">Annexe VIII, page </w:t>
    </w:r>
    <w:r w:rsidRPr="00E84C2E">
      <w:rPr>
        <w:rStyle w:val="PageNumber"/>
      </w:rPr>
      <w:fldChar w:fldCharType="begin"/>
    </w:r>
    <w:r w:rsidRPr="00E84C2E">
      <w:rPr>
        <w:rStyle w:val="PageNumber"/>
      </w:rPr>
      <w:instrText xml:space="preserve"> PAGE </w:instrText>
    </w:r>
    <w:r w:rsidRPr="00E84C2E">
      <w:rPr>
        <w:rStyle w:val="PageNumber"/>
      </w:rPr>
      <w:fldChar w:fldCharType="separate"/>
    </w:r>
    <w:r w:rsidR="00867E38">
      <w:rPr>
        <w:rStyle w:val="PageNumber"/>
        <w:noProof/>
      </w:rPr>
      <w:t>3</w:t>
    </w:r>
    <w:r w:rsidRPr="00E84C2E">
      <w:rPr>
        <w:rStyle w:val="PageNumber"/>
      </w:rPr>
      <w:fldChar w:fldCharType="end"/>
    </w:r>
  </w:p>
  <w:p w:rsidR="009B2909" w:rsidRPr="00E84C2E" w:rsidRDefault="009B290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E5A16"/>
    <w:multiLevelType w:val="hybridMultilevel"/>
    <w:tmpl w:val="0C86E46A"/>
    <w:lvl w:ilvl="0" w:tplc="51823D76">
      <w:numFmt w:val="bullet"/>
      <w:lvlText w:val=""/>
      <w:lvlJc w:val="left"/>
      <w:pPr>
        <w:ind w:left="783" w:hanging="360"/>
      </w:pPr>
      <w:rPr>
        <w:rFonts w:ascii="Symbol" w:hAnsi="Symbol" w:cs="Times New Roman" w:hint="default"/>
        <w:sz w:val="24"/>
      </w:rPr>
    </w:lvl>
    <w:lvl w:ilvl="1" w:tplc="59CC7F5E">
      <w:numFmt w:val="bullet"/>
      <w:lvlText w:val="-"/>
      <w:lvlJc w:val="left"/>
      <w:pPr>
        <w:ind w:left="1503" w:hanging="360"/>
      </w:pPr>
      <w:rPr>
        <w:rFonts w:ascii="Times New Roman" w:eastAsia="Times New Roman" w:hAnsi="Times New Roman" w:cs="Times New Roman"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0B805969"/>
    <w:multiLevelType w:val="hybridMultilevel"/>
    <w:tmpl w:val="19C876DE"/>
    <w:lvl w:ilvl="0" w:tplc="41303066">
      <w:start w:val="5"/>
      <w:numFmt w:val="bullet"/>
      <w:lvlText w:val="-"/>
      <w:lvlJc w:val="left"/>
      <w:pPr>
        <w:ind w:left="1211" w:hanging="360"/>
      </w:pPr>
      <w:rPr>
        <w:rFonts w:ascii="Arial" w:eastAsiaTheme="minorEastAsia" w:hAnsi="Arial" w:cs="Arial"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 w15:restartNumberingAfterBreak="0">
    <w:nsid w:val="0EB1584B"/>
    <w:multiLevelType w:val="hybridMultilevel"/>
    <w:tmpl w:val="F0DE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D3F2D"/>
    <w:multiLevelType w:val="hybridMultilevel"/>
    <w:tmpl w:val="5BD6BA48"/>
    <w:lvl w:ilvl="0" w:tplc="85FA55F8">
      <w:start w:val="1"/>
      <w:numFmt w:val="bullet"/>
      <w:lvlText w:val="-"/>
      <w:lvlJc w:val="left"/>
      <w:pPr>
        <w:ind w:left="1800" w:hanging="360"/>
      </w:pPr>
      <w:rPr>
        <w:rFonts w:ascii="Calibri" w:eastAsiaTheme="minorHAnsi" w:hAnsi="Calibri" w:cs="Calibri"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4" w15:restartNumberingAfterBreak="0">
    <w:nsid w:val="1C935C2D"/>
    <w:multiLevelType w:val="hybridMultilevel"/>
    <w:tmpl w:val="CDCA6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465E9"/>
    <w:multiLevelType w:val="hybridMultilevel"/>
    <w:tmpl w:val="F022EBAC"/>
    <w:lvl w:ilvl="0" w:tplc="51823D76">
      <w:numFmt w:val="bullet"/>
      <w:lvlText w:val=""/>
      <w:lvlJc w:val="left"/>
      <w:pPr>
        <w:ind w:left="783" w:hanging="360"/>
      </w:pPr>
      <w:rPr>
        <w:rFonts w:ascii="Symbol" w:hAnsi="Symbol" w:cs="Times New Roman" w:hint="default"/>
        <w:sz w:val="24"/>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 w15:restartNumberingAfterBreak="0">
    <w:nsid w:val="2177028B"/>
    <w:multiLevelType w:val="hybridMultilevel"/>
    <w:tmpl w:val="5CE08DA2"/>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2353A"/>
    <w:multiLevelType w:val="singleLevel"/>
    <w:tmpl w:val="6C6A970E"/>
    <w:lvl w:ilvl="0">
      <w:start w:val="1"/>
      <w:numFmt w:val="none"/>
      <w:lvlText w:val=""/>
      <w:legacy w:legacy="1" w:legacySpace="0" w:legacyIndent="283"/>
      <w:lvlJc w:val="left"/>
      <w:pPr>
        <w:ind w:left="283" w:hanging="283"/>
      </w:pPr>
      <w:rPr>
        <w:rFonts w:ascii="Symbol" w:hAnsi="Symbol" w:hint="default"/>
      </w:rPr>
    </w:lvl>
  </w:abstractNum>
  <w:abstractNum w:abstractNumId="8" w15:restartNumberingAfterBreak="0">
    <w:nsid w:val="22B64DB4"/>
    <w:multiLevelType w:val="hybridMultilevel"/>
    <w:tmpl w:val="92EE3C3A"/>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05658"/>
    <w:multiLevelType w:val="hybridMultilevel"/>
    <w:tmpl w:val="D4A2C1FA"/>
    <w:lvl w:ilvl="0" w:tplc="0409001B">
      <w:start w:val="1"/>
      <w:numFmt w:val="lowerRoman"/>
      <w:lvlText w:val="%1."/>
      <w:lvlJc w:val="righ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15:restartNumberingAfterBreak="0">
    <w:nsid w:val="26C621FB"/>
    <w:multiLevelType w:val="hybridMultilevel"/>
    <w:tmpl w:val="A1B8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B3DC0"/>
    <w:multiLevelType w:val="hybridMultilevel"/>
    <w:tmpl w:val="A1A6EDEA"/>
    <w:lvl w:ilvl="0" w:tplc="F9F25AB0">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ED1BE9"/>
    <w:multiLevelType w:val="hybridMultilevel"/>
    <w:tmpl w:val="C452F8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B9342E"/>
    <w:multiLevelType w:val="hybridMultilevel"/>
    <w:tmpl w:val="ECB209C6"/>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67894"/>
    <w:multiLevelType w:val="hybridMultilevel"/>
    <w:tmpl w:val="21762B54"/>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D050D1"/>
    <w:multiLevelType w:val="hybridMultilevel"/>
    <w:tmpl w:val="3A9C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196199"/>
    <w:multiLevelType w:val="hybridMultilevel"/>
    <w:tmpl w:val="F08A75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4EE40B8"/>
    <w:multiLevelType w:val="hybridMultilevel"/>
    <w:tmpl w:val="3E546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A75C69"/>
    <w:multiLevelType w:val="hybridMultilevel"/>
    <w:tmpl w:val="36D056E8"/>
    <w:lvl w:ilvl="0" w:tplc="83D887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C16581"/>
    <w:multiLevelType w:val="hybridMultilevel"/>
    <w:tmpl w:val="86063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ED111E"/>
    <w:multiLevelType w:val="hybridMultilevel"/>
    <w:tmpl w:val="A0708602"/>
    <w:lvl w:ilvl="0" w:tplc="04090001">
      <w:start w:val="1"/>
      <w:numFmt w:val="bullet"/>
      <w:lvlText w:val=""/>
      <w:lvlJc w:val="left"/>
      <w:pPr>
        <w:ind w:left="720" w:hanging="360"/>
      </w:pPr>
      <w:rPr>
        <w:rFonts w:ascii="Symbol" w:hAnsi="Symbol" w:hint="default"/>
      </w:rPr>
    </w:lvl>
    <w:lvl w:ilvl="1" w:tplc="5BB0F578">
      <w:numFmt w:val="bullet"/>
      <w:lvlText w:val="•"/>
      <w:lvlJc w:val="left"/>
      <w:pPr>
        <w:ind w:left="1650" w:hanging="57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0E14A0"/>
    <w:multiLevelType w:val="singleLevel"/>
    <w:tmpl w:val="6C6A970E"/>
    <w:lvl w:ilvl="0">
      <w:start w:val="1"/>
      <w:numFmt w:val="none"/>
      <w:lvlText w:val=""/>
      <w:legacy w:legacy="1" w:legacySpace="0" w:legacyIndent="283"/>
      <w:lvlJc w:val="left"/>
      <w:pPr>
        <w:ind w:left="283" w:hanging="283"/>
      </w:pPr>
      <w:rPr>
        <w:rFonts w:ascii="Symbol" w:hAnsi="Symbol" w:hint="default"/>
      </w:rPr>
    </w:lvl>
  </w:abstractNum>
  <w:abstractNum w:abstractNumId="22" w15:restartNumberingAfterBreak="0">
    <w:nsid w:val="47D86282"/>
    <w:multiLevelType w:val="hybridMultilevel"/>
    <w:tmpl w:val="DD7E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19056D"/>
    <w:multiLevelType w:val="hybridMultilevel"/>
    <w:tmpl w:val="AA32BDA8"/>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BD3357"/>
    <w:multiLevelType w:val="hybridMultilevel"/>
    <w:tmpl w:val="907EAB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650" w:hanging="57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F57E1B"/>
    <w:multiLevelType w:val="hybridMultilevel"/>
    <w:tmpl w:val="A154B016"/>
    <w:lvl w:ilvl="0" w:tplc="1ABAA33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7" w15:restartNumberingAfterBreak="0">
    <w:nsid w:val="54CC70D5"/>
    <w:multiLevelType w:val="hybridMultilevel"/>
    <w:tmpl w:val="D62ABCC0"/>
    <w:lvl w:ilvl="0" w:tplc="B9E86E7C">
      <w:start w:val="4"/>
      <w:numFmt w:val="decimal"/>
      <w:lvlText w:val="%1."/>
      <w:lvlJc w:val="left"/>
      <w:pPr>
        <w:tabs>
          <w:tab w:val="num" w:pos="1080"/>
        </w:tabs>
        <w:ind w:left="1080" w:hanging="360"/>
      </w:pPr>
      <w:rPr>
        <w:rFonts w:hint="default"/>
        <w:u w:val="none"/>
      </w:rPr>
    </w:lvl>
    <w:lvl w:ilvl="1" w:tplc="14090019" w:tentative="1">
      <w:start w:val="1"/>
      <w:numFmt w:val="lowerLetter"/>
      <w:lvlText w:val="%2."/>
      <w:lvlJc w:val="left"/>
      <w:pPr>
        <w:tabs>
          <w:tab w:val="num" w:pos="1800"/>
        </w:tabs>
        <w:ind w:left="1800" w:hanging="360"/>
      </w:pPr>
    </w:lvl>
    <w:lvl w:ilvl="2" w:tplc="1409001B" w:tentative="1">
      <w:start w:val="1"/>
      <w:numFmt w:val="lowerRoman"/>
      <w:lvlText w:val="%3."/>
      <w:lvlJc w:val="right"/>
      <w:pPr>
        <w:tabs>
          <w:tab w:val="num" w:pos="2520"/>
        </w:tabs>
        <w:ind w:left="2520" w:hanging="180"/>
      </w:pPr>
    </w:lvl>
    <w:lvl w:ilvl="3" w:tplc="1409000F" w:tentative="1">
      <w:start w:val="1"/>
      <w:numFmt w:val="decimal"/>
      <w:lvlText w:val="%4."/>
      <w:lvlJc w:val="left"/>
      <w:pPr>
        <w:tabs>
          <w:tab w:val="num" w:pos="3240"/>
        </w:tabs>
        <w:ind w:left="3240" w:hanging="360"/>
      </w:pPr>
    </w:lvl>
    <w:lvl w:ilvl="4" w:tplc="14090019" w:tentative="1">
      <w:start w:val="1"/>
      <w:numFmt w:val="lowerLetter"/>
      <w:lvlText w:val="%5."/>
      <w:lvlJc w:val="left"/>
      <w:pPr>
        <w:tabs>
          <w:tab w:val="num" w:pos="3960"/>
        </w:tabs>
        <w:ind w:left="3960" w:hanging="360"/>
      </w:pPr>
    </w:lvl>
    <w:lvl w:ilvl="5" w:tplc="1409001B" w:tentative="1">
      <w:start w:val="1"/>
      <w:numFmt w:val="lowerRoman"/>
      <w:lvlText w:val="%6."/>
      <w:lvlJc w:val="right"/>
      <w:pPr>
        <w:tabs>
          <w:tab w:val="num" w:pos="4680"/>
        </w:tabs>
        <w:ind w:left="4680" w:hanging="180"/>
      </w:pPr>
    </w:lvl>
    <w:lvl w:ilvl="6" w:tplc="1409000F" w:tentative="1">
      <w:start w:val="1"/>
      <w:numFmt w:val="decimal"/>
      <w:lvlText w:val="%7."/>
      <w:lvlJc w:val="left"/>
      <w:pPr>
        <w:tabs>
          <w:tab w:val="num" w:pos="5400"/>
        </w:tabs>
        <w:ind w:left="5400" w:hanging="360"/>
      </w:pPr>
    </w:lvl>
    <w:lvl w:ilvl="7" w:tplc="14090019" w:tentative="1">
      <w:start w:val="1"/>
      <w:numFmt w:val="lowerLetter"/>
      <w:lvlText w:val="%8."/>
      <w:lvlJc w:val="left"/>
      <w:pPr>
        <w:tabs>
          <w:tab w:val="num" w:pos="6120"/>
        </w:tabs>
        <w:ind w:left="6120" w:hanging="360"/>
      </w:pPr>
    </w:lvl>
    <w:lvl w:ilvl="8" w:tplc="1409001B" w:tentative="1">
      <w:start w:val="1"/>
      <w:numFmt w:val="lowerRoman"/>
      <w:lvlText w:val="%9."/>
      <w:lvlJc w:val="right"/>
      <w:pPr>
        <w:tabs>
          <w:tab w:val="num" w:pos="6840"/>
        </w:tabs>
        <w:ind w:left="6840" w:hanging="180"/>
      </w:pPr>
    </w:lvl>
  </w:abstractNum>
  <w:abstractNum w:abstractNumId="28" w15:restartNumberingAfterBreak="0">
    <w:nsid w:val="593173D8"/>
    <w:multiLevelType w:val="multilevel"/>
    <w:tmpl w:val="1616ABD6"/>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29" w15:restartNumberingAfterBreak="0">
    <w:nsid w:val="60A90C71"/>
    <w:multiLevelType w:val="hybridMultilevel"/>
    <w:tmpl w:val="F148F746"/>
    <w:lvl w:ilvl="0" w:tplc="8E1AE5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AE3B7C"/>
    <w:multiLevelType w:val="hybridMultilevel"/>
    <w:tmpl w:val="A5BE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051C22"/>
    <w:multiLevelType w:val="hybridMultilevel"/>
    <w:tmpl w:val="E344537C"/>
    <w:lvl w:ilvl="0" w:tplc="33826668">
      <w:start w:val="1"/>
      <w:numFmt w:val="upperRoman"/>
      <w:lvlText w:val="%1."/>
      <w:lvlJc w:val="left"/>
      <w:pPr>
        <w:tabs>
          <w:tab w:val="num" w:pos="1080"/>
        </w:tabs>
        <w:ind w:left="1080" w:hanging="720"/>
      </w:pPr>
      <w:rPr>
        <w:rFonts w:hint="default"/>
      </w:rPr>
    </w:lvl>
    <w:lvl w:ilvl="1" w:tplc="1EE234E8">
      <w:numFmt w:val="none"/>
      <w:lvlText w:val=""/>
      <w:lvlJc w:val="left"/>
      <w:pPr>
        <w:tabs>
          <w:tab w:val="num" w:pos="360"/>
        </w:tabs>
      </w:pPr>
    </w:lvl>
    <w:lvl w:ilvl="2" w:tplc="2F0EB24A">
      <w:numFmt w:val="none"/>
      <w:lvlText w:val=""/>
      <w:lvlJc w:val="left"/>
      <w:pPr>
        <w:tabs>
          <w:tab w:val="num" w:pos="360"/>
        </w:tabs>
      </w:pPr>
    </w:lvl>
    <w:lvl w:ilvl="3" w:tplc="781C5C92">
      <w:numFmt w:val="none"/>
      <w:lvlText w:val=""/>
      <w:lvlJc w:val="left"/>
      <w:pPr>
        <w:tabs>
          <w:tab w:val="num" w:pos="360"/>
        </w:tabs>
      </w:pPr>
    </w:lvl>
    <w:lvl w:ilvl="4" w:tplc="AC40C842">
      <w:numFmt w:val="none"/>
      <w:lvlText w:val=""/>
      <w:lvlJc w:val="left"/>
      <w:pPr>
        <w:tabs>
          <w:tab w:val="num" w:pos="360"/>
        </w:tabs>
      </w:pPr>
    </w:lvl>
    <w:lvl w:ilvl="5" w:tplc="3A924C62">
      <w:numFmt w:val="none"/>
      <w:lvlText w:val=""/>
      <w:lvlJc w:val="left"/>
      <w:pPr>
        <w:tabs>
          <w:tab w:val="num" w:pos="360"/>
        </w:tabs>
      </w:pPr>
    </w:lvl>
    <w:lvl w:ilvl="6" w:tplc="AB740A62">
      <w:numFmt w:val="none"/>
      <w:lvlText w:val=""/>
      <w:lvlJc w:val="left"/>
      <w:pPr>
        <w:tabs>
          <w:tab w:val="num" w:pos="360"/>
        </w:tabs>
      </w:pPr>
    </w:lvl>
    <w:lvl w:ilvl="7" w:tplc="AFDE4A84">
      <w:numFmt w:val="none"/>
      <w:lvlText w:val=""/>
      <w:lvlJc w:val="left"/>
      <w:pPr>
        <w:tabs>
          <w:tab w:val="num" w:pos="360"/>
        </w:tabs>
      </w:pPr>
    </w:lvl>
    <w:lvl w:ilvl="8" w:tplc="3894F1F0">
      <w:numFmt w:val="none"/>
      <w:lvlText w:val=""/>
      <w:lvlJc w:val="left"/>
      <w:pPr>
        <w:tabs>
          <w:tab w:val="num" w:pos="360"/>
        </w:tabs>
      </w:pPr>
    </w:lvl>
  </w:abstractNum>
  <w:abstractNum w:abstractNumId="32" w15:restartNumberingAfterBreak="0">
    <w:nsid w:val="678D5AF7"/>
    <w:multiLevelType w:val="hybridMultilevel"/>
    <w:tmpl w:val="5C1E749E"/>
    <w:lvl w:ilvl="0" w:tplc="6A98DB36">
      <w:start w:val="1"/>
      <w:numFmt w:val="lowerLetter"/>
      <w:lvlText w:val="(%1)"/>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33" w15:restartNumberingAfterBreak="0">
    <w:nsid w:val="6D010D72"/>
    <w:multiLevelType w:val="hybridMultilevel"/>
    <w:tmpl w:val="D916E032"/>
    <w:lvl w:ilvl="0" w:tplc="040C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EF3EAA"/>
    <w:multiLevelType w:val="hybridMultilevel"/>
    <w:tmpl w:val="5EA4416C"/>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A94B74"/>
    <w:multiLevelType w:val="hybridMultilevel"/>
    <w:tmpl w:val="BEF433B8"/>
    <w:lvl w:ilvl="0" w:tplc="4CEEB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9976242"/>
    <w:multiLevelType w:val="hybridMultilevel"/>
    <w:tmpl w:val="BDECA16C"/>
    <w:lvl w:ilvl="0" w:tplc="CB8088D6">
      <w:start w:val="1"/>
      <w:numFmt w:val="bullet"/>
      <w:lvlText w:val="–"/>
      <w:lvlJc w:val="left"/>
      <w:pPr>
        <w:tabs>
          <w:tab w:val="num" w:pos="720"/>
        </w:tabs>
        <w:ind w:left="720"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C25E39"/>
    <w:multiLevelType w:val="hybridMultilevel"/>
    <w:tmpl w:val="DD12BC3A"/>
    <w:lvl w:ilvl="0" w:tplc="1409000F">
      <w:start w:val="2"/>
      <w:numFmt w:val="decimal"/>
      <w:lvlText w:val="%1."/>
      <w:lvlJc w:val="left"/>
      <w:pPr>
        <w:tabs>
          <w:tab w:val="num" w:pos="1062"/>
        </w:tabs>
        <w:ind w:left="1062" w:hanging="360"/>
      </w:pPr>
      <w:rPr>
        <w:rFonts w:hint="default"/>
        <w:u w:val="none"/>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38" w15:restartNumberingAfterBreak="0">
    <w:nsid w:val="7DE92B3A"/>
    <w:multiLevelType w:val="hybridMultilevel"/>
    <w:tmpl w:val="198ED9A8"/>
    <w:lvl w:ilvl="0" w:tplc="212E5F5E">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D20DB3"/>
    <w:multiLevelType w:val="hybridMultilevel"/>
    <w:tmpl w:val="13FE618E"/>
    <w:lvl w:ilvl="0" w:tplc="8D849720">
      <w:numFmt w:val="bullet"/>
      <w:lvlText w:val=""/>
      <w:lvlJc w:val="left"/>
      <w:pPr>
        <w:ind w:left="927" w:hanging="360"/>
      </w:pPr>
      <w:rPr>
        <w:rFonts w:ascii="Symbol" w:eastAsia="Times New Roman" w:hAnsi="Symbol" w:cs="Aria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40" w15:restartNumberingAfterBreak="0">
    <w:nsid w:val="7F941433"/>
    <w:multiLevelType w:val="hybridMultilevel"/>
    <w:tmpl w:val="37700B36"/>
    <w:lvl w:ilvl="0" w:tplc="040C0001">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5"/>
  </w:num>
  <w:num w:numId="2">
    <w:abstractNumId w:val="23"/>
  </w:num>
  <w:num w:numId="3">
    <w:abstractNumId w:val="34"/>
  </w:num>
  <w:num w:numId="4">
    <w:abstractNumId w:val="14"/>
  </w:num>
  <w:num w:numId="5">
    <w:abstractNumId w:val="8"/>
  </w:num>
  <w:num w:numId="6">
    <w:abstractNumId w:val="6"/>
  </w:num>
  <w:num w:numId="7">
    <w:abstractNumId w:val="26"/>
  </w:num>
  <w:num w:numId="8">
    <w:abstractNumId w:val="32"/>
  </w:num>
  <w:num w:numId="9">
    <w:abstractNumId w:val="29"/>
  </w:num>
  <w:num w:numId="10">
    <w:abstractNumId w:val="19"/>
  </w:num>
  <w:num w:numId="11">
    <w:abstractNumId w:val="4"/>
  </w:num>
  <w:num w:numId="12">
    <w:abstractNumId w:val="2"/>
  </w:num>
  <w:num w:numId="13">
    <w:abstractNumId w:val="12"/>
  </w:num>
  <w:num w:numId="14">
    <w:abstractNumId w:val="18"/>
  </w:num>
  <w:num w:numId="1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5"/>
  </w:num>
  <w:num w:numId="18">
    <w:abstractNumId w:val="0"/>
  </w:num>
  <w:num w:numId="19">
    <w:abstractNumId w:val="16"/>
  </w:num>
  <w:num w:numId="20">
    <w:abstractNumId w:val="22"/>
  </w:num>
  <w:num w:numId="21">
    <w:abstractNumId w:val="40"/>
  </w:num>
  <w:num w:numId="22">
    <w:abstractNumId w:val="30"/>
  </w:num>
  <w:num w:numId="23">
    <w:abstractNumId w:val="3"/>
  </w:num>
  <w:num w:numId="24">
    <w:abstractNumId w:val="39"/>
  </w:num>
  <w:num w:numId="25">
    <w:abstractNumId w:val="9"/>
  </w:num>
  <w:num w:numId="26">
    <w:abstractNumId w:val="1"/>
  </w:num>
  <w:num w:numId="27">
    <w:abstractNumId w:val="31"/>
  </w:num>
  <w:num w:numId="28">
    <w:abstractNumId w:val="37"/>
  </w:num>
  <w:num w:numId="29">
    <w:abstractNumId w:val="27"/>
  </w:num>
  <w:num w:numId="30">
    <w:abstractNumId w:val="7"/>
  </w:num>
  <w:num w:numId="31">
    <w:abstractNumId w:val="21"/>
    <w:lvlOverride w:ilvl="0">
      <w:startOverride w:val="1"/>
    </w:lvlOverride>
  </w:num>
  <w:num w:numId="32">
    <w:abstractNumId w:val="35"/>
  </w:num>
  <w:num w:numId="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28"/>
  </w:num>
  <w:num w:numId="36">
    <w:abstractNumId w:val="20"/>
  </w:num>
  <w:num w:numId="37">
    <w:abstractNumId w:val="38"/>
  </w:num>
  <w:num w:numId="38">
    <w:abstractNumId w:val="24"/>
  </w:num>
  <w:num w:numId="39">
    <w:abstractNumId w:val="17"/>
  </w:num>
  <w:num w:numId="40">
    <w:abstractNumId w:val="10"/>
  </w:num>
  <w:num w:numId="41">
    <w:abstractNumId w:val="13"/>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D57"/>
    <w:rsid w:val="00010CF3"/>
    <w:rsid w:val="00011E27"/>
    <w:rsid w:val="000148BC"/>
    <w:rsid w:val="00024AB8"/>
    <w:rsid w:val="00030854"/>
    <w:rsid w:val="00036028"/>
    <w:rsid w:val="00044642"/>
    <w:rsid w:val="000446B9"/>
    <w:rsid w:val="000450E3"/>
    <w:rsid w:val="00047E21"/>
    <w:rsid w:val="00050E16"/>
    <w:rsid w:val="000602AA"/>
    <w:rsid w:val="00085505"/>
    <w:rsid w:val="000C4E25"/>
    <w:rsid w:val="000C7021"/>
    <w:rsid w:val="000D6BBC"/>
    <w:rsid w:val="000D7780"/>
    <w:rsid w:val="000E636A"/>
    <w:rsid w:val="000F2F11"/>
    <w:rsid w:val="00105929"/>
    <w:rsid w:val="00110C36"/>
    <w:rsid w:val="001131D5"/>
    <w:rsid w:val="00141DB8"/>
    <w:rsid w:val="00170C67"/>
    <w:rsid w:val="00172084"/>
    <w:rsid w:val="0017474A"/>
    <w:rsid w:val="001758C6"/>
    <w:rsid w:val="00182B99"/>
    <w:rsid w:val="001B1C5F"/>
    <w:rsid w:val="001E54FA"/>
    <w:rsid w:val="0021332C"/>
    <w:rsid w:val="00213982"/>
    <w:rsid w:val="0022607B"/>
    <w:rsid w:val="00235CD2"/>
    <w:rsid w:val="0024416D"/>
    <w:rsid w:val="00271911"/>
    <w:rsid w:val="002800A0"/>
    <w:rsid w:val="002801B3"/>
    <w:rsid w:val="00281060"/>
    <w:rsid w:val="002940E8"/>
    <w:rsid w:val="00294751"/>
    <w:rsid w:val="002A6E50"/>
    <w:rsid w:val="002B4298"/>
    <w:rsid w:val="002C256A"/>
    <w:rsid w:val="00301CEC"/>
    <w:rsid w:val="00305A7F"/>
    <w:rsid w:val="003152FE"/>
    <w:rsid w:val="003272E7"/>
    <w:rsid w:val="00327436"/>
    <w:rsid w:val="00327BBA"/>
    <w:rsid w:val="00337C0A"/>
    <w:rsid w:val="00344BD6"/>
    <w:rsid w:val="0035084F"/>
    <w:rsid w:val="0035528D"/>
    <w:rsid w:val="00361821"/>
    <w:rsid w:val="00361E9E"/>
    <w:rsid w:val="0036395D"/>
    <w:rsid w:val="003C7FBE"/>
    <w:rsid w:val="003D227C"/>
    <w:rsid w:val="003D2B4D"/>
    <w:rsid w:val="003E39A6"/>
    <w:rsid w:val="0040557F"/>
    <w:rsid w:val="00444A88"/>
    <w:rsid w:val="004522FF"/>
    <w:rsid w:val="00470B90"/>
    <w:rsid w:val="00474DA4"/>
    <w:rsid w:val="00476B4D"/>
    <w:rsid w:val="004805FA"/>
    <w:rsid w:val="004935D2"/>
    <w:rsid w:val="004B1215"/>
    <w:rsid w:val="004C38BE"/>
    <w:rsid w:val="004C5AE3"/>
    <w:rsid w:val="004D047D"/>
    <w:rsid w:val="004F1E9E"/>
    <w:rsid w:val="004F305A"/>
    <w:rsid w:val="00512164"/>
    <w:rsid w:val="00520297"/>
    <w:rsid w:val="005338F9"/>
    <w:rsid w:val="0054281C"/>
    <w:rsid w:val="00544581"/>
    <w:rsid w:val="00545E42"/>
    <w:rsid w:val="0055268D"/>
    <w:rsid w:val="00576BE4"/>
    <w:rsid w:val="005917D2"/>
    <w:rsid w:val="005A400A"/>
    <w:rsid w:val="005E7EA6"/>
    <w:rsid w:val="005F7B92"/>
    <w:rsid w:val="00612379"/>
    <w:rsid w:val="006153B6"/>
    <w:rsid w:val="0061555F"/>
    <w:rsid w:val="00636CA6"/>
    <w:rsid w:val="00641200"/>
    <w:rsid w:val="00645CA8"/>
    <w:rsid w:val="006655D3"/>
    <w:rsid w:val="00667404"/>
    <w:rsid w:val="006865B4"/>
    <w:rsid w:val="00687EB4"/>
    <w:rsid w:val="00695C56"/>
    <w:rsid w:val="006A5CDE"/>
    <w:rsid w:val="006A644A"/>
    <w:rsid w:val="006B17D2"/>
    <w:rsid w:val="006C224E"/>
    <w:rsid w:val="006C5CF8"/>
    <w:rsid w:val="006D780A"/>
    <w:rsid w:val="0071271E"/>
    <w:rsid w:val="00732DEC"/>
    <w:rsid w:val="00735BD5"/>
    <w:rsid w:val="00751613"/>
    <w:rsid w:val="007556F6"/>
    <w:rsid w:val="00760EEF"/>
    <w:rsid w:val="00777314"/>
    <w:rsid w:val="00777EE5"/>
    <w:rsid w:val="00784836"/>
    <w:rsid w:val="0079023E"/>
    <w:rsid w:val="007A2854"/>
    <w:rsid w:val="007C1D92"/>
    <w:rsid w:val="007C2C54"/>
    <w:rsid w:val="007C4CB9"/>
    <w:rsid w:val="007D0B9D"/>
    <w:rsid w:val="007D19B0"/>
    <w:rsid w:val="007F498F"/>
    <w:rsid w:val="0080679D"/>
    <w:rsid w:val="008108B0"/>
    <w:rsid w:val="00811B20"/>
    <w:rsid w:val="008211B5"/>
    <w:rsid w:val="0082296E"/>
    <w:rsid w:val="00824099"/>
    <w:rsid w:val="00845D57"/>
    <w:rsid w:val="00846D7C"/>
    <w:rsid w:val="00864C55"/>
    <w:rsid w:val="00867AC1"/>
    <w:rsid w:val="00867E38"/>
    <w:rsid w:val="00890DF8"/>
    <w:rsid w:val="008A743F"/>
    <w:rsid w:val="008C0970"/>
    <w:rsid w:val="008D0BC5"/>
    <w:rsid w:val="008D2CF7"/>
    <w:rsid w:val="008E0BFA"/>
    <w:rsid w:val="00900C26"/>
    <w:rsid w:val="00900EAF"/>
    <w:rsid w:val="0090197F"/>
    <w:rsid w:val="00903242"/>
    <w:rsid w:val="00906DDC"/>
    <w:rsid w:val="00934E09"/>
    <w:rsid w:val="00936253"/>
    <w:rsid w:val="00940D46"/>
    <w:rsid w:val="00952DD4"/>
    <w:rsid w:val="00965AE7"/>
    <w:rsid w:val="00970FED"/>
    <w:rsid w:val="00985279"/>
    <w:rsid w:val="00992D82"/>
    <w:rsid w:val="00997029"/>
    <w:rsid w:val="009A7339"/>
    <w:rsid w:val="009B2909"/>
    <w:rsid w:val="009B440E"/>
    <w:rsid w:val="009D690D"/>
    <w:rsid w:val="009E65B6"/>
    <w:rsid w:val="00A24C10"/>
    <w:rsid w:val="00A379AD"/>
    <w:rsid w:val="00A42AC3"/>
    <w:rsid w:val="00A430CF"/>
    <w:rsid w:val="00A54309"/>
    <w:rsid w:val="00A706D3"/>
    <w:rsid w:val="00A71548"/>
    <w:rsid w:val="00AB2B93"/>
    <w:rsid w:val="00AB530F"/>
    <w:rsid w:val="00AB5931"/>
    <w:rsid w:val="00AB7E5B"/>
    <w:rsid w:val="00AC2883"/>
    <w:rsid w:val="00AE0EF1"/>
    <w:rsid w:val="00AE2937"/>
    <w:rsid w:val="00AE5439"/>
    <w:rsid w:val="00B07301"/>
    <w:rsid w:val="00B11F3E"/>
    <w:rsid w:val="00B224DE"/>
    <w:rsid w:val="00B324D4"/>
    <w:rsid w:val="00B46575"/>
    <w:rsid w:val="00B61777"/>
    <w:rsid w:val="00B84BBD"/>
    <w:rsid w:val="00B86E6D"/>
    <w:rsid w:val="00B967FA"/>
    <w:rsid w:val="00BA43FB"/>
    <w:rsid w:val="00BC127D"/>
    <w:rsid w:val="00BC1FE6"/>
    <w:rsid w:val="00C061B6"/>
    <w:rsid w:val="00C2446C"/>
    <w:rsid w:val="00C36AE5"/>
    <w:rsid w:val="00C41F17"/>
    <w:rsid w:val="00C527FA"/>
    <w:rsid w:val="00C5280D"/>
    <w:rsid w:val="00C53EB3"/>
    <w:rsid w:val="00C5791C"/>
    <w:rsid w:val="00C66290"/>
    <w:rsid w:val="00C72B7A"/>
    <w:rsid w:val="00C8765E"/>
    <w:rsid w:val="00C973F2"/>
    <w:rsid w:val="00CA304C"/>
    <w:rsid w:val="00CA774A"/>
    <w:rsid w:val="00CC11B0"/>
    <w:rsid w:val="00CC2841"/>
    <w:rsid w:val="00CF1330"/>
    <w:rsid w:val="00CF7E36"/>
    <w:rsid w:val="00D067B6"/>
    <w:rsid w:val="00D203BE"/>
    <w:rsid w:val="00D36011"/>
    <w:rsid w:val="00D3708D"/>
    <w:rsid w:val="00D40426"/>
    <w:rsid w:val="00D41B08"/>
    <w:rsid w:val="00D57C96"/>
    <w:rsid w:val="00D57D18"/>
    <w:rsid w:val="00D619E7"/>
    <w:rsid w:val="00D86C31"/>
    <w:rsid w:val="00D90ED2"/>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84C2E"/>
    <w:rsid w:val="00E935F1"/>
    <w:rsid w:val="00E94A81"/>
    <w:rsid w:val="00EA1FFB"/>
    <w:rsid w:val="00EB048E"/>
    <w:rsid w:val="00EB4E9C"/>
    <w:rsid w:val="00EB57D6"/>
    <w:rsid w:val="00EE34DF"/>
    <w:rsid w:val="00EF2F89"/>
    <w:rsid w:val="00F03E98"/>
    <w:rsid w:val="00F06BA1"/>
    <w:rsid w:val="00F1237A"/>
    <w:rsid w:val="00F22CBD"/>
    <w:rsid w:val="00F272F1"/>
    <w:rsid w:val="00F45372"/>
    <w:rsid w:val="00F560F7"/>
    <w:rsid w:val="00F6334D"/>
    <w:rsid w:val="00FA49AB"/>
    <w:rsid w:val="00FA5C1B"/>
    <w:rsid w:val="00FD4F25"/>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2EADFF4"/>
  <w15:docId w15:val="{CB8EC3C8-44BB-4155-AC79-A1B1877C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0E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7">
    <w:name w:val="heading 7"/>
    <w:basedOn w:val="Normal"/>
    <w:next w:val="Normal"/>
    <w:link w:val="Heading7Char"/>
    <w:qFormat/>
    <w:rsid w:val="006C5CF8"/>
    <w:pPr>
      <w:keepNext/>
      <w:outlineLvl w:val="6"/>
    </w:pPr>
    <w:rPr>
      <w:rFonts w:ascii="Times New Roman" w:hAnsi="Times New Roman"/>
      <w:sz w:val="22"/>
      <w:szCs w:val="22"/>
      <w:u w:val="single"/>
      <w:lang w:val="en-GB"/>
    </w:rPr>
  </w:style>
  <w:style w:type="paragraph" w:styleId="Heading8">
    <w:name w:val="heading 8"/>
    <w:basedOn w:val="Normal"/>
    <w:next w:val="Normal"/>
    <w:link w:val="Heading8Char"/>
    <w:qFormat/>
    <w:rsid w:val="009B2909"/>
    <w:pPr>
      <w:keepNext/>
      <w:tabs>
        <w:tab w:val="left" w:pos="567"/>
        <w:tab w:val="left" w:pos="4962"/>
      </w:tabs>
      <w:jc w:val="center"/>
      <w:outlineLvl w:val="7"/>
    </w:pPr>
    <w:rPr>
      <w:u w:val="single"/>
      <w:lang w:val="en-GB" w:eastAsia="pl-PL"/>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D41B08"/>
    <w:pPr>
      <w:tabs>
        <w:tab w:val="left" w:pos="5387"/>
        <w:tab w:val="left" w:pos="5954"/>
      </w:tabs>
      <w:ind w:left="4820"/>
    </w:pPr>
    <w:rPr>
      <w:i/>
    </w:rPr>
  </w:style>
  <w:style w:type="paragraph" w:styleId="FootnoteText">
    <w:name w:val="footnote text"/>
    <w:link w:val="FootnoteTextChar"/>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D41B08"/>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D41B08"/>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D41B08"/>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D41B08"/>
    <w:pPr>
      <w:tabs>
        <w:tab w:val="right" w:leader="dot" w:pos="9639"/>
      </w:tabs>
      <w:spacing w:after="120"/>
      <w:jc w:val="center"/>
    </w:pPr>
    <w:rPr>
      <w:rFonts w:ascii="Arial" w:hAnsi="Arial"/>
      <w:caps/>
    </w:rPr>
  </w:style>
  <w:style w:type="paragraph" w:styleId="TOC5">
    <w:name w:val="toc 5"/>
    <w:next w:val="Normal"/>
    <w:autoRedefine/>
    <w:rsid w:val="00D41B08"/>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0450E3"/>
    <w:pPr>
      <w:ind w:left="1134" w:hanging="567"/>
      <w:jc w:val="left"/>
    </w:pPr>
    <w:rPr>
      <w:szCs w:val="22"/>
      <w:lang w:val="en-US"/>
    </w:rPr>
  </w:style>
  <w:style w:type="table" w:styleId="TableGrid">
    <w:name w:val="Table Grid"/>
    <w:basedOn w:val="TableNormal"/>
    <w:rsid w:val="00045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9B2909"/>
    <w:rPr>
      <w:rFonts w:ascii="Arial" w:hAnsi="Arial"/>
      <w:u w:val="single"/>
      <w:lang w:val="en-GB" w:eastAsia="pl-PL"/>
    </w:rPr>
  </w:style>
  <w:style w:type="paragraph" w:styleId="BodyText2">
    <w:name w:val="Body Text 2"/>
    <w:basedOn w:val="Normal"/>
    <w:link w:val="BodyText2Char"/>
    <w:rsid w:val="009B2909"/>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9B2909"/>
    <w:rPr>
      <w:sz w:val="28"/>
      <w:lang w:val="pl-PL" w:eastAsia="pl-PL"/>
    </w:rPr>
  </w:style>
  <w:style w:type="character" w:customStyle="1" w:styleId="FooterChar">
    <w:name w:val="Footer Char"/>
    <w:aliases w:val="doc_path_name Char"/>
    <w:basedOn w:val="DefaultParagraphFont"/>
    <w:link w:val="Footer"/>
    <w:rsid w:val="009B2909"/>
    <w:rPr>
      <w:rFonts w:ascii="Arial" w:hAnsi="Arial"/>
      <w:sz w:val="14"/>
    </w:rPr>
  </w:style>
  <w:style w:type="paragraph" w:styleId="BodyTextIndent2">
    <w:name w:val="Body Text Indent 2"/>
    <w:basedOn w:val="Normal"/>
    <w:link w:val="BodyTextIndent2Char"/>
    <w:rsid w:val="00FD4F25"/>
    <w:pPr>
      <w:spacing w:after="120" w:line="480" w:lineRule="auto"/>
      <w:ind w:left="283"/>
    </w:pPr>
    <w:rPr>
      <w:lang w:val="en-US"/>
    </w:rPr>
  </w:style>
  <w:style w:type="character" w:customStyle="1" w:styleId="BodyTextIndent2Char">
    <w:name w:val="Body Text Indent 2 Char"/>
    <w:basedOn w:val="DefaultParagraphFont"/>
    <w:link w:val="BodyTextIndent2"/>
    <w:rsid w:val="00FD4F25"/>
    <w:rPr>
      <w:rFonts w:ascii="Arial" w:hAnsi="Arial"/>
    </w:rPr>
  </w:style>
  <w:style w:type="character" w:customStyle="1" w:styleId="Heading7Char">
    <w:name w:val="Heading 7 Char"/>
    <w:basedOn w:val="DefaultParagraphFont"/>
    <w:link w:val="Heading7"/>
    <w:rsid w:val="006C5CF8"/>
    <w:rPr>
      <w:sz w:val="22"/>
      <w:szCs w:val="22"/>
      <w:u w:val="single"/>
      <w:lang w:val="en-GB"/>
    </w:rPr>
  </w:style>
  <w:style w:type="paragraph" w:styleId="ListBullet">
    <w:name w:val="List Bullet"/>
    <w:basedOn w:val="Normal"/>
    <w:rsid w:val="006C5CF8"/>
    <w:pPr>
      <w:numPr>
        <w:numId w:val="7"/>
      </w:numPr>
      <w:spacing w:after="240"/>
    </w:pPr>
    <w:rPr>
      <w:lang w:val="en-GB"/>
    </w:rPr>
  </w:style>
  <w:style w:type="paragraph" w:customStyle="1" w:styleId="Default">
    <w:name w:val="Default"/>
    <w:rsid w:val="006C5CF8"/>
    <w:pPr>
      <w:autoSpaceDE w:val="0"/>
      <w:autoSpaceDN w:val="0"/>
      <w:adjustRightInd w:val="0"/>
    </w:pPr>
    <w:rPr>
      <w:rFonts w:ascii="Arial" w:hAnsi="Arial" w:cs="Arial"/>
      <w:color w:val="000000"/>
      <w:sz w:val="24"/>
      <w:szCs w:val="24"/>
    </w:rPr>
  </w:style>
  <w:style w:type="character" w:customStyle="1" w:styleId="StyleDoclangBold">
    <w:name w:val="Style Doc_lang + Bold"/>
    <w:basedOn w:val="Doclang"/>
    <w:rsid w:val="006C5CF8"/>
    <w:rPr>
      <w:rFonts w:ascii="Arial" w:hAnsi="Arial"/>
      <w:b/>
      <w:bCs/>
      <w:sz w:val="20"/>
      <w:lang w:val="en-US"/>
    </w:rPr>
  </w:style>
  <w:style w:type="paragraph" w:customStyle="1" w:styleId="StyleDocnumber">
    <w:name w:val="Style Doc_number"/>
    <w:basedOn w:val="Docoriginal"/>
    <w:rsid w:val="006C5CF8"/>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6C5CF8"/>
    <w:pPr>
      <w:spacing w:before="0" w:line="280" w:lineRule="exact"/>
      <w:ind w:left="1361"/>
      <w:contextualSpacing w:val="0"/>
      <w:jc w:val="both"/>
    </w:pPr>
  </w:style>
  <w:style w:type="paragraph" w:customStyle="1" w:styleId="StyleDocoriginalNotBold">
    <w:name w:val="Style Doc_original + Not Bold"/>
    <w:basedOn w:val="Docoriginal"/>
    <w:link w:val="StyleDocoriginalNotBoldChar"/>
    <w:autoRedefine/>
    <w:rsid w:val="006C5CF8"/>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6C5CF8"/>
    <w:rPr>
      <w:rFonts w:ascii="Arial" w:hAnsi="Arial"/>
      <w:b/>
      <w:bCs/>
      <w:spacing w:val="10"/>
      <w:sz w:val="18"/>
      <w:lang w:val="fr-FR" w:eastAsia="en-US" w:bidi="ar-SA"/>
    </w:rPr>
  </w:style>
  <w:style w:type="character" w:customStyle="1" w:styleId="StyleStyleDocoriginalNotBoldNotBoldChar">
    <w:name w:val="Style Style Doc_original + Not Bold + Not Bold Char"/>
    <w:basedOn w:val="StyleDocoriginalNotBoldChar"/>
    <w:link w:val="StyleStyleDocoriginalNotBoldNotBold"/>
    <w:rsid w:val="006C5CF8"/>
    <w:rPr>
      <w:rFonts w:ascii="Arial" w:hAnsi="Arial"/>
      <w:b/>
      <w:bCs/>
      <w:spacing w:val="10"/>
      <w:sz w:val="18"/>
      <w:lang w:val="fr-FR" w:eastAsia="en-US" w:bidi="ar-SA"/>
    </w:rPr>
  </w:style>
  <w:style w:type="character" w:customStyle="1" w:styleId="StyleDocoriginalNotBold1">
    <w:name w:val="Style Doc_original + Not Bold1"/>
    <w:basedOn w:val="StyleStyleDocoriginalNotBoldNotBoldChar"/>
    <w:rsid w:val="006C5CF8"/>
    <w:rPr>
      <w:rFonts w:ascii="Arial" w:hAnsi="Arial"/>
      <w:b/>
      <w:bCs/>
      <w:spacing w:val="10"/>
      <w:sz w:val="18"/>
      <w:lang w:val="fr-FR" w:eastAsia="en-US" w:bidi="ar-SA"/>
    </w:rPr>
  </w:style>
  <w:style w:type="character" w:customStyle="1" w:styleId="StyleDocoriginalChar">
    <w:name w:val="Style Doc_original Char"/>
    <w:basedOn w:val="DocoriginalChar"/>
    <w:link w:val="StyleDocoriginal"/>
    <w:rsid w:val="006C5CF8"/>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6C5CF8"/>
  </w:style>
  <w:style w:type="character" w:styleId="Strong">
    <w:name w:val="Strong"/>
    <w:uiPriority w:val="22"/>
    <w:qFormat/>
    <w:rsid w:val="006C5CF8"/>
    <w:rPr>
      <w:b/>
      <w:bCs/>
    </w:rPr>
  </w:style>
  <w:style w:type="paragraph" w:styleId="BodyText3">
    <w:name w:val="Body Text 3"/>
    <w:basedOn w:val="Normal"/>
    <w:link w:val="BodyText3Char"/>
    <w:rsid w:val="006C5CF8"/>
    <w:pPr>
      <w:spacing w:after="120"/>
    </w:pPr>
    <w:rPr>
      <w:sz w:val="16"/>
      <w:szCs w:val="16"/>
      <w:lang w:val="en-US"/>
    </w:rPr>
  </w:style>
  <w:style w:type="character" w:customStyle="1" w:styleId="BodyText3Char">
    <w:name w:val="Body Text 3 Char"/>
    <w:basedOn w:val="DefaultParagraphFont"/>
    <w:link w:val="BodyText3"/>
    <w:rsid w:val="006C5CF8"/>
    <w:rPr>
      <w:rFonts w:ascii="Arial" w:hAnsi="Arial"/>
      <w:sz w:val="16"/>
      <w:szCs w:val="16"/>
    </w:rPr>
  </w:style>
  <w:style w:type="character" w:customStyle="1" w:styleId="FootnoteTextChar">
    <w:name w:val="Footnote Text Char"/>
    <w:link w:val="FootnoteText"/>
    <w:rsid w:val="006C5CF8"/>
    <w:rPr>
      <w:rFonts w:ascii="Arial" w:hAnsi="Arial"/>
      <w:sz w:val="16"/>
      <w:lang w:val="fr-FR"/>
    </w:rPr>
  </w:style>
  <w:style w:type="character" w:customStyle="1" w:styleId="shorttext">
    <w:name w:val="short_text"/>
    <w:basedOn w:val="DefaultParagraphFont"/>
    <w:rsid w:val="006C5CF8"/>
  </w:style>
  <w:style w:type="paragraph" w:customStyle="1" w:styleId="AddressBlock">
    <w:name w:val="Address Block"/>
    <w:basedOn w:val="Normal"/>
    <w:uiPriority w:val="99"/>
    <w:qFormat/>
    <w:rsid w:val="006C5CF8"/>
    <w:pPr>
      <w:jc w:val="left"/>
    </w:pPr>
    <w:rPr>
      <w:sz w:val="24"/>
      <w:lang w:val="en-NZ"/>
    </w:rPr>
  </w:style>
  <w:style w:type="paragraph" w:styleId="NormalWeb">
    <w:name w:val="Normal (Web)"/>
    <w:basedOn w:val="Normal"/>
    <w:uiPriority w:val="99"/>
    <w:unhideWhenUsed/>
    <w:rsid w:val="006C5CF8"/>
    <w:pPr>
      <w:spacing w:before="100" w:beforeAutospacing="1" w:after="100" w:afterAutospacing="1"/>
      <w:jc w:val="left"/>
    </w:pPr>
    <w:rPr>
      <w:rFonts w:ascii="Times New Roman" w:hAnsi="Times New Roman"/>
      <w:sz w:val="24"/>
      <w:szCs w:val="24"/>
      <w:lang w:val="en-US"/>
    </w:rPr>
  </w:style>
  <w:style w:type="character" w:styleId="Emphasis">
    <w:name w:val="Emphasis"/>
    <w:uiPriority w:val="99"/>
    <w:qFormat/>
    <w:rsid w:val="006C5CF8"/>
    <w:rPr>
      <w:rFonts w:cs="Times New Roman"/>
      <w:i/>
      <w:iCs/>
    </w:rPr>
  </w:style>
  <w:style w:type="paragraph" w:styleId="BodyTextIndent">
    <w:name w:val="Body Text Indent"/>
    <w:basedOn w:val="Normal"/>
    <w:link w:val="BodyTextIndentChar"/>
    <w:uiPriority w:val="99"/>
    <w:rsid w:val="006C5CF8"/>
    <w:pPr>
      <w:widowControl w:val="0"/>
      <w:autoSpaceDE w:val="0"/>
      <w:autoSpaceDN w:val="0"/>
      <w:adjustRightInd w:val="0"/>
      <w:spacing w:after="120"/>
      <w:ind w:left="283"/>
      <w:jc w:val="left"/>
    </w:pPr>
    <w:rPr>
      <w:rFonts w:ascii="Times New Roman" w:hAnsi="Times New Roman"/>
      <w:lang w:val="ru-RU" w:eastAsia="ru-RU"/>
    </w:rPr>
  </w:style>
  <w:style w:type="character" w:customStyle="1" w:styleId="BodyTextIndentChar">
    <w:name w:val="Body Text Indent Char"/>
    <w:basedOn w:val="DefaultParagraphFont"/>
    <w:link w:val="BodyTextIndent"/>
    <w:uiPriority w:val="99"/>
    <w:rsid w:val="006C5CF8"/>
    <w:rPr>
      <w:lang w:val="ru-RU" w:eastAsia="ru-RU"/>
    </w:rPr>
  </w:style>
  <w:style w:type="paragraph" w:styleId="NoSpacing">
    <w:name w:val="No Spacing"/>
    <w:uiPriority w:val="1"/>
    <w:qFormat/>
    <w:rsid w:val="006C5CF8"/>
    <w:pPr>
      <w:widowControl w:val="0"/>
      <w:autoSpaceDE w:val="0"/>
      <w:autoSpaceDN w:val="0"/>
      <w:adjustRightInd w:val="0"/>
    </w:pPr>
    <w:rPr>
      <w:lang w:val="ru-RU" w:eastAsia="ru-RU"/>
    </w:rPr>
  </w:style>
  <w:style w:type="paragraph" w:styleId="PlainText">
    <w:name w:val="Plain Text"/>
    <w:basedOn w:val="Normal"/>
    <w:link w:val="PlainTextChar"/>
    <w:semiHidden/>
    <w:rsid w:val="006C5CF8"/>
    <w:pPr>
      <w:jc w:val="left"/>
    </w:pPr>
    <w:rPr>
      <w:rFonts w:ascii="Courier New" w:hAnsi="Courier New"/>
      <w:lang w:val="en-GB" w:eastAsia="hu-HU"/>
    </w:rPr>
  </w:style>
  <w:style w:type="character" w:customStyle="1" w:styleId="PlainTextChar">
    <w:name w:val="Plain Text Char"/>
    <w:basedOn w:val="DefaultParagraphFont"/>
    <w:link w:val="PlainText"/>
    <w:semiHidden/>
    <w:rsid w:val="006C5CF8"/>
    <w:rPr>
      <w:rFonts w:ascii="Courier New" w:hAnsi="Courier New"/>
      <w:lang w:val="en-GB" w:eastAsia="hu-HU"/>
    </w:rPr>
  </w:style>
  <w:style w:type="paragraph" w:customStyle="1" w:styleId="TextBody">
    <w:name w:val="Text Body"/>
    <w:basedOn w:val="Normal"/>
    <w:rsid w:val="006C5CF8"/>
    <w:pPr>
      <w:widowControl w:val="0"/>
      <w:suppressAutoHyphens/>
      <w:spacing w:after="140" w:line="288" w:lineRule="auto"/>
      <w:jc w:val="left"/>
    </w:pPr>
    <w:rPr>
      <w:rFonts w:ascii="Liberation Serif" w:eastAsia="Droid Sans Fallback" w:hAnsi="Liberation Serif" w:cs="FreeSans"/>
      <w:sz w:val="24"/>
      <w:szCs w:val="24"/>
      <w:lang w:val="hu-HU" w:eastAsia="zh-CN" w:bidi="hi-IN"/>
    </w:rPr>
  </w:style>
  <w:style w:type="character" w:styleId="FollowedHyperlink">
    <w:name w:val="FollowedHyperlink"/>
    <w:basedOn w:val="DefaultParagraphFont"/>
    <w:semiHidden/>
    <w:unhideWhenUsed/>
    <w:rsid w:val="006C5C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yperlink" Target="http://www.coboru.gov.pl" TargetMode="External"/><Relationship Id="rId39" Type="http://schemas.openxmlformats.org/officeDocument/2006/relationships/hyperlink" Target="http://agrosym.ues.rs.ba/index.php/en/" TargetMode="External"/><Relationship Id="rId21" Type="http://schemas.openxmlformats.org/officeDocument/2006/relationships/header" Target="header11.xml"/><Relationship Id="rId34" Type="http://schemas.openxmlformats.org/officeDocument/2006/relationships/hyperlink" Target="http://journal.sops.gov.ua/" TargetMode="External"/><Relationship Id="rId42" Type="http://schemas.openxmlformats.org/officeDocument/2006/relationships/image" Target="media/image3.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8.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2.png"/><Relationship Id="rId32" Type="http://schemas.openxmlformats.org/officeDocument/2006/relationships/header" Target="header16.xml"/><Relationship Id="rId37" Type="http://schemas.openxmlformats.org/officeDocument/2006/relationships/hyperlink" Target="https://sops.gov.ua/uploads/page/5cc15bea99d43.pdf" TargetMode="External"/><Relationship Id="rId40" Type="http://schemas.openxmlformats.org/officeDocument/2006/relationships/hyperlink" Target="http://agrosym.ues.rs.ba/agrosym/agrosym_2019/BOOK_OF_PROCEEDINGS_2019_FINAL.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yperlink" Target="http://www.coboru.pl/Polska/Podstawy_prawne/DU20152166.pdf" TargetMode="External"/><Relationship Id="rId28" Type="http://schemas.openxmlformats.org/officeDocument/2006/relationships/hyperlink" Target="http://www.agepi.gov.md" TargetMode="External"/><Relationship Id="rId36" Type="http://schemas.openxmlformats.org/officeDocument/2006/relationships/hyperlink" Target="https://sops.gov.ua/uploads/page/5d1dfa59bb922.pdf" TargetMode="Externa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15.xm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yperlink" Target="http://www.coboru.pl/Polska/Podstawy_prawne/D20040567.pdf" TargetMode="Externa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yperlink" Target="https://sops.gov.ua/uploads/page/buleten/B_3_2020.pdf" TargetMode="External"/><Relationship Id="rId43" Type="http://schemas.openxmlformats.org/officeDocument/2006/relationships/image" Target="media/image4.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yperlink" Target="http://www.naro.affrc.go.jp/english/laboratory/ncss/dus_growing_test/index.html" TargetMode="External"/><Relationship Id="rId25" Type="http://schemas.openxmlformats.org/officeDocument/2006/relationships/hyperlink" Target="http://www.coboru.gov.pl" TargetMode="External"/><Relationship Id="rId33" Type="http://schemas.openxmlformats.org/officeDocument/2006/relationships/header" Target="header17.xml"/><Relationship Id="rId38" Type="http://schemas.openxmlformats.org/officeDocument/2006/relationships/hyperlink" Target="https://sops.gov.ua/uploads/page/5d66479943a66.pdf" TargetMode="External"/><Relationship Id="rId46" Type="http://schemas.openxmlformats.org/officeDocument/2006/relationships/theme" Target="theme/theme1.xml"/><Relationship Id="rId20" Type="http://schemas.openxmlformats.org/officeDocument/2006/relationships/hyperlink" Target="https://www.mbie.govt.nz/business-and-employment/business/intellectual-property/plant-variety-rights/plant-variety-rights-act-review/" TargetMode="External"/><Relationship Id="rId41" Type="http://schemas.openxmlformats.org/officeDocument/2006/relationships/hyperlink" Target="mailto:upov.mail@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4\templates\c_54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DD3BA-7081-4729-B689-C4EDE0C1D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c_54_FR.dotx</Template>
  <TotalTime>139</TotalTime>
  <Pages>41</Pages>
  <Words>15766</Words>
  <Characters>90730</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C/54/INF/4</vt:lpstr>
    </vt:vector>
  </TitlesOfParts>
  <Company>UPOV</Company>
  <LinksUpToDate>false</LinksUpToDate>
  <CharactersWithSpaces>106284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C/54/INF/4</dc:title>
  <dc:creator/>
  <cp:lastModifiedBy>SANCHEZ VIZCAINO GOMEZ Rosa Maria</cp:lastModifiedBy>
  <cp:revision>35</cp:revision>
  <cp:lastPrinted>2016-11-22T15:41:00Z</cp:lastPrinted>
  <dcterms:created xsi:type="dcterms:W3CDTF">2020-10-02T16:57:00Z</dcterms:created>
  <dcterms:modified xsi:type="dcterms:W3CDTF">2020-10-16T11:53:00Z</dcterms:modified>
</cp:coreProperties>
</file>