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D7027" w:rsidTr="00EB4E9C">
        <w:tc>
          <w:tcPr>
            <w:tcW w:w="6522" w:type="dxa"/>
          </w:tcPr>
          <w:p w:rsidR="00DC3802" w:rsidRPr="001D7027" w:rsidRDefault="00DC3802" w:rsidP="00AC2883">
            <w:r w:rsidRPr="001D7027">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D7027" w:rsidRDefault="00A706D3" w:rsidP="00AC2883">
            <w:pPr>
              <w:pStyle w:val="Lettrine"/>
            </w:pPr>
            <w:r w:rsidRPr="001D7027">
              <w:t>F</w:t>
            </w:r>
          </w:p>
        </w:tc>
      </w:tr>
      <w:tr w:rsidR="00DC3802" w:rsidRPr="001D7027" w:rsidTr="00645CA8">
        <w:trPr>
          <w:trHeight w:val="219"/>
        </w:trPr>
        <w:tc>
          <w:tcPr>
            <w:tcW w:w="6522" w:type="dxa"/>
          </w:tcPr>
          <w:p w:rsidR="00DC3802" w:rsidRPr="001D7027" w:rsidRDefault="00DC3802" w:rsidP="00A706D3">
            <w:pPr>
              <w:pStyle w:val="upove"/>
            </w:pPr>
            <w:r w:rsidRPr="001D7027">
              <w:t xml:space="preserve">Union </w:t>
            </w:r>
            <w:r w:rsidR="00A706D3" w:rsidRPr="001D7027">
              <w:t>internationale pour la protection des obtentions végétales</w:t>
            </w:r>
          </w:p>
        </w:tc>
        <w:tc>
          <w:tcPr>
            <w:tcW w:w="3117" w:type="dxa"/>
          </w:tcPr>
          <w:p w:rsidR="00DC3802" w:rsidRPr="001D7027" w:rsidRDefault="00DC3802" w:rsidP="00DA4973"/>
        </w:tc>
      </w:tr>
    </w:tbl>
    <w:p w:rsidR="00DC3802" w:rsidRPr="001D7027" w:rsidRDefault="00DC3802" w:rsidP="00DC3802"/>
    <w:p w:rsidR="00DA4973" w:rsidRPr="001D702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D7027" w:rsidTr="00DF3C0F">
        <w:tc>
          <w:tcPr>
            <w:tcW w:w="6512" w:type="dxa"/>
            <w:tcBorders>
              <w:bottom w:val="single" w:sz="4" w:space="0" w:color="auto"/>
            </w:tcBorders>
          </w:tcPr>
          <w:p w:rsidR="00EB4E9C" w:rsidRPr="001D7027" w:rsidRDefault="00AB5931" w:rsidP="00AC2883">
            <w:pPr>
              <w:pStyle w:val="Sessiontc"/>
              <w:spacing w:line="240" w:lineRule="auto"/>
            </w:pPr>
            <w:r w:rsidRPr="001D7027">
              <w:t>Conseil</w:t>
            </w:r>
          </w:p>
          <w:p w:rsidR="00EB4E9C" w:rsidRPr="001D7027" w:rsidRDefault="00AB5931" w:rsidP="00DF3C0F">
            <w:pPr>
              <w:pStyle w:val="Sessiontcplacedate"/>
              <w:spacing w:line="240" w:lineRule="atLeast"/>
              <w:rPr>
                <w:sz w:val="22"/>
              </w:rPr>
            </w:pPr>
            <w:r w:rsidRPr="001D7027">
              <w:t>Cinquante</w:t>
            </w:r>
            <w:r w:rsidR="00750F64" w:rsidRPr="001D7027">
              <w:t>-</w:t>
            </w:r>
            <w:r w:rsidR="00235CD2" w:rsidRPr="001D7027">
              <w:t>quatr</w:t>
            </w:r>
            <w:r w:rsidR="00750F64" w:rsidRPr="001D7027">
              <w:t>ième session</w:t>
            </w:r>
            <w:r w:rsidRPr="001D7027">
              <w:t xml:space="preserve"> ordinaire</w:t>
            </w:r>
            <w:r w:rsidR="00EB4E9C" w:rsidRPr="001D7027">
              <w:br/>
              <w:t>Gen</w:t>
            </w:r>
            <w:r w:rsidR="00A706D3" w:rsidRPr="001D7027">
              <w:t>è</w:t>
            </w:r>
            <w:r w:rsidR="00EB4E9C" w:rsidRPr="001D7027">
              <w:t>v</w:t>
            </w:r>
            <w:r w:rsidR="00A706D3" w:rsidRPr="001D7027">
              <w:t>e</w:t>
            </w:r>
            <w:r w:rsidR="00EB4E9C" w:rsidRPr="001D7027">
              <w:t xml:space="preserve">, </w:t>
            </w:r>
            <w:r w:rsidR="00235CD2" w:rsidRPr="001D7027">
              <w:t>3</w:t>
            </w:r>
            <w:r w:rsidR="005D40E4" w:rsidRPr="001D7027">
              <w:t>0 octobre 20</w:t>
            </w:r>
            <w:r w:rsidR="00235CD2" w:rsidRPr="001D7027">
              <w:t>20</w:t>
            </w:r>
          </w:p>
        </w:tc>
        <w:tc>
          <w:tcPr>
            <w:tcW w:w="3127" w:type="dxa"/>
            <w:tcBorders>
              <w:bottom w:val="single" w:sz="4" w:space="0" w:color="auto"/>
            </w:tcBorders>
          </w:tcPr>
          <w:p w:rsidR="00EB4E9C" w:rsidRPr="00495A8C" w:rsidRDefault="00235CD2" w:rsidP="003C7FBE">
            <w:pPr>
              <w:pStyle w:val="Doccode"/>
              <w:rPr>
                <w:lang w:val="fr-FR"/>
              </w:rPr>
            </w:pPr>
            <w:r w:rsidRPr="00495A8C">
              <w:rPr>
                <w:lang w:val="fr-FR"/>
              </w:rPr>
              <w:t>C/54</w:t>
            </w:r>
            <w:r w:rsidR="00EB4E9C" w:rsidRPr="00495A8C">
              <w:rPr>
                <w:lang w:val="fr-FR"/>
              </w:rPr>
              <w:t>/</w:t>
            </w:r>
            <w:r w:rsidR="00916691" w:rsidRPr="00495A8C">
              <w:rPr>
                <w:lang w:val="fr-FR"/>
              </w:rPr>
              <w:t>4</w:t>
            </w:r>
          </w:p>
          <w:p w:rsidR="00EB4E9C" w:rsidRPr="00495A8C" w:rsidRDefault="00EB4E9C" w:rsidP="00DF3C0F">
            <w:pPr>
              <w:pStyle w:val="Docoriginal"/>
              <w:spacing w:line="240" w:lineRule="atLeast"/>
            </w:pPr>
            <w:r w:rsidRPr="00495A8C">
              <w:t>Original</w:t>
            </w:r>
            <w:r w:rsidR="00750F64" w:rsidRPr="00495A8C">
              <w:t> :</w:t>
            </w:r>
            <w:r w:rsidRPr="00495A8C">
              <w:rPr>
                <w:b w:val="0"/>
                <w:spacing w:val="0"/>
              </w:rPr>
              <w:t xml:space="preserve"> </w:t>
            </w:r>
            <w:r w:rsidR="00A706D3" w:rsidRPr="00495A8C">
              <w:rPr>
                <w:b w:val="0"/>
                <w:spacing w:val="0"/>
              </w:rPr>
              <w:t>anglais</w:t>
            </w:r>
          </w:p>
          <w:p w:rsidR="00EB4E9C" w:rsidRPr="00495A8C" w:rsidRDefault="00EB4E9C" w:rsidP="00DF3C0F">
            <w:pPr>
              <w:pStyle w:val="Docoriginal"/>
              <w:spacing w:line="240" w:lineRule="atLeast"/>
            </w:pPr>
            <w:r w:rsidRPr="00495A8C">
              <w:t>Date</w:t>
            </w:r>
            <w:r w:rsidR="00750F64" w:rsidRPr="00495A8C">
              <w:t> :</w:t>
            </w:r>
            <w:r w:rsidR="00916691" w:rsidRPr="00495A8C">
              <w:rPr>
                <w:b w:val="0"/>
                <w:spacing w:val="0"/>
              </w:rPr>
              <w:t xml:space="preserve"> </w:t>
            </w:r>
            <w:r w:rsidR="0044752D" w:rsidRPr="00495A8C">
              <w:rPr>
                <w:b w:val="0"/>
                <w:spacing w:val="0"/>
              </w:rPr>
              <w:t>7</w:t>
            </w:r>
            <w:r w:rsidR="005D40E4" w:rsidRPr="00495A8C">
              <w:rPr>
                <w:b w:val="0"/>
                <w:spacing w:val="0"/>
              </w:rPr>
              <w:t> août 20</w:t>
            </w:r>
            <w:r w:rsidR="00235CD2" w:rsidRPr="00495A8C">
              <w:rPr>
                <w:b w:val="0"/>
                <w:spacing w:val="0"/>
              </w:rPr>
              <w:t>20</w:t>
            </w:r>
          </w:p>
        </w:tc>
      </w:tr>
      <w:tr w:rsidR="00DF3C0F" w:rsidRPr="00DF3C0F" w:rsidTr="00DF3C0F">
        <w:tc>
          <w:tcPr>
            <w:tcW w:w="6512" w:type="dxa"/>
            <w:tcBorders>
              <w:top w:val="single" w:sz="4" w:space="0" w:color="auto"/>
              <w:bottom w:val="single" w:sz="4" w:space="0" w:color="auto"/>
            </w:tcBorders>
          </w:tcPr>
          <w:p w:rsidR="00DF3C0F" w:rsidRPr="00DF3C0F" w:rsidRDefault="00DF3C0F" w:rsidP="00DF3C0F">
            <w:pPr>
              <w:pStyle w:val="Sessiontc"/>
              <w:spacing w:line="240" w:lineRule="auto"/>
              <w:rPr>
                <w:i/>
              </w:rPr>
            </w:pPr>
            <w:bookmarkStart w:id="0" w:name="TitleOfDoc"/>
            <w:bookmarkEnd w:id="0"/>
            <w:r w:rsidRPr="00DF3C0F">
              <w:rPr>
                <w:i/>
              </w:rPr>
              <w:t>à examiner par correspondance</w:t>
            </w:r>
          </w:p>
        </w:tc>
        <w:tc>
          <w:tcPr>
            <w:tcW w:w="3127" w:type="dxa"/>
            <w:tcBorders>
              <w:top w:val="single" w:sz="4" w:space="0" w:color="auto"/>
              <w:bottom w:val="single" w:sz="4" w:space="0" w:color="auto"/>
            </w:tcBorders>
          </w:tcPr>
          <w:p w:rsidR="00DF3C0F" w:rsidRPr="00DF3C0F" w:rsidRDefault="00DF3C0F">
            <w:pPr>
              <w:pStyle w:val="Doccode"/>
              <w:rPr>
                <w:i/>
                <w:lang w:val="fr-FR"/>
              </w:rPr>
            </w:pPr>
          </w:p>
        </w:tc>
      </w:tr>
    </w:tbl>
    <w:p w:rsidR="00916691" w:rsidRPr="001D7027" w:rsidRDefault="00916691" w:rsidP="00916691">
      <w:pPr>
        <w:pStyle w:val="Titleofdoc0"/>
      </w:pPr>
      <w:r w:rsidRPr="001D7027">
        <w:t>RAPPORT DE GESTION FINANCIÈRE POUR L</w:t>
      </w:r>
      <w:r w:rsidR="00750F64" w:rsidRPr="001D7027">
        <w:t>’</w:t>
      </w:r>
      <w:r w:rsidRPr="001D7027">
        <w:t>EXERCICE BIENNAL 2018</w:t>
      </w:r>
      <w:r w:rsidR="00750F64" w:rsidRPr="001D7027">
        <w:t>-</w:t>
      </w:r>
      <w:r w:rsidRPr="001D7027">
        <w:t>2019</w:t>
      </w:r>
    </w:p>
    <w:p w:rsidR="00916691" w:rsidRPr="001D7027" w:rsidRDefault="00916691" w:rsidP="00916691">
      <w:pPr>
        <w:pStyle w:val="preparedby1"/>
        <w:jc w:val="left"/>
      </w:pPr>
      <w:bookmarkStart w:id="1" w:name="Prepared"/>
      <w:bookmarkEnd w:id="1"/>
      <w:r w:rsidRPr="001D7027">
        <w:t>Document établi par le Bureau de l</w:t>
      </w:r>
      <w:r w:rsidR="00750F64" w:rsidRPr="001D7027">
        <w:t>’</w:t>
      </w:r>
      <w:r w:rsidRPr="001D7027">
        <w:t>Union</w:t>
      </w:r>
    </w:p>
    <w:p w:rsidR="00916691" w:rsidRPr="001D7027" w:rsidRDefault="00916691" w:rsidP="00916691">
      <w:pPr>
        <w:pStyle w:val="Disclaimer"/>
      </w:pPr>
      <w:r w:rsidRPr="001D7027">
        <w:t>Avertissement</w:t>
      </w:r>
      <w:r w:rsidR="00750F64" w:rsidRPr="001D7027">
        <w:t> :</w:t>
      </w:r>
      <w:r w:rsidRPr="001D7027">
        <w:t xml:space="preserve"> le présent document ne représente pas les principes ou les orientations de l</w:t>
      </w:r>
      <w:r w:rsidR="00750F64" w:rsidRPr="001D7027">
        <w:t>’</w:t>
      </w:r>
      <w:r w:rsidRPr="001D7027">
        <w:t>UPOV</w:t>
      </w:r>
    </w:p>
    <w:p w:rsidR="00916691" w:rsidRPr="001D7027" w:rsidRDefault="00916691" w:rsidP="00916691">
      <w:pPr>
        <w:rPr>
          <w:rFonts w:cs="Arial"/>
          <w:snapToGrid w:val="0"/>
        </w:rPr>
      </w:pPr>
      <w:r w:rsidRPr="001D7027">
        <w:rPr>
          <w:rFonts w:cs="Arial"/>
          <w:caps/>
          <w:snapToGrid w:val="0"/>
        </w:rPr>
        <w:fldChar w:fldCharType="begin"/>
      </w:r>
      <w:r w:rsidRPr="001D7027">
        <w:rPr>
          <w:rFonts w:cs="Arial"/>
          <w:caps/>
          <w:snapToGrid w:val="0"/>
        </w:rPr>
        <w:instrText xml:space="preserve"> AUTONUM  </w:instrText>
      </w:r>
      <w:r w:rsidRPr="001D7027">
        <w:rPr>
          <w:rFonts w:cs="Arial"/>
          <w:caps/>
          <w:snapToGrid w:val="0"/>
        </w:rPr>
        <w:fldChar w:fldCharType="end"/>
      </w:r>
      <w:r w:rsidRPr="001D7027">
        <w:rPr>
          <w:rFonts w:cs="Arial"/>
          <w:caps/>
          <w:snapToGrid w:val="0"/>
        </w:rPr>
        <w:tab/>
      </w:r>
      <w:r w:rsidRPr="001D7027">
        <w:rPr>
          <w:rFonts w:cs="Arial"/>
          <w:snapToGrid w:val="0"/>
        </w:rPr>
        <w:t>L</w:t>
      </w:r>
      <w:r w:rsidR="00750F64" w:rsidRPr="001D7027">
        <w:rPr>
          <w:rFonts w:cs="Arial"/>
          <w:snapToGrid w:val="0"/>
        </w:rPr>
        <w:t>’</w:t>
      </w:r>
      <w:r w:rsidRPr="001D7027">
        <w:rPr>
          <w:rFonts w:cs="Arial"/>
          <w:snapToGrid w:val="0"/>
        </w:rPr>
        <w:t>annexe du présent document contient le Rapport de gestion financière de l</w:t>
      </w:r>
      <w:r w:rsidR="00750F64" w:rsidRPr="001D7027">
        <w:rPr>
          <w:rFonts w:cs="Arial"/>
          <w:snapToGrid w:val="0"/>
        </w:rPr>
        <w:t>’</w:t>
      </w:r>
      <w:r w:rsidRPr="001D7027">
        <w:rPr>
          <w:rFonts w:cs="Arial"/>
          <w:snapToGrid w:val="0"/>
        </w:rPr>
        <w:t>Union internationale pour la protection des obtentions végétales (UPOV) pour l</w:t>
      </w:r>
      <w:r w:rsidR="00750F64" w:rsidRPr="001D7027">
        <w:rPr>
          <w:rFonts w:cs="Arial"/>
          <w:snapToGrid w:val="0"/>
        </w:rPr>
        <w:t>’</w:t>
      </w:r>
      <w:r w:rsidRPr="001D7027">
        <w:rPr>
          <w:rFonts w:cs="Arial"/>
          <w:snapToGrid w:val="0"/>
        </w:rPr>
        <w:t xml:space="preserve">exercice </w:t>
      </w:r>
      <w:r w:rsidR="005D40E4" w:rsidRPr="001D7027">
        <w:rPr>
          <w:rFonts w:cs="Arial"/>
          <w:snapToGrid w:val="0"/>
        </w:rPr>
        <w:t>biennal 2018</w:t>
      </w:r>
      <w:r w:rsidR="00750F64" w:rsidRPr="001D7027">
        <w:rPr>
          <w:rFonts w:cs="Arial"/>
          <w:snapToGrid w:val="0"/>
        </w:rPr>
        <w:t>-</w:t>
      </w:r>
      <w:r w:rsidRPr="001D7027">
        <w:rPr>
          <w:rFonts w:cs="Arial"/>
          <w:snapToGrid w:val="0"/>
        </w:rPr>
        <w:t>2019, conformément aux articles 2.14 et 2.14</w:t>
      </w:r>
      <w:r w:rsidRPr="001D7027">
        <w:rPr>
          <w:rFonts w:cs="Arial"/>
          <w:i/>
          <w:iCs/>
          <w:snapToGrid w:val="0"/>
        </w:rPr>
        <w:t xml:space="preserve">bis </w:t>
      </w:r>
      <w:r w:rsidRPr="001D7027">
        <w:rPr>
          <w:rFonts w:cs="Arial"/>
          <w:snapToGrid w:val="0"/>
        </w:rPr>
        <w:t>du Règlement financier et du règlement d</w:t>
      </w:r>
      <w:r w:rsidR="00750F64" w:rsidRPr="001D7027">
        <w:rPr>
          <w:rFonts w:cs="Arial"/>
          <w:snapToGrid w:val="0"/>
        </w:rPr>
        <w:t>’</w:t>
      </w:r>
      <w:r w:rsidRPr="001D7027">
        <w:rPr>
          <w:rFonts w:cs="Arial"/>
          <w:snapToGrid w:val="0"/>
        </w:rPr>
        <w:t>exécution du Règlement financier de l</w:t>
      </w:r>
      <w:r w:rsidR="00750F64" w:rsidRPr="001D7027">
        <w:rPr>
          <w:rFonts w:cs="Arial"/>
          <w:snapToGrid w:val="0"/>
        </w:rPr>
        <w:t>’</w:t>
      </w:r>
      <w:r w:rsidRPr="001D7027">
        <w:rPr>
          <w:rFonts w:cs="Arial"/>
          <w:snapToGrid w:val="0"/>
        </w:rPr>
        <w:t xml:space="preserve">UPOV (voir le document UPOV/INF/4/5 </w:t>
      </w:r>
      <w:r w:rsidR="005D40E4" w:rsidRPr="001D7027">
        <w:rPr>
          <w:rFonts w:cs="Arial"/>
          <w:snapToGrid w:val="0"/>
        </w:rPr>
        <w:t>“R</w:t>
      </w:r>
      <w:r w:rsidRPr="001D7027">
        <w:rPr>
          <w:rFonts w:cs="Arial"/>
          <w:snapToGrid w:val="0"/>
        </w:rPr>
        <w:t>èglement financier et règlement d</w:t>
      </w:r>
      <w:r w:rsidR="00750F64" w:rsidRPr="001D7027">
        <w:rPr>
          <w:rFonts w:cs="Arial"/>
          <w:snapToGrid w:val="0"/>
        </w:rPr>
        <w:t>’</w:t>
      </w:r>
      <w:r w:rsidRPr="001D7027">
        <w:rPr>
          <w:rFonts w:cs="Arial"/>
          <w:snapToGrid w:val="0"/>
        </w:rPr>
        <w:t>exécution du Règlement financier de l</w:t>
      </w:r>
      <w:r w:rsidR="00750F64" w:rsidRPr="001D7027">
        <w:rPr>
          <w:rFonts w:cs="Arial"/>
          <w:snapToGrid w:val="0"/>
        </w:rPr>
        <w:t>’</w:t>
      </w:r>
      <w:r w:rsidRPr="001D7027">
        <w:rPr>
          <w:rFonts w:cs="Arial"/>
          <w:snapToGrid w:val="0"/>
        </w:rPr>
        <w:t>UPO</w:t>
      </w:r>
      <w:r w:rsidR="005D40E4" w:rsidRPr="001D7027">
        <w:rPr>
          <w:rFonts w:cs="Arial"/>
          <w:snapToGrid w:val="0"/>
        </w:rPr>
        <w:t>V”</w:t>
      </w:r>
      <w:r w:rsidRPr="001D7027">
        <w:rPr>
          <w:rFonts w:cs="Arial"/>
          <w:snapToGrid w:val="0"/>
        </w:rPr>
        <w:t>), pour approbation par le Conseil.</w:t>
      </w:r>
    </w:p>
    <w:p w:rsidR="00916691" w:rsidRPr="001D7027" w:rsidRDefault="00916691" w:rsidP="00916691">
      <w:pPr>
        <w:rPr>
          <w:rFonts w:cs="Arial"/>
          <w:snapToGrid w:val="0"/>
        </w:rPr>
      </w:pPr>
    </w:p>
    <w:p w:rsidR="005D40E4" w:rsidRPr="001D7027" w:rsidRDefault="00916691" w:rsidP="00916691">
      <w:pPr>
        <w:rPr>
          <w:rFonts w:cs="Arial"/>
          <w:snapToGrid w:val="0"/>
        </w:rPr>
      </w:pPr>
      <w:r w:rsidRPr="001D7027">
        <w:rPr>
          <w:rFonts w:cs="Arial"/>
          <w:snapToGrid w:val="0"/>
        </w:rPr>
        <w:fldChar w:fldCharType="begin"/>
      </w:r>
      <w:r w:rsidRPr="001D7027">
        <w:rPr>
          <w:rFonts w:cs="Arial"/>
          <w:snapToGrid w:val="0"/>
        </w:rPr>
        <w:instrText xml:space="preserve"> AUTONUM  </w:instrText>
      </w:r>
      <w:r w:rsidRPr="001D7027">
        <w:rPr>
          <w:rFonts w:cs="Arial"/>
          <w:snapToGrid w:val="0"/>
        </w:rPr>
        <w:fldChar w:fldCharType="end"/>
      </w:r>
      <w:r w:rsidRPr="001D7027">
        <w:rPr>
          <w:rFonts w:cs="Arial"/>
          <w:snapToGrid w:val="0"/>
        </w:rPr>
        <w:tab/>
        <w:t>Le Rapport de gestion financière ne fait pas l</w:t>
      </w:r>
      <w:r w:rsidR="00750F64" w:rsidRPr="001D7027">
        <w:rPr>
          <w:rFonts w:cs="Arial"/>
          <w:snapToGrid w:val="0"/>
        </w:rPr>
        <w:t>’</w:t>
      </w:r>
      <w:r w:rsidRPr="001D7027">
        <w:rPr>
          <w:rFonts w:cs="Arial"/>
          <w:snapToGrid w:val="0"/>
        </w:rPr>
        <w:t>objet d</w:t>
      </w:r>
      <w:r w:rsidR="00750F64" w:rsidRPr="001D7027">
        <w:rPr>
          <w:rFonts w:cs="Arial"/>
          <w:snapToGrid w:val="0"/>
        </w:rPr>
        <w:t>’</w:t>
      </w:r>
      <w:r w:rsidRPr="001D7027">
        <w:rPr>
          <w:rFonts w:cs="Arial"/>
          <w:snapToGrid w:val="0"/>
        </w:rPr>
        <w:t>un audit externe.</w:t>
      </w:r>
    </w:p>
    <w:p w:rsidR="00916691" w:rsidRPr="001D7027" w:rsidRDefault="00916691" w:rsidP="00916691">
      <w:pPr>
        <w:rPr>
          <w:rFonts w:cs="Arial"/>
          <w:snapToGrid w:val="0"/>
        </w:rPr>
      </w:pPr>
    </w:p>
    <w:p w:rsidR="005D40E4" w:rsidRPr="001D7027" w:rsidRDefault="00916691" w:rsidP="00916691">
      <w:pPr>
        <w:rPr>
          <w:rFonts w:cs="Arial"/>
          <w:snapToGrid w:val="0"/>
        </w:rPr>
      </w:pPr>
      <w:r w:rsidRPr="001D7027">
        <w:rPr>
          <w:rFonts w:cs="Arial"/>
          <w:snapToGrid w:val="0"/>
        </w:rPr>
        <w:fldChar w:fldCharType="begin"/>
      </w:r>
      <w:r w:rsidRPr="001D7027">
        <w:rPr>
          <w:rFonts w:cs="Arial"/>
          <w:snapToGrid w:val="0"/>
        </w:rPr>
        <w:instrText xml:space="preserve"> AUTONUM  </w:instrText>
      </w:r>
      <w:r w:rsidRPr="001D7027">
        <w:rPr>
          <w:rFonts w:cs="Arial"/>
          <w:snapToGrid w:val="0"/>
        </w:rPr>
        <w:fldChar w:fldCharType="end"/>
      </w:r>
      <w:r w:rsidRPr="001D7027">
        <w:rPr>
          <w:rFonts w:cs="Arial"/>
          <w:snapToGrid w:val="0"/>
        </w:rPr>
        <w:tab/>
        <w:t>L</w:t>
      </w:r>
      <w:r w:rsidR="00750F64" w:rsidRPr="001D7027">
        <w:rPr>
          <w:rFonts w:cs="Arial"/>
          <w:snapToGrid w:val="0"/>
        </w:rPr>
        <w:t>’</w:t>
      </w:r>
      <w:r w:rsidRPr="001D7027">
        <w:rPr>
          <w:rFonts w:cs="Arial"/>
          <w:snapToGrid w:val="0"/>
        </w:rPr>
        <w:t>article 2.14</w:t>
      </w:r>
      <w:r w:rsidRPr="001D7027">
        <w:rPr>
          <w:rFonts w:cs="Arial"/>
          <w:i/>
          <w:iCs/>
          <w:snapToGrid w:val="0"/>
        </w:rPr>
        <w:t>bis</w:t>
      </w:r>
      <w:r w:rsidRPr="001D7027">
        <w:rPr>
          <w:rFonts w:cs="Arial"/>
          <w:snapToGrid w:val="0"/>
        </w:rPr>
        <w:t xml:space="preserve"> du Règlement financier et règlement d</w:t>
      </w:r>
      <w:r w:rsidR="00750F64" w:rsidRPr="001D7027">
        <w:rPr>
          <w:rFonts w:cs="Arial"/>
          <w:snapToGrid w:val="0"/>
        </w:rPr>
        <w:t>’</w:t>
      </w:r>
      <w:r w:rsidRPr="001D7027">
        <w:rPr>
          <w:rFonts w:cs="Arial"/>
          <w:snapToGrid w:val="0"/>
        </w:rPr>
        <w:t>exécution du Règlement financier prévoit ce qui suit</w:t>
      </w:r>
      <w:r w:rsidR="00750F64" w:rsidRPr="001D7027">
        <w:rPr>
          <w:rFonts w:cs="Arial"/>
          <w:snapToGrid w:val="0"/>
        </w:rPr>
        <w:t> :</w:t>
      </w:r>
    </w:p>
    <w:p w:rsidR="00916691" w:rsidRPr="001D7027" w:rsidRDefault="00916691" w:rsidP="00916691">
      <w:pPr>
        <w:rPr>
          <w:rFonts w:cs="Arial"/>
          <w:snapToGrid w:val="0"/>
        </w:rPr>
      </w:pPr>
    </w:p>
    <w:p w:rsidR="00916691" w:rsidRPr="001D7027" w:rsidRDefault="00916691" w:rsidP="00916691">
      <w:pPr>
        <w:pStyle w:val="Inf4Heading4"/>
        <w:spacing w:before="80"/>
        <w:ind w:left="567" w:right="567"/>
        <w:rPr>
          <w:sz w:val="18"/>
          <w:lang w:val="fr-FR"/>
        </w:rPr>
      </w:pPr>
      <w:bookmarkStart w:id="2" w:name="_Toc532830743"/>
      <w:r w:rsidRPr="001D7027">
        <w:rPr>
          <w:sz w:val="18"/>
          <w:lang w:val="fr-FR"/>
        </w:rPr>
        <w:t>Article 2.14</w:t>
      </w:r>
      <w:r w:rsidRPr="001D7027">
        <w:rPr>
          <w:i/>
          <w:sz w:val="18"/>
          <w:lang w:val="fr-FR"/>
        </w:rPr>
        <w:t>bis</w:t>
      </w:r>
      <w:bookmarkEnd w:id="2"/>
    </w:p>
    <w:p w:rsidR="00916691" w:rsidRPr="001D7027" w:rsidRDefault="00916691" w:rsidP="00916691">
      <w:pPr>
        <w:pStyle w:val="Inf4Normal"/>
        <w:spacing w:before="80"/>
        <w:ind w:left="567" w:right="567"/>
        <w:rPr>
          <w:sz w:val="18"/>
          <w:szCs w:val="24"/>
          <w:lang w:val="fr-FR"/>
        </w:rPr>
      </w:pPr>
      <w:r w:rsidRPr="001D7027">
        <w:rPr>
          <w:sz w:val="18"/>
          <w:szCs w:val="24"/>
          <w:lang w:val="fr-FR"/>
        </w:rPr>
        <w:t>[…]</w:t>
      </w:r>
    </w:p>
    <w:p w:rsidR="00916691" w:rsidRPr="001D7027" w:rsidRDefault="005D40E4" w:rsidP="00916691">
      <w:pPr>
        <w:pStyle w:val="Inf4Heading6"/>
        <w:spacing w:before="80"/>
        <w:ind w:left="1134" w:right="567"/>
        <w:rPr>
          <w:sz w:val="18"/>
          <w:lang w:val="fr-FR"/>
        </w:rPr>
      </w:pPr>
      <w:bookmarkStart w:id="3" w:name="_Toc532830744"/>
      <w:r w:rsidRPr="001D7027">
        <w:rPr>
          <w:sz w:val="18"/>
          <w:lang w:val="fr-FR"/>
        </w:rPr>
        <w:t>Règle 1</w:t>
      </w:r>
      <w:r w:rsidR="00916691" w:rsidRPr="001D7027">
        <w:rPr>
          <w:sz w:val="18"/>
          <w:lang w:val="fr-FR"/>
        </w:rPr>
        <w:t>02.7</w:t>
      </w:r>
      <w:bookmarkEnd w:id="3"/>
    </w:p>
    <w:p w:rsidR="00916691" w:rsidRPr="001D7027" w:rsidRDefault="00916691" w:rsidP="00916691">
      <w:pPr>
        <w:pStyle w:val="Inf4Normal"/>
        <w:spacing w:before="80"/>
        <w:ind w:left="1134" w:right="567"/>
        <w:rPr>
          <w:sz w:val="18"/>
          <w:szCs w:val="24"/>
          <w:lang w:val="fr-FR"/>
        </w:rPr>
      </w:pPr>
      <w:r w:rsidRPr="001D7027">
        <w:rPr>
          <w:sz w:val="18"/>
          <w:szCs w:val="24"/>
          <w:lang w:val="fr-FR"/>
        </w:rPr>
        <w:t>a)</w:t>
      </w:r>
      <w:r w:rsidRPr="001D7027">
        <w:rPr>
          <w:sz w:val="18"/>
          <w:szCs w:val="24"/>
          <w:lang w:val="fr-FR"/>
        </w:rPr>
        <w:tab/>
        <w:t>Le contrôleur de l</w:t>
      </w:r>
      <w:r w:rsidR="00750F64" w:rsidRPr="001D7027">
        <w:rPr>
          <w:sz w:val="18"/>
          <w:szCs w:val="24"/>
          <w:lang w:val="fr-FR"/>
        </w:rPr>
        <w:t>’</w:t>
      </w:r>
      <w:r w:rsidRPr="001D7027">
        <w:rPr>
          <w:sz w:val="18"/>
          <w:szCs w:val="24"/>
          <w:lang w:val="fr-FR"/>
        </w:rPr>
        <w:t>OMPI établit le rapport sur l</w:t>
      </w:r>
      <w:r w:rsidR="00750F64" w:rsidRPr="001D7027">
        <w:rPr>
          <w:sz w:val="18"/>
          <w:szCs w:val="24"/>
          <w:lang w:val="fr-FR"/>
        </w:rPr>
        <w:t>’</w:t>
      </w:r>
      <w:r w:rsidRPr="001D7027">
        <w:rPr>
          <w:sz w:val="18"/>
          <w:szCs w:val="24"/>
          <w:lang w:val="fr-FR"/>
        </w:rPr>
        <w:t>exécution du programme et la gestion financière […]</w:t>
      </w:r>
    </w:p>
    <w:p w:rsidR="00916691" w:rsidRPr="001D7027" w:rsidRDefault="00916691" w:rsidP="00916691">
      <w:pPr>
        <w:pStyle w:val="Inf4Normal"/>
        <w:spacing w:before="80"/>
        <w:ind w:left="1134" w:right="567"/>
        <w:rPr>
          <w:sz w:val="18"/>
          <w:szCs w:val="24"/>
          <w:lang w:val="fr-FR"/>
        </w:rPr>
      </w:pPr>
      <w:r w:rsidRPr="001D7027">
        <w:rPr>
          <w:sz w:val="18"/>
          <w:szCs w:val="24"/>
          <w:lang w:val="fr-FR"/>
        </w:rPr>
        <w:t>b)</w:t>
      </w:r>
      <w:r w:rsidRPr="001D7027">
        <w:rPr>
          <w:sz w:val="18"/>
          <w:szCs w:val="24"/>
          <w:lang w:val="fr-FR"/>
        </w:rPr>
        <w:tab/>
        <w:t>Dans les huit</w:t>
      </w:r>
      <w:r w:rsidR="006038F1" w:rsidRPr="001D7027">
        <w:rPr>
          <w:sz w:val="18"/>
          <w:szCs w:val="24"/>
          <w:lang w:val="fr-FR"/>
        </w:rPr>
        <w:t> </w:t>
      </w:r>
      <w:r w:rsidRPr="001D7027">
        <w:rPr>
          <w:sz w:val="18"/>
          <w:szCs w:val="24"/>
          <w:lang w:val="fr-FR"/>
        </w:rPr>
        <w:t>mois suivant la fin de chaque exercice financier, le Secrétaire général présente au Conseil le rapport sur l</w:t>
      </w:r>
      <w:r w:rsidR="00750F64" w:rsidRPr="001D7027">
        <w:rPr>
          <w:sz w:val="18"/>
          <w:szCs w:val="24"/>
          <w:lang w:val="fr-FR"/>
        </w:rPr>
        <w:t>’</w:t>
      </w:r>
      <w:r w:rsidRPr="001D7027">
        <w:rPr>
          <w:sz w:val="18"/>
          <w:szCs w:val="24"/>
          <w:lang w:val="fr-FR"/>
        </w:rPr>
        <w:t>exécution du programme et la gestion financière élaboré conformément aux articles 2.14 et 2.14</w:t>
      </w:r>
      <w:r w:rsidRPr="001D7027">
        <w:rPr>
          <w:i/>
          <w:sz w:val="18"/>
          <w:szCs w:val="24"/>
          <w:lang w:val="fr-FR"/>
        </w:rPr>
        <w:t>bis</w:t>
      </w:r>
      <w:r w:rsidRPr="001D7027">
        <w:rPr>
          <w:sz w:val="18"/>
          <w:szCs w:val="24"/>
          <w:lang w:val="fr-FR"/>
        </w:rPr>
        <w:t xml:space="preserve"> du Règlement.</w:t>
      </w:r>
    </w:p>
    <w:p w:rsidR="00916691" w:rsidRPr="001D7027" w:rsidRDefault="00916691" w:rsidP="00916691">
      <w:pPr>
        <w:rPr>
          <w:rFonts w:cs="Arial"/>
          <w:snapToGrid w:val="0"/>
        </w:rPr>
      </w:pPr>
    </w:p>
    <w:p w:rsidR="00916691" w:rsidRPr="001D7027" w:rsidRDefault="00916691" w:rsidP="00916691">
      <w:pPr>
        <w:tabs>
          <w:tab w:val="left" w:pos="5387"/>
          <w:tab w:val="left" w:pos="5954"/>
        </w:tabs>
        <w:ind w:left="4820"/>
        <w:rPr>
          <w:rFonts w:cs="Arial"/>
          <w:i/>
        </w:rPr>
      </w:pPr>
      <w:r w:rsidRPr="001D7027">
        <w:rPr>
          <w:rFonts w:cs="Arial"/>
          <w:i/>
        </w:rPr>
        <w:fldChar w:fldCharType="begin"/>
      </w:r>
      <w:r w:rsidRPr="001D7027">
        <w:rPr>
          <w:rFonts w:cs="Arial"/>
          <w:i/>
        </w:rPr>
        <w:instrText xml:space="preserve"> AUTONUM  </w:instrText>
      </w:r>
      <w:r w:rsidRPr="001D7027">
        <w:rPr>
          <w:rFonts w:cs="Arial"/>
          <w:i/>
        </w:rPr>
        <w:fldChar w:fldCharType="end"/>
      </w:r>
      <w:r w:rsidRPr="001D7027">
        <w:rPr>
          <w:rFonts w:cs="Arial"/>
          <w:i/>
        </w:rPr>
        <w:tab/>
        <w:t>Le Conseil est invité à approuver le Rapport de gestion financière pour l</w:t>
      </w:r>
      <w:r w:rsidR="00750F64" w:rsidRPr="001D7027">
        <w:rPr>
          <w:rFonts w:cs="Arial"/>
          <w:i/>
        </w:rPr>
        <w:t>’</w:t>
      </w:r>
      <w:r w:rsidRPr="001D7027">
        <w:rPr>
          <w:rFonts w:cs="Arial"/>
          <w:i/>
        </w:rPr>
        <w:t xml:space="preserve">exercice </w:t>
      </w:r>
      <w:r w:rsidR="005D40E4" w:rsidRPr="001D7027">
        <w:rPr>
          <w:rFonts w:cs="Arial"/>
          <w:i/>
        </w:rPr>
        <w:t>biennal 2018</w:t>
      </w:r>
      <w:r w:rsidR="00750F64" w:rsidRPr="001D7027">
        <w:rPr>
          <w:rFonts w:cs="Arial"/>
          <w:i/>
        </w:rPr>
        <w:t>-</w:t>
      </w:r>
      <w:r w:rsidRPr="001D7027">
        <w:rPr>
          <w:rFonts w:cs="Arial"/>
          <w:i/>
        </w:rPr>
        <w:t>2019.</w:t>
      </w:r>
    </w:p>
    <w:p w:rsidR="00916691" w:rsidRPr="001D7027" w:rsidRDefault="00916691" w:rsidP="00916691"/>
    <w:p w:rsidR="00916691" w:rsidRPr="001D7027" w:rsidRDefault="00916691" w:rsidP="00916691"/>
    <w:p w:rsidR="00916691" w:rsidRPr="001D7027" w:rsidRDefault="00916691" w:rsidP="00916691"/>
    <w:p w:rsidR="00916691" w:rsidRDefault="00916691" w:rsidP="00916691">
      <w:pPr>
        <w:spacing w:before="120"/>
        <w:jc w:val="right"/>
        <w:rPr>
          <w:rFonts w:cs="Arial"/>
        </w:rPr>
      </w:pPr>
      <w:r w:rsidRPr="001D7027">
        <w:rPr>
          <w:rFonts w:cs="Arial"/>
        </w:rPr>
        <w:t>[L</w:t>
      </w:r>
      <w:r w:rsidR="00750F64" w:rsidRPr="001D7027">
        <w:rPr>
          <w:rFonts w:cs="Arial"/>
        </w:rPr>
        <w:t>’</w:t>
      </w:r>
      <w:r w:rsidRPr="001D7027">
        <w:rPr>
          <w:rFonts w:cs="Arial"/>
        </w:rPr>
        <w:t>annexe suit]</w:t>
      </w:r>
    </w:p>
    <w:p w:rsidR="0044752D" w:rsidRDefault="0044752D" w:rsidP="00916691">
      <w:pPr>
        <w:spacing w:before="120"/>
        <w:jc w:val="right"/>
        <w:rPr>
          <w:rFonts w:cs="Arial"/>
        </w:rPr>
      </w:pPr>
    </w:p>
    <w:p w:rsidR="0044752D" w:rsidRPr="001D7027" w:rsidRDefault="0044752D" w:rsidP="0044752D">
      <w:pPr>
        <w:spacing w:before="120"/>
        <w:rPr>
          <w:rFonts w:cs="Arial"/>
        </w:rPr>
      </w:pPr>
    </w:p>
    <w:p w:rsidR="00916691" w:rsidRPr="001D7027" w:rsidRDefault="00916691" w:rsidP="00916691">
      <w:pPr>
        <w:jc w:val="right"/>
        <w:rPr>
          <w:rFonts w:cs="Arial"/>
        </w:rPr>
        <w:sectPr w:rsidR="00916691" w:rsidRPr="001D7027" w:rsidSect="00916691">
          <w:headerReference w:type="even" r:id="rId9"/>
          <w:headerReference w:type="default" r:id="rId10"/>
          <w:footerReference w:type="first" r:id="rId11"/>
          <w:pgSz w:w="11907" w:h="16840" w:code="9"/>
          <w:pgMar w:top="510" w:right="1134" w:bottom="709" w:left="1134" w:header="510" w:footer="680" w:gutter="0"/>
          <w:cols w:space="720"/>
          <w:titlePg/>
          <w:docGrid w:linePitch="272"/>
        </w:sectPr>
      </w:pPr>
    </w:p>
    <w:p w:rsidR="00916691" w:rsidRPr="001D7027" w:rsidRDefault="00916691" w:rsidP="00916691">
      <w:pPr>
        <w:rPr>
          <w:rFonts w:cs="Arial"/>
        </w:rPr>
      </w:pPr>
    </w:p>
    <w:p w:rsidR="00916691" w:rsidRPr="001D7027" w:rsidRDefault="00916691" w:rsidP="00916691">
      <w:pPr>
        <w:rPr>
          <w:rFonts w:cs="Arial"/>
        </w:rPr>
      </w:pPr>
    </w:p>
    <w:p w:rsidR="00916691" w:rsidRPr="001D7027" w:rsidRDefault="00916691" w:rsidP="00916691">
      <w:pPr>
        <w:jc w:val="center"/>
        <w:rPr>
          <w:b/>
        </w:rPr>
      </w:pPr>
      <w:r w:rsidRPr="001D7027">
        <w:rPr>
          <w:b/>
          <w:snapToGrid w:val="0"/>
        </w:rPr>
        <w:t>UNION INTERNATIONALE POUR LA PROTECTION DES OBTENTIONS VÉGÉTALES</w:t>
      </w:r>
    </w:p>
    <w:p w:rsidR="00916691" w:rsidRPr="001D7027" w:rsidRDefault="00916691" w:rsidP="00495A8C">
      <w:pPr>
        <w:ind w:right="567"/>
        <w:jc w:val="center"/>
        <w:rPr>
          <w:rFonts w:cs="Arial"/>
        </w:rPr>
      </w:pPr>
    </w:p>
    <w:p w:rsidR="00916691" w:rsidRPr="001D7027" w:rsidRDefault="00916691" w:rsidP="00916691">
      <w:pPr>
        <w:jc w:val="center"/>
        <w:rPr>
          <w:rFonts w:cs="Arial"/>
        </w:rPr>
      </w:pPr>
      <w:r w:rsidRPr="001D7027">
        <w:t>Rapport sur la gestion financière pour l</w:t>
      </w:r>
      <w:r w:rsidR="00750F64" w:rsidRPr="001D7027">
        <w:t>’</w:t>
      </w:r>
      <w:r w:rsidRPr="001D7027">
        <w:t xml:space="preserve">exercice </w:t>
      </w:r>
      <w:r w:rsidR="005D40E4" w:rsidRPr="001D7027">
        <w:t>biennal </w:t>
      </w:r>
      <w:r w:rsidR="005D40E4" w:rsidRPr="001D7027">
        <w:rPr>
          <w:rFonts w:cs="Arial"/>
        </w:rPr>
        <w:t>2018</w:t>
      </w:r>
      <w:r w:rsidR="00750F64" w:rsidRPr="001D7027">
        <w:rPr>
          <w:rFonts w:cs="Arial"/>
        </w:rPr>
        <w:t>-</w:t>
      </w:r>
      <w:r w:rsidRPr="001D7027">
        <w:rPr>
          <w:rFonts w:cs="Arial"/>
        </w:rPr>
        <w:t>2019</w:t>
      </w:r>
    </w:p>
    <w:p w:rsidR="00916691" w:rsidRPr="001D7027" w:rsidRDefault="00916691" w:rsidP="00916691">
      <w:pPr>
        <w:jc w:val="center"/>
        <w:rPr>
          <w:rFonts w:cs="Arial"/>
        </w:rPr>
      </w:pPr>
    </w:p>
    <w:p w:rsidR="00916691" w:rsidRPr="001D7027" w:rsidRDefault="00916691" w:rsidP="00916691">
      <w:pPr>
        <w:jc w:val="center"/>
        <w:rPr>
          <w:rFonts w:cs="Arial"/>
        </w:rPr>
      </w:pPr>
    </w:p>
    <w:p w:rsidR="00916691" w:rsidRPr="001D7027" w:rsidRDefault="00916691" w:rsidP="00916691">
      <w:pPr>
        <w:tabs>
          <w:tab w:val="right" w:pos="9639"/>
        </w:tabs>
        <w:rPr>
          <w:rFonts w:cs="Arial"/>
          <w:b/>
        </w:rPr>
      </w:pPr>
    </w:p>
    <w:p w:rsidR="00916691" w:rsidRPr="001D7027" w:rsidRDefault="00916691" w:rsidP="00916691">
      <w:pPr>
        <w:tabs>
          <w:tab w:val="right" w:pos="9639"/>
        </w:tabs>
        <w:rPr>
          <w:rFonts w:cs="Arial"/>
          <w:b/>
        </w:rPr>
      </w:pPr>
    </w:p>
    <w:p w:rsidR="00916691" w:rsidRPr="00DF3C0F" w:rsidRDefault="00916691" w:rsidP="00916691">
      <w:pPr>
        <w:tabs>
          <w:tab w:val="right" w:pos="9639"/>
        </w:tabs>
        <w:rPr>
          <w:rFonts w:cs="Arial"/>
          <w:sz w:val="18"/>
        </w:rPr>
      </w:pPr>
      <w:r w:rsidRPr="00DF3C0F">
        <w:rPr>
          <w:rFonts w:cs="Arial"/>
          <w:b/>
          <w:sz w:val="18"/>
        </w:rPr>
        <w:t>TABLE DES MATIÈRES</w:t>
      </w:r>
      <w:r w:rsidRPr="00DF3C0F">
        <w:rPr>
          <w:rFonts w:cs="Arial"/>
          <w:b/>
          <w:sz w:val="18"/>
        </w:rPr>
        <w:tab/>
      </w:r>
      <w:r w:rsidR="00532185" w:rsidRPr="00DF3C0F">
        <w:rPr>
          <w:rFonts w:cs="Arial"/>
          <w:b/>
          <w:sz w:val="18"/>
        </w:rPr>
        <w:t>PAGE</w:t>
      </w:r>
    </w:p>
    <w:p w:rsidR="00916691" w:rsidRPr="001D7027" w:rsidRDefault="00916691" w:rsidP="00916691">
      <w:pPr>
        <w:rPr>
          <w:rFonts w:cs="Arial"/>
        </w:rPr>
      </w:pPr>
    </w:p>
    <w:p w:rsidR="00E70E07" w:rsidRPr="0021129C" w:rsidRDefault="00E70E07" w:rsidP="00495A8C">
      <w:pPr>
        <w:pStyle w:val="TOC1"/>
        <w:rPr>
          <w:rFonts w:eastAsiaTheme="minorEastAsia"/>
          <w:sz w:val="18"/>
          <w:szCs w:val="18"/>
          <w:lang w:val="fr-FR"/>
        </w:rPr>
      </w:pPr>
      <w:r w:rsidRPr="00495A8C">
        <w:rPr>
          <w:sz w:val="18"/>
          <w:szCs w:val="18"/>
        </w:rPr>
        <w:fldChar w:fldCharType="begin"/>
      </w:r>
      <w:r w:rsidRPr="0021129C">
        <w:rPr>
          <w:sz w:val="18"/>
          <w:szCs w:val="18"/>
          <w:lang w:val="fr-FR"/>
        </w:rPr>
        <w:instrText xml:space="preserve"> TOC \o "1-3" \u </w:instrText>
      </w:r>
      <w:r w:rsidRPr="00495A8C">
        <w:rPr>
          <w:sz w:val="18"/>
          <w:szCs w:val="18"/>
        </w:rPr>
        <w:fldChar w:fldCharType="separate"/>
      </w:r>
      <w:r w:rsidRPr="0021129C">
        <w:rPr>
          <w:sz w:val="18"/>
          <w:szCs w:val="18"/>
          <w:lang w:val="fr-FR"/>
        </w:rPr>
        <w:t>Résumé et analyse du résultat budgétaire</w:t>
      </w:r>
      <w:r w:rsidRPr="0021129C">
        <w:rPr>
          <w:sz w:val="18"/>
          <w:szCs w:val="18"/>
          <w:lang w:val="fr-FR"/>
        </w:rPr>
        <w:tab/>
      </w:r>
      <w:r w:rsidRPr="00495A8C">
        <w:rPr>
          <w:sz w:val="18"/>
          <w:szCs w:val="18"/>
        </w:rPr>
        <w:fldChar w:fldCharType="begin"/>
      </w:r>
      <w:r w:rsidRPr="0021129C">
        <w:rPr>
          <w:sz w:val="18"/>
          <w:szCs w:val="18"/>
          <w:lang w:val="fr-FR"/>
        </w:rPr>
        <w:instrText xml:space="preserve"> PAGEREF _Toc48657991 \h </w:instrText>
      </w:r>
      <w:r w:rsidRPr="00495A8C">
        <w:rPr>
          <w:sz w:val="18"/>
          <w:szCs w:val="18"/>
        </w:rPr>
      </w:r>
      <w:r w:rsidRPr="00495A8C">
        <w:rPr>
          <w:sz w:val="18"/>
          <w:szCs w:val="18"/>
        </w:rPr>
        <w:fldChar w:fldCharType="separate"/>
      </w:r>
      <w:r w:rsidRPr="0021129C">
        <w:rPr>
          <w:sz w:val="18"/>
          <w:szCs w:val="18"/>
          <w:lang w:val="fr-FR"/>
        </w:rPr>
        <w:t>2</w:t>
      </w:r>
      <w:r w:rsidRPr="00495A8C">
        <w:rPr>
          <w:sz w:val="18"/>
          <w:szCs w:val="18"/>
        </w:rPr>
        <w:fldChar w:fldCharType="end"/>
      </w:r>
    </w:p>
    <w:p w:rsidR="00E70E07" w:rsidRPr="00495A8C" w:rsidRDefault="00E70E07" w:rsidP="00495A8C">
      <w:pPr>
        <w:pStyle w:val="TOC2"/>
        <w:rPr>
          <w:rFonts w:asciiTheme="minorHAnsi" w:eastAsiaTheme="minorEastAsia" w:hAnsiTheme="minorHAnsi" w:cstheme="minorBidi"/>
        </w:rPr>
      </w:pPr>
      <w:r w:rsidRPr="00495A8C">
        <w:t>Tableau 1. Recettes, dépenses et fonds de réserve et de roulement (FRR)  pour l’exercice biennal 2018-2019</w:t>
      </w:r>
      <w:r w:rsidRPr="00495A8C">
        <w:tab/>
      </w:r>
      <w:r w:rsidRPr="00495A8C">
        <w:fldChar w:fldCharType="begin"/>
      </w:r>
      <w:r w:rsidRPr="00495A8C">
        <w:instrText xml:space="preserve"> PAGEREF _Toc48657992 \h </w:instrText>
      </w:r>
      <w:r w:rsidRPr="00495A8C">
        <w:fldChar w:fldCharType="separate"/>
      </w:r>
      <w:r w:rsidRPr="00495A8C">
        <w:t>2</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2. Recettes prévues et effectives par source pour l’exercice biennal 2018-2019</w:t>
      </w:r>
      <w:r w:rsidRPr="00495A8C">
        <w:tab/>
      </w:r>
      <w:r w:rsidRPr="00495A8C">
        <w:fldChar w:fldCharType="begin"/>
      </w:r>
      <w:r w:rsidRPr="00495A8C">
        <w:instrText xml:space="preserve"> PAGEREF _Toc48657993 \h </w:instrText>
      </w:r>
      <w:r w:rsidRPr="00495A8C">
        <w:fldChar w:fldCharType="separate"/>
      </w:r>
      <w:r w:rsidRPr="00495A8C">
        <w:t>3</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3. Budget approuvé et dépenses par objet de dépense pour l’exercice biennal 2018-2019</w:t>
      </w:r>
      <w:r w:rsidRPr="00495A8C">
        <w:tab/>
      </w:r>
      <w:r w:rsidRPr="00495A8C">
        <w:fldChar w:fldCharType="begin"/>
      </w:r>
      <w:r w:rsidRPr="00495A8C">
        <w:instrText xml:space="preserve"> PAGEREF _Toc48657994 \h </w:instrText>
      </w:r>
      <w:r w:rsidRPr="00495A8C">
        <w:fldChar w:fldCharType="separate"/>
      </w:r>
      <w:r w:rsidRPr="00495A8C">
        <w:t>4</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4. Budget approuvé et dépenses par sous-programme pour l’exercice biennal 2018-2019</w:t>
      </w:r>
      <w:r w:rsidRPr="00495A8C">
        <w:tab/>
      </w:r>
      <w:r w:rsidRPr="00495A8C">
        <w:fldChar w:fldCharType="begin"/>
      </w:r>
      <w:r w:rsidRPr="00495A8C">
        <w:instrText xml:space="preserve"> PAGEREF _Toc48657995 \h </w:instrText>
      </w:r>
      <w:r w:rsidRPr="00495A8C">
        <w:fldChar w:fldCharType="separate"/>
      </w:r>
      <w:r w:rsidRPr="00495A8C">
        <w:t>5</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5. Détails des dépenses par sous-programme pour l’exercice biennal 2018-2019</w:t>
      </w:r>
      <w:r w:rsidRPr="00495A8C">
        <w:tab/>
      </w:r>
      <w:r w:rsidRPr="00495A8C">
        <w:fldChar w:fldCharType="begin"/>
      </w:r>
      <w:r w:rsidRPr="00495A8C">
        <w:instrText xml:space="preserve"> PAGEREF _Toc48657996 \h </w:instrText>
      </w:r>
      <w:r w:rsidRPr="00495A8C">
        <w:fldChar w:fldCharType="separate"/>
      </w:r>
      <w:r w:rsidRPr="00495A8C">
        <w:t>7</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6. Postes inscrits au budget et postes effectifs pour l’exercice biennal 2018-2019</w:t>
      </w:r>
      <w:r w:rsidRPr="00495A8C">
        <w:tab/>
      </w:r>
      <w:r w:rsidRPr="00495A8C">
        <w:fldChar w:fldCharType="begin"/>
      </w:r>
      <w:r w:rsidRPr="00495A8C">
        <w:instrText xml:space="preserve"> PAGEREF _Toc48657997 \h </w:instrText>
      </w:r>
      <w:r w:rsidRPr="00495A8C">
        <w:fldChar w:fldCharType="separate"/>
      </w:r>
      <w:r w:rsidRPr="00495A8C">
        <w:t>8</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Tableau 7. Évolution des recettes et des dépenses effectives de 2008 à 2019</w:t>
      </w:r>
      <w:r w:rsidRPr="00495A8C">
        <w:tab/>
      </w:r>
      <w:r w:rsidRPr="00495A8C">
        <w:fldChar w:fldCharType="begin"/>
      </w:r>
      <w:r w:rsidRPr="00495A8C">
        <w:instrText xml:space="preserve"> PAGEREF _Toc48657998 \h </w:instrText>
      </w:r>
      <w:r w:rsidRPr="00495A8C">
        <w:fldChar w:fldCharType="separate"/>
      </w:r>
      <w:r w:rsidRPr="00495A8C">
        <w:t>8</w:t>
      </w:r>
      <w:r w:rsidRPr="00495A8C">
        <w:fldChar w:fldCharType="end"/>
      </w:r>
    </w:p>
    <w:p w:rsidR="00E70E07" w:rsidRPr="0021129C" w:rsidRDefault="00E70E07" w:rsidP="00495A8C">
      <w:pPr>
        <w:pStyle w:val="TOC1"/>
        <w:rPr>
          <w:rFonts w:asciiTheme="minorHAnsi" w:eastAsiaTheme="minorEastAsia" w:hAnsiTheme="minorHAnsi" w:cstheme="minorBidi"/>
          <w:sz w:val="18"/>
          <w:szCs w:val="18"/>
          <w:lang w:val="fr-FR"/>
        </w:rPr>
      </w:pPr>
      <w:r w:rsidRPr="0021129C">
        <w:rPr>
          <w:sz w:val="18"/>
          <w:szCs w:val="18"/>
          <w:lang w:val="fr-FR"/>
        </w:rPr>
        <w:t>ÉTATS FINANCIERS</w:t>
      </w:r>
      <w:r w:rsidRPr="0021129C">
        <w:rPr>
          <w:sz w:val="18"/>
          <w:szCs w:val="18"/>
          <w:lang w:val="fr-FR"/>
        </w:rPr>
        <w:tab/>
      </w:r>
      <w:r w:rsidRPr="00495A8C">
        <w:rPr>
          <w:sz w:val="18"/>
          <w:szCs w:val="18"/>
        </w:rPr>
        <w:fldChar w:fldCharType="begin"/>
      </w:r>
      <w:r w:rsidRPr="0021129C">
        <w:rPr>
          <w:sz w:val="18"/>
          <w:szCs w:val="18"/>
          <w:lang w:val="fr-FR"/>
        </w:rPr>
        <w:instrText xml:space="preserve"> PAGEREF _Toc48657999 \h </w:instrText>
      </w:r>
      <w:r w:rsidRPr="00495A8C">
        <w:rPr>
          <w:sz w:val="18"/>
          <w:szCs w:val="18"/>
        </w:rPr>
      </w:r>
      <w:r w:rsidRPr="00495A8C">
        <w:rPr>
          <w:sz w:val="18"/>
          <w:szCs w:val="18"/>
        </w:rPr>
        <w:fldChar w:fldCharType="separate"/>
      </w:r>
      <w:r w:rsidRPr="0021129C">
        <w:rPr>
          <w:sz w:val="18"/>
          <w:szCs w:val="18"/>
          <w:lang w:val="fr-FR"/>
        </w:rPr>
        <w:t>9</w:t>
      </w:r>
      <w:r w:rsidRPr="00495A8C">
        <w:rPr>
          <w:sz w:val="18"/>
          <w:szCs w:val="18"/>
        </w:rPr>
        <w:fldChar w:fldCharType="end"/>
      </w:r>
    </w:p>
    <w:p w:rsidR="00E70E07" w:rsidRPr="00495A8C" w:rsidRDefault="00E70E07" w:rsidP="00495A8C">
      <w:pPr>
        <w:pStyle w:val="TOC2"/>
        <w:rPr>
          <w:rFonts w:asciiTheme="minorHAnsi" w:eastAsiaTheme="minorEastAsia" w:hAnsiTheme="minorHAnsi" w:cstheme="minorBidi"/>
        </w:rPr>
      </w:pPr>
      <w:r w:rsidRPr="00495A8C">
        <w:t>État I  État de la situation financière</w:t>
      </w:r>
      <w:r w:rsidRPr="00495A8C">
        <w:tab/>
      </w:r>
      <w:r w:rsidRPr="00495A8C">
        <w:fldChar w:fldCharType="begin"/>
      </w:r>
      <w:r w:rsidRPr="00495A8C">
        <w:instrText xml:space="preserve"> PAGEREF _Toc48658000 \h </w:instrText>
      </w:r>
      <w:r w:rsidRPr="00495A8C">
        <w:fldChar w:fldCharType="separate"/>
      </w:r>
      <w:r w:rsidRPr="00495A8C">
        <w:t>10</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État II  État de la performance financière</w:t>
      </w:r>
      <w:r w:rsidRPr="00495A8C">
        <w:tab/>
      </w:r>
      <w:r w:rsidRPr="00495A8C">
        <w:fldChar w:fldCharType="begin"/>
      </w:r>
      <w:r w:rsidRPr="00495A8C">
        <w:instrText xml:space="preserve"> PAGEREF _Toc48658001 \h </w:instrText>
      </w:r>
      <w:r w:rsidRPr="00495A8C">
        <w:fldChar w:fldCharType="separate"/>
      </w:r>
      <w:r w:rsidRPr="00495A8C">
        <w:t>11</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État III  État des variations des actifs nets</w:t>
      </w:r>
      <w:r w:rsidRPr="00495A8C">
        <w:tab/>
      </w:r>
      <w:r w:rsidRPr="00495A8C">
        <w:fldChar w:fldCharType="begin"/>
      </w:r>
      <w:r w:rsidRPr="00495A8C">
        <w:instrText xml:space="preserve"> PAGEREF _Toc48658002 \h </w:instrText>
      </w:r>
      <w:r w:rsidRPr="00495A8C">
        <w:fldChar w:fldCharType="separate"/>
      </w:r>
      <w:r w:rsidRPr="00495A8C">
        <w:t>12</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État IV  État des flux de trésorerie</w:t>
      </w:r>
      <w:r w:rsidRPr="00495A8C">
        <w:tab/>
      </w:r>
      <w:r w:rsidRPr="00495A8C">
        <w:fldChar w:fldCharType="begin"/>
      </w:r>
      <w:r w:rsidRPr="00495A8C">
        <w:instrText xml:space="preserve"> PAGEREF _Toc48658003 \h </w:instrText>
      </w:r>
      <w:r w:rsidRPr="00495A8C">
        <w:fldChar w:fldCharType="separate"/>
      </w:r>
      <w:r w:rsidRPr="00495A8C">
        <w:t>13</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État V  État de comparaison des montants budgétaires et des montants réels</w:t>
      </w:r>
      <w:r w:rsidRPr="00495A8C">
        <w:tab/>
      </w:r>
      <w:r w:rsidRPr="00495A8C">
        <w:fldChar w:fldCharType="begin"/>
      </w:r>
      <w:r w:rsidRPr="00495A8C">
        <w:instrText xml:space="preserve"> PAGEREF _Toc48658004 \h </w:instrText>
      </w:r>
      <w:r w:rsidRPr="00495A8C">
        <w:fldChar w:fldCharType="separate"/>
      </w:r>
      <w:r w:rsidRPr="00495A8C">
        <w:t>14</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Analyse de l’état de la situation financière</w:t>
      </w:r>
      <w:r w:rsidRPr="00495A8C">
        <w:tab/>
      </w:r>
      <w:r w:rsidRPr="00495A8C">
        <w:fldChar w:fldCharType="begin"/>
      </w:r>
      <w:r w:rsidRPr="00495A8C">
        <w:instrText xml:space="preserve"> PAGEREF _Toc48658005 \h </w:instrText>
      </w:r>
      <w:r w:rsidRPr="00495A8C">
        <w:fldChar w:fldCharType="separate"/>
      </w:r>
      <w:r w:rsidRPr="00495A8C">
        <w:t>15</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Analyse de l’état de la performance financière</w:t>
      </w:r>
      <w:r w:rsidRPr="00495A8C">
        <w:tab/>
      </w:r>
      <w:r w:rsidRPr="00495A8C">
        <w:fldChar w:fldCharType="begin"/>
      </w:r>
      <w:r w:rsidRPr="00495A8C">
        <w:instrText xml:space="preserve"> PAGEREF _Toc48658006 \h </w:instrText>
      </w:r>
      <w:r w:rsidRPr="00495A8C">
        <w:fldChar w:fldCharType="separate"/>
      </w:r>
      <w:r w:rsidRPr="00495A8C">
        <w:t>18</w:t>
      </w:r>
      <w:r w:rsidRPr="00495A8C">
        <w:fldChar w:fldCharType="end"/>
      </w:r>
    </w:p>
    <w:p w:rsidR="00E70E07" w:rsidRPr="0021129C" w:rsidRDefault="00E70E07" w:rsidP="00495A8C">
      <w:pPr>
        <w:pStyle w:val="TOC1"/>
        <w:rPr>
          <w:rFonts w:asciiTheme="minorHAnsi" w:eastAsiaTheme="minorEastAsia" w:hAnsiTheme="minorHAnsi" w:cstheme="minorBidi"/>
          <w:sz w:val="18"/>
          <w:szCs w:val="18"/>
          <w:lang w:val="fr-FR"/>
        </w:rPr>
      </w:pPr>
      <w:r w:rsidRPr="0021129C">
        <w:rPr>
          <w:sz w:val="18"/>
          <w:szCs w:val="18"/>
          <w:lang w:val="fr-FR"/>
        </w:rPr>
        <w:t>Fonds de roulement et CONTRIBUTIONS</w:t>
      </w:r>
      <w:r w:rsidRPr="0021129C">
        <w:rPr>
          <w:sz w:val="18"/>
          <w:szCs w:val="18"/>
          <w:lang w:val="fr-FR"/>
        </w:rPr>
        <w:tab/>
      </w:r>
      <w:r w:rsidRPr="00495A8C">
        <w:rPr>
          <w:sz w:val="18"/>
          <w:szCs w:val="18"/>
        </w:rPr>
        <w:fldChar w:fldCharType="begin"/>
      </w:r>
      <w:r w:rsidRPr="0021129C">
        <w:rPr>
          <w:sz w:val="18"/>
          <w:szCs w:val="18"/>
          <w:lang w:val="fr-FR"/>
        </w:rPr>
        <w:instrText xml:space="preserve"> PAGEREF _Toc48658007 \h </w:instrText>
      </w:r>
      <w:r w:rsidRPr="00495A8C">
        <w:rPr>
          <w:sz w:val="18"/>
          <w:szCs w:val="18"/>
        </w:rPr>
      </w:r>
      <w:r w:rsidRPr="00495A8C">
        <w:rPr>
          <w:sz w:val="18"/>
          <w:szCs w:val="18"/>
        </w:rPr>
        <w:fldChar w:fldCharType="separate"/>
      </w:r>
      <w:r w:rsidRPr="0021129C">
        <w:rPr>
          <w:sz w:val="18"/>
          <w:szCs w:val="18"/>
          <w:lang w:val="fr-FR"/>
        </w:rPr>
        <w:t>20</w:t>
      </w:r>
      <w:r w:rsidRPr="00495A8C">
        <w:rPr>
          <w:sz w:val="18"/>
          <w:szCs w:val="18"/>
        </w:rPr>
        <w:fldChar w:fldCharType="end"/>
      </w:r>
    </w:p>
    <w:p w:rsidR="00E70E07" w:rsidRPr="00495A8C" w:rsidRDefault="00E70E07" w:rsidP="00495A8C">
      <w:pPr>
        <w:pStyle w:val="TOC2"/>
        <w:rPr>
          <w:rFonts w:asciiTheme="minorHAnsi" w:eastAsiaTheme="minorEastAsia" w:hAnsiTheme="minorHAnsi" w:cstheme="minorBidi"/>
        </w:rPr>
      </w:pPr>
      <w:r w:rsidRPr="00495A8C">
        <w:t>Fonds de roulement au 31 décembre 2019</w:t>
      </w:r>
      <w:r w:rsidRPr="00495A8C">
        <w:tab/>
      </w:r>
      <w:r w:rsidRPr="00495A8C">
        <w:fldChar w:fldCharType="begin"/>
      </w:r>
      <w:r w:rsidRPr="00495A8C">
        <w:instrText xml:space="preserve"> PAGEREF _Toc48658008 \h </w:instrText>
      </w:r>
      <w:r w:rsidRPr="00495A8C">
        <w:fldChar w:fldCharType="separate"/>
      </w:r>
      <w:r w:rsidRPr="00495A8C">
        <w:t>20</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Contributions des membres de l’Union</w:t>
      </w:r>
      <w:r w:rsidRPr="00495A8C">
        <w:tab/>
      </w:r>
      <w:r w:rsidRPr="00495A8C">
        <w:fldChar w:fldCharType="begin"/>
      </w:r>
      <w:r w:rsidRPr="00495A8C">
        <w:instrText xml:space="preserve"> PAGEREF _Toc48658009 \h </w:instrText>
      </w:r>
      <w:r w:rsidRPr="00495A8C">
        <w:fldChar w:fldCharType="separate"/>
      </w:r>
      <w:r w:rsidRPr="00495A8C">
        <w:t>21</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Paiements des contributions reçus d’avance</w:t>
      </w:r>
      <w:r w:rsidRPr="00495A8C">
        <w:tab/>
      </w:r>
      <w:r w:rsidRPr="00495A8C">
        <w:fldChar w:fldCharType="begin"/>
      </w:r>
      <w:r w:rsidRPr="00495A8C">
        <w:instrText xml:space="preserve"> PAGEREF _Toc48658010 \h </w:instrText>
      </w:r>
      <w:r w:rsidRPr="00495A8C">
        <w:fldChar w:fldCharType="separate"/>
      </w:r>
      <w:r w:rsidRPr="00495A8C">
        <w:t>23</w:t>
      </w:r>
      <w:r w:rsidRPr="00495A8C">
        <w:fldChar w:fldCharType="end"/>
      </w:r>
    </w:p>
    <w:p w:rsidR="00E70E07" w:rsidRPr="00495A8C" w:rsidRDefault="00E70E07" w:rsidP="00495A8C">
      <w:pPr>
        <w:pStyle w:val="TOC2"/>
        <w:rPr>
          <w:rFonts w:asciiTheme="minorHAnsi" w:eastAsiaTheme="minorEastAsia" w:hAnsiTheme="minorHAnsi" w:cstheme="minorBidi"/>
        </w:rPr>
      </w:pPr>
      <w:r w:rsidRPr="00495A8C">
        <w:t>Montants non payés au titre des contributions et du fonds de roulement au 31 décembre 2019</w:t>
      </w:r>
      <w:r w:rsidRPr="00495A8C">
        <w:tab/>
      </w:r>
      <w:r w:rsidRPr="00495A8C">
        <w:fldChar w:fldCharType="begin"/>
      </w:r>
      <w:r w:rsidRPr="00495A8C">
        <w:instrText xml:space="preserve"> PAGEREF _Toc48658011 \h </w:instrText>
      </w:r>
      <w:r w:rsidRPr="00495A8C">
        <w:fldChar w:fldCharType="separate"/>
      </w:r>
      <w:r w:rsidRPr="00495A8C">
        <w:t>24</w:t>
      </w:r>
      <w:r w:rsidRPr="00495A8C">
        <w:fldChar w:fldCharType="end"/>
      </w:r>
    </w:p>
    <w:p w:rsidR="00E70E07" w:rsidRPr="0021129C" w:rsidRDefault="00E70E07" w:rsidP="00495A8C">
      <w:pPr>
        <w:pStyle w:val="TOC1"/>
        <w:rPr>
          <w:rFonts w:asciiTheme="minorHAnsi" w:eastAsiaTheme="minorEastAsia" w:hAnsiTheme="minorHAnsi" w:cstheme="minorBidi"/>
          <w:sz w:val="18"/>
          <w:szCs w:val="18"/>
          <w:lang w:val="fr-FR"/>
        </w:rPr>
      </w:pPr>
      <w:r w:rsidRPr="0021129C">
        <w:rPr>
          <w:sz w:val="18"/>
          <w:szCs w:val="18"/>
          <w:lang w:val="fr-FR"/>
        </w:rPr>
        <w:t>RESSOURCES EXTRABUDGÉTAIRES (FONDS FIDUCIAIRES)</w:t>
      </w:r>
      <w:r w:rsidRPr="0021129C">
        <w:rPr>
          <w:sz w:val="18"/>
          <w:szCs w:val="18"/>
          <w:lang w:val="fr-FR"/>
        </w:rPr>
        <w:tab/>
      </w:r>
      <w:r w:rsidRPr="00495A8C">
        <w:rPr>
          <w:sz w:val="18"/>
          <w:szCs w:val="18"/>
        </w:rPr>
        <w:fldChar w:fldCharType="begin"/>
      </w:r>
      <w:r w:rsidRPr="0021129C">
        <w:rPr>
          <w:sz w:val="18"/>
          <w:szCs w:val="18"/>
          <w:lang w:val="fr-FR"/>
        </w:rPr>
        <w:instrText xml:space="preserve"> PAGEREF _Toc48658012 \h </w:instrText>
      </w:r>
      <w:r w:rsidRPr="00495A8C">
        <w:rPr>
          <w:sz w:val="18"/>
          <w:szCs w:val="18"/>
        </w:rPr>
      </w:r>
      <w:r w:rsidRPr="00495A8C">
        <w:rPr>
          <w:sz w:val="18"/>
          <w:szCs w:val="18"/>
        </w:rPr>
        <w:fldChar w:fldCharType="separate"/>
      </w:r>
      <w:r w:rsidRPr="0021129C">
        <w:rPr>
          <w:sz w:val="18"/>
          <w:szCs w:val="18"/>
          <w:lang w:val="fr-FR"/>
        </w:rPr>
        <w:t>26</w:t>
      </w:r>
      <w:r w:rsidRPr="00495A8C">
        <w:rPr>
          <w:sz w:val="18"/>
          <w:szCs w:val="18"/>
        </w:rPr>
        <w:fldChar w:fldCharType="end"/>
      </w:r>
    </w:p>
    <w:p w:rsidR="00916691" w:rsidRPr="00495A8C" w:rsidRDefault="00E70E07" w:rsidP="00916691">
      <w:pPr>
        <w:jc w:val="left"/>
        <w:rPr>
          <w:sz w:val="18"/>
          <w:szCs w:val="18"/>
        </w:rPr>
      </w:pPr>
      <w:r w:rsidRPr="00495A8C">
        <w:rPr>
          <w:b/>
          <w:caps/>
          <w:sz w:val="18"/>
          <w:szCs w:val="18"/>
          <w:lang w:val="en-US"/>
        </w:rPr>
        <w:fldChar w:fldCharType="end"/>
      </w:r>
    </w:p>
    <w:p w:rsidR="00916691" w:rsidRPr="001D7027" w:rsidRDefault="00916691" w:rsidP="00916691">
      <w:pPr>
        <w:jc w:val="left"/>
      </w:pPr>
    </w:p>
    <w:p w:rsidR="00916691" w:rsidRPr="001D7027" w:rsidRDefault="00916691" w:rsidP="00916691">
      <w:pPr>
        <w:jc w:val="left"/>
      </w:pPr>
    </w:p>
    <w:p w:rsidR="00916691" w:rsidRPr="001D7027" w:rsidRDefault="00916691" w:rsidP="00916691">
      <w:pPr>
        <w:jc w:val="left"/>
      </w:pPr>
    </w:p>
    <w:p w:rsidR="0044752D" w:rsidRDefault="0044752D">
      <w:pPr>
        <w:jc w:val="left"/>
        <w:rPr>
          <w:b/>
          <w:caps/>
        </w:rPr>
      </w:pPr>
      <w:bookmarkStart w:id="4" w:name="_Toc395251214"/>
      <w:bookmarkStart w:id="5" w:name="_Toc523302762"/>
      <w:bookmarkStart w:id="6" w:name="_Toc48657991"/>
      <w:r>
        <w:br w:type="page"/>
      </w:r>
    </w:p>
    <w:p w:rsidR="00916691" w:rsidRPr="001D7027" w:rsidRDefault="00916691" w:rsidP="002F33B4">
      <w:pPr>
        <w:pStyle w:val="Heading1"/>
        <w:rPr>
          <w:rFonts w:cs="Arial"/>
        </w:rPr>
      </w:pPr>
      <w:r w:rsidRPr="001D7027">
        <w:lastRenderedPageBreak/>
        <w:t xml:space="preserve">Résumé et analyse </w:t>
      </w:r>
      <w:bookmarkEnd w:id="4"/>
      <w:r w:rsidRPr="001D7027">
        <w:t>du résultat budgétaire</w:t>
      </w:r>
      <w:bookmarkEnd w:id="5"/>
      <w:bookmarkEnd w:id="6"/>
    </w:p>
    <w:p w:rsidR="00916691" w:rsidRPr="001D7027" w:rsidRDefault="00916691" w:rsidP="00916691">
      <w:pPr>
        <w:rPr>
          <w:rFonts w:cs="Arial"/>
        </w:rPr>
      </w:pPr>
    </w:p>
    <w:p w:rsidR="005D40E4" w:rsidRPr="00495A8C" w:rsidRDefault="00916691" w:rsidP="00916691">
      <w:pPr>
        <w:rPr>
          <w:rFonts w:cs="Arial"/>
          <w:spacing w:val="-2"/>
        </w:rPr>
      </w:pPr>
      <w:r w:rsidRPr="00495A8C">
        <w:rPr>
          <w:rFonts w:eastAsiaTheme="minorHAnsi" w:cs="Arial"/>
          <w:spacing w:val="-2"/>
        </w:rPr>
        <w:t>Le tableau 1 ci</w:t>
      </w:r>
      <w:r w:rsidR="00750F64" w:rsidRPr="00495A8C">
        <w:rPr>
          <w:rFonts w:eastAsiaTheme="minorHAnsi" w:cs="Arial"/>
          <w:spacing w:val="-2"/>
        </w:rPr>
        <w:t>-</w:t>
      </w:r>
      <w:r w:rsidRPr="00495A8C">
        <w:rPr>
          <w:rFonts w:eastAsiaTheme="minorHAnsi" w:cs="Arial"/>
          <w:spacing w:val="-2"/>
        </w:rPr>
        <w:t>dessous présente le résultat budgétaire global réalisé par l</w:t>
      </w:r>
      <w:r w:rsidR="00750F64" w:rsidRPr="00495A8C">
        <w:rPr>
          <w:rFonts w:eastAsiaTheme="minorHAnsi" w:cs="Arial"/>
          <w:spacing w:val="-2"/>
        </w:rPr>
        <w:t>’</w:t>
      </w:r>
      <w:r w:rsidRPr="00495A8C">
        <w:rPr>
          <w:rFonts w:eastAsiaTheme="minorHAnsi" w:cs="Arial"/>
          <w:spacing w:val="-2"/>
        </w:rPr>
        <w:t>UPOV pour l</w:t>
      </w:r>
      <w:r w:rsidR="00750F64" w:rsidRPr="00495A8C">
        <w:rPr>
          <w:rFonts w:eastAsiaTheme="minorHAnsi" w:cs="Arial"/>
          <w:spacing w:val="-2"/>
        </w:rPr>
        <w:t>’</w:t>
      </w:r>
      <w:r w:rsidRPr="00495A8C">
        <w:rPr>
          <w:rFonts w:eastAsiaTheme="minorHAnsi" w:cs="Arial"/>
          <w:spacing w:val="-2"/>
        </w:rPr>
        <w:t xml:space="preserve">exercice </w:t>
      </w:r>
      <w:r w:rsidR="00495A8C">
        <w:rPr>
          <w:rFonts w:eastAsiaTheme="minorHAnsi" w:cs="Arial"/>
          <w:spacing w:val="-2"/>
        </w:rPr>
        <w:t xml:space="preserve">biennal </w:t>
      </w:r>
      <w:r w:rsidR="005D40E4" w:rsidRPr="00495A8C">
        <w:rPr>
          <w:rFonts w:eastAsiaTheme="minorHAnsi" w:cs="Arial"/>
          <w:spacing w:val="-2"/>
        </w:rPr>
        <w:t>2018</w:t>
      </w:r>
      <w:r w:rsidR="00495A8C">
        <w:rPr>
          <w:rFonts w:eastAsiaTheme="minorHAnsi" w:cs="Arial"/>
          <w:spacing w:val="-2"/>
        </w:rPr>
        <w:noBreakHyphen/>
      </w:r>
      <w:r w:rsidRPr="00495A8C">
        <w:rPr>
          <w:rFonts w:eastAsiaTheme="minorHAnsi" w:cs="Arial"/>
          <w:spacing w:val="-2"/>
        </w:rPr>
        <w:t xml:space="preserve">2019 ainsi que les fonds de réserve et de roulement à la fin </w:t>
      </w:r>
      <w:r w:rsidR="005D40E4" w:rsidRPr="00495A8C">
        <w:rPr>
          <w:rFonts w:eastAsiaTheme="minorHAnsi" w:cs="Arial"/>
          <w:spacing w:val="-2"/>
        </w:rPr>
        <w:t>de 2019</w:t>
      </w:r>
      <w:r w:rsidRPr="00495A8C">
        <w:rPr>
          <w:rFonts w:eastAsiaTheme="minorHAnsi" w:cs="Arial"/>
          <w:spacing w:val="-2"/>
        </w:rPr>
        <w:t xml:space="preserve">.  Au total, les recettes (avant les ajustements IPSAS) se sont élevées à </w:t>
      </w:r>
      <w:r w:rsidRPr="00495A8C">
        <w:rPr>
          <w:rFonts w:cs="Arial"/>
          <w:spacing w:val="-2"/>
        </w:rPr>
        <w:t>6 930 932</w:t>
      </w:r>
      <w:r w:rsidR="00495A8C">
        <w:rPr>
          <w:rFonts w:cs="Arial"/>
          <w:spacing w:val="-2"/>
        </w:rPr>
        <w:t> francs suisses</w:t>
      </w:r>
      <w:r w:rsidRPr="00495A8C">
        <w:rPr>
          <w:rFonts w:cs="Arial"/>
          <w:spacing w:val="-2"/>
        </w:rPr>
        <w:t xml:space="preserve"> et les dépenses budgétaires à 6 854</w:t>
      </w:r>
      <w:r w:rsidRPr="00495A8C">
        <w:rPr>
          <w:spacing w:val="-2"/>
        </w:rPr>
        <w:t> </w:t>
      </w:r>
      <w:r w:rsidR="00495A8C">
        <w:rPr>
          <w:rFonts w:cs="Arial"/>
          <w:spacing w:val="-2"/>
        </w:rPr>
        <w:t>494 francs suisses</w:t>
      </w:r>
      <w:r w:rsidRPr="00495A8C">
        <w:rPr>
          <w:rFonts w:cs="Arial"/>
          <w:spacing w:val="-2"/>
        </w:rPr>
        <w:t>, soit un excédent budgétaire de 76 438</w:t>
      </w:r>
      <w:r w:rsidR="00495A8C">
        <w:rPr>
          <w:rFonts w:cs="Arial"/>
          <w:spacing w:val="-2"/>
        </w:rPr>
        <w:t> francs suisses</w:t>
      </w:r>
      <w:r w:rsidRPr="00495A8C">
        <w:rPr>
          <w:rFonts w:cs="Arial"/>
          <w:spacing w:val="-2"/>
        </w:rPr>
        <w:t xml:space="preserve"> pour l</w:t>
      </w:r>
      <w:r w:rsidR="00750F64" w:rsidRPr="00495A8C">
        <w:rPr>
          <w:rFonts w:cs="Arial"/>
          <w:spacing w:val="-2"/>
        </w:rPr>
        <w:t>’</w:t>
      </w:r>
      <w:r w:rsidRPr="00495A8C">
        <w:rPr>
          <w:rFonts w:cs="Arial"/>
          <w:spacing w:val="-2"/>
        </w:rPr>
        <w:t xml:space="preserve">exercice </w:t>
      </w:r>
      <w:r w:rsidR="005D40E4" w:rsidRPr="00495A8C">
        <w:rPr>
          <w:rFonts w:cs="Arial"/>
          <w:spacing w:val="-2"/>
        </w:rPr>
        <w:t>biennal 2018</w:t>
      </w:r>
      <w:r w:rsidR="00495A8C" w:rsidRPr="00495A8C">
        <w:rPr>
          <w:rFonts w:cs="Arial"/>
          <w:spacing w:val="-2"/>
        </w:rPr>
        <w:noBreakHyphen/>
      </w:r>
      <w:r w:rsidRPr="00495A8C">
        <w:rPr>
          <w:rFonts w:cs="Arial"/>
          <w:spacing w:val="-2"/>
        </w:rPr>
        <w:t>2019.</w:t>
      </w:r>
    </w:p>
    <w:p w:rsidR="00916691" w:rsidRPr="001D7027" w:rsidRDefault="00916691" w:rsidP="00916691">
      <w:pPr>
        <w:rPr>
          <w:rFonts w:eastAsiaTheme="minorHAnsi" w:cs="Arial"/>
        </w:rPr>
      </w:pPr>
    </w:p>
    <w:p w:rsidR="005D40E4" w:rsidRPr="001D7027" w:rsidRDefault="00916691" w:rsidP="00BA4515">
      <w:pPr>
        <w:rPr>
          <w:rFonts w:eastAsiaTheme="minorHAnsi"/>
        </w:rPr>
      </w:pPr>
      <w:r w:rsidRPr="001D7027">
        <w:rPr>
          <w:rFonts w:eastAsiaTheme="minorHAnsi"/>
        </w:rPr>
        <w:t>Fin 2019, le total des fonds de réserve et de roulement s</w:t>
      </w:r>
      <w:r w:rsidR="00750F64" w:rsidRPr="001D7027">
        <w:rPr>
          <w:rFonts w:eastAsiaTheme="minorHAnsi"/>
        </w:rPr>
        <w:t>’</w:t>
      </w:r>
      <w:r w:rsidRPr="001D7027">
        <w:rPr>
          <w:rFonts w:eastAsiaTheme="minorHAnsi"/>
        </w:rPr>
        <w:t xml:space="preserve">est élevé à </w:t>
      </w:r>
      <w:r w:rsidRPr="001D7027">
        <w:t>896 605</w:t>
      </w:r>
      <w:r w:rsidR="00495A8C">
        <w:t> francs suisses</w:t>
      </w:r>
      <w:r w:rsidR="00BA4515" w:rsidRPr="001D7027">
        <w:t>, soit 809 578</w:t>
      </w:r>
      <w:r w:rsidR="00495A8C">
        <w:t> francs suisses</w:t>
      </w:r>
      <w:r w:rsidR="00BA4515" w:rsidRPr="001D7027">
        <w:t xml:space="preserve"> </w:t>
      </w:r>
      <w:r w:rsidR="00693498" w:rsidRPr="001D7027">
        <w:t xml:space="preserve">inscrits </w:t>
      </w:r>
      <w:r w:rsidR="00BA4515" w:rsidRPr="001D7027">
        <w:t xml:space="preserve">au </w:t>
      </w:r>
      <w:r w:rsidRPr="001D7027">
        <w:t>fonds de réserve, 560 845</w:t>
      </w:r>
      <w:r w:rsidR="00495A8C">
        <w:t> francs suisses</w:t>
      </w:r>
      <w:r w:rsidRPr="001D7027">
        <w:t xml:space="preserve"> </w:t>
      </w:r>
      <w:r w:rsidR="00BA4515" w:rsidRPr="001D7027">
        <w:t xml:space="preserve">au </w:t>
      </w:r>
      <w:r w:rsidRPr="001D7027">
        <w:t>fonds de roulement et des pertes actuarielles dans les actifs nets de 473 818</w:t>
      </w:r>
      <w:r w:rsidR="00495A8C">
        <w:t> francs suisses</w:t>
      </w:r>
      <w:r w:rsidRPr="001D7027">
        <w:rPr>
          <w:rFonts w:eastAsiaTheme="minorHAnsi"/>
        </w:rPr>
        <w:t>.</w:t>
      </w:r>
    </w:p>
    <w:p w:rsidR="00916691" w:rsidRPr="001D7027" w:rsidRDefault="00916691" w:rsidP="00916691">
      <w:pPr>
        <w:rPr>
          <w:rFonts w:eastAsiaTheme="minorHAnsi" w:cs="Arial"/>
          <w:highlight w:val="yellow"/>
        </w:rPr>
      </w:pPr>
    </w:p>
    <w:p w:rsidR="00916691" w:rsidRPr="001D7027" w:rsidRDefault="00916691" w:rsidP="00ED0026">
      <w:pPr>
        <w:pStyle w:val="Heading2"/>
        <w:rPr>
          <w:lang w:val="fr-FR"/>
        </w:rPr>
      </w:pPr>
      <w:bookmarkStart w:id="7" w:name="_Toc460229912"/>
      <w:bookmarkStart w:id="8" w:name="_Toc522808843"/>
      <w:bookmarkStart w:id="9" w:name="_Toc48657992"/>
      <w:r w:rsidRPr="001D7027">
        <w:rPr>
          <w:lang w:val="fr-FR"/>
        </w:rPr>
        <w:t>Tableau</w:t>
      </w:r>
      <w:r w:rsidR="00CA2E8B" w:rsidRPr="001D7027">
        <w:rPr>
          <w:lang w:val="fr-FR"/>
        </w:rPr>
        <w:t> </w:t>
      </w:r>
      <w:r w:rsidRPr="001D7027">
        <w:rPr>
          <w:lang w:val="fr-FR"/>
        </w:rPr>
        <w:t>1. Recettes, dépenses et fonds de réserve et de roulement (FRR)</w:t>
      </w:r>
      <w:r w:rsidR="009B2060" w:rsidRPr="001D7027">
        <w:rPr>
          <w:lang w:val="fr-FR"/>
        </w:rPr>
        <w:t xml:space="preserve"> </w:t>
      </w:r>
      <w:r w:rsidR="009B2060" w:rsidRPr="001D7027">
        <w:rPr>
          <w:lang w:val="fr-FR"/>
        </w:rPr>
        <w:br/>
      </w:r>
      <w:r w:rsidRPr="001D7027">
        <w:rPr>
          <w:lang w:val="fr-FR"/>
        </w:rPr>
        <w:t>pour l</w:t>
      </w:r>
      <w:r w:rsidR="00750F64" w:rsidRPr="001D7027">
        <w:rPr>
          <w:lang w:val="fr-FR"/>
        </w:rPr>
        <w:t>’</w:t>
      </w:r>
      <w:r w:rsidRPr="001D7027">
        <w:rPr>
          <w:lang w:val="fr-FR"/>
        </w:rPr>
        <w:t xml:space="preserve">exercice </w:t>
      </w:r>
      <w:r w:rsidR="005D40E4" w:rsidRPr="001D7027">
        <w:rPr>
          <w:lang w:val="fr-FR"/>
        </w:rPr>
        <w:t>biennal 2018</w:t>
      </w:r>
      <w:r w:rsidR="00750F64" w:rsidRPr="001D7027">
        <w:rPr>
          <w:lang w:val="fr-FR"/>
        </w:rPr>
        <w:t>-</w:t>
      </w:r>
      <w:r w:rsidRPr="001D7027">
        <w:rPr>
          <w:lang w:val="fr-FR"/>
        </w:rPr>
        <w:t>2019</w:t>
      </w:r>
      <w:bookmarkEnd w:id="7"/>
      <w:bookmarkEnd w:id="8"/>
      <w:bookmarkEnd w:id="9"/>
    </w:p>
    <w:p w:rsidR="00916691" w:rsidRPr="001D7027" w:rsidRDefault="00916691" w:rsidP="00916691">
      <w:pPr>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916691" w:rsidRPr="001D7027" w:rsidRDefault="004079ED" w:rsidP="00916691">
      <w:pPr>
        <w:spacing w:after="200" w:line="276" w:lineRule="auto"/>
        <w:jc w:val="center"/>
        <w:rPr>
          <w:rFonts w:eastAsiaTheme="minorHAnsi" w:cs="Arial"/>
          <w:i/>
        </w:rPr>
      </w:pPr>
      <w:r w:rsidRPr="004079ED">
        <w:rPr>
          <w:rFonts w:eastAsiaTheme="minorHAnsi"/>
          <w:noProof/>
          <w:lang w:val="en-US"/>
        </w:rPr>
        <w:drawing>
          <wp:inline distT="0" distB="0" distL="0" distR="0">
            <wp:extent cx="56388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2743200"/>
                    </a:xfrm>
                    <a:prstGeom prst="rect">
                      <a:avLst/>
                    </a:prstGeom>
                    <a:noFill/>
                    <a:ln>
                      <a:noFill/>
                    </a:ln>
                  </pic:spPr>
                </pic:pic>
              </a:graphicData>
            </a:graphic>
          </wp:inline>
        </w:drawing>
      </w:r>
    </w:p>
    <w:p w:rsidR="00916691" w:rsidRPr="001D7027" w:rsidRDefault="00916691" w:rsidP="00916691">
      <w:pPr>
        <w:spacing w:line="276" w:lineRule="auto"/>
        <w:jc w:val="center"/>
        <w:rPr>
          <w:rFonts w:eastAsiaTheme="minorHAnsi" w:cs="Arial"/>
          <w:i/>
          <w:sz w:val="22"/>
          <w:szCs w:val="22"/>
          <w:highlight w:val="yellow"/>
        </w:rPr>
      </w:pPr>
    </w:p>
    <w:p w:rsidR="00916691" w:rsidRPr="001D7027" w:rsidRDefault="007C017C" w:rsidP="00916691">
      <w:pPr>
        <w:spacing w:line="276" w:lineRule="auto"/>
        <w:jc w:val="center"/>
        <w:rPr>
          <w:rFonts w:eastAsiaTheme="minorHAnsi"/>
        </w:rPr>
      </w:pPr>
      <w:r w:rsidRPr="001D7027">
        <w:rPr>
          <w:rFonts w:eastAsiaTheme="minorHAnsi"/>
          <w:noProof/>
          <w:lang w:val="en-US"/>
        </w:rPr>
        <w:drawing>
          <wp:inline distT="0" distB="0" distL="0" distR="0">
            <wp:extent cx="4533900" cy="274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3900" cy="2743200"/>
                    </a:xfrm>
                    <a:prstGeom prst="rect">
                      <a:avLst/>
                    </a:prstGeom>
                    <a:noFill/>
                    <a:ln>
                      <a:noFill/>
                    </a:ln>
                  </pic:spPr>
                </pic:pic>
              </a:graphicData>
            </a:graphic>
          </wp:inline>
        </w:drawing>
      </w:r>
    </w:p>
    <w:p w:rsidR="00916691" w:rsidRPr="001D7027" w:rsidRDefault="00916691" w:rsidP="00916691">
      <w:pPr>
        <w:spacing w:line="276" w:lineRule="auto"/>
        <w:jc w:val="center"/>
        <w:rPr>
          <w:rFonts w:eastAsiaTheme="minorHAnsi" w:cs="Arial"/>
          <w:i/>
          <w:sz w:val="22"/>
          <w:szCs w:val="22"/>
          <w:highlight w:val="yellow"/>
        </w:rPr>
      </w:pPr>
    </w:p>
    <w:p w:rsidR="00916691" w:rsidRPr="001D7027" w:rsidRDefault="00916691" w:rsidP="00916691">
      <w:pPr>
        <w:rPr>
          <w:rFonts w:eastAsiaTheme="minorHAnsi"/>
          <w:highlight w:val="yellow"/>
        </w:rPr>
      </w:pPr>
    </w:p>
    <w:p w:rsidR="00916691" w:rsidRPr="001D7027" w:rsidRDefault="00916691" w:rsidP="00916691">
      <w:pPr>
        <w:jc w:val="left"/>
      </w:pPr>
      <w:r w:rsidRPr="001D7027">
        <w:br w:type="page"/>
      </w:r>
    </w:p>
    <w:p w:rsidR="005D40E4" w:rsidRPr="001D7027" w:rsidRDefault="00916691" w:rsidP="00916691">
      <w:pPr>
        <w:keepLines/>
      </w:pPr>
      <w:r w:rsidRPr="001D7027">
        <w:lastRenderedPageBreak/>
        <w:t>Les recettes effectives pour l</w:t>
      </w:r>
      <w:r w:rsidR="00750F64" w:rsidRPr="001D7027">
        <w:t>’</w:t>
      </w:r>
      <w:r w:rsidRPr="001D7027">
        <w:t xml:space="preserve">exercice </w:t>
      </w:r>
      <w:r w:rsidR="005D40E4" w:rsidRPr="001D7027">
        <w:t>biennal 2018</w:t>
      </w:r>
      <w:r w:rsidR="00750F64" w:rsidRPr="001D7027">
        <w:t>-</w:t>
      </w:r>
      <w:r w:rsidRPr="001D7027">
        <w:t>2019 se sont élevées à 6,</w:t>
      </w:r>
      <w:r w:rsidR="005D40E4" w:rsidRPr="001D7027">
        <w:t>9 million</w:t>
      </w:r>
      <w:r w:rsidRPr="001D7027">
        <w:t>s de</w:t>
      </w:r>
      <w:r w:rsidR="00495A8C">
        <w:t> francs suisses</w:t>
      </w:r>
      <w:r w:rsidRPr="001D7027">
        <w:t xml:space="preserve">, soit </w:t>
      </w:r>
      <w:r w:rsidR="00CA2E8B" w:rsidRPr="001D7027">
        <w:t>8894</w:t>
      </w:r>
      <w:r w:rsidR="00495A8C">
        <w:t> francs suisses</w:t>
      </w:r>
      <w:r w:rsidRPr="001D7027">
        <w:t xml:space="preserve"> de moins que l</w:t>
      </w:r>
      <w:r w:rsidR="00750F64" w:rsidRPr="001D7027">
        <w:t>’</w:t>
      </w:r>
      <w:r w:rsidRPr="001D7027">
        <w:t>objectif inscrit au budget (tableau 2 ci</w:t>
      </w:r>
      <w:r w:rsidR="00750F64" w:rsidRPr="001D7027">
        <w:t>-</w:t>
      </w:r>
      <w:r w:rsidRPr="001D7027">
        <w:t>dessous).</w:t>
      </w:r>
    </w:p>
    <w:p w:rsidR="00916691" w:rsidRPr="001D7027" w:rsidRDefault="00916691" w:rsidP="00916691">
      <w:pPr>
        <w:keepLines/>
      </w:pPr>
    </w:p>
    <w:p w:rsidR="005D40E4" w:rsidRPr="001D7027" w:rsidRDefault="00916691" w:rsidP="00916691">
      <w:pPr>
        <w:keepLines/>
      </w:pPr>
      <w:r w:rsidRPr="001D7027">
        <w:t>Les contributions sont restées la source de recettes la plus importante, représentant 98,6% des recettes totales, conformément au programme et budget approuvé pour l</w:t>
      </w:r>
      <w:r w:rsidR="00750F64" w:rsidRPr="001D7027">
        <w:t>’</w:t>
      </w:r>
      <w:r w:rsidRPr="001D7027">
        <w:t xml:space="preserve">exercice </w:t>
      </w:r>
      <w:r w:rsidR="005D40E4" w:rsidRPr="001D7027">
        <w:t>biennal 2018</w:t>
      </w:r>
      <w:r w:rsidR="00750F64" w:rsidRPr="001D7027">
        <w:t>-</w:t>
      </w:r>
      <w:r w:rsidRPr="001D7027">
        <w:t>2019.  Au cours de l</w:t>
      </w:r>
      <w:r w:rsidR="00750F64" w:rsidRPr="001D7027">
        <w:t>’</w:t>
      </w:r>
      <w:r w:rsidRPr="001D7027">
        <w:t xml:space="preserve">exercice </w:t>
      </w:r>
      <w:r w:rsidR="005D40E4" w:rsidRPr="001D7027">
        <w:t>biennal 2018</w:t>
      </w:r>
      <w:r w:rsidR="00750F64" w:rsidRPr="001D7027">
        <w:t>-</w:t>
      </w:r>
      <w:r w:rsidRPr="001D7027">
        <w:t>2019, les contributions effectives ont été plus élevées que ce qui était prévu au budget, grâce à l</w:t>
      </w:r>
      <w:r w:rsidR="00750F64" w:rsidRPr="001D7027">
        <w:t>’</w:t>
      </w:r>
      <w:r w:rsidRPr="001D7027">
        <w:t>augmentation du nombre d</w:t>
      </w:r>
      <w:r w:rsidR="00750F64" w:rsidRPr="001D7027">
        <w:t>’</w:t>
      </w:r>
      <w:r w:rsidRPr="001D7027">
        <w:t>unités de contribution de la Fédération de Russ</w:t>
      </w:r>
      <w:r w:rsidR="00532185" w:rsidRPr="001D7027">
        <w:t>ie.  Le</w:t>
      </w:r>
      <w:r w:rsidRPr="001D7027">
        <w:t xml:space="preserve"> nombre d</w:t>
      </w:r>
      <w:r w:rsidR="00750F64" w:rsidRPr="001D7027">
        <w:t>’</w:t>
      </w:r>
      <w:r w:rsidRPr="001D7027">
        <w:t>unités est passé d</w:t>
      </w:r>
      <w:r w:rsidR="00750F64" w:rsidRPr="001D7027">
        <w:t>’</w:t>
      </w:r>
      <w:r w:rsidRPr="001D7027">
        <w:t>un demi (0,5) à deux</w:t>
      </w:r>
      <w:r w:rsidR="00CA2E8B" w:rsidRPr="001D7027">
        <w:t> </w:t>
      </w:r>
      <w:r w:rsidRPr="001D7027">
        <w:t xml:space="preserve">(2,0) unités </w:t>
      </w:r>
      <w:r w:rsidR="005D40E4" w:rsidRPr="001D7027">
        <w:t>depuis 2019</w:t>
      </w:r>
      <w:r w:rsidRPr="001D7027">
        <w:t>.</w:t>
      </w:r>
    </w:p>
    <w:p w:rsidR="00916691" w:rsidRPr="001D7027" w:rsidRDefault="00916691" w:rsidP="00916691">
      <w:pPr>
        <w:keepLines/>
      </w:pPr>
    </w:p>
    <w:p w:rsidR="00916691" w:rsidRPr="001D7027" w:rsidRDefault="00916691" w:rsidP="00916691">
      <w:pPr>
        <w:keepLines/>
      </w:pPr>
      <w:r w:rsidRPr="001D7027">
        <w:t>Les publications n</w:t>
      </w:r>
      <w:r w:rsidR="00750F64" w:rsidRPr="001D7027">
        <w:t>’</w:t>
      </w:r>
      <w:r w:rsidRPr="001D7027">
        <w:t>ont pas produit de recettes au cours de l</w:t>
      </w:r>
      <w:r w:rsidR="00750F64" w:rsidRPr="001D7027">
        <w:t>’</w:t>
      </w:r>
      <w:r w:rsidRPr="001D7027">
        <w:t xml:space="preserve">exercice </w:t>
      </w:r>
      <w:r w:rsidR="005D40E4" w:rsidRPr="001D7027">
        <w:t>biennal 2018</w:t>
      </w:r>
      <w:r w:rsidR="00750F64" w:rsidRPr="001D7027">
        <w:t>-</w:t>
      </w:r>
      <w:r w:rsidRPr="001D7027">
        <w:t>2019, car elles sont toutes disponibles gratuitement.</w:t>
      </w:r>
    </w:p>
    <w:p w:rsidR="00916691" w:rsidRPr="001D7027" w:rsidRDefault="00916691" w:rsidP="00916691">
      <w:pPr>
        <w:keepLines/>
      </w:pPr>
    </w:p>
    <w:p w:rsidR="00916691" w:rsidRPr="008E239D" w:rsidRDefault="00916691" w:rsidP="00916691">
      <w:pPr>
        <w:rPr>
          <w:spacing w:val="-2"/>
        </w:rPr>
      </w:pPr>
      <w:r w:rsidRPr="008E239D">
        <w:rPr>
          <w:spacing w:val="-2"/>
        </w:rPr>
        <w:t>Les autres recettes ont atteint 97 090</w:t>
      </w:r>
      <w:r w:rsidR="00495A8C" w:rsidRPr="008E239D">
        <w:rPr>
          <w:spacing w:val="-2"/>
        </w:rPr>
        <w:t> francs suisses</w:t>
      </w:r>
      <w:r w:rsidRPr="008E239D">
        <w:rPr>
          <w:spacing w:val="-2"/>
        </w:rPr>
        <w:t>, soit 78 627</w:t>
      </w:r>
      <w:r w:rsidR="00495A8C" w:rsidRPr="008E239D">
        <w:rPr>
          <w:spacing w:val="-2"/>
        </w:rPr>
        <w:t> francs suisses</w:t>
      </w:r>
      <w:r w:rsidRPr="008E239D">
        <w:rPr>
          <w:spacing w:val="-2"/>
        </w:rPr>
        <w:t xml:space="preserve"> de moins que le montant inscrit au budg</w:t>
      </w:r>
      <w:r w:rsidR="00532185" w:rsidRPr="008E239D">
        <w:rPr>
          <w:spacing w:val="-2"/>
        </w:rPr>
        <w:t>et.  El</w:t>
      </w:r>
      <w:r w:rsidRPr="008E239D">
        <w:rPr>
          <w:spacing w:val="-2"/>
        </w:rPr>
        <w:t>les provenaient notamment</w:t>
      </w:r>
      <w:r w:rsidR="00CA2E8B" w:rsidRPr="008E239D">
        <w:rPr>
          <w:spacing w:val="-2"/>
        </w:rPr>
        <w:t> </w:t>
      </w:r>
      <w:r w:rsidRPr="008E239D">
        <w:rPr>
          <w:spacing w:val="-2"/>
        </w:rPr>
        <w:t>: i)</w:t>
      </w:r>
      <w:r w:rsidR="00CA2E8B" w:rsidRPr="008E239D">
        <w:rPr>
          <w:spacing w:val="-2"/>
        </w:rPr>
        <w:t> </w:t>
      </w:r>
      <w:r w:rsidRPr="008E239D">
        <w:rPr>
          <w:spacing w:val="-2"/>
        </w:rPr>
        <w:t>des coûts d</w:t>
      </w:r>
      <w:r w:rsidR="00750F64" w:rsidRPr="008E239D">
        <w:rPr>
          <w:spacing w:val="-2"/>
        </w:rPr>
        <w:t>’</w:t>
      </w:r>
      <w:r w:rsidRPr="008E239D">
        <w:rPr>
          <w:spacing w:val="-2"/>
        </w:rPr>
        <w:t>appui au programme liés aux fonds fiduciaires, qui se sont élevés à 58 223</w:t>
      </w:r>
      <w:r w:rsidR="00495A8C" w:rsidRPr="008E239D">
        <w:rPr>
          <w:spacing w:val="-2"/>
        </w:rPr>
        <w:t> francs suisses</w:t>
      </w:r>
      <w:r w:rsidRPr="008E239D">
        <w:rPr>
          <w:spacing w:val="-2"/>
        </w:rPr>
        <w:t>, soit légèrement moins que le budget prévu de 69 717</w:t>
      </w:r>
      <w:r w:rsidR="00495A8C" w:rsidRPr="008E239D">
        <w:rPr>
          <w:spacing w:val="-2"/>
        </w:rPr>
        <w:t> francs suisses</w:t>
      </w:r>
      <w:r w:rsidRPr="008E239D">
        <w:rPr>
          <w:spacing w:val="-2"/>
        </w:rPr>
        <w:t xml:space="preserve">; </w:t>
      </w:r>
      <w:r w:rsidR="00CA2E8B" w:rsidRPr="008E239D">
        <w:rPr>
          <w:spacing w:val="-2"/>
        </w:rPr>
        <w:t xml:space="preserve"> </w:t>
      </w:r>
      <w:r w:rsidRPr="008E239D">
        <w:rPr>
          <w:spacing w:val="-2"/>
        </w:rPr>
        <w:t>et ii)</w:t>
      </w:r>
      <w:r w:rsidR="00CA2E8B" w:rsidRPr="008E239D">
        <w:rPr>
          <w:spacing w:val="-2"/>
        </w:rPr>
        <w:t> </w:t>
      </w:r>
      <w:r w:rsidRPr="008E239D">
        <w:rPr>
          <w:spacing w:val="-2"/>
        </w:rPr>
        <w:t>des frais versés par les participants au programme d</w:t>
      </w:r>
      <w:r w:rsidR="00750F64" w:rsidRPr="008E239D">
        <w:rPr>
          <w:spacing w:val="-2"/>
        </w:rPr>
        <w:t>’</w:t>
      </w:r>
      <w:r w:rsidRPr="008E239D">
        <w:rPr>
          <w:spacing w:val="-2"/>
        </w:rPr>
        <w:t>enseignement à distance de l</w:t>
      </w:r>
      <w:r w:rsidR="00750F64" w:rsidRPr="008E239D">
        <w:rPr>
          <w:spacing w:val="-2"/>
        </w:rPr>
        <w:t>’</w:t>
      </w:r>
      <w:r w:rsidRPr="008E239D">
        <w:rPr>
          <w:spacing w:val="-2"/>
        </w:rPr>
        <w:t>UPOV, qui se sont élevés à 40 000</w:t>
      </w:r>
      <w:r w:rsidR="00495A8C" w:rsidRPr="008E239D">
        <w:rPr>
          <w:spacing w:val="-2"/>
        </w:rPr>
        <w:t> francs suisses</w:t>
      </w:r>
      <w:r w:rsidRPr="008E239D">
        <w:rPr>
          <w:spacing w:val="-2"/>
        </w:rPr>
        <w:t>, soit bien plus que le budget prévu de 16 000</w:t>
      </w:r>
      <w:r w:rsidR="00495A8C" w:rsidRPr="008E239D">
        <w:rPr>
          <w:spacing w:val="-2"/>
        </w:rPr>
        <w:t> francs suisses</w:t>
      </w:r>
      <w:r w:rsidRPr="008E239D">
        <w:rPr>
          <w:spacing w:val="-2"/>
        </w:rPr>
        <w:t>.</w:t>
      </w:r>
    </w:p>
    <w:p w:rsidR="00916691" w:rsidRPr="001D7027" w:rsidRDefault="00916691" w:rsidP="00916691">
      <w:pPr>
        <w:rPr>
          <w:rFonts w:eastAsiaTheme="minorHAnsi" w:cs="Arial"/>
        </w:rPr>
      </w:pPr>
    </w:p>
    <w:p w:rsidR="00916691" w:rsidRPr="001D7027" w:rsidRDefault="00916691" w:rsidP="00916691">
      <w:pPr>
        <w:rPr>
          <w:rFonts w:eastAsiaTheme="minorHAnsi" w:cs="Arial"/>
        </w:rPr>
      </w:pPr>
      <w:r w:rsidRPr="001D7027">
        <w:rPr>
          <w:rFonts w:eastAsiaTheme="minorHAnsi" w:cs="Arial"/>
        </w:rPr>
        <w:t>Dans les autres recettes également, 90 000</w:t>
      </w:r>
      <w:r w:rsidR="00495A8C">
        <w:rPr>
          <w:rFonts w:eastAsiaTheme="minorHAnsi" w:cs="Arial"/>
        </w:rPr>
        <w:t> francs suisses</w:t>
      </w:r>
      <w:r w:rsidRPr="001D7027">
        <w:rPr>
          <w:rFonts w:eastAsiaTheme="minorHAnsi" w:cs="Arial"/>
        </w:rPr>
        <w:t xml:space="preserve"> ont été comptabilisés au titre des taxes d</w:t>
      </w:r>
      <w:r w:rsidR="00750F64" w:rsidRPr="001D7027">
        <w:rPr>
          <w:rFonts w:eastAsiaTheme="minorHAnsi" w:cs="Arial"/>
        </w:rPr>
        <w:t>’</w:t>
      </w:r>
      <w:r w:rsidRPr="001D7027">
        <w:rPr>
          <w:rFonts w:eastAsiaTheme="minorHAnsi" w:cs="Arial"/>
        </w:rPr>
        <w:t>utilisation de l</w:t>
      </w:r>
      <w:r w:rsidR="00750F64" w:rsidRPr="001D7027">
        <w:rPr>
          <w:rFonts w:eastAsiaTheme="minorHAnsi" w:cs="Arial"/>
        </w:rPr>
        <w:t>’</w:t>
      </w:r>
      <w:r w:rsidRPr="001D7027">
        <w:rPr>
          <w:rFonts w:eastAsiaTheme="minorHAnsi" w:cs="Arial"/>
        </w:rPr>
        <w:t>outil UPOV PRISMA au cours de l</w:t>
      </w:r>
      <w:r w:rsidR="00750F64" w:rsidRPr="001D7027">
        <w:rPr>
          <w:rFonts w:eastAsiaTheme="minorHAnsi" w:cs="Arial"/>
        </w:rPr>
        <w:t>’</w:t>
      </w:r>
      <w:r w:rsidRPr="001D7027">
        <w:rPr>
          <w:rFonts w:eastAsiaTheme="minorHAnsi" w:cs="Arial"/>
        </w:rPr>
        <w:t xml:space="preserve">exercice </w:t>
      </w:r>
      <w:r w:rsidR="005D40E4" w:rsidRPr="001D7027">
        <w:rPr>
          <w:rFonts w:eastAsiaTheme="minorHAnsi" w:cs="Arial"/>
        </w:rPr>
        <w:t>biennal 2018</w:t>
      </w:r>
      <w:r w:rsidR="00750F64" w:rsidRPr="001D7027">
        <w:rPr>
          <w:rFonts w:eastAsiaTheme="minorHAnsi" w:cs="Arial"/>
        </w:rPr>
        <w:t>-</w:t>
      </w:r>
      <w:r w:rsidRPr="001D7027">
        <w:rPr>
          <w:rFonts w:eastAsiaTheme="minorHAnsi" w:cs="Arial"/>
        </w:rPr>
        <w:t>2019, mais aucune recette n</w:t>
      </w:r>
      <w:r w:rsidR="00750F64" w:rsidRPr="001D7027">
        <w:rPr>
          <w:rFonts w:eastAsiaTheme="minorHAnsi" w:cs="Arial"/>
        </w:rPr>
        <w:t>’</w:t>
      </w:r>
      <w:r w:rsidRPr="001D7027">
        <w:rPr>
          <w:rFonts w:eastAsiaTheme="minorHAnsi" w:cs="Arial"/>
        </w:rPr>
        <w:t>a été perçue à la suite de la décision de rendre gratuite l</w:t>
      </w:r>
      <w:r w:rsidR="00750F64" w:rsidRPr="001D7027">
        <w:rPr>
          <w:rFonts w:eastAsiaTheme="minorHAnsi" w:cs="Arial"/>
        </w:rPr>
        <w:t>’</w:t>
      </w:r>
      <w:r w:rsidRPr="001D7027">
        <w:rPr>
          <w:rFonts w:eastAsiaTheme="minorHAnsi" w:cs="Arial"/>
        </w:rPr>
        <w:t>utilisation de l</w:t>
      </w:r>
      <w:r w:rsidR="00750F64" w:rsidRPr="001D7027">
        <w:rPr>
          <w:rFonts w:eastAsiaTheme="minorHAnsi" w:cs="Arial"/>
        </w:rPr>
        <w:t>’</w:t>
      </w:r>
      <w:r w:rsidRPr="001D7027">
        <w:rPr>
          <w:rFonts w:eastAsiaTheme="minorHAnsi" w:cs="Arial"/>
        </w:rPr>
        <w:t>outil UPOV PRISMA jusqu</w:t>
      </w:r>
      <w:r w:rsidR="00750F64" w:rsidRPr="001D7027">
        <w:rPr>
          <w:rFonts w:eastAsiaTheme="minorHAnsi" w:cs="Arial"/>
        </w:rPr>
        <w:t>’</w:t>
      </w:r>
      <w:r w:rsidRPr="001D7027">
        <w:rPr>
          <w:rFonts w:eastAsiaTheme="minorHAnsi" w:cs="Arial"/>
        </w:rPr>
        <w:t xml:space="preserve">à la fin </w:t>
      </w:r>
      <w:r w:rsidR="005D40E4" w:rsidRPr="001D7027">
        <w:rPr>
          <w:rFonts w:eastAsiaTheme="minorHAnsi" w:cs="Arial"/>
        </w:rPr>
        <w:t>de 2019</w:t>
      </w:r>
      <w:r w:rsidRPr="001D7027">
        <w:rPr>
          <w:rFonts w:eastAsiaTheme="minorHAnsi" w:cs="Arial"/>
        </w:rPr>
        <w:t>.</w:t>
      </w:r>
    </w:p>
    <w:p w:rsidR="00916691" w:rsidRPr="001D7027" w:rsidRDefault="00916691" w:rsidP="00916691">
      <w:pPr>
        <w:keepLines/>
      </w:pPr>
    </w:p>
    <w:p w:rsidR="00916691" w:rsidRPr="008E239D" w:rsidRDefault="00916691" w:rsidP="008E239D">
      <w:pPr>
        <w:rPr>
          <w:rFonts w:eastAsiaTheme="minorHAnsi"/>
          <w:sz w:val="18"/>
          <w:highlight w:val="yellow"/>
        </w:rPr>
      </w:pPr>
    </w:p>
    <w:p w:rsidR="00916691" w:rsidRPr="001D7027" w:rsidRDefault="00916691" w:rsidP="00ED0026">
      <w:pPr>
        <w:pStyle w:val="Heading2"/>
        <w:rPr>
          <w:lang w:val="fr-FR"/>
        </w:rPr>
      </w:pPr>
      <w:bookmarkStart w:id="10" w:name="_Toc460229913"/>
      <w:bookmarkStart w:id="11" w:name="_Toc522808844"/>
      <w:bookmarkStart w:id="12" w:name="_Toc48657993"/>
      <w:r w:rsidRPr="001D7027">
        <w:rPr>
          <w:lang w:val="fr-FR"/>
        </w:rPr>
        <w:t>Tableau 2. Recettes prévues et effectives par source pour l</w:t>
      </w:r>
      <w:r w:rsidR="00750F64" w:rsidRPr="001D7027">
        <w:rPr>
          <w:lang w:val="fr-FR"/>
        </w:rPr>
        <w:t>’</w:t>
      </w:r>
      <w:r w:rsidRPr="001D7027">
        <w:rPr>
          <w:lang w:val="fr-FR"/>
        </w:rPr>
        <w:t xml:space="preserve">exercice </w:t>
      </w:r>
      <w:r w:rsidR="005D40E4" w:rsidRPr="001D7027">
        <w:rPr>
          <w:lang w:val="fr-FR"/>
        </w:rPr>
        <w:t>biennal 2018</w:t>
      </w:r>
      <w:r w:rsidR="00750F64" w:rsidRPr="001D7027">
        <w:rPr>
          <w:lang w:val="fr-FR"/>
        </w:rPr>
        <w:t>-</w:t>
      </w:r>
      <w:r w:rsidRPr="001D7027">
        <w:rPr>
          <w:lang w:val="fr-FR"/>
        </w:rPr>
        <w:t>2019</w:t>
      </w:r>
      <w:bookmarkEnd w:id="10"/>
      <w:bookmarkEnd w:id="11"/>
      <w:bookmarkEnd w:id="12"/>
    </w:p>
    <w:p w:rsidR="00916691" w:rsidRPr="001D7027" w:rsidRDefault="00916691" w:rsidP="00916691">
      <w:pPr>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916691" w:rsidRPr="001D7027" w:rsidRDefault="00203F26" w:rsidP="00916691">
      <w:pPr>
        <w:spacing w:after="200" w:line="276" w:lineRule="auto"/>
        <w:jc w:val="center"/>
        <w:rPr>
          <w:rFonts w:eastAsiaTheme="minorHAnsi" w:cs="Arial"/>
          <w:b/>
          <w:sz w:val="22"/>
          <w:szCs w:val="22"/>
        </w:rPr>
      </w:pPr>
      <w:r w:rsidRPr="00203F26">
        <w:rPr>
          <w:rFonts w:eastAsiaTheme="minorHAnsi"/>
          <w:noProof/>
          <w:lang w:val="en-US"/>
        </w:rPr>
        <w:drawing>
          <wp:inline distT="0" distB="0" distL="0" distR="0">
            <wp:extent cx="5120640" cy="136398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1363980"/>
                    </a:xfrm>
                    <a:prstGeom prst="rect">
                      <a:avLst/>
                    </a:prstGeom>
                    <a:noFill/>
                    <a:ln>
                      <a:noFill/>
                    </a:ln>
                  </pic:spPr>
                </pic:pic>
              </a:graphicData>
            </a:graphic>
          </wp:inline>
        </w:drawing>
      </w:r>
    </w:p>
    <w:p w:rsidR="00674107" w:rsidRPr="001D7027" w:rsidRDefault="00674107" w:rsidP="00916691">
      <w:pPr>
        <w:spacing w:after="200" w:line="276" w:lineRule="auto"/>
        <w:jc w:val="center"/>
        <w:rPr>
          <w:rFonts w:eastAsiaTheme="minorHAnsi" w:cs="Arial"/>
          <w:b/>
          <w:sz w:val="22"/>
          <w:szCs w:val="22"/>
        </w:rPr>
      </w:pPr>
    </w:p>
    <w:p w:rsidR="00916691" w:rsidRPr="001D7027" w:rsidRDefault="00E70E07" w:rsidP="00916691">
      <w:pPr>
        <w:jc w:val="center"/>
        <w:rPr>
          <w:rFonts w:eastAsiaTheme="minorHAnsi"/>
        </w:rPr>
      </w:pPr>
      <w:r w:rsidRPr="00E70E07">
        <w:rPr>
          <w:rFonts w:eastAsiaTheme="minorHAnsi"/>
          <w:noProof/>
          <w:lang w:val="en-US"/>
        </w:rPr>
        <w:drawing>
          <wp:inline distT="0" distB="0" distL="0" distR="0">
            <wp:extent cx="45720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916691" w:rsidRPr="001D7027" w:rsidRDefault="00916691" w:rsidP="00916691">
      <w:pPr>
        <w:jc w:val="center"/>
        <w:rPr>
          <w:rFonts w:eastAsiaTheme="minorHAnsi"/>
        </w:rPr>
      </w:pPr>
    </w:p>
    <w:p w:rsidR="00916691" w:rsidRPr="001D7027" w:rsidRDefault="00916691" w:rsidP="00916691">
      <w:pPr>
        <w:rPr>
          <w:rFonts w:cs="Arial"/>
        </w:rPr>
      </w:pPr>
      <w:r w:rsidRPr="001D7027">
        <w:rPr>
          <w:rFonts w:cs="Arial"/>
        </w:rPr>
        <w:br w:type="page"/>
      </w:r>
    </w:p>
    <w:p w:rsidR="005D40E4" w:rsidRPr="001D7027" w:rsidRDefault="00916691" w:rsidP="00916691">
      <w:r w:rsidRPr="001D7027">
        <w:rPr>
          <w:rFonts w:cs="Arial"/>
        </w:rPr>
        <w:lastRenderedPageBreak/>
        <w:t>Les dépenses effectives pour l</w:t>
      </w:r>
      <w:r w:rsidR="00750F64" w:rsidRPr="001D7027">
        <w:rPr>
          <w:rFonts w:cs="Arial"/>
        </w:rPr>
        <w:t>’</w:t>
      </w:r>
      <w:r w:rsidRPr="001D7027">
        <w:rPr>
          <w:rFonts w:cs="Arial"/>
        </w:rPr>
        <w:t>exercice biennal 2018</w:t>
      </w:r>
      <w:r w:rsidR="00750F64" w:rsidRPr="001D7027">
        <w:rPr>
          <w:rFonts w:cs="Arial"/>
        </w:rPr>
        <w:t>-</w:t>
      </w:r>
      <w:r w:rsidRPr="001D7027">
        <w:rPr>
          <w:rFonts w:cs="Arial"/>
        </w:rPr>
        <w:t>2019 et leur comparaison avec le programme et budget approuvé pour cet exercice sont présentées ci</w:t>
      </w:r>
      <w:r w:rsidR="00750F64" w:rsidRPr="001D7027">
        <w:rPr>
          <w:rFonts w:cs="Arial"/>
        </w:rPr>
        <w:t>-</w:t>
      </w:r>
      <w:r w:rsidRPr="001D7027">
        <w:rPr>
          <w:rFonts w:cs="Arial"/>
        </w:rPr>
        <w:t>dessous, par catégorie de coûts dans le tableau 3 et par sous</w:t>
      </w:r>
      <w:r w:rsidR="000F4B0C">
        <w:rPr>
          <w:rFonts w:cs="Arial"/>
        </w:rPr>
        <w:noBreakHyphen/>
      </w:r>
      <w:r w:rsidRPr="001D7027">
        <w:rPr>
          <w:rFonts w:cs="Arial"/>
        </w:rPr>
        <w:t>programme dans le tableau 4</w:t>
      </w:r>
      <w:r w:rsidRPr="001D7027">
        <w:t>.</w:t>
      </w:r>
    </w:p>
    <w:p w:rsidR="00916691" w:rsidRPr="001D7027" w:rsidRDefault="00916691" w:rsidP="00916691">
      <w:pPr>
        <w:rPr>
          <w:rFonts w:eastAsiaTheme="minorHAnsi"/>
          <w:highlight w:val="yellow"/>
        </w:rPr>
      </w:pPr>
    </w:p>
    <w:p w:rsidR="00916691" w:rsidRPr="001D7027" w:rsidRDefault="00916691" w:rsidP="00ED0026">
      <w:pPr>
        <w:pStyle w:val="Heading2"/>
        <w:rPr>
          <w:lang w:val="fr-FR"/>
        </w:rPr>
      </w:pPr>
      <w:bookmarkStart w:id="13" w:name="_Toc522808845"/>
      <w:bookmarkStart w:id="14" w:name="_Toc48657994"/>
      <w:r w:rsidRPr="001D7027">
        <w:rPr>
          <w:lang w:val="fr-FR"/>
        </w:rPr>
        <w:t>Tableau</w:t>
      </w:r>
      <w:r w:rsidR="00CA2E8B" w:rsidRPr="001D7027">
        <w:rPr>
          <w:lang w:val="fr-FR"/>
        </w:rPr>
        <w:t> </w:t>
      </w:r>
      <w:r w:rsidRPr="001D7027">
        <w:rPr>
          <w:lang w:val="fr-FR"/>
        </w:rPr>
        <w:t>3. Budget approuvé et dépenses par objet de dépense pour l</w:t>
      </w:r>
      <w:r w:rsidR="00750F64" w:rsidRPr="001D7027">
        <w:rPr>
          <w:lang w:val="fr-FR"/>
        </w:rPr>
        <w:t>’</w:t>
      </w:r>
      <w:r w:rsidRPr="001D7027">
        <w:rPr>
          <w:lang w:val="fr-FR"/>
        </w:rPr>
        <w:t>exercice biennal 2018</w:t>
      </w:r>
      <w:r w:rsidR="00750F64" w:rsidRPr="001D7027">
        <w:rPr>
          <w:lang w:val="fr-FR"/>
        </w:rPr>
        <w:t>-</w:t>
      </w:r>
      <w:r w:rsidRPr="001D7027">
        <w:rPr>
          <w:lang w:val="fr-FR"/>
        </w:rPr>
        <w:t>2019</w:t>
      </w:r>
      <w:bookmarkEnd w:id="13"/>
      <w:bookmarkEnd w:id="14"/>
    </w:p>
    <w:p w:rsidR="00916691" w:rsidRPr="001D7027" w:rsidRDefault="00916691" w:rsidP="00916691">
      <w:pPr>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203F26" w:rsidRPr="001D7027" w:rsidRDefault="00203F26" w:rsidP="00916691">
      <w:pPr>
        <w:spacing w:line="276" w:lineRule="auto"/>
        <w:jc w:val="center"/>
        <w:rPr>
          <w:rFonts w:eastAsiaTheme="minorHAnsi" w:cs="Arial"/>
          <w:sz w:val="22"/>
          <w:szCs w:val="22"/>
        </w:rPr>
      </w:pPr>
      <w:r w:rsidRPr="00203F26">
        <w:rPr>
          <w:rFonts w:eastAsiaTheme="minorHAnsi"/>
          <w:noProof/>
          <w:lang w:val="en-US"/>
        </w:rPr>
        <w:drawing>
          <wp:inline distT="0" distB="0" distL="0" distR="0">
            <wp:extent cx="6042660" cy="5234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2660" cy="5234940"/>
                    </a:xfrm>
                    <a:prstGeom prst="rect">
                      <a:avLst/>
                    </a:prstGeom>
                    <a:noFill/>
                    <a:ln>
                      <a:noFill/>
                    </a:ln>
                  </pic:spPr>
                </pic:pic>
              </a:graphicData>
            </a:graphic>
          </wp:inline>
        </w:drawing>
      </w:r>
    </w:p>
    <w:p w:rsidR="00916691" w:rsidRPr="001D7027" w:rsidRDefault="00916691" w:rsidP="00916691">
      <w:pPr>
        <w:tabs>
          <w:tab w:val="left" w:pos="567"/>
        </w:tabs>
        <w:spacing w:line="276" w:lineRule="auto"/>
        <w:ind w:left="567" w:right="283" w:hanging="283"/>
        <w:rPr>
          <w:rFonts w:cs="Arial"/>
          <w:sz w:val="18"/>
          <w:szCs w:val="18"/>
        </w:rPr>
      </w:pPr>
      <w:r w:rsidRPr="001D7027">
        <w:rPr>
          <w:rFonts w:eastAsiaTheme="minorHAnsi" w:cs="Arial"/>
          <w:sz w:val="18"/>
          <w:szCs w:val="18"/>
        </w:rPr>
        <w:t>*</w:t>
      </w:r>
      <w:r w:rsidRPr="001D7027">
        <w:rPr>
          <w:rFonts w:eastAsiaTheme="minorHAnsi" w:cs="Arial"/>
          <w:sz w:val="18"/>
          <w:szCs w:val="18"/>
        </w:rPr>
        <w:tab/>
        <w:t>Toute différence entre les chiffres indiqués dans le présent tableau et les suivants et ceux qui figurent dans les états financiers est due au fait que les montants ont été arrondis</w:t>
      </w:r>
      <w:r w:rsidRPr="001D7027">
        <w:rPr>
          <w:rFonts w:cs="Arial"/>
          <w:sz w:val="18"/>
          <w:szCs w:val="18"/>
        </w:rPr>
        <w:t>.</w:t>
      </w:r>
    </w:p>
    <w:p w:rsidR="00916691" w:rsidRPr="001D7027" w:rsidRDefault="00916691" w:rsidP="00916691">
      <w:pPr>
        <w:tabs>
          <w:tab w:val="left" w:pos="567"/>
        </w:tabs>
        <w:spacing w:line="276" w:lineRule="auto"/>
        <w:ind w:left="567" w:right="283" w:hanging="283"/>
        <w:rPr>
          <w:rFonts w:cs="Arial"/>
          <w:sz w:val="18"/>
          <w:szCs w:val="18"/>
        </w:rPr>
      </w:pPr>
    </w:p>
    <w:p w:rsidR="00916691" w:rsidRPr="001D7027" w:rsidRDefault="00916691" w:rsidP="00ED0026">
      <w:pPr>
        <w:pStyle w:val="Heading2"/>
        <w:rPr>
          <w:lang w:val="fr-FR"/>
        </w:rPr>
      </w:pPr>
      <w:bookmarkStart w:id="15" w:name="_Toc460229915"/>
      <w:bookmarkStart w:id="16" w:name="_Toc522808846"/>
      <w:bookmarkStart w:id="17" w:name="_Toc48657995"/>
      <w:r w:rsidRPr="001D7027">
        <w:rPr>
          <w:lang w:val="fr-FR"/>
        </w:rPr>
        <w:t>Tableau 4. Budget approuvé et dépenses par sous</w:t>
      </w:r>
      <w:r w:rsidR="00750F64" w:rsidRPr="001D7027">
        <w:rPr>
          <w:lang w:val="fr-FR"/>
        </w:rPr>
        <w:t>-</w:t>
      </w:r>
      <w:r w:rsidRPr="001D7027">
        <w:rPr>
          <w:lang w:val="fr-FR"/>
        </w:rPr>
        <w:t>programme pour l</w:t>
      </w:r>
      <w:r w:rsidR="00750F64" w:rsidRPr="001D7027">
        <w:rPr>
          <w:lang w:val="fr-FR"/>
        </w:rPr>
        <w:t>’</w:t>
      </w:r>
      <w:r w:rsidRPr="001D7027">
        <w:rPr>
          <w:lang w:val="fr-FR"/>
        </w:rPr>
        <w:t>exercice biennal 2018</w:t>
      </w:r>
      <w:r w:rsidR="00750F64" w:rsidRPr="001D7027">
        <w:rPr>
          <w:lang w:val="fr-FR"/>
        </w:rPr>
        <w:t>-</w:t>
      </w:r>
      <w:r w:rsidRPr="001D7027">
        <w:rPr>
          <w:lang w:val="fr-FR"/>
        </w:rPr>
        <w:t>2019</w:t>
      </w:r>
      <w:bookmarkEnd w:id="15"/>
      <w:bookmarkEnd w:id="16"/>
      <w:bookmarkEnd w:id="17"/>
    </w:p>
    <w:p w:rsidR="00916691" w:rsidRPr="001D7027" w:rsidRDefault="00916691" w:rsidP="00C544EF">
      <w:pPr>
        <w:keepNext/>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916691" w:rsidRPr="001D7027" w:rsidRDefault="00203F26" w:rsidP="00916691">
      <w:pPr>
        <w:spacing w:after="200" w:line="276" w:lineRule="auto"/>
        <w:jc w:val="center"/>
        <w:rPr>
          <w:rFonts w:eastAsiaTheme="minorHAnsi" w:cs="Arial"/>
          <w:i/>
        </w:rPr>
      </w:pPr>
      <w:r w:rsidRPr="00203F26">
        <w:rPr>
          <w:rFonts w:eastAsiaTheme="minorHAnsi"/>
          <w:noProof/>
          <w:lang w:val="en-US"/>
        </w:rPr>
        <w:drawing>
          <wp:inline distT="0" distB="0" distL="0" distR="0">
            <wp:extent cx="6120765" cy="19504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950418"/>
                    </a:xfrm>
                    <a:prstGeom prst="rect">
                      <a:avLst/>
                    </a:prstGeom>
                    <a:noFill/>
                    <a:ln>
                      <a:noFill/>
                    </a:ln>
                  </pic:spPr>
                </pic:pic>
              </a:graphicData>
            </a:graphic>
          </wp:inline>
        </w:drawing>
      </w:r>
    </w:p>
    <w:p w:rsidR="00916691" w:rsidRPr="001D7027" w:rsidRDefault="00916691" w:rsidP="00916691">
      <w:pPr>
        <w:rPr>
          <w:rFonts w:cs="Arial"/>
          <w:u w:val="single"/>
        </w:rPr>
      </w:pPr>
      <w:r w:rsidRPr="001D7027">
        <w:rPr>
          <w:rFonts w:cs="Arial"/>
          <w:u w:val="single"/>
        </w:rPr>
        <w:lastRenderedPageBreak/>
        <w:t>Ressources en personnel</w:t>
      </w:r>
    </w:p>
    <w:p w:rsidR="00916691" w:rsidRPr="001D7027" w:rsidRDefault="00916691" w:rsidP="00916691">
      <w:pPr>
        <w:rPr>
          <w:rFonts w:cs="Arial"/>
        </w:rPr>
      </w:pPr>
    </w:p>
    <w:p w:rsidR="005D40E4" w:rsidRPr="001D7027" w:rsidRDefault="00916691" w:rsidP="00916691">
      <w:pPr>
        <w:rPr>
          <w:rFonts w:eastAsiaTheme="minorHAnsi"/>
        </w:rPr>
      </w:pPr>
      <w:r w:rsidRPr="001D7027">
        <w:rPr>
          <w:rFonts w:eastAsiaTheme="minorHAnsi"/>
        </w:rPr>
        <w:t>Les dépenses de personnel (avant ajustements IPSAS) pour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2018</w:t>
      </w:r>
      <w:r w:rsidR="00750F64" w:rsidRPr="001D7027">
        <w:rPr>
          <w:rFonts w:eastAsiaTheme="minorHAnsi"/>
        </w:rPr>
        <w:t>-</w:t>
      </w:r>
      <w:r w:rsidRPr="001D7027">
        <w:rPr>
          <w:rFonts w:eastAsiaTheme="minorHAnsi"/>
        </w:rPr>
        <w:t>2019 se sont élevées à 4,4 millions de</w:t>
      </w:r>
      <w:r w:rsidR="00495A8C">
        <w:rPr>
          <w:rFonts w:eastAsiaTheme="minorHAnsi"/>
        </w:rPr>
        <w:t> francs suisses</w:t>
      </w:r>
      <w:r w:rsidRPr="001D7027">
        <w:rPr>
          <w:rFonts w:eastAsiaTheme="minorHAnsi"/>
        </w:rPr>
        <w:t>, soit 401 577</w:t>
      </w:r>
      <w:r w:rsidR="00495A8C">
        <w:rPr>
          <w:rFonts w:eastAsiaTheme="minorHAnsi"/>
        </w:rPr>
        <w:t> francs suisses</w:t>
      </w:r>
      <w:r w:rsidRPr="001D7027">
        <w:rPr>
          <w:rFonts w:eastAsiaTheme="minorHAnsi"/>
        </w:rPr>
        <w:t xml:space="preserve"> (8,4%) de moins que le montant inscrit dans le programme et budget approuvé pour cet exercice.</w:t>
      </w:r>
    </w:p>
    <w:p w:rsidR="00916691" w:rsidRPr="001D7027" w:rsidRDefault="00916691" w:rsidP="00916691">
      <w:pPr>
        <w:rPr>
          <w:rFonts w:eastAsiaTheme="minorHAnsi"/>
        </w:rPr>
      </w:pPr>
    </w:p>
    <w:p w:rsidR="00916691" w:rsidRPr="001D7027" w:rsidRDefault="00916691" w:rsidP="00916691">
      <w:pPr>
        <w:rPr>
          <w:rFonts w:cs="Arial"/>
        </w:rPr>
      </w:pPr>
      <w:r w:rsidRPr="001D7027">
        <w:rPr>
          <w:rFonts w:eastAsiaTheme="minorHAnsi"/>
        </w:rPr>
        <w:t>Les dépenses liées aux postes ont été conformes au budget parce que les dépenses relatives à deux</w:t>
      </w:r>
      <w:r w:rsidR="00CA2E8B" w:rsidRPr="001D7027">
        <w:rPr>
          <w:rFonts w:eastAsiaTheme="minorHAnsi"/>
        </w:rPr>
        <w:t> </w:t>
      </w:r>
      <w:r w:rsidRPr="001D7027">
        <w:rPr>
          <w:rFonts w:eastAsiaTheme="minorHAnsi"/>
        </w:rPr>
        <w:t>postes de la catégorie professionnelle ont été plus élevées que prévu, du fait que les postes ont été pourvus plusieurs mois avant la date prév</w:t>
      </w:r>
      <w:r w:rsidR="00532185" w:rsidRPr="001D7027">
        <w:rPr>
          <w:rFonts w:eastAsiaTheme="minorHAnsi"/>
        </w:rPr>
        <w:t>ue.  Ce</w:t>
      </w:r>
      <w:r w:rsidRPr="001D7027">
        <w:rPr>
          <w:rFonts w:eastAsiaTheme="minorHAnsi"/>
        </w:rPr>
        <w:t>t élément a été compensé par le fait que deux</w:t>
      </w:r>
      <w:r w:rsidR="00CA2E8B" w:rsidRPr="001D7027">
        <w:rPr>
          <w:rFonts w:eastAsiaTheme="minorHAnsi"/>
        </w:rPr>
        <w:t> </w:t>
      </w:r>
      <w:r w:rsidRPr="001D7027">
        <w:rPr>
          <w:rFonts w:eastAsiaTheme="minorHAnsi"/>
        </w:rPr>
        <w:t>postes de la catégorie des services généraux ont été occupés à 80%.</w:t>
      </w:r>
    </w:p>
    <w:p w:rsidR="00916691" w:rsidRPr="001D7027" w:rsidRDefault="00916691" w:rsidP="00916691"/>
    <w:p w:rsidR="00916691" w:rsidRPr="001D7027" w:rsidRDefault="00916691" w:rsidP="00916691">
      <w:pPr>
        <w:rPr>
          <w:rFonts w:cs="Arial"/>
        </w:rPr>
      </w:pPr>
      <w:r w:rsidRPr="001D7027">
        <w:rPr>
          <w:rFonts w:eastAsiaTheme="minorHAnsi"/>
        </w:rPr>
        <w:t>Les dépenses au titre du personnel temporaire ont représenté 16,3% du montant prévu au budget pour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2018</w:t>
      </w:r>
      <w:r w:rsidR="00750F64" w:rsidRPr="001D7027">
        <w:rPr>
          <w:rFonts w:eastAsiaTheme="minorHAnsi"/>
        </w:rPr>
        <w:t>-</w:t>
      </w:r>
      <w:r w:rsidRPr="001D7027">
        <w:rPr>
          <w:rFonts w:eastAsiaTheme="minorHAnsi"/>
        </w:rPr>
        <w:t>2019, étant donné que deux</w:t>
      </w:r>
      <w:r w:rsidR="00CA2E8B" w:rsidRPr="001D7027">
        <w:rPr>
          <w:rFonts w:eastAsiaTheme="minorHAnsi"/>
        </w:rPr>
        <w:t> </w:t>
      </w:r>
      <w:r w:rsidRPr="001D7027">
        <w:rPr>
          <w:rFonts w:eastAsiaTheme="minorHAnsi"/>
        </w:rPr>
        <w:t>postes de la catégorie professionnelle, occupés au départ par du personnel temporaire, ont été pourvus plus tôt que prévu (voir point i) ci</w:t>
      </w:r>
      <w:r w:rsidR="00750F64" w:rsidRPr="001D7027">
        <w:rPr>
          <w:rFonts w:eastAsiaTheme="minorHAnsi"/>
        </w:rPr>
        <w:t>-</w:t>
      </w:r>
      <w:r w:rsidRPr="001D7027">
        <w:rPr>
          <w:rFonts w:eastAsiaTheme="minorHAnsi"/>
        </w:rPr>
        <w:t>dessus), et qu</w:t>
      </w:r>
      <w:r w:rsidR="00750F64" w:rsidRPr="001D7027">
        <w:rPr>
          <w:rFonts w:eastAsiaTheme="minorHAnsi"/>
        </w:rPr>
        <w:t>’</w:t>
      </w:r>
      <w:r w:rsidRPr="001D7027">
        <w:rPr>
          <w:rFonts w:eastAsiaTheme="minorHAnsi"/>
        </w:rPr>
        <w:t>aucun recrutement de personnel administratif temporaire n</w:t>
      </w:r>
      <w:r w:rsidR="00750F64" w:rsidRPr="001D7027">
        <w:rPr>
          <w:rFonts w:eastAsiaTheme="minorHAnsi"/>
        </w:rPr>
        <w:t>’</w:t>
      </w:r>
      <w:r w:rsidRPr="001D7027">
        <w:rPr>
          <w:rFonts w:eastAsiaTheme="minorHAnsi"/>
        </w:rPr>
        <w:t>a été porté au budget parce que ces travaux ont été exécutés par des intérimaires.</w:t>
      </w:r>
    </w:p>
    <w:p w:rsidR="00916691" w:rsidRPr="001D7027" w:rsidRDefault="00916691" w:rsidP="00916691">
      <w:pPr>
        <w:rPr>
          <w:rFonts w:cs="Arial"/>
          <w:highlight w:val="yellow"/>
        </w:rPr>
      </w:pPr>
    </w:p>
    <w:p w:rsidR="00916691" w:rsidRPr="001D7027" w:rsidRDefault="00916691" w:rsidP="00916691">
      <w:pPr>
        <w:rPr>
          <w:rFonts w:cs="Arial"/>
          <w:u w:val="single"/>
        </w:rPr>
      </w:pPr>
      <w:r w:rsidRPr="001D7027">
        <w:rPr>
          <w:rFonts w:cs="Arial"/>
          <w:u w:val="single"/>
        </w:rPr>
        <w:t>Autres ressources</w:t>
      </w:r>
    </w:p>
    <w:p w:rsidR="00916691" w:rsidRPr="001D7027" w:rsidRDefault="00916691" w:rsidP="00916691">
      <w:pPr>
        <w:rPr>
          <w:rFonts w:cs="Arial"/>
          <w:highlight w:val="yellow"/>
        </w:rPr>
      </w:pPr>
    </w:p>
    <w:p w:rsidR="00916691" w:rsidRPr="001D7027" w:rsidRDefault="00916691" w:rsidP="00916691">
      <w:pPr>
        <w:rPr>
          <w:rFonts w:eastAsiaTheme="minorHAnsi"/>
        </w:rPr>
      </w:pPr>
      <w:r w:rsidRPr="001D7027">
        <w:rPr>
          <w:rFonts w:eastAsiaTheme="minorHAnsi"/>
        </w:rPr>
        <w:t>Le total des autres dépenses (avant ajustements IPSAS) s</w:t>
      </w:r>
      <w:r w:rsidR="00750F64" w:rsidRPr="001D7027">
        <w:rPr>
          <w:rFonts w:eastAsiaTheme="minorHAnsi"/>
        </w:rPr>
        <w:t>’</w:t>
      </w:r>
      <w:r w:rsidRPr="001D7027">
        <w:rPr>
          <w:rFonts w:eastAsiaTheme="minorHAnsi"/>
        </w:rPr>
        <w:t>est élevé à 2,5 millions de</w:t>
      </w:r>
      <w:r w:rsidR="00495A8C">
        <w:rPr>
          <w:rFonts w:eastAsiaTheme="minorHAnsi"/>
        </w:rPr>
        <w:t> francs suisses</w:t>
      </w:r>
      <w:r w:rsidRPr="001D7027">
        <w:rPr>
          <w:rFonts w:eastAsiaTheme="minorHAnsi"/>
        </w:rPr>
        <w:t xml:space="preserve"> pour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2018</w:t>
      </w:r>
      <w:r w:rsidR="00750F64" w:rsidRPr="001D7027">
        <w:rPr>
          <w:rFonts w:eastAsiaTheme="minorHAnsi"/>
        </w:rPr>
        <w:t>-</w:t>
      </w:r>
      <w:r w:rsidRPr="001D7027">
        <w:rPr>
          <w:rFonts w:eastAsiaTheme="minorHAnsi"/>
        </w:rPr>
        <w:t>2019, c</w:t>
      </w:r>
      <w:r w:rsidR="00750F64" w:rsidRPr="001D7027">
        <w:rPr>
          <w:rFonts w:eastAsiaTheme="minorHAnsi"/>
        </w:rPr>
        <w:t>’</w:t>
      </w:r>
      <w:r w:rsidRPr="001D7027">
        <w:rPr>
          <w:rFonts w:eastAsiaTheme="minorHAnsi"/>
        </w:rPr>
        <w:t>est</w:t>
      </w:r>
      <w:r w:rsidR="00750F64" w:rsidRPr="001D7027">
        <w:rPr>
          <w:rFonts w:eastAsiaTheme="minorHAnsi"/>
        </w:rPr>
        <w:t>-</w:t>
      </w:r>
      <w:r w:rsidRPr="001D7027">
        <w:rPr>
          <w:rFonts w:eastAsiaTheme="minorHAnsi"/>
        </w:rPr>
        <w:t>à</w:t>
      </w:r>
      <w:r w:rsidR="00750F64" w:rsidRPr="001D7027">
        <w:rPr>
          <w:rFonts w:eastAsiaTheme="minorHAnsi"/>
        </w:rPr>
        <w:t>-</w:t>
      </w:r>
      <w:r w:rsidRPr="001D7027">
        <w:rPr>
          <w:rFonts w:eastAsiaTheme="minorHAnsi"/>
        </w:rPr>
        <w:t>dire 316 171</w:t>
      </w:r>
      <w:r w:rsidR="00495A8C">
        <w:rPr>
          <w:rFonts w:eastAsiaTheme="minorHAnsi"/>
        </w:rPr>
        <w:t> francs suisses</w:t>
      </w:r>
      <w:r w:rsidRPr="001D7027">
        <w:rPr>
          <w:rFonts w:eastAsiaTheme="minorHAnsi"/>
        </w:rPr>
        <w:t xml:space="preserve"> ou 14,6% de plus que l</w:t>
      </w:r>
      <w:r w:rsidR="00750F64" w:rsidRPr="001D7027">
        <w:rPr>
          <w:rFonts w:eastAsiaTheme="minorHAnsi"/>
        </w:rPr>
        <w:t>’</w:t>
      </w:r>
      <w:r w:rsidRPr="001D7027">
        <w:rPr>
          <w:rFonts w:eastAsiaTheme="minorHAnsi"/>
        </w:rPr>
        <w:t>objectif inscrit au budg</w:t>
      </w:r>
      <w:r w:rsidR="00532185" w:rsidRPr="001D7027">
        <w:rPr>
          <w:rFonts w:eastAsiaTheme="minorHAnsi"/>
        </w:rPr>
        <w:t>et.  On</w:t>
      </w:r>
      <w:r w:rsidRPr="001D7027">
        <w:rPr>
          <w:rFonts w:eastAsiaTheme="minorHAnsi"/>
        </w:rPr>
        <w:t xml:space="preserve"> trouvera ci</w:t>
      </w:r>
      <w:r w:rsidR="00750F64" w:rsidRPr="001D7027">
        <w:rPr>
          <w:rFonts w:eastAsiaTheme="minorHAnsi"/>
        </w:rPr>
        <w:t>-</w:t>
      </w:r>
      <w:r w:rsidRPr="001D7027">
        <w:rPr>
          <w:rFonts w:eastAsiaTheme="minorHAnsi"/>
        </w:rPr>
        <w:t>après des explications par catégorie de dépenses.</w:t>
      </w:r>
    </w:p>
    <w:p w:rsidR="00916691" w:rsidRPr="001D7027" w:rsidRDefault="00916691" w:rsidP="00916691">
      <w:pPr>
        <w:rPr>
          <w:rFonts w:cs="Arial"/>
          <w:highlight w:val="yellow"/>
        </w:rPr>
      </w:pPr>
    </w:p>
    <w:p w:rsidR="00916691" w:rsidRPr="001D7027" w:rsidRDefault="00916691" w:rsidP="00916691">
      <w:pPr>
        <w:rPr>
          <w:rFonts w:cs="Arial"/>
          <w:i/>
        </w:rPr>
      </w:pPr>
      <w:r w:rsidRPr="001D7027">
        <w:rPr>
          <w:rFonts w:cs="Arial"/>
          <w:i/>
        </w:rPr>
        <w:t>Stagiaires</w:t>
      </w:r>
    </w:p>
    <w:p w:rsidR="00916691" w:rsidRPr="001D7027" w:rsidRDefault="00916691" w:rsidP="00916691">
      <w:pPr>
        <w:rPr>
          <w:rFonts w:cs="Arial"/>
          <w:i/>
          <w:highlight w:val="yellow"/>
        </w:rPr>
      </w:pPr>
    </w:p>
    <w:p w:rsidR="005D40E4" w:rsidRPr="001D7027" w:rsidRDefault="00916691" w:rsidP="00916691">
      <w:pPr>
        <w:rPr>
          <w:rFonts w:eastAsiaTheme="minorHAnsi"/>
        </w:rPr>
      </w:pPr>
      <w:r w:rsidRPr="001D7027">
        <w:rPr>
          <w:rFonts w:eastAsiaTheme="minorHAnsi"/>
        </w:rPr>
        <w:t>Pour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2018</w:t>
      </w:r>
      <w:r w:rsidR="00750F64" w:rsidRPr="001D7027">
        <w:rPr>
          <w:rFonts w:eastAsiaTheme="minorHAnsi"/>
        </w:rPr>
        <w:t>-</w:t>
      </w:r>
      <w:r w:rsidRPr="001D7027">
        <w:rPr>
          <w:rFonts w:eastAsiaTheme="minorHAnsi"/>
        </w:rPr>
        <w:t>2019, les dépenses liées aux stagiaires et aux boursiers, qui se sont élevées à 70 321</w:t>
      </w:r>
      <w:r w:rsidR="00495A8C">
        <w:rPr>
          <w:rFonts w:eastAsiaTheme="minorHAnsi"/>
        </w:rPr>
        <w:t> francs suisses</w:t>
      </w:r>
      <w:r w:rsidRPr="001D7027">
        <w:rPr>
          <w:rFonts w:eastAsiaTheme="minorHAnsi"/>
        </w:rPr>
        <w:t>, ont été sensiblement supérieures au montant inscrit au budget (40 000</w:t>
      </w:r>
      <w:r w:rsidR="00495A8C">
        <w:rPr>
          <w:rFonts w:eastAsiaTheme="minorHAnsi"/>
        </w:rPr>
        <w:t> francs suisses</w:t>
      </w:r>
      <w:r w:rsidRPr="001D7027">
        <w:rPr>
          <w:rFonts w:eastAsiaTheme="minorHAnsi"/>
        </w:rPr>
        <w:t>), en raison du recrutement d</w:t>
      </w:r>
      <w:r w:rsidR="00750F64" w:rsidRPr="001D7027">
        <w:rPr>
          <w:rFonts w:eastAsiaTheme="minorHAnsi"/>
        </w:rPr>
        <w:t>’</w:t>
      </w:r>
      <w:r w:rsidRPr="001D7027">
        <w:rPr>
          <w:rFonts w:eastAsiaTheme="minorHAnsi"/>
        </w:rPr>
        <w:t>un stagiaire en TI pour l</w:t>
      </w:r>
      <w:r w:rsidR="00750F64" w:rsidRPr="001D7027">
        <w:rPr>
          <w:rFonts w:eastAsiaTheme="minorHAnsi"/>
        </w:rPr>
        <w:t>’</w:t>
      </w:r>
      <w:r w:rsidRPr="001D7027">
        <w:rPr>
          <w:rFonts w:eastAsiaTheme="minorHAnsi"/>
        </w:rPr>
        <w:t>outil UPOV PRISMA et de dépenses liées aux voyages supérieures au montant prévu pour les boursiers.</w:t>
      </w:r>
    </w:p>
    <w:p w:rsidR="00916691" w:rsidRPr="001D7027" w:rsidRDefault="00916691" w:rsidP="00916691">
      <w:pPr>
        <w:rPr>
          <w:rFonts w:cs="Arial"/>
          <w:i/>
          <w:highlight w:val="yellow"/>
        </w:rPr>
      </w:pPr>
    </w:p>
    <w:p w:rsidR="00916691" w:rsidRPr="001D7027" w:rsidRDefault="00916691" w:rsidP="00916691">
      <w:pPr>
        <w:rPr>
          <w:rFonts w:cs="Arial"/>
          <w:i/>
        </w:rPr>
      </w:pPr>
      <w:r w:rsidRPr="001D7027">
        <w:rPr>
          <w:rFonts w:cs="Arial"/>
          <w:i/>
        </w:rPr>
        <w:t>Voyages</w:t>
      </w:r>
    </w:p>
    <w:p w:rsidR="00916691" w:rsidRPr="001D7027" w:rsidRDefault="00916691" w:rsidP="00916691">
      <w:pPr>
        <w:rPr>
          <w:rFonts w:cs="Arial"/>
          <w:i/>
          <w:highlight w:val="yellow"/>
        </w:rPr>
      </w:pPr>
    </w:p>
    <w:p w:rsidR="005D40E4" w:rsidRPr="001D7027" w:rsidRDefault="00916691" w:rsidP="00916691">
      <w:pPr>
        <w:rPr>
          <w:rFonts w:eastAsiaTheme="minorHAnsi"/>
        </w:rPr>
      </w:pPr>
      <w:r w:rsidRPr="001D7027">
        <w:rPr>
          <w:rFonts w:eastAsiaTheme="minorHAnsi"/>
        </w:rPr>
        <w:t>Le total des dépenses liées aux voyages s</w:t>
      </w:r>
      <w:r w:rsidR="00750F64" w:rsidRPr="001D7027">
        <w:rPr>
          <w:rFonts w:eastAsiaTheme="minorHAnsi"/>
        </w:rPr>
        <w:t>’</w:t>
      </w:r>
      <w:r w:rsidRPr="001D7027">
        <w:rPr>
          <w:rFonts w:eastAsiaTheme="minorHAnsi"/>
        </w:rPr>
        <w:t>est élevé à 445 548</w:t>
      </w:r>
      <w:r w:rsidR="00495A8C">
        <w:rPr>
          <w:rFonts w:eastAsiaTheme="minorHAnsi"/>
        </w:rPr>
        <w:t> francs suisses</w:t>
      </w:r>
      <w:r w:rsidRPr="001D7027">
        <w:rPr>
          <w:rFonts w:eastAsiaTheme="minorHAnsi"/>
        </w:rPr>
        <w:t>, soit 25 548</w:t>
      </w:r>
      <w:r w:rsidR="00495A8C">
        <w:rPr>
          <w:rFonts w:eastAsiaTheme="minorHAnsi"/>
        </w:rPr>
        <w:t> francs suisses</w:t>
      </w:r>
      <w:r w:rsidRPr="001D7027">
        <w:rPr>
          <w:rFonts w:eastAsiaTheme="minorHAnsi"/>
        </w:rPr>
        <w:t xml:space="preserve"> ou 6,1% de plus que le montant inscrit au budg</w:t>
      </w:r>
      <w:r w:rsidR="00532185" w:rsidRPr="001D7027">
        <w:rPr>
          <w:rFonts w:eastAsiaTheme="minorHAnsi"/>
        </w:rPr>
        <w:t>et.  To</w:t>
      </w:r>
      <w:r w:rsidRPr="001D7027">
        <w:rPr>
          <w:rFonts w:eastAsiaTheme="minorHAnsi"/>
        </w:rPr>
        <w:t>utefois, cela a représenté une réduction de 9,3% des dépenses liées aux voyages par rapport à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2016</w:t>
      </w:r>
      <w:r w:rsidR="00750F64" w:rsidRPr="001D7027">
        <w:rPr>
          <w:rFonts w:eastAsiaTheme="minorHAnsi"/>
        </w:rPr>
        <w:t>-</w:t>
      </w:r>
      <w:r w:rsidRPr="001D7027">
        <w:rPr>
          <w:rFonts w:eastAsiaTheme="minorHAnsi"/>
        </w:rPr>
        <w:t>2017 (491 226</w:t>
      </w:r>
      <w:r w:rsidR="00495A8C">
        <w:rPr>
          <w:rFonts w:eastAsiaTheme="minorHAnsi"/>
        </w:rPr>
        <w:t> francs suisses</w:t>
      </w:r>
      <w:r w:rsidR="00532185" w:rsidRPr="001D7027">
        <w:rPr>
          <w:rFonts w:eastAsiaTheme="minorHAnsi"/>
        </w:rPr>
        <w:t>).  Le</w:t>
      </w:r>
      <w:r w:rsidRPr="001D7027">
        <w:rPr>
          <w:rFonts w:eastAsiaTheme="minorHAnsi"/>
        </w:rPr>
        <w:t xml:space="preserve"> dépassement des dépenses prévues pour l</w:t>
      </w:r>
      <w:r w:rsidR="00750F64" w:rsidRPr="001D7027">
        <w:rPr>
          <w:rFonts w:eastAsiaTheme="minorHAnsi"/>
        </w:rPr>
        <w:t>’</w:t>
      </w:r>
      <w:r w:rsidRPr="001D7027">
        <w:rPr>
          <w:rFonts w:eastAsiaTheme="minorHAnsi"/>
        </w:rPr>
        <w:t xml:space="preserve">exercice </w:t>
      </w:r>
      <w:r w:rsidR="005D40E4" w:rsidRPr="001D7027">
        <w:rPr>
          <w:rFonts w:eastAsiaTheme="minorHAnsi"/>
        </w:rPr>
        <w:t>biennal 2018</w:t>
      </w:r>
      <w:r w:rsidR="00750F64" w:rsidRPr="001D7027">
        <w:rPr>
          <w:rFonts w:eastAsiaTheme="minorHAnsi"/>
        </w:rPr>
        <w:t>-</w:t>
      </w:r>
      <w:r w:rsidRPr="001D7027">
        <w:rPr>
          <w:rFonts w:eastAsiaTheme="minorHAnsi"/>
        </w:rPr>
        <w:t>2019 s</w:t>
      </w:r>
      <w:r w:rsidR="00750F64" w:rsidRPr="001D7027">
        <w:rPr>
          <w:rFonts w:eastAsiaTheme="minorHAnsi"/>
        </w:rPr>
        <w:t>’</w:t>
      </w:r>
      <w:r w:rsidRPr="001D7027">
        <w:rPr>
          <w:rFonts w:eastAsiaTheme="minorHAnsi"/>
        </w:rPr>
        <w:t>explique par le nombre supérieur de missions réalisées par le personnel, lesquelles ont été rendues possibles par la décision de passer à une seule série de sessions de l</w:t>
      </w:r>
      <w:r w:rsidR="00750F64" w:rsidRPr="001D7027">
        <w:rPr>
          <w:rFonts w:eastAsiaTheme="minorHAnsi"/>
        </w:rPr>
        <w:t>’</w:t>
      </w:r>
      <w:r w:rsidRPr="001D7027">
        <w:rPr>
          <w:rFonts w:eastAsiaTheme="minorHAnsi"/>
        </w:rPr>
        <w:t>UPOV à Genève.</w:t>
      </w:r>
    </w:p>
    <w:p w:rsidR="00916691" w:rsidRPr="001D7027" w:rsidRDefault="00916691" w:rsidP="00916691">
      <w:pPr>
        <w:rPr>
          <w:rFonts w:cs="Arial"/>
          <w:i/>
        </w:rPr>
      </w:pPr>
    </w:p>
    <w:p w:rsidR="00916691" w:rsidRPr="001D7027" w:rsidRDefault="00916691" w:rsidP="00481CA0">
      <w:pPr>
        <w:keepNext/>
        <w:rPr>
          <w:rFonts w:cs="Arial"/>
          <w:i/>
        </w:rPr>
      </w:pPr>
      <w:r w:rsidRPr="001D7027">
        <w:rPr>
          <w:rFonts w:cs="Arial"/>
          <w:i/>
        </w:rPr>
        <w:t>Services contractuels</w:t>
      </w:r>
    </w:p>
    <w:p w:rsidR="00916691" w:rsidRPr="001D7027" w:rsidRDefault="00916691" w:rsidP="00481CA0">
      <w:pPr>
        <w:keepNext/>
        <w:rPr>
          <w:rFonts w:eastAsiaTheme="minorHAnsi"/>
        </w:rPr>
      </w:pPr>
    </w:p>
    <w:p w:rsidR="00916691" w:rsidRPr="001D7027" w:rsidRDefault="00916691" w:rsidP="00916691">
      <w:pPr>
        <w:rPr>
          <w:rFonts w:eastAsiaTheme="minorHAnsi"/>
        </w:rPr>
      </w:pPr>
      <w:r w:rsidRPr="001D7027">
        <w:rPr>
          <w:rFonts w:eastAsiaTheme="minorHAnsi"/>
        </w:rPr>
        <w:t>Les services contractuels se sont élevés au total à 726 475</w:t>
      </w:r>
      <w:r w:rsidR="00495A8C">
        <w:rPr>
          <w:rFonts w:eastAsiaTheme="minorHAnsi"/>
        </w:rPr>
        <w:t> francs suisses</w:t>
      </w:r>
      <w:r w:rsidRPr="001D7027">
        <w:rPr>
          <w:rFonts w:eastAsiaTheme="minorHAnsi"/>
        </w:rPr>
        <w:t>, soit 291 475</w:t>
      </w:r>
      <w:r w:rsidR="00495A8C">
        <w:rPr>
          <w:rFonts w:eastAsiaTheme="minorHAnsi"/>
        </w:rPr>
        <w:t> francs suisses</w:t>
      </w:r>
      <w:r w:rsidRPr="001D7027">
        <w:rPr>
          <w:rFonts w:eastAsiaTheme="minorHAnsi"/>
        </w:rPr>
        <w:t xml:space="preserve"> de plus que le montant inscrit au budget, en raison de dépenses supérieures aux prévisions au titre des autres services contractuels.</w:t>
      </w:r>
    </w:p>
    <w:p w:rsidR="00916691" w:rsidRPr="001D7027" w:rsidRDefault="00916691" w:rsidP="00916691">
      <w:pPr>
        <w:rPr>
          <w:rFonts w:eastAsiaTheme="minorHAnsi" w:cs="Arial"/>
        </w:rPr>
      </w:pPr>
    </w:p>
    <w:p w:rsidR="005D40E4" w:rsidRPr="001D7027" w:rsidRDefault="00916691" w:rsidP="00916691">
      <w:pPr>
        <w:rPr>
          <w:rFonts w:eastAsiaTheme="minorHAnsi" w:cs="Arial"/>
        </w:rPr>
      </w:pPr>
      <w:r w:rsidRPr="001D7027">
        <w:rPr>
          <w:rFonts w:eastAsiaTheme="minorHAnsi" w:cs="Arial"/>
        </w:rPr>
        <w:t>Les dépenses au titre des conférences, d</w:t>
      </w:r>
      <w:r w:rsidR="00750F64" w:rsidRPr="001D7027">
        <w:rPr>
          <w:rFonts w:eastAsiaTheme="minorHAnsi" w:cs="Arial"/>
        </w:rPr>
        <w:t>’</w:t>
      </w:r>
      <w:r w:rsidRPr="001D7027">
        <w:rPr>
          <w:rFonts w:eastAsiaTheme="minorHAnsi" w:cs="Arial"/>
        </w:rPr>
        <w:t>un montant de 139 090</w:t>
      </w:r>
      <w:r w:rsidR="00495A8C">
        <w:rPr>
          <w:rFonts w:eastAsiaTheme="minorHAnsi" w:cs="Arial"/>
        </w:rPr>
        <w:t> francs suisses</w:t>
      </w:r>
      <w:r w:rsidRPr="001D7027">
        <w:rPr>
          <w:rFonts w:eastAsiaTheme="minorHAnsi" w:cs="Arial"/>
        </w:rPr>
        <w:t>, étaient conformes au budget prévu (140 000</w:t>
      </w:r>
      <w:r w:rsidR="00495A8C">
        <w:rPr>
          <w:rFonts w:eastAsiaTheme="minorHAnsi" w:cs="Arial"/>
        </w:rPr>
        <w:t> francs suisses</w:t>
      </w:r>
      <w:r w:rsidR="00532185" w:rsidRPr="001D7027">
        <w:rPr>
          <w:rFonts w:eastAsiaTheme="minorHAnsi" w:cs="Arial"/>
        </w:rPr>
        <w:t>).  En</w:t>
      </w:r>
      <w:r w:rsidRPr="001D7027">
        <w:rPr>
          <w:rFonts w:eastAsiaTheme="minorHAnsi" w:cs="Arial"/>
        </w:rPr>
        <w:t xml:space="preserve"> raison du passage à une seule série de sessions de l</w:t>
      </w:r>
      <w:r w:rsidR="00750F64" w:rsidRPr="001D7027">
        <w:rPr>
          <w:rFonts w:eastAsiaTheme="minorHAnsi" w:cs="Arial"/>
        </w:rPr>
        <w:t>’</w:t>
      </w:r>
      <w:r w:rsidRPr="001D7027">
        <w:rPr>
          <w:rFonts w:eastAsiaTheme="minorHAnsi" w:cs="Arial"/>
        </w:rPr>
        <w:t>UPOV à Genève, les dépenses liées aux conférences ont diminué de 24,4% (44 821</w:t>
      </w:r>
      <w:r w:rsidR="00495A8C">
        <w:rPr>
          <w:rFonts w:eastAsiaTheme="minorHAnsi" w:cs="Arial"/>
        </w:rPr>
        <w:t> francs suisses</w:t>
      </w:r>
      <w:r w:rsidRPr="001D7027">
        <w:rPr>
          <w:rFonts w:eastAsiaTheme="minorHAnsi" w:cs="Arial"/>
        </w:rPr>
        <w:t>) par rapport à l</w:t>
      </w:r>
      <w:r w:rsidR="00750F64" w:rsidRPr="001D7027">
        <w:rPr>
          <w:rFonts w:eastAsiaTheme="minorHAnsi" w:cs="Arial"/>
        </w:rPr>
        <w:t>’</w:t>
      </w:r>
      <w:r w:rsidRPr="001D7027">
        <w:rPr>
          <w:rFonts w:eastAsiaTheme="minorHAnsi" w:cs="Arial"/>
        </w:rPr>
        <w:t xml:space="preserve">exercice </w:t>
      </w:r>
      <w:r w:rsidR="005D40E4" w:rsidRPr="001D7027">
        <w:rPr>
          <w:rFonts w:eastAsiaTheme="minorHAnsi" w:cs="Arial"/>
        </w:rPr>
        <w:t>biennal 2016</w:t>
      </w:r>
      <w:r w:rsidR="00750F64" w:rsidRPr="001D7027">
        <w:rPr>
          <w:rFonts w:eastAsiaTheme="minorHAnsi" w:cs="Arial"/>
        </w:rPr>
        <w:t>-</w:t>
      </w:r>
      <w:r w:rsidRPr="001D7027">
        <w:rPr>
          <w:rFonts w:eastAsiaTheme="minorHAnsi" w:cs="Arial"/>
        </w:rPr>
        <w:t>2017.</w:t>
      </w:r>
    </w:p>
    <w:p w:rsidR="00916691" w:rsidRPr="001D7027" w:rsidRDefault="00916691" w:rsidP="00916691">
      <w:pPr>
        <w:rPr>
          <w:rFonts w:eastAsiaTheme="minorHAnsi" w:cs="Arial"/>
        </w:rPr>
      </w:pPr>
    </w:p>
    <w:p w:rsidR="00916691" w:rsidRPr="001D7027" w:rsidRDefault="00916691" w:rsidP="00916691">
      <w:pPr>
        <w:rPr>
          <w:rFonts w:eastAsiaTheme="minorHAnsi" w:cs="Arial"/>
        </w:rPr>
      </w:pPr>
      <w:r w:rsidRPr="001D7027">
        <w:rPr>
          <w:rFonts w:eastAsiaTheme="minorHAnsi" w:cs="Arial"/>
        </w:rPr>
        <w:t>Les dépenses liées aux publications et aux services de prestataires individuels ont été minimes et globalement conformes aux prévisions.</w:t>
      </w:r>
    </w:p>
    <w:p w:rsidR="00916691" w:rsidRPr="001D7027" w:rsidRDefault="00916691" w:rsidP="00916691">
      <w:pPr>
        <w:rPr>
          <w:rFonts w:eastAsiaTheme="minorHAnsi" w:cs="Arial"/>
        </w:rPr>
      </w:pPr>
    </w:p>
    <w:p w:rsidR="00916691" w:rsidRPr="001D7027" w:rsidRDefault="00916691" w:rsidP="00916691">
      <w:pPr>
        <w:rPr>
          <w:rFonts w:eastAsiaTheme="minorHAnsi" w:cs="Arial"/>
        </w:rPr>
      </w:pPr>
      <w:r w:rsidRPr="001D7027">
        <w:rPr>
          <w:rFonts w:eastAsiaTheme="minorHAnsi" w:cs="Arial"/>
        </w:rPr>
        <w:t>Les dépenses supérieures au titre des autres services contractuels (580 314</w:t>
      </w:r>
      <w:r w:rsidR="00495A8C">
        <w:rPr>
          <w:rFonts w:eastAsiaTheme="minorHAnsi" w:cs="Arial"/>
        </w:rPr>
        <w:t> francs suisses</w:t>
      </w:r>
      <w:r w:rsidRPr="001D7027">
        <w:rPr>
          <w:rFonts w:eastAsiaTheme="minorHAnsi" w:cs="Arial"/>
        </w:rPr>
        <w:t xml:space="preserve"> par rapport aux 265 000</w:t>
      </w:r>
      <w:r w:rsidR="00495A8C">
        <w:rPr>
          <w:rFonts w:eastAsiaTheme="minorHAnsi" w:cs="Arial"/>
        </w:rPr>
        <w:t> francs suisses</w:t>
      </w:r>
      <w:r w:rsidRPr="001D7027">
        <w:rPr>
          <w:rFonts w:eastAsiaTheme="minorHAnsi" w:cs="Arial"/>
        </w:rPr>
        <w:t xml:space="preserve"> inscrits au budget) s</w:t>
      </w:r>
      <w:r w:rsidR="00750F64" w:rsidRPr="001D7027">
        <w:rPr>
          <w:rFonts w:eastAsiaTheme="minorHAnsi" w:cs="Arial"/>
        </w:rPr>
        <w:t>’</w:t>
      </w:r>
      <w:r w:rsidRPr="001D7027">
        <w:rPr>
          <w:rFonts w:eastAsiaTheme="minorHAnsi" w:cs="Arial"/>
        </w:rPr>
        <w:t>expliquent par</w:t>
      </w:r>
      <w:r w:rsidR="00750F64" w:rsidRPr="001D7027">
        <w:rPr>
          <w:rFonts w:eastAsiaTheme="minorHAnsi" w:cs="Arial"/>
        </w:rPr>
        <w:t> :</w:t>
      </w:r>
    </w:p>
    <w:p w:rsidR="00916691" w:rsidRPr="001D7027" w:rsidRDefault="00916691" w:rsidP="00916691">
      <w:pPr>
        <w:rPr>
          <w:rFonts w:eastAsiaTheme="minorHAnsi" w:cs="Arial"/>
        </w:rPr>
      </w:pPr>
    </w:p>
    <w:p w:rsidR="00916691" w:rsidRPr="001D7027" w:rsidRDefault="00916691" w:rsidP="008E239D">
      <w:pPr>
        <w:pStyle w:val="ListParagraph"/>
        <w:numPr>
          <w:ilvl w:val="0"/>
          <w:numId w:val="1"/>
        </w:numPr>
        <w:ind w:left="927"/>
        <w:contextualSpacing w:val="0"/>
        <w:rPr>
          <w:rFonts w:eastAsiaTheme="minorHAnsi"/>
          <w:lang w:val="fr-FR"/>
        </w:rPr>
      </w:pPr>
      <w:r w:rsidRPr="001D7027">
        <w:rPr>
          <w:rFonts w:eastAsiaTheme="minorHAnsi"/>
          <w:lang w:val="fr-FR"/>
        </w:rPr>
        <w:t>les dépenses supplémentaires liées au personnel intérimaire (324 014</w:t>
      </w:r>
      <w:r w:rsidR="00495A8C">
        <w:rPr>
          <w:rFonts w:eastAsiaTheme="minorHAnsi"/>
          <w:lang w:val="fr-FR"/>
        </w:rPr>
        <w:t> francs suisses</w:t>
      </w:r>
      <w:r w:rsidRPr="001D7027">
        <w:rPr>
          <w:rFonts w:eastAsiaTheme="minorHAnsi"/>
          <w:lang w:val="fr-FR"/>
        </w:rPr>
        <w:t xml:space="preserve"> par rapport au budget prévu de 110 000</w:t>
      </w:r>
      <w:r w:rsidR="00495A8C">
        <w:rPr>
          <w:rFonts w:eastAsiaTheme="minorHAnsi"/>
          <w:lang w:val="fr-FR"/>
        </w:rPr>
        <w:t> francs suisses</w:t>
      </w:r>
      <w:r w:rsidRPr="001D7027">
        <w:rPr>
          <w:rFonts w:eastAsiaTheme="minorHAnsi"/>
          <w:lang w:val="fr-FR"/>
        </w:rPr>
        <w:t>) afin de couvrir</w:t>
      </w:r>
      <w:r w:rsidR="00750F64" w:rsidRPr="001D7027">
        <w:rPr>
          <w:rFonts w:eastAsiaTheme="minorHAnsi"/>
          <w:lang w:val="fr-FR"/>
        </w:rPr>
        <w:t> :</w:t>
      </w:r>
      <w:r w:rsidRPr="001D7027">
        <w:rPr>
          <w:rFonts w:eastAsiaTheme="minorHAnsi"/>
          <w:lang w:val="fr-FR"/>
        </w:rPr>
        <w:t xml:space="preserve"> i)</w:t>
      </w:r>
      <w:r w:rsidR="00CA2E8B" w:rsidRPr="001D7027">
        <w:rPr>
          <w:rFonts w:eastAsiaTheme="minorHAnsi"/>
          <w:lang w:val="fr-FR"/>
        </w:rPr>
        <w:t> </w:t>
      </w:r>
      <w:r w:rsidRPr="001D7027">
        <w:rPr>
          <w:rFonts w:eastAsiaTheme="minorHAnsi"/>
          <w:lang w:val="fr-FR"/>
        </w:rPr>
        <w:t>les deux</w:t>
      </w:r>
      <w:r w:rsidR="00CA2E8B" w:rsidRPr="001D7027">
        <w:rPr>
          <w:rFonts w:eastAsiaTheme="minorHAnsi"/>
          <w:lang w:val="fr-FR"/>
        </w:rPr>
        <w:t> </w:t>
      </w:r>
      <w:r w:rsidRPr="001D7027">
        <w:rPr>
          <w:rFonts w:eastAsiaTheme="minorHAnsi"/>
          <w:lang w:val="fr-FR"/>
        </w:rPr>
        <w:t>fonctionnaires des services généraux travaillant à temps partiel (80%) et ii)</w:t>
      </w:r>
      <w:r w:rsidR="00CA2E8B" w:rsidRPr="001D7027">
        <w:rPr>
          <w:rFonts w:eastAsiaTheme="minorHAnsi"/>
          <w:lang w:val="fr-FR"/>
        </w:rPr>
        <w:t> </w:t>
      </w:r>
      <w:r w:rsidRPr="001D7027">
        <w:rPr>
          <w:rFonts w:eastAsiaTheme="minorHAnsi"/>
          <w:lang w:val="fr-FR"/>
        </w:rPr>
        <w:t xml:space="preserve">le poste temporaire vacant dans la catégorie des services administratifs (voir </w:t>
      </w:r>
      <w:r w:rsidR="005D40E4" w:rsidRPr="001D7027">
        <w:rPr>
          <w:rFonts w:eastAsiaTheme="minorHAnsi"/>
          <w:lang w:val="fr-FR"/>
        </w:rPr>
        <w:t>“R</w:t>
      </w:r>
      <w:r w:rsidRPr="001D7027">
        <w:rPr>
          <w:rFonts w:eastAsiaTheme="minorHAnsi"/>
          <w:lang w:val="fr-FR"/>
        </w:rPr>
        <w:t>essources en personne</w:t>
      </w:r>
      <w:r w:rsidR="005D40E4" w:rsidRPr="001D7027">
        <w:rPr>
          <w:rFonts w:eastAsiaTheme="minorHAnsi"/>
          <w:lang w:val="fr-FR"/>
        </w:rPr>
        <w:t>l”</w:t>
      </w:r>
      <w:r w:rsidRPr="001D7027">
        <w:rPr>
          <w:rFonts w:eastAsiaTheme="minorHAnsi"/>
          <w:lang w:val="fr-FR"/>
        </w:rPr>
        <w:t>);</w:t>
      </w:r>
    </w:p>
    <w:p w:rsidR="00916691" w:rsidRPr="001D7027" w:rsidRDefault="00916691" w:rsidP="008E239D">
      <w:pPr>
        <w:pStyle w:val="ListParagraph"/>
        <w:ind w:left="927"/>
        <w:contextualSpacing w:val="0"/>
        <w:rPr>
          <w:rFonts w:eastAsiaTheme="minorHAnsi"/>
          <w:lang w:val="fr-FR"/>
        </w:rPr>
      </w:pPr>
    </w:p>
    <w:p w:rsidR="005D40E4" w:rsidRPr="001D7027" w:rsidRDefault="00916691" w:rsidP="008E239D">
      <w:pPr>
        <w:pStyle w:val="ListParagraph"/>
        <w:numPr>
          <w:ilvl w:val="0"/>
          <w:numId w:val="1"/>
        </w:numPr>
        <w:ind w:left="927"/>
        <w:contextualSpacing w:val="0"/>
        <w:rPr>
          <w:rFonts w:eastAsiaTheme="minorHAnsi"/>
          <w:lang w:val="fr-FR"/>
        </w:rPr>
      </w:pPr>
      <w:r w:rsidRPr="001D7027">
        <w:rPr>
          <w:rFonts w:eastAsiaTheme="minorHAnsi"/>
          <w:lang w:val="fr-FR"/>
        </w:rPr>
        <w:lastRenderedPageBreak/>
        <w:t>les coûts de développement informatique supérieurs aux prévisions (232 001</w:t>
      </w:r>
      <w:r w:rsidR="00495A8C">
        <w:rPr>
          <w:rFonts w:eastAsiaTheme="minorHAnsi"/>
          <w:lang w:val="fr-FR"/>
        </w:rPr>
        <w:t> francs suisses</w:t>
      </w:r>
      <w:r w:rsidRPr="001D7027">
        <w:rPr>
          <w:rFonts w:eastAsiaTheme="minorHAnsi"/>
          <w:lang w:val="fr-FR"/>
        </w:rPr>
        <w:t xml:space="preserve"> par rapport au budget prévu de 135 000</w:t>
      </w:r>
      <w:r w:rsidR="00495A8C">
        <w:rPr>
          <w:rFonts w:eastAsiaTheme="minorHAnsi"/>
          <w:lang w:val="fr-FR"/>
        </w:rPr>
        <w:t> francs suisses</w:t>
      </w:r>
      <w:r w:rsidRPr="001D7027">
        <w:rPr>
          <w:rFonts w:eastAsiaTheme="minorHAnsi"/>
          <w:lang w:val="fr-FR"/>
        </w:rPr>
        <w:t>), qui ont été nécessaires au développement des interfaces machine</w:t>
      </w:r>
      <w:r w:rsidR="00750F64" w:rsidRPr="001D7027">
        <w:rPr>
          <w:rFonts w:eastAsiaTheme="minorHAnsi"/>
          <w:lang w:val="fr-FR"/>
        </w:rPr>
        <w:t>-</w:t>
      </w:r>
      <w:r w:rsidRPr="001D7027">
        <w:rPr>
          <w:rFonts w:eastAsiaTheme="minorHAnsi"/>
          <w:lang w:val="fr-FR"/>
        </w:rPr>
        <w:t>machine avec les services de protection des obtentions végétales pour l</w:t>
      </w:r>
      <w:r w:rsidR="00750F64" w:rsidRPr="001D7027">
        <w:rPr>
          <w:rFonts w:eastAsiaTheme="minorHAnsi"/>
          <w:lang w:val="fr-FR"/>
        </w:rPr>
        <w:t>’</w:t>
      </w:r>
      <w:r w:rsidRPr="001D7027">
        <w:rPr>
          <w:rFonts w:eastAsiaTheme="minorHAnsi"/>
          <w:lang w:val="fr-FR"/>
        </w:rPr>
        <w:t>outil UPOV PRISMA et pour la mise en œuvre des améliorations de l</w:t>
      </w:r>
      <w:r w:rsidR="00750F64" w:rsidRPr="001D7027">
        <w:rPr>
          <w:rFonts w:eastAsiaTheme="minorHAnsi"/>
          <w:lang w:val="fr-FR"/>
        </w:rPr>
        <w:t>’</w:t>
      </w:r>
      <w:r w:rsidRPr="001D7027">
        <w:rPr>
          <w:rFonts w:eastAsiaTheme="minorHAnsi"/>
          <w:lang w:val="fr-FR"/>
        </w:rPr>
        <w:t>interface utilisateur;</w:t>
      </w:r>
    </w:p>
    <w:p w:rsidR="00916691" w:rsidRPr="001D7027" w:rsidRDefault="00916691" w:rsidP="008E239D">
      <w:pPr>
        <w:pStyle w:val="ListParagraph"/>
        <w:ind w:left="927"/>
        <w:contextualSpacing w:val="0"/>
        <w:rPr>
          <w:rFonts w:eastAsiaTheme="minorHAnsi"/>
          <w:lang w:val="fr-FR"/>
        </w:rPr>
      </w:pPr>
    </w:p>
    <w:p w:rsidR="005D40E4" w:rsidRPr="001D7027" w:rsidRDefault="00916691" w:rsidP="008E239D">
      <w:pPr>
        <w:pStyle w:val="ListParagraph"/>
        <w:numPr>
          <w:ilvl w:val="0"/>
          <w:numId w:val="1"/>
        </w:numPr>
        <w:ind w:left="927"/>
        <w:contextualSpacing w:val="0"/>
        <w:rPr>
          <w:rFonts w:eastAsiaTheme="minorHAnsi"/>
          <w:lang w:val="fr-FR"/>
        </w:rPr>
      </w:pPr>
      <w:r w:rsidRPr="001D7027">
        <w:rPr>
          <w:rFonts w:eastAsiaTheme="minorHAnsi"/>
          <w:lang w:val="fr-FR"/>
        </w:rPr>
        <w:t>les dépenses liées aux réseaux sociaux et à la formation du personnel externe.</w:t>
      </w:r>
    </w:p>
    <w:p w:rsidR="00916691" w:rsidRPr="001D7027" w:rsidRDefault="00916691" w:rsidP="00916691">
      <w:pPr>
        <w:rPr>
          <w:rFonts w:cs="Arial"/>
          <w:i/>
        </w:rPr>
      </w:pPr>
    </w:p>
    <w:p w:rsidR="00916691" w:rsidRPr="001D7027" w:rsidRDefault="00916691" w:rsidP="00916691">
      <w:pPr>
        <w:keepNext/>
        <w:rPr>
          <w:rFonts w:cs="Arial"/>
          <w:i/>
        </w:rPr>
      </w:pPr>
      <w:r w:rsidRPr="001D7027">
        <w:rPr>
          <w:rFonts w:cs="Arial"/>
          <w:i/>
        </w:rPr>
        <w:t>Dépenses de fonctionnement</w:t>
      </w:r>
    </w:p>
    <w:p w:rsidR="00916691" w:rsidRPr="001D7027" w:rsidRDefault="00916691" w:rsidP="00916691">
      <w:pPr>
        <w:keepNext/>
        <w:rPr>
          <w:rFonts w:cs="Arial"/>
          <w:i/>
        </w:rPr>
      </w:pPr>
    </w:p>
    <w:p w:rsidR="00916691" w:rsidRPr="001D7027" w:rsidRDefault="00916691" w:rsidP="00916691">
      <w:pPr>
        <w:jc w:val="left"/>
        <w:rPr>
          <w:rFonts w:eastAsiaTheme="minorHAnsi"/>
        </w:rPr>
      </w:pPr>
      <w:r w:rsidRPr="001D7027">
        <w:rPr>
          <w:rFonts w:eastAsiaTheme="minorHAnsi"/>
        </w:rPr>
        <w:t>Les dépenses de fonctionnement se sont élevées à 1,2 million de</w:t>
      </w:r>
      <w:r w:rsidR="00495A8C">
        <w:rPr>
          <w:rFonts w:eastAsiaTheme="minorHAnsi"/>
        </w:rPr>
        <w:t> francs suisses</w:t>
      </w:r>
      <w:r w:rsidRPr="001D7027">
        <w:rPr>
          <w:rFonts w:eastAsiaTheme="minorHAnsi"/>
        </w:rPr>
        <w:t>, soit légèrement moins que le montant inscrit au budget, grâce à la maîtrise des coûts relatifs aux services fournis par l</w:t>
      </w:r>
      <w:r w:rsidR="00750F64" w:rsidRPr="001D7027">
        <w:rPr>
          <w:rFonts w:eastAsiaTheme="minorHAnsi"/>
        </w:rPr>
        <w:t>’</w:t>
      </w:r>
      <w:r w:rsidRPr="001D7027">
        <w:rPr>
          <w:rFonts w:eastAsiaTheme="minorHAnsi"/>
        </w:rPr>
        <w:t>Organisation Mondiale de la Propriété Intellectuelle (OMPI) à l</w:t>
      </w:r>
      <w:r w:rsidR="00750F64" w:rsidRPr="001D7027">
        <w:rPr>
          <w:rFonts w:eastAsiaTheme="minorHAnsi"/>
        </w:rPr>
        <w:t>’</w:t>
      </w:r>
      <w:r w:rsidRPr="001D7027">
        <w:rPr>
          <w:rFonts w:eastAsiaTheme="minorHAnsi"/>
        </w:rPr>
        <w:t>UPOV.</w:t>
      </w:r>
    </w:p>
    <w:p w:rsidR="00916691" w:rsidRPr="001D7027" w:rsidRDefault="00916691" w:rsidP="00916691">
      <w:pPr>
        <w:tabs>
          <w:tab w:val="left" w:pos="0"/>
        </w:tabs>
        <w:rPr>
          <w:rFonts w:cs="Arial"/>
        </w:rPr>
      </w:pPr>
    </w:p>
    <w:p w:rsidR="00916691" w:rsidRPr="001D7027" w:rsidRDefault="00916691" w:rsidP="00916691">
      <w:pPr>
        <w:keepNext/>
        <w:rPr>
          <w:rFonts w:cs="Arial"/>
          <w:i/>
        </w:rPr>
      </w:pPr>
      <w:r w:rsidRPr="001D7027">
        <w:rPr>
          <w:rFonts w:cs="Arial"/>
          <w:i/>
        </w:rPr>
        <w:t>Matériel et fournitures</w:t>
      </w:r>
    </w:p>
    <w:p w:rsidR="00916691" w:rsidRPr="001D7027" w:rsidRDefault="00916691" w:rsidP="00916691">
      <w:pPr>
        <w:keepNext/>
        <w:rPr>
          <w:rFonts w:cs="Arial"/>
          <w:i/>
        </w:rPr>
      </w:pPr>
    </w:p>
    <w:p w:rsidR="00916691" w:rsidRPr="001D7027" w:rsidRDefault="00916691" w:rsidP="00916691">
      <w:pPr>
        <w:jc w:val="left"/>
        <w:rPr>
          <w:rFonts w:eastAsiaTheme="minorHAnsi" w:cs="Arial"/>
        </w:rPr>
      </w:pPr>
      <w:r w:rsidRPr="001D7027">
        <w:rPr>
          <w:rFonts w:eastAsiaTheme="minorHAnsi" w:cs="Arial"/>
        </w:rPr>
        <w:t>Le coût du matériel et des fournitures s</w:t>
      </w:r>
      <w:r w:rsidR="00750F64" w:rsidRPr="001D7027">
        <w:rPr>
          <w:rFonts w:eastAsiaTheme="minorHAnsi" w:cs="Arial"/>
        </w:rPr>
        <w:t>’</w:t>
      </w:r>
      <w:r w:rsidRPr="001D7027">
        <w:rPr>
          <w:rFonts w:eastAsiaTheme="minorHAnsi" w:cs="Arial"/>
        </w:rPr>
        <w:t xml:space="preserve">est élevé à </w:t>
      </w:r>
      <w:r w:rsidR="00CA2E8B" w:rsidRPr="001D7027">
        <w:rPr>
          <w:rFonts w:eastAsiaTheme="minorHAnsi" w:cs="Arial"/>
        </w:rPr>
        <w:t>2984</w:t>
      </w:r>
      <w:r w:rsidR="00495A8C">
        <w:rPr>
          <w:rFonts w:eastAsiaTheme="minorHAnsi" w:cs="Arial"/>
        </w:rPr>
        <w:t> francs suisses</w:t>
      </w:r>
      <w:r w:rsidRPr="001D7027">
        <w:rPr>
          <w:rFonts w:eastAsiaTheme="minorHAnsi" w:cs="Arial"/>
        </w:rPr>
        <w:t>, soit 17 016</w:t>
      </w:r>
      <w:r w:rsidR="00495A8C">
        <w:rPr>
          <w:rFonts w:eastAsiaTheme="minorHAnsi" w:cs="Arial"/>
        </w:rPr>
        <w:t> francs suisses</w:t>
      </w:r>
      <w:r w:rsidRPr="001D7027">
        <w:rPr>
          <w:rFonts w:eastAsiaTheme="minorHAnsi" w:cs="Arial"/>
        </w:rPr>
        <w:t xml:space="preserve"> de moins que le montant inscrit au budget.</w:t>
      </w:r>
    </w:p>
    <w:p w:rsidR="00916691" w:rsidRPr="001D7027" w:rsidRDefault="00916691" w:rsidP="00916691">
      <w:pPr>
        <w:keepNext/>
        <w:rPr>
          <w:rFonts w:cs="Arial"/>
        </w:rPr>
      </w:pPr>
    </w:p>
    <w:p w:rsidR="005D40E4" w:rsidRPr="001D7027" w:rsidRDefault="00916691" w:rsidP="00916691">
      <w:pPr>
        <w:rPr>
          <w:rFonts w:eastAsiaTheme="minorHAnsi"/>
        </w:rPr>
      </w:pPr>
      <w:r w:rsidRPr="001D7027">
        <w:rPr>
          <w:rFonts w:eastAsiaTheme="minorHAnsi"/>
        </w:rPr>
        <w:t xml:space="preserve">La ventilation des dépenses </w:t>
      </w:r>
      <w:r w:rsidR="005D40E4" w:rsidRPr="001D7027">
        <w:rPr>
          <w:rFonts w:eastAsiaTheme="minorHAnsi"/>
        </w:rPr>
        <w:t>pour 2018</w:t>
      </w:r>
      <w:r w:rsidR="00750F64" w:rsidRPr="001D7027">
        <w:rPr>
          <w:rFonts w:eastAsiaTheme="minorHAnsi"/>
        </w:rPr>
        <w:t>-</w:t>
      </w:r>
      <w:r w:rsidRPr="001D7027">
        <w:rPr>
          <w:rFonts w:eastAsiaTheme="minorHAnsi"/>
        </w:rPr>
        <w:t>2019 par sous</w:t>
      </w:r>
      <w:r w:rsidR="00750F64" w:rsidRPr="001D7027">
        <w:rPr>
          <w:rFonts w:eastAsiaTheme="minorHAnsi"/>
        </w:rPr>
        <w:t>-</w:t>
      </w:r>
      <w:r w:rsidRPr="001D7027">
        <w:rPr>
          <w:rFonts w:eastAsiaTheme="minorHAnsi"/>
        </w:rPr>
        <w:t>programme et par catégorie de dépenses est présentée dans le tableau 5 ci</w:t>
      </w:r>
      <w:r w:rsidR="00750F64" w:rsidRPr="001D7027">
        <w:rPr>
          <w:rFonts w:eastAsiaTheme="minorHAnsi"/>
        </w:rPr>
        <w:t>-</w:t>
      </w:r>
      <w:r w:rsidRPr="001D7027">
        <w:rPr>
          <w:rFonts w:eastAsiaTheme="minorHAnsi"/>
        </w:rPr>
        <w:t>dessous.</w:t>
      </w:r>
    </w:p>
    <w:p w:rsidR="00916691" w:rsidRPr="001D7027" w:rsidRDefault="00916691" w:rsidP="00916691">
      <w:pPr>
        <w:rPr>
          <w:rFonts w:eastAsiaTheme="minorHAnsi" w:cs="Arial"/>
          <w:highlight w:val="yellow"/>
        </w:rPr>
      </w:pPr>
    </w:p>
    <w:p w:rsidR="00916691" w:rsidRPr="001D7027" w:rsidRDefault="00916691" w:rsidP="00ED0026">
      <w:pPr>
        <w:pStyle w:val="Heading2"/>
        <w:rPr>
          <w:lang w:val="fr-FR"/>
        </w:rPr>
      </w:pPr>
      <w:bookmarkStart w:id="18" w:name="_Toc460229916"/>
      <w:bookmarkStart w:id="19" w:name="_Toc522808847"/>
      <w:bookmarkStart w:id="20" w:name="_Toc48657996"/>
      <w:r w:rsidRPr="001D7027">
        <w:rPr>
          <w:lang w:val="fr-FR"/>
        </w:rPr>
        <w:t>Tableau 5. Détails des dépenses par sous</w:t>
      </w:r>
      <w:r w:rsidR="00750F64" w:rsidRPr="001D7027">
        <w:rPr>
          <w:lang w:val="fr-FR"/>
        </w:rPr>
        <w:t>-</w:t>
      </w:r>
      <w:r w:rsidRPr="001D7027">
        <w:rPr>
          <w:lang w:val="fr-FR"/>
        </w:rPr>
        <w:t>programme pour l</w:t>
      </w:r>
      <w:r w:rsidR="00750F64" w:rsidRPr="001D7027">
        <w:rPr>
          <w:lang w:val="fr-FR"/>
        </w:rPr>
        <w:t>’</w:t>
      </w:r>
      <w:r w:rsidRPr="001D7027">
        <w:rPr>
          <w:lang w:val="fr-FR"/>
        </w:rPr>
        <w:t xml:space="preserve">exercice </w:t>
      </w:r>
      <w:r w:rsidR="005D40E4" w:rsidRPr="001D7027">
        <w:rPr>
          <w:lang w:val="fr-FR"/>
        </w:rPr>
        <w:t>biennal 2018</w:t>
      </w:r>
      <w:r w:rsidR="00750F64" w:rsidRPr="001D7027">
        <w:rPr>
          <w:lang w:val="fr-FR"/>
        </w:rPr>
        <w:t>-</w:t>
      </w:r>
      <w:r w:rsidRPr="001D7027">
        <w:rPr>
          <w:lang w:val="fr-FR"/>
        </w:rPr>
        <w:t>2019</w:t>
      </w:r>
      <w:bookmarkEnd w:id="18"/>
      <w:bookmarkEnd w:id="19"/>
      <w:bookmarkEnd w:id="20"/>
    </w:p>
    <w:p w:rsidR="00916691" w:rsidRPr="001D7027" w:rsidRDefault="00916691" w:rsidP="00443DE1">
      <w:pPr>
        <w:keepNext/>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916691" w:rsidRPr="001D7027" w:rsidRDefault="00443DE1" w:rsidP="00916691">
      <w:pPr>
        <w:spacing w:after="200" w:line="276" w:lineRule="auto"/>
        <w:jc w:val="center"/>
        <w:rPr>
          <w:rFonts w:eastAsiaTheme="minorHAnsi" w:cs="Arial"/>
          <w:i/>
        </w:rPr>
      </w:pPr>
      <w:r w:rsidRPr="001D7027">
        <w:rPr>
          <w:rFonts w:eastAsiaTheme="minorHAnsi"/>
          <w:noProof/>
          <w:lang w:val="en-US"/>
        </w:rPr>
        <w:drawing>
          <wp:inline distT="0" distB="0" distL="0" distR="0">
            <wp:extent cx="6120765" cy="49156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4915685"/>
                    </a:xfrm>
                    <a:prstGeom prst="rect">
                      <a:avLst/>
                    </a:prstGeom>
                    <a:noFill/>
                    <a:ln>
                      <a:noFill/>
                    </a:ln>
                  </pic:spPr>
                </pic:pic>
              </a:graphicData>
            </a:graphic>
          </wp:inline>
        </w:drawing>
      </w:r>
    </w:p>
    <w:p w:rsidR="00916691" w:rsidRPr="001D7027" w:rsidRDefault="00916691" w:rsidP="00916691">
      <w:pPr>
        <w:spacing w:line="276" w:lineRule="auto"/>
        <w:ind w:left="284" w:hanging="284"/>
        <w:rPr>
          <w:rFonts w:eastAsiaTheme="minorHAnsi" w:cs="Arial"/>
          <w:sz w:val="18"/>
          <w:szCs w:val="18"/>
        </w:rPr>
      </w:pPr>
      <w:r w:rsidRPr="001D7027">
        <w:rPr>
          <w:rFonts w:eastAsiaTheme="minorHAnsi" w:cs="Arial"/>
          <w:sz w:val="18"/>
          <w:szCs w:val="18"/>
        </w:rPr>
        <w:t>*</w:t>
      </w:r>
      <w:r w:rsidRPr="001D7027">
        <w:rPr>
          <w:rFonts w:eastAsiaTheme="minorHAnsi" w:cs="Arial"/>
          <w:sz w:val="18"/>
          <w:szCs w:val="18"/>
        </w:rPr>
        <w:tab/>
        <w:t>Toute différence entre les chiffres indiqués dans ce tableau et les suivants et ceux qui figurent dans les états financiers est due au fait que les montants ont été arrondis</w:t>
      </w:r>
      <w:r w:rsidRPr="001D7027">
        <w:rPr>
          <w:rFonts w:cs="Arial"/>
          <w:sz w:val="18"/>
          <w:szCs w:val="18"/>
        </w:rPr>
        <w:t>.</w:t>
      </w:r>
    </w:p>
    <w:p w:rsidR="00916691" w:rsidRPr="001D7027" w:rsidRDefault="00916691" w:rsidP="00916691">
      <w:pPr>
        <w:spacing w:line="276" w:lineRule="auto"/>
        <w:rPr>
          <w:rFonts w:eastAsiaTheme="minorHAnsi" w:cs="Arial"/>
          <w:sz w:val="18"/>
          <w:szCs w:val="18"/>
          <w:highlight w:val="yellow"/>
        </w:rPr>
      </w:pPr>
    </w:p>
    <w:p w:rsidR="00916691" w:rsidRPr="001D7027" w:rsidRDefault="00916691" w:rsidP="00916691">
      <w:pPr>
        <w:rPr>
          <w:rFonts w:eastAsiaTheme="minorHAnsi" w:cs="Arial"/>
        </w:rPr>
      </w:pPr>
      <w:r w:rsidRPr="001D7027">
        <w:rPr>
          <w:rFonts w:eastAsiaTheme="minorHAnsi" w:cs="Arial"/>
        </w:rPr>
        <w:br w:type="page"/>
      </w:r>
    </w:p>
    <w:p w:rsidR="005D40E4" w:rsidRPr="001D7027" w:rsidRDefault="00916691" w:rsidP="00916691">
      <w:pPr>
        <w:rPr>
          <w:rFonts w:eastAsiaTheme="minorHAnsi" w:cs="Arial"/>
        </w:rPr>
      </w:pPr>
      <w:r w:rsidRPr="001D7027">
        <w:rPr>
          <w:rFonts w:eastAsiaTheme="minorHAnsi" w:cs="Arial"/>
        </w:rPr>
        <w:lastRenderedPageBreak/>
        <w:t>Le tableau 6 présente d</w:t>
      </w:r>
      <w:r w:rsidR="00750F64" w:rsidRPr="001D7027">
        <w:rPr>
          <w:rFonts w:eastAsiaTheme="minorHAnsi" w:cs="Arial"/>
        </w:rPr>
        <w:t>’</w:t>
      </w:r>
      <w:r w:rsidRPr="001D7027">
        <w:rPr>
          <w:rFonts w:eastAsiaTheme="minorHAnsi" w:cs="Arial"/>
        </w:rPr>
        <w:t>une manière synthétique le nombre de postes par catégorie.</w:t>
      </w:r>
    </w:p>
    <w:p w:rsidR="00916691" w:rsidRPr="001D7027" w:rsidRDefault="00916691" w:rsidP="00916691">
      <w:pPr>
        <w:rPr>
          <w:rFonts w:eastAsiaTheme="minorHAnsi" w:cs="Arial"/>
          <w:highlight w:val="yellow"/>
        </w:rPr>
      </w:pPr>
    </w:p>
    <w:p w:rsidR="00916691" w:rsidRPr="001D7027" w:rsidRDefault="00916691" w:rsidP="00ED0026">
      <w:pPr>
        <w:pStyle w:val="Heading2"/>
        <w:rPr>
          <w:lang w:val="fr-FR"/>
        </w:rPr>
      </w:pPr>
      <w:bookmarkStart w:id="21" w:name="_Toc460229917"/>
      <w:bookmarkStart w:id="22" w:name="_Toc522808848"/>
      <w:bookmarkStart w:id="23" w:name="_Toc48657997"/>
      <w:r w:rsidRPr="001D7027">
        <w:rPr>
          <w:lang w:val="fr-FR"/>
        </w:rPr>
        <w:t>Tableau 6. Postes inscrits au budget et postes effectifs pour l</w:t>
      </w:r>
      <w:r w:rsidR="00750F64" w:rsidRPr="001D7027">
        <w:rPr>
          <w:lang w:val="fr-FR"/>
        </w:rPr>
        <w:t>’</w:t>
      </w:r>
      <w:r w:rsidRPr="001D7027">
        <w:rPr>
          <w:lang w:val="fr-FR"/>
        </w:rPr>
        <w:t xml:space="preserve">exercice </w:t>
      </w:r>
      <w:r w:rsidR="005D40E4" w:rsidRPr="001D7027">
        <w:rPr>
          <w:lang w:val="fr-FR"/>
        </w:rPr>
        <w:t>biennal 2018</w:t>
      </w:r>
      <w:r w:rsidR="00750F64" w:rsidRPr="001D7027">
        <w:rPr>
          <w:lang w:val="fr-FR"/>
        </w:rPr>
        <w:t>-</w:t>
      </w:r>
      <w:r w:rsidRPr="001D7027">
        <w:rPr>
          <w:lang w:val="fr-FR"/>
        </w:rPr>
        <w:t>2019</w:t>
      </w:r>
      <w:bookmarkEnd w:id="21"/>
      <w:bookmarkEnd w:id="22"/>
      <w:bookmarkEnd w:id="23"/>
    </w:p>
    <w:p w:rsidR="00916691" w:rsidRPr="001D7027" w:rsidRDefault="00916691" w:rsidP="00916691">
      <w:pPr>
        <w:rPr>
          <w:rFonts w:eastAsiaTheme="minorHAnsi" w:cs="Arial"/>
        </w:rPr>
      </w:pPr>
    </w:p>
    <w:p w:rsidR="00916691" w:rsidRPr="001D7027" w:rsidRDefault="00481CA0" w:rsidP="00916691">
      <w:pPr>
        <w:spacing w:after="200" w:line="276" w:lineRule="auto"/>
        <w:jc w:val="center"/>
        <w:rPr>
          <w:rFonts w:eastAsiaTheme="minorHAnsi" w:cs="Arial"/>
        </w:rPr>
      </w:pPr>
      <w:r w:rsidRPr="001D7027">
        <w:rPr>
          <w:rFonts w:eastAsiaTheme="minorHAnsi"/>
          <w:noProof/>
          <w:lang w:val="en-US"/>
        </w:rPr>
        <w:drawing>
          <wp:inline distT="0" distB="0" distL="0" distR="0">
            <wp:extent cx="3848100" cy="1409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1409700"/>
                    </a:xfrm>
                    <a:prstGeom prst="rect">
                      <a:avLst/>
                    </a:prstGeom>
                    <a:noFill/>
                    <a:ln>
                      <a:noFill/>
                    </a:ln>
                  </pic:spPr>
                </pic:pic>
              </a:graphicData>
            </a:graphic>
          </wp:inline>
        </w:drawing>
      </w:r>
    </w:p>
    <w:p w:rsidR="00916691" w:rsidRPr="001D7027" w:rsidRDefault="00916691" w:rsidP="00916691">
      <w:pPr>
        <w:keepNext/>
        <w:rPr>
          <w:rFonts w:cs="Arial"/>
        </w:rPr>
      </w:pPr>
      <w:r w:rsidRPr="001D7027">
        <w:rPr>
          <w:rFonts w:cs="Arial"/>
        </w:rPr>
        <w:t>Comme indiqué dans le tableau 6, le nombre total de postes est resté inchangé au cours de l</w:t>
      </w:r>
      <w:r w:rsidR="00750F64" w:rsidRPr="001D7027">
        <w:rPr>
          <w:rFonts w:cs="Arial"/>
        </w:rPr>
        <w:t>’</w:t>
      </w:r>
      <w:r w:rsidRPr="001D7027">
        <w:rPr>
          <w:rFonts w:cs="Arial"/>
        </w:rPr>
        <w:t>exercice bienn</w:t>
      </w:r>
      <w:r w:rsidR="00532185" w:rsidRPr="001D7027">
        <w:rPr>
          <w:rFonts w:cs="Arial"/>
        </w:rPr>
        <w:t>al.  Le</w:t>
      </w:r>
      <w:r w:rsidRPr="001D7027">
        <w:rPr>
          <w:rFonts w:cs="Arial"/>
        </w:rPr>
        <w:t xml:space="preserve"> nombre plus important de postes dans la catégorie des services généraux est dû au fait qu</w:t>
      </w:r>
      <w:r w:rsidR="00750F64" w:rsidRPr="001D7027">
        <w:rPr>
          <w:rFonts w:cs="Arial"/>
        </w:rPr>
        <w:t>’</w:t>
      </w:r>
      <w:r w:rsidRPr="001D7027">
        <w:rPr>
          <w:rFonts w:cs="Arial"/>
        </w:rPr>
        <w:t>un poste de la catégorie des services généraux n</w:t>
      </w:r>
      <w:r w:rsidR="00750F64" w:rsidRPr="001D7027">
        <w:rPr>
          <w:rFonts w:cs="Arial"/>
        </w:rPr>
        <w:t>’</w:t>
      </w:r>
      <w:r w:rsidRPr="001D7027">
        <w:rPr>
          <w:rFonts w:cs="Arial"/>
        </w:rPr>
        <w:t>a pas été reclassé dans la catégorie des administrateurs durant l</w:t>
      </w:r>
      <w:r w:rsidR="00750F64" w:rsidRPr="001D7027">
        <w:rPr>
          <w:rFonts w:cs="Arial"/>
        </w:rPr>
        <w:t>’</w:t>
      </w:r>
      <w:r w:rsidRPr="001D7027">
        <w:rPr>
          <w:rFonts w:cs="Arial"/>
        </w:rPr>
        <w:t>exercice bienn</w:t>
      </w:r>
      <w:r w:rsidR="00532185" w:rsidRPr="001D7027">
        <w:rPr>
          <w:rFonts w:cs="Arial"/>
        </w:rPr>
        <w:t>al.  Le</w:t>
      </w:r>
      <w:r w:rsidRPr="001D7027">
        <w:rPr>
          <w:rFonts w:cs="Arial"/>
        </w:rPr>
        <w:t xml:space="preserve"> poste de secrétaire général est compris dans le décompte des postes, mais n</w:t>
      </w:r>
      <w:r w:rsidR="00750F64" w:rsidRPr="001D7027">
        <w:rPr>
          <w:rFonts w:cs="Arial"/>
        </w:rPr>
        <w:t>’</w:t>
      </w:r>
      <w:r w:rsidRPr="001D7027">
        <w:rPr>
          <w:rFonts w:cs="Arial"/>
        </w:rPr>
        <w:t>entraîne aucun coût, étant donné que le Directeur général actuel de l</w:t>
      </w:r>
      <w:r w:rsidR="00750F64" w:rsidRPr="001D7027">
        <w:rPr>
          <w:rFonts w:cs="Arial"/>
        </w:rPr>
        <w:t>’</w:t>
      </w:r>
      <w:r w:rsidRPr="001D7027">
        <w:rPr>
          <w:rFonts w:cs="Arial"/>
        </w:rPr>
        <w:t>OMPI a refusé de percevoir tout traitement ou indemnité pour ses fonctions de secrétaire général de l</w:t>
      </w:r>
      <w:r w:rsidR="00750F64" w:rsidRPr="001D7027">
        <w:rPr>
          <w:rFonts w:cs="Arial"/>
        </w:rPr>
        <w:t>’</w:t>
      </w:r>
      <w:r w:rsidRPr="001D7027">
        <w:rPr>
          <w:rFonts w:cs="Arial"/>
        </w:rPr>
        <w:t>UPOV.</w:t>
      </w:r>
    </w:p>
    <w:p w:rsidR="00916691" w:rsidRPr="001D7027" w:rsidRDefault="00916691" w:rsidP="00916691">
      <w:pPr>
        <w:keepNext/>
        <w:rPr>
          <w:rFonts w:eastAsiaTheme="minorHAnsi" w:cs="Arial"/>
        </w:rPr>
      </w:pPr>
    </w:p>
    <w:p w:rsidR="00916691" w:rsidRPr="001D7027" w:rsidRDefault="00916691" w:rsidP="00916691">
      <w:pPr>
        <w:keepNext/>
        <w:rPr>
          <w:rFonts w:eastAsiaTheme="minorHAnsi" w:cs="Arial"/>
        </w:rPr>
      </w:pPr>
      <w:r w:rsidRPr="001D7027">
        <w:rPr>
          <w:rFonts w:eastAsiaTheme="minorHAnsi" w:cs="Arial"/>
        </w:rPr>
        <w:t>Enfin, l</w:t>
      </w:r>
      <w:r w:rsidR="00750F64" w:rsidRPr="001D7027">
        <w:rPr>
          <w:rFonts w:eastAsiaTheme="minorHAnsi" w:cs="Arial"/>
        </w:rPr>
        <w:t>’</w:t>
      </w:r>
      <w:r w:rsidRPr="001D7027">
        <w:rPr>
          <w:rFonts w:eastAsiaTheme="minorHAnsi" w:cs="Arial"/>
        </w:rPr>
        <w:t>évolution globale des recettes et des dépenses effectives (avant ajustements IPSAS) est présentée ci</w:t>
      </w:r>
      <w:r w:rsidR="00750F64" w:rsidRPr="001D7027">
        <w:rPr>
          <w:rFonts w:eastAsiaTheme="minorHAnsi" w:cs="Arial"/>
        </w:rPr>
        <w:t>-</w:t>
      </w:r>
      <w:r w:rsidRPr="001D7027">
        <w:rPr>
          <w:rFonts w:eastAsiaTheme="minorHAnsi" w:cs="Arial"/>
        </w:rPr>
        <w:t xml:space="preserve">dessous dans le tableau 7 pour la période allant </w:t>
      </w:r>
      <w:r w:rsidR="005D40E4" w:rsidRPr="001D7027">
        <w:rPr>
          <w:rFonts w:eastAsiaTheme="minorHAnsi" w:cs="Arial"/>
        </w:rPr>
        <w:t>de 2008</w:t>
      </w:r>
      <w:r w:rsidRPr="001D7027">
        <w:rPr>
          <w:rFonts w:eastAsiaTheme="minorHAnsi" w:cs="Arial"/>
        </w:rPr>
        <w:t xml:space="preserve"> à 2019.</w:t>
      </w:r>
    </w:p>
    <w:p w:rsidR="00916691" w:rsidRPr="001D7027" w:rsidRDefault="00916691" w:rsidP="00916691">
      <w:pPr>
        <w:keepNext/>
        <w:rPr>
          <w:rFonts w:eastAsiaTheme="minorHAnsi" w:cs="Arial"/>
        </w:rPr>
      </w:pPr>
    </w:p>
    <w:p w:rsidR="00916691" w:rsidRPr="001D7027" w:rsidRDefault="00916691" w:rsidP="00916691">
      <w:pPr>
        <w:keepNext/>
        <w:rPr>
          <w:rFonts w:eastAsiaTheme="minorHAnsi" w:cs="Arial"/>
        </w:rPr>
      </w:pPr>
    </w:p>
    <w:p w:rsidR="00916691" w:rsidRPr="001D7027" w:rsidRDefault="00916691" w:rsidP="00ED0026">
      <w:pPr>
        <w:pStyle w:val="Heading2"/>
        <w:rPr>
          <w:lang w:val="fr-FR"/>
        </w:rPr>
      </w:pPr>
      <w:bookmarkStart w:id="24" w:name="_Toc460229918"/>
      <w:bookmarkStart w:id="25" w:name="_Toc522808849"/>
      <w:bookmarkStart w:id="26" w:name="_Toc48657998"/>
      <w:r w:rsidRPr="001D7027">
        <w:rPr>
          <w:lang w:val="fr-FR"/>
        </w:rPr>
        <w:t>Tableau</w:t>
      </w:r>
      <w:r w:rsidR="00CA2E8B" w:rsidRPr="001D7027">
        <w:rPr>
          <w:lang w:val="fr-FR"/>
        </w:rPr>
        <w:t> </w:t>
      </w:r>
      <w:r w:rsidRPr="001D7027">
        <w:rPr>
          <w:lang w:val="fr-FR"/>
        </w:rPr>
        <w:t xml:space="preserve">7. </w:t>
      </w:r>
      <w:bookmarkEnd w:id="24"/>
      <w:bookmarkEnd w:id="25"/>
      <w:r w:rsidRPr="001D7027">
        <w:rPr>
          <w:lang w:val="fr-FR"/>
        </w:rPr>
        <w:t>Évolution des recettes et des dépenses effectives de 2008 à 2019</w:t>
      </w:r>
      <w:bookmarkEnd w:id="26"/>
    </w:p>
    <w:p w:rsidR="00916691" w:rsidRPr="001D7027" w:rsidRDefault="00916691" w:rsidP="00916691">
      <w:pPr>
        <w:spacing w:after="200" w:line="276" w:lineRule="auto"/>
        <w:jc w:val="center"/>
        <w:rPr>
          <w:rFonts w:eastAsiaTheme="minorHAnsi" w:cs="Arial"/>
          <w:i/>
        </w:rPr>
      </w:pPr>
      <w:r w:rsidRPr="001D7027">
        <w:rPr>
          <w:rFonts w:eastAsiaTheme="minorHAnsi" w:cs="Arial"/>
          <w:i/>
        </w:rPr>
        <w:t>(en milliers de</w:t>
      </w:r>
      <w:r w:rsidR="00495A8C">
        <w:rPr>
          <w:rFonts w:eastAsiaTheme="minorHAnsi" w:cs="Arial"/>
          <w:i/>
        </w:rPr>
        <w:t> francs suisses</w:t>
      </w:r>
      <w:r w:rsidRPr="001D7027">
        <w:rPr>
          <w:rFonts w:eastAsiaTheme="minorHAnsi" w:cs="Arial"/>
          <w:i/>
        </w:rPr>
        <w:t>)</w:t>
      </w:r>
    </w:p>
    <w:p w:rsidR="00916691" w:rsidRPr="001D7027" w:rsidRDefault="00277810" w:rsidP="00DF3CBC">
      <w:pPr>
        <w:spacing w:after="200" w:line="276" w:lineRule="auto"/>
        <w:ind w:left="-284"/>
        <w:rPr>
          <w:rFonts w:eastAsiaTheme="minorHAnsi" w:cs="Arial"/>
          <w:b/>
          <w:sz w:val="22"/>
          <w:szCs w:val="22"/>
        </w:rPr>
      </w:pPr>
      <w:r w:rsidRPr="001D7027">
        <w:rPr>
          <w:rFonts w:eastAsiaTheme="minorHAnsi"/>
          <w:noProof/>
          <w:lang w:val="en-US"/>
        </w:rPr>
        <w:drawing>
          <wp:inline distT="0" distB="0" distL="0" distR="0">
            <wp:extent cx="6616327" cy="8108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0245" cy="812601"/>
                    </a:xfrm>
                    <a:prstGeom prst="rect">
                      <a:avLst/>
                    </a:prstGeom>
                    <a:noFill/>
                    <a:ln>
                      <a:noFill/>
                    </a:ln>
                  </pic:spPr>
                </pic:pic>
              </a:graphicData>
            </a:graphic>
          </wp:inline>
        </w:drawing>
      </w:r>
    </w:p>
    <w:p w:rsidR="008E239D" w:rsidRDefault="00277810" w:rsidP="00916691">
      <w:pPr>
        <w:spacing w:after="200" w:line="276" w:lineRule="auto"/>
        <w:jc w:val="center"/>
      </w:pPr>
      <w:r w:rsidRPr="001D7027">
        <w:rPr>
          <w:noProof/>
          <w:lang w:val="en-US"/>
        </w:rPr>
        <w:drawing>
          <wp:inline distT="0" distB="0" distL="0" distR="0">
            <wp:extent cx="5000625" cy="230798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8005" cy="2316002"/>
                    </a:xfrm>
                    <a:prstGeom prst="rect">
                      <a:avLst/>
                    </a:prstGeom>
                    <a:noFill/>
                    <a:ln>
                      <a:noFill/>
                    </a:ln>
                  </pic:spPr>
                </pic:pic>
              </a:graphicData>
            </a:graphic>
          </wp:inline>
        </w:drawing>
      </w:r>
      <w:r w:rsidRPr="001D7027">
        <w:t xml:space="preserve"> </w:t>
      </w:r>
    </w:p>
    <w:p w:rsidR="008E239D" w:rsidRDefault="008E239D">
      <w:pPr>
        <w:jc w:val="left"/>
      </w:pPr>
      <w:r>
        <w:br w:type="page"/>
      </w:r>
    </w:p>
    <w:p w:rsidR="00916691" w:rsidRPr="001D7027" w:rsidRDefault="00916691" w:rsidP="002F33B4">
      <w:pPr>
        <w:pStyle w:val="Heading1"/>
      </w:pPr>
      <w:bookmarkStart w:id="27" w:name="_Toc460229920"/>
      <w:bookmarkStart w:id="28" w:name="_Toc522808851"/>
      <w:bookmarkStart w:id="29" w:name="_Toc48657999"/>
      <w:r w:rsidRPr="001D7027">
        <w:lastRenderedPageBreak/>
        <w:t>ÉTATS FINANCIERS</w:t>
      </w:r>
      <w:bookmarkEnd w:id="27"/>
      <w:bookmarkEnd w:id="28"/>
      <w:bookmarkEnd w:id="29"/>
    </w:p>
    <w:p w:rsidR="00916691" w:rsidRPr="001D7027" w:rsidRDefault="00916691" w:rsidP="00916691"/>
    <w:p w:rsidR="00916691" w:rsidRPr="001D7027" w:rsidRDefault="00916691" w:rsidP="00916691">
      <w:pPr>
        <w:rPr>
          <w:rFonts w:cs="Arial"/>
        </w:rPr>
      </w:pPr>
      <w:r w:rsidRPr="001D7027">
        <w:t>Pour chacune des deux années de l</w:t>
      </w:r>
      <w:r w:rsidR="00750F64" w:rsidRPr="001D7027">
        <w:t>’</w:t>
      </w:r>
      <w:r w:rsidRPr="001D7027">
        <w:t>exercice biennal 2018</w:t>
      </w:r>
      <w:r w:rsidR="00750F64" w:rsidRPr="001D7027">
        <w:t>-</w:t>
      </w:r>
      <w:r w:rsidRPr="001D7027">
        <w:t>2019, les états financiers de l</w:t>
      </w:r>
      <w:r w:rsidR="00750F64" w:rsidRPr="001D7027">
        <w:t>’</w:t>
      </w:r>
      <w:r w:rsidRPr="001D7027">
        <w:t>UPOV ont été établis conformément aux Normes comptables internationales du secteur public (normes IPSAS</w:t>
      </w:r>
      <w:r w:rsidRPr="001D7027">
        <w:rPr>
          <w:rFonts w:cs="Arial"/>
        </w:rPr>
        <w:t>).</w:t>
      </w:r>
    </w:p>
    <w:p w:rsidR="00916691" w:rsidRPr="001D7027" w:rsidRDefault="00916691" w:rsidP="00916691">
      <w:pPr>
        <w:rPr>
          <w:rFonts w:cs="Arial"/>
        </w:rPr>
      </w:pPr>
    </w:p>
    <w:p w:rsidR="00916691" w:rsidRPr="001D7027" w:rsidRDefault="00916691" w:rsidP="00916691">
      <w:pPr>
        <w:rPr>
          <w:rFonts w:cs="Arial"/>
          <w:b/>
        </w:rPr>
      </w:pPr>
      <w:r w:rsidRPr="001D7027">
        <w:rPr>
          <w:rFonts w:cs="Arial"/>
          <w:b/>
        </w:rPr>
        <w:t>Comptabilité d</w:t>
      </w:r>
      <w:r w:rsidR="00750F64" w:rsidRPr="001D7027">
        <w:rPr>
          <w:rFonts w:cs="Arial"/>
          <w:b/>
        </w:rPr>
        <w:t>’</w:t>
      </w:r>
      <w:r w:rsidRPr="001D7027">
        <w:rPr>
          <w:rFonts w:cs="Arial"/>
          <w:b/>
        </w:rPr>
        <w:t>exercice en application des normes</w:t>
      </w:r>
      <w:r w:rsidR="00CA2E8B" w:rsidRPr="001D7027">
        <w:rPr>
          <w:rFonts w:cs="Arial"/>
          <w:b/>
        </w:rPr>
        <w:t> </w:t>
      </w:r>
      <w:r w:rsidRPr="001D7027">
        <w:rPr>
          <w:rFonts w:cs="Arial"/>
          <w:b/>
        </w:rPr>
        <w:t>IPSAS</w:t>
      </w:r>
    </w:p>
    <w:p w:rsidR="00916691" w:rsidRPr="001D7027" w:rsidRDefault="00916691" w:rsidP="00916691">
      <w:pPr>
        <w:autoSpaceDE w:val="0"/>
        <w:autoSpaceDN w:val="0"/>
        <w:adjustRightInd w:val="0"/>
        <w:rPr>
          <w:rFonts w:cs="Arial"/>
        </w:rPr>
      </w:pPr>
    </w:p>
    <w:p w:rsidR="00916691" w:rsidRPr="001D7027" w:rsidRDefault="00916691" w:rsidP="00916691">
      <w:pPr>
        <w:autoSpaceDE w:val="0"/>
        <w:autoSpaceDN w:val="0"/>
        <w:adjustRightInd w:val="0"/>
        <w:rPr>
          <w:rFonts w:cs="Arial"/>
          <w:szCs w:val="22"/>
        </w:rPr>
      </w:pPr>
      <w:r w:rsidRPr="001D7027">
        <w:t>Conformément aux normes IPSAS, les états financiers sont établis en appliquant la comptabilité d</w:t>
      </w:r>
      <w:r w:rsidR="00750F64" w:rsidRPr="001D7027">
        <w:t>’</w:t>
      </w:r>
      <w:r w:rsidRPr="001D7027">
        <w:t>exercice intégra</w:t>
      </w:r>
      <w:r w:rsidR="00532185" w:rsidRPr="001D7027">
        <w:t>le.  Ce</w:t>
      </w:r>
      <w:r w:rsidRPr="001D7027">
        <w:t>tte comptabilité fait intervenir la comptabilisation des transactions et des événements lorsqu</w:t>
      </w:r>
      <w:r w:rsidR="00750F64" w:rsidRPr="001D7027">
        <w:t>’</w:t>
      </w:r>
      <w:r w:rsidRPr="001D7027">
        <w:t>ils se produise</w:t>
      </w:r>
      <w:r w:rsidR="00532185" w:rsidRPr="001D7027">
        <w:t>nt.  Ce</w:t>
      </w:r>
      <w:r w:rsidRPr="001D7027">
        <w:t>la signifie qu</w:t>
      </w:r>
      <w:r w:rsidR="00750F64" w:rsidRPr="001D7027">
        <w:t>’</w:t>
      </w:r>
      <w:r w:rsidRPr="001D7027">
        <w:t>ils sont enregistrés dans les livres comptables et consignés dans les états financiers des périodes financières auxquelles ils se rapportent et non pas uniquement lors de l</w:t>
      </w:r>
      <w:r w:rsidR="00750F64" w:rsidRPr="001D7027">
        <w:t>’</w:t>
      </w:r>
      <w:r w:rsidRPr="001D7027">
        <w:t>entrée ou de la sortie de trésorerie ou d</w:t>
      </w:r>
      <w:r w:rsidR="00750F64" w:rsidRPr="001D7027">
        <w:t>’</w:t>
      </w:r>
      <w:r w:rsidRPr="001D7027">
        <w:t>équivalents de trésorerie</w:t>
      </w:r>
      <w:r w:rsidRPr="001D7027">
        <w:rPr>
          <w:rFonts w:cs="Arial"/>
        </w:rPr>
        <w:t>.</w:t>
      </w:r>
    </w:p>
    <w:p w:rsidR="00916691" w:rsidRPr="001D7027" w:rsidRDefault="00916691" w:rsidP="00916691">
      <w:pPr>
        <w:autoSpaceDE w:val="0"/>
        <w:autoSpaceDN w:val="0"/>
        <w:adjustRightInd w:val="0"/>
        <w:rPr>
          <w:rFonts w:cs="Arial"/>
          <w:szCs w:val="22"/>
        </w:rPr>
      </w:pPr>
    </w:p>
    <w:p w:rsidR="005D40E4" w:rsidRPr="001D7027" w:rsidRDefault="00916691" w:rsidP="00916691">
      <w:pPr>
        <w:autoSpaceDE w:val="0"/>
        <w:autoSpaceDN w:val="0"/>
        <w:adjustRightInd w:val="0"/>
        <w:rPr>
          <w:rFonts w:cs="Arial"/>
        </w:rPr>
      </w:pPr>
      <w:r w:rsidRPr="001D7027">
        <w:t>Selon les normes IPSAS, les recettes correspondant aux contributions et aux ressources extrabudgétaires (fonds fiduciaires) sont comptabilisées lorsque l</w:t>
      </w:r>
      <w:r w:rsidR="00750F64" w:rsidRPr="001D7027">
        <w:t>’</w:t>
      </w:r>
      <w:r w:rsidRPr="001D7027">
        <w:t>UPOV a le droit de recevoir la contributi</w:t>
      </w:r>
      <w:r w:rsidR="00532185" w:rsidRPr="001D7027">
        <w:t>on.  En</w:t>
      </w:r>
      <w:r w:rsidRPr="001D7027">
        <w:t xml:space="preserve"> cas d</w:t>
      </w:r>
      <w:r w:rsidR="00750F64" w:rsidRPr="001D7027">
        <w:t>’</w:t>
      </w:r>
      <w:r w:rsidRPr="001D7027">
        <w:t>arriérés de contributions, un solde des sommes exigibles est comptabili</w:t>
      </w:r>
      <w:r w:rsidR="00532185" w:rsidRPr="001D7027">
        <w:t>sé.  Le</w:t>
      </w:r>
      <w:r w:rsidRPr="001D7027">
        <w:t>s arrangements relatifs aux ressources extrabudgétaires sont examinés afin de déterminer si l</w:t>
      </w:r>
      <w:r w:rsidR="00750F64" w:rsidRPr="001D7027">
        <w:t>’</w:t>
      </w:r>
      <w:r w:rsidRPr="001D7027">
        <w:t>UPOV doit satisfaire à des conditions de rendement et, le cas échéant, les recettes sont comptabilisées uniquement lorsque ces conditions sont remplies</w:t>
      </w:r>
      <w:r w:rsidRPr="001D7027">
        <w:rPr>
          <w:rFonts w:cs="Arial"/>
        </w:rPr>
        <w:t>.</w:t>
      </w:r>
    </w:p>
    <w:p w:rsidR="00916691" w:rsidRPr="001D7027" w:rsidRDefault="00916691" w:rsidP="00916691">
      <w:pPr>
        <w:rPr>
          <w:rFonts w:cs="Arial"/>
          <w:szCs w:val="22"/>
        </w:rPr>
      </w:pPr>
    </w:p>
    <w:p w:rsidR="00916691" w:rsidRPr="001D7027" w:rsidRDefault="00916691" w:rsidP="00916691">
      <w:pPr>
        <w:rPr>
          <w:rFonts w:cs="Arial"/>
        </w:rPr>
      </w:pPr>
      <w:r w:rsidRPr="001D7027">
        <w:t>La valeur des futures prestations (</w:t>
      </w:r>
      <w:r w:rsidR="00750F64" w:rsidRPr="001D7027">
        <w:t>y compris</w:t>
      </w:r>
      <w:r w:rsidRPr="001D7027">
        <w:t xml:space="preserve"> les congés annuels cumulés, les primes de rapatriement et l</w:t>
      </w:r>
      <w:r w:rsidR="00750F64" w:rsidRPr="001D7027">
        <w:t>’</w:t>
      </w:r>
      <w:r w:rsidRPr="001D7027">
        <w:t>assurance maladie après la cessation de service) que les fonctionnaires de l</w:t>
      </w:r>
      <w:r w:rsidR="00750F64" w:rsidRPr="001D7027">
        <w:t>’</w:t>
      </w:r>
      <w:r w:rsidRPr="001D7027">
        <w:t>UPOV ont gagnées mais qu</w:t>
      </w:r>
      <w:r w:rsidR="00750F64" w:rsidRPr="001D7027">
        <w:t>’</w:t>
      </w:r>
      <w:r w:rsidRPr="001D7027">
        <w:t>ils n</w:t>
      </w:r>
      <w:r w:rsidR="00750F64" w:rsidRPr="001D7027">
        <w:t>’</w:t>
      </w:r>
      <w:r w:rsidRPr="001D7027">
        <w:t>ont pas encore perçues est enregistrée afin de saisir le coût intégral d</w:t>
      </w:r>
      <w:r w:rsidR="00750F64" w:rsidRPr="001D7027">
        <w:t>’</w:t>
      </w:r>
      <w:r w:rsidRPr="001D7027">
        <w:t>emploi du personnel</w:t>
      </w:r>
      <w:r w:rsidRPr="001D7027">
        <w:rPr>
          <w:rFonts w:cs="Arial"/>
          <w:szCs w:val="22"/>
        </w:rPr>
        <w:t>.</w:t>
      </w:r>
    </w:p>
    <w:p w:rsidR="00916691" w:rsidRPr="001D7027" w:rsidRDefault="00916691" w:rsidP="00916691">
      <w:pPr>
        <w:rPr>
          <w:rFonts w:cs="Arial"/>
          <w:szCs w:val="22"/>
        </w:rPr>
      </w:pPr>
    </w:p>
    <w:p w:rsidR="00916691" w:rsidRPr="001D7027" w:rsidRDefault="00916691" w:rsidP="00916691">
      <w:pPr>
        <w:rPr>
          <w:rFonts w:cs="Arial"/>
          <w:szCs w:val="22"/>
        </w:rPr>
      </w:pPr>
      <w:r w:rsidRPr="001D7027">
        <w:rPr>
          <w:szCs w:val="22"/>
        </w:rPr>
        <w:t>Le programme et budget de l</w:t>
      </w:r>
      <w:r w:rsidR="00750F64" w:rsidRPr="001D7027">
        <w:rPr>
          <w:szCs w:val="22"/>
        </w:rPr>
        <w:t>’</w:t>
      </w:r>
      <w:r w:rsidRPr="001D7027">
        <w:rPr>
          <w:szCs w:val="22"/>
        </w:rPr>
        <w:t>UPOV est établi sur la base d</w:t>
      </w:r>
      <w:r w:rsidR="00750F64" w:rsidRPr="001D7027">
        <w:rPr>
          <w:szCs w:val="22"/>
        </w:rPr>
        <w:t>’</w:t>
      </w:r>
      <w:r w:rsidRPr="001D7027">
        <w:rPr>
          <w:szCs w:val="22"/>
        </w:rPr>
        <w:t>une comptabilité d</w:t>
      </w:r>
      <w:r w:rsidR="00750F64" w:rsidRPr="001D7027">
        <w:rPr>
          <w:szCs w:val="22"/>
        </w:rPr>
        <w:t>’</w:t>
      </w:r>
      <w:r w:rsidRPr="001D7027">
        <w:rPr>
          <w:szCs w:val="22"/>
        </w:rPr>
        <w:t>exercice modifiée, différente de la comptabilité d</w:t>
      </w:r>
      <w:r w:rsidR="00750F64" w:rsidRPr="001D7027">
        <w:rPr>
          <w:szCs w:val="22"/>
        </w:rPr>
        <w:t>’</w:t>
      </w:r>
      <w:r w:rsidRPr="001D7027">
        <w:rPr>
          <w:szCs w:val="22"/>
        </w:rPr>
        <w:t>exercice intégrale appliquée aux états financie</w:t>
      </w:r>
      <w:r w:rsidR="00532185" w:rsidRPr="001D7027">
        <w:rPr>
          <w:szCs w:val="22"/>
        </w:rPr>
        <w:t>rs.  Le</w:t>
      </w:r>
      <w:r w:rsidRPr="001D7027">
        <w:rPr>
          <w:szCs w:val="22"/>
        </w:rPr>
        <w:t>s autres différences entre les résultats budgétaires et les résultats figurant dans les états financiers sont liées au fait que les états financiers tiennent compte des fonds fiduciaires et du Fonds spécial pour des projets, qui ne font pas partie du programme et budget de l</w:t>
      </w:r>
      <w:r w:rsidR="00750F64" w:rsidRPr="001D7027">
        <w:rPr>
          <w:szCs w:val="22"/>
        </w:rPr>
        <w:t>’</w:t>
      </w:r>
      <w:r w:rsidRPr="001D7027">
        <w:rPr>
          <w:szCs w:val="22"/>
        </w:rPr>
        <w:t>U</w:t>
      </w:r>
      <w:r w:rsidR="00532185" w:rsidRPr="001D7027">
        <w:rPr>
          <w:szCs w:val="22"/>
        </w:rPr>
        <w:t>POV.  Co</w:t>
      </w:r>
      <w:r w:rsidRPr="001D7027">
        <w:rPr>
          <w:szCs w:val="22"/>
        </w:rPr>
        <w:t>nformément aux exigences des normes IPSAS, un rapprochement entre les résultats budgétaires et les états financiers principaux est fourni dans les états financiers de l</w:t>
      </w:r>
      <w:r w:rsidR="00750F64" w:rsidRPr="001D7027">
        <w:rPr>
          <w:szCs w:val="22"/>
        </w:rPr>
        <w:t>’</w:t>
      </w:r>
      <w:r w:rsidRPr="001D7027">
        <w:rPr>
          <w:szCs w:val="22"/>
        </w:rPr>
        <w:t>UPOV</w:t>
      </w:r>
      <w:r w:rsidRPr="001D7027">
        <w:rPr>
          <w:rFonts w:cs="Arial"/>
          <w:szCs w:val="22"/>
        </w:rPr>
        <w:t>.</w:t>
      </w:r>
    </w:p>
    <w:p w:rsidR="00916691" w:rsidRPr="001D7027" w:rsidRDefault="00916691" w:rsidP="00916691">
      <w:pPr>
        <w:rPr>
          <w:rFonts w:cs="Arial"/>
          <w:szCs w:val="22"/>
        </w:rPr>
      </w:pPr>
    </w:p>
    <w:p w:rsidR="00916691" w:rsidRPr="001D7027" w:rsidRDefault="00916691" w:rsidP="00916691">
      <w:pPr>
        <w:spacing w:after="200"/>
        <w:rPr>
          <w:b/>
          <w:szCs w:val="22"/>
        </w:rPr>
      </w:pPr>
      <w:r w:rsidRPr="001D7027">
        <w:rPr>
          <w:b/>
          <w:szCs w:val="22"/>
        </w:rPr>
        <w:t>Présentation des informations financières en application des normes IPSAS</w:t>
      </w:r>
    </w:p>
    <w:p w:rsidR="00916691" w:rsidRPr="001D7027" w:rsidRDefault="00916691" w:rsidP="00916691">
      <w:pPr>
        <w:autoSpaceDE w:val="0"/>
        <w:autoSpaceDN w:val="0"/>
        <w:adjustRightInd w:val="0"/>
        <w:rPr>
          <w:rFonts w:cs="Arial"/>
          <w:lang w:eastAsia="en-GB"/>
        </w:rPr>
      </w:pPr>
      <w:r w:rsidRPr="001D7027">
        <w:rPr>
          <w:rFonts w:cs="Arial"/>
          <w:lang w:eastAsia="en-GB"/>
        </w:rPr>
        <w:t>Étant donné que les normes IPSAS exigent la préparation d</w:t>
      </w:r>
      <w:r w:rsidR="00750F64" w:rsidRPr="001D7027">
        <w:rPr>
          <w:rFonts w:cs="Arial"/>
          <w:lang w:eastAsia="en-GB"/>
        </w:rPr>
        <w:t>’</w:t>
      </w:r>
      <w:r w:rsidRPr="001D7027">
        <w:rPr>
          <w:rFonts w:cs="Arial"/>
          <w:lang w:eastAsia="en-GB"/>
        </w:rPr>
        <w:t>états financiers annuels, les états financiers de l</w:t>
      </w:r>
      <w:r w:rsidR="00750F64" w:rsidRPr="001D7027">
        <w:rPr>
          <w:rFonts w:cs="Arial"/>
          <w:lang w:eastAsia="en-GB"/>
        </w:rPr>
        <w:t>’</w:t>
      </w:r>
      <w:r w:rsidRPr="001D7027">
        <w:rPr>
          <w:rFonts w:cs="Arial"/>
          <w:lang w:eastAsia="en-GB"/>
        </w:rPr>
        <w:t>UPOV sont préparés individuellement pour chaque année civile de l</w:t>
      </w:r>
      <w:r w:rsidR="00750F64" w:rsidRPr="001D7027">
        <w:rPr>
          <w:rFonts w:cs="Arial"/>
          <w:lang w:eastAsia="en-GB"/>
        </w:rPr>
        <w:t>’</w:t>
      </w:r>
      <w:r w:rsidRPr="001D7027">
        <w:rPr>
          <w:rFonts w:cs="Arial"/>
          <w:lang w:eastAsia="en-GB"/>
        </w:rPr>
        <w:t>exercice bienn</w:t>
      </w:r>
      <w:r w:rsidR="00532185" w:rsidRPr="001D7027">
        <w:rPr>
          <w:rFonts w:cs="Arial"/>
          <w:lang w:eastAsia="en-GB"/>
        </w:rPr>
        <w:t>al.  Ce</w:t>
      </w:r>
      <w:r w:rsidRPr="001D7027">
        <w:rPr>
          <w:rFonts w:cs="Arial"/>
          <w:lang w:eastAsia="en-GB"/>
        </w:rPr>
        <w:t>s états financiers annuels sont présentés séparément du Rapport de gestion financière et, pour toute information financière complète de l</w:t>
      </w:r>
      <w:r w:rsidR="00750F64" w:rsidRPr="001D7027">
        <w:rPr>
          <w:rFonts w:cs="Arial"/>
          <w:lang w:eastAsia="en-GB"/>
        </w:rPr>
        <w:t>’</w:t>
      </w:r>
      <w:r w:rsidRPr="001D7027">
        <w:rPr>
          <w:rFonts w:cs="Arial"/>
          <w:lang w:eastAsia="en-GB"/>
        </w:rPr>
        <w:t>UPOV préparée en application des normes IPSAS, il convient de se référer aux états financiers annuels de l</w:t>
      </w:r>
      <w:r w:rsidR="00750F64" w:rsidRPr="001D7027">
        <w:rPr>
          <w:rFonts w:cs="Arial"/>
          <w:lang w:eastAsia="en-GB"/>
        </w:rPr>
        <w:t>’</w:t>
      </w:r>
      <w:r w:rsidRPr="001D7027">
        <w:rPr>
          <w:rFonts w:cs="Arial"/>
          <w:lang w:eastAsia="en-GB"/>
        </w:rPr>
        <w:t>UPOV.</w:t>
      </w:r>
    </w:p>
    <w:p w:rsidR="00916691" w:rsidRPr="001D7027" w:rsidRDefault="00916691" w:rsidP="00916691">
      <w:pPr>
        <w:autoSpaceDE w:val="0"/>
        <w:autoSpaceDN w:val="0"/>
        <w:adjustRightInd w:val="0"/>
        <w:rPr>
          <w:rFonts w:cs="Arial"/>
          <w:lang w:eastAsia="en-GB"/>
        </w:rPr>
      </w:pPr>
    </w:p>
    <w:p w:rsidR="005D40E4" w:rsidRPr="001D7027" w:rsidRDefault="00916691" w:rsidP="00916691">
      <w:pPr>
        <w:autoSpaceDE w:val="0"/>
        <w:autoSpaceDN w:val="0"/>
        <w:adjustRightInd w:val="0"/>
        <w:rPr>
          <w:rFonts w:cs="Arial"/>
          <w:lang w:eastAsia="en-GB"/>
        </w:rPr>
      </w:pPr>
      <w:r w:rsidRPr="001D7027">
        <w:rPr>
          <w:rFonts w:cs="Arial"/>
          <w:lang w:eastAsia="en-GB"/>
        </w:rPr>
        <w:t>En application des normes IPSAS, les états financiers comprennent les éléments suivants</w:t>
      </w:r>
      <w:r w:rsidR="00750F64" w:rsidRPr="001D7027">
        <w:rPr>
          <w:rFonts w:cs="Arial"/>
          <w:lang w:eastAsia="en-GB"/>
        </w:rPr>
        <w:t> :</w:t>
      </w:r>
    </w:p>
    <w:p w:rsidR="00916691" w:rsidRPr="001D7027" w:rsidRDefault="00916691" w:rsidP="00916691">
      <w:pPr>
        <w:autoSpaceDE w:val="0"/>
        <w:autoSpaceDN w:val="0"/>
        <w:adjustRightInd w:val="0"/>
        <w:rPr>
          <w:rFonts w:cs="Arial"/>
          <w:lang w:eastAsia="en-GB"/>
        </w:rPr>
      </w:pPr>
    </w:p>
    <w:p w:rsidR="00916691" w:rsidRPr="001D7027" w:rsidRDefault="00916691" w:rsidP="00D432A3">
      <w:pPr>
        <w:numPr>
          <w:ilvl w:val="0"/>
          <w:numId w:val="2"/>
        </w:numPr>
        <w:autoSpaceDE w:val="0"/>
        <w:autoSpaceDN w:val="0"/>
        <w:adjustRightInd w:val="0"/>
        <w:ind w:left="567"/>
        <w:rPr>
          <w:rFonts w:cs="Arial"/>
          <w:lang w:eastAsia="en-GB"/>
        </w:rPr>
      </w:pPr>
      <w:r w:rsidRPr="001D7027">
        <w:rPr>
          <w:rFonts w:cs="Arial"/>
          <w:lang w:eastAsia="en-GB"/>
        </w:rPr>
        <w:t>État I – État de la situation financière</w:t>
      </w:r>
    </w:p>
    <w:p w:rsidR="00916691" w:rsidRPr="001D7027" w:rsidRDefault="00916691" w:rsidP="00D432A3">
      <w:pPr>
        <w:numPr>
          <w:ilvl w:val="0"/>
          <w:numId w:val="2"/>
        </w:numPr>
        <w:autoSpaceDE w:val="0"/>
        <w:autoSpaceDN w:val="0"/>
        <w:adjustRightInd w:val="0"/>
        <w:ind w:left="567"/>
        <w:rPr>
          <w:rFonts w:cs="Arial"/>
          <w:lang w:eastAsia="en-GB"/>
        </w:rPr>
      </w:pPr>
      <w:r w:rsidRPr="001D7027">
        <w:rPr>
          <w:rFonts w:cs="Arial"/>
          <w:lang w:eastAsia="en-GB"/>
        </w:rPr>
        <w:t>État II – État de la performance financière</w:t>
      </w:r>
    </w:p>
    <w:p w:rsidR="00916691" w:rsidRPr="001D7027" w:rsidRDefault="00916691" w:rsidP="00D432A3">
      <w:pPr>
        <w:numPr>
          <w:ilvl w:val="0"/>
          <w:numId w:val="2"/>
        </w:numPr>
        <w:autoSpaceDE w:val="0"/>
        <w:autoSpaceDN w:val="0"/>
        <w:adjustRightInd w:val="0"/>
        <w:ind w:left="567"/>
        <w:rPr>
          <w:rFonts w:cs="Arial"/>
          <w:lang w:eastAsia="en-GB"/>
        </w:rPr>
      </w:pPr>
      <w:r w:rsidRPr="001D7027">
        <w:rPr>
          <w:rFonts w:cs="Arial"/>
          <w:lang w:eastAsia="en-GB"/>
        </w:rPr>
        <w:t>État III – État des variations des actifs nets</w:t>
      </w:r>
    </w:p>
    <w:p w:rsidR="00916691" w:rsidRPr="001D7027" w:rsidRDefault="00916691" w:rsidP="00D432A3">
      <w:pPr>
        <w:numPr>
          <w:ilvl w:val="0"/>
          <w:numId w:val="2"/>
        </w:numPr>
        <w:autoSpaceDE w:val="0"/>
        <w:autoSpaceDN w:val="0"/>
        <w:adjustRightInd w:val="0"/>
        <w:ind w:left="567"/>
        <w:rPr>
          <w:rFonts w:cs="Arial"/>
          <w:lang w:eastAsia="en-GB"/>
        </w:rPr>
      </w:pPr>
      <w:r w:rsidRPr="001D7027">
        <w:rPr>
          <w:rFonts w:cs="Arial"/>
          <w:lang w:eastAsia="en-GB"/>
        </w:rPr>
        <w:t>État IV – État des flux de trésorerie</w:t>
      </w:r>
    </w:p>
    <w:p w:rsidR="00916691" w:rsidRPr="001D7027" w:rsidRDefault="00916691" w:rsidP="00D432A3">
      <w:pPr>
        <w:numPr>
          <w:ilvl w:val="0"/>
          <w:numId w:val="2"/>
        </w:numPr>
        <w:autoSpaceDE w:val="0"/>
        <w:autoSpaceDN w:val="0"/>
        <w:adjustRightInd w:val="0"/>
        <w:ind w:left="567"/>
        <w:rPr>
          <w:rFonts w:cs="Arial"/>
          <w:lang w:eastAsia="en-GB"/>
        </w:rPr>
      </w:pPr>
      <w:r w:rsidRPr="001D7027">
        <w:rPr>
          <w:rFonts w:cs="Arial"/>
          <w:lang w:eastAsia="en-GB"/>
        </w:rPr>
        <w:t>État V – État de comparaison entre les crédits alloués et les dépenses réelles</w:t>
      </w:r>
    </w:p>
    <w:p w:rsidR="00916691" w:rsidRPr="001D7027" w:rsidRDefault="00916691" w:rsidP="00D432A3">
      <w:pPr>
        <w:numPr>
          <w:ilvl w:val="1"/>
          <w:numId w:val="2"/>
        </w:numPr>
        <w:autoSpaceDE w:val="0"/>
        <w:autoSpaceDN w:val="0"/>
        <w:adjustRightInd w:val="0"/>
        <w:ind w:left="567"/>
        <w:rPr>
          <w:rFonts w:cs="Arial"/>
          <w:lang w:eastAsia="en-GB"/>
        </w:rPr>
      </w:pPr>
      <w:r w:rsidRPr="001D7027">
        <w:rPr>
          <w:rFonts w:cs="Arial"/>
          <w:lang w:eastAsia="en-GB"/>
        </w:rPr>
        <w:t>Notes aux états financiers</w:t>
      </w:r>
    </w:p>
    <w:p w:rsidR="00916691" w:rsidRPr="001D7027" w:rsidRDefault="00916691" w:rsidP="00916691">
      <w:pPr>
        <w:autoSpaceDE w:val="0"/>
        <w:autoSpaceDN w:val="0"/>
        <w:adjustRightInd w:val="0"/>
        <w:rPr>
          <w:rFonts w:cs="Arial"/>
          <w:lang w:eastAsia="en-GB"/>
        </w:rPr>
      </w:pPr>
    </w:p>
    <w:p w:rsidR="00916691" w:rsidRPr="001D7027" w:rsidRDefault="00916691" w:rsidP="00916691">
      <w:pPr>
        <w:autoSpaceDE w:val="0"/>
        <w:autoSpaceDN w:val="0"/>
        <w:adjustRightInd w:val="0"/>
        <w:rPr>
          <w:rFonts w:cs="Arial"/>
          <w:lang w:eastAsia="en-GB"/>
        </w:rPr>
      </w:pPr>
      <w:r w:rsidRPr="001D7027">
        <w:rPr>
          <w:rFonts w:cs="Arial"/>
          <w:lang w:eastAsia="en-GB"/>
        </w:rPr>
        <w:t>Dans le Rapport de gestion financière, les états I à V sont présentés pour l</w:t>
      </w:r>
      <w:r w:rsidR="00750F64" w:rsidRPr="001D7027">
        <w:rPr>
          <w:rFonts w:cs="Arial"/>
          <w:lang w:eastAsia="en-GB"/>
        </w:rPr>
        <w:t>’</w:t>
      </w:r>
      <w:r w:rsidRPr="001D7027">
        <w:rPr>
          <w:rFonts w:cs="Arial"/>
          <w:lang w:eastAsia="en-GB"/>
        </w:rPr>
        <w:t xml:space="preserve">exercice </w:t>
      </w:r>
      <w:r w:rsidR="005D40E4" w:rsidRPr="001D7027">
        <w:rPr>
          <w:rFonts w:cs="Arial"/>
          <w:lang w:eastAsia="en-GB"/>
        </w:rPr>
        <w:t>biennal 2018</w:t>
      </w:r>
      <w:r w:rsidR="00750F64" w:rsidRPr="001D7027">
        <w:rPr>
          <w:rFonts w:cs="Arial"/>
          <w:lang w:eastAsia="en-GB"/>
        </w:rPr>
        <w:t>-</w:t>
      </w:r>
      <w:r w:rsidRPr="001D7027">
        <w:rPr>
          <w:rFonts w:cs="Arial"/>
          <w:lang w:eastAsia="en-GB"/>
        </w:rPr>
        <w:t>2019.  Des informations financières sont fournies pour faire comprendre les différences entre le résultat de l</w:t>
      </w:r>
      <w:r w:rsidR="00750F64" w:rsidRPr="001D7027">
        <w:rPr>
          <w:rFonts w:cs="Arial"/>
          <w:lang w:eastAsia="en-GB"/>
        </w:rPr>
        <w:t>’</w:t>
      </w:r>
      <w:r w:rsidRPr="001D7027">
        <w:rPr>
          <w:rFonts w:cs="Arial"/>
          <w:lang w:eastAsia="en-GB"/>
        </w:rPr>
        <w:t>UPOV sur une base budgétaire et celui en fonction des états financiers établis selon les normes IPSAS.  D</w:t>
      </w:r>
      <w:r w:rsidR="00750F64" w:rsidRPr="001D7027">
        <w:rPr>
          <w:rFonts w:cs="Arial"/>
          <w:lang w:eastAsia="en-GB"/>
        </w:rPr>
        <w:t>’</w:t>
      </w:r>
      <w:r w:rsidRPr="001D7027">
        <w:rPr>
          <w:rFonts w:cs="Arial"/>
          <w:lang w:eastAsia="en-GB"/>
        </w:rPr>
        <w:t>autres extraits des états financiers annuels fournissent également de plus amples détails sur les actifs et les passifs de l</w:t>
      </w:r>
      <w:r w:rsidR="00750F64" w:rsidRPr="001D7027">
        <w:rPr>
          <w:rFonts w:cs="Arial"/>
          <w:lang w:eastAsia="en-GB"/>
        </w:rPr>
        <w:t>’</w:t>
      </w:r>
      <w:r w:rsidRPr="001D7027">
        <w:rPr>
          <w:rFonts w:cs="Arial"/>
          <w:lang w:eastAsia="en-GB"/>
        </w:rPr>
        <w:t>UPOV.</w:t>
      </w:r>
    </w:p>
    <w:p w:rsidR="00916691" w:rsidRPr="001D7027" w:rsidRDefault="00916691" w:rsidP="00916691">
      <w:pPr>
        <w:autoSpaceDE w:val="0"/>
        <w:autoSpaceDN w:val="0"/>
        <w:adjustRightInd w:val="0"/>
        <w:rPr>
          <w:rFonts w:cs="Arial"/>
          <w:lang w:eastAsia="en-GB"/>
        </w:rPr>
      </w:pPr>
    </w:p>
    <w:p w:rsidR="00916691" w:rsidRPr="001D7027" w:rsidRDefault="00916691" w:rsidP="00916691">
      <w:pPr>
        <w:jc w:val="left"/>
      </w:pPr>
      <w:r w:rsidRPr="001D7027">
        <w:rPr>
          <w:lang w:eastAsia="en-GB"/>
        </w:rPr>
        <w:br w:type="page"/>
      </w:r>
    </w:p>
    <w:p w:rsidR="00916691" w:rsidRPr="001D7027" w:rsidRDefault="00916691" w:rsidP="00ED0026">
      <w:pPr>
        <w:pStyle w:val="Heading2"/>
        <w:rPr>
          <w:lang w:val="fr-FR"/>
        </w:rPr>
      </w:pPr>
      <w:bookmarkStart w:id="30" w:name="_Toc522808852"/>
      <w:bookmarkStart w:id="31" w:name="_Toc48658000"/>
      <w:r w:rsidRPr="001D7027">
        <w:rPr>
          <w:lang w:val="fr-FR"/>
        </w:rPr>
        <w:lastRenderedPageBreak/>
        <w:t>État I</w:t>
      </w:r>
      <w:r w:rsidRPr="001D7027">
        <w:rPr>
          <w:lang w:val="fr-FR"/>
        </w:rPr>
        <w:br/>
      </w:r>
      <w:r w:rsidRPr="001D7027">
        <w:rPr>
          <w:lang w:val="fr-FR"/>
        </w:rPr>
        <w:br/>
        <w:t>État de la situation financière</w:t>
      </w:r>
      <w:bookmarkEnd w:id="30"/>
      <w:bookmarkEnd w:id="31"/>
    </w:p>
    <w:p w:rsidR="00916691" w:rsidRPr="001D7027" w:rsidRDefault="00916691" w:rsidP="00ED0026">
      <w:pPr>
        <w:pStyle w:val="Heading2"/>
        <w:rPr>
          <w:lang w:val="fr-FR"/>
        </w:rPr>
      </w:pPr>
    </w:p>
    <w:p w:rsidR="00916691" w:rsidRPr="001D7027" w:rsidRDefault="00916691" w:rsidP="00916691">
      <w:pPr>
        <w:jc w:val="center"/>
        <w:rPr>
          <w:rFonts w:cs="Arial"/>
          <w:b/>
          <w:lang w:eastAsia="en-GB"/>
        </w:rPr>
      </w:pPr>
      <w:r w:rsidRPr="001D7027">
        <w:rPr>
          <w:rFonts w:cs="Arial"/>
          <w:b/>
          <w:lang w:eastAsia="en-GB"/>
        </w:rPr>
        <w:t>au 31 décembre 2019</w:t>
      </w:r>
    </w:p>
    <w:p w:rsidR="005D40E4" w:rsidRPr="001D7027" w:rsidRDefault="00916691" w:rsidP="00916691">
      <w:pPr>
        <w:jc w:val="center"/>
        <w:rPr>
          <w:rFonts w:cs="Arial"/>
          <w:i/>
        </w:rPr>
      </w:pPr>
      <w:r w:rsidRPr="001D7027">
        <w:rPr>
          <w:rFonts w:cs="Arial"/>
          <w:i/>
        </w:rPr>
        <w:t>(en</w:t>
      </w:r>
      <w:r w:rsidR="00495A8C">
        <w:rPr>
          <w:rFonts w:cs="Arial"/>
          <w:i/>
        </w:rPr>
        <w:t> francs suisses</w:t>
      </w:r>
      <w:r w:rsidRPr="001D7027">
        <w:rPr>
          <w:rFonts w:cs="Arial"/>
          <w:i/>
        </w:rPr>
        <w:t>)</w:t>
      </w:r>
    </w:p>
    <w:p w:rsidR="00916691" w:rsidRPr="001D7027" w:rsidRDefault="00916691" w:rsidP="00916691">
      <w:pPr>
        <w:spacing w:line="276" w:lineRule="auto"/>
        <w:jc w:val="center"/>
        <w:rPr>
          <w:rFonts w:cs="Arial"/>
          <w:b/>
        </w:rPr>
      </w:pPr>
    </w:p>
    <w:p w:rsidR="00916691" w:rsidRPr="001D7027" w:rsidRDefault="00542C73" w:rsidP="00916691">
      <w:pPr>
        <w:spacing w:line="276" w:lineRule="auto"/>
        <w:jc w:val="center"/>
        <w:rPr>
          <w:rFonts w:cs="Arial"/>
          <w:b/>
        </w:rPr>
      </w:pPr>
      <w:r w:rsidRPr="001D7027">
        <w:rPr>
          <w:noProof/>
          <w:lang w:val="en-US"/>
        </w:rPr>
        <w:drawing>
          <wp:inline distT="0" distB="0" distL="0" distR="0">
            <wp:extent cx="6067425" cy="5495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7425" cy="5495925"/>
                    </a:xfrm>
                    <a:prstGeom prst="rect">
                      <a:avLst/>
                    </a:prstGeom>
                    <a:noFill/>
                    <a:ln>
                      <a:noFill/>
                    </a:ln>
                  </pic:spPr>
                </pic:pic>
              </a:graphicData>
            </a:graphic>
          </wp:inline>
        </w:drawing>
      </w:r>
    </w:p>
    <w:p w:rsidR="00916691" w:rsidRPr="001D7027" w:rsidRDefault="00916691" w:rsidP="00916691">
      <w:pPr>
        <w:spacing w:line="276" w:lineRule="auto"/>
        <w:jc w:val="center"/>
        <w:rPr>
          <w:rFonts w:cs="Arial"/>
          <w:b/>
        </w:rPr>
      </w:pPr>
    </w:p>
    <w:p w:rsidR="00916691" w:rsidRPr="001D7027" w:rsidRDefault="00916691" w:rsidP="00ED0026">
      <w:pPr>
        <w:pStyle w:val="Heading2"/>
        <w:rPr>
          <w:lang w:val="fr-FR"/>
        </w:rPr>
      </w:pPr>
      <w:r w:rsidRPr="001D7027">
        <w:rPr>
          <w:lang w:val="fr-FR"/>
        </w:rPr>
        <w:br w:type="page"/>
      </w:r>
      <w:bookmarkStart w:id="32" w:name="_Toc522808853"/>
      <w:bookmarkStart w:id="33" w:name="_Toc48658001"/>
      <w:r w:rsidRPr="001D7027">
        <w:rPr>
          <w:lang w:val="fr-FR"/>
        </w:rPr>
        <w:lastRenderedPageBreak/>
        <w:t>État II</w:t>
      </w:r>
      <w:r w:rsidRPr="001D7027">
        <w:rPr>
          <w:lang w:val="fr-FR"/>
        </w:rPr>
        <w:br/>
      </w:r>
      <w:r w:rsidRPr="001D7027">
        <w:rPr>
          <w:lang w:val="fr-FR"/>
        </w:rPr>
        <w:br/>
        <w:t>État de la performance financière</w:t>
      </w:r>
      <w:bookmarkEnd w:id="32"/>
      <w:bookmarkEnd w:id="33"/>
    </w:p>
    <w:p w:rsidR="00916691" w:rsidRPr="001D7027" w:rsidRDefault="00916691" w:rsidP="00916691">
      <w:pPr>
        <w:jc w:val="center"/>
        <w:rPr>
          <w:rFonts w:cs="Arial"/>
          <w:b/>
          <w:lang w:eastAsia="en-GB"/>
        </w:rPr>
      </w:pPr>
    </w:p>
    <w:p w:rsidR="00916691" w:rsidRPr="001D7027" w:rsidRDefault="00916691" w:rsidP="00916691">
      <w:pPr>
        <w:jc w:val="center"/>
        <w:rPr>
          <w:rFonts w:cs="Arial"/>
          <w:b/>
          <w:lang w:eastAsia="en-GB"/>
        </w:rPr>
      </w:pPr>
      <w:r w:rsidRPr="001D7027">
        <w:rPr>
          <w:rFonts w:cs="Arial"/>
          <w:b/>
          <w:lang w:eastAsia="en-GB"/>
        </w:rPr>
        <w:t>pour l</w:t>
      </w:r>
      <w:r w:rsidR="00750F64" w:rsidRPr="001D7027">
        <w:rPr>
          <w:rFonts w:cs="Arial"/>
          <w:b/>
          <w:lang w:eastAsia="en-GB"/>
        </w:rPr>
        <w:t>’</w:t>
      </w:r>
      <w:r w:rsidRPr="001D7027">
        <w:rPr>
          <w:rFonts w:cs="Arial"/>
          <w:b/>
          <w:lang w:eastAsia="en-GB"/>
        </w:rPr>
        <w:t xml:space="preserve">exercice biennal clos </w:t>
      </w:r>
      <w:r w:rsidR="00E33745" w:rsidRPr="001D7027">
        <w:rPr>
          <w:rFonts w:cs="Arial"/>
          <w:b/>
          <w:lang w:eastAsia="en-GB"/>
        </w:rPr>
        <w:t>le</w:t>
      </w:r>
      <w:r w:rsidRPr="001D7027">
        <w:rPr>
          <w:rFonts w:cs="Arial"/>
          <w:b/>
          <w:lang w:eastAsia="en-GB"/>
        </w:rPr>
        <w:t xml:space="preserve"> 31 décembre 2019</w:t>
      </w:r>
    </w:p>
    <w:p w:rsidR="005D40E4" w:rsidRPr="001D7027" w:rsidRDefault="00916691" w:rsidP="00916691">
      <w:pPr>
        <w:jc w:val="center"/>
        <w:rPr>
          <w:rFonts w:cs="Arial"/>
          <w:i/>
        </w:rPr>
      </w:pPr>
      <w:r w:rsidRPr="001D7027">
        <w:rPr>
          <w:rFonts w:cs="Arial"/>
          <w:i/>
        </w:rPr>
        <w:t>(en</w:t>
      </w:r>
      <w:r w:rsidR="00495A8C">
        <w:rPr>
          <w:rFonts w:cs="Arial"/>
          <w:i/>
        </w:rPr>
        <w:t> francs suisses</w:t>
      </w:r>
      <w:r w:rsidRPr="001D7027">
        <w:rPr>
          <w:rFonts w:cs="Arial"/>
          <w:i/>
        </w:rPr>
        <w:t>)</w:t>
      </w:r>
    </w:p>
    <w:p w:rsidR="00916691" w:rsidRPr="001D7027" w:rsidRDefault="00916691" w:rsidP="00916691">
      <w:pPr>
        <w:jc w:val="center"/>
        <w:rPr>
          <w:rFonts w:cs="Arial"/>
          <w:b/>
        </w:rPr>
      </w:pPr>
    </w:p>
    <w:p w:rsidR="00916691" w:rsidRPr="001D7027" w:rsidRDefault="005265AA" w:rsidP="00916691">
      <w:pPr>
        <w:spacing w:line="276" w:lineRule="auto"/>
        <w:jc w:val="center"/>
        <w:rPr>
          <w:rFonts w:cs="Arial"/>
          <w:b/>
        </w:rPr>
      </w:pPr>
      <w:r w:rsidRPr="001D7027">
        <w:rPr>
          <w:noProof/>
          <w:lang w:val="en-US"/>
        </w:rPr>
        <w:drawing>
          <wp:inline distT="0" distB="0" distL="0" distR="0">
            <wp:extent cx="5943600" cy="3314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rsidR="00916691" w:rsidRPr="001D7027" w:rsidRDefault="00916691" w:rsidP="00916691">
      <w:pPr>
        <w:spacing w:line="276" w:lineRule="auto"/>
        <w:jc w:val="center"/>
        <w:rPr>
          <w:rFonts w:cs="Arial"/>
          <w:b/>
        </w:rPr>
      </w:pPr>
    </w:p>
    <w:p w:rsidR="00916691" w:rsidRPr="001D7027" w:rsidRDefault="00916691" w:rsidP="00ED0026">
      <w:pPr>
        <w:pStyle w:val="Heading2"/>
        <w:rPr>
          <w:lang w:val="fr-FR"/>
        </w:rPr>
      </w:pPr>
      <w:r w:rsidRPr="001D7027">
        <w:rPr>
          <w:lang w:val="fr-FR"/>
        </w:rPr>
        <w:br w:type="page"/>
      </w:r>
      <w:bookmarkStart w:id="34" w:name="_Toc522808854"/>
      <w:bookmarkStart w:id="35" w:name="_Toc48658002"/>
      <w:r w:rsidRPr="001D7027">
        <w:rPr>
          <w:lang w:val="fr-FR"/>
        </w:rPr>
        <w:lastRenderedPageBreak/>
        <w:t>État III</w:t>
      </w:r>
      <w:r w:rsidRPr="001D7027">
        <w:rPr>
          <w:lang w:val="fr-FR"/>
        </w:rPr>
        <w:br/>
      </w:r>
      <w:r w:rsidRPr="001D7027">
        <w:rPr>
          <w:lang w:val="fr-FR"/>
        </w:rPr>
        <w:br/>
        <w:t>État des variations des actifs nets</w:t>
      </w:r>
      <w:bookmarkEnd w:id="34"/>
      <w:bookmarkEnd w:id="35"/>
    </w:p>
    <w:p w:rsidR="00916691" w:rsidRPr="001D7027" w:rsidRDefault="00916691" w:rsidP="00916691">
      <w:pPr>
        <w:jc w:val="center"/>
        <w:rPr>
          <w:rFonts w:cs="Arial"/>
          <w:b/>
          <w:lang w:eastAsia="en-GB"/>
        </w:rPr>
      </w:pPr>
    </w:p>
    <w:p w:rsidR="00916691" w:rsidRPr="001D7027" w:rsidRDefault="00916691" w:rsidP="00916691">
      <w:pPr>
        <w:jc w:val="center"/>
        <w:rPr>
          <w:rFonts w:cs="Arial"/>
          <w:b/>
          <w:lang w:eastAsia="en-GB"/>
        </w:rPr>
      </w:pPr>
      <w:r w:rsidRPr="001D7027">
        <w:rPr>
          <w:rFonts w:cs="Arial"/>
          <w:b/>
          <w:lang w:eastAsia="en-GB"/>
        </w:rPr>
        <w:t>pour l</w:t>
      </w:r>
      <w:r w:rsidR="00750F64" w:rsidRPr="001D7027">
        <w:rPr>
          <w:rFonts w:cs="Arial"/>
          <w:b/>
          <w:lang w:eastAsia="en-GB"/>
        </w:rPr>
        <w:t>’</w:t>
      </w:r>
      <w:r w:rsidRPr="001D7027">
        <w:rPr>
          <w:rFonts w:cs="Arial"/>
          <w:b/>
          <w:lang w:eastAsia="en-GB"/>
        </w:rPr>
        <w:t>exercice biennal clos le 3</w:t>
      </w:r>
      <w:r w:rsidR="005D40E4" w:rsidRPr="001D7027">
        <w:rPr>
          <w:rFonts w:cs="Arial"/>
          <w:b/>
          <w:lang w:eastAsia="en-GB"/>
        </w:rPr>
        <w:t>1 décembre</w:t>
      </w:r>
      <w:r w:rsidRPr="001D7027">
        <w:rPr>
          <w:rFonts w:cs="Arial"/>
          <w:b/>
          <w:lang w:eastAsia="en-GB"/>
        </w:rPr>
        <w:t> 2019</w:t>
      </w:r>
    </w:p>
    <w:p w:rsidR="005D40E4" w:rsidRPr="001D7027" w:rsidRDefault="00916691" w:rsidP="00916691">
      <w:pPr>
        <w:jc w:val="center"/>
        <w:rPr>
          <w:rFonts w:cs="Arial"/>
          <w:i/>
        </w:rPr>
      </w:pPr>
      <w:r w:rsidRPr="001D7027">
        <w:rPr>
          <w:rFonts w:cs="Arial"/>
          <w:i/>
        </w:rPr>
        <w:t>(en</w:t>
      </w:r>
      <w:r w:rsidR="00495A8C">
        <w:rPr>
          <w:rFonts w:cs="Arial"/>
          <w:i/>
        </w:rPr>
        <w:t> francs suisses</w:t>
      </w:r>
      <w:r w:rsidRPr="001D7027">
        <w:rPr>
          <w:rFonts w:cs="Arial"/>
          <w:i/>
        </w:rPr>
        <w:t>)</w:t>
      </w:r>
    </w:p>
    <w:p w:rsidR="00916691" w:rsidRDefault="00916691" w:rsidP="00916691">
      <w:pPr>
        <w:jc w:val="center"/>
        <w:rPr>
          <w:rFonts w:cs="Arial"/>
          <w:b/>
        </w:rPr>
      </w:pPr>
    </w:p>
    <w:p w:rsidR="00916691" w:rsidRPr="001D7027" w:rsidRDefault="005265AA" w:rsidP="00916691">
      <w:pPr>
        <w:spacing w:line="276" w:lineRule="auto"/>
        <w:jc w:val="center"/>
        <w:rPr>
          <w:rFonts w:cs="Arial"/>
          <w:b/>
        </w:rPr>
      </w:pPr>
      <w:r w:rsidRPr="001D7027">
        <w:rPr>
          <w:noProof/>
          <w:lang w:val="en-US"/>
        </w:rPr>
        <w:drawing>
          <wp:inline distT="0" distB="0" distL="0" distR="0">
            <wp:extent cx="6120765" cy="383780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837803"/>
                    </a:xfrm>
                    <a:prstGeom prst="rect">
                      <a:avLst/>
                    </a:prstGeom>
                    <a:noFill/>
                    <a:ln>
                      <a:noFill/>
                    </a:ln>
                  </pic:spPr>
                </pic:pic>
              </a:graphicData>
            </a:graphic>
          </wp:inline>
        </w:drawing>
      </w:r>
    </w:p>
    <w:p w:rsidR="00916691" w:rsidRPr="001D7027" w:rsidRDefault="00916691" w:rsidP="00916691">
      <w:pPr>
        <w:spacing w:line="276" w:lineRule="auto"/>
        <w:jc w:val="center"/>
        <w:rPr>
          <w:rFonts w:cs="Arial"/>
          <w:b/>
        </w:rPr>
      </w:pPr>
    </w:p>
    <w:p w:rsidR="00916691" w:rsidRPr="001D7027" w:rsidRDefault="00916691" w:rsidP="00916691">
      <w:pPr>
        <w:spacing w:line="276" w:lineRule="auto"/>
        <w:jc w:val="center"/>
        <w:rPr>
          <w:rFonts w:cs="Arial"/>
        </w:rPr>
      </w:pPr>
    </w:p>
    <w:p w:rsidR="00916691" w:rsidRPr="001D7027" w:rsidRDefault="00916691" w:rsidP="00ED0026">
      <w:pPr>
        <w:pStyle w:val="Heading2"/>
        <w:rPr>
          <w:lang w:val="fr-FR"/>
        </w:rPr>
      </w:pPr>
      <w:r w:rsidRPr="001D7027">
        <w:rPr>
          <w:lang w:val="fr-FR"/>
        </w:rPr>
        <w:br w:type="page"/>
      </w:r>
      <w:bookmarkStart w:id="36" w:name="_Toc522808855"/>
      <w:bookmarkStart w:id="37" w:name="_Toc48658003"/>
      <w:r w:rsidRPr="001D7027">
        <w:rPr>
          <w:lang w:val="fr-FR"/>
        </w:rPr>
        <w:lastRenderedPageBreak/>
        <w:t>État IV</w:t>
      </w:r>
      <w:r w:rsidRPr="001D7027">
        <w:rPr>
          <w:lang w:val="fr-FR"/>
        </w:rPr>
        <w:br/>
      </w:r>
      <w:r w:rsidRPr="001D7027">
        <w:rPr>
          <w:lang w:val="fr-FR"/>
        </w:rPr>
        <w:br/>
        <w:t>État des flux de trésorerie</w:t>
      </w:r>
      <w:bookmarkEnd w:id="36"/>
      <w:bookmarkEnd w:id="37"/>
    </w:p>
    <w:p w:rsidR="00916691" w:rsidRPr="001D7027" w:rsidRDefault="00916691" w:rsidP="00916691">
      <w:pPr>
        <w:spacing w:line="276" w:lineRule="auto"/>
        <w:jc w:val="center"/>
        <w:rPr>
          <w:rFonts w:cs="Arial"/>
          <w:b/>
          <w:lang w:eastAsia="en-GB"/>
        </w:rPr>
      </w:pPr>
    </w:p>
    <w:p w:rsidR="00916691" w:rsidRPr="001D7027" w:rsidRDefault="00916691" w:rsidP="00916691">
      <w:pPr>
        <w:spacing w:line="276" w:lineRule="auto"/>
        <w:jc w:val="center"/>
        <w:rPr>
          <w:rFonts w:cs="Arial"/>
          <w:b/>
          <w:lang w:eastAsia="en-GB"/>
        </w:rPr>
      </w:pPr>
      <w:r w:rsidRPr="001D7027">
        <w:rPr>
          <w:rFonts w:cs="Arial"/>
          <w:b/>
          <w:lang w:eastAsia="en-GB"/>
        </w:rPr>
        <w:t>pour l</w:t>
      </w:r>
      <w:r w:rsidR="00750F64" w:rsidRPr="001D7027">
        <w:rPr>
          <w:rFonts w:cs="Arial"/>
          <w:b/>
          <w:lang w:eastAsia="en-GB"/>
        </w:rPr>
        <w:t>’</w:t>
      </w:r>
      <w:r w:rsidRPr="001D7027">
        <w:rPr>
          <w:rFonts w:cs="Arial"/>
          <w:b/>
          <w:lang w:eastAsia="en-GB"/>
        </w:rPr>
        <w:t>exercice biennal clos le 31 décembre 2019</w:t>
      </w:r>
    </w:p>
    <w:p w:rsidR="005D40E4" w:rsidRPr="001D7027" w:rsidRDefault="00916691" w:rsidP="00916691">
      <w:pPr>
        <w:spacing w:line="276" w:lineRule="auto"/>
        <w:jc w:val="center"/>
        <w:rPr>
          <w:rFonts w:cs="Arial"/>
          <w:i/>
        </w:rPr>
      </w:pPr>
      <w:r w:rsidRPr="001D7027">
        <w:rPr>
          <w:rFonts w:cs="Arial"/>
          <w:i/>
        </w:rPr>
        <w:t>(en</w:t>
      </w:r>
      <w:r w:rsidR="00495A8C">
        <w:rPr>
          <w:rFonts w:cs="Arial"/>
          <w:i/>
        </w:rPr>
        <w:t> francs suisses</w:t>
      </w:r>
      <w:r w:rsidRPr="001D7027">
        <w:rPr>
          <w:rFonts w:cs="Arial"/>
          <w:i/>
        </w:rPr>
        <w:t>)</w:t>
      </w:r>
    </w:p>
    <w:p w:rsidR="00916691" w:rsidRPr="001D7027" w:rsidRDefault="00916691" w:rsidP="00916691">
      <w:pPr>
        <w:spacing w:line="276" w:lineRule="auto"/>
        <w:jc w:val="center"/>
        <w:rPr>
          <w:rFonts w:cs="Arial"/>
          <w:b/>
        </w:rPr>
      </w:pPr>
    </w:p>
    <w:p w:rsidR="00916691" w:rsidRPr="001D7027" w:rsidRDefault="00BE3D2D" w:rsidP="00916691">
      <w:pPr>
        <w:spacing w:line="276" w:lineRule="auto"/>
        <w:jc w:val="center"/>
        <w:rPr>
          <w:rFonts w:cs="Arial"/>
          <w:b/>
        </w:rPr>
      </w:pPr>
      <w:r w:rsidRPr="001D7027">
        <w:rPr>
          <w:noProof/>
          <w:lang w:val="en-US"/>
        </w:rPr>
        <w:drawing>
          <wp:inline distT="0" distB="0" distL="0" distR="0">
            <wp:extent cx="6120765" cy="3439698"/>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439698"/>
                    </a:xfrm>
                    <a:prstGeom prst="rect">
                      <a:avLst/>
                    </a:prstGeom>
                    <a:noFill/>
                    <a:ln>
                      <a:noFill/>
                    </a:ln>
                  </pic:spPr>
                </pic:pic>
              </a:graphicData>
            </a:graphic>
          </wp:inline>
        </w:drawing>
      </w:r>
    </w:p>
    <w:p w:rsidR="00916691" w:rsidRPr="001D7027" w:rsidRDefault="00916691" w:rsidP="00916691">
      <w:pPr>
        <w:spacing w:line="276" w:lineRule="auto"/>
        <w:jc w:val="center"/>
        <w:rPr>
          <w:rFonts w:cs="Arial"/>
        </w:rPr>
      </w:pPr>
    </w:p>
    <w:p w:rsidR="00916691" w:rsidRPr="001D7027" w:rsidRDefault="00916691" w:rsidP="00916691">
      <w:pPr>
        <w:spacing w:line="276" w:lineRule="auto"/>
        <w:jc w:val="center"/>
        <w:rPr>
          <w:rFonts w:cs="Arial"/>
        </w:rPr>
      </w:pPr>
    </w:p>
    <w:p w:rsidR="00916691" w:rsidRPr="001D7027" w:rsidRDefault="00916691" w:rsidP="00ED0026">
      <w:pPr>
        <w:pStyle w:val="Heading2"/>
        <w:rPr>
          <w:lang w:val="fr-FR"/>
        </w:rPr>
      </w:pPr>
      <w:r w:rsidRPr="001D7027">
        <w:rPr>
          <w:lang w:val="fr-FR"/>
        </w:rPr>
        <w:br w:type="page"/>
      </w:r>
      <w:bookmarkStart w:id="38" w:name="_Toc522808856"/>
      <w:bookmarkStart w:id="39" w:name="_Toc48658004"/>
      <w:r w:rsidRPr="001D7027">
        <w:rPr>
          <w:lang w:val="fr-FR"/>
        </w:rPr>
        <w:lastRenderedPageBreak/>
        <w:t>État V</w:t>
      </w:r>
      <w:r w:rsidRPr="001D7027">
        <w:rPr>
          <w:lang w:val="fr-FR"/>
        </w:rPr>
        <w:br/>
      </w:r>
      <w:r w:rsidRPr="001D7027">
        <w:rPr>
          <w:lang w:val="fr-FR"/>
        </w:rPr>
        <w:br/>
        <w:t>État de comparaison des montants budgétaires et des montants réels</w:t>
      </w:r>
      <w:bookmarkEnd w:id="38"/>
      <w:bookmarkEnd w:id="39"/>
    </w:p>
    <w:p w:rsidR="00916691" w:rsidRPr="001D7027" w:rsidRDefault="00916691" w:rsidP="00ED0026">
      <w:pPr>
        <w:pStyle w:val="Heading2"/>
        <w:rPr>
          <w:lang w:val="fr-FR" w:eastAsia="en-GB"/>
        </w:rPr>
      </w:pPr>
    </w:p>
    <w:p w:rsidR="00916691" w:rsidRPr="001D7027" w:rsidRDefault="00916691" w:rsidP="00916691">
      <w:pPr>
        <w:jc w:val="center"/>
        <w:rPr>
          <w:rFonts w:cs="Arial"/>
          <w:b/>
          <w:lang w:eastAsia="en-GB"/>
        </w:rPr>
      </w:pPr>
      <w:r w:rsidRPr="001D7027">
        <w:rPr>
          <w:rFonts w:cs="Arial"/>
          <w:b/>
          <w:lang w:eastAsia="en-GB"/>
        </w:rPr>
        <w:t>pour l</w:t>
      </w:r>
      <w:r w:rsidR="00750F64" w:rsidRPr="001D7027">
        <w:rPr>
          <w:rFonts w:cs="Arial"/>
          <w:b/>
          <w:lang w:eastAsia="en-GB"/>
        </w:rPr>
        <w:t>’</w:t>
      </w:r>
      <w:r w:rsidRPr="001D7027">
        <w:rPr>
          <w:rFonts w:cs="Arial"/>
          <w:b/>
          <w:lang w:eastAsia="en-GB"/>
        </w:rPr>
        <w:t>exercice biennal clos le 31 décembre 2019</w:t>
      </w:r>
    </w:p>
    <w:p w:rsidR="00916691" w:rsidRPr="001D7027" w:rsidRDefault="00916691" w:rsidP="00916691">
      <w:pPr>
        <w:spacing w:line="276" w:lineRule="auto"/>
        <w:jc w:val="center"/>
        <w:rPr>
          <w:rFonts w:cs="Arial"/>
          <w:i/>
        </w:rPr>
      </w:pPr>
      <w:r w:rsidRPr="001D7027">
        <w:rPr>
          <w:rFonts w:cs="Arial"/>
          <w:i/>
        </w:rPr>
        <w:t>(en milliers de</w:t>
      </w:r>
      <w:r w:rsidR="00495A8C">
        <w:rPr>
          <w:rFonts w:cs="Arial"/>
          <w:i/>
        </w:rPr>
        <w:t> francs suisses</w:t>
      </w:r>
      <w:r w:rsidRPr="001D7027">
        <w:rPr>
          <w:rFonts w:cs="Arial"/>
          <w:i/>
        </w:rPr>
        <w:t>)</w:t>
      </w:r>
    </w:p>
    <w:p w:rsidR="00916691" w:rsidRPr="001D7027" w:rsidRDefault="00916691" w:rsidP="00916691">
      <w:pPr>
        <w:spacing w:line="276" w:lineRule="auto"/>
        <w:jc w:val="center"/>
        <w:rPr>
          <w:rFonts w:cs="Arial"/>
        </w:rPr>
      </w:pPr>
    </w:p>
    <w:p w:rsidR="00916691" w:rsidRPr="001D7027" w:rsidRDefault="00301A7F" w:rsidP="00916691">
      <w:pPr>
        <w:spacing w:line="276" w:lineRule="auto"/>
        <w:jc w:val="center"/>
        <w:rPr>
          <w:rFonts w:cs="Arial"/>
        </w:rPr>
      </w:pPr>
      <w:r w:rsidRPr="001D7027">
        <w:rPr>
          <w:noProof/>
          <w:lang w:val="en-US"/>
        </w:rPr>
        <w:drawing>
          <wp:inline distT="0" distB="0" distL="0" distR="0">
            <wp:extent cx="5657850" cy="45434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7850" cy="4543425"/>
                    </a:xfrm>
                    <a:prstGeom prst="rect">
                      <a:avLst/>
                    </a:prstGeom>
                    <a:noFill/>
                    <a:ln>
                      <a:noFill/>
                    </a:ln>
                  </pic:spPr>
                </pic:pic>
              </a:graphicData>
            </a:graphic>
          </wp:inline>
        </w:drawing>
      </w:r>
    </w:p>
    <w:p w:rsidR="00916691" w:rsidRPr="001D7027" w:rsidRDefault="00916691" w:rsidP="00916691">
      <w:pPr>
        <w:rPr>
          <w:rFonts w:cs="Arial"/>
        </w:rPr>
      </w:pPr>
    </w:p>
    <w:p w:rsidR="00916691" w:rsidRPr="001D7027" w:rsidRDefault="00916691" w:rsidP="00DF62B8">
      <w:pPr>
        <w:numPr>
          <w:ilvl w:val="0"/>
          <w:numId w:val="4"/>
        </w:numPr>
        <w:rPr>
          <w:rFonts w:cs="Arial"/>
          <w:sz w:val="18"/>
          <w:szCs w:val="18"/>
        </w:rPr>
      </w:pPr>
      <w:r w:rsidRPr="001D7027">
        <w:rPr>
          <w:sz w:val="18"/>
          <w:szCs w:val="18"/>
        </w:rPr>
        <w:t>représente le programme et budget 2018</w:t>
      </w:r>
      <w:r w:rsidR="00750F64" w:rsidRPr="001D7027">
        <w:rPr>
          <w:sz w:val="18"/>
          <w:szCs w:val="18"/>
        </w:rPr>
        <w:t>-</w:t>
      </w:r>
      <w:r w:rsidRPr="001D7027">
        <w:rPr>
          <w:sz w:val="18"/>
          <w:szCs w:val="18"/>
        </w:rPr>
        <w:t>2019 approuvé</w:t>
      </w:r>
      <w:r w:rsidRPr="001D7027">
        <w:rPr>
          <w:rFonts w:cs="Arial"/>
          <w:sz w:val="18"/>
          <w:szCs w:val="18"/>
        </w:rPr>
        <w:t>;</w:t>
      </w:r>
    </w:p>
    <w:p w:rsidR="00916691" w:rsidRPr="001D7027" w:rsidRDefault="00916691" w:rsidP="00DF62B8">
      <w:pPr>
        <w:numPr>
          <w:ilvl w:val="0"/>
          <w:numId w:val="4"/>
        </w:numPr>
        <w:rPr>
          <w:rFonts w:cs="Arial"/>
          <w:sz w:val="18"/>
          <w:szCs w:val="18"/>
        </w:rPr>
      </w:pPr>
      <w:r w:rsidRPr="001D7027">
        <w:rPr>
          <w:sz w:val="18"/>
          <w:szCs w:val="18"/>
        </w:rPr>
        <w:t>représente l</w:t>
      </w:r>
      <w:r w:rsidR="00750F64" w:rsidRPr="001D7027">
        <w:rPr>
          <w:sz w:val="18"/>
          <w:szCs w:val="18"/>
        </w:rPr>
        <w:t>’</w:t>
      </w:r>
      <w:r w:rsidRPr="001D7027">
        <w:rPr>
          <w:sz w:val="18"/>
          <w:szCs w:val="18"/>
        </w:rPr>
        <w:t>écart entre le budget final (révisé) et les dépenses effectives sur une base comparable (avant ajustements IPSAS</w:t>
      </w:r>
      <w:r w:rsidRPr="001D7027">
        <w:rPr>
          <w:rFonts w:cs="Arial"/>
          <w:sz w:val="18"/>
          <w:szCs w:val="18"/>
        </w:rPr>
        <w:t>).</w:t>
      </w:r>
    </w:p>
    <w:p w:rsidR="00916691" w:rsidRPr="001D7027" w:rsidRDefault="00916691" w:rsidP="00ED0026">
      <w:pPr>
        <w:pStyle w:val="Heading2"/>
        <w:rPr>
          <w:lang w:val="fr-FR"/>
        </w:rPr>
      </w:pPr>
      <w:r w:rsidRPr="001D7027">
        <w:rPr>
          <w:lang w:val="fr-FR"/>
        </w:rPr>
        <w:br w:type="page"/>
      </w:r>
      <w:bookmarkStart w:id="40" w:name="_Toc522808857"/>
      <w:bookmarkStart w:id="41" w:name="_Toc48658005"/>
      <w:r w:rsidRPr="001D7027">
        <w:rPr>
          <w:lang w:val="fr-FR"/>
        </w:rPr>
        <w:lastRenderedPageBreak/>
        <w:t>Analyse de l</w:t>
      </w:r>
      <w:r w:rsidR="00750F64" w:rsidRPr="001D7027">
        <w:rPr>
          <w:lang w:val="fr-FR"/>
        </w:rPr>
        <w:t>’</w:t>
      </w:r>
      <w:r w:rsidRPr="001D7027">
        <w:rPr>
          <w:lang w:val="fr-FR"/>
        </w:rPr>
        <w:t>état de la situation financière</w:t>
      </w:r>
      <w:bookmarkEnd w:id="40"/>
      <w:bookmarkEnd w:id="41"/>
    </w:p>
    <w:p w:rsidR="00D314F8" w:rsidRPr="001D7027" w:rsidRDefault="00D314F8" w:rsidP="00D314F8"/>
    <w:p w:rsidR="00916691" w:rsidRPr="001D7027" w:rsidRDefault="00916691" w:rsidP="00916691">
      <w:pPr>
        <w:autoSpaceDE w:val="0"/>
        <w:autoSpaceDN w:val="0"/>
        <w:adjustRightInd w:val="0"/>
        <w:rPr>
          <w:rFonts w:cs="Arial"/>
          <w:lang w:eastAsia="en-GB"/>
        </w:rPr>
      </w:pPr>
      <w:r w:rsidRPr="001D7027">
        <w:rPr>
          <w:rFonts w:cs="Arial"/>
          <w:b/>
          <w:bCs/>
          <w:lang w:eastAsia="en-GB"/>
        </w:rPr>
        <w:t>Évolution des actifs nets</w:t>
      </w:r>
    </w:p>
    <w:p w:rsidR="00916691" w:rsidRPr="001D7027" w:rsidRDefault="00916691" w:rsidP="00916691">
      <w:pPr>
        <w:rPr>
          <w:rFonts w:cs="Arial"/>
          <w:lang w:eastAsia="en-GB"/>
        </w:rPr>
      </w:pPr>
    </w:p>
    <w:p w:rsidR="00916691" w:rsidRPr="008E239D" w:rsidRDefault="00916691" w:rsidP="00916691">
      <w:pPr>
        <w:rPr>
          <w:rFonts w:cs="Arial"/>
          <w:spacing w:val="-2"/>
          <w:lang w:eastAsia="en-GB"/>
        </w:rPr>
      </w:pPr>
      <w:r w:rsidRPr="008E239D">
        <w:rPr>
          <w:rFonts w:cs="Arial"/>
          <w:spacing w:val="-2"/>
          <w:lang w:eastAsia="en-GB"/>
        </w:rPr>
        <w:t>Au 31 décembre 2019, l</w:t>
      </w:r>
      <w:r w:rsidR="00750F64" w:rsidRPr="008E239D">
        <w:rPr>
          <w:rFonts w:cs="Arial"/>
          <w:spacing w:val="-2"/>
          <w:lang w:eastAsia="en-GB"/>
        </w:rPr>
        <w:t>’</w:t>
      </w:r>
      <w:r w:rsidRPr="008E239D">
        <w:rPr>
          <w:rFonts w:cs="Arial"/>
          <w:spacing w:val="-2"/>
          <w:lang w:eastAsia="en-GB"/>
        </w:rPr>
        <w:t>UPV détenait selon les normes</w:t>
      </w:r>
      <w:r w:rsidR="00CA2E8B" w:rsidRPr="008E239D">
        <w:rPr>
          <w:rFonts w:cs="Arial"/>
          <w:spacing w:val="-2"/>
          <w:lang w:eastAsia="en-GB"/>
        </w:rPr>
        <w:t> </w:t>
      </w:r>
      <w:r w:rsidRPr="008E239D">
        <w:rPr>
          <w:rFonts w:cs="Arial"/>
          <w:spacing w:val="-2"/>
          <w:lang w:eastAsia="en-GB"/>
        </w:rPr>
        <w:t>IPSAS des actifs nets s</w:t>
      </w:r>
      <w:r w:rsidR="00750F64" w:rsidRPr="008E239D">
        <w:rPr>
          <w:rFonts w:cs="Arial"/>
          <w:spacing w:val="-2"/>
          <w:lang w:eastAsia="en-GB"/>
        </w:rPr>
        <w:t>’</w:t>
      </w:r>
      <w:r w:rsidRPr="008E239D">
        <w:rPr>
          <w:rFonts w:cs="Arial"/>
          <w:spacing w:val="-2"/>
          <w:lang w:eastAsia="en-GB"/>
        </w:rPr>
        <w:t>élevant à 896 830</w:t>
      </w:r>
      <w:r w:rsidR="00495A8C" w:rsidRPr="008E239D">
        <w:rPr>
          <w:rFonts w:cs="Arial"/>
          <w:spacing w:val="-2"/>
          <w:lang w:eastAsia="en-GB"/>
        </w:rPr>
        <w:t> francs suisses</w:t>
      </w:r>
      <w:r w:rsidR="00532185" w:rsidRPr="008E239D">
        <w:rPr>
          <w:rFonts w:cs="Arial"/>
          <w:spacing w:val="-2"/>
          <w:lang w:eastAsia="en-GB"/>
        </w:rPr>
        <w:t>.  En</w:t>
      </w:r>
      <w:r w:rsidRPr="008E239D">
        <w:rPr>
          <w:rFonts w:cs="Arial"/>
          <w:spacing w:val="-2"/>
          <w:lang w:eastAsia="en-GB"/>
        </w:rPr>
        <w:t>tre 2017 et 2019, les actifs nets ont augmenté de 266 775</w:t>
      </w:r>
      <w:r w:rsidR="00495A8C" w:rsidRPr="008E239D">
        <w:rPr>
          <w:rFonts w:cs="Arial"/>
          <w:spacing w:val="-2"/>
          <w:lang w:eastAsia="en-GB"/>
        </w:rPr>
        <w:t> francs suisses</w:t>
      </w:r>
      <w:r w:rsidR="00532185" w:rsidRPr="008E239D">
        <w:rPr>
          <w:rFonts w:cs="Arial"/>
          <w:spacing w:val="-2"/>
          <w:lang w:eastAsia="en-GB"/>
        </w:rPr>
        <w:t>.  Ce</w:t>
      </w:r>
      <w:r w:rsidRPr="008E239D">
        <w:rPr>
          <w:rFonts w:cs="Arial"/>
          <w:spacing w:val="-2"/>
          <w:lang w:eastAsia="en-GB"/>
        </w:rPr>
        <w:t>tte hausse s</w:t>
      </w:r>
      <w:r w:rsidR="00750F64" w:rsidRPr="008E239D">
        <w:rPr>
          <w:rFonts w:cs="Arial"/>
          <w:spacing w:val="-2"/>
          <w:lang w:eastAsia="en-GB"/>
        </w:rPr>
        <w:t>’</w:t>
      </w:r>
      <w:r w:rsidRPr="008E239D">
        <w:rPr>
          <w:rFonts w:cs="Arial"/>
          <w:spacing w:val="-2"/>
          <w:lang w:eastAsia="en-GB"/>
        </w:rPr>
        <w:t>explique principalement par l</w:t>
      </w:r>
      <w:r w:rsidR="00750F64" w:rsidRPr="008E239D">
        <w:rPr>
          <w:rFonts w:cs="Arial"/>
          <w:spacing w:val="-2"/>
          <w:lang w:eastAsia="en-GB"/>
        </w:rPr>
        <w:t>’</w:t>
      </w:r>
      <w:r w:rsidRPr="008E239D">
        <w:rPr>
          <w:rFonts w:cs="Arial"/>
          <w:spacing w:val="-2"/>
          <w:lang w:eastAsia="en-GB"/>
        </w:rPr>
        <w:t>effet des gains actuariels associés à l</w:t>
      </w:r>
      <w:r w:rsidR="00750F64" w:rsidRPr="008E239D">
        <w:rPr>
          <w:rFonts w:cs="Arial"/>
          <w:spacing w:val="-2"/>
          <w:lang w:eastAsia="en-GB"/>
        </w:rPr>
        <w:t>’</w:t>
      </w:r>
      <w:r w:rsidRPr="008E239D">
        <w:rPr>
          <w:rFonts w:cs="Arial"/>
          <w:spacing w:val="-2"/>
          <w:lang w:eastAsia="en-GB"/>
        </w:rPr>
        <w:t>évaluation des engagements au titre de l</w:t>
      </w:r>
      <w:r w:rsidR="00750F64" w:rsidRPr="008E239D">
        <w:rPr>
          <w:rFonts w:cs="Arial"/>
          <w:spacing w:val="-2"/>
          <w:lang w:eastAsia="en-GB"/>
        </w:rPr>
        <w:t>’</w:t>
      </w:r>
      <w:r w:rsidRPr="008E239D">
        <w:rPr>
          <w:rFonts w:cs="Arial"/>
          <w:spacing w:val="-2"/>
          <w:lang w:eastAsia="en-GB"/>
        </w:rPr>
        <w:t xml:space="preserve">AMCS, qui ont été partiellement compensés par les déficits enregistrés </w:t>
      </w:r>
      <w:r w:rsidR="005D40E4" w:rsidRPr="008E239D">
        <w:rPr>
          <w:rFonts w:cs="Arial"/>
          <w:spacing w:val="-2"/>
          <w:lang w:eastAsia="en-GB"/>
        </w:rPr>
        <w:t>en 2018</w:t>
      </w:r>
      <w:r w:rsidRPr="008E239D">
        <w:rPr>
          <w:rFonts w:cs="Arial"/>
          <w:spacing w:val="-2"/>
          <w:lang w:eastAsia="en-GB"/>
        </w:rPr>
        <w:t xml:space="preserve"> et 2019.  De plus, des contributions ont été versées au fonds de roulement pour chacun</w:t>
      </w:r>
      <w:r w:rsidR="00693498" w:rsidRPr="008E239D">
        <w:rPr>
          <w:rFonts w:cs="Arial"/>
          <w:spacing w:val="-2"/>
          <w:lang w:eastAsia="en-GB"/>
        </w:rPr>
        <w:t>e</w:t>
      </w:r>
      <w:r w:rsidRPr="008E239D">
        <w:rPr>
          <w:rFonts w:cs="Arial"/>
          <w:spacing w:val="-2"/>
          <w:lang w:eastAsia="en-GB"/>
        </w:rPr>
        <w:t xml:space="preserve"> de</w:t>
      </w:r>
      <w:r w:rsidR="00693498" w:rsidRPr="008E239D">
        <w:rPr>
          <w:rFonts w:cs="Arial"/>
          <w:spacing w:val="-2"/>
          <w:lang w:eastAsia="en-GB"/>
        </w:rPr>
        <w:t xml:space="preserve"> ces </w:t>
      </w:r>
      <w:r w:rsidRPr="008E239D">
        <w:rPr>
          <w:rFonts w:cs="Arial"/>
          <w:spacing w:val="-2"/>
          <w:lang w:eastAsia="en-GB"/>
        </w:rPr>
        <w:t>deux</w:t>
      </w:r>
      <w:r w:rsidR="00CA2E8B" w:rsidRPr="008E239D">
        <w:rPr>
          <w:rFonts w:cs="Arial"/>
          <w:spacing w:val="-2"/>
          <w:lang w:eastAsia="en-GB"/>
        </w:rPr>
        <w:t> </w:t>
      </w:r>
      <w:r w:rsidR="00693498" w:rsidRPr="008E239D">
        <w:rPr>
          <w:rFonts w:cs="Arial"/>
          <w:spacing w:val="-2"/>
          <w:lang w:eastAsia="en-GB"/>
        </w:rPr>
        <w:t>années</w:t>
      </w:r>
      <w:r w:rsidR="00532185" w:rsidRPr="008E239D">
        <w:rPr>
          <w:rFonts w:cs="Arial"/>
          <w:spacing w:val="-2"/>
          <w:lang w:eastAsia="en-GB"/>
        </w:rPr>
        <w:t>.  Le</w:t>
      </w:r>
      <w:r w:rsidRPr="008E239D">
        <w:rPr>
          <w:rFonts w:cs="Arial"/>
          <w:spacing w:val="-2"/>
          <w:lang w:eastAsia="en-GB"/>
        </w:rPr>
        <w:t xml:space="preserve"> tableau ci</w:t>
      </w:r>
      <w:r w:rsidR="00750F64" w:rsidRPr="008E239D">
        <w:rPr>
          <w:rFonts w:cs="Arial"/>
          <w:spacing w:val="-2"/>
          <w:lang w:eastAsia="en-GB"/>
        </w:rPr>
        <w:t>-</w:t>
      </w:r>
      <w:r w:rsidRPr="008E239D">
        <w:rPr>
          <w:rFonts w:cs="Arial"/>
          <w:spacing w:val="-2"/>
          <w:lang w:eastAsia="en-GB"/>
        </w:rPr>
        <w:t>dessous présente d</w:t>
      </w:r>
      <w:r w:rsidR="00750F64" w:rsidRPr="008E239D">
        <w:rPr>
          <w:rFonts w:cs="Arial"/>
          <w:spacing w:val="-2"/>
          <w:lang w:eastAsia="en-GB"/>
        </w:rPr>
        <w:t>’</w:t>
      </w:r>
      <w:r w:rsidRPr="008E239D">
        <w:rPr>
          <w:rFonts w:cs="Arial"/>
          <w:spacing w:val="-2"/>
          <w:lang w:eastAsia="en-GB"/>
        </w:rPr>
        <w:t>une manière synthétique l</w:t>
      </w:r>
      <w:r w:rsidR="00750F64" w:rsidRPr="008E239D">
        <w:rPr>
          <w:rFonts w:cs="Arial"/>
          <w:spacing w:val="-2"/>
          <w:lang w:eastAsia="en-GB"/>
        </w:rPr>
        <w:t>’</w:t>
      </w:r>
      <w:r w:rsidRPr="008E239D">
        <w:rPr>
          <w:rFonts w:cs="Arial"/>
          <w:spacing w:val="-2"/>
          <w:lang w:eastAsia="en-GB"/>
        </w:rPr>
        <w:t>augmentation des actifs nets durant l</w:t>
      </w:r>
      <w:r w:rsidR="00750F64" w:rsidRPr="008E239D">
        <w:rPr>
          <w:rFonts w:cs="Arial"/>
          <w:spacing w:val="-2"/>
          <w:lang w:eastAsia="en-GB"/>
        </w:rPr>
        <w:t>’</w:t>
      </w:r>
      <w:r w:rsidRPr="008E239D">
        <w:rPr>
          <w:rFonts w:cs="Arial"/>
          <w:spacing w:val="-2"/>
          <w:lang w:eastAsia="en-GB"/>
        </w:rPr>
        <w:t xml:space="preserve">exercice </w:t>
      </w:r>
      <w:r w:rsidR="005D40E4" w:rsidRPr="008E239D">
        <w:rPr>
          <w:rFonts w:cs="Arial"/>
          <w:spacing w:val="-2"/>
          <w:lang w:eastAsia="en-GB"/>
        </w:rPr>
        <w:t>biennal 2018</w:t>
      </w:r>
      <w:r w:rsidR="008E239D" w:rsidRPr="008E239D">
        <w:rPr>
          <w:rFonts w:cs="Arial"/>
          <w:spacing w:val="-2"/>
          <w:lang w:eastAsia="en-GB"/>
        </w:rPr>
        <w:noBreakHyphen/>
      </w:r>
      <w:r w:rsidRPr="008E239D">
        <w:rPr>
          <w:rFonts w:cs="Arial"/>
          <w:spacing w:val="-2"/>
          <w:lang w:eastAsia="en-GB"/>
        </w:rPr>
        <w:t>2019</w:t>
      </w:r>
      <w:r w:rsidR="00CA2E8B" w:rsidRPr="008E239D">
        <w:rPr>
          <w:rFonts w:cs="Arial"/>
          <w:spacing w:val="-2"/>
          <w:lang w:eastAsia="en-GB"/>
        </w:rPr>
        <w:t> </w:t>
      </w:r>
      <w:r w:rsidRPr="008E239D">
        <w:rPr>
          <w:rFonts w:cs="Arial"/>
          <w:spacing w:val="-2"/>
          <w:lang w:eastAsia="en-GB"/>
        </w:rPr>
        <w:t>:</w:t>
      </w:r>
    </w:p>
    <w:p w:rsidR="00916691" w:rsidRPr="001D7027" w:rsidRDefault="00916691" w:rsidP="00916691">
      <w:pPr>
        <w:rPr>
          <w:rFonts w:cs="Arial"/>
          <w:lang w:eastAsia="en-GB"/>
        </w:rPr>
      </w:pPr>
    </w:p>
    <w:p w:rsidR="00916691" w:rsidRPr="001D7027" w:rsidRDefault="00916691" w:rsidP="00916691">
      <w:pPr>
        <w:jc w:val="center"/>
        <w:rPr>
          <w:rFonts w:cs="Arial"/>
          <w:lang w:eastAsia="en-GB"/>
        </w:rPr>
      </w:pPr>
      <w:r w:rsidRPr="001D7027">
        <w:rPr>
          <w:rFonts w:cs="Arial"/>
          <w:lang w:eastAsia="en-GB"/>
        </w:rPr>
        <w:t xml:space="preserve">Évolution des actifs nets </w:t>
      </w:r>
      <w:r w:rsidR="005D40E4" w:rsidRPr="001D7027">
        <w:rPr>
          <w:rFonts w:cs="Arial"/>
          <w:lang w:eastAsia="en-GB"/>
        </w:rPr>
        <w:t>pour 2017</w:t>
      </w:r>
      <w:r w:rsidR="00750F64" w:rsidRPr="001D7027">
        <w:rPr>
          <w:rFonts w:cs="Arial"/>
          <w:lang w:eastAsia="en-GB"/>
        </w:rPr>
        <w:t>-</w:t>
      </w:r>
      <w:r w:rsidRPr="001D7027">
        <w:rPr>
          <w:rFonts w:cs="Arial"/>
          <w:lang w:eastAsia="en-GB"/>
        </w:rPr>
        <w:t>2019</w:t>
      </w:r>
    </w:p>
    <w:p w:rsidR="00916691" w:rsidRPr="001D7027" w:rsidRDefault="00AE39E3" w:rsidP="00916691">
      <w:pPr>
        <w:jc w:val="center"/>
        <w:rPr>
          <w:rFonts w:cs="Arial"/>
        </w:rPr>
      </w:pPr>
      <w:r w:rsidRPr="00AE39E3">
        <w:drawing>
          <wp:inline distT="0" distB="0" distL="0" distR="0">
            <wp:extent cx="6119829" cy="2865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t="4325"/>
                    <a:stretch/>
                  </pic:blipFill>
                  <pic:spPr bwMode="auto">
                    <a:xfrm>
                      <a:off x="0" y="0"/>
                      <a:ext cx="6120765" cy="2866193"/>
                    </a:xfrm>
                    <a:prstGeom prst="rect">
                      <a:avLst/>
                    </a:prstGeom>
                    <a:noFill/>
                    <a:ln>
                      <a:noFill/>
                    </a:ln>
                    <a:extLst>
                      <a:ext uri="{53640926-AAD7-44D8-BBD7-CCE9431645EC}">
                        <a14:shadowObscured xmlns:a14="http://schemas.microsoft.com/office/drawing/2010/main"/>
                      </a:ext>
                    </a:extLst>
                  </pic:spPr>
                </pic:pic>
              </a:graphicData>
            </a:graphic>
          </wp:inline>
        </w:drawing>
      </w:r>
    </w:p>
    <w:p w:rsidR="00916691" w:rsidRPr="001D7027" w:rsidRDefault="00916691" w:rsidP="00916691"/>
    <w:p w:rsidR="00D432A3" w:rsidRDefault="00D432A3" w:rsidP="00916691">
      <w:pPr>
        <w:rPr>
          <w:rFonts w:cs="Arial"/>
          <w:b/>
          <w:sz w:val="18"/>
          <w:szCs w:val="18"/>
        </w:rPr>
      </w:pPr>
    </w:p>
    <w:p w:rsidR="00916691" w:rsidRPr="001D7027" w:rsidRDefault="00916691" w:rsidP="00916691">
      <w:pPr>
        <w:rPr>
          <w:rFonts w:cs="Arial"/>
          <w:b/>
          <w:sz w:val="18"/>
          <w:szCs w:val="18"/>
        </w:rPr>
      </w:pPr>
      <w:r w:rsidRPr="001D7027">
        <w:rPr>
          <w:rFonts w:cs="Arial"/>
          <w:b/>
          <w:sz w:val="18"/>
          <w:szCs w:val="18"/>
        </w:rPr>
        <w:t>Résumé des actifs et des passifs</w:t>
      </w:r>
    </w:p>
    <w:p w:rsidR="00916691" w:rsidRPr="001D7027" w:rsidRDefault="00916691" w:rsidP="00916691"/>
    <w:p w:rsidR="00916691" w:rsidRPr="001D7027" w:rsidRDefault="00916691" w:rsidP="00916691">
      <w:pPr>
        <w:rPr>
          <w:rFonts w:cs="Arial"/>
        </w:rPr>
      </w:pPr>
      <w:r w:rsidRPr="001D7027">
        <w:rPr>
          <w:rFonts w:cs="Arial"/>
        </w:rPr>
        <w:t>Le graphique ci</w:t>
      </w:r>
      <w:r w:rsidR="00750F64" w:rsidRPr="001D7027">
        <w:rPr>
          <w:rFonts w:cs="Arial"/>
        </w:rPr>
        <w:t>-</w:t>
      </w:r>
      <w:r w:rsidRPr="001D7027">
        <w:rPr>
          <w:rFonts w:cs="Arial"/>
        </w:rPr>
        <w:t>dessous fournit un résumé de l</w:t>
      </w:r>
      <w:r w:rsidR="00750F64" w:rsidRPr="001D7027">
        <w:rPr>
          <w:rFonts w:cs="Arial"/>
        </w:rPr>
        <w:t>’</w:t>
      </w:r>
      <w:r w:rsidRPr="001D7027">
        <w:rPr>
          <w:rFonts w:cs="Arial"/>
        </w:rPr>
        <w:t>état de la situation financière de l</w:t>
      </w:r>
      <w:r w:rsidR="00750F64" w:rsidRPr="001D7027">
        <w:rPr>
          <w:rFonts w:cs="Arial"/>
        </w:rPr>
        <w:t>’</w:t>
      </w:r>
      <w:r w:rsidRPr="001D7027">
        <w:rPr>
          <w:rFonts w:cs="Arial"/>
        </w:rPr>
        <w:t>UPOV au 31 décembre 2019</w:t>
      </w:r>
      <w:r w:rsidR="00750F64" w:rsidRPr="001D7027">
        <w:rPr>
          <w:rFonts w:cs="Arial"/>
        </w:rPr>
        <w:t> :</w:t>
      </w:r>
    </w:p>
    <w:p w:rsidR="00916691" w:rsidRPr="001D7027" w:rsidRDefault="00916691" w:rsidP="00BF0A7E">
      <w:pPr>
        <w:jc w:val="center"/>
        <w:rPr>
          <w:rFonts w:cs="Arial"/>
        </w:rPr>
      </w:pPr>
      <w:r w:rsidRPr="001D7027">
        <w:rPr>
          <w:rFonts w:cs="Arial"/>
        </w:rPr>
        <w:t>Résumé des actifs et des passifs au 31 décembre 2019</w:t>
      </w:r>
    </w:p>
    <w:p w:rsidR="00D314F8" w:rsidRPr="001D7027" w:rsidRDefault="00D314F8" w:rsidP="00BF0A7E">
      <w:pPr>
        <w:jc w:val="center"/>
        <w:rPr>
          <w:rFonts w:cs="Arial"/>
        </w:rPr>
      </w:pPr>
    </w:p>
    <w:p w:rsidR="00916691" w:rsidRPr="001D7027" w:rsidRDefault="00D314F8" w:rsidP="00D314F8">
      <w:pPr>
        <w:jc w:val="center"/>
        <w:rPr>
          <w:rFonts w:cs="Arial"/>
        </w:rPr>
      </w:pPr>
      <w:r w:rsidRPr="001D7027">
        <w:rPr>
          <w:noProof/>
          <w:lang w:val="en-US"/>
        </w:rPr>
        <w:drawing>
          <wp:inline distT="0" distB="0" distL="0" distR="0">
            <wp:extent cx="6120765" cy="335474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3354740"/>
                    </a:xfrm>
                    <a:prstGeom prst="rect">
                      <a:avLst/>
                    </a:prstGeom>
                    <a:noFill/>
                    <a:ln>
                      <a:noFill/>
                    </a:ln>
                  </pic:spPr>
                </pic:pic>
              </a:graphicData>
            </a:graphic>
          </wp:inline>
        </w:drawing>
      </w:r>
    </w:p>
    <w:p w:rsidR="00916691" w:rsidRPr="001D7027" w:rsidRDefault="00916691" w:rsidP="00916691">
      <w:pPr>
        <w:rPr>
          <w:rFonts w:cs="Arial"/>
        </w:rPr>
      </w:pPr>
      <w:r w:rsidRPr="001D7027">
        <w:rPr>
          <w:rFonts w:cs="Arial"/>
        </w:rPr>
        <w:lastRenderedPageBreak/>
        <w:t>Au 31 décembre 2019, l</w:t>
      </w:r>
      <w:r w:rsidR="00750F64" w:rsidRPr="001D7027">
        <w:rPr>
          <w:rFonts w:cs="Arial"/>
        </w:rPr>
        <w:t>’</w:t>
      </w:r>
      <w:r w:rsidRPr="001D7027">
        <w:rPr>
          <w:rFonts w:cs="Arial"/>
        </w:rPr>
        <w:t>UPOV avait un solde de trésorerie de 4 763 272</w:t>
      </w:r>
      <w:r w:rsidR="00495A8C">
        <w:rPr>
          <w:rFonts w:cs="Arial"/>
        </w:rPr>
        <w:t> francs suisses</w:t>
      </w:r>
      <w:r w:rsidRPr="001D7027">
        <w:rPr>
          <w:rFonts w:cs="Arial"/>
        </w:rPr>
        <w:t>, soit 97,5% du total des acti</w:t>
      </w:r>
      <w:r w:rsidR="00532185" w:rsidRPr="001D7027">
        <w:rPr>
          <w:rFonts w:cs="Arial"/>
        </w:rPr>
        <w:t>fs.  Ce</w:t>
      </w:r>
      <w:r w:rsidRPr="001D7027">
        <w:rPr>
          <w:rFonts w:cs="Arial"/>
        </w:rPr>
        <w:t xml:space="preserve"> solde comprend des montants considérés comme réservés selon les normes</w:t>
      </w:r>
      <w:r w:rsidR="00CA2E8B" w:rsidRPr="001D7027">
        <w:rPr>
          <w:rFonts w:cs="Arial"/>
        </w:rPr>
        <w:t> </w:t>
      </w:r>
      <w:r w:rsidRPr="001D7027">
        <w:rPr>
          <w:rFonts w:cs="Arial"/>
        </w:rPr>
        <w:t>IPSAS, ainsi que des fonds relevant de la trésorerie stratégique, qui représentent les fonds alloués au financement futur des engagements de l</w:t>
      </w:r>
      <w:r w:rsidR="00750F64" w:rsidRPr="001D7027">
        <w:rPr>
          <w:rFonts w:cs="Arial"/>
        </w:rPr>
        <w:t>’</w:t>
      </w:r>
      <w:r w:rsidRPr="001D7027">
        <w:rPr>
          <w:rFonts w:cs="Arial"/>
        </w:rPr>
        <w:t>UPOV au titre de l</w:t>
      </w:r>
      <w:r w:rsidR="00750F64" w:rsidRPr="001D7027">
        <w:rPr>
          <w:rFonts w:cs="Arial"/>
        </w:rPr>
        <w:t>’</w:t>
      </w:r>
      <w:r w:rsidRPr="001D7027">
        <w:rPr>
          <w:rFonts w:cs="Arial"/>
        </w:rPr>
        <w:t>A</w:t>
      </w:r>
      <w:r w:rsidR="00532185" w:rsidRPr="001D7027">
        <w:rPr>
          <w:rFonts w:cs="Arial"/>
        </w:rPr>
        <w:t>MCS.  Au</w:t>
      </w:r>
      <w:r w:rsidRPr="001D7027">
        <w:rPr>
          <w:rFonts w:cs="Arial"/>
        </w:rPr>
        <w:t xml:space="preserve"> nombre des autres actifs figurent les comptes débiteurs d</w:t>
      </w:r>
      <w:r w:rsidR="00750F64" w:rsidRPr="001D7027">
        <w:rPr>
          <w:rFonts w:cs="Arial"/>
        </w:rPr>
        <w:t>’</w:t>
      </w:r>
      <w:r w:rsidRPr="001D7027">
        <w:rPr>
          <w:rFonts w:cs="Arial"/>
        </w:rPr>
        <w:t>un montant total de 121 052</w:t>
      </w:r>
      <w:r w:rsidR="00495A8C">
        <w:rPr>
          <w:rFonts w:cs="Arial"/>
        </w:rPr>
        <w:t> francs suisses</w:t>
      </w:r>
      <w:r w:rsidRPr="001D7027">
        <w:rPr>
          <w:rFonts w:cs="Arial"/>
        </w:rPr>
        <w:t>.</w:t>
      </w:r>
    </w:p>
    <w:p w:rsidR="00916691" w:rsidRPr="001D7027" w:rsidRDefault="00916691" w:rsidP="00916691">
      <w:pPr>
        <w:rPr>
          <w:rFonts w:cs="Arial"/>
        </w:rPr>
      </w:pPr>
    </w:p>
    <w:p w:rsidR="00916691" w:rsidRPr="001D7027" w:rsidRDefault="00916691" w:rsidP="00916691">
      <w:pPr>
        <w:rPr>
          <w:rFonts w:cs="Arial"/>
        </w:rPr>
      </w:pPr>
      <w:r w:rsidRPr="001D7027">
        <w:t>Les principales obligations de l</w:t>
      </w:r>
      <w:r w:rsidR="00750F64" w:rsidRPr="001D7027">
        <w:t>’</w:t>
      </w:r>
      <w:r w:rsidRPr="001D7027">
        <w:t>UPOV sont celles relatives aux prestations dues au personnel, qui s</w:t>
      </w:r>
      <w:r w:rsidR="00750F64" w:rsidRPr="001D7027">
        <w:t>’</w:t>
      </w:r>
      <w:r w:rsidRPr="001D7027">
        <w:t xml:space="preserve">élèvent à </w:t>
      </w:r>
      <w:r w:rsidRPr="001D7027">
        <w:rPr>
          <w:rFonts w:cs="Arial"/>
        </w:rPr>
        <w:t>2 356 399</w:t>
      </w:r>
      <w:r w:rsidR="00495A8C">
        <w:rPr>
          <w:rFonts w:cs="Arial"/>
        </w:rPr>
        <w:t> francs suisses</w:t>
      </w:r>
      <w:r w:rsidRPr="001D7027">
        <w:rPr>
          <w:rFonts w:cs="Arial"/>
        </w:rPr>
        <w:t xml:space="preserve"> et comprennent essentiellement les obligations relatives à l</w:t>
      </w:r>
      <w:r w:rsidR="00750F64" w:rsidRPr="001D7027">
        <w:rPr>
          <w:rFonts w:cs="Arial"/>
        </w:rPr>
        <w:t>’</w:t>
      </w:r>
      <w:r w:rsidRPr="001D7027">
        <w:rPr>
          <w:rFonts w:cs="Arial"/>
        </w:rPr>
        <w:t>AMCS, à hauteur de 2 026 390</w:t>
      </w:r>
      <w:r w:rsidR="00495A8C">
        <w:rPr>
          <w:rFonts w:cs="Arial"/>
        </w:rPr>
        <w:t> francs suisses</w:t>
      </w:r>
      <w:r w:rsidR="00532185" w:rsidRPr="001D7027">
        <w:rPr>
          <w:rFonts w:cs="Arial"/>
        </w:rPr>
        <w:t>.  Le</w:t>
      </w:r>
      <w:r w:rsidRPr="001D7027">
        <w:rPr>
          <w:rFonts w:cs="Arial"/>
        </w:rPr>
        <w:t>s encaissements par anticipation de 768 104</w:t>
      </w:r>
      <w:r w:rsidR="00495A8C">
        <w:rPr>
          <w:rFonts w:cs="Arial"/>
        </w:rPr>
        <w:t> francs suisses</w:t>
      </w:r>
      <w:r w:rsidRPr="001D7027">
        <w:rPr>
          <w:rFonts w:cs="Arial"/>
        </w:rPr>
        <w:t xml:space="preserve"> incluent les contributions payées à l</w:t>
      </w:r>
      <w:r w:rsidR="00750F64" w:rsidRPr="001D7027">
        <w:rPr>
          <w:rFonts w:cs="Arial"/>
        </w:rPr>
        <w:t>’</w:t>
      </w:r>
      <w:r w:rsidRPr="001D7027">
        <w:rPr>
          <w:rFonts w:cs="Arial"/>
        </w:rPr>
        <w:t>avance (423 763</w:t>
      </w:r>
      <w:r w:rsidR="00495A8C">
        <w:rPr>
          <w:rFonts w:cs="Arial"/>
        </w:rPr>
        <w:t> francs suisses</w:t>
      </w:r>
      <w:r w:rsidRPr="001D7027">
        <w:rPr>
          <w:rFonts w:cs="Arial"/>
        </w:rPr>
        <w:t>) et les recettes différées en provenance de ressources extrabudgétaires (344 341</w:t>
      </w:r>
      <w:r w:rsidR="00495A8C">
        <w:rPr>
          <w:rFonts w:cs="Arial"/>
        </w:rPr>
        <w:t> francs suisses</w:t>
      </w:r>
      <w:r w:rsidR="00532185" w:rsidRPr="001D7027">
        <w:rPr>
          <w:rFonts w:cs="Arial"/>
        </w:rPr>
        <w:t>).  Le</w:t>
      </w:r>
      <w:r w:rsidRPr="001D7027">
        <w:rPr>
          <w:rFonts w:cs="Arial"/>
        </w:rPr>
        <w:t>s dettes et autres éléments de passifs (863 216</w:t>
      </w:r>
      <w:r w:rsidR="00495A8C">
        <w:rPr>
          <w:rFonts w:cs="Arial"/>
        </w:rPr>
        <w:t> francs suisses</w:t>
      </w:r>
      <w:r w:rsidRPr="001D7027">
        <w:rPr>
          <w:rFonts w:cs="Arial"/>
        </w:rPr>
        <w:t>) représentent presque totalement le montant dû à l</w:t>
      </w:r>
      <w:r w:rsidR="00750F64" w:rsidRPr="001D7027">
        <w:rPr>
          <w:rFonts w:cs="Arial"/>
        </w:rPr>
        <w:t>’</w:t>
      </w:r>
      <w:r w:rsidRPr="001D7027">
        <w:rPr>
          <w:rFonts w:cs="Arial"/>
        </w:rPr>
        <w:t>OMPI.</w:t>
      </w:r>
    </w:p>
    <w:p w:rsidR="00916691" w:rsidRPr="001D7027" w:rsidRDefault="00916691" w:rsidP="00916691">
      <w:pPr>
        <w:rPr>
          <w:rFonts w:cs="Arial"/>
        </w:rPr>
      </w:pPr>
    </w:p>
    <w:p w:rsidR="00916691" w:rsidRPr="001D7027" w:rsidRDefault="00916691" w:rsidP="00BF0A7E">
      <w:pPr>
        <w:keepNext/>
        <w:rPr>
          <w:rFonts w:cs="Arial"/>
          <w:b/>
        </w:rPr>
      </w:pPr>
      <w:r w:rsidRPr="001D7027">
        <w:rPr>
          <w:rFonts w:cs="Arial"/>
          <w:b/>
        </w:rPr>
        <w:t>Trésorerie et équivalents de trésorerie</w:t>
      </w:r>
    </w:p>
    <w:p w:rsidR="00916691" w:rsidRPr="001D7027" w:rsidRDefault="00916691" w:rsidP="00BF0A7E">
      <w:pPr>
        <w:keepNext/>
        <w:rPr>
          <w:rFonts w:cs="Arial"/>
          <w:b/>
        </w:rPr>
      </w:pPr>
    </w:p>
    <w:p w:rsidR="00916691" w:rsidRPr="001D7027" w:rsidRDefault="00D314F8" w:rsidP="00916691">
      <w:pPr>
        <w:spacing w:line="276" w:lineRule="auto"/>
        <w:jc w:val="center"/>
        <w:rPr>
          <w:rFonts w:cs="Arial"/>
          <w:b/>
        </w:rPr>
      </w:pPr>
      <w:r w:rsidRPr="001D7027">
        <w:rPr>
          <w:noProof/>
          <w:lang w:val="en-US"/>
        </w:rPr>
        <w:drawing>
          <wp:inline distT="0" distB="0" distL="0" distR="0">
            <wp:extent cx="6120765" cy="1478051"/>
            <wp:effectExtent l="0" t="0" r="0" b="825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478051"/>
                    </a:xfrm>
                    <a:prstGeom prst="rect">
                      <a:avLst/>
                    </a:prstGeom>
                    <a:noFill/>
                    <a:ln>
                      <a:noFill/>
                    </a:ln>
                  </pic:spPr>
                </pic:pic>
              </a:graphicData>
            </a:graphic>
          </wp:inline>
        </w:drawing>
      </w:r>
      <w:r w:rsidR="00BF0A7E" w:rsidRPr="001D7027">
        <w:t xml:space="preserve"> </w:t>
      </w:r>
    </w:p>
    <w:p w:rsidR="00916691" w:rsidRPr="001D7027" w:rsidRDefault="00916691" w:rsidP="00916691">
      <w:pPr>
        <w:spacing w:line="276" w:lineRule="auto"/>
        <w:jc w:val="center"/>
        <w:rPr>
          <w:rFonts w:cs="Arial"/>
          <w:b/>
        </w:rPr>
      </w:pPr>
    </w:p>
    <w:p w:rsidR="00916691" w:rsidRPr="001D7027" w:rsidRDefault="00916691" w:rsidP="00916691">
      <w:pPr>
        <w:pStyle w:val="Style3"/>
        <w:spacing w:after="0"/>
        <w:rPr>
          <w:rFonts w:cs="Arial"/>
          <w:sz w:val="20"/>
          <w:lang w:val="fr-FR"/>
        </w:rPr>
      </w:pPr>
      <w:r w:rsidRPr="001D7027">
        <w:rPr>
          <w:rFonts w:cs="Arial"/>
          <w:sz w:val="20"/>
          <w:lang w:val="fr-FR"/>
        </w:rPr>
        <w:t>Le montant total des soldes de trésorerie et équivalents de trésorerie a augmenté de 15,7% durant l</w:t>
      </w:r>
      <w:r w:rsidR="00750F64" w:rsidRPr="001D7027">
        <w:rPr>
          <w:rFonts w:cs="Arial"/>
          <w:sz w:val="20"/>
          <w:lang w:val="fr-FR"/>
        </w:rPr>
        <w:t>’</w:t>
      </w:r>
      <w:r w:rsidRPr="001D7027">
        <w:rPr>
          <w:rFonts w:cs="Arial"/>
          <w:sz w:val="20"/>
          <w:lang w:val="fr-FR"/>
        </w:rPr>
        <w:t>exercice biennal allant du 31 décembre 2017 au 31 décembre 2019.  Les avoirs sont généralement détenus sur des comptes bancaires à accès immédi</w:t>
      </w:r>
      <w:r w:rsidR="00532185" w:rsidRPr="001D7027">
        <w:rPr>
          <w:rFonts w:cs="Arial"/>
          <w:sz w:val="20"/>
          <w:lang w:val="fr-FR"/>
        </w:rPr>
        <w:t>at.  Au</w:t>
      </w:r>
      <w:r w:rsidRPr="001D7027">
        <w:rPr>
          <w:rFonts w:cs="Arial"/>
          <w:sz w:val="20"/>
          <w:lang w:val="fr-FR"/>
        </w:rPr>
        <w:t>x fins de la présentation IPSAS, les soldes de trésorerie sont scindés en soldes non soumis à restrictions, soldes soumis à restrictions et trésorerie stratégiq</w:t>
      </w:r>
      <w:r w:rsidR="00532185" w:rsidRPr="001D7027">
        <w:rPr>
          <w:rFonts w:cs="Arial"/>
          <w:sz w:val="20"/>
          <w:lang w:val="fr-FR"/>
        </w:rPr>
        <w:t>ue.  Le</w:t>
      </w:r>
      <w:r w:rsidRPr="001D7027">
        <w:rPr>
          <w:rFonts w:cs="Arial"/>
          <w:sz w:val="20"/>
          <w:lang w:val="fr-FR"/>
        </w:rPr>
        <w:t>s soldes de trésorerie relatifs au fonds de roulement sont considérés comme étant soumis à restrictio</w:t>
      </w:r>
      <w:r w:rsidR="00532185" w:rsidRPr="001D7027">
        <w:rPr>
          <w:rFonts w:cs="Arial"/>
          <w:sz w:val="20"/>
          <w:lang w:val="fr-FR"/>
        </w:rPr>
        <w:t>ns.  Le</w:t>
      </w:r>
      <w:r w:rsidRPr="001D7027">
        <w:rPr>
          <w:rFonts w:cs="Arial"/>
          <w:sz w:val="20"/>
          <w:lang w:val="fr-FR"/>
        </w:rPr>
        <w:t>s fonds fiduciaires détenus pour le compte de donateurs de ressources extrabudgétaires sont déposés dans la monnaie dans laquelle les dépenses seront comptabilisées, sur la base d</w:t>
      </w:r>
      <w:r w:rsidR="00750F64" w:rsidRPr="001D7027">
        <w:rPr>
          <w:rFonts w:cs="Arial"/>
          <w:sz w:val="20"/>
          <w:lang w:val="fr-FR"/>
        </w:rPr>
        <w:t>’</w:t>
      </w:r>
      <w:r w:rsidRPr="001D7027">
        <w:rPr>
          <w:rFonts w:cs="Arial"/>
          <w:sz w:val="20"/>
          <w:lang w:val="fr-FR"/>
        </w:rPr>
        <w:t>accords conclus avec les donateurs.</w:t>
      </w:r>
    </w:p>
    <w:p w:rsidR="00916691" w:rsidRPr="001D7027" w:rsidRDefault="00916691" w:rsidP="00916691">
      <w:pPr>
        <w:pStyle w:val="Style3"/>
        <w:spacing w:after="0"/>
        <w:rPr>
          <w:rFonts w:cs="Arial"/>
          <w:sz w:val="20"/>
          <w:lang w:val="fr-FR"/>
        </w:rPr>
      </w:pPr>
    </w:p>
    <w:p w:rsidR="00916691" w:rsidRPr="001D7027" w:rsidRDefault="00916691" w:rsidP="00916691">
      <w:pPr>
        <w:pStyle w:val="Style3"/>
        <w:spacing w:after="0"/>
        <w:rPr>
          <w:sz w:val="20"/>
          <w:lang w:val="fr-FR"/>
        </w:rPr>
      </w:pPr>
      <w:r w:rsidRPr="001D7027">
        <w:rPr>
          <w:rFonts w:cs="Arial"/>
          <w:sz w:val="20"/>
          <w:lang w:val="fr-FR"/>
        </w:rPr>
        <w:t>À sa trente</w:t>
      </w:r>
      <w:r w:rsidR="00750F64" w:rsidRPr="001D7027">
        <w:rPr>
          <w:rFonts w:cs="Arial"/>
          <w:sz w:val="20"/>
          <w:lang w:val="fr-FR"/>
        </w:rPr>
        <w:t>-</w:t>
      </w:r>
      <w:r w:rsidRPr="001D7027">
        <w:rPr>
          <w:rFonts w:cs="Arial"/>
          <w:sz w:val="20"/>
          <w:lang w:val="fr-FR"/>
        </w:rPr>
        <w:t>trois</w:t>
      </w:r>
      <w:r w:rsidR="00750F64" w:rsidRPr="001D7027">
        <w:rPr>
          <w:rFonts w:cs="Arial"/>
          <w:sz w:val="20"/>
          <w:lang w:val="fr-FR"/>
        </w:rPr>
        <w:t>ième session</w:t>
      </w:r>
      <w:r w:rsidRPr="001D7027">
        <w:rPr>
          <w:rFonts w:cs="Arial"/>
          <w:sz w:val="20"/>
          <w:lang w:val="fr-FR"/>
        </w:rPr>
        <w:t xml:space="preserve"> extraordinaire le 17 mars 2016, le Conseil de l</w:t>
      </w:r>
      <w:r w:rsidR="00750F64" w:rsidRPr="001D7027">
        <w:rPr>
          <w:rFonts w:cs="Arial"/>
          <w:sz w:val="20"/>
          <w:lang w:val="fr-FR"/>
        </w:rPr>
        <w:t>’</w:t>
      </w:r>
      <w:r w:rsidRPr="001D7027">
        <w:rPr>
          <w:rFonts w:cs="Arial"/>
          <w:sz w:val="20"/>
          <w:lang w:val="fr-FR"/>
        </w:rPr>
        <w:t>UPOV a décidé de placer sur un compte distinct les fonds alloués au financement futur des obligations de l</w:t>
      </w:r>
      <w:r w:rsidR="00750F64" w:rsidRPr="001D7027">
        <w:rPr>
          <w:rFonts w:cs="Arial"/>
          <w:sz w:val="20"/>
          <w:lang w:val="fr-FR"/>
        </w:rPr>
        <w:t>’</w:t>
      </w:r>
      <w:r w:rsidRPr="001D7027">
        <w:rPr>
          <w:rFonts w:cs="Arial"/>
          <w:sz w:val="20"/>
          <w:lang w:val="fr-FR"/>
        </w:rPr>
        <w:t>UPOV au titre de l</w:t>
      </w:r>
      <w:r w:rsidR="00750F64" w:rsidRPr="001D7027">
        <w:rPr>
          <w:rFonts w:cs="Arial"/>
          <w:sz w:val="20"/>
          <w:lang w:val="fr-FR"/>
        </w:rPr>
        <w:t>’</w:t>
      </w:r>
      <w:r w:rsidRPr="001D7027">
        <w:rPr>
          <w:rFonts w:cs="Arial"/>
          <w:sz w:val="20"/>
          <w:lang w:val="fr-FR"/>
        </w:rPr>
        <w:t>A</w:t>
      </w:r>
      <w:r w:rsidR="00532185" w:rsidRPr="001D7027">
        <w:rPr>
          <w:rFonts w:cs="Arial"/>
          <w:sz w:val="20"/>
          <w:lang w:val="fr-FR"/>
        </w:rPr>
        <w:t>MCS.  Au</w:t>
      </w:r>
      <w:r w:rsidRPr="001D7027">
        <w:rPr>
          <w:rFonts w:cs="Arial"/>
          <w:sz w:val="20"/>
          <w:lang w:val="fr-FR"/>
        </w:rPr>
        <w:t xml:space="preserve"> 31 décembre 2019, le solde total de ces fonds s</w:t>
      </w:r>
      <w:r w:rsidR="00750F64" w:rsidRPr="001D7027">
        <w:rPr>
          <w:rFonts w:cs="Arial"/>
          <w:sz w:val="20"/>
          <w:lang w:val="fr-FR"/>
        </w:rPr>
        <w:t>’</w:t>
      </w:r>
      <w:r w:rsidRPr="001D7027">
        <w:rPr>
          <w:rFonts w:cs="Arial"/>
          <w:sz w:val="20"/>
          <w:lang w:val="fr-FR"/>
        </w:rPr>
        <w:t>élevait à 870 169</w:t>
      </w:r>
      <w:r w:rsidR="00495A8C">
        <w:rPr>
          <w:rFonts w:cs="Arial"/>
          <w:sz w:val="20"/>
          <w:lang w:val="fr-FR"/>
        </w:rPr>
        <w:t> francs suisses</w:t>
      </w:r>
      <w:r w:rsidRPr="001D7027">
        <w:rPr>
          <w:rFonts w:cs="Arial"/>
          <w:sz w:val="20"/>
          <w:lang w:val="fr-FR"/>
        </w:rPr>
        <w:t xml:space="preserve"> (783 128</w:t>
      </w:r>
      <w:r w:rsidR="00495A8C">
        <w:rPr>
          <w:rFonts w:cs="Arial"/>
          <w:sz w:val="20"/>
          <w:lang w:val="fr-FR"/>
        </w:rPr>
        <w:t> francs suisses</w:t>
      </w:r>
      <w:r w:rsidRPr="001D7027">
        <w:rPr>
          <w:rFonts w:cs="Arial"/>
          <w:sz w:val="20"/>
          <w:lang w:val="fr-FR"/>
        </w:rPr>
        <w:t xml:space="preserve"> au 31 décembre 2018).  Conformément à la décision du Conseil prise à sa cinquante</w:t>
      </w:r>
      <w:r w:rsidR="00750F64" w:rsidRPr="001D7027">
        <w:rPr>
          <w:rFonts w:cs="Arial"/>
          <w:sz w:val="20"/>
          <w:lang w:val="fr-FR"/>
        </w:rPr>
        <w:t>-</w:t>
      </w:r>
      <w:r w:rsidRPr="001D7027">
        <w:rPr>
          <w:rFonts w:cs="Arial"/>
          <w:sz w:val="20"/>
          <w:lang w:val="fr-FR"/>
        </w:rPr>
        <w:t>trois</w:t>
      </w:r>
      <w:r w:rsidR="00750F64" w:rsidRPr="001D7027">
        <w:rPr>
          <w:rFonts w:cs="Arial"/>
          <w:sz w:val="20"/>
          <w:lang w:val="fr-FR"/>
        </w:rPr>
        <w:t>ième session</w:t>
      </w:r>
      <w:r w:rsidRPr="001D7027">
        <w:rPr>
          <w:rFonts w:cs="Arial"/>
          <w:sz w:val="20"/>
          <w:lang w:val="fr-FR"/>
        </w:rPr>
        <w:t xml:space="preserve"> ordinaire le</w:t>
      </w:r>
      <w:r w:rsidR="00750F64" w:rsidRPr="001D7027">
        <w:rPr>
          <w:rFonts w:cs="Arial"/>
          <w:sz w:val="20"/>
          <w:lang w:val="fr-FR"/>
        </w:rPr>
        <w:t xml:space="preserve"> 1</w:t>
      </w:r>
      <w:r w:rsidR="00750F64" w:rsidRPr="001D7027">
        <w:rPr>
          <w:rFonts w:cs="Arial"/>
          <w:sz w:val="20"/>
          <w:vertAlign w:val="superscript"/>
          <w:lang w:val="fr-FR"/>
        </w:rPr>
        <w:t>er</w:t>
      </w:r>
      <w:r w:rsidR="00750F64" w:rsidRPr="001D7027">
        <w:rPr>
          <w:rFonts w:cs="Arial"/>
          <w:sz w:val="20"/>
          <w:lang w:val="fr-FR"/>
        </w:rPr>
        <w:t> </w:t>
      </w:r>
      <w:r w:rsidRPr="001D7027">
        <w:rPr>
          <w:rFonts w:cs="Arial"/>
          <w:sz w:val="20"/>
          <w:lang w:val="fr-FR"/>
        </w:rPr>
        <w:t>novembre 2019, ces fonds sont placés sur l</w:t>
      </w:r>
      <w:r w:rsidR="00750F64" w:rsidRPr="001D7027">
        <w:rPr>
          <w:rFonts w:cs="Arial"/>
          <w:sz w:val="20"/>
          <w:lang w:val="fr-FR"/>
        </w:rPr>
        <w:t>’</w:t>
      </w:r>
      <w:r w:rsidRPr="001D7027">
        <w:rPr>
          <w:rFonts w:cs="Arial"/>
          <w:sz w:val="20"/>
          <w:lang w:val="fr-FR"/>
        </w:rPr>
        <w:t>un des principaux comptes de dépôts de l</w:t>
      </w:r>
      <w:r w:rsidR="00750F64" w:rsidRPr="001D7027">
        <w:rPr>
          <w:rFonts w:cs="Arial"/>
          <w:sz w:val="20"/>
          <w:lang w:val="fr-FR"/>
        </w:rPr>
        <w:t>’</w:t>
      </w:r>
      <w:r w:rsidRPr="001D7027">
        <w:rPr>
          <w:rFonts w:cs="Arial"/>
          <w:sz w:val="20"/>
          <w:lang w:val="fr-FR"/>
        </w:rPr>
        <w:t>UPOV, mais gérés séparément des fonds d</w:t>
      </w:r>
      <w:r w:rsidR="00750F64" w:rsidRPr="001D7027">
        <w:rPr>
          <w:rFonts w:cs="Arial"/>
          <w:sz w:val="20"/>
          <w:lang w:val="fr-FR"/>
        </w:rPr>
        <w:t>’</w:t>
      </w:r>
      <w:r w:rsidRPr="001D7027">
        <w:rPr>
          <w:rFonts w:cs="Arial"/>
          <w:sz w:val="20"/>
          <w:lang w:val="fr-FR"/>
        </w:rPr>
        <w:t>exploitation par le biais d</w:t>
      </w:r>
      <w:r w:rsidR="00750F64" w:rsidRPr="001D7027">
        <w:rPr>
          <w:rFonts w:cs="Arial"/>
          <w:sz w:val="20"/>
          <w:lang w:val="fr-FR"/>
        </w:rPr>
        <w:t>’</w:t>
      </w:r>
      <w:r w:rsidRPr="001D7027">
        <w:rPr>
          <w:rFonts w:cs="Arial"/>
          <w:sz w:val="20"/>
          <w:lang w:val="fr-FR"/>
        </w:rPr>
        <w:t>une instruction de blocage mise en place avec la banque</w:t>
      </w:r>
      <w:r w:rsidRPr="001D7027">
        <w:rPr>
          <w:sz w:val="20"/>
          <w:lang w:val="fr-FR"/>
        </w:rPr>
        <w:t xml:space="preserve">. </w:t>
      </w:r>
      <w:r w:rsidR="00CA2E8B" w:rsidRPr="001D7027">
        <w:rPr>
          <w:sz w:val="20"/>
          <w:lang w:val="fr-FR"/>
        </w:rPr>
        <w:t xml:space="preserve"> </w:t>
      </w:r>
      <w:r w:rsidRPr="001D7027">
        <w:rPr>
          <w:sz w:val="20"/>
          <w:lang w:val="fr-FR"/>
        </w:rPr>
        <w:t>L</w:t>
      </w:r>
      <w:r w:rsidR="00750F64" w:rsidRPr="001D7027">
        <w:rPr>
          <w:sz w:val="20"/>
          <w:lang w:val="fr-FR"/>
        </w:rPr>
        <w:t>’</w:t>
      </w:r>
      <w:r w:rsidRPr="001D7027">
        <w:rPr>
          <w:sz w:val="20"/>
          <w:lang w:val="fr-FR"/>
        </w:rPr>
        <w:t>UPOV gère les fonds de l</w:t>
      </w:r>
      <w:r w:rsidR="00750F64" w:rsidRPr="001D7027">
        <w:rPr>
          <w:sz w:val="20"/>
          <w:lang w:val="fr-FR"/>
        </w:rPr>
        <w:t>’</w:t>
      </w:r>
      <w:r w:rsidRPr="001D7027">
        <w:rPr>
          <w:sz w:val="20"/>
          <w:lang w:val="fr-FR"/>
        </w:rPr>
        <w:t>AMCS conformément à la politique de l</w:t>
      </w:r>
      <w:r w:rsidR="00750F64" w:rsidRPr="001D7027">
        <w:rPr>
          <w:sz w:val="20"/>
          <w:lang w:val="fr-FR"/>
        </w:rPr>
        <w:t>’</w:t>
      </w:r>
      <w:r w:rsidRPr="001D7027">
        <w:rPr>
          <w:sz w:val="20"/>
          <w:lang w:val="fr-FR"/>
        </w:rPr>
        <w:t>OMPI en matière de placements, selon laquelle ces fonds sont considérés comme relevant de la trésorerie stratégique.</w:t>
      </w:r>
    </w:p>
    <w:p w:rsidR="00916691" w:rsidRPr="001D7027" w:rsidRDefault="00916691" w:rsidP="00916691">
      <w:pPr>
        <w:pStyle w:val="Style3"/>
        <w:spacing w:after="0"/>
        <w:rPr>
          <w:sz w:val="20"/>
          <w:lang w:val="fr-FR"/>
        </w:rPr>
      </w:pPr>
    </w:p>
    <w:p w:rsidR="00916691" w:rsidRPr="001D7027" w:rsidRDefault="00916691" w:rsidP="00916691">
      <w:pPr>
        <w:spacing w:line="276" w:lineRule="auto"/>
        <w:rPr>
          <w:rFonts w:cs="Arial"/>
          <w:b/>
        </w:rPr>
      </w:pPr>
      <w:r w:rsidRPr="001D7027">
        <w:rPr>
          <w:rFonts w:cs="Arial"/>
          <w:b/>
        </w:rPr>
        <w:t>Comptes de débiteurs</w:t>
      </w:r>
    </w:p>
    <w:p w:rsidR="00916691" w:rsidRPr="001D7027" w:rsidRDefault="00916691" w:rsidP="00916691">
      <w:pPr>
        <w:spacing w:line="276" w:lineRule="auto"/>
        <w:rPr>
          <w:rFonts w:cs="Arial"/>
          <w:b/>
        </w:rPr>
      </w:pPr>
    </w:p>
    <w:p w:rsidR="00916691" w:rsidRPr="001D7027" w:rsidRDefault="00AE39E3" w:rsidP="00916691">
      <w:pPr>
        <w:spacing w:line="276" w:lineRule="auto"/>
        <w:rPr>
          <w:rFonts w:cs="Arial"/>
          <w:b/>
        </w:rPr>
      </w:pPr>
      <w:r w:rsidRPr="00AE39E3">
        <w:drawing>
          <wp:inline distT="0" distB="0" distL="0" distR="0">
            <wp:extent cx="6120765" cy="19692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969226"/>
                    </a:xfrm>
                    <a:prstGeom prst="rect">
                      <a:avLst/>
                    </a:prstGeom>
                    <a:noFill/>
                    <a:ln>
                      <a:noFill/>
                    </a:ln>
                  </pic:spPr>
                </pic:pic>
              </a:graphicData>
            </a:graphic>
          </wp:inline>
        </w:drawing>
      </w:r>
    </w:p>
    <w:p w:rsidR="00916691" w:rsidRPr="001D7027" w:rsidRDefault="00916691" w:rsidP="00916691">
      <w:pPr>
        <w:rPr>
          <w:rFonts w:cs="Arial"/>
          <w:szCs w:val="22"/>
        </w:rPr>
      </w:pPr>
    </w:p>
    <w:p w:rsidR="00916691" w:rsidRPr="001D7027" w:rsidRDefault="00916691" w:rsidP="00916691">
      <w:pPr>
        <w:rPr>
          <w:rFonts w:cs="Arial"/>
          <w:szCs w:val="22"/>
        </w:rPr>
      </w:pPr>
      <w:r w:rsidRPr="001D7027">
        <w:rPr>
          <w:rFonts w:cs="Arial"/>
          <w:szCs w:val="22"/>
        </w:rPr>
        <w:t>Le montant total des comptes de débiteurs au 31 décembre 2019 s</w:t>
      </w:r>
      <w:r w:rsidR="00750F64" w:rsidRPr="001D7027">
        <w:rPr>
          <w:rFonts w:cs="Arial"/>
          <w:szCs w:val="22"/>
        </w:rPr>
        <w:t>’</w:t>
      </w:r>
      <w:r w:rsidRPr="001D7027">
        <w:rPr>
          <w:rFonts w:cs="Arial"/>
          <w:szCs w:val="22"/>
        </w:rPr>
        <w:t>élevait à 121 052</w:t>
      </w:r>
      <w:r w:rsidR="00495A8C">
        <w:rPr>
          <w:rFonts w:cs="Arial"/>
          <w:szCs w:val="22"/>
        </w:rPr>
        <w:t> francs suisses</w:t>
      </w:r>
      <w:r w:rsidRPr="001D7027">
        <w:rPr>
          <w:rFonts w:cs="Arial"/>
          <w:szCs w:val="22"/>
        </w:rPr>
        <w:t>, contre 86 196</w:t>
      </w:r>
      <w:r w:rsidR="00495A8C">
        <w:rPr>
          <w:rFonts w:cs="Arial"/>
          <w:szCs w:val="22"/>
        </w:rPr>
        <w:t> francs suisses</w:t>
      </w:r>
      <w:r w:rsidRPr="001D7027">
        <w:rPr>
          <w:rFonts w:cs="Arial"/>
          <w:szCs w:val="22"/>
        </w:rPr>
        <w:t xml:space="preserve"> au 31 décembre 2017.  Le solde des débiteurs provenant des ressources </w:t>
      </w:r>
      <w:r w:rsidRPr="001D7027">
        <w:rPr>
          <w:rFonts w:cs="Arial"/>
          <w:szCs w:val="22"/>
        </w:rPr>
        <w:lastRenderedPageBreak/>
        <w:t>extrabudgétaires (fonds fiduciaires) s</w:t>
      </w:r>
      <w:r w:rsidR="00750F64" w:rsidRPr="001D7027">
        <w:rPr>
          <w:rFonts w:cs="Arial"/>
          <w:szCs w:val="22"/>
        </w:rPr>
        <w:t>’</w:t>
      </w:r>
      <w:r w:rsidRPr="001D7027">
        <w:rPr>
          <w:rFonts w:cs="Arial"/>
          <w:szCs w:val="22"/>
        </w:rPr>
        <w:t>élevait à 43 876</w:t>
      </w:r>
      <w:r w:rsidR="00495A8C">
        <w:rPr>
          <w:rFonts w:cs="Arial"/>
          <w:szCs w:val="22"/>
        </w:rPr>
        <w:t> francs suisses</w:t>
      </w:r>
      <w:r w:rsidRPr="001D7027">
        <w:rPr>
          <w:rFonts w:cs="Arial"/>
          <w:szCs w:val="22"/>
        </w:rPr>
        <w:t xml:space="preserve"> à la fin </w:t>
      </w:r>
      <w:r w:rsidR="005D40E4" w:rsidRPr="001D7027">
        <w:rPr>
          <w:rFonts w:cs="Arial"/>
          <w:szCs w:val="22"/>
        </w:rPr>
        <w:t>de 2019</w:t>
      </w:r>
      <w:r w:rsidRPr="001D7027">
        <w:rPr>
          <w:rFonts w:cs="Arial"/>
          <w:szCs w:val="22"/>
        </w:rPr>
        <w:t>, tandis qu</w:t>
      </w:r>
      <w:r w:rsidR="00750F64" w:rsidRPr="001D7027">
        <w:rPr>
          <w:rFonts w:cs="Arial"/>
          <w:szCs w:val="22"/>
        </w:rPr>
        <w:t>’</w:t>
      </w:r>
      <w:r w:rsidRPr="001D7027">
        <w:rPr>
          <w:rFonts w:cs="Arial"/>
          <w:szCs w:val="22"/>
        </w:rPr>
        <w:t>il n</w:t>
      </w:r>
      <w:r w:rsidR="00750F64" w:rsidRPr="001D7027">
        <w:rPr>
          <w:rFonts w:cs="Arial"/>
          <w:szCs w:val="22"/>
        </w:rPr>
        <w:t>’</w:t>
      </w:r>
      <w:r w:rsidRPr="001D7027">
        <w:rPr>
          <w:rFonts w:cs="Arial"/>
          <w:szCs w:val="22"/>
        </w:rPr>
        <w:t xml:space="preserve">existait aucun solde de débiteurs provenant de ces ressources à la fin </w:t>
      </w:r>
      <w:r w:rsidR="005D40E4" w:rsidRPr="001D7027">
        <w:rPr>
          <w:rFonts w:cs="Arial"/>
          <w:szCs w:val="22"/>
        </w:rPr>
        <w:t>de 2017</w:t>
      </w:r>
      <w:r w:rsidRPr="001D7027">
        <w:rPr>
          <w:rFonts w:cs="Arial"/>
          <w:szCs w:val="22"/>
        </w:rPr>
        <w:t>.</w:t>
      </w:r>
    </w:p>
    <w:p w:rsidR="00916691" w:rsidRPr="001D7027" w:rsidRDefault="00916691" w:rsidP="00916691">
      <w:pPr>
        <w:rPr>
          <w:rFonts w:cs="Arial"/>
          <w:szCs w:val="22"/>
        </w:rPr>
      </w:pPr>
    </w:p>
    <w:p w:rsidR="00916691" w:rsidRPr="001D7027" w:rsidRDefault="00916691" w:rsidP="00916691">
      <w:pPr>
        <w:rPr>
          <w:rFonts w:cs="Arial"/>
          <w:b/>
        </w:rPr>
      </w:pPr>
      <w:r w:rsidRPr="001D7027">
        <w:rPr>
          <w:rFonts w:cs="Arial"/>
          <w:b/>
        </w:rPr>
        <w:t>Prestations au personnel</w:t>
      </w:r>
    </w:p>
    <w:p w:rsidR="00916691" w:rsidRPr="001D7027" w:rsidRDefault="00916691" w:rsidP="00916691">
      <w:pPr>
        <w:rPr>
          <w:rFonts w:cs="Arial"/>
          <w:b/>
        </w:rPr>
      </w:pPr>
    </w:p>
    <w:p w:rsidR="00916691" w:rsidRPr="001D7027" w:rsidRDefault="00A51CA5" w:rsidP="00916691">
      <w:pPr>
        <w:spacing w:line="276" w:lineRule="auto"/>
        <w:rPr>
          <w:rFonts w:cs="Arial"/>
          <w:b/>
        </w:rPr>
      </w:pPr>
      <w:r w:rsidRPr="001D7027">
        <w:rPr>
          <w:noProof/>
          <w:lang w:val="en-US"/>
        </w:rPr>
        <w:drawing>
          <wp:inline distT="0" distB="0" distL="0" distR="0">
            <wp:extent cx="6120765" cy="1256943"/>
            <wp:effectExtent l="0" t="0" r="0" b="63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256943"/>
                    </a:xfrm>
                    <a:prstGeom prst="rect">
                      <a:avLst/>
                    </a:prstGeom>
                    <a:noFill/>
                    <a:ln>
                      <a:noFill/>
                    </a:ln>
                  </pic:spPr>
                </pic:pic>
              </a:graphicData>
            </a:graphic>
          </wp:inline>
        </w:drawing>
      </w:r>
    </w:p>
    <w:p w:rsidR="00916691" w:rsidRPr="001D7027" w:rsidRDefault="00916691" w:rsidP="00916691">
      <w:pPr>
        <w:spacing w:line="276" w:lineRule="auto"/>
        <w:rPr>
          <w:rFonts w:cs="Arial"/>
          <w:b/>
        </w:rPr>
      </w:pPr>
    </w:p>
    <w:p w:rsidR="00916691" w:rsidRPr="001D7027" w:rsidRDefault="00916691" w:rsidP="00916691">
      <w:pPr>
        <w:rPr>
          <w:rFonts w:cs="Arial"/>
        </w:rPr>
      </w:pPr>
      <w:r w:rsidRPr="001D7027">
        <w:t>Comme le montre le tableau ci</w:t>
      </w:r>
      <w:r w:rsidR="00750F64" w:rsidRPr="001D7027">
        <w:t>-</w:t>
      </w:r>
      <w:r w:rsidRPr="001D7027">
        <w:t>dessus, l</w:t>
      </w:r>
      <w:r w:rsidR="00750F64" w:rsidRPr="001D7027">
        <w:t>’</w:t>
      </w:r>
      <w:r w:rsidRPr="001D7027">
        <w:t>obligation de loin la plus importante de l</w:t>
      </w:r>
      <w:r w:rsidR="00750F64" w:rsidRPr="001D7027">
        <w:t>’</w:t>
      </w:r>
      <w:r w:rsidRPr="001D7027">
        <w:t>UPOV en ce qui concerne les prestations au personnel est celle relative à l</w:t>
      </w:r>
      <w:r w:rsidR="00750F64" w:rsidRPr="001D7027">
        <w:t>’</w:t>
      </w:r>
      <w:r w:rsidRPr="001D7027">
        <w:t>AMCS, qui représente 86,0% de l</w:t>
      </w:r>
      <w:r w:rsidR="00750F64" w:rsidRPr="001D7027">
        <w:t>’</w:t>
      </w:r>
      <w:r w:rsidRPr="001D7027">
        <w:t>obligation totale des prestations au personnel au 31 décembre 2019.  Pendant l</w:t>
      </w:r>
      <w:r w:rsidR="00750F64" w:rsidRPr="001D7027">
        <w:t>’</w:t>
      </w:r>
      <w:r w:rsidRPr="001D7027">
        <w:t xml:space="preserve">exercice </w:t>
      </w:r>
      <w:r w:rsidR="005D40E4" w:rsidRPr="001D7027">
        <w:t>biennal 2018</w:t>
      </w:r>
      <w:r w:rsidR="00750F64" w:rsidRPr="001D7027">
        <w:t>-</w:t>
      </w:r>
      <w:r w:rsidRPr="001D7027">
        <w:t>2019, l</w:t>
      </w:r>
      <w:r w:rsidR="00750F64" w:rsidRPr="001D7027">
        <w:t>’</w:t>
      </w:r>
      <w:r w:rsidRPr="001D7027">
        <w:t>obligation au titre de l</w:t>
      </w:r>
      <w:r w:rsidR="00750F64" w:rsidRPr="001D7027">
        <w:t>’</w:t>
      </w:r>
      <w:r w:rsidRPr="001D7027">
        <w:t>AMCS a diminué de 183 071</w:t>
      </w:r>
      <w:r w:rsidR="00495A8C">
        <w:t> francs suisses</w:t>
      </w:r>
      <w:r w:rsidR="00532185" w:rsidRPr="001D7027">
        <w:t>.  Ce</w:t>
      </w:r>
      <w:r w:rsidRPr="001D7027">
        <w:t>tte évolution est décrite en détail dans le tableau ci</w:t>
      </w:r>
      <w:r w:rsidR="00750F64" w:rsidRPr="001D7027">
        <w:t>-</w:t>
      </w:r>
      <w:r w:rsidRPr="001D7027">
        <w:t>dessous</w:t>
      </w:r>
      <w:r w:rsidR="00750F64" w:rsidRPr="001D7027">
        <w:t> :</w:t>
      </w:r>
    </w:p>
    <w:p w:rsidR="00916691" w:rsidRPr="001D7027" w:rsidRDefault="00916691" w:rsidP="00916691">
      <w:pPr>
        <w:spacing w:line="276" w:lineRule="auto"/>
        <w:rPr>
          <w:rFonts w:cs="Arial"/>
        </w:rPr>
      </w:pPr>
    </w:p>
    <w:p w:rsidR="00916691" w:rsidRPr="001D7027" w:rsidRDefault="0076054A" w:rsidP="00916691">
      <w:pPr>
        <w:spacing w:line="276" w:lineRule="auto"/>
        <w:jc w:val="center"/>
        <w:rPr>
          <w:rFonts w:cs="Arial"/>
        </w:rPr>
      </w:pPr>
      <w:r w:rsidRPr="001D7027">
        <w:rPr>
          <w:noProof/>
          <w:lang w:val="en-US"/>
        </w:rPr>
        <w:drawing>
          <wp:inline distT="0" distB="0" distL="0" distR="0">
            <wp:extent cx="4695825" cy="14859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5825" cy="1485900"/>
                    </a:xfrm>
                    <a:prstGeom prst="rect">
                      <a:avLst/>
                    </a:prstGeom>
                    <a:noFill/>
                    <a:ln>
                      <a:noFill/>
                    </a:ln>
                  </pic:spPr>
                </pic:pic>
              </a:graphicData>
            </a:graphic>
          </wp:inline>
        </w:drawing>
      </w:r>
    </w:p>
    <w:p w:rsidR="00916691" w:rsidRPr="001D7027" w:rsidRDefault="00916691" w:rsidP="00AE39E3"/>
    <w:p w:rsidR="00916691" w:rsidRPr="001D7027" w:rsidRDefault="00916691" w:rsidP="00916691">
      <w:pPr>
        <w:rPr>
          <w:rFonts w:cs="Arial"/>
          <w:b/>
        </w:rPr>
      </w:pPr>
      <w:r w:rsidRPr="001D7027">
        <w:rPr>
          <w:rFonts w:eastAsia="SimSun" w:cs="Arial"/>
          <w:lang w:eastAsia="zh-CN"/>
        </w:rPr>
        <w:t>L</w:t>
      </w:r>
      <w:r w:rsidR="00750F64" w:rsidRPr="001D7027">
        <w:rPr>
          <w:rFonts w:eastAsia="SimSun" w:cs="Arial"/>
          <w:lang w:eastAsia="zh-CN"/>
        </w:rPr>
        <w:t>’</w:t>
      </w:r>
      <w:r w:rsidRPr="001D7027">
        <w:rPr>
          <w:rFonts w:eastAsia="SimSun" w:cs="Arial"/>
          <w:lang w:eastAsia="zh-CN"/>
        </w:rPr>
        <w:t>obligation, qui est calculée par un actuaire indépendant, traduit le futur coût total de la part des primes d</w:t>
      </w:r>
      <w:r w:rsidR="00750F64" w:rsidRPr="001D7027">
        <w:rPr>
          <w:rFonts w:eastAsia="SimSun" w:cs="Arial"/>
          <w:lang w:eastAsia="zh-CN"/>
        </w:rPr>
        <w:t>’</w:t>
      </w:r>
      <w:r w:rsidRPr="001D7027">
        <w:rPr>
          <w:rFonts w:eastAsia="SimSun" w:cs="Arial"/>
          <w:lang w:eastAsia="zh-CN"/>
        </w:rPr>
        <w:t>assurance maladie collectives de l</w:t>
      </w:r>
      <w:r w:rsidR="00750F64" w:rsidRPr="001D7027">
        <w:rPr>
          <w:rFonts w:eastAsia="SimSun" w:cs="Arial"/>
          <w:lang w:eastAsia="zh-CN"/>
        </w:rPr>
        <w:t>’</w:t>
      </w:r>
      <w:r w:rsidRPr="001D7027">
        <w:rPr>
          <w:rFonts w:eastAsia="SimSun" w:cs="Arial"/>
          <w:lang w:eastAsia="zh-CN"/>
        </w:rPr>
        <w:t>UPOV aussi bien pour les retraités de l</w:t>
      </w:r>
      <w:r w:rsidR="00750F64" w:rsidRPr="001D7027">
        <w:rPr>
          <w:rFonts w:eastAsia="SimSun" w:cs="Arial"/>
          <w:lang w:eastAsia="zh-CN"/>
        </w:rPr>
        <w:t>’</w:t>
      </w:r>
      <w:r w:rsidRPr="001D7027">
        <w:rPr>
          <w:rFonts w:eastAsia="SimSun" w:cs="Arial"/>
          <w:lang w:eastAsia="zh-CN"/>
        </w:rPr>
        <w:t>UPOV que pour le nombre projeté de fonctionnaires en poste de l</w:t>
      </w:r>
      <w:r w:rsidR="00750F64" w:rsidRPr="001D7027">
        <w:rPr>
          <w:rFonts w:eastAsia="SimSun" w:cs="Arial"/>
          <w:lang w:eastAsia="zh-CN"/>
        </w:rPr>
        <w:t>’</w:t>
      </w:r>
      <w:r w:rsidRPr="001D7027">
        <w:rPr>
          <w:rFonts w:eastAsia="SimSun" w:cs="Arial"/>
          <w:lang w:eastAsia="zh-CN"/>
        </w:rPr>
        <w:t>UPOV qui prendront leur retraite dans l</w:t>
      </w:r>
      <w:r w:rsidR="00750F64" w:rsidRPr="001D7027">
        <w:rPr>
          <w:rFonts w:eastAsia="SimSun" w:cs="Arial"/>
          <w:lang w:eastAsia="zh-CN"/>
        </w:rPr>
        <w:t>’</w:t>
      </w:r>
      <w:r w:rsidRPr="001D7027">
        <w:rPr>
          <w:rFonts w:eastAsia="SimSun" w:cs="Arial"/>
          <w:lang w:eastAsia="zh-CN"/>
        </w:rPr>
        <w:t>aven</w:t>
      </w:r>
      <w:r w:rsidR="00532185" w:rsidRPr="001D7027">
        <w:rPr>
          <w:rFonts w:eastAsia="SimSun" w:cs="Arial"/>
          <w:lang w:eastAsia="zh-CN"/>
        </w:rPr>
        <w:t>ir.  Le</w:t>
      </w:r>
      <w:r w:rsidRPr="001D7027">
        <w:rPr>
          <w:rFonts w:eastAsia="SimSun" w:cs="Arial"/>
          <w:lang w:eastAsia="zh-CN"/>
        </w:rPr>
        <w:t xml:space="preserve"> coût courant des prestations figurant dans le tableau ci</w:t>
      </w:r>
      <w:r w:rsidR="00750F64" w:rsidRPr="001D7027">
        <w:rPr>
          <w:rFonts w:eastAsia="SimSun" w:cs="Arial"/>
          <w:lang w:eastAsia="zh-CN"/>
        </w:rPr>
        <w:t>-</w:t>
      </w:r>
      <w:r w:rsidRPr="001D7027">
        <w:rPr>
          <w:rFonts w:eastAsia="SimSun" w:cs="Arial"/>
          <w:lang w:eastAsia="zh-CN"/>
        </w:rPr>
        <w:t>dessus correspond à l</w:t>
      </w:r>
      <w:r w:rsidR="00750F64" w:rsidRPr="001D7027">
        <w:rPr>
          <w:rFonts w:eastAsia="SimSun" w:cs="Arial"/>
          <w:lang w:eastAsia="zh-CN"/>
        </w:rPr>
        <w:t>’</w:t>
      </w:r>
      <w:r w:rsidRPr="001D7027">
        <w:rPr>
          <w:rFonts w:eastAsia="SimSun" w:cs="Arial"/>
          <w:lang w:eastAsia="zh-CN"/>
        </w:rPr>
        <w:t>incidence nette des prestations au personnel au cours de l</w:t>
      </w:r>
      <w:r w:rsidR="00750F64" w:rsidRPr="001D7027">
        <w:rPr>
          <w:rFonts w:eastAsia="SimSun" w:cs="Arial"/>
          <w:lang w:eastAsia="zh-CN"/>
        </w:rPr>
        <w:t>’</w:t>
      </w:r>
      <w:r w:rsidRPr="001D7027">
        <w:rPr>
          <w:rFonts w:eastAsia="SimSun" w:cs="Arial"/>
          <w:lang w:eastAsia="zh-CN"/>
        </w:rPr>
        <w:t>exercice biennal </w:t>
      </w:r>
      <w:r w:rsidRPr="001D7027">
        <w:rPr>
          <w:rFonts w:cs="Arial"/>
          <w:szCs w:val="22"/>
        </w:rPr>
        <w:t>2018</w:t>
      </w:r>
      <w:r w:rsidR="00750F64" w:rsidRPr="001D7027">
        <w:rPr>
          <w:rFonts w:cs="Arial"/>
          <w:szCs w:val="22"/>
        </w:rPr>
        <w:t>-</w:t>
      </w:r>
      <w:r w:rsidRPr="001D7027">
        <w:rPr>
          <w:rFonts w:cs="Arial"/>
          <w:szCs w:val="22"/>
        </w:rPr>
        <w:t xml:space="preserve">2019.  </w:t>
      </w:r>
      <w:r w:rsidRPr="001D7027">
        <w:rPr>
          <w:szCs w:val="22"/>
        </w:rPr>
        <w:t>Le coût des intérêts est la conséquence du fait que chaque fonctionnaire en activité se rapproche de l</w:t>
      </w:r>
      <w:r w:rsidR="00750F64" w:rsidRPr="001D7027">
        <w:rPr>
          <w:szCs w:val="22"/>
        </w:rPr>
        <w:t>’</w:t>
      </w:r>
      <w:r w:rsidRPr="001D7027">
        <w:rPr>
          <w:szCs w:val="22"/>
        </w:rPr>
        <w:t>âge auquel il peut prétendre aux prestations au titre de l</w:t>
      </w:r>
      <w:r w:rsidR="00750F64" w:rsidRPr="001D7027">
        <w:rPr>
          <w:szCs w:val="22"/>
        </w:rPr>
        <w:t>’</w:t>
      </w:r>
      <w:r w:rsidRPr="001D7027">
        <w:rPr>
          <w:szCs w:val="22"/>
        </w:rPr>
        <w:t>assurance maladie après la cessation de servi</w:t>
      </w:r>
      <w:r w:rsidR="00532185" w:rsidRPr="001D7027">
        <w:rPr>
          <w:szCs w:val="22"/>
        </w:rPr>
        <w:t>ce.  Le</w:t>
      </w:r>
      <w:r w:rsidRPr="001D7027">
        <w:rPr>
          <w:szCs w:val="22"/>
        </w:rPr>
        <w:t>s prestations versées par l</w:t>
      </w:r>
      <w:r w:rsidR="00750F64" w:rsidRPr="001D7027">
        <w:rPr>
          <w:szCs w:val="22"/>
        </w:rPr>
        <w:t>’</w:t>
      </w:r>
      <w:r w:rsidRPr="001D7027">
        <w:rPr>
          <w:szCs w:val="22"/>
        </w:rPr>
        <w:t>UPOV durant l</w:t>
      </w:r>
      <w:r w:rsidR="00750F64" w:rsidRPr="001D7027">
        <w:rPr>
          <w:szCs w:val="22"/>
        </w:rPr>
        <w:t>’</w:t>
      </w:r>
      <w:r w:rsidRPr="001D7027">
        <w:rPr>
          <w:szCs w:val="22"/>
        </w:rPr>
        <w:t>exercice biennal sont les cotisations mensuelles (actuellement 65% des primes) que l</w:t>
      </w:r>
      <w:r w:rsidR="00750F64" w:rsidRPr="001D7027">
        <w:rPr>
          <w:szCs w:val="22"/>
        </w:rPr>
        <w:t>’</w:t>
      </w:r>
      <w:r w:rsidRPr="001D7027">
        <w:rPr>
          <w:szCs w:val="22"/>
        </w:rPr>
        <w:t>UPOV verse aux retraités participant à l</w:t>
      </w:r>
      <w:r w:rsidR="00750F64" w:rsidRPr="001D7027">
        <w:rPr>
          <w:szCs w:val="22"/>
        </w:rPr>
        <w:t>’</w:t>
      </w:r>
      <w:r w:rsidRPr="001D7027">
        <w:rPr>
          <w:szCs w:val="22"/>
        </w:rPr>
        <w:t>A</w:t>
      </w:r>
      <w:r w:rsidR="00532185" w:rsidRPr="001D7027">
        <w:rPr>
          <w:szCs w:val="22"/>
        </w:rPr>
        <w:t>MCS.  Le</w:t>
      </w:r>
      <w:r w:rsidRPr="001D7027">
        <w:rPr>
          <w:szCs w:val="22"/>
        </w:rPr>
        <w:t>s gains et pertes actuariels résultent de l</w:t>
      </w:r>
      <w:r w:rsidR="00750F64" w:rsidRPr="001D7027">
        <w:rPr>
          <w:szCs w:val="22"/>
        </w:rPr>
        <w:t>’</w:t>
      </w:r>
      <w:r w:rsidRPr="001D7027">
        <w:rPr>
          <w:szCs w:val="22"/>
        </w:rPr>
        <w:t>évolution des hypothèses actuarielles, dont le taux d</w:t>
      </w:r>
      <w:r w:rsidR="00750F64" w:rsidRPr="001D7027">
        <w:rPr>
          <w:szCs w:val="22"/>
        </w:rPr>
        <w:t>’</w:t>
      </w:r>
      <w:r w:rsidRPr="001D7027">
        <w:rPr>
          <w:szCs w:val="22"/>
        </w:rPr>
        <w:t>escompte, le taux tendanciel du coût des soins de santé, les taux de renouvellement du personnel et les taux de mortali</w:t>
      </w:r>
      <w:r w:rsidR="00532185" w:rsidRPr="001D7027">
        <w:rPr>
          <w:szCs w:val="22"/>
        </w:rPr>
        <w:t xml:space="preserve">té.  </w:t>
      </w:r>
      <w:r w:rsidR="00532185" w:rsidRPr="001D7027">
        <w:rPr>
          <w:rFonts w:cs="Arial"/>
          <w:shd w:val="clear" w:color="auto" w:fill="FFFFFF"/>
        </w:rPr>
        <w:t>Au</w:t>
      </w:r>
      <w:r w:rsidRPr="001D7027">
        <w:rPr>
          <w:rFonts w:cs="Arial"/>
          <w:shd w:val="clear" w:color="auto" w:fill="FFFFFF"/>
        </w:rPr>
        <w:t xml:space="preserve">x fins des calculs actuariels </w:t>
      </w:r>
      <w:r w:rsidR="005D40E4" w:rsidRPr="001D7027">
        <w:rPr>
          <w:rFonts w:cs="Arial"/>
          <w:shd w:val="clear" w:color="auto" w:fill="FFFFFF"/>
        </w:rPr>
        <w:t>pour 2019</w:t>
      </w:r>
      <w:r w:rsidRPr="001D7027">
        <w:rPr>
          <w:rFonts w:cs="Arial"/>
          <w:shd w:val="clear" w:color="auto" w:fill="FFFFFF"/>
        </w:rPr>
        <w:t>, l</w:t>
      </w:r>
      <w:r w:rsidR="00750F64" w:rsidRPr="001D7027">
        <w:rPr>
          <w:rFonts w:cs="Arial"/>
          <w:shd w:val="clear" w:color="auto" w:fill="FFFFFF"/>
        </w:rPr>
        <w:t>’</w:t>
      </w:r>
      <w:r w:rsidRPr="001D7027">
        <w:rPr>
          <w:rFonts w:cs="Arial"/>
          <w:shd w:val="clear" w:color="auto" w:fill="FFFFFF"/>
        </w:rPr>
        <w:t>OMPI a modifié certaines hypothèses et méthodes actuarielles de sorte à mieux les aligner sur les provisions concernées pour chaque prestation au personn</w:t>
      </w:r>
      <w:r w:rsidR="00532185" w:rsidRPr="001D7027">
        <w:rPr>
          <w:rFonts w:cs="Arial"/>
          <w:shd w:val="clear" w:color="auto" w:fill="FFFFFF"/>
        </w:rPr>
        <w:t>el.  Le</w:t>
      </w:r>
      <w:r w:rsidRPr="001D7027">
        <w:rPr>
          <w:rFonts w:cs="Arial"/>
          <w:shd w:val="clear" w:color="auto" w:fill="FFFFFF"/>
        </w:rPr>
        <w:t>s taux d</w:t>
      </w:r>
      <w:r w:rsidR="00750F64" w:rsidRPr="001D7027">
        <w:rPr>
          <w:rFonts w:cs="Arial"/>
          <w:shd w:val="clear" w:color="auto" w:fill="FFFFFF"/>
        </w:rPr>
        <w:t>’</w:t>
      </w:r>
      <w:r w:rsidRPr="001D7027">
        <w:rPr>
          <w:rFonts w:cs="Arial"/>
          <w:shd w:val="clear" w:color="auto" w:fill="FFFFFF"/>
        </w:rPr>
        <w:t>escompte 2019 ont été établis au regard de la monnaie sous</w:t>
      </w:r>
      <w:r w:rsidR="00750F64" w:rsidRPr="001D7027">
        <w:rPr>
          <w:rFonts w:cs="Arial"/>
          <w:shd w:val="clear" w:color="auto" w:fill="FFFFFF"/>
        </w:rPr>
        <w:t>-</w:t>
      </w:r>
      <w:r w:rsidRPr="001D7027">
        <w:rPr>
          <w:rFonts w:cs="Arial"/>
          <w:shd w:val="clear" w:color="auto" w:fill="FFFFFF"/>
        </w:rPr>
        <w:t>jacente des frais médica</w:t>
      </w:r>
      <w:r w:rsidR="00532185" w:rsidRPr="001D7027">
        <w:rPr>
          <w:rFonts w:cs="Arial"/>
          <w:shd w:val="clear" w:color="auto" w:fill="FFFFFF"/>
        </w:rPr>
        <w:t>ux.  Pa</w:t>
      </w:r>
      <w:r w:rsidRPr="001D7027">
        <w:rPr>
          <w:rFonts w:cs="Arial"/>
          <w:shd w:val="clear" w:color="auto" w:fill="FFFFFF"/>
        </w:rPr>
        <w:t>r ailleurs, l</w:t>
      </w:r>
      <w:r w:rsidR="00750F64" w:rsidRPr="001D7027">
        <w:rPr>
          <w:rFonts w:cs="Arial"/>
          <w:shd w:val="clear" w:color="auto" w:fill="FFFFFF"/>
        </w:rPr>
        <w:t>’</w:t>
      </w:r>
      <w:r w:rsidRPr="001D7027">
        <w:rPr>
          <w:rFonts w:cs="Arial"/>
          <w:shd w:val="clear" w:color="auto" w:fill="FFFFFF"/>
        </w:rPr>
        <w:t>attribution des coûts pour chaque prestation a été modifiée de manière à refléter la période de service ouvrant droit et la prestation accumulée à la date d</w:t>
      </w:r>
      <w:r w:rsidR="00750F64" w:rsidRPr="001D7027">
        <w:rPr>
          <w:rFonts w:cs="Arial"/>
          <w:shd w:val="clear" w:color="auto" w:fill="FFFFFF"/>
        </w:rPr>
        <w:t>’</w:t>
      </w:r>
      <w:r w:rsidRPr="001D7027">
        <w:rPr>
          <w:rFonts w:cs="Arial"/>
          <w:shd w:val="clear" w:color="auto" w:fill="FFFFFF"/>
        </w:rPr>
        <w:t>évaluation, par opposition à une attribution linéaire sur la période d</w:t>
      </w:r>
      <w:r w:rsidR="00750F64" w:rsidRPr="001D7027">
        <w:rPr>
          <w:rFonts w:cs="Arial"/>
          <w:shd w:val="clear" w:color="auto" w:fill="FFFFFF"/>
        </w:rPr>
        <w:t>’</w:t>
      </w:r>
      <w:r w:rsidRPr="001D7027">
        <w:rPr>
          <w:rFonts w:cs="Arial"/>
          <w:shd w:val="clear" w:color="auto" w:fill="FFFFFF"/>
        </w:rPr>
        <w:t>empl</w:t>
      </w:r>
      <w:r w:rsidR="00532185" w:rsidRPr="001D7027">
        <w:rPr>
          <w:rFonts w:cs="Arial"/>
          <w:shd w:val="clear" w:color="auto" w:fill="FFFFFF"/>
        </w:rPr>
        <w:t>oi.  Ce</w:t>
      </w:r>
      <w:r w:rsidRPr="001D7027">
        <w:rPr>
          <w:rFonts w:cs="Arial"/>
          <w:shd w:val="clear" w:color="auto" w:fill="FFFFFF"/>
        </w:rPr>
        <w:t>s changements, associés à d</w:t>
      </w:r>
      <w:r w:rsidR="00750F64" w:rsidRPr="001D7027">
        <w:rPr>
          <w:rFonts w:cs="Arial"/>
          <w:shd w:val="clear" w:color="auto" w:fill="FFFFFF"/>
        </w:rPr>
        <w:t>’</w:t>
      </w:r>
      <w:r w:rsidRPr="001D7027">
        <w:rPr>
          <w:rFonts w:cs="Arial"/>
          <w:shd w:val="clear" w:color="auto" w:fill="FFFFFF"/>
        </w:rPr>
        <w:t>autres variations des hypothèses actuarielles, expliquent globalement le gain actuariel total au cours de l</w:t>
      </w:r>
      <w:r w:rsidR="00750F64" w:rsidRPr="001D7027">
        <w:rPr>
          <w:rFonts w:cs="Arial"/>
          <w:shd w:val="clear" w:color="auto" w:fill="FFFFFF"/>
        </w:rPr>
        <w:t>’</w:t>
      </w:r>
      <w:r w:rsidRPr="001D7027">
        <w:rPr>
          <w:rFonts w:cs="Arial"/>
          <w:shd w:val="clear" w:color="auto" w:fill="FFFFFF"/>
        </w:rPr>
        <w:t xml:space="preserve">exercice </w:t>
      </w:r>
      <w:r w:rsidR="005D40E4" w:rsidRPr="001D7027">
        <w:rPr>
          <w:rFonts w:cs="Arial"/>
          <w:shd w:val="clear" w:color="auto" w:fill="FFFFFF"/>
        </w:rPr>
        <w:t>biennal 2018</w:t>
      </w:r>
      <w:r w:rsidR="00750F64" w:rsidRPr="001D7027">
        <w:rPr>
          <w:rFonts w:cs="Arial"/>
          <w:shd w:val="clear" w:color="auto" w:fill="FFFFFF"/>
        </w:rPr>
        <w:t>-</w:t>
      </w:r>
      <w:r w:rsidRPr="001D7027">
        <w:rPr>
          <w:rFonts w:cs="Arial"/>
          <w:shd w:val="clear" w:color="auto" w:fill="FFFFFF"/>
        </w:rPr>
        <w:t>2019.</w:t>
      </w:r>
    </w:p>
    <w:p w:rsidR="00916691" w:rsidRPr="001D7027" w:rsidRDefault="00916691" w:rsidP="00916691">
      <w:pPr>
        <w:rPr>
          <w:rFonts w:cs="Arial"/>
          <w:b/>
        </w:rPr>
      </w:pPr>
    </w:p>
    <w:p w:rsidR="00916691" w:rsidRPr="001D7027" w:rsidRDefault="00916691" w:rsidP="00916691">
      <w:pPr>
        <w:spacing w:line="276" w:lineRule="auto"/>
        <w:rPr>
          <w:rFonts w:cs="Arial"/>
          <w:b/>
        </w:rPr>
      </w:pPr>
      <w:r w:rsidRPr="001D7027">
        <w:rPr>
          <w:rFonts w:cs="Arial"/>
          <w:b/>
        </w:rPr>
        <w:t>Encaissements par anticipation</w:t>
      </w:r>
    </w:p>
    <w:p w:rsidR="00916691" w:rsidRPr="001D7027" w:rsidRDefault="00916691" w:rsidP="00916691">
      <w:pPr>
        <w:rPr>
          <w:rFonts w:cs="Arial"/>
          <w:b/>
        </w:rPr>
      </w:pPr>
    </w:p>
    <w:p w:rsidR="00916691" w:rsidRPr="001D7027" w:rsidRDefault="0076054A" w:rsidP="00916691">
      <w:pPr>
        <w:spacing w:line="276" w:lineRule="auto"/>
        <w:rPr>
          <w:rFonts w:cs="Arial"/>
          <w:b/>
        </w:rPr>
      </w:pPr>
      <w:r w:rsidRPr="001D7027">
        <w:rPr>
          <w:noProof/>
          <w:lang w:val="en-US"/>
        </w:rPr>
        <w:drawing>
          <wp:inline distT="0" distB="0" distL="0" distR="0">
            <wp:extent cx="6120765" cy="116671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166715"/>
                    </a:xfrm>
                    <a:prstGeom prst="rect">
                      <a:avLst/>
                    </a:prstGeom>
                    <a:noFill/>
                    <a:ln>
                      <a:noFill/>
                    </a:ln>
                  </pic:spPr>
                </pic:pic>
              </a:graphicData>
            </a:graphic>
          </wp:inline>
        </w:drawing>
      </w:r>
    </w:p>
    <w:p w:rsidR="00916691" w:rsidRPr="001D7027" w:rsidRDefault="00916691" w:rsidP="00916691">
      <w:pPr>
        <w:spacing w:line="276" w:lineRule="auto"/>
        <w:rPr>
          <w:rFonts w:cs="Arial"/>
          <w:b/>
        </w:rPr>
      </w:pPr>
    </w:p>
    <w:p w:rsidR="00916691" w:rsidRPr="001D7027" w:rsidRDefault="00916691" w:rsidP="00916691">
      <w:pPr>
        <w:pStyle w:val="Style3"/>
        <w:spacing w:after="0"/>
        <w:rPr>
          <w:rFonts w:cs="Arial"/>
          <w:lang w:val="fr-FR"/>
        </w:rPr>
      </w:pPr>
      <w:r w:rsidRPr="001D7027">
        <w:rPr>
          <w:sz w:val="20"/>
          <w:lang w:val="fr-FR"/>
        </w:rPr>
        <w:t>Les contributions reçues d</w:t>
      </w:r>
      <w:r w:rsidR="00750F64" w:rsidRPr="001D7027">
        <w:rPr>
          <w:sz w:val="20"/>
          <w:lang w:val="fr-FR"/>
        </w:rPr>
        <w:t>’</w:t>
      </w:r>
      <w:r w:rsidRPr="001D7027">
        <w:rPr>
          <w:sz w:val="20"/>
          <w:lang w:val="fr-FR"/>
        </w:rPr>
        <w:t>avance sont comptabilisées comme passif d</w:t>
      </w:r>
      <w:r w:rsidR="00750F64" w:rsidRPr="001D7027">
        <w:rPr>
          <w:sz w:val="20"/>
          <w:lang w:val="fr-FR"/>
        </w:rPr>
        <w:t>’</w:t>
      </w:r>
      <w:r w:rsidRPr="001D7027">
        <w:rPr>
          <w:sz w:val="20"/>
          <w:lang w:val="fr-FR"/>
        </w:rPr>
        <w:t>encaissement par anticipation et comme produits au cours de l</w:t>
      </w:r>
      <w:r w:rsidR="00750F64" w:rsidRPr="001D7027">
        <w:rPr>
          <w:sz w:val="20"/>
          <w:lang w:val="fr-FR"/>
        </w:rPr>
        <w:t>’</w:t>
      </w:r>
      <w:r w:rsidRPr="001D7027">
        <w:rPr>
          <w:sz w:val="20"/>
          <w:lang w:val="fr-FR"/>
        </w:rPr>
        <w:t>année à laquelle elles se rapporte</w:t>
      </w:r>
      <w:r w:rsidR="00532185" w:rsidRPr="001D7027">
        <w:rPr>
          <w:sz w:val="20"/>
          <w:lang w:val="fr-FR"/>
        </w:rPr>
        <w:t>nt.  Le</w:t>
      </w:r>
      <w:r w:rsidRPr="001D7027">
        <w:rPr>
          <w:sz w:val="20"/>
          <w:lang w:val="fr-FR"/>
        </w:rPr>
        <w:t xml:space="preserve">s ressources extrabudgétaires versées </w:t>
      </w:r>
      <w:r w:rsidRPr="001D7027">
        <w:rPr>
          <w:sz w:val="20"/>
          <w:lang w:val="fr-FR"/>
        </w:rPr>
        <w:lastRenderedPageBreak/>
        <w:t>par les donateurs aux fonds fiduciaires assortis de conditions relatives au rendement sont comptabilisées en tant que recettes différées jusqu</w:t>
      </w:r>
      <w:r w:rsidR="00750F64" w:rsidRPr="001D7027">
        <w:rPr>
          <w:sz w:val="20"/>
          <w:lang w:val="fr-FR"/>
        </w:rPr>
        <w:t>’</w:t>
      </w:r>
      <w:r w:rsidRPr="001D7027">
        <w:rPr>
          <w:sz w:val="20"/>
          <w:lang w:val="fr-FR"/>
        </w:rPr>
        <w:t>à ce que les conditions soient remplies, après quoi les recettes sont comptabilisées.</w:t>
      </w:r>
    </w:p>
    <w:p w:rsidR="00916691" w:rsidRPr="001D7027" w:rsidRDefault="00916691" w:rsidP="00916691">
      <w:pPr>
        <w:spacing w:line="276" w:lineRule="auto"/>
        <w:rPr>
          <w:rFonts w:cs="Arial"/>
          <w:b/>
        </w:rPr>
      </w:pPr>
    </w:p>
    <w:p w:rsidR="00916691" w:rsidRPr="001D7027" w:rsidRDefault="00916691" w:rsidP="00916691">
      <w:pPr>
        <w:spacing w:line="276" w:lineRule="auto"/>
        <w:rPr>
          <w:rFonts w:cs="Arial"/>
          <w:b/>
        </w:rPr>
      </w:pPr>
      <w:r w:rsidRPr="001D7027">
        <w:rPr>
          <w:rFonts w:cs="Arial"/>
          <w:b/>
        </w:rPr>
        <w:t>Dettes et autres éléments de passifs</w:t>
      </w:r>
    </w:p>
    <w:p w:rsidR="00916691" w:rsidRPr="001D7027" w:rsidRDefault="00916691" w:rsidP="00916691">
      <w:pPr>
        <w:spacing w:line="276" w:lineRule="auto"/>
        <w:rPr>
          <w:rFonts w:cs="Arial"/>
          <w:b/>
        </w:rPr>
      </w:pPr>
    </w:p>
    <w:p w:rsidR="00916691" w:rsidRPr="001D7027" w:rsidRDefault="0076054A" w:rsidP="00916691">
      <w:pPr>
        <w:spacing w:line="276" w:lineRule="auto"/>
        <w:rPr>
          <w:rFonts w:cs="Arial"/>
          <w:b/>
        </w:rPr>
      </w:pPr>
      <w:r w:rsidRPr="001D7027">
        <w:rPr>
          <w:noProof/>
          <w:lang w:val="en-US"/>
        </w:rPr>
        <w:drawing>
          <wp:inline distT="0" distB="0" distL="0" distR="0">
            <wp:extent cx="6120765" cy="147185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471856"/>
                    </a:xfrm>
                    <a:prstGeom prst="rect">
                      <a:avLst/>
                    </a:prstGeom>
                    <a:noFill/>
                    <a:ln>
                      <a:noFill/>
                    </a:ln>
                  </pic:spPr>
                </pic:pic>
              </a:graphicData>
            </a:graphic>
          </wp:inline>
        </w:drawing>
      </w:r>
    </w:p>
    <w:p w:rsidR="00916691" w:rsidRPr="001D7027" w:rsidRDefault="00916691" w:rsidP="00916691">
      <w:pPr>
        <w:spacing w:line="276" w:lineRule="auto"/>
        <w:rPr>
          <w:rFonts w:cs="Arial"/>
          <w:b/>
        </w:rPr>
      </w:pPr>
    </w:p>
    <w:p w:rsidR="00916691" w:rsidRPr="001D7027" w:rsidRDefault="00916691" w:rsidP="00916691">
      <w:pPr>
        <w:rPr>
          <w:rFonts w:cs="Arial"/>
        </w:rPr>
      </w:pPr>
      <w:r w:rsidRPr="001D7027">
        <w:t>Les dettes et autres éléments de</w:t>
      </w:r>
      <w:r w:rsidRPr="001D7027">
        <w:rPr>
          <w:b/>
        </w:rPr>
        <w:t xml:space="preserve"> </w:t>
      </w:r>
      <w:r w:rsidRPr="001D7027">
        <w:t>passifs s</w:t>
      </w:r>
      <w:r w:rsidR="00750F64" w:rsidRPr="001D7027">
        <w:t>’</w:t>
      </w:r>
      <w:r w:rsidRPr="001D7027">
        <w:t>élevaient au total à 863 216</w:t>
      </w:r>
      <w:r w:rsidR="00495A8C">
        <w:t> francs suisses</w:t>
      </w:r>
      <w:r w:rsidRPr="001D7027">
        <w:t xml:space="preserve"> au 31 décembre 2019.  Il s</w:t>
      </w:r>
      <w:r w:rsidR="00750F64" w:rsidRPr="001D7027">
        <w:t>’</w:t>
      </w:r>
      <w:r w:rsidRPr="001D7027">
        <w:t>agit presque entièrement des montants dus à l</w:t>
      </w:r>
      <w:r w:rsidR="00750F64" w:rsidRPr="001D7027">
        <w:t>’</w:t>
      </w:r>
      <w:r w:rsidRPr="001D7027">
        <w:t>OMPI</w:t>
      </w:r>
      <w:r w:rsidRPr="001D7027">
        <w:rPr>
          <w:rFonts w:cs="Arial"/>
        </w:rPr>
        <w:t>.</w:t>
      </w:r>
    </w:p>
    <w:p w:rsidR="00916691" w:rsidRPr="001D7027" w:rsidRDefault="00916691" w:rsidP="00916691">
      <w:pPr>
        <w:rPr>
          <w:rFonts w:cs="Arial"/>
        </w:rPr>
      </w:pPr>
    </w:p>
    <w:p w:rsidR="00916691" w:rsidRPr="001D7027" w:rsidRDefault="00916691" w:rsidP="00916691">
      <w:pPr>
        <w:rPr>
          <w:rFonts w:cs="Arial"/>
          <w:b/>
        </w:rPr>
      </w:pPr>
    </w:p>
    <w:p w:rsidR="00916691" w:rsidRPr="001D7027" w:rsidRDefault="00916691" w:rsidP="00ED0026">
      <w:pPr>
        <w:pStyle w:val="Heading2"/>
        <w:rPr>
          <w:lang w:val="fr-FR"/>
        </w:rPr>
      </w:pPr>
      <w:bookmarkStart w:id="42" w:name="_Toc522808858"/>
      <w:bookmarkStart w:id="43" w:name="_Toc48658006"/>
      <w:r w:rsidRPr="001D7027">
        <w:rPr>
          <w:lang w:val="fr-FR"/>
        </w:rPr>
        <w:t>Analyse de l</w:t>
      </w:r>
      <w:r w:rsidR="00750F64" w:rsidRPr="001D7027">
        <w:rPr>
          <w:lang w:val="fr-FR"/>
        </w:rPr>
        <w:t>’</w:t>
      </w:r>
      <w:r w:rsidRPr="001D7027">
        <w:rPr>
          <w:lang w:val="fr-FR"/>
        </w:rPr>
        <w:t>état de la performance financière</w:t>
      </w:r>
      <w:bookmarkEnd w:id="42"/>
      <w:bookmarkEnd w:id="43"/>
    </w:p>
    <w:p w:rsidR="00916691" w:rsidRPr="001D7027" w:rsidRDefault="00916691" w:rsidP="00916691">
      <w:pPr>
        <w:keepNext/>
        <w:spacing w:line="276" w:lineRule="auto"/>
        <w:rPr>
          <w:rFonts w:cs="Arial"/>
          <w:b/>
        </w:rPr>
      </w:pPr>
    </w:p>
    <w:p w:rsidR="00916691" w:rsidRPr="001D7027" w:rsidRDefault="00916691" w:rsidP="00916691">
      <w:pPr>
        <w:keepNext/>
        <w:spacing w:line="276" w:lineRule="auto"/>
        <w:rPr>
          <w:rFonts w:cs="Arial"/>
          <w:b/>
        </w:rPr>
      </w:pPr>
      <w:r w:rsidRPr="001D7027">
        <w:rPr>
          <w:rFonts w:cs="Arial"/>
          <w:b/>
        </w:rPr>
        <w:t>Recettes</w:t>
      </w:r>
    </w:p>
    <w:p w:rsidR="00916691" w:rsidRPr="001D7027" w:rsidRDefault="00916691" w:rsidP="00916691">
      <w:pPr>
        <w:keepNext/>
        <w:spacing w:line="276" w:lineRule="auto"/>
        <w:rPr>
          <w:rFonts w:cs="Arial"/>
          <w:b/>
        </w:rPr>
      </w:pPr>
    </w:p>
    <w:p w:rsidR="00916691" w:rsidRPr="001D7027" w:rsidRDefault="0076054A" w:rsidP="00916691">
      <w:pPr>
        <w:spacing w:line="276" w:lineRule="auto"/>
        <w:jc w:val="center"/>
        <w:rPr>
          <w:rFonts w:cs="Arial"/>
          <w:b/>
        </w:rPr>
      </w:pPr>
      <w:r w:rsidRPr="001D7027">
        <w:rPr>
          <w:noProof/>
          <w:lang w:val="en-US"/>
        </w:rPr>
        <w:drawing>
          <wp:inline distT="0" distB="0" distL="0" distR="0">
            <wp:extent cx="6120765" cy="1717017"/>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717017"/>
                    </a:xfrm>
                    <a:prstGeom prst="rect">
                      <a:avLst/>
                    </a:prstGeom>
                    <a:noFill/>
                    <a:ln>
                      <a:noFill/>
                    </a:ln>
                  </pic:spPr>
                </pic:pic>
              </a:graphicData>
            </a:graphic>
          </wp:inline>
        </w:drawing>
      </w:r>
    </w:p>
    <w:p w:rsidR="00916691" w:rsidRPr="001D7027" w:rsidRDefault="00916691" w:rsidP="00916691">
      <w:pPr>
        <w:spacing w:line="276" w:lineRule="auto"/>
        <w:jc w:val="center"/>
        <w:rPr>
          <w:rFonts w:cs="Arial"/>
          <w:b/>
        </w:rPr>
      </w:pPr>
    </w:p>
    <w:p w:rsidR="00916691" w:rsidRPr="001D7027" w:rsidRDefault="00916691" w:rsidP="00916691">
      <w:pPr>
        <w:rPr>
          <w:rFonts w:cs="Arial"/>
          <w:b/>
        </w:rPr>
      </w:pPr>
      <w:r w:rsidRPr="001D7027">
        <w:rPr>
          <w:rFonts w:cs="Arial"/>
          <w:szCs w:val="22"/>
        </w:rPr>
        <w:t>Les contributions versées au titre du programme et budget correspondent aux montants payables au début de chacune des années de l</w:t>
      </w:r>
      <w:r w:rsidR="00750F64" w:rsidRPr="001D7027">
        <w:rPr>
          <w:rFonts w:cs="Arial"/>
          <w:szCs w:val="22"/>
        </w:rPr>
        <w:t>’</w:t>
      </w:r>
      <w:r w:rsidRPr="001D7027">
        <w:rPr>
          <w:rFonts w:cs="Arial"/>
          <w:szCs w:val="22"/>
        </w:rPr>
        <w:t>exercice bienn</w:t>
      </w:r>
      <w:r w:rsidR="00532185" w:rsidRPr="001D7027">
        <w:rPr>
          <w:rFonts w:cs="Arial"/>
          <w:szCs w:val="22"/>
        </w:rPr>
        <w:t>al.  Le</w:t>
      </w:r>
      <w:r w:rsidRPr="001D7027">
        <w:rPr>
          <w:rFonts w:cs="Arial"/>
          <w:szCs w:val="22"/>
        </w:rPr>
        <w:t>s ressources extrabudgétaires au titre des fonds fiduciaires représentent les recettes perçues relatives aux contributions versées par les donateurs pour des projets individuels qui ne figurent pas dans le programme et budg</w:t>
      </w:r>
      <w:r w:rsidR="00532185" w:rsidRPr="001D7027">
        <w:rPr>
          <w:rFonts w:cs="Arial"/>
          <w:szCs w:val="22"/>
        </w:rPr>
        <w:t>et.  Le</w:t>
      </w:r>
      <w:r w:rsidRPr="001D7027">
        <w:rPr>
          <w:rFonts w:cs="Arial"/>
          <w:szCs w:val="22"/>
        </w:rPr>
        <w:t>s recettes provenant de ressources extrabudgétaires (fonds fiduciaires) sont reportées jusqu</w:t>
      </w:r>
      <w:r w:rsidR="00750F64" w:rsidRPr="001D7027">
        <w:rPr>
          <w:rFonts w:cs="Arial"/>
          <w:szCs w:val="22"/>
        </w:rPr>
        <w:t>’</w:t>
      </w:r>
      <w:r w:rsidRPr="001D7027">
        <w:rPr>
          <w:rFonts w:cs="Arial"/>
          <w:szCs w:val="22"/>
        </w:rPr>
        <w:t>à ce qu</w:t>
      </w:r>
      <w:r w:rsidR="00750F64" w:rsidRPr="001D7027">
        <w:rPr>
          <w:rFonts w:cs="Arial"/>
          <w:szCs w:val="22"/>
        </w:rPr>
        <w:t>’</w:t>
      </w:r>
      <w:r w:rsidRPr="001D7027">
        <w:rPr>
          <w:rFonts w:cs="Arial"/>
          <w:szCs w:val="22"/>
        </w:rPr>
        <w:t>elles soient acquises grâce à la réalisation des conditions de rendement prévues par l</w:t>
      </w:r>
      <w:r w:rsidR="00750F64" w:rsidRPr="001D7027">
        <w:rPr>
          <w:rFonts w:cs="Arial"/>
          <w:szCs w:val="22"/>
        </w:rPr>
        <w:t>’</w:t>
      </w:r>
      <w:r w:rsidRPr="001D7027">
        <w:rPr>
          <w:rFonts w:cs="Arial"/>
          <w:szCs w:val="22"/>
        </w:rPr>
        <w:t>accord conclu avec le donateur.</w:t>
      </w:r>
    </w:p>
    <w:p w:rsidR="00AE39E3" w:rsidRPr="001D7027" w:rsidRDefault="00AE39E3">
      <w:pPr>
        <w:jc w:val="left"/>
        <w:rPr>
          <w:rFonts w:cs="Arial"/>
          <w:b/>
        </w:rPr>
      </w:pPr>
    </w:p>
    <w:p w:rsidR="00916691" w:rsidRPr="001D7027" w:rsidRDefault="00916691" w:rsidP="00AE39E3">
      <w:pPr>
        <w:keepNext/>
        <w:spacing w:line="276" w:lineRule="auto"/>
        <w:rPr>
          <w:rFonts w:cs="Arial"/>
          <w:b/>
        </w:rPr>
      </w:pPr>
      <w:bookmarkStart w:id="44" w:name="_GoBack"/>
      <w:r w:rsidRPr="001D7027">
        <w:rPr>
          <w:rFonts w:cs="Arial"/>
          <w:b/>
        </w:rPr>
        <w:lastRenderedPageBreak/>
        <w:t>Dépenses</w:t>
      </w:r>
    </w:p>
    <w:p w:rsidR="00916691" w:rsidRPr="001D7027" w:rsidRDefault="00916691" w:rsidP="00AE39E3">
      <w:pPr>
        <w:keepNext/>
        <w:rPr>
          <w:rFonts w:cs="Arial"/>
          <w:b/>
        </w:rPr>
      </w:pPr>
    </w:p>
    <w:bookmarkEnd w:id="44"/>
    <w:p w:rsidR="00916691" w:rsidRPr="001D7027" w:rsidRDefault="0076054A" w:rsidP="00916691">
      <w:pPr>
        <w:spacing w:line="276" w:lineRule="auto"/>
        <w:rPr>
          <w:rFonts w:cs="Arial"/>
        </w:rPr>
      </w:pPr>
      <w:r w:rsidRPr="001D7027">
        <w:rPr>
          <w:noProof/>
          <w:lang w:val="en-US"/>
        </w:rPr>
        <w:drawing>
          <wp:inline distT="0" distB="0" distL="0" distR="0">
            <wp:extent cx="6120765" cy="23822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382280"/>
                    </a:xfrm>
                    <a:prstGeom prst="rect">
                      <a:avLst/>
                    </a:prstGeom>
                    <a:noFill/>
                    <a:ln>
                      <a:noFill/>
                    </a:ln>
                  </pic:spPr>
                </pic:pic>
              </a:graphicData>
            </a:graphic>
          </wp:inline>
        </w:drawing>
      </w:r>
    </w:p>
    <w:p w:rsidR="00916691" w:rsidRPr="001D7027" w:rsidRDefault="00916691" w:rsidP="00916691">
      <w:pPr>
        <w:spacing w:line="276" w:lineRule="auto"/>
        <w:rPr>
          <w:rFonts w:cs="Arial"/>
        </w:rPr>
      </w:pPr>
    </w:p>
    <w:p w:rsidR="00916691" w:rsidRPr="001D7027" w:rsidRDefault="00916691" w:rsidP="00916691">
      <w:pPr>
        <w:pStyle w:val="Styletexte"/>
        <w:spacing w:after="0"/>
        <w:rPr>
          <w:rFonts w:cs="Arial"/>
          <w:sz w:val="20"/>
          <w:lang w:val="fr-FR"/>
        </w:rPr>
      </w:pPr>
      <w:r w:rsidRPr="001D7027">
        <w:rPr>
          <w:rFonts w:cs="Arial"/>
          <w:sz w:val="20"/>
          <w:lang w:val="fr-FR"/>
        </w:rPr>
        <w:t>Les dépenses de personnel incluent les prestations telles que le traitement de base, l</w:t>
      </w:r>
      <w:r w:rsidR="00750F64" w:rsidRPr="001D7027">
        <w:rPr>
          <w:rFonts w:cs="Arial"/>
          <w:sz w:val="20"/>
          <w:lang w:val="fr-FR"/>
        </w:rPr>
        <w:t>’</w:t>
      </w:r>
      <w:r w:rsidRPr="001D7027">
        <w:rPr>
          <w:rFonts w:cs="Arial"/>
          <w:sz w:val="20"/>
          <w:lang w:val="fr-FR"/>
        </w:rPr>
        <w:t>indemnité de poste, les allocations familiales, les cotisations de retraite, les participations à la caisse d</w:t>
      </w:r>
      <w:r w:rsidR="00750F64" w:rsidRPr="001D7027">
        <w:rPr>
          <w:rFonts w:cs="Arial"/>
          <w:sz w:val="20"/>
          <w:lang w:val="fr-FR"/>
        </w:rPr>
        <w:t>’</w:t>
      </w:r>
      <w:r w:rsidRPr="001D7027">
        <w:rPr>
          <w:rFonts w:cs="Arial"/>
          <w:sz w:val="20"/>
          <w:lang w:val="fr-FR"/>
        </w:rPr>
        <w:t>assurance maladie et autres cotisations sociales, les congés dans les foyers et d</w:t>
      </w:r>
      <w:r w:rsidR="00750F64" w:rsidRPr="001D7027">
        <w:rPr>
          <w:rFonts w:cs="Arial"/>
          <w:sz w:val="20"/>
          <w:lang w:val="fr-FR"/>
        </w:rPr>
        <w:t>’</w:t>
      </w:r>
      <w:r w:rsidRPr="001D7027">
        <w:rPr>
          <w:rFonts w:cs="Arial"/>
          <w:sz w:val="20"/>
          <w:lang w:val="fr-FR"/>
        </w:rPr>
        <w:t>autres prestatio</w:t>
      </w:r>
      <w:r w:rsidR="00532185" w:rsidRPr="001D7027">
        <w:rPr>
          <w:rFonts w:cs="Arial"/>
          <w:sz w:val="20"/>
          <w:lang w:val="fr-FR"/>
        </w:rPr>
        <w:t xml:space="preserve">ns.  </w:t>
      </w:r>
      <w:r w:rsidR="00532185" w:rsidRPr="001D7027">
        <w:rPr>
          <w:sz w:val="20"/>
          <w:lang w:val="fr-FR"/>
        </w:rPr>
        <w:t>Co</w:t>
      </w:r>
      <w:r w:rsidRPr="001D7027">
        <w:rPr>
          <w:sz w:val="20"/>
          <w:lang w:val="fr-FR"/>
        </w:rPr>
        <w:t>nformément aux normes IPSAS, les dépenses de personnel incluent également certains changements dans les obligations relatives aux prestations dues au personnel après la cessation de servi</w:t>
      </w:r>
      <w:r w:rsidR="00532185" w:rsidRPr="001D7027">
        <w:rPr>
          <w:sz w:val="20"/>
          <w:lang w:val="fr-FR"/>
        </w:rPr>
        <w:t xml:space="preserve">ce.  </w:t>
      </w:r>
      <w:r w:rsidR="00532185" w:rsidRPr="001D7027">
        <w:rPr>
          <w:rFonts w:cs="Arial"/>
          <w:sz w:val="20"/>
          <w:lang w:val="fr-FR"/>
        </w:rPr>
        <w:t>Le</w:t>
      </w:r>
      <w:r w:rsidRPr="001D7027">
        <w:rPr>
          <w:rFonts w:cs="Arial"/>
          <w:sz w:val="20"/>
          <w:lang w:val="fr-FR"/>
        </w:rPr>
        <w:t>s voyages, les formations et les subventions comprennent les frais de voyage en avion, les indemnités journalières de subsistance, les faux frais au départ et à l</w:t>
      </w:r>
      <w:r w:rsidR="00750F64" w:rsidRPr="001D7027">
        <w:rPr>
          <w:rFonts w:cs="Arial"/>
          <w:sz w:val="20"/>
          <w:lang w:val="fr-FR"/>
        </w:rPr>
        <w:t>’</w:t>
      </w:r>
      <w:r w:rsidRPr="001D7027">
        <w:rPr>
          <w:rFonts w:cs="Arial"/>
          <w:sz w:val="20"/>
          <w:lang w:val="fr-FR"/>
        </w:rPr>
        <w:t>arrivée et d</w:t>
      </w:r>
      <w:r w:rsidR="00750F64" w:rsidRPr="001D7027">
        <w:rPr>
          <w:rFonts w:cs="Arial"/>
          <w:sz w:val="20"/>
          <w:lang w:val="fr-FR"/>
        </w:rPr>
        <w:t>’</w:t>
      </w:r>
      <w:r w:rsidRPr="001D7027">
        <w:rPr>
          <w:rFonts w:cs="Arial"/>
          <w:sz w:val="20"/>
          <w:lang w:val="fr-FR"/>
        </w:rPr>
        <w:t>autres coûts de voyage pour les fonctionnaires en mission, et les déplacements pour les participants et les conférenciers dans le cadre d</w:t>
      </w:r>
      <w:r w:rsidR="00750F64" w:rsidRPr="001D7027">
        <w:rPr>
          <w:rFonts w:cs="Arial"/>
          <w:sz w:val="20"/>
          <w:lang w:val="fr-FR"/>
        </w:rPr>
        <w:t>’</w:t>
      </w:r>
      <w:r w:rsidRPr="001D7027">
        <w:rPr>
          <w:rFonts w:cs="Arial"/>
          <w:sz w:val="20"/>
          <w:lang w:val="fr-FR"/>
        </w:rPr>
        <w:t>activités de formati</w:t>
      </w:r>
      <w:r w:rsidR="00532185" w:rsidRPr="001D7027">
        <w:rPr>
          <w:rFonts w:cs="Arial"/>
          <w:sz w:val="20"/>
          <w:lang w:val="fr-FR"/>
        </w:rPr>
        <w:t>on.  Le</w:t>
      </w:r>
      <w:r w:rsidRPr="001D7027">
        <w:rPr>
          <w:rFonts w:cs="Arial"/>
          <w:sz w:val="20"/>
          <w:lang w:val="fr-FR"/>
        </w:rPr>
        <w:t>s services contractuels comprennent les contrats de louage de services de traducteurs, d</w:t>
      </w:r>
      <w:r w:rsidR="00750F64" w:rsidRPr="001D7027">
        <w:rPr>
          <w:rFonts w:cs="Arial"/>
          <w:sz w:val="20"/>
          <w:lang w:val="fr-FR"/>
        </w:rPr>
        <w:t>’</w:t>
      </w:r>
      <w:r w:rsidRPr="001D7027">
        <w:rPr>
          <w:rFonts w:cs="Arial"/>
          <w:sz w:val="20"/>
          <w:lang w:val="fr-FR"/>
        </w:rPr>
        <w:t>interprètes et d</w:t>
      </w:r>
      <w:r w:rsidR="00750F64" w:rsidRPr="001D7027">
        <w:rPr>
          <w:rFonts w:cs="Arial"/>
          <w:sz w:val="20"/>
          <w:lang w:val="fr-FR"/>
        </w:rPr>
        <w:t>’</w:t>
      </w:r>
      <w:r w:rsidRPr="001D7027">
        <w:rPr>
          <w:rFonts w:cs="Arial"/>
          <w:sz w:val="20"/>
          <w:lang w:val="fr-FR"/>
        </w:rPr>
        <w:t>autres personnes qui ne sont pas membres du personn</w:t>
      </w:r>
      <w:r w:rsidR="00532185" w:rsidRPr="001D7027">
        <w:rPr>
          <w:rFonts w:cs="Arial"/>
          <w:sz w:val="20"/>
          <w:lang w:val="fr-FR"/>
        </w:rPr>
        <w:t>el.  Le</w:t>
      </w:r>
      <w:r w:rsidRPr="001D7027">
        <w:rPr>
          <w:rFonts w:cs="Arial"/>
          <w:sz w:val="20"/>
          <w:lang w:val="fr-FR"/>
        </w:rPr>
        <w:t>s dépenses de fonctionnement comprennent des éléments tels que la location et l</w:t>
      </w:r>
      <w:r w:rsidR="00750F64" w:rsidRPr="001D7027">
        <w:rPr>
          <w:rFonts w:cs="Arial"/>
          <w:sz w:val="20"/>
          <w:lang w:val="fr-FR"/>
        </w:rPr>
        <w:t>’</w:t>
      </w:r>
      <w:r w:rsidRPr="001D7027">
        <w:rPr>
          <w:rFonts w:cs="Arial"/>
          <w:sz w:val="20"/>
          <w:lang w:val="fr-FR"/>
        </w:rPr>
        <w:t>entretien des locaux et les frais bancaires.</w:t>
      </w:r>
    </w:p>
    <w:p w:rsidR="00916691" w:rsidRPr="001D7027" w:rsidRDefault="00916691" w:rsidP="00916691">
      <w:pPr>
        <w:pStyle w:val="Styletexte"/>
        <w:spacing w:after="0"/>
        <w:rPr>
          <w:rFonts w:cs="Arial"/>
          <w:sz w:val="20"/>
          <w:lang w:val="fr-FR"/>
        </w:rPr>
      </w:pPr>
    </w:p>
    <w:p w:rsidR="00916691" w:rsidRPr="001D7027" w:rsidRDefault="00916691" w:rsidP="00916691">
      <w:pPr>
        <w:jc w:val="left"/>
      </w:pPr>
    </w:p>
    <w:p w:rsidR="001856E8" w:rsidRPr="001D7027" w:rsidRDefault="001856E8">
      <w:pPr>
        <w:jc w:val="left"/>
        <w:rPr>
          <w:b/>
          <w:caps/>
        </w:rPr>
      </w:pPr>
      <w:bookmarkStart w:id="45" w:name="_Toc460229927"/>
      <w:bookmarkStart w:id="46" w:name="_Toc522808859"/>
      <w:r w:rsidRPr="001D7027">
        <w:br w:type="page"/>
      </w:r>
    </w:p>
    <w:p w:rsidR="00916691" w:rsidRPr="001D7027" w:rsidRDefault="00916691" w:rsidP="002F33B4">
      <w:pPr>
        <w:pStyle w:val="Heading1"/>
      </w:pPr>
      <w:bookmarkStart w:id="47" w:name="_Toc48658007"/>
      <w:r w:rsidRPr="001D7027">
        <w:lastRenderedPageBreak/>
        <w:t>Fonds de roulement et CONTRIBUTIONS</w:t>
      </w:r>
      <w:bookmarkEnd w:id="45"/>
      <w:bookmarkEnd w:id="46"/>
      <w:bookmarkEnd w:id="47"/>
    </w:p>
    <w:p w:rsidR="00916691" w:rsidRPr="001D7027" w:rsidRDefault="00916691" w:rsidP="00916691">
      <w:pPr>
        <w:rPr>
          <w:rFonts w:cs="Arial"/>
        </w:rPr>
      </w:pPr>
    </w:p>
    <w:p w:rsidR="00916691" w:rsidRPr="001D7027" w:rsidRDefault="00916691" w:rsidP="00ED0026">
      <w:pPr>
        <w:pStyle w:val="Heading2"/>
        <w:rPr>
          <w:lang w:val="fr-FR"/>
        </w:rPr>
      </w:pPr>
      <w:bookmarkStart w:id="48" w:name="_Toc460229928"/>
      <w:bookmarkStart w:id="49" w:name="_Toc522808860"/>
      <w:bookmarkStart w:id="50" w:name="_Toc48658008"/>
      <w:r w:rsidRPr="001D7027">
        <w:rPr>
          <w:lang w:val="fr-FR"/>
        </w:rPr>
        <w:t>Fonds de roulement au 31 décembre 2019</w:t>
      </w:r>
      <w:bookmarkEnd w:id="48"/>
      <w:bookmarkEnd w:id="49"/>
      <w:bookmarkEnd w:id="50"/>
    </w:p>
    <w:p w:rsidR="00916691" w:rsidRPr="001D7027" w:rsidRDefault="00916691" w:rsidP="00ED0026">
      <w:pPr>
        <w:pStyle w:val="Heading2"/>
        <w:rPr>
          <w:snapToGrid w:val="0"/>
          <w:lang w:val="fr-FR"/>
        </w:rPr>
      </w:pPr>
    </w:p>
    <w:p w:rsidR="00916691" w:rsidRPr="001D7027" w:rsidRDefault="00916691" w:rsidP="00916691">
      <w:pPr>
        <w:rPr>
          <w:rFonts w:cs="Arial"/>
          <w:iCs/>
        </w:rPr>
      </w:pPr>
      <w:r w:rsidRPr="001D7027">
        <w:rPr>
          <w:snapToGrid w:val="0"/>
        </w:rPr>
        <w:t>En vertu de l</w:t>
      </w:r>
      <w:r w:rsidR="00750F64" w:rsidRPr="001D7027">
        <w:rPr>
          <w:snapToGrid w:val="0"/>
        </w:rPr>
        <w:t>’</w:t>
      </w:r>
      <w:r w:rsidRPr="001D7027">
        <w:rPr>
          <w:snapToGrid w:val="0"/>
        </w:rPr>
        <w:t>article 4.2 de son Règlement financier et du règlement d</w:t>
      </w:r>
      <w:r w:rsidR="00750F64" w:rsidRPr="001D7027">
        <w:rPr>
          <w:snapToGrid w:val="0"/>
        </w:rPr>
        <w:t>’</w:t>
      </w:r>
      <w:r w:rsidRPr="001D7027">
        <w:rPr>
          <w:snapToGrid w:val="0"/>
        </w:rPr>
        <w:t>exécution du Règlement financier de l</w:t>
      </w:r>
      <w:r w:rsidR="00750F64" w:rsidRPr="001D7027">
        <w:rPr>
          <w:snapToGrid w:val="0"/>
        </w:rPr>
        <w:t>’</w:t>
      </w:r>
      <w:r w:rsidRPr="001D7027">
        <w:rPr>
          <w:snapToGrid w:val="0"/>
        </w:rPr>
        <w:t>UPOV, l</w:t>
      </w:r>
      <w:r w:rsidR="00750F64" w:rsidRPr="001D7027">
        <w:rPr>
          <w:snapToGrid w:val="0"/>
        </w:rPr>
        <w:t>’</w:t>
      </w:r>
      <w:r w:rsidRPr="001D7027">
        <w:rPr>
          <w:snapToGrid w:val="0"/>
        </w:rPr>
        <w:t>Union dispose d</w:t>
      </w:r>
      <w:r w:rsidR="00750F64" w:rsidRPr="001D7027">
        <w:rPr>
          <w:snapToGrid w:val="0"/>
        </w:rPr>
        <w:t>’</w:t>
      </w:r>
      <w:r w:rsidRPr="001D7027">
        <w:rPr>
          <w:snapToGrid w:val="0"/>
        </w:rPr>
        <w:t xml:space="preserve">un fonds de roulement (voir le </w:t>
      </w:r>
      <w:r w:rsidR="005D40E4" w:rsidRPr="001D7027">
        <w:rPr>
          <w:snapToGrid w:val="0"/>
        </w:rPr>
        <w:t>document UP</w:t>
      </w:r>
      <w:r w:rsidRPr="001D7027">
        <w:rPr>
          <w:snapToGrid w:val="0"/>
        </w:rPr>
        <w:t>OV/INF/4/5).  Conformément à l</w:t>
      </w:r>
      <w:r w:rsidR="00750F64" w:rsidRPr="001D7027">
        <w:rPr>
          <w:snapToGrid w:val="0"/>
        </w:rPr>
        <w:t>’</w:t>
      </w:r>
      <w:r w:rsidRPr="001D7027">
        <w:rPr>
          <w:snapToGrid w:val="0"/>
        </w:rPr>
        <w:t>état de la situation financière au 31 décembre 2019, ce fonds de roulement s</w:t>
      </w:r>
      <w:r w:rsidR="00750F64" w:rsidRPr="001D7027">
        <w:rPr>
          <w:snapToGrid w:val="0"/>
        </w:rPr>
        <w:t>’</w:t>
      </w:r>
      <w:r w:rsidRPr="001D7027">
        <w:rPr>
          <w:snapToGrid w:val="0"/>
        </w:rPr>
        <w:t>élève à 560 845</w:t>
      </w:r>
      <w:r w:rsidR="00495A8C">
        <w:rPr>
          <w:snapToGrid w:val="0"/>
        </w:rPr>
        <w:t> francs suisses</w:t>
      </w:r>
      <w:r w:rsidR="00532185" w:rsidRPr="001D7027">
        <w:rPr>
          <w:snapToGrid w:val="0"/>
        </w:rPr>
        <w:t>.  La</w:t>
      </w:r>
      <w:r w:rsidRPr="001D7027">
        <w:rPr>
          <w:snapToGrid w:val="0"/>
        </w:rPr>
        <w:t xml:space="preserve"> participation de chacun des membres de l</w:t>
      </w:r>
      <w:r w:rsidR="00750F64" w:rsidRPr="001D7027">
        <w:rPr>
          <w:snapToGrid w:val="0"/>
        </w:rPr>
        <w:t>’</w:t>
      </w:r>
      <w:r w:rsidRPr="001D7027">
        <w:rPr>
          <w:snapToGrid w:val="0"/>
        </w:rPr>
        <w:t>Union, calculée conformément à la décision du Conseil prise à sa vingt</w:t>
      </w:r>
      <w:r w:rsidR="00750F64" w:rsidRPr="001D7027">
        <w:rPr>
          <w:snapToGrid w:val="0"/>
        </w:rPr>
        <w:t>-</w:t>
      </w:r>
      <w:r w:rsidRPr="001D7027">
        <w:rPr>
          <w:snapToGrid w:val="0"/>
        </w:rPr>
        <w:t>trois</w:t>
      </w:r>
      <w:r w:rsidR="00750F64" w:rsidRPr="001D7027">
        <w:rPr>
          <w:snapToGrid w:val="0"/>
        </w:rPr>
        <w:t>ième session</w:t>
      </w:r>
      <w:r w:rsidRPr="001D7027">
        <w:rPr>
          <w:snapToGrid w:val="0"/>
        </w:rPr>
        <w:t>, tenue à Genève le 7 avril 2006 (voir le document </w:t>
      </w:r>
      <w:r w:rsidRPr="001D7027">
        <w:rPr>
          <w:rFonts w:cs="Arial"/>
          <w:iCs/>
        </w:rPr>
        <w:t xml:space="preserve">C(Extr.)/23/5 </w:t>
      </w:r>
      <w:r w:rsidR="005D40E4" w:rsidRPr="001D7027">
        <w:rPr>
          <w:rFonts w:cs="Arial"/>
          <w:iCs/>
        </w:rPr>
        <w:t>“R</w:t>
      </w:r>
      <w:r w:rsidRPr="001D7027">
        <w:rPr>
          <w:rFonts w:cs="Arial"/>
          <w:iCs/>
        </w:rPr>
        <w:t>appor</w:t>
      </w:r>
      <w:r w:rsidR="005D40E4" w:rsidRPr="001D7027">
        <w:rPr>
          <w:rFonts w:cs="Arial"/>
          <w:iCs/>
        </w:rPr>
        <w:t>t”</w:t>
      </w:r>
      <w:r w:rsidRPr="001D7027">
        <w:rPr>
          <w:rFonts w:cs="Arial"/>
          <w:iCs/>
        </w:rPr>
        <w:t xml:space="preserve">, paragraphe 12, annexe II, et le </w:t>
      </w:r>
      <w:r w:rsidR="005D40E4" w:rsidRPr="001D7027">
        <w:rPr>
          <w:snapToGrid w:val="0"/>
        </w:rPr>
        <w:t>document UP</w:t>
      </w:r>
      <w:r w:rsidRPr="001D7027">
        <w:rPr>
          <w:snapToGrid w:val="0"/>
        </w:rPr>
        <w:t>OV/INF/13/2, annexe) est la suivante</w:t>
      </w:r>
      <w:r w:rsidR="00750F64" w:rsidRPr="001D7027">
        <w:rPr>
          <w:snapToGrid w:val="0"/>
        </w:rPr>
        <w:t> :</w:t>
      </w:r>
    </w:p>
    <w:p w:rsidR="00916691" w:rsidRPr="001D7027" w:rsidRDefault="00916691" w:rsidP="00916691">
      <w:pPr>
        <w:rPr>
          <w:rFonts w:cs="Arial"/>
          <w:snapToGrid w:val="0"/>
        </w:rPr>
      </w:pPr>
    </w:p>
    <w:p w:rsidR="00916691" w:rsidRPr="001D7027" w:rsidRDefault="00AB2418" w:rsidP="002D266A">
      <w:pPr>
        <w:ind w:left="-284"/>
        <w:jc w:val="center"/>
        <w:rPr>
          <w:rFonts w:cs="Arial"/>
        </w:rPr>
      </w:pPr>
      <w:r w:rsidRPr="00AB2418">
        <w:rPr>
          <w:noProof/>
          <w:lang w:val="en-US"/>
        </w:rPr>
        <w:drawing>
          <wp:inline distT="0" distB="0" distL="0" distR="0">
            <wp:extent cx="6240780" cy="54674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6599" t="458" r="6999" b="43775"/>
                    <a:stretch/>
                  </pic:blipFill>
                  <pic:spPr bwMode="auto">
                    <a:xfrm>
                      <a:off x="0" y="0"/>
                      <a:ext cx="6249625" cy="5475176"/>
                    </a:xfrm>
                    <a:prstGeom prst="rect">
                      <a:avLst/>
                    </a:prstGeom>
                    <a:noFill/>
                    <a:ln>
                      <a:noFill/>
                    </a:ln>
                    <a:extLst>
                      <a:ext uri="{53640926-AAD7-44D8-BBD7-CCE9431645EC}">
                        <a14:shadowObscured xmlns:a14="http://schemas.microsoft.com/office/drawing/2010/main"/>
                      </a:ext>
                    </a:extLst>
                  </pic:spPr>
                </pic:pic>
              </a:graphicData>
            </a:graphic>
          </wp:inline>
        </w:drawing>
      </w:r>
    </w:p>
    <w:p w:rsidR="00916691" w:rsidRPr="001D7027" w:rsidRDefault="00916691" w:rsidP="00ED0026">
      <w:pPr>
        <w:pStyle w:val="Heading2"/>
        <w:rPr>
          <w:lang w:val="fr-FR"/>
        </w:rPr>
      </w:pPr>
      <w:bookmarkStart w:id="51" w:name="_Toc460229929"/>
      <w:bookmarkStart w:id="52" w:name="_Toc522808861"/>
      <w:bookmarkStart w:id="53" w:name="_Toc48658009"/>
      <w:r w:rsidRPr="001D7027">
        <w:rPr>
          <w:lang w:val="fr-FR"/>
        </w:rPr>
        <w:lastRenderedPageBreak/>
        <w:t>Contributions des membres de l</w:t>
      </w:r>
      <w:r w:rsidR="00750F64" w:rsidRPr="001D7027">
        <w:rPr>
          <w:lang w:val="fr-FR"/>
        </w:rPr>
        <w:t>’</w:t>
      </w:r>
      <w:r w:rsidRPr="001D7027">
        <w:rPr>
          <w:lang w:val="fr-FR"/>
        </w:rPr>
        <w:t>Union</w:t>
      </w:r>
      <w:bookmarkEnd w:id="51"/>
      <w:bookmarkEnd w:id="52"/>
      <w:bookmarkEnd w:id="53"/>
    </w:p>
    <w:p w:rsidR="00916691" w:rsidRPr="001D7027" w:rsidRDefault="00916691" w:rsidP="00916691">
      <w:pPr>
        <w:keepNext/>
        <w:jc w:val="center"/>
        <w:rPr>
          <w:rFonts w:cs="Arial"/>
        </w:rPr>
      </w:pPr>
      <w:r w:rsidRPr="001D7027">
        <w:rPr>
          <w:rFonts w:cs="Arial"/>
          <w:i/>
        </w:rPr>
        <w:t>(en</w:t>
      </w:r>
      <w:r w:rsidR="00495A8C">
        <w:rPr>
          <w:rFonts w:cs="Arial"/>
          <w:i/>
        </w:rPr>
        <w:t> francs suisses</w:t>
      </w:r>
      <w:r w:rsidRPr="001D7027">
        <w:rPr>
          <w:rFonts w:cs="Arial"/>
          <w:i/>
        </w:rPr>
        <w:t>)</w:t>
      </w:r>
    </w:p>
    <w:p w:rsidR="00916691" w:rsidRPr="001D7027" w:rsidRDefault="00916691" w:rsidP="00916691">
      <w:pPr>
        <w:keepNext/>
        <w:rPr>
          <w:rFonts w:cs="Arial"/>
        </w:rPr>
      </w:pPr>
    </w:p>
    <w:p w:rsidR="00916691" w:rsidRPr="001D7027" w:rsidRDefault="00943299" w:rsidP="00916691">
      <w:pPr>
        <w:jc w:val="center"/>
        <w:rPr>
          <w:rFonts w:cs="Arial"/>
        </w:rPr>
      </w:pPr>
      <w:r w:rsidRPr="00943299">
        <w:rPr>
          <w:noProof/>
          <w:lang w:val="en-US"/>
        </w:rPr>
        <w:drawing>
          <wp:inline distT="0" distB="0" distL="0" distR="0">
            <wp:extent cx="5355491" cy="867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8842" t="-94" r="8095"/>
                    <a:stretch/>
                  </pic:blipFill>
                  <pic:spPr bwMode="auto">
                    <a:xfrm>
                      <a:off x="0" y="0"/>
                      <a:ext cx="5356536" cy="8673252"/>
                    </a:xfrm>
                    <a:prstGeom prst="rect">
                      <a:avLst/>
                    </a:prstGeom>
                    <a:noFill/>
                    <a:ln>
                      <a:noFill/>
                    </a:ln>
                    <a:extLst>
                      <a:ext uri="{53640926-AAD7-44D8-BBD7-CCE9431645EC}">
                        <a14:shadowObscured xmlns:a14="http://schemas.microsoft.com/office/drawing/2010/main"/>
                      </a:ext>
                    </a:extLst>
                  </pic:spPr>
                </pic:pic>
              </a:graphicData>
            </a:graphic>
          </wp:inline>
        </w:drawing>
      </w:r>
    </w:p>
    <w:p w:rsidR="00916691" w:rsidRPr="001D7027" w:rsidRDefault="00943299" w:rsidP="00943299">
      <w:pPr>
        <w:jc w:val="center"/>
      </w:pPr>
      <w:r w:rsidRPr="00943299">
        <w:rPr>
          <w:noProof/>
          <w:lang w:val="en-US"/>
        </w:rPr>
        <w:lastRenderedPageBreak/>
        <w:drawing>
          <wp:inline distT="0" distB="0" distL="0" distR="0">
            <wp:extent cx="5402580" cy="59420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8842" r="8842" b="1757"/>
                    <a:stretch/>
                  </pic:blipFill>
                  <pic:spPr bwMode="auto">
                    <a:xfrm>
                      <a:off x="0" y="0"/>
                      <a:ext cx="5404227" cy="5943832"/>
                    </a:xfrm>
                    <a:prstGeom prst="rect">
                      <a:avLst/>
                    </a:prstGeom>
                    <a:noFill/>
                    <a:ln>
                      <a:noFill/>
                    </a:ln>
                    <a:extLst>
                      <a:ext uri="{53640926-AAD7-44D8-BBD7-CCE9431645EC}">
                        <a14:shadowObscured xmlns:a14="http://schemas.microsoft.com/office/drawing/2010/main"/>
                      </a:ext>
                    </a:extLst>
                  </pic:spPr>
                </pic:pic>
              </a:graphicData>
            </a:graphic>
          </wp:inline>
        </w:drawing>
      </w:r>
      <w:r w:rsidR="00916691" w:rsidRPr="001D7027">
        <w:br w:type="page"/>
      </w:r>
      <w:bookmarkStart w:id="54" w:name="_Toc460229930"/>
      <w:bookmarkStart w:id="55" w:name="_Toc522808862"/>
      <w:bookmarkStart w:id="56" w:name="_Toc48658010"/>
      <w:r w:rsidR="00916691" w:rsidRPr="001D7027">
        <w:lastRenderedPageBreak/>
        <w:t>Paiements des contributions reçus d</w:t>
      </w:r>
      <w:r w:rsidR="00750F64" w:rsidRPr="001D7027">
        <w:t>’</w:t>
      </w:r>
      <w:r w:rsidR="00916691" w:rsidRPr="001D7027">
        <w:t>avance</w:t>
      </w:r>
      <w:bookmarkEnd w:id="54"/>
      <w:bookmarkEnd w:id="55"/>
      <w:bookmarkEnd w:id="56"/>
    </w:p>
    <w:p w:rsidR="00916691" w:rsidRPr="001D7027" w:rsidRDefault="00916691" w:rsidP="00916691">
      <w:pPr>
        <w:jc w:val="center"/>
        <w:rPr>
          <w:rFonts w:cs="Arial"/>
        </w:rPr>
      </w:pPr>
    </w:p>
    <w:p w:rsidR="00916691" w:rsidRPr="001D7027" w:rsidRDefault="00916691" w:rsidP="00916691">
      <w:pPr>
        <w:rPr>
          <w:rFonts w:cs="Arial"/>
        </w:rPr>
      </w:pPr>
    </w:p>
    <w:p w:rsidR="00916691" w:rsidRPr="001D7027" w:rsidRDefault="009C3C8E" w:rsidP="00916691">
      <w:pPr>
        <w:jc w:val="center"/>
        <w:rPr>
          <w:rFonts w:cs="Arial"/>
          <w:u w:val="single"/>
        </w:rPr>
      </w:pPr>
      <w:r w:rsidRPr="001D7027">
        <w:rPr>
          <w:noProof/>
          <w:lang w:val="en-US"/>
        </w:rPr>
        <w:drawing>
          <wp:inline distT="0" distB="0" distL="0" distR="0">
            <wp:extent cx="3952875" cy="5048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52875" cy="5048250"/>
                    </a:xfrm>
                    <a:prstGeom prst="rect">
                      <a:avLst/>
                    </a:prstGeom>
                    <a:noFill/>
                    <a:ln>
                      <a:noFill/>
                    </a:ln>
                  </pic:spPr>
                </pic:pic>
              </a:graphicData>
            </a:graphic>
          </wp:inline>
        </w:drawing>
      </w:r>
    </w:p>
    <w:p w:rsidR="00916691" w:rsidRPr="001D7027" w:rsidRDefault="00916691" w:rsidP="00916691">
      <w:pPr>
        <w:jc w:val="center"/>
        <w:rPr>
          <w:rFonts w:cs="Arial"/>
          <w:u w:val="single"/>
        </w:rPr>
      </w:pPr>
    </w:p>
    <w:p w:rsidR="00916691" w:rsidRPr="001D7027" w:rsidRDefault="00916691" w:rsidP="00916691">
      <w:pPr>
        <w:jc w:val="center"/>
        <w:rPr>
          <w:rFonts w:cs="Arial"/>
          <w:u w:val="single"/>
        </w:rPr>
      </w:pPr>
    </w:p>
    <w:p w:rsidR="00916691" w:rsidRPr="001D7027" w:rsidRDefault="00916691" w:rsidP="00916691">
      <w:pPr>
        <w:rPr>
          <w:rFonts w:cs="Arial"/>
          <w:u w:val="single"/>
        </w:rPr>
      </w:pPr>
      <w:r w:rsidRPr="001D7027">
        <w:rPr>
          <w:rFonts w:cs="Arial"/>
        </w:rPr>
        <w:br w:type="page"/>
      </w:r>
    </w:p>
    <w:p w:rsidR="00916691" w:rsidRPr="001D7027" w:rsidRDefault="00916691" w:rsidP="00ED0026">
      <w:pPr>
        <w:pStyle w:val="Heading2"/>
        <w:rPr>
          <w:lang w:val="fr-FR"/>
        </w:rPr>
      </w:pPr>
      <w:bookmarkStart w:id="57" w:name="_Toc460229931"/>
      <w:bookmarkStart w:id="58" w:name="_Toc522808863"/>
      <w:bookmarkStart w:id="59" w:name="_Toc48658011"/>
      <w:r w:rsidRPr="001D7027">
        <w:rPr>
          <w:lang w:val="fr-FR"/>
        </w:rPr>
        <w:lastRenderedPageBreak/>
        <w:t>Montants non payés au titre des contributions et du fonds de roulement au 31 décembre 2019</w:t>
      </w:r>
      <w:bookmarkEnd w:id="57"/>
      <w:bookmarkEnd w:id="58"/>
      <w:bookmarkEnd w:id="59"/>
    </w:p>
    <w:p w:rsidR="00916691" w:rsidRPr="001D7027" w:rsidRDefault="00916691" w:rsidP="00916691">
      <w:pPr>
        <w:jc w:val="center"/>
        <w:rPr>
          <w:rFonts w:cs="Arial"/>
        </w:rPr>
      </w:pPr>
    </w:p>
    <w:p w:rsidR="00916691" w:rsidRPr="001D7027" w:rsidRDefault="00916691" w:rsidP="00916691">
      <w:pPr>
        <w:jc w:val="center"/>
        <w:rPr>
          <w:rFonts w:cs="Arial"/>
        </w:rPr>
      </w:pPr>
    </w:p>
    <w:p w:rsidR="00916691" w:rsidRPr="001D7027" w:rsidRDefault="002E11BA" w:rsidP="00916691">
      <w:pPr>
        <w:jc w:val="center"/>
        <w:rPr>
          <w:rFonts w:cs="Arial"/>
          <w:b/>
          <w:caps/>
          <w:u w:val="single"/>
        </w:rPr>
      </w:pPr>
      <w:r w:rsidRPr="001D7027">
        <w:rPr>
          <w:noProof/>
          <w:lang w:val="en-US"/>
        </w:rPr>
        <w:drawing>
          <wp:inline distT="0" distB="0" distL="0" distR="0">
            <wp:extent cx="5010150" cy="76295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10150" cy="7629525"/>
                    </a:xfrm>
                    <a:prstGeom prst="rect">
                      <a:avLst/>
                    </a:prstGeom>
                    <a:noFill/>
                    <a:ln>
                      <a:noFill/>
                    </a:ln>
                  </pic:spPr>
                </pic:pic>
              </a:graphicData>
            </a:graphic>
          </wp:inline>
        </w:drawing>
      </w:r>
      <w:r w:rsidR="00916691" w:rsidRPr="001D7027">
        <w:rPr>
          <w:rFonts w:cs="Arial"/>
        </w:rPr>
        <w:t xml:space="preserve"> </w:t>
      </w:r>
      <w:r w:rsidR="00916691" w:rsidRPr="001D7027">
        <w:rPr>
          <w:rFonts w:cs="Arial"/>
        </w:rPr>
        <w:br w:type="page"/>
      </w:r>
    </w:p>
    <w:p w:rsidR="00916691" w:rsidRPr="001D7027" w:rsidRDefault="002E11BA" w:rsidP="00916691">
      <w:pPr>
        <w:jc w:val="center"/>
        <w:rPr>
          <w:rFonts w:cs="Arial"/>
        </w:rPr>
      </w:pPr>
      <w:r w:rsidRPr="001D7027">
        <w:rPr>
          <w:noProof/>
          <w:lang w:val="en-US"/>
        </w:rPr>
        <w:lastRenderedPageBreak/>
        <w:drawing>
          <wp:inline distT="0" distB="0" distL="0" distR="0">
            <wp:extent cx="5010150" cy="72961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0" cy="7296150"/>
                    </a:xfrm>
                    <a:prstGeom prst="rect">
                      <a:avLst/>
                    </a:prstGeom>
                    <a:noFill/>
                    <a:ln>
                      <a:noFill/>
                    </a:ln>
                  </pic:spPr>
                </pic:pic>
              </a:graphicData>
            </a:graphic>
          </wp:inline>
        </w:drawing>
      </w:r>
    </w:p>
    <w:p w:rsidR="00916691" w:rsidRPr="001D7027" w:rsidRDefault="00916691" w:rsidP="00916691">
      <w:pPr>
        <w:rPr>
          <w:rFonts w:cs="Arial"/>
          <w:b/>
          <w:u w:val="single"/>
        </w:rPr>
      </w:pPr>
      <w:r w:rsidRPr="001D7027">
        <w:rPr>
          <w:rFonts w:cs="Arial"/>
          <w:b/>
        </w:rPr>
        <w:br w:type="page"/>
      </w:r>
    </w:p>
    <w:p w:rsidR="00916691" w:rsidRPr="001D7027" w:rsidRDefault="00916691" w:rsidP="002F33B4">
      <w:pPr>
        <w:pStyle w:val="Heading1"/>
      </w:pPr>
      <w:bookmarkStart w:id="60" w:name="_Toc460229932"/>
      <w:bookmarkStart w:id="61" w:name="_Toc522808864"/>
      <w:bookmarkStart w:id="62" w:name="_Toc48658012"/>
      <w:r w:rsidRPr="001D7027">
        <w:lastRenderedPageBreak/>
        <w:t>RESSOURCES EXTRABUDGÉTAIRES (FONDS FIDUCIAIRES)</w:t>
      </w:r>
      <w:bookmarkEnd w:id="60"/>
      <w:bookmarkEnd w:id="61"/>
      <w:bookmarkEnd w:id="62"/>
    </w:p>
    <w:p w:rsidR="00916691" w:rsidRPr="001D7027" w:rsidRDefault="00916691" w:rsidP="002F33B4">
      <w:pPr>
        <w:pStyle w:val="Heading1"/>
      </w:pPr>
    </w:p>
    <w:p w:rsidR="00916691" w:rsidRPr="001D7027" w:rsidRDefault="00916691" w:rsidP="00916691">
      <w:pPr>
        <w:keepNext/>
        <w:rPr>
          <w:rFonts w:cs="Arial"/>
        </w:rPr>
      </w:pPr>
      <w:r w:rsidRPr="001D7027">
        <w:rPr>
          <w:rFonts w:cs="Arial"/>
        </w:rPr>
        <w:t xml:space="preserve">Les ressources extrabudgétaires </w:t>
      </w:r>
      <w:r w:rsidRPr="001D7027">
        <w:t>(</w:t>
      </w:r>
      <w:r w:rsidR="00750F64" w:rsidRPr="001D7027">
        <w:t>y compris</w:t>
      </w:r>
      <w:r w:rsidRPr="001D7027">
        <w:t xml:space="preserve"> les fonds fiduciaires) allouées par le donateur, qui font l</w:t>
      </w:r>
      <w:r w:rsidR="00750F64" w:rsidRPr="001D7027">
        <w:t>’</w:t>
      </w:r>
      <w:r w:rsidRPr="001D7027">
        <w:t>objet d</w:t>
      </w:r>
      <w:r w:rsidR="00750F64" w:rsidRPr="001D7027">
        <w:t>’</w:t>
      </w:r>
      <w:r w:rsidRPr="001D7027">
        <w:t>une comptabilité distincte, sont présentées ci</w:t>
      </w:r>
      <w:r w:rsidR="00750F64" w:rsidRPr="001D7027">
        <w:t>-</w:t>
      </w:r>
      <w:r w:rsidRPr="001D7027">
        <w:t>après</w:t>
      </w:r>
      <w:r w:rsidRPr="001D7027">
        <w:rPr>
          <w:rFonts w:cs="Arial"/>
        </w:rPr>
        <w:t>.</w:t>
      </w:r>
    </w:p>
    <w:p w:rsidR="00916691" w:rsidRPr="001D7027" w:rsidRDefault="00916691" w:rsidP="00916691">
      <w:pPr>
        <w:keepNext/>
        <w:rPr>
          <w:rFonts w:cs="Arial"/>
        </w:rPr>
      </w:pPr>
    </w:p>
    <w:p w:rsidR="00916691" w:rsidRPr="001D7027" w:rsidRDefault="00F4676D" w:rsidP="001856E8">
      <w:pPr>
        <w:ind w:left="567" w:hanging="567"/>
        <w:rPr>
          <w:rFonts w:cs="Arial"/>
        </w:rPr>
      </w:pPr>
      <w:r w:rsidRPr="001D7027">
        <w:rPr>
          <w:noProof/>
          <w:lang w:val="en-US"/>
        </w:rPr>
        <w:drawing>
          <wp:inline distT="0" distB="0" distL="0" distR="0">
            <wp:extent cx="6120765" cy="1227661"/>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1227661"/>
                    </a:xfrm>
                    <a:prstGeom prst="rect">
                      <a:avLst/>
                    </a:prstGeom>
                    <a:noFill/>
                    <a:ln>
                      <a:noFill/>
                    </a:ln>
                  </pic:spPr>
                </pic:pic>
              </a:graphicData>
            </a:graphic>
          </wp:inline>
        </w:drawing>
      </w:r>
    </w:p>
    <w:p w:rsidR="00916691" w:rsidRPr="001D7027" w:rsidRDefault="00916691" w:rsidP="00916691">
      <w:pPr>
        <w:rPr>
          <w:rFonts w:cs="Arial"/>
        </w:rPr>
      </w:pPr>
    </w:p>
    <w:p w:rsidR="00916691" w:rsidRPr="001D7027" w:rsidRDefault="00916691" w:rsidP="00916691">
      <w:pPr>
        <w:rPr>
          <w:rFonts w:cs="Arial"/>
          <w:b/>
        </w:rPr>
      </w:pPr>
      <w:r w:rsidRPr="001D7027">
        <w:rPr>
          <w:rFonts w:cs="Arial"/>
          <w:b/>
        </w:rPr>
        <w:t>Recettes et dépenses pour l</w:t>
      </w:r>
      <w:r w:rsidR="00750F64" w:rsidRPr="001D7027">
        <w:rPr>
          <w:rFonts w:cs="Arial"/>
          <w:b/>
        </w:rPr>
        <w:t>’</w:t>
      </w:r>
      <w:r w:rsidRPr="001D7027">
        <w:rPr>
          <w:rFonts w:cs="Arial"/>
          <w:b/>
        </w:rPr>
        <w:t xml:space="preserve">exercice </w:t>
      </w:r>
      <w:r w:rsidR="005D40E4" w:rsidRPr="001D7027">
        <w:rPr>
          <w:rFonts w:cs="Arial"/>
          <w:b/>
        </w:rPr>
        <w:t>biennal 2018</w:t>
      </w:r>
      <w:r w:rsidR="00750F64" w:rsidRPr="001D7027">
        <w:rPr>
          <w:rFonts w:cs="Arial"/>
          <w:b/>
        </w:rPr>
        <w:t>-</w:t>
      </w:r>
      <w:r w:rsidRPr="001D7027">
        <w:rPr>
          <w:rFonts w:cs="Arial"/>
          <w:b/>
        </w:rPr>
        <w:t>2019</w:t>
      </w:r>
    </w:p>
    <w:p w:rsidR="00916691" w:rsidRPr="001D7027" w:rsidRDefault="00916691" w:rsidP="00916691">
      <w:pPr>
        <w:rPr>
          <w:rFonts w:cs="Arial"/>
          <w:b/>
        </w:rPr>
      </w:pPr>
    </w:p>
    <w:p w:rsidR="00916691" w:rsidRPr="001D7027" w:rsidRDefault="00E250DE" w:rsidP="001856E8">
      <w:pPr>
        <w:ind w:left="567" w:hanging="567"/>
        <w:jc w:val="center"/>
        <w:rPr>
          <w:rFonts w:cs="Arial"/>
          <w:b/>
        </w:rPr>
      </w:pPr>
      <w:r w:rsidRPr="001D7027">
        <w:rPr>
          <w:noProof/>
          <w:lang w:val="en-US"/>
        </w:rPr>
        <w:drawing>
          <wp:inline distT="0" distB="0" distL="0" distR="0">
            <wp:extent cx="5819775" cy="22764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rsidR="00916691" w:rsidRPr="001D7027" w:rsidRDefault="00916691" w:rsidP="00916691">
      <w:pPr>
        <w:ind w:left="851" w:right="283" w:hanging="567"/>
        <w:rPr>
          <w:rFonts w:cs="Arial"/>
          <w:i/>
          <w:sz w:val="18"/>
          <w:szCs w:val="18"/>
        </w:rPr>
      </w:pPr>
    </w:p>
    <w:p w:rsidR="00916691" w:rsidRPr="001D7027" w:rsidRDefault="00916691" w:rsidP="00916691">
      <w:pPr>
        <w:ind w:left="851" w:right="283" w:hanging="567"/>
        <w:rPr>
          <w:rFonts w:cs="Arial"/>
          <w:sz w:val="18"/>
          <w:szCs w:val="18"/>
        </w:rPr>
      </w:pPr>
      <w:r w:rsidRPr="001D7027">
        <w:rPr>
          <w:rFonts w:cs="Arial"/>
          <w:i/>
          <w:sz w:val="18"/>
          <w:szCs w:val="18"/>
        </w:rPr>
        <w:t>Note</w:t>
      </w:r>
      <w:r w:rsidR="00CA2E8B" w:rsidRPr="001D7027">
        <w:rPr>
          <w:rFonts w:cs="Arial"/>
          <w:sz w:val="18"/>
          <w:szCs w:val="18"/>
        </w:rPr>
        <w:t xml:space="preserve"> : </w:t>
      </w:r>
      <w:r w:rsidRPr="001D7027">
        <w:rPr>
          <w:rFonts w:cs="Arial"/>
          <w:sz w:val="18"/>
          <w:szCs w:val="18"/>
        </w:rPr>
        <w:tab/>
      </w:r>
      <w:r w:rsidRPr="001D7027">
        <w:rPr>
          <w:sz w:val="18"/>
          <w:szCs w:val="18"/>
        </w:rPr>
        <w:t>Fonds fiduciaire constitué de ressources extrabudgétaires provenant du Gouvernement japonais et destiné à financer des séminaires et ateliers régionaux sur la protection des obtentions végétales en Asie</w:t>
      </w:r>
      <w:r w:rsidRPr="001D7027">
        <w:rPr>
          <w:rFonts w:cs="Arial"/>
          <w:sz w:val="18"/>
          <w:szCs w:val="18"/>
        </w:rPr>
        <w:t>.</w:t>
      </w:r>
    </w:p>
    <w:p w:rsidR="00916691" w:rsidRPr="001D7027" w:rsidRDefault="00916691" w:rsidP="00916691">
      <w:pPr>
        <w:ind w:left="567" w:hanging="567"/>
        <w:rPr>
          <w:rFonts w:cs="Arial"/>
          <w:sz w:val="18"/>
          <w:szCs w:val="18"/>
        </w:rPr>
      </w:pPr>
    </w:p>
    <w:p w:rsidR="00916691" w:rsidRPr="001D7027" w:rsidRDefault="00916691" w:rsidP="00916691">
      <w:pPr>
        <w:ind w:left="567" w:hanging="567"/>
        <w:rPr>
          <w:rFonts w:cs="Arial"/>
          <w:sz w:val="18"/>
          <w:szCs w:val="18"/>
        </w:rPr>
      </w:pPr>
    </w:p>
    <w:p w:rsidR="00916691" w:rsidRPr="001D7027" w:rsidRDefault="00E250DE" w:rsidP="00916691">
      <w:pPr>
        <w:ind w:left="567" w:hanging="567"/>
        <w:jc w:val="center"/>
        <w:rPr>
          <w:rFonts w:cs="Arial"/>
          <w:sz w:val="18"/>
          <w:szCs w:val="18"/>
        </w:rPr>
      </w:pPr>
      <w:r w:rsidRPr="001D7027">
        <w:rPr>
          <w:noProof/>
          <w:lang w:val="en-US"/>
        </w:rPr>
        <w:drawing>
          <wp:inline distT="0" distB="0" distL="0" distR="0">
            <wp:extent cx="5819775" cy="24384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19775" cy="2438400"/>
                    </a:xfrm>
                    <a:prstGeom prst="rect">
                      <a:avLst/>
                    </a:prstGeom>
                    <a:noFill/>
                    <a:ln>
                      <a:noFill/>
                    </a:ln>
                  </pic:spPr>
                </pic:pic>
              </a:graphicData>
            </a:graphic>
          </wp:inline>
        </w:drawing>
      </w:r>
    </w:p>
    <w:p w:rsidR="00916691" w:rsidRPr="001D7027" w:rsidRDefault="00916691" w:rsidP="00916691">
      <w:pPr>
        <w:ind w:left="851" w:right="283" w:hanging="567"/>
        <w:rPr>
          <w:rFonts w:cs="Arial"/>
          <w:i/>
          <w:sz w:val="18"/>
          <w:szCs w:val="18"/>
        </w:rPr>
      </w:pPr>
    </w:p>
    <w:p w:rsidR="00916691" w:rsidRPr="001D7027" w:rsidRDefault="00916691" w:rsidP="00916691">
      <w:pPr>
        <w:ind w:left="851" w:right="283" w:hanging="567"/>
        <w:rPr>
          <w:rFonts w:cs="Arial"/>
          <w:sz w:val="18"/>
          <w:szCs w:val="18"/>
        </w:rPr>
      </w:pPr>
      <w:r w:rsidRPr="001D7027">
        <w:rPr>
          <w:rFonts w:cs="Arial"/>
          <w:i/>
          <w:sz w:val="18"/>
          <w:szCs w:val="18"/>
        </w:rPr>
        <w:t>Note</w:t>
      </w:r>
      <w:r w:rsidR="00CA2E8B" w:rsidRPr="001D7027">
        <w:rPr>
          <w:rFonts w:cs="Arial"/>
          <w:sz w:val="18"/>
          <w:szCs w:val="18"/>
        </w:rPr>
        <w:t xml:space="preserve"> : </w:t>
      </w:r>
      <w:r w:rsidRPr="001D7027">
        <w:rPr>
          <w:rFonts w:cs="Arial"/>
          <w:sz w:val="18"/>
          <w:szCs w:val="18"/>
        </w:rPr>
        <w:tab/>
      </w:r>
      <w:r w:rsidRPr="001D7027">
        <w:rPr>
          <w:rFonts w:cs="Arial"/>
          <w:iCs/>
          <w:sz w:val="18"/>
          <w:szCs w:val="18"/>
        </w:rPr>
        <w:t>Ressources extrabudgétaires provenant du Gouvernement des États</w:t>
      </w:r>
      <w:r w:rsidR="00750F64" w:rsidRPr="001D7027">
        <w:rPr>
          <w:rFonts w:cs="Arial"/>
          <w:iCs/>
          <w:sz w:val="18"/>
          <w:szCs w:val="18"/>
        </w:rPr>
        <w:t>-</w:t>
      </w:r>
      <w:r w:rsidRPr="001D7027">
        <w:rPr>
          <w:rFonts w:cs="Arial"/>
          <w:iCs/>
          <w:sz w:val="18"/>
          <w:szCs w:val="18"/>
        </w:rPr>
        <w:t>Unis d</w:t>
      </w:r>
      <w:r w:rsidR="00750F64" w:rsidRPr="001D7027">
        <w:rPr>
          <w:rFonts w:cs="Arial"/>
          <w:iCs/>
          <w:sz w:val="18"/>
          <w:szCs w:val="18"/>
        </w:rPr>
        <w:t>’</w:t>
      </w:r>
      <w:r w:rsidRPr="001D7027">
        <w:rPr>
          <w:rFonts w:cs="Arial"/>
          <w:iCs/>
          <w:sz w:val="18"/>
          <w:szCs w:val="18"/>
        </w:rPr>
        <w:t>Amérique destinées à financer des activités éducatives sur la protection de la propriété intellectuelle dans le domaine de la protection des obtentions végétal</w:t>
      </w:r>
      <w:r w:rsidR="00532185" w:rsidRPr="001D7027">
        <w:rPr>
          <w:rFonts w:cs="Arial"/>
          <w:iCs/>
          <w:sz w:val="18"/>
          <w:szCs w:val="18"/>
        </w:rPr>
        <w:t>es.  Le</w:t>
      </w:r>
      <w:r w:rsidRPr="001D7027">
        <w:rPr>
          <w:rFonts w:cs="Arial"/>
          <w:iCs/>
          <w:sz w:val="18"/>
          <w:szCs w:val="18"/>
        </w:rPr>
        <w:t>s comptes et les rapports financiers de ce fonds fiduciaire sont tenus en dollars É.</w:t>
      </w:r>
      <w:r w:rsidR="00116885">
        <w:rPr>
          <w:rFonts w:cs="Arial"/>
          <w:iCs/>
          <w:sz w:val="18"/>
          <w:szCs w:val="18"/>
        </w:rPr>
        <w:noBreakHyphen/>
      </w:r>
      <w:r w:rsidRPr="001D7027">
        <w:rPr>
          <w:rFonts w:cs="Arial"/>
          <w:iCs/>
          <w:sz w:val="18"/>
          <w:szCs w:val="18"/>
        </w:rPr>
        <w:t>U.</w:t>
      </w:r>
    </w:p>
    <w:p w:rsidR="00916691" w:rsidRPr="001D7027" w:rsidRDefault="00916691" w:rsidP="00916691">
      <w:pPr>
        <w:rPr>
          <w:rFonts w:cs="Arial"/>
          <w:sz w:val="18"/>
          <w:szCs w:val="18"/>
        </w:rPr>
      </w:pPr>
      <w:r w:rsidRPr="001D7027">
        <w:rPr>
          <w:rFonts w:cs="Arial"/>
          <w:sz w:val="18"/>
          <w:szCs w:val="18"/>
        </w:rPr>
        <w:br w:type="page"/>
      </w:r>
    </w:p>
    <w:p w:rsidR="00916691" w:rsidRPr="001D7027" w:rsidRDefault="00E250DE" w:rsidP="001856E8">
      <w:pPr>
        <w:jc w:val="left"/>
        <w:rPr>
          <w:rFonts w:cs="Arial"/>
          <w:sz w:val="18"/>
          <w:szCs w:val="18"/>
        </w:rPr>
      </w:pPr>
      <w:r w:rsidRPr="001D7027">
        <w:rPr>
          <w:noProof/>
          <w:lang w:val="en-US"/>
        </w:rPr>
        <w:lastRenderedPageBreak/>
        <w:drawing>
          <wp:inline distT="0" distB="0" distL="0" distR="0">
            <wp:extent cx="6000750" cy="22764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0" cy="2276475"/>
                    </a:xfrm>
                    <a:prstGeom prst="rect">
                      <a:avLst/>
                    </a:prstGeom>
                    <a:noFill/>
                    <a:ln>
                      <a:noFill/>
                    </a:ln>
                  </pic:spPr>
                </pic:pic>
              </a:graphicData>
            </a:graphic>
          </wp:inline>
        </w:drawing>
      </w:r>
    </w:p>
    <w:p w:rsidR="00916691" w:rsidRPr="00116885" w:rsidRDefault="00916691" w:rsidP="00116885">
      <w:pPr>
        <w:rPr>
          <w:sz w:val="18"/>
        </w:rPr>
      </w:pPr>
    </w:p>
    <w:p w:rsidR="00916691" w:rsidRPr="00116885" w:rsidRDefault="00916691" w:rsidP="00116885">
      <w:pPr>
        <w:ind w:left="567" w:hanging="567"/>
        <w:rPr>
          <w:rFonts w:cs="Arial"/>
          <w:sz w:val="18"/>
        </w:rPr>
      </w:pPr>
      <w:r w:rsidRPr="00116885">
        <w:rPr>
          <w:rFonts w:cs="Arial"/>
          <w:i/>
          <w:sz w:val="18"/>
        </w:rPr>
        <w:t>Note</w:t>
      </w:r>
      <w:r w:rsidR="00CA2E8B" w:rsidRPr="00116885">
        <w:rPr>
          <w:rFonts w:cs="Arial"/>
          <w:sz w:val="18"/>
        </w:rPr>
        <w:t xml:space="preserve"> : </w:t>
      </w:r>
      <w:r w:rsidRPr="00116885">
        <w:rPr>
          <w:rFonts w:cs="Arial"/>
          <w:sz w:val="18"/>
        </w:rPr>
        <w:tab/>
      </w:r>
      <w:r w:rsidRPr="00116885">
        <w:rPr>
          <w:sz w:val="18"/>
        </w:rPr>
        <w:t>Ressources extrabudgétaires provenant des Pays</w:t>
      </w:r>
      <w:r w:rsidR="00750F64" w:rsidRPr="00116885">
        <w:rPr>
          <w:sz w:val="18"/>
        </w:rPr>
        <w:t>-</w:t>
      </w:r>
      <w:r w:rsidRPr="00116885">
        <w:rPr>
          <w:sz w:val="18"/>
        </w:rPr>
        <w:t>Bas destinées à mettre en place et à promouvoir le système de protection des obtentions végétales de l</w:t>
      </w:r>
      <w:r w:rsidR="00750F64" w:rsidRPr="00116885">
        <w:rPr>
          <w:sz w:val="18"/>
        </w:rPr>
        <w:t>’</w:t>
      </w:r>
      <w:r w:rsidRPr="00116885">
        <w:rPr>
          <w:sz w:val="18"/>
        </w:rPr>
        <w:t>UPOV</w:t>
      </w:r>
      <w:r w:rsidRPr="00116885">
        <w:rPr>
          <w:rFonts w:cs="Arial"/>
          <w:sz w:val="18"/>
        </w:rPr>
        <w:t>.</w:t>
      </w:r>
    </w:p>
    <w:p w:rsidR="00916691" w:rsidRPr="00116885" w:rsidRDefault="00916691" w:rsidP="001856E8">
      <w:pPr>
        <w:ind w:right="283"/>
        <w:rPr>
          <w:rFonts w:cs="Arial"/>
          <w:sz w:val="16"/>
          <w:szCs w:val="18"/>
        </w:rPr>
      </w:pPr>
    </w:p>
    <w:p w:rsidR="00916691" w:rsidRPr="001D7027" w:rsidRDefault="00A55BB1" w:rsidP="001856E8">
      <w:pPr>
        <w:ind w:right="283"/>
        <w:jc w:val="left"/>
        <w:rPr>
          <w:rFonts w:cs="Arial"/>
          <w:sz w:val="18"/>
          <w:szCs w:val="18"/>
        </w:rPr>
      </w:pPr>
      <w:r w:rsidRPr="00A55BB1">
        <w:rPr>
          <w:noProof/>
          <w:lang w:val="en-US"/>
        </w:rPr>
        <w:drawing>
          <wp:inline distT="0" distB="0" distL="0" distR="0">
            <wp:extent cx="598932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9320" cy="2247900"/>
                    </a:xfrm>
                    <a:prstGeom prst="rect">
                      <a:avLst/>
                    </a:prstGeom>
                    <a:noFill/>
                    <a:ln>
                      <a:noFill/>
                    </a:ln>
                  </pic:spPr>
                </pic:pic>
              </a:graphicData>
            </a:graphic>
          </wp:inline>
        </w:drawing>
      </w:r>
    </w:p>
    <w:p w:rsidR="00916691" w:rsidRPr="001D7027" w:rsidRDefault="00916691" w:rsidP="001856E8">
      <w:pPr>
        <w:ind w:right="283" w:hanging="567"/>
        <w:rPr>
          <w:rFonts w:cs="Arial"/>
          <w:i/>
          <w:sz w:val="18"/>
          <w:szCs w:val="18"/>
        </w:rPr>
      </w:pPr>
    </w:p>
    <w:p w:rsidR="00916691" w:rsidRPr="00116885" w:rsidRDefault="00916691" w:rsidP="00116885">
      <w:pPr>
        <w:ind w:left="567" w:hanging="567"/>
        <w:rPr>
          <w:rFonts w:cs="Arial"/>
          <w:sz w:val="18"/>
        </w:rPr>
      </w:pPr>
      <w:r w:rsidRPr="00116885">
        <w:rPr>
          <w:rFonts w:cs="Arial"/>
          <w:i/>
          <w:sz w:val="18"/>
        </w:rPr>
        <w:t>Note</w:t>
      </w:r>
      <w:r w:rsidR="00CA2E8B" w:rsidRPr="00116885">
        <w:rPr>
          <w:rFonts w:cs="Arial"/>
          <w:sz w:val="18"/>
        </w:rPr>
        <w:t xml:space="preserve"> : </w:t>
      </w:r>
      <w:r w:rsidRPr="00116885">
        <w:rPr>
          <w:rFonts w:cs="Arial"/>
          <w:sz w:val="18"/>
        </w:rPr>
        <w:tab/>
      </w:r>
      <w:r w:rsidRPr="00116885">
        <w:rPr>
          <w:sz w:val="18"/>
        </w:rPr>
        <w:t>Ressources extrabudgétaires provenant de diverses organisations, communautés et fédérations destinées à promouvoir l</w:t>
      </w:r>
      <w:r w:rsidR="00750F64" w:rsidRPr="00116885">
        <w:rPr>
          <w:sz w:val="18"/>
        </w:rPr>
        <w:t>’</w:t>
      </w:r>
      <w:r w:rsidRPr="00116885">
        <w:rPr>
          <w:sz w:val="18"/>
        </w:rPr>
        <w:t>outil UPOV PRISMA de demande de droit d</w:t>
      </w:r>
      <w:r w:rsidR="00750F64" w:rsidRPr="00116885">
        <w:rPr>
          <w:sz w:val="18"/>
        </w:rPr>
        <w:t>’</w:t>
      </w:r>
      <w:r w:rsidRPr="00116885">
        <w:rPr>
          <w:sz w:val="18"/>
        </w:rPr>
        <w:t>obtente</w:t>
      </w:r>
      <w:r w:rsidR="00532185" w:rsidRPr="00116885">
        <w:rPr>
          <w:sz w:val="18"/>
        </w:rPr>
        <w:t>ur.  Ce</w:t>
      </w:r>
      <w:r w:rsidRPr="00116885">
        <w:rPr>
          <w:sz w:val="18"/>
        </w:rPr>
        <w:t>t outil de demande en ligne permet aux demandeurs de communiquer les données relatives à la demande aux services de protection des obtentions végétales participants du monde entier</w:t>
      </w:r>
      <w:r w:rsidRPr="00116885">
        <w:rPr>
          <w:rFonts w:cs="Arial"/>
          <w:sz w:val="18"/>
        </w:rPr>
        <w:t>.</w:t>
      </w:r>
    </w:p>
    <w:p w:rsidR="00916691" w:rsidRPr="001D7027" w:rsidRDefault="00916691" w:rsidP="001856E8">
      <w:pPr>
        <w:ind w:hanging="297"/>
        <w:rPr>
          <w:rFonts w:cs="Arial"/>
          <w:sz w:val="18"/>
          <w:szCs w:val="18"/>
        </w:rPr>
      </w:pPr>
    </w:p>
    <w:p w:rsidR="00916691" w:rsidRPr="001D7027" w:rsidRDefault="00C2558E" w:rsidP="001856E8">
      <w:pPr>
        <w:jc w:val="left"/>
        <w:rPr>
          <w:rFonts w:cs="Arial"/>
          <w:sz w:val="16"/>
          <w:szCs w:val="16"/>
        </w:rPr>
      </w:pPr>
      <w:r w:rsidRPr="001D7027">
        <w:rPr>
          <w:noProof/>
          <w:lang w:val="en-US"/>
        </w:rPr>
        <w:drawing>
          <wp:inline distT="0" distB="0" distL="0" distR="0">
            <wp:extent cx="6048375" cy="22764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48375" cy="2276475"/>
                    </a:xfrm>
                    <a:prstGeom prst="rect">
                      <a:avLst/>
                    </a:prstGeom>
                    <a:noFill/>
                    <a:ln>
                      <a:noFill/>
                    </a:ln>
                  </pic:spPr>
                </pic:pic>
              </a:graphicData>
            </a:graphic>
          </wp:inline>
        </w:drawing>
      </w:r>
    </w:p>
    <w:p w:rsidR="00916691" w:rsidRPr="001D7027" w:rsidRDefault="00916691" w:rsidP="001856E8">
      <w:pPr>
        <w:jc w:val="right"/>
        <w:rPr>
          <w:rFonts w:cs="Arial"/>
        </w:rPr>
      </w:pPr>
    </w:p>
    <w:p w:rsidR="00916691" w:rsidRPr="00116885" w:rsidRDefault="00916691" w:rsidP="00116885">
      <w:pPr>
        <w:ind w:left="567" w:hanging="567"/>
        <w:rPr>
          <w:sz w:val="18"/>
        </w:rPr>
      </w:pPr>
      <w:r w:rsidRPr="00116885">
        <w:rPr>
          <w:i/>
          <w:sz w:val="18"/>
        </w:rPr>
        <w:t>Note</w:t>
      </w:r>
      <w:r w:rsidR="00CA2E8B" w:rsidRPr="00116885">
        <w:rPr>
          <w:i/>
          <w:sz w:val="18"/>
        </w:rPr>
        <w:t xml:space="preserve"> : </w:t>
      </w:r>
      <w:r w:rsidRPr="00116885">
        <w:rPr>
          <w:i/>
          <w:sz w:val="18"/>
        </w:rPr>
        <w:tab/>
      </w:r>
      <w:r w:rsidRPr="00116885">
        <w:rPr>
          <w:sz w:val="18"/>
        </w:rPr>
        <w:t>UPOV PRISMA est un outil de demande en ligne de protection des obtentions végétales destiné aux services de protection des obtentions végétales des membres participants de l</w:t>
      </w:r>
      <w:r w:rsidR="00750F64" w:rsidRPr="00116885">
        <w:rPr>
          <w:sz w:val="18"/>
        </w:rPr>
        <w:t>’</w:t>
      </w:r>
      <w:r w:rsidRPr="00116885">
        <w:rPr>
          <w:sz w:val="18"/>
        </w:rPr>
        <w:t>Uni</w:t>
      </w:r>
      <w:r w:rsidR="00532185" w:rsidRPr="00116885">
        <w:rPr>
          <w:sz w:val="18"/>
        </w:rPr>
        <w:t>on.  Le</w:t>
      </w:r>
      <w:r w:rsidRPr="00116885">
        <w:rPr>
          <w:sz w:val="18"/>
        </w:rPr>
        <w:t xml:space="preserve"> fonds UPOV PRISMA est une contribution provenant de Naktuinbouw (Pays</w:t>
      </w:r>
      <w:r w:rsidR="00750F64" w:rsidRPr="00116885">
        <w:rPr>
          <w:sz w:val="18"/>
        </w:rPr>
        <w:t>-</w:t>
      </w:r>
      <w:r w:rsidRPr="00116885">
        <w:rPr>
          <w:sz w:val="18"/>
        </w:rPr>
        <w:t>Bas) destinée à soutenir le développement de l</w:t>
      </w:r>
      <w:r w:rsidR="00750F64" w:rsidRPr="00116885">
        <w:rPr>
          <w:sz w:val="18"/>
        </w:rPr>
        <w:t>’</w:t>
      </w:r>
      <w:r w:rsidRPr="00116885">
        <w:rPr>
          <w:sz w:val="18"/>
        </w:rPr>
        <w:t>outil UPOV PRISMA.</w:t>
      </w:r>
    </w:p>
    <w:p w:rsidR="00916691" w:rsidRDefault="00916691" w:rsidP="001856E8">
      <w:pPr>
        <w:jc w:val="right"/>
        <w:rPr>
          <w:rFonts w:cs="Arial"/>
        </w:rPr>
      </w:pPr>
    </w:p>
    <w:p w:rsidR="00116885" w:rsidRPr="001D7027" w:rsidRDefault="00116885" w:rsidP="001856E8">
      <w:pPr>
        <w:jc w:val="right"/>
        <w:rPr>
          <w:rFonts w:cs="Arial"/>
        </w:rPr>
      </w:pPr>
    </w:p>
    <w:p w:rsidR="009B440E" w:rsidRPr="001D7027" w:rsidRDefault="00050E16" w:rsidP="00050E16">
      <w:pPr>
        <w:jc w:val="right"/>
      </w:pPr>
      <w:r w:rsidRPr="001D7027">
        <w:t>[</w:t>
      </w:r>
      <w:r w:rsidR="00A706D3" w:rsidRPr="001D7027">
        <w:t xml:space="preserve">Fin </w:t>
      </w:r>
      <w:r w:rsidR="00E250DE" w:rsidRPr="001D7027">
        <w:t xml:space="preserve">de l’annexe et </w:t>
      </w:r>
      <w:r w:rsidR="00A706D3" w:rsidRPr="001D7027">
        <w:t xml:space="preserve">du </w:t>
      </w:r>
      <w:r w:rsidRPr="001D7027">
        <w:t>document]</w:t>
      </w:r>
    </w:p>
    <w:sectPr w:rsidR="009B440E" w:rsidRPr="001D7027" w:rsidSect="0044752D">
      <w:headerReference w:type="even" r:id="rId49"/>
      <w:headerReference w:type="default" r:id="rId50"/>
      <w:footerReference w:type="even" r:id="rId51"/>
      <w:footerReference w:type="default" r:id="rId52"/>
      <w:headerReference w:type="first" r:id="rId53"/>
      <w:footerReference w:type="first" r:id="rId5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9D" w:rsidRDefault="008E239D" w:rsidP="006655D3">
      <w:r>
        <w:separator/>
      </w:r>
    </w:p>
    <w:p w:rsidR="008E239D" w:rsidRDefault="008E239D" w:rsidP="006655D3"/>
    <w:p w:rsidR="008E239D" w:rsidRDefault="008E239D" w:rsidP="006655D3"/>
  </w:endnote>
  <w:endnote w:type="continuationSeparator" w:id="0">
    <w:p w:rsidR="008E239D" w:rsidRDefault="008E239D" w:rsidP="006655D3">
      <w:r>
        <w:separator/>
      </w:r>
    </w:p>
    <w:p w:rsidR="008E239D" w:rsidRPr="00294751" w:rsidRDefault="008E239D">
      <w:pPr>
        <w:pStyle w:val="Footer"/>
        <w:spacing w:after="60"/>
        <w:rPr>
          <w:sz w:val="18"/>
          <w:lang w:val="fr-FR"/>
        </w:rPr>
      </w:pPr>
      <w:r w:rsidRPr="00294751">
        <w:rPr>
          <w:sz w:val="18"/>
          <w:lang w:val="fr-FR"/>
        </w:rPr>
        <w:t>[Suite de la note de la page précédente]</w:t>
      </w:r>
    </w:p>
    <w:p w:rsidR="008E239D" w:rsidRPr="00294751" w:rsidRDefault="008E239D" w:rsidP="006655D3"/>
    <w:p w:rsidR="008E239D" w:rsidRPr="00294751" w:rsidRDefault="008E239D" w:rsidP="006655D3"/>
  </w:endnote>
  <w:endnote w:type="continuationNotice" w:id="1">
    <w:p w:rsidR="008E239D" w:rsidRPr="00294751" w:rsidRDefault="008E239D" w:rsidP="006655D3">
      <w:r w:rsidRPr="00294751">
        <w:t>[Suite de la note page suivante]</w:t>
      </w:r>
    </w:p>
    <w:p w:rsidR="008E239D" w:rsidRPr="00294751" w:rsidRDefault="008E239D" w:rsidP="006655D3"/>
    <w:p w:rsidR="008E239D" w:rsidRPr="00294751" w:rsidRDefault="008E239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Default="008E239D">
    <w:pPr>
      <w:pStyle w:val="Footer"/>
      <w:jc w:val="right"/>
    </w:pPr>
  </w:p>
  <w:p w:rsidR="008E239D" w:rsidRDefault="008E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Default="008E239D" w:rsidP="00916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Default="008E2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Default="008E239D">
    <w:pPr>
      <w:pStyle w:val="Footer"/>
      <w:jc w:val="right"/>
    </w:pPr>
  </w:p>
  <w:p w:rsidR="008E239D" w:rsidRDefault="008E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9D" w:rsidRDefault="008E239D" w:rsidP="006655D3">
      <w:r>
        <w:separator/>
      </w:r>
    </w:p>
  </w:footnote>
  <w:footnote w:type="continuationSeparator" w:id="0">
    <w:p w:rsidR="008E239D" w:rsidRDefault="008E239D" w:rsidP="006655D3">
      <w:r>
        <w:separator/>
      </w:r>
    </w:p>
  </w:footnote>
  <w:footnote w:type="continuationNotice" w:id="1">
    <w:p w:rsidR="008E239D" w:rsidRPr="00AB530F" w:rsidRDefault="008E239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Pr="00C5280D" w:rsidRDefault="008E239D" w:rsidP="00916691">
    <w:pPr>
      <w:pStyle w:val="Header"/>
      <w:rPr>
        <w:rStyle w:val="PageNumber"/>
        <w:lang w:val="en-US"/>
      </w:rPr>
    </w:pPr>
    <w:r>
      <w:rPr>
        <w:rStyle w:val="PageNumber"/>
        <w:lang w:val="en-US"/>
      </w:rPr>
      <w:t>C/54/4</w:t>
    </w:r>
  </w:p>
  <w:p w:rsidR="008E239D" w:rsidRPr="00C5280D" w:rsidRDefault="008E239D" w:rsidP="00916691">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23</w:t>
    </w:r>
    <w:r w:rsidRPr="00C5280D">
      <w:rPr>
        <w:rStyle w:val="PageNumber"/>
        <w:lang w:val="en-US"/>
      </w:rPr>
      <w:fldChar w:fldCharType="end"/>
    </w:r>
  </w:p>
  <w:p w:rsidR="008E239D" w:rsidRPr="00C5280D" w:rsidRDefault="008E239D" w:rsidP="009166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Pr="00C5280D" w:rsidRDefault="008E239D" w:rsidP="008E239D">
    <w:pPr>
      <w:pStyle w:val="Header"/>
      <w:rPr>
        <w:rStyle w:val="PageNumber"/>
        <w:lang w:val="en-US"/>
      </w:rPr>
    </w:pPr>
    <w:r>
      <w:rPr>
        <w:rStyle w:val="PageNumber"/>
        <w:lang w:val="en-US"/>
      </w:rPr>
      <w:t>C/54/4</w:t>
    </w:r>
  </w:p>
  <w:p w:rsidR="008E239D" w:rsidRPr="00C5280D" w:rsidRDefault="008E239D" w:rsidP="008E239D">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23</w:t>
    </w:r>
    <w:r w:rsidRPr="00C5280D">
      <w:rPr>
        <w:rStyle w:val="PageNumber"/>
        <w:lang w:val="en-US"/>
      </w:rPr>
      <w:fldChar w:fldCharType="end"/>
    </w:r>
  </w:p>
  <w:p w:rsidR="008E239D" w:rsidRPr="00C5280D" w:rsidRDefault="008E239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Pr="00674107" w:rsidRDefault="008E239D" w:rsidP="00916691">
    <w:pPr>
      <w:pStyle w:val="Header"/>
      <w:rPr>
        <w:rStyle w:val="PageNumber"/>
      </w:rPr>
    </w:pPr>
    <w:r w:rsidRPr="00674107">
      <w:rPr>
        <w:rStyle w:val="PageNumber"/>
      </w:rPr>
      <w:t>C/54/4</w:t>
    </w:r>
  </w:p>
  <w:p w:rsidR="008E239D" w:rsidRPr="00674107" w:rsidRDefault="008E239D" w:rsidP="00916691">
    <w:pPr>
      <w:pStyle w:val="Header"/>
    </w:pPr>
    <w:r w:rsidRPr="00674107">
      <w:t xml:space="preserve">Annexe, page </w:t>
    </w:r>
    <w:r w:rsidRPr="00674107">
      <w:rPr>
        <w:rStyle w:val="PageNumber"/>
      </w:rPr>
      <w:fldChar w:fldCharType="begin"/>
    </w:r>
    <w:r w:rsidRPr="00674107">
      <w:rPr>
        <w:rStyle w:val="PageNumber"/>
      </w:rPr>
      <w:instrText xml:space="preserve"> PAGE </w:instrText>
    </w:r>
    <w:r w:rsidRPr="00674107">
      <w:rPr>
        <w:rStyle w:val="PageNumber"/>
      </w:rPr>
      <w:fldChar w:fldCharType="separate"/>
    </w:r>
    <w:r>
      <w:rPr>
        <w:rStyle w:val="PageNumber"/>
        <w:noProof/>
      </w:rPr>
      <w:t>20</w:t>
    </w:r>
    <w:r w:rsidRPr="00674107">
      <w:rPr>
        <w:rStyle w:val="PageNumber"/>
      </w:rPr>
      <w:fldChar w:fldCharType="end"/>
    </w:r>
  </w:p>
  <w:p w:rsidR="008E239D" w:rsidRPr="00674107" w:rsidRDefault="008E239D" w:rsidP="0091669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Pr="00C5280D" w:rsidRDefault="008E239D" w:rsidP="00A71548">
    <w:pPr>
      <w:pStyle w:val="Header"/>
      <w:rPr>
        <w:rStyle w:val="PageNumber"/>
        <w:lang w:val="en-US"/>
      </w:rPr>
    </w:pPr>
    <w:r>
      <w:rPr>
        <w:rStyle w:val="PageNumber"/>
        <w:lang w:val="en-US"/>
      </w:rPr>
      <w:t>C/54/4</w:t>
    </w:r>
  </w:p>
  <w:p w:rsidR="008E239D" w:rsidRPr="00C544EF" w:rsidRDefault="008E239D" w:rsidP="00EB048E">
    <w:pPr>
      <w:pStyle w:val="Header"/>
    </w:pPr>
    <w:r w:rsidRPr="00C544EF">
      <w:t xml:space="preserve">Annexe, page </w:t>
    </w:r>
    <w:r w:rsidRPr="00C544EF">
      <w:rPr>
        <w:rStyle w:val="PageNumber"/>
      </w:rPr>
      <w:fldChar w:fldCharType="begin"/>
    </w:r>
    <w:r w:rsidRPr="00C544EF">
      <w:rPr>
        <w:rStyle w:val="PageNumber"/>
      </w:rPr>
      <w:instrText xml:space="preserve"> PAGE </w:instrText>
    </w:r>
    <w:r w:rsidRPr="00C544EF">
      <w:rPr>
        <w:rStyle w:val="PageNumber"/>
      </w:rPr>
      <w:fldChar w:fldCharType="separate"/>
    </w:r>
    <w:r w:rsidR="00C8606A">
      <w:rPr>
        <w:rStyle w:val="PageNumber"/>
        <w:noProof/>
      </w:rPr>
      <w:t>14</w:t>
    </w:r>
    <w:r w:rsidRPr="00C544EF">
      <w:rPr>
        <w:rStyle w:val="PageNumber"/>
      </w:rPr>
      <w:fldChar w:fldCharType="end"/>
    </w:r>
  </w:p>
  <w:p w:rsidR="008E239D" w:rsidRPr="00C5280D" w:rsidRDefault="008E239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9D" w:rsidRDefault="008E239D">
    <w:pPr>
      <w:pStyle w:val="Header"/>
      <w:rPr>
        <w:lang w:val="en-US"/>
      </w:rPr>
    </w:pPr>
    <w:r>
      <w:rPr>
        <w:lang w:val="en-US"/>
      </w:rPr>
      <w:t>C/54/4</w:t>
    </w:r>
  </w:p>
  <w:p w:rsidR="008E239D" w:rsidRDefault="008E239D" w:rsidP="008E239D">
    <w:pPr>
      <w:pStyle w:val="Header"/>
      <w:rPr>
        <w:lang w:val="en-US"/>
      </w:rPr>
    </w:pPr>
  </w:p>
  <w:p w:rsidR="008E239D" w:rsidRPr="009B2060" w:rsidRDefault="008E239D">
    <w:pPr>
      <w:pStyle w:val="Header"/>
    </w:pPr>
    <w:r>
      <w:t>ANNEXE</w:t>
    </w:r>
  </w:p>
  <w:p w:rsidR="008E239D" w:rsidRPr="00200C0E" w:rsidRDefault="008E239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DC25861"/>
    <w:multiLevelType w:val="hybridMultilevel"/>
    <w:tmpl w:val="83164BB0"/>
    <w:lvl w:ilvl="0" w:tplc="040C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91"/>
    <w:rsid w:val="00010700"/>
    <w:rsid w:val="00010CF3"/>
    <w:rsid w:val="00011E27"/>
    <w:rsid w:val="000148BC"/>
    <w:rsid w:val="00024AB8"/>
    <w:rsid w:val="00030854"/>
    <w:rsid w:val="00036028"/>
    <w:rsid w:val="00044642"/>
    <w:rsid w:val="000446B9"/>
    <w:rsid w:val="00047E21"/>
    <w:rsid w:val="00050E16"/>
    <w:rsid w:val="00085505"/>
    <w:rsid w:val="000A090F"/>
    <w:rsid w:val="000A0D03"/>
    <w:rsid w:val="000C4E25"/>
    <w:rsid w:val="000C7021"/>
    <w:rsid w:val="000D6BBC"/>
    <w:rsid w:val="000D7780"/>
    <w:rsid w:val="000E636A"/>
    <w:rsid w:val="000F2F11"/>
    <w:rsid w:val="000F4B0C"/>
    <w:rsid w:val="00105929"/>
    <w:rsid w:val="00110C36"/>
    <w:rsid w:val="001131D5"/>
    <w:rsid w:val="00116885"/>
    <w:rsid w:val="00141DB8"/>
    <w:rsid w:val="00172084"/>
    <w:rsid w:val="0017474A"/>
    <w:rsid w:val="001758C6"/>
    <w:rsid w:val="00182B99"/>
    <w:rsid w:val="001856E8"/>
    <w:rsid w:val="001D7027"/>
    <w:rsid w:val="00203F26"/>
    <w:rsid w:val="00206C9B"/>
    <w:rsid w:val="0021129C"/>
    <w:rsid w:val="0021332C"/>
    <w:rsid w:val="00213982"/>
    <w:rsid w:val="00235CD2"/>
    <w:rsid w:val="0024416D"/>
    <w:rsid w:val="00271911"/>
    <w:rsid w:val="00277810"/>
    <w:rsid w:val="002800A0"/>
    <w:rsid w:val="002801B3"/>
    <w:rsid w:val="00281060"/>
    <w:rsid w:val="00281081"/>
    <w:rsid w:val="002866E4"/>
    <w:rsid w:val="002940E8"/>
    <w:rsid w:val="00294751"/>
    <w:rsid w:val="002A6E50"/>
    <w:rsid w:val="002B4298"/>
    <w:rsid w:val="002C256A"/>
    <w:rsid w:val="002D266A"/>
    <w:rsid w:val="002E11BA"/>
    <w:rsid w:val="002F33B4"/>
    <w:rsid w:val="00301A7F"/>
    <w:rsid w:val="00305338"/>
    <w:rsid w:val="00305A7F"/>
    <w:rsid w:val="003152FE"/>
    <w:rsid w:val="00327436"/>
    <w:rsid w:val="00327BBA"/>
    <w:rsid w:val="00337C0A"/>
    <w:rsid w:val="00344BD6"/>
    <w:rsid w:val="0035084F"/>
    <w:rsid w:val="0035528D"/>
    <w:rsid w:val="00361821"/>
    <w:rsid w:val="00361E9E"/>
    <w:rsid w:val="003C7FBE"/>
    <w:rsid w:val="003D227C"/>
    <w:rsid w:val="003D2B4D"/>
    <w:rsid w:val="003E39A6"/>
    <w:rsid w:val="003F6ACE"/>
    <w:rsid w:val="0040139C"/>
    <w:rsid w:val="0040557F"/>
    <w:rsid w:val="004079ED"/>
    <w:rsid w:val="00443DE1"/>
    <w:rsid w:val="00444A88"/>
    <w:rsid w:val="0044752D"/>
    <w:rsid w:val="00474736"/>
    <w:rsid w:val="00474DA4"/>
    <w:rsid w:val="00476B4D"/>
    <w:rsid w:val="004805FA"/>
    <w:rsid w:val="00481CA0"/>
    <w:rsid w:val="004935D2"/>
    <w:rsid w:val="00495A8C"/>
    <w:rsid w:val="004B1215"/>
    <w:rsid w:val="004C38BE"/>
    <w:rsid w:val="004C5AE3"/>
    <w:rsid w:val="004D047D"/>
    <w:rsid w:val="004F1E9E"/>
    <w:rsid w:val="004F305A"/>
    <w:rsid w:val="00512164"/>
    <w:rsid w:val="00520297"/>
    <w:rsid w:val="005265AA"/>
    <w:rsid w:val="00532185"/>
    <w:rsid w:val="005338F9"/>
    <w:rsid w:val="0054281C"/>
    <w:rsid w:val="0054286D"/>
    <w:rsid w:val="00542C73"/>
    <w:rsid w:val="00544581"/>
    <w:rsid w:val="00545E42"/>
    <w:rsid w:val="0055268D"/>
    <w:rsid w:val="00576BE4"/>
    <w:rsid w:val="005A400A"/>
    <w:rsid w:val="005D40E4"/>
    <w:rsid w:val="005E7EA6"/>
    <w:rsid w:val="005F7B92"/>
    <w:rsid w:val="006038F1"/>
    <w:rsid w:val="00612379"/>
    <w:rsid w:val="006153B6"/>
    <w:rsid w:val="0061555F"/>
    <w:rsid w:val="00636CA6"/>
    <w:rsid w:val="00641200"/>
    <w:rsid w:val="00645CA8"/>
    <w:rsid w:val="006655D3"/>
    <w:rsid w:val="00667404"/>
    <w:rsid w:val="00674107"/>
    <w:rsid w:val="00687EB4"/>
    <w:rsid w:val="00693498"/>
    <w:rsid w:val="00695C56"/>
    <w:rsid w:val="006A5CDE"/>
    <w:rsid w:val="006A644A"/>
    <w:rsid w:val="006B17D2"/>
    <w:rsid w:val="006B7661"/>
    <w:rsid w:val="006C224E"/>
    <w:rsid w:val="006D780A"/>
    <w:rsid w:val="0071271E"/>
    <w:rsid w:val="00732DEC"/>
    <w:rsid w:val="00735BD5"/>
    <w:rsid w:val="00750F64"/>
    <w:rsid w:val="00751613"/>
    <w:rsid w:val="007556F6"/>
    <w:rsid w:val="0076054A"/>
    <w:rsid w:val="00760EEF"/>
    <w:rsid w:val="00777314"/>
    <w:rsid w:val="0077736C"/>
    <w:rsid w:val="00777EE5"/>
    <w:rsid w:val="00784836"/>
    <w:rsid w:val="0079023E"/>
    <w:rsid w:val="007A2854"/>
    <w:rsid w:val="007C017C"/>
    <w:rsid w:val="007C1D92"/>
    <w:rsid w:val="007C4CB9"/>
    <w:rsid w:val="007D0B9D"/>
    <w:rsid w:val="007D19B0"/>
    <w:rsid w:val="007F498F"/>
    <w:rsid w:val="0080679D"/>
    <w:rsid w:val="008108B0"/>
    <w:rsid w:val="00811B20"/>
    <w:rsid w:val="0081288C"/>
    <w:rsid w:val="00816623"/>
    <w:rsid w:val="008211B5"/>
    <w:rsid w:val="0082296E"/>
    <w:rsid w:val="00824099"/>
    <w:rsid w:val="00846D7C"/>
    <w:rsid w:val="00864C55"/>
    <w:rsid w:val="00867AC1"/>
    <w:rsid w:val="00890A49"/>
    <w:rsid w:val="00890DF8"/>
    <w:rsid w:val="008A743F"/>
    <w:rsid w:val="008C0970"/>
    <w:rsid w:val="008D0BC5"/>
    <w:rsid w:val="008D2CF7"/>
    <w:rsid w:val="008E239D"/>
    <w:rsid w:val="00900C26"/>
    <w:rsid w:val="0090197F"/>
    <w:rsid w:val="00903242"/>
    <w:rsid w:val="00906DDC"/>
    <w:rsid w:val="00916691"/>
    <w:rsid w:val="00934E09"/>
    <w:rsid w:val="00936253"/>
    <w:rsid w:val="00940D46"/>
    <w:rsid w:val="00943299"/>
    <w:rsid w:val="00952DD4"/>
    <w:rsid w:val="00965AE7"/>
    <w:rsid w:val="00970FED"/>
    <w:rsid w:val="00992D82"/>
    <w:rsid w:val="00997029"/>
    <w:rsid w:val="009A7339"/>
    <w:rsid w:val="009B2060"/>
    <w:rsid w:val="009B440E"/>
    <w:rsid w:val="009C3C8E"/>
    <w:rsid w:val="009D690D"/>
    <w:rsid w:val="009E65B6"/>
    <w:rsid w:val="009F19B5"/>
    <w:rsid w:val="00A24C10"/>
    <w:rsid w:val="00A42AC3"/>
    <w:rsid w:val="00A430CF"/>
    <w:rsid w:val="00A51CA5"/>
    <w:rsid w:val="00A54309"/>
    <w:rsid w:val="00A55BB1"/>
    <w:rsid w:val="00A706D3"/>
    <w:rsid w:val="00A71548"/>
    <w:rsid w:val="00A757AA"/>
    <w:rsid w:val="00A93637"/>
    <w:rsid w:val="00AB2418"/>
    <w:rsid w:val="00AB2B93"/>
    <w:rsid w:val="00AB530F"/>
    <w:rsid w:val="00AB5931"/>
    <w:rsid w:val="00AB7E5B"/>
    <w:rsid w:val="00AC2883"/>
    <w:rsid w:val="00AE0EF1"/>
    <w:rsid w:val="00AE2937"/>
    <w:rsid w:val="00AE39E3"/>
    <w:rsid w:val="00B07301"/>
    <w:rsid w:val="00B11F3E"/>
    <w:rsid w:val="00B224DE"/>
    <w:rsid w:val="00B324D4"/>
    <w:rsid w:val="00B46575"/>
    <w:rsid w:val="00B61777"/>
    <w:rsid w:val="00B65039"/>
    <w:rsid w:val="00B84BBD"/>
    <w:rsid w:val="00B967FA"/>
    <w:rsid w:val="00BA43FB"/>
    <w:rsid w:val="00BA4515"/>
    <w:rsid w:val="00BC127D"/>
    <w:rsid w:val="00BC1FE6"/>
    <w:rsid w:val="00BE3D2D"/>
    <w:rsid w:val="00BF0A7E"/>
    <w:rsid w:val="00C061B6"/>
    <w:rsid w:val="00C2446C"/>
    <w:rsid w:val="00C2558E"/>
    <w:rsid w:val="00C36AE5"/>
    <w:rsid w:val="00C41F17"/>
    <w:rsid w:val="00C527FA"/>
    <w:rsid w:val="00C5280D"/>
    <w:rsid w:val="00C53EB3"/>
    <w:rsid w:val="00C544EF"/>
    <w:rsid w:val="00C5791C"/>
    <w:rsid w:val="00C66290"/>
    <w:rsid w:val="00C72B7A"/>
    <w:rsid w:val="00C8606A"/>
    <w:rsid w:val="00C973F2"/>
    <w:rsid w:val="00CA2E8B"/>
    <w:rsid w:val="00CA304C"/>
    <w:rsid w:val="00CA774A"/>
    <w:rsid w:val="00CC11B0"/>
    <w:rsid w:val="00CC2841"/>
    <w:rsid w:val="00CF1330"/>
    <w:rsid w:val="00CF7E36"/>
    <w:rsid w:val="00D2776B"/>
    <w:rsid w:val="00D314F8"/>
    <w:rsid w:val="00D3708D"/>
    <w:rsid w:val="00D40426"/>
    <w:rsid w:val="00D41B08"/>
    <w:rsid w:val="00D432A3"/>
    <w:rsid w:val="00D57C96"/>
    <w:rsid w:val="00D57D18"/>
    <w:rsid w:val="00D73644"/>
    <w:rsid w:val="00D91203"/>
    <w:rsid w:val="00D95174"/>
    <w:rsid w:val="00DA4973"/>
    <w:rsid w:val="00DA6F36"/>
    <w:rsid w:val="00DB596E"/>
    <w:rsid w:val="00DB6F7F"/>
    <w:rsid w:val="00DB7773"/>
    <w:rsid w:val="00DC00EA"/>
    <w:rsid w:val="00DC3802"/>
    <w:rsid w:val="00DD1163"/>
    <w:rsid w:val="00DF3C0F"/>
    <w:rsid w:val="00DF3CBC"/>
    <w:rsid w:val="00DF62B8"/>
    <w:rsid w:val="00E07D87"/>
    <w:rsid w:val="00E250DE"/>
    <w:rsid w:val="00E26019"/>
    <w:rsid w:val="00E32F7E"/>
    <w:rsid w:val="00E33745"/>
    <w:rsid w:val="00E5267B"/>
    <w:rsid w:val="00E56C92"/>
    <w:rsid w:val="00E63C0E"/>
    <w:rsid w:val="00E70E07"/>
    <w:rsid w:val="00E72D49"/>
    <w:rsid w:val="00E7593C"/>
    <w:rsid w:val="00E7678A"/>
    <w:rsid w:val="00E935F1"/>
    <w:rsid w:val="00E94A81"/>
    <w:rsid w:val="00EA1FFB"/>
    <w:rsid w:val="00EB048E"/>
    <w:rsid w:val="00EB4E9C"/>
    <w:rsid w:val="00ED0026"/>
    <w:rsid w:val="00EE34DF"/>
    <w:rsid w:val="00EF2F89"/>
    <w:rsid w:val="00F03E98"/>
    <w:rsid w:val="00F1237A"/>
    <w:rsid w:val="00F22CBD"/>
    <w:rsid w:val="00F272F1"/>
    <w:rsid w:val="00F45372"/>
    <w:rsid w:val="00F4676D"/>
    <w:rsid w:val="00F560F7"/>
    <w:rsid w:val="00F6334D"/>
    <w:rsid w:val="00F721D0"/>
    <w:rsid w:val="00FA49AB"/>
    <w:rsid w:val="00FB2EB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849186"/>
  <w15:docId w15:val="{14176133-2B4B-4D7B-AB99-5B758E8F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2F33B4"/>
    <w:pPr>
      <w:keepNext/>
      <w:jc w:val="both"/>
      <w:outlineLvl w:val="0"/>
    </w:pPr>
    <w:rPr>
      <w:rFonts w:ascii="Arial" w:hAnsi="Arial"/>
      <w:b/>
      <w:caps/>
      <w:lang w:val="fr-FR"/>
    </w:rPr>
  </w:style>
  <w:style w:type="paragraph" w:styleId="Heading2">
    <w:name w:val="heading 2"/>
    <w:next w:val="Normal"/>
    <w:autoRedefine/>
    <w:qFormat/>
    <w:rsid w:val="00ED0026"/>
    <w:pPr>
      <w:keepNext/>
      <w:jc w:val="center"/>
      <w:outlineLvl w:val="1"/>
    </w:pPr>
    <w:rPr>
      <w:rFonts w:ascii="Arial" w:hAnsi="Arial"/>
      <w:b/>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95A8C"/>
    <w:pPr>
      <w:tabs>
        <w:tab w:val="right" w:leader="dot" w:pos="9498"/>
        <w:tab w:val="right" w:leader="dot" w:pos="9639"/>
      </w:tabs>
      <w:spacing w:after="120"/>
      <w:ind w:left="170" w:right="567"/>
    </w:pPr>
    <w:rPr>
      <w:rFonts w:ascii="Arial" w:hAnsi="Arial"/>
      <w:i/>
      <w:noProof/>
      <w:sz w:val="18"/>
      <w:szCs w:val="18"/>
      <w:lang w:val="fr-CH"/>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95A8C"/>
    <w:pPr>
      <w:tabs>
        <w:tab w:val="right" w:leader="dot" w:pos="9498"/>
      </w:tabs>
      <w:spacing w:before="240" w:after="120"/>
    </w:pPr>
    <w:rPr>
      <w:rFonts w:ascii="Arial" w:hAnsi="Arial"/>
      <w:b/>
      <w:caps/>
      <w:noProof/>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Inf4Normal">
    <w:name w:val="Inf_4_Normal"/>
    <w:basedOn w:val="Normal"/>
    <w:rsid w:val="00916691"/>
    <w:pPr>
      <w:spacing w:before="108"/>
    </w:pPr>
    <w:rPr>
      <w:lang w:val="en-US"/>
    </w:rPr>
  </w:style>
  <w:style w:type="paragraph" w:customStyle="1" w:styleId="Inf4Heading6">
    <w:name w:val="Inf_4_Heading_6"/>
    <w:basedOn w:val="Normal"/>
    <w:rsid w:val="00916691"/>
    <w:pPr>
      <w:keepNext/>
      <w:spacing w:before="108"/>
      <w:ind w:left="567"/>
      <w:outlineLvl w:val="5"/>
    </w:pPr>
    <w:rPr>
      <w:b/>
      <w:bCs/>
      <w:szCs w:val="24"/>
      <w:lang w:val="en-US"/>
    </w:rPr>
  </w:style>
  <w:style w:type="character" w:customStyle="1" w:styleId="HeaderChar">
    <w:name w:val="Header Char"/>
    <w:link w:val="Header"/>
    <w:uiPriority w:val="99"/>
    <w:rsid w:val="00916691"/>
    <w:rPr>
      <w:rFonts w:ascii="Arial" w:hAnsi="Arial"/>
      <w:lang w:val="fr-FR"/>
    </w:rPr>
  </w:style>
  <w:style w:type="character" w:customStyle="1" w:styleId="FooterChar">
    <w:name w:val="Footer Char"/>
    <w:aliases w:val="doc_path_name Char"/>
    <w:link w:val="Footer"/>
    <w:uiPriority w:val="99"/>
    <w:rsid w:val="00916691"/>
    <w:rPr>
      <w:rFonts w:ascii="Arial" w:hAnsi="Arial"/>
      <w:sz w:val="14"/>
    </w:rPr>
  </w:style>
  <w:style w:type="paragraph" w:customStyle="1" w:styleId="Inf4Heading4">
    <w:name w:val="Inf_4_Heading_4"/>
    <w:basedOn w:val="Inf4Heading6"/>
    <w:next w:val="Normal"/>
    <w:rsid w:val="00916691"/>
    <w:pPr>
      <w:ind w:left="0"/>
    </w:pPr>
  </w:style>
  <w:style w:type="paragraph" w:styleId="ListParagraph">
    <w:name w:val="List Paragraph"/>
    <w:basedOn w:val="Normal"/>
    <w:uiPriority w:val="34"/>
    <w:qFormat/>
    <w:rsid w:val="00916691"/>
    <w:pPr>
      <w:ind w:left="720"/>
      <w:contextualSpacing/>
    </w:pPr>
    <w:rPr>
      <w:lang w:val="en-US"/>
    </w:rPr>
  </w:style>
  <w:style w:type="paragraph" w:customStyle="1" w:styleId="Style3">
    <w:name w:val="Style3"/>
    <w:basedOn w:val="Normal"/>
    <w:link w:val="Style3Char"/>
    <w:rsid w:val="00916691"/>
    <w:pPr>
      <w:spacing w:after="120"/>
    </w:pPr>
    <w:rPr>
      <w:sz w:val="22"/>
      <w:lang w:val="en-US"/>
    </w:rPr>
  </w:style>
  <w:style w:type="character" w:customStyle="1" w:styleId="Style3Char">
    <w:name w:val="Style3 Char"/>
    <w:link w:val="Style3"/>
    <w:locked/>
    <w:rsid w:val="00916691"/>
    <w:rPr>
      <w:rFonts w:ascii="Arial" w:hAnsi="Arial"/>
      <w:sz w:val="22"/>
    </w:rPr>
  </w:style>
  <w:style w:type="paragraph" w:customStyle="1" w:styleId="Styletexte">
    <w:name w:val="Style texte"/>
    <w:basedOn w:val="Normal"/>
    <w:link w:val="StyletexteChar"/>
    <w:rsid w:val="00916691"/>
    <w:pPr>
      <w:spacing w:after="120"/>
    </w:pPr>
    <w:rPr>
      <w:sz w:val="22"/>
      <w:lang w:val="en-US"/>
    </w:rPr>
  </w:style>
  <w:style w:type="character" w:customStyle="1" w:styleId="StyletexteChar">
    <w:name w:val="Style texte Char"/>
    <w:link w:val="Styletexte"/>
    <w:locked/>
    <w:rsid w:val="009166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19">
      <w:bodyDiv w:val="1"/>
      <w:marLeft w:val="0"/>
      <w:marRight w:val="0"/>
      <w:marTop w:val="0"/>
      <w:marBottom w:val="0"/>
      <w:divBdr>
        <w:top w:val="none" w:sz="0" w:space="0" w:color="auto"/>
        <w:left w:val="none" w:sz="0" w:space="0" w:color="auto"/>
        <w:bottom w:val="none" w:sz="0" w:space="0" w:color="auto"/>
        <w:right w:val="none" w:sz="0" w:space="0" w:color="auto"/>
      </w:divBdr>
    </w:div>
    <w:div w:id="553928764">
      <w:bodyDiv w:val="1"/>
      <w:marLeft w:val="0"/>
      <w:marRight w:val="0"/>
      <w:marTop w:val="0"/>
      <w:marBottom w:val="0"/>
      <w:divBdr>
        <w:top w:val="none" w:sz="0" w:space="0" w:color="auto"/>
        <w:left w:val="none" w:sz="0" w:space="0" w:color="auto"/>
        <w:bottom w:val="none" w:sz="0" w:space="0" w:color="auto"/>
        <w:right w:val="none" w:sz="0" w:space="0" w:color="auto"/>
      </w:divBdr>
    </w:div>
    <w:div w:id="1059356604">
      <w:bodyDiv w:val="1"/>
      <w:marLeft w:val="0"/>
      <w:marRight w:val="0"/>
      <w:marTop w:val="0"/>
      <w:marBottom w:val="0"/>
      <w:divBdr>
        <w:top w:val="none" w:sz="0" w:space="0" w:color="auto"/>
        <w:left w:val="none" w:sz="0" w:space="0" w:color="auto"/>
        <w:bottom w:val="none" w:sz="0" w:space="0" w:color="auto"/>
        <w:right w:val="none" w:sz="0" w:space="0" w:color="auto"/>
      </w:divBdr>
    </w:div>
    <w:div w:id="1526017319">
      <w:bodyDiv w:val="1"/>
      <w:marLeft w:val="0"/>
      <w:marRight w:val="0"/>
      <w:marTop w:val="0"/>
      <w:marBottom w:val="0"/>
      <w:divBdr>
        <w:top w:val="none" w:sz="0" w:space="0" w:color="auto"/>
        <w:left w:val="none" w:sz="0" w:space="0" w:color="auto"/>
        <w:bottom w:val="none" w:sz="0" w:space="0" w:color="auto"/>
        <w:right w:val="none" w:sz="0" w:space="0" w:color="auto"/>
      </w:divBdr>
    </w:div>
    <w:div w:id="154416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E43B-4AB5-47CC-AB31-70D5F4B1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27</Pages>
  <Words>4280</Words>
  <Characters>24767</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HERMANS Jean-Christophe</dc:creator>
  <cp:keywords>FOR OFFICIAL USE ONLY</cp:keywords>
  <cp:lastModifiedBy>BESSE Ariane</cp:lastModifiedBy>
  <cp:revision>14</cp:revision>
  <cp:lastPrinted>2016-11-22T15:41:00Z</cp:lastPrinted>
  <dcterms:created xsi:type="dcterms:W3CDTF">2020-08-18T15:52:00Z</dcterms:created>
  <dcterms:modified xsi:type="dcterms:W3CDTF">2020-08-20T11:28:00Z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97f723ef-914b-4d40-abed-7ef37b45d622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