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A706D3" w:rsidP="00AC2883">
            <w:pPr>
              <w:pStyle w:val="Lettrine"/>
            </w:pPr>
            <w:r>
              <w:t>F</w:t>
            </w:r>
          </w:p>
        </w:tc>
      </w:tr>
      <w:tr w:rsidR="00DC3802" w:rsidRPr="00DA4973" w:rsidTr="00645CA8">
        <w:trPr>
          <w:trHeight w:val="219"/>
        </w:trPr>
        <w:tc>
          <w:tcPr>
            <w:tcW w:w="6522" w:type="dxa"/>
          </w:tcPr>
          <w:p w:rsidR="00DC3802" w:rsidRPr="00AC2883" w:rsidRDefault="00DC3802" w:rsidP="00A706D3">
            <w:pPr>
              <w:pStyle w:val="upove"/>
            </w:pPr>
            <w:r w:rsidRPr="00AC2883">
              <w:t xml:space="preserve">Union </w:t>
            </w:r>
            <w:r w:rsidR="00A706D3">
              <w:t>i</w:t>
            </w:r>
            <w:r w:rsidR="00A706D3" w:rsidRPr="00AC2883">
              <w:t>nternational</w:t>
            </w:r>
            <w:r w:rsidR="00A706D3">
              <w:t>e</w:t>
            </w:r>
            <w:r w:rsidR="00A706D3" w:rsidRPr="00AC2883">
              <w:t xml:space="preserve"> </w:t>
            </w:r>
            <w:r w:rsidR="00A706D3">
              <w:t>pour la protection des obtentions végétales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B63777">
        <w:tc>
          <w:tcPr>
            <w:tcW w:w="6512" w:type="dxa"/>
            <w:tcBorders>
              <w:bottom w:val="single" w:sz="4" w:space="0" w:color="auto"/>
            </w:tcBorders>
          </w:tcPr>
          <w:p w:rsidR="00EB4E9C" w:rsidRPr="00AC2883" w:rsidRDefault="00AB5931" w:rsidP="00AC2883">
            <w:pPr>
              <w:pStyle w:val="Sessiontc"/>
              <w:spacing w:line="240" w:lineRule="auto"/>
            </w:pPr>
            <w:r>
              <w:t>Conseil</w:t>
            </w:r>
          </w:p>
          <w:p w:rsidR="00EB4E9C" w:rsidRPr="00DC3802" w:rsidRDefault="00AB5931" w:rsidP="00235CD2">
            <w:pPr>
              <w:pStyle w:val="Sessiontcplacedate"/>
              <w:rPr>
                <w:sz w:val="22"/>
              </w:rPr>
            </w:pPr>
            <w:r>
              <w:t>Cinquante</w:t>
            </w:r>
            <w:r w:rsidR="005E7EA6">
              <w:t>-</w:t>
            </w:r>
            <w:r w:rsidR="00235CD2">
              <w:t>quatr</w:t>
            </w:r>
            <w:r w:rsidR="005E7EA6">
              <w:t>ième</w:t>
            </w:r>
            <w:r>
              <w:t xml:space="preserve"> </w:t>
            </w:r>
            <w:r w:rsidR="00A706D3">
              <w:t>s</w:t>
            </w:r>
            <w:r w:rsidR="00EB4E9C" w:rsidRPr="00DA4973">
              <w:t>ession</w:t>
            </w:r>
            <w:r>
              <w:t xml:space="preserve"> ordinaire</w:t>
            </w:r>
            <w:r w:rsidR="00EB4E9C" w:rsidRPr="00DA4973">
              <w:br/>
              <w:t>Gen</w:t>
            </w:r>
            <w:r w:rsidR="00A706D3">
              <w:t>è</w:t>
            </w:r>
            <w:r w:rsidR="00EB4E9C" w:rsidRPr="00DA4973">
              <w:t>v</w:t>
            </w:r>
            <w:r w:rsidR="00A706D3">
              <w:t>e</w:t>
            </w:r>
            <w:r w:rsidR="00EB4E9C" w:rsidRPr="00DA4973">
              <w:t xml:space="preserve">, </w:t>
            </w:r>
            <w:r w:rsidR="00235CD2">
              <w:t>30 octobre 2020</w:t>
            </w:r>
          </w:p>
        </w:tc>
        <w:tc>
          <w:tcPr>
            <w:tcW w:w="3127" w:type="dxa"/>
            <w:tcBorders>
              <w:bottom w:val="single" w:sz="4" w:space="0" w:color="auto"/>
            </w:tcBorders>
          </w:tcPr>
          <w:p w:rsidR="00EB4E9C" w:rsidRPr="00235CD2" w:rsidRDefault="00235CD2" w:rsidP="003C7FBE">
            <w:pPr>
              <w:pStyle w:val="Doccode"/>
              <w:rPr>
                <w:lang w:val="fr-FR"/>
              </w:rPr>
            </w:pPr>
            <w:r w:rsidRPr="00235CD2">
              <w:rPr>
                <w:lang w:val="fr-FR"/>
              </w:rPr>
              <w:t>C/54</w:t>
            </w:r>
            <w:r w:rsidR="00EB4E9C" w:rsidRPr="00235CD2">
              <w:rPr>
                <w:lang w:val="fr-FR"/>
              </w:rPr>
              <w:t>/</w:t>
            </w:r>
            <w:r w:rsidR="00042697">
              <w:rPr>
                <w:lang w:val="fr-FR"/>
              </w:rPr>
              <w:t>19</w:t>
            </w:r>
          </w:p>
          <w:p w:rsidR="00EB4E9C" w:rsidRPr="003C7FBE" w:rsidRDefault="00EB4E9C" w:rsidP="003C7FBE">
            <w:pPr>
              <w:pStyle w:val="Docoriginal"/>
            </w:pPr>
            <w:r w:rsidRPr="00AC2883">
              <w:t>Original:</w:t>
            </w:r>
            <w:r w:rsidRPr="000E636A">
              <w:rPr>
                <w:b w:val="0"/>
                <w:spacing w:val="0"/>
              </w:rPr>
              <w:t xml:space="preserve">  </w:t>
            </w:r>
            <w:r w:rsidR="00A706D3">
              <w:rPr>
                <w:b w:val="0"/>
                <w:spacing w:val="0"/>
              </w:rPr>
              <w:t>anglais</w:t>
            </w:r>
          </w:p>
          <w:p w:rsidR="00EB4E9C" w:rsidRPr="007C1D92" w:rsidRDefault="00EB4E9C" w:rsidP="00235CD2">
            <w:pPr>
              <w:pStyle w:val="Docoriginal"/>
            </w:pPr>
            <w:r w:rsidRPr="00AC2883">
              <w:t>Date:</w:t>
            </w:r>
            <w:r w:rsidRPr="000E636A">
              <w:rPr>
                <w:b w:val="0"/>
                <w:spacing w:val="0"/>
              </w:rPr>
              <w:t xml:space="preserve">  </w:t>
            </w:r>
            <w:r w:rsidR="00B63777" w:rsidRPr="00CA6049">
              <w:rPr>
                <w:b w:val="0"/>
                <w:spacing w:val="0"/>
                <w:lang w:val="fr-CH"/>
              </w:rPr>
              <w:t>25 septembre</w:t>
            </w:r>
            <w:r w:rsidR="00B63777">
              <w:rPr>
                <w:b w:val="0"/>
                <w:spacing w:val="0"/>
                <w:lang w:val="fr-CH"/>
              </w:rPr>
              <w:t> 2020</w:t>
            </w:r>
          </w:p>
        </w:tc>
      </w:tr>
      <w:tr w:rsidR="00B63777" w:rsidRPr="00C5280D" w:rsidTr="00B63777">
        <w:tc>
          <w:tcPr>
            <w:tcW w:w="6512" w:type="dxa"/>
            <w:tcBorders>
              <w:top w:val="single" w:sz="4" w:space="0" w:color="auto"/>
              <w:bottom w:val="single" w:sz="4" w:space="0" w:color="auto"/>
            </w:tcBorders>
          </w:tcPr>
          <w:p w:rsidR="00B63777" w:rsidRPr="008E2BED" w:rsidRDefault="00B63777" w:rsidP="00B63777">
            <w:pPr>
              <w:pStyle w:val="Sessiontc"/>
              <w:spacing w:line="240" w:lineRule="auto"/>
              <w:rPr>
                <w:i/>
              </w:rPr>
            </w:pPr>
            <w:r w:rsidRPr="00C023D0">
              <w:rPr>
                <w:i/>
              </w:rPr>
              <w:t>à examiner par correspondance</w:t>
            </w:r>
          </w:p>
        </w:tc>
        <w:tc>
          <w:tcPr>
            <w:tcW w:w="3127" w:type="dxa"/>
            <w:tcBorders>
              <w:top w:val="single" w:sz="4" w:space="0" w:color="auto"/>
              <w:bottom w:val="single" w:sz="4" w:space="0" w:color="auto"/>
            </w:tcBorders>
          </w:tcPr>
          <w:p w:rsidR="00B63777" w:rsidRPr="00002C5F" w:rsidRDefault="00B63777" w:rsidP="00B63777">
            <w:pPr>
              <w:pStyle w:val="Doccode"/>
              <w:rPr>
                <w:lang w:val="fr-FR"/>
              </w:rPr>
            </w:pPr>
          </w:p>
        </w:tc>
      </w:tr>
    </w:tbl>
    <w:p w:rsidR="000D7780" w:rsidRPr="006A644A" w:rsidRDefault="00042697" w:rsidP="006A644A">
      <w:pPr>
        <w:pStyle w:val="Titleofdoc0"/>
      </w:pPr>
      <w:bookmarkStart w:id="0" w:name="TitleOfDoc"/>
      <w:bookmarkEnd w:id="0"/>
      <w:r w:rsidRPr="00042697">
        <w:t>Règlement financier et règlement d’exécution du Règlement financier de l’UPOV (révision de l’article 4.6)</w:t>
      </w:r>
    </w:p>
    <w:p w:rsidR="006A644A" w:rsidRPr="006A644A" w:rsidRDefault="00AE0EF1" w:rsidP="006A644A">
      <w:pPr>
        <w:pStyle w:val="preparedby1"/>
        <w:jc w:val="left"/>
      </w:pPr>
      <w:bookmarkStart w:id="1" w:name="Prepared"/>
      <w:bookmarkEnd w:id="1"/>
      <w:r w:rsidRPr="000C4E25">
        <w:t xml:space="preserve">Document </w:t>
      </w:r>
      <w:r w:rsidR="00A706D3">
        <w:t>établi par le Bureau de l’Union</w:t>
      </w:r>
    </w:p>
    <w:p w:rsidR="00050E16" w:rsidRPr="006A644A" w:rsidRDefault="00A706D3" w:rsidP="006A644A">
      <w:pPr>
        <w:pStyle w:val="Disclaimer"/>
      </w:pPr>
      <w:r w:rsidRPr="00A706D3">
        <w:t>Avertissement : le présent document ne représente pas les principes ou les orientations de l’UPOV</w:t>
      </w:r>
    </w:p>
    <w:p w:rsidR="00042697" w:rsidRPr="009D6317" w:rsidRDefault="00042697" w:rsidP="00042697">
      <w:pPr>
        <w:rPr>
          <w:snapToGrid w:val="0"/>
          <w:lang w:val="fr-CH"/>
        </w:rPr>
      </w:pPr>
      <w:r w:rsidRPr="008B6036">
        <w:rPr>
          <w:snapToGrid w:val="0"/>
        </w:rPr>
        <w:fldChar w:fldCharType="begin"/>
      </w:r>
      <w:r w:rsidRPr="008B6036">
        <w:rPr>
          <w:snapToGrid w:val="0"/>
          <w:lang w:val="fr-CH"/>
        </w:rPr>
        <w:instrText xml:space="preserve"> AUTONUM  </w:instrText>
      </w:r>
      <w:r w:rsidRPr="008B6036">
        <w:rPr>
          <w:snapToGrid w:val="0"/>
        </w:rPr>
        <w:fldChar w:fldCharType="end"/>
      </w:r>
      <w:r w:rsidRPr="008B6036">
        <w:rPr>
          <w:snapToGrid w:val="0"/>
          <w:lang w:val="fr-CH"/>
        </w:rPr>
        <w:tab/>
      </w:r>
      <w:r w:rsidR="008B6036" w:rsidRPr="008B6036">
        <w:rPr>
          <w:snapToGrid w:val="0"/>
          <w:lang w:val="fr-CH"/>
        </w:rPr>
        <w:t xml:space="preserve">Le présent document a pour objet d’inviter le Conseil à adopter une version révisée de </w:t>
      </w:r>
      <w:r w:rsidRPr="008B6036">
        <w:rPr>
          <w:snapToGrid w:val="0"/>
          <w:lang w:val="fr-CH"/>
        </w:rPr>
        <w:t>l’article 4.6 du Règlement financier et règlement d'exécution du Règlement financier de l'UPOV (document UPOV/INF/4/5).</w:t>
      </w:r>
    </w:p>
    <w:p w:rsidR="00042697" w:rsidRPr="009D6317" w:rsidRDefault="00042697" w:rsidP="00042697">
      <w:pPr>
        <w:rPr>
          <w:snapToGrid w:val="0"/>
          <w:lang w:val="fr-CH"/>
        </w:rPr>
      </w:pPr>
    </w:p>
    <w:p w:rsidR="00042697" w:rsidRPr="009D6317" w:rsidRDefault="00042697" w:rsidP="00042697">
      <w:pPr>
        <w:rPr>
          <w:snapToGrid w:val="0"/>
          <w:lang w:val="fr-CH"/>
        </w:rPr>
      </w:pPr>
      <w:r w:rsidRPr="009D6317">
        <w:rPr>
          <w:rFonts w:cs="Arial"/>
        </w:rPr>
        <w:fldChar w:fldCharType="begin"/>
      </w:r>
      <w:r w:rsidRPr="009D6317">
        <w:rPr>
          <w:rFonts w:cs="Arial"/>
          <w:lang w:val="fr-CH"/>
        </w:rPr>
        <w:instrText xml:space="preserve"> AUTONUM  </w:instrText>
      </w:r>
      <w:r w:rsidRPr="009D6317">
        <w:rPr>
          <w:rFonts w:cs="Arial"/>
        </w:rPr>
        <w:fldChar w:fldCharType="end"/>
      </w:r>
      <w:r w:rsidRPr="009D6317">
        <w:rPr>
          <w:rFonts w:cs="Arial"/>
          <w:lang w:val="fr-CH"/>
        </w:rPr>
        <w:tab/>
        <w:t xml:space="preserve">L’article 4.6 du </w:t>
      </w:r>
      <w:r w:rsidRPr="0053041B">
        <w:rPr>
          <w:rFonts w:cs="Arial"/>
          <w:lang w:val="fr-CH"/>
        </w:rPr>
        <w:t xml:space="preserve">Règlement financier et règlement d'exécution du Règlement financier de l'UPOV </w:t>
      </w:r>
      <w:r w:rsidRPr="009D6317">
        <w:rPr>
          <w:rFonts w:cs="Arial"/>
          <w:lang w:val="fr-CH"/>
        </w:rPr>
        <w:t>(document UPOV/INF/5/4) prévoit ce qui suit :</w:t>
      </w:r>
    </w:p>
    <w:p w:rsidR="00042697" w:rsidRPr="009D6317" w:rsidRDefault="00042697" w:rsidP="00042697">
      <w:pPr>
        <w:rPr>
          <w:snapToGrid w:val="0"/>
          <w:lang w:val="fr-CH"/>
        </w:rPr>
      </w:pPr>
    </w:p>
    <w:p w:rsidR="00042697" w:rsidRPr="009D6317" w:rsidRDefault="00042697" w:rsidP="00042697">
      <w:pPr>
        <w:pStyle w:val="Default"/>
        <w:ind w:left="567" w:right="567"/>
        <w:rPr>
          <w:b/>
          <w:bCs/>
          <w:color w:val="auto"/>
          <w:sz w:val="20"/>
          <w:szCs w:val="20"/>
          <w:lang w:val="fr-CH"/>
        </w:rPr>
      </w:pPr>
      <w:r w:rsidRPr="009D6317">
        <w:rPr>
          <w:b/>
          <w:bCs/>
          <w:color w:val="auto"/>
          <w:sz w:val="20"/>
          <w:szCs w:val="20"/>
          <w:lang w:val="fr-CH"/>
        </w:rPr>
        <w:t>“Excédents de recettes et déficits;  fonds de réserve</w:t>
      </w:r>
    </w:p>
    <w:p w:rsidR="00042697" w:rsidRPr="009D6317" w:rsidRDefault="00042697" w:rsidP="00042697">
      <w:pPr>
        <w:pStyle w:val="Default"/>
        <w:ind w:left="567" w:right="567"/>
        <w:rPr>
          <w:color w:val="auto"/>
          <w:lang w:val="fr-CH"/>
        </w:rPr>
      </w:pPr>
    </w:p>
    <w:p w:rsidR="00042697" w:rsidRPr="009D6317" w:rsidRDefault="00042697" w:rsidP="00042697">
      <w:pPr>
        <w:pStyle w:val="Default"/>
        <w:ind w:left="567" w:right="567"/>
        <w:rPr>
          <w:color w:val="auto"/>
          <w:lang w:val="fr-CH"/>
        </w:rPr>
      </w:pPr>
      <w:r w:rsidRPr="009D6317">
        <w:rPr>
          <w:b/>
          <w:bCs/>
          <w:color w:val="auto"/>
          <w:sz w:val="20"/>
          <w:szCs w:val="20"/>
          <w:lang w:val="fr-CH"/>
        </w:rPr>
        <w:t xml:space="preserve">“Article 4.6 </w:t>
      </w:r>
    </w:p>
    <w:p w:rsidR="00042697" w:rsidRPr="009D6317" w:rsidRDefault="00042697" w:rsidP="00042697">
      <w:pPr>
        <w:ind w:left="567" w:right="567"/>
        <w:rPr>
          <w:lang w:val="fr-CH"/>
        </w:rPr>
      </w:pPr>
    </w:p>
    <w:p w:rsidR="00042697" w:rsidRPr="009D6317" w:rsidRDefault="00042697" w:rsidP="00042697">
      <w:pPr>
        <w:ind w:left="567" w:right="567"/>
        <w:rPr>
          <w:lang w:val="fr-CH"/>
        </w:rPr>
      </w:pPr>
      <w:r w:rsidRPr="009D6317">
        <w:rPr>
          <w:lang w:val="fr-CH"/>
        </w:rPr>
        <w:t xml:space="preserve">“L’utilisation du fonds de réserve à des fins autres que pour couvrir un déficit relève de la décision du Conseil.  Si, après la clôture de l’exercice financier, le montant du fonds de réserve dépasse 15% des recettes totales pour l’exercice financier, l’excédent est remboursé aux membres de l’UPOV, sauf si le Conseil en décide autrement.  Tout membre de l’UPOV peut demander que le montant qui lui est remboursé soit déposé sur un compte spécial ou dans un fonds fiduciaire qu’il aura désigné.” </w:t>
      </w:r>
    </w:p>
    <w:p w:rsidR="00042697" w:rsidRPr="009D6317" w:rsidRDefault="00042697" w:rsidP="00042697">
      <w:pPr>
        <w:rPr>
          <w:lang w:val="fr-CH"/>
        </w:rPr>
      </w:pPr>
      <w:r w:rsidRPr="009D6317">
        <w:rPr>
          <w:rFonts w:cs="Arial"/>
          <w:lang w:val="fr-CH"/>
        </w:rPr>
        <w:t> </w:t>
      </w:r>
    </w:p>
    <w:p w:rsidR="00042697" w:rsidRPr="009D6317" w:rsidRDefault="00042697" w:rsidP="00042697">
      <w:pPr>
        <w:rPr>
          <w:rFonts w:cs="Arial"/>
          <w:lang w:val="fr-CH"/>
        </w:rPr>
      </w:pPr>
      <w:r w:rsidRPr="009D6317">
        <w:rPr>
          <w:rFonts w:cs="Arial"/>
        </w:rPr>
        <w:fldChar w:fldCharType="begin"/>
      </w:r>
      <w:r w:rsidRPr="009D6317">
        <w:rPr>
          <w:rFonts w:cs="Arial"/>
          <w:lang w:val="fr-CH"/>
        </w:rPr>
        <w:instrText xml:space="preserve"> AUTONUM  </w:instrText>
      </w:r>
      <w:r w:rsidRPr="009D6317">
        <w:rPr>
          <w:rFonts w:cs="Arial"/>
        </w:rPr>
        <w:fldChar w:fldCharType="end"/>
      </w:r>
      <w:r w:rsidRPr="009D6317">
        <w:rPr>
          <w:rFonts w:cs="Arial"/>
          <w:lang w:val="fr-CH"/>
        </w:rPr>
        <w:tab/>
        <w:t xml:space="preserve">L’objet de la révision de l’article 4.6 serait de permettre à l’UPOV de réagir aux situations susceptibles </w:t>
      </w:r>
      <w:r>
        <w:rPr>
          <w:rFonts w:cs="Arial"/>
          <w:lang w:val="fr-CH"/>
        </w:rPr>
        <w:t>de compromettre</w:t>
      </w:r>
      <w:r w:rsidRPr="009D6317">
        <w:rPr>
          <w:rFonts w:cs="Arial"/>
          <w:lang w:val="fr-CH"/>
        </w:rPr>
        <w:t xml:space="preserve"> sa stabilité financière</w:t>
      </w:r>
      <w:r>
        <w:rPr>
          <w:rFonts w:cs="Arial"/>
          <w:lang w:val="fr-CH"/>
        </w:rPr>
        <w:t>,</w:t>
      </w:r>
      <w:r w:rsidRPr="009D6317">
        <w:rPr>
          <w:rFonts w:cs="Arial"/>
          <w:lang w:val="fr-CH"/>
        </w:rPr>
        <w:t xml:space="preserve"> et de tenir compte des faits nouveaux concernant les sources de recettes de l’UPOV.</w:t>
      </w:r>
    </w:p>
    <w:p w:rsidR="00042697" w:rsidRPr="009D6317" w:rsidRDefault="00042697" w:rsidP="00042697">
      <w:pPr>
        <w:rPr>
          <w:rFonts w:cs="Arial"/>
          <w:lang w:val="fr-CH"/>
        </w:rPr>
      </w:pPr>
    </w:p>
    <w:p w:rsidR="00042697" w:rsidRPr="009D6317" w:rsidRDefault="00042697" w:rsidP="00042697">
      <w:pPr>
        <w:rPr>
          <w:rFonts w:cs="Arial"/>
          <w:lang w:val="fr-CH"/>
        </w:rPr>
      </w:pPr>
      <w:r w:rsidRPr="009D6317">
        <w:rPr>
          <w:rFonts w:cs="Arial"/>
        </w:rPr>
        <w:fldChar w:fldCharType="begin"/>
      </w:r>
      <w:r w:rsidRPr="009D6317">
        <w:rPr>
          <w:rFonts w:cs="Arial"/>
          <w:lang w:val="fr-CH"/>
        </w:rPr>
        <w:instrText xml:space="preserve"> AUTONUM  </w:instrText>
      </w:r>
      <w:r w:rsidRPr="009D6317">
        <w:rPr>
          <w:rFonts w:cs="Arial"/>
        </w:rPr>
        <w:fldChar w:fldCharType="end"/>
      </w:r>
      <w:r w:rsidRPr="009D6317">
        <w:rPr>
          <w:rFonts w:cs="Arial"/>
          <w:lang w:val="fr-CH"/>
        </w:rPr>
        <w:tab/>
        <w:t xml:space="preserve">Le libellé actuel de l’article 4.6 dans le document UPOV/INF/4/5, </w:t>
      </w:r>
      <w:r>
        <w:rPr>
          <w:rFonts w:cs="Arial"/>
          <w:lang w:val="fr-CH"/>
        </w:rPr>
        <w:t>dispose</w:t>
      </w:r>
      <w:r w:rsidRPr="009D6317">
        <w:rPr>
          <w:rFonts w:cs="Arial"/>
          <w:lang w:val="fr-CH"/>
        </w:rPr>
        <w:t xml:space="preserve"> que, sauf consensus contraire, le montant du fonds de réserve dépassant 15% des recettes totales pour l’exercice financier soit “remboursé aux membres de l’UPOV”.</w:t>
      </w:r>
    </w:p>
    <w:p w:rsidR="00042697" w:rsidRPr="009D6317" w:rsidRDefault="00042697" w:rsidP="00042697">
      <w:pPr>
        <w:rPr>
          <w:rFonts w:cs="Arial"/>
          <w:lang w:val="fr-CH"/>
        </w:rPr>
      </w:pPr>
    </w:p>
    <w:p w:rsidR="00042697" w:rsidRPr="009D6317" w:rsidRDefault="00042697" w:rsidP="00042697">
      <w:pPr>
        <w:rPr>
          <w:rFonts w:cs="Arial"/>
          <w:lang w:val="fr-CH"/>
        </w:rPr>
      </w:pPr>
      <w:r w:rsidRPr="009D6317">
        <w:rPr>
          <w:rFonts w:cs="Arial"/>
        </w:rPr>
        <w:fldChar w:fldCharType="begin"/>
      </w:r>
      <w:r w:rsidRPr="009D6317">
        <w:rPr>
          <w:rFonts w:cs="Arial"/>
          <w:lang w:val="fr-CH"/>
        </w:rPr>
        <w:instrText xml:space="preserve"> AUTONUM  </w:instrText>
      </w:r>
      <w:r w:rsidRPr="009D6317">
        <w:rPr>
          <w:rFonts w:cs="Arial"/>
        </w:rPr>
        <w:fldChar w:fldCharType="end"/>
      </w:r>
      <w:r w:rsidRPr="009D6317">
        <w:rPr>
          <w:rFonts w:cs="Arial"/>
          <w:lang w:val="fr-CH"/>
        </w:rPr>
        <w:tab/>
        <w:t>Dans la pratique, une fois que le fonds de réserve atteint les 15%, il est inévitable qu’un excédent soit généré à l’issue d</w:t>
      </w:r>
      <w:r>
        <w:rPr>
          <w:rFonts w:cs="Arial"/>
          <w:lang w:val="fr-CH"/>
        </w:rPr>
        <w:t xml:space="preserve">es </w:t>
      </w:r>
      <w:r w:rsidRPr="009D6317">
        <w:rPr>
          <w:rFonts w:cs="Arial"/>
          <w:lang w:val="fr-CH"/>
        </w:rPr>
        <w:t>exercices financiers successifs</w:t>
      </w:r>
      <w:r>
        <w:rPr>
          <w:rFonts w:cs="Arial"/>
          <w:lang w:val="fr-CH"/>
        </w:rPr>
        <w:t>,</w:t>
      </w:r>
      <w:r w:rsidRPr="009D6317">
        <w:rPr>
          <w:rFonts w:cs="Arial"/>
          <w:lang w:val="fr-CH"/>
        </w:rPr>
        <w:t xml:space="preserve"> </w:t>
      </w:r>
      <w:r>
        <w:rPr>
          <w:rFonts w:cs="Arial"/>
          <w:lang w:val="fr-CH"/>
        </w:rPr>
        <w:t>du fait</w:t>
      </w:r>
      <w:r w:rsidRPr="009D6317">
        <w:rPr>
          <w:rFonts w:cs="Arial"/>
          <w:lang w:val="fr-CH"/>
        </w:rPr>
        <w:t xml:space="preserve"> des contrôles</w:t>
      </w:r>
      <w:r>
        <w:rPr>
          <w:rFonts w:cs="Arial"/>
          <w:lang w:val="fr-CH"/>
        </w:rPr>
        <w:t xml:space="preserve"> exercés</w:t>
      </w:r>
      <w:r w:rsidRPr="009D6317">
        <w:rPr>
          <w:rFonts w:cs="Arial"/>
          <w:lang w:val="fr-CH"/>
        </w:rPr>
        <w:t xml:space="preserve"> sur les dépenses.</w:t>
      </w:r>
      <w:r>
        <w:rPr>
          <w:rFonts w:cs="Arial"/>
          <w:lang w:val="fr-CH"/>
        </w:rPr>
        <w:t xml:space="preserve"> </w:t>
      </w:r>
      <w:r w:rsidRPr="009D6317">
        <w:rPr>
          <w:rFonts w:cs="Arial"/>
          <w:lang w:val="fr-CH"/>
        </w:rPr>
        <w:t xml:space="preserve"> Les contrôles financiers </w:t>
      </w:r>
      <w:r>
        <w:rPr>
          <w:rFonts w:cs="Arial"/>
          <w:lang w:val="fr-CH"/>
        </w:rPr>
        <w:t>de</w:t>
      </w:r>
      <w:r w:rsidRPr="009D6317">
        <w:rPr>
          <w:rFonts w:cs="Arial"/>
          <w:lang w:val="fr-CH"/>
        </w:rPr>
        <w:t xml:space="preserve"> l’UPOV ne </w:t>
      </w:r>
      <w:r>
        <w:rPr>
          <w:rFonts w:cs="Arial"/>
          <w:lang w:val="fr-CH"/>
        </w:rPr>
        <w:t>laisseront la place à</w:t>
      </w:r>
      <w:r w:rsidRPr="009D6317">
        <w:rPr>
          <w:rFonts w:cs="Arial"/>
          <w:lang w:val="fr-CH"/>
        </w:rPr>
        <w:t xml:space="preserve"> </w:t>
      </w:r>
      <w:r>
        <w:rPr>
          <w:rFonts w:cs="Arial"/>
          <w:lang w:val="fr-CH"/>
        </w:rPr>
        <w:t>aucun</w:t>
      </w:r>
      <w:r w:rsidRPr="009D6317">
        <w:rPr>
          <w:rFonts w:cs="Arial"/>
          <w:lang w:val="fr-CH"/>
        </w:rPr>
        <w:t xml:space="preserve"> dépasse</w:t>
      </w:r>
      <w:r>
        <w:rPr>
          <w:rFonts w:cs="Arial"/>
          <w:lang w:val="fr-CH"/>
        </w:rPr>
        <w:t>ment du</w:t>
      </w:r>
      <w:r w:rsidRPr="009D6317">
        <w:rPr>
          <w:rFonts w:cs="Arial"/>
          <w:lang w:val="fr-CH"/>
        </w:rPr>
        <w:t xml:space="preserve"> budget autorisé, de sorte que les dépenses effectives à la fin de l’exercice biennal devront toujours être inférieures aux dépenses approuvées.</w:t>
      </w:r>
    </w:p>
    <w:p w:rsidR="00042697" w:rsidRPr="009D6317" w:rsidRDefault="00042697" w:rsidP="00042697">
      <w:pPr>
        <w:rPr>
          <w:rFonts w:cs="Arial"/>
          <w:lang w:val="fr-CH"/>
        </w:rPr>
      </w:pPr>
    </w:p>
    <w:p w:rsidR="00042697" w:rsidRPr="009D6317" w:rsidRDefault="00042697" w:rsidP="00042697">
      <w:pPr>
        <w:rPr>
          <w:rFonts w:cs="Arial"/>
          <w:lang w:val="fr-CH"/>
        </w:rPr>
      </w:pPr>
      <w:r w:rsidRPr="009D6317">
        <w:rPr>
          <w:rFonts w:cs="Arial"/>
        </w:rPr>
        <w:fldChar w:fldCharType="begin"/>
      </w:r>
      <w:r w:rsidRPr="009D6317">
        <w:rPr>
          <w:rFonts w:cs="Arial"/>
          <w:lang w:val="fr-CH"/>
        </w:rPr>
        <w:instrText xml:space="preserve"> AUTONUM  </w:instrText>
      </w:r>
      <w:r w:rsidRPr="009D6317">
        <w:rPr>
          <w:rFonts w:cs="Arial"/>
        </w:rPr>
        <w:fldChar w:fldCharType="end"/>
      </w:r>
      <w:r w:rsidRPr="009D6317">
        <w:rPr>
          <w:rFonts w:cs="Arial"/>
          <w:lang w:val="fr-CH"/>
        </w:rPr>
        <w:tab/>
        <w:t xml:space="preserve">Le libellé actuel de l’article 4.6 fait référence au remboursement aux membres de l’Union.  Néanmoins, si les recettes provenant des unités de contribution des membres de l’Union </w:t>
      </w:r>
      <w:r>
        <w:rPr>
          <w:rFonts w:cs="Arial"/>
          <w:lang w:val="fr-CH"/>
        </w:rPr>
        <w:t>forment</w:t>
      </w:r>
      <w:r w:rsidRPr="009D6317">
        <w:rPr>
          <w:rFonts w:cs="Arial"/>
          <w:lang w:val="fr-CH"/>
        </w:rPr>
        <w:t xml:space="preserve"> la majorité des </w:t>
      </w:r>
      <w:r>
        <w:rPr>
          <w:rFonts w:cs="Arial"/>
          <w:lang w:val="fr-CH"/>
        </w:rPr>
        <w:t>recettes</w:t>
      </w:r>
      <w:r w:rsidRPr="009D6317">
        <w:rPr>
          <w:rFonts w:cs="Arial"/>
          <w:lang w:val="fr-CH"/>
        </w:rPr>
        <w:t xml:space="preserve"> de l’UPOV, </w:t>
      </w:r>
      <w:r>
        <w:rPr>
          <w:rFonts w:cs="Arial"/>
          <w:lang w:val="fr-CH"/>
        </w:rPr>
        <w:t>celle-ci</w:t>
      </w:r>
      <w:r w:rsidRPr="009D6317">
        <w:rPr>
          <w:rFonts w:cs="Arial"/>
          <w:lang w:val="fr-CH"/>
        </w:rPr>
        <w:t xml:space="preserve"> tire également </w:t>
      </w:r>
      <w:r>
        <w:rPr>
          <w:rFonts w:cs="Arial"/>
          <w:lang w:val="fr-CH"/>
        </w:rPr>
        <w:t>s</w:t>
      </w:r>
      <w:r w:rsidRPr="009D6317">
        <w:rPr>
          <w:rFonts w:cs="Arial"/>
          <w:lang w:val="fr-CH"/>
        </w:rPr>
        <w:t xml:space="preserve">es </w:t>
      </w:r>
      <w:r>
        <w:rPr>
          <w:rFonts w:cs="Arial"/>
          <w:lang w:val="fr-CH"/>
        </w:rPr>
        <w:t>recettes</w:t>
      </w:r>
      <w:r w:rsidRPr="009D6317">
        <w:rPr>
          <w:rFonts w:cs="Arial"/>
          <w:lang w:val="fr-CH"/>
        </w:rPr>
        <w:t xml:space="preserve"> d’autres sources.  Le programme et budget pour l’exercice biennal 2020-2021 (document C/54/4 </w:t>
      </w:r>
      <w:proofErr w:type="spellStart"/>
      <w:r w:rsidRPr="009D6317">
        <w:rPr>
          <w:rFonts w:cs="Arial"/>
          <w:lang w:val="fr-CH"/>
        </w:rPr>
        <w:t>Rev</w:t>
      </w:r>
      <w:proofErr w:type="spellEnd"/>
      <w:r w:rsidRPr="009D6317">
        <w:rPr>
          <w:rFonts w:cs="Arial"/>
          <w:lang w:val="fr-CH"/>
        </w:rPr>
        <w:t xml:space="preserve">.) recense </w:t>
      </w:r>
      <w:r>
        <w:rPr>
          <w:rFonts w:cs="Arial"/>
          <w:lang w:val="fr-CH"/>
        </w:rPr>
        <w:t>d’</w:t>
      </w:r>
      <w:r w:rsidRPr="009D6317">
        <w:rPr>
          <w:rFonts w:cs="Arial"/>
          <w:lang w:val="fr-CH"/>
        </w:rPr>
        <w:t xml:space="preserve">autres sources de </w:t>
      </w:r>
      <w:r>
        <w:rPr>
          <w:rFonts w:cs="Arial"/>
          <w:lang w:val="fr-CH"/>
        </w:rPr>
        <w:t xml:space="preserve">revenus, notamment les </w:t>
      </w:r>
      <w:r w:rsidRPr="002566C1">
        <w:rPr>
          <w:rFonts w:cs="Arial"/>
          <w:lang w:val="fr-CH"/>
        </w:rPr>
        <w:t xml:space="preserve">taxes relatives </w:t>
      </w:r>
      <w:r>
        <w:rPr>
          <w:rFonts w:cs="Arial"/>
          <w:lang w:val="fr-CH"/>
        </w:rPr>
        <w:t xml:space="preserve">aux </w:t>
      </w:r>
      <w:r w:rsidRPr="002566C1">
        <w:rPr>
          <w:rFonts w:cs="Arial"/>
          <w:lang w:val="fr-CH"/>
        </w:rPr>
        <w:t>outils informatiques et services de l’UPOV</w:t>
      </w:r>
      <w:r w:rsidRPr="009D6317">
        <w:rPr>
          <w:rFonts w:cs="Arial"/>
          <w:lang w:val="fr-CH"/>
        </w:rPr>
        <w:t xml:space="preserve">; </w:t>
      </w:r>
      <w:r>
        <w:rPr>
          <w:rFonts w:cs="Arial"/>
          <w:lang w:val="fr-CH"/>
        </w:rPr>
        <w:t xml:space="preserve"> les </w:t>
      </w:r>
      <w:r w:rsidRPr="002566C1">
        <w:rPr>
          <w:rFonts w:cs="Arial"/>
          <w:lang w:val="fr-CH"/>
        </w:rPr>
        <w:t xml:space="preserve">coûts d’appui administratif au titre des fonds fiduciaires </w:t>
      </w:r>
      <w:r w:rsidRPr="009D6317">
        <w:rPr>
          <w:rFonts w:cs="Arial"/>
          <w:lang w:val="fr-CH"/>
        </w:rPr>
        <w:t xml:space="preserve">et le programme d’enseignement à distance.  Compte tenu de l’imprévisibilité des recettes provenant de ces autres sources, ces sources sont susceptibles d’être la cause principale </w:t>
      </w:r>
      <w:r>
        <w:rPr>
          <w:rFonts w:cs="Arial"/>
          <w:lang w:val="fr-CH"/>
        </w:rPr>
        <w:t>d’un excédent de</w:t>
      </w:r>
      <w:r w:rsidRPr="009D6317">
        <w:rPr>
          <w:rFonts w:cs="Arial"/>
          <w:lang w:val="fr-CH"/>
        </w:rPr>
        <w:t xml:space="preserve"> recettes</w:t>
      </w:r>
      <w:r>
        <w:rPr>
          <w:rFonts w:cs="Arial"/>
          <w:lang w:val="fr-CH"/>
        </w:rPr>
        <w:t xml:space="preserve"> par rapport aux recettes </w:t>
      </w:r>
      <w:r w:rsidRPr="009D6317">
        <w:rPr>
          <w:rFonts w:cs="Arial"/>
          <w:lang w:val="fr-CH"/>
        </w:rPr>
        <w:t>et dépens</w:t>
      </w:r>
      <w:r>
        <w:rPr>
          <w:rFonts w:cs="Arial"/>
          <w:lang w:val="fr-CH"/>
        </w:rPr>
        <w:t>es prévues au budget</w:t>
      </w:r>
      <w:r w:rsidRPr="009D6317">
        <w:rPr>
          <w:rFonts w:cs="Arial"/>
          <w:lang w:val="fr-CH"/>
        </w:rPr>
        <w:t>.</w:t>
      </w:r>
    </w:p>
    <w:p w:rsidR="00042697" w:rsidRPr="009D6317" w:rsidRDefault="00042697" w:rsidP="00042697">
      <w:pPr>
        <w:rPr>
          <w:lang w:val="fr-CH"/>
        </w:rPr>
      </w:pPr>
      <w:r w:rsidRPr="009D6317">
        <w:rPr>
          <w:rFonts w:cs="Arial"/>
          <w:lang w:val="fr-CH"/>
        </w:rPr>
        <w:t> </w:t>
      </w:r>
    </w:p>
    <w:p w:rsidR="00042697" w:rsidRPr="009D6317" w:rsidRDefault="00042697" w:rsidP="008B6036">
      <w:pPr>
        <w:keepLines/>
        <w:rPr>
          <w:lang w:val="fr-CH"/>
        </w:rPr>
      </w:pPr>
      <w:r w:rsidRPr="009D6317">
        <w:rPr>
          <w:snapToGrid w:val="0"/>
        </w:rPr>
        <w:lastRenderedPageBreak/>
        <w:fldChar w:fldCharType="begin"/>
      </w:r>
      <w:r w:rsidRPr="009D6317">
        <w:rPr>
          <w:snapToGrid w:val="0"/>
          <w:lang w:val="fr-CH"/>
        </w:rPr>
        <w:instrText xml:space="preserve"> AUTONUM  </w:instrText>
      </w:r>
      <w:r w:rsidRPr="009D6317">
        <w:rPr>
          <w:snapToGrid w:val="0"/>
        </w:rPr>
        <w:fldChar w:fldCharType="end"/>
      </w:r>
      <w:r w:rsidRPr="009D6317">
        <w:rPr>
          <w:snapToGrid w:val="0"/>
          <w:lang w:val="fr-CH"/>
        </w:rPr>
        <w:tab/>
        <w:t>Le niveau de 15% des recettes totales pour l’exercice financier signifie que le fonds de réserve de l’UPOV ne représente que 3,6 mois de dépenses de l’UPOV.</w:t>
      </w:r>
      <w:r w:rsidRPr="009D6317">
        <w:rPr>
          <w:lang w:val="fr-CH"/>
        </w:rPr>
        <w:t xml:space="preserve">  Le niveau de 15% reposait sur la certitude que les recettes provenant principalement des contributions des États et des organisations intergouvernementales </w:t>
      </w:r>
      <w:r>
        <w:rPr>
          <w:lang w:val="fr-CH"/>
        </w:rPr>
        <w:t>garantiraient de manière</w:t>
      </w:r>
      <w:r w:rsidRPr="009D6317">
        <w:rPr>
          <w:lang w:val="fr-CH"/>
        </w:rPr>
        <w:t xml:space="preserve"> adéquate la liquidité de l’UPOV.  Il est rappelé en outre que dans le document UPOV/INF/4/5, l’article 4.13</w:t>
      </w:r>
      <w:r>
        <w:rPr>
          <w:lang w:val="fr-CH"/>
        </w:rPr>
        <w:t xml:space="preserve"> </w:t>
      </w:r>
      <w:r w:rsidRPr="009D6317">
        <w:rPr>
          <w:lang w:val="fr-CH"/>
        </w:rPr>
        <w:t>dispose que “les emprunts extérieurs contractés par l’UPOV ne sont pas autorisés, sauf si le Conseil en décide autrement”.  L’évolution rapide de la situation concernant la COVID-19 peut donner à penser qu’il serait approprié de revoir les hypothèses sur lesquelles se fonde le seuil de 15%.</w:t>
      </w:r>
    </w:p>
    <w:p w:rsidR="00042697" w:rsidRPr="009D6317" w:rsidRDefault="00042697" w:rsidP="00042697">
      <w:pPr>
        <w:rPr>
          <w:lang w:val="fr-CH"/>
        </w:rPr>
      </w:pPr>
    </w:p>
    <w:p w:rsidR="00042697" w:rsidRDefault="00042697" w:rsidP="00042697">
      <w:pPr>
        <w:rPr>
          <w:lang w:val="fr-CH"/>
        </w:rPr>
      </w:pPr>
    </w:p>
    <w:p w:rsidR="00042697" w:rsidRPr="009D6317" w:rsidRDefault="00042697" w:rsidP="00042697">
      <w:pPr>
        <w:rPr>
          <w:lang w:val="fr-CH"/>
        </w:rPr>
      </w:pPr>
    </w:p>
    <w:p w:rsidR="00042697" w:rsidRPr="009D6317" w:rsidRDefault="00042697" w:rsidP="00042697">
      <w:pPr>
        <w:pStyle w:val="Heading1"/>
        <w:rPr>
          <w:snapToGrid w:val="0"/>
          <w:lang w:val="fr-CH"/>
        </w:rPr>
      </w:pPr>
      <w:r w:rsidRPr="009D6317">
        <w:rPr>
          <w:snapToGrid w:val="0"/>
          <w:lang w:val="fr-CH"/>
        </w:rPr>
        <w:t>Proposition</w:t>
      </w:r>
    </w:p>
    <w:p w:rsidR="00042697" w:rsidRPr="009D6317" w:rsidRDefault="00042697" w:rsidP="00042697">
      <w:pPr>
        <w:rPr>
          <w:lang w:val="fr-CH"/>
        </w:rPr>
      </w:pPr>
    </w:p>
    <w:p w:rsidR="00042697" w:rsidRPr="009D6317" w:rsidRDefault="00042697" w:rsidP="00042697">
      <w:pPr>
        <w:rPr>
          <w:rFonts w:cs="Arial"/>
          <w:lang w:val="fr-CH"/>
        </w:rPr>
      </w:pPr>
      <w:r w:rsidRPr="009D6317">
        <w:rPr>
          <w:snapToGrid w:val="0"/>
        </w:rPr>
        <w:fldChar w:fldCharType="begin"/>
      </w:r>
      <w:r w:rsidRPr="009D6317">
        <w:rPr>
          <w:snapToGrid w:val="0"/>
          <w:lang w:val="fr-CH"/>
        </w:rPr>
        <w:instrText xml:space="preserve"> AUTONUM  </w:instrText>
      </w:r>
      <w:r w:rsidRPr="009D6317">
        <w:rPr>
          <w:snapToGrid w:val="0"/>
        </w:rPr>
        <w:fldChar w:fldCharType="end"/>
      </w:r>
      <w:r w:rsidRPr="009D6317">
        <w:rPr>
          <w:snapToGrid w:val="0"/>
          <w:lang w:val="fr-CH"/>
        </w:rPr>
        <w:tab/>
        <w:t xml:space="preserve">Afin de lever les difficultés liées à l’interprétation du “remboursement” aux membres de l’Union </w:t>
      </w:r>
      <w:r>
        <w:rPr>
          <w:snapToGrid w:val="0"/>
          <w:lang w:val="fr-CH"/>
        </w:rPr>
        <w:t>lorsque</w:t>
      </w:r>
      <w:r w:rsidRPr="009D6317">
        <w:rPr>
          <w:snapToGrid w:val="0"/>
          <w:lang w:val="fr-CH"/>
        </w:rPr>
        <w:t xml:space="preserve"> </w:t>
      </w:r>
      <w:r>
        <w:rPr>
          <w:snapToGrid w:val="0"/>
          <w:lang w:val="fr-CH"/>
        </w:rPr>
        <w:t>il n’a pas été perçu de recettes d</w:t>
      </w:r>
      <w:r w:rsidRPr="009D6317">
        <w:rPr>
          <w:snapToGrid w:val="0"/>
          <w:lang w:val="fr-CH"/>
        </w:rPr>
        <w:t xml:space="preserve">es membres de l’Union, tout en conservant le seuil de 15% </w:t>
      </w:r>
      <w:r>
        <w:rPr>
          <w:snapToGrid w:val="0"/>
          <w:lang w:val="fr-CH"/>
        </w:rPr>
        <w:t>pour</w:t>
      </w:r>
      <w:r w:rsidRPr="009D6317">
        <w:rPr>
          <w:snapToGrid w:val="0"/>
          <w:lang w:val="fr-CH"/>
        </w:rPr>
        <w:t xml:space="preserve"> déclenche</w:t>
      </w:r>
      <w:r>
        <w:rPr>
          <w:snapToGrid w:val="0"/>
          <w:lang w:val="fr-CH"/>
        </w:rPr>
        <w:t>r</w:t>
      </w:r>
      <w:r w:rsidRPr="009D6317">
        <w:rPr>
          <w:snapToGrid w:val="0"/>
          <w:lang w:val="fr-CH"/>
        </w:rPr>
        <w:t xml:space="preserve"> </w:t>
      </w:r>
      <w:r>
        <w:rPr>
          <w:snapToGrid w:val="0"/>
          <w:lang w:val="fr-CH"/>
        </w:rPr>
        <w:t>l</w:t>
      </w:r>
      <w:r w:rsidRPr="009D6317">
        <w:rPr>
          <w:snapToGrid w:val="0"/>
          <w:lang w:val="fr-CH"/>
        </w:rPr>
        <w:t>es mesures à prendre par le Conseil, qui pourrai</w:t>
      </w:r>
      <w:r>
        <w:rPr>
          <w:snapToGrid w:val="0"/>
          <w:lang w:val="fr-CH"/>
        </w:rPr>
        <w:t>en</w:t>
      </w:r>
      <w:r w:rsidRPr="009D6317">
        <w:rPr>
          <w:snapToGrid w:val="0"/>
          <w:lang w:val="fr-CH"/>
        </w:rPr>
        <w:t>t inclure la possibilité d’augmenter le niveau des réserves si les membres de l’Union en conviennent, il est proposé de réviser l’article 4.6 comme suit</w:t>
      </w:r>
      <w:r>
        <w:rPr>
          <w:snapToGrid w:val="0"/>
          <w:lang w:val="fr-CH"/>
        </w:rPr>
        <w:t>.</w:t>
      </w:r>
    </w:p>
    <w:p w:rsidR="00042697" w:rsidRPr="009D6317" w:rsidRDefault="00042697" w:rsidP="00042697">
      <w:pPr>
        <w:rPr>
          <w:rFonts w:cs="Arial"/>
          <w:lang w:val="fr-CH"/>
        </w:rPr>
      </w:pPr>
    </w:p>
    <w:p w:rsidR="00042697" w:rsidRPr="009D6317" w:rsidRDefault="00042697" w:rsidP="00042697">
      <w:pPr>
        <w:pStyle w:val="Default"/>
        <w:ind w:left="567" w:right="567"/>
        <w:rPr>
          <w:color w:val="auto"/>
          <w:lang w:val="fr-CH"/>
        </w:rPr>
      </w:pPr>
      <w:r>
        <w:rPr>
          <w:b/>
          <w:bCs/>
          <w:color w:val="auto"/>
          <w:sz w:val="20"/>
          <w:szCs w:val="20"/>
          <w:lang w:val="fr-CH"/>
        </w:rPr>
        <w:t>“</w:t>
      </w:r>
      <w:r w:rsidRPr="009D6317">
        <w:rPr>
          <w:b/>
          <w:bCs/>
          <w:color w:val="auto"/>
          <w:sz w:val="20"/>
          <w:szCs w:val="20"/>
          <w:lang w:val="fr-CH"/>
        </w:rPr>
        <w:t xml:space="preserve">Article 4.6 </w:t>
      </w:r>
    </w:p>
    <w:p w:rsidR="00042697" w:rsidRPr="009D6317" w:rsidRDefault="00042697" w:rsidP="00042697">
      <w:pPr>
        <w:ind w:left="567" w:right="567"/>
        <w:rPr>
          <w:lang w:val="fr-CH"/>
        </w:rPr>
      </w:pPr>
    </w:p>
    <w:p w:rsidR="00042697" w:rsidRPr="009D6317" w:rsidRDefault="00042697" w:rsidP="00042697">
      <w:pPr>
        <w:ind w:left="567" w:right="567"/>
        <w:rPr>
          <w:lang w:val="fr-CH"/>
        </w:rPr>
      </w:pPr>
      <w:r>
        <w:rPr>
          <w:lang w:val="fr-CH"/>
        </w:rPr>
        <w:t>“</w:t>
      </w:r>
      <w:r w:rsidRPr="009D6317">
        <w:rPr>
          <w:lang w:val="fr-CH"/>
        </w:rPr>
        <w:t xml:space="preserve">L’utilisation du fonds de réserve à des fins autres que pour couvrir un déficit relève de la décision du Conseil.  Si, après la clôture de l’exercice financier, le montant du fonds de réserve dépasse 15% des recettes totales pour l’exercice financier, </w:t>
      </w:r>
      <w:r w:rsidRPr="009D6317">
        <w:rPr>
          <w:u w:val="single"/>
          <w:lang w:val="fr-CH"/>
        </w:rPr>
        <w:t xml:space="preserve">le Conseil décide de l’utilisation de l’excédent de recettes par rapport aux dépenses pour l’exercice financier. </w:t>
      </w:r>
      <w:r w:rsidRPr="008D09A9">
        <w:rPr>
          <w:strike/>
          <w:u w:val="single"/>
          <w:lang w:val="fr-CH"/>
        </w:rPr>
        <w:t xml:space="preserve"> l’excédent</w:t>
      </w:r>
      <w:r w:rsidRPr="009D6317">
        <w:rPr>
          <w:strike/>
          <w:u w:val="single"/>
          <w:lang w:val="fr-CH"/>
        </w:rPr>
        <w:t xml:space="preserve"> est remboursé aux membres de l’UPOV, sauf si le Conseil en décide autrement.</w:t>
      </w:r>
      <w:r w:rsidRPr="009D6317">
        <w:rPr>
          <w:strike/>
          <w:lang w:val="fr-CH"/>
        </w:rPr>
        <w:t xml:space="preserve">  Tout membre de l’UPOV peut demander que le montant qui lui est remboursé soit déposé sur un compte spécial ou dans un fonds fiduciaire qu’il aura désigné.</w:t>
      </w:r>
      <w:r w:rsidRPr="00C267C7">
        <w:rPr>
          <w:lang w:val="fr-CH"/>
        </w:rPr>
        <w:t>”</w:t>
      </w:r>
    </w:p>
    <w:p w:rsidR="00042697" w:rsidRPr="009D6317" w:rsidRDefault="00042697" w:rsidP="00042697">
      <w:pPr>
        <w:rPr>
          <w:lang w:val="fr-CH"/>
        </w:rPr>
      </w:pPr>
    </w:p>
    <w:p w:rsidR="00042697" w:rsidRPr="009D6317" w:rsidRDefault="00042697" w:rsidP="00042697">
      <w:pPr>
        <w:pStyle w:val="DecisionParagraphs"/>
        <w:rPr>
          <w:lang w:val="fr-CH"/>
        </w:rPr>
      </w:pPr>
      <w:r w:rsidRPr="008B6036">
        <w:fldChar w:fldCharType="begin"/>
      </w:r>
      <w:r w:rsidRPr="008B6036">
        <w:rPr>
          <w:lang w:val="fr-CH"/>
        </w:rPr>
        <w:instrText xml:space="preserve"> AUTONUM  </w:instrText>
      </w:r>
      <w:r w:rsidRPr="008B6036">
        <w:fldChar w:fldCharType="end"/>
      </w:r>
      <w:r w:rsidRPr="008B6036">
        <w:rPr>
          <w:lang w:val="fr-CH"/>
        </w:rPr>
        <w:tab/>
      </w:r>
      <w:r w:rsidR="008B6036" w:rsidRPr="008B6036">
        <w:rPr>
          <w:lang w:val="fr-CH"/>
        </w:rPr>
        <w:t xml:space="preserve">Le Conseil est invité à adopter la révision de </w:t>
      </w:r>
      <w:r w:rsidRPr="008B6036">
        <w:rPr>
          <w:lang w:val="fr-CH"/>
        </w:rPr>
        <w:t>l’article 4.6 du document UPOV/INF/4/5 “Règlement financier et règlement d’exécution du Règlement financier de l’UPOV”, énoncée au paragraphe </w:t>
      </w:r>
      <w:r w:rsidR="003005F2">
        <w:rPr>
          <w:lang w:val="fr-CH"/>
        </w:rPr>
        <w:t>8</w:t>
      </w:r>
      <w:bookmarkStart w:id="2" w:name="_GoBack"/>
      <w:bookmarkEnd w:id="2"/>
      <w:r w:rsidRPr="008B6036">
        <w:rPr>
          <w:lang w:val="fr-CH"/>
        </w:rPr>
        <w:t>.</w:t>
      </w:r>
    </w:p>
    <w:p w:rsidR="00042697" w:rsidRPr="009D6317" w:rsidRDefault="00042697" w:rsidP="00042697">
      <w:pPr>
        <w:rPr>
          <w:lang w:val="fr-CH"/>
        </w:rPr>
      </w:pPr>
    </w:p>
    <w:p w:rsidR="00042697" w:rsidRPr="009D6317" w:rsidRDefault="00042697" w:rsidP="00042697">
      <w:pPr>
        <w:rPr>
          <w:lang w:val="fr-CH"/>
        </w:rPr>
      </w:pPr>
    </w:p>
    <w:p w:rsidR="00042697" w:rsidRPr="009D6317" w:rsidRDefault="00042697" w:rsidP="00042697">
      <w:pPr>
        <w:jc w:val="right"/>
      </w:pPr>
      <w:r w:rsidRPr="009D6317">
        <w:t>[Fin du document]</w:t>
      </w:r>
    </w:p>
    <w:p w:rsidR="00042697" w:rsidRPr="009D6317" w:rsidRDefault="00042697" w:rsidP="00042697">
      <w:pPr>
        <w:jc w:val="left"/>
      </w:pPr>
    </w:p>
    <w:p w:rsidR="00042697" w:rsidRPr="009D6317" w:rsidRDefault="00042697" w:rsidP="00042697">
      <w:pPr>
        <w:jc w:val="left"/>
      </w:pPr>
    </w:p>
    <w:p w:rsidR="00050E16" w:rsidRPr="00C5280D" w:rsidRDefault="00050E16" w:rsidP="00B63777">
      <w:pPr>
        <w:jc w:val="center"/>
      </w:pPr>
    </w:p>
    <w:sectPr w:rsidR="00050E16" w:rsidRPr="00C5280D" w:rsidSect="00042697">
      <w:headerReference w:type="default" r:id="rId8"/>
      <w:pgSz w:w="11907" w:h="16840" w:code="9"/>
      <w:pgMar w:top="510" w:right="1134" w:bottom="1134" w:left="1134" w:header="510"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777" w:rsidRDefault="00B63777" w:rsidP="006655D3">
      <w:r>
        <w:separator/>
      </w:r>
    </w:p>
    <w:p w:rsidR="00B63777" w:rsidRDefault="00B63777" w:rsidP="006655D3"/>
    <w:p w:rsidR="00B63777" w:rsidRDefault="00B63777" w:rsidP="006655D3"/>
  </w:endnote>
  <w:endnote w:type="continuationSeparator" w:id="0">
    <w:p w:rsidR="00B63777" w:rsidRDefault="00B63777" w:rsidP="006655D3">
      <w:r>
        <w:separator/>
      </w:r>
    </w:p>
    <w:p w:rsidR="00B63777" w:rsidRPr="00294751" w:rsidRDefault="00B63777">
      <w:pPr>
        <w:pStyle w:val="Footer"/>
        <w:spacing w:after="60"/>
        <w:rPr>
          <w:sz w:val="18"/>
          <w:lang w:val="fr-FR"/>
        </w:rPr>
      </w:pPr>
      <w:r w:rsidRPr="00294751">
        <w:rPr>
          <w:sz w:val="18"/>
          <w:lang w:val="fr-FR"/>
        </w:rPr>
        <w:t>[Suite de la note de la page précédente]</w:t>
      </w:r>
    </w:p>
    <w:p w:rsidR="00B63777" w:rsidRPr="00294751" w:rsidRDefault="00B63777" w:rsidP="006655D3"/>
    <w:p w:rsidR="00B63777" w:rsidRPr="00294751" w:rsidRDefault="00B63777" w:rsidP="006655D3"/>
  </w:endnote>
  <w:endnote w:type="continuationNotice" w:id="1">
    <w:p w:rsidR="00B63777" w:rsidRPr="00294751" w:rsidRDefault="00B63777" w:rsidP="006655D3">
      <w:r w:rsidRPr="00294751">
        <w:t>[Suite de la note page suivante]</w:t>
      </w:r>
    </w:p>
    <w:p w:rsidR="00B63777" w:rsidRPr="00294751" w:rsidRDefault="00B63777" w:rsidP="006655D3"/>
    <w:p w:rsidR="00B63777" w:rsidRPr="00294751" w:rsidRDefault="00B63777"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777" w:rsidRDefault="00B63777" w:rsidP="006655D3">
      <w:r>
        <w:separator/>
      </w:r>
    </w:p>
  </w:footnote>
  <w:footnote w:type="continuationSeparator" w:id="0">
    <w:p w:rsidR="00B63777" w:rsidRDefault="00B63777" w:rsidP="006655D3">
      <w:r>
        <w:separator/>
      </w:r>
    </w:p>
  </w:footnote>
  <w:footnote w:type="continuationNotice" w:id="1">
    <w:p w:rsidR="00B63777" w:rsidRPr="00AB530F" w:rsidRDefault="00B63777"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235CD2" w:rsidP="00A71548">
    <w:pPr>
      <w:pStyle w:val="Header"/>
      <w:rPr>
        <w:rStyle w:val="PageNumber"/>
        <w:lang w:val="en-US"/>
      </w:rPr>
    </w:pPr>
    <w:r>
      <w:rPr>
        <w:rStyle w:val="PageNumber"/>
        <w:lang w:val="en-US"/>
      </w:rPr>
      <w:t>C/54</w:t>
    </w:r>
    <w:r w:rsidR="00667404">
      <w:rPr>
        <w:rStyle w:val="PageNumber"/>
        <w:lang w:val="en-US"/>
      </w:rPr>
      <w:t>/</w:t>
    </w:r>
    <w:r w:rsidR="00042697">
      <w:rPr>
        <w:rStyle w:val="PageNumber"/>
        <w:lang w:val="en-US"/>
      </w:rPr>
      <w:t>19</w:t>
    </w:r>
  </w:p>
  <w:p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005F2">
      <w:rPr>
        <w:rStyle w:val="PageNumber"/>
        <w:noProof/>
        <w:lang w:val="en-US"/>
      </w:rPr>
      <w:t>2</w:t>
    </w:r>
    <w:r w:rsidRPr="00C5280D">
      <w:rPr>
        <w:rStyle w:val="PageNumber"/>
        <w:lang w:val="en-US"/>
      </w:rPr>
      <w:fldChar w:fldCharType="end"/>
    </w:r>
  </w:p>
  <w:p w:rsidR="00182B99" w:rsidRPr="00C5280D" w:rsidRDefault="00182B99"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6139F"/>
    <w:multiLevelType w:val="hybridMultilevel"/>
    <w:tmpl w:val="C49E5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777"/>
    <w:rsid w:val="00010CF3"/>
    <w:rsid w:val="00011E27"/>
    <w:rsid w:val="000148BC"/>
    <w:rsid w:val="00024AB8"/>
    <w:rsid w:val="00030854"/>
    <w:rsid w:val="00036028"/>
    <w:rsid w:val="00042697"/>
    <w:rsid w:val="00044642"/>
    <w:rsid w:val="000446B9"/>
    <w:rsid w:val="00047E21"/>
    <w:rsid w:val="00050E16"/>
    <w:rsid w:val="00085505"/>
    <w:rsid w:val="000C4E25"/>
    <w:rsid w:val="000C7021"/>
    <w:rsid w:val="000D6BBC"/>
    <w:rsid w:val="000D7780"/>
    <w:rsid w:val="000E636A"/>
    <w:rsid w:val="000F2F11"/>
    <w:rsid w:val="00105929"/>
    <w:rsid w:val="00110C36"/>
    <w:rsid w:val="001131D5"/>
    <w:rsid w:val="00141DB8"/>
    <w:rsid w:val="00172084"/>
    <w:rsid w:val="0017474A"/>
    <w:rsid w:val="001758C6"/>
    <w:rsid w:val="00182B99"/>
    <w:rsid w:val="0021332C"/>
    <w:rsid w:val="00213982"/>
    <w:rsid w:val="00235CD2"/>
    <w:rsid w:val="0024416D"/>
    <w:rsid w:val="00271911"/>
    <w:rsid w:val="002800A0"/>
    <w:rsid w:val="002801B3"/>
    <w:rsid w:val="00281060"/>
    <w:rsid w:val="002940E8"/>
    <w:rsid w:val="00294751"/>
    <w:rsid w:val="002A6E50"/>
    <w:rsid w:val="002B4298"/>
    <w:rsid w:val="002C256A"/>
    <w:rsid w:val="003005F2"/>
    <w:rsid w:val="00305A7F"/>
    <w:rsid w:val="003152FE"/>
    <w:rsid w:val="00327436"/>
    <w:rsid w:val="00327BBA"/>
    <w:rsid w:val="00337C0A"/>
    <w:rsid w:val="00344BD6"/>
    <w:rsid w:val="0035084F"/>
    <w:rsid w:val="0035528D"/>
    <w:rsid w:val="00361821"/>
    <w:rsid w:val="00361E9E"/>
    <w:rsid w:val="003C7FBE"/>
    <w:rsid w:val="003D227C"/>
    <w:rsid w:val="003D2B4D"/>
    <w:rsid w:val="003E39A6"/>
    <w:rsid w:val="0040557F"/>
    <w:rsid w:val="00444A88"/>
    <w:rsid w:val="00472FD0"/>
    <w:rsid w:val="00474DA4"/>
    <w:rsid w:val="00476B4D"/>
    <w:rsid w:val="004805FA"/>
    <w:rsid w:val="004935D2"/>
    <w:rsid w:val="004B1215"/>
    <w:rsid w:val="004C38BE"/>
    <w:rsid w:val="004C5AE3"/>
    <w:rsid w:val="004D047D"/>
    <w:rsid w:val="004F1E9E"/>
    <w:rsid w:val="004F305A"/>
    <w:rsid w:val="00512164"/>
    <w:rsid w:val="00520297"/>
    <w:rsid w:val="005338F9"/>
    <w:rsid w:val="0054281C"/>
    <w:rsid w:val="00544581"/>
    <w:rsid w:val="00545E42"/>
    <w:rsid w:val="0055268D"/>
    <w:rsid w:val="00576BE4"/>
    <w:rsid w:val="005A400A"/>
    <w:rsid w:val="005E7EA6"/>
    <w:rsid w:val="005F7B92"/>
    <w:rsid w:val="00612379"/>
    <w:rsid w:val="006153B6"/>
    <w:rsid w:val="0061555F"/>
    <w:rsid w:val="00636CA6"/>
    <w:rsid w:val="00641200"/>
    <w:rsid w:val="00645CA8"/>
    <w:rsid w:val="006655D3"/>
    <w:rsid w:val="00667404"/>
    <w:rsid w:val="00687EB4"/>
    <w:rsid w:val="00695C56"/>
    <w:rsid w:val="006A5CDE"/>
    <w:rsid w:val="006A644A"/>
    <w:rsid w:val="006B17D2"/>
    <w:rsid w:val="006C224E"/>
    <w:rsid w:val="006D780A"/>
    <w:rsid w:val="0071271E"/>
    <w:rsid w:val="00732DEC"/>
    <w:rsid w:val="00735BD5"/>
    <w:rsid w:val="00751613"/>
    <w:rsid w:val="007556F6"/>
    <w:rsid w:val="00760EEF"/>
    <w:rsid w:val="00777314"/>
    <w:rsid w:val="00777EE5"/>
    <w:rsid w:val="00782756"/>
    <w:rsid w:val="00784836"/>
    <w:rsid w:val="0079023E"/>
    <w:rsid w:val="007A2854"/>
    <w:rsid w:val="007C1D92"/>
    <w:rsid w:val="007C4CB9"/>
    <w:rsid w:val="007D0B9D"/>
    <w:rsid w:val="007D19B0"/>
    <w:rsid w:val="007F498F"/>
    <w:rsid w:val="0080679D"/>
    <w:rsid w:val="008108B0"/>
    <w:rsid w:val="00811B20"/>
    <w:rsid w:val="008211B5"/>
    <w:rsid w:val="0082296E"/>
    <w:rsid w:val="00824099"/>
    <w:rsid w:val="00846D7C"/>
    <w:rsid w:val="00864C55"/>
    <w:rsid w:val="00867AC1"/>
    <w:rsid w:val="00890DF8"/>
    <w:rsid w:val="008A743F"/>
    <w:rsid w:val="008B6036"/>
    <w:rsid w:val="008C0970"/>
    <w:rsid w:val="008D0BC5"/>
    <w:rsid w:val="008D2CF7"/>
    <w:rsid w:val="00900C26"/>
    <w:rsid w:val="0090197F"/>
    <w:rsid w:val="00903242"/>
    <w:rsid w:val="00906DDC"/>
    <w:rsid w:val="00934E09"/>
    <w:rsid w:val="00936253"/>
    <w:rsid w:val="00940D46"/>
    <w:rsid w:val="00952DD4"/>
    <w:rsid w:val="00965AE7"/>
    <w:rsid w:val="00970FED"/>
    <w:rsid w:val="00992D82"/>
    <w:rsid w:val="00997029"/>
    <w:rsid w:val="009A7339"/>
    <w:rsid w:val="009B440E"/>
    <w:rsid w:val="009D690D"/>
    <w:rsid w:val="009E65B6"/>
    <w:rsid w:val="00A24C10"/>
    <w:rsid w:val="00A42AC3"/>
    <w:rsid w:val="00A430CF"/>
    <w:rsid w:val="00A54309"/>
    <w:rsid w:val="00A706D3"/>
    <w:rsid w:val="00A71548"/>
    <w:rsid w:val="00AB2B93"/>
    <w:rsid w:val="00AB530F"/>
    <w:rsid w:val="00AB5931"/>
    <w:rsid w:val="00AB7E5B"/>
    <w:rsid w:val="00AC2883"/>
    <w:rsid w:val="00AE0EF1"/>
    <w:rsid w:val="00AE2937"/>
    <w:rsid w:val="00B07301"/>
    <w:rsid w:val="00B11F3E"/>
    <w:rsid w:val="00B224DE"/>
    <w:rsid w:val="00B324D4"/>
    <w:rsid w:val="00B46575"/>
    <w:rsid w:val="00B61777"/>
    <w:rsid w:val="00B63777"/>
    <w:rsid w:val="00B84BBD"/>
    <w:rsid w:val="00B967FA"/>
    <w:rsid w:val="00BA43FB"/>
    <w:rsid w:val="00BC127D"/>
    <w:rsid w:val="00BC1FE6"/>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F1330"/>
    <w:rsid w:val="00CF7E36"/>
    <w:rsid w:val="00D13495"/>
    <w:rsid w:val="00D3708D"/>
    <w:rsid w:val="00D40426"/>
    <w:rsid w:val="00D41B08"/>
    <w:rsid w:val="00D57C96"/>
    <w:rsid w:val="00D57D18"/>
    <w:rsid w:val="00D91203"/>
    <w:rsid w:val="00D95174"/>
    <w:rsid w:val="00DA4973"/>
    <w:rsid w:val="00DA6F36"/>
    <w:rsid w:val="00DB596E"/>
    <w:rsid w:val="00DB7773"/>
    <w:rsid w:val="00DC00EA"/>
    <w:rsid w:val="00DC3802"/>
    <w:rsid w:val="00E07D87"/>
    <w:rsid w:val="00E32F7E"/>
    <w:rsid w:val="00E5267B"/>
    <w:rsid w:val="00E63C0E"/>
    <w:rsid w:val="00E72D49"/>
    <w:rsid w:val="00E7593C"/>
    <w:rsid w:val="00E7678A"/>
    <w:rsid w:val="00E935F1"/>
    <w:rsid w:val="00E94A81"/>
    <w:rsid w:val="00EA1FFB"/>
    <w:rsid w:val="00EB048E"/>
    <w:rsid w:val="00EB4E9C"/>
    <w:rsid w:val="00EE34DF"/>
    <w:rsid w:val="00EF2F89"/>
    <w:rsid w:val="00F03E98"/>
    <w:rsid w:val="00F1237A"/>
    <w:rsid w:val="00F22CBD"/>
    <w:rsid w:val="00F272F1"/>
    <w:rsid w:val="00F45372"/>
    <w:rsid w:val="00F560F7"/>
    <w:rsid w:val="00F6334D"/>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ED2444E"/>
  <w15:docId w15:val="{7B0BBB6C-EE45-461E-B05B-C8A5BCC5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777"/>
    <w:pPr>
      <w:jc w:val="both"/>
    </w:pPr>
    <w:rPr>
      <w:rFonts w:ascii="Arial" w:hAnsi="Arial"/>
      <w:lang w:val="fr-FR"/>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A71548"/>
    <w:rPr>
      <w:rFonts w:ascii="Arial" w:hAnsi="Arial"/>
      <w:sz w:val="20"/>
      <w:lang w:val="fr-FR"/>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D41B08"/>
    <w:pPr>
      <w:tabs>
        <w:tab w:val="left" w:pos="5387"/>
        <w:tab w:val="left" w:pos="5954"/>
      </w:tabs>
      <w:ind w:left="4820"/>
    </w:pPr>
    <w:rPr>
      <w:i/>
    </w:rPr>
  </w:style>
  <w:style w:type="paragraph" w:styleId="FootnoteText">
    <w:name w:val="footnote text"/>
    <w:autoRedefine/>
    <w:rsid w:val="00A706D3"/>
    <w:pPr>
      <w:spacing w:before="60"/>
      <w:ind w:left="567" w:hanging="567"/>
      <w:jc w:val="both"/>
    </w:pPr>
    <w:rPr>
      <w:rFonts w:ascii="Arial" w:hAnsi="Arial"/>
      <w:sz w:val="16"/>
      <w:lang w:val="fr-FR"/>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903242"/>
    <w:pPr>
      <w:spacing w:after="600"/>
    </w:pPr>
    <w:rPr>
      <w:rFonts w:ascii="Arial" w:hAnsi="Arial"/>
      <w:i/>
      <w:iCs/>
      <w:color w:val="A6A6A6" w:themeColor="background1" w:themeShade="A6"/>
      <w:lang w:val="fr-FR"/>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903242"/>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D41B08"/>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D41B08"/>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D41B08"/>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D41B08"/>
    <w:pPr>
      <w:tabs>
        <w:tab w:val="right" w:leader="dot" w:pos="9639"/>
      </w:tabs>
      <w:spacing w:after="120"/>
      <w:jc w:val="center"/>
    </w:pPr>
    <w:rPr>
      <w:rFonts w:ascii="Arial" w:hAnsi="Arial"/>
      <w:caps/>
    </w:rPr>
  </w:style>
  <w:style w:type="paragraph" w:styleId="TOC5">
    <w:name w:val="toc 5"/>
    <w:next w:val="Normal"/>
    <w:autoRedefine/>
    <w:rsid w:val="00D41B08"/>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Default">
    <w:name w:val="Default"/>
    <w:basedOn w:val="Normal"/>
    <w:uiPriority w:val="99"/>
    <w:rsid w:val="00042697"/>
    <w:pPr>
      <w:autoSpaceDE w:val="0"/>
      <w:autoSpaceDN w:val="0"/>
      <w:jc w:val="left"/>
    </w:pPr>
    <w:rPr>
      <w:rFonts w:eastAsiaTheme="minorHAnsi"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4\templates\c_54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c_54_FR.dotx</Template>
  <TotalTime>14</TotalTime>
  <Pages>2</Pages>
  <Words>783</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C/54</vt:lpstr>
    </vt:vector>
  </TitlesOfParts>
  <Company>UPOV</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C/54</dc:title>
  <dc:creator>SANTOS Carla Marina</dc:creator>
  <cp:lastModifiedBy>HUERTA-CASADO Yolanda</cp:lastModifiedBy>
  <cp:revision>6</cp:revision>
  <cp:lastPrinted>2016-11-22T15:41:00Z</cp:lastPrinted>
  <dcterms:created xsi:type="dcterms:W3CDTF">2020-10-02T08:50:00Z</dcterms:created>
  <dcterms:modified xsi:type="dcterms:W3CDTF">2020-10-07T19:16:00Z</dcterms:modified>
</cp:coreProperties>
</file>