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CC73A7" w:rsidRDefault="00CC73A7"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CC73A7"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61079C">
              <w:t>-</w:t>
            </w:r>
            <w:r w:rsidR="00235CD2">
              <w:t>quatr</w:t>
            </w:r>
            <w:r w:rsidR="0061079C">
              <w:t>ième session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w:t>
            </w:r>
            <w:r w:rsidR="00611648">
              <w:t>0 octobre 20</w:t>
            </w:r>
            <w:r w:rsidR="00235CD2">
              <w:t>20</w:t>
            </w:r>
          </w:p>
        </w:tc>
        <w:tc>
          <w:tcPr>
            <w:tcW w:w="3127" w:type="dxa"/>
          </w:tcPr>
          <w:p w:rsidR="00CC73A7" w:rsidRDefault="00235CD2" w:rsidP="003C7FBE">
            <w:pPr>
              <w:pStyle w:val="Doccode"/>
              <w:rPr>
                <w:lang w:val="fr-FR"/>
              </w:rPr>
            </w:pPr>
            <w:r w:rsidRPr="00235CD2">
              <w:rPr>
                <w:lang w:val="fr-FR"/>
              </w:rPr>
              <w:t>C/54</w:t>
            </w:r>
            <w:r w:rsidR="00EB4E9C" w:rsidRPr="00235CD2">
              <w:rPr>
                <w:lang w:val="fr-FR"/>
              </w:rPr>
              <w:t>/</w:t>
            </w:r>
            <w:r w:rsidR="002C3711">
              <w:rPr>
                <w:lang w:val="fr-FR"/>
              </w:rPr>
              <w:t>17</w:t>
            </w:r>
          </w:p>
          <w:p w:rsidR="00CC73A7" w:rsidRDefault="00EB4E9C" w:rsidP="003C7FBE">
            <w:pPr>
              <w:pStyle w:val="Docoriginal"/>
            </w:pPr>
            <w:r w:rsidRPr="00AC2883">
              <w:t>Original</w:t>
            </w:r>
            <w:r w:rsidR="0061079C">
              <w:t> :</w:t>
            </w:r>
            <w:r w:rsidRPr="000E636A">
              <w:rPr>
                <w:b w:val="0"/>
                <w:spacing w:val="0"/>
              </w:rPr>
              <w:t xml:space="preserve"> </w:t>
            </w:r>
            <w:r w:rsidR="00A706D3">
              <w:rPr>
                <w:b w:val="0"/>
                <w:spacing w:val="0"/>
              </w:rPr>
              <w:t>anglais</w:t>
            </w:r>
          </w:p>
          <w:p w:rsidR="00EB4E9C" w:rsidRPr="007C1D92" w:rsidRDefault="00EB4E9C" w:rsidP="002C3711">
            <w:pPr>
              <w:pStyle w:val="Docoriginal"/>
            </w:pPr>
            <w:r w:rsidRPr="00AC2883">
              <w:t>Date</w:t>
            </w:r>
            <w:r w:rsidR="0061079C">
              <w:t> :</w:t>
            </w:r>
            <w:r w:rsidRPr="000E636A">
              <w:rPr>
                <w:b w:val="0"/>
                <w:spacing w:val="0"/>
              </w:rPr>
              <w:t xml:space="preserve"> </w:t>
            </w:r>
            <w:r w:rsidR="00E41238">
              <w:rPr>
                <w:b w:val="0"/>
                <w:spacing w:val="0"/>
              </w:rPr>
              <w:t>26</w:t>
            </w:r>
            <w:r w:rsidR="002C3711">
              <w:rPr>
                <w:b w:val="0"/>
                <w:spacing w:val="0"/>
              </w:rPr>
              <w:t> octobre 2020</w:t>
            </w:r>
          </w:p>
        </w:tc>
      </w:tr>
    </w:tbl>
    <w:p w:rsidR="00CC73A7" w:rsidRDefault="0025250B" w:rsidP="0025250B">
      <w:pPr>
        <w:pStyle w:val="Titleofdoc0"/>
        <w:rPr>
          <w:lang w:val="fr-CH"/>
        </w:rPr>
      </w:pPr>
      <w:bookmarkStart w:id="0" w:name="TitleOfDoc"/>
      <w:bookmarkEnd w:id="0"/>
      <w:r w:rsidRPr="0025250B">
        <w:rPr>
          <w:color w:val="000000"/>
          <w:lang w:val="fr-CH"/>
        </w:rPr>
        <w:t>Résultats de l</w:t>
      </w:r>
      <w:r w:rsidR="0061079C">
        <w:rPr>
          <w:color w:val="000000"/>
          <w:lang w:val="fr-CH"/>
        </w:rPr>
        <w:t>’</w:t>
      </w:r>
      <w:r w:rsidRPr="0025250B">
        <w:rPr>
          <w:color w:val="000000"/>
          <w:lang w:val="fr-CH"/>
        </w:rPr>
        <w:t>examen des documents par correspondance</w:t>
      </w:r>
    </w:p>
    <w:p w:rsidR="00CC73A7" w:rsidRDefault="00AE0EF1" w:rsidP="006A644A">
      <w:pPr>
        <w:pStyle w:val="preparedby1"/>
        <w:jc w:val="left"/>
      </w:pPr>
      <w:bookmarkStart w:id="1" w:name="Prepared"/>
      <w:bookmarkEnd w:id="1"/>
      <w:r w:rsidRPr="000C4E25">
        <w:t xml:space="preserve">Document </w:t>
      </w:r>
      <w:r w:rsidR="00A706D3">
        <w:t>établi par le Bureau de l</w:t>
      </w:r>
      <w:r w:rsidR="0061079C">
        <w:t>’</w:t>
      </w:r>
      <w:r w:rsidR="00A706D3">
        <w:t>Union</w:t>
      </w:r>
    </w:p>
    <w:p w:rsidR="00CC73A7" w:rsidRDefault="00A706D3" w:rsidP="006A644A">
      <w:pPr>
        <w:pStyle w:val="Disclaimer"/>
      </w:pPr>
      <w:r w:rsidRPr="00A706D3">
        <w:t>Avertissement</w:t>
      </w:r>
      <w:r w:rsidR="0061079C">
        <w:t> :</w:t>
      </w:r>
      <w:r w:rsidRPr="00A706D3">
        <w:t xml:space="preserve"> le présent document ne représente pas les principes ou les orientations de l</w:t>
      </w:r>
      <w:r w:rsidR="0061079C">
        <w:t>’</w:t>
      </w:r>
      <w:r w:rsidRPr="00A706D3">
        <w:t>UPOV</w:t>
      </w:r>
    </w:p>
    <w:p w:rsidR="00611648" w:rsidRPr="0027582B" w:rsidRDefault="00B35888" w:rsidP="0025250B">
      <w:pPr>
        <w:rPr>
          <w:lang w:val="fr-CH"/>
        </w:rPr>
      </w:pPr>
      <w:r w:rsidRPr="00157E95">
        <w:fldChar w:fldCharType="begin"/>
      </w:r>
      <w:r w:rsidRPr="0025250B">
        <w:rPr>
          <w:lang w:val="fr-CH"/>
        </w:rPr>
        <w:instrText xml:space="preserve"> AUTONUM  </w:instrText>
      </w:r>
      <w:r w:rsidRPr="00157E95">
        <w:fldChar w:fldCharType="end"/>
      </w:r>
      <w:r w:rsidRPr="0025250B">
        <w:rPr>
          <w:lang w:val="fr-CH"/>
        </w:rPr>
        <w:tab/>
      </w:r>
      <w:r w:rsidR="0025250B" w:rsidRPr="0027582B">
        <w:rPr>
          <w:lang w:val="fr-CH"/>
        </w:rPr>
        <w:t>Le présent document a pour objet de rendre compte des résultats de l</w:t>
      </w:r>
      <w:r w:rsidR="0061079C">
        <w:rPr>
          <w:lang w:val="fr-CH"/>
        </w:rPr>
        <w:t>’</w:t>
      </w:r>
      <w:r w:rsidR="0025250B" w:rsidRPr="0027582B">
        <w:rPr>
          <w:lang w:val="fr-CH"/>
        </w:rPr>
        <w:t xml:space="preserve">examen des documents du Conseil par correspondance, conformément à la procédure adoptée par le Conseil </w:t>
      </w:r>
      <w:r w:rsidR="00611648" w:rsidRPr="0027582B">
        <w:rPr>
          <w:lang w:val="fr-CH"/>
        </w:rPr>
        <w:t>en 202</w:t>
      </w:r>
      <w:r w:rsidRPr="0027582B">
        <w:rPr>
          <w:lang w:val="fr-CH"/>
        </w:rPr>
        <w:t>0</w:t>
      </w:r>
      <w:r w:rsidR="0025250B" w:rsidRPr="0027582B">
        <w:rPr>
          <w:rStyle w:val="FootnoteReference"/>
          <w:lang w:val="en-US"/>
        </w:rPr>
        <w:footnoteReference w:id="2"/>
      </w:r>
      <w:r w:rsidR="0025250B" w:rsidRPr="0027582B">
        <w:rPr>
          <w:lang w:val="fr-CH"/>
        </w:rPr>
        <w:t>.</w:t>
      </w:r>
    </w:p>
    <w:p w:rsidR="00CC73A7" w:rsidRPr="0027582B" w:rsidRDefault="00CC73A7" w:rsidP="002C3711">
      <w:pPr>
        <w:rPr>
          <w:lang w:val="fr-CH"/>
        </w:rPr>
      </w:pPr>
    </w:p>
    <w:p w:rsidR="00CC73A7" w:rsidRPr="0027582B" w:rsidRDefault="002C3711" w:rsidP="0025250B">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25250B" w:rsidRPr="0027582B">
        <w:rPr>
          <w:lang w:val="fr-CH"/>
        </w:rPr>
        <w:t>Le Conseil a approuvé la ou les décisions contenues dans les documents suivants</w:t>
      </w:r>
      <w:r w:rsidR="0061079C">
        <w:rPr>
          <w:lang w:val="fr-CH"/>
        </w:rPr>
        <w:t> :</w:t>
      </w:r>
    </w:p>
    <w:p w:rsidR="00CC73A7" w:rsidRPr="0027582B" w:rsidRDefault="00CC73A7" w:rsidP="002C3711">
      <w:pPr>
        <w:rPr>
          <w:lang w:val="fr-CH"/>
        </w:rPr>
      </w:pPr>
    </w:p>
    <w:p w:rsidR="00CC73A7" w:rsidRPr="0027582B" w:rsidRDefault="0025250B" w:rsidP="0025250B">
      <w:pPr>
        <w:keepNext/>
        <w:spacing w:after="120"/>
        <w:ind w:left="567"/>
        <w:rPr>
          <w:rFonts w:cs="Arial"/>
          <w:lang w:val="fr-CH"/>
        </w:rPr>
      </w:pPr>
      <w:r w:rsidRPr="0027582B">
        <w:rPr>
          <w:rFonts w:cs="Arial"/>
          <w:lang w:val="fr-CH"/>
        </w:rPr>
        <w:t>Nomination du Secrétaire général (document</w:t>
      </w:r>
      <w:r w:rsidR="00C93A51" w:rsidRPr="0027582B">
        <w:rPr>
          <w:rFonts w:cs="Arial"/>
          <w:lang w:val="fr-CH"/>
        </w:rPr>
        <w:t> </w:t>
      </w:r>
      <w:r w:rsidRPr="0027582B">
        <w:rPr>
          <w:rFonts w:cs="Arial"/>
          <w:lang w:val="fr-CH"/>
        </w:rPr>
        <w:t>C/54/11)</w:t>
      </w:r>
    </w:p>
    <w:p w:rsidR="00CC73A7" w:rsidRPr="0027582B" w:rsidRDefault="0025250B" w:rsidP="0025250B">
      <w:pPr>
        <w:keepNext/>
        <w:spacing w:after="120"/>
        <w:ind w:left="567"/>
        <w:rPr>
          <w:rFonts w:cs="Arial"/>
          <w:lang w:val="fr-CH"/>
        </w:rPr>
      </w:pPr>
      <w:r w:rsidRPr="0027582B">
        <w:rPr>
          <w:rFonts w:cs="Arial"/>
          <w:lang w:val="fr-CH"/>
        </w:rPr>
        <w:t>Prolongation du mandat du Secrétaire général adjoint (document</w:t>
      </w:r>
      <w:r w:rsidR="00C93A51" w:rsidRPr="0027582B">
        <w:rPr>
          <w:rFonts w:cs="Arial"/>
          <w:lang w:val="fr-CH"/>
        </w:rPr>
        <w:t> </w:t>
      </w:r>
      <w:r w:rsidRPr="0027582B">
        <w:rPr>
          <w:rFonts w:cs="Arial"/>
          <w:lang w:val="fr-CH"/>
        </w:rPr>
        <w:t>C/54/12)</w:t>
      </w:r>
    </w:p>
    <w:p w:rsidR="00CC73A7" w:rsidRPr="0027582B" w:rsidRDefault="0025250B" w:rsidP="0025250B">
      <w:pPr>
        <w:keepNext/>
        <w:spacing w:after="120"/>
        <w:ind w:left="567"/>
        <w:rPr>
          <w:rFonts w:cs="Arial"/>
          <w:lang w:val="fr-CH"/>
        </w:rPr>
      </w:pPr>
      <w:r w:rsidRPr="0027582B">
        <w:rPr>
          <w:rFonts w:cs="Arial"/>
          <w:lang w:val="fr-CH"/>
        </w:rPr>
        <w:t>Adoption de documents (document C/54/3</w:t>
      </w:r>
      <w:r w:rsidR="00F02AF7" w:rsidRPr="0027582B">
        <w:rPr>
          <w:rFonts w:cs="Arial"/>
          <w:lang w:val="fr-CH"/>
        </w:rPr>
        <w:t> </w:t>
      </w:r>
      <w:proofErr w:type="spellStart"/>
      <w:r w:rsidRPr="0027582B">
        <w:rPr>
          <w:rFonts w:cs="Arial"/>
          <w:lang w:val="fr-CH"/>
        </w:rPr>
        <w:t>Rev</w:t>
      </w:r>
      <w:proofErr w:type="spellEnd"/>
      <w:r w:rsidRPr="0027582B">
        <w:rPr>
          <w:rFonts w:cs="Arial"/>
          <w:lang w:val="fr-CH"/>
        </w:rPr>
        <w:t>.)</w:t>
      </w:r>
    </w:p>
    <w:p w:rsidR="00CC73A7" w:rsidRPr="0027582B" w:rsidRDefault="0025250B" w:rsidP="0025250B">
      <w:pPr>
        <w:keepNext/>
        <w:spacing w:after="120"/>
        <w:ind w:left="1134"/>
        <w:rPr>
          <w:rFonts w:cs="Arial"/>
          <w:lang w:val="fr-CH"/>
        </w:rPr>
      </w:pPr>
      <w:r w:rsidRPr="0027582B">
        <w:rPr>
          <w:rFonts w:cs="Arial"/>
          <w:lang w:val="fr-CH"/>
        </w:rPr>
        <w:t>UPOV/INF/4</w:t>
      </w:r>
      <w:r w:rsidR="0061079C">
        <w:rPr>
          <w:rFonts w:cs="Arial"/>
          <w:lang w:val="fr-CH"/>
        </w:rPr>
        <w:t> :</w:t>
      </w:r>
      <w:r w:rsidRPr="0027582B">
        <w:rPr>
          <w:rFonts w:cs="Arial"/>
          <w:lang w:val="fr-CH"/>
        </w:rPr>
        <w:t xml:space="preserve"> Règlement financier et règlement d</w:t>
      </w:r>
      <w:r w:rsidR="0061079C">
        <w:rPr>
          <w:rFonts w:cs="Arial"/>
          <w:lang w:val="fr-CH"/>
        </w:rPr>
        <w:t>’</w:t>
      </w:r>
      <w:r w:rsidRPr="0027582B">
        <w:rPr>
          <w:rFonts w:cs="Arial"/>
          <w:lang w:val="fr-CH"/>
        </w:rPr>
        <w:t>exécution du Règlement financier de l</w:t>
      </w:r>
      <w:r w:rsidR="0061079C">
        <w:rPr>
          <w:rFonts w:cs="Arial"/>
          <w:lang w:val="fr-CH"/>
        </w:rPr>
        <w:t>’</w:t>
      </w:r>
      <w:r w:rsidRPr="0027582B">
        <w:rPr>
          <w:rFonts w:cs="Arial"/>
          <w:lang w:val="fr-CH"/>
        </w:rPr>
        <w:t>UPOV (révision de l</w:t>
      </w:r>
      <w:r w:rsidR="0061079C">
        <w:rPr>
          <w:rFonts w:cs="Arial"/>
          <w:lang w:val="fr-CH"/>
        </w:rPr>
        <w:t>’</w:t>
      </w:r>
      <w:r w:rsidR="00505B50" w:rsidRPr="0027582B">
        <w:rPr>
          <w:rFonts w:cs="Arial"/>
          <w:lang w:val="fr-CH"/>
        </w:rPr>
        <w:t>article </w:t>
      </w:r>
      <w:r w:rsidRPr="0027582B">
        <w:rPr>
          <w:rFonts w:cs="Arial"/>
          <w:lang w:val="fr-CH"/>
        </w:rPr>
        <w:t>4.6) (document C/54/19)</w:t>
      </w:r>
    </w:p>
    <w:p w:rsidR="00CC73A7" w:rsidRPr="0027582B" w:rsidRDefault="0025250B" w:rsidP="0025250B">
      <w:pPr>
        <w:spacing w:after="120"/>
        <w:ind w:left="567"/>
        <w:rPr>
          <w:rFonts w:cs="Angsana New"/>
          <w:szCs w:val="24"/>
          <w:lang w:val="fr-CH" w:eastAsia="ja-JP" w:bidi="th-TH"/>
        </w:rPr>
      </w:pPr>
      <w:r w:rsidRPr="0027582B">
        <w:rPr>
          <w:rFonts w:cs="Angsana New"/>
          <w:szCs w:val="24"/>
          <w:lang w:val="fr-CH" w:eastAsia="ja-JP" w:bidi="th-TH"/>
        </w:rPr>
        <w:t xml:space="preserve">États financiers </w:t>
      </w:r>
      <w:r w:rsidR="00611648" w:rsidRPr="0027582B">
        <w:rPr>
          <w:rFonts w:cs="Angsana New"/>
          <w:szCs w:val="24"/>
          <w:lang w:val="fr-CH" w:eastAsia="ja-JP" w:bidi="th-TH"/>
        </w:rPr>
        <w:t>pour 2019</w:t>
      </w:r>
      <w:r w:rsidRPr="0027582B">
        <w:rPr>
          <w:rFonts w:cs="Angsana New"/>
          <w:szCs w:val="24"/>
          <w:lang w:val="fr-CH" w:eastAsia="ja-JP" w:bidi="th-TH"/>
        </w:rPr>
        <w:t xml:space="preserve"> (document</w:t>
      </w:r>
      <w:r w:rsidR="00C93A51" w:rsidRPr="0027582B">
        <w:rPr>
          <w:rFonts w:cs="Angsana New"/>
          <w:szCs w:val="24"/>
          <w:lang w:val="fr-CH" w:eastAsia="ja-JP" w:bidi="th-TH"/>
        </w:rPr>
        <w:t> </w:t>
      </w:r>
      <w:r w:rsidRPr="0027582B">
        <w:rPr>
          <w:rFonts w:cs="Angsana New"/>
          <w:szCs w:val="24"/>
          <w:lang w:val="fr-CH" w:eastAsia="ja-JP" w:bidi="th-TH"/>
        </w:rPr>
        <w:t>C/54/5)</w:t>
      </w:r>
    </w:p>
    <w:p w:rsidR="00CC73A7" w:rsidRPr="0027582B" w:rsidRDefault="0025250B" w:rsidP="0025250B">
      <w:pPr>
        <w:spacing w:after="120"/>
        <w:ind w:left="567"/>
        <w:rPr>
          <w:rFonts w:cs="Arial"/>
          <w:lang w:val="fr-CH"/>
        </w:rPr>
      </w:pPr>
      <w:r w:rsidRPr="0027582B">
        <w:rPr>
          <w:rFonts w:cs="Arial"/>
          <w:lang w:val="fr-CH"/>
        </w:rPr>
        <w:t>Rapport de gestion financière pour l</w:t>
      </w:r>
      <w:r w:rsidR="0061079C">
        <w:rPr>
          <w:rFonts w:cs="Arial"/>
          <w:lang w:val="fr-CH"/>
        </w:rPr>
        <w:t>’</w:t>
      </w:r>
      <w:r w:rsidRPr="0027582B">
        <w:rPr>
          <w:rFonts w:cs="Arial"/>
          <w:lang w:val="fr-CH"/>
        </w:rPr>
        <w:t xml:space="preserve">exercice </w:t>
      </w:r>
      <w:r w:rsidR="00611648" w:rsidRPr="0027582B">
        <w:rPr>
          <w:rFonts w:cs="Arial"/>
          <w:lang w:val="fr-CH"/>
        </w:rPr>
        <w:t>biennal 2018</w:t>
      </w:r>
      <w:r w:rsidR="0061079C">
        <w:rPr>
          <w:rFonts w:cs="Arial"/>
          <w:lang w:val="fr-CH"/>
        </w:rPr>
        <w:t>-</w:t>
      </w:r>
      <w:r w:rsidRPr="0027582B">
        <w:rPr>
          <w:rFonts w:cs="Arial"/>
          <w:lang w:val="fr-CH"/>
        </w:rPr>
        <w:t>2019 (document</w:t>
      </w:r>
      <w:r w:rsidR="00C93A51" w:rsidRPr="0027582B">
        <w:rPr>
          <w:rFonts w:cs="Arial"/>
          <w:lang w:val="fr-CH"/>
        </w:rPr>
        <w:t> </w:t>
      </w:r>
      <w:r w:rsidRPr="0027582B">
        <w:rPr>
          <w:rFonts w:cs="Arial"/>
          <w:lang w:val="fr-CH"/>
        </w:rPr>
        <w:t>C/54/4)</w:t>
      </w:r>
    </w:p>
    <w:p w:rsidR="00CC73A7" w:rsidRPr="0027582B" w:rsidRDefault="0025250B" w:rsidP="0025250B">
      <w:pPr>
        <w:spacing w:after="120"/>
        <w:ind w:left="1701" w:hanging="1134"/>
        <w:rPr>
          <w:lang w:val="fr-CH"/>
        </w:rPr>
      </w:pPr>
      <w:r w:rsidRPr="0027582B">
        <w:rPr>
          <w:lang w:val="fr-CH"/>
        </w:rPr>
        <w:t>Consolidation des états financiers et des rapports sur la performance (document</w:t>
      </w:r>
      <w:r w:rsidR="00C93A51" w:rsidRPr="0027582B">
        <w:rPr>
          <w:lang w:val="fr-CH"/>
        </w:rPr>
        <w:t> </w:t>
      </w:r>
      <w:r w:rsidRPr="0027582B">
        <w:rPr>
          <w:lang w:val="fr-CH"/>
        </w:rPr>
        <w:t>C/54/18)</w:t>
      </w:r>
    </w:p>
    <w:p w:rsidR="00CC73A7" w:rsidRPr="0027582B" w:rsidRDefault="0025250B" w:rsidP="0025250B">
      <w:pPr>
        <w:spacing w:after="120"/>
        <w:ind w:left="567"/>
        <w:rPr>
          <w:lang w:val="fr-CH"/>
        </w:rPr>
      </w:pPr>
      <w:r w:rsidRPr="0027582B">
        <w:rPr>
          <w:lang w:val="fr-CH"/>
        </w:rPr>
        <w:t>Fusion du Groupe de travail sur les techniques biochimiques et moléculaires, notamment les profils d</w:t>
      </w:r>
      <w:r w:rsidR="0061079C">
        <w:rPr>
          <w:lang w:val="fr-CH"/>
        </w:rPr>
        <w:t>’</w:t>
      </w:r>
      <w:r w:rsidRPr="0027582B">
        <w:rPr>
          <w:lang w:val="fr-CH"/>
        </w:rPr>
        <w:t>ADN (BMT) et du Groupe de travail technique sur les systèmes d</w:t>
      </w:r>
      <w:r w:rsidR="0061079C">
        <w:rPr>
          <w:lang w:val="fr-CH"/>
        </w:rPr>
        <w:t>’</w:t>
      </w:r>
      <w:r w:rsidRPr="0027582B">
        <w:rPr>
          <w:lang w:val="fr-CH"/>
        </w:rPr>
        <w:t>automatisation et les programmes d</w:t>
      </w:r>
      <w:r w:rsidR="0061079C">
        <w:rPr>
          <w:lang w:val="fr-CH"/>
        </w:rPr>
        <w:t>’</w:t>
      </w:r>
      <w:r w:rsidRPr="0027582B">
        <w:rPr>
          <w:lang w:val="fr-CH"/>
        </w:rPr>
        <w:t>ordinateur (TWC) (document C/54/14)</w:t>
      </w:r>
    </w:p>
    <w:p w:rsidR="00CC73A7" w:rsidRPr="0027582B" w:rsidRDefault="00EB652C" w:rsidP="00B35888">
      <w:pPr>
        <w:spacing w:after="120"/>
        <w:ind w:left="567"/>
        <w:rPr>
          <w:lang w:val="fr-CH"/>
        </w:rPr>
      </w:pPr>
      <w:r w:rsidRPr="00EB652C">
        <w:rPr>
          <w:lang w:val="fr-CH"/>
        </w:rPr>
        <w:t>Question-réponse “Comment le système de l’UPOV favorise-t-il le développement durable?”</w:t>
      </w:r>
      <w:r w:rsidR="00E43866">
        <w:rPr>
          <w:lang w:val="fr-CH"/>
        </w:rPr>
        <w:t xml:space="preserve"> </w:t>
      </w:r>
      <w:r w:rsidR="0025250B" w:rsidRPr="0027582B">
        <w:rPr>
          <w:lang w:val="fr-CH"/>
        </w:rPr>
        <w:t>(</w:t>
      </w:r>
      <w:proofErr w:type="gramStart"/>
      <w:r w:rsidR="0025250B" w:rsidRPr="0027582B">
        <w:rPr>
          <w:lang w:val="fr-CH"/>
        </w:rPr>
        <w:t>document</w:t>
      </w:r>
      <w:proofErr w:type="gramEnd"/>
      <w:r w:rsidR="00C93A51" w:rsidRPr="0027582B">
        <w:rPr>
          <w:lang w:val="fr-CH"/>
        </w:rPr>
        <w:t> </w:t>
      </w:r>
      <w:r w:rsidR="0025250B" w:rsidRPr="0027582B">
        <w:rPr>
          <w:lang w:val="fr-CH"/>
        </w:rPr>
        <w:t>C/54/15)</w:t>
      </w:r>
    </w:p>
    <w:p w:rsidR="00611648" w:rsidRPr="001230BA" w:rsidRDefault="0025250B" w:rsidP="0025250B">
      <w:pPr>
        <w:spacing w:after="120"/>
        <w:ind w:left="567"/>
        <w:rPr>
          <w:rFonts w:cs="Arial"/>
          <w:lang w:val="fr-CH"/>
        </w:rPr>
      </w:pPr>
      <w:r w:rsidRPr="001230BA">
        <w:rPr>
          <w:rFonts w:cs="Arial"/>
          <w:lang w:val="fr-CH"/>
        </w:rPr>
        <w:t xml:space="preserve">Calendrier des réunions </w:t>
      </w:r>
      <w:r w:rsidR="00611648" w:rsidRPr="001230BA">
        <w:rPr>
          <w:rFonts w:cs="Arial"/>
          <w:lang w:val="fr-CH"/>
        </w:rPr>
        <w:t>en 2021</w:t>
      </w:r>
      <w:r w:rsidRPr="001230BA">
        <w:rPr>
          <w:rFonts w:cs="Arial"/>
          <w:lang w:val="fr-CH"/>
        </w:rPr>
        <w:t xml:space="preserve"> (document</w:t>
      </w:r>
      <w:r w:rsidR="00C93A51" w:rsidRPr="001230BA">
        <w:rPr>
          <w:rFonts w:cs="Arial"/>
          <w:lang w:val="fr-CH"/>
        </w:rPr>
        <w:t> </w:t>
      </w:r>
      <w:r w:rsidRPr="001230BA">
        <w:rPr>
          <w:rFonts w:cs="Arial"/>
          <w:lang w:val="fr-CH"/>
        </w:rPr>
        <w:t>C/54/8)</w:t>
      </w:r>
    </w:p>
    <w:p w:rsidR="00611648" w:rsidRPr="001230BA" w:rsidRDefault="0025250B" w:rsidP="0025250B">
      <w:pPr>
        <w:ind w:left="567"/>
        <w:rPr>
          <w:rFonts w:cs="Angsana New"/>
          <w:szCs w:val="24"/>
          <w:lang w:val="fr-CH" w:eastAsia="ja-JP" w:bidi="th-TH"/>
        </w:rPr>
      </w:pPr>
      <w:r w:rsidRPr="001230BA">
        <w:rPr>
          <w:rFonts w:cs="Angsana New"/>
          <w:szCs w:val="24"/>
          <w:lang w:val="fr-CH" w:eastAsia="ja-JP" w:bidi="th-TH"/>
        </w:rPr>
        <w:t>Élection des présidents des groupes de travail techniques et du Groupe de travail sur les techniques biochimiques et moléculaires, notamment les profils d</w:t>
      </w:r>
      <w:r w:rsidR="0061079C" w:rsidRPr="001230BA">
        <w:rPr>
          <w:rFonts w:cs="Angsana New"/>
          <w:szCs w:val="24"/>
          <w:lang w:val="fr-CH" w:eastAsia="ja-JP" w:bidi="th-TH"/>
        </w:rPr>
        <w:t>’</w:t>
      </w:r>
      <w:r w:rsidRPr="001230BA">
        <w:rPr>
          <w:rFonts w:cs="Angsana New"/>
          <w:szCs w:val="24"/>
          <w:lang w:val="fr-CH" w:eastAsia="ja-JP" w:bidi="th-TH"/>
        </w:rPr>
        <w:t>ADN (BMT) (document</w:t>
      </w:r>
      <w:r w:rsidR="00C93A51" w:rsidRPr="001230BA">
        <w:rPr>
          <w:rFonts w:cs="Angsana New"/>
          <w:szCs w:val="24"/>
          <w:lang w:val="fr-CH" w:eastAsia="ja-JP" w:bidi="th-TH"/>
        </w:rPr>
        <w:t> </w:t>
      </w:r>
      <w:r w:rsidRPr="001230BA">
        <w:rPr>
          <w:rFonts w:cs="Angsana New"/>
          <w:szCs w:val="24"/>
          <w:lang w:val="fr-CH" w:eastAsia="ja-JP" w:bidi="th-TH"/>
        </w:rPr>
        <w:t>C/54/16)</w:t>
      </w:r>
    </w:p>
    <w:p w:rsidR="00CC73A7" w:rsidRPr="0027582B" w:rsidRDefault="002C3711" w:rsidP="002C3711">
      <w:pPr>
        <w:jc w:val="left"/>
        <w:rPr>
          <w:rFonts w:cs="Arial"/>
          <w:lang w:val="fr-CH"/>
        </w:rPr>
      </w:pPr>
      <w:r w:rsidRPr="0027582B">
        <w:rPr>
          <w:rFonts w:cs="Arial"/>
          <w:lang w:val="fr-CH"/>
        </w:rPr>
        <w:br w:type="page"/>
      </w:r>
    </w:p>
    <w:p w:rsidR="00CC73A7" w:rsidRPr="0027582B" w:rsidRDefault="002C3711" w:rsidP="0025250B">
      <w:pPr>
        <w:spacing w:after="120"/>
        <w:rPr>
          <w:rFonts w:cs="Arial"/>
          <w:lang w:val="fr-CH"/>
        </w:rPr>
      </w:pPr>
      <w:r w:rsidRPr="0027582B">
        <w:rPr>
          <w:rFonts w:cs="Arial"/>
        </w:rPr>
        <w:lastRenderedPageBreak/>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25250B" w:rsidRPr="0027582B">
        <w:rPr>
          <w:rFonts w:cs="Arial"/>
          <w:lang w:val="fr-CH"/>
        </w:rPr>
        <w:t>Le présent document est structuré comme suit</w:t>
      </w:r>
      <w:r w:rsidR="0061079C">
        <w:rPr>
          <w:rFonts w:cs="Arial"/>
          <w:lang w:val="fr-CH"/>
        </w:rPr>
        <w:t> :</w:t>
      </w:r>
    </w:p>
    <w:p w:rsidR="00D04FD9" w:rsidRPr="00D04FD9" w:rsidRDefault="00015A7B">
      <w:pPr>
        <w:pStyle w:val="TOC1"/>
        <w:rPr>
          <w:rFonts w:asciiTheme="minorHAnsi" w:eastAsiaTheme="minorEastAsia" w:hAnsiTheme="minorHAnsi" w:cstheme="minorBidi"/>
          <w:caps w:val="0"/>
          <w:noProof/>
          <w:sz w:val="22"/>
          <w:szCs w:val="22"/>
          <w:lang w:val="fr-CH"/>
        </w:rPr>
      </w:pPr>
      <w:r>
        <w:rPr>
          <w:rFonts w:cs="Arial"/>
          <w:bCs/>
          <w:caps w:val="0"/>
          <w:noProof/>
          <w:snapToGrid w:val="0"/>
          <w:highlight w:val="yellow"/>
        </w:rPr>
        <w:fldChar w:fldCharType="begin"/>
      </w:r>
      <w:r w:rsidRPr="00015A7B">
        <w:rPr>
          <w:rFonts w:cs="Arial"/>
          <w:bCs/>
          <w:caps w:val="0"/>
          <w:noProof/>
          <w:snapToGrid w:val="0"/>
          <w:highlight w:val="yellow"/>
          <w:lang w:val="fr-CH"/>
        </w:rPr>
        <w:instrText xml:space="preserve"> TOC \o "1-4" \u </w:instrText>
      </w:r>
      <w:r>
        <w:rPr>
          <w:rFonts w:cs="Arial"/>
          <w:bCs/>
          <w:caps w:val="0"/>
          <w:noProof/>
          <w:snapToGrid w:val="0"/>
          <w:highlight w:val="yellow"/>
        </w:rPr>
        <w:fldChar w:fldCharType="separate"/>
      </w:r>
      <w:r w:rsidR="00D04FD9" w:rsidRPr="00F42C32">
        <w:rPr>
          <w:noProof/>
          <w:snapToGrid w:val="0"/>
          <w:lang w:val="fr-CH"/>
        </w:rPr>
        <w:t>Rappel</w:t>
      </w:r>
      <w:r w:rsidR="00D04FD9" w:rsidRPr="00D04FD9">
        <w:rPr>
          <w:noProof/>
          <w:lang w:val="fr-CH"/>
        </w:rPr>
        <w:tab/>
      </w:r>
      <w:r w:rsidR="00D04FD9">
        <w:rPr>
          <w:noProof/>
        </w:rPr>
        <w:fldChar w:fldCharType="begin"/>
      </w:r>
      <w:r w:rsidR="00D04FD9" w:rsidRPr="00D04FD9">
        <w:rPr>
          <w:noProof/>
          <w:lang w:val="fr-CH"/>
        </w:rPr>
        <w:instrText xml:space="preserve"> PAGEREF _Toc56188599 \h </w:instrText>
      </w:r>
      <w:r w:rsidR="00D04FD9">
        <w:rPr>
          <w:noProof/>
        </w:rPr>
      </w:r>
      <w:r w:rsidR="00D04FD9">
        <w:rPr>
          <w:noProof/>
        </w:rPr>
        <w:fldChar w:fldCharType="separate"/>
      </w:r>
      <w:r w:rsidR="00D04FD9" w:rsidRPr="00D04FD9">
        <w:rPr>
          <w:noProof/>
          <w:lang w:val="fr-CH"/>
        </w:rPr>
        <w:t>2</w:t>
      </w:r>
      <w:r w:rsidR="00D04FD9">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snapToGrid w:val="0"/>
          <w:lang w:val="fr-CH"/>
        </w:rPr>
        <w:t>Point 4 de l’ordre du jour :  Nomination du Secrétaire général (DOCUMENT C/54/11)</w:t>
      </w:r>
      <w:r w:rsidRPr="00D04FD9">
        <w:rPr>
          <w:noProof/>
          <w:lang w:val="fr-CH"/>
        </w:rPr>
        <w:tab/>
      </w:r>
      <w:r>
        <w:rPr>
          <w:noProof/>
        </w:rPr>
        <w:fldChar w:fldCharType="begin"/>
      </w:r>
      <w:r w:rsidRPr="00D04FD9">
        <w:rPr>
          <w:noProof/>
          <w:lang w:val="fr-CH"/>
        </w:rPr>
        <w:instrText xml:space="preserve"> PAGEREF _Toc56188600 \h </w:instrText>
      </w:r>
      <w:r>
        <w:rPr>
          <w:noProof/>
        </w:rPr>
      </w:r>
      <w:r>
        <w:rPr>
          <w:noProof/>
        </w:rPr>
        <w:fldChar w:fldCharType="separate"/>
      </w:r>
      <w:r w:rsidRPr="00D04FD9">
        <w:rPr>
          <w:noProof/>
          <w:lang w:val="fr-CH"/>
        </w:rPr>
        <w:t>4</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snapToGrid w:val="0"/>
          <w:lang w:val="fr-CH"/>
        </w:rPr>
        <w:t>Point 5 de l’ordre du jour :  Prolongation du mandat du Secrétaire général adjoint (document C/54/12)</w:t>
      </w:r>
      <w:r w:rsidRPr="00D04FD9">
        <w:rPr>
          <w:noProof/>
          <w:lang w:val="fr-CH"/>
        </w:rPr>
        <w:tab/>
      </w:r>
      <w:r>
        <w:rPr>
          <w:noProof/>
        </w:rPr>
        <w:fldChar w:fldCharType="begin"/>
      </w:r>
      <w:r w:rsidRPr="00D04FD9">
        <w:rPr>
          <w:noProof/>
          <w:lang w:val="fr-CH"/>
        </w:rPr>
        <w:instrText xml:space="preserve"> PAGEREF _Toc56188601 \h </w:instrText>
      </w:r>
      <w:r>
        <w:rPr>
          <w:noProof/>
        </w:rPr>
      </w:r>
      <w:r>
        <w:rPr>
          <w:noProof/>
        </w:rPr>
        <w:fldChar w:fldCharType="separate"/>
      </w:r>
      <w:r w:rsidRPr="00D04FD9">
        <w:rPr>
          <w:noProof/>
          <w:lang w:val="fr-CH"/>
        </w:rPr>
        <w:t>5</w:t>
      </w:r>
      <w:r>
        <w:rPr>
          <w:noProof/>
        </w:rPr>
        <w:fldChar w:fldCharType="end"/>
      </w:r>
    </w:p>
    <w:p w:rsidR="00D04FD9" w:rsidRPr="00D04FD9" w:rsidRDefault="00D04FD9" w:rsidP="00E43866">
      <w:pPr>
        <w:pStyle w:val="TOC1"/>
        <w:jc w:val="both"/>
        <w:rPr>
          <w:rFonts w:asciiTheme="minorHAnsi" w:eastAsiaTheme="minorEastAsia" w:hAnsiTheme="minorHAnsi" w:cstheme="minorBidi"/>
          <w:caps w:val="0"/>
          <w:noProof/>
          <w:sz w:val="22"/>
          <w:szCs w:val="22"/>
          <w:lang w:val="fr-CH"/>
        </w:rPr>
      </w:pPr>
      <w:r w:rsidRPr="00E43866">
        <w:rPr>
          <w:noProof/>
          <w:lang w:val="fr-CH"/>
        </w:rPr>
        <w:t>Point 8 de l’ordre du jour :  Documents proposés pour adoption par le Consei</w:t>
      </w:r>
      <w:r w:rsidR="00E43866" w:rsidRPr="00E43866">
        <w:rPr>
          <w:noProof/>
          <w:lang w:val="fr-CH"/>
        </w:rPr>
        <w:t>l (document </w:t>
      </w:r>
      <w:r w:rsidRPr="00E43866">
        <w:rPr>
          <w:noProof/>
          <w:lang w:val="fr-CH"/>
        </w:rPr>
        <w:t>C/54/3 Rev.) et document UPOV/INF/4 : Règlement financier et règlement d’exécution du Règlement financier de l’UPOV (révision de l’article 4.6) (document C/54/19)</w:t>
      </w:r>
      <w:r w:rsidRPr="00D04FD9">
        <w:rPr>
          <w:noProof/>
          <w:lang w:val="fr-CH"/>
        </w:rPr>
        <w:tab/>
      </w:r>
      <w:r>
        <w:rPr>
          <w:noProof/>
        </w:rPr>
        <w:fldChar w:fldCharType="begin"/>
      </w:r>
      <w:r w:rsidRPr="00D04FD9">
        <w:rPr>
          <w:noProof/>
          <w:lang w:val="fr-CH"/>
        </w:rPr>
        <w:instrText xml:space="preserve"> PAGEREF _Toc56188602 \h </w:instrText>
      </w:r>
      <w:r>
        <w:rPr>
          <w:noProof/>
        </w:rPr>
      </w:r>
      <w:r>
        <w:rPr>
          <w:noProof/>
        </w:rPr>
        <w:fldChar w:fldCharType="separate"/>
      </w:r>
      <w:r w:rsidRPr="00D04FD9">
        <w:rPr>
          <w:noProof/>
          <w:lang w:val="fr-CH"/>
        </w:rPr>
        <w:t>5</w:t>
      </w:r>
      <w:r>
        <w:rPr>
          <w:noProof/>
        </w:rPr>
        <w:fldChar w:fldCharType="end"/>
      </w:r>
    </w:p>
    <w:p w:rsidR="00D04FD9" w:rsidRPr="00D04FD9" w:rsidRDefault="00D04FD9">
      <w:pPr>
        <w:pStyle w:val="TOC2"/>
        <w:rPr>
          <w:rFonts w:asciiTheme="minorHAnsi" w:eastAsiaTheme="minorEastAsia" w:hAnsiTheme="minorHAnsi" w:cstheme="minorBidi"/>
          <w:noProof/>
          <w:sz w:val="22"/>
          <w:szCs w:val="22"/>
          <w:lang w:val="fr-CH"/>
        </w:rPr>
      </w:pPr>
      <w:r w:rsidRPr="00F42C32">
        <w:rPr>
          <w:noProof/>
          <w:lang w:val="fr-CH"/>
        </w:rPr>
        <w:t>Documents proposés pour adoption par le Conseil (document C/54/3 Rev.)</w:t>
      </w:r>
      <w:r w:rsidRPr="00D04FD9">
        <w:rPr>
          <w:noProof/>
          <w:lang w:val="fr-CH"/>
        </w:rPr>
        <w:tab/>
      </w:r>
      <w:r>
        <w:rPr>
          <w:noProof/>
        </w:rPr>
        <w:fldChar w:fldCharType="begin"/>
      </w:r>
      <w:r w:rsidRPr="00D04FD9">
        <w:rPr>
          <w:noProof/>
          <w:lang w:val="fr-CH"/>
        </w:rPr>
        <w:instrText xml:space="preserve"> PAGEREF _Toc56188603 \h </w:instrText>
      </w:r>
      <w:r>
        <w:rPr>
          <w:noProof/>
        </w:rPr>
      </w:r>
      <w:r>
        <w:rPr>
          <w:noProof/>
        </w:rPr>
        <w:fldChar w:fldCharType="separate"/>
      </w:r>
      <w:r w:rsidRPr="00D04FD9">
        <w:rPr>
          <w:noProof/>
          <w:lang w:val="fr-CH"/>
        </w:rPr>
        <w:t>5</w:t>
      </w:r>
      <w:r>
        <w:rPr>
          <w:noProof/>
        </w:rPr>
        <w:fldChar w:fldCharType="end"/>
      </w:r>
    </w:p>
    <w:p w:rsidR="00D04FD9" w:rsidRPr="00D04FD9" w:rsidRDefault="00D04FD9">
      <w:pPr>
        <w:pStyle w:val="TOC3"/>
        <w:rPr>
          <w:rFonts w:asciiTheme="minorHAnsi" w:eastAsiaTheme="minorEastAsia" w:hAnsiTheme="minorHAnsi" w:cstheme="minorBidi"/>
          <w:i w:val="0"/>
          <w:noProof/>
          <w:sz w:val="22"/>
          <w:szCs w:val="22"/>
          <w:lang w:val="fr-CH"/>
        </w:rPr>
      </w:pPr>
      <w:r w:rsidRPr="00F42C32">
        <w:rPr>
          <w:noProof/>
          <w:lang w:val="fr-CH"/>
        </w:rPr>
        <w:t>Documents d’information</w:t>
      </w:r>
      <w:r>
        <w:rPr>
          <w:noProof/>
        </w:rPr>
        <w:tab/>
      </w:r>
      <w:r>
        <w:rPr>
          <w:noProof/>
        </w:rPr>
        <w:fldChar w:fldCharType="begin"/>
      </w:r>
      <w:r>
        <w:rPr>
          <w:noProof/>
        </w:rPr>
        <w:instrText xml:space="preserve"> PAGEREF _Toc56188604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kern w:val="28"/>
          <w:lang w:val="fr-CH"/>
        </w:rPr>
        <w:t>UPOV/INF/16 :  Logiciels échangeables (révision) (document UPOV/INF/16/9 Draft 2)</w:t>
      </w:r>
      <w:r>
        <w:rPr>
          <w:noProof/>
        </w:rPr>
        <w:tab/>
      </w:r>
      <w:r>
        <w:rPr>
          <w:noProof/>
        </w:rPr>
        <w:fldChar w:fldCharType="begin"/>
      </w:r>
      <w:r>
        <w:rPr>
          <w:noProof/>
        </w:rPr>
        <w:instrText xml:space="preserve"> PAGEREF _Toc56188605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lang w:val="fr-CH"/>
        </w:rPr>
        <w:t>UPOV/INF/22 :  Logiciels et équipements utilisés par les membres de l’Union (révision) (document UPOV/INF/22/7 Draft 1)</w:t>
      </w:r>
      <w:r>
        <w:rPr>
          <w:noProof/>
        </w:rPr>
        <w:tab/>
      </w:r>
      <w:r>
        <w:rPr>
          <w:noProof/>
        </w:rPr>
        <w:fldChar w:fldCharType="begin"/>
      </w:r>
      <w:r>
        <w:rPr>
          <w:noProof/>
        </w:rPr>
        <w:instrText xml:space="preserve"> PAGEREF _Toc56188606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UPOV/INF-EXN :  Liste des documents UPOV/INF-EXN et date de la version la plus récente de ces documents (révision) (document UPOV/INF-EXN/14 Draft 2)</w:t>
      </w:r>
      <w:r>
        <w:rPr>
          <w:noProof/>
        </w:rPr>
        <w:tab/>
      </w:r>
      <w:r>
        <w:rPr>
          <w:noProof/>
        </w:rPr>
        <w:fldChar w:fldCharType="begin"/>
      </w:r>
      <w:r>
        <w:rPr>
          <w:noProof/>
        </w:rPr>
        <w:instrText xml:space="preserve"> PAGEREF _Toc56188607 \h </w:instrText>
      </w:r>
      <w:r>
        <w:rPr>
          <w:noProof/>
        </w:rPr>
      </w:r>
      <w:r>
        <w:rPr>
          <w:noProof/>
        </w:rPr>
        <w:fldChar w:fldCharType="separate"/>
      </w:r>
      <w:r>
        <w:rPr>
          <w:noProof/>
        </w:rPr>
        <w:t>5</w:t>
      </w:r>
      <w:r>
        <w:rPr>
          <w:noProof/>
        </w:rPr>
        <w:fldChar w:fldCharType="end"/>
      </w:r>
    </w:p>
    <w:p w:rsidR="00D04FD9" w:rsidRPr="00D04FD9" w:rsidRDefault="00D04FD9">
      <w:pPr>
        <w:pStyle w:val="TOC3"/>
        <w:rPr>
          <w:rFonts w:asciiTheme="minorHAnsi" w:eastAsiaTheme="minorEastAsia" w:hAnsiTheme="minorHAnsi" w:cstheme="minorBidi"/>
          <w:i w:val="0"/>
          <w:noProof/>
          <w:sz w:val="22"/>
          <w:szCs w:val="22"/>
          <w:lang w:val="fr-CH"/>
        </w:rPr>
      </w:pPr>
      <w:r w:rsidRPr="00F42C32">
        <w:rPr>
          <w:noProof/>
          <w:lang w:val="fr-CH"/>
        </w:rPr>
        <w:t>Documents TGP</w:t>
      </w:r>
      <w:r>
        <w:rPr>
          <w:noProof/>
        </w:rPr>
        <w:tab/>
      </w:r>
      <w:r>
        <w:rPr>
          <w:noProof/>
        </w:rPr>
        <w:fldChar w:fldCharType="begin"/>
      </w:r>
      <w:r>
        <w:rPr>
          <w:noProof/>
        </w:rPr>
        <w:instrText xml:space="preserve"> PAGEREF _Toc56188608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TGP/5 :  Expérience et coopération en matière d’examen DHS, Section 6 : Rapport UPOV d’examen technique et Formulaire UPOV de description variétale (révision) (document TGP/5 :  Section 6/3 Draft 1)</w:t>
      </w:r>
      <w:r>
        <w:rPr>
          <w:noProof/>
        </w:rPr>
        <w:tab/>
      </w:r>
      <w:r>
        <w:rPr>
          <w:noProof/>
        </w:rPr>
        <w:fldChar w:fldCharType="begin"/>
      </w:r>
      <w:r>
        <w:rPr>
          <w:noProof/>
        </w:rPr>
        <w:instrText xml:space="preserve"> PAGEREF _Toc56188609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TGP/7 :  Élaboration des principes directeurs d’examen (révision) (document TGP/7/8 Draft 1)</w:t>
      </w:r>
      <w:r>
        <w:rPr>
          <w:noProof/>
        </w:rPr>
        <w:tab/>
      </w:r>
      <w:r>
        <w:rPr>
          <w:noProof/>
        </w:rPr>
        <w:fldChar w:fldCharType="begin"/>
      </w:r>
      <w:r>
        <w:rPr>
          <w:noProof/>
        </w:rPr>
        <w:instrText xml:space="preserve"> PAGEREF _Toc56188610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TGP/14 :  Glossaire de termes utilisés dans les documents de l’UPOV (révision) (document TGP/14/5 Draft 1)</w:t>
      </w:r>
      <w:r>
        <w:rPr>
          <w:noProof/>
        </w:rPr>
        <w:tab/>
      </w:r>
      <w:r>
        <w:rPr>
          <w:noProof/>
        </w:rPr>
        <w:fldChar w:fldCharType="begin"/>
      </w:r>
      <w:r>
        <w:rPr>
          <w:noProof/>
        </w:rPr>
        <w:instrText xml:space="preserve"> PAGEREF _Toc56188611 \h </w:instrText>
      </w:r>
      <w:r>
        <w:rPr>
          <w:noProof/>
        </w:rPr>
      </w:r>
      <w:r>
        <w:rPr>
          <w:noProof/>
        </w:rPr>
        <w:fldChar w:fldCharType="separate"/>
      </w:r>
      <w:r>
        <w:rPr>
          <w:noProof/>
        </w:rPr>
        <w:t>5</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TGP/15 :  Conseils en ce qui concerne l’utilisation des marqueurs biochimiques et moléculaires dans l’examen de la distinction, de l’homogénéité et de la stabilité (DHS) (révision) (document TGP/15/3 Draft 1)</w:t>
      </w:r>
      <w:r>
        <w:rPr>
          <w:noProof/>
        </w:rPr>
        <w:tab/>
      </w:r>
      <w:r>
        <w:rPr>
          <w:noProof/>
        </w:rPr>
        <w:fldChar w:fldCharType="begin"/>
      </w:r>
      <w:r>
        <w:rPr>
          <w:noProof/>
        </w:rPr>
        <w:instrText xml:space="preserve"> PAGEREF _Toc56188612 \h </w:instrText>
      </w:r>
      <w:r>
        <w:rPr>
          <w:noProof/>
        </w:rPr>
      </w:r>
      <w:r>
        <w:rPr>
          <w:noProof/>
        </w:rPr>
        <w:fldChar w:fldCharType="separate"/>
      </w:r>
      <w:r>
        <w:rPr>
          <w:noProof/>
        </w:rPr>
        <w:t>6</w:t>
      </w:r>
      <w:r>
        <w:rPr>
          <w:noProof/>
        </w:rPr>
        <w:fldChar w:fldCharType="end"/>
      </w:r>
    </w:p>
    <w:p w:rsidR="00D04FD9" w:rsidRPr="00D04FD9" w:rsidRDefault="00D04FD9">
      <w:pPr>
        <w:pStyle w:val="TOC4"/>
        <w:rPr>
          <w:rFonts w:asciiTheme="minorHAnsi" w:eastAsiaTheme="minorEastAsia" w:hAnsiTheme="minorHAnsi" w:cstheme="minorBidi"/>
          <w:noProof/>
          <w:sz w:val="22"/>
          <w:szCs w:val="22"/>
          <w:lang w:val="fr-CH"/>
        </w:rPr>
      </w:pPr>
      <w:r w:rsidRPr="00F42C32">
        <w:rPr>
          <w:noProof/>
          <w:snapToGrid w:val="0"/>
          <w:lang w:val="fr-CH"/>
        </w:rPr>
        <w:t>TGP/0 :  Liste des documents TGP et date de la version la plus récente de ces documents (révision) (document TGP/0/12 Draft 1)</w:t>
      </w:r>
      <w:r>
        <w:rPr>
          <w:noProof/>
        </w:rPr>
        <w:tab/>
      </w:r>
      <w:r>
        <w:rPr>
          <w:noProof/>
        </w:rPr>
        <w:fldChar w:fldCharType="begin"/>
      </w:r>
      <w:r>
        <w:rPr>
          <w:noProof/>
        </w:rPr>
        <w:instrText xml:space="preserve"> PAGEREF _Toc56188613 \h </w:instrText>
      </w:r>
      <w:r>
        <w:rPr>
          <w:noProof/>
        </w:rPr>
      </w:r>
      <w:r>
        <w:rPr>
          <w:noProof/>
        </w:rPr>
        <w:fldChar w:fldCharType="separate"/>
      </w:r>
      <w:r>
        <w:rPr>
          <w:noProof/>
        </w:rPr>
        <w:t>6</w:t>
      </w:r>
      <w:r>
        <w:rPr>
          <w:noProof/>
        </w:rPr>
        <w:fldChar w:fldCharType="end"/>
      </w:r>
    </w:p>
    <w:p w:rsidR="00D04FD9" w:rsidRPr="00D04FD9" w:rsidRDefault="00D04FD9">
      <w:pPr>
        <w:pStyle w:val="TOC2"/>
        <w:rPr>
          <w:rFonts w:asciiTheme="minorHAnsi" w:eastAsiaTheme="minorEastAsia" w:hAnsiTheme="minorHAnsi" w:cstheme="minorBidi"/>
          <w:noProof/>
          <w:sz w:val="22"/>
          <w:szCs w:val="22"/>
          <w:lang w:val="fr-CH"/>
        </w:rPr>
      </w:pPr>
      <w:r w:rsidRPr="00F42C32">
        <w:rPr>
          <w:noProof/>
          <w:lang w:val="fr-CH"/>
        </w:rPr>
        <w:t>Document UPOV/INF/4 :  Règlement financier et règlement d’exécution du Règlement financier de l’UPOV (révision de l’article 4.6) (document C/54/19)</w:t>
      </w:r>
      <w:r w:rsidRPr="00D04FD9">
        <w:rPr>
          <w:noProof/>
          <w:lang w:val="fr-CH"/>
        </w:rPr>
        <w:tab/>
      </w:r>
      <w:r>
        <w:rPr>
          <w:noProof/>
        </w:rPr>
        <w:fldChar w:fldCharType="begin"/>
      </w:r>
      <w:r w:rsidRPr="00D04FD9">
        <w:rPr>
          <w:noProof/>
          <w:lang w:val="fr-CH"/>
        </w:rPr>
        <w:instrText xml:space="preserve"> PAGEREF _Toc56188614 \h </w:instrText>
      </w:r>
      <w:r>
        <w:rPr>
          <w:noProof/>
        </w:rPr>
      </w:r>
      <w:r>
        <w:rPr>
          <w:noProof/>
        </w:rPr>
        <w:fldChar w:fldCharType="separate"/>
      </w:r>
      <w:r w:rsidRPr="00D04FD9">
        <w:rPr>
          <w:noProof/>
          <w:lang w:val="fr-CH"/>
        </w:rPr>
        <w:t>6</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snapToGrid w:val="0"/>
          <w:lang w:val="fr-CH"/>
        </w:rPr>
        <w:t>Point 9 de l’ordre du jour : États financiers pour 2019 (document C/54/5)</w:t>
      </w:r>
      <w:r w:rsidRPr="00D04FD9">
        <w:rPr>
          <w:noProof/>
          <w:lang w:val="fr-CH"/>
        </w:rPr>
        <w:tab/>
      </w:r>
      <w:r>
        <w:rPr>
          <w:noProof/>
        </w:rPr>
        <w:fldChar w:fldCharType="begin"/>
      </w:r>
      <w:r w:rsidRPr="00D04FD9">
        <w:rPr>
          <w:noProof/>
          <w:lang w:val="fr-CH"/>
        </w:rPr>
        <w:instrText xml:space="preserve"> PAGEREF _Toc56188615 \h </w:instrText>
      </w:r>
      <w:r>
        <w:rPr>
          <w:noProof/>
        </w:rPr>
      </w:r>
      <w:r>
        <w:rPr>
          <w:noProof/>
        </w:rPr>
        <w:fldChar w:fldCharType="separate"/>
      </w:r>
      <w:r w:rsidRPr="00D04FD9">
        <w:rPr>
          <w:noProof/>
          <w:lang w:val="fr-CH"/>
        </w:rPr>
        <w:t>6</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snapToGrid w:val="0"/>
          <w:lang w:val="fr-CH"/>
        </w:rPr>
        <w:t>Point 12 de l’ordre du jour :  Rapport de gestion financière pour l’exercice biennal 2018-2019 (document C/54/4)</w:t>
      </w:r>
      <w:r w:rsidRPr="00D04FD9">
        <w:rPr>
          <w:noProof/>
          <w:lang w:val="fr-CH"/>
        </w:rPr>
        <w:tab/>
      </w:r>
      <w:r>
        <w:rPr>
          <w:noProof/>
        </w:rPr>
        <w:fldChar w:fldCharType="begin"/>
      </w:r>
      <w:r w:rsidRPr="00D04FD9">
        <w:rPr>
          <w:noProof/>
          <w:lang w:val="fr-CH"/>
        </w:rPr>
        <w:instrText xml:space="preserve"> PAGEREF _Toc56188616 \h </w:instrText>
      </w:r>
      <w:r>
        <w:rPr>
          <w:noProof/>
        </w:rPr>
      </w:r>
      <w:r>
        <w:rPr>
          <w:noProof/>
        </w:rPr>
        <w:fldChar w:fldCharType="separate"/>
      </w:r>
      <w:r w:rsidRPr="00D04FD9">
        <w:rPr>
          <w:noProof/>
          <w:lang w:val="fr-CH"/>
        </w:rPr>
        <w:t>6</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13 de l’ordre du jour :  Rapport sur la performance pour l’exercice biennal 2018-2019 (document C/54/9)</w:t>
      </w:r>
      <w:r w:rsidRPr="00D04FD9">
        <w:rPr>
          <w:noProof/>
          <w:lang w:val="fr-CH"/>
        </w:rPr>
        <w:tab/>
      </w:r>
      <w:r>
        <w:rPr>
          <w:noProof/>
        </w:rPr>
        <w:fldChar w:fldCharType="begin"/>
      </w:r>
      <w:r w:rsidRPr="00D04FD9">
        <w:rPr>
          <w:noProof/>
          <w:lang w:val="fr-CH"/>
        </w:rPr>
        <w:instrText xml:space="preserve"> PAGEREF _Toc56188617 \h </w:instrText>
      </w:r>
      <w:r>
        <w:rPr>
          <w:noProof/>
        </w:rPr>
      </w:r>
      <w:r>
        <w:rPr>
          <w:noProof/>
        </w:rPr>
        <w:fldChar w:fldCharType="separate"/>
      </w:r>
      <w:r w:rsidRPr="00D04FD9">
        <w:rPr>
          <w:noProof/>
          <w:lang w:val="fr-CH"/>
        </w:rPr>
        <w:t>6</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14 de l’ordre du jour :  Rapport annuel du Secrétaire général pour 2019 (document C/54/2)</w:t>
      </w:r>
      <w:r w:rsidRPr="00D04FD9">
        <w:rPr>
          <w:noProof/>
          <w:lang w:val="fr-CH"/>
        </w:rPr>
        <w:tab/>
      </w:r>
      <w:r>
        <w:rPr>
          <w:noProof/>
        </w:rPr>
        <w:fldChar w:fldCharType="begin"/>
      </w:r>
      <w:r w:rsidRPr="00D04FD9">
        <w:rPr>
          <w:noProof/>
          <w:lang w:val="fr-CH"/>
        </w:rPr>
        <w:instrText xml:space="preserve"> PAGEREF _Toc56188618 \h </w:instrText>
      </w:r>
      <w:r>
        <w:rPr>
          <w:noProof/>
        </w:rPr>
      </w:r>
      <w:r>
        <w:rPr>
          <w:noProof/>
        </w:rPr>
        <w:fldChar w:fldCharType="separate"/>
      </w:r>
      <w:r w:rsidRPr="00D04FD9">
        <w:rPr>
          <w:noProof/>
          <w:lang w:val="fr-CH"/>
        </w:rPr>
        <w:t>6</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15 de l’ordre du jour :  Regroupement des rapports de gestion financière et sur la performance (document C/54/18)</w:t>
      </w:r>
      <w:r w:rsidRPr="00D04FD9">
        <w:rPr>
          <w:noProof/>
          <w:lang w:val="fr-CH"/>
        </w:rPr>
        <w:tab/>
      </w:r>
      <w:r>
        <w:rPr>
          <w:noProof/>
        </w:rPr>
        <w:fldChar w:fldCharType="begin"/>
      </w:r>
      <w:r w:rsidRPr="00D04FD9">
        <w:rPr>
          <w:noProof/>
          <w:lang w:val="fr-CH"/>
        </w:rPr>
        <w:instrText xml:space="preserve"> PAGEREF _Toc56188619 \h </w:instrText>
      </w:r>
      <w:r>
        <w:rPr>
          <w:noProof/>
        </w:rPr>
      </w:r>
      <w:r>
        <w:rPr>
          <w:noProof/>
        </w:rPr>
        <w:fldChar w:fldCharType="separate"/>
      </w:r>
      <w:r w:rsidRPr="00D04FD9">
        <w:rPr>
          <w:noProof/>
          <w:lang w:val="fr-CH"/>
        </w:rPr>
        <w:t>7</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16 de l’ordre du jour :  Fusion du Groupe de travail sur les techniques biochimiques et moléculaires, notamment les profils d’ADN (BMT) et du Groupe de travail technique sur les systèmes d’automatisation et les programmes d’ordinateur (TWC) (document C/54/14)</w:t>
      </w:r>
      <w:r w:rsidRPr="00D04FD9">
        <w:rPr>
          <w:noProof/>
          <w:lang w:val="fr-CH"/>
        </w:rPr>
        <w:tab/>
      </w:r>
      <w:r>
        <w:rPr>
          <w:noProof/>
        </w:rPr>
        <w:fldChar w:fldCharType="begin"/>
      </w:r>
      <w:r w:rsidRPr="00D04FD9">
        <w:rPr>
          <w:noProof/>
          <w:lang w:val="fr-CH"/>
        </w:rPr>
        <w:instrText xml:space="preserve"> PAGEREF _Toc56188620 \h </w:instrText>
      </w:r>
      <w:r>
        <w:rPr>
          <w:noProof/>
        </w:rPr>
      </w:r>
      <w:r>
        <w:rPr>
          <w:noProof/>
        </w:rPr>
        <w:fldChar w:fldCharType="separate"/>
      </w:r>
      <w:r w:rsidRPr="00D04FD9">
        <w:rPr>
          <w:noProof/>
          <w:lang w:val="fr-CH"/>
        </w:rPr>
        <w:t>7</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17 de l’ordre du jour :  question-réponse “Comment le système de l’UPOV favorise-t-il le développement durable?” (document C/54/15)</w:t>
      </w:r>
      <w:r w:rsidRPr="00D04FD9">
        <w:rPr>
          <w:noProof/>
          <w:lang w:val="fr-CH"/>
        </w:rPr>
        <w:tab/>
      </w:r>
      <w:r>
        <w:rPr>
          <w:noProof/>
        </w:rPr>
        <w:fldChar w:fldCharType="begin"/>
      </w:r>
      <w:r w:rsidRPr="00D04FD9">
        <w:rPr>
          <w:noProof/>
          <w:lang w:val="fr-CH"/>
        </w:rPr>
        <w:instrText xml:space="preserve"> PAGEREF _Toc56188621 \h </w:instrText>
      </w:r>
      <w:r>
        <w:rPr>
          <w:noProof/>
        </w:rPr>
      </w:r>
      <w:r>
        <w:rPr>
          <w:noProof/>
        </w:rPr>
        <w:fldChar w:fldCharType="separate"/>
      </w:r>
      <w:r w:rsidRPr="00D04FD9">
        <w:rPr>
          <w:noProof/>
          <w:lang w:val="fr-CH"/>
        </w:rPr>
        <w:t>8</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18.b) de l’ordre du jour :  Calendrier des réunions en 2021 (document C/54/8)</w:t>
      </w:r>
      <w:r w:rsidRPr="00D04FD9">
        <w:rPr>
          <w:noProof/>
          <w:lang w:val="fr-CH"/>
        </w:rPr>
        <w:tab/>
      </w:r>
      <w:r>
        <w:rPr>
          <w:noProof/>
        </w:rPr>
        <w:fldChar w:fldCharType="begin"/>
      </w:r>
      <w:r w:rsidRPr="00D04FD9">
        <w:rPr>
          <w:noProof/>
          <w:lang w:val="fr-CH"/>
        </w:rPr>
        <w:instrText xml:space="preserve"> PAGEREF _Toc56188622 \h </w:instrText>
      </w:r>
      <w:r>
        <w:rPr>
          <w:noProof/>
        </w:rPr>
      </w:r>
      <w:r>
        <w:rPr>
          <w:noProof/>
        </w:rPr>
        <w:fldChar w:fldCharType="separate"/>
      </w:r>
      <w:r w:rsidRPr="00D04FD9">
        <w:rPr>
          <w:noProof/>
          <w:lang w:val="fr-CH"/>
        </w:rPr>
        <w:t>8</w:t>
      </w:r>
      <w:r>
        <w:rPr>
          <w:noProof/>
        </w:rPr>
        <w:fldChar w:fldCharType="end"/>
      </w:r>
    </w:p>
    <w:p w:rsidR="00D04FD9" w:rsidRPr="00D04FD9" w:rsidRDefault="00D04FD9">
      <w:pPr>
        <w:pStyle w:val="TOC1"/>
        <w:rPr>
          <w:rFonts w:asciiTheme="minorHAnsi" w:eastAsiaTheme="minorEastAsia" w:hAnsiTheme="minorHAnsi" w:cstheme="minorBidi"/>
          <w:caps w:val="0"/>
          <w:noProof/>
          <w:sz w:val="22"/>
          <w:szCs w:val="22"/>
          <w:lang w:val="fr-CH"/>
        </w:rPr>
      </w:pPr>
      <w:r w:rsidRPr="00F42C32">
        <w:rPr>
          <w:noProof/>
          <w:lang w:val="fr-CH"/>
        </w:rPr>
        <w:t>Point 19 de l’ordre du jour :  Élection des nouveaux présidents des groupes de travail techniques et du Groupe de travail sur les techniques biochimiques et moléculaires, notamment les profils d’ADN (BMT) (document C/54/16)</w:t>
      </w:r>
      <w:r w:rsidRPr="00D04FD9">
        <w:rPr>
          <w:noProof/>
          <w:lang w:val="fr-CH"/>
        </w:rPr>
        <w:tab/>
      </w:r>
      <w:r>
        <w:rPr>
          <w:noProof/>
        </w:rPr>
        <w:fldChar w:fldCharType="begin"/>
      </w:r>
      <w:r w:rsidRPr="00D04FD9">
        <w:rPr>
          <w:noProof/>
          <w:lang w:val="fr-CH"/>
        </w:rPr>
        <w:instrText xml:space="preserve"> PAGEREF _Toc56188623 \h </w:instrText>
      </w:r>
      <w:r>
        <w:rPr>
          <w:noProof/>
        </w:rPr>
      </w:r>
      <w:r>
        <w:rPr>
          <w:noProof/>
        </w:rPr>
        <w:fldChar w:fldCharType="separate"/>
      </w:r>
      <w:r w:rsidRPr="00D04FD9">
        <w:rPr>
          <w:noProof/>
          <w:lang w:val="fr-CH"/>
        </w:rPr>
        <w:t>9</w:t>
      </w:r>
      <w:r>
        <w:rPr>
          <w:noProof/>
        </w:rPr>
        <w:fldChar w:fldCharType="end"/>
      </w:r>
    </w:p>
    <w:p w:rsidR="00154E50" w:rsidRPr="0027582B" w:rsidRDefault="00015A7B" w:rsidP="00197AB1">
      <w:pPr>
        <w:rPr>
          <w:rFonts w:cs="Arial"/>
          <w:bCs/>
          <w:caps/>
          <w:noProof/>
          <w:snapToGrid w:val="0"/>
        </w:rPr>
      </w:pPr>
      <w:r>
        <w:rPr>
          <w:rFonts w:cs="Arial"/>
          <w:bCs/>
          <w:caps/>
          <w:noProof/>
          <w:snapToGrid w:val="0"/>
          <w:sz w:val="18"/>
          <w:highlight w:val="yellow"/>
          <w:lang w:val="en-US"/>
        </w:rPr>
        <w:fldChar w:fldCharType="end"/>
      </w:r>
    </w:p>
    <w:p w:rsidR="00154E50" w:rsidRPr="0027582B" w:rsidRDefault="00154E50" w:rsidP="00197AB1">
      <w:pPr>
        <w:rPr>
          <w:rFonts w:cs="Arial"/>
          <w:bCs/>
          <w:caps/>
          <w:noProof/>
          <w:snapToGrid w:val="0"/>
        </w:rPr>
      </w:pPr>
    </w:p>
    <w:p w:rsidR="00154E50" w:rsidRPr="0027582B" w:rsidRDefault="00154E50" w:rsidP="00197AB1">
      <w:pPr>
        <w:rPr>
          <w:rFonts w:cs="Arial"/>
          <w:bCs/>
          <w:caps/>
          <w:noProof/>
          <w:snapToGrid w:val="0"/>
        </w:rPr>
      </w:pPr>
    </w:p>
    <w:p w:rsidR="00CC73A7" w:rsidRPr="0081780B" w:rsidRDefault="002644B2" w:rsidP="00D53254">
      <w:pPr>
        <w:pStyle w:val="Heading1"/>
        <w:rPr>
          <w:snapToGrid w:val="0"/>
          <w:lang w:val="fr-CH"/>
        </w:rPr>
      </w:pPr>
      <w:bookmarkStart w:id="2" w:name="_Toc56188599"/>
      <w:r w:rsidRPr="0081780B">
        <w:rPr>
          <w:snapToGrid w:val="0"/>
          <w:lang w:val="fr-CH"/>
        </w:rPr>
        <w:t>Rappel</w:t>
      </w:r>
      <w:bookmarkEnd w:id="2"/>
    </w:p>
    <w:p w:rsidR="00CC73A7" w:rsidRPr="0027582B" w:rsidRDefault="00CC73A7" w:rsidP="002C3711">
      <w:pPr>
        <w:jc w:val="left"/>
        <w:rPr>
          <w:sz w:val="16"/>
          <w:lang w:val="fr-CH"/>
        </w:rPr>
      </w:pPr>
    </w:p>
    <w:p w:rsidR="00CC73A7" w:rsidRPr="0027582B" w:rsidRDefault="002C3711" w:rsidP="002644B2">
      <w:pPr>
        <w:rPr>
          <w:rFonts w:cs="Arial"/>
          <w:lang w:val="fr-CH"/>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2644B2" w:rsidRPr="0027582B">
        <w:rPr>
          <w:rFonts w:cs="Arial"/>
          <w:lang w:val="fr-CH"/>
        </w:rPr>
        <w:t>Conformément à la circulaire</w:t>
      </w:r>
      <w:r w:rsidR="00C93A51" w:rsidRPr="0027582B">
        <w:rPr>
          <w:rFonts w:cs="Arial"/>
          <w:lang w:val="fr-CH"/>
        </w:rPr>
        <w:t> </w:t>
      </w:r>
      <w:r w:rsidR="002644B2" w:rsidRPr="0027582B">
        <w:rPr>
          <w:rFonts w:cs="Arial"/>
          <w:lang w:val="fr-CH"/>
        </w:rPr>
        <w:t>E</w:t>
      </w:r>
      <w:r w:rsidR="0061079C">
        <w:rPr>
          <w:rFonts w:cs="Arial"/>
          <w:lang w:val="fr-CH"/>
        </w:rPr>
        <w:t>-</w:t>
      </w:r>
      <w:r w:rsidR="002644B2" w:rsidRPr="0027582B">
        <w:rPr>
          <w:rFonts w:cs="Arial"/>
          <w:lang w:val="fr-CH"/>
        </w:rPr>
        <w:t>20/094 du 2</w:t>
      </w:r>
      <w:r w:rsidR="00611648" w:rsidRPr="0027582B">
        <w:rPr>
          <w:rFonts w:cs="Arial"/>
          <w:lang w:val="fr-CH"/>
        </w:rPr>
        <w:t>3 juillet 20</w:t>
      </w:r>
      <w:r w:rsidR="002644B2" w:rsidRPr="0027582B">
        <w:rPr>
          <w:rFonts w:cs="Arial"/>
          <w:lang w:val="fr-CH"/>
        </w:rPr>
        <w:t xml:space="preserve">20 (disponible sur la </w:t>
      </w:r>
      <w:r w:rsidR="00611648" w:rsidRPr="0027582B">
        <w:rPr>
          <w:rFonts w:cs="Arial"/>
          <w:lang w:val="fr-CH"/>
        </w:rPr>
        <w:t>page W</w:t>
      </w:r>
      <w:r w:rsidR="002644B2" w:rsidRPr="0027582B">
        <w:rPr>
          <w:rFonts w:cs="Arial"/>
          <w:lang w:val="fr-CH"/>
        </w:rPr>
        <w:t xml:space="preserve">eb de la </w:t>
      </w:r>
      <w:hyperlink r:id="rId8" w:history="1">
        <w:r w:rsidR="002644B2" w:rsidRPr="00253E66">
          <w:rPr>
            <w:rStyle w:val="Hyperlink"/>
            <w:rFonts w:cs="Arial"/>
          </w:rPr>
          <w:t>cinquante</w:t>
        </w:r>
        <w:r w:rsidR="0061079C" w:rsidRPr="00253E66">
          <w:rPr>
            <w:rStyle w:val="Hyperlink"/>
            <w:rFonts w:cs="Arial"/>
          </w:rPr>
          <w:t>-</w:t>
        </w:r>
        <w:r w:rsidR="002644B2" w:rsidRPr="00253E66">
          <w:rPr>
            <w:rStyle w:val="Hyperlink"/>
            <w:rFonts w:cs="Arial"/>
          </w:rPr>
          <w:t>quatr</w:t>
        </w:r>
        <w:r w:rsidR="0061079C" w:rsidRPr="00253E66">
          <w:rPr>
            <w:rStyle w:val="Hyperlink"/>
            <w:rFonts w:cs="Arial"/>
          </w:rPr>
          <w:t>ième session</w:t>
        </w:r>
        <w:r w:rsidR="002644B2" w:rsidRPr="00253E66">
          <w:rPr>
            <w:rStyle w:val="Hyperlink"/>
            <w:rFonts w:cs="Arial"/>
          </w:rPr>
          <w:t xml:space="preserve"> du Conseil</w:t>
        </w:r>
      </w:hyperlink>
      <w:r w:rsidR="002644B2" w:rsidRPr="0027582B">
        <w:rPr>
          <w:rFonts w:cs="Arial"/>
          <w:lang w:val="fr-CH"/>
        </w:rPr>
        <w:t>), le Conseil a décidé que les sessions de l</w:t>
      </w:r>
      <w:r w:rsidR="0061079C">
        <w:rPr>
          <w:rFonts w:cs="Arial"/>
          <w:lang w:val="fr-CH"/>
        </w:rPr>
        <w:t>’</w:t>
      </w:r>
      <w:r w:rsidR="002644B2" w:rsidRPr="0027582B">
        <w:rPr>
          <w:rFonts w:cs="Arial"/>
          <w:lang w:val="fr-CH"/>
        </w:rPr>
        <w:t>UPOV d</w:t>
      </w:r>
      <w:r w:rsidR="0061079C">
        <w:rPr>
          <w:rFonts w:cs="Arial"/>
          <w:lang w:val="fr-CH"/>
        </w:rPr>
        <w:t>’</w:t>
      </w:r>
      <w:r w:rsidR="00611648" w:rsidRPr="0027582B">
        <w:rPr>
          <w:rFonts w:cs="Arial"/>
          <w:lang w:val="fr-CH"/>
        </w:rPr>
        <w:t>octobre 20</w:t>
      </w:r>
      <w:r w:rsidR="002644B2" w:rsidRPr="0027582B">
        <w:rPr>
          <w:rFonts w:cs="Arial"/>
          <w:lang w:val="fr-CH"/>
        </w:rPr>
        <w:t>20 se tiendraient sous la forme de réunions virtuelles, avec examen préalable de documents par correspondance.</w:t>
      </w:r>
    </w:p>
    <w:p w:rsidR="00CC73A7" w:rsidRPr="0027582B" w:rsidRDefault="00CC73A7" w:rsidP="002C3711">
      <w:pPr>
        <w:rPr>
          <w:rFonts w:cs="Arial"/>
          <w:sz w:val="16"/>
          <w:lang w:val="fr-CH"/>
        </w:rPr>
      </w:pPr>
    </w:p>
    <w:p w:rsidR="00CC73A7" w:rsidRPr="0027582B" w:rsidRDefault="002C3711" w:rsidP="002644B2">
      <w:pPr>
        <w:keepNext/>
        <w:rPr>
          <w:rFonts w:cs="Arial"/>
          <w:lang w:val="fr-CH"/>
        </w:rPr>
      </w:pPr>
      <w:r w:rsidRPr="0027582B">
        <w:rPr>
          <w:rFonts w:cs="Arial"/>
        </w:rPr>
        <w:lastRenderedPageBreak/>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B35888" w:rsidRPr="0027582B">
        <w:rPr>
          <w:rFonts w:cs="Arial"/>
          <w:lang w:val="fr-CH"/>
        </w:rPr>
        <w:t>La circulaire</w:t>
      </w:r>
      <w:r w:rsidR="008D05FF">
        <w:rPr>
          <w:rFonts w:cs="Arial"/>
          <w:lang w:val="fr-CH"/>
        </w:rPr>
        <w:t> </w:t>
      </w:r>
      <w:r w:rsidR="00B35888" w:rsidRPr="0027582B">
        <w:rPr>
          <w:rFonts w:cs="Arial"/>
          <w:lang w:val="fr-CH"/>
        </w:rPr>
        <w:t>E</w:t>
      </w:r>
      <w:r w:rsidR="0061079C">
        <w:rPr>
          <w:rFonts w:cs="Arial"/>
          <w:lang w:val="fr-CH"/>
        </w:rPr>
        <w:t>-</w:t>
      </w:r>
      <w:r w:rsidR="002644B2" w:rsidRPr="0027582B">
        <w:rPr>
          <w:rFonts w:cs="Arial"/>
          <w:lang w:val="fr-CH"/>
        </w:rPr>
        <w:t>20/122 du 2</w:t>
      </w:r>
      <w:r w:rsidR="00611648" w:rsidRPr="0027582B">
        <w:rPr>
          <w:rFonts w:cs="Arial"/>
          <w:lang w:val="fr-CH"/>
        </w:rPr>
        <w:t>1 août 20</w:t>
      </w:r>
      <w:r w:rsidR="002644B2" w:rsidRPr="0027582B">
        <w:rPr>
          <w:rFonts w:cs="Arial"/>
          <w:lang w:val="fr-CH"/>
        </w:rPr>
        <w:t>20 recensait les documents ci</w:t>
      </w:r>
      <w:r w:rsidR="0061079C">
        <w:rPr>
          <w:rFonts w:cs="Arial"/>
          <w:lang w:val="fr-CH"/>
        </w:rPr>
        <w:t>-</w:t>
      </w:r>
      <w:r w:rsidR="002644B2" w:rsidRPr="0027582B">
        <w:rPr>
          <w:rFonts w:cs="Arial"/>
          <w:lang w:val="fr-CH"/>
        </w:rPr>
        <w:t>après pour la procédure par correspondance et prévoyait la possibilité de formuler des observations avant le 2</w:t>
      </w:r>
      <w:r w:rsidR="00611648" w:rsidRPr="0027582B">
        <w:rPr>
          <w:rFonts w:cs="Arial"/>
          <w:lang w:val="fr-CH"/>
        </w:rPr>
        <w:t>1 septembre 20</w:t>
      </w:r>
      <w:r w:rsidR="002644B2" w:rsidRPr="0027582B">
        <w:rPr>
          <w:rFonts w:cs="Arial"/>
          <w:lang w:val="fr-CH"/>
        </w:rPr>
        <w:t>20, avant les demandes d</w:t>
      </w:r>
      <w:r w:rsidR="0061079C">
        <w:rPr>
          <w:rFonts w:cs="Arial"/>
          <w:lang w:val="fr-CH"/>
        </w:rPr>
        <w:t>’</w:t>
      </w:r>
      <w:r w:rsidR="002644B2" w:rsidRPr="0027582B">
        <w:rPr>
          <w:rFonts w:cs="Arial"/>
          <w:lang w:val="fr-CH"/>
        </w:rPr>
        <w:t>approbation des décisions proposées dans les documents, le cas échéant</w:t>
      </w:r>
      <w:r w:rsidR="0061079C">
        <w:rPr>
          <w:rFonts w:cs="Arial"/>
          <w:lang w:val="fr-CH"/>
        </w:rPr>
        <w:t> :</w:t>
      </w:r>
    </w:p>
    <w:p w:rsidR="00CC73A7" w:rsidRPr="0027582B" w:rsidRDefault="00CC73A7" w:rsidP="002C3711">
      <w:pPr>
        <w:keepNext/>
        <w:rPr>
          <w:sz w:val="12"/>
          <w:u w:val="single"/>
          <w:lang w:val="fr-CH"/>
        </w:rPr>
      </w:pPr>
    </w:p>
    <w:p w:rsidR="00CC73A7" w:rsidRPr="0027582B" w:rsidRDefault="002644B2" w:rsidP="002644B2">
      <w:pPr>
        <w:keepNext/>
        <w:spacing w:after="120"/>
        <w:ind w:left="567"/>
        <w:rPr>
          <w:rFonts w:cs="Arial"/>
          <w:lang w:val="fr-CH"/>
        </w:rPr>
      </w:pPr>
      <w:r w:rsidRPr="0027582B">
        <w:rPr>
          <w:rFonts w:cs="Arial"/>
          <w:lang w:val="fr-CH"/>
        </w:rPr>
        <w:t>Nomination du Secrétaire général (document</w:t>
      </w:r>
      <w:r w:rsidR="00C93A51" w:rsidRPr="0027582B">
        <w:rPr>
          <w:rFonts w:cs="Arial"/>
          <w:lang w:val="fr-CH"/>
        </w:rPr>
        <w:t> </w:t>
      </w:r>
      <w:r w:rsidRPr="0027582B">
        <w:rPr>
          <w:rFonts w:cs="Arial"/>
          <w:lang w:val="fr-CH"/>
        </w:rPr>
        <w:t>C/54/11)</w:t>
      </w:r>
    </w:p>
    <w:p w:rsidR="00CC73A7" w:rsidRPr="0027582B" w:rsidRDefault="002644B2" w:rsidP="002644B2">
      <w:pPr>
        <w:keepNext/>
        <w:spacing w:after="120"/>
        <w:ind w:left="567"/>
        <w:rPr>
          <w:rFonts w:cs="Arial"/>
          <w:lang w:val="fr-CH"/>
        </w:rPr>
      </w:pPr>
      <w:r w:rsidRPr="0027582B">
        <w:rPr>
          <w:rFonts w:cs="Arial"/>
          <w:lang w:val="fr-CH"/>
        </w:rPr>
        <w:t>Prolongation du mandat du Secrétaire général adjoint (document</w:t>
      </w:r>
      <w:r w:rsidR="00C93A51" w:rsidRPr="0027582B">
        <w:rPr>
          <w:rFonts w:cs="Arial"/>
          <w:lang w:val="fr-CH"/>
        </w:rPr>
        <w:t> </w:t>
      </w:r>
      <w:r w:rsidRPr="0027582B">
        <w:rPr>
          <w:rFonts w:cs="Arial"/>
          <w:lang w:val="fr-CH"/>
        </w:rPr>
        <w:t>C/54/12)</w:t>
      </w:r>
    </w:p>
    <w:p w:rsidR="00611648" w:rsidRPr="0027582B" w:rsidRDefault="002644B2" w:rsidP="002644B2">
      <w:pPr>
        <w:keepNext/>
        <w:spacing w:after="120"/>
        <w:ind w:left="567"/>
        <w:rPr>
          <w:rFonts w:cs="Arial"/>
          <w:lang w:val="fr-CH"/>
        </w:rPr>
      </w:pPr>
      <w:r w:rsidRPr="0027582B">
        <w:rPr>
          <w:rFonts w:cs="Arial"/>
          <w:lang w:val="fr-CH"/>
        </w:rPr>
        <w:t>Adoption de documents (document</w:t>
      </w:r>
      <w:r w:rsidR="00C93A51" w:rsidRPr="0027582B">
        <w:rPr>
          <w:rFonts w:cs="Arial"/>
          <w:lang w:val="fr-CH"/>
        </w:rPr>
        <w:t> </w:t>
      </w:r>
      <w:r w:rsidRPr="0027582B">
        <w:rPr>
          <w:rFonts w:cs="Arial"/>
          <w:lang w:val="fr-CH"/>
        </w:rPr>
        <w:t>C/54/3)</w:t>
      </w:r>
    </w:p>
    <w:p w:rsidR="00CC73A7" w:rsidRPr="0027582B" w:rsidRDefault="002644B2" w:rsidP="002644B2">
      <w:pPr>
        <w:keepNext/>
        <w:spacing w:after="60"/>
        <w:ind w:left="2835" w:hanging="1701"/>
        <w:rPr>
          <w:rFonts w:cs="Angsana New"/>
          <w:szCs w:val="24"/>
          <w:lang w:val="fr-CH" w:eastAsia="ja-JP" w:bidi="th-TH"/>
        </w:rPr>
      </w:pPr>
      <w:r w:rsidRPr="0027582B">
        <w:rPr>
          <w:rFonts w:cs="Angsana New"/>
          <w:szCs w:val="24"/>
          <w:lang w:val="fr-CH" w:eastAsia="ja-JP" w:bidi="th-TH"/>
        </w:rPr>
        <w:t>UPOV/INF/16</w:t>
      </w:r>
      <w:r w:rsidRPr="0027582B">
        <w:rPr>
          <w:rFonts w:cs="Angsana New"/>
          <w:szCs w:val="24"/>
          <w:lang w:val="fr-CH" w:eastAsia="ja-JP" w:bidi="th-TH"/>
        </w:rPr>
        <w:tab/>
        <w:t>Logiciels échangeables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UP</w:t>
      </w:r>
      <w:r w:rsidR="00B35888" w:rsidRPr="0027582B">
        <w:rPr>
          <w:rFonts w:cs="Angsana New"/>
          <w:szCs w:val="24"/>
          <w:lang w:val="fr-CH" w:eastAsia="ja-JP" w:bidi="th-TH"/>
        </w:rPr>
        <w:t>OV/INF/16/9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UPOV/INF/22</w:t>
      </w:r>
      <w:r w:rsidRPr="0027582B">
        <w:rPr>
          <w:rFonts w:cs="Angsana New"/>
          <w:szCs w:val="24"/>
          <w:lang w:val="fr-CH" w:eastAsia="ja-JP" w:bidi="th-TH"/>
        </w:rPr>
        <w:tab/>
        <w:t>Logiciels et équipements utilisés par les membres de l</w:t>
      </w:r>
      <w:r w:rsidR="0061079C">
        <w:rPr>
          <w:rFonts w:cs="Angsana New"/>
          <w:szCs w:val="24"/>
          <w:lang w:val="fr-CH" w:eastAsia="ja-JP" w:bidi="th-TH"/>
        </w:rPr>
        <w:t>’</w:t>
      </w:r>
      <w:r w:rsidRPr="0027582B">
        <w:rPr>
          <w:rFonts w:cs="Angsana New"/>
          <w:szCs w:val="24"/>
          <w:lang w:val="fr-CH" w:eastAsia="ja-JP" w:bidi="th-TH"/>
        </w:rPr>
        <w:t>Union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UP</w:t>
      </w:r>
      <w:r w:rsidR="00B35888" w:rsidRPr="0027582B">
        <w:rPr>
          <w:rFonts w:cs="Angsana New"/>
          <w:szCs w:val="24"/>
          <w:lang w:val="fr-CH" w:eastAsia="ja-JP" w:bidi="th-TH"/>
        </w:rPr>
        <w:t>OV/INF/22/7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UPOV/INF</w:t>
      </w:r>
      <w:r w:rsidR="0061079C">
        <w:rPr>
          <w:rFonts w:cs="Angsana New"/>
          <w:szCs w:val="24"/>
          <w:lang w:val="fr-CH" w:eastAsia="ja-JP" w:bidi="th-TH"/>
        </w:rPr>
        <w:t>-</w:t>
      </w:r>
      <w:r w:rsidRPr="0027582B">
        <w:rPr>
          <w:rFonts w:cs="Angsana New"/>
          <w:szCs w:val="24"/>
          <w:lang w:val="fr-CH" w:eastAsia="ja-JP" w:bidi="th-TH"/>
        </w:rPr>
        <w:t>EXN</w:t>
      </w:r>
      <w:r w:rsidRPr="0027582B">
        <w:rPr>
          <w:rFonts w:cs="Angsana New"/>
          <w:szCs w:val="24"/>
          <w:lang w:val="fr-CH" w:eastAsia="ja-JP" w:bidi="th-TH"/>
        </w:rPr>
        <w:tab/>
        <w:t>Liste des documents UPOV/INF</w:t>
      </w:r>
      <w:r w:rsidR="0061079C">
        <w:rPr>
          <w:rFonts w:cs="Angsana New"/>
          <w:szCs w:val="24"/>
          <w:lang w:val="fr-CH" w:eastAsia="ja-JP" w:bidi="th-TH"/>
        </w:rPr>
        <w:t>-</w:t>
      </w:r>
      <w:r w:rsidRPr="0027582B">
        <w:rPr>
          <w:rFonts w:cs="Angsana New"/>
          <w:szCs w:val="24"/>
          <w:lang w:val="fr-CH" w:eastAsia="ja-JP" w:bidi="th-TH"/>
        </w:rPr>
        <w:t>EXN et date de la version la plus récente de ces documents (révision) (document UPOV/INF</w:t>
      </w:r>
      <w:r w:rsidR="0061079C">
        <w:rPr>
          <w:rFonts w:cs="Angsana New"/>
          <w:szCs w:val="24"/>
          <w:lang w:val="fr-CH" w:eastAsia="ja-JP" w:bidi="th-TH"/>
        </w:rPr>
        <w:t>-</w:t>
      </w:r>
      <w:r w:rsidR="00B35888" w:rsidRPr="0027582B">
        <w:rPr>
          <w:rFonts w:cs="Angsana New"/>
          <w:szCs w:val="24"/>
          <w:lang w:val="fr-CH" w:eastAsia="ja-JP" w:bidi="th-TH"/>
        </w:rPr>
        <w:t>EXN/14 </w:t>
      </w:r>
      <w:proofErr w:type="spellStart"/>
      <w:r w:rsidRPr="0027582B">
        <w:rPr>
          <w:rFonts w:cs="Angsana New"/>
          <w:szCs w:val="24"/>
          <w:lang w:val="fr-CH" w:eastAsia="ja-JP" w:bidi="th-TH"/>
        </w:rPr>
        <w:t>Draft</w:t>
      </w:r>
      <w:proofErr w:type="spellEnd"/>
      <w:r w:rsidRPr="0027582B">
        <w:rPr>
          <w:rFonts w:cs="Angsana New"/>
          <w:szCs w:val="24"/>
          <w:lang w:val="fr-CH" w:eastAsia="ja-JP" w:bidi="th-TH"/>
        </w:rPr>
        <w:t xml:space="preserve"> 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UPOV/EXN/DEN</w:t>
      </w:r>
      <w:r w:rsidRPr="0027582B">
        <w:rPr>
          <w:rFonts w:cs="Angsana New"/>
          <w:szCs w:val="24"/>
          <w:lang w:val="fr-CH" w:eastAsia="ja-JP" w:bidi="th-TH"/>
        </w:rPr>
        <w:tab/>
        <w:t xml:space="preserve">Notes explicatives concernant les dénominations variétales en vertu de la </w:t>
      </w:r>
      <w:r w:rsidR="0061079C">
        <w:rPr>
          <w:rFonts w:cs="Angsana New"/>
          <w:szCs w:val="24"/>
          <w:lang w:val="fr-CH" w:eastAsia="ja-JP" w:bidi="th-TH"/>
        </w:rPr>
        <w:t>Convention UPOV</w:t>
      </w:r>
      <w:r w:rsidRPr="0027582B">
        <w:rPr>
          <w:rFonts w:cs="Angsana New"/>
          <w:szCs w:val="24"/>
          <w:lang w:val="fr-CH" w:eastAsia="ja-JP" w:bidi="th-TH"/>
        </w:rPr>
        <w:t xml:space="preserve">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UP</w:t>
      </w:r>
      <w:r w:rsidRPr="0027582B">
        <w:rPr>
          <w:rFonts w:cs="Angsana New"/>
          <w:szCs w:val="24"/>
          <w:lang w:val="fr-CH" w:eastAsia="ja-JP" w:bidi="th-TH"/>
        </w:rPr>
        <w:t xml:space="preserve">OV/EXN/DEN/1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4)</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TGP/5</w:t>
      </w:r>
      <w:r w:rsidRPr="0027582B">
        <w:rPr>
          <w:rFonts w:cs="Angsana New"/>
          <w:szCs w:val="24"/>
          <w:lang w:val="fr-CH" w:eastAsia="ja-JP" w:bidi="th-TH"/>
        </w:rPr>
        <w:tab/>
        <w:t>Expérience et coopération en matière d</w:t>
      </w:r>
      <w:r w:rsidR="0061079C">
        <w:rPr>
          <w:rFonts w:cs="Angsana New"/>
          <w:szCs w:val="24"/>
          <w:lang w:val="fr-CH" w:eastAsia="ja-JP" w:bidi="th-TH"/>
        </w:rPr>
        <w:t>’</w:t>
      </w:r>
      <w:r w:rsidRPr="0027582B">
        <w:rPr>
          <w:rFonts w:cs="Angsana New"/>
          <w:szCs w:val="24"/>
          <w:lang w:val="fr-CH" w:eastAsia="ja-JP" w:bidi="th-TH"/>
        </w:rPr>
        <w:t>examen</w:t>
      </w:r>
      <w:r w:rsidR="00F02AF7" w:rsidRPr="0027582B">
        <w:rPr>
          <w:rFonts w:cs="Angsana New"/>
          <w:szCs w:val="24"/>
          <w:lang w:val="fr-CH" w:eastAsia="ja-JP" w:bidi="th-TH"/>
        </w:rPr>
        <w:t> </w:t>
      </w:r>
      <w:r w:rsidRPr="0027582B">
        <w:rPr>
          <w:rFonts w:cs="Angsana New"/>
          <w:szCs w:val="24"/>
          <w:lang w:val="fr-CH" w:eastAsia="ja-JP" w:bidi="th-TH"/>
        </w:rPr>
        <w:t xml:space="preserve">DHS, </w:t>
      </w:r>
      <w:r w:rsidR="00611648" w:rsidRPr="0027582B">
        <w:rPr>
          <w:rFonts w:cs="Angsana New"/>
          <w:szCs w:val="24"/>
          <w:lang w:val="fr-CH" w:eastAsia="ja-JP" w:bidi="th-TH"/>
        </w:rPr>
        <w:t>section 6</w:t>
      </w:r>
      <w:r w:rsidR="0061079C">
        <w:rPr>
          <w:rFonts w:cs="Angsana New"/>
          <w:szCs w:val="24"/>
          <w:lang w:val="fr-CH" w:eastAsia="ja-JP" w:bidi="th-TH"/>
        </w:rPr>
        <w:t> :</w:t>
      </w:r>
      <w:r w:rsidRPr="0027582B">
        <w:rPr>
          <w:rFonts w:cs="Angsana New"/>
          <w:szCs w:val="24"/>
          <w:lang w:val="fr-CH" w:eastAsia="ja-JP" w:bidi="th-TH"/>
        </w:rPr>
        <w:t xml:space="preserve"> Rapport UPOV d</w:t>
      </w:r>
      <w:r w:rsidR="0061079C">
        <w:rPr>
          <w:rFonts w:cs="Angsana New"/>
          <w:szCs w:val="24"/>
          <w:lang w:val="fr-CH" w:eastAsia="ja-JP" w:bidi="th-TH"/>
        </w:rPr>
        <w:t>’</w:t>
      </w:r>
      <w:r w:rsidRPr="0027582B">
        <w:rPr>
          <w:rFonts w:cs="Angsana New"/>
          <w:szCs w:val="24"/>
          <w:lang w:val="fr-CH" w:eastAsia="ja-JP" w:bidi="th-TH"/>
        </w:rPr>
        <w:t>examen technique et Formulaire UPOV de description variétale (révision) (document TGP/5</w:t>
      </w:r>
      <w:r w:rsidR="0061079C">
        <w:rPr>
          <w:rFonts w:cs="Angsana New"/>
          <w:szCs w:val="24"/>
          <w:lang w:val="fr-CH" w:eastAsia="ja-JP" w:bidi="th-TH"/>
        </w:rPr>
        <w:t> :</w:t>
      </w:r>
      <w:r w:rsidRPr="0027582B">
        <w:rPr>
          <w:rFonts w:cs="Angsana New"/>
          <w:szCs w:val="24"/>
          <w:lang w:val="fr-CH" w:eastAsia="ja-JP" w:bidi="th-TH"/>
        </w:rPr>
        <w:t xml:space="preserve"> </w:t>
      </w:r>
      <w:r w:rsidR="00611648" w:rsidRPr="0027582B">
        <w:rPr>
          <w:rFonts w:cs="Angsana New"/>
          <w:szCs w:val="24"/>
          <w:lang w:val="fr-CH" w:eastAsia="ja-JP" w:bidi="th-TH"/>
        </w:rPr>
        <w:t>Section 6</w:t>
      </w:r>
      <w:r w:rsidRPr="0027582B">
        <w:rPr>
          <w:rFonts w:cs="Angsana New"/>
          <w:szCs w:val="24"/>
          <w:lang w:val="fr-CH" w:eastAsia="ja-JP" w:bidi="th-TH"/>
        </w:rPr>
        <w:t>/3</w:t>
      </w:r>
      <w:r w:rsidR="00C93A51" w:rsidRPr="0027582B">
        <w:rPr>
          <w:rFonts w:cs="Angsana New"/>
          <w:szCs w:val="24"/>
          <w:lang w:val="fr-CH" w:eastAsia="ja-JP" w:bidi="th-TH"/>
        </w:rPr>
        <w:t>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TGP/7</w:t>
      </w:r>
      <w:r w:rsidRPr="0027582B">
        <w:rPr>
          <w:rFonts w:cs="Angsana New"/>
          <w:szCs w:val="24"/>
          <w:lang w:val="fr-CH" w:eastAsia="ja-JP" w:bidi="th-TH"/>
        </w:rPr>
        <w:tab/>
        <w:t>Élaboration des principes directeurs d</w:t>
      </w:r>
      <w:r w:rsidR="0061079C">
        <w:rPr>
          <w:rFonts w:cs="Angsana New"/>
          <w:szCs w:val="24"/>
          <w:lang w:val="fr-CH" w:eastAsia="ja-JP" w:bidi="th-TH"/>
        </w:rPr>
        <w:t>’</w:t>
      </w:r>
      <w:r w:rsidRPr="0027582B">
        <w:rPr>
          <w:rFonts w:cs="Angsana New"/>
          <w:szCs w:val="24"/>
          <w:lang w:val="fr-CH" w:eastAsia="ja-JP" w:bidi="th-TH"/>
        </w:rPr>
        <w:t>examen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TG</w:t>
      </w:r>
      <w:r w:rsidRPr="0027582B">
        <w:rPr>
          <w:rFonts w:cs="Angsana New"/>
          <w:szCs w:val="24"/>
          <w:lang w:val="fr-CH" w:eastAsia="ja-JP" w:bidi="th-TH"/>
        </w:rPr>
        <w:t>P/7/8</w:t>
      </w:r>
      <w:r w:rsidR="00B35888" w:rsidRPr="0027582B">
        <w:rPr>
          <w:rFonts w:cs="Angsana New"/>
          <w:szCs w:val="24"/>
          <w:lang w:val="fr-CH" w:eastAsia="ja-JP" w:bidi="th-TH"/>
        </w:rPr>
        <w:t>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TGP/14</w:t>
      </w:r>
      <w:r w:rsidRPr="0027582B">
        <w:rPr>
          <w:rFonts w:cs="Angsana New"/>
          <w:szCs w:val="24"/>
          <w:lang w:val="fr-CH" w:eastAsia="ja-JP" w:bidi="th-TH"/>
        </w:rPr>
        <w:tab/>
        <w:t>Glossaire de termes utilisés dans les documents de l</w:t>
      </w:r>
      <w:r w:rsidR="0061079C">
        <w:rPr>
          <w:rFonts w:cs="Angsana New"/>
          <w:szCs w:val="24"/>
          <w:lang w:val="fr-CH" w:eastAsia="ja-JP" w:bidi="th-TH"/>
        </w:rPr>
        <w:t>’</w:t>
      </w:r>
      <w:r w:rsidRPr="0027582B">
        <w:rPr>
          <w:rFonts w:cs="Angsana New"/>
          <w:szCs w:val="24"/>
          <w:lang w:val="fr-CH" w:eastAsia="ja-JP" w:bidi="th-TH"/>
        </w:rPr>
        <w:t>UPOV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TG</w:t>
      </w:r>
      <w:r w:rsidR="00B35888" w:rsidRPr="0027582B">
        <w:rPr>
          <w:rFonts w:cs="Angsana New"/>
          <w:szCs w:val="24"/>
          <w:lang w:val="fr-CH" w:eastAsia="ja-JP" w:bidi="th-TH"/>
        </w:rPr>
        <w:t>P/14/5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60"/>
        <w:ind w:left="2835" w:hanging="1701"/>
        <w:rPr>
          <w:rFonts w:cs="Angsana New"/>
          <w:szCs w:val="24"/>
          <w:lang w:val="fr-CH" w:eastAsia="ja-JP" w:bidi="th-TH"/>
        </w:rPr>
      </w:pPr>
      <w:r w:rsidRPr="0027582B">
        <w:rPr>
          <w:rFonts w:cs="Angsana New"/>
          <w:szCs w:val="24"/>
          <w:lang w:val="fr-CH" w:eastAsia="ja-JP" w:bidi="th-TH"/>
        </w:rPr>
        <w:t>TGP/15</w:t>
      </w:r>
      <w:r w:rsidRPr="0027582B">
        <w:rPr>
          <w:rFonts w:cs="Angsana New"/>
          <w:szCs w:val="24"/>
          <w:lang w:val="fr-CH" w:eastAsia="ja-JP" w:bidi="th-TH"/>
        </w:rPr>
        <w:tab/>
        <w:t>Conseils en ce qui concerne l</w:t>
      </w:r>
      <w:r w:rsidR="0061079C">
        <w:rPr>
          <w:rFonts w:cs="Angsana New"/>
          <w:szCs w:val="24"/>
          <w:lang w:val="fr-CH" w:eastAsia="ja-JP" w:bidi="th-TH"/>
        </w:rPr>
        <w:t>’</w:t>
      </w:r>
      <w:r w:rsidRPr="0027582B">
        <w:rPr>
          <w:rFonts w:cs="Angsana New"/>
          <w:szCs w:val="24"/>
          <w:lang w:val="fr-CH" w:eastAsia="ja-JP" w:bidi="th-TH"/>
        </w:rPr>
        <w:t>utilisation des marqueurs biochimiques et moléculaires dans l</w:t>
      </w:r>
      <w:r w:rsidR="0061079C">
        <w:rPr>
          <w:rFonts w:cs="Angsana New"/>
          <w:szCs w:val="24"/>
          <w:lang w:val="fr-CH" w:eastAsia="ja-JP" w:bidi="th-TH"/>
        </w:rPr>
        <w:t>’</w:t>
      </w:r>
      <w:r w:rsidRPr="0027582B">
        <w:rPr>
          <w:rFonts w:cs="Angsana New"/>
          <w:szCs w:val="24"/>
          <w:lang w:val="fr-CH" w:eastAsia="ja-JP" w:bidi="th-TH"/>
        </w:rPr>
        <w:t>examen de la distinction, de l</w:t>
      </w:r>
      <w:r w:rsidR="0061079C">
        <w:rPr>
          <w:rFonts w:cs="Angsana New"/>
          <w:szCs w:val="24"/>
          <w:lang w:val="fr-CH" w:eastAsia="ja-JP" w:bidi="th-TH"/>
        </w:rPr>
        <w:t>’</w:t>
      </w:r>
      <w:r w:rsidRPr="0027582B">
        <w:rPr>
          <w:rFonts w:cs="Angsana New"/>
          <w:szCs w:val="24"/>
          <w:lang w:val="fr-CH" w:eastAsia="ja-JP" w:bidi="th-TH"/>
        </w:rPr>
        <w:t>homogénéité et de la stabilité (DHS)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TG</w:t>
      </w:r>
      <w:r w:rsidR="00B35888" w:rsidRPr="0027582B">
        <w:rPr>
          <w:rFonts w:cs="Angsana New"/>
          <w:szCs w:val="24"/>
          <w:lang w:val="fr-CH" w:eastAsia="ja-JP" w:bidi="th-TH"/>
        </w:rPr>
        <w:t>P/15/3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120"/>
        <w:ind w:left="2835" w:hanging="1701"/>
        <w:rPr>
          <w:rFonts w:cs="Angsana New"/>
          <w:szCs w:val="24"/>
          <w:lang w:val="fr-CH" w:eastAsia="ja-JP" w:bidi="th-TH"/>
        </w:rPr>
      </w:pPr>
      <w:r w:rsidRPr="0027582B">
        <w:rPr>
          <w:rFonts w:cs="Angsana New"/>
          <w:szCs w:val="24"/>
          <w:lang w:val="fr-CH" w:eastAsia="ja-JP" w:bidi="th-TH"/>
        </w:rPr>
        <w:t>TGP/0</w:t>
      </w:r>
      <w:r w:rsidRPr="0027582B">
        <w:rPr>
          <w:rFonts w:cs="Angsana New"/>
          <w:szCs w:val="24"/>
          <w:lang w:val="fr-CH" w:eastAsia="ja-JP" w:bidi="th-TH"/>
        </w:rPr>
        <w:tab/>
        <w:t>Liste des documents TGP et date de la version la plus récente de ces documents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TG</w:t>
      </w:r>
      <w:r w:rsidR="00B35888" w:rsidRPr="0027582B">
        <w:rPr>
          <w:rFonts w:cs="Angsana New"/>
          <w:szCs w:val="24"/>
          <w:lang w:val="fr-CH" w:eastAsia="ja-JP" w:bidi="th-TH"/>
        </w:rPr>
        <w:t>P/0/12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1)</w:t>
      </w:r>
    </w:p>
    <w:p w:rsidR="00CC73A7" w:rsidRPr="0027582B" w:rsidRDefault="002644B2" w:rsidP="002644B2">
      <w:pPr>
        <w:spacing w:after="120"/>
        <w:ind w:left="567"/>
        <w:rPr>
          <w:rFonts w:cs="Angsana New"/>
          <w:szCs w:val="24"/>
          <w:lang w:val="fr-CH" w:eastAsia="ja-JP" w:bidi="th-TH"/>
        </w:rPr>
      </w:pPr>
      <w:r w:rsidRPr="0027582B">
        <w:rPr>
          <w:rFonts w:cs="Angsana New"/>
          <w:szCs w:val="24"/>
          <w:lang w:val="fr-CH" w:eastAsia="ja-JP" w:bidi="th-TH"/>
        </w:rPr>
        <w:t xml:space="preserve">États financiers </w:t>
      </w:r>
      <w:r w:rsidR="00611648" w:rsidRPr="0027582B">
        <w:rPr>
          <w:rFonts w:cs="Angsana New"/>
          <w:szCs w:val="24"/>
          <w:lang w:val="fr-CH" w:eastAsia="ja-JP" w:bidi="th-TH"/>
        </w:rPr>
        <w:t>pour 2019</w:t>
      </w:r>
      <w:r w:rsidRPr="0027582B">
        <w:rPr>
          <w:rFonts w:cs="Angsana New"/>
          <w:szCs w:val="24"/>
          <w:lang w:val="fr-CH" w:eastAsia="ja-JP" w:bidi="th-TH"/>
        </w:rPr>
        <w:t xml:space="preserve"> (document</w:t>
      </w:r>
      <w:r w:rsidR="00C93A51" w:rsidRPr="0027582B">
        <w:rPr>
          <w:rFonts w:cs="Angsana New"/>
          <w:szCs w:val="24"/>
          <w:lang w:val="fr-CH" w:eastAsia="ja-JP" w:bidi="th-TH"/>
        </w:rPr>
        <w:t> </w:t>
      </w:r>
      <w:r w:rsidRPr="0027582B">
        <w:rPr>
          <w:rFonts w:cs="Angsana New"/>
          <w:szCs w:val="24"/>
          <w:lang w:val="fr-CH" w:eastAsia="ja-JP" w:bidi="th-TH"/>
        </w:rPr>
        <w:t>C/54/5)</w:t>
      </w:r>
    </w:p>
    <w:p w:rsidR="00CC73A7" w:rsidRPr="0027582B" w:rsidRDefault="002644B2" w:rsidP="002644B2">
      <w:pPr>
        <w:spacing w:after="120"/>
        <w:ind w:left="567"/>
        <w:rPr>
          <w:rFonts w:cs="Arial"/>
          <w:lang w:val="fr-CH"/>
        </w:rPr>
      </w:pPr>
      <w:r w:rsidRPr="0027582B">
        <w:rPr>
          <w:rFonts w:cs="Arial"/>
          <w:lang w:val="fr-CH"/>
        </w:rPr>
        <w:t>Rapport de gestion financière pour l</w:t>
      </w:r>
      <w:r w:rsidR="0061079C">
        <w:rPr>
          <w:rFonts w:cs="Arial"/>
          <w:lang w:val="fr-CH"/>
        </w:rPr>
        <w:t>’</w:t>
      </w:r>
      <w:r w:rsidRPr="0027582B">
        <w:rPr>
          <w:rFonts w:cs="Arial"/>
          <w:lang w:val="fr-CH"/>
        </w:rPr>
        <w:t xml:space="preserve">exercice </w:t>
      </w:r>
      <w:r w:rsidR="00611648" w:rsidRPr="0027582B">
        <w:rPr>
          <w:rFonts w:cs="Arial"/>
          <w:lang w:val="fr-CH"/>
        </w:rPr>
        <w:t>biennal 2018</w:t>
      </w:r>
      <w:r w:rsidR="0061079C">
        <w:rPr>
          <w:rFonts w:cs="Arial"/>
          <w:lang w:val="fr-CH"/>
        </w:rPr>
        <w:t>-</w:t>
      </w:r>
      <w:r w:rsidRPr="0027582B">
        <w:rPr>
          <w:rFonts w:cs="Arial"/>
          <w:lang w:val="fr-CH"/>
        </w:rPr>
        <w:t>2019 (document</w:t>
      </w:r>
      <w:r w:rsidR="00C93A51" w:rsidRPr="0027582B">
        <w:rPr>
          <w:rFonts w:cs="Arial"/>
          <w:lang w:val="fr-CH"/>
        </w:rPr>
        <w:t> </w:t>
      </w:r>
      <w:r w:rsidRPr="0027582B">
        <w:rPr>
          <w:rFonts w:cs="Arial"/>
          <w:lang w:val="fr-CH"/>
        </w:rPr>
        <w:t>C/54/4)</w:t>
      </w:r>
    </w:p>
    <w:p w:rsidR="00CC73A7" w:rsidRPr="0027582B" w:rsidRDefault="002644B2" w:rsidP="002644B2">
      <w:pPr>
        <w:keepNext/>
        <w:spacing w:after="120"/>
        <w:ind w:left="567"/>
        <w:rPr>
          <w:rFonts w:cs="Arial"/>
          <w:lang w:val="fr-CH"/>
        </w:rPr>
      </w:pPr>
      <w:r w:rsidRPr="0027582B">
        <w:rPr>
          <w:rFonts w:cs="Arial"/>
          <w:lang w:val="fr-CH"/>
        </w:rPr>
        <w:t xml:space="preserve">Rapport annuel du Secrétaire général </w:t>
      </w:r>
      <w:r w:rsidR="00611648" w:rsidRPr="0027582B">
        <w:rPr>
          <w:rFonts w:cs="Arial"/>
          <w:lang w:val="fr-CH"/>
        </w:rPr>
        <w:t>pour 2019</w:t>
      </w:r>
      <w:r w:rsidRPr="0027582B">
        <w:rPr>
          <w:rFonts w:cs="Arial"/>
          <w:lang w:val="fr-CH"/>
        </w:rPr>
        <w:t xml:space="preserve"> (document</w:t>
      </w:r>
      <w:r w:rsidR="00C93A51" w:rsidRPr="0027582B">
        <w:rPr>
          <w:rFonts w:cs="Arial"/>
          <w:lang w:val="fr-CH"/>
        </w:rPr>
        <w:t> </w:t>
      </w:r>
      <w:r w:rsidRPr="0027582B">
        <w:rPr>
          <w:rFonts w:cs="Arial"/>
          <w:lang w:val="fr-CH"/>
        </w:rPr>
        <w:t>C/54/2)</w:t>
      </w:r>
    </w:p>
    <w:p w:rsidR="00611648" w:rsidRPr="00EC7BFD" w:rsidRDefault="002644B2" w:rsidP="002644B2">
      <w:pPr>
        <w:spacing w:after="120"/>
        <w:ind w:left="567"/>
        <w:rPr>
          <w:rFonts w:cs="Arial"/>
          <w:lang w:val="fr-CH"/>
        </w:rPr>
      </w:pPr>
      <w:r w:rsidRPr="00EC7BFD">
        <w:rPr>
          <w:rFonts w:cs="Arial"/>
          <w:lang w:val="fr-CH"/>
        </w:rPr>
        <w:t xml:space="preserve">Calendrier des réunions </w:t>
      </w:r>
      <w:r w:rsidR="00611648" w:rsidRPr="00EC7BFD">
        <w:rPr>
          <w:rFonts w:cs="Arial"/>
          <w:lang w:val="fr-CH"/>
        </w:rPr>
        <w:t>en 2021</w:t>
      </w:r>
      <w:r w:rsidRPr="00EC7BFD">
        <w:rPr>
          <w:rFonts w:cs="Arial"/>
          <w:lang w:val="fr-CH"/>
        </w:rPr>
        <w:t xml:space="preserve"> (document</w:t>
      </w:r>
      <w:r w:rsidR="00C93A51" w:rsidRPr="00EC7BFD">
        <w:rPr>
          <w:rFonts w:cs="Arial"/>
          <w:lang w:val="fr-CH"/>
        </w:rPr>
        <w:t> </w:t>
      </w:r>
      <w:r w:rsidRPr="00EC7BFD">
        <w:rPr>
          <w:rFonts w:cs="Arial"/>
          <w:lang w:val="fr-CH"/>
        </w:rPr>
        <w:t>C/54/8)</w:t>
      </w:r>
    </w:p>
    <w:p w:rsidR="00CC73A7" w:rsidRPr="0027582B" w:rsidRDefault="00CC73A7" w:rsidP="002C3711">
      <w:pPr>
        <w:ind w:left="1134" w:hanging="1134"/>
        <w:rPr>
          <w:rFonts w:cs="Arial"/>
          <w:lang w:val="fr-CH"/>
        </w:rPr>
      </w:pPr>
    </w:p>
    <w:p w:rsidR="00611648" w:rsidRPr="0027582B" w:rsidRDefault="002C3711" w:rsidP="00F455EC">
      <w:pPr>
        <w:rPr>
          <w:rFonts w:cs="Arial"/>
          <w:lang w:val="fr-CH"/>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455EC" w:rsidRPr="0027582B">
        <w:rPr>
          <w:rFonts w:cs="Arial"/>
          <w:lang w:val="fr-CH"/>
        </w:rPr>
        <w:t>Au 2</w:t>
      </w:r>
      <w:r w:rsidR="00611648" w:rsidRPr="0027582B">
        <w:rPr>
          <w:rFonts w:cs="Arial"/>
          <w:lang w:val="fr-CH"/>
        </w:rPr>
        <w:t>1 septembre 20</w:t>
      </w:r>
      <w:r w:rsidR="00F455EC" w:rsidRPr="0027582B">
        <w:rPr>
          <w:rFonts w:cs="Arial"/>
          <w:lang w:val="fr-CH"/>
        </w:rPr>
        <w:t xml:space="preserve">20, des observations simples ont été reçues sur les documents </w:t>
      </w:r>
      <w:r w:rsidR="00B35888" w:rsidRPr="0027582B">
        <w:rPr>
          <w:rFonts w:cs="Arial"/>
          <w:lang w:val="fr-CH"/>
        </w:rPr>
        <w:t>ci</w:t>
      </w:r>
      <w:r w:rsidR="0061079C">
        <w:rPr>
          <w:rFonts w:cs="Arial"/>
          <w:lang w:val="fr-CH"/>
        </w:rPr>
        <w:t>-</w:t>
      </w:r>
      <w:r w:rsidR="00B35888" w:rsidRPr="0027582B">
        <w:rPr>
          <w:rFonts w:cs="Arial"/>
          <w:lang w:val="fr-CH"/>
        </w:rPr>
        <w:t>après,</w:t>
      </w:r>
      <w:r w:rsidR="00F455EC" w:rsidRPr="0027582B">
        <w:rPr>
          <w:rFonts w:cs="Arial"/>
          <w:lang w:val="fr-CH"/>
        </w:rPr>
        <w:t xml:space="preserve"> indiqués dans la circulaire</w:t>
      </w:r>
      <w:r w:rsidR="00C93A51" w:rsidRPr="0027582B">
        <w:rPr>
          <w:rFonts w:cs="Arial"/>
          <w:lang w:val="fr-CH"/>
        </w:rPr>
        <w:t> </w:t>
      </w:r>
      <w:r w:rsidR="00F455EC" w:rsidRPr="0027582B">
        <w:rPr>
          <w:rFonts w:cs="Arial"/>
          <w:lang w:val="fr-CH"/>
        </w:rPr>
        <w:t>E</w:t>
      </w:r>
      <w:r w:rsidR="0061079C">
        <w:rPr>
          <w:rFonts w:cs="Arial"/>
          <w:lang w:val="fr-CH"/>
        </w:rPr>
        <w:t>-</w:t>
      </w:r>
      <w:r w:rsidR="00F455EC" w:rsidRPr="0027582B">
        <w:rPr>
          <w:rFonts w:cs="Arial"/>
          <w:lang w:val="fr-CH"/>
        </w:rPr>
        <w:t>20/122 du 2</w:t>
      </w:r>
      <w:r w:rsidR="00611648" w:rsidRPr="0027582B">
        <w:rPr>
          <w:rFonts w:cs="Arial"/>
          <w:lang w:val="fr-CH"/>
        </w:rPr>
        <w:t>1 août 20</w:t>
      </w:r>
      <w:r w:rsidR="00F455EC" w:rsidRPr="0027582B">
        <w:rPr>
          <w:rFonts w:cs="Arial"/>
          <w:lang w:val="fr-CH"/>
        </w:rPr>
        <w:t>20.</w:t>
      </w:r>
      <w:r w:rsidRPr="0027582B">
        <w:rPr>
          <w:lang w:val="fr-CH"/>
        </w:rPr>
        <w:t xml:space="preserve">  </w:t>
      </w:r>
      <w:r w:rsidR="00F455EC" w:rsidRPr="0027582B">
        <w:rPr>
          <w:rFonts w:cs="Arial"/>
          <w:lang w:val="fr-CH"/>
        </w:rPr>
        <w:t>Le Bureau de l</w:t>
      </w:r>
      <w:r w:rsidR="0061079C">
        <w:rPr>
          <w:rFonts w:cs="Arial"/>
          <w:lang w:val="fr-CH"/>
        </w:rPr>
        <w:t>’</w:t>
      </w:r>
      <w:r w:rsidR="00B35888" w:rsidRPr="0027582B">
        <w:rPr>
          <w:rFonts w:cs="Arial"/>
          <w:lang w:val="fr-CH"/>
        </w:rPr>
        <w:t>Union a traité l</w:t>
      </w:r>
      <w:r w:rsidR="00F455EC" w:rsidRPr="0027582B">
        <w:rPr>
          <w:rFonts w:cs="Arial"/>
          <w:lang w:val="fr-CH"/>
        </w:rPr>
        <w:t>es observations simples dans une version révisée des documents ci</w:t>
      </w:r>
      <w:r w:rsidR="0061079C">
        <w:rPr>
          <w:rFonts w:cs="Arial"/>
          <w:lang w:val="fr-CH"/>
        </w:rPr>
        <w:t>-</w:t>
      </w:r>
      <w:r w:rsidR="00F455EC" w:rsidRPr="0027582B">
        <w:rPr>
          <w:rFonts w:cs="Arial"/>
          <w:lang w:val="fr-CH"/>
        </w:rPr>
        <w:t>après, dans le cadre de notes finales</w:t>
      </w:r>
      <w:r w:rsidR="0061079C">
        <w:rPr>
          <w:rFonts w:cs="Arial"/>
          <w:lang w:val="fr-CH"/>
        </w:rPr>
        <w:t> :</w:t>
      </w:r>
    </w:p>
    <w:p w:rsidR="00CC73A7" w:rsidRPr="0027582B" w:rsidRDefault="00CC73A7" w:rsidP="002C3711">
      <w:pPr>
        <w:rPr>
          <w:rFonts w:cs="Arial"/>
          <w:sz w:val="12"/>
          <w:lang w:val="fr-CH"/>
        </w:rPr>
      </w:pPr>
    </w:p>
    <w:p w:rsidR="00CC73A7" w:rsidRPr="0027582B" w:rsidRDefault="00F455EC" w:rsidP="00F455EC">
      <w:pPr>
        <w:keepNext/>
        <w:tabs>
          <w:tab w:val="left" w:pos="567"/>
        </w:tabs>
        <w:spacing w:after="120"/>
        <w:ind w:left="567"/>
        <w:rPr>
          <w:rFonts w:cs="Arial"/>
          <w:lang w:val="fr-CH"/>
        </w:rPr>
      </w:pPr>
      <w:r w:rsidRPr="0027582B">
        <w:rPr>
          <w:rFonts w:cs="Arial"/>
          <w:lang w:val="fr-CH"/>
        </w:rPr>
        <w:t>Adoption de documents (document C/54/3</w:t>
      </w:r>
      <w:r w:rsidR="00F02AF7" w:rsidRPr="0027582B">
        <w:rPr>
          <w:rFonts w:cs="Arial"/>
          <w:lang w:val="fr-CH"/>
        </w:rPr>
        <w:t> </w:t>
      </w:r>
      <w:proofErr w:type="spellStart"/>
      <w:r w:rsidRPr="0027582B">
        <w:rPr>
          <w:rFonts w:cs="Arial"/>
          <w:lang w:val="fr-CH"/>
        </w:rPr>
        <w:t>Rev</w:t>
      </w:r>
      <w:proofErr w:type="spellEnd"/>
      <w:r w:rsidRPr="0027582B">
        <w:rPr>
          <w:rFonts w:cs="Arial"/>
          <w:lang w:val="fr-CH"/>
        </w:rPr>
        <w:t>.)</w:t>
      </w:r>
    </w:p>
    <w:p w:rsidR="00CC73A7" w:rsidRPr="0027582B" w:rsidRDefault="00F455EC" w:rsidP="00F455EC">
      <w:pPr>
        <w:tabs>
          <w:tab w:val="left" w:pos="2835"/>
        </w:tabs>
        <w:spacing w:after="60"/>
        <w:ind w:left="2835" w:hanging="1701"/>
        <w:rPr>
          <w:rFonts w:cs="Angsana New"/>
          <w:szCs w:val="24"/>
          <w:lang w:val="fr-CH" w:eastAsia="ja-JP" w:bidi="th-TH"/>
        </w:rPr>
      </w:pPr>
      <w:r w:rsidRPr="0027582B">
        <w:rPr>
          <w:rFonts w:cs="Angsana New"/>
          <w:szCs w:val="24"/>
          <w:lang w:val="fr-CH" w:eastAsia="ja-JP" w:bidi="th-TH"/>
        </w:rPr>
        <w:t>UPOV/INF/16</w:t>
      </w:r>
      <w:r w:rsidRPr="0027582B">
        <w:rPr>
          <w:rFonts w:cs="Angsana New"/>
          <w:szCs w:val="24"/>
          <w:lang w:val="fr-CH" w:eastAsia="ja-JP" w:bidi="th-TH"/>
        </w:rPr>
        <w:tab/>
        <w:t>Logiciels échangeables (révision) (</w:t>
      </w:r>
      <w:r w:rsidR="0061079C" w:rsidRPr="0027582B">
        <w:rPr>
          <w:rFonts w:cs="Angsana New"/>
          <w:szCs w:val="24"/>
          <w:lang w:val="fr-CH" w:eastAsia="ja-JP" w:bidi="th-TH"/>
        </w:rPr>
        <w:t>document</w:t>
      </w:r>
      <w:r w:rsidR="008D05FF">
        <w:rPr>
          <w:rFonts w:cs="Angsana New"/>
          <w:szCs w:val="24"/>
          <w:lang w:val="fr-CH" w:eastAsia="ja-JP" w:bidi="th-TH"/>
        </w:rPr>
        <w:t> </w:t>
      </w:r>
      <w:r w:rsidR="0061079C" w:rsidRPr="0027582B">
        <w:rPr>
          <w:rFonts w:cs="Angsana New"/>
          <w:szCs w:val="24"/>
          <w:lang w:val="fr-CH" w:eastAsia="ja-JP" w:bidi="th-TH"/>
        </w:rPr>
        <w:t>UP</w:t>
      </w:r>
      <w:r w:rsidR="00B35888" w:rsidRPr="0027582B">
        <w:rPr>
          <w:rFonts w:cs="Angsana New"/>
          <w:szCs w:val="24"/>
          <w:lang w:val="fr-CH" w:eastAsia="ja-JP" w:bidi="th-TH"/>
        </w:rPr>
        <w:t>OV/INF/16/9 </w:t>
      </w:r>
      <w:proofErr w:type="spellStart"/>
      <w:r w:rsidRPr="0027582B">
        <w:rPr>
          <w:rFonts w:cs="Angsana New"/>
          <w:szCs w:val="24"/>
          <w:lang w:val="fr-CH" w:eastAsia="ja-JP" w:bidi="th-TH"/>
        </w:rPr>
        <w:t>Draft</w:t>
      </w:r>
      <w:proofErr w:type="spellEnd"/>
      <w:r w:rsidR="00C93A51" w:rsidRPr="0027582B">
        <w:rPr>
          <w:rFonts w:cs="Angsana New"/>
          <w:szCs w:val="24"/>
          <w:lang w:val="fr-CH" w:eastAsia="ja-JP" w:bidi="th-TH"/>
        </w:rPr>
        <w:t> </w:t>
      </w:r>
      <w:r w:rsidRPr="0027582B">
        <w:rPr>
          <w:rFonts w:cs="Angsana New"/>
          <w:szCs w:val="24"/>
          <w:lang w:val="fr-CH" w:eastAsia="ja-JP" w:bidi="th-TH"/>
        </w:rPr>
        <w:t>2)</w:t>
      </w:r>
    </w:p>
    <w:p w:rsidR="00CC73A7" w:rsidRPr="0027582B" w:rsidRDefault="00F455EC" w:rsidP="00F455EC">
      <w:pPr>
        <w:tabs>
          <w:tab w:val="left" w:pos="2835"/>
        </w:tabs>
        <w:spacing w:after="60"/>
        <w:ind w:left="2835" w:hanging="1701"/>
        <w:rPr>
          <w:rFonts w:cs="Angsana New"/>
          <w:szCs w:val="24"/>
          <w:lang w:val="fr-CH" w:eastAsia="ja-JP" w:bidi="th-TH"/>
        </w:rPr>
      </w:pPr>
      <w:r w:rsidRPr="0027582B">
        <w:rPr>
          <w:rFonts w:cs="Angsana New"/>
          <w:szCs w:val="24"/>
          <w:lang w:val="fr-CH" w:eastAsia="ja-JP" w:bidi="th-TH"/>
        </w:rPr>
        <w:t>UPOV/INF</w:t>
      </w:r>
      <w:r w:rsidR="0061079C">
        <w:rPr>
          <w:rFonts w:cs="Angsana New"/>
          <w:szCs w:val="24"/>
          <w:lang w:val="fr-CH" w:eastAsia="ja-JP" w:bidi="th-TH"/>
        </w:rPr>
        <w:t>-</w:t>
      </w:r>
      <w:r w:rsidRPr="0027582B">
        <w:rPr>
          <w:rFonts w:cs="Angsana New"/>
          <w:szCs w:val="24"/>
          <w:lang w:val="fr-CH" w:eastAsia="ja-JP" w:bidi="th-TH"/>
        </w:rPr>
        <w:t>EXN</w:t>
      </w:r>
      <w:r w:rsidRPr="0027582B">
        <w:rPr>
          <w:rFonts w:cs="Angsana New"/>
          <w:szCs w:val="24"/>
          <w:lang w:val="fr-CH" w:eastAsia="ja-JP" w:bidi="th-TH"/>
        </w:rPr>
        <w:tab/>
        <w:t>Liste des documents UPOV/INF</w:t>
      </w:r>
      <w:r w:rsidR="0061079C">
        <w:rPr>
          <w:rFonts w:cs="Angsana New"/>
          <w:szCs w:val="24"/>
          <w:lang w:val="fr-CH" w:eastAsia="ja-JP" w:bidi="th-TH"/>
        </w:rPr>
        <w:t>-</w:t>
      </w:r>
      <w:r w:rsidRPr="0027582B">
        <w:rPr>
          <w:rFonts w:cs="Angsana New"/>
          <w:szCs w:val="24"/>
          <w:lang w:val="fr-CH" w:eastAsia="ja-JP" w:bidi="th-TH"/>
        </w:rPr>
        <w:t>EXN et date de la version la plus récente de ces documents (révision) (document UPOV/INF</w:t>
      </w:r>
      <w:r w:rsidR="0061079C">
        <w:rPr>
          <w:rFonts w:cs="Angsana New"/>
          <w:szCs w:val="24"/>
          <w:lang w:val="fr-CH" w:eastAsia="ja-JP" w:bidi="th-TH"/>
        </w:rPr>
        <w:t>-</w:t>
      </w:r>
      <w:r w:rsidR="00B35888" w:rsidRPr="0027582B">
        <w:rPr>
          <w:rFonts w:cs="Angsana New"/>
          <w:szCs w:val="24"/>
          <w:lang w:val="fr-CH" w:eastAsia="ja-JP" w:bidi="th-TH"/>
        </w:rPr>
        <w:t>EXN/14 </w:t>
      </w:r>
      <w:proofErr w:type="spellStart"/>
      <w:r w:rsidRPr="0027582B">
        <w:rPr>
          <w:rFonts w:cs="Angsana New"/>
          <w:szCs w:val="24"/>
          <w:lang w:val="fr-CH" w:eastAsia="ja-JP" w:bidi="th-TH"/>
        </w:rPr>
        <w:t>Draft</w:t>
      </w:r>
      <w:proofErr w:type="spellEnd"/>
      <w:r w:rsidRPr="0027582B">
        <w:rPr>
          <w:rFonts w:cs="Angsana New"/>
          <w:szCs w:val="24"/>
          <w:lang w:val="fr-CH" w:eastAsia="ja-JP" w:bidi="th-TH"/>
        </w:rPr>
        <w:t xml:space="preserve"> 2)</w:t>
      </w:r>
    </w:p>
    <w:p w:rsidR="00CC73A7" w:rsidRPr="0027582B" w:rsidRDefault="00CC73A7" w:rsidP="002C3711">
      <w:pPr>
        <w:rPr>
          <w:highlight w:val="lightGray"/>
          <w:lang w:val="fr-CH"/>
        </w:rPr>
      </w:pPr>
    </w:p>
    <w:p w:rsidR="00CC73A7" w:rsidRPr="0027582B" w:rsidRDefault="002C3711" w:rsidP="00F455EC">
      <w:pPr>
        <w:rPr>
          <w:rFonts w:cs="Arial"/>
          <w:lang w:val="fr-CH" w:eastAsia="fr-FR"/>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455EC" w:rsidRPr="0027582B">
        <w:rPr>
          <w:rFonts w:cs="Arial"/>
          <w:lang w:val="fr-CH"/>
        </w:rPr>
        <w:t>Au 2</w:t>
      </w:r>
      <w:r w:rsidR="00611648" w:rsidRPr="0027582B">
        <w:rPr>
          <w:rFonts w:cs="Arial"/>
          <w:lang w:val="fr-CH"/>
        </w:rPr>
        <w:t>1 septembre 20</w:t>
      </w:r>
      <w:r w:rsidR="00F455EC" w:rsidRPr="0027582B">
        <w:rPr>
          <w:rFonts w:cs="Arial"/>
          <w:lang w:val="fr-CH"/>
        </w:rPr>
        <w:t>20, les observations reçues sur le document ci</w:t>
      </w:r>
      <w:r w:rsidR="0061079C">
        <w:rPr>
          <w:rFonts w:cs="Arial"/>
          <w:lang w:val="fr-CH"/>
        </w:rPr>
        <w:t>-</w:t>
      </w:r>
      <w:r w:rsidR="00F455EC" w:rsidRPr="0027582B">
        <w:rPr>
          <w:rFonts w:cs="Arial"/>
          <w:lang w:val="fr-CH"/>
        </w:rPr>
        <w:t>après n</w:t>
      </w:r>
      <w:r w:rsidR="0061079C">
        <w:rPr>
          <w:rFonts w:cs="Arial"/>
          <w:lang w:val="fr-CH"/>
        </w:rPr>
        <w:t>’</w:t>
      </w:r>
      <w:r w:rsidR="00F455EC" w:rsidRPr="0027582B">
        <w:rPr>
          <w:rFonts w:cs="Arial"/>
          <w:lang w:val="fr-CH"/>
        </w:rPr>
        <w:t>étaient pas des observations simples et, par conséquent, ce document n</w:t>
      </w:r>
      <w:r w:rsidR="0061079C">
        <w:rPr>
          <w:rFonts w:cs="Arial"/>
          <w:lang w:val="fr-CH"/>
        </w:rPr>
        <w:t>’</w:t>
      </w:r>
      <w:r w:rsidR="00B35888" w:rsidRPr="0027582B">
        <w:rPr>
          <w:rFonts w:cs="Arial"/>
          <w:lang w:val="fr-CH"/>
        </w:rPr>
        <w:t xml:space="preserve">a </w:t>
      </w:r>
      <w:r w:rsidR="00F455EC" w:rsidRPr="0027582B">
        <w:rPr>
          <w:rFonts w:cs="Arial"/>
          <w:lang w:val="fr-CH"/>
        </w:rPr>
        <w:t xml:space="preserve">pas </w:t>
      </w:r>
      <w:r w:rsidR="00B35888" w:rsidRPr="0027582B">
        <w:rPr>
          <w:rFonts w:cs="Arial"/>
          <w:lang w:val="fr-CH"/>
        </w:rPr>
        <w:t xml:space="preserve">été </w:t>
      </w:r>
      <w:r w:rsidR="00F455EC" w:rsidRPr="0027582B">
        <w:rPr>
          <w:rFonts w:cs="Arial"/>
          <w:lang w:val="fr-CH"/>
        </w:rPr>
        <w:t>soumis à l</w:t>
      </w:r>
      <w:r w:rsidR="0061079C">
        <w:rPr>
          <w:rFonts w:cs="Arial"/>
          <w:lang w:val="fr-CH"/>
        </w:rPr>
        <w:t>’</w:t>
      </w:r>
      <w:r w:rsidR="00F455EC" w:rsidRPr="0027582B">
        <w:rPr>
          <w:rFonts w:cs="Arial"/>
          <w:lang w:val="fr-CH"/>
        </w:rPr>
        <w:t xml:space="preserve">approbation </w:t>
      </w:r>
      <w:r w:rsidR="00B35888" w:rsidRPr="0027582B">
        <w:rPr>
          <w:rFonts w:cs="Arial"/>
          <w:lang w:val="fr-CH"/>
        </w:rPr>
        <w:t>du</w:t>
      </w:r>
      <w:r w:rsidR="00F455EC" w:rsidRPr="0027582B">
        <w:rPr>
          <w:rFonts w:cs="Arial"/>
          <w:lang w:val="fr-CH"/>
        </w:rPr>
        <w:t xml:space="preserve"> Conseil par correspondance et sera examiné lors de la session virtuelle du Comité administratif et juridique le 28 </w:t>
      </w:r>
      <w:r w:rsidR="00611648" w:rsidRPr="0027582B">
        <w:rPr>
          <w:rFonts w:cs="Arial"/>
          <w:lang w:val="fr-CH"/>
        </w:rPr>
        <w:t>octobre 20</w:t>
      </w:r>
      <w:r w:rsidR="00F455EC" w:rsidRPr="0027582B">
        <w:rPr>
          <w:rFonts w:cs="Arial"/>
          <w:lang w:val="fr-CH"/>
        </w:rPr>
        <w:t>20</w:t>
      </w:r>
      <w:r w:rsidR="0061079C">
        <w:rPr>
          <w:rFonts w:cs="Arial"/>
          <w:lang w:val="fr-CH"/>
        </w:rPr>
        <w:t> :</w:t>
      </w:r>
    </w:p>
    <w:p w:rsidR="00CC73A7" w:rsidRPr="0027582B" w:rsidRDefault="00CC73A7" w:rsidP="002C3711">
      <w:pPr>
        <w:ind w:left="720"/>
        <w:rPr>
          <w:rFonts w:cs="Arial"/>
          <w:sz w:val="18"/>
          <w:u w:val="single"/>
          <w:lang w:val="fr-CH" w:eastAsia="fr-FR"/>
        </w:rPr>
      </w:pPr>
    </w:p>
    <w:p w:rsidR="00CC73A7" w:rsidRPr="0027582B" w:rsidRDefault="00B35888" w:rsidP="00F455EC">
      <w:pPr>
        <w:ind w:left="709"/>
        <w:rPr>
          <w:rFonts w:cs="Arial"/>
          <w:lang w:val="fr-CH" w:eastAsia="fr-FR"/>
        </w:rPr>
      </w:pPr>
      <w:r w:rsidRPr="0027582B">
        <w:rPr>
          <w:rFonts w:cs="Arial"/>
          <w:lang w:val="fr-CH" w:eastAsia="fr-FR"/>
        </w:rPr>
        <w:t>Document UPOV/EXN/DEN/1 </w:t>
      </w:r>
      <w:proofErr w:type="spellStart"/>
      <w:r w:rsidR="00F455EC" w:rsidRPr="0027582B">
        <w:rPr>
          <w:rFonts w:cs="Arial"/>
          <w:lang w:val="fr-CH" w:eastAsia="fr-FR"/>
        </w:rPr>
        <w:t>Draft</w:t>
      </w:r>
      <w:proofErr w:type="spellEnd"/>
      <w:r w:rsidR="00C93A51" w:rsidRPr="0027582B">
        <w:rPr>
          <w:rFonts w:cs="Arial"/>
          <w:lang w:val="fr-CH" w:eastAsia="fr-FR"/>
        </w:rPr>
        <w:t> </w:t>
      </w:r>
      <w:r w:rsidR="00F455EC" w:rsidRPr="0027582B">
        <w:rPr>
          <w:rFonts w:cs="Arial"/>
          <w:lang w:val="fr-CH" w:eastAsia="fr-FR"/>
        </w:rPr>
        <w:t xml:space="preserve">4 </w:t>
      </w:r>
      <w:r w:rsidR="00EB652C" w:rsidRPr="00EB652C">
        <w:rPr>
          <w:rFonts w:cs="Arial"/>
          <w:lang w:val="fr-CH" w:eastAsia="fr-FR"/>
        </w:rPr>
        <w:t>“</w:t>
      </w:r>
      <w:r w:rsidR="00F455EC" w:rsidRPr="0027582B">
        <w:rPr>
          <w:rFonts w:cs="Arial"/>
          <w:lang w:val="fr-CH" w:eastAsia="fr-FR"/>
        </w:rPr>
        <w:t xml:space="preserve">Notes explicatives concernant les dénominations variétales en vertu de la </w:t>
      </w:r>
      <w:r w:rsidR="0061079C">
        <w:rPr>
          <w:rFonts w:cs="Arial"/>
          <w:lang w:val="fr-CH" w:eastAsia="fr-FR"/>
        </w:rPr>
        <w:t>Convention UPOV</w:t>
      </w:r>
      <w:r w:rsidR="00EB652C" w:rsidRPr="00EB652C">
        <w:rPr>
          <w:rFonts w:cs="Arial"/>
          <w:lang w:val="fr-CH" w:eastAsia="fr-FR"/>
        </w:rPr>
        <w:t>”</w:t>
      </w:r>
    </w:p>
    <w:p w:rsidR="00CC73A7" w:rsidRPr="0027582B" w:rsidRDefault="00CC73A7" w:rsidP="002C3711">
      <w:pPr>
        <w:ind w:left="360"/>
        <w:rPr>
          <w:rFonts w:cs="Arial"/>
          <w:lang w:val="fr-CH" w:eastAsia="fr-FR"/>
        </w:rPr>
      </w:pPr>
    </w:p>
    <w:p w:rsidR="00611648" w:rsidRPr="0027582B" w:rsidRDefault="002C3711" w:rsidP="00F455EC">
      <w:pPr>
        <w:keepNext/>
        <w:rPr>
          <w:rFonts w:cs="Arial"/>
          <w:lang w:val="fr-CH"/>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455EC" w:rsidRPr="0027582B">
        <w:rPr>
          <w:rFonts w:cs="Arial"/>
          <w:lang w:val="fr-CH"/>
        </w:rPr>
        <w:t xml:space="preserve">Les observations reçues au sujet du document UPOV/EXN/DEN/1 </w:t>
      </w:r>
      <w:proofErr w:type="spellStart"/>
      <w:r w:rsidR="00F455EC" w:rsidRPr="0027582B">
        <w:rPr>
          <w:rFonts w:cs="Arial"/>
          <w:lang w:val="fr-CH"/>
        </w:rPr>
        <w:t>Draft</w:t>
      </w:r>
      <w:proofErr w:type="spellEnd"/>
      <w:r w:rsidR="00C93A51" w:rsidRPr="0027582B">
        <w:rPr>
          <w:rFonts w:cs="Arial"/>
          <w:lang w:val="fr-CH"/>
        </w:rPr>
        <w:t> </w:t>
      </w:r>
      <w:r w:rsidR="00F455EC" w:rsidRPr="0027582B">
        <w:rPr>
          <w:rFonts w:cs="Arial"/>
          <w:lang w:val="fr-CH"/>
        </w:rPr>
        <w:t xml:space="preserve">4 “Notes explicatives concernant les dénominations variétales en vertu de la </w:t>
      </w:r>
      <w:r w:rsidR="0061079C">
        <w:rPr>
          <w:rFonts w:cs="Arial"/>
          <w:lang w:val="fr-CH"/>
        </w:rPr>
        <w:t>Convention UPOV</w:t>
      </w:r>
      <w:r w:rsidR="00F455EC" w:rsidRPr="0027582B">
        <w:rPr>
          <w:rFonts w:cs="Arial"/>
          <w:lang w:val="fr-CH"/>
        </w:rPr>
        <w:t>” sont contenues dans le document CAJ/77/9 “Résultats de l</w:t>
      </w:r>
      <w:r w:rsidR="0061079C">
        <w:rPr>
          <w:rFonts w:cs="Arial"/>
          <w:lang w:val="fr-CH"/>
        </w:rPr>
        <w:t>’</w:t>
      </w:r>
      <w:r w:rsidR="00F455EC" w:rsidRPr="0027582B">
        <w:rPr>
          <w:rFonts w:cs="Arial"/>
          <w:lang w:val="fr-CH"/>
        </w:rPr>
        <w:t>examen des documents par correspondance”.</w:t>
      </w:r>
    </w:p>
    <w:p w:rsidR="00CC73A7" w:rsidRPr="0027582B" w:rsidRDefault="00CC73A7" w:rsidP="002C3711">
      <w:pPr>
        <w:rPr>
          <w:lang w:val="fr-CH"/>
        </w:rPr>
      </w:pPr>
    </w:p>
    <w:p w:rsidR="00611648" w:rsidRPr="0027582B" w:rsidRDefault="002C3711" w:rsidP="00F455EC">
      <w:pPr>
        <w:keepNext/>
        <w:rPr>
          <w:lang w:val="fr-CH"/>
        </w:rPr>
      </w:pPr>
      <w:r w:rsidRPr="0027582B">
        <w:rPr>
          <w:rFonts w:cs="Arial"/>
        </w:rPr>
        <w:lastRenderedPageBreak/>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455EC" w:rsidRPr="0027582B">
        <w:rPr>
          <w:rFonts w:cs="Arial"/>
          <w:lang w:val="fr-CH"/>
        </w:rPr>
        <w:t>La circulaire</w:t>
      </w:r>
      <w:r w:rsidR="00C93A51" w:rsidRPr="0027582B">
        <w:rPr>
          <w:rFonts w:cs="Arial"/>
          <w:lang w:val="fr-CH"/>
        </w:rPr>
        <w:t> </w:t>
      </w:r>
      <w:r w:rsidR="00F455EC" w:rsidRPr="0027582B">
        <w:rPr>
          <w:rFonts w:cs="Arial"/>
          <w:lang w:val="fr-CH"/>
        </w:rPr>
        <w:t>E</w:t>
      </w:r>
      <w:r w:rsidR="0061079C">
        <w:rPr>
          <w:rFonts w:cs="Arial"/>
          <w:lang w:val="fr-CH"/>
        </w:rPr>
        <w:t>-</w:t>
      </w:r>
      <w:r w:rsidR="00F455EC" w:rsidRPr="0027582B">
        <w:rPr>
          <w:rFonts w:cs="Arial"/>
          <w:lang w:val="fr-CH"/>
        </w:rPr>
        <w:t>20/162 du 2</w:t>
      </w:r>
      <w:r w:rsidR="00611648" w:rsidRPr="0027582B">
        <w:rPr>
          <w:rFonts w:cs="Arial"/>
          <w:lang w:val="fr-CH"/>
        </w:rPr>
        <w:t>5 septembre 20</w:t>
      </w:r>
      <w:r w:rsidR="00F455EC" w:rsidRPr="0027582B">
        <w:rPr>
          <w:rFonts w:cs="Arial"/>
          <w:lang w:val="fr-CH"/>
        </w:rPr>
        <w:t>20 comprenait les documents additionnels du Conseil ci</w:t>
      </w:r>
      <w:r w:rsidR="0061079C">
        <w:rPr>
          <w:rFonts w:cs="Arial"/>
          <w:lang w:val="fr-CH"/>
        </w:rPr>
        <w:t>-</w:t>
      </w:r>
      <w:r w:rsidR="00F455EC" w:rsidRPr="0027582B">
        <w:rPr>
          <w:rFonts w:cs="Arial"/>
          <w:lang w:val="fr-CH"/>
        </w:rPr>
        <w:t>après conformément aux recommandations contenues dans les documents pertinents du Comité consultatif et du Comité technique</w:t>
      </w:r>
      <w:r w:rsidR="0061079C">
        <w:rPr>
          <w:rFonts w:cs="Arial"/>
          <w:lang w:val="fr-CH"/>
        </w:rPr>
        <w:t> :</w:t>
      </w:r>
    </w:p>
    <w:p w:rsidR="00CC73A7" w:rsidRPr="0027582B" w:rsidRDefault="00CC73A7" w:rsidP="002C3711">
      <w:pPr>
        <w:keepNext/>
        <w:rPr>
          <w:lang w:val="fr-CH"/>
        </w:rPr>
      </w:pPr>
    </w:p>
    <w:p w:rsidR="00CC73A7" w:rsidRPr="0027582B" w:rsidRDefault="00F455EC" w:rsidP="00F455EC">
      <w:pPr>
        <w:keepNext/>
        <w:spacing w:after="120"/>
        <w:ind w:left="567"/>
        <w:rPr>
          <w:rFonts w:cs="Arial"/>
          <w:lang w:val="fr-CH"/>
        </w:rPr>
      </w:pPr>
      <w:r w:rsidRPr="0027582B">
        <w:rPr>
          <w:rFonts w:cs="Arial"/>
          <w:lang w:val="fr-CH"/>
        </w:rPr>
        <w:t>UPOV/INF/4</w:t>
      </w:r>
      <w:r w:rsidR="0061079C">
        <w:rPr>
          <w:rFonts w:cs="Arial"/>
          <w:lang w:val="fr-CH"/>
        </w:rPr>
        <w:t> :</w:t>
      </w:r>
      <w:r w:rsidRPr="0027582B">
        <w:rPr>
          <w:rFonts w:cs="Arial"/>
          <w:lang w:val="fr-CH"/>
        </w:rPr>
        <w:t xml:space="preserve"> Règlement financier et règlement d</w:t>
      </w:r>
      <w:r w:rsidR="0061079C">
        <w:rPr>
          <w:rFonts w:cs="Arial"/>
          <w:lang w:val="fr-CH"/>
        </w:rPr>
        <w:t>’</w:t>
      </w:r>
      <w:r w:rsidRPr="0027582B">
        <w:rPr>
          <w:rFonts w:cs="Arial"/>
          <w:lang w:val="fr-CH"/>
        </w:rPr>
        <w:t>exécution du Règlement financier de l</w:t>
      </w:r>
      <w:r w:rsidR="0061079C">
        <w:rPr>
          <w:rFonts w:cs="Arial"/>
          <w:lang w:val="fr-CH"/>
        </w:rPr>
        <w:t>’</w:t>
      </w:r>
      <w:r w:rsidR="00D04FD9">
        <w:rPr>
          <w:rFonts w:cs="Arial"/>
          <w:lang w:val="fr-CH"/>
        </w:rPr>
        <w:t>UPOV (révision </w:t>
      </w:r>
      <w:r w:rsidRPr="0027582B">
        <w:rPr>
          <w:rFonts w:cs="Arial"/>
          <w:lang w:val="fr-CH"/>
        </w:rPr>
        <w:t>de l</w:t>
      </w:r>
      <w:r w:rsidR="0061079C">
        <w:rPr>
          <w:rFonts w:cs="Arial"/>
          <w:lang w:val="fr-CH"/>
        </w:rPr>
        <w:t>’</w:t>
      </w:r>
      <w:r w:rsidR="00505B50" w:rsidRPr="0027582B">
        <w:rPr>
          <w:rFonts w:cs="Arial"/>
          <w:lang w:val="fr-CH"/>
        </w:rPr>
        <w:t>article </w:t>
      </w:r>
      <w:r w:rsidRPr="0027582B">
        <w:rPr>
          <w:rFonts w:cs="Arial"/>
          <w:lang w:val="fr-CH"/>
        </w:rPr>
        <w:t>4.6) (document C/54/19)</w:t>
      </w:r>
    </w:p>
    <w:p w:rsidR="00CC73A7" w:rsidRPr="0027582B" w:rsidRDefault="0011412E" w:rsidP="00F455EC">
      <w:pPr>
        <w:spacing w:after="120"/>
        <w:ind w:left="1701" w:hanging="1134"/>
        <w:rPr>
          <w:lang w:val="fr-CH"/>
        </w:rPr>
      </w:pPr>
      <w:r w:rsidRPr="0027582B">
        <w:t>Regroupement des rapports de gestion financière et sur la performance</w:t>
      </w:r>
      <w:r w:rsidRPr="0027582B">
        <w:rPr>
          <w:lang w:val="fr-CH"/>
        </w:rPr>
        <w:t xml:space="preserve"> </w:t>
      </w:r>
      <w:r w:rsidR="00F455EC" w:rsidRPr="0027582B">
        <w:rPr>
          <w:lang w:val="fr-CH"/>
        </w:rPr>
        <w:t>(document</w:t>
      </w:r>
      <w:r w:rsidR="00C93A51" w:rsidRPr="0027582B">
        <w:rPr>
          <w:lang w:val="fr-CH"/>
        </w:rPr>
        <w:t> </w:t>
      </w:r>
      <w:r w:rsidR="00F455EC" w:rsidRPr="0027582B">
        <w:rPr>
          <w:lang w:val="fr-CH"/>
        </w:rPr>
        <w:t>C/54/18)</w:t>
      </w:r>
    </w:p>
    <w:p w:rsidR="00CC73A7" w:rsidRPr="0027582B" w:rsidRDefault="00F455EC" w:rsidP="00F455EC">
      <w:pPr>
        <w:spacing w:after="120"/>
        <w:ind w:left="567"/>
        <w:rPr>
          <w:lang w:val="fr-CH"/>
        </w:rPr>
      </w:pPr>
      <w:r w:rsidRPr="0027582B">
        <w:rPr>
          <w:lang w:val="fr-CH"/>
        </w:rPr>
        <w:t>Fusion du Groupe de travail sur les techniques biochimiques et moléculaires, notamment les profils d</w:t>
      </w:r>
      <w:r w:rsidR="0061079C">
        <w:rPr>
          <w:lang w:val="fr-CH"/>
        </w:rPr>
        <w:t>’</w:t>
      </w:r>
      <w:r w:rsidRPr="0027582B">
        <w:rPr>
          <w:lang w:val="fr-CH"/>
        </w:rPr>
        <w:t>ADN (BMT) et du Groupe de travail technique sur les systèmes d</w:t>
      </w:r>
      <w:r w:rsidR="0061079C">
        <w:rPr>
          <w:lang w:val="fr-CH"/>
        </w:rPr>
        <w:t>’</w:t>
      </w:r>
      <w:r w:rsidRPr="0027582B">
        <w:rPr>
          <w:lang w:val="fr-CH"/>
        </w:rPr>
        <w:t>automatisation et les programmes d</w:t>
      </w:r>
      <w:r w:rsidR="0061079C">
        <w:rPr>
          <w:lang w:val="fr-CH"/>
        </w:rPr>
        <w:t>’</w:t>
      </w:r>
      <w:r w:rsidRPr="0027582B">
        <w:rPr>
          <w:lang w:val="fr-CH"/>
        </w:rPr>
        <w:t>ordinateur (TWC) (document C/54/14)</w:t>
      </w:r>
    </w:p>
    <w:p w:rsidR="00CC73A7" w:rsidRPr="0027582B" w:rsidRDefault="00F455EC" w:rsidP="00C82668">
      <w:pPr>
        <w:spacing w:after="120"/>
        <w:ind w:left="567"/>
        <w:rPr>
          <w:lang w:val="fr-CH"/>
        </w:rPr>
      </w:pPr>
      <w:r w:rsidRPr="0027582B">
        <w:rPr>
          <w:lang w:val="fr-CH"/>
        </w:rPr>
        <w:t>Question</w:t>
      </w:r>
      <w:r w:rsidR="0061079C">
        <w:rPr>
          <w:lang w:val="fr-CH"/>
        </w:rPr>
        <w:t>-</w:t>
      </w:r>
      <w:r w:rsidRPr="0027582B">
        <w:rPr>
          <w:lang w:val="fr-CH"/>
        </w:rPr>
        <w:t xml:space="preserve">réponse </w:t>
      </w:r>
      <w:r w:rsidR="0011412E" w:rsidRPr="0027582B">
        <w:t>“Comment le système de l</w:t>
      </w:r>
      <w:r w:rsidR="0061079C">
        <w:t>’</w:t>
      </w:r>
      <w:r w:rsidR="0011412E" w:rsidRPr="0027582B">
        <w:t>UPOV favorise</w:t>
      </w:r>
      <w:r w:rsidR="0061079C">
        <w:t>-</w:t>
      </w:r>
      <w:r w:rsidR="0011412E" w:rsidRPr="0027582B">
        <w:t>t</w:t>
      </w:r>
      <w:r w:rsidR="0061079C">
        <w:t>-</w:t>
      </w:r>
      <w:r w:rsidR="0011412E" w:rsidRPr="0027582B">
        <w:t>il le développement durable?”</w:t>
      </w:r>
      <w:r w:rsidR="0011412E" w:rsidRPr="0027582B">
        <w:rPr>
          <w:lang w:val="fr-CH"/>
        </w:rPr>
        <w:t xml:space="preserve"> </w:t>
      </w:r>
      <w:r w:rsidRPr="0027582B">
        <w:rPr>
          <w:lang w:val="fr-CH"/>
        </w:rPr>
        <w:t>(</w:t>
      </w:r>
      <w:proofErr w:type="gramStart"/>
      <w:r w:rsidRPr="0027582B">
        <w:rPr>
          <w:lang w:val="fr-CH"/>
        </w:rPr>
        <w:t>document</w:t>
      </w:r>
      <w:proofErr w:type="gramEnd"/>
      <w:r w:rsidR="00C93A51" w:rsidRPr="0027582B">
        <w:rPr>
          <w:lang w:val="fr-CH"/>
        </w:rPr>
        <w:t> </w:t>
      </w:r>
      <w:r w:rsidRPr="0027582B">
        <w:rPr>
          <w:lang w:val="fr-CH"/>
        </w:rPr>
        <w:t>C/54/15)</w:t>
      </w:r>
    </w:p>
    <w:p w:rsidR="00CC73A7" w:rsidRPr="0027582B" w:rsidRDefault="00F455EC" w:rsidP="00F455EC">
      <w:pPr>
        <w:ind w:left="567"/>
        <w:rPr>
          <w:lang w:val="fr-CH"/>
        </w:rPr>
      </w:pPr>
      <w:r w:rsidRPr="0027582B">
        <w:rPr>
          <w:lang w:val="fr-CH"/>
        </w:rPr>
        <w:t xml:space="preserve">Élection des </w:t>
      </w:r>
      <w:r w:rsidR="0011412E" w:rsidRPr="0027582B">
        <w:rPr>
          <w:lang w:val="fr-CH"/>
        </w:rPr>
        <w:t xml:space="preserve">nouveaux </w:t>
      </w:r>
      <w:r w:rsidRPr="0027582B">
        <w:rPr>
          <w:lang w:val="fr-CH"/>
        </w:rPr>
        <w:t>présidents des groupes de travail techniques et du Groupe de travail sur les techniques biochimiques et moléculaires, notamment les profils d</w:t>
      </w:r>
      <w:r w:rsidR="0061079C">
        <w:rPr>
          <w:lang w:val="fr-CH"/>
        </w:rPr>
        <w:t>’</w:t>
      </w:r>
      <w:r w:rsidRPr="0027582B">
        <w:rPr>
          <w:lang w:val="fr-CH"/>
        </w:rPr>
        <w:t>ADN (BMT) (document</w:t>
      </w:r>
      <w:r w:rsidR="00C93A51" w:rsidRPr="0027582B">
        <w:rPr>
          <w:lang w:val="fr-CH"/>
        </w:rPr>
        <w:t> </w:t>
      </w:r>
      <w:r w:rsidRPr="0027582B">
        <w:rPr>
          <w:lang w:val="fr-CH"/>
        </w:rPr>
        <w:t>C/54/16)</w:t>
      </w:r>
    </w:p>
    <w:p w:rsidR="00CC73A7" w:rsidRPr="0027582B" w:rsidRDefault="00CC73A7" w:rsidP="002C3711">
      <w:pPr>
        <w:rPr>
          <w:lang w:val="fr-CH"/>
        </w:rPr>
      </w:pPr>
    </w:p>
    <w:p w:rsidR="00611648" w:rsidRPr="0027582B" w:rsidRDefault="002C3711" w:rsidP="00FD2714">
      <w:pPr>
        <w:keepNext/>
        <w:spacing w:after="120"/>
        <w:rPr>
          <w:rFonts w:cs="Arial"/>
          <w:lang w:val="fr-CH"/>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D2714" w:rsidRPr="0027582B">
        <w:rPr>
          <w:rFonts w:cs="Arial"/>
          <w:lang w:val="fr-CH"/>
        </w:rPr>
        <w:t>Compte tenu de ce qui précède, la circulaire</w:t>
      </w:r>
      <w:r w:rsidR="00C93A51" w:rsidRPr="0027582B">
        <w:rPr>
          <w:rFonts w:cs="Arial"/>
          <w:lang w:val="fr-CH"/>
        </w:rPr>
        <w:t> </w:t>
      </w:r>
      <w:r w:rsidR="00FD2714" w:rsidRPr="0027582B">
        <w:rPr>
          <w:rFonts w:cs="Arial"/>
          <w:lang w:val="fr-CH"/>
        </w:rPr>
        <w:t>E</w:t>
      </w:r>
      <w:r w:rsidR="0061079C">
        <w:rPr>
          <w:rFonts w:cs="Arial"/>
          <w:lang w:val="fr-CH"/>
        </w:rPr>
        <w:t>-</w:t>
      </w:r>
      <w:r w:rsidR="00FD2714" w:rsidRPr="0027582B">
        <w:rPr>
          <w:rFonts w:cs="Arial"/>
          <w:lang w:val="fr-CH"/>
        </w:rPr>
        <w:t>20/162 du 2</w:t>
      </w:r>
      <w:r w:rsidR="00611648" w:rsidRPr="0027582B">
        <w:rPr>
          <w:rFonts w:cs="Arial"/>
          <w:lang w:val="fr-CH"/>
        </w:rPr>
        <w:t>5 septembre 20</w:t>
      </w:r>
      <w:r w:rsidR="00FD2714" w:rsidRPr="0027582B">
        <w:rPr>
          <w:rFonts w:cs="Arial"/>
          <w:lang w:val="fr-CH"/>
        </w:rPr>
        <w:t>20 a invité le Conseil à approuver la ou les décisions contenues dans les documents suivants dans un délai de 30</w:t>
      </w:r>
      <w:r w:rsidR="00C93A51" w:rsidRPr="0027582B">
        <w:rPr>
          <w:rFonts w:cs="Arial"/>
          <w:lang w:val="fr-CH"/>
        </w:rPr>
        <w:t> </w:t>
      </w:r>
      <w:r w:rsidR="00FD2714" w:rsidRPr="0027582B">
        <w:rPr>
          <w:rFonts w:cs="Arial"/>
          <w:lang w:val="fr-CH"/>
        </w:rPr>
        <w:t>jours (soit le 2</w:t>
      </w:r>
      <w:r w:rsidR="00611648" w:rsidRPr="0027582B">
        <w:rPr>
          <w:rFonts w:cs="Arial"/>
          <w:lang w:val="fr-CH"/>
        </w:rPr>
        <w:t>5 octobre 20</w:t>
      </w:r>
      <w:r w:rsidR="00FD2714" w:rsidRPr="0027582B">
        <w:rPr>
          <w:rFonts w:cs="Arial"/>
          <w:lang w:val="fr-CH"/>
        </w:rPr>
        <w:t>20)</w:t>
      </w:r>
      <w:r w:rsidR="0061079C">
        <w:rPr>
          <w:rFonts w:cs="Arial"/>
          <w:lang w:val="fr-CH"/>
        </w:rPr>
        <w:t> :</w:t>
      </w:r>
    </w:p>
    <w:p w:rsidR="00CC73A7" w:rsidRPr="0027582B" w:rsidRDefault="00FD2714" w:rsidP="00FD2714">
      <w:pPr>
        <w:keepNext/>
        <w:spacing w:after="120"/>
        <w:ind w:left="567"/>
        <w:rPr>
          <w:rFonts w:cs="Arial"/>
          <w:lang w:val="fr-CH"/>
        </w:rPr>
      </w:pPr>
      <w:r w:rsidRPr="0027582B">
        <w:rPr>
          <w:rFonts w:cs="Arial"/>
          <w:lang w:val="fr-CH"/>
        </w:rPr>
        <w:t>Nomination du Secrétaire général (document</w:t>
      </w:r>
      <w:r w:rsidR="00C93A51" w:rsidRPr="0027582B">
        <w:rPr>
          <w:rFonts w:cs="Arial"/>
          <w:lang w:val="fr-CH"/>
        </w:rPr>
        <w:t> </w:t>
      </w:r>
      <w:r w:rsidRPr="0027582B">
        <w:rPr>
          <w:rFonts w:cs="Arial"/>
          <w:lang w:val="fr-CH"/>
        </w:rPr>
        <w:t>C/54/11)</w:t>
      </w:r>
    </w:p>
    <w:p w:rsidR="00CC73A7" w:rsidRPr="0027582B" w:rsidRDefault="00FD2714" w:rsidP="00FD2714">
      <w:pPr>
        <w:keepNext/>
        <w:spacing w:after="120"/>
        <w:ind w:left="567"/>
        <w:rPr>
          <w:rFonts w:cs="Arial"/>
          <w:lang w:val="fr-CH"/>
        </w:rPr>
      </w:pPr>
      <w:r w:rsidRPr="0027582B">
        <w:rPr>
          <w:rFonts w:cs="Arial"/>
          <w:lang w:val="fr-CH"/>
        </w:rPr>
        <w:t>Prolongation du mandat du Secrétaire général adjoint (document</w:t>
      </w:r>
      <w:r w:rsidR="00C93A51" w:rsidRPr="0027582B">
        <w:rPr>
          <w:rFonts w:cs="Arial"/>
          <w:lang w:val="fr-CH"/>
        </w:rPr>
        <w:t> </w:t>
      </w:r>
      <w:r w:rsidRPr="0027582B">
        <w:rPr>
          <w:rFonts w:cs="Arial"/>
          <w:lang w:val="fr-CH"/>
        </w:rPr>
        <w:t>C/54/12)</w:t>
      </w:r>
    </w:p>
    <w:p w:rsidR="00CC73A7" w:rsidRPr="0027582B" w:rsidRDefault="00FD2714" w:rsidP="00FD2714">
      <w:pPr>
        <w:keepNext/>
        <w:spacing w:after="120"/>
        <w:ind w:left="567"/>
        <w:rPr>
          <w:rFonts w:cs="Arial"/>
          <w:lang w:val="fr-CH"/>
        </w:rPr>
      </w:pPr>
      <w:r w:rsidRPr="0027582B">
        <w:rPr>
          <w:rFonts w:cs="Arial"/>
          <w:lang w:val="fr-CH"/>
        </w:rPr>
        <w:t>Adoption de documents (document C/54/3</w:t>
      </w:r>
      <w:r w:rsidR="00F02AF7" w:rsidRPr="0027582B">
        <w:rPr>
          <w:rFonts w:cs="Arial"/>
          <w:lang w:val="fr-CH"/>
        </w:rPr>
        <w:t> </w:t>
      </w:r>
      <w:proofErr w:type="spellStart"/>
      <w:r w:rsidRPr="0027582B">
        <w:rPr>
          <w:rFonts w:cs="Arial"/>
          <w:lang w:val="fr-CH"/>
        </w:rPr>
        <w:t>Rev</w:t>
      </w:r>
      <w:proofErr w:type="spellEnd"/>
      <w:r w:rsidRPr="0027582B">
        <w:rPr>
          <w:rFonts w:cs="Arial"/>
          <w:lang w:val="fr-CH"/>
        </w:rPr>
        <w:t>.)</w:t>
      </w:r>
    </w:p>
    <w:p w:rsidR="00CC73A7" w:rsidRPr="0027582B" w:rsidRDefault="00FD2714" w:rsidP="00FD2714">
      <w:pPr>
        <w:keepNext/>
        <w:spacing w:after="120"/>
        <w:ind w:left="567"/>
        <w:rPr>
          <w:rFonts w:cs="Arial"/>
          <w:lang w:val="fr-CH"/>
        </w:rPr>
      </w:pPr>
      <w:r w:rsidRPr="0027582B">
        <w:rPr>
          <w:rFonts w:cs="Arial"/>
          <w:lang w:val="fr-CH"/>
        </w:rPr>
        <w:t>UPOV/INF/4</w:t>
      </w:r>
      <w:r w:rsidR="0061079C">
        <w:rPr>
          <w:rFonts w:cs="Arial"/>
          <w:lang w:val="fr-CH"/>
        </w:rPr>
        <w:t> :</w:t>
      </w:r>
      <w:r w:rsidRPr="0027582B">
        <w:rPr>
          <w:rFonts w:cs="Arial"/>
          <w:lang w:val="fr-CH"/>
        </w:rPr>
        <w:t xml:space="preserve"> Règlement financier et règlement d</w:t>
      </w:r>
      <w:r w:rsidR="0061079C">
        <w:rPr>
          <w:rFonts w:cs="Arial"/>
          <w:lang w:val="fr-CH"/>
        </w:rPr>
        <w:t>’</w:t>
      </w:r>
      <w:r w:rsidRPr="0027582B">
        <w:rPr>
          <w:rFonts w:cs="Arial"/>
          <w:lang w:val="fr-CH"/>
        </w:rPr>
        <w:t>exécution du Règlement financier de l</w:t>
      </w:r>
      <w:r w:rsidR="0061079C">
        <w:rPr>
          <w:rFonts w:cs="Arial"/>
          <w:lang w:val="fr-CH"/>
        </w:rPr>
        <w:t>’</w:t>
      </w:r>
      <w:r w:rsidR="00D04FD9">
        <w:rPr>
          <w:rFonts w:cs="Arial"/>
          <w:lang w:val="fr-CH"/>
        </w:rPr>
        <w:t>UPOV (révision </w:t>
      </w:r>
      <w:r w:rsidRPr="0027582B">
        <w:rPr>
          <w:rFonts w:cs="Arial"/>
          <w:lang w:val="fr-CH"/>
        </w:rPr>
        <w:t>de l</w:t>
      </w:r>
      <w:r w:rsidR="0061079C">
        <w:rPr>
          <w:rFonts w:cs="Arial"/>
          <w:lang w:val="fr-CH"/>
        </w:rPr>
        <w:t>’</w:t>
      </w:r>
      <w:r w:rsidR="00505B50" w:rsidRPr="0027582B">
        <w:rPr>
          <w:rFonts w:cs="Arial"/>
          <w:lang w:val="fr-CH"/>
        </w:rPr>
        <w:t>article </w:t>
      </w:r>
      <w:r w:rsidRPr="0027582B">
        <w:rPr>
          <w:rFonts w:cs="Arial"/>
          <w:lang w:val="fr-CH"/>
        </w:rPr>
        <w:t>4.6) (document C/54/19)</w:t>
      </w:r>
    </w:p>
    <w:p w:rsidR="00CC73A7" w:rsidRPr="0027582B" w:rsidRDefault="00FD2714" w:rsidP="00FD2714">
      <w:pPr>
        <w:spacing w:after="120"/>
        <w:ind w:left="567"/>
        <w:rPr>
          <w:rFonts w:cs="Angsana New"/>
          <w:szCs w:val="24"/>
          <w:lang w:val="fr-CH" w:eastAsia="ja-JP" w:bidi="th-TH"/>
        </w:rPr>
      </w:pPr>
      <w:r w:rsidRPr="0027582B">
        <w:rPr>
          <w:rFonts w:cs="Angsana New"/>
          <w:szCs w:val="24"/>
          <w:lang w:val="fr-CH" w:eastAsia="ja-JP" w:bidi="th-TH"/>
        </w:rPr>
        <w:t xml:space="preserve">États financiers </w:t>
      </w:r>
      <w:r w:rsidR="00611648" w:rsidRPr="0027582B">
        <w:rPr>
          <w:rFonts w:cs="Angsana New"/>
          <w:szCs w:val="24"/>
          <w:lang w:val="fr-CH" w:eastAsia="ja-JP" w:bidi="th-TH"/>
        </w:rPr>
        <w:t>pour 2019</w:t>
      </w:r>
      <w:r w:rsidRPr="0027582B">
        <w:rPr>
          <w:rFonts w:cs="Angsana New"/>
          <w:szCs w:val="24"/>
          <w:lang w:val="fr-CH" w:eastAsia="ja-JP" w:bidi="th-TH"/>
        </w:rPr>
        <w:t xml:space="preserve"> (document</w:t>
      </w:r>
      <w:r w:rsidR="00C93A51" w:rsidRPr="0027582B">
        <w:rPr>
          <w:rFonts w:cs="Angsana New"/>
          <w:szCs w:val="24"/>
          <w:lang w:val="fr-CH" w:eastAsia="ja-JP" w:bidi="th-TH"/>
        </w:rPr>
        <w:t> </w:t>
      </w:r>
      <w:r w:rsidRPr="0027582B">
        <w:rPr>
          <w:rFonts w:cs="Angsana New"/>
          <w:szCs w:val="24"/>
          <w:lang w:val="fr-CH" w:eastAsia="ja-JP" w:bidi="th-TH"/>
        </w:rPr>
        <w:t>C/54/5)</w:t>
      </w:r>
    </w:p>
    <w:p w:rsidR="00CC73A7" w:rsidRPr="0027582B" w:rsidRDefault="00FD2714" w:rsidP="00FD2714">
      <w:pPr>
        <w:spacing w:after="120"/>
        <w:ind w:left="567"/>
        <w:rPr>
          <w:rFonts w:cs="Arial"/>
          <w:lang w:val="fr-CH"/>
        </w:rPr>
      </w:pPr>
      <w:r w:rsidRPr="0027582B">
        <w:rPr>
          <w:rFonts w:cs="Arial"/>
          <w:lang w:val="fr-CH"/>
        </w:rPr>
        <w:t>Rapport de gestion financière pour l</w:t>
      </w:r>
      <w:r w:rsidR="0061079C">
        <w:rPr>
          <w:rFonts w:cs="Arial"/>
          <w:lang w:val="fr-CH"/>
        </w:rPr>
        <w:t>’</w:t>
      </w:r>
      <w:r w:rsidRPr="0027582B">
        <w:rPr>
          <w:rFonts w:cs="Arial"/>
          <w:lang w:val="fr-CH"/>
        </w:rPr>
        <w:t xml:space="preserve">exercice </w:t>
      </w:r>
      <w:r w:rsidR="00611648" w:rsidRPr="0027582B">
        <w:rPr>
          <w:rFonts w:cs="Arial"/>
          <w:lang w:val="fr-CH"/>
        </w:rPr>
        <w:t>biennal 2018</w:t>
      </w:r>
      <w:r w:rsidR="0061079C">
        <w:rPr>
          <w:rFonts w:cs="Arial"/>
          <w:lang w:val="fr-CH"/>
        </w:rPr>
        <w:t>-</w:t>
      </w:r>
      <w:r w:rsidRPr="0027582B">
        <w:rPr>
          <w:rFonts w:cs="Arial"/>
          <w:lang w:val="fr-CH"/>
        </w:rPr>
        <w:t>2019 (document</w:t>
      </w:r>
      <w:r w:rsidR="00C93A51" w:rsidRPr="0027582B">
        <w:rPr>
          <w:rFonts w:cs="Arial"/>
          <w:lang w:val="fr-CH"/>
        </w:rPr>
        <w:t> </w:t>
      </w:r>
      <w:r w:rsidRPr="0027582B">
        <w:rPr>
          <w:rFonts w:cs="Arial"/>
          <w:lang w:val="fr-CH"/>
        </w:rPr>
        <w:t>C/54/4)</w:t>
      </w:r>
    </w:p>
    <w:p w:rsidR="00CC73A7" w:rsidRPr="0027582B" w:rsidRDefault="00C82668" w:rsidP="00FD2714">
      <w:pPr>
        <w:spacing w:after="120"/>
        <w:ind w:left="1701" w:hanging="1134"/>
        <w:rPr>
          <w:lang w:val="fr-CH"/>
        </w:rPr>
      </w:pPr>
      <w:r w:rsidRPr="0027582B">
        <w:t>Regroupement des rapports de gestion financière et sur la performance</w:t>
      </w:r>
      <w:r w:rsidRPr="0027582B">
        <w:rPr>
          <w:lang w:val="fr-CH"/>
        </w:rPr>
        <w:t xml:space="preserve"> </w:t>
      </w:r>
      <w:r w:rsidR="00FD2714" w:rsidRPr="0027582B">
        <w:rPr>
          <w:lang w:val="fr-CH"/>
        </w:rPr>
        <w:t>(document</w:t>
      </w:r>
      <w:r w:rsidR="00C93A51" w:rsidRPr="0027582B">
        <w:rPr>
          <w:lang w:val="fr-CH"/>
        </w:rPr>
        <w:t> </w:t>
      </w:r>
      <w:r w:rsidR="00FD2714" w:rsidRPr="0027582B">
        <w:rPr>
          <w:lang w:val="fr-CH"/>
        </w:rPr>
        <w:t>C/54/18)</w:t>
      </w:r>
    </w:p>
    <w:p w:rsidR="00CC73A7" w:rsidRPr="0027582B" w:rsidRDefault="00FD2714" w:rsidP="00FD2714">
      <w:pPr>
        <w:spacing w:after="120"/>
        <w:ind w:left="567"/>
        <w:rPr>
          <w:lang w:val="fr-CH"/>
        </w:rPr>
      </w:pPr>
      <w:r w:rsidRPr="0027582B">
        <w:rPr>
          <w:lang w:val="fr-CH"/>
        </w:rPr>
        <w:t>Fusion du Groupe de travail sur les techniques biochimiques et moléculaires, notamment les profils d</w:t>
      </w:r>
      <w:r w:rsidR="0061079C">
        <w:rPr>
          <w:lang w:val="fr-CH"/>
        </w:rPr>
        <w:t>’</w:t>
      </w:r>
      <w:r w:rsidRPr="0027582B">
        <w:rPr>
          <w:lang w:val="fr-CH"/>
        </w:rPr>
        <w:t>ADN (BMT) et du Groupe de travail technique sur les systèmes d</w:t>
      </w:r>
      <w:r w:rsidR="0061079C">
        <w:rPr>
          <w:lang w:val="fr-CH"/>
        </w:rPr>
        <w:t>’</w:t>
      </w:r>
      <w:r w:rsidRPr="0027582B">
        <w:rPr>
          <w:lang w:val="fr-CH"/>
        </w:rPr>
        <w:t>automatisation et les programmes d</w:t>
      </w:r>
      <w:r w:rsidR="0061079C">
        <w:rPr>
          <w:lang w:val="fr-CH"/>
        </w:rPr>
        <w:t>’</w:t>
      </w:r>
      <w:r w:rsidRPr="0027582B">
        <w:rPr>
          <w:lang w:val="fr-CH"/>
        </w:rPr>
        <w:t>ordinateur (TWC) (document C/54/14)</w:t>
      </w:r>
    </w:p>
    <w:p w:rsidR="00CC73A7" w:rsidRPr="0027582B" w:rsidRDefault="00FD2714" w:rsidP="00C82668">
      <w:pPr>
        <w:spacing w:after="120"/>
        <w:ind w:left="567"/>
        <w:rPr>
          <w:lang w:val="fr-CH"/>
        </w:rPr>
      </w:pPr>
      <w:r w:rsidRPr="0027582B">
        <w:rPr>
          <w:lang w:val="fr-CH"/>
        </w:rPr>
        <w:t>Question</w:t>
      </w:r>
      <w:r w:rsidR="0061079C">
        <w:rPr>
          <w:lang w:val="fr-CH"/>
        </w:rPr>
        <w:t>-</w:t>
      </w:r>
      <w:r w:rsidRPr="0027582B">
        <w:rPr>
          <w:lang w:val="fr-CH"/>
        </w:rPr>
        <w:t xml:space="preserve">réponse </w:t>
      </w:r>
      <w:r w:rsidR="00C82668" w:rsidRPr="0027582B">
        <w:t>“Comment le système de l</w:t>
      </w:r>
      <w:r w:rsidR="0061079C">
        <w:t>’</w:t>
      </w:r>
      <w:r w:rsidR="00C82668" w:rsidRPr="0027582B">
        <w:t>UPOV favorise</w:t>
      </w:r>
      <w:r w:rsidR="0061079C">
        <w:t>-</w:t>
      </w:r>
      <w:r w:rsidR="00C82668" w:rsidRPr="0027582B">
        <w:t>t</w:t>
      </w:r>
      <w:r w:rsidR="0061079C">
        <w:t>-</w:t>
      </w:r>
      <w:r w:rsidR="00C82668" w:rsidRPr="0027582B">
        <w:t>il le développement durable?”</w:t>
      </w:r>
      <w:r w:rsidR="00C82668" w:rsidRPr="0027582B">
        <w:rPr>
          <w:lang w:val="fr-CH"/>
        </w:rPr>
        <w:t xml:space="preserve"> </w:t>
      </w:r>
      <w:r w:rsidRPr="0027582B">
        <w:rPr>
          <w:lang w:val="fr-CH"/>
        </w:rPr>
        <w:t>(</w:t>
      </w:r>
      <w:proofErr w:type="gramStart"/>
      <w:r w:rsidRPr="0027582B">
        <w:rPr>
          <w:lang w:val="fr-CH"/>
        </w:rPr>
        <w:t>document</w:t>
      </w:r>
      <w:proofErr w:type="gramEnd"/>
      <w:r w:rsidR="00C93A51" w:rsidRPr="0027582B">
        <w:rPr>
          <w:lang w:val="fr-CH"/>
        </w:rPr>
        <w:t> </w:t>
      </w:r>
      <w:r w:rsidRPr="0027582B">
        <w:rPr>
          <w:lang w:val="fr-CH"/>
        </w:rPr>
        <w:t>C/54/15)</w:t>
      </w:r>
    </w:p>
    <w:p w:rsidR="00611648" w:rsidRPr="001230BA" w:rsidRDefault="00FD2714" w:rsidP="00FD2714">
      <w:pPr>
        <w:spacing w:after="120"/>
        <w:ind w:left="567"/>
        <w:rPr>
          <w:rFonts w:cs="Arial"/>
          <w:lang w:val="fr-CH"/>
        </w:rPr>
      </w:pPr>
      <w:r w:rsidRPr="001230BA">
        <w:rPr>
          <w:rFonts w:cs="Arial"/>
          <w:lang w:val="fr-CH"/>
        </w:rPr>
        <w:t xml:space="preserve">Calendrier des réunions </w:t>
      </w:r>
      <w:r w:rsidR="00611648" w:rsidRPr="001230BA">
        <w:rPr>
          <w:rFonts w:cs="Arial"/>
          <w:lang w:val="fr-CH"/>
        </w:rPr>
        <w:t>en 2021</w:t>
      </w:r>
      <w:r w:rsidRPr="001230BA">
        <w:rPr>
          <w:rFonts w:cs="Arial"/>
          <w:lang w:val="fr-CH"/>
        </w:rPr>
        <w:t xml:space="preserve"> (document</w:t>
      </w:r>
      <w:r w:rsidR="00C93A51" w:rsidRPr="001230BA">
        <w:rPr>
          <w:rFonts w:cs="Arial"/>
          <w:lang w:val="fr-CH"/>
        </w:rPr>
        <w:t> </w:t>
      </w:r>
      <w:r w:rsidRPr="001230BA">
        <w:rPr>
          <w:rFonts w:cs="Arial"/>
          <w:lang w:val="fr-CH"/>
        </w:rPr>
        <w:t>C/54/8)</w:t>
      </w:r>
    </w:p>
    <w:p w:rsidR="00611648" w:rsidRPr="001230BA" w:rsidRDefault="00FD2714" w:rsidP="00FD2714">
      <w:pPr>
        <w:ind w:left="567"/>
        <w:rPr>
          <w:rFonts w:cs="Angsana New"/>
          <w:szCs w:val="24"/>
          <w:lang w:val="fr-CH" w:eastAsia="ja-JP" w:bidi="th-TH"/>
        </w:rPr>
      </w:pPr>
      <w:r w:rsidRPr="001230BA">
        <w:rPr>
          <w:rFonts w:cs="Angsana New"/>
          <w:szCs w:val="24"/>
          <w:lang w:val="fr-CH" w:eastAsia="ja-JP" w:bidi="th-TH"/>
        </w:rPr>
        <w:t xml:space="preserve">Élection des </w:t>
      </w:r>
      <w:r w:rsidR="00C82668" w:rsidRPr="001230BA">
        <w:rPr>
          <w:rFonts w:cs="Angsana New"/>
          <w:szCs w:val="24"/>
          <w:lang w:val="fr-CH" w:eastAsia="ja-JP" w:bidi="th-TH"/>
        </w:rPr>
        <w:t xml:space="preserve">nouveaux </w:t>
      </w:r>
      <w:r w:rsidRPr="001230BA">
        <w:rPr>
          <w:rFonts w:cs="Angsana New"/>
          <w:szCs w:val="24"/>
          <w:lang w:val="fr-CH" w:eastAsia="ja-JP" w:bidi="th-TH"/>
        </w:rPr>
        <w:t>présidents des groupes de travail techniques et du Groupe de travail sur les techniques biochimiques et moléculaires, notamment les profils d</w:t>
      </w:r>
      <w:r w:rsidR="0061079C" w:rsidRPr="001230BA">
        <w:rPr>
          <w:rFonts w:cs="Angsana New"/>
          <w:szCs w:val="24"/>
          <w:lang w:val="fr-CH" w:eastAsia="ja-JP" w:bidi="th-TH"/>
        </w:rPr>
        <w:t>’</w:t>
      </w:r>
      <w:r w:rsidRPr="001230BA">
        <w:rPr>
          <w:rFonts w:cs="Angsana New"/>
          <w:szCs w:val="24"/>
          <w:lang w:val="fr-CH" w:eastAsia="ja-JP" w:bidi="th-TH"/>
        </w:rPr>
        <w:t>ADN (BMT) (document</w:t>
      </w:r>
      <w:r w:rsidR="00C93A51" w:rsidRPr="001230BA">
        <w:rPr>
          <w:rFonts w:cs="Angsana New"/>
          <w:szCs w:val="24"/>
          <w:lang w:val="fr-CH" w:eastAsia="ja-JP" w:bidi="th-TH"/>
        </w:rPr>
        <w:t> </w:t>
      </w:r>
      <w:r w:rsidRPr="001230BA">
        <w:rPr>
          <w:rFonts w:cs="Angsana New"/>
          <w:szCs w:val="24"/>
          <w:lang w:val="fr-CH" w:eastAsia="ja-JP" w:bidi="th-TH"/>
        </w:rPr>
        <w:t>C/54/16)</w:t>
      </w:r>
    </w:p>
    <w:p w:rsidR="00CC73A7" w:rsidRPr="0027582B" w:rsidRDefault="00CC73A7" w:rsidP="002C3711">
      <w:pPr>
        <w:ind w:left="1134" w:hanging="1134"/>
        <w:rPr>
          <w:rFonts w:cs="Arial"/>
          <w:lang w:val="fr-CH"/>
        </w:rPr>
      </w:pPr>
    </w:p>
    <w:p w:rsidR="00611648" w:rsidRPr="0027582B" w:rsidRDefault="002C3711" w:rsidP="00FD2714">
      <w:pPr>
        <w:rPr>
          <w:rFonts w:cs="Arial"/>
          <w:lang w:val="fr-CH"/>
        </w:rPr>
      </w:pPr>
      <w:r w:rsidRPr="0027582B">
        <w:rPr>
          <w:rFonts w:cs="Arial"/>
        </w:rPr>
        <w:fldChar w:fldCharType="begin"/>
      </w:r>
      <w:r w:rsidRPr="0027582B">
        <w:rPr>
          <w:rFonts w:cs="Arial"/>
          <w:lang w:val="fr-CH"/>
        </w:rPr>
        <w:instrText xml:space="preserve"> AUTONUM  </w:instrText>
      </w:r>
      <w:r w:rsidRPr="0027582B">
        <w:rPr>
          <w:rFonts w:cs="Arial"/>
        </w:rPr>
        <w:fldChar w:fldCharType="end"/>
      </w:r>
      <w:r w:rsidRPr="0027582B">
        <w:rPr>
          <w:rFonts w:cs="Arial"/>
          <w:lang w:val="fr-CH"/>
        </w:rPr>
        <w:tab/>
      </w:r>
      <w:r w:rsidR="00FD2714" w:rsidRPr="0027582B">
        <w:rPr>
          <w:rFonts w:cs="Arial"/>
          <w:lang w:val="fr-CH"/>
        </w:rPr>
        <w:t>Aucune objection n</w:t>
      </w:r>
      <w:r w:rsidR="0061079C">
        <w:rPr>
          <w:rFonts w:cs="Arial"/>
          <w:lang w:val="fr-CH"/>
        </w:rPr>
        <w:t>’</w:t>
      </w:r>
      <w:r w:rsidR="00FD2714" w:rsidRPr="0027582B">
        <w:rPr>
          <w:rFonts w:cs="Arial"/>
          <w:lang w:val="fr-CH"/>
        </w:rPr>
        <w:t>ayant été reçue au 2</w:t>
      </w:r>
      <w:r w:rsidR="00611648" w:rsidRPr="0027582B">
        <w:rPr>
          <w:rFonts w:cs="Arial"/>
          <w:lang w:val="fr-CH"/>
        </w:rPr>
        <w:t>5 octobre 20</w:t>
      </w:r>
      <w:r w:rsidR="00FD2714" w:rsidRPr="0027582B">
        <w:rPr>
          <w:rFonts w:cs="Arial"/>
          <w:lang w:val="fr-CH"/>
        </w:rPr>
        <w:t>20, les décisions pertinentes présentées dans les paragraphes suivants sont considérées comme ayant été prises par correspondance.</w:t>
      </w:r>
    </w:p>
    <w:p w:rsidR="00CC73A7" w:rsidRPr="0027582B" w:rsidRDefault="00CC73A7" w:rsidP="002C3711">
      <w:pPr>
        <w:jc w:val="left"/>
        <w:rPr>
          <w:lang w:val="fr-CH"/>
        </w:rPr>
      </w:pPr>
    </w:p>
    <w:p w:rsidR="00CC73A7" w:rsidRPr="0027582B" w:rsidRDefault="00CC73A7" w:rsidP="002C3711">
      <w:pPr>
        <w:jc w:val="left"/>
        <w:rPr>
          <w:caps/>
          <w:snapToGrid w:val="0"/>
          <w:lang w:val="fr-CH"/>
        </w:rPr>
      </w:pPr>
      <w:bookmarkStart w:id="3" w:name="_Toc54004063"/>
    </w:p>
    <w:p w:rsidR="00CC73A7" w:rsidRPr="0027582B" w:rsidRDefault="00CC73A7" w:rsidP="002C3711">
      <w:pPr>
        <w:jc w:val="left"/>
        <w:rPr>
          <w:caps/>
          <w:snapToGrid w:val="0"/>
          <w:lang w:val="fr-CH"/>
        </w:rPr>
      </w:pPr>
    </w:p>
    <w:p w:rsidR="00CC73A7" w:rsidRPr="0027582B" w:rsidRDefault="00611648" w:rsidP="00154E50">
      <w:pPr>
        <w:pStyle w:val="Heading1"/>
        <w:rPr>
          <w:snapToGrid w:val="0"/>
          <w:lang w:val="fr-CH"/>
        </w:rPr>
      </w:pPr>
      <w:bookmarkStart w:id="4" w:name="_Toc56188600"/>
      <w:bookmarkEnd w:id="3"/>
      <w:r w:rsidRPr="0027582B">
        <w:rPr>
          <w:snapToGrid w:val="0"/>
          <w:lang w:val="fr-CH"/>
        </w:rPr>
        <w:t>Point 4</w:t>
      </w:r>
      <w:r w:rsidR="0026095A" w:rsidRPr="0027582B">
        <w:rPr>
          <w:snapToGrid w:val="0"/>
          <w:lang w:val="fr-CH"/>
        </w:rPr>
        <w:t xml:space="preserve"> de l</w:t>
      </w:r>
      <w:r w:rsidR="0061079C">
        <w:rPr>
          <w:snapToGrid w:val="0"/>
          <w:lang w:val="fr-CH"/>
        </w:rPr>
        <w:t>’</w:t>
      </w:r>
      <w:r w:rsidR="0026095A" w:rsidRPr="0027582B">
        <w:rPr>
          <w:snapToGrid w:val="0"/>
          <w:lang w:val="fr-CH"/>
        </w:rPr>
        <w:t>ordre du jour</w:t>
      </w:r>
      <w:r w:rsidR="0061079C">
        <w:rPr>
          <w:snapToGrid w:val="0"/>
          <w:lang w:val="fr-CH"/>
        </w:rPr>
        <w:t> :</w:t>
      </w:r>
      <w:r w:rsidR="0026095A" w:rsidRPr="0027582B">
        <w:rPr>
          <w:snapToGrid w:val="0"/>
          <w:lang w:val="fr-CH"/>
        </w:rPr>
        <w:t xml:space="preserve"> </w:t>
      </w:r>
      <w:r w:rsidR="00D04FD9">
        <w:rPr>
          <w:snapToGrid w:val="0"/>
          <w:lang w:val="fr-CH"/>
        </w:rPr>
        <w:t xml:space="preserve"> </w:t>
      </w:r>
      <w:r w:rsidR="0026095A" w:rsidRPr="0027582B">
        <w:rPr>
          <w:snapToGrid w:val="0"/>
          <w:lang w:val="fr-CH"/>
        </w:rPr>
        <w:t>Nomination du Secrétaire général (DOCUMENT</w:t>
      </w:r>
      <w:r w:rsidR="00C93A51" w:rsidRPr="0027582B">
        <w:rPr>
          <w:snapToGrid w:val="0"/>
          <w:lang w:val="fr-CH"/>
        </w:rPr>
        <w:t> </w:t>
      </w:r>
      <w:r w:rsidR="0026095A" w:rsidRPr="0027582B">
        <w:rPr>
          <w:snapToGrid w:val="0"/>
          <w:lang w:val="fr-CH"/>
        </w:rPr>
        <w:t>C/54/11)</w:t>
      </w:r>
      <w:bookmarkEnd w:id="4"/>
    </w:p>
    <w:p w:rsidR="00CC73A7" w:rsidRPr="0027582B" w:rsidRDefault="00CC73A7" w:rsidP="002C3711">
      <w:pPr>
        <w:ind w:left="567" w:hanging="567"/>
        <w:jc w:val="left"/>
        <w:rPr>
          <w:snapToGrid w:val="0"/>
          <w:lang w:val="fr-CH"/>
        </w:rPr>
      </w:pPr>
    </w:p>
    <w:p w:rsidR="00CC73A7" w:rsidRPr="0027582B" w:rsidRDefault="002C3711" w:rsidP="0026095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26095A" w:rsidRPr="0027582B">
        <w:rPr>
          <w:lang w:val="fr-CH"/>
        </w:rPr>
        <w:t>Le Conseil a examiné le document</w:t>
      </w:r>
      <w:r w:rsidR="00C93A51" w:rsidRPr="0027582B">
        <w:rPr>
          <w:lang w:val="fr-CH"/>
        </w:rPr>
        <w:t> </w:t>
      </w:r>
      <w:r w:rsidR="0026095A" w:rsidRPr="0027582B">
        <w:rPr>
          <w:lang w:val="fr-CH"/>
        </w:rPr>
        <w:t>C/54/11.</w:t>
      </w:r>
    </w:p>
    <w:p w:rsidR="00CC73A7" w:rsidRPr="0027582B" w:rsidRDefault="00CC73A7" w:rsidP="002C3711">
      <w:pPr>
        <w:rPr>
          <w:lang w:val="fr-CH"/>
        </w:rPr>
      </w:pPr>
    </w:p>
    <w:p w:rsidR="00CC73A7" w:rsidRPr="0027582B" w:rsidRDefault="002C3711" w:rsidP="0026095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26095A" w:rsidRPr="0027582B">
        <w:rPr>
          <w:lang w:val="fr-CH"/>
        </w:rPr>
        <w:t>Le Conseil a nommé M.</w:t>
      </w:r>
      <w:r w:rsidR="00F02AF7" w:rsidRPr="0027582B">
        <w:rPr>
          <w:lang w:val="fr-CH"/>
        </w:rPr>
        <w:t> </w:t>
      </w:r>
      <w:proofErr w:type="spellStart"/>
      <w:r w:rsidR="0026095A" w:rsidRPr="0027582B">
        <w:rPr>
          <w:lang w:val="fr-CH"/>
        </w:rPr>
        <w:t>Daren</w:t>
      </w:r>
      <w:proofErr w:type="spellEnd"/>
      <w:r w:rsidR="0026095A" w:rsidRPr="0027582B">
        <w:rPr>
          <w:lang w:val="fr-CH"/>
        </w:rPr>
        <w:t xml:space="preserve"> Tang Secrétaire général de l</w:t>
      </w:r>
      <w:r w:rsidR="0061079C">
        <w:rPr>
          <w:lang w:val="fr-CH"/>
        </w:rPr>
        <w:t>’</w:t>
      </w:r>
      <w:r w:rsidR="0026095A" w:rsidRPr="0027582B">
        <w:rPr>
          <w:lang w:val="fr-CH"/>
        </w:rPr>
        <w:t>UPOV pour la période allant du 3</w:t>
      </w:r>
      <w:r w:rsidR="00611648" w:rsidRPr="0027582B">
        <w:rPr>
          <w:lang w:val="fr-CH"/>
        </w:rPr>
        <w:t>0 octobre 20</w:t>
      </w:r>
      <w:r w:rsidR="0026095A" w:rsidRPr="0027582B">
        <w:rPr>
          <w:lang w:val="fr-CH"/>
        </w:rPr>
        <w:t>20 au 3</w:t>
      </w:r>
      <w:r w:rsidR="00611648" w:rsidRPr="0027582B">
        <w:rPr>
          <w:lang w:val="fr-CH"/>
        </w:rPr>
        <w:t>0 septembre 20</w:t>
      </w:r>
      <w:r w:rsidR="0026095A" w:rsidRPr="0027582B">
        <w:rPr>
          <w:lang w:val="fr-CH"/>
        </w:rPr>
        <w:t>26.</w:t>
      </w:r>
    </w:p>
    <w:p w:rsidR="00CC73A7" w:rsidRPr="0027582B" w:rsidRDefault="00CC73A7" w:rsidP="002C3711">
      <w:pPr>
        <w:ind w:left="567" w:hanging="567"/>
        <w:jc w:val="left"/>
        <w:rPr>
          <w:snapToGrid w:val="0"/>
          <w:lang w:val="fr-CH"/>
        </w:rPr>
      </w:pPr>
    </w:p>
    <w:p w:rsidR="00CC73A7" w:rsidRPr="0027582B" w:rsidRDefault="00CC73A7" w:rsidP="002C3711">
      <w:pPr>
        <w:ind w:left="567" w:hanging="567"/>
        <w:jc w:val="left"/>
        <w:rPr>
          <w:snapToGrid w:val="0"/>
          <w:lang w:val="fr-CH"/>
        </w:rPr>
      </w:pPr>
    </w:p>
    <w:p w:rsidR="00CC73A7" w:rsidRPr="0027582B" w:rsidRDefault="00CC73A7" w:rsidP="002C3711">
      <w:pPr>
        <w:ind w:left="567" w:hanging="567"/>
        <w:jc w:val="left"/>
        <w:rPr>
          <w:snapToGrid w:val="0"/>
          <w:lang w:val="fr-CH"/>
        </w:rPr>
      </w:pPr>
    </w:p>
    <w:p w:rsidR="0081780B" w:rsidRDefault="0081780B">
      <w:pPr>
        <w:jc w:val="left"/>
        <w:rPr>
          <w:caps/>
          <w:snapToGrid w:val="0"/>
          <w:lang w:val="fr-CH"/>
        </w:rPr>
      </w:pPr>
      <w:r>
        <w:rPr>
          <w:snapToGrid w:val="0"/>
          <w:lang w:val="fr-CH"/>
        </w:rPr>
        <w:br w:type="page"/>
      </w:r>
    </w:p>
    <w:p w:rsidR="00CC73A7" w:rsidRPr="0027582B" w:rsidRDefault="00611648" w:rsidP="00154E50">
      <w:pPr>
        <w:pStyle w:val="Heading1"/>
        <w:rPr>
          <w:snapToGrid w:val="0"/>
          <w:lang w:val="fr-CH"/>
        </w:rPr>
      </w:pPr>
      <w:bookmarkStart w:id="5" w:name="_Toc56188601"/>
      <w:r w:rsidRPr="0027582B">
        <w:rPr>
          <w:snapToGrid w:val="0"/>
          <w:lang w:val="fr-CH"/>
        </w:rPr>
        <w:lastRenderedPageBreak/>
        <w:t>Point 5</w:t>
      </w:r>
      <w:r w:rsidR="0026095A" w:rsidRPr="0027582B">
        <w:rPr>
          <w:snapToGrid w:val="0"/>
          <w:lang w:val="fr-CH"/>
        </w:rPr>
        <w:t xml:space="preserve"> de l</w:t>
      </w:r>
      <w:r w:rsidR="0061079C">
        <w:rPr>
          <w:snapToGrid w:val="0"/>
          <w:lang w:val="fr-CH"/>
        </w:rPr>
        <w:t>’</w:t>
      </w:r>
      <w:r w:rsidR="0026095A" w:rsidRPr="0027582B">
        <w:rPr>
          <w:snapToGrid w:val="0"/>
          <w:lang w:val="fr-CH"/>
        </w:rPr>
        <w:t>ordre du jour</w:t>
      </w:r>
      <w:r w:rsidR="0061079C">
        <w:rPr>
          <w:snapToGrid w:val="0"/>
          <w:lang w:val="fr-CH"/>
        </w:rPr>
        <w:t> :</w:t>
      </w:r>
      <w:r w:rsidR="0026095A" w:rsidRPr="0027582B">
        <w:rPr>
          <w:snapToGrid w:val="0"/>
          <w:lang w:val="fr-CH"/>
        </w:rPr>
        <w:t xml:space="preserve"> </w:t>
      </w:r>
      <w:r w:rsidR="00D04FD9">
        <w:rPr>
          <w:snapToGrid w:val="0"/>
          <w:lang w:val="fr-CH"/>
        </w:rPr>
        <w:t xml:space="preserve"> </w:t>
      </w:r>
      <w:r w:rsidR="0026095A" w:rsidRPr="0027582B">
        <w:rPr>
          <w:snapToGrid w:val="0"/>
          <w:lang w:val="fr-CH"/>
        </w:rPr>
        <w:t>Prolongation du mandat du Secrétaire général adjoint (document</w:t>
      </w:r>
      <w:r w:rsidR="00C93A51" w:rsidRPr="0027582B">
        <w:rPr>
          <w:snapToGrid w:val="0"/>
          <w:lang w:val="fr-CH"/>
        </w:rPr>
        <w:t> </w:t>
      </w:r>
      <w:r w:rsidR="0026095A" w:rsidRPr="0027582B">
        <w:rPr>
          <w:snapToGrid w:val="0"/>
          <w:lang w:val="fr-CH"/>
        </w:rPr>
        <w:t>C/54/12)</w:t>
      </w:r>
      <w:bookmarkEnd w:id="5"/>
    </w:p>
    <w:p w:rsidR="00CC73A7" w:rsidRPr="0027582B" w:rsidRDefault="00CC73A7" w:rsidP="002C3711">
      <w:pPr>
        <w:keepNext/>
        <w:ind w:left="567" w:hanging="567"/>
        <w:jc w:val="left"/>
        <w:rPr>
          <w:rFonts w:cs="Arial"/>
          <w:snapToGrid w:val="0"/>
          <w:lang w:val="fr-CH"/>
        </w:rPr>
      </w:pPr>
    </w:p>
    <w:p w:rsidR="00CC73A7" w:rsidRPr="0027582B" w:rsidRDefault="002C3711" w:rsidP="0026095A">
      <w:pPr>
        <w:keepNext/>
        <w:rPr>
          <w:lang w:val="fr-CH"/>
        </w:rPr>
      </w:pPr>
      <w:r w:rsidRPr="0027582B">
        <w:rPr>
          <w:szCs w:val="24"/>
        </w:rPr>
        <w:fldChar w:fldCharType="begin"/>
      </w:r>
      <w:r w:rsidRPr="0027582B">
        <w:rPr>
          <w:szCs w:val="24"/>
          <w:lang w:val="fr-CH"/>
        </w:rPr>
        <w:instrText xml:space="preserve"> AUTONUM  </w:instrText>
      </w:r>
      <w:r w:rsidRPr="0027582B">
        <w:rPr>
          <w:szCs w:val="24"/>
        </w:rPr>
        <w:fldChar w:fldCharType="end"/>
      </w:r>
      <w:r w:rsidRPr="0027582B">
        <w:rPr>
          <w:szCs w:val="24"/>
          <w:lang w:val="fr-CH"/>
        </w:rPr>
        <w:tab/>
      </w:r>
      <w:r w:rsidR="0026095A" w:rsidRPr="0027582B">
        <w:rPr>
          <w:szCs w:val="24"/>
          <w:lang w:val="fr-CH"/>
        </w:rPr>
        <w:t>Le Conseil a examiné le document</w:t>
      </w:r>
      <w:r w:rsidR="00C93A51" w:rsidRPr="0027582B">
        <w:rPr>
          <w:szCs w:val="24"/>
          <w:lang w:val="fr-CH"/>
        </w:rPr>
        <w:t> </w:t>
      </w:r>
      <w:r w:rsidR="0026095A" w:rsidRPr="0027582B">
        <w:rPr>
          <w:szCs w:val="24"/>
          <w:lang w:val="fr-CH"/>
        </w:rPr>
        <w:t>C/54/12.</w:t>
      </w:r>
    </w:p>
    <w:p w:rsidR="00CC73A7" w:rsidRPr="0027582B" w:rsidRDefault="00CC73A7" w:rsidP="002C3711">
      <w:pPr>
        <w:rPr>
          <w:lang w:val="fr-CH"/>
        </w:rPr>
      </w:pPr>
    </w:p>
    <w:p w:rsidR="00CC73A7" w:rsidRPr="0027582B" w:rsidRDefault="002C3711" w:rsidP="00197AB1">
      <w:pPr>
        <w:rPr>
          <w:szCs w:val="24"/>
          <w:lang w:val="fr-CH"/>
        </w:rPr>
      </w:pPr>
      <w:r w:rsidRPr="0027582B">
        <w:rPr>
          <w:szCs w:val="24"/>
        </w:rPr>
        <w:fldChar w:fldCharType="begin"/>
      </w:r>
      <w:r w:rsidRPr="0027582B">
        <w:rPr>
          <w:szCs w:val="24"/>
          <w:lang w:val="fr-CH"/>
        </w:rPr>
        <w:instrText xml:space="preserve"> AUTONUM  </w:instrText>
      </w:r>
      <w:r w:rsidRPr="0027582B">
        <w:rPr>
          <w:szCs w:val="24"/>
        </w:rPr>
        <w:fldChar w:fldCharType="end"/>
      </w:r>
      <w:r w:rsidRPr="0027582B">
        <w:rPr>
          <w:szCs w:val="24"/>
          <w:lang w:val="fr-CH"/>
        </w:rPr>
        <w:tab/>
      </w:r>
      <w:r w:rsidR="0026095A" w:rsidRPr="0027582B">
        <w:rPr>
          <w:szCs w:val="24"/>
          <w:lang w:val="fr-CH"/>
        </w:rPr>
        <w:t>Le Conseil a décidé de prolonger le mandat du secrétaire général adjoint du</w:t>
      </w:r>
      <w:r w:rsidR="0061079C">
        <w:rPr>
          <w:szCs w:val="24"/>
          <w:lang w:val="fr-CH"/>
        </w:rPr>
        <w:t xml:space="preserve"> 1</w:t>
      </w:r>
      <w:r w:rsidR="0061079C" w:rsidRPr="0061079C">
        <w:rPr>
          <w:szCs w:val="24"/>
          <w:vertAlign w:val="superscript"/>
          <w:lang w:val="fr-CH"/>
        </w:rPr>
        <w:t>er</w:t>
      </w:r>
      <w:r w:rsidR="0061079C">
        <w:rPr>
          <w:szCs w:val="24"/>
          <w:lang w:val="fr-CH"/>
        </w:rPr>
        <w:t> </w:t>
      </w:r>
      <w:r w:rsidR="00611648" w:rsidRPr="0027582B">
        <w:rPr>
          <w:szCs w:val="24"/>
          <w:lang w:val="fr-CH"/>
        </w:rPr>
        <w:t>décembre 20</w:t>
      </w:r>
      <w:r w:rsidR="0026095A" w:rsidRPr="0027582B">
        <w:rPr>
          <w:szCs w:val="24"/>
          <w:lang w:val="fr-CH"/>
        </w:rPr>
        <w:t>21 au 3</w:t>
      </w:r>
      <w:r w:rsidR="00611648" w:rsidRPr="0027582B">
        <w:rPr>
          <w:szCs w:val="24"/>
          <w:lang w:val="fr-CH"/>
        </w:rPr>
        <w:t>0 novembre 20</w:t>
      </w:r>
      <w:r w:rsidR="0026095A" w:rsidRPr="0027582B">
        <w:rPr>
          <w:szCs w:val="24"/>
          <w:lang w:val="fr-CH"/>
        </w:rPr>
        <w:t>22.</w:t>
      </w:r>
    </w:p>
    <w:p w:rsidR="00197AB1" w:rsidRPr="0027582B" w:rsidRDefault="00197AB1" w:rsidP="00197AB1">
      <w:pPr>
        <w:rPr>
          <w:szCs w:val="24"/>
          <w:lang w:val="fr-CH"/>
        </w:rPr>
      </w:pPr>
    </w:p>
    <w:p w:rsidR="00197AB1" w:rsidRPr="0027582B" w:rsidRDefault="00197AB1" w:rsidP="00197AB1">
      <w:pPr>
        <w:rPr>
          <w:szCs w:val="24"/>
          <w:lang w:val="fr-CH"/>
        </w:rPr>
      </w:pPr>
    </w:p>
    <w:p w:rsidR="00197AB1" w:rsidRPr="0027582B" w:rsidRDefault="00197AB1" w:rsidP="00197AB1">
      <w:pPr>
        <w:rPr>
          <w:lang w:val="fr-CH"/>
        </w:rPr>
      </w:pPr>
    </w:p>
    <w:p w:rsidR="00CC73A7" w:rsidRPr="0027582B" w:rsidRDefault="00611648" w:rsidP="0026095A">
      <w:pPr>
        <w:pStyle w:val="Heading1"/>
        <w:rPr>
          <w:bCs/>
          <w:spacing w:val="-4"/>
          <w:szCs w:val="24"/>
          <w:lang w:val="fr-CH"/>
        </w:rPr>
      </w:pPr>
      <w:bookmarkStart w:id="6" w:name="_Toc56188602"/>
      <w:r w:rsidRPr="0027582B">
        <w:rPr>
          <w:spacing w:val="-4"/>
          <w:lang w:val="fr-CH"/>
        </w:rPr>
        <w:t>Point 8</w:t>
      </w:r>
      <w:r w:rsidR="0026095A" w:rsidRPr="0027582B">
        <w:rPr>
          <w:spacing w:val="-4"/>
          <w:lang w:val="fr-CH"/>
        </w:rPr>
        <w:t xml:space="preserve"> de l</w:t>
      </w:r>
      <w:r w:rsidR="0061079C">
        <w:rPr>
          <w:spacing w:val="-4"/>
          <w:lang w:val="fr-CH"/>
        </w:rPr>
        <w:t>’</w:t>
      </w:r>
      <w:r w:rsidR="0026095A" w:rsidRPr="0027582B">
        <w:rPr>
          <w:spacing w:val="-4"/>
          <w:lang w:val="fr-CH"/>
        </w:rPr>
        <w:t>ordre du jour</w:t>
      </w:r>
      <w:r w:rsidR="0061079C">
        <w:rPr>
          <w:spacing w:val="-4"/>
          <w:lang w:val="fr-CH"/>
        </w:rPr>
        <w:t> :</w:t>
      </w:r>
      <w:r w:rsidR="0026095A" w:rsidRPr="0027582B">
        <w:rPr>
          <w:spacing w:val="-4"/>
          <w:lang w:val="fr-CH"/>
        </w:rPr>
        <w:t xml:space="preserve"> </w:t>
      </w:r>
      <w:r w:rsidR="00D04FD9">
        <w:rPr>
          <w:spacing w:val="-4"/>
          <w:lang w:val="fr-CH"/>
        </w:rPr>
        <w:t xml:space="preserve"> </w:t>
      </w:r>
      <w:r w:rsidR="0026095A" w:rsidRPr="0027582B">
        <w:rPr>
          <w:spacing w:val="-4"/>
          <w:lang w:val="fr-CH"/>
        </w:rPr>
        <w:t>Documents proposés pour adoption par le Conseil (document C/54/3 Rev.)</w:t>
      </w:r>
      <w:r w:rsidR="002C3711" w:rsidRPr="0027582B">
        <w:rPr>
          <w:spacing w:val="-4"/>
          <w:lang w:val="fr-CH"/>
        </w:rPr>
        <w:t xml:space="preserve"> </w:t>
      </w:r>
      <w:r w:rsidR="0026095A" w:rsidRPr="0027582B">
        <w:rPr>
          <w:spacing w:val="-4"/>
          <w:lang w:val="fr-CH"/>
        </w:rPr>
        <w:t xml:space="preserve">et </w:t>
      </w:r>
      <w:r w:rsidR="0061079C" w:rsidRPr="0027582B">
        <w:rPr>
          <w:spacing w:val="-4"/>
          <w:lang w:val="fr-CH"/>
        </w:rPr>
        <w:t>document</w:t>
      </w:r>
      <w:r w:rsidR="008D05FF">
        <w:rPr>
          <w:spacing w:val="-4"/>
          <w:lang w:val="fr-CH"/>
        </w:rPr>
        <w:t> </w:t>
      </w:r>
      <w:r w:rsidR="0061079C" w:rsidRPr="0027582B">
        <w:rPr>
          <w:spacing w:val="-4"/>
          <w:lang w:val="fr-CH"/>
        </w:rPr>
        <w:t>UP</w:t>
      </w:r>
      <w:r w:rsidR="0026095A" w:rsidRPr="0027582B">
        <w:rPr>
          <w:spacing w:val="-4"/>
          <w:lang w:val="fr-CH"/>
        </w:rPr>
        <w:t>OV/INF/4</w:t>
      </w:r>
      <w:r w:rsidR="0061079C">
        <w:rPr>
          <w:spacing w:val="-4"/>
          <w:lang w:val="fr-CH"/>
        </w:rPr>
        <w:t> :</w:t>
      </w:r>
      <w:r w:rsidR="0026095A" w:rsidRPr="0027582B">
        <w:rPr>
          <w:spacing w:val="-4"/>
          <w:lang w:val="fr-CH"/>
        </w:rPr>
        <w:t xml:space="preserve"> Règlement financier et règlement d</w:t>
      </w:r>
      <w:r w:rsidR="0061079C">
        <w:rPr>
          <w:spacing w:val="-4"/>
          <w:lang w:val="fr-CH"/>
        </w:rPr>
        <w:t>’</w:t>
      </w:r>
      <w:r w:rsidR="0026095A" w:rsidRPr="0027582B">
        <w:rPr>
          <w:spacing w:val="-4"/>
          <w:lang w:val="fr-CH"/>
        </w:rPr>
        <w:t>exécution du Règlement financier de l</w:t>
      </w:r>
      <w:r w:rsidR="0061079C">
        <w:rPr>
          <w:spacing w:val="-4"/>
          <w:lang w:val="fr-CH"/>
        </w:rPr>
        <w:t>’</w:t>
      </w:r>
      <w:r w:rsidR="0026095A" w:rsidRPr="0027582B">
        <w:rPr>
          <w:spacing w:val="-4"/>
          <w:lang w:val="fr-CH"/>
        </w:rPr>
        <w:t>UPOV (révision de l</w:t>
      </w:r>
      <w:r w:rsidR="0061079C">
        <w:rPr>
          <w:spacing w:val="-4"/>
          <w:lang w:val="fr-CH"/>
        </w:rPr>
        <w:t>’</w:t>
      </w:r>
      <w:r w:rsidRPr="0027582B">
        <w:rPr>
          <w:spacing w:val="-4"/>
          <w:lang w:val="fr-CH"/>
        </w:rPr>
        <w:t>article 4</w:t>
      </w:r>
      <w:r w:rsidR="0026095A" w:rsidRPr="0027582B">
        <w:rPr>
          <w:spacing w:val="-4"/>
          <w:lang w:val="fr-CH"/>
        </w:rPr>
        <w:t>.6) (document C/54/19)</w:t>
      </w:r>
      <w:bookmarkEnd w:id="6"/>
    </w:p>
    <w:p w:rsidR="00CC73A7" w:rsidRPr="0027582B" w:rsidRDefault="00CC73A7" w:rsidP="002C3711">
      <w:pPr>
        <w:rPr>
          <w:lang w:val="fr-CH"/>
        </w:rPr>
      </w:pPr>
    </w:p>
    <w:p w:rsidR="00CC73A7" w:rsidRPr="0027582B" w:rsidRDefault="0026095A" w:rsidP="0026095A">
      <w:pPr>
        <w:pStyle w:val="Heading2"/>
        <w:rPr>
          <w:lang w:val="fr-CH"/>
        </w:rPr>
      </w:pPr>
      <w:bookmarkStart w:id="7" w:name="_Toc56188603"/>
      <w:r w:rsidRPr="0027582B">
        <w:rPr>
          <w:lang w:val="fr-CH"/>
        </w:rPr>
        <w:t>Documents proposés pour adoption par le Conseil (document C/54/3</w:t>
      </w:r>
      <w:r w:rsidR="00F02AF7" w:rsidRPr="0027582B">
        <w:rPr>
          <w:lang w:val="fr-CH"/>
        </w:rPr>
        <w:t> </w:t>
      </w:r>
      <w:proofErr w:type="spellStart"/>
      <w:r w:rsidRPr="0027582B">
        <w:rPr>
          <w:lang w:val="fr-CH"/>
        </w:rPr>
        <w:t>Rev</w:t>
      </w:r>
      <w:proofErr w:type="spellEnd"/>
      <w:r w:rsidRPr="0027582B">
        <w:rPr>
          <w:lang w:val="fr-CH"/>
        </w:rPr>
        <w:t>.)</w:t>
      </w:r>
      <w:bookmarkEnd w:id="7"/>
    </w:p>
    <w:p w:rsidR="00CC73A7" w:rsidRPr="0027582B" w:rsidRDefault="00CC73A7" w:rsidP="002C3711">
      <w:pPr>
        <w:rPr>
          <w:lang w:val="fr-CH"/>
        </w:rPr>
      </w:pPr>
    </w:p>
    <w:p w:rsidR="00CC73A7" w:rsidRPr="0027582B" w:rsidRDefault="002C3711" w:rsidP="0026095A">
      <w:pPr>
        <w:keepNext/>
        <w:rPr>
          <w:lang w:val="fr-CH"/>
        </w:rPr>
      </w:pPr>
      <w:r w:rsidRPr="0027582B">
        <w:rPr>
          <w:szCs w:val="24"/>
        </w:rPr>
        <w:fldChar w:fldCharType="begin"/>
      </w:r>
      <w:r w:rsidRPr="0027582B">
        <w:rPr>
          <w:szCs w:val="24"/>
          <w:lang w:val="fr-CH"/>
        </w:rPr>
        <w:instrText xml:space="preserve"> AUTONUM  </w:instrText>
      </w:r>
      <w:r w:rsidRPr="0027582B">
        <w:rPr>
          <w:szCs w:val="24"/>
        </w:rPr>
        <w:fldChar w:fldCharType="end"/>
      </w:r>
      <w:r w:rsidRPr="0027582B">
        <w:rPr>
          <w:szCs w:val="24"/>
          <w:lang w:val="fr-CH"/>
        </w:rPr>
        <w:tab/>
      </w:r>
      <w:r w:rsidR="0026095A" w:rsidRPr="0027582B">
        <w:rPr>
          <w:szCs w:val="24"/>
          <w:lang w:val="fr-CH"/>
        </w:rPr>
        <w:t>Le Conseil a examiné les documents</w:t>
      </w:r>
      <w:r w:rsidR="00C93A51" w:rsidRPr="0027582B">
        <w:rPr>
          <w:szCs w:val="24"/>
          <w:lang w:val="fr-CH"/>
        </w:rPr>
        <w:t> </w:t>
      </w:r>
      <w:r w:rsidR="0026095A" w:rsidRPr="0027582B">
        <w:rPr>
          <w:szCs w:val="24"/>
          <w:lang w:val="fr-CH"/>
        </w:rPr>
        <w:t>C/54/3</w:t>
      </w:r>
      <w:r w:rsidR="00F02AF7" w:rsidRPr="0027582B">
        <w:rPr>
          <w:szCs w:val="24"/>
          <w:lang w:val="fr-CH"/>
        </w:rPr>
        <w:t> </w:t>
      </w:r>
      <w:proofErr w:type="spellStart"/>
      <w:r w:rsidR="0026095A" w:rsidRPr="0027582B">
        <w:rPr>
          <w:szCs w:val="24"/>
          <w:lang w:val="fr-CH"/>
        </w:rPr>
        <w:t>Rev</w:t>
      </w:r>
      <w:proofErr w:type="spellEnd"/>
      <w:r w:rsidR="0026095A" w:rsidRPr="0027582B">
        <w:rPr>
          <w:szCs w:val="24"/>
          <w:lang w:val="fr-CH"/>
        </w:rPr>
        <w:t>., UPOV/INF/16/9 </w:t>
      </w:r>
      <w:proofErr w:type="spellStart"/>
      <w:r w:rsidR="0026095A" w:rsidRPr="0027582B">
        <w:rPr>
          <w:szCs w:val="24"/>
          <w:lang w:val="fr-CH"/>
        </w:rPr>
        <w:t>Draft</w:t>
      </w:r>
      <w:proofErr w:type="spellEnd"/>
      <w:r w:rsidR="0026095A" w:rsidRPr="0027582B">
        <w:rPr>
          <w:szCs w:val="24"/>
          <w:lang w:val="fr-CH"/>
        </w:rPr>
        <w:t> 2, UPOV/INF/22/7 </w:t>
      </w:r>
      <w:proofErr w:type="spellStart"/>
      <w:r w:rsidR="0026095A" w:rsidRPr="0027582B">
        <w:rPr>
          <w:szCs w:val="24"/>
          <w:lang w:val="fr-CH"/>
        </w:rPr>
        <w:t>Draft</w:t>
      </w:r>
      <w:proofErr w:type="spellEnd"/>
      <w:r w:rsidR="0026095A" w:rsidRPr="0027582B">
        <w:rPr>
          <w:szCs w:val="24"/>
          <w:lang w:val="fr-CH"/>
        </w:rPr>
        <w:t> 1, UPOV/INF</w:t>
      </w:r>
      <w:r w:rsidR="0061079C">
        <w:rPr>
          <w:szCs w:val="24"/>
          <w:lang w:val="fr-CH"/>
        </w:rPr>
        <w:t>-</w:t>
      </w:r>
      <w:r w:rsidR="0026095A" w:rsidRPr="0027582B">
        <w:rPr>
          <w:szCs w:val="24"/>
          <w:lang w:val="fr-CH"/>
        </w:rPr>
        <w:t>EXN/14 </w:t>
      </w:r>
      <w:proofErr w:type="spellStart"/>
      <w:r w:rsidR="0026095A" w:rsidRPr="0027582B">
        <w:rPr>
          <w:szCs w:val="24"/>
          <w:lang w:val="fr-CH"/>
        </w:rPr>
        <w:t>Draft</w:t>
      </w:r>
      <w:proofErr w:type="spellEnd"/>
      <w:r w:rsidR="0026095A" w:rsidRPr="0027582B">
        <w:rPr>
          <w:szCs w:val="24"/>
          <w:lang w:val="fr-CH"/>
        </w:rPr>
        <w:t> 2, TGP/5</w:t>
      </w:r>
      <w:r w:rsidR="0061079C">
        <w:rPr>
          <w:szCs w:val="24"/>
          <w:lang w:val="fr-CH"/>
        </w:rPr>
        <w:t> :</w:t>
      </w:r>
      <w:r w:rsidR="00F02AF7" w:rsidRPr="0027582B">
        <w:rPr>
          <w:szCs w:val="24"/>
          <w:lang w:val="fr-CH"/>
        </w:rPr>
        <w:t xml:space="preserve"> </w:t>
      </w:r>
      <w:r w:rsidR="00C82668" w:rsidRPr="0027582B">
        <w:rPr>
          <w:szCs w:val="24"/>
          <w:lang w:val="fr-CH"/>
        </w:rPr>
        <w:t>S</w:t>
      </w:r>
      <w:r w:rsidR="00611648" w:rsidRPr="0027582B">
        <w:rPr>
          <w:szCs w:val="24"/>
          <w:lang w:val="fr-CH"/>
        </w:rPr>
        <w:t>ection 6</w:t>
      </w:r>
      <w:r w:rsidR="0026095A" w:rsidRPr="0027582B">
        <w:rPr>
          <w:szCs w:val="24"/>
          <w:lang w:val="fr-CH"/>
        </w:rPr>
        <w:t>/3 </w:t>
      </w:r>
      <w:proofErr w:type="spellStart"/>
      <w:r w:rsidR="0026095A" w:rsidRPr="0027582B">
        <w:rPr>
          <w:szCs w:val="24"/>
          <w:lang w:val="fr-CH"/>
        </w:rPr>
        <w:t>Draft</w:t>
      </w:r>
      <w:proofErr w:type="spellEnd"/>
      <w:r w:rsidR="0026095A" w:rsidRPr="0027582B">
        <w:rPr>
          <w:szCs w:val="24"/>
          <w:lang w:val="fr-CH"/>
        </w:rPr>
        <w:t> 1, TGP/7/8 </w:t>
      </w:r>
      <w:proofErr w:type="spellStart"/>
      <w:r w:rsidR="0026095A" w:rsidRPr="0027582B">
        <w:rPr>
          <w:szCs w:val="24"/>
          <w:lang w:val="fr-CH"/>
        </w:rPr>
        <w:t>Draft</w:t>
      </w:r>
      <w:proofErr w:type="spellEnd"/>
      <w:r w:rsidR="0026095A" w:rsidRPr="0027582B">
        <w:rPr>
          <w:szCs w:val="24"/>
          <w:lang w:val="fr-CH"/>
        </w:rPr>
        <w:t> 1, TGP/14/5 </w:t>
      </w:r>
      <w:proofErr w:type="spellStart"/>
      <w:r w:rsidR="0026095A" w:rsidRPr="0027582B">
        <w:rPr>
          <w:szCs w:val="24"/>
          <w:lang w:val="fr-CH"/>
        </w:rPr>
        <w:t>Draft</w:t>
      </w:r>
      <w:proofErr w:type="spellEnd"/>
      <w:r w:rsidR="0026095A" w:rsidRPr="0027582B">
        <w:rPr>
          <w:szCs w:val="24"/>
          <w:lang w:val="fr-CH"/>
        </w:rPr>
        <w:t> 1, TGP/15/3 </w:t>
      </w:r>
      <w:proofErr w:type="spellStart"/>
      <w:r w:rsidR="0026095A" w:rsidRPr="0027582B">
        <w:rPr>
          <w:szCs w:val="24"/>
          <w:lang w:val="fr-CH"/>
        </w:rPr>
        <w:t>Draft</w:t>
      </w:r>
      <w:proofErr w:type="spellEnd"/>
      <w:r w:rsidR="0026095A" w:rsidRPr="0027582B">
        <w:rPr>
          <w:szCs w:val="24"/>
          <w:lang w:val="fr-CH"/>
        </w:rPr>
        <w:t> 1 et TGP/0/12 </w:t>
      </w:r>
      <w:proofErr w:type="spellStart"/>
      <w:r w:rsidR="0026095A" w:rsidRPr="0027582B">
        <w:rPr>
          <w:szCs w:val="24"/>
          <w:lang w:val="fr-CH"/>
        </w:rPr>
        <w:t>Draft</w:t>
      </w:r>
      <w:proofErr w:type="spellEnd"/>
      <w:r w:rsidR="0026095A" w:rsidRPr="0027582B">
        <w:rPr>
          <w:szCs w:val="24"/>
          <w:lang w:val="fr-CH"/>
        </w:rPr>
        <w:t> 1.</w:t>
      </w:r>
    </w:p>
    <w:p w:rsidR="00CC73A7" w:rsidRPr="0027582B" w:rsidRDefault="00CC73A7" w:rsidP="002C3711">
      <w:pPr>
        <w:rPr>
          <w:lang w:val="fr-CH"/>
        </w:rPr>
      </w:pPr>
    </w:p>
    <w:p w:rsidR="00CC73A7" w:rsidRPr="0027582B" w:rsidRDefault="0026095A" w:rsidP="0026095A">
      <w:pPr>
        <w:pStyle w:val="Heading3"/>
        <w:rPr>
          <w:lang w:val="fr-CH"/>
        </w:rPr>
      </w:pPr>
      <w:bookmarkStart w:id="8" w:name="_Toc56188604"/>
      <w:r w:rsidRPr="0027582B">
        <w:rPr>
          <w:lang w:val="fr-CH"/>
        </w:rPr>
        <w:t>Documents d</w:t>
      </w:r>
      <w:r w:rsidR="0061079C">
        <w:rPr>
          <w:lang w:val="fr-CH"/>
        </w:rPr>
        <w:t>’</w:t>
      </w:r>
      <w:r w:rsidRPr="0027582B">
        <w:rPr>
          <w:lang w:val="fr-CH"/>
        </w:rPr>
        <w:t>information</w:t>
      </w:r>
      <w:bookmarkEnd w:id="8"/>
    </w:p>
    <w:p w:rsidR="00CC73A7" w:rsidRPr="0027582B" w:rsidRDefault="00CC73A7" w:rsidP="002C3711">
      <w:pPr>
        <w:rPr>
          <w:lang w:val="fr-CH"/>
        </w:rPr>
      </w:pPr>
    </w:p>
    <w:p w:rsidR="00CC73A7" w:rsidRPr="0027582B" w:rsidRDefault="00E67C8E" w:rsidP="00E67C8E">
      <w:pPr>
        <w:pStyle w:val="Heading4"/>
        <w:rPr>
          <w:snapToGrid w:val="0"/>
          <w:kern w:val="28"/>
          <w:lang w:val="fr-CH"/>
        </w:rPr>
      </w:pPr>
      <w:bookmarkStart w:id="9" w:name="_Toc56188605"/>
      <w:r w:rsidRPr="0027582B">
        <w:rPr>
          <w:snapToGrid w:val="0"/>
          <w:kern w:val="28"/>
          <w:lang w:val="fr-CH"/>
        </w:rPr>
        <w:t>UPOV/INF/16</w:t>
      </w:r>
      <w:r w:rsidR="0061079C">
        <w:rPr>
          <w:snapToGrid w:val="0"/>
          <w:kern w:val="28"/>
          <w:lang w:val="fr-CH"/>
        </w:rPr>
        <w:t> :</w:t>
      </w:r>
      <w:r w:rsidR="00C82668" w:rsidRPr="0027582B">
        <w:rPr>
          <w:snapToGrid w:val="0"/>
          <w:kern w:val="28"/>
          <w:lang w:val="fr-CH"/>
        </w:rPr>
        <w:t xml:space="preserve"> </w:t>
      </w:r>
      <w:r w:rsidR="00D04FD9">
        <w:rPr>
          <w:snapToGrid w:val="0"/>
          <w:kern w:val="28"/>
          <w:lang w:val="fr-CH"/>
        </w:rPr>
        <w:t xml:space="preserve"> </w:t>
      </w:r>
      <w:r w:rsidRPr="0027582B">
        <w:rPr>
          <w:snapToGrid w:val="0"/>
          <w:kern w:val="28"/>
          <w:lang w:val="fr-CH"/>
        </w:rPr>
        <w:t>Logiciels échangeables (révision) (</w:t>
      </w:r>
      <w:r w:rsidR="0061079C" w:rsidRPr="0027582B">
        <w:rPr>
          <w:snapToGrid w:val="0"/>
          <w:kern w:val="28"/>
          <w:lang w:val="fr-CH"/>
        </w:rPr>
        <w:t>document</w:t>
      </w:r>
      <w:r w:rsidR="008D05FF">
        <w:rPr>
          <w:snapToGrid w:val="0"/>
          <w:kern w:val="28"/>
          <w:lang w:val="fr-CH"/>
        </w:rPr>
        <w:t> </w:t>
      </w:r>
      <w:r w:rsidR="0061079C" w:rsidRPr="0027582B">
        <w:rPr>
          <w:snapToGrid w:val="0"/>
          <w:kern w:val="28"/>
          <w:lang w:val="fr-CH"/>
        </w:rPr>
        <w:t>UP</w:t>
      </w:r>
      <w:r w:rsidRPr="0027582B">
        <w:rPr>
          <w:snapToGrid w:val="0"/>
          <w:kern w:val="28"/>
          <w:lang w:val="fr-CH"/>
        </w:rPr>
        <w:t xml:space="preserve">OV/INF/16/9 </w:t>
      </w:r>
      <w:proofErr w:type="spellStart"/>
      <w:r w:rsidRPr="0027582B">
        <w:rPr>
          <w:snapToGrid w:val="0"/>
          <w:kern w:val="28"/>
          <w:lang w:val="fr-CH"/>
        </w:rPr>
        <w:t>Draft</w:t>
      </w:r>
      <w:proofErr w:type="spellEnd"/>
      <w:r w:rsidR="00C93A51" w:rsidRPr="0027582B">
        <w:rPr>
          <w:snapToGrid w:val="0"/>
          <w:kern w:val="28"/>
          <w:lang w:val="fr-CH"/>
        </w:rPr>
        <w:t> </w:t>
      </w:r>
      <w:r w:rsidRPr="0027582B">
        <w:rPr>
          <w:snapToGrid w:val="0"/>
          <w:kern w:val="28"/>
          <w:lang w:val="fr-CH"/>
        </w:rPr>
        <w:t>2)</w:t>
      </w:r>
      <w:bookmarkEnd w:id="9"/>
    </w:p>
    <w:p w:rsidR="00CC73A7" w:rsidRPr="0027582B" w:rsidRDefault="00CC73A7" w:rsidP="002C3711">
      <w:pPr>
        <w:rPr>
          <w:lang w:val="fr-CH"/>
        </w:rPr>
      </w:pPr>
    </w:p>
    <w:p w:rsidR="00CC73A7" w:rsidRPr="0027582B" w:rsidRDefault="002C3711" w:rsidP="00E67C8E">
      <w:pPr>
        <w:rPr>
          <w:i/>
          <w:lang w:val="fr-CH"/>
        </w:rPr>
      </w:pPr>
      <w:r w:rsidRPr="0027582B">
        <w:rPr>
          <w:i/>
          <w:lang w:eastAsia="zh-CN"/>
        </w:rPr>
        <w:fldChar w:fldCharType="begin"/>
      </w:r>
      <w:r w:rsidRPr="0027582B">
        <w:rPr>
          <w:lang w:val="fr-CH" w:eastAsia="zh-CN"/>
        </w:rPr>
        <w:instrText xml:space="preserve"> AUTONUM  </w:instrText>
      </w:r>
      <w:r w:rsidRPr="0027582B">
        <w:rPr>
          <w:i/>
          <w:lang w:eastAsia="zh-CN"/>
        </w:rPr>
        <w:fldChar w:fldCharType="end"/>
      </w:r>
      <w:r w:rsidRPr="0027582B">
        <w:rPr>
          <w:lang w:val="fr-CH" w:eastAsia="zh-CN"/>
        </w:rPr>
        <w:tab/>
      </w:r>
      <w:r w:rsidR="00E67C8E" w:rsidRPr="0027582B">
        <w:rPr>
          <w:lang w:val="fr-CH" w:eastAsia="zh-CN"/>
        </w:rPr>
        <w:t>Le Conseil a adopté la version révisée du document UPOV/INF/16 “Lo</w:t>
      </w:r>
      <w:r w:rsidR="00E43866">
        <w:rPr>
          <w:lang w:val="fr-CH" w:eastAsia="zh-CN"/>
        </w:rPr>
        <w:t>giciels échangeables” (document </w:t>
      </w:r>
      <w:bookmarkStart w:id="10" w:name="_GoBack"/>
      <w:bookmarkEnd w:id="10"/>
      <w:r w:rsidR="00E67C8E" w:rsidRPr="0027582B">
        <w:rPr>
          <w:lang w:val="fr-CH" w:eastAsia="zh-CN"/>
        </w:rPr>
        <w:t xml:space="preserve">UPOV/INF/16/9) sur la base </w:t>
      </w:r>
      <w:r w:rsidR="00C82668" w:rsidRPr="0027582B">
        <w:rPr>
          <w:lang w:val="fr-CH" w:eastAsia="zh-CN"/>
        </w:rPr>
        <w:t>du document UPOV/INF/16/9 </w:t>
      </w:r>
      <w:proofErr w:type="spellStart"/>
      <w:r w:rsidR="00C82668" w:rsidRPr="0027582B">
        <w:rPr>
          <w:lang w:val="fr-CH" w:eastAsia="zh-CN"/>
        </w:rPr>
        <w:t>Draft</w:t>
      </w:r>
      <w:proofErr w:type="spellEnd"/>
      <w:r w:rsidR="00C82668" w:rsidRPr="0027582B">
        <w:rPr>
          <w:lang w:val="fr-CH" w:eastAsia="zh-CN"/>
        </w:rPr>
        <w:t> </w:t>
      </w:r>
      <w:r w:rsidR="00E67C8E" w:rsidRPr="0027582B">
        <w:rPr>
          <w:lang w:val="fr-CH" w:eastAsia="zh-CN"/>
        </w:rPr>
        <w:t>2.</w:t>
      </w:r>
    </w:p>
    <w:p w:rsidR="00CC73A7" w:rsidRPr="0027582B" w:rsidRDefault="00CC73A7" w:rsidP="002C3711">
      <w:pPr>
        <w:rPr>
          <w:lang w:val="fr-CH"/>
        </w:rPr>
      </w:pPr>
    </w:p>
    <w:p w:rsidR="00CC73A7" w:rsidRPr="0027582B" w:rsidRDefault="00E67C8E" w:rsidP="00E67C8E">
      <w:pPr>
        <w:pStyle w:val="Heading4"/>
        <w:rPr>
          <w:lang w:val="fr-CH"/>
        </w:rPr>
      </w:pPr>
      <w:bookmarkStart w:id="11" w:name="_Toc56188606"/>
      <w:r w:rsidRPr="0027582B">
        <w:rPr>
          <w:lang w:val="fr-CH"/>
        </w:rPr>
        <w:t>UPOV/INF/22</w:t>
      </w:r>
      <w:r w:rsidR="0061079C">
        <w:rPr>
          <w:lang w:val="fr-CH"/>
        </w:rPr>
        <w:t> :</w:t>
      </w:r>
      <w:r w:rsidR="00D04FD9">
        <w:rPr>
          <w:lang w:val="fr-CH"/>
        </w:rPr>
        <w:t xml:space="preserve"> </w:t>
      </w:r>
      <w:r w:rsidR="00C82668" w:rsidRPr="0027582B">
        <w:rPr>
          <w:lang w:val="fr-CH"/>
        </w:rPr>
        <w:t xml:space="preserve"> </w:t>
      </w:r>
      <w:r w:rsidRPr="0027582B">
        <w:rPr>
          <w:lang w:val="fr-CH"/>
        </w:rPr>
        <w:t>Logiciels et équipements utilisés par les membres de l</w:t>
      </w:r>
      <w:r w:rsidR="0061079C">
        <w:rPr>
          <w:lang w:val="fr-CH"/>
        </w:rPr>
        <w:t>’</w:t>
      </w:r>
      <w:r w:rsidRPr="0027582B">
        <w:rPr>
          <w:lang w:val="fr-CH"/>
        </w:rPr>
        <w:t>Union (révision) (</w:t>
      </w:r>
      <w:r w:rsidR="0061079C" w:rsidRPr="0027582B">
        <w:rPr>
          <w:lang w:val="fr-CH"/>
        </w:rPr>
        <w:t>document</w:t>
      </w:r>
      <w:r w:rsidR="008D05FF">
        <w:rPr>
          <w:lang w:val="fr-CH"/>
        </w:rPr>
        <w:t> </w:t>
      </w:r>
      <w:r w:rsidR="0061079C" w:rsidRPr="0027582B">
        <w:rPr>
          <w:lang w:val="fr-CH"/>
        </w:rPr>
        <w:t>UP</w:t>
      </w:r>
      <w:r w:rsidR="00C82668" w:rsidRPr="0027582B">
        <w:rPr>
          <w:lang w:val="fr-CH"/>
        </w:rPr>
        <w:t>OV/INF/22/7 </w:t>
      </w:r>
      <w:proofErr w:type="spellStart"/>
      <w:r w:rsidRPr="0027582B">
        <w:rPr>
          <w:lang w:val="fr-CH"/>
        </w:rPr>
        <w:t>Draft</w:t>
      </w:r>
      <w:proofErr w:type="spellEnd"/>
      <w:r w:rsidR="00C93A51" w:rsidRPr="0027582B">
        <w:rPr>
          <w:lang w:val="fr-CH"/>
        </w:rPr>
        <w:t> </w:t>
      </w:r>
      <w:r w:rsidRPr="0027582B">
        <w:rPr>
          <w:lang w:val="fr-CH"/>
        </w:rPr>
        <w:t>1)</w:t>
      </w:r>
      <w:bookmarkEnd w:id="11"/>
    </w:p>
    <w:p w:rsidR="00CC73A7" w:rsidRPr="0027582B" w:rsidRDefault="00CC73A7" w:rsidP="002C3711">
      <w:pPr>
        <w:rPr>
          <w:lang w:val="fr-CH"/>
        </w:rPr>
      </w:pPr>
    </w:p>
    <w:p w:rsidR="00CC73A7" w:rsidRPr="0027582B" w:rsidRDefault="002C3711" w:rsidP="00E67C8E">
      <w:pPr>
        <w:rPr>
          <w:lang w:val="fr-CH"/>
        </w:rPr>
      </w:pPr>
      <w:r w:rsidRPr="0027582B">
        <w:rPr>
          <w:i/>
          <w:lang w:eastAsia="zh-CN"/>
        </w:rPr>
        <w:fldChar w:fldCharType="begin"/>
      </w:r>
      <w:r w:rsidRPr="0027582B">
        <w:rPr>
          <w:lang w:val="fr-CH" w:eastAsia="zh-CN"/>
        </w:rPr>
        <w:instrText xml:space="preserve"> AUTONUM  </w:instrText>
      </w:r>
      <w:r w:rsidRPr="0027582B">
        <w:rPr>
          <w:i/>
          <w:lang w:eastAsia="zh-CN"/>
        </w:rPr>
        <w:fldChar w:fldCharType="end"/>
      </w:r>
      <w:r w:rsidRPr="0027582B">
        <w:rPr>
          <w:lang w:val="fr-CH" w:eastAsia="zh-CN"/>
        </w:rPr>
        <w:tab/>
      </w:r>
      <w:r w:rsidR="00E67C8E" w:rsidRPr="0027582B">
        <w:rPr>
          <w:lang w:val="fr-CH" w:eastAsia="zh-CN"/>
        </w:rPr>
        <w:t>Le Conseil a adopté la version révisée du document UPOV/INF/22 “Logiciels et équipements utilisés par les membres de l</w:t>
      </w:r>
      <w:r w:rsidR="0061079C">
        <w:rPr>
          <w:lang w:val="fr-CH" w:eastAsia="zh-CN"/>
        </w:rPr>
        <w:t>’</w:t>
      </w:r>
      <w:r w:rsidR="00C82668" w:rsidRPr="0027582B">
        <w:rPr>
          <w:lang w:val="fr-CH" w:eastAsia="zh-CN"/>
        </w:rPr>
        <w:t>Union” (document UPOV/INF/22/7)</w:t>
      </w:r>
      <w:r w:rsidR="00E67C8E" w:rsidRPr="0027582B">
        <w:rPr>
          <w:lang w:val="fr-CH" w:eastAsia="zh-CN"/>
        </w:rPr>
        <w:t xml:space="preserve"> sur la base du docu</w:t>
      </w:r>
      <w:r w:rsidR="00C82668" w:rsidRPr="0027582B">
        <w:rPr>
          <w:lang w:val="fr-CH" w:eastAsia="zh-CN"/>
        </w:rPr>
        <w:t>ment UPOV/INF/22/7 </w:t>
      </w:r>
      <w:proofErr w:type="spellStart"/>
      <w:r w:rsidR="00E67C8E" w:rsidRPr="0027582B">
        <w:rPr>
          <w:lang w:val="fr-CH" w:eastAsia="zh-CN"/>
        </w:rPr>
        <w:t>Draft</w:t>
      </w:r>
      <w:proofErr w:type="spellEnd"/>
      <w:r w:rsidR="00C82668" w:rsidRPr="0027582B">
        <w:rPr>
          <w:lang w:val="fr-CH" w:eastAsia="zh-CN"/>
        </w:rPr>
        <w:t> </w:t>
      </w:r>
      <w:r w:rsidR="00E67C8E" w:rsidRPr="0027582B">
        <w:rPr>
          <w:lang w:val="fr-CH" w:eastAsia="zh-CN"/>
        </w:rPr>
        <w:t>1.</w:t>
      </w:r>
    </w:p>
    <w:p w:rsidR="00CC73A7" w:rsidRPr="0027582B" w:rsidRDefault="00CC73A7" w:rsidP="002C3711">
      <w:pPr>
        <w:rPr>
          <w:lang w:val="fr-CH"/>
        </w:rPr>
      </w:pPr>
    </w:p>
    <w:p w:rsidR="00CC73A7" w:rsidRPr="0027582B" w:rsidRDefault="00E67C8E" w:rsidP="00E67C8E">
      <w:pPr>
        <w:pStyle w:val="Heading4"/>
        <w:rPr>
          <w:snapToGrid w:val="0"/>
          <w:lang w:val="fr-CH"/>
        </w:rPr>
      </w:pPr>
      <w:bookmarkStart w:id="12" w:name="_Toc56188607"/>
      <w:r w:rsidRPr="0027582B">
        <w:rPr>
          <w:snapToGrid w:val="0"/>
          <w:lang w:val="fr-CH"/>
        </w:rPr>
        <w:t>UPOV/INF</w:t>
      </w:r>
      <w:r w:rsidR="0061079C">
        <w:rPr>
          <w:snapToGrid w:val="0"/>
          <w:lang w:val="fr-CH"/>
        </w:rPr>
        <w:t>-</w:t>
      </w:r>
      <w:r w:rsidRPr="0027582B">
        <w:rPr>
          <w:snapToGrid w:val="0"/>
          <w:lang w:val="fr-CH"/>
        </w:rPr>
        <w:t>EXN</w:t>
      </w:r>
      <w:r w:rsidR="0061079C">
        <w:rPr>
          <w:snapToGrid w:val="0"/>
          <w:lang w:val="fr-CH"/>
        </w:rPr>
        <w:t> :</w:t>
      </w:r>
      <w:r w:rsidR="00C82668" w:rsidRPr="0027582B">
        <w:rPr>
          <w:snapToGrid w:val="0"/>
          <w:lang w:val="fr-CH"/>
        </w:rPr>
        <w:t xml:space="preserve"> </w:t>
      </w:r>
      <w:r w:rsidR="00D04FD9">
        <w:rPr>
          <w:snapToGrid w:val="0"/>
          <w:lang w:val="fr-CH"/>
        </w:rPr>
        <w:t xml:space="preserve"> </w:t>
      </w:r>
      <w:r w:rsidRPr="0027582B">
        <w:rPr>
          <w:snapToGrid w:val="0"/>
          <w:lang w:val="fr-CH"/>
        </w:rPr>
        <w:t>Liste des documents UPOV/INF</w:t>
      </w:r>
      <w:r w:rsidR="0061079C">
        <w:rPr>
          <w:snapToGrid w:val="0"/>
          <w:lang w:val="fr-CH"/>
        </w:rPr>
        <w:t>-</w:t>
      </w:r>
      <w:r w:rsidRPr="0027582B">
        <w:rPr>
          <w:snapToGrid w:val="0"/>
          <w:lang w:val="fr-CH"/>
        </w:rPr>
        <w:t>EXN et date de la version la plus récente de ces documents (révision) (document UPOV/INF</w:t>
      </w:r>
      <w:r w:rsidR="0061079C">
        <w:rPr>
          <w:snapToGrid w:val="0"/>
          <w:lang w:val="fr-CH"/>
        </w:rPr>
        <w:t>-</w:t>
      </w:r>
      <w:r w:rsidR="00C82668" w:rsidRPr="0027582B">
        <w:rPr>
          <w:snapToGrid w:val="0"/>
          <w:lang w:val="fr-CH"/>
        </w:rPr>
        <w:t>EXN/14 </w:t>
      </w:r>
      <w:proofErr w:type="spellStart"/>
      <w:r w:rsidR="00C82668" w:rsidRPr="0027582B">
        <w:rPr>
          <w:snapToGrid w:val="0"/>
          <w:lang w:val="fr-CH"/>
        </w:rPr>
        <w:t>Draft</w:t>
      </w:r>
      <w:proofErr w:type="spellEnd"/>
      <w:r w:rsidR="00C82668" w:rsidRPr="0027582B">
        <w:rPr>
          <w:snapToGrid w:val="0"/>
          <w:lang w:val="fr-CH"/>
        </w:rPr>
        <w:t> </w:t>
      </w:r>
      <w:r w:rsidRPr="0027582B">
        <w:rPr>
          <w:snapToGrid w:val="0"/>
          <w:lang w:val="fr-CH"/>
        </w:rPr>
        <w:t>2)</w:t>
      </w:r>
      <w:bookmarkEnd w:id="12"/>
    </w:p>
    <w:p w:rsidR="00CC73A7" w:rsidRPr="0027582B" w:rsidRDefault="00CC73A7" w:rsidP="002C3711">
      <w:pPr>
        <w:rPr>
          <w:lang w:val="fr-CH"/>
        </w:rPr>
      </w:pPr>
    </w:p>
    <w:p w:rsidR="00CC73A7" w:rsidRPr="0027582B" w:rsidRDefault="002C3711" w:rsidP="00E67C8E">
      <w:pPr>
        <w:rPr>
          <w:i/>
          <w:lang w:val="fr-CH"/>
        </w:rPr>
      </w:pPr>
      <w:r w:rsidRPr="0027582B">
        <w:rPr>
          <w:i/>
        </w:rPr>
        <w:fldChar w:fldCharType="begin"/>
      </w:r>
      <w:r w:rsidRPr="0027582B">
        <w:rPr>
          <w:lang w:val="fr-CH"/>
        </w:rPr>
        <w:instrText xml:space="preserve"> AUTONUM  </w:instrText>
      </w:r>
      <w:r w:rsidRPr="0027582B">
        <w:rPr>
          <w:i/>
        </w:rPr>
        <w:fldChar w:fldCharType="end"/>
      </w:r>
      <w:r w:rsidRPr="0027582B">
        <w:rPr>
          <w:lang w:val="fr-CH"/>
        </w:rPr>
        <w:tab/>
      </w:r>
      <w:r w:rsidR="00E67C8E" w:rsidRPr="0027582B">
        <w:rPr>
          <w:lang w:val="fr-CH"/>
        </w:rPr>
        <w:t>Le Conseil a adopté la version révisée du document UPOV/INF</w:t>
      </w:r>
      <w:r w:rsidR="0061079C">
        <w:rPr>
          <w:lang w:val="fr-CH"/>
        </w:rPr>
        <w:t>-</w:t>
      </w:r>
      <w:r w:rsidR="00E67C8E" w:rsidRPr="0027582B">
        <w:rPr>
          <w:lang w:val="fr-CH"/>
        </w:rPr>
        <w:t>EXN “Liste des documents UPOV/INF</w:t>
      </w:r>
      <w:r w:rsidR="0061079C">
        <w:rPr>
          <w:lang w:val="fr-CH"/>
        </w:rPr>
        <w:t>-</w:t>
      </w:r>
      <w:r w:rsidR="00E67C8E" w:rsidRPr="0027582B">
        <w:rPr>
          <w:lang w:val="fr-CH"/>
        </w:rPr>
        <w:t>EXN et date de la version la plus récente de ces documents” (document UPOV/INF</w:t>
      </w:r>
      <w:r w:rsidR="0061079C">
        <w:rPr>
          <w:lang w:val="fr-CH"/>
        </w:rPr>
        <w:t>-</w:t>
      </w:r>
      <w:r w:rsidR="00E67C8E" w:rsidRPr="0027582B">
        <w:rPr>
          <w:lang w:val="fr-CH"/>
        </w:rPr>
        <w:t>EXN/14) sur la base du document UPOV/INF</w:t>
      </w:r>
      <w:r w:rsidR="0061079C">
        <w:rPr>
          <w:lang w:val="fr-CH"/>
        </w:rPr>
        <w:t>-</w:t>
      </w:r>
      <w:r w:rsidR="00C82668" w:rsidRPr="0027582B">
        <w:rPr>
          <w:lang w:val="fr-CH"/>
        </w:rPr>
        <w:t>EXN/14 </w:t>
      </w:r>
      <w:proofErr w:type="spellStart"/>
      <w:r w:rsidR="00C82668" w:rsidRPr="0027582B">
        <w:rPr>
          <w:lang w:val="fr-CH"/>
        </w:rPr>
        <w:t>Draft</w:t>
      </w:r>
      <w:proofErr w:type="spellEnd"/>
      <w:r w:rsidR="00C82668" w:rsidRPr="0027582B">
        <w:rPr>
          <w:lang w:val="fr-CH"/>
        </w:rPr>
        <w:t> </w:t>
      </w:r>
      <w:r w:rsidR="00E67C8E" w:rsidRPr="0027582B">
        <w:rPr>
          <w:lang w:val="fr-CH"/>
        </w:rPr>
        <w:t>2.</w:t>
      </w:r>
    </w:p>
    <w:p w:rsidR="00CC73A7" w:rsidRPr="0027582B" w:rsidRDefault="00CC73A7" w:rsidP="002C3711">
      <w:pPr>
        <w:rPr>
          <w:lang w:val="fr-CH"/>
        </w:rPr>
      </w:pPr>
    </w:p>
    <w:p w:rsidR="00CC73A7" w:rsidRPr="0027582B" w:rsidRDefault="00E67C8E" w:rsidP="00E67C8E">
      <w:pPr>
        <w:pStyle w:val="Heading3"/>
        <w:rPr>
          <w:lang w:val="fr-CH"/>
        </w:rPr>
      </w:pPr>
      <w:bookmarkStart w:id="13" w:name="_Toc56188608"/>
      <w:r w:rsidRPr="0027582B">
        <w:rPr>
          <w:lang w:val="fr-CH"/>
        </w:rPr>
        <w:t>Documents TGP</w:t>
      </w:r>
      <w:bookmarkEnd w:id="13"/>
    </w:p>
    <w:p w:rsidR="00CC73A7" w:rsidRPr="0027582B" w:rsidRDefault="00CC73A7" w:rsidP="002C3711">
      <w:pPr>
        <w:rPr>
          <w:lang w:val="fr-CH"/>
        </w:rPr>
      </w:pPr>
    </w:p>
    <w:p w:rsidR="00CC73A7" w:rsidRPr="0027582B" w:rsidRDefault="00E67C8E" w:rsidP="00E67C8E">
      <w:pPr>
        <w:pStyle w:val="Heading4"/>
        <w:rPr>
          <w:snapToGrid w:val="0"/>
          <w:lang w:val="fr-CH"/>
        </w:rPr>
      </w:pPr>
      <w:bookmarkStart w:id="14" w:name="_Toc56188609"/>
      <w:r w:rsidRPr="0027582B">
        <w:rPr>
          <w:snapToGrid w:val="0"/>
          <w:lang w:val="fr-CH"/>
        </w:rPr>
        <w:t>TGP/5</w:t>
      </w:r>
      <w:r w:rsidR="0061079C">
        <w:rPr>
          <w:snapToGrid w:val="0"/>
          <w:lang w:val="fr-CH"/>
        </w:rPr>
        <w:t> :</w:t>
      </w:r>
      <w:r w:rsidR="00C82668" w:rsidRPr="0027582B">
        <w:rPr>
          <w:snapToGrid w:val="0"/>
          <w:lang w:val="fr-CH"/>
        </w:rPr>
        <w:t xml:space="preserve"> </w:t>
      </w:r>
      <w:r w:rsidR="00D04FD9">
        <w:rPr>
          <w:snapToGrid w:val="0"/>
          <w:lang w:val="fr-CH"/>
        </w:rPr>
        <w:t xml:space="preserve"> </w:t>
      </w:r>
      <w:r w:rsidRPr="0027582B">
        <w:rPr>
          <w:snapToGrid w:val="0"/>
          <w:lang w:val="fr-CH"/>
        </w:rPr>
        <w:t>Expérience et coopération en matière d</w:t>
      </w:r>
      <w:r w:rsidR="0061079C">
        <w:rPr>
          <w:snapToGrid w:val="0"/>
          <w:lang w:val="fr-CH"/>
        </w:rPr>
        <w:t>’</w:t>
      </w:r>
      <w:r w:rsidRPr="0027582B">
        <w:rPr>
          <w:snapToGrid w:val="0"/>
          <w:lang w:val="fr-CH"/>
        </w:rPr>
        <w:t>examen</w:t>
      </w:r>
      <w:r w:rsidR="00F02AF7" w:rsidRPr="0027582B">
        <w:rPr>
          <w:snapToGrid w:val="0"/>
          <w:lang w:val="fr-CH"/>
        </w:rPr>
        <w:t> </w:t>
      </w:r>
      <w:r w:rsidRPr="0027582B">
        <w:rPr>
          <w:snapToGrid w:val="0"/>
          <w:lang w:val="fr-CH"/>
        </w:rPr>
        <w:t xml:space="preserve">DHS, </w:t>
      </w:r>
      <w:r w:rsidR="00D211B3" w:rsidRPr="0027582B">
        <w:rPr>
          <w:snapToGrid w:val="0"/>
          <w:lang w:val="fr-CH"/>
        </w:rPr>
        <w:t>S</w:t>
      </w:r>
      <w:r w:rsidR="00611648" w:rsidRPr="0027582B">
        <w:rPr>
          <w:snapToGrid w:val="0"/>
          <w:lang w:val="fr-CH"/>
        </w:rPr>
        <w:t>ection 6</w:t>
      </w:r>
      <w:r w:rsidR="0061079C">
        <w:rPr>
          <w:snapToGrid w:val="0"/>
          <w:lang w:val="fr-CH"/>
        </w:rPr>
        <w:t> :</w:t>
      </w:r>
      <w:r w:rsidRPr="0027582B">
        <w:rPr>
          <w:snapToGrid w:val="0"/>
          <w:lang w:val="fr-CH"/>
        </w:rPr>
        <w:t xml:space="preserve"> Rapport UPOV d</w:t>
      </w:r>
      <w:r w:rsidR="0061079C">
        <w:rPr>
          <w:snapToGrid w:val="0"/>
          <w:lang w:val="fr-CH"/>
        </w:rPr>
        <w:t>’</w:t>
      </w:r>
      <w:r w:rsidRPr="0027582B">
        <w:rPr>
          <w:snapToGrid w:val="0"/>
          <w:lang w:val="fr-CH"/>
        </w:rPr>
        <w:t xml:space="preserve">examen technique et Formulaire UPOV de description </w:t>
      </w:r>
      <w:r w:rsidR="00D04FD9">
        <w:rPr>
          <w:snapToGrid w:val="0"/>
          <w:lang w:val="fr-CH"/>
        </w:rPr>
        <w:t>variétale (révision) (document T</w:t>
      </w:r>
      <w:r w:rsidRPr="0027582B">
        <w:rPr>
          <w:snapToGrid w:val="0"/>
          <w:lang w:val="fr-CH"/>
        </w:rPr>
        <w:t>GP/5</w:t>
      </w:r>
      <w:r w:rsidR="0061079C">
        <w:rPr>
          <w:snapToGrid w:val="0"/>
          <w:lang w:val="fr-CH"/>
        </w:rPr>
        <w:t> :</w:t>
      </w:r>
      <w:r w:rsidR="00D04FD9">
        <w:rPr>
          <w:snapToGrid w:val="0"/>
          <w:lang w:val="fr-CH"/>
        </w:rPr>
        <w:t>  </w:t>
      </w:r>
      <w:r w:rsidR="00611648" w:rsidRPr="0027582B">
        <w:rPr>
          <w:snapToGrid w:val="0"/>
          <w:lang w:val="fr-CH"/>
        </w:rPr>
        <w:t>Section 6</w:t>
      </w:r>
      <w:r w:rsidRPr="0027582B">
        <w:rPr>
          <w:snapToGrid w:val="0"/>
          <w:lang w:val="fr-CH"/>
        </w:rPr>
        <w:t>/3</w:t>
      </w:r>
      <w:r w:rsidR="00C93A51" w:rsidRPr="0027582B">
        <w:rPr>
          <w:snapToGrid w:val="0"/>
          <w:lang w:val="fr-CH"/>
        </w:rPr>
        <w:t> </w:t>
      </w:r>
      <w:proofErr w:type="spellStart"/>
      <w:r w:rsidRPr="0027582B">
        <w:rPr>
          <w:snapToGrid w:val="0"/>
          <w:lang w:val="fr-CH"/>
        </w:rPr>
        <w:t>Draft</w:t>
      </w:r>
      <w:proofErr w:type="spellEnd"/>
      <w:r w:rsidR="00C93A51" w:rsidRPr="0027582B">
        <w:rPr>
          <w:snapToGrid w:val="0"/>
          <w:lang w:val="fr-CH"/>
        </w:rPr>
        <w:t> </w:t>
      </w:r>
      <w:r w:rsidRPr="0027582B">
        <w:rPr>
          <w:snapToGrid w:val="0"/>
          <w:lang w:val="fr-CH"/>
        </w:rPr>
        <w:t>1)</w:t>
      </w:r>
      <w:bookmarkEnd w:id="14"/>
    </w:p>
    <w:p w:rsidR="00CC73A7" w:rsidRPr="0027582B" w:rsidRDefault="00CC73A7" w:rsidP="002C3711">
      <w:pPr>
        <w:rPr>
          <w:lang w:val="fr-CH"/>
        </w:rPr>
      </w:pPr>
    </w:p>
    <w:p w:rsidR="00CC73A7" w:rsidRPr="0027582B" w:rsidRDefault="002C3711" w:rsidP="006279B2">
      <w:pPr>
        <w:rPr>
          <w:lang w:val="fr-CH"/>
        </w:rPr>
      </w:pPr>
      <w:r w:rsidRPr="0027582B">
        <w:rPr>
          <w:i/>
          <w:lang w:eastAsia="zh-CN"/>
        </w:rPr>
        <w:fldChar w:fldCharType="begin"/>
      </w:r>
      <w:r w:rsidRPr="0027582B">
        <w:rPr>
          <w:lang w:val="fr-CH" w:eastAsia="zh-CN"/>
        </w:rPr>
        <w:instrText xml:space="preserve"> AUTONUM  </w:instrText>
      </w:r>
      <w:r w:rsidRPr="0027582B">
        <w:rPr>
          <w:i/>
          <w:lang w:eastAsia="zh-CN"/>
        </w:rPr>
        <w:fldChar w:fldCharType="end"/>
      </w:r>
      <w:r w:rsidRPr="0027582B">
        <w:rPr>
          <w:lang w:val="fr-CH" w:eastAsia="zh-CN"/>
        </w:rPr>
        <w:tab/>
      </w:r>
      <w:r w:rsidR="006279B2" w:rsidRPr="0027582B">
        <w:rPr>
          <w:lang w:val="fr-CH" w:eastAsia="zh-CN"/>
        </w:rPr>
        <w:t>Le Conseil a adopté la version révisée du document TGP/5 “Expérience et coopération en matière d</w:t>
      </w:r>
      <w:r w:rsidR="0061079C">
        <w:rPr>
          <w:lang w:val="fr-CH" w:eastAsia="zh-CN"/>
        </w:rPr>
        <w:t>’</w:t>
      </w:r>
      <w:r w:rsidR="006279B2" w:rsidRPr="0027582B">
        <w:rPr>
          <w:lang w:val="fr-CH" w:eastAsia="zh-CN"/>
        </w:rPr>
        <w:t>examen</w:t>
      </w:r>
      <w:r w:rsidR="00F02AF7" w:rsidRPr="0027582B">
        <w:rPr>
          <w:lang w:val="fr-CH" w:eastAsia="zh-CN"/>
        </w:rPr>
        <w:t> </w:t>
      </w:r>
      <w:r w:rsidR="006279B2" w:rsidRPr="0027582B">
        <w:rPr>
          <w:lang w:val="fr-CH" w:eastAsia="zh-CN"/>
        </w:rPr>
        <w:t xml:space="preserve">DHS, </w:t>
      </w:r>
      <w:r w:rsidR="00D211B3" w:rsidRPr="0027582B">
        <w:rPr>
          <w:lang w:val="fr-CH" w:eastAsia="zh-CN"/>
        </w:rPr>
        <w:t>S</w:t>
      </w:r>
      <w:r w:rsidR="00611648" w:rsidRPr="0027582B">
        <w:rPr>
          <w:lang w:val="fr-CH" w:eastAsia="zh-CN"/>
        </w:rPr>
        <w:t>ection 6</w:t>
      </w:r>
      <w:r w:rsidR="0061079C">
        <w:rPr>
          <w:lang w:val="fr-CH" w:eastAsia="zh-CN"/>
        </w:rPr>
        <w:t> :</w:t>
      </w:r>
      <w:r w:rsidR="006279B2" w:rsidRPr="0027582B">
        <w:rPr>
          <w:lang w:val="fr-CH" w:eastAsia="zh-CN"/>
        </w:rPr>
        <w:t xml:space="preserve"> </w:t>
      </w:r>
      <w:r w:rsidR="00611648" w:rsidRPr="0027582B">
        <w:rPr>
          <w:lang w:val="fr-CH" w:eastAsia="zh-CN"/>
        </w:rPr>
        <w:t>R</w:t>
      </w:r>
      <w:r w:rsidR="006279B2" w:rsidRPr="0027582B">
        <w:rPr>
          <w:lang w:val="fr-CH" w:eastAsia="zh-CN"/>
        </w:rPr>
        <w:t>apport UPOV d</w:t>
      </w:r>
      <w:r w:rsidR="0061079C">
        <w:rPr>
          <w:lang w:val="fr-CH" w:eastAsia="zh-CN"/>
        </w:rPr>
        <w:t>’</w:t>
      </w:r>
      <w:r w:rsidR="006279B2" w:rsidRPr="0027582B">
        <w:rPr>
          <w:lang w:val="fr-CH" w:eastAsia="zh-CN"/>
        </w:rPr>
        <w:t>examen technique et Formulaire UPOV de description variétale” (</w:t>
      </w:r>
      <w:r w:rsidR="00611648" w:rsidRPr="0027582B">
        <w:rPr>
          <w:lang w:val="fr-CH" w:eastAsia="zh-CN"/>
        </w:rPr>
        <w:t>document TG</w:t>
      </w:r>
      <w:r w:rsidR="006279B2" w:rsidRPr="0027582B">
        <w:rPr>
          <w:lang w:val="fr-CH" w:eastAsia="zh-CN"/>
        </w:rPr>
        <w:t>P/5</w:t>
      </w:r>
      <w:r w:rsidR="0061079C">
        <w:rPr>
          <w:lang w:val="fr-CH" w:eastAsia="zh-CN"/>
        </w:rPr>
        <w:t> :</w:t>
      </w:r>
      <w:r w:rsidR="00C93A51" w:rsidRPr="0027582B">
        <w:rPr>
          <w:lang w:val="fr-CH" w:eastAsia="zh-CN"/>
        </w:rPr>
        <w:t xml:space="preserve"> </w:t>
      </w:r>
      <w:r w:rsidR="00611648" w:rsidRPr="0027582B">
        <w:rPr>
          <w:lang w:val="fr-CH" w:eastAsia="zh-CN"/>
        </w:rPr>
        <w:t>Section 6</w:t>
      </w:r>
      <w:r w:rsidR="006279B2" w:rsidRPr="0027582B">
        <w:rPr>
          <w:lang w:val="fr-CH" w:eastAsia="zh-CN"/>
        </w:rPr>
        <w:t xml:space="preserve">/3), sur la base du document TGP/5, </w:t>
      </w:r>
      <w:r w:rsidR="00611648" w:rsidRPr="0027582B">
        <w:rPr>
          <w:lang w:val="fr-CH" w:eastAsia="zh-CN"/>
        </w:rPr>
        <w:t>section 6</w:t>
      </w:r>
      <w:r w:rsidR="006279B2" w:rsidRPr="0027582B">
        <w:rPr>
          <w:lang w:val="fr-CH" w:eastAsia="zh-CN"/>
        </w:rPr>
        <w:t>/3 </w:t>
      </w:r>
      <w:proofErr w:type="spellStart"/>
      <w:r w:rsidR="006279B2" w:rsidRPr="0027582B">
        <w:rPr>
          <w:lang w:val="fr-CH" w:eastAsia="zh-CN"/>
        </w:rPr>
        <w:t>Draft</w:t>
      </w:r>
      <w:proofErr w:type="spellEnd"/>
      <w:r w:rsidR="006279B2" w:rsidRPr="0027582B">
        <w:rPr>
          <w:lang w:val="fr-CH" w:eastAsia="zh-CN"/>
        </w:rPr>
        <w:t> 1.</w:t>
      </w:r>
    </w:p>
    <w:p w:rsidR="00CC73A7" w:rsidRPr="0027582B" w:rsidRDefault="00CC73A7" w:rsidP="002C3711">
      <w:pPr>
        <w:rPr>
          <w:lang w:val="fr-CH"/>
        </w:rPr>
      </w:pPr>
    </w:p>
    <w:p w:rsidR="00CC73A7" w:rsidRPr="0027582B" w:rsidRDefault="006279B2" w:rsidP="006279B2">
      <w:pPr>
        <w:pStyle w:val="Heading4"/>
        <w:rPr>
          <w:snapToGrid w:val="0"/>
          <w:lang w:val="fr-CH"/>
        </w:rPr>
      </w:pPr>
      <w:bookmarkStart w:id="15" w:name="_Toc56188610"/>
      <w:r w:rsidRPr="0027582B">
        <w:rPr>
          <w:snapToGrid w:val="0"/>
          <w:lang w:val="fr-CH"/>
        </w:rPr>
        <w:t>TGP/7</w:t>
      </w:r>
      <w:r w:rsidR="0061079C">
        <w:rPr>
          <w:snapToGrid w:val="0"/>
          <w:lang w:val="fr-CH"/>
        </w:rPr>
        <w:t> :</w:t>
      </w:r>
      <w:r w:rsidR="00C82668" w:rsidRPr="0027582B">
        <w:rPr>
          <w:snapToGrid w:val="0"/>
          <w:lang w:val="fr-CH"/>
        </w:rPr>
        <w:t xml:space="preserve"> </w:t>
      </w:r>
      <w:r w:rsidR="00D04FD9">
        <w:rPr>
          <w:snapToGrid w:val="0"/>
          <w:lang w:val="fr-CH"/>
        </w:rPr>
        <w:t xml:space="preserve"> </w:t>
      </w:r>
      <w:r w:rsidRPr="0027582B">
        <w:rPr>
          <w:snapToGrid w:val="0"/>
          <w:lang w:val="fr-CH"/>
        </w:rPr>
        <w:t>Élaboration des principes directeurs d</w:t>
      </w:r>
      <w:r w:rsidR="0061079C">
        <w:rPr>
          <w:snapToGrid w:val="0"/>
          <w:lang w:val="fr-CH"/>
        </w:rPr>
        <w:t>’</w:t>
      </w:r>
      <w:r w:rsidRPr="0027582B">
        <w:rPr>
          <w:snapToGrid w:val="0"/>
          <w:lang w:val="fr-CH"/>
        </w:rPr>
        <w:t>examen (révision) (</w:t>
      </w:r>
      <w:r w:rsidR="0061079C" w:rsidRPr="0027582B">
        <w:rPr>
          <w:snapToGrid w:val="0"/>
          <w:lang w:val="fr-CH"/>
        </w:rPr>
        <w:t>document</w:t>
      </w:r>
      <w:r w:rsidR="008D05FF">
        <w:rPr>
          <w:snapToGrid w:val="0"/>
          <w:lang w:val="fr-CH"/>
        </w:rPr>
        <w:t> </w:t>
      </w:r>
      <w:r w:rsidR="0061079C" w:rsidRPr="0027582B">
        <w:rPr>
          <w:snapToGrid w:val="0"/>
          <w:lang w:val="fr-CH"/>
        </w:rPr>
        <w:t>TG</w:t>
      </w:r>
      <w:r w:rsidRPr="0027582B">
        <w:rPr>
          <w:snapToGrid w:val="0"/>
          <w:lang w:val="fr-CH"/>
        </w:rPr>
        <w:t>P/7/8</w:t>
      </w:r>
      <w:r w:rsidR="00D211B3" w:rsidRPr="0027582B">
        <w:rPr>
          <w:snapToGrid w:val="0"/>
          <w:lang w:val="fr-CH"/>
        </w:rPr>
        <w:t> </w:t>
      </w:r>
      <w:proofErr w:type="spellStart"/>
      <w:r w:rsidRPr="0027582B">
        <w:rPr>
          <w:snapToGrid w:val="0"/>
          <w:lang w:val="fr-CH"/>
        </w:rPr>
        <w:t>Draft</w:t>
      </w:r>
      <w:proofErr w:type="spellEnd"/>
      <w:r w:rsidR="00C93A51" w:rsidRPr="0027582B">
        <w:rPr>
          <w:snapToGrid w:val="0"/>
          <w:lang w:val="fr-CH"/>
        </w:rPr>
        <w:t> </w:t>
      </w:r>
      <w:r w:rsidRPr="0027582B">
        <w:rPr>
          <w:snapToGrid w:val="0"/>
          <w:lang w:val="fr-CH"/>
        </w:rPr>
        <w:t>1)</w:t>
      </w:r>
      <w:bookmarkEnd w:id="15"/>
    </w:p>
    <w:p w:rsidR="00CC73A7" w:rsidRPr="0027582B" w:rsidRDefault="00CC73A7" w:rsidP="002C3711">
      <w:pPr>
        <w:rPr>
          <w:lang w:val="fr-CH"/>
        </w:rPr>
      </w:pPr>
    </w:p>
    <w:p w:rsidR="00CC73A7" w:rsidRPr="0027582B" w:rsidRDefault="002C3711" w:rsidP="006279B2">
      <w:pPr>
        <w:rPr>
          <w:lang w:val="fr-CH"/>
        </w:rPr>
      </w:pPr>
      <w:r w:rsidRPr="0027582B">
        <w:rPr>
          <w:i/>
          <w:spacing w:val="-4"/>
          <w:lang w:eastAsia="zh-CN"/>
        </w:rPr>
        <w:fldChar w:fldCharType="begin"/>
      </w:r>
      <w:r w:rsidRPr="0027582B">
        <w:rPr>
          <w:spacing w:val="-4"/>
          <w:lang w:val="fr-CH" w:eastAsia="zh-CN"/>
        </w:rPr>
        <w:instrText xml:space="preserve"> AUTONUM  </w:instrText>
      </w:r>
      <w:r w:rsidRPr="0027582B">
        <w:rPr>
          <w:i/>
          <w:spacing w:val="-4"/>
          <w:lang w:eastAsia="zh-CN"/>
        </w:rPr>
        <w:fldChar w:fldCharType="end"/>
      </w:r>
      <w:r w:rsidRPr="0027582B">
        <w:rPr>
          <w:spacing w:val="-4"/>
          <w:lang w:val="fr-CH" w:eastAsia="zh-CN"/>
        </w:rPr>
        <w:tab/>
      </w:r>
      <w:r w:rsidR="006279B2" w:rsidRPr="0027582B">
        <w:rPr>
          <w:spacing w:val="-4"/>
          <w:lang w:val="fr-CH" w:eastAsia="zh-CN"/>
        </w:rPr>
        <w:t>Le Conseil a adopté la version révisée du document TGP/7 “Élaboration des principes directeurs d</w:t>
      </w:r>
      <w:r w:rsidR="0061079C">
        <w:rPr>
          <w:spacing w:val="-4"/>
          <w:lang w:val="fr-CH" w:eastAsia="zh-CN"/>
        </w:rPr>
        <w:t>’</w:t>
      </w:r>
      <w:r w:rsidR="006279B2" w:rsidRPr="0027582B">
        <w:rPr>
          <w:spacing w:val="-4"/>
          <w:lang w:val="fr-CH" w:eastAsia="zh-CN"/>
        </w:rPr>
        <w:t>examen” (document TGP/7/8) sur la base du document TGP/7/8</w:t>
      </w:r>
      <w:r w:rsidR="00D211B3" w:rsidRPr="0027582B">
        <w:rPr>
          <w:spacing w:val="-4"/>
          <w:lang w:val="fr-CH" w:eastAsia="zh-CN"/>
        </w:rPr>
        <w:t> </w:t>
      </w:r>
      <w:proofErr w:type="spellStart"/>
      <w:r w:rsidR="00D211B3" w:rsidRPr="0027582B">
        <w:rPr>
          <w:spacing w:val="-4"/>
          <w:lang w:val="fr-CH" w:eastAsia="zh-CN"/>
        </w:rPr>
        <w:t>Draft</w:t>
      </w:r>
      <w:proofErr w:type="spellEnd"/>
      <w:r w:rsidR="00D211B3" w:rsidRPr="0027582B">
        <w:rPr>
          <w:spacing w:val="-4"/>
          <w:lang w:val="fr-CH" w:eastAsia="zh-CN"/>
        </w:rPr>
        <w:t> </w:t>
      </w:r>
      <w:r w:rsidR="006279B2" w:rsidRPr="0027582B">
        <w:rPr>
          <w:spacing w:val="-4"/>
          <w:lang w:val="fr-CH" w:eastAsia="zh-CN"/>
        </w:rPr>
        <w:t>1.</w:t>
      </w:r>
    </w:p>
    <w:p w:rsidR="00CC73A7" w:rsidRPr="0027582B" w:rsidRDefault="00CC73A7" w:rsidP="002C3711">
      <w:pPr>
        <w:rPr>
          <w:lang w:val="fr-CH"/>
        </w:rPr>
      </w:pPr>
    </w:p>
    <w:p w:rsidR="00CC73A7" w:rsidRPr="0027582B" w:rsidRDefault="006279B2" w:rsidP="006279B2">
      <w:pPr>
        <w:pStyle w:val="Heading4"/>
        <w:rPr>
          <w:snapToGrid w:val="0"/>
          <w:lang w:val="fr-CH"/>
        </w:rPr>
      </w:pPr>
      <w:bookmarkStart w:id="16" w:name="_Toc56188611"/>
      <w:r w:rsidRPr="0027582B">
        <w:rPr>
          <w:snapToGrid w:val="0"/>
          <w:lang w:val="fr-CH"/>
        </w:rPr>
        <w:t>TGP/14</w:t>
      </w:r>
      <w:r w:rsidR="0061079C">
        <w:rPr>
          <w:snapToGrid w:val="0"/>
          <w:lang w:val="fr-CH"/>
        </w:rPr>
        <w:t> :</w:t>
      </w:r>
      <w:r w:rsidR="00C82668" w:rsidRPr="0027582B">
        <w:rPr>
          <w:snapToGrid w:val="0"/>
          <w:lang w:val="fr-CH"/>
        </w:rPr>
        <w:t xml:space="preserve"> </w:t>
      </w:r>
      <w:r w:rsidR="00D04FD9">
        <w:rPr>
          <w:snapToGrid w:val="0"/>
          <w:lang w:val="fr-CH"/>
        </w:rPr>
        <w:t xml:space="preserve"> </w:t>
      </w:r>
      <w:r w:rsidRPr="0027582B">
        <w:rPr>
          <w:snapToGrid w:val="0"/>
          <w:lang w:val="fr-CH"/>
        </w:rPr>
        <w:t>Glossaire de termes utilisés dans les documents de l</w:t>
      </w:r>
      <w:r w:rsidR="0061079C">
        <w:rPr>
          <w:snapToGrid w:val="0"/>
          <w:lang w:val="fr-CH"/>
        </w:rPr>
        <w:t>’</w:t>
      </w:r>
      <w:r w:rsidRPr="0027582B">
        <w:rPr>
          <w:snapToGrid w:val="0"/>
          <w:lang w:val="fr-CH"/>
        </w:rPr>
        <w:t>UPOV (révision) (</w:t>
      </w:r>
      <w:r w:rsidR="0061079C" w:rsidRPr="0027582B">
        <w:rPr>
          <w:snapToGrid w:val="0"/>
          <w:lang w:val="fr-CH"/>
        </w:rPr>
        <w:t>document</w:t>
      </w:r>
      <w:r w:rsidR="008D05FF">
        <w:rPr>
          <w:snapToGrid w:val="0"/>
          <w:lang w:val="fr-CH"/>
        </w:rPr>
        <w:t> </w:t>
      </w:r>
      <w:r w:rsidR="0061079C" w:rsidRPr="0027582B">
        <w:rPr>
          <w:snapToGrid w:val="0"/>
          <w:lang w:val="fr-CH"/>
        </w:rPr>
        <w:t>TG</w:t>
      </w:r>
      <w:r w:rsidR="00D211B3" w:rsidRPr="0027582B">
        <w:rPr>
          <w:snapToGrid w:val="0"/>
          <w:lang w:val="fr-CH"/>
        </w:rPr>
        <w:t>P/14/5 </w:t>
      </w:r>
      <w:proofErr w:type="spellStart"/>
      <w:r w:rsidRPr="0027582B">
        <w:rPr>
          <w:snapToGrid w:val="0"/>
          <w:lang w:val="fr-CH"/>
        </w:rPr>
        <w:t>Draft</w:t>
      </w:r>
      <w:proofErr w:type="spellEnd"/>
      <w:r w:rsidR="00C93A51" w:rsidRPr="0027582B">
        <w:rPr>
          <w:snapToGrid w:val="0"/>
          <w:lang w:val="fr-CH"/>
        </w:rPr>
        <w:t> </w:t>
      </w:r>
      <w:r w:rsidRPr="0027582B">
        <w:rPr>
          <w:snapToGrid w:val="0"/>
          <w:lang w:val="fr-CH"/>
        </w:rPr>
        <w:t>1)</w:t>
      </w:r>
      <w:bookmarkEnd w:id="16"/>
    </w:p>
    <w:p w:rsidR="00CC73A7" w:rsidRPr="0027582B" w:rsidRDefault="00CC73A7" w:rsidP="002C3711">
      <w:pPr>
        <w:rPr>
          <w:lang w:val="fr-CH"/>
        </w:rPr>
      </w:pPr>
    </w:p>
    <w:p w:rsidR="00CC73A7" w:rsidRPr="0027582B" w:rsidRDefault="002C3711" w:rsidP="006279B2">
      <w:pPr>
        <w:rPr>
          <w:spacing w:val="-2"/>
          <w:lang w:val="fr-CH" w:eastAsia="zh-CN"/>
        </w:rPr>
      </w:pPr>
      <w:r w:rsidRPr="0027582B">
        <w:rPr>
          <w:i/>
          <w:spacing w:val="-2"/>
          <w:lang w:eastAsia="zh-CN"/>
        </w:rPr>
        <w:fldChar w:fldCharType="begin"/>
      </w:r>
      <w:r w:rsidRPr="0027582B">
        <w:rPr>
          <w:spacing w:val="-2"/>
          <w:lang w:val="fr-CH" w:eastAsia="zh-CN"/>
        </w:rPr>
        <w:instrText xml:space="preserve"> AUTONUM  </w:instrText>
      </w:r>
      <w:r w:rsidRPr="0027582B">
        <w:rPr>
          <w:i/>
          <w:spacing w:val="-2"/>
          <w:lang w:eastAsia="zh-CN"/>
        </w:rPr>
        <w:fldChar w:fldCharType="end"/>
      </w:r>
      <w:r w:rsidRPr="0027582B">
        <w:rPr>
          <w:spacing w:val="-2"/>
          <w:lang w:val="fr-CH" w:eastAsia="zh-CN"/>
        </w:rPr>
        <w:tab/>
      </w:r>
      <w:r w:rsidR="006279B2" w:rsidRPr="0027582B">
        <w:rPr>
          <w:spacing w:val="-2"/>
          <w:lang w:val="fr-CH" w:eastAsia="zh-CN"/>
        </w:rPr>
        <w:t>Le Conseil a adopté la version révisée du document TGP/14 “Glossaire de termes utilisés dans les documents de l</w:t>
      </w:r>
      <w:r w:rsidR="0061079C">
        <w:rPr>
          <w:spacing w:val="-2"/>
          <w:lang w:val="fr-CH" w:eastAsia="zh-CN"/>
        </w:rPr>
        <w:t>’</w:t>
      </w:r>
      <w:r w:rsidR="006279B2" w:rsidRPr="0027582B">
        <w:rPr>
          <w:spacing w:val="-2"/>
          <w:lang w:val="fr-CH" w:eastAsia="zh-CN"/>
        </w:rPr>
        <w:t>UPOV” (</w:t>
      </w:r>
      <w:r w:rsidR="00611648" w:rsidRPr="0027582B">
        <w:rPr>
          <w:spacing w:val="-2"/>
          <w:lang w:val="fr-CH" w:eastAsia="zh-CN"/>
        </w:rPr>
        <w:t>document TG</w:t>
      </w:r>
      <w:r w:rsidR="00D211B3" w:rsidRPr="0027582B">
        <w:rPr>
          <w:spacing w:val="-2"/>
          <w:lang w:val="fr-CH" w:eastAsia="zh-CN"/>
        </w:rPr>
        <w:t>P/14/5)</w:t>
      </w:r>
      <w:r w:rsidR="006279B2" w:rsidRPr="0027582B">
        <w:rPr>
          <w:spacing w:val="-2"/>
          <w:lang w:val="fr-CH" w:eastAsia="zh-CN"/>
        </w:rPr>
        <w:t xml:space="preserve"> sur la base du </w:t>
      </w:r>
      <w:r w:rsidR="00611648" w:rsidRPr="0027582B">
        <w:rPr>
          <w:spacing w:val="-2"/>
          <w:lang w:val="fr-CH" w:eastAsia="zh-CN"/>
        </w:rPr>
        <w:t>document TG</w:t>
      </w:r>
      <w:r w:rsidR="006279B2" w:rsidRPr="0027582B">
        <w:rPr>
          <w:spacing w:val="-2"/>
          <w:lang w:val="fr-CH" w:eastAsia="zh-CN"/>
        </w:rPr>
        <w:t>P/14/5</w:t>
      </w:r>
      <w:r w:rsidR="00D211B3" w:rsidRPr="0027582B">
        <w:rPr>
          <w:spacing w:val="-2"/>
          <w:lang w:val="fr-CH" w:eastAsia="zh-CN"/>
        </w:rPr>
        <w:t> </w:t>
      </w:r>
      <w:proofErr w:type="spellStart"/>
      <w:r w:rsidR="006279B2" w:rsidRPr="0027582B">
        <w:rPr>
          <w:spacing w:val="-2"/>
          <w:lang w:val="fr-CH" w:eastAsia="zh-CN"/>
        </w:rPr>
        <w:t>Draft</w:t>
      </w:r>
      <w:proofErr w:type="spellEnd"/>
      <w:r w:rsidR="006279B2" w:rsidRPr="0027582B">
        <w:rPr>
          <w:spacing w:val="-2"/>
          <w:lang w:val="fr-CH" w:eastAsia="zh-CN"/>
        </w:rPr>
        <w:t> 1.</w:t>
      </w:r>
    </w:p>
    <w:p w:rsidR="00CC73A7" w:rsidRPr="0027582B" w:rsidRDefault="00CC73A7" w:rsidP="002C3711">
      <w:pPr>
        <w:rPr>
          <w:lang w:val="fr-CH"/>
        </w:rPr>
      </w:pPr>
    </w:p>
    <w:p w:rsidR="00CC73A7" w:rsidRPr="0027582B" w:rsidRDefault="006279B2" w:rsidP="006279B2">
      <w:pPr>
        <w:pStyle w:val="Heading4"/>
        <w:rPr>
          <w:snapToGrid w:val="0"/>
          <w:lang w:val="fr-CH"/>
        </w:rPr>
      </w:pPr>
      <w:bookmarkStart w:id="17" w:name="_Toc56188612"/>
      <w:r w:rsidRPr="0027582B">
        <w:rPr>
          <w:snapToGrid w:val="0"/>
          <w:lang w:val="fr-CH"/>
        </w:rPr>
        <w:lastRenderedPageBreak/>
        <w:t>TGP/15</w:t>
      </w:r>
      <w:r w:rsidR="0061079C">
        <w:rPr>
          <w:snapToGrid w:val="0"/>
          <w:lang w:val="fr-CH"/>
        </w:rPr>
        <w:t> :</w:t>
      </w:r>
      <w:r w:rsidR="00D04FD9">
        <w:rPr>
          <w:snapToGrid w:val="0"/>
          <w:lang w:val="fr-CH"/>
        </w:rPr>
        <w:t xml:space="preserve"> </w:t>
      </w:r>
      <w:r w:rsidR="00C82668" w:rsidRPr="0027582B">
        <w:rPr>
          <w:snapToGrid w:val="0"/>
          <w:lang w:val="fr-CH"/>
        </w:rPr>
        <w:t xml:space="preserve"> </w:t>
      </w:r>
      <w:r w:rsidRPr="0027582B">
        <w:rPr>
          <w:snapToGrid w:val="0"/>
          <w:lang w:val="fr-CH"/>
        </w:rPr>
        <w:t>Conseils en ce qui concerne l</w:t>
      </w:r>
      <w:r w:rsidR="0061079C">
        <w:rPr>
          <w:snapToGrid w:val="0"/>
          <w:lang w:val="fr-CH"/>
        </w:rPr>
        <w:t>’</w:t>
      </w:r>
      <w:r w:rsidRPr="0027582B">
        <w:rPr>
          <w:snapToGrid w:val="0"/>
          <w:lang w:val="fr-CH"/>
        </w:rPr>
        <w:t>utilisation des marqueurs biochimiques et moléculaires dans l</w:t>
      </w:r>
      <w:r w:rsidR="0061079C">
        <w:rPr>
          <w:snapToGrid w:val="0"/>
          <w:lang w:val="fr-CH"/>
        </w:rPr>
        <w:t>’</w:t>
      </w:r>
      <w:r w:rsidRPr="0027582B">
        <w:rPr>
          <w:snapToGrid w:val="0"/>
          <w:lang w:val="fr-CH"/>
        </w:rPr>
        <w:t>examen de la distinction, de l</w:t>
      </w:r>
      <w:r w:rsidR="0061079C">
        <w:rPr>
          <w:snapToGrid w:val="0"/>
          <w:lang w:val="fr-CH"/>
        </w:rPr>
        <w:t>’</w:t>
      </w:r>
      <w:r w:rsidRPr="0027582B">
        <w:rPr>
          <w:snapToGrid w:val="0"/>
          <w:lang w:val="fr-CH"/>
        </w:rPr>
        <w:t>homogénéité et de la stabilité (DHS) (révision) (</w:t>
      </w:r>
      <w:r w:rsidR="0061079C" w:rsidRPr="0027582B">
        <w:rPr>
          <w:snapToGrid w:val="0"/>
          <w:lang w:val="fr-CH"/>
        </w:rPr>
        <w:t>document</w:t>
      </w:r>
      <w:r w:rsidR="008D05FF">
        <w:rPr>
          <w:snapToGrid w:val="0"/>
          <w:lang w:val="fr-CH"/>
        </w:rPr>
        <w:t> </w:t>
      </w:r>
      <w:r w:rsidR="0061079C" w:rsidRPr="0027582B">
        <w:rPr>
          <w:snapToGrid w:val="0"/>
          <w:lang w:val="fr-CH"/>
        </w:rPr>
        <w:t>TG</w:t>
      </w:r>
      <w:r w:rsidR="00D04FD9">
        <w:rPr>
          <w:snapToGrid w:val="0"/>
          <w:lang w:val="fr-CH"/>
        </w:rPr>
        <w:t>P/15/3 </w:t>
      </w:r>
      <w:proofErr w:type="spellStart"/>
      <w:r w:rsidRPr="0027582B">
        <w:rPr>
          <w:snapToGrid w:val="0"/>
          <w:lang w:val="fr-CH"/>
        </w:rPr>
        <w:t>Draft</w:t>
      </w:r>
      <w:proofErr w:type="spellEnd"/>
      <w:r w:rsidR="00C93A51" w:rsidRPr="0027582B">
        <w:rPr>
          <w:snapToGrid w:val="0"/>
          <w:lang w:val="fr-CH"/>
        </w:rPr>
        <w:t> </w:t>
      </w:r>
      <w:r w:rsidRPr="0027582B">
        <w:rPr>
          <w:snapToGrid w:val="0"/>
          <w:lang w:val="fr-CH"/>
        </w:rPr>
        <w:t>1)</w:t>
      </w:r>
      <w:bookmarkEnd w:id="17"/>
    </w:p>
    <w:p w:rsidR="00CC73A7" w:rsidRPr="0027582B" w:rsidRDefault="00CC73A7" w:rsidP="002C3711">
      <w:pPr>
        <w:rPr>
          <w:lang w:val="fr-CH"/>
        </w:rPr>
      </w:pPr>
    </w:p>
    <w:p w:rsidR="00CC73A7" w:rsidRPr="0027582B" w:rsidRDefault="002C3711" w:rsidP="006279B2">
      <w:pPr>
        <w:rPr>
          <w:lang w:val="fr-CH"/>
        </w:rPr>
      </w:pPr>
      <w:r w:rsidRPr="0027582B">
        <w:rPr>
          <w:i/>
          <w:lang w:eastAsia="zh-CN"/>
        </w:rPr>
        <w:fldChar w:fldCharType="begin"/>
      </w:r>
      <w:r w:rsidRPr="0027582B">
        <w:rPr>
          <w:lang w:val="fr-CH" w:eastAsia="zh-CN"/>
        </w:rPr>
        <w:instrText xml:space="preserve"> AUTONUM  </w:instrText>
      </w:r>
      <w:r w:rsidRPr="0027582B">
        <w:rPr>
          <w:i/>
          <w:lang w:eastAsia="zh-CN"/>
        </w:rPr>
        <w:fldChar w:fldCharType="end"/>
      </w:r>
      <w:r w:rsidRPr="0027582B">
        <w:rPr>
          <w:lang w:val="fr-CH" w:eastAsia="zh-CN"/>
        </w:rPr>
        <w:tab/>
      </w:r>
      <w:r w:rsidR="006279B2" w:rsidRPr="0027582B">
        <w:rPr>
          <w:lang w:val="fr-CH" w:eastAsia="zh-CN"/>
        </w:rPr>
        <w:t>Le Conseil a adopté la version révisée du document TGP/15 “Conseils en ce qui concerne l</w:t>
      </w:r>
      <w:r w:rsidR="0061079C">
        <w:rPr>
          <w:lang w:val="fr-CH" w:eastAsia="zh-CN"/>
        </w:rPr>
        <w:t>’</w:t>
      </w:r>
      <w:r w:rsidR="006279B2" w:rsidRPr="0027582B">
        <w:rPr>
          <w:lang w:val="fr-CH" w:eastAsia="zh-CN"/>
        </w:rPr>
        <w:t>utilisation des marqueurs biochimiques et moléculaires dans l</w:t>
      </w:r>
      <w:r w:rsidR="0061079C">
        <w:rPr>
          <w:lang w:val="fr-CH" w:eastAsia="zh-CN"/>
        </w:rPr>
        <w:t>’</w:t>
      </w:r>
      <w:r w:rsidR="006279B2" w:rsidRPr="0027582B">
        <w:rPr>
          <w:lang w:val="fr-CH" w:eastAsia="zh-CN"/>
        </w:rPr>
        <w:t>examen de la distinction, de l</w:t>
      </w:r>
      <w:r w:rsidR="0061079C">
        <w:rPr>
          <w:lang w:val="fr-CH" w:eastAsia="zh-CN"/>
        </w:rPr>
        <w:t>’</w:t>
      </w:r>
      <w:r w:rsidR="006279B2" w:rsidRPr="0027582B">
        <w:rPr>
          <w:lang w:val="fr-CH" w:eastAsia="zh-CN"/>
        </w:rPr>
        <w:t>homogénéité et de la stabilité (DHS)” (document TGP/15/3), s</w:t>
      </w:r>
      <w:r w:rsidR="00D211B3" w:rsidRPr="0027582B">
        <w:rPr>
          <w:lang w:val="fr-CH" w:eastAsia="zh-CN"/>
        </w:rPr>
        <w:t>ur la base du document TGP/15/3 </w:t>
      </w:r>
      <w:proofErr w:type="spellStart"/>
      <w:r w:rsidR="006279B2" w:rsidRPr="0027582B">
        <w:rPr>
          <w:lang w:val="fr-CH" w:eastAsia="zh-CN"/>
        </w:rPr>
        <w:t>D</w:t>
      </w:r>
      <w:r w:rsidR="00D211B3" w:rsidRPr="0027582B">
        <w:rPr>
          <w:lang w:val="fr-CH" w:eastAsia="zh-CN"/>
        </w:rPr>
        <w:t>raft</w:t>
      </w:r>
      <w:proofErr w:type="spellEnd"/>
      <w:r w:rsidR="00D211B3" w:rsidRPr="0027582B">
        <w:rPr>
          <w:lang w:val="fr-CH" w:eastAsia="zh-CN"/>
        </w:rPr>
        <w:t> </w:t>
      </w:r>
      <w:r w:rsidR="006279B2" w:rsidRPr="0027582B">
        <w:rPr>
          <w:lang w:val="fr-CH" w:eastAsia="zh-CN"/>
        </w:rPr>
        <w:t>1.</w:t>
      </w:r>
    </w:p>
    <w:p w:rsidR="00CC73A7" w:rsidRPr="0027582B" w:rsidRDefault="00CC73A7" w:rsidP="002C3711">
      <w:pPr>
        <w:rPr>
          <w:lang w:val="fr-CH"/>
        </w:rPr>
      </w:pPr>
    </w:p>
    <w:p w:rsidR="00CC73A7" w:rsidRPr="0027582B" w:rsidRDefault="006279B2" w:rsidP="006279B2">
      <w:pPr>
        <w:pStyle w:val="Heading4"/>
        <w:rPr>
          <w:snapToGrid w:val="0"/>
          <w:lang w:val="fr-CH"/>
        </w:rPr>
      </w:pPr>
      <w:bookmarkStart w:id="18" w:name="_Toc56188613"/>
      <w:r w:rsidRPr="0027582B">
        <w:rPr>
          <w:snapToGrid w:val="0"/>
          <w:lang w:val="fr-CH"/>
        </w:rPr>
        <w:t>TGP/0</w:t>
      </w:r>
      <w:r w:rsidR="0061079C">
        <w:rPr>
          <w:snapToGrid w:val="0"/>
          <w:lang w:val="fr-CH"/>
        </w:rPr>
        <w:t> :</w:t>
      </w:r>
      <w:r w:rsidR="00D211B3" w:rsidRPr="0027582B">
        <w:rPr>
          <w:snapToGrid w:val="0"/>
          <w:lang w:val="fr-CH"/>
        </w:rPr>
        <w:t xml:space="preserve"> </w:t>
      </w:r>
      <w:r w:rsidR="00D04FD9">
        <w:rPr>
          <w:snapToGrid w:val="0"/>
          <w:lang w:val="fr-CH"/>
        </w:rPr>
        <w:t xml:space="preserve"> </w:t>
      </w:r>
      <w:r w:rsidRPr="0027582B">
        <w:rPr>
          <w:snapToGrid w:val="0"/>
          <w:lang w:val="fr-CH"/>
        </w:rPr>
        <w:t>Liste des documents TGP et date de la version la plus récente de ces documents (révision) (</w:t>
      </w:r>
      <w:r w:rsidR="0061079C" w:rsidRPr="0027582B">
        <w:rPr>
          <w:snapToGrid w:val="0"/>
          <w:lang w:val="fr-CH"/>
        </w:rPr>
        <w:t>document</w:t>
      </w:r>
      <w:r w:rsidR="008D05FF">
        <w:rPr>
          <w:snapToGrid w:val="0"/>
          <w:lang w:val="fr-CH"/>
        </w:rPr>
        <w:t> </w:t>
      </w:r>
      <w:r w:rsidR="0061079C" w:rsidRPr="0027582B">
        <w:rPr>
          <w:snapToGrid w:val="0"/>
          <w:lang w:val="fr-CH"/>
        </w:rPr>
        <w:t>TG</w:t>
      </w:r>
      <w:r w:rsidRPr="0027582B">
        <w:rPr>
          <w:snapToGrid w:val="0"/>
          <w:lang w:val="fr-CH"/>
        </w:rPr>
        <w:t>P/0/12</w:t>
      </w:r>
      <w:r w:rsidR="00D211B3" w:rsidRPr="0027582B">
        <w:rPr>
          <w:snapToGrid w:val="0"/>
          <w:lang w:val="fr-CH"/>
        </w:rPr>
        <w:t> </w:t>
      </w:r>
      <w:proofErr w:type="spellStart"/>
      <w:r w:rsidRPr="0027582B">
        <w:rPr>
          <w:snapToGrid w:val="0"/>
          <w:lang w:val="fr-CH"/>
        </w:rPr>
        <w:t>Draft</w:t>
      </w:r>
      <w:proofErr w:type="spellEnd"/>
      <w:r w:rsidR="00C93A51" w:rsidRPr="0027582B">
        <w:rPr>
          <w:snapToGrid w:val="0"/>
          <w:lang w:val="fr-CH"/>
        </w:rPr>
        <w:t> </w:t>
      </w:r>
      <w:r w:rsidRPr="0027582B">
        <w:rPr>
          <w:snapToGrid w:val="0"/>
          <w:lang w:val="fr-CH"/>
        </w:rPr>
        <w:t>1)</w:t>
      </w:r>
      <w:bookmarkEnd w:id="18"/>
    </w:p>
    <w:p w:rsidR="00CC73A7" w:rsidRPr="0027582B" w:rsidRDefault="00CC73A7" w:rsidP="002C3711">
      <w:pPr>
        <w:rPr>
          <w:lang w:val="fr-CH"/>
        </w:rPr>
      </w:pPr>
    </w:p>
    <w:p w:rsidR="00CC73A7" w:rsidRPr="0027582B" w:rsidRDefault="002C3711" w:rsidP="006279B2">
      <w:pPr>
        <w:rPr>
          <w:i/>
          <w:spacing w:val="-2"/>
          <w:lang w:val="fr-CH"/>
        </w:rPr>
      </w:pPr>
      <w:r w:rsidRPr="0027582B">
        <w:rPr>
          <w:i/>
          <w:spacing w:val="-2"/>
          <w:lang w:eastAsia="zh-CN"/>
        </w:rPr>
        <w:fldChar w:fldCharType="begin"/>
      </w:r>
      <w:r w:rsidRPr="0027582B">
        <w:rPr>
          <w:spacing w:val="-2"/>
          <w:lang w:val="fr-CH" w:eastAsia="zh-CN"/>
        </w:rPr>
        <w:instrText xml:space="preserve"> AUTONUM  </w:instrText>
      </w:r>
      <w:r w:rsidRPr="0027582B">
        <w:rPr>
          <w:i/>
          <w:spacing w:val="-2"/>
          <w:lang w:eastAsia="zh-CN"/>
        </w:rPr>
        <w:fldChar w:fldCharType="end"/>
      </w:r>
      <w:r w:rsidRPr="0027582B">
        <w:rPr>
          <w:spacing w:val="-2"/>
          <w:lang w:val="fr-CH" w:eastAsia="zh-CN"/>
        </w:rPr>
        <w:tab/>
      </w:r>
      <w:r w:rsidR="006279B2" w:rsidRPr="0027582B">
        <w:rPr>
          <w:spacing w:val="-2"/>
          <w:lang w:val="fr-CH" w:eastAsia="zh-CN"/>
        </w:rPr>
        <w:t>Le Conseil a adopté la version révisée du document TGP/0 “Liste des documents TGP et date de la version la plus récente de ces documents” (document TGP/0/12) s</w:t>
      </w:r>
      <w:r w:rsidR="00D211B3" w:rsidRPr="0027582B">
        <w:rPr>
          <w:spacing w:val="-2"/>
          <w:lang w:val="fr-CH" w:eastAsia="zh-CN"/>
        </w:rPr>
        <w:t>ur la base du document TGP/0/12 </w:t>
      </w:r>
      <w:proofErr w:type="spellStart"/>
      <w:r w:rsidR="006279B2" w:rsidRPr="0027582B">
        <w:rPr>
          <w:spacing w:val="-2"/>
          <w:lang w:val="fr-CH" w:eastAsia="zh-CN"/>
        </w:rPr>
        <w:t>Draft</w:t>
      </w:r>
      <w:proofErr w:type="spellEnd"/>
      <w:r w:rsidR="00D211B3" w:rsidRPr="0027582B">
        <w:rPr>
          <w:spacing w:val="-2"/>
          <w:lang w:val="fr-CH" w:eastAsia="zh-CN"/>
        </w:rPr>
        <w:t> </w:t>
      </w:r>
      <w:r w:rsidR="006279B2" w:rsidRPr="0027582B">
        <w:rPr>
          <w:spacing w:val="-2"/>
          <w:lang w:val="fr-CH" w:eastAsia="zh-CN"/>
        </w:rPr>
        <w:t>1.</w:t>
      </w:r>
    </w:p>
    <w:p w:rsidR="00CC73A7" w:rsidRPr="0027582B" w:rsidRDefault="00CC73A7" w:rsidP="002C3711">
      <w:pPr>
        <w:rPr>
          <w:lang w:val="fr-CH"/>
        </w:rPr>
      </w:pPr>
    </w:p>
    <w:p w:rsidR="00CC73A7" w:rsidRPr="0027582B" w:rsidRDefault="00CC73A7" w:rsidP="002C3711">
      <w:pPr>
        <w:rPr>
          <w:lang w:val="fr-CH"/>
        </w:rPr>
      </w:pPr>
    </w:p>
    <w:p w:rsidR="00CC73A7" w:rsidRPr="0027582B" w:rsidRDefault="006279B2" w:rsidP="006279B2">
      <w:pPr>
        <w:pStyle w:val="Heading2"/>
        <w:rPr>
          <w:lang w:val="fr-CH"/>
        </w:rPr>
      </w:pPr>
      <w:bookmarkStart w:id="19" w:name="_Toc56188614"/>
      <w:r w:rsidRPr="0027582B">
        <w:rPr>
          <w:lang w:val="fr-CH"/>
        </w:rPr>
        <w:t>Document</w:t>
      </w:r>
      <w:r w:rsidR="00C93A51" w:rsidRPr="0027582B">
        <w:rPr>
          <w:lang w:val="fr-CH"/>
        </w:rPr>
        <w:t> </w:t>
      </w:r>
      <w:r w:rsidRPr="0027582B">
        <w:rPr>
          <w:lang w:val="fr-CH"/>
        </w:rPr>
        <w:t>UPOV/INF/4</w:t>
      </w:r>
      <w:r w:rsidR="0061079C">
        <w:rPr>
          <w:lang w:val="fr-CH"/>
        </w:rPr>
        <w:t> :</w:t>
      </w:r>
      <w:r w:rsidR="00D211B3" w:rsidRPr="0027582B">
        <w:rPr>
          <w:lang w:val="fr-CH"/>
        </w:rPr>
        <w:t xml:space="preserve"> </w:t>
      </w:r>
      <w:r w:rsidR="00D04FD9">
        <w:rPr>
          <w:lang w:val="fr-CH"/>
        </w:rPr>
        <w:t xml:space="preserve"> </w:t>
      </w:r>
      <w:r w:rsidRPr="0027582B">
        <w:rPr>
          <w:lang w:val="fr-CH"/>
        </w:rPr>
        <w:t>Règlement financier et règlement d</w:t>
      </w:r>
      <w:r w:rsidR="0061079C">
        <w:rPr>
          <w:lang w:val="fr-CH"/>
        </w:rPr>
        <w:t>’</w:t>
      </w:r>
      <w:r w:rsidRPr="0027582B">
        <w:rPr>
          <w:lang w:val="fr-CH"/>
        </w:rPr>
        <w:t>exécution du Règlement financier de l</w:t>
      </w:r>
      <w:r w:rsidR="0061079C">
        <w:rPr>
          <w:lang w:val="fr-CH"/>
        </w:rPr>
        <w:t>’</w:t>
      </w:r>
      <w:r w:rsidRPr="0027582B">
        <w:rPr>
          <w:lang w:val="fr-CH"/>
        </w:rPr>
        <w:t>UPOV (révision de l</w:t>
      </w:r>
      <w:r w:rsidR="0061079C">
        <w:rPr>
          <w:lang w:val="fr-CH"/>
        </w:rPr>
        <w:t>’</w:t>
      </w:r>
      <w:r w:rsidR="00611648" w:rsidRPr="0027582B">
        <w:rPr>
          <w:lang w:val="fr-CH"/>
        </w:rPr>
        <w:t>article 4</w:t>
      </w:r>
      <w:r w:rsidRPr="0027582B">
        <w:rPr>
          <w:lang w:val="fr-CH"/>
        </w:rPr>
        <w:t>.6) (document C/54/19)</w:t>
      </w:r>
      <w:bookmarkEnd w:id="19"/>
    </w:p>
    <w:p w:rsidR="00CC73A7" w:rsidRPr="0027582B" w:rsidRDefault="00CC73A7" w:rsidP="002C3711">
      <w:pPr>
        <w:keepNext/>
        <w:jc w:val="left"/>
        <w:rPr>
          <w:lang w:val="fr-CH"/>
        </w:rPr>
      </w:pPr>
    </w:p>
    <w:p w:rsidR="00CC73A7" w:rsidRPr="0027582B" w:rsidRDefault="002C3711" w:rsidP="006279B2">
      <w:pPr>
        <w:rPr>
          <w:lang w:val="fr-CH" w:eastAsia="zh-CN"/>
        </w:rPr>
      </w:pPr>
      <w:r w:rsidRPr="0027582B">
        <w:rPr>
          <w:i/>
          <w:spacing w:val="-2"/>
          <w:lang w:eastAsia="zh-CN"/>
        </w:rPr>
        <w:fldChar w:fldCharType="begin"/>
      </w:r>
      <w:r w:rsidRPr="0027582B">
        <w:rPr>
          <w:spacing w:val="-2"/>
          <w:lang w:val="fr-CH" w:eastAsia="zh-CN"/>
        </w:rPr>
        <w:instrText xml:space="preserve"> AUTONUM  </w:instrText>
      </w:r>
      <w:r w:rsidRPr="0027582B">
        <w:rPr>
          <w:i/>
          <w:spacing w:val="-2"/>
          <w:lang w:eastAsia="zh-CN"/>
        </w:rPr>
        <w:fldChar w:fldCharType="end"/>
      </w:r>
      <w:r w:rsidRPr="0027582B">
        <w:rPr>
          <w:spacing w:val="-2"/>
          <w:lang w:val="fr-CH" w:eastAsia="zh-CN"/>
        </w:rPr>
        <w:tab/>
      </w:r>
      <w:r w:rsidR="006279B2" w:rsidRPr="0027582B">
        <w:rPr>
          <w:spacing w:val="-2"/>
          <w:lang w:val="fr-CH" w:eastAsia="zh-CN"/>
        </w:rPr>
        <w:t>Le Conseil a adopté la révision de l</w:t>
      </w:r>
      <w:r w:rsidR="0061079C">
        <w:rPr>
          <w:spacing w:val="-2"/>
          <w:lang w:val="fr-CH" w:eastAsia="zh-CN"/>
        </w:rPr>
        <w:t>’</w:t>
      </w:r>
      <w:r w:rsidR="00611648" w:rsidRPr="0027582B">
        <w:rPr>
          <w:spacing w:val="-2"/>
          <w:lang w:val="fr-CH" w:eastAsia="zh-CN"/>
        </w:rPr>
        <w:t>article 4</w:t>
      </w:r>
      <w:r w:rsidR="006279B2" w:rsidRPr="0027582B">
        <w:rPr>
          <w:spacing w:val="-2"/>
          <w:lang w:val="fr-CH" w:eastAsia="zh-CN"/>
        </w:rPr>
        <w:t>.6 du document UPOV/INF/4/5 “Règlement financier et règlement d</w:t>
      </w:r>
      <w:r w:rsidR="0061079C">
        <w:rPr>
          <w:spacing w:val="-2"/>
          <w:lang w:val="fr-CH" w:eastAsia="zh-CN"/>
        </w:rPr>
        <w:t>’</w:t>
      </w:r>
      <w:r w:rsidR="006279B2" w:rsidRPr="0027582B">
        <w:rPr>
          <w:spacing w:val="-2"/>
          <w:lang w:val="fr-CH" w:eastAsia="zh-CN"/>
        </w:rPr>
        <w:t>exécution du Règlement financier de l</w:t>
      </w:r>
      <w:r w:rsidR="0061079C">
        <w:rPr>
          <w:spacing w:val="-2"/>
          <w:lang w:val="fr-CH" w:eastAsia="zh-CN"/>
        </w:rPr>
        <w:t>’</w:t>
      </w:r>
      <w:r w:rsidR="006279B2" w:rsidRPr="0027582B">
        <w:rPr>
          <w:spacing w:val="-2"/>
          <w:lang w:val="fr-CH" w:eastAsia="zh-CN"/>
        </w:rPr>
        <w:t>UPOV”, comme indiqué ci</w:t>
      </w:r>
      <w:r w:rsidR="0061079C">
        <w:rPr>
          <w:spacing w:val="-2"/>
          <w:lang w:val="fr-CH" w:eastAsia="zh-CN"/>
        </w:rPr>
        <w:t>-</w:t>
      </w:r>
      <w:r w:rsidR="006279B2" w:rsidRPr="0027582B">
        <w:rPr>
          <w:spacing w:val="-2"/>
          <w:lang w:val="fr-CH" w:eastAsia="zh-CN"/>
        </w:rPr>
        <w:t>dessous</w:t>
      </w:r>
      <w:r w:rsidR="0061079C">
        <w:rPr>
          <w:spacing w:val="-2"/>
          <w:lang w:val="fr-CH" w:eastAsia="zh-CN"/>
        </w:rPr>
        <w:t> :</w:t>
      </w:r>
    </w:p>
    <w:p w:rsidR="00CC73A7" w:rsidRPr="0027582B" w:rsidRDefault="00CC73A7" w:rsidP="002C3711">
      <w:pPr>
        <w:rPr>
          <w:rFonts w:cs="Arial"/>
          <w:lang w:val="fr-CH"/>
        </w:rPr>
      </w:pPr>
    </w:p>
    <w:p w:rsidR="00611648" w:rsidRPr="0027582B" w:rsidRDefault="0061079C" w:rsidP="00AF3D7C">
      <w:pPr>
        <w:autoSpaceDE w:val="0"/>
        <w:autoSpaceDN w:val="0"/>
        <w:ind w:left="567" w:right="567"/>
        <w:rPr>
          <w:rFonts w:eastAsiaTheme="minorHAnsi" w:cs="Arial"/>
          <w:b/>
          <w:bCs/>
          <w:lang w:val="fr-CH"/>
        </w:rPr>
      </w:pPr>
      <w:r>
        <w:rPr>
          <w:rFonts w:eastAsiaTheme="minorHAnsi" w:cs="Arial"/>
          <w:b/>
          <w:bCs/>
          <w:lang w:val="fr-CH"/>
        </w:rPr>
        <w:t>“</w:t>
      </w:r>
      <w:r w:rsidR="00611648" w:rsidRPr="0027582B">
        <w:rPr>
          <w:rFonts w:eastAsiaTheme="minorHAnsi" w:cs="Arial"/>
          <w:b/>
          <w:bCs/>
          <w:lang w:val="fr-CH"/>
        </w:rPr>
        <w:t>Article 4</w:t>
      </w:r>
      <w:r w:rsidR="00AF3D7C" w:rsidRPr="0027582B">
        <w:rPr>
          <w:rFonts w:eastAsiaTheme="minorHAnsi" w:cs="Arial"/>
          <w:b/>
          <w:bCs/>
          <w:lang w:val="fr-CH"/>
        </w:rPr>
        <w:t>.6</w:t>
      </w:r>
    </w:p>
    <w:p w:rsidR="00CC73A7" w:rsidRPr="0027582B" w:rsidRDefault="00CC73A7" w:rsidP="002C3711">
      <w:pPr>
        <w:ind w:left="567" w:right="567"/>
        <w:rPr>
          <w:lang w:val="fr-CH"/>
        </w:rPr>
      </w:pPr>
    </w:p>
    <w:p w:rsidR="00CC73A7" w:rsidRPr="0027582B" w:rsidRDefault="00AF3D7C" w:rsidP="00AF3D7C">
      <w:pPr>
        <w:ind w:left="567" w:right="567"/>
        <w:rPr>
          <w:lang w:val="fr-CH"/>
        </w:rPr>
      </w:pPr>
      <w:r w:rsidRPr="0027582B">
        <w:rPr>
          <w:lang w:val="fr-CH"/>
        </w:rPr>
        <w:t>“L</w:t>
      </w:r>
      <w:r w:rsidR="0061079C">
        <w:rPr>
          <w:lang w:val="fr-CH"/>
        </w:rPr>
        <w:t>’</w:t>
      </w:r>
      <w:r w:rsidRPr="0027582B">
        <w:rPr>
          <w:lang w:val="fr-CH"/>
        </w:rPr>
        <w:t>utilisation du fonds de réserve à des fins autres que pour couvrir un déficit relève de la décision du Conse</w:t>
      </w:r>
      <w:r w:rsidR="008D05FF" w:rsidRPr="0027582B">
        <w:rPr>
          <w:lang w:val="fr-CH"/>
        </w:rPr>
        <w:t>il</w:t>
      </w:r>
      <w:r w:rsidR="008D05FF">
        <w:rPr>
          <w:lang w:val="fr-CH"/>
        </w:rPr>
        <w:t xml:space="preserve">.  </w:t>
      </w:r>
      <w:r w:rsidR="008D05FF" w:rsidRPr="0027582B">
        <w:rPr>
          <w:lang w:val="fr-CH"/>
        </w:rPr>
        <w:t>Si</w:t>
      </w:r>
      <w:r w:rsidRPr="0027582B">
        <w:rPr>
          <w:lang w:val="fr-CH"/>
        </w:rPr>
        <w:t>, après la clôture de l</w:t>
      </w:r>
      <w:r w:rsidR="0061079C">
        <w:rPr>
          <w:lang w:val="fr-CH"/>
        </w:rPr>
        <w:t>’</w:t>
      </w:r>
      <w:r w:rsidRPr="0027582B">
        <w:rPr>
          <w:lang w:val="fr-CH"/>
        </w:rPr>
        <w:t>exercice financier, le montant du fonds de réserve dépasse 15% des recettes totales pour l</w:t>
      </w:r>
      <w:r w:rsidR="0061079C">
        <w:rPr>
          <w:lang w:val="fr-CH"/>
        </w:rPr>
        <w:t>’</w:t>
      </w:r>
      <w:r w:rsidRPr="0027582B">
        <w:rPr>
          <w:lang w:val="fr-CH"/>
        </w:rPr>
        <w:t xml:space="preserve">exercice financier, </w:t>
      </w:r>
      <w:r w:rsidRPr="0027582B">
        <w:rPr>
          <w:u w:val="single"/>
          <w:lang w:val="fr-CH"/>
        </w:rPr>
        <w:t>le Conseil décide de l</w:t>
      </w:r>
      <w:r w:rsidR="0061079C">
        <w:rPr>
          <w:u w:val="single"/>
          <w:lang w:val="fr-CH"/>
        </w:rPr>
        <w:t>’</w:t>
      </w:r>
      <w:r w:rsidRPr="0027582B">
        <w:rPr>
          <w:u w:val="single"/>
          <w:lang w:val="fr-CH"/>
        </w:rPr>
        <w:t>utilisation de l</w:t>
      </w:r>
      <w:r w:rsidR="0061079C">
        <w:rPr>
          <w:u w:val="single"/>
          <w:lang w:val="fr-CH"/>
        </w:rPr>
        <w:t>’</w:t>
      </w:r>
      <w:r w:rsidRPr="0027582B">
        <w:rPr>
          <w:u w:val="single"/>
          <w:lang w:val="fr-CH"/>
        </w:rPr>
        <w:t>excédent de recettes par rapport aux dépenses pour l</w:t>
      </w:r>
      <w:r w:rsidR="0061079C">
        <w:rPr>
          <w:u w:val="single"/>
          <w:lang w:val="fr-CH"/>
        </w:rPr>
        <w:t>’</w:t>
      </w:r>
      <w:r w:rsidRPr="0027582B">
        <w:rPr>
          <w:u w:val="single"/>
          <w:lang w:val="fr-CH"/>
        </w:rPr>
        <w:t>exercice financi</w:t>
      </w:r>
      <w:r w:rsidR="008D05FF" w:rsidRPr="0027582B">
        <w:rPr>
          <w:u w:val="single"/>
          <w:lang w:val="fr-CH"/>
        </w:rPr>
        <w:t>er</w:t>
      </w:r>
      <w:r w:rsidR="008D05FF">
        <w:rPr>
          <w:u w:val="single"/>
          <w:lang w:val="fr-CH"/>
        </w:rPr>
        <w:t xml:space="preserve">.  </w:t>
      </w:r>
      <w:r w:rsidR="008D05FF" w:rsidRPr="0027582B">
        <w:rPr>
          <w:strike/>
          <w:lang w:val="fr-CH"/>
        </w:rPr>
        <w:t>L</w:t>
      </w:r>
      <w:r w:rsidR="008D05FF">
        <w:rPr>
          <w:strike/>
          <w:lang w:val="fr-CH"/>
        </w:rPr>
        <w:t>’</w:t>
      </w:r>
      <w:r w:rsidR="008D05FF" w:rsidRPr="0027582B">
        <w:rPr>
          <w:strike/>
          <w:lang w:val="fr-CH"/>
        </w:rPr>
        <w:t>e</w:t>
      </w:r>
      <w:r w:rsidRPr="0027582B">
        <w:rPr>
          <w:strike/>
          <w:lang w:val="fr-CH"/>
        </w:rPr>
        <w:t>xcédent est remboursé aux membres de l</w:t>
      </w:r>
      <w:r w:rsidR="0061079C">
        <w:rPr>
          <w:strike/>
          <w:lang w:val="fr-CH"/>
        </w:rPr>
        <w:t>’</w:t>
      </w:r>
      <w:r w:rsidRPr="0027582B">
        <w:rPr>
          <w:strike/>
          <w:lang w:val="fr-CH"/>
        </w:rPr>
        <w:t>UPOV, sauf si le Conseil en décide autreme</w:t>
      </w:r>
      <w:r w:rsidR="008D05FF" w:rsidRPr="0027582B">
        <w:rPr>
          <w:strike/>
          <w:lang w:val="fr-CH"/>
        </w:rPr>
        <w:t>nt</w:t>
      </w:r>
      <w:r w:rsidR="008D05FF">
        <w:rPr>
          <w:strike/>
          <w:lang w:val="fr-CH"/>
        </w:rPr>
        <w:t xml:space="preserve">.  </w:t>
      </w:r>
      <w:r w:rsidR="008D05FF" w:rsidRPr="0027582B">
        <w:rPr>
          <w:strike/>
          <w:lang w:val="fr-CH"/>
        </w:rPr>
        <w:t>To</w:t>
      </w:r>
      <w:r w:rsidRPr="0027582B">
        <w:rPr>
          <w:strike/>
          <w:lang w:val="fr-CH"/>
        </w:rPr>
        <w:t>ut membre de l</w:t>
      </w:r>
      <w:r w:rsidR="0061079C">
        <w:rPr>
          <w:strike/>
          <w:lang w:val="fr-CH"/>
        </w:rPr>
        <w:t>’</w:t>
      </w:r>
      <w:r w:rsidRPr="0027582B">
        <w:rPr>
          <w:strike/>
          <w:lang w:val="fr-CH"/>
        </w:rPr>
        <w:t>UPOV peut demander que le montant qui lui est remboursé soit déposé sur un compte spécial ou dans un fonds fiduciaire qu</w:t>
      </w:r>
      <w:r w:rsidR="0061079C">
        <w:rPr>
          <w:strike/>
          <w:lang w:val="fr-CH"/>
        </w:rPr>
        <w:t>’</w:t>
      </w:r>
      <w:r w:rsidRPr="0027582B">
        <w:rPr>
          <w:strike/>
          <w:lang w:val="fr-CH"/>
        </w:rPr>
        <w:t>il aura désigné.</w:t>
      </w:r>
      <w:r w:rsidRPr="0027582B">
        <w:rPr>
          <w:lang w:val="fr-CH"/>
        </w:rPr>
        <w:t>”</w:t>
      </w:r>
    </w:p>
    <w:p w:rsidR="00CC73A7" w:rsidRPr="0027582B" w:rsidRDefault="00CC73A7" w:rsidP="002C3711">
      <w:pPr>
        <w:ind w:left="567" w:hanging="567"/>
        <w:rPr>
          <w:snapToGrid w:val="0"/>
          <w:lang w:val="fr-CH"/>
        </w:rPr>
      </w:pPr>
    </w:p>
    <w:p w:rsidR="00CC73A7" w:rsidRPr="0027582B" w:rsidRDefault="00CC73A7" w:rsidP="002C3711">
      <w:pPr>
        <w:jc w:val="left"/>
        <w:rPr>
          <w:lang w:val="fr-CH"/>
        </w:rPr>
      </w:pPr>
    </w:p>
    <w:p w:rsidR="00CC73A7" w:rsidRPr="0027582B" w:rsidRDefault="00CC73A7" w:rsidP="002C3711">
      <w:pPr>
        <w:jc w:val="left"/>
        <w:rPr>
          <w:lang w:val="fr-CH"/>
        </w:rPr>
      </w:pPr>
    </w:p>
    <w:p w:rsidR="00CC73A7" w:rsidRPr="00D53254" w:rsidRDefault="00611648" w:rsidP="00D53254">
      <w:pPr>
        <w:pStyle w:val="Heading1"/>
        <w:rPr>
          <w:snapToGrid w:val="0"/>
          <w:lang w:val="fr-CH"/>
        </w:rPr>
      </w:pPr>
      <w:bookmarkStart w:id="20" w:name="_Toc56188615"/>
      <w:r w:rsidRPr="00D53254">
        <w:rPr>
          <w:snapToGrid w:val="0"/>
          <w:lang w:val="fr-CH"/>
        </w:rPr>
        <w:t>Point 9</w:t>
      </w:r>
      <w:r w:rsidR="00107232" w:rsidRPr="00D53254">
        <w:rPr>
          <w:snapToGrid w:val="0"/>
          <w:lang w:val="fr-CH"/>
        </w:rPr>
        <w:t xml:space="preserve"> de l</w:t>
      </w:r>
      <w:r w:rsidR="0061079C" w:rsidRPr="00D53254">
        <w:rPr>
          <w:snapToGrid w:val="0"/>
          <w:lang w:val="fr-CH"/>
        </w:rPr>
        <w:t>’</w:t>
      </w:r>
      <w:r w:rsidR="00107232" w:rsidRPr="00D53254">
        <w:rPr>
          <w:snapToGrid w:val="0"/>
          <w:lang w:val="fr-CH"/>
        </w:rPr>
        <w:t>ordre du jour</w:t>
      </w:r>
      <w:r w:rsidR="0061079C" w:rsidRPr="00D53254">
        <w:rPr>
          <w:snapToGrid w:val="0"/>
          <w:lang w:val="fr-CH"/>
        </w:rPr>
        <w:t> :</w:t>
      </w:r>
      <w:r w:rsidR="00107232" w:rsidRPr="00D53254">
        <w:rPr>
          <w:snapToGrid w:val="0"/>
          <w:lang w:val="fr-CH"/>
        </w:rPr>
        <w:t xml:space="preserve"> États financiers </w:t>
      </w:r>
      <w:r w:rsidRPr="00D53254">
        <w:rPr>
          <w:snapToGrid w:val="0"/>
          <w:lang w:val="fr-CH"/>
        </w:rPr>
        <w:t>pour 2019</w:t>
      </w:r>
      <w:r w:rsidR="00107232" w:rsidRPr="00D53254">
        <w:rPr>
          <w:snapToGrid w:val="0"/>
          <w:lang w:val="fr-CH"/>
        </w:rPr>
        <w:t xml:space="preserve"> (document</w:t>
      </w:r>
      <w:r w:rsidR="00C93A51" w:rsidRPr="00D53254">
        <w:rPr>
          <w:snapToGrid w:val="0"/>
          <w:lang w:val="fr-CH"/>
        </w:rPr>
        <w:t> </w:t>
      </w:r>
      <w:r w:rsidR="00107232" w:rsidRPr="00D53254">
        <w:rPr>
          <w:snapToGrid w:val="0"/>
          <w:lang w:val="fr-CH"/>
        </w:rPr>
        <w:t>C/54/5)</w:t>
      </w:r>
      <w:bookmarkEnd w:id="20"/>
    </w:p>
    <w:p w:rsidR="00CC73A7" w:rsidRPr="0027582B" w:rsidRDefault="00CC73A7" w:rsidP="002C3711">
      <w:pPr>
        <w:keepNext/>
        <w:ind w:left="567" w:hanging="567"/>
        <w:jc w:val="left"/>
        <w:rPr>
          <w:lang w:val="fr-CH"/>
        </w:rPr>
      </w:pPr>
    </w:p>
    <w:p w:rsidR="00CC73A7" w:rsidRPr="0027582B" w:rsidRDefault="002C3711" w:rsidP="00107232">
      <w:pPr>
        <w:ind w:left="567" w:hanging="567"/>
        <w:jc w:val="left"/>
        <w:rPr>
          <w:rFonts w:cs="Arial"/>
          <w:snapToGrid w:val="0"/>
          <w:lang w:val="fr-CH"/>
        </w:rPr>
      </w:pPr>
      <w:r w:rsidRPr="0027582B">
        <w:rPr>
          <w:i/>
          <w:spacing w:val="-2"/>
          <w:lang w:eastAsia="zh-CN"/>
        </w:rPr>
        <w:fldChar w:fldCharType="begin"/>
      </w:r>
      <w:r w:rsidRPr="0027582B">
        <w:rPr>
          <w:spacing w:val="-2"/>
          <w:lang w:val="fr-CH" w:eastAsia="zh-CN"/>
        </w:rPr>
        <w:instrText xml:space="preserve"> AUTONUM  </w:instrText>
      </w:r>
      <w:r w:rsidRPr="0027582B">
        <w:rPr>
          <w:i/>
          <w:spacing w:val="-2"/>
          <w:lang w:eastAsia="zh-CN"/>
        </w:rPr>
        <w:fldChar w:fldCharType="end"/>
      </w:r>
      <w:r w:rsidRPr="0027582B">
        <w:rPr>
          <w:spacing w:val="-2"/>
          <w:lang w:val="fr-CH" w:eastAsia="zh-CN"/>
        </w:rPr>
        <w:tab/>
      </w:r>
      <w:r w:rsidR="00107232" w:rsidRPr="0027582B">
        <w:rPr>
          <w:spacing w:val="-2"/>
          <w:lang w:val="fr-CH" w:eastAsia="zh-CN"/>
        </w:rPr>
        <w:t xml:space="preserve">Le Conseil a approuvé les états financiers </w:t>
      </w:r>
      <w:r w:rsidR="00611648" w:rsidRPr="0027582B">
        <w:rPr>
          <w:spacing w:val="-2"/>
          <w:lang w:val="fr-CH" w:eastAsia="zh-CN"/>
        </w:rPr>
        <w:t>pour 2019</w:t>
      </w:r>
      <w:r w:rsidR="00107232" w:rsidRPr="0027582B">
        <w:rPr>
          <w:spacing w:val="-2"/>
          <w:lang w:val="fr-CH" w:eastAsia="zh-CN"/>
        </w:rPr>
        <w:t>, qui figurent dans le document</w:t>
      </w:r>
      <w:r w:rsidR="00C93A51" w:rsidRPr="0027582B">
        <w:rPr>
          <w:spacing w:val="-2"/>
          <w:lang w:val="fr-CH" w:eastAsia="zh-CN"/>
        </w:rPr>
        <w:t> </w:t>
      </w:r>
      <w:r w:rsidR="00107232" w:rsidRPr="0027582B">
        <w:rPr>
          <w:spacing w:val="-2"/>
          <w:lang w:val="fr-CH" w:eastAsia="zh-CN"/>
        </w:rPr>
        <w:t>C/54/5.</w:t>
      </w:r>
    </w:p>
    <w:p w:rsidR="00CC73A7" w:rsidRPr="0027582B" w:rsidRDefault="00CC73A7" w:rsidP="002C3711">
      <w:pPr>
        <w:ind w:left="567" w:hanging="567"/>
        <w:jc w:val="left"/>
        <w:rPr>
          <w:lang w:val="fr-CH"/>
        </w:rPr>
      </w:pPr>
    </w:p>
    <w:p w:rsidR="00CC73A7" w:rsidRPr="0027582B" w:rsidRDefault="00CC73A7" w:rsidP="002C3711">
      <w:pPr>
        <w:ind w:left="567" w:hanging="567"/>
        <w:jc w:val="left"/>
        <w:rPr>
          <w:lang w:val="fr-CH"/>
        </w:rPr>
      </w:pPr>
    </w:p>
    <w:p w:rsidR="00CC73A7" w:rsidRPr="0027582B" w:rsidRDefault="00CC73A7" w:rsidP="002C3711">
      <w:pPr>
        <w:ind w:left="567" w:hanging="567"/>
        <w:jc w:val="left"/>
        <w:rPr>
          <w:lang w:val="fr-CH"/>
        </w:rPr>
      </w:pPr>
    </w:p>
    <w:p w:rsidR="00611648" w:rsidRPr="0081780B" w:rsidRDefault="00611648" w:rsidP="00D53254">
      <w:pPr>
        <w:pStyle w:val="Heading1"/>
        <w:rPr>
          <w:snapToGrid w:val="0"/>
          <w:lang w:val="fr-CH"/>
        </w:rPr>
      </w:pPr>
      <w:bookmarkStart w:id="21" w:name="_Toc54004077"/>
      <w:bookmarkStart w:id="22" w:name="_Toc54277728"/>
      <w:bookmarkStart w:id="23" w:name="_Toc56188616"/>
      <w:r w:rsidRPr="0081780B">
        <w:rPr>
          <w:snapToGrid w:val="0"/>
          <w:lang w:val="fr-CH"/>
        </w:rPr>
        <w:t>Point 1</w:t>
      </w:r>
      <w:r w:rsidR="00107232" w:rsidRPr="0081780B">
        <w:rPr>
          <w:snapToGrid w:val="0"/>
          <w:lang w:val="fr-CH"/>
        </w:rPr>
        <w:t>2 de l</w:t>
      </w:r>
      <w:r w:rsidR="0061079C" w:rsidRPr="0081780B">
        <w:rPr>
          <w:snapToGrid w:val="0"/>
          <w:lang w:val="fr-CH"/>
        </w:rPr>
        <w:t>’</w:t>
      </w:r>
      <w:r w:rsidR="00107232" w:rsidRPr="0081780B">
        <w:rPr>
          <w:snapToGrid w:val="0"/>
          <w:lang w:val="fr-CH"/>
        </w:rPr>
        <w:t>ordre du jour</w:t>
      </w:r>
      <w:r w:rsidR="0061079C" w:rsidRPr="0081780B">
        <w:rPr>
          <w:snapToGrid w:val="0"/>
          <w:lang w:val="fr-CH"/>
        </w:rPr>
        <w:t> :</w:t>
      </w:r>
      <w:r w:rsidR="00107232" w:rsidRPr="0081780B">
        <w:rPr>
          <w:snapToGrid w:val="0"/>
          <w:lang w:val="fr-CH"/>
        </w:rPr>
        <w:t xml:space="preserve"> </w:t>
      </w:r>
      <w:r w:rsidR="00D04FD9">
        <w:rPr>
          <w:snapToGrid w:val="0"/>
          <w:lang w:val="fr-CH"/>
        </w:rPr>
        <w:t xml:space="preserve"> </w:t>
      </w:r>
      <w:r w:rsidR="00107232" w:rsidRPr="0081780B">
        <w:rPr>
          <w:snapToGrid w:val="0"/>
          <w:lang w:val="fr-CH"/>
        </w:rPr>
        <w:t>Rapport de gestion financière pour l</w:t>
      </w:r>
      <w:r w:rsidR="0061079C" w:rsidRPr="0081780B">
        <w:rPr>
          <w:snapToGrid w:val="0"/>
          <w:lang w:val="fr-CH"/>
        </w:rPr>
        <w:t>’</w:t>
      </w:r>
      <w:r w:rsidR="00107232" w:rsidRPr="0081780B">
        <w:rPr>
          <w:snapToGrid w:val="0"/>
          <w:lang w:val="fr-CH"/>
        </w:rPr>
        <w:t xml:space="preserve">exercice </w:t>
      </w:r>
      <w:r w:rsidRPr="0081780B">
        <w:rPr>
          <w:snapToGrid w:val="0"/>
          <w:lang w:val="fr-CH"/>
        </w:rPr>
        <w:t>biennal 2018</w:t>
      </w:r>
      <w:r w:rsidR="0061079C" w:rsidRPr="0081780B">
        <w:rPr>
          <w:snapToGrid w:val="0"/>
          <w:lang w:val="fr-CH"/>
        </w:rPr>
        <w:t>-</w:t>
      </w:r>
      <w:r w:rsidR="00107232" w:rsidRPr="0081780B">
        <w:rPr>
          <w:snapToGrid w:val="0"/>
          <w:lang w:val="fr-CH"/>
        </w:rPr>
        <w:t>2019 (document C/54/4)</w:t>
      </w:r>
      <w:bookmarkEnd w:id="21"/>
      <w:bookmarkEnd w:id="22"/>
      <w:bookmarkEnd w:id="23"/>
    </w:p>
    <w:p w:rsidR="00CC73A7" w:rsidRPr="0027582B" w:rsidRDefault="00CC73A7" w:rsidP="002C3711">
      <w:pPr>
        <w:keepNext/>
        <w:rPr>
          <w:lang w:val="fr-CH"/>
        </w:rPr>
      </w:pPr>
    </w:p>
    <w:p w:rsidR="00CC73A7" w:rsidRPr="0027582B" w:rsidRDefault="002C3711" w:rsidP="00CD005B">
      <w:pPr>
        <w:keepNext/>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approuvé le Rapport de gestion financière pour l</w:t>
      </w:r>
      <w:r w:rsidR="0061079C">
        <w:rPr>
          <w:lang w:val="fr-CH"/>
        </w:rPr>
        <w:t>’</w:t>
      </w:r>
      <w:r w:rsidR="00CD005B" w:rsidRPr="0027582B">
        <w:rPr>
          <w:lang w:val="fr-CH"/>
        </w:rPr>
        <w:t xml:space="preserve">exercice </w:t>
      </w:r>
      <w:r w:rsidR="00611648" w:rsidRPr="0027582B">
        <w:rPr>
          <w:lang w:val="fr-CH"/>
        </w:rPr>
        <w:t>biennal 2018</w:t>
      </w:r>
      <w:r w:rsidR="0061079C">
        <w:rPr>
          <w:lang w:val="fr-CH"/>
        </w:rPr>
        <w:t>-</w:t>
      </w:r>
      <w:r w:rsidR="00CD005B" w:rsidRPr="0027582B">
        <w:rPr>
          <w:lang w:val="fr-CH"/>
        </w:rPr>
        <w:t>2019 contenu dans le document</w:t>
      </w:r>
      <w:r w:rsidR="00C93A51" w:rsidRPr="0027582B">
        <w:rPr>
          <w:lang w:val="fr-CH"/>
        </w:rPr>
        <w:t> </w:t>
      </w:r>
      <w:r w:rsidR="00CD005B" w:rsidRPr="0027582B">
        <w:rPr>
          <w:lang w:val="fr-CH"/>
        </w:rPr>
        <w:t>C/54/4.</w:t>
      </w:r>
    </w:p>
    <w:p w:rsidR="00CC73A7" w:rsidRPr="0027582B" w:rsidRDefault="00CC73A7" w:rsidP="002C3711">
      <w:pPr>
        <w:ind w:left="567" w:hanging="567"/>
        <w:jc w:val="left"/>
        <w:rPr>
          <w:lang w:val="fr-CH"/>
        </w:rPr>
      </w:pPr>
    </w:p>
    <w:p w:rsidR="00CC73A7" w:rsidRPr="0027582B" w:rsidRDefault="00CC73A7" w:rsidP="002C3711">
      <w:pPr>
        <w:ind w:left="567" w:hanging="567"/>
        <w:jc w:val="left"/>
        <w:rPr>
          <w:lang w:val="fr-CH"/>
        </w:rPr>
      </w:pPr>
    </w:p>
    <w:p w:rsidR="00CC73A7" w:rsidRPr="0027582B" w:rsidRDefault="00CC73A7" w:rsidP="002C3711">
      <w:pPr>
        <w:ind w:left="567" w:hanging="567"/>
        <w:jc w:val="left"/>
        <w:rPr>
          <w:lang w:val="fr-CH"/>
        </w:rPr>
      </w:pPr>
    </w:p>
    <w:p w:rsidR="00CC73A7" w:rsidRPr="0027582B" w:rsidRDefault="00611648" w:rsidP="00CD005B">
      <w:pPr>
        <w:pStyle w:val="Heading1"/>
        <w:rPr>
          <w:lang w:val="fr-CH"/>
        </w:rPr>
      </w:pPr>
      <w:bookmarkStart w:id="24" w:name="_Toc56188617"/>
      <w:r w:rsidRPr="0027582B">
        <w:rPr>
          <w:lang w:val="fr-CH"/>
        </w:rPr>
        <w:t>Point 1</w:t>
      </w:r>
      <w:r w:rsidR="00CD005B" w:rsidRPr="0027582B">
        <w:rPr>
          <w:lang w:val="fr-CH"/>
        </w:rPr>
        <w:t>3 de l</w:t>
      </w:r>
      <w:r w:rsidR="0061079C">
        <w:rPr>
          <w:lang w:val="fr-CH"/>
        </w:rPr>
        <w:t>’</w:t>
      </w:r>
      <w:r w:rsidR="00CD005B" w:rsidRPr="0027582B">
        <w:rPr>
          <w:lang w:val="fr-CH"/>
        </w:rPr>
        <w:t>ordre du jour</w:t>
      </w:r>
      <w:r w:rsidR="0061079C">
        <w:rPr>
          <w:lang w:val="fr-CH"/>
        </w:rPr>
        <w:t> :</w:t>
      </w:r>
      <w:r w:rsidR="00CD005B" w:rsidRPr="0027582B">
        <w:rPr>
          <w:lang w:val="fr-CH"/>
        </w:rPr>
        <w:t xml:space="preserve"> </w:t>
      </w:r>
      <w:r w:rsidR="00D04FD9">
        <w:rPr>
          <w:lang w:val="fr-CH"/>
        </w:rPr>
        <w:t xml:space="preserve"> </w:t>
      </w:r>
      <w:r w:rsidR="00CD005B" w:rsidRPr="0027582B">
        <w:rPr>
          <w:lang w:val="fr-CH"/>
        </w:rPr>
        <w:t>Rapport sur la performance pour l</w:t>
      </w:r>
      <w:r w:rsidR="0061079C">
        <w:rPr>
          <w:lang w:val="fr-CH"/>
        </w:rPr>
        <w:t>’</w:t>
      </w:r>
      <w:r w:rsidR="00CD005B" w:rsidRPr="0027582B">
        <w:rPr>
          <w:lang w:val="fr-CH"/>
        </w:rPr>
        <w:t xml:space="preserve">exercice </w:t>
      </w:r>
      <w:r w:rsidRPr="0027582B">
        <w:rPr>
          <w:lang w:val="fr-CH"/>
        </w:rPr>
        <w:t>biennal 2018</w:t>
      </w:r>
      <w:r w:rsidR="0061079C">
        <w:rPr>
          <w:lang w:val="fr-CH"/>
        </w:rPr>
        <w:t>-</w:t>
      </w:r>
      <w:r w:rsidR="00CD005B" w:rsidRPr="0027582B">
        <w:rPr>
          <w:lang w:val="fr-CH"/>
        </w:rPr>
        <w:t>2019 (document C/54/9)</w:t>
      </w:r>
      <w:bookmarkEnd w:id="24"/>
    </w:p>
    <w:p w:rsidR="00CC73A7" w:rsidRPr="0027582B" w:rsidRDefault="00CC73A7" w:rsidP="002C3711">
      <w:pPr>
        <w:keepNext/>
        <w:rPr>
          <w:lang w:val="fr-CH"/>
        </w:rPr>
      </w:pPr>
    </w:p>
    <w:p w:rsidR="00CC73A7" w:rsidRPr="0027582B" w:rsidRDefault="002C3711" w:rsidP="00CD005B">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examiné le document</w:t>
      </w:r>
      <w:r w:rsidR="00C93A51" w:rsidRPr="0027582B">
        <w:rPr>
          <w:lang w:val="fr-CH"/>
        </w:rPr>
        <w:t> </w:t>
      </w:r>
      <w:r w:rsidR="00CD005B" w:rsidRPr="0027582B">
        <w:rPr>
          <w:lang w:val="fr-CH"/>
        </w:rPr>
        <w:t>C/54/9.</w:t>
      </w:r>
    </w:p>
    <w:p w:rsidR="00CC73A7" w:rsidRPr="0027582B" w:rsidRDefault="00CC73A7" w:rsidP="002C3711">
      <w:pPr>
        <w:rPr>
          <w:lang w:val="fr-CH"/>
        </w:rPr>
      </w:pPr>
    </w:p>
    <w:p w:rsidR="00CC73A7" w:rsidRPr="0027582B" w:rsidRDefault="002C3711" w:rsidP="00CD005B">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pris note des résultats et des indicateurs d</w:t>
      </w:r>
      <w:r w:rsidR="0061079C">
        <w:rPr>
          <w:lang w:val="fr-CH"/>
        </w:rPr>
        <w:t>’</w:t>
      </w:r>
      <w:r w:rsidR="00CD005B" w:rsidRPr="0027582B">
        <w:rPr>
          <w:lang w:val="fr-CH"/>
        </w:rPr>
        <w:t>exécution pour l</w:t>
      </w:r>
      <w:r w:rsidR="0061079C">
        <w:rPr>
          <w:lang w:val="fr-CH"/>
        </w:rPr>
        <w:t>’</w:t>
      </w:r>
      <w:r w:rsidR="00CD005B" w:rsidRPr="0027582B">
        <w:rPr>
          <w:lang w:val="fr-CH"/>
        </w:rPr>
        <w:t xml:space="preserve">exercice </w:t>
      </w:r>
      <w:r w:rsidR="00611648" w:rsidRPr="0027582B">
        <w:rPr>
          <w:lang w:val="fr-CH"/>
        </w:rPr>
        <w:t>biennal 2018</w:t>
      </w:r>
      <w:r w:rsidR="0061079C">
        <w:rPr>
          <w:lang w:val="fr-CH"/>
        </w:rPr>
        <w:t>-</w:t>
      </w:r>
      <w:r w:rsidR="00CD005B" w:rsidRPr="0027582B">
        <w:rPr>
          <w:lang w:val="fr-CH"/>
        </w:rPr>
        <w:t>2019 figurant dans le document</w:t>
      </w:r>
      <w:r w:rsidR="00C93A51" w:rsidRPr="0027582B">
        <w:rPr>
          <w:lang w:val="fr-CH"/>
        </w:rPr>
        <w:t> </w:t>
      </w:r>
      <w:r w:rsidR="00CD005B" w:rsidRPr="0027582B">
        <w:rPr>
          <w:lang w:val="fr-CH"/>
        </w:rPr>
        <w:t>C/54/9.</w:t>
      </w:r>
    </w:p>
    <w:p w:rsidR="00CC73A7" w:rsidRPr="0027582B" w:rsidRDefault="00CC73A7" w:rsidP="002C3711">
      <w:pPr>
        <w:rPr>
          <w:lang w:val="fr-CH"/>
        </w:rPr>
      </w:pPr>
    </w:p>
    <w:p w:rsidR="00CC73A7" w:rsidRPr="0027582B" w:rsidRDefault="00CC73A7" w:rsidP="002C3711">
      <w:pPr>
        <w:rPr>
          <w:lang w:val="fr-CH"/>
        </w:rPr>
      </w:pPr>
    </w:p>
    <w:p w:rsidR="00CC73A7" w:rsidRPr="0027582B" w:rsidRDefault="00CC73A7" w:rsidP="002C3711">
      <w:pPr>
        <w:rPr>
          <w:lang w:val="fr-CH"/>
        </w:rPr>
      </w:pPr>
    </w:p>
    <w:p w:rsidR="00CC73A7" w:rsidRPr="0027582B" w:rsidRDefault="00611648" w:rsidP="00CD005B">
      <w:pPr>
        <w:pStyle w:val="Heading1"/>
        <w:rPr>
          <w:lang w:val="fr-CH"/>
        </w:rPr>
      </w:pPr>
      <w:bookmarkStart w:id="25" w:name="_Toc56188618"/>
      <w:r w:rsidRPr="0027582B">
        <w:rPr>
          <w:lang w:val="fr-CH"/>
        </w:rPr>
        <w:t>Point 1</w:t>
      </w:r>
      <w:r w:rsidR="00CD005B" w:rsidRPr="0027582B">
        <w:rPr>
          <w:lang w:val="fr-CH"/>
        </w:rPr>
        <w:t>4 de l</w:t>
      </w:r>
      <w:r w:rsidR="0061079C">
        <w:rPr>
          <w:lang w:val="fr-CH"/>
        </w:rPr>
        <w:t>’</w:t>
      </w:r>
      <w:r w:rsidR="00CD005B" w:rsidRPr="0027582B">
        <w:rPr>
          <w:lang w:val="fr-CH"/>
        </w:rPr>
        <w:t>ordre du jour</w:t>
      </w:r>
      <w:r w:rsidR="0061079C">
        <w:rPr>
          <w:lang w:val="fr-CH"/>
        </w:rPr>
        <w:t> :</w:t>
      </w:r>
      <w:r w:rsidR="00CD005B" w:rsidRPr="0027582B">
        <w:rPr>
          <w:lang w:val="fr-CH"/>
        </w:rPr>
        <w:t xml:space="preserve"> </w:t>
      </w:r>
      <w:r w:rsidR="00D04FD9">
        <w:rPr>
          <w:lang w:val="fr-CH"/>
        </w:rPr>
        <w:t xml:space="preserve"> </w:t>
      </w:r>
      <w:r w:rsidR="00CD005B" w:rsidRPr="0027582B">
        <w:rPr>
          <w:lang w:val="fr-CH"/>
        </w:rPr>
        <w:t xml:space="preserve">Rapport annuel du Secrétaire général </w:t>
      </w:r>
      <w:r w:rsidRPr="0027582B">
        <w:rPr>
          <w:lang w:val="fr-CH"/>
        </w:rPr>
        <w:t>pour 2019</w:t>
      </w:r>
      <w:r w:rsidR="00CD005B" w:rsidRPr="0027582B">
        <w:rPr>
          <w:lang w:val="fr-CH"/>
        </w:rPr>
        <w:t xml:space="preserve"> (document C/54/2)</w:t>
      </w:r>
      <w:bookmarkEnd w:id="25"/>
    </w:p>
    <w:p w:rsidR="00CC73A7" w:rsidRPr="0027582B" w:rsidRDefault="00CC73A7" w:rsidP="002C3711">
      <w:pPr>
        <w:keepNext/>
        <w:rPr>
          <w:lang w:val="fr-CH"/>
        </w:rPr>
      </w:pPr>
    </w:p>
    <w:p w:rsidR="00197AB1" w:rsidRPr="0027582B" w:rsidRDefault="002C3711" w:rsidP="00CD005B">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pris note du rapport du Secrétaire général sur les activités de l</w:t>
      </w:r>
      <w:r w:rsidR="0061079C">
        <w:rPr>
          <w:lang w:val="fr-CH"/>
        </w:rPr>
        <w:t>’</w:t>
      </w:r>
      <w:r w:rsidR="00CD005B" w:rsidRPr="0027582B">
        <w:rPr>
          <w:lang w:val="fr-CH"/>
        </w:rPr>
        <w:t xml:space="preserve">Union </w:t>
      </w:r>
      <w:r w:rsidR="00611648" w:rsidRPr="0027582B">
        <w:rPr>
          <w:lang w:val="fr-CH"/>
        </w:rPr>
        <w:t>en 2019</w:t>
      </w:r>
      <w:r w:rsidR="00CD005B" w:rsidRPr="0027582B">
        <w:rPr>
          <w:lang w:val="fr-CH"/>
        </w:rPr>
        <w:t xml:space="preserve"> figurant dans le document</w:t>
      </w:r>
      <w:r w:rsidR="00C93A51" w:rsidRPr="0027582B">
        <w:rPr>
          <w:lang w:val="fr-CH"/>
        </w:rPr>
        <w:t> </w:t>
      </w:r>
      <w:r w:rsidR="00CD005B" w:rsidRPr="0027582B">
        <w:rPr>
          <w:lang w:val="fr-CH"/>
        </w:rPr>
        <w:t>C/54/2.</w:t>
      </w:r>
    </w:p>
    <w:p w:rsidR="00197AB1" w:rsidRPr="0027582B" w:rsidRDefault="00197AB1">
      <w:pPr>
        <w:jc w:val="left"/>
        <w:rPr>
          <w:lang w:val="fr-CH"/>
        </w:rPr>
      </w:pPr>
      <w:r w:rsidRPr="0027582B">
        <w:rPr>
          <w:lang w:val="fr-CH"/>
        </w:rPr>
        <w:br w:type="page"/>
      </w:r>
    </w:p>
    <w:p w:rsidR="00CC73A7" w:rsidRPr="0027582B" w:rsidRDefault="00611648" w:rsidP="00CD005B">
      <w:pPr>
        <w:pStyle w:val="Heading1"/>
        <w:rPr>
          <w:lang w:val="fr-CH"/>
        </w:rPr>
      </w:pPr>
      <w:bookmarkStart w:id="26" w:name="_Toc56188619"/>
      <w:r w:rsidRPr="0027582B">
        <w:rPr>
          <w:lang w:val="fr-CH"/>
        </w:rPr>
        <w:lastRenderedPageBreak/>
        <w:t>Point 1</w:t>
      </w:r>
      <w:r w:rsidR="00CD005B" w:rsidRPr="0027582B">
        <w:rPr>
          <w:lang w:val="fr-CH"/>
        </w:rPr>
        <w:t>5 de l</w:t>
      </w:r>
      <w:r w:rsidR="0061079C">
        <w:rPr>
          <w:lang w:val="fr-CH"/>
        </w:rPr>
        <w:t>’</w:t>
      </w:r>
      <w:r w:rsidR="00CD005B" w:rsidRPr="0027582B">
        <w:rPr>
          <w:lang w:val="fr-CH"/>
        </w:rPr>
        <w:t>ordre du jour</w:t>
      </w:r>
      <w:r w:rsidR="0061079C">
        <w:rPr>
          <w:lang w:val="fr-CH"/>
        </w:rPr>
        <w:t> :</w:t>
      </w:r>
      <w:r w:rsidR="00CD005B" w:rsidRPr="0027582B">
        <w:rPr>
          <w:lang w:val="fr-CH"/>
        </w:rPr>
        <w:t xml:space="preserve"> </w:t>
      </w:r>
      <w:r w:rsidR="00D04FD9">
        <w:rPr>
          <w:lang w:val="fr-CH"/>
        </w:rPr>
        <w:t xml:space="preserve"> </w:t>
      </w:r>
      <w:r w:rsidR="00D211B3" w:rsidRPr="0027582B">
        <w:rPr>
          <w:lang w:val="fr-CH"/>
        </w:rPr>
        <w:t xml:space="preserve">Regroupement des rapports de gestion financière et </w:t>
      </w:r>
      <w:r w:rsidR="00CD005B" w:rsidRPr="0027582B">
        <w:rPr>
          <w:lang w:val="fr-CH"/>
        </w:rPr>
        <w:t>sur la performance (document</w:t>
      </w:r>
      <w:r w:rsidR="00C93A51" w:rsidRPr="0027582B">
        <w:rPr>
          <w:lang w:val="fr-CH"/>
        </w:rPr>
        <w:t> </w:t>
      </w:r>
      <w:r w:rsidR="00CD005B" w:rsidRPr="0027582B">
        <w:rPr>
          <w:lang w:val="fr-CH"/>
        </w:rPr>
        <w:t>C/54/18)</w:t>
      </w:r>
      <w:bookmarkEnd w:id="26"/>
    </w:p>
    <w:p w:rsidR="00CC73A7" w:rsidRPr="0027582B" w:rsidRDefault="00CC73A7" w:rsidP="002C3711">
      <w:pPr>
        <w:keepNext/>
        <w:rPr>
          <w:lang w:val="fr-CH"/>
        </w:rPr>
      </w:pPr>
    </w:p>
    <w:p w:rsidR="00611648" w:rsidRPr="0027582B" w:rsidRDefault="002C3711" w:rsidP="00CD005B">
      <w:pPr>
        <w:keepNext/>
        <w:keepLines/>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 xml:space="preserve">Le Conseil a approuvé le regroupement des rapports </w:t>
      </w:r>
      <w:r w:rsidR="002130B7" w:rsidRPr="0027582B">
        <w:rPr>
          <w:lang w:val="fr-CH"/>
        </w:rPr>
        <w:t>financiers</w:t>
      </w:r>
      <w:r w:rsidR="00D211B3" w:rsidRPr="0027582B">
        <w:rPr>
          <w:lang w:val="fr-CH"/>
        </w:rPr>
        <w:t xml:space="preserve"> et </w:t>
      </w:r>
      <w:r w:rsidR="002130B7" w:rsidRPr="0027582B">
        <w:rPr>
          <w:lang w:val="fr-CH"/>
        </w:rPr>
        <w:t xml:space="preserve">des rapports </w:t>
      </w:r>
      <w:r w:rsidR="00CD005B" w:rsidRPr="0027582B">
        <w:rPr>
          <w:lang w:val="fr-CH"/>
        </w:rPr>
        <w:t xml:space="preserve">sur </w:t>
      </w:r>
      <w:r w:rsidR="00D211B3" w:rsidRPr="0027582B">
        <w:rPr>
          <w:lang w:val="fr-CH"/>
        </w:rPr>
        <w:t>l</w:t>
      </w:r>
      <w:r w:rsidR="0061079C">
        <w:rPr>
          <w:lang w:val="fr-CH"/>
        </w:rPr>
        <w:t>’</w:t>
      </w:r>
      <w:r w:rsidR="002130B7" w:rsidRPr="0027582B">
        <w:rPr>
          <w:lang w:val="fr-CH"/>
        </w:rPr>
        <w:t xml:space="preserve">exécution du programme existants </w:t>
      </w:r>
      <w:r w:rsidR="00CD005B" w:rsidRPr="0027582B">
        <w:rPr>
          <w:lang w:val="fr-CH"/>
        </w:rPr>
        <w:t>dans un “Rapport sur la performance de l</w:t>
      </w:r>
      <w:r w:rsidR="0061079C">
        <w:rPr>
          <w:lang w:val="fr-CH"/>
        </w:rPr>
        <w:t>’</w:t>
      </w:r>
      <w:r w:rsidR="00CD005B" w:rsidRPr="0027582B">
        <w:rPr>
          <w:lang w:val="fr-CH"/>
        </w:rPr>
        <w:t>UPOV”.</w:t>
      </w:r>
      <w:r w:rsidRPr="0027582B">
        <w:rPr>
          <w:lang w:val="fr-CH"/>
        </w:rPr>
        <w:t xml:space="preserve">  </w:t>
      </w:r>
      <w:r w:rsidR="00CD005B" w:rsidRPr="0027582B">
        <w:rPr>
          <w:lang w:val="fr-CH"/>
        </w:rPr>
        <w:t xml:space="preserve">Ce rapport serait présenté chaque année parallèlement aux états financiers, en commençant par les rapports </w:t>
      </w:r>
      <w:r w:rsidR="00611648" w:rsidRPr="0027582B">
        <w:rPr>
          <w:lang w:val="fr-CH"/>
        </w:rPr>
        <w:t>pour 2020</w:t>
      </w:r>
      <w:r w:rsidR="00CD005B" w:rsidRPr="0027582B">
        <w:rPr>
          <w:lang w:val="fr-CH"/>
        </w:rPr>
        <w:t xml:space="preserve">, comme indiqué aux </w:t>
      </w:r>
      <w:r w:rsidR="00611648" w:rsidRPr="0027582B">
        <w:rPr>
          <w:lang w:val="fr-CH"/>
        </w:rPr>
        <w:t>paragraphes 9</w:t>
      </w:r>
      <w:r w:rsidR="00CD005B" w:rsidRPr="0027582B">
        <w:rPr>
          <w:lang w:val="fr-CH"/>
        </w:rPr>
        <w:t xml:space="preserve"> à 11 et dans l</w:t>
      </w:r>
      <w:r w:rsidR="0061079C">
        <w:rPr>
          <w:lang w:val="fr-CH"/>
        </w:rPr>
        <w:t>’</w:t>
      </w:r>
      <w:r w:rsidR="00CD005B" w:rsidRPr="0027582B">
        <w:rPr>
          <w:lang w:val="fr-CH"/>
        </w:rPr>
        <w:t>annexe du document</w:t>
      </w:r>
      <w:r w:rsidR="00C93A51" w:rsidRPr="0027582B">
        <w:rPr>
          <w:lang w:val="fr-CH"/>
        </w:rPr>
        <w:t> </w:t>
      </w:r>
      <w:r w:rsidR="00CD005B" w:rsidRPr="0027582B">
        <w:rPr>
          <w:lang w:val="fr-CH"/>
        </w:rPr>
        <w:t>C/54/18.</w:t>
      </w:r>
    </w:p>
    <w:p w:rsidR="00CC73A7" w:rsidRPr="0027582B" w:rsidRDefault="00CC73A7" w:rsidP="002C3711">
      <w:pPr>
        <w:rPr>
          <w:lang w:val="fr-CH"/>
        </w:rPr>
      </w:pPr>
    </w:p>
    <w:p w:rsidR="00CC73A7" w:rsidRPr="0027582B" w:rsidRDefault="00CC73A7" w:rsidP="002C3711">
      <w:pPr>
        <w:rPr>
          <w:lang w:val="fr-CH"/>
        </w:rPr>
      </w:pPr>
    </w:p>
    <w:p w:rsidR="00CC73A7" w:rsidRPr="0027582B" w:rsidRDefault="00CC73A7" w:rsidP="002C3711">
      <w:pPr>
        <w:rPr>
          <w:lang w:val="fr-CH"/>
        </w:rPr>
      </w:pPr>
    </w:p>
    <w:p w:rsidR="00611648" w:rsidRPr="0027582B" w:rsidRDefault="00611648" w:rsidP="00CD005B">
      <w:pPr>
        <w:pStyle w:val="Heading1"/>
        <w:rPr>
          <w:lang w:val="fr-CH"/>
        </w:rPr>
      </w:pPr>
      <w:bookmarkStart w:id="27" w:name="_Toc56188620"/>
      <w:r w:rsidRPr="0027582B">
        <w:rPr>
          <w:lang w:val="fr-CH"/>
        </w:rPr>
        <w:t>Point 1</w:t>
      </w:r>
      <w:r w:rsidR="00CD005B" w:rsidRPr="0027582B">
        <w:rPr>
          <w:lang w:val="fr-CH"/>
        </w:rPr>
        <w:t>6 de l</w:t>
      </w:r>
      <w:r w:rsidR="0061079C">
        <w:rPr>
          <w:lang w:val="fr-CH"/>
        </w:rPr>
        <w:t>’</w:t>
      </w:r>
      <w:r w:rsidR="00CD005B" w:rsidRPr="0027582B">
        <w:rPr>
          <w:lang w:val="fr-CH"/>
        </w:rPr>
        <w:t>ordre du jour</w:t>
      </w:r>
      <w:r w:rsidR="0061079C">
        <w:rPr>
          <w:lang w:val="fr-CH"/>
        </w:rPr>
        <w:t> :</w:t>
      </w:r>
      <w:r w:rsidR="00D04FD9">
        <w:rPr>
          <w:lang w:val="fr-CH"/>
        </w:rPr>
        <w:t xml:space="preserve"> </w:t>
      </w:r>
      <w:r w:rsidR="00CD005B" w:rsidRPr="0027582B">
        <w:rPr>
          <w:lang w:val="fr-CH"/>
        </w:rPr>
        <w:t xml:space="preserve"> Fusion du Groupe de travail sur les techniques biochimiques et moléculaires, notamment les profils d</w:t>
      </w:r>
      <w:r w:rsidR="0061079C">
        <w:rPr>
          <w:lang w:val="fr-CH"/>
        </w:rPr>
        <w:t>’</w:t>
      </w:r>
      <w:r w:rsidR="00CD005B" w:rsidRPr="0027582B">
        <w:rPr>
          <w:lang w:val="fr-CH"/>
        </w:rPr>
        <w:t>ADN (BMT) et du Groupe de travail technique sur les systèmes d</w:t>
      </w:r>
      <w:r w:rsidR="0061079C">
        <w:rPr>
          <w:lang w:val="fr-CH"/>
        </w:rPr>
        <w:t>’</w:t>
      </w:r>
      <w:r w:rsidR="00CD005B" w:rsidRPr="0027582B">
        <w:rPr>
          <w:lang w:val="fr-CH"/>
        </w:rPr>
        <w:t>automatisation et les programmes d</w:t>
      </w:r>
      <w:r w:rsidR="0061079C">
        <w:rPr>
          <w:lang w:val="fr-CH"/>
        </w:rPr>
        <w:t>’</w:t>
      </w:r>
      <w:r w:rsidR="00CD005B" w:rsidRPr="0027582B">
        <w:rPr>
          <w:lang w:val="fr-CH"/>
        </w:rPr>
        <w:t>ordinateur (TWC) (document C/54/14)</w:t>
      </w:r>
      <w:bookmarkEnd w:id="27"/>
    </w:p>
    <w:p w:rsidR="00CC73A7" w:rsidRPr="0027582B" w:rsidRDefault="00CC73A7" w:rsidP="002C3711">
      <w:pPr>
        <w:keepNext/>
        <w:rPr>
          <w:lang w:val="fr-CH"/>
        </w:rPr>
      </w:pPr>
    </w:p>
    <w:p w:rsidR="00CC73A7" w:rsidRPr="0027582B" w:rsidRDefault="002C3711" w:rsidP="00CD005B">
      <w:pPr>
        <w:keepNext/>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examiné le document</w:t>
      </w:r>
      <w:r w:rsidR="00C93A51" w:rsidRPr="0027582B">
        <w:rPr>
          <w:lang w:val="fr-CH"/>
        </w:rPr>
        <w:t> </w:t>
      </w:r>
      <w:r w:rsidR="00CD005B" w:rsidRPr="0027582B">
        <w:rPr>
          <w:lang w:val="fr-CH"/>
        </w:rPr>
        <w:t>C/54/14.</w:t>
      </w:r>
    </w:p>
    <w:p w:rsidR="00CC73A7" w:rsidRPr="0027582B" w:rsidRDefault="00CC73A7" w:rsidP="002C3711">
      <w:pPr>
        <w:keepNext/>
        <w:rPr>
          <w:sz w:val="18"/>
          <w:lang w:val="fr-CH"/>
        </w:rPr>
      </w:pPr>
    </w:p>
    <w:p w:rsidR="00611648" w:rsidRPr="0027582B" w:rsidRDefault="002C3711" w:rsidP="00CD005B">
      <w:pPr>
        <w:keepNext/>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CD005B" w:rsidRPr="0027582B">
        <w:rPr>
          <w:lang w:val="fr-CH"/>
        </w:rPr>
        <w:t>Le Conseil a approuvé la création et le mandat ci</w:t>
      </w:r>
      <w:r w:rsidR="0061079C">
        <w:rPr>
          <w:lang w:val="fr-CH"/>
        </w:rPr>
        <w:t>-</w:t>
      </w:r>
      <w:r w:rsidR="00CD005B" w:rsidRPr="0027582B">
        <w:rPr>
          <w:lang w:val="fr-CH"/>
        </w:rPr>
        <w:t>après</w:t>
      </w:r>
      <w:r w:rsidR="00611648" w:rsidRPr="0027582B">
        <w:rPr>
          <w:lang w:val="fr-CH"/>
        </w:rPr>
        <w:t xml:space="preserve"> du TWM</w:t>
      </w:r>
      <w:r w:rsidR="00CD005B" w:rsidRPr="0027582B">
        <w:rPr>
          <w:lang w:val="fr-CH"/>
        </w:rPr>
        <w:t>, couvrant les activités</w:t>
      </w:r>
      <w:r w:rsidR="00611648" w:rsidRPr="0027582B">
        <w:rPr>
          <w:lang w:val="fr-CH"/>
        </w:rPr>
        <w:t xml:space="preserve"> du TWC</w:t>
      </w:r>
      <w:r w:rsidR="00CD005B" w:rsidRPr="0027582B">
        <w:rPr>
          <w:lang w:val="fr-CH"/>
        </w:rPr>
        <w:t xml:space="preserve"> et</w:t>
      </w:r>
      <w:r w:rsidR="00611648" w:rsidRPr="0027582B">
        <w:rPr>
          <w:lang w:val="fr-CH"/>
        </w:rPr>
        <w:t xml:space="preserve"> du BMT</w:t>
      </w:r>
      <w:r w:rsidR="0061079C">
        <w:rPr>
          <w:lang w:val="fr-CH"/>
        </w:rPr>
        <w:t> :</w:t>
      </w:r>
    </w:p>
    <w:p w:rsidR="00CC73A7" w:rsidRPr="0027582B" w:rsidRDefault="00CC73A7" w:rsidP="002C3711">
      <w:pPr>
        <w:keepNext/>
        <w:rPr>
          <w:lang w:val="fr-CH"/>
        </w:rPr>
      </w:pPr>
    </w:p>
    <w:p w:rsidR="00611648" w:rsidRPr="0027582B" w:rsidRDefault="00CD005B" w:rsidP="00CD005B">
      <w:pPr>
        <w:keepNext/>
        <w:ind w:left="567"/>
        <w:rPr>
          <w:u w:val="single"/>
          <w:lang w:val="fr-CH"/>
        </w:rPr>
      </w:pPr>
      <w:r w:rsidRPr="0027582B">
        <w:rPr>
          <w:u w:val="single"/>
          <w:lang w:val="fr-CH"/>
        </w:rPr>
        <w:t>Titre</w:t>
      </w:r>
      <w:r w:rsidR="0061079C">
        <w:rPr>
          <w:lang w:val="fr-CH"/>
        </w:rPr>
        <w:t> :</w:t>
      </w:r>
    </w:p>
    <w:p w:rsidR="00CC73A7" w:rsidRPr="0027582B" w:rsidRDefault="00CC73A7" w:rsidP="002C3711">
      <w:pPr>
        <w:keepNext/>
        <w:ind w:left="567"/>
        <w:rPr>
          <w:u w:val="single"/>
          <w:lang w:val="fr-CH"/>
        </w:rPr>
      </w:pPr>
    </w:p>
    <w:p w:rsidR="00CC73A7" w:rsidRPr="0027582B" w:rsidRDefault="00CD005B" w:rsidP="00CD005B">
      <w:pPr>
        <w:keepNext/>
        <w:ind w:left="567"/>
        <w:rPr>
          <w:lang w:val="fr-CH"/>
        </w:rPr>
      </w:pPr>
      <w:r w:rsidRPr="0027582B">
        <w:rPr>
          <w:lang w:val="fr-CH"/>
        </w:rPr>
        <w:t>Groupe de travail technique sur les méthodes et techniques d</w:t>
      </w:r>
      <w:r w:rsidR="0061079C">
        <w:rPr>
          <w:lang w:val="fr-CH"/>
        </w:rPr>
        <w:t>’</w:t>
      </w:r>
      <w:r w:rsidRPr="0027582B">
        <w:rPr>
          <w:lang w:val="fr-CH"/>
        </w:rPr>
        <w:t>essai (TWM)</w:t>
      </w:r>
    </w:p>
    <w:p w:rsidR="00CC73A7" w:rsidRPr="0027582B" w:rsidRDefault="00CC73A7" w:rsidP="002C3711">
      <w:pPr>
        <w:keepNext/>
        <w:ind w:left="567"/>
        <w:rPr>
          <w:lang w:val="fr-CH"/>
        </w:rPr>
      </w:pPr>
    </w:p>
    <w:p w:rsidR="00CC73A7" w:rsidRPr="0027582B" w:rsidRDefault="00CC73A7" w:rsidP="00CC73A7">
      <w:pPr>
        <w:keepNext/>
        <w:shd w:val="clear" w:color="auto" w:fill="FFFFFF"/>
        <w:spacing w:after="225"/>
        <w:ind w:left="567"/>
        <w:rPr>
          <w:rFonts w:cs="Arial"/>
          <w:u w:val="single"/>
          <w:lang w:val="fr-CH"/>
        </w:rPr>
      </w:pPr>
      <w:r w:rsidRPr="0027582B">
        <w:rPr>
          <w:rFonts w:cs="Arial"/>
          <w:u w:val="single"/>
          <w:lang w:val="fr-CH"/>
        </w:rPr>
        <w:t>Tâches</w:t>
      </w:r>
    </w:p>
    <w:p w:rsidR="00CC73A7" w:rsidRPr="0027582B" w:rsidRDefault="00CC73A7" w:rsidP="00CC73A7">
      <w:pPr>
        <w:keepNext/>
        <w:shd w:val="clear" w:color="auto" w:fill="FFFFFF"/>
        <w:spacing w:after="120"/>
        <w:ind w:left="567"/>
        <w:rPr>
          <w:rFonts w:cs="Arial"/>
          <w:lang w:val="fr-CH"/>
        </w:rPr>
      </w:pPr>
      <w:r w:rsidRPr="0027582B">
        <w:rPr>
          <w:rFonts w:cs="Arial"/>
          <w:lang w:val="fr-CH"/>
        </w:rPr>
        <w:t>Conformément aux instructions du Comité technique</w:t>
      </w:r>
      <w:r w:rsidR="0061079C">
        <w:rPr>
          <w:rFonts w:cs="Arial"/>
          <w:lang w:val="fr-CH"/>
        </w:rPr>
        <w:t> :</w:t>
      </w:r>
    </w:p>
    <w:p w:rsidR="00CC73A7" w:rsidRPr="0027582B" w:rsidRDefault="00CC73A7" w:rsidP="00CC73A7">
      <w:pPr>
        <w:numPr>
          <w:ilvl w:val="0"/>
          <w:numId w:val="1"/>
        </w:numPr>
        <w:shd w:val="clear" w:color="auto" w:fill="FFFFFF"/>
        <w:spacing w:after="120"/>
        <w:ind w:left="1701" w:hanging="567"/>
        <w:rPr>
          <w:rFonts w:cs="Arial"/>
          <w:lang w:val="fr-CH"/>
        </w:rPr>
      </w:pPr>
      <w:proofErr w:type="gramStart"/>
      <w:r w:rsidRPr="0027582B">
        <w:rPr>
          <w:rFonts w:cs="Arial"/>
          <w:lang w:val="fr-CH"/>
        </w:rPr>
        <w:t>examiner</w:t>
      </w:r>
      <w:proofErr w:type="gramEnd"/>
      <w:r w:rsidRPr="0027582B">
        <w:rPr>
          <w:rFonts w:cs="Arial"/>
          <w:lang w:val="fr-CH"/>
        </w:rPr>
        <w:t xml:space="preserve"> des méthodes pertinentes pour l</w:t>
      </w:r>
      <w:r w:rsidR="0061079C">
        <w:rPr>
          <w:rFonts w:cs="Arial"/>
          <w:lang w:val="fr-CH"/>
        </w:rPr>
        <w:t>’</w:t>
      </w:r>
      <w:r w:rsidRPr="0027582B">
        <w:rPr>
          <w:rFonts w:cs="Arial"/>
          <w:lang w:val="fr-CH"/>
        </w:rPr>
        <w:t>examen</w:t>
      </w:r>
      <w:r w:rsidR="00F02AF7" w:rsidRPr="0027582B">
        <w:rPr>
          <w:rFonts w:cs="Arial"/>
          <w:lang w:val="fr-CH"/>
        </w:rPr>
        <w:t> </w:t>
      </w:r>
      <w:r w:rsidRPr="0027582B">
        <w:rPr>
          <w:rFonts w:cs="Arial"/>
          <w:lang w:val="fr-CH"/>
        </w:rPr>
        <w:t>DHS;</w:t>
      </w:r>
    </w:p>
    <w:p w:rsidR="00CC73A7" w:rsidRPr="0027582B" w:rsidRDefault="00CC73A7" w:rsidP="00CC73A7">
      <w:pPr>
        <w:numPr>
          <w:ilvl w:val="0"/>
          <w:numId w:val="1"/>
        </w:numPr>
        <w:shd w:val="clear" w:color="auto" w:fill="FFFFFF"/>
        <w:spacing w:after="120"/>
        <w:ind w:left="1701" w:hanging="567"/>
        <w:jc w:val="left"/>
        <w:rPr>
          <w:rFonts w:cs="Arial"/>
          <w:lang w:val="fr-CH"/>
        </w:rPr>
      </w:pPr>
      <w:proofErr w:type="gramStart"/>
      <w:r w:rsidRPr="0027582B">
        <w:rPr>
          <w:rFonts w:cs="Arial"/>
          <w:lang w:val="fr-CH"/>
        </w:rPr>
        <w:t>examiner</w:t>
      </w:r>
      <w:proofErr w:type="gramEnd"/>
      <w:r w:rsidRPr="0027582B">
        <w:rPr>
          <w:rFonts w:cs="Arial"/>
          <w:lang w:val="fr-CH"/>
        </w:rPr>
        <w:t xml:space="preserve"> et fournir des conseils en ce qui concerne les logiciels et le matériel utilisés pour</w:t>
      </w:r>
      <w:r w:rsidR="0061079C">
        <w:rPr>
          <w:rFonts w:cs="Arial"/>
          <w:lang w:val="fr-CH"/>
        </w:rPr>
        <w:t> :</w:t>
      </w:r>
    </w:p>
    <w:p w:rsidR="00CC73A7" w:rsidRPr="0027582B" w:rsidRDefault="00CC73A7" w:rsidP="00CC73A7">
      <w:pPr>
        <w:numPr>
          <w:ilvl w:val="1"/>
          <w:numId w:val="1"/>
        </w:numPr>
        <w:shd w:val="clear" w:color="auto" w:fill="FFFFFF"/>
        <w:spacing w:before="100" w:beforeAutospacing="1" w:after="120" w:afterAutospacing="1"/>
        <w:ind w:left="2268" w:hanging="567"/>
        <w:jc w:val="left"/>
        <w:rPr>
          <w:rFonts w:cs="Arial"/>
          <w:lang w:val="fr-CH"/>
        </w:rPr>
      </w:pPr>
      <w:proofErr w:type="gramStart"/>
      <w:r w:rsidRPr="0027582B">
        <w:rPr>
          <w:rFonts w:cs="Arial"/>
          <w:lang w:val="fr-CH"/>
        </w:rPr>
        <w:t>les</w:t>
      </w:r>
      <w:proofErr w:type="gramEnd"/>
      <w:r w:rsidRPr="0027582B">
        <w:rPr>
          <w:rFonts w:cs="Arial"/>
          <w:lang w:val="fr-CH"/>
        </w:rPr>
        <w:t xml:space="preserve"> protocoles d</w:t>
      </w:r>
      <w:r w:rsidR="0061079C">
        <w:rPr>
          <w:rFonts w:cs="Arial"/>
          <w:lang w:val="fr-CH"/>
        </w:rPr>
        <w:t>’</w:t>
      </w:r>
      <w:r w:rsidRPr="0027582B">
        <w:rPr>
          <w:rFonts w:cs="Arial"/>
          <w:lang w:val="fr-CH"/>
        </w:rPr>
        <w:t>essai et l</w:t>
      </w:r>
      <w:r w:rsidR="0061079C">
        <w:rPr>
          <w:rFonts w:cs="Arial"/>
          <w:lang w:val="fr-CH"/>
        </w:rPr>
        <w:t>’</w:t>
      </w:r>
      <w:r w:rsidRPr="0027582B">
        <w:rPr>
          <w:rFonts w:cs="Arial"/>
          <w:lang w:val="fr-CH"/>
        </w:rPr>
        <w:t>analyse de données DHS</w:t>
      </w:r>
      <w:r w:rsidR="00BB412A" w:rsidRPr="0027582B">
        <w:rPr>
          <w:rFonts w:cs="Arial"/>
          <w:lang w:val="fr-CH"/>
        </w:rPr>
        <w:t>;</w:t>
      </w:r>
    </w:p>
    <w:p w:rsidR="00CC73A7" w:rsidRPr="0027582B" w:rsidRDefault="00CC73A7" w:rsidP="00CC73A7">
      <w:pPr>
        <w:numPr>
          <w:ilvl w:val="1"/>
          <w:numId w:val="1"/>
        </w:numPr>
        <w:shd w:val="clear" w:color="auto" w:fill="FFFFFF"/>
        <w:spacing w:before="100" w:beforeAutospacing="1" w:after="120" w:afterAutospacing="1"/>
        <w:ind w:left="2268" w:hanging="567"/>
        <w:jc w:val="left"/>
        <w:rPr>
          <w:rFonts w:cs="Arial"/>
        </w:rPr>
      </w:pPr>
      <w:proofErr w:type="gramStart"/>
      <w:r w:rsidRPr="0027582B">
        <w:rPr>
          <w:rFonts w:cs="Arial"/>
        </w:rPr>
        <w:t>l</w:t>
      </w:r>
      <w:r w:rsidR="0061079C">
        <w:rPr>
          <w:rFonts w:cs="Arial"/>
        </w:rPr>
        <w:t>’</w:t>
      </w:r>
      <w:r w:rsidRPr="0027582B">
        <w:rPr>
          <w:rFonts w:cs="Arial"/>
        </w:rPr>
        <w:t>enregistrement</w:t>
      </w:r>
      <w:proofErr w:type="gramEnd"/>
      <w:r w:rsidRPr="0027582B">
        <w:rPr>
          <w:rFonts w:cs="Arial"/>
        </w:rPr>
        <w:t xml:space="preserve"> et le transfert de données</w:t>
      </w:r>
      <w:r w:rsidR="00BB412A" w:rsidRPr="0027582B">
        <w:rPr>
          <w:rFonts w:cs="Arial"/>
        </w:rPr>
        <w:t>;</w:t>
      </w:r>
    </w:p>
    <w:p w:rsidR="00CC73A7" w:rsidRPr="0027582B" w:rsidRDefault="00CC73A7" w:rsidP="00CC73A7">
      <w:pPr>
        <w:numPr>
          <w:ilvl w:val="1"/>
          <w:numId w:val="1"/>
        </w:numPr>
        <w:shd w:val="clear" w:color="auto" w:fill="FFFFFF"/>
        <w:spacing w:before="100" w:beforeAutospacing="1" w:after="120" w:afterAutospacing="1"/>
        <w:ind w:left="2268" w:hanging="567"/>
        <w:jc w:val="left"/>
        <w:rPr>
          <w:rFonts w:cs="Arial"/>
        </w:rPr>
      </w:pPr>
      <w:proofErr w:type="gramStart"/>
      <w:r w:rsidRPr="0027582B">
        <w:rPr>
          <w:rFonts w:cs="Arial"/>
        </w:rPr>
        <w:t>l</w:t>
      </w:r>
      <w:r w:rsidR="0061079C">
        <w:rPr>
          <w:rFonts w:cs="Arial"/>
        </w:rPr>
        <w:t>’</w:t>
      </w:r>
      <w:r w:rsidRPr="0027582B">
        <w:rPr>
          <w:rFonts w:cs="Arial"/>
        </w:rPr>
        <w:t>analyse</w:t>
      </w:r>
      <w:proofErr w:type="gramEnd"/>
      <w:r w:rsidRPr="0027582B">
        <w:rPr>
          <w:rFonts w:cs="Arial"/>
        </w:rPr>
        <w:t xml:space="preserve"> d</w:t>
      </w:r>
      <w:r w:rsidR="0061079C">
        <w:rPr>
          <w:rFonts w:cs="Arial"/>
        </w:rPr>
        <w:t>’</w:t>
      </w:r>
      <w:r w:rsidRPr="0027582B">
        <w:rPr>
          <w:rFonts w:cs="Arial"/>
        </w:rPr>
        <w:t>images</w:t>
      </w:r>
      <w:r w:rsidR="00BB412A" w:rsidRPr="0027582B">
        <w:rPr>
          <w:rFonts w:cs="Arial"/>
        </w:rPr>
        <w:t>;</w:t>
      </w:r>
    </w:p>
    <w:p w:rsidR="00CC73A7" w:rsidRPr="0027582B" w:rsidRDefault="00BB412A" w:rsidP="00BB412A">
      <w:pPr>
        <w:numPr>
          <w:ilvl w:val="1"/>
          <w:numId w:val="1"/>
        </w:numPr>
        <w:shd w:val="clear" w:color="auto" w:fill="FFFFFF"/>
        <w:spacing w:after="120"/>
        <w:ind w:left="2268" w:hanging="567"/>
        <w:jc w:val="left"/>
        <w:rPr>
          <w:rFonts w:cs="Arial"/>
        </w:rPr>
      </w:pPr>
      <w:proofErr w:type="gramStart"/>
      <w:r w:rsidRPr="0027582B">
        <w:rPr>
          <w:rFonts w:cs="Arial"/>
        </w:rPr>
        <w:t>les</w:t>
      </w:r>
      <w:proofErr w:type="gramEnd"/>
      <w:r w:rsidRPr="0027582B">
        <w:rPr>
          <w:rFonts w:cs="Arial"/>
        </w:rPr>
        <w:t xml:space="preserve"> données biochimiques et moléculaires;</w:t>
      </w:r>
    </w:p>
    <w:p w:rsidR="00CC73A7" w:rsidRPr="0027582B" w:rsidRDefault="00BB412A" w:rsidP="00BB412A">
      <w:pPr>
        <w:numPr>
          <w:ilvl w:val="0"/>
          <w:numId w:val="1"/>
        </w:numPr>
        <w:shd w:val="clear" w:color="auto" w:fill="FFFFFF"/>
        <w:spacing w:after="120"/>
        <w:ind w:left="1701" w:hanging="567"/>
        <w:jc w:val="left"/>
        <w:rPr>
          <w:rFonts w:cs="Arial"/>
          <w:lang w:val="fr-CH"/>
        </w:rPr>
      </w:pPr>
      <w:proofErr w:type="gramStart"/>
      <w:r w:rsidRPr="0027582B">
        <w:rPr>
          <w:rFonts w:cs="Arial"/>
          <w:lang w:val="fr-CH"/>
        </w:rPr>
        <w:t>examiner</w:t>
      </w:r>
      <w:proofErr w:type="gramEnd"/>
      <w:r w:rsidRPr="0027582B">
        <w:rPr>
          <w:rFonts w:cs="Arial"/>
          <w:lang w:val="fr-CH"/>
        </w:rPr>
        <w:t xml:space="preserve"> les questions relatives aux protocoles d</w:t>
      </w:r>
      <w:r w:rsidR="0061079C">
        <w:rPr>
          <w:rFonts w:cs="Arial"/>
          <w:lang w:val="fr-CH"/>
        </w:rPr>
        <w:t>’</w:t>
      </w:r>
      <w:r w:rsidRPr="0027582B">
        <w:rPr>
          <w:rFonts w:cs="Arial"/>
          <w:lang w:val="fr-CH"/>
        </w:rPr>
        <w:t>essai et à l</w:t>
      </w:r>
      <w:r w:rsidR="0061079C">
        <w:rPr>
          <w:rFonts w:cs="Arial"/>
          <w:lang w:val="fr-CH"/>
        </w:rPr>
        <w:t>’</w:t>
      </w:r>
      <w:r w:rsidRPr="0027582B">
        <w:rPr>
          <w:rFonts w:cs="Arial"/>
          <w:lang w:val="fr-CH"/>
        </w:rPr>
        <w:t>analyse de données;</w:t>
      </w:r>
    </w:p>
    <w:p w:rsidR="00CC73A7" w:rsidRPr="0027582B" w:rsidRDefault="00BB412A" w:rsidP="00BB412A">
      <w:pPr>
        <w:numPr>
          <w:ilvl w:val="0"/>
          <w:numId w:val="1"/>
        </w:numPr>
        <w:shd w:val="clear" w:color="auto" w:fill="FFFFFF"/>
        <w:spacing w:after="120"/>
        <w:ind w:left="1701" w:hanging="567"/>
        <w:rPr>
          <w:rFonts w:cs="Arial"/>
          <w:lang w:val="fr-CH"/>
        </w:rPr>
      </w:pPr>
      <w:proofErr w:type="gramStart"/>
      <w:r w:rsidRPr="0027582B">
        <w:rPr>
          <w:rFonts w:cs="Arial"/>
          <w:lang w:val="fr-CH"/>
        </w:rPr>
        <w:t>examiner</w:t>
      </w:r>
      <w:proofErr w:type="gramEnd"/>
      <w:r w:rsidRPr="0027582B">
        <w:rPr>
          <w:rFonts w:cs="Arial"/>
          <w:lang w:val="fr-CH"/>
        </w:rPr>
        <w:t xml:space="preserve"> les possibilités d</w:t>
      </w:r>
      <w:r w:rsidR="0061079C">
        <w:rPr>
          <w:rFonts w:cs="Arial"/>
          <w:lang w:val="fr-CH"/>
        </w:rPr>
        <w:t>’</w:t>
      </w:r>
      <w:r w:rsidRPr="0027582B">
        <w:rPr>
          <w:rFonts w:cs="Arial"/>
          <w:lang w:val="fr-CH"/>
        </w:rPr>
        <w:t>application des techniques biochimiques et moléculaires à l</w:t>
      </w:r>
      <w:r w:rsidR="0061079C">
        <w:rPr>
          <w:rFonts w:cs="Arial"/>
          <w:lang w:val="fr-CH"/>
        </w:rPr>
        <w:t>’</w:t>
      </w:r>
      <w:r w:rsidRPr="0027582B">
        <w:rPr>
          <w:rFonts w:cs="Arial"/>
          <w:lang w:val="fr-CH"/>
        </w:rPr>
        <w:t>examen</w:t>
      </w:r>
      <w:r w:rsidR="00F02AF7" w:rsidRPr="0027582B">
        <w:rPr>
          <w:rFonts w:cs="Arial"/>
          <w:lang w:val="fr-CH"/>
        </w:rPr>
        <w:t> </w:t>
      </w:r>
      <w:r w:rsidRPr="0027582B">
        <w:rPr>
          <w:rFonts w:cs="Arial"/>
          <w:lang w:val="fr-CH"/>
        </w:rPr>
        <w:t>DHS;</w:t>
      </w:r>
    </w:p>
    <w:p w:rsidR="00CC73A7" w:rsidRPr="0027582B" w:rsidRDefault="00BB412A" w:rsidP="00BB412A">
      <w:pPr>
        <w:numPr>
          <w:ilvl w:val="0"/>
          <w:numId w:val="1"/>
        </w:numPr>
        <w:shd w:val="clear" w:color="auto" w:fill="FFFFFF"/>
        <w:spacing w:after="120"/>
        <w:ind w:left="1701" w:hanging="567"/>
        <w:rPr>
          <w:rFonts w:cs="Arial"/>
          <w:lang w:val="fr-CH"/>
        </w:rPr>
      </w:pPr>
      <w:proofErr w:type="gramStart"/>
      <w:r w:rsidRPr="0027582B">
        <w:rPr>
          <w:rFonts w:cs="Arial"/>
          <w:lang w:val="fr-CH"/>
        </w:rPr>
        <w:t>élaborer</w:t>
      </w:r>
      <w:proofErr w:type="gramEnd"/>
      <w:r w:rsidRPr="0027582B">
        <w:rPr>
          <w:rFonts w:cs="Arial"/>
          <w:lang w:val="fr-CH"/>
        </w:rPr>
        <w:t xml:space="preserve"> des directives relatives à la gestion et à l</w:t>
      </w:r>
      <w:r w:rsidR="0061079C">
        <w:rPr>
          <w:rFonts w:cs="Arial"/>
          <w:lang w:val="fr-CH"/>
        </w:rPr>
        <w:t>’</w:t>
      </w:r>
      <w:r w:rsidRPr="0027582B">
        <w:rPr>
          <w:rFonts w:cs="Arial"/>
          <w:lang w:val="fr-CH"/>
        </w:rPr>
        <w:t>harmonisation des bases de données;</w:t>
      </w:r>
    </w:p>
    <w:p w:rsidR="00CC73A7" w:rsidRPr="0027582B" w:rsidRDefault="00BB412A" w:rsidP="00BB412A">
      <w:pPr>
        <w:numPr>
          <w:ilvl w:val="0"/>
          <w:numId w:val="1"/>
        </w:numPr>
        <w:shd w:val="clear" w:color="auto" w:fill="FFFFFF"/>
        <w:spacing w:after="120"/>
        <w:ind w:left="1701" w:hanging="567"/>
        <w:rPr>
          <w:rFonts w:cs="Arial"/>
          <w:lang w:val="fr-CH"/>
        </w:rPr>
      </w:pPr>
      <w:proofErr w:type="gramStart"/>
      <w:r w:rsidRPr="0027582B">
        <w:rPr>
          <w:rFonts w:cs="Arial"/>
          <w:lang w:val="fr-CH"/>
        </w:rPr>
        <w:t>le</w:t>
      </w:r>
      <w:proofErr w:type="gramEnd"/>
      <w:r w:rsidRPr="0027582B">
        <w:rPr>
          <w:rFonts w:cs="Arial"/>
          <w:lang w:val="fr-CH"/>
        </w:rPr>
        <w:t xml:space="preserve"> cas échéant, élaborer des directives relatives aux méthodes biochimiques et moléculaires et à leur harmonisation;</w:t>
      </w:r>
    </w:p>
    <w:p w:rsidR="00CC73A7" w:rsidRPr="0027582B" w:rsidRDefault="00BB412A" w:rsidP="00BB412A">
      <w:pPr>
        <w:numPr>
          <w:ilvl w:val="0"/>
          <w:numId w:val="1"/>
        </w:numPr>
        <w:shd w:val="clear" w:color="auto" w:fill="FFFFFF"/>
        <w:spacing w:after="120"/>
        <w:ind w:left="1701" w:hanging="567"/>
        <w:rPr>
          <w:rFonts w:cs="Arial"/>
          <w:lang w:val="fr-CH"/>
        </w:rPr>
      </w:pPr>
      <w:proofErr w:type="gramStart"/>
      <w:r w:rsidRPr="0027582B">
        <w:rPr>
          <w:rFonts w:cs="Arial"/>
          <w:lang w:val="fr-CH"/>
        </w:rPr>
        <w:t>suivre</w:t>
      </w:r>
      <w:proofErr w:type="gramEnd"/>
      <w:r w:rsidRPr="0027582B">
        <w:rPr>
          <w:rFonts w:cs="Arial"/>
          <w:lang w:val="fr-CH"/>
        </w:rPr>
        <w:t xml:space="preserve"> l</w:t>
      </w:r>
      <w:r w:rsidR="0061079C">
        <w:rPr>
          <w:rFonts w:cs="Arial"/>
          <w:lang w:val="fr-CH"/>
        </w:rPr>
        <w:t>’</w:t>
      </w:r>
      <w:r w:rsidRPr="0027582B">
        <w:rPr>
          <w:rFonts w:cs="Arial"/>
          <w:lang w:val="fr-CH"/>
        </w:rPr>
        <w:t>évolution générale des techniques biochimiques et moléculaires;</w:t>
      </w:r>
    </w:p>
    <w:p w:rsidR="00CC73A7" w:rsidRPr="0027582B" w:rsidRDefault="00BB412A" w:rsidP="00BB412A">
      <w:pPr>
        <w:numPr>
          <w:ilvl w:val="0"/>
          <w:numId w:val="1"/>
        </w:numPr>
        <w:shd w:val="clear" w:color="auto" w:fill="FFFFFF"/>
        <w:spacing w:after="120"/>
        <w:ind w:left="1701" w:hanging="567"/>
        <w:rPr>
          <w:rFonts w:cs="Arial"/>
          <w:lang w:val="fr-CH"/>
        </w:rPr>
      </w:pPr>
      <w:proofErr w:type="gramStart"/>
      <w:r w:rsidRPr="0027582B">
        <w:rPr>
          <w:rFonts w:cs="Arial"/>
          <w:lang w:val="fr-CH"/>
        </w:rPr>
        <w:t>se</w:t>
      </w:r>
      <w:proofErr w:type="gramEnd"/>
      <w:r w:rsidRPr="0027582B">
        <w:rPr>
          <w:rFonts w:cs="Arial"/>
          <w:lang w:val="fr-CH"/>
        </w:rPr>
        <w:t xml:space="preserve"> tenir au courant des applications des techniques biochimiques et moléculaires à l</w:t>
      </w:r>
      <w:r w:rsidR="0061079C">
        <w:rPr>
          <w:rFonts w:cs="Arial"/>
          <w:lang w:val="fr-CH"/>
        </w:rPr>
        <w:t>’</w:t>
      </w:r>
      <w:r w:rsidRPr="0027582B">
        <w:rPr>
          <w:rFonts w:cs="Arial"/>
          <w:lang w:val="fr-CH"/>
        </w:rPr>
        <w:t>amélioration des plantes;</w:t>
      </w:r>
    </w:p>
    <w:p w:rsidR="00CC73A7" w:rsidRPr="0027582B" w:rsidRDefault="00BB412A" w:rsidP="00BB412A">
      <w:pPr>
        <w:numPr>
          <w:ilvl w:val="0"/>
          <w:numId w:val="1"/>
        </w:numPr>
        <w:shd w:val="clear" w:color="auto" w:fill="FFFFFF"/>
        <w:ind w:left="1701" w:hanging="567"/>
        <w:rPr>
          <w:rFonts w:cs="Arial"/>
          <w:lang w:val="fr-CH"/>
        </w:rPr>
      </w:pPr>
      <w:proofErr w:type="gramStart"/>
      <w:r w:rsidRPr="0027582B">
        <w:rPr>
          <w:rFonts w:cs="Arial"/>
          <w:lang w:val="fr-CH"/>
        </w:rPr>
        <w:t>servir</w:t>
      </w:r>
      <w:proofErr w:type="gramEnd"/>
      <w:r w:rsidRPr="0027582B">
        <w:rPr>
          <w:rFonts w:cs="Arial"/>
          <w:lang w:val="fr-CH"/>
        </w:rPr>
        <w:t xml:space="preserve"> de cadre à des discussions sur l</w:t>
      </w:r>
      <w:r w:rsidR="0061079C">
        <w:rPr>
          <w:rFonts w:cs="Arial"/>
          <w:lang w:val="fr-CH"/>
        </w:rPr>
        <w:t>’</w:t>
      </w:r>
      <w:r w:rsidRPr="0027582B">
        <w:rPr>
          <w:rFonts w:cs="Arial"/>
          <w:lang w:val="fr-CH"/>
        </w:rPr>
        <w:t>utilisation des techniques biochimiques et moléculaires en ce qui concerne l</w:t>
      </w:r>
      <w:r w:rsidR="002130B7" w:rsidRPr="0027582B">
        <w:rPr>
          <w:rFonts w:cs="Arial"/>
          <w:lang w:val="fr-CH"/>
        </w:rPr>
        <w:t>a notion</w:t>
      </w:r>
      <w:r w:rsidRPr="0027582B">
        <w:rPr>
          <w:rFonts w:cs="Arial"/>
          <w:lang w:val="fr-CH"/>
        </w:rPr>
        <w:t xml:space="preserve"> de variété essentiellement dérivée et </w:t>
      </w:r>
      <w:r w:rsidR="002130B7" w:rsidRPr="0027582B">
        <w:rPr>
          <w:rFonts w:cs="Arial"/>
          <w:lang w:val="fr-CH"/>
        </w:rPr>
        <w:t>l</w:t>
      </w:r>
      <w:r w:rsidR="0061079C">
        <w:rPr>
          <w:rFonts w:cs="Arial"/>
          <w:lang w:val="fr-CH"/>
        </w:rPr>
        <w:t>’</w:t>
      </w:r>
      <w:r w:rsidRPr="0027582B">
        <w:rPr>
          <w:rFonts w:cs="Arial"/>
          <w:lang w:val="fr-CH"/>
        </w:rPr>
        <w:t>identification des variétés.</w:t>
      </w:r>
    </w:p>
    <w:p w:rsidR="00CC73A7" w:rsidRPr="0027582B" w:rsidRDefault="00CC73A7" w:rsidP="002C3711">
      <w:pPr>
        <w:rPr>
          <w:lang w:val="fr-CH"/>
        </w:rPr>
      </w:pPr>
    </w:p>
    <w:p w:rsidR="00CC73A7"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créé</w:t>
      </w:r>
      <w:r w:rsidR="00611648" w:rsidRPr="0027582B">
        <w:rPr>
          <w:lang w:val="fr-CH"/>
        </w:rPr>
        <w:t xml:space="preserve"> le TWM</w:t>
      </w:r>
      <w:r w:rsidR="00BB412A" w:rsidRPr="0027582B">
        <w:rPr>
          <w:lang w:val="fr-CH"/>
        </w:rPr>
        <w:t xml:space="preserve"> avec le mandat susmentionné avec effet à compter </w:t>
      </w:r>
      <w:r w:rsidR="00611648" w:rsidRPr="0027582B">
        <w:rPr>
          <w:lang w:val="fr-CH"/>
        </w:rPr>
        <w:t>de 2022</w:t>
      </w:r>
      <w:r w:rsidR="00BB412A" w:rsidRPr="0027582B">
        <w:rPr>
          <w:lang w:val="fr-CH"/>
        </w:rPr>
        <w:t>.</w:t>
      </w:r>
    </w:p>
    <w:p w:rsidR="00CC73A7" w:rsidRPr="0027582B" w:rsidRDefault="00CC73A7" w:rsidP="002C3711">
      <w:pPr>
        <w:rPr>
          <w:lang w:val="fr-CH"/>
        </w:rPr>
      </w:pPr>
    </w:p>
    <w:p w:rsidR="00CC73A7"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est convenu d</w:t>
      </w:r>
      <w:r w:rsidR="0061079C">
        <w:rPr>
          <w:lang w:val="fr-CH"/>
        </w:rPr>
        <w:t>’</w:t>
      </w:r>
      <w:r w:rsidR="00BB412A" w:rsidRPr="0027582B">
        <w:rPr>
          <w:lang w:val="fr-CH"/>
        </w:rPr>
        <w:t>élire le président</w:t>
      </w:r>
      <w:r w:rsidR="00611648" w:rsidRPr="0027582B">
        <w:rPr>
          <w:lang w:val="fr-CH"/>
        </w:rPr>
        <w:t xml:space="preserve"> du BMT</w:t>
      </w:r>
      <w:r w:rsidR="00BB412A" w:rsidRPr="0027582B">
        <w:rPr>
          <w:lang w:val="fr-CH"/>
        </w:rPr>
        <w:t xml:space="preserve"> en qualité de président</w:t>
      </w:r>
      <w:r w:rsidR="00611648" w:rsidRPr="0027582B">
        <w:rPr>
          <w:lang w:val="fr-CH"/>
        </w:rPr>
        <w:t xml:space="preserve"> du TWM</w:t>
      </w:r>
      <w:r w:rsidR="00BB412A" w:rsidRPr="0027582B">
        <w:rPr>
          <w:lang w:val="fr-CH"/>
        </w:rPr>
        <w:t xml:space="preserve">, pour un mandat </w:t>
      </w:r>
      <w:r w:rsidR="002130B7" w:rsidRPr="0027582B">
        <w:rPr>
          <w:lang w:val="fr-CH"/>
        </w:rPr>
        <w:t>prenant fin</w:t>
      </w:r>
      <w:r w:rsidR="00BB412A" w:rsidRPr="0027582B">
        <w:rPr>
          <w:lang w:val="fr-CH"/>
        </w:rPr>
        <w:t xml:space="preserve"> en même temps que la cinquante</w:t>
      </w:r>
      <w:r w:rsidR="0061079C">
        <w:rPr>
          <w:lang w:val="fr-CH"/>
        </w:rPr>
        <w:t>-</w:t>
      </w:r>
      <w:r w:rsidR="00BB412A" w:rsidRPr="0027582B">
        <w:rPr>
          <w:lang w:val="fr-CH"/>
        </w:rPr>
        <w:t>sept</w:t>
      </w:r>
      <w:r w:rsidR="0061079C">
        <w:rPr>
          <w:lang w:val="fr-CH"/>
        </w:rPr>
        <w:t>ième session</w:t>
      </w:r>
      <w:r w:rsidR="00BB412A" w:rsidRPr="0027582B">
        <w:rPr>
          <w:lang w:val="fr-CH"/>
        </w:rPr>
        <w:t xml:space="preserve"> ordinaire du Conseil, </w:t>
      </w:r>
      <w:r w:rsidR="00611648" w:rsidRPr="0027582B">
        <w:rPr>
          <w:lang w:val="fr-CH"/>
        </w:rPr>
        <w:t>en 2023</w:t>
      </w:r>
      <w:r w:rsidR="00BB412A" w:rsidRPr="0027582B">
        <w:rPr>
          <w:lang w:val="fr-CH"/>
        </w:rPr>
        <w:t>.</w:t>
      </w:r>
    </w:p>
    <w:p w:rsidR="00CC73A7" w:rsidRPr="0027582B" w:rsidRDefault="00CC73A7" w:rsidP="002C3711">
      <w:pPr>
        <w:rPr>
          <w:sz w:val="18"/>
          <w:lang w:val="fr-CH"/>
        </w:rPr>
      </w:pPr>
    </w:p>
    <w:p w:rsidR="00CC73A7" w:rsidRPr="0027582B" w:rsidRDefault="00CC73A7" w:rsidP="002C3711">
      <w:pPr>
        <w:rPr>
          <w:sz w:val="18"/>
          <w:lang w:val="fr-CH"/>
        </w:rPr>
      </w:pPr>
    </w:p>
    <w:p w:rsidR="00CC73A7" w:rsidRPr="0027582B" w:rsidRDefault="00CC73A7" w:rsidP="002C3711">
      <w:pPr>
        <w:rPr>
          <w:sz w:val="18"/>
          <w:lang w:val="fr-CH"/>
        </w:rPr>
      </w:pPr>
    </w:p>
    <w:p w:rsidR="00CC73A7" w:rsidRPr="0027582B" w:rsidRDefault="00611648" w:rsidP="00197AB1">
      <w:pPr>
        <w:pStyle w:val="Heading1"/>
        <w:keepLines/>
        <w:rPr>
          <w:lang w:val="fr-CH"/>
        </w:rPr>
      </w:pPr>
      <w:bookmarkStart w:id="28" w:name="_Toc56188621"/>
      <w:r w:rsidRPr="0027582B">
        <w:rPr>
          <w:lang w:val="fr-CH"/>
        </w:rPr>
        <w:lastRenderedPageBreak/>
        <w:t>Point 1</w:t>
      </w:r>
      <w:r w:rsidR="00BB412A" w:rsidRPr="0027582B">
        <w:rPr>
          <w:lang w:val="fr-CH"/>
        </w:rPr>
        <w:t>7 de l</w:t>
      </w:r>
      <w:r w:rsidR="0061079C">
        <w:rPr>
          <w:lang w:val="fr-CH"/>
        </w:rPr>
        <w:t>’</w:t>
      </w:r>
      <w:r w:rsidR="00BB412A" w:rsidRPr="0027582B">
        <w:rPr>
          <w:lang w:val="fr-CH"/>
        </w:rPr>
        <w:t>ordre du jour</w:t>
      </w:r>
      <w:r w:rsidR="0061079C">
        <w:rPr>
          <w:lang w:val="fr-CH"/>
        </w:rPr>
        <w:t> :</w:t>
      </w:r>
      <w:r w:rsidR="00BB412A" w:rsidRPr="0027582B">
        <w:rPr>
          <w:lang w:val="fr-CH"/>
        </w:rPr>
        <w:t xml:space="preserve"> </w:t>
      </w:r>
      <w:r w:rsidR="00D04FD9">
        <w:rPr>
          <w:lang w:val="fr-CH"/>
        </w:rPr>
        <w:t xml:space="preserve"> </w:t>
      </w:r>
      <w:r w:rsidR="00BB412A" w:rsidRPr="0027582B">
        <w:rPr>
          <w:lang w:val="fr-CH"/>
        </w:rPr>
        <w:t>question</w:t>
      </w:r>
      <w:r w:rsidR="0061079C">
        <w:rPr>
          <w:lang w:val="fr-CH"/>
        </w:rPr>
        <w:t>-</w:t>
      </w:r>
      <w:r w:rsidR="00BB412A" w:rsidRPr="0027582B">
        <w:rPr>
          <w:lang w:val="fr-CH"/>
        </w:rPr>
        <w:t xml:space="preserve">réponse </w:t>
      </w:r>
      <w:r w:rsidR="002130B7" w:rsidRPr="0027582B">
        <w:rPr>
          <w:lang w:val="fr-CH"/>
        </w:rPr>
        <w:t>“Comment le système de l</w:t>
      </w:r>
      <w:r w:rsidR="0061079C">
        <w:rPr>
          <w:lang w:val="fr-CH"/>
        </w:rPr>
        <w:t>’</w:t>
      </w:r>
      <w:r w:rsidR="002130B7" w:rsidRPr="0027582B">
        <w:rPr>
          <w:lang w:val="fr-CH"/>
        </w:rPr>
        <w:t>UPOV favorise</w:t>
      </w:r>
      <w:r w:rsidR="0061079C">
        <w:rPr>
          <w:lang w:val="fr-CH"/>
        </w:rPr>
        <w:t>-</w:t>
      </w:r>
      <w:r w:rsidR="002130B7" w:rsidRPr="0027582B">
        <w:rPr>
          <w:lang w:val="fr-CH"/>
        </w:rPr>
        <w:t>t</w:t>
      </w:r>
      <w:r w:rsidR="0061079C">
        <w:rPr>
          <w:lang w:val="fr-CH"/>
        </w:rPr>
        <w:t>-</w:t>
      </w:r>
      <w:r w:rsidR="002130B7" w:rsidRPr="0027582B">
        <w:rPr>
          <w:lang w:val="fr-CH"/>
        </w:rPr>
        <w:t>il le développement durable?”</w:t>
      </w:r>
      <w:r w:rsidR="00BB412A" w:rsidRPr="0027582B">
        <w:rPr>
          <w:lang w:val="fr-CH"/>
        </w:rPr>
        <w:t xml:space="preserve"> (document C/54/15)</w:t>
      </w:r>
      <w:bookmarkEnd w:id="28"/>
    </w:p>
    <w:p w:rsidR="00CC73A7" w:rsidRPr="0027582B" w:rsidRDefault="00CC73A7" w:rsidP="00197AB1">
      <w:pPr>
        <w:keepNext/>
        <w:keepLines/>
        <w:rPr>
          <w:lang w:val="fr-CH"/>
        </w:rPr>
      </w:pPr>
    </w:p>
    <w:p w:rsidR="00CC73A7" w:rsidRPr="0027582B" w:rsidRDefault="002C3711" w:rsidP="00197AB1">
      <w:pPr>
        <w:keepNext/>
        <w:keepLines/>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examiné le document</w:t>
      </w:r>
      <w:r w:rsidR="00C93A51" w:rsidRPr="0027582B">
        <w:rPr>
          <w:lang w:val="fr-CH"/>
        </w:rPr>
        <w:t> </w:t>
      </w:r>
      <w:r w:rsidR="00BB412A" w:rsidRPr="0027582B">
        <w:rPr>
          <w:lang w:val="fr-CH"/>
        </w:rPr>
        <w:t>C/54/15.</w:t>
      </w:r>
    </w:p>
    <w:p w:rsidR="00CC73A7" w:rsidRPr="0027582B" w:rsidRDefault="00CC73A7" w:rsidP="00197AB1">
      <w:pPr>
        <w:keepNext/>
        <w:keepLines/>
        <w:jc w:val="left"/>
        <w:rPr>
          <w:sz w:val="18"/>
          <w:lang w:val="fr-CH"/>
        </w:rPr>
      </w:pPr>
    </w:p>
    <w:p w:rsidR="00CC73A7" w:rsidRPr="0027582B" w:rsidRDefault="002C3711" w:rsidP="00197AB1">
      <w:pPr>
        <w:keepNext/>
        <w:keepLines/>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adopté le texte de la question</w:t>
      </w:r>
      <w:r w:rsidR="0061079C">
        <w:rPr>
          <w:lang w:val="fr-CH"/>
        </w:rPr>
        <w:t>-</w:t>
      </w:r>
      <w:r w:rsidR="00BB412A" w:rsidRPr="0027582B">
        <w:rPr>
          <w:lang w:val="fr-CH"/>
        </w:rPr>
        <w:t xml:space="preserve">réponse </w:t>
      </w:r>
      <w:r w:rsidR="001104E8" w:rsidRPr="00765A89">
        <w:t>“Comment le système de l’UPOV favorise-t-il le développement durable?”</w:t>
      </w:r>
      <w:r w:rsidR="00BB412A" w:rsidRPr="0027582B">
        <w:rPr>
          <w:lang w:val="fr-CH"/>
        </w:rPr>
        <w:t>, reproduit ci</w:t>
      </w:r>
      <w:r w:rsidR="0061079C">
        <w:rPr>
          <w:lang w:val="fr-CH"/>
        </w:rPr>
        <w:t>-</w:t>
      </w:r>
      <w:r w:rsidR="00BB412A" w:rsidRPr="0027582B">
        <w:rPr>
          <w:lang w:val="fr-CH"/>
        </w:rPr>
        <w:t>dessous</w:t>
      </w:r>
      <w:r w:rsidR="0061079C">
        <w:rPr>
          <w:lang w:val="fr-CH"/>
        </w:rPr>
        <w:t> :</w:t>
      </w:r>
    </w:p>
    <w:p w:rsidR="00CC73A7" w:rsidRPr="0027582B" w:rsidRDefault="00CC73A7" w:rsidP="00197AB1">
      <w:pPr>
        <w:keepNext/>
        <w:keepLines/>
        <w:rPr>
          <w:sz w:val="18"/>
          <w:lang w:val="fr-CH"/>
        </w:rPr>
      </w:pPr>
    </w:p>
    <w:p w:rsidR="00CC73A7" w:rsidRPr="0027582B" w:rsidRDefault="00BB412A" w:rsidP="00197AB1">
      <w:pPr>
        <w:keepNext/>
        <w:keepLines/>
        <w:ind w:left="562" w:right="567"/>
        <w:jc w:val="center"/>
        <w:rPr>
          <w:i/>
          <w:u w:val="single"/>
          <w:lang w:val="fr-CH"/>
        </w:rPr>
      </w:pPr>
      <w:r w:rsidRPr="0027582B">
        <w:rPr>
          <w:i/>
          <w:u w:val="single"/>
          <w:lang w:val="fr-CH"/>
        </w:rPr>
        <w:t>Comment le système de l</w:t>
      </w:r>
      <w:r w:rsidR="0061079C">
        <w:rPr>
          <w:i/>
          <w:u w:val="single"/>
          <w:lang w:val="fr-CH"/>
        </w:rPr>
        <w:t>’</w:t>
      </w:r>
      <w:r w:rsidRPr="0027582B">
        <w:rPr>
          <w:i/>
          <w:u w:val="single"/>
          <w:lang w:val="fr-CH"/>
        </w:rPr>
        <w:t>UPOV favorise</w:t>
      </w:r>
      <w:r w:rsidR="0061079C">
        <w:rPr>
          <w:i/>
          <w:u w:val="single"/>
          <w:lang w:val="fr-CH"/>
        </w:rPr>
        <w:t>-</w:t>
      </w:r>
      <w:r w:rsidRPr="0027582B">
        <w:rPr>
          <w:i/>
          <w:u w:val="single"/>
          <w:lang w:val="fr-CH"/>
        </w:rPr>
        <w:t>t</w:t>
      </w:r>
      <w:r w:rsidR="0061079C">
        <w:rPr>
          <w:i/>
          <w:u w:val="single"/>
          <w:lang w:val="fr-CH"/>
        </w:rPr>
        <w:t>-</w:t>
      </w:r>
      <w:r w:rsidRPr="0027582B">
        <w:rPr>
          <w:i/>
          <w:u w:val="single"/>
          <w:lang w:val="fr-CH"/>
        </w:rPr>
        <w:t>il le développement durable?</w:t>
      </w:r>
    </w:p>
    <w:p w:rsidR="00CC73A7" w:rsidRPr="0027582B" w:rsidRDefault="00CC73A7" w:rsidP="002C3711">
      <w:pPr>
        <w:keepNext/>
        <w:ind w:left="562" w:right="567"/>
        <w:jc w:val="left"/>
        <w:rPr>
          <w:i/>
          <w:sz w:val="18"/>
          <w:lang w:val="fr-CH"/>
        </w:rPr>
      </w:pPr>
    </w:p>
    <w:p w:rsidR="00611648" w:rsidRPr="0027582B" w:rsidRDefault="00BB412A" w:rsidP="00BB412A">
      <w:pPr>
        <w:keepNext/>
        <w:ind w:left="562" w:right="567"/>
        <w:rPr>
          <w:i/>
          <w:lang w:val="fr-CH"/>
        </w:rPr>
      </w:pPr>
      <w:r w:rsidRPr="0027582B">
        <w:rPr>
          <w:i/>
          <w:lang w:val="fr-CH"/>
        </w:rPr>
        <w:t>Le projet défini dans le Programme de développement durable à l</w:t>
      </w:r>
      <w:r w:rsidR="0061079C">
        <w:rPr>
          <w:i/>
          <w:lang w:val="fr-CH"/>
        </w:rPr>
        <w:t>’</w:t>
      </w:r>
      <w:r w:rsidRPr="0027582B">
        <w:rPr>
          <w:i/>
          <w:lang w:val="fr-CH"/>
        </w:rPr>
        <w:t>horizon</w:t>
      </w:r>
      <w:r w:rsidR="00C93A51" w:rsidRPr="0027582B">
        <w:rPr>
          <w:i/>
          <w:lang w:val="fr-CH"/>
        </w:rPr>
        <w:t> </w:t>
      </w:r>
      <w:r w:rsidRPr="0027582B">
        <w:rPr>
          <w:i/>
          <w:lang w:val="fr-CH"/>
        </w:rPr>
        <w:t xml:space="preserve">2030 (voir </w:t>
      </w:r>
      <w:hyperlink r:id="rId9" w:history="1">
        <w:r w:rsidR="002130B7" w:rsidRPr="00253E66">
          <w:rPr>
            <w:rStyle w:val="Hyperlink"/>
            <w:i/>
          </w:rPr>
          <w:t>https://www.un.org/sustainabledevelopment/fr/objectifs</w:t>
        </w:r>
        <w:r w:rsidR="0061079C" w:rsidRPr="00253E66">
          <w:rPr>
            <w:rStyle w:val="Hyperlink"/>
            <w:i/>
          </w:rPr>
          <w:t>-</w:t>
        </w:r>
        <w:r w:rsidR="002130B7" w:rsidRPr="00253E66">
          <w:rPr>
            <w:rStyle w:val="Hyperlink"/>
            <w:i/>
          </w:rPr>
          <w:t>de</w:t>
        </w:r>
        <w:r w:rsidR="0061079C" w:rsidRPr="00253E66">
          <w:rPr>
            <w:rStyle w:val="Hyperlink"/>
            <w:i/>
          </w:rPr>
          <w:t>-</w:t>
        </w:r>
        <w:r w:rsidR="002130B7" w:rsidRPr="00253E66">
          <w:rPr>
            <w:rStyle w:val="Hyperlink"/>
            <w:i/>
          </w:rPr>
          <w:t>developpement</w:t>
        </w:r>
        <w:r w:rsidR="0061079C" w:rsidRPr="00253E66">
          <w:rPr>
            <w:rStyle w:val="Hyperlink"/>
            <w:i/>
          </w:rPr>
          <w:t>-</w:t>
        </w:r>
        <w:r w:rsidR="002130B7" w:rsidRPr="00253E66">
          <w:rPr>
            <w:rStyle w:val="Hyperlink"/>
            <w:i/>
          </w:rPr>
          <w:t>durable/</w:t>
        </w:r>
      </w:hyperlink>
      <w:r w:rsidRPr="0027582B">
        <w:rPr>
          <w:i/>
          <w:lang w:val="fr-CH"/>
        </w:rPr>
        <w:t>) porte l</w:t>
      </w:r>
      <w:r w:rsidR="0061079C">
        <w:rPr>
          <w:i/>
          <w:lang w:val="fr-CH"/>
        </w:rPr>
        <w:t>’</w:t>
      </w:r>
      <w:r w:rsidRPr="0027582B">
        <w:rPr>
          <w:i/>
          <w:lang w:val="fr-CH"/>
        </w:rPr>
        <w:t>espoir d</w:t>
      </w:r>
      <w:r w:rsidR="0061079C">
        <w:rPr>
          <w:i/>
          <w:lang w:val="fr-CH"/>
        </w:rPr>
        <w:t>’</w:t>
      </w:r>
      <w:r w:rsidRPr="0027582B">
        <w:rPr>
          <w:i/>
          <w:lang w:val="fr-CH"/>
        </w:rPr>
        <w:t>“un monde où il y ait des aliments en quantité suffisante pour tous et où chacun puisse se nourrir de manière saine et nutritive, quels que soient ses moyens”, marqué “par une croissance économique soutenue et partagée, le développement social, la protection de l</w:t>
      </w:r>
      <w:r w:rsidR="0061079C">
        <w:rPr>
          <w:i/>
          <w:lang w:val="fr-CH"/>
        </w:rPr>
        <w:t>’</w:t>
      </w:r>
      <w:r w:rsidRPr="0027582B">
        <w:rPr>
          <w:i/>
          <w:lang w:val="fr-CH"/>
        </w:rPr>
        <w:t>environnement et l</w:t>
      </w:r>
      <w:r w:rsidR="0061079C">
        <w:rPr>
          <w:i/>
          <w:lang w:val="fr-CH"/>
        </w:rPr>
        <w:t>’</w:t>
      </w:r>
      <w:r w:rsidRPr="0027582B">
        <w:rPr>
          <w:i/>
          <w:lang w:val="fr-CH"/>
        </w:rPr>
        <w:t>élimination de la faim et de la pauvreté” et “dans lequel le développement et l</w:t>
      </w:r>
      <w:r w:rsidR="0061079C">
        <w:rPr>
          <w:i/>
          <w:lang w:val="fr-CH"/>
        </w:rPr>
        <w:t>’</w:t>
      </w:r>
      <w:r w:rsidRPr="0027582B">
        <w:rPr>
          <w:i/>
          <w:lang w:val="fr-CH"/>
        </w:rPr>
        <w:t>usage des technologies soient respectueux du climat et de la biodiversité et soient résilients”.</w:t>
      </w:r>
    </w:p>
    <w:p w:rsidR="00CC73A7" w:rsidRPr="0027582B" w:rsidRDefault="00CC73A7" w:rsidP="002C3711">
      <w:pPr>
        <w:rPr>
          <w:sz w:val="18"/>
          <w:lang w:val="fr-CH"/>
        </w:rPr>
      </w:pPr>
    </w:p>
    <w:p w:rsidR="00CC73A7" w:rsidRPr="0027582B" w:rsidRDefault="00BB412A" w:rsidP="00BB412A">
      <w:pPr>
        <w:keepLines/>
        <w:ind w:left="562" w:right="567"/>
        <w:rPr>
          <w:i/>
          <w:lang w:val="fr-CH"/>
        </w:rPr>
      </w:pPr>
      <w:r w:rsidRPr="0027582B">
        <w:rPr>
          <w:i/>
          <w:lang w:val="fr-CH"/>
        </w:rPr>
        <w:t>La croissance de la population mondiale et la progression de l</w:t>
      </w:r>
      <w:r w:rsidR="0061079C">
        <w:rPr>
          <w:i/>
          <w:lang w:val="fr-CH"/>
        </w:rPr>
        <w:t>’</w:t>
      </w:r>
      <w:r w:rsidRPr="0027582B">
        <w:rPr>
          <w:i/>
          <w:lang w:val="fr-CH"/>
        </w:rPr>
        <w:t>urbanisation s</w:t>
      </w:r>
      <w:r w:rsidR="0061079C">
        <w:rPr>
          <w:i/>
          <w:lang w:val="fr-CH"/>
        </w:rPr>
        <w:t>’</w:t>
      </w:r>
      <w:r w:rsidRPr="0027582B">
        <w:rPr>
          <w:i/>
          <w:lang w:val="fr-CH"/>
        </w:rPr>
        <w:t>accompagnent d</w:t>
      </w:r>
      <w:r w:rsidR="0061079C">
        <w:rPr>
          <w:i/>
          <w:lang w:val="fr-CH"/>
        </w:rPr>
        <w:t>’</w:t>
      </w:r>
      <w:r w:rsidRPr="0027582B">
        <w:rPr>
          <w:i/>
          <w:lang w:val="fr-CH"/>
        </w:rPr>
        <w:t>exigences accrues en matière de production agricole, tant sur le plan de la quantité que de la quali</w:t>
      </w:r>
      <w:r w:rsidR="008D05FF" w:rsidRPr="0027582B">
        <w:rPr>
          <w:i/>
          <w:lang w:val="fr-CH"/>
        </w:rPr>
        <w:t>té</w:t>
      </w:r>
      <w:r w:rsidR="008D05FF">
        <w:rPr>
          <w:i/>
          <w:lang w:val="fr-CH"/>
        </w:rPr>
        <w:t xml:space="preserve">.  </w:t>
      </w:r>
      <w:r w:rsidR="008D05FF" w:rsidRPr="0027582B">
        <w:rPr>
          <w:i/>
          <w:lang w:val="fr-CH"/>
        </w:rPr>
        <w:t>Da</w:t>
      </w:r>
      <w:r w:rsidRPr="0027582B">
        <w:rPr>
          <w:i/>
          <w:lang w:val="fr-CH"/>
        </w:rPr>
        <w:t>ns le même temps, pour préserver la biodiversité, il est nécessaire d</w:t>
      </w:r>
      <w:r w:rsidR="0061079C">
        <w:rPr>
          <w:i/>
          <w:lang w:val="fr-CH"/>
        </w:rPr>
        <w:t>’</w:t>
      </w:r>
      <w:r w:rsidRPr="0027582B">
        <w:rPr>
          <w:i/>
          <w:lang w:val="fr-CH"/>
        </w:rPr>
        <w:t>enrayer ou d</w:t>
      </w:r>
      <w:r w:rsidR="0061079C">
        <w:rPr>
          <w:i/>
          <w:lang w:val="fr-CH"/>
        </w:rPr>
        <w:t>’</w:t>
      </w:r>
      <w:r w:rsidRPr="0027582B">
        <w:rPr>
          <w:i/>
          <w:lang w:val="fr-CH"/>
        </w:rPr>
        <w:t>inverser le processus d</w:t>
      </w:r>
      <w:r w:rsidR="0061079C">
        <w:rPr>
          <w:i/>
          <w:lang w:val="fr-CH"/>
        </w:rPr>
        <w:t>’</w:t>
      </w:r>
      <w:r w:rsidRPr="0027582B">
        <w:rPr>
          <w:i/>
          <w:lang w:val="fr-CH"/>
        </w:rPr>
        <w:t>expansion des terres agricoles, et ce alors qu</w:t>
      </w:r>
      <w:r w:rsidR="0061079C">
        <w:rPr>
          <w:i/>
          <w:lang w:val="fr-CH"/>
        </w:rPr>
        <w:t>’</w:t>
      </w:r>
      <w:r w:rsidRPr="0027582B">
        <w:rPr>
          <w:i/>
          <w:lang w:val="fr-CH"/>
        </w:rPr>
        <w:t>il existe en parallèle des besoins de terres agricoles pour la production alimentaire et énergétiq</w:t>
      </w:r>
      <w:r w:rsidR="008D05FF" w:rsidRPr="0027582B">
        <w:rPr>
          <w:i/>
          <w:lang w:val="fr-CH"/>
        </w:rPr>
        <w:t>ue</w:t>
      </w:r>
      <w:r w:rsidR="008D05FF">
        <w:rPr>
          <w:i/>
          <w:lang w:val="fr-CH"/>
        </w:rPr>
        <w:t xml:space="preserve">.  </w:t>
      </w:r>
      <w:r w:rsidR="008D05FF" w:rsidRPr="0027582B">
        <w:rPr>
          <w:i/>
          <w:lang w:val="fr-CH"/>
        </w:rPr>
        <w:t>Ce</w:t>
      </w:r>
      <w:r w:rsidRPr="0027582B">
        <w:rPr>
          <w:i/>
          <w:lang w:val="fr-CH"/>
        </w:rPr>
        <w:t>la signifie qu</w:t>
      </w:r>
      <w:r w:rsidR="0061079C">
        <w:rPr>
          <w:i/>
          <w:lang w:val="fr-CH"/>
        </w:rPr>
        <w:t>’</w:t>
      </w:r>
      <w:r w:rsidRPr="0027582B">
        <w:rPr>
          <w:i/>
          <w:lang w:val="fr-CH"/>
        </w:rPr>
        <w:t>il est nécessaire de produire davantage à partir des terres agricoles existantes, d</w:t>
      </w:r>
      <w:r w:rsidR="0061079C">
        <w:rPr>
          <w:i/>
          <w:lang w:val="fr-CH"/>
        </w:rPr>
        <w:t>’</w:t>
      </w:r>
      <w:r w:rsidRPr="0027582B">
        <w:rPr>
          <w:i/>
          <w:lang w:val="fr-CH"/>
        </w:rPr>
        <w:t>une manière durable.</w:t>
      </w:r>
    </w:p>
    <w:p w:rsidR="00CC73A7" w:rsidRPr="0027582B" w:rsidRDefault="00CC73A7" w:rsidP="002C3711">
      <w:pPr>
        <w:keepLines/>
        <w:rPr>
          <w:sz w:val="18"/>
          <w:lang w:val="fr-CH"/>
        </w:rPr>
      </w:pPr>
    </w:p>
    <w:p w:rsidR="00CC73A7" w:rsidRPr="0027582B" w:rsidRDefault="00BB412A" w:rsidP="00BB412A">
      <w:pPr>
        <w:keepLines/>
        <w:ind w:left="562" w:right="567"/>
        <w:rPr>
          <w:i/>
          <w:lang w:val="fr-CH"/>
        </w:rPr>
      </w:pPr>
      <w:r w:rsidRPr="0027582B">
        <w:rPr>
          <w:i/>
          <w:lang w:val="fr-CH"/>
        </w:rPr>
        <w:t>Les progrès considérables réalisés en matière de productivité agricole dans différentes régions du monde s</w:t>
      </w:r>
      <w:r w:rsidR="0061079C">
        <w:rPr>
          <w:i/>
          <w:lang w:val="fr-CH"/>
        </w:rPr>
        <w:t>’</w:t>
      </w:r>
      <w:r w:rsidRPr="0027582B">
        <w:rPr>
          <w:i/>
          <w:lang w:val="fr-CH"/>
        </w:rPr>
        <w:t>expliquent dans une large mesure par l</w:t>
      </w:r>
      <w:r w:rsidR="0061079C">
        <w:rPr>
          <w:i/>
          <w:lang w:val="fr-CH"/>
        </w:rPr>
        <w:t>’</w:t>
      </w:r>
      <w:r w:rsidRPr="0027582B">
        <w:rPr>
          <w:i/>
          <w:lang w:val="fr-CH"/>
        </w:rPr>
        <w:t>amélioration des variétés et des pratiques agricol</w:t>
      </w:r>
      <w:r w:rsidR="008D05FF" w:rsidRPr="0027582B">
        <w:rPr>
          <w:i/>
          <w:lang w:val="fr-CH"/>
        </w:rPr>
        <w:t>es</w:t>
      </w:r>
      <w:r w:rsidR="008D05FF">
        <w:rPr>
          <w:i/>
          <w:lang w:val="fr-CH"/>
        </w:rPr>
        <w:t xml:space="preserve">.  </w:t>
      </w:r>
      <w:r w:rsidR="008D05FF" w:rsidRPr="0027582B">
        <w:rPr>
          <w:i/>
          <w:lang w:val="fr-CH"/>
        </w:rPr>
        <w:t>La</w:t>
      </w:r>
      <w:r w:rsidRPr="0027582B">
        <w:rPr>
          <w:i/>
          <w:lang w:val="fr-CH"/>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61079C">
        <w:rPr>
          <w:i/>
          <w:lang w:val="fr-CH"/>
        </w:rPr>
        <w:t>’</w:t>
      </w:r>
      <w:r w:rsidRPr="0027582B">
        <w:rPr>
          <w:i/>
          <w:lang w:val="fr-CH"/>
        </w:rPr>
        <w:t>adaptation au changement climatique peuvent augmenter la productivité et la qualité des produits de manière durable en agriculture, en horticulture et en sylviculture et réduire la pression qui s</w:t>
      </w:r>
      <w:r w:rsidR="0061079C">
        <w:rPr>
          <w:i/>
          <w:lang w:val="fr-CH"/>
        </w:rPr>
        <w:t>’</w:t>
      </w:r>
      <w:r w:rsidRPr="0027582B">
        <w:rPr>
          <w:i/>
          <w:lang w:val="fr-CH"/>
        </w:rPr>
        <w:t>exerce sur l</w:t>
      </w:r>
      <w:r w:rsidR="0061079C">
        <w:rPr>
          <w:i/>
          <w:lang w:val="fr-CH"/>
        </w:rPr>
        <w:t>’</w:t>
      </w:r>
      <w:r w:rsidRPr="0027582B">
        <w:rPr>
          <w:i/>
          <w:lang w:val="fr-CH"/>
        </w:rPr>
        <w:t>environnement natur</w:t>
      </w:r>
      <w:r w:rsidR="008D05FF" w:rsidRPr="0027582B">
        <w:rPr>
          <w:i/>
          <w:lang w:val="fr-CH"/>
        </w:rPr>
        <w:t>el</w:t>
      </w:r>
      <w:r w:rsidR="008D05FF">
        <w:rPr>
          <w:i/>
          <w:lang w:val="fr-CH"/>
        </w:rPr>
        <w:t xml:space="preserve">.  </w:t>
      </w:r>
      <w:r w:rsidR="008D05FF" w:rsidRPr="0027582B">
        <w:rPr>
          <w:i/>
          <w:lang w:val="fr-CH"/>
        </w:rPr>
        <w:t>Pa</w:t>
      </w:r>
      <w:r w:rsidRPr="0027582B">
        <w:rPr>
          <w:i/>
          <w:lang w:val="fr-CH"/>
        </w:rPr>
        <w:t>r ailleurs, l</w:t>
      </w:r>
      <w:r w:rsidR="0061079C">
        <w:rPr>
          <w:i/>
          <w:lang w:val="fr-CH"/>
        </w:rPr>
        <w:t>’</w:t>
      </w:r>
      <w:r w:rsidRPr="0027582B">
        <w:rPr>
          <w:i/>
          <w:lang w:val="fr-CH"/>
        </w:rPr>
        <w:t>obtention de variétés adaptées à l</w:t>
      </w:r>
      <w:r w:rsidR="0061079C">
        <w:rPr>
          <w:i/>
          <w:lang w:val="fr-CH"/>
        </w:rPr>
        <w:t>’</w:t>
      </w:r>
      <w:r w:rsidRPr="0027582B">
        <w:rPr>
          <w:i/>
          <w:lang w:val="fr-CH"/>
        </w:rPr>
        <w:t>environnement dans lequel elles sont cultivées élargit le choix d</w:t>
      </w:r>
      <w:r w:rsidR="0061079C">
        <w:rPr>
          <w:i/>
          <w:lang w:val="fr-CH"/>
        </w:rPr>
        <w:t>’</w:t>
      </w:r>
      <w:r w:rsidRPr="0027582B">
        <w:rPr>
          <w:i/>
          <w:lang w:val="fr-CH"/>
        </w:rPr>
        <w:t>aliments sains, savoureux et nutritifs disponibles tout en fournissant aux agriculteurs un revenu suffisant.</w:t>
      </w:r>
    </w:p>
    <w:p w:rsidR="00CC73A7" w:rsidRPr="0027582B" w:rsidRDefault="00CC73A7" w:rsidP="002C3711">
      <w:pPr>
        <w:keepLines/>
        <w:rPr>
          <w:sz w:val="18"/>
          <w:lang w:val="fr-CH"/>
        </w:rPr>
      </w:pPr>
    </w:p>
    <w:p w:rsidR="00611648" w:rsidRPr="0027582B" w:rsidRDefault="00BB412A" w:rsidP="00BB412A">
      <w:pPr>
        <w:keepLines/>
        <w:ind w:left="562" w:right="567"/>
        <w:rPr>
          <w:i/>
          <w:lang w:val="fr-CH"/>
        </w:rPr>
      </w:pPr>
      <w:r w:rsidRPr="0027582B">
        <w:rPr>
          <w:i/>
          <w:lang w:val="fr-CH"/>
        </w:rPr>
        <w:t>Le système UPOV de protection des variétés végétales soutient l</w:t>
      </w:r>
      <w:r w:rsidR="0061079C">
        <w:rPr>
          <w:i/>
          <w:lang w:val="fr-CH"/>
        </w:rPr>
        <w:t>’</w:t>
      </w:r>
      <w:r w:rsidRPr="0027582B">
        <w:rPr>
          <w:i/>
          <w:lang w:val="fr-CH"/>
        </w:rPr>
        <w:t>investissement à long terme en faveur de la création de nouvelles variétés et fournit un cadre propice à l</w:t>
      </w:r>
      <w:r w:rsidR="0061079C">
        <w:rPr>
          <w:i/>
          <w:lang w:val="fr-CH"/>
        </w:rPr>
        <w:t>’</w:t>
      </w:r>
      <w:r w:rsidRPr="0027582B">
        <w:rPr>
          <w:i/>
          <w:lang w:val="fr-CH"/>
        </w:rPr>
        <w:t>investissement dans la fourniture de semences et d</w:t>
      </w:r>
      <w:r w:rsidR="0061079C">
        <w:rPr>
          <w:i/>
          <w:lang w:val="fr-CH"/>
        </w:rPr>
        <w:t>’</w:t>
      </w:r>
      <w:r w:rsidRPr="0027582B">
        <w:rPr>
          <w:i/>
          <w:lang w:val="fr-CH"/>
        </w:rPr>
        <w:t>autres types de matériel de reproduction de variétés qui répondent aux besoins des agriculteurs.</w:t>
      </w:r>
      <w:r w:rsidR="002C3711" w:rsidRPr="0027582B">
        <w:rPr>
          <w:i/>
          <w:lang w:val="fr-CH"/>
        </w:rPr>
        <w:t xml:space="preserve">  </w:t>
      </w:r>
      <w:r w:rsidRPr="0027582B">
        <w:rPr>
          <w:i/>
          <w:lang w:val="fr-CH"/>
        </w:rPr>
        <w:t>L</w:t>
      </w:r>
      <w:r w:rsidR="0061079C">
        <w:rPr>
          <w:i/>
          <w:lang w:val="fr-CH"/>
        </w:rPr>
        <w:t>’</w:t>
      </w:r>
      <w:r w:rsidRPr="0027582B">
        <w:rPr>
          <w:i/>
          <w:lang w:val="fr-CH"/>
        </w:rPr>
        <w:t xml:space="preserve">UPOV a été créée </w:t>
      </w:r>
      <w:r w:rsidR="00611648" w:rsidRPr="0027582B">
        <w:rPr>
          <w:i/>
          <w:lang w:val="fr-CH"/>
        </w:rPr>
        <w:t>en 1961</w:t>
      </w:r>
      <w:r w:rsidRPr="0027582B">
        <w:rPr>
          <w:i/>
          <w:lang w:val="fr-CH"/>
        </w:rPr>
        <w:t xml:space="preserve"> aux fins du développement de l</w:t>
      </w:r>
      <w:r w:rsidR="0061079C">
        <w:rPr>
          <w:i/>
          <w:lang w:val="fr-CH"/>
        </w:rPr>
        <w:t>’</w:t>
      </w:r>
      <w:r w:rsidRPr="0027582B">
        <w:rPr>
          <w:i/>
          <w:lang w:val="fr-CH"/>
        </w:rPr>
        <w:t>agriculture et, depuis, a montré son efficacité pour aider tous les types d</w:t>
      </w:r>
      <w:r w:rsidR="0061079C">
        <w:rPr>
          <w:i/>
          <w:lang w:val="fr-CH"/>
        </w:rPr>
        <w:t>’</w:t>
      </w:r>
      <w:r w:rsidRPr="0027582B">
        <w:rPr>
          <w:i/>
          <w:lang w:val="fr-CH"/>
        </w:rPr>
        <w:t>obtenteurs</w:t>
      </w:r>
      <w:r w:rsidR="0061079C">
        <w:rPr>
          <w:i/>
          <w:lang w:val="fr-CH"/>
        </w:rPr>
        <w:t> :</w:t>
      </w:r>
      <w:r w:rsidRPr="0027582B">
        <w:rPr>
          <w:i/>
          <w:lang w:val="fr-CH"/>
        </w:rPr>
        <w:t xml:space="preserve"> obtenteurs individuels, agriculteurs, petites et moyennes entreprises et instituts ou entreprises de sélection végétale plus importantes, du secteur public comme privé.</w:t>
      </w:r>
    </w:p>
    <w:p w:rsidR="00CC73A7" w:rsidRPr="0027582B" w:rsidRDefault="00CC73A7" w:rsidP="002C3711">
      <w:pPr>
        <w:keepLines/>
        <w:rPr>
          <w:sz w:val="18"/>
          <w:lang w:val="fr-CH"/>
        </w:rPr>
      </w:pPr>
    </w:p>
    <w:p w:rsidR="00611648" w:rsidRPr="0027582B" w:rsidRDefault="00BB412A" w:rsidP="00BB412A">
      <w:pPr>
        <w:keepLines/>
        <w:ind w:left="562" w:right="567"/>
        <w:rPr>
          <w:i/>
          <w:lang w:val="fr-CH"/>
        </w:rPr>
      </w:pPr>
      <w:r w:rsidRPr="0027582B">
        <w:rPr>
          <w:i/>
          <w:lang w:val="fr-CH"/>
        </w:rPr>
        <w:t>Le système de l</w:t>
      </w:r>
      <w:r w:rsidR="0061079C">
        <w:rPr>
          <w:i/>
          <w:lang w:val="fr-CH"/>
        </w:rPr>
        <w:t>’</w:t>
      </w:r>
      <w:r w:rsidRPr="0027582B">
        <w:rPr>
          <w:i/>
          <w:lang w:val="fr-CH"/>
        </w:rPr>
        <w:t>UPOV a été conçu dès le départ pour faire progresser le plus possible la sélection végétale et, partant, l</w:t>
      </w:r>
      <w:r w:rsidR="0061079C">
        <w:rPr>
          <w:i/>
          <w:lang w:val="fr-CH"/>
        </w:rPr>
        <w:t>’</w:t>
      </w:r>
      <w:r w:rsidRPr="0027582B">
        <w:rPr>
          <w:i/>
          <w:lang w:val="fr-CH"/>
        </w:rPr>
        <w:t>agriculture de manière durable, dans l</w:t>
      </w:r>
      <w:r w:rsidR="0061079C">
        <w:rPr>
          <w:i/>
          <w:lang w:val="fr-CH"/>
        </w:rPr>
        <w:t>’</w:t>
      </w:r>
      <w:r w:rsidRPr="0027582B">
        <w:rPr>
          <w:i/>
          <w:lang w:val="fr-CH"/>
        </w:rPr>
        <w:t>intérêt des agriculteurs et de la société dans son ensemb</w:t>
      </w:r>
      <w:r w:rsidR="008D05FF" w:rsidRPr="0027582B">
        <w:rPr>
          <w:i/>
          <w:lang w:val="fr-CH"/>
        </w:rPr>
        <w:t>le</w:t>
      </w:r>
      <w:r w:rsidR="008D05FF">
        <w:rPr>
          <w:i/>
          <w:lang w:val="fr-CH"/>
        </w:rPr>
        <w:t xml:space="preserve">.  </w:t>
      </w:r>
      <w:r w:rsidR="008D05FF" w:rsidRPr="0027582B">
        <w:rPr>
          <w:i/>
          <w:lang w:val="fr-CH"/>
        </w:rPr>
        <w:t>Ce</w:t>
      </w:r>
      <w:r w:rsidRPr="0027582B">
        <w:rPr>
          <w:i/>
          <w:lang w:val="fr-CH"/>
        </w:rPr>
        <w:t>tte notion est consacrée par l</w:t>
      </w:r>
      <w:r w:rsidR="0061079C">
        <w:rPr>
          <w:i/>
          <w:lang w:val="fr-CH"/>
        </w:rPr>
        <w:t>’</w:t>
      </w:r>
      <w:r w:rsidRPr="0027582B">
        <w:rPr>
          <w:i/>
          <w:lang w:val="fr-CH"/>
        </w:rPr>
        <w:t>“exception en faveur de l</w:t>
      </w:r>
      <w:r w:rsidR="0061079C">
        <w:rPr>
          <w:i/>
          <w:lang w:val="fr-CH"/>
        </w:rPr>
        <w:t>’</w:t>
      </w:r>
      <w:r w:rsidRPr="0027582B">
        <w:rPr>
          <w:i/>
          <w:lang w:val="fr-CH"/>
        </w:rPr>
        <w:t>obtenteur</w:t>
      </w:r>
      <w:r w:rsidR="00EB652C" w:rsidRPr="0027582B">
        <w:rPr>
          <w:i/>
          <w:lang w:val="fr-CH"/>
        </w:rPr>
        <w:t>”</w:t>
      </w:r>
      <w:r w:rsidRPr="0027582B">
        <w:rPr>
          <w:i/>
          <w:lang w:val="fr-CH"/>
        </w:rPr>
        <w:t>, l</w:t>
      </w:r>
      <w:r w:rsidR="0061079C">
        <w:rPr>
          <w:i/>
          <w:lang w:val="fr-CH"/>
        </w:rPr>
        <w:t>’</w:t>
      </w:r>
      <w:r w:rsidRPr="0027582B">
        <w:rPr>
          <w:i/>
          <w:lang w:val="fr-CH"/>
        </w:rPr>
        <w:t>une des principales caractéristiques du système de l</w:t>
      </w:r>
      <w:r w:rsidR="0061079C">
        <w:rPr>
          <w:i/>
          <w:lang w:val="fr-CH"/>
        </w:rPr>
        <w:t>’</w:t>
      </w:r>
      <w:r w:rsidRPr="0027582B">
        <w:rPr>
          <w:i/>
          <w:lang w:val="fr-CH"/>
        </w:rPr>
        <w:t>UPOV depuis sa créati</w:t>
      </w:r>
      <w:r w:rsidR="008D05FF" w:rsidRPr="0027582B">
        <w:rPr>
          <w:i/>
          <w:lang w:val="fr-CH"/>
        </w:rPr>
        <w:t>on</w:t>
      </w:r>
      <w:r w:rsidR="008D05FF">
        <w:rPr>
          <w:i/>
          <w:lang w:val="fr-CH"/>
        </w:rPr>
        <w:t xml:space="preserve">.  </w:t>
      </w:r>
      <w:r w:rsidR="008D05FF" w:rsidRPr="0027582B">
        <w:rPr>
          <w:i/>
          <w:lang w:val="fr-CH"/>
        </w:rPr>
        <w:t>Ce</w:t>
      </w:r>
      <w:r w:rsidRPr="0027582B">
        <w:rPr>
          <w:i/>
          <w:lang w:val="fr-CH"/>
        </w:rPr>
        <w:t>tte exception permet de tirer parti des variétés végétales protégées à des fins de création d</w:t>
      </w:r>
      <w:r w:rsidR="0061079C">
        <w:rPr>
          <w:i/>
          <w:lang w:val="fr-CH"/>
        </w:rPr>
        <w:t>’</w:t>
      </w:r>
      <w:r w:rsidRPr="0027582B">
        <w:rPr>
          <w:i/>
          <w:lang w:val="fr-CH"/>
        </w:rPr>
        <w:t>autres variétés par tous les types d</w:t>
      </w:r>
      <w:r w:rsidR="0061079C">
        <w:rPr>
          <w:i/>
          <w:lang w:val="fr-CH"/>
        </w:rPr>
        <w:t>’</w:t>
      </w:r>
      <w:r w:rsidRPr="0027582B">
        <w:rPr>
          <w:i/>
          <w:lang w:val="fr-CH"/>
        </w:rPr>
        <w:t>obtenteurs, reconnaissant ainsi que l</w:t>
      </w:r>
      <w:r w:rsidR="0061079C">
        <w:rPr>
          <w:i/>
          <w:lang w:val="fr-CH"/>
        </w:rPr>
        <w:t>’</w:t>
      </w:r>
      <w:r w:rsidRPr="0027582B">
        <w:rPr>
          <w:i/>
          <w:lang w:val="fr-CH"/>
        </w:rPr>
        <w:t>accès aux ressources génétiques est une condition préalable à tout type de création variétale.</w:t>
      </w:r>
    </w:p>
    <w:p w:rsidR="00CC73A7" w:rsidRPr="0027582B" w:rsidRDefault="00CC73A7" w:rsidP="002C3711">
      <w:pPr>
        <w:rPr>
          <w:lang w:val="fr-CH"/>
        </w:rPr>
      </w:pPr>
    </w:p>
    <w:p w:rsidR="00CC73A7" w:rsidRPr="0027582B" w:rsidRDefault="00CC73A7" w:rsidP="002C3711">
      <w:pPr>
        <w:rPr>
          <w:lang w:val="fr-CH"/>
        </w:rPr>
      </w:pPr>
    </w:p>
    <w:p w:rsidR="00CC73A7" w:rsidRPr="0027582B" w:rsidRDefault="00CC73A7" w:rsidP="002C3711">
      <w:pPr>
        <w:rPr>
          <w:lang w:val="fr-CH"/>
        </w:rPr>
      </w:pPr>
    </w:p>
    <w:p w:rsidR="00CC73A7" w:rsidRPr="0027582B" w:rsidRDefault="00611648" w:rsidP="00BB412A">
      <w:pPr>
        <w:pStyle w:val="Heading1"/>
        <w:rPr>
          <w:lang w:val="fr-CH"/>
        </w:rPr>
      </w:pPr>
      <w:bookmarkStart w:id="29" w:name="_Toc56188622"/>
      <w:r w:rsidRPr="0027582B">
        <w:rPr>
          <w:lang w:val="fr-CH"/>
        </w:rPr>
        <w:t>Point 1</w:t>
      </w:r>
      <w:r w:rsidR="00BB412A" w:rsidRPr="0027582B">
        <w:rPr>
          <w:lang w:val="fr-CH"/>
        </w:rPr>
        <w:t>8.b) de l</w:t>
      </w:r>
      <w:r w:rsidR="0061079C">
        <w:rPr>
          <w:lang w:val="fr-CH"/>
        </w:rPr>
        <w:t>’</w:t>
      </w:r>
      <w:r w:rsidR="00BB412A" w:rsidRPr="0027582B">
        <w:rPr>
          <w:lang w:val="fr-CH"/>
        </w:rPr>
        <w:t>ordre du jour</w:t>
      </w:r>
      <w:r w:rsidR="0061079C">
        <w:rPr>
          <w:lang w:val="fr-CH"/>
        </w:rPr>
        <w:t> :</w:t>
      </w:r>
      <w:r w:rsidR="00BB412A" w:rsidRPr="0027582B">
        <w:rPr>
          <w:lang w:val="fr-CH"/>
        </w:rPr>
        <w:t xml:space="preserve"> </w:t>
      </w:r>
      <w:r w:rsidR="00D04FD9">
        <w:rPr>
          <w:lang w:val="fr-CH"/>
        </w:rPr>
        <w:t xml:space="preserve"> </w:t>
      </w:r>
      <w:r w:rsidR="00BB412A" w:rsidRPr="0027582B">
        <w:rPr>
          <w:lang w:val="fr-CH"/>
        </w:rPr>
        <w:t xml:space="preserve">Calendrier des réunions </w:t>
      </w:r>
      <w:r w:rsidRPr="0027582B">
        <w:rPr>
          <w:lang w:val="fr-CH"/>
        </w:rPr>
        <w:t>en 2021</w:t>
      </w:r>
      <w:r w:rsidR="00BB412A" w:rsidRPr="0027582B">
        <w:rPr>
          <w:lang w:val="fr-CH"/>
        </w:rPr>
        <w:t xml:space="preserve"> (document</w:t>
      </w:r>
      <w:r w:rsidR="00C93A51" w:rsidRPr="0027582B">
        <w:rPr>
          <w:lang w:val="fr-CH"/>
        </w:rPr>
        <w:t> </w:t>
      </w:r>
      <w:r w:rsidR="00BB412A" w:rsidRPr="0027582B">
        <w:rPr>
          <w:lang w:val="fr-CH"/>
        </w:rPr>
        <w:t>C/54/8)</w:t>
      </w:r>
      <w:bookmarkEnd w:id="29"/>
    </w:p>
    <w:p w:rsidR="00CC73A7" w:rsidRPr="0027582B" w:rsidRDefault="00CC73A7" w:rsidP="002C3711">
      <w:pPr>
        <w:rPr>
          <w:lang w:val="fr-CH"/>
        </w:rPr>
      </w:pPr>
    </w:p>
    <w:p w:rsidR="00611648"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examiné le document</w:t>
      </w:r>
      <w:r w:rsidR="00C93A51" w:rsidRPr="0027582B">
        <w:rPr>
          <w:lang w:val="fr-CH"/>
        </w:rPr>
        <w:t> </w:t>
      </w:r>
      <w:r w:rsidR="00BB412A" w:rsidRPr="0027582B">
        <w:rPr>
          <w:lang w:val="fr-CH"/>
        </w:rPr>
        <w:t>C/54/8.</w:t>
      </w:r>
    </w:p>
    <w:p w:rsidR="00CC73A7" w:rsidRPr="0027582B" w:rsidRDefault="00CC73A7" w:rsidP="002C3711">
      <w:pPr>
        <w:rPr>
          <w:lang w:val="fr-CH"/>
        </w:rPr>
      </w:pPr>
    </w:p>
    <w:p w:rsidR="00CC73A7"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 xml:space="preserve">Le Conseil a approuvé le calendrier des réunions </w:t>
      </w:r>
      <w:r w:rsidR="00611648" w:rsidRPr="0027582B">
        <w:rPr>
          <w:lang w:val="fr-CH"/>
        </w:rPr>
        <w:t>en 2021</w:t>
      </w:r>
      <w:r w:rsidR="00BB412A" w:rsidRPr="0027582B">
        <w:rPr>
          <w:lang w:val="fr-CH"/>
        </w:rPr>
        <w:t xml:space="preserve"> et les dates de réunion proposées </w:t>
      </w:r>
      <w:r w:rsidR="00611648" w:rsidRPr="0027582B">
        <w:rPr>
          <w:lang w:val="fr-CH"/>
        </w:rPr>
        <w:t>en 2022</w:t>
      </w:r>
      <w:r w:rsidR="00BB412A" w:rsidRPr="0027582B">
        <w:rPr>
          <w:lang w:val="fr-CH"/>
        </w:rPr>
        <w:t xml:space="preserve"> et </w:t>
      </w:r>
      <w:r w:rsidR="00611648" w:rsidRPr="0027582B">
        <w:rPr>
          <w:lang w:val="fr-CH"/>
        </w:rPr>
        <w:t>en 2023</w:t>
      </w:r>
      <w:r w:rsidR="00BB412A" w:rsidRPr="0027582B">
        <w:rPr>
          <w:lang w:val="fr-CH"/>
        </w:rPr>
        <w:t xml:space="preserve"> figurant dans le document</w:t>
      </w:r>
      <w:r w:rsidR="00C93A51" w:rsidRPr="0027582B">
        <w:rPr>
          <w:lang w:val="fr-CH"/>
        </w:rPr>
        <w:t> </w:t>
      </w:r>
      <w:r w:rsidR="00BB412A" w:rsidRPr="0027582B">
        <w:rPr>
          <w:lang w:val="fr-CH"/>
        </w:rPr>
        <w:t>C/54/8.</w:t>
      </w:r>
    </w:p>
    <w:p w:rsidR="00CC73A7" w:rsidRPr="0027582B" w:rsidRDefault="00CC73A7" w:rsidP="002C3711">
      <w:pPr>
        <w:rPr>
          <w:lang w:val="fr-CH"/>
        </w:rPr>
      </w:pPr>
    </w:p>
    <w:p w:rsidR="00CC73A7" w:rsidRPr="0027582B" w:rsidRDefault="00CC73A7" w:rsidP="002C3711">
      <w:pPr>
        <w:rPr>
          <w:lang w:val="fr-CH"/>
        </w:rPr>
      </w:pPr>
    </w:p>
    <w:p w:rsidR="00CC73A7" w:rsidRPr="0027582B" w:rsidRDefault="00CC73A7" w:rsidP="002C3711">
      <w:pPr>
        <w:rPr>
          <w:lang w:val="fr-CH"/>
        </w:rPr>
      </w:pPr>
    </w:p>
    <w:p w:rsidR="00CC73A7" w:rsidRPr="0027582B" w:rsidRDefault="00611648" w:rsidP="00BB412A">
      <w:pPr>
        <w:pStyle w:val="Heading1"/>
        <w:rPr>
          <w:lang w:val="fr-CH"/>
        </w:rPr>
      </w:pPr>
      <w:bookmarkStart w:id="30" w:name="_Toc56188623"/>
      <w:r w:rsidRPr="0027582B">
        <w:rPr>
          <w:lang w:val="fr-CH"/>
        </w:rPr>
        <w:lastRenderedPageBreak/>
        <w:t>Point 1</w:t>
      </w:r>
      <w:r w:rsidR="00BB412A" w:rsidRPr="0027582B">
        <w:rPr>
          <w:lang w:val="fr-CH"/>
        </w:rPr>
        <w:t>9 de l</w:t>
      </w:r>
      <w:r w:rsidR="0061079C">
        <w:rPr>
          <w:lang w:val="fr-CH"/>
        </w:rPr>
        <w:t>’</w:t>
      </w:r>
      <w:r w:rsidR="00BB412A" w:rsidRPr="0027582B">
        <w:rPr>
          <w:lang w:val="fr-CH"/>
        </w:rPr>
        <w:t>ordre du jour</w:t>
      </w:r>
      <w:r w:rsidR="0061079C">
        <w:rPr>
          <w:lang w:val="fr-CH"/>
        </w:rPr>
        <w:t> :</w:t>
      </w:r>
      <w:r w:rsidR="00BB412A" w:rsidRPr="0027582B">
        <w:rPr>
          <w:lang w:val="fr-CH"/>
        </w:rPr>
        <w:t xml:space="preserve"> </w:t>
      </w:r>
      <w:r w:rsidR="00D04FD9">
        <w:rPr>
          <w:lang w:val="fr-CH"/>
        </w:rPr>
        <w:t xml:space="preserve"> </w:t>
      </w:r>
      <w:r w:rsidR="00BB412A" w:rsidRPr="0027582B">
        <w:rPr>
          <w:lang w:val="fr-CH"/>
        </w:rPr>
        <w:t xml:space="preserve">Élection des </w:t>
      </w:r>
      <w:r w:rsidR="00D01D71" w:rsidRPr="0027582B">
        <w:rPr>
          <w:lang w:val="fr-CH"/>
        </w:rPr>
        <w:t xml:space="preserve">nouveaux </w:t>
      </w:r>
      <w:r w:rsidR="00BB412A" w:rsidRPr="0027582B">
        <w:rPr>
          <w:lang w:val="fr-CH"/>
        </w:rPr>
        <w:t>présidents des groupes de travail techniques et du Groupe de travail sur les techniques biochimiques et moléculaires, notamment les profils d</w:t>
      </w:r>
      <w:r w:rsidR="0061079C">
        <w:rPr>
          <w:lang w:val="fr-CH"/>
        </w:rPr>
        <w:t>’</w:t>
      </w:r>
      <w:r w:rsidR="00BB412A" w:rsidRPr="0027582B">
        <w:rPr>
          <w:lang w:val="fr-CH"/>
        </w:rPr>
        <w:t>ADN (BMT) (document</w:t>
      </w:r>
      <w:r w:rsidR="00C93A51" w:rsidRPr="0027582B">
        <w:rPr>
          <w:lang w:val="fr-CH"/>
        </w:rPr>
        <w:t> </w:t>
      </w:r>
      <w:r w:rsidR="00BB412A" w:rsidRPr="0027582B">
        <w:rPr>
          <w:lang w:val="fr-CH"/>
        </w:rPr>
        <w:t>C/54/16)</w:t>
      </w:r>
      <w:bookmarkEnd w:id="30"/>
    </w:p>
    <w:p w:rsidR="00CC73A7" w:rsidRPr="0027582B" w:rsidRDefault="00CC73A7" w:rsidP="002C3711">
      <w:pPr>
        <w:rPr>
          <w:lang w:val="fr-CH"/>
        </w:rPr>
      </w:pPr>
    </w:p>
    <w:p w:rsidR="00CC73A7"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examiné le document</w:t>
      </w:r>
      <w:r w:rsidR="00C93A51" w:rsidRPr="0027582B">
        <w:rPr>
          <w:lang w:val="fr-CH"/>
        </w:rPr>
        <w:t> </w:t>
      </w:r>
      <w:r w:rsidR="00BB412A" w:rsidRPr="0027582B">
        <w:rPr>
          <w:lang w:val="fr-CH"/>
        </w:rPr>
        <w:t>C/54/16.</w:t>
      </w:r>
    </w:p>
    <w:p w:rsidR="00CC73A7" w:rsidRPr="0027582B" w:rsidRDefault="00CC73A7" w:rsidP="002C3711">
      <w:pPr>
        <w:rPr>
          <w:lang w:val="fr-CH"/>
        </w:rPr>
      </w:pPr>
    </w:p>
    <w:p w:rsidR="00611648" w:rsidRPr="0027582B" w:rsidRDefault="002C3711" w:rsidP="00BB412A">
      <w:pPr>
        <w:rPr>
          <w:lang w:val="fr-CH"/>
        </w:rPr>
      </w:pPr>
      <w:r w:rsidRPr="0027582B">
        <w:fldChar w:fldCharType="begin"/>
      </w:r>
      <w:r w:rsidRPr="0027582B">
        <w:rPr>
          <w:lang w:val="fr-CH"/>
        </w:rPr>
        <w:instrText xml:space="preserve"> AUTONUM  </w:instrText>
      </w:r>
      <w:r w:rsidRPr="0027582B">
        <w:fldChar w:fldCharType="end"/>
      </w:r>
      <w:r w:rsidRPr="0027582B">
        <w:rPr>
          <w:lang w:val="fr-CH"/>
        </w:rPr>
        <w:tab/>
      </w:r>
      <w:r w:rsidR="00BB412A" w:rsidRPr="0027582B">
        <w:rPr>
          <w:lang w:val="fr-CH"/>
        </w:rPr>
        <w:t>Le Conseil a élu à la présidence des groupes de travail techniques et</w:t>
      </w:r>
      <w:r w:rsidR="00611648" w:rsidRPr="0027582B">
        <w:rPr>
          <w:lang w:val="fr-CH"/>
        </w:rPr>
        <w:t xml:space="preserve"> du BMT</w:t>
      </w:r>
      <w:r w:rsidR="00BB412A" w:rsidRPr="0027582B">
        <w:rPr>
          <w:lang w:val="fr-CH"/>
        </w:rPr>
        <w:t>, pour un mandat de trois</w:t>
      </w:r>
      <w:r w:rsidR="00F02AF7" w:rsidRPr="0027582B">
        <w:rPr>
          <w:lang w:val="fr-CH"/>
        </w:rPr>
        <w:t> </w:t>
      </w:r>
      <w:r w:rsidR="00BB412A" w:rsidRPr="0027582B">
        <w:rPr>
          <w:lang w:val="fr-CH"/>
        </w:rPr>
        <w:t>ans s</w:t>
      </w:r>
      <w:r w:rsidR="0061079C">
        <w:rPr>
          <w:lang w:val="fr-CH"/>
        </w:rPr>
        <w:t>’</w:t>
      </w:r>
      <w:r w:rsidR="00BB412A" w:rsidRPr="0027582B">
        <w:rPr>
          <w:lang w:val="fr-CH"/>
        </w:rPr>
        <w:t>achevant en même temps que la cinquante</w:t>
      </w:r>
      <w:r w:rsidR="0061079C">
        <w:rPr>
          <w:lang w:val="fr-CH"/>
        </w:rPr>
        <w:t>-</w:t>
      </w:r>
      <w:r w:rsidR="00BB412A" w:rsidRPr="0027582B">
        <w:rPr>
          <w:lang w:val="fr-CH"/>
        </w:rPr>
        <w:t>sept</w:t>
      </w:r>
      <w:r w:rsidR="0061079C">
        <w:rPr>
          <w:lang w:val="fr-CH"/>
        </w:rPr>
        <w:t>ième session</w:t>
      </w:r>
      <w:r w:rsidR="00BB412A" w:rsidRPr="0027582B">
        <w:rPr>
          <w:lang w:val="fr-CH"/>
        </w:rPr>
        <w:t xml:space="preserve"> ordinaire du Conseil, </w:t>
      </w:r>
      <w:r w:rsidR="00611648" w:rsidRPr="0027582B">
        <w:rPr>
          <w:lang w:val="fr-CH"/>
        </w:rPr>
        <w:t>en 2023</w:t>
      </w:r>
      <w:r w:rsidR="00BB412A" w:rsidRPr="0027582B">
        <w:rPr>
          <w:lang w:val="fr-CH"/>
        </w:rPr>
        <w:t>, les personnes ci</w:t>
      </w:r>
      <w:r w:rsidR="0061079C">
        <w:rPr>
          <w:lang w:val="fr-CH"/>
        </w:rPr>
        <w:t>-</w:t>
      </w:r>
      <w:r w:rsidR="00BB412A" w:rsidRPr="0027582B">
        <w:rPr>
          <w:lang w:val="fr-CH"/>
        </w:rPr>
        <w:t>après</w:t>
      </w:r>
      <w:r w:rsidR="0061079C">
        <w:rPr>
          <w:lang w:val="fr-CH"/>
        </w:rPr>
        <w:t> :</w:t>
      </w:r>
    </w:p>
    <w:p w:rsidR="00CC73A7" w:rsidRPr="0027582B" w:rsidRDefault="00CC73A7" w:rsidP="002C3711">
      <w:pPr>
        <w:ind w:left="720" w:hanging="720"/>
        <w:rPr>
          <w:lang w:val="fr-CH"/>
        </w:rPr>
      </w:pPr>
    </w:p>
    <w:p w:rsidR="00CC73A7" w:rsidRPr="0027582B" w:rsidRDefault="00BB412A" w:rsidP="00BB412A">
      <w:pPr>
        <w:spacing w:after="60"/>
        <w:ind w:left="1134" w:hanging="567"/>
        <w:rPr>
          <w:lang w:val="fr-CH"/>
        </w:rPr>
      </w:pPr>
      <w:r w:rsidRPr="0027582B">
        <w:rPr>
          <w:lang w:val="fr-CH"/>
        </w:rPr>
        <w:t>a)</w:t>
      </w:r>
      <w:r w:rsidRPr="0027582B">
        <w:rPr>
          <w:lang w:val="fr-CH"/>
        </w:rPr>
        <w:tab/>
        <w:t>Mme</w:t>
      </w:r>
      <w:r w:rsidR="00F02AF7" w:rsidRPr="0027582B">
        <w:rPr>
          <w:lang w:val="fr-CH"/>
        </w:rPr>
        <w:t> </w:t>
      </w:r>
      <w:r w:rsidRPr="0027582B">
        <w:rPr>
          <w:lang w:val="fr-CH"/>
        </w:rPr>
        <w:t>Renée</w:t>
      </w:r>
      <w:r w:rsidR="00C93A51" w:rsidRPr="0027582B">
        <w:rPr>
          <w:lang w:val="fr-CH"/>
        </w:rPr>
        <w:t> </w:t>
      </w:r>
      <w:r w:rsidRPr="0027582B">
        <w:rPr>
          <w:lang w:val="fr-CH"/>
        </w:rPr>
        <w:t>Cloutier (Canada), présidente du Groupe de travail technique sur les plantes agricoles (TWA);</w:t>
      </w:r>
    </w:p>
    <w:p w:rsidR="00CC73A7" w:rsidRPr="0027582B" w:rsidRDefault="00BA04A8" w:rsidP="00BA04A8">
      <w:pPr>
        <w:spacing w:after="60"/>
        <w:ind w:left="1134" w:hanging="567"/>
        <w:rPr>
          <w:lang w:val="fr-CH"/>
        </w:rPr>
      </w:pPr>
      <w:r w:rsidRPr="0027582B">
        <w:rPr>
          <w:lang w:val="fr-CH"/>
        </w:rPr>
        <w:t>b)</w:t>
      </w:r>
      <w:r w:rsidRPr="0027582B">
        <w:rPr>
          <w:lang w:val="fr-CH"/>
        </w:rPr>
        <w:tab/>
        <w:t>M.</w:t>
      </w:r>
      <w:r w:rsidR="00F02AF7" w:rsidRPr="0027582B">
        <w:rPr>
          <w:lang w:val="fr-CH"/>
        </w:rPr>
        <w:t> </w:t>
      </w:r>
      <w:r w:rsidRPr="0027582B">
        <w:rPr>
          <w:lang w:val="fr-CH"/>
        </w:rPr>
        <w:t>Christopher</w:t>
      </w:r>
      <w:r w:rsidR="00C93A51" w:rsidRPr="0027582B">
        <w:rPr>
          <w:lang w:val="fr-CH"/>
        </w:rPr>
        <w:t> </w:t>
      </w:r>
      <w:r w:rsidRPr="0027582B">
        <w:rPr>
          <w:lang w:val="fr-CH"/>
        </w:rPr>
        <w:t>Barnaby (Nouvelle</w:t>
      </w:r>
      <w:r w:rsidR="0061079C">
        <w:rPr>
          <w:lang w:val="fr-CH"/>
        </w:rPr>
        <w:t>-</w:t>
      </w:r>
      <w:r w:rsidRPr="0027582B">
        <w:rPr>
          <w:lang w:val="fr-CH"/>
        </w:rPr>
        <w:t>Zélande), président du Groupe de travail technique sur les plantes fruitières (TWF);</w:t>
      </w:r>
    </w:p>
    <w:p w:rsidR="00CC73A7" w:rsidRPr="0027582B" w:rsidRDefault="00BA04A8" w:rsidP="00BA04A8">
      <w:pPr>
        <w:spacing w:after="60"/>
        <w:ind w:left="1134" w:hanging="567"/>
        <w:rPr>
          <w:lang w:val="fr-CH"/>
        </w:rPr>
      </w:pPr>
      <w:r w:rsidRPr="0027582B">
        <w:rPr>
          <w:lang w:val="fr-CH"/>
        </w:rPr>
        <w:t>c)</w:t>
      </w:r>
      <w:r w:rsidRPr="0027582B">
        <w:rPr>
          <w:lang w:val="fr-CH"/>
        </w:rPr>
        <w:tab/>
        <w:t>Mme</w:t>
      </w:r>
      <w:r w:rsidR="00F02AF7" w:rsidRPr="0027582B">
        <w:rPr>
          <w:lang w:val="fr-CH"/>
        </w:rPr>
        <w:t> </w:t>
      </w:r>
      <w:r w:rsidRPr="0027582B">
        <w:rPr>
          <w:lang w:val="fr-CH"/>
        </w:rPr>
        <w:t>Ashley Balchin (Canada), présidente du Groupe de travail technique sur les plantes ornementales et les arbres forestiers (TWO);</w:t>
      </w:r>
    </w:p>
    <w:p w:rsidR="00CC73A7" w:rsidRPr="0027582B" w:rsidRDefault="00BA04A8" w:rsidP="00BA04A8">
      <w:pPr>
        <w:spacing w:after="60"/>
        <w:ind w:left="1134" w:hanging="567"/>
        <w:rPr>
          <w:lang w:val="fr-CH"/>
        </w:rPr>
      </w:pPr>
      <w:r w:rsidRPr="0027582B">
        <w:rPr>
          <w:lang w:val="fr-CH"/>
        </w:rPr>
        <w:t>d)</w:t>
      </w:r>
      <w:r w:rsidRPr="0027582B">
        <w:rPr>
          <w:lang w:val="fr-CH"/>
        </w:rPr>
        <w:tab/>
        <w:t>Mme</w:t>
      </w:r>
      <w:r w:rsidR="00F02AF7" w:rsidRPr="0027582B">
        <w:rPr>
          <w:lang w:val="fr-CH"/>
        </w:rPr>
        <w:t> </w:t>
      </w:r>
      <w:r w:rsidRPr="0027582B">
        <w:rPr>
          <w:lang w:val="fr-CH"/>
        </w:rPr>
        <w:t>Marian van Leeuwen (Pays</w:t>
      </w:r>
      <w:r w:rsidR="0061079C">
        <w:rPr>
          <w:lang w:val="fr-CH"/>
        </w:rPr>
        <w:t>-</w:t>
      </w:r>
      <w:r w:rsidRPr="0027582B">
        <w:rPr>
          <w:lang w:val="fr-CH"/>
        </w:rPr>
        <w:t>Bas), présidente du Groupe de travail technique sur les plantes potagères (TWV</w:t>
      </w:r>
      <w:proofErr w:type="gramStart"/>
      <w:r w:rsidRPr="0027582B">
        <w:rPr>
          <w:lang w:val="fr-CH"/>
        </w:rPr>
        <w:t>);  et</w:t>
      </w:r>
      <w:proofErr w:type="gramEnd"/>
    </w:p>
    <w:p w:rsidR="00CC73A7" w:rsidRPr="0027582B" w:rsidRDefault="00BA04A8" w:rsidP="00BA04A8">
      <w:pPr>
        <w:ind w:left="1134" w:hanging="567"/>
        <w:rPr>
          <w:lang w:val="fr-CH"/>
        </w:rPr>
      </w:pPr>
      <w:r w:rsidRPr="0027582B">
        <w:rPr>
          <w:lang w:val="fr-CH"/>
        </w:rPr>
        <w:t>e)</w:t>
      </w:r>
      <w:r w:rsidRPr="0027582B">
        <w:rPr>
          <w:lang w:val="fr-CH"/>
        </w:rPr>
        <w:tab/>
        <w:t>Mme</w:t>
      </w:r>
      <w:r w:rsidR="00F02AF7" w:rsidRPr="0027582B">
        <w:rPr>
          <w:lang w:val="fr-CH"/>
        </w:rPr>
        <w:t> </w:t>
      </w:r>
      <w:r w:rsidRPr="0027582B">
        <w:rPr>
          <w:lang w:val="fr-CH"/>
        </w:rPr>
        <w:t xml:space="preserve">Beate </w:t>
      </w:r>
      <w:proofErr w:type="spellStart"/>
      <w:r w:rsidRPr="0027582B">
        <w:rPr>
          <w:lang w:val="fr-CH"/>
        </w:rPr>
        <w:t>Rücker</w:t>
      </w:r>
      <w:proofErr w:type="spellEnd"/>
      <w:r w:rsidRPr="0027582B">
        <w:rPr>
          <w:lang w:val="fr-CH"/>
        </w:rPr>
        <w:t xml:space="preserve"> (Allemagne), présidente du Groupe de travail sur les techniques biochimiques et moléculaires, notamment les profils d</w:t>
      </w:r>
      <w:r w:rsidR="0061079C">
        <w:rPr>
          <w:lang w:val="fr-CH"/>
        </w:rPr>
        <w:t>’</w:t>
      </w:r>
      <w:r w:rsidRPr="0027582B">
        <w:rPr>
          <w:lang w:val="fr-CH"/>
        </w:rPr>
        <w:t>ADN (BMT).</w:t>
      </w:r>
    </w:p>
    <w:p w:rsidR="00CC73A7" w:rsidRPr="00BA04A8" w:rsidRDefault="00CC73A7" w:rsidP="002C3711">
      <w:pPr>
        <w:jc w:val="left"/>
        <w:rPr>
          <w:lang w:val="fr-CH"/>
        </w:rPr>
      </w:pPr>
    </w:p>
    <w:p w:rsidR="00611648" w:rsidRDefault="00611648" w:rsidP="002C3711">
      <w:pPr>
        <w:rPr>
          <w:lang w:val="fr-CH"/>
        </w:rPr>
      </w:pPr>
    </w:p>
    <w:p w:rsidR="00050E16" w:rsidRPr="00C5280D" w:rsidRDefault="00050E16" w:rsidP="00D34E8B">
      <w:pPr>
        <w:jc w:val="right"/>
      </w:pPr>
      <w:r w:rsidRPr="00C5280D">
        <w:t>[</w:t>
      </w:r>
      <w:r w:rsidR="00A706D3">
        <w:t xml:space="preserve">Fin du </w:t>
      </w:r>
      <w:r w:rsidRPr="00C5280D">
        <w:t>document]</w:t>
      </w:r>
    </w:p>
    <w:sectPr w:rsidR="00050E16" w:rsidRPr="00C5280D" w:rsidSect="00D53254">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50" w:rsidRDefault="00154E50" w:rsidP="006655D3">
      <w:r>
        <w:separator/>
      </w:r>
    </w:p>
    <w:p w:rsidR="00154E50" w:rsidRDefault="00154E50" w:rsidP="006655D3"/>
    <w:p w:rsidR="00154E50" w:rsidRDefault="00154E50" w:rsidP="006655D3"/>
  </w:endnote>
  <w:endnote w:type="continuationSeparator" w:id="0">
    <w:p w:rsidR="00154E50" w:rsidRDefault="00154E50" w:rsidP="006655D3">
      <w:r>
        <w:separator/>
      </w:r>
    </w:p>
    <w:p w:rsidR="00154E50" w:rsidRPr="00294751" w:rsidRDefault="00154E50">
      <w:pPr>
        <w:pStyle w:val="Footer"/>
        <w:spacing w:after="60"/>
        <w:rPr>
          <w:sz w:val="18"/>
          <w:lang w:val="fr-FR"/>
        </w:rPr>
      </w:pPr>
      <w:r w:rsidRPr="00294751">
        <w:rPr>
          <w:sz w:val="18"/>
          <w:lang w:val="fr-FR"/>
        </w:rPr>
        <w:t>[Suite de la note de la page précédente]</w:t>
      </w:r>
    </w:p>
    <w:p w:rsidR="00154E50" w:rsidRPr="00294751" w:rsidRDefault="00154E50" w:rsidP="006655D3"/>
    <w:p w:rsidR="00154E50" w:rsidRPr="00294751" w:rsidRDefault="00154E50" w:rsidP="006655D3"/>
  </w:endnote>
  <w:endnote w:type="continuationNotice" w:id="1">
    <w:p w:rsidR="00154E50" w:rsidRPr="00294751" w:rsidRDefault="00154E50" w:rsidP="006655D3">
      <w:r w:rsidRPr="00294751">
        <w:t>[Suite de la note page suivante]</w:t>
      </w:r>
    </w:p>
    <w:p w:rsidR="00154E50" w:rsidRPr="00294751" w:rsidRDefault="00154E50" w:rsidP="006655D3"/>
    <w:p w:rsidR="00154E50" w:rsidRPr="00294751" w:rsidRDefault="00154E5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54" w:rsidRDefault="00D53254" w:rsidP="00D53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54" w:rsidRDefault="00D53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54" w:rsidRDefault="00D5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50" w:rsidRDefault="00154E50" w:rsidP="006655D3">
      <w:r>
        <w:separator/>
      </w:r>
    </w:p>
  </w:footnote>
  <w:footnote w:type="continuationSeparator" w:id="0">
    <w:p w:rsidR="00154E50" w:rsidRDefault="00154E50" w:rsidP="006655D3">
      <w:r>
        <w:separator/>
      </w:r>
    </w:p>
  </w:footnote>
  <w:footnote w:type="continuationNotice" w:id="1">
    <w:p w:rsidR="00154E50" w:rsidRPr="00AB530F" w:rsidRDefault="00154E50" w:rsidP="00AB530F">
      <w:pPr>
        <w:pStyle w:val="Footer"/>
      </w:pPr>
    </w:p>
  </w:footnote>
  <w:footnote w:id="2">
    <w:p w:rsidR="00154E50" w:rsidRPr="0027582B" w:rsidRDefault="00154E50" w:rsidP="0027582B">
      <w:pPr>
        <w:pStyle w:val="FootnoteText"/>
        <w:rPr>
          <w:lang w:val="fr-CH"/>
        </w:rPr>
      </w:pPr>
      <w:r w:rsidRPr="0027582B">
        <w:rPr>
          <w:rStyle w:val="FootnoteReference"/>
        </w:rPr>
        <w:footnoteRef/>
      </w:r>
      <w:r w:rsidRPr="0027582B">
        <w:rPr>
          <w:lang w:val="fr-CH"/>
        </w:rPr>
        <w:t xml:space="preserve"> </w:t>
      </w:r>
      <w:r w:rsidRPr="0027582B">
        <w:rPr>
          <w:lang w:val="fr-CH"/>
        </w:rPr>
        <w:tab/>
        <w:t>La procédure relative à l</w:t>
      </w:r>
      <w:r w:rsidR="001B7921">
        <w:rPr>
          <w:lang w:val="fr-CH"/>
        </w:rPr>
        <w:t>’</w:t>
      </w:r>
      <w:r w:rsidRPr="0027582B">
        <w:rPr>
          <w:lang w:val="fr-CH"/>
        </w:rPr>
        <w:t>examen des documents par correspondance est indiquée dans la circulaire E</w:t>
      </w:r>
      <w:r w:rsidR="001B7921">
        <w:rPr>
          <w:lang w:val="fr-CH"/>
        </w:rPr>
        <w:t>-</w:t>
      </w:r>
      <w:r w:rsidRPr="0027582B">
        <w:rPr>
          <w:lang w:val="fr-CH"/>
        </w:rPr>
        <w:t>20/094 du 23 juillet 2020 (disponible sur les pages Web consacrée à la cinquante</w:t>
      </w:r>
      <w:r w:rsidR="001B7921">
        <w:rPr>
          <w:lang w:val="fr-CH"/>
        </w:rPr>
        <w:t>-</w:t>
      </w:r>
      <w:r w:rsidRPr="0027582B">
        <w:rPr>
          <w:lang w:val="fr-CH"/>
        </w:rPr>
        <w:t>six</w:t>
      </w:r>
      <w:r w:rsidR="001B7921">
        <w:rPr>
          <w:lang w:val="fr-CH"/>
        </w:rPr>
        <w:t>ième session</w:t>
      </w:r>
      <w:r w:rsidRPr="0027582B">
        <w:rPr>
          <w:lang w:val="fr-CH"/>
        </w:rPr>
        <w:t xml:space="preserve"> du</w:t>
      </w:r>
      <w:r w:rsidR="001B7921">
        <w:rPr>
          <w:lang w:val="fr-CH"/>
        </w:rPr>
        <w:t> TC</w:t>
      </w:r>
      <w:r w:rsidRPr="0027582B">
        <w:rPr>
          <w:lang w:val="fr-CH"/>
        </w:rPr>
        <w:t>, à la soixante</w:t>
      </w:r>
      <w:r w:rsidR="001B7921">
        <w:rPr>
          <w:lang w:val="fr-CH"/>
        </w:rPr>
        <w:t>-</w:t>
      </w:r>
      <w:r w:rsidRPr="0027582B">
        <w:rPr>
          <w:lang w:val="fr-CH"/>
        </w:rPr>
        <w:t>dix</w:t>
      </w:r>
      <w:r w:rsidR="001B7921">
        <w:rPr>
          <w:lang w:val="fr-CH"/>
        </w:rPr>
        <w:t>-</w:t>
      </w:r>
      <w:r w:rsidRPr="0027582B">
        <w:rPr>
          <w:lang w:val="fr-CH"/>
        </w:rPr>
        <w:t>sept</w:t>
      </w:r>
      <w:r w:rsidR="001B7921">
        <w:rPr>
          <w:lang w:val="fr-CH"/>
        </w:rPr>
        <w:t>ième session</w:t>
      </w:r>
      <w:r w:rsidRPr="0027582B">
        <w:rPr>
          <w:lang w:val="fr-CH"/>
        </w:rPr>
        <w:t xml:space="preserve"> du CAJ et à la cinquante</w:t>
      </w:r>
      <w:r w:rsidR="001B7921">
        <w:rPr>
          <w:lang w:val="fr-CH"/>
        </w:rPr>
        <w:t>-</w:t>
      </w:r>
      <w:r w:rsidRPr="0027582B">
        <w:rPr>
          <w:lang w:val="fr-CH"/>
        </w:rPr>
        <w:t>quatr</w:t>
      </w:r>
      <w:r w:rsidR="001B7921">
        <w:rPr>
          <w:lang w:val="fr-CH"/>
        </w:rPr>
        <w:t>ième session</w:t>
      </w:r>
      <w:r w:rsidRPr="0027582B">
        <w:rPr>
          <w:lang w:val="fr-CH"/>
        </w:rPr>
        <w:t xml:space="preserve">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54" w:rsidRPr="00C5280D" w:rsidRDefault="00D53254" w:rsidP="00D53254">
    <w:pPr>
      <w:pStyle w:val="Header"/>
      <w:rPr>
        <w:rStyle w:val="PageNumber"/>
        <w:lang w:val="en-US"/>
      </w:rPr>
    </w:pPr>
    <w:r>
      <w:rPr>
        <w:rStyle w:val="PageNumber"/>
        <w:lang w:val="en-US"/>
      </w:rPr>
      <w:t>C/54/17</w:t>
    </w:r>
  </w:p>
  <w:p w:rsidR="00D53254" w:rsidRPr="00C5280D" w:rsidRDefault="00D53254" w:rsidP="00D53254">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3866">
      <w:rPr>
        <w:rStyle w:val="PageNumber"/>
        <w:noProof/>
        <w:lang w:val="en-US"/>
      </w:rPr>
      <w:t>8</w:t>
    </w:r>
    <w:r w:rsidRPr="00C5280D">
      <w:rPr>
        <w:rStyle w:val="PageNumber"/>
        <w:lang w:val="en-US"/>
      </w:rPr>
      <w:fldChar w:fldCharType="end"/>
    </w:r>
  </w:p>
  <w:p w:rsidR="00D53254" w:rsidRPr="00C5280D" w:rsidRDefault="00D53254" w:rsidP="00D532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50" w:rsidRPr="00C5280D" w:rsidRDefault="00154E50" w:rsidP="00A71548">
    <w:pPr>
      <w:pStyle w:val="Header"/>
      <w:rPr>
        <w:rStyle w:val="PageNumber"/>
        <w:lang w:val="en-US"/>
      </w:rPr>
    </w:pPr>
    <w:r>
      <w:rPr>
        <w:rStyle w:val="PageNumber"/>
        <w:lang w:val="en-US"/>
      </w:rPr>
      <w:t>C/54/17</w:t>
    </w:r>
  </w:p>
  <w:p w:rsidR="00154E50" w:rsidRPr="00C5280D" w:rsidRDefault="00154E50"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3866">
      <w:rPr>
        <w:rStyle w:val="PageNumber"/>
        <w:noProof/>
        <w:lang w:val="en-US"/>
      </w:rPr>
      <w:t>9</w:t>
    </w:r>
    <w:r w:rsidRPr="00C5280D">
      <w:rPr>
        <w:rStyle w:val="PageNumber"/>
        <w:lang w:val="en-US"/>
      </w:rPr>
      <w:fldChar w:fldCharType="end"/>
    </w:r>
  </w:p>
  <w:p w:rsidR="00154E50" w:rsidRPr="00C5280D" w:rsidRDefault="00154E5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54" w:rsidRDefault="00D53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74BF0"/>
    <w:multiLevelType w:val="hybridMultilevel"/>
    <w:tmpl w:val="E828C2B8"/>
    <w:lvl w:ilvl="0" w:tplc="04090017">
      <w:start w:val="1"/>
      <w:numFmt w:val="lowerLetter"/>
      <w:lvlText w:val="%1)"/>
      <w:lvlJc w:val="left"/>
      <w:pPr>
        <w:ind w:left="720" w:hanging="360"/>
      </w:pPr>
      <w:rPr>
        <w:rFonts w:hint="default"/>
      </w:rPr>
    </w:lvl>
    <w:lvl w:ilvl="1" w:tplc="FE780BF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C3711"/>
    <w:rsid w:val="00010CF3"/>
    <w:rsid w:val="00011E27"/>
    <w:rsid w:val="000148BC"/>
    <w:rsid w:val="00015A7B"/>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07232"/>
    <w:rsid w:val="001104E8"/>
    <w:rsid w:val="00110C36"/>
    <w:rsid w:val="001131D5"/>
    <w:rsid w:val="0011412E"/>
    <w:rsid w:val="001230BA"/>
    <w:rsid w:val="00141DB8"/>
    <w:rsid w:val="00154E50"/>
    <w:rsid w:val="00170813"/>
    <w:rsid w:val="00172084"/>
    <w:rsid w:val="0017474A"/>
    <w:rsid w:val="001758C6"/>
    <w:rsid w:val="00182B99"/>
    <w:rsid w:val="00197AB1"/>
    <w:rsid w:val="001B7921"/>
    <w:rsid w:val="002130B7"/>
    <w:rsid w:val="0021332C"/>
    <w:rsid w:val="00213982"/>
    <w:rsid w:val="00235CD2"/>
    <w:rsid w:val="0024416D"/>
    <w:rsid w:val="0025250B"/>
    <w:rsid w:val="00253E66"/>
    <w:rsid w:val="0026095A"/>
    <w:rsid w:val="002644B2"/>
    <w:rsid w:val="00271911"/>
    <w:rsid w:val="0027582B"/>
    <w:rsid w:val="002800A0"/>
    <w:rsid w:val="002801B3"/>
    <w:rsid w:val="00281060"/>
    <w:rsid w:val="002940E8"/>
    <w:rsid w:val="00294751"/>
    <w:rsid w:val="002A6E50"/>
    <w:rsid w:val="002B4298"/>
    <w:rsid w:val="002C0024"/>
    <w:rsid w:val="002C256A"/>
    <w:rsid w:val="002C3711"/>
    <w:rsid w:val="00305A7F"/>
    <w:rsid w:val="003152FE"/>
    <w:rsid w:val="00327436"/>
    <w:rsid w:val="00327BBA"/>
    <w:rsid w:val="00337C0A"/>
    <w:rsid w:val="00344BD6"/>
    <w:rsid w:val="0035084F"/>
    <w:rsid w:val="0035528D"/>
    <w:rsid w:val="00361821"/>
    <w:rsid w:val="00361E9E"/>
    <w:rsid w:val="003C7FBE"/>
    <w:rsid w:val="003D227C"/>
    <w:rsid w:val="003D2B4D"/>
    <w:rsid w:val="003E39A6"/>
    <w:rsid w:val="0040557F"/>
    <w:rsid w:val="00444A88"/>
    <w:rsid w:val="00474DA4"/>
    <w:rsid w:val="00476B4D"/>
    <w:rsid w:val="004805FA"/>
    <w:rsid w:val="004935D2"/>
    <w:rsid w:val="004B1215"/>
    <w:rsid w:val="004C38BE"/>
    <w:rsid w:val="004C5AE3"/>
    <w:rsid w:val="004D047D"/>
    <w:rsid w:val="004F1E9E"/>
    <w:rsid w:val="004F305A"/>
    <w:rsid w:val="00505B50"/>
    <w:rsid w:val="00512164"/>
    <w:rsid w:val="00520297"/>
    <w:rsid w:val="005338F9"/>
    <w:rsid w:val="0054281C"/>
    <w:rsid w:val="00544581"/>
    <w:rsid w:val="00545E42"/>
    <w:rsid w:val="0055268D"/>
    <w:rsid w:val="00576BE4"/>
    <w:rsid w:val="005A400A"/>
    <w:rsid w:val="005E7EA6"/>
    <w:rsid w:val="005F7B92"/>
    <w:rsid w:val="0061079C"/>
    <w:rsid w:val="00611648"/>
    <w:rsid w:val="00612379"/>
    <w:rsid w:val="006153B6"/>
    <w:rsid w:val="0061555F"/>
    <w:rsid w:val="006279B2"/>
    <w:rsid w:val="00636CA6"/>
    <w:rsid w:val="00641200"/>
    <w:rsid w:val="00645CA8"/>
    <w:rsid w:val="006655D3"/>
    <w:rsid w:val="00667404"/>
    <w:rsid w:val="00687EB4"/>
    <w:rsid w:val="00695C56"/>
    <w:rsid w:val="006A5CDE"/>
    <w:rsid w:val="006A644A"/>
    <w:rsid w:val="006B17D2"/>
    <w:rsid w:val="006C224E"/>
    <w:rsid w:val="006D780A"/>
    <w:rsid w:val="006E55FD"/>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1780B"/>
    <w:rsid w:val="008211B5"/>
    <w:rsid w:val="0082296E"/>
    <w:rsid w:val="00824099"/>
    <w:rsid w:val="00846D7C"/>
    <w:rsid w:val="00864C55"/>
    <w:rsid w:val="00867AC1"/>
    <w:rsid w:val="008902CC"/>
    <w:rsid w:val="00890DF8"/>
    <w:rsid w:val="008A743F"/>
    <w:rsid w:val="008C0970"/>
    <w:rsid w:val="008D05FF"/>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AF3D7C"/>
    <w:rsid w:val="00B07301"/>
    <w:rsid w:val="00B11F3E"/>
    <w:rsid w:val="00B224DE"/>
    <w:rsid w:val="00B324D4"/>
    <w:rsid w:val="00B35888"/>
    <w:rsid w:val="00B46575"/>
    <w:rsid w:val="00B61777"/>
    <w:rsid w:val="00B84BBD"/>
    <w:rsid w:val="00B967FA"/>
    <w:rsid w:val="00BA04A8"/>
    <w:rsid w:val="00BA43FB"/>
    <w:rsid w:val="00BB412A"/>
    <w:rsid w:val="00BC127D"/>
    <w:rsid w:val="00BC1FE6"/>
    <w:rsid w:val="00C061B6"/>
    <w:rsid w:val="00C2446C"/>
    <w:rsid w:val="00C36AE5"/>
    <w:rsid w:val="00C41F17"/>
    <w:rsid w:val="00C527FA"/>
    <w:rsid w:val="00C5280D"/>
    <w:rsid w:val="00C53EB3"/>
    <w:rsid w:val="00C5791C"/>
    <w:rsid w:val="00C65039"/>
    <w:rsid w:val="00C66290"/>
    <w:rsid w:val="00C72B7A"/>
    <w:rsid w:val="00C82668"/>
    <w:rsid w:val="00C93A51"/>
    <w:rsid w:val="00C963AB"/>
    <w:rsid w:val="00C973F2"/>
    <w:rsid w:val="00CA304C"/>
    <w:rsid w:val="00CA774A"/>
    <w:rsid w:val="00CC11B0"/>
    <w:rsid w:val="00CC2841"/>
    <w:rsid w:val="00CC73A7"/>
    <w:rsid w:val="00CD005B"/>
    <w:rsid w:val="00CF1330"/>
    <w:rsid w:val="00CF7E36"/>
    <w:rsid w:val="00D01D71"/>
    <w:rsid w:val="00D04FD9"/>
    <w:rsid w:val="00D211B3"/>
    <w:rsid w:val="00D34E8B"/>
    <w:rsid w:val="00D3708D"/>
    <w:rsid w:val="00D40426"/>
    <w:rsid w:val="00D41B08"/>
    <w:rsid w:val="00D53254"/>
    <w:rsid w:val="00D57C96"/>
    <w:rsid w:val="00D57D18"/>
    <w:rsid w:val="00D91203"/>
    <w:rsid w:val="00D95174"/>
    <w:rsid w:val="00DA4973"/>
    <w:rsid w:val="00DA6F36"/>
    <w:rsid w:val="00DB596E"/>
    <w:rsid w:val="00DB7773"/>
    <w:rsid w:val="00DC00EA"/>
    <w:rsid w:val="00DC3802"/>
    <w:rsid w:val="00E07D87"/>
    <w:rsid w:val="00E16715"/>
    <w:rsid w:val="00E32F7E"/>
    <w:rsid w:val="00E41238"/>
    <w:rsid w:val="00E43866"/>
    <w:rsid w:val="00E5267B"/>
    <w:rsid w:val="00E63C0E"/>
    <w:rsid w:val="00E67C8E"/>
    <w:rsid w:val="00E72D49"/>
    <w:rsid w:val="00E7593C"/>
    <w:rsid w:val="00E7678A"/>
    <w:rsid w:val="00E935F1"/>
    <w:rsid w:val="00E94A81"/>
    <w:rsid w:val="00EA1FFB"/>
    <w:rsid w:val="00EB048E"/>
    <w:rsid w:val="00EB4E9C"/>
    <w:rsid w:val="00EB652C"/>
    <w:rsid w:val="00EC7BFD"/>
    <w:rsid w:val="00EE34DF"/>
    <w:rsid w:val="00EF2F89"/>
    <w:rsid w:val="00F02AF7"/>
    <w:rsid w:val="00F03E98"/>
    <w:rsid w:val="00F1237A"/>
    <w:rsid w:val="00F14FE3"/>
    <w:rsid w:val="00F16042"/>
    <w:rsid w:val="00F22CBD"/>
    <w:rsid w:val="00F272F1"/>
    <w:rsid w:val="00F45372"/>
    <w:rsid w:val="00F455EC"/>
    <w:rsid w:val="00F560F7"/>
    <w:rsid w:val="00F6334D"/>
    <w:rsid w:val="00FA49AB"/>
    <w:rsid w:val="00FD271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2167B9"/>
  <w15:docId w15:val="{B9AFF74F-2B13-4877-830C-F8B1548A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27582B"/>
    <w:pPr>
      <w:spacing w:before="6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15A7B"/>
    <w:pPr>
      <w:tabs>
        <w:tab w:val="right" w:leader="dot" w:pos="9639"/>
      </w:tabs>
      <w:spacing w:after="120"/>
      <w:ind w:left="284" w:right="851"/>
      <w:contextualSpacing/>
    </w:pPr>
    <w:rPr>
      <w:rFonts w:ascii="Arial" w:hAnsi="Arial"/>
      <w:sz w:val="18"/>
    </w:rPr>
  </w:style>
  <w:style w:type="paragraph" w:styleId="TOC3">
    <w:name w:val="toc 3"/>
    <w:next w:val="Normal"/>
    <w:autoRedefine/>
    <w:uiPriority w:val="39"/>
    <w:rsid w:val="00015A7B"/>
    <w:pPr>
      <w:tabs>
        <w:tab w:val="right" w:leader="dot" w:pos="9639"/>
      </w:tabs>
      <w:spacing w:after="120"/>
      <w:ind w:left="568" w:right="851" w:hanging="1"/>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15A7B"/>
    <w:pPr>
      <w:tabs>
        <w:tab w:val="right" w:leader="dot" w:pos="9639"/>
      </w:tabs>
      <w:spacing w:after="120"/>
      <w:ind w:left="851" w:right="851"/>
    </w:pPr>
    <w:rPr>
      <w:rFonts w:ascii="Arial" w:hAnsi="Arial"/>
      <w:sz w:val="16"/>
      <w:lang w:val="fr-FR"/>
    </w:rPr>
  </w:style>
  <w:style w:type="paragraph" w:styleId="TOC1">
    <w:name w:val="toc 1"/>
    <w:next w:val="Normal"/>
    <w:autoRedefine/>
    <w:uiPriority w:val="39"/>
    <w:rsid w:val="00D53254"/>
    <w:pPr>
      <w:tabs>
        <w:tab w:val="right" w:leader="dot" w:pos="9639"/>
      </w:tabs>
      <w:spacing w:after="120"/>
    </w:pPr>
    <w:rPr>
      <w:rFonts w:ascii="Arial" w:hAnsi="Arial"/>
      <w:caps/>
      <w:sz w:val="18"/>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7582B"/>
    <w:rPr>
      <w:rFonts w:ascii="Arial" w:hAnsi="Arial"/>
      <w:sz w:val="16"/>
      <w:lang w:val="fr-FR"/>
    </w:rPr>
  </w:style>
  <w:style w:type="character" w:styleId="FollowedHyperlink">
    <w:name w:val="FollowedHyperlink"/>
    <w:basedOn w:val="DefaultParagraphFont"/>
    <w:semiHidden/>
    <w:unhideWhenUsed/>
    <w:rsid w:val="00213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fr/details.jsp?meeting_id=5568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rg/sustainabledevelopment/fr/objectifs-de-developpement-durab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3618</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BAILLY Delphine</dc:creator>
  <cp:keywords>FOR OFFICIAL USE ONLY</cp:keywords>
  <cp:lastModifiedBy>SANTOS Carla Marina</cp:lastModifiedBy>
  <cp:revision>8</cp:revision>
  <cp:lastPrinted>2016-11-22T15:41:00Z</cp:lastPrinted>
  <dcterms:created xsi:type="dcterms:W3CDTF">2020-10-27T10:12:00Z</dcterms:created>
  <dcterms:modified xsi:type="dcterms:W3CDTF">2020-11-16T14:00:00Z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6d987c88-67b7-46bc-aa1c-4c514090a6ad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