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222D6" w:rsidRPr="00FB0850" w:rsidTr="00EB4E9C">
        <w:tc>
          <w:tcPr>
            <w:tcW w:w="6522" w:type="dxa"/>
          </w:tcPr>
          <w:p w:rsidR="00DC3802" w:rsidRPr="00FB0850" w:rsidRDefault="00612887" w:rsidP="00AC2883">
            <w:r w:rsidRPr="00FB0850">
              <w:rPr>
                <w:noProof/>
                <w:lang w:val="en-US"/>
              </w:rPr>
              <w:drawing>
                <wp:inline distT="0" distB="0" distL="0" distR="0">
                  <wp:extent cx="951230" cy="24320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243205"/>
                          </a:xfrm>
                          <a:prstGeom prst="rect">
                            <a:avLst/>
                          </a:prstGeom>
                          <a:noFill/>
                          <a:ln>
                            <a:noFill/>
                          </a:ln>
                        </pic:spPr>
                      </pic:pic>
                    </a:graphicData>
                  </a:graphic>
                </wp:inline>
              </w:drawing>
            </w:r>
          </w:p>
        </w:tc>
        <w:tc>
          <w:tcPr>
            <w:tcW w:w="3117" w:type="dxa"/>
          </w:tcPr>
          <w:p w:rsidR="00DC3802" w:rsidRPr="00FB0850" w:rsidRDefault="000222D6" w:rsidP="00C33AF0">
            <w:pPr>
              <w:pStyle w:val="Lettrine"/>
            </w:pPr>
            <w:r w:rsidRPr="00FB0850">
              <w:t>F</w:t>
            </w:r>
          </w:p>
        </w:tc>
      </w:tr>
      <w:tr w:rsidR="00DC3802" w:rsidRPr="00FB0850" w:rsidTr="00645CA8">
        <w:trPr>
          <w:trHeight w:val="219"/>
        </w:trPr>
        <w:tc>
          <w:tcPr>
            <w:tcW w:w="6522" w:type="dxa"/>
          </w:tcPr>
          <w:p w:rsidR="00DC3802" w:rsidRPr="00FB0850" w:rsidRDefault="00C33AF0" w:rsidP="00AC2883">
            <w:pPr>
              <w:pStyle w:val="upove"/>
            </w:pPr>
            <w:r w:rsidRPr="00FB0850">
              <w:t>Union internationale pour la protection des obtentions végétales</w:t>
            </w:r>
          </w:p>
        </w:tc>
        <w:tc>
          <w:tcPr>
            <w:tcW w:w="3117" w:type="dxa"/>
          </w:tcPr>
          <w:p w:rsidR="00DC3802" w:rsidRPr="00FB0850" w:rsidRDefault="00DC3802" w:rsidP="00466537"/>
        </w:tc>
      </w:tr>
    </w:tbl>
    <w:p w:rsidR="00CA3696" w:rsidRPr="00FB0850" w:rsidRDefault="00CA3696" w:rsidP="00DC3802"/>
    <w:p w:rsidR="00DA4973" w:rsidRPr="00FB085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222D6" w:rsidRPr="00FB0850" w:rsidTr="00EB4E9C">
        <w:tc>
          <w:tcPr>
            <w:tcW w:w="6512" w:type="dxa"/>
          </w:tcPr>
          <w:p w:rsidR="00CA3696" w:rsidRPr="006935BD" w:rsidRDefault="00A3365A" w:rsidP="00AC2883">
            <w:pPr>
              <w:pStyle w:val="Sessiontc"/>
              <w:spacing w:line="240" w:lineRule="auto"/>
            </w:pPr>
            <w:r w:rsidRPr="006935BD">
              <w:t>Con</w:t>
            </w:r>
            <w:r w:rsidR="00C33AF0" w:rsidRPr="006935BD">
              <w:t>sei</w:t>
            </w:r>
            <w:r w:rsidRPr="006935BD">
              <w:t>l</w:t>
            </w:r>
          </w:p>
          <w:p w:rsidR="00EB4E9C" w:rsidRPr="006935BD" w:rsidRDefault="00C33AF0" w:rsidP="000222D6">
            <w:pPr>
              <w:pStyle w:val="Sessiontcplacedate"/>
              <w:rPr>
                <w:sz w:val="22"/>
              </w:rPr>
            </w:pPr>
            <w:r w:rsidRPr="006935BD">
              <w:t>Cinquante</w:t>
            </w:r>
            <w:r w:rsidR="00ED7246" w:rsidRPr="006935BD">
              <w:t>-</w:t>
            </w:r>
            <w:r w:rsidRPr="006935BD">
              <w:t>trois</w:t>
            </w:r>
            <w:r w:rsidR="00ED7246" w:rsidRPr="006935BD">
              <w:t>ième session</w:t>
            </w:r>
            <w:r w:rsidRPr="006935BD">
              <w:t xml:space="preserve"> ordinaire</w:t>
            </w:r>
            <w:r w:rsidR="00EB4E9C" w:rsidRPr="006935BD">
              <w:br/>
              <w:t>Gen</w:t>
            </w:r>
            <w:r w:rsidRPr="006935BD">
              <w:t>è</w:t>
            </w:r>
            <w:r w:rsidR="00EB4E9C" w:rsidRPr="006935BD">
              <w:t>v</w:t>
            </w:r>
            <w:r w:rsidRPr="006935BD">
              <w:t>e</w:t>
            </w:r>
            <w:r w:rsidR="00EB4E9C" w:rsidRPr="006935BD">
              <w:t>,</w:t>
            </w:r>
            <w:r w:rsidR="00ED7246" w:rsidRPr="006935BD">
              <w:t xml:space="preserve"> 1</w:t>
            </w:r>
            <w:r w:rsidR="00ED7246" w:rsidRPr="006935BD">
              <w:rPr>
                <w:vertAlign w:val="superscript"/>
              </w:rPr>
              <w:t>er</w:t>
            </w:r>
            <w:r w:rsidR="00ED7246" w:rsidRPr="006935BD">
              <w:t> novembre 20</w:t>
            </w:r>
            <w:r w:rsidR="00782255" w:rsidRPr="006935BD">
              <w:t>19</w:t>
            </w:r>
          </w:p>
        </w:tc>
        <w:tc>
          <w:tcPr>
            <w:tcW w:w="3127" w:type="dxa"/>
          </w:tcPr>
          <w:p w:rsidR="00CA3696" w:rsidRPr="006935BD" w:rsidRDefault="00782255" w:rsidP="003C7FBE">
            <w:pPr>
              <w:pStyle w:val="Doccode"/>
              <w:rPr>
                <w:lang w:val="fr-FR"/>
              </w:rPr>
            </w:pPr>
            <w:r w:rsidRPr="006935BD">
              <w:rPr>
                <w:lang w:val="fr-FR"/>
              </w:rPr>
              <w:t>C</w:t>
            </w:r>
            <w:r w:rsidR="00D32A63" w:rsidRPr="006935BD">
              <w:rPr>
                <w:lang w:val="fr-FR"/>
              </w:rPr>
              <w:t>/53/6</w:t>
            </w:r>
          </w:p>
          <w:p w:rsidR="00CA3696" w:rsidRPr="006935BD" w:rsidRDefault="00EB4E9C" w:rsidP="003C7FBE">
            <w:pPr>
              <w:pStyle w:val="Docoriginal"/>
            </w:pPr>
            <w:r w:rsidRPr="006935BD">
              <w:t>Original</w:t>
            </w:r>
            <w:r w:rsidR="00ED7246" w:rsidRPr="006935BD">
              <w:t> :</w:t>
            </w:r>
            <w:r w:rsidRPr="006935BD">
              <w:rPr>
                <w:b w:val="0"/>
                <w:spacing w:val="0"/>
              </w:rPr>
              <w:t xml:space="preserve"> </w:t>
            </w:r>
            <w:r w:rsidR="000222D6" w:rsidRPr="006935BD">
              <w:rPr>
                <w:b w:val="0"/>
                <w:spacing w:val="0"/>
              </w:rPr>
              <w:t>anglais</w:t>
            </w:r>
          </w:p>
          <w:p w:rsidR="00EB4E9C" w:rsidRPr="00FB0850" w:rsidRDefault="00EB4E9C" w:rsidP="00D15D21">
            <w:pPr>
              <w:pStyle w:val="Docoriginal"/>
            </w:pPr>
            <w:r w:rsidRPr="006935BD">
              <w:t>Date</w:t>
            </w:r>
            <w:r w:rsidR="00ED7246" w:rsidRPr="006935BD">
              <w:t> :</w:t>
            </w:r>
            <w:r w:rsidRPr="006935BD">
              <w:rPr>
                <w:b w:val="0"/>
                <w:spacing w:val="0"/>
              </w:rPr>
              <w:t xml:space="preserve"> </w:t>
            </w:r>
            <w:r w:rsidR="00D15D21">
              <w:rPr>
                <w:b w:val="0"/>
                <w:spacing w:val="0"/>
              </w:rPr>
              <w:t>5</w:t>
            </w:r>
            <w:bookmarkStart w:id="0" w:name="_GoBack"/>
            <w:bookmarkEnd w:id="0"/>
            <w:r w:rsidR="006935BD" w:rsidRPr="006935BD">
              <w:rPr>
                <w:b w:val="0"/>
                <w:spacing w:val="0"/>
              </w:rPr>
              <w:t xml:space="preserve"> août</w:t>
            </w:r>
            <w:r w:rsidR="00ED7246" w:rsidRPr="006935BD">
              <w:rPr>
                <w:b w:val="0"/>
                <w:spacing w:val="0"/>
              </w:rPr>
              <w:t> 20</w:t>
            </w:r>
            <w:r w:rsidRPr="006935BD">
              <w:rPr>
                <w:b w:val="0"/>
                <w:spacing w:val="0"/>
              </w:rPr>
              <w:t>1</w:t>
            </w:r>
            <w:r w:rsidR="00782255" w:rsidRPr="006935BD">
              <w:rPr>
                <w:b w:val="0"/>
                <w:spacing w:val="0"/>
              </w:rPr>
              <w:t>9</w:t>
            </w:r>
          </w:p>
        </w:tc>
      </w:tr>
    </w:tbl>
    <w:p w:rsidR="00CA3696" w:rsidRPr="00FB0850" w:rsidRDefault="00614A71" w:rsidP="00614A71">
      <w:pPr>
        <w:pStyle w:val="Titleofdoc0"/>
      </w:pPr>
      <w:bookmarkStart w:id="1" w:name="TitleOfDoc"/>
      <w:bookmarkEnd w:id="1"/>
      <w:r w:rsidRPr="00FB0850">
        <w:t>RAPPORT DU VÉRIFICATEUR EXTERNE DES COMPTES</w:t>
      </w:r>
    </w:p>
    <w:p w:rsidR="00CA3696" w:rsidRPr="00FB0850" w:rsidRDefault="00614A71" w:rsidP="00614A71">
      <w:pPr>
        <w:pStyle w:val="preparedby1"/>
        <w:jc w:val="left"/>
      </w:pPr>
      <w:bookmarkStart w:id="2" w:name="Prepared"/>
      <w:bookmarkEnd w:id="2"/>
      <w:r w:rsidRPr="00FB0850">
        <w:t>Document établi par le Bureau de l</w:t>
      </w:r>
      <w:r w:rsidR="00ED7246" w:rsidRPr="00FB0850">
        <w:t>’</w:t>
      </w:r>
      <w:r w:rsidRPr="00FB0850">
        <w:t>Union</w:t>
      </w:r>
    </w:p>
    <w:p w:rsidR="00292EA7" w:rsidRPr="00FB0850" w:rsidRDefault="00292EA7" w:rsidP="00292EA7">
      <w:pPr>
        <w:spacing w:after="600"/>
        <w:rPr>
          <w:i/>
          <w:color w:val="A6A6A6"/>
        </w:rPr>
      </w:pPr>
      <w:r w:rsidRPr="00FB0850">
        <w:rPr>
          <w:i/>
          <w:color w:val="A6A6A6"/>
        </w:rPr>
        <w:t>‏Avertissement : le présent document ne représente pas les principes ou les orientations de l’UPOV</w:t>
      </w:r>
    </w:p>
    <w:p w:rsidR="00CA3696" w:rsidRPr="00FB0850" w:rsidRDefault="00FF5C42" w:rsidP="00342A9D">
      <w:r w:rsidRPr="00FB0850">
        <w:fldChar w:fldCharType="begin"/>
      </w:r>
      <w:r w:rsidRPr="00FB0850">
        <w:instrText xml:space="preserve"> AUTONUM  </w:instrText>
      </w:r>
      <w:r w:rsidRPr="00FB0850">
        <w:fldChar w:fldCharType="end"/>
      </w:r>
      <w:r w:rsidRPr="00FB0850">
        <w:tab/>
      </w:r>
      <w:r w:rsidR="00342A9D" w:rsidRPr="00FB0850">
        <w:t>Les états financiers de l</w:t>
      </w:r>
      <w:r w:rsidR="00ED7246" w:rsidRPr="00FB0850">
        <w:t>’</w:t>
      </w:r>
      <w:r w:rsidR="00342A9D" w:rsidRPr="00FB0850">
        <w:t>UPOV au 3</w:t>
      </w:r>
      <w:r w:rsidR="00ED7246" w:rsidRPr="00FB0850">
        <w:t>1 décembre 20</w:t>
      </w:r>
      <w:r w:rsidR="00342A9D" w:rsidRPr="00FB0850">
        <w:t>18 et le rapport du vérificateur externe des comptes sont communiqués au Conseil conformément à l</w:t>
      </w:r>
      <w:r w:rsidR="00ED7246" w:rsidRPr="00FB0850">
        <w:t>’article 6</w:t>
      </w:r>
      <w:r w:rsidR="00342A9D" w:rsidRPr="00FB0850">
        <w:t>.5 du Règlement financier et règlement d</w:t>
      </w:r>
      <w:r w:rsidR="00ED7246" w:rsidRPr="00FB0850">
        <w:t>’</w:t>
      </w:r>
      <w:r w:rsidR="00342A9D" w:rsidRPr="00FB0850">
        <w:t>exécution du Règlement financier de l</w:t>
      </w:r>
      <w:r w:rsidR="00ED7246" w:rsidRPr="00FB0850">
        <w:t>’</w:t>
      </w:r>
      <w:r w:rsidR="00342A9D" w:rsidRPr="00FB0850">
        <w:t>UPOV (document UPOV/INF/5/4), qui prévoit que le Conseil examine et approuve les états financie</w:t>
      </w:r>
      <w:r w:rsidR="002A21D7" w:rsidRPr="00FB0850">
        <w:t>rs.  Le</w:t>
      </w:r>
      <w:r w:rsidR="00342A9D" w:rsidRPr="00FB0850">
        <w:t xml:space="preserve">s états financiers </w:t>
      </w:r>
      <w:r w:rsidR="00ED7246" w:rsidRPr="00FB0850">
        <w:t>pour 2018</w:t>
      </w:r>
      <w:r w:rsidR="00342A9D" w:rsidRPr="00FB0850">
        <w:t xml:space="preserve"> figurent dans le document C/53/5.</w:t>
      </w:r>
      <w:r w:rsidRPr="00FB0850">
        <w:t xml:space="preserve">  </w:t>
      </w:r>
      <w:r w:rsidR="00342A9D" w:rsidRPr="00FB0850">
        <w:t>L</w:t>
      </w:r>
      <w:r w:rsidR="00ED7246" w:rsidRPr="00FB0850">
        <w:t>’</w:t>
      </w:r>
      <w:r w:rsidR="00342A9D" w:rsidRPr="00FB0850">
        <w:t>annexe de ce document contient le rapport du vérificateur externe des comptes.</w:t>
      </w:r>
    </w:p>
    <w:p w:rsidR="00CA3696" w:rsidRPr="00FB0850" w:rsidRDefault="00CA3696" w:rsidP="00FF5C42"/>
    <w:p w:rsidR="00CA3696" w:rsidRPr="00FB0850" w:rsidRDefault="00FF5C42" w:rsidP="00A460F0">
      <w:pPr>
        <w:pStyle w:val="DecisionParagraphs"/>
        <w:rPr>
          <w:rFonts w:cs="Arial"/>
        </w:rPr>
      </w:pPr>
      <w:r w:rsidRPr="00FB0850">
        <w:rPr>
          <w:rFonts w:cs="Arial"/>
        </w:rPr>
        <w:fldChar w:fldCharType="begin"/>
      </w:r>
      <w:r w:rsidRPr="00FB0850">
        <w:rPr>
          <w:rFonts w:cs="Arial"/>
        </w:rPr>
        <w:instrText xml:space="preserve"> AUTONUM  </w:instrText>
      </w:r>
      <w:r w:rsidRPr="00FB0850">
        <w:rPr>
          <w:rFonts w:cs="Arial"/>
        </w:rPr>
        <w:fldChar w:fldCharType="end"/>
      </w:r>
      <w:r w:rsidRPr="00FB0850">
        <w:rPr>
          <w:rFonts w:cs="Arial"/>
        </w:rPr>
        <w:tab/>
      </w:r>
      <w:r w:rsidR="00A460F0" w:rsidRPr="00FB0850">
        <w:t>Le Conseil est invité à prendre note du contenu du présent document.</w:t>
      </w:r>
    </w:p>
    <w:p w:rsidR="00CA3696" w:rsidRPr="00FB0850" w:rsidRDefault="00CA3696" w:rsidP="00FF5C42">
      <w:pPr>
        <w:jc w:val="left"/>
      </w:pPr>
    </w:p>
    <w:p w:rsidR="00CA3696" w:rsidRPr="00FB0850" w:rsidRDefault="00CA3696" w:rsidP="00FF5C42"/>
    <w:p w:rsidR="00CA3696" w:rsidRPr="00FB0850" w:rsidRDefault="00CA3696" w:rsidP="00FF5C42"/>
    <w:p w:rsidR="00CA3696" w:rsidRPr="00FB0850" w:rsidRDefault="00FB694C" w:rsidP="00FB694C">
      <w:pPr>
        <w:jc w:val="right"/>
      </w:pPr>
      <w:r w:rsidRPr="00FB0850">
        <w:t>[L</w:t>
      </w:r>
      <w:r w:rsidR="00ED7246" w:rsidRPr="00FB0850">
        <w:t>’</w:t>
      </w:r>
      <w:r w:rsidRPr="00FB0850">
        <w:t>annexe suit]</w:t>
      </w:r>
    </w:p>
    <w:p w:rsidR="00CA3696" w:rsidRPr="00FB0850" w:rsidRDefault="00CA3696" w:rsidP="004B1215"/>
    <w:p w:rsidR="00CA3696" w:rsidRPr="00FB0850" w:rsidRDefault="00CA3696" w:rsidP="00050E16"/>
    <w:p w:rsidR="00CA3696" w:rsidRPr="00FB0850" w:rsidRDefault="00CA3696">
      <w:pPr>
        <w:jc w:val="left"/>
      </w:pPr>
    </w:p>
    <w:p w:rsidR="00C355C3" w:rsidRPr="00FB0850" w:rsidRDefault="00C355C3" w:rsidP="009B440E">
      <w:pPr>
        <w:jc w:val="left"/>
        <w:sectPr w:rsidR="00C355C3" w:rsidRPr="00FB0850" w:rsidSect="000222D6">
          <w:headerReference w:type="default" r:id="rId9"/>
          <w:pgSz w:w="11907" w:h="16840" w:code="9"/>
          <w:pgMar w:top="510" w:right="1134" w:bottom="1134" w:left="1134" w:header="510" w:footer="680" w:gutter="0"/>
          <w:cols w:space="720"/>
          <w:titlePg/>
        </w:sectPr>
      </w:pPr>
    </w:p>
    <w:p w:rsidR="000222D6" w:rsidRPr="00FB0850" w:rsidRDefault="000222D6" w:rsidP="000222D6">
      <w:pPr>
        <w:pStyle w:val="zzDocType"/>
        <w:spacing w:before="0" w:after="0"/>
        <w:rPr>
          <w:lang w:val="fr-FR"/>
        </w:rPr>
      </w:pPr>
    </w:p>
    <w:p w:rsidR="000222D6" w:rsidRPr="00FB0850" w:rsidRDefault="000222D6" w:rsidP="000222D6">
      <w:pPr>
        <w:pStyle w:val="zzDocType"/>
        <w:spacing w:before="0" w:after="0"/>
        <w:rPr>
          <w:lang w:val="fr-FR"/>
        </w:rPr>
      </w:pPr>
    </w:p>
    <w:p w:rsidR="000222D6" w:rsidRPr="00FB0850" w:rsidRDefault="00D62581" w:rsidP="000222D6">
      <w:pPr>
        <w:pStyle w:val="zzDocType"/>
        <w:spacing w:before="0" w:after="0"/>
        <w:rPr>
          <w:lang w:val="fr-FR"/>
        </w:rPr>
      </w:pPr>
      <w:r w:rsidRPr="00FB0850">
        <w:rPr>
          <w:lang w:val="fr-FR"/>
        </w:rPr>
        <w:t>MAI</w:t>
      </w:r>
      <w:r w:rsidR="000222D6" w:rsidRPr="00FB0850">
        <w:rPr>
          <w:lang w:val="fr-FR"/>
        </w:rPr>
        <w:t xml:space="preserve"> 2019</w:t>
      </w:r>
    </w:p>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 w:rsidR="000222D6" w:rsidRPr="00FB0850" w:rsidRDefault="000222D6" w:rsidP="000222D6">
      <w:pPr>
        <w:pBdr>
          <w:bottom w:val="single" w:sz="4" w:space="1" w:color="auto"/>
        </w:pBdr>
      </w:pPr>
    </w:p>
    <w:p w:rsidR="000222D6" w:rsidRPr="00FB0850" w:rsidRDefault="000222D6" w:rsidP="000222D6">
      <w:pPr>
        <w:pStyle w:val="zzDepartmentname"/>
        <w:rPr>
          <w:lang w:val="fr-FR"/>
        </w:rPr>
      </w:pPr>
      <w:r w:rsidRPr="00FB0850">
        <w:rPr>
          <w:lang w:val="fr-FR"/>
        </w:rPr>
        <w:t>Union internationale pour la protection des obtentions végétales</w:t>
      </w:r>
    </w:p>
    <w:p w:rsidR="000222D6" w:rsidRPr="00FB0850" w:rsidRDefault="000222D6" w:rsidP="000222D6">
      <w:pPr>
        <w:pStyle w:val="zzDepartmentname"/>
        <w:rPr>
          <w:lang w:val="fr-FR"/>
        </w:rPr>
      </w:pPr>
    </w:p>
    <w:p w:rsidR="000222D6" w:rsidRPr="00FB0850" w:rsidRDefault="000222D6" w:rsidP="000222D6">
      <w:pPr>
        <w:pStyle w:val="zzReporttitle"/>
        <w:spacing w:before="0" w:after="0"/>
        <w:rPr>
          <w:color w:val="auto"/>
          <w:lang w:val="fr-FR"/>
        </w:rPr>
      </w:pPr>
      <w:r w:rsidRPr="00FB0850">
        <w:rPr>
          <w:color w:val="auto"/>
          <w:lang w:val="fr-FR"/>
        </w:rPr>
        <w:t>Rapport du vérificateur externe des comptes sur les états financiers de l</w:t>
      </w:r>
      <w:r w:rsidR="00ED7246" w:rsidRPr="00FB0850">
        <w:rPr>
          <w:color w:val="auto"/>
          <w:lang w:val="fr-FR"/>
        </w:rPr>
        <w:t>’</w:t>
      </w:r>
      <w:r w:rsidRPr="00FB0850">
        <w:rPr>
          <w:color w:val="auto"/>
          <w:lang w:val="fr-FR"/>
        </w:rPr>
        <w:t>UPOV pour 2018</w:t>
      </w:r>
    </w:p>
    <w:p w:rsidR="000222D6" w:rsidRPr="00FB0850" w:rsidRDefault="000222D6">
      <w:pPr>
        <w:jc w:val="left"/>
      </w:pPr>
      <w:r w:rsidRPr="00FB0850">
        <w:br w:type="page"/>
      </w:r>
    </w:p>
    <w:p w:rsidR="000222D6" w:rsidRPr="00FB0850" w:rsidRDefault="000222D6" w:rsidP="00373EF2">
      <w:pPr>
        <w:pStyle w:val="Mission"/>
        <w:rPr>
          <w:lang w:val="fr-FR" w:eastAsia="en-US"/>
        </w:rPr>
      </w:pPr>
    </w:p>
    <w:p w:rsidR="000222D6" w:rsidRPr="00FB0850" w:rsidRDefault="000222D6" w:rsidP="00373EF2">
      <w:pPr>
        <w:pStyle w:val="Mission"/>
        <w:rPr>
          <w:lang w:val="fr-FR" w:eastAsia="en-US"/>
        </w:rPr>
      </w:pPr>
    </w:p>
    <w:p w:rsidR="000222D6" w:rsidRPr="00FB0850" w:rsidRDefault="000222D6" w:rsidP="00373EF2">
      <w:pPr>
        <w:pStyle w:val="Mission"/>
        <w:rPr>
          <w:lang w:val="fr-FR" w:eastAsia="en-US"/>
        </w:rPr>
      </w:pPr>
    </w:p>
    <w:p w:rsidR="000222D6" w:rsidRPr="00FB0850" w:rsidRDefault="000E37FF" w:rsidP="000222D6">
      <w:pPr>
        <w:pStyle w:val="Mission"/>
        <w:ind w:left="1701"/>
        <w:rPr>
          <w:lang w:val="fr-FR" w:eastAsia="en-US"/>
        </w:rPr>
      </w:pPr>
      <w:r>
        <w:rPr>
          <w:lang w:val="fr-FR" w:eastAsia="en-US"/>
        </w:rPr>
        <w:t>L’</w:t>
      </w:r>
      <w:r w:rsidR="000222D6" w:rsidRPr="00FB0850">
        <w:rPr>
          <w:lang w:val="fr-FR" w:eastAsia="en-US"/>
        </w:rPr>
        <w:t>audit vise à offrir une garantie indépendante aux membres</w:t>
      </w:r>
      <w:r w:rsidR="00114591" w:rsidRPr="00FB0850">
        <w:rPr>
          <w:lang w:val="fr-FR" w:eastAsia="en-US"/>
        </w:rPr>
        <w:t xml:space="preserve">; </w:t>
      </w:r>
      <w:r w:rsidR="000222D6" w:rsidRPr="00FB0850">
        <w:rPr>
          <w:lang w:val="fr-FR" w:eastAsia="en-US"/>
        </w:rPr>
        <w:t xml:space="preserve"> à apporter une valeur ajoutée </w:t>
      </w:r>
      <w:r w:rsidR="00FB0850" w:rsidRPr="00FB0850">
        <w:rPr>
          <w:lang w:val="fr-FR" w:eastAsia="en-US"/>
        </w:rPr>
        <w:t>à la gestion financière et à la </w:t>
      </w:r>
      <w:r w:rsidR="000222D6" w:rsidRPr="00FB0850">
        <w:rPr>
          <w:lang w:val="fr-FR" w:eastAsia="en-US"/>
        </w:rPr>
        <w:t>gouvernance de l</w:t>
      </w:r>
      <w:r w:rsidR="00ED7246" w:rsidRPr="00FB0850">
        <w:rPr>
          <w:lang w:val="fr-FR" w:eastAsia="en-US"/>
        </w:rPr>
        <w:t>’</w:t>
      </w:r>
      <w:r w:rsidR="000222D6" w:rsidRPr="00FB0850">
        <w:rPr>
          <w:lang w:val="fr-FR" w:eastAsia="en-US"/>
        </w:rPr>
        <w:t>UPOV</w:t>
      </w:r>
      <w:r w:rsidR="00114591" w:rsidRPr="00FB0850">
        <w:rPr>
          <w:lang w:val="fr-FR" w:eastAsia="en-US"/>
        </w:rPr>
        <w:t xml:space="preserve">; </w:t>
      </w:r>
      <w:r w:rsidR="00FB0850" w:rsidRPr="00FB0850">
        <w:rPr>
          <w:lang w:val="fr-FR" w:eastAsia="en-US"/>
        </w:rPr>
        <w:t xml:space="preserve"> et à soutenir vos </w:t>
      </w:r>
      <w:r w:rsidR="000222D6" w:rsidRPr="00FB0850">
        <w:rPr>
          <w:lang w:val="fr-FR" w:eastAsia="en-US"/>
        </w:rPr>
        <w:t>objectifs par un processus d</w:t>
      </w:r>
      <w:r w:rsidR="00ED7246" w:rsidRPr="00FB0850">
        <w:rPr>
          <w:lang w:val="fr-FR" w:eastAsia="en-US"/>
        </w:rPr>
        <w:t>’</w:t>
      </w:r>
      <w:r w:rsidR="000222D6" w:rsidRPr="00FB0850">
        <w:rPr>
          <w:lang w:val="fr-FR" w:eastAsia="en-US"/>
        </w:rPr>
        <w:t>audit externe.</w:t>
      </w: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Mission"/>
        <w:pBdr>
          <w:bottom w:val="single" w:sz="4" w:space="1" w:color="auto"/>
        </w:pBdr>
        <w:ind w:left="1701"/>
        <w:rPr>
          <w:lang w:val="fr-FR" w:eastAsia="en-US"/>
        </w:rPr>
      </w:pPr>
    </w:p>
    <w:p w:rsidR="000222D6" w:rsidRPr="00FB0850" w:rsidRDefault="000222D6" w:rsidP="000222D6">
      <w:pPr>
        <w:pStyle w:val="zzDoNotRemove"/>
        <w:pBdr>
          <w:top w:val="none" w:sz="0" w:space="0" w:color="auto"/>
        </w:pBdr>
        <w:ind w:left="1701"/>
        <w:rPr>
          <w:lang w:val="fr-FR"/>
        </w:rPr>
      </w:pPr>
      <w:r w:rsidRPr="00FB0850">
        <w:rPr>
          <w:lang w:val="fr-FR"/>
        </w:rPr>
        <w:t>Le contrôleur et vérificateur général des comptes dirige l</w:t>
      </w:r>
      <w:r w:rsidR="00ED7246" w:rsidRPr="00FB0850">
        <w:rPr>
          <w:lang w:val="fr-FR"/>
        </w:rPr>
        <w:t>’</w:t>
      </w:r>
      <w:r w:rsidRPr="00FB0850">
        <w:rPr>
          <w:lang w:val="fr-FR"/>
        </w:rPr>
        <w:t>Office national d</w:t>
      </w:r>
      <w:r w:rsidR="00ED7246" w:rsidRPr="00FB0850">
        <w:rPr>
          <w:lang w:val="fr-FR"/>
        </w:rPr>
        <w:t>’</w:t>
      </w:r>
      <w:r w:rsidRPr="00FB0850">
        <w:rPr>
          <w:lang w:val="fr-FR"/>
        </w:rPr>
        <w:t>audit britannique (NAO), l</w:t>
      </w:r>
      <w:r w:rsidR="00ED7246" w:rsidRPr="00FB0850">
        <w:rPr>
          <w:lang w:val="fr-FR"/>
        </w:rPr>
        <w:t>’</w:t>
      </w:r>
      <w:r w:rsidRPr="00FB0850">
        <w:rPr>
          <w:lang w:val="fr-FR"/>
        </w:rPr>
        <w:t>institution supérieure de contrôle des finances publiques au Royaume</w:t>
      </w:r>
      <w:r w:rsidR="00ED7246" w:rsidRPr="00FB0850">
        <w:rPr>
          <w:lang w:val="fr-FR"/>
        </w:rPr>
        <w:t>-</w:t>
      </w:r>
      <w:r w:rsidRPr="00FB0850">
        <w:rPr>
          <w:lang w:val="fr-FR"/>
        </w:rPr>
        <w:t>U</w:t>
      </w:r>
      <w:r w:rsidR="002A21D7" w:rsidRPr="00FB0850">
        <w:rPr>
          <w:lang w:val="fr-FR"/>
        </w:rPr>
        <w:t>ni.  Le</w:t>
      </w:r>
      <w:r w:rsidRPr="00FB0850">
        <w:rPr>
          <w:lang w:val="fr-FR"/>
        </w:rPr>
        <w:t xml:space="preserve"> contrôleur et vérificateur général des comptes ainsi que</w:t>
      </w:r>
      <w:r w:rsidR="00ED7246" w:rsidRPr="00FB0850">
        <w:rPr>
          <w:lang w:val="fr-FR"/>
        </w:rPr>
        <w:t xml:space="preserve"> le NAO</w:t>
      </w:r>
      <w:r w:rsidRPr="00FB0850">
        <w:rPr>
          <w:lang w:val="fr-FR"/>
        </w:rPr>
        <w:t xml:space="preserve"> sont indépendants du Gouvernement du Royaume</w:t>
      </w:r>
      <w:r w:rsidR="00ED7246" w:rsidRPr="00FB0850">
        <w:rPr>
          <w:lang w:val="fr-FR"/>
        </w:rPr>
        <w:t>-</w:t>
      </w:r>
      <w:r w:rsidRPr="00FB0850">
        <w:rPr>
          <w:lang w:val="fr-FR"/>
        </w:rPr>
        <w:t>Uni et garantissent le bon emploi des fonds publics ainsi que leur reddition devant le Parlement du Royaume</w:t>
      </w:r>
      <w:r w:rsidR="00ED7246" w:rsidRPr="00FB0850">
        <w:rPr>
          <w:lang w:val="fr-FR"/>
        </w:rPr>
        <w:t>-</w:t>
      </w:r>
      <w:r w:rsidRPr="00FB0850">
        <w:rPr>
          <w:lang w:val="fr-FR"/>
        </w:rPr>
        <w:t>U</w:t>
      </w:r>
      <w:r w:rsidR="002A21D7" w:rsidRPr="00FB0850">
        <w:rPr>
          <w:lang w:val="fr-FR"/>
        </w:rPr>
        <w:t>ni.  Le</w:t>
      </w:r>
      <w:r w:rsidR="00ED7246" w:rsidRPr="00FB0850">
        <w:rPr>
          <w:lang w:val="fr-FR"/>
        </w:rPr>
        <w:t> NAO</w:t>
      </w:r>
      <w:r w:rsidRPr="00FB0850">
        <w:rPr>
          <w:lang w:val="fr-FR"/>
        </w:rPr>
        <w:t xml:space="preserve"> apporte ses services de vérificateur externe des comptes à une série d</w:t>
      </w:r>
      <w:r w:rsidR="00ED7246" w:rsidRPr="00FB0850">
        <w:rPr>
          <w:lang w:val="fr-FR"/>
        </w:rPr>
        <w:t>’</w:t>
      </w:r>
      <w:r w:rsidRPr="00FB0850">
        <w:rPr>
          <w:lang w:val="fr-FR"/>
        </w:rPr>
        <w:t>organisations internationales, travaillant de manière indépendante de ses attributions d</w:t>
      </w:r>
      <w:r w:rsidR="00ED7246" w:rsidRPr="00FB0850">
        <w:rPr>
          <w:lang w:val="fr-FR"/>
        </w:rPr>
        <w:t>’</w:t>
      </w:r>
      <w:r w:rsidRPr="00FB0850">
        <w:rPr>
          <w:lang w:val="fr-FR"/>
        </w:rPr>
        <w:t>institution supérieure de contrôle des finances publiques du Royaume</w:t>
      </w:r>
      <w:r w:rsidR="00ED7246" w:rsidRPr="00FB0850">
        <w:rPr>
          <w:lang w:val="fr-FR"/>
        </w:rPr>
        <w:t>-</w:t>
      </w:r>
      <w:r w:rsidRPr="00FB0850">
        <w:rPr>
          <w:lang w:val="fr-FR"/>
        </w:rPr>
        <w:t>Uni.</w:t>
      </w:r>
    </w:p>
    <w:p w:rsidR="000222D6" w:rsidRPr="00FB0850" w:rsidRDefault="000222D6" w:rsidP="000222D6">
      <w:pPr>
        <w:pStyle w:val="zzDoNotRemove"/>
        <w:pBdr>
          <w:top w:val="none" w:sz="0" w:space="0" w:color="auto"/>
        </w:pBdr>
        <w:rPr>
          <w:lang w:val="fr-FR"/>
        </w:rPr>
      </w:pPr>
    </w:p>
    <w:p w:rsidR="00CA3696" w:rsidRPr="00FB0850" w:rsidRDefault="00373EF2" w:rsidP="000222D6">
      <w:pPr>
        <w:pStyle w:val="zzContentsHeader"/>
        <w:ind w:left="1701"/>
        <w:rPr>
          <w:color w:val="auto"/>
          <w:lang w:val="fr-FR"/>
        </w:rPr>
      </w:pPr>
      <w:r w:rsidRPr="00FB0850">
        <w:rPr>
          <w:color w:val="auto"/>
          <w:lang w:val="fr-FR"/>
        </w:rPr>
        <w:lastRenderedPageBreak/>
        <w:t>Table des matières</w:t>
      </w:r>
    </w:p>
    <w:p w:rsidR="00871172" w:rsidRPr="00FB0850" w:rsidRDefault="00871172">
      <w:pPr>
        <w:pStyle w:val="TOC1"/>
        <w:rPr>
          <w:rFonts w:asciiTheme="minorHAnsi" w:eastAsiaTheme="minorEastAsia" w:hAnsiTheme="minorHAnsi" w:cstheme="minorBidi"/>
          <w:b w:val="0"/>
          <w:bCs w:val="0"/>
          <w:noProof w:val="0"/>
          <w:color w:val="auto"/>
          <w:szCs w:val="22"/>
          <w:lang w:val="fr-FR" w:eastAsia="fr-FR"/>
        </w:rPr>
      </w:pPr>
      <w:r w:rsidRPr="00FB0850">
        <w:rPr>
          <w:rFonts w:eastAsia="Calibri"/>
          <w:noProof w:val="0"/>
          <w:lang w:val="fr-FR"/>
        </w:rPr>
        <w:fldChar w:fldCharType="begin"/>
      </w:r>
      <w:r w:rsidRPr="00FB0850">
        <w:rPr>
          <w:rFonts w:eastAsia="Calibri"/>
          <w:noProof w:val="0"/>
          <w:lang w:val="fr-FR"/>
        </w:rPr>
        <w:instrText xml:space="preserve"> TOC \o "1-2" \u </w:instrText>
      </w:r>
      <w:r w:rsidRPr="00FB0850">
        <w:rPr>
          <w:rFonts w:eastAsia="Calibri"/>
          <w:noProof w:val="0"/>
          <w:lang w:val="fr-FR"/>
        </w:rPr>
        <w:fldChar w:fldCharType="separate"/>
      </w:r>
      <w:r w:rsidRPr="00FB0850">
        <w:rPr>
          <w:noProof w:val="0"/>
          <w:lang w:val="fr-FR"/>
        </w:rPr>
        <w:t>Introduction</w:t>
      </w:r>
      <w:r w:rsidRPr="00FB0850">
        <w:rPr>
          <w:noProof w:val="0"/>
          <w:lang w:val="fr-FR"/>
        </w:rPr>
        <w:tab/>
      </w:r>
      <w:r w:rsidRPr="00FB0850">
        <w:rPr>
          <w:noProof w:val="0"/>
          <w:lang w:val="fr-FR"/>
        </w:rPr>
        <w:fldChar w:fldCharType="begin"/>
      </w:r>
      <w:r w:rsidRPr="00FB0850">
        <w:rPr>
          <w:noProof w:val="0"/>
          <w:lang w:val="fr-FR"/>
        </w:rPr>
        <w:instrText xml:space="preserve"> PAGEREF _Toc14355936 \h </w:instrText>
      </w:r>
      <w:r w:rsidRPr="00FB0850">
        <w:rPr>
          <w:noProof w:val="0"/>
          <w:lang w:val="fr-FR"/>
        </w:rPr>
      </w:r>
      <w:r w:rsidRPr="00FB0850">
        <w:rPr>
          <w:noProof w:val="0"/>
          <w:lang w:val="fr-FR"/>
        </w:rPr>
        <w:fldChar w:fldCharType="separate"/>
      </w:r>
      <w:r w:rsidRPr="00FB0850">
        <w:rPr>
          <w:noProof w:val="0"/>
          <w:lang w:val="fr-FR"/>
        </w:rPr>
        <w:t>6</w:t>
      </w:r>
      <w:r w:rsidRPr="00FB0850">
        <w:rPr>
          <w:noProof w:val="0"/>
          <w:lang w:val="fr-FR"/>
        </w:rPr>
        <w:fldChar w:fldCharType="end"/>
      </w:r>
    </w:p>
    <w:p w:rsidR="00871172" w:rsidRPr="00FB0850" w:rsidRDefault="00871172">
      <w:pPr>
        <w:pStyle w:val="TOC2"/>
        <w:rPr>
          <w:rFonts w:asciiTheme="minorHAnsi" w:eastAsiaTheme="minorEastAsia" w:hAnsiTheme="minorHAnsi" w:cstheme="minorBidi"/>
          <w:noProof w:val="0"/>
          <w:color w:val="auto"/>
          <w:szCs w:val="22"/>
          <w:lang w:val="fr-FR" w:eastAsia="fr-FR"/>
        </w:rPr>
      </w:pPr>
      <w:r w:rsidRPr="00FB0850">
        <w:rPr>
          <w:noProof w:val="0"/>
          <w:lang w:val="fr-FR"/>
        </w:rPr>
        <w:t>Résultats généraux de l</w:t>
      </w:r>
      <w:r w:rsidR="00ED7246" w:rsidRPr="00FB0850">
        <w:rPr>
          <w:noProof w:val="0"/>
          <w:lang w:val="fr-FR"/>
        </w:rPr>
        <w:t>’</w:t>
      </w:r>
      <w:r w:rsidRPr="00FB0850">
        <w:rPr>
          <w:noProof w:val="0"/>
          <w:lang w:val="fr-FR"/>
        </w:rPr>
        <w:t>audit</w:t>
      </w:r>
      <w:r w:rsidRPr="00FB0850">
        <w:rPr>
          <w:noProof w:val="0"/>
          <w:lang w:val="fr-FR"/>
        </w:rPr>
        <w:tab/>
      </w:r>
      <w:r w:rsidRPr="00FB0850">
        <w:rPr>
          <w:noProof w:val="0"/>
          <w:lang w:val="fr-FR"/>
        </w:rPr>
        <w:fldChar w:fldCharType="begin"/>
      </w:r>
      <w:r w:rsidRPr="00FB0850">
        <w:rPr>
          <w:noProof w:val="0"/>
          <w:lang w:val="fr-FR"/>
        </w:rPr>
        <w:instrText xml:space="preserve"> PAGEREF _Toc14355937 \h </w:instrText>
      </w:r>
      <w:r w:rsidRPr="00FB0850">
        <w:rPr>
          <w:noProof w:val="0"/>
          <w:lang w:val="fr-FR"/>
        </w:rPr>
      </w:r>
      <w:r w:rsidRPr="00FB0850">
        <w:rPr>
          <w:noProof w:val="0"/>
          <w:lang w:val="fr-FR"/>
        </w:rPr>
        <w:fldChar w:fldCharType="separate"/>
      </w:r>
      <w:r w:rsidRPr="00FB0850">
        <w:rPr>
          <w:noProof w:val="0"/>
          <w:lang w:val="fr-FR"/>
        </w:rPr>
        <w:t>6</w:t>
      </w:r>
      <w:r w:rsidRPr="00FB0850">
        <w:rPr>
          <w:noProof w:val="0"/>
          <w:lang w:val="fr-FR"/>
        </w:rPr>
        <w:fldChar w:fldCharType="end"/>
      </w:r>
    </w:p>
    <w:p w:rsidR="00871172" w:rsidRPr="00FB0850" w:rsidRDefault="00871172" w:rsidP="00871172">
      <w:pPr>
        <w:pStyle w:val="TOC2"/>
        <w:rPr>
          <w:rFonts w:asciiTheme="minorHAnsi" w:eastAsiaTheme="minorEastAsia" w:hAnsiTheme="minorHAnsi" w:cstheme="minorBidi"/>
          <w:noProof w:val="0"/>
          <w:color w:val="auto"/>
          <w:szCs w:val="22"/>
          <w:lang w:val="fr-FR" w:eastAsia="fr-FR"/>
        </w:rPr>
      </w:pPr>
      <w:r w:rsidRPr="00FB0850">
        <w:rPr>
          <w:noProof w:val="0"/>
          <w:lang w:val="fr-FR"/>
        </w:rPr>
        <w:t>Commentaires financiers</w:t>
      </w:r>
      <w:r w:rsidRPr="00FB0850">
        <w:rPr>
          <w:noProof w:val="0"/>
          <w:lang w:val="fr-FR"/>
        </w:rPr>
        <w:tab/>
      </w:r>
      <w:r w:rsidRPr="00FB0850">
        <w:rPr>
          <w:noProof w:val="0"/>
          <w:lang w:val="fr-FR"/>
        </w:rPr>
        <w:fldChar w:fldCharType="begin"/>
      </w:r>
      <w:r w:rsidRPr="00FB0850">
        <w:rPr>
          <w:noProof w:val="0"/>
          <w:lang w:val="fr-FR"/>
        </w:rPr>
        <w:instrText xml:space="preserve"> PAGEREF _Toc14355938 \h </w:instrText>
      </w:r>
      <w:r w:rsidRPr="00FB0850">
        <w:rPr>
          <w:noProof w:val="0"/>
          <w:lang w:val="fr-FR"/>
        </w:rPr>
      </w:r>
      <w:r w:rsidRPr="00FB0850">
        <w:rPr>
          <w:noProof w:val="0"/>
          <w:lang w:val="fr-FR"/>
        </w:rPr>
        <w:fldChar w:fldCharType="separate"/>
      </w:r>
      <w:r w:rsidRPr="00FB0850">
        <w:rPr>
          <w:noProof w:val="0"/>
          <w:lang w:val="fr-FR"/>
        </w:rPr>
        <w:t>9</w:t>
      </w:r>
      <w:r w:rsidRPr="00FB0850">
        <w:rPr>
          <w:noProof w:val="0"/>
          <w:lang w:val="fr-FR"/>
        </w:rPr>
        <w:fldChar w:fldCharType="end"/>
      </w:r>
    </w:p>
    <w:p w:rsidR="00871172" w:rsidRPr="00FB0850" w:rsidRDefault="00871172">
      <w:pPr>
        <w:pStyle w:val="TOC2"/>
        <w:rPr>
          <w:rFonts w:asciiTheme="minorHAnsi" w:eastAsiaTheme="minorEastAsia" w:hAnsiTheme="minorHAnsi" w:cstheme="minorBidi"/>
          <w:noProof w:val="0"/>
          <w:color w:val="auto"/>
          <w:szCs w:val="22"/>
          <w:lang w:val="fr-FR" w:eastAsia="fr-FR"/>
        </w:rPr>
      </w:pPr>
      <w:r w:rsidRPr="00FB0850">
        <w:rPr>
          <w:noProof w:val="0"/>
          <w:lang w:val="fr-FR"/>
        </w:rPr>
        <w:t>Développement des activités</w:t>
      </w:r>
      <w:r w:rsidRPr="00FB0850">
        <w:rPr>
          <w:noProof w:val="0"/>
          <w:lang w:val="fr-FR"/>
        </w:rPr>
        <w:tab/>
      </w:r>
      <w:r w:rsidRPr="00FB0850">
        <w:rPr>
          <w:noProof w:val="0"/>
          <w:lang w:val="fr-FR"/>
        </w:rPr>
        <w:fldChar w:fldCharType="begin"/>
      </w:r>
      <w:r w:rsidRPr="00FB0850">
        <w:rPr>
          <w:noProof w:val="0"/>
          <w:lang w:val="fr-FR"/>
        </w:rPr>
        <w:instrText xml:space="preserve"> PAGEREF _Toc14355939 \h </w:instrText>
      </w:r>
      <w:r w:rsidRPr="00FB0850">
        <w:rPr>
          <w:noProof w:val="0"/>
          <w:lang w:val="fr-FR"/>
        </w:rPr>
      </w:r>
      <w:r w:rsidRPr="00FB0850">
        <w:rPr>
          <w:noProof w:val="0"/>
          <w:lang w:val="fr-FR"/>
        </w:rPr>
        <w:fldChar w:fldCharType="separate"/>
      </w:r>
      <w:r w:rsidRPr="00FB0850">
        <w:rPr>
          <w:noProof w:val="0"/>
          <w:lang w:val="fr-FR"/>
        </w:rPr>
        <w:t>12</w:t>
      </w:r>
      <w:r w:rsidRPr="00FB0850">
        <w:rPr>
          <w:noProof w:val="0"/>
          <w:lang w:val="fr-FR"/>
        </w:rPr>
        <w:fldChar w:fldCharType="end"/>
      </w:r>
    </w:p>
    <w:p w:rsidR="00871172" w:rsidRPr="00FB0850" w:rsidRDefault="00871172">
      <w:pPr>
        <w:pStyle w:val="TOC2"/>
        <w:rPr>
          <w:rFonts w:asciiTheme="minorHAnsi" w:eastAsiaTheme="minorEastAsia" w:hAnsiTheme="minorHAnsi" w:cstheme="minorBidi"/>
          <w:noProof w:val="0"/>
          <w:color w:val="auto"/>
          <w:szCs w:val="22"/>
          <w:lang w:val="fr-FR" w:eastAsia="fr-FR"/>
        </w:rPr>
      </w:pPr>
      <w:r w:rsidRPr="00FB0850">
        <w:rPr>
          <w:noProof w:val="0"/>
          <w:lang w:val="fr-FR"/>
        </w:rPr>
        <w:t>Fraudes, paiements à titre gracieux et annulations</w:t>
      </w:r>
      <w:r w:rsidRPr="00FB0850">
        <w:rPr>
          <w:noProof w:val="0"/>
          <w:lang w:val="fr-FR"/>
        </w:rPr>
        <w:tab/>
      </w:r>
      <w:r w:rsidRPr="00FB0850">
        <w:rPr>
          <w:noProof w:val="0"/>
          <w:lang w:val="fr-FR"/>
        </w:rPr>
        <w:fldChar w:fldCharType="begin"/>
      </w:r>
      <w:r w:rsidRPr="00FB0850">
        <w:rPr>
          <w:noProof w:val="0"/>
          <w:lang w:val="fr-FR"/>
        </w:rPr>
        <w:instrText xml:space="preserve"> PAGEREF _Toc14355940 \h </w:instrText>
      </w:r>
      <w:r w:rsidRPr="00FB0850">
        <w:rPr>
          <w:noProof w:val="0"/>
          <w:lang w:val="fr-FR"/>
        </w:rPr>
      </w:r>
      <w:r w:rsidRPr="00FB0850">
        <w:rPr>
          <w:noProof w:val="0"/>
          <w:lang w:val="fr-FR"/>
        </w:rPr>
        <w:fldChar w:fldCharType="separate"/>
      </w:r>
      <w:r w:rsidRPr="00FB0850">
        <w:rPr>
          <w:noProof w:val="0"/>
          <w:lang w:val="fr-FR"/>
        </w:rPr>
        <w:t>13</w:t>
      </w:r>
      <w:r w:rsidRPr="00FB0850">
        <w:rPr>
          <w:noProof w:val="0"/>
          <w:lang w:val="fr-FR"/>
        </w:rPr>
        <w:fldChar w:fldCharType="end"/>
      </w:r>
    </w:p>
    <w:p w:rsidR="00871172" w:rsidRPr="00FB0850" w:rsidRDefault="00871172">
      <w:pPr>
        <w:pStyle w:val="TOC2"/>
        <w:rPr>
          <w:rFonts w:asciiTheme="minorHAnsi" w:eastAsiaTheme="minorEastAsia" w:hAnsiTheme="minorHAnsi" w:cstheme="minorBidi"/>
          <w:noProof w:val="0"/>
          <w:color w:val="auto"/>
          <w:szCs w:val="22"/>
          <w:lang w:val="fr-FR" w:eastAsia="fr-FR"/>
        </w:rPr>
      </w:pPr>
      <w:r w:rsidRPr="00FB0850">
        <w:rPr>
          <w:noProof w:val="0"/>
          <w:lang w:val="fr-FR"/>
        </w:rPr>
        <w:t>Recommandations des années précédentes</w:t>
      </w:r>
      <w:r w:rsidRPr="00FB0850">
        <w:rPr>
          <w:noProof w:val="0"/>
          <w:lang w:val="fr-FR"/>
        </w:rPr>
        <w:tab/>
      </w:r>
      <w:r w:rsidRPr="00FB0850">
        <w:rPr>
          <w:noProof w:val="0"/>
          <w:lang w:val="fr-FR"/>
        </w:rPr>
        <w:fldChar w:fldCharType="begin"/>
      </w:r>
      <w:r w:rsidRPr="00FB0850">
        <w:rPr>
          <w:noProof w:val="0"/>
          <w:lang w:val="fr-FR"/>
        </w:rPr>
        <w:instrText xml:space="preserve"> PAGEREF _Toc14355941 \h </w:instrText>
      </w:r>
      <w:r w:rsidRPr="00FB0850">
        <w:rPr>
          <w:noProof w:val="0"/>
          <w:lang w:val="fr-FR"/>
        </w:rPr>
      </w:r>
      <w:r w:rsidRPr="00FB0850">
        <w:rPr>
          <w:noProof w:val="0"/>
          <w:lang w:val="fr-FR"/>
        </w:rPr>
        <w:fldChar w:fldCharType="separate"/>
      </w:r>
      <w:r w:rsidRPr="00FB0850">
        <w:rPr>
          <w:noProof w:val="0"/>
          <w:lang w:val="fr-FR"/>
        </w:rPr>
        <w:t>13</w:t>
      </w:r>
      <w:r w:rsidRPr="00FB0850">
        <w:rPr>
          <w:noProof w:val="0"/>
          <w:lang w:val="fr-FR"/>
        </w:rPr>
        <w:fldChar w:fldCharType="end"/>
      </w:r>
    </w:p>
    <w:p w:rsidR="00871172" w:rsidRPr="00FB0850" w:rsidRDefault="00871172">
      <w:pPr>
        <w:pStyle w:val="TOC2"/>
        <w:rPr>
          <w:rFonts w:asciiTheme="minorHAnsi" w:eastAsiaTheme="minorEastAsia" w:hAnsiTheme="minorHAnsi" w:cstheme="minorBidi"/>
          <w:noProof w:val="0"/>
          <w:color w:val="auto"/>
          <w:szCs w:val="22"/>
          <w:lang w:val="fr-FR" w:eastAsia="fr-FR"/>
        </w:rPr>
      </w:pPr>
      <w:r w:rsidRPr="00FB0850">
        <w:rPr>
          <w:noProof w:val="0"/>
          <w:lang w:val="fr-FR"/>
        </w:rPr>
        <w:t>Remerciements</w:t>
      </w:r>
      <w:r w:rsidRPr="00FB0850">
        <w:rPr>
          <w:noProof w:val="0"/>
          <w:lang w:val="fr-FR"/>
        </w:rPr>
        <w:tab/>
      </w:r>
      <w:r w:rsidRPr="00FB0850">
        <w:rPr>
          <w:noProof w:val="0"/>
          <w:lang w:val="fr-FR"/>
        </w:rPr>
        <w:fldChar w:fldCharType="begin"/>
      </w:r>
      <w:r w:rsidRPr="00FB0850">
        <w:rPr>
          <w:noProof w:val="0"/>
          <w:lang w:val="fr-FR"/>
        </w:rPr>
        <w:instrText xml:space="preserve"> PAGEREF _Toc14355942 \h </w:instrText>
      </w:r>
      <w:r w:rsidRPr="00FB0850">
        <w:rPr>
          <w:noProof w:val="0"/>
          <w:lang w:val="fr-FR"/>
        </w:rPr>
      </w:r>
      <w:r w:rsidRPr="00FB0850">
        <w:rPr>
          <w:noProof w:val="0"/>
          <w:lang w:val="fr-FR"/>
        </w:rPr>
        <w:fldChar w:fldCharType="separate"/>
      </w:r>
      <w:r w:rsidRPr="00FB0850">
        <w:rPr>
          <w:noProof w:val="0"/>
          <w:lang w:val="fr-FR"/>
        </w:rPr>
        <w:t>13</w:t>
      </w:r>
      <w:r w:rsidRPr="00FB0850">
        <w:rPr>
          <w:noProof w:val="0"/>
          <w:lang w:val="fr-FR"/>
        </w:rPr>
        <w:fldChar w:fldCharType="end"/>
      </w:r>
    </w:p>
    <w:p w:rsidR="00CA3696" w:rsidRPr="00FB0850" w:rsidRDefault="00871172" w:rsidP="00ED7246">
      <w:r w:rsidRPr="00FB0850">
        <w:rPr>
          <w:rFonts w:eastAsia="Calibri"/>
        </w:rPr>
        <w:fldChar w:fldCharType="end"/>
      </w:r>
    </w:p>
    <w:p w:rsidR="00CA3696" w:rsidRPr="00FB0850" w:rsidRDefault="00373EF2" w:rsidP="00ED7246">
      <w:pPr>
        <w:pStyle w:val="Heading1"/>
        <w:rPr>
          <w:lang w:val="fr-FR"/>
        </w:rPr>
      </w:pPr>
      <w:bookmarkStart w:id="3" w:name="_Toc14355936"/>
      <w:bookmarkStart w:id="4" w:name="Type_NAO_VFM_1"/>
      <w:r w:rsidRPr="00FB0850">
        <w:rPr>
          <w:lang w:val="fr-FR"/>
        </w:rPr>
        <w:lastRenderedPageBreak/>
        <w:t>Introduction</w:t>
      </w:r>
      <w:bookmarkEnd w:id="3"/>
    </w:p>
    <w:p w:rsidR="00CA3696" w:rsidRPr="00FB0850" w:rsidRDefault="00071469" w:rsidP="000222D6">
      <w:pPr>
        <w:pStyle w:val="Number1"/>
        <w:numPr>
          <w:ilvl w:val="1"/>
          <w:numId w:val="3"/>
        </w:numPr>
        <w:ind w:left="1701" w:firstLine="0"/>
        <w:jc w:val="both"/>
        <w:rPr>
          <w:color w:val="auto"/>
        </w:rPr>
      </w:pPr>
      <w:r w:rsidRPr="00FB0850">
        <w:rPr>
          <w:color w:val="auto"/>
        </w:rPr>
        <w:t>L</w:t>
      </w:r>
      <w:r w:rsidR="00ED7246" w:rsidRPr="00FB0850">
        <w:rPr>
          <w:color w:val="auto"/>
        </w:rPr>
        <w:t>’</w:t>
      </w:r>
      <w:r w:rsidRPr="00FB0850">
        <w:rPr>
          <w:color w:val="auto"/>
        </w:rPr>
        <w:t>Union internationale pour la protection des obtentions végétales (UPOV)</w:t>
      </w:r>
      <w:r w:rsidR="00E124B9" w:rsidRPr="00FB0850">
        <w:rPr>
          <w:color w:val="auto"/>
        </w:rPr>
        <w:t xml:space="preserve"> </w:t>
      </w:r>
      <w:r w:rsidRPr="00FB0850">
        <w:rPr>
          <w:color w:val="auto"/>
        </w:rPr>
        <w:t xml:space="preserve">a été instituée </w:t>
      </w:r>
      <w:r w:rsidR="00ED7246" w:rsidRPr="00FB0850">
        <w:rPr>
          <w:color w:val="auto"/>
        </w:rPr>
        <w:t>en</w:t>
      </w:r>
      <w:r w:rsidR="00FB0850" w:rsidRPr="00FB0850">
        <w:rPr>
          <w:color w:val="auto"/>
        </w:rPr>
        <w:t xml:space="preserve"> </w:t>
      </w:r>
      <w:r w:rsidR="00ED7246" w:rsidRPr="00FB0850">
        <w:rPr>
          <w:color w:val="auto"/>
        </w:rPr>
        <w:t>1961</w:t>
      </w:r>
      <w:r w:rsidRPr="00FB0850">
        <w:rPr>
          <w:color w:val="auto"/>
        </w:rPr>
        <w:t xml:space="preserve"> par la Convention internationale pour la protection des obtentions végétales</w:t>
      </w:r>
      <w:r w:rsidR="00EA7A14" w:rsidRPr="00FB0850">
        <w:rPr>
          <w:color w:val="auto"/>
        </w:rPr>
        <w:t>,</w:t>
      </w:r>
      <w:r w:rsidRPr="00FB0850">
        <w:rPr>
          <w:color w:val="auto"/>
        </w:rPr>
        <w:t xml:space="preserve"> afin de mettre en place et </w:t>
      </w:r>
      <w:r w:rsidR="00EA7A14" w:rsidRPr="00FB0850">
        <w:rPr>
          <w:color w:val="auto"/>
        </w:rPr>
        <w:t xml:space="preserve">de </w:t>
      </w:r>
      <w:r w:rsidRPr="00FB0850">
        <w:rPr>
          <w:color w:val="auto"/>
        </w:rPr>
        <w:t xml:space="preserve">promouvoir un système efficace de protection des variétés végétales. </w:t>
      </w:r>
      <w:r w:rsidR="00114591" w:rsidRPr="00FB0850">
        <w:rPr>
          <w:color w:val="auto"/>
        </w:rPr>
        <w:t xml:space="preserve"> </w:t>
      </w:r>
      <w:r w:rsidRPr="00FB0850">
        <w:rPr>
          <w:color w:val="auto"/>
        </w:rPr>
        <w:t>L</w:t>
      </w:r>
      <w:r w:rsidR="00ED7246" w:rsidRPr="00FB0850">
        <w:rPr>
          <w:color w:val="auto"/>
        </w:rPr>
        <w:t>’</w:t>
      </w:r>
      <w:r w:rsidR="00E124B9" w:rsidRPr="00FB0850">
        <w:rPr>
          <w:color w:val="auto"/>
        </w:rPr>
        <w:t xml:space="preserve">Union </w:t>
      </w:r>
      <w:r w:rsidRPr="00FB0850">
        <w:rPr>
          <w:color w:val="auto"/>
        </w:rPr>
        <w:t xml:space="preserve">compte </w:t>
      </w:r>
      <w:r w:rsidR="00E124B9" w:rsidRPr="00FB0850">
        <w:rPr>
          <w:color w:val="auto"/>
        </w:rPr>
        <w:t>75</w:t>
      </w:r>
      <w:r w:rsidR="00292EA7" w:rsidRPr="00FB0850">
        <w:rPr>
          <w:color w:val="auto"/>
        </w:rPr>
        <w:t> </w:t>
      </w:r>
      <w:r w:rsidR="00E124B9" w:rsidRPr="00FB0850">
        <w:rPr>
          <w:color w:val="auto"/>
        </w:rPr>
        <w:t>memb</w:t>
      </w:r>
      <w:r w:rsidRPr="00FB0850">
        <w:rPr>
          <w:color w:val="auto"/>
        </w:rPr>
        <w:t>r</w:t>
      </w:r>
      <w:r w:rsidR="00E124B9" w:rsidRPr="00FB0850">
        <w:rPr>
          <w:color w:val="auto"/>
        </w:rPr>
        <w:t xml:space="preserve">es </w:t>
      </w:r>
      <w:r w:rsidR="005215B4" w:rsidRPr="00FB0850">
        <w:rPr>
          <w:color w:val="auto"/>
        </w:rPr>
        <w:t xml:space="preserve">qui soutiennent ses activités au moyen de contributions directes et de </w:t>
      </w:r>
      <w:r w:rsidR="008F6CC5" w:rsidRPr="00FB0850">
        <w:rPr>
          <w:color w:val="auto"/>
        </w:rPr>
        <w:t>fond</w:t>
      </w:r>
      <w:r w:rsidR="005215B4" w:rsidRPr="00FB0850">
        <w:rPr>
          <w:color w:val="auto"/>
        </w:rPr>
        <w:t xml:space="preserve">s extrabudgétaires affectés à des </w:t>
      </w:r>
      <w:r w:rsidR="008F6CC5" w:rsidRPr="00FB0850">
        <w:rPr>
          <w:color w:val="auto"/>
        </w:rPr>
        <w:t>projets spécifique</w:t>
      </w:r>
      <w:r w:rsidR="00E124B9" w:rsidRPr="00FB0850">
        <w:rPr>
          <w:color w:val="auto"/>
        </w:rPr>
        <w:t>s.</w:t>
      </w:r>
    </w:p>
    <w:p w:rsidR="00CA3696" w:rsidRPr="00FB0850" w:rsidRDefault="00CA3696" w:rsidP="000222D6">
      <w:pPr>
        <w:pStyle w:val="Number1"/>
        <w:numPr>
          <w:ilvl w:val="1"/>
          <w:numId w:val="3"/>
        </w:numPr>
        <w:ind w:left="1701" w:firstLine="0"/>
        <w:jc w:val="both"/>
        <w:rPr>
          <w:color w:val="auto"/>
        </w:rPr>
      </w:pPr>
      <w:r w:rsidRPr="00FB0850">
        <w:rPr>
          <w:color w:val="auto"/>
        </w:rPr>
        <w:t>Le contrôleur et vérificateur général des comptes du Royaume</w:t>
      </w:r>
      <w:r w:rsidR="00ED7246" w:rsidRPr="00FB0850">
        <w:rPr>
          <w:color w:val="auto"/>
        </w:rPr>
        <w:t>-</w:t>
      </w:r>
      <w:r w:rsidRPr="00FB0850">
        <w:rPr>
          <w:color w:val="auto"/>
        </w:rPr>
        <w:t>Uni (C&amp;AG) a été désigné vérificateur externe de l</w:t>
      </w:r>
      <w:r w:rsidR="00ED7246" w:rsidRPr="00FB0850">
        <w:rPr>
          <w:color w:val="auto"/>
        </w:rPr>
        <w:t>’</w:t>
      </w:r>
      <w:r w:rsidRPr="00FB0850">
        <w:rPr>
          <w:color w:val="auto"/>
        </w:rPr>
        <w:t>UPOV pour un mandat de six ans courant à partir du</w:t>
      </w:r>
      <w:r w:rsidR="00ED7246" w:rsidRPr="00FB0850">
        <w:rPr>
          <w:color w:val="auto"/>
        </w:rPr>
        <w:t xml:space="preserve"> 1</w:t>
      </w:r>
      <w:r w:rsidR="00ED7246" w:rsidRPr="00FB0850">
        <w:rPr>
          <w:color w:val="auto"/>
          <w:vertAlign w:val="superscript"/>
        </w:rPr>
        <w:t>er</w:t>
      </w:r>
      <w:r w:rsidR="00ED7246" w:rsidRPr="00FB0850">
        <w:rPr>
          <w:color w:val="auto"/>
        </w:rPr>
        <w:t> janvier 20</w:t>
      </w:r>
      <w:r w:rsidRPr="00FB0850">
        <w:rPr>
          <w:color w:val="auto"/>
        </w:rPr>
        <w:t>18.</w:t>
      </w:r>
      <w:r w:rsidR="00114591" w:rsidRPr="00FB0850">
        <w:rPr>
          <w:color w:val="auto"/>
        </w:rPr>
        <w:t xml:space="preserve"> </w:t>
      </w:r>
      <w:r w:rsidR="00E124B9" w:rsidRPr="00FB0850">
        <w:rPr>
          <w:color w:val="auto"/>
        </w:rPr>
        <w:t xml:space="preserve"> </w:t>
      </w:r>
      <w:r w:rsidR="008F6CC5" w:rsidRPr="00FB0850">
        <w:rPr>
          <w:color w:val="auto"/>
        </w:rPr>
        <w:t>Le vérificateur externe a procédé à la vérification des états financiers de l</w:t>
      </w:r>
      <w:r w:rsidR="00ED7246" w:rsidRPr="00FB0850">
        <w:rPr>
          <w:color w:val="auto"/>
        </w:rPr>
        <w:t>’</w:t>
      </w:r>
      <w:r w:rsidR="00E124B9" w:rsidRPr="00FB0850">
        <w:rPr>
          <w:color w:val="auto"/>
        </w:rPr>
        <w:t xml:space="preserve">UPOV </w:t>
      </w:r>
      <w:r w:rsidR="008F6CC5" w:rsidRPr="00FB0850">
        <w:rPr>
          <w:color w:val="auto"/>
        </w:rPr>
        <w:t>pour l</w:t>
      </w:r>
      <w:r w:rsidR="00ED7246" w:rsidRPr="00FB0850">
        <w:rPr>
          <w:color w:val="auto"/>
        </w:rPr>
        <w:t>’</w:t>
      </w:r>
      <w:r w:rsidR="008F6CC5" w:rsidRPr="00FB0850">
        <w:rPr>
          <w:color w:val="auto"/>
        </w:rPr>
        <w:t xml:space="preserve">exercice </w:t>
      </w:r>
      <w:r w:rsidR="00751893" w:rsidRPr="00FB0850">
        <w:rPr>
          <w:color w:val="auto"/>
        </w:rPr>
        <w:t>financier</w:t>
      </w:r>
      <w:r w:rsidR="00A4577C" w:rsidRPr="00FB0850">
        <w:rPr>
          <w:color w:val="auto"/>
        </w:rPr>
        <w:t xml:space="preserve"> s</w:t>
      </w:r>
      <w:r w:rsidR="00ED7246" w:rsidRPr="00FB0850">
        <w:rPr>
          <w:color w:val="auto"/>
        </w:rPr>
        <w:t>’</w:t>
      </w:r>
      <w:r w:rsidR="00A4577C" w:rsidRPr="00FB0850">
        <w:rPr>
          <w:color w:val="auto"/>
        </w:rPr>
        <w:t>achevant le</w:t>
      </w:r>
      <w:r w:rsidR="00E124B9" w:rsidRPr="00FB0850">
        <w:rPr>
          <w:color w:val="auto"/>
        </w:rPr>
        <w:t xml:space="preserve"> 3</w:t>
      </w:r>
      <w:r w:rsidR="00ED7246" w:rsidRPr="00FB0850">
        <w:rPr>
          <w:color w:val="auto"/>
        </w:rPr>
        <w:t>1 décembre 20</w:t>
      </w:r>
      <w:r w:rsidR="00E124B9" w:rsidRPr="00FB0850">
        <w:rPr>
          <w:color w:val="auto"/>
        </w:rPr>
        <w:t xml:space="preserve">18, </w:t>
      </w:r>
      <w:r w:rsidR="00A4577C" w:rsidRPr="00FB0850">
        <w:rPr>
          <w:color w:val="auto"/>
        </w:rPr>
        <w:t xml:space="preserve">conformément au </w:t>
      </w:r>
      <w:r w:rsidR="00ED7246" w:rsidRPr="00FB0850">
        <w:rPr>
          <w:color w:val="auto"/>
        </w:rPr>
        <w:t>chapitre 8</w:t>
      </w:r>
      <w:r w:rsidR="00E124B9" w:rsidRPr="00FB0850">
        <w:rPr>
          <w:color w:val="auto"/>
        </w:rPr>
        <w:t xml:space="preserve"> </w:t>
      </w:r>
      <w:r w:rsidR="00A4577C" w:rsidRPr="00FB0850">
        <w:rPr>
          <w:color w:val="auto"/>
        </w:rPr>
        <w:t xml:space="preserve">du </w:t>
      </w:r>
      <w:r w:rsidR="00751893" w:rsidRPr="00FB0850">
        <w:rPr>
          <w:bCs/>
          <w:color w:val="auto"/>
        </w:rPr>
        <w:t>Règlement financier</w:t>
      </w:r>
      <w:r w:rsidR="00FB0850">
        <w:rPr>
          <w:color w:val="auto"/>
        </w:rPr>
        <w:t xml:space="preserve"> </w:t>
      </w:r>
      <w:r w:rsidR="00751893" w:rsidRPr="00FB0850">
        <w:rPr>
          <w:color w:val="auto"/>
        </w:rPr>
        <w:t xml:space="preserve">et </w:t>
      </w:r>
      <w:r w:rsidR="00FB0850">
        <w:t>règlement d’</w:t>
      </w:r>
      <w:r w:rsidR="00FB0850" w:rsidRPr="00FB0850">
        <w:t>exécution du Règlement financier de l'UPOV</w:t>
      </w:r>
      <w:r w:rsidR="00E124B9" w:rsidRPr="00FB0850">
        <w:rPr>
          <w:color w:val="auto"/>
        </w:rPr>
        <w:t xml:space="preserve">. </w:t>
      </w:r>
      <w:r w:rsidR="00114591" w:rsidRPr="00FB0850">
        <w:rPr>
          <w:color w:val="auto"/>
        </w:rPr>
        <w:t xml:space="preserve"> </w:t>
      </w:r>
      <w:r w:rsidR="00751893" w:rsidRPr="00FB0850">
        <w:rPr>
          <w:color w:val="auto"/>
        </w:rPr>
        <w:t>L</w:t>
      </w:r>
      <w:r w:rsidR="00ED7246" w:rsidRPr="00FB0850">
        <w:rPr>
          <w:color w:val="auto"/>
        </w:rPr>
        <w:t>’</w:t>
      </w:r>
      <w:r w:rsidR="00E124B9" w:rsidRPr="00FB0850">
        <w:rPr>
          <w:color w:val="auto"/>
        </w:rPr>
        <w:t xml:space="preserve">audit </w:t>
      </w:r>
      <w:r w:rsidR="00751893" w:rsidRPr="00FB0850">
        <w:rPr>
          <w:color w:val="auto"/>
        </w:rPr>
        <w:t>a été mené dans le respect des normes comptables international</w:t>
      </w:r>
      <w:r w:rsidR="002A21D7" w:rsidRPr="00FB0850">
        <w:rPr>
          <w:color w:val="auto"/>
        </w:rPr>
        <w:t>es.  Au</w:t>
      </w:r>
      <w:r w:rsidRPr="00FB0850">
        <w:rPr>
          <w:color w:val="auto"/>
        </w:rPr>
        <w:t xml:space="preserve"> titre de ces normes, le C&amp;AG et ses collaborateurs doivent respecter les exigences éthiques en prévoyant et en réalisant l</w:t>
      </w:r>
      <w:r w:rsidR="00ED7246" w:rsidRPr="00FB0850">
        <w:rPr>
          <w:color w:val="auto"/>
        </w:rPr>
        <w:t>’</w:t>
      </w:r>
      <w:r w:rsidRPr="00FB0850">
        <w:rPr>
          <w:color w:val="auto"/>
        </w:rPr>
        <w:t>audit de façon à obtenir l</w:t>
      </w:r>
      <w:r w:rsidR="00ED7246" w:rsidRPr="00FB0850">
        <w:rPr>
          <w:color w:val="auto"/>
        </w:rPr>
        <w:t>’</w:t>
      </w:r>
      <w:r w:rsidRPr="00FB0850">
        <w:rPr>
          <w:color w:val="auto"/>
        </w:rPr>
        <w:t>assurance raisonnable que les états financiers ne comportent pas d</w:t>
      </w:r>
      <w:r w:rsidR="00ED7246" w:rsidRPr="00FB0850">
        <w:rPr>
          <w:color w:val="auto"/>
        </w:rPr>
        <w:t>’</w:t>
      </w:r>
      <w:r w:rsidRPr="00FB0850">
        <w:rPr>
          <w:color w:val="auto"/>
        </w:rPr>
        <w:t>anomalies significatives.</w:t>
      </w:r>
    </w:p>
    <w:p w:rsidR="00CA3696" w:rsidRPr="00FB0850" w:rsidRDefault="00BC5E50" w:rsidP="000222D6">
      <w:pPr>
        <w:pStyle w:val="Number1"/>
        <w:numPr>
          <w:ilvl w:val="1"/>
          <w:numId w:val="3"/>
        </w:numPr>
        <w:ind w:left="1701" w:firstLine="0"/>
        <w:jc w:val="both"/>
        <w:rPr>
          <w:color w:val="auto"/>
        </w:rPr>
      </w:pPr>
      <w:r w:rsidRPr="00FB0850">
        <w:rPr>
          <w:color w:val="auto"/>
        </w:rPr>
        <w:t>L</w:t>
      </w:r>
      <w:r w:rsidR="00A67A44" w:rsidRPr="00FB0850">
        <w:rPr>
          <w:color w:val="auto"/>
        </w:rPr>
        <w:t xml:space="preserve">e présent rapport </w:t>
      </w:r>
      <w:r w:rsidRPr="00FB0850">
        <w:rPr>
          <w:color w:val="auto"/>
        </w:rPr>
        <w:t>comport</w:t>
      </w:r>
      <w:r w:rsidR="00A67A44" w:rsidRPr="00FB0850">
        <w:rPr>
          <w:color w:val="auto"/>
        </w:rPr>
        <w:t>e</w:t>
      </w:r>
      <w:r w:rsidRPr="00FB0850">
        <w:rPr>
          <w:color w:val="auto"/>
        </w:rPr>
        <w:t>, outre notre opinion sur les états financiers de l</w:t>
      </w:r>
      <w:r w:rsidR="00ED7246" w:rsidRPr="00FB0850">
        <w:rPr>
          <w:color w:val="auto"/>
        </w:rPr>
        <w:t>’</w:t>
      </w:r>
      <w:r w:rsidRPr="00FB0850">
        <w:rPr>
          <w:color w:val="auto"/>
        </w:rPr>
        <w:t>UPOV,</w:t>
      </w:r>
      <w:r w:rsidR="00A67A44" w:rsidRPr="00FB0850">
        <w:rPr>
          <w:color w:val="auto"/>
        </w:rPr>
        <w:t xml:space="preserve"> les principales conclusions </w:t>
      </w:r>
      <w:r w:rsidR="00EA7A14" w:rsidRPr="00FB0850">
        <w:rPr>
          <w:color w:val="auto"/>
        </w:rPr>
        <w:t xml:space="preserve">découlant </w:t>
      </w:r>
      <w:r w:rsidR="00A67A44" w:rsidRPr="00FB0850">
        <w:rPr>
          <w:color w:val="auto"/>
        </w:rPr>
        <w:t>de notre trava</w:t>
      </w:r>
      <w:r w:rsidR="002A21D7" w:rsidRPr="00FB0850">
        <w:rPr>
          <w:color w:val="auto"/>
        </w:rPr>
        <w:t xml:space="preserve">il.  </w:t>
      </w:r>
      <w:bookmarkStart w:id="5" w:name="SW0002"/>
      <w:r w:rsidR="002A21D7" w:rsidRPr="00FB0850">
        <w:rPr>
          <w:color w:val="auto"/>
        </w:rPr>
        <w:t>No</w:t>
      </w:r>
      <w:r w:rsidR="00A67A44" w:rsidRPr="00FB0850">
        <w:rPr>
          <w:color w:val="auto"/>
        </w:rPr>
        <w:t xml:space="preserve">us avons constaté </w:t>
      </w:r>
      <w:r w:rsidRPr="00FB0850">
        <w:rPr>
          <w:color w:val="auto"/>
        </w:rPr>
        <w:t>qu</w:t>
      </w:r>
      <w:r w:rsidR="00ED7246" w:rsidRPr="00FB0850">
        <w:rPr>
          <w:color w:val="auto"/>
        </w:rPr>
        <w:t>’</w:t>
      </w:r>
      <w:r w:rsidRPr="00FB0850">
        <w:rPr>
          <w:color w:val="auto"/>
        </w:rPr>
        <w:t xml:space="preserve">aucune des </w:t>
      </w:r>
      <w:r w:rsidR="00E124B9" w:rsidRPr="00FB0850">
        <w:rPr>
          <w:color w:val="auto"/>
        </w:rPr>
        <w:t>recomm</w:t>
      </w:r>
      <w:r w:rsidR="00A67A44" w:rsidRPr="00FB0850">
        <w:rPr>
          <w:color w:val="auto"/>
        </w:rPr>
        <w:t>a</w:t>
      </w:r>
      <w:r w:rsidR="00E124B9" w:rsidRPr="00FB0850">
        <w:rPr>
          <w:color w:val="auto"/>
        </w:rPr>
        <w:t xml:space="preserve">ndations </w:t>
      </w:r>
      <w:r w:rsidRPr="00FB0850">
        <w:rPr>
          <w:color w:val="auto"/>
        </w:rPr>
        <w:t>de</w:t>
      </w:r>
      <w:r w:rsidR="00A67A44" w:rsidRPr="00FB0850">
        <w:rPr>
          <w:color w:val="auto"/>
        </w:rPr>
        <w:t xml:space="preserve"> nos prédécesseurs </w:t>
      </w:r>
      <w:r w:rsidRPr="00FB0850">
        <w:rPr>
          <w:color w:val="auto"/>
        </w:rPr>
        <w:t>n</w:t>
      </w:r>
      <w:r w:rsidR="00ED7246" w:rsidRPr="00FB0850">
        <w:rPr>
          <w:color w:val="auto"/>
        </w:rPr>
        <w:t>’</w:t>
      </w:r>
      <w:r w:rsidRPr="00FB0850">
        <w:rPr>
          <w:color w:val="auto"/>
        </w:rPr>
        <w:t>appelait de suivi</w:t>
      </w:r>
      <w:r w:rsidR="00E124B9" w:rsidRPr="00FB0850">
        <w:rPr>
          <w:color w:val="auto"/>
        </w:rPr>
        <w:t>.</w:t>
      </w:r>
    </w:p>
    <w:p w:rsidR="00CA3696" w:rsidRPr="00FB0850" w:rsidRDefault="00CA3696" w:rsidP="000222D6">
      <w:pPr>
        <w:pStyle w:val="Heading2"/>
        <w:rPr>
          <w:lang w:val="fr-FR"/>
        </w:rPr>
      </w:pPr>
      <w:bookmarkStart w:id="6" w:name="_Toc14355937"/>
      <w:bookmarkStart w:id="7" w:name="SW0003"/>
      <w:bookmarkStart w:id="8" w:name="Investigation_Delete"/>
      <w:bookmarkEnd w:id="4"/>
      <w:bookmarkEnd w:id="5"/>
      <w:r w:rsidRPr="00FB0850">
        <w:rPr>
          <w:lang w:val="fr-FR"/>
        </w:rPr>
        <w:t>Résultats généraux de l</w:t>
      </w:r>
      <w:r w:rsidR="00ED7246" w:rsidRPr="00FB0850">
        <w:rPr>
          <w:lang w:val="fr-FR"/>
        </w:rPr>
        <w:t>’</w:t>
      </w:r>
      <w:r w:rsidRPr="00FB0850">
        <w:rPr>
          <w:lang w:val="fr-FR"/>
        </w:rPr>
        <w:t>audit</w:t>
      </w:r>
      <w:bookmarkEnd w:id="6"/>
    </w:p>
    <w:p w:rsidR="00ED7246" w:rsidRPr="00FB0850" w:rsidRDefault="00CA3696" w:rsidP="000222D6">
      <w:pPr>
        <w:pStyle w:val="Number1"/>
        <w:numPr>
          <w:ilvl w:val="1"/>
          <w:numId w:val="3"/>
        </w:numPr>
        <w:ind w:left="1701" w:firstLine="0"/>
        <w:jc w:val="both"/>
        <w:rPr>
          <w:color w:val="auto"/>
        </w:rPr>
      </w:pPr>
      <w:bookmarkStart w:id="9" w:name="SW0004"/>
      <w:bookmarkEnd w:id="7"/>
      <w:r w:rsidRPr="00FB0850">
        <w:rPr>
          <w:color w:val="auto"/>
        </w:rPr>
        <w:t>Le vérificateur externe des comptes a procédé à la vérification des états financiers de l</w:t>
      </w:r>
      <w:r w:rsidR="00ED7246" w:rsidRPr="00FB0850">
        <w:rPr>
          <w:color w:val="auto"/>
        </w:rPr>
        <w:t>’</w:t>
      </w:r>
      <w:r w:rsidRPr="00FB0850">
        <w:rPr>
          <w:color w:val="auto"/>
        </w:rPr>
        <w:t>UPOV pour l</w:t>
      </w:r>
      <w:r w:rsidR="00ED7246" w:rsidRPr="00FB0850">
        <w:rPr>
          <w:color w:val="auto"/>
        </w:rPr>
        <w:t>’</w:t>
      </w:r>
      <w:r w:rsidRPr="00FB0850">
        <w:rPr>
          <w:color w:val="auto"/>
        </w:rPr>
        <w:t>exercice clos au 3</w:t>
      </w:r>
      <w:r w:rsidR="00ED7246" w:rsidRPr="00FB0850">
        <w:rPr>
          <w:color w:val="auto"/>
        </w:rPr>
        <w:t>1 décembre 20</w:t>
      </w:r>
      <w:r w:rsidRPr="00FB0850">
        <w:rPr>
          <w:color w:val="auto"/>
        </w:rPr>
        <w:t>18, qui comprennent l</w:t>
      </w:r>
      <w:r w:rsidR="00ED7246" w:rsidRPr="00FB0850">
        <w:rPr>
          <w:color w:val="auto"/>
        </w:rPr>
        <w:t>’</w:t>
      </w:r>
      <w:r w:rsidRPr="00FB0850">
        <w:rPr>
          <w:color w:val="auto"/>
        </w:rPr>
        <w:t>état de la situation financière, l</w:t>
      </w:r>
      <w:r w:rsidR="00ED7246" w:rsidRPr="00FB0850">
        <w:rPr>
          <w:color w:val="auto"/>
        </w:rPr>
        <w:t>’</w:t>
      </w:r>
      <w:r w:rsidRPr="00FB0850">
        <w:rPr>
          <w:color w:val="auto"/>
        </w:rPr>
        <w:t>état de la performance financière, l</w:t>
      </w:r>
      <w:r w:rsidR="00ED7246" w:rsidRPr="00FB0850">
        <w:rPr>
          <w:color w:val="auto"/>
        </w:rPr>
        <w:t>’</w:t>
      </w:r>
      <w:r w:rsidRPr="00FB0850">
        <w:rPr>
          <w:color w:val="auto"/>
        </w:rPr>
        <w:t>état des flux de trésorerie, l</w:t>
      </w:r>
      <w:r w:rsidR="00ED7246" w:rsidRPr="00FB0850">
        <w:rPr>
          <w:color w:val="auto"/>
        </w:rPr>
        <w:t>’</w:t>
      </w:r>
      <w:r w:rsidRPr="00FB0850">
        <w:rPr>
          <w:color w:val="auto"/>
        </w:rPr>
        <w:t>état des variations des actifs nets, l</w:t>
      </w:r>
      <w:r w:rsidR="00ED7246" w:rsidRPr="00FB0850">
        <w:rPr>
          <w:color w:val="auto"/>
        </w:rPr>
        <w:t>’</w:t>
      </w:r>
      <w:r w:rsidRPr="00FB0850">
        <w:rPr>
          <w:color w:val="auto"/>
        </w:rPr>
        <w:t>état de comparaison des montants budgétaires et des montants annuels, ainsi que les notes relatives aux états financie</w:t>
      </w:r>
      <w:r w:rsidR="002A21D7" w:rsidRPr="00FB0850">
        <w:rPr>
          <w:color w:val="auto"/>
        </w:rPr>
        <w:t>rs.  Ce</w:t>
      </w:r>
      <w:r w:rsidRPr="00FB0850">
        <w:rPr>
          <w:color w:val="auto"/>
        </w:rPr>
        <w:t>s états financiers ont été présentés conformément aux Normes comptables internationales pour le secteur public (IPSAS).</w:t>
      </w:r>
    </w:p>
    <w:p w:rsidR="00ED7246" w:rsidRPr="00FB0850" w:rsidRDefault="00CA3696" w:rsidP="000222D6">
      <w:pPr>
        <w:pStyle w:val="Number1"/>
        <w:numPr>
          <w:ilvl w:val="1"/>
          <w:numId w:val="3"/>
        </w:numPr>
        <w:ind w:left="1701" w:firstLine="0"/>
        <w:jc w:val="both"/>
        <w:rPr>
          <w:color w:val="auto"/>
        </w:rPr>
      </w:pPr>
      <w:r w:rsidRPr="00FB0850">
        <w:rPr>
          <w:color w:val="auto"/>
        </w:rPr>
        <w:t>À notre avis, les états financiers vérifiés donnent une image fidèle de la situation financière de l</w:t>
      </w:r>
      <w:r w:rsidR="00ED7246" w:rsidRPr="00FB0850">
        <w:rPr>
          <w:color w:val="auto"/>
        </w:rPr>
        <w:t>’</w:t>
      </w:r>
      <w:r w:rsidRPr="00FB0850">
        <w:rPr>
          <w:color w:val="auto"/>
        </w:rPr>
        <w:t>UPOV au 3</w:t>
      </w:r>
      <w:r w:rsidR="00ED7246" w:rsidRPr="00FB0850">
        <w:rPr>
          <w:color w:val="auto"/>
        </w:rPr>
        <w:t>1 décembre 20</w:t>
      </w:r>
      <w:r w:rsidRPr="00FB0850">
        <w:rPr>
          <w:color w:val="auto"/>
        </w:rPr>
        <w:t>18, ainsi que de sa performance financière et de ses flux de trésorerie pour l</w:t>
      </w:r>
      <w:r w:rsidR="00ED7246" w:rsidRPr="00FB0850">
        <w:rPr>
          <w:color w:val="auto"/>
        </w:rPr>
        <w:t>’</w:t>
      </w:r>
      <w:r w:rsidRPr="00FB0850">
        <w:rPr>
          <w:color w:val="auto"/>
        </w:rPr>
        <w:t>exercice clos à cette date, conformément aux Normes comptables internationales pour le secteur public (IPSAS).</w:t>
      </w:r>
    </w:p>
    <w:p w:rsidR="00CA3696" w:rsidRPr="00FB0850" w:rsidRDefault="00BC5E50" w:rsidP="000222D6">
      <w:pPr>
        <w:pStyle w:val="Number1"/>
        <w:numPr>
          <w:ilvl w:val="1"/>
          <w:numId w:val="3"/>
        </w:numPr>
        <w:ind w:left="1701" w:firstLine="0"/>
        <w:jc w:val="both"/>
        <w:rPr>
          <w:color w:val="auto"/>
        </w:rPr>
      </w:pPr>
      <w:r w:rsidRPr="00FB0850">
        <w:rPr>
          <w:color w:val="auto"/>
        </w:rPr>
        <w:t>L</w:t>
      </w:r>
      <w:r w:rsidR="00ED7246" w:rsidRPr="00FB0850">
        <w:rPr>
          <w:color w:val="auto"/>
        </w:rPr>
        <w:t>’</w:t>
      </w:r>
      <w:r w:rsidR="00E124B9" w:rsidRPr="00FB0850">
        <w:rPr>
          <w:color w:val="auto"/>
        </w:rPr>
        <w:t xml:space="preserve">audit </w:t>
      </w:r>
      <w:r w:rsidRPr="00FB0850">
        <w:rPr>
          <w:color w:val="auto"/>
        </w:rPr>
        <w:t xml:space="preserve">a également </w:t>
      </w:r>
      <w:r w:rsidR="00E124B9" w:rsidRPr="00FB0850">
        <w:rPr>
          <w:color w:val="auto"/>
        </w:rPr>
        <w:t>confirm</w:t>
      </w:r>
      <w:r w:rsidRPr="00FB0850">
        <w:rPr>
          <w:color w:val="auto"/>
        </w:rPr>
        <w:t xml:space="preserve">é que, </w:t>
      </w:r>
      <w:r w:rsidR="00A727CB" w:rsidRPr="00FB0850">
        <w:rPr>
          <w:color w:val="auto"/>
        </w:rPr>
        <w:t>sur</w:t>
      </w:r>
      <w:r w:rsidRPr="00FB0850">
        <w:rPr>
          <w:color w:val="auto"/>
        </w:rPr>
        <w:t xml:space="preserve"> l</w:t>
      </w:r>
      <w:r w:rsidR="00ED7246" w:rsidRPr="00FB0850">
        <w:rPr>
          <w:color w:val="auto"/>
        </w:rPr>
        <w:t>’</w:t>
      </w:r>
      <w:r w:rsidRPr="00FB0850">
        <w:rPr>
          <w:color w:val="auto"/>
        </w:rPr>
        <w:t>ensemble des aspects significatifs</w:t>
      </w:r>
      <w:r w:rsidR="00E124B9" w:rsidRPr="00FB0850">
        <w:rPr>
          <w:color w:val="auto"/>
        </w:rPr>
        <w:t xml:space="preserve">, </w:t>
      </w:r>
      <w:r w:rsidRPr="00FB0850">
        <w:rPr>
          <w:color w:val="auto"/>
        </w:rPr>
        <w:t xml:space="preserve">les recettes et les dépenses ont été consacrées aux objectifs retenus par le </w:t>
      </w:r>
      <w:r w:rsidR="00E124B9" w:rsidRPr="00FB0850">
        <w:rPr>
          <w:color w:val="auto"/>
        </w:rPr>
        <w:t>Con</w:t>
      </w:r>
      <w:r w:rsidRPr="00FB0850">
        <w:rPr>
          <w:color w:val="auto"/>
        </w:rPr>
        <w:t>se</w:t>
      </w:r>
      <w:r w:rsidR="00E124B9" w:rsidRPr="00FB0850">
        <w:rPr>
          <w:color w:val="auto"/>
        </w:rPr>
        <w:t>il</w:t>
      </w:r>
      <w:r w:rsidR="000C37F3" w:rsidRPr="00FB0850">
        <w:rPr>
          <w:color w:val="auto"/>
        </w:rPr>
        <w:t>,</w:t>
      </w:r>
      <w:r w:rsidR="00E124B9" w:rsidRPr="00FB0850">
        <w:rPr>
          <w:color w:val="auto"/>
        </w:rPr>
        <w:t xml:space="preserve"> </w:t>
      </w:r>
      <w:r w:rsidR="00A727CB" w:rsidRPr="00FB0850">
        <w:rPr>
          <w:color w:val="auto"/>
        </w:rPr>
        <w:t xml:space="preserve">et que les transactions financières sont conformes au </w:t>
      </w:r>
      <w:r w:rsidR="00FB0850" w:rsidRPr="00FB0850">
        <w:rPr>
          <w:bCs/>
          <w:color w:val="auto"/>
        </w:rPr>
        <w:t>Règlement financier</w:t>
      </w:r>
      <w:r w:rsidR="00FB0850">
        <w:rPr>
          <w:color w:val="auto"/>
        </w:rPr>
        <w:t xml:space="preserve"> </w:t>
      </w:r>
      <w:r w:rsidR="00FB0850" w:rsidRPr="00FB0850">
        <w:rPr>
          <w:color w:val="auto"/>
        </w:rPr>
        <w:t xml:space="preserve">et </w:t>
      </w:r>
      <w:r w:rsidR="00FB0850">
        <w:t>règlement d’</w:t>
      </w:r>
      <w:r w:rsidR="00FB0850" w:rsidRPr="00FB0850">
        <w:t xml:space="preserve">exécution du Règlement financier </w:t>
      </w:r>
      <w:r w:rsidR="00A727CB" w:rsidRPr="00FB0850">
        <w:rPr>
          <w:color w:val="auto"/>
        </w:rPr>
        <w:t>de l</w:t>
      </w:r>
      <w:r w:rsidR="00ED7246" w:rsidRPr="00FB0850">
        <w:rPr>
          <w:color w:val="auto"/>
        </w:rPr>
        <w:t>’</w:t>
      </w:r>
      <w:r w:rsidR="00E124B9" w:rsidRPr="00FB0850">
        <w:rPr>
          <w:color w:val="auto"/>
        </w:rPr>
        <w:t>Organi</w:t>
      </w:r>
      <w:r w:rsidR="00A727CB" w:rsidRPr="00FB0850">
        <w:rPr>
          <w:color w:val="auto"/>
        </w:rPr>
        <w:t>s</w:t>
      </w:r>
      <w:r w:rsidR="00E124B9" w:rsidRPr="00FB0850">
        <w:rPr>
          <w:color w:val="auto"/>
        </w:rPr>
        <w:t>ation.</w:t>
      </w:r>
    </w:p>
    <w:p w:rsidR="00CA3696" w:rsidRPr="00FB0850" w:rsidRDefault="000C37F3" w:rsidP="00F24F3F">
      <w:pPr>
        <w:pStyle w:val="Heading3"/>
        <w:rPr>
          <w:lang w:val="fr-FR"/>
        </w:rPr>
      </w:pPr>
      <w:r w:rsidRPr="00FB0850">
        <w:rPr>
          <w:lang w:val="fr-FR"/>
        </w:rPr>
        <w:t>Résultats de l</w:t>
      </w:r>
      <w:r w:rsidR="00ED7246" w:rsidRPr="00FB0850">
        <w:rPr>
          <w:lang w:val="fr-FR"/>
        </w:rPr>
        <w:t>’</w:t>
      </w:r>
      <w:r w:rsidRPr="00FB0850">
        <w:rPr>
          <w:lang w:val="fr-FR"/>
        </w:rPr>
        <w:t>a</w:t>
      </w:r>
      <w:r w:rsidR="00E124B9" w:rsidRPr="00FB0850">
        <w:rPr>
          <w:lang w:val="fr-FR"/>
        </w:rPr>
        <w:t>udit</w:t>
      </w:r>
    </w:p>
    <w:p w:rsidR="00CA3696" w:rsidRPr="00FB0850" w:rsidRDefault="000C37F3" w:rsidP="00F24F3F">
      <w:pPr>
        <w:pStyle w:val="Number1"/>
        <w:numPr>
          <w:ilvl w:val="1"/>
          <w:numId w:val="3"/>
        </w:numPr>
        <w:ind w:left="1701" w:firstLine="0"/>
        <w:jc w:val="both"/>
        <w:rPr>
          <w:color w:val="auto"/>
        </w:rPr>
      </w:pPr>
      <w:r w:rsidRPr="00FB0850">
        <w:rPr>
          <w:color w:val="auto"/>
        </w:rPr>
        <w:t xml:space="preserve">Les états financiers annuels relatifs à </w:t>
      </w:r>
      <w:r w:rsidR="00E124B9" w:rsidRPr="00FB0850">
        <w:rPr>
          <w:color w:val="auto"/>
        </w:rPr>
        <w:t xml:space="preserve">2018 </w:t>
      </w:r>
      <w:r w:rsidRPr="00FB0850">
        <w:rPr>
          <w:color w:val="auto"/>
        </w:rPr>
        <w:t>et les commentaires afférents portant sur les résultats financiers donnent une v</w:t>
      </w:r>
      <w:r w:rsidR="00CA040B" w:rsidRPr="00FB0850">
        <w:rPr>
          <w:color w:val="auto"/>
        </w:rPr>
        <w:t>ision exha</w:t>
      </w:r>
      <w:r w:rsidRPr="00FB0850">
        <w:rPr>
          <w:color w:val="auto"/>
        </w:rPr>
        <w:t>u</w:t>
      </w:r>
      <w:r w:rsidR="00CA040B" w:rsidRPr="00FB0850">
        <w:rPr>
          <w:color w:val="auto"/>
        </w:rPr>
        <w:t>stiv</w:t>
      </w:r>
      <w:r w:rsidRPr="00FB0850">
        <w:rPr>
          <w:color w:val="auto"/>
        </w:rPr>
        <w:t>e de la situation financière de l</w:t>
      </w:r>
      <w:r w:rsidR="00ED7246" w:rsidRPr="00FB0850">
        <w:rPr>
          <w:color w:val="auto"/>
        </w:rPr>
        <w:t>’</w:t>
      </w:r>
      <w:r w:rsidR="00E124B9" w:rsidRPr="00FB0850">
        <w:rPr>
          <w:color w:val="auto"/>
        </w:rPr>
        <w:t>U</w:t>
      </w:r>
      <w:r w:rsidR="002A21D7" w:rsidRPr="00FB0850">
        <w:rPr>
          <w:color w:val="auto"/>
        </w:rPr>
        <w:t>POV.  Le</w:t>
      </w:r>
      <w:r w:rsidR="00CA3696" w:rsidRPr="00FB0850">
        <w:rPr>
          <w:color w:val="auto"/>
        </w:rPr>
        <w:t xml:space="preserve">s états financiers présentés pour vérification étaient de grande qualité et, pour ce qui est des jugements comptables fondamentaux, la direction a fait état de ses analyses sur des questions essentielles </w:t>
      </w:r>
      <w:r w:rsidR="006E4625" w:rsidRPr="00FB0850">
        <w:rPr>
          <w:color w:val="auto"/>
        </w:rPr>
        <w:t>qui concernent</w:t>
      </w:r>
      <w:r w:rsidR="00CA3696" w:rsidRPr="00FB0850">
        <w:rPr>
          <w:color w:val="auto"/>
        </w:rPr>
        <w:t xml:space="preserve"> l</w:t>
      </w:r>
      <w:r w:rsidR="00ED7246" w:rsidRPr="00FB0850">
        <w:rPr>
          <w:color w:val="auto"/>
        </w:rPr>
        <w:t>’</w:t>
      </w:r>
      <w:r w:rsidR="00CA3696" w:rsidRPr="00FB0850">
        <w:rPr>
          <w:color w:val="auto"/>
        </w:rPr>
        <w:t>UPOV et sur la manière de les mettre en conformité avec les exigences des Normes comptables internationales pour le secteur public (IPSAS).</w:t>
      </w:r>
      <w:r w:rsidR="00E124B9" w:rsidRPr="00FB0850">
        <w:rPr>
          <w:color w:val="auto"/>
        </w:rPr>
        <w:t xml:space="preserve"> </w:t>
      </w:r>
      <w:r w:rsidR="00114591" w:rsidRPr="00FB0850">
        <w:rPr>
          <w:color w:val="auto"/>
        </w:rPr>
        <w:t xml:space="preserve"> </w:t>
      </w:r>
      <w:r w:rsidR="00CA3696" w:rsidRPr="00FB0850">
        <w:rPr>
          <w:color w:val="auto"/>
        </w:rPr>
        <w:lastRenderedPageBreak/>
        <w:t>À titre d</w:t>
      </w:r>
      <w:r w:rsidR="00ED7246" w:rsidRPr="00FB0850">
        <w:rPr>
          <w:color w:val="auto"/>
        </w:rPr>
        <w:t>’</w:t>
      </w:r>
      <w:r w:rsidR="00CA3696" w:rsidRPr="00FB0850">
        <w:rPr>
          <w:color w:val="auto"/>
        </w:rPr>
        <w:t>exemple, la direction a effectué une révision détaillée des diverses hypothèses utilisées par l</w:t>
      </w:r>
      <w:r w:rsidR="00ED7246" w:rsidRPr="00FB0850">
        <w:rPr>
          <w:color w:val="auto"/>
        </w:rPr>
        <w:t>’</w:t>
      </w:r>
      <w:r w:rsidR="00CA3696" w:rsidRPr="00FB0850">
        <w:rPr>
          <w:color w:val="auto"/>
        </w:rPr>
        <w:t>actuaire pour déterminer les obligations de l</w:t>
      </w:r>
      <w:r w:rsidR="00ED7246" w:rsidRPr="00FB0850">
        <w:rPr>
          <w:color w:val="auto"/>
        </w:rPr>
        <w:t>’</w:t>
      </w:r>
      <w:r w:rsidR="00CA3696" w:rsidRPr="00FB0850">
        <w:rPr>
          <w:color w:val="auto"/>
        </w:rPr>
        <w:t>Organisation en matière d</w:t>
      </w:r>
      <w:r w:rsidR="00ED7246" w:rsidRPr="00FB0850">
        <w:rPr>
          <w:color w:val="auto"/>
        </w:rPr>
        <w:t>’</w:t>
      </w:r>
      <w:r w:rsidR="00CA3696" w:rsidRPr="00FB0850">
        <w:rPr>
          <w:color w:val="auto"/>
        </w:rPr>
        <w:t>assurance maladie après la cessation de service, concluant que les hypothèses utilisées étaient appropriées.</w:t>
      </w:r>
    </w:p>
    <w:p w:rsidR="00CA3696" w:rsidRPr="00FB0850" w:rsidRDefault="000717F5" w:rsidP="00F24F3F">
      <w:pPr>
        <w:pStyle w:val="Heading3"/>
        <w:rPr>
          <w:lang w:val="fr-FR"/>
        </w:rPr>
      </w:pPr>
      <w:r w:rsidRPr="00FB0850">
        <w:rPr>
          <w:lang w:val="fr-FR"/>
        </w:rPr>
        <w:t>Champ d</w:t>
      </w:r>
      <w:r w:rsidR="00ED7246" w:rsidRPr="00FB0850">
        <w:rPr>
          <w:lang w:val="fr-FR"/>
        </w:rPr>
        <w:t>’</w:t>
      </w:r>
      <w:r w:rsidRPr="00FB0850">
        <w:rPr>
          <w:lang w:val="fr-FR"/>
        </w:rPr>
        <w:t>application</w:t>
      </w:r>
      <w:r w:rsidR="000C37F3" w:rsidRPr="00FB0850">
        <w:rPr>
          <w:lang w:val="fr-FR"/>
        </w:rPr>
        <w:t xml:space="preserve"> de l</w:t>
      </w:r>
      <w:r w:rsidR="00ED7246" w:rsidRPr="00FB0850">
        <w:rPr>
          <w:lang w:val="fr-FR"/>
        </w:rPr>
        <w:t>’</w:t>
      </w:r>
      <w:r w:rsidR="000C37F3" w:rsidRPr="00FB0850">
        <w:rPr>
          <w:lang w:val="fr-FR"/>
        </w:rPr>
        <w:t>a</w:t>
      </w:r>
      <w:r w:rsidR="00E124B9" w:rsidRPr="00FB0850">
        <w:rPr>
          <w:lang w:val="fr-FR"/>
        </w:rPr>
        <w:t>udit</w:t>
      </w:r>
    </w:p>
    <w:p w:rsidR="00ED7246" w:rsidRPr="00FB0850" w:rsidRDefault="00CA3696" w:rsidP="00F24F3F">
      <w:pPr>
        <w:pStyle w:val="Number1"/>
        <w:numPr>
          <w:ilvl w:val="1"/>
          <w:numId w:val="3"/>
        </w:numPr>
        <w:ind w:left="1701" w:firstLine="0"/>
        <w:jc w:val="both"/>
        <w:rPr>
          <w:color w:val="auto"/>
        </w:rPr>
      </w:pPr>
      <w:r w:rsidRPr="00FB0850">
        <w:rPr>
          <w:color w:val="auto"/>
        </w:rPr>
        <w:t>Nous avons effectué notre vérification en respectant les Normes internationales d</w:t>
      </w:r>
      <w:r w:rsidR="00ED7246" w:rsidRPr="00FB0850">
        <w:rPr>
          <w:color w:val="auto"/>
        </w:rPr>
        <w:t>’</w:t>
      </w:r>
      <w:r w:rsidRPr="00FB0850">
        <w:rPr>
          <w:color w:val="auto"/>
        </w:rPr>
        <w:t>aud</w:t>
      </w:r>
      <w:r w:rsidR="002A21D7" w:rsidRPr="00FB0850">
        <w:rPr>
          <w:color w:val="auto"/>
        </w:rPr>
        <w:t>it.  No</w:t>
      </w:r>
      <w:r w:rsidRPr="00FB0850">
        <w:rPr>
          <w:color w:val="auto"/>
        </w:rPr>
        <w:t>us sommes indépendants de l</w:t>
      </w:r>
      <w:r w:rsidR="00ED7246" w:rsidRPr="00FB0850">
        <w:rPr>
          <w:color w:val="auto"/>
        </w:rPr>
        <w:t>’</w:t>
      </w:r>
      <w:r w:rsidRPr="00FB0850">
        <w:rPr>
          <w:color w:val="auto"/>
        </w:rPr>
        <w:t>UPOV conformément aux exigences d</w:t>
      </w:r>
      <w:r w:rsidR="00ED7246" w:rsidRPr="00FB0850">
        <w:rPr>
          <w:color w:val="auto"/>
        </w:rPr>
        <w:t>’</w:t>
      </w:r>
      <w:r w:rsidRPr="00FB0850">
        <w:rPr>
          <w:color w:val="auto"/>
        </w:rPr>
        <w:t>éthiques pertinentes dans le cadre de notre vérification des états financiers et nous avons rempli nos autres responsabilités éthiques en respectant ces exigences.</w:t>
      </w:r>
    </w:p>
    <w:p w:rsidR="00CA3696" w:rsidRPr="00FB0850" w:rsidRDefault="000C37F3" w:rsidP="00F24F3F">
      <w:pPr>
        <w:pStyle w:val="Number1"/>
        <w:numPr>
          <w:ilvl w:val="1"/>
          <w:numId w:val="3"/>
        </w:numPr>
        <w:ind w:left="1701" w:firstLine="0"/>
        <w:jc w:val="both"/>
        <w:rPr>
          <w:color w:val="auto"/>
        </w:rPr>
      </w:pPr>
      <w:r w:rsidRPr="00FB0850">
        <w:rPr>
          <w:color w:val="auto"/>
        </w:rPr>
        <w:t>Au titre des normes comptables internationales</w:t>
      </w:r>
      <w:r w:rsidR="00E124B9" w:rsidRPr="00FB0850">
        <w:rPr>
          <w:color w:val="auto"/>
        </w:rPr>
        <w:t xml:space="preserve">, </w:t>
      </w:r>
      <w:r w:rsidR="0080669D" w:rsidRPr="00FB0850">
        <w:rPr>
          <w:color w:val="auto"/>
        </w:rPr>
        <w:t xml:space="preserve">nos </w:t>
      </w:r>
      <w:r w:rsidR="001861B2" w:rsidRPr="00FB0850">
        <w:rPr>
          <w:color w:val="auto"/>
        </w:rPr>
        <w:t xml:space="preserve">responsabilités </w:t>
      </w:r>
      <w:r w:rsidR="009537BA" w:rsidRPr="00FB0850">
        <w:rPr>
          <w:color w:val="auto"/>
        </w:rPr>
        <w:t xml:space="preserve">consistent à </w:t>
      </w:r>
      <w:r w:rsidR="001861B2" w:rsidRPr="00FB0850">
        <w:rPr>
          <w:color w:val="auto"/>
        </w:rPr>
        <w:t>obtenir une assurance raisonnable que les états financiers dans leur ensemble ne comportent pas d</w:t>
      </w:r>
      <w:r w:rsidR="00ED7246" w:rsidRPr="00FB0850">
        <w:rPr>
          <w:color w:val="auto"/>
        </w:rPr>
        <w:t>’</w:t>
      </w:r>
      <w:r w:rsidR="001861B2" w:rsidRPr="00FB0850">
        <w:rPr>
          <w:color w:val="auto"/>
        </w:rPr>
        <w:t>anomalies significatives, que celles</w:t>
      </w:r>
      <w:r w:rsidR="00ED7246" w:rsidRPr="00FB0850">
        <w:rPr>
          <w:color w:val="auto"/>
        </w:rPr>
        <w:t>-</w:t>
      </w:r>
      <w:r w:rsidR="001861B2" w:rsidRPr="00FB0850">
        <w:rPr>
          <w:color w:val="auto"/>
        </w:rPr>
        <w:t>ci proviennent de fraudes ou résultent d</w:t>
      </w:r>
      <w:r w:rsidR="00ED7246" w:rsidRPr="00FB0850">
        <w:rPr>
          <w:color w:val="auto"/>
        </w:rPr>
        <w:t>’</w:t>
      </w:r>
      <w:r w:rsidR="001861B2" w:rsidRPr="00FB0850">
        <w:rPr>
          <w:color w:val="auto"/>
        </w:rPr>
        <w:t>erreurs, et de rendre un rapport de vérification des comptes conten</w:t>
      </w:r>
      <w:r w:rsidR="009537BA" w:rsidRPr="00FB0850">
        <w:rPr>
          <w:color w:val="auto"/>
        </w:rPr>
        <w:t>a</w:t>
      </w:r>
      <w:r w:rsidR="001861B2" w:rsidRPr="00FB0850">
        <w:rPr>
          <w:color w:val="auto"/>
        </w:rPr>
        <w:t>n</w:t>
      </w:r>
      <w:r w:rsidR="009537BA" w:rsidRPr="00FB0850">
        <w:rPr>
          <w:color w:val="auto"/>
        </w:rPr>
        <w:t>t</w:t>
      </w:r>
      <w:r w:rsidR="001861B2" w:rsidRPr="00FB0850">
        <w:rPr>
          <w:color w:val="auto"/>
        </w:rPr>
        <w:t xml:space="preserve"> notre opini</w:t>
      </w:r>
      <w:r w:rsidR="002A21D7" w:rsidRPr="00FB0850">
        <w:rPr>
          <w:color w:val="auto"/>
        </w:rPr>
        <w:t>on.  Le</w:t>
      </w:r>
      <w:r w:rsidR="00385502" w:rsidRPr="00FB0850">
        <w:rPr>
          <w:color w:val="auto"/>
        </w:rPr>
        <w:t xml:space="preserve"> champ </w:t>
      </w:r>
      <w:r w:rsidR="000717F5" w:rsidRPr="00FB0850">
        <w:rPr>
          <w:color w:val="auto"/>
        </w:rPr>
        <w:t>d</w:t>
      </w:r>
      <w:r w:rsidR="00ED7246" w:rsidRPr="00FB0850">
        <w:rPr>
          <w:color w:val="auto"/>
        </w:rPr>
        <w:t>’</w:t>
      </w:r>
      <w:r w:rsidR="000717F5" w:rsidRPr="00FB0850">
        <w:rPr>
          <w:color w:val="auto"/>
        </w:rPr>
        <w:t xml:space="preserve">application </w:t>
      </w:r>
      <w:r w:rsidR="00385502" w:rsidRPr="00FB0850">
        <w:rPr>
          <w:color w:val="auto"/>
        </w:rPr>
        <w:t>complet de nos responsabilités au titre de ces normes est exp</w:t>
      </w:r>
      <w:r w:rsidR="009537BA" w:rsidRPr="00FB0850">
        <w:rPr>
          <w:color w:val="auto"/>
        </w:rPr>
        <w:t>os</w:t>
      </w:r>
      <w:r w:rsidR="00385502" w:rsidRPr="00FB0850">
        <w:rPr>
          <w:color w:val="auto"/>
        </w:rPr>
        <w:t>é dans la section de mon opinion intitulée Responsabilités du vérificateur des comptes pour la vérification des états financiers</w:t>
      </w:r>
      <w:r w:rsidR="00E124B9" w:rsidRPr="00FB0850">
        <w:rPr>
          <w:color w:val="auto"/>
        </w:rPr>
        <w:t>.</w:t>
      </w:r>
    </w:p>
    <w:p w:rsidR="00CA3696" w:rsidRPr="00FB0850" w:rsidRDefault="00C84DBE" w:rsidP="00F24F3F">
      <w:pPr>
        <w:pStyle w:val="Number1"/>
        <w:numPr>
          <w:ilvl w:val="1"/>
          <w:numId w:val="3"/>
        </w:numPr>
        <w:ind w:left="1701" w:firstLine="0"/>
        <w:jc w:val="both"/>
        <w:rPr>
          <w:color w:val="auto"/>
        </w:rPr>
      </w:pPr>
      <w:r w:rsidRPr="00FB0850">
        <w:rPr>
          <w:color w:val="auto"/>
        </w:rPr>
        <w:t>L</w:t>
      </w:r>
      <w:r w:rsidR="00ED7246" w:rsidRPr="00FB0850">
        <w:rPr>
          <w:color w:val="auto"/>
        </w:rPr>
        <w:t>’</w:t>
      </w:r>
      <w:r w:rsidR="00E124B9" w:rsidRPr="00FB0850">
        <w:rPr>
          <w:color w:val="auto"/>
        </w:rPr>
        <w:t xml:space="preserve">audit </w:t>
      </w:r>
      <w:r w:rsidRPr="00FB0850">
        <w:rPr>
          <w:color w:val="auto"/>
        </w:rPr>
        <w:t xml:space="preserve">a été mené fondamentalement pour permettre de se faire une </w:t>
      </w:r>
      <w:r w:rsidR="00E124B9" w:rsidRPr="00FB0850">
        <w:rPr>
          <w:color w:val="auto"/>
        </w:rPr>
        <w:t xml:space="preserve">opinion </w:t>
      </w:r>
      <w:r w:rsidRPr="00FB0850">
        <w:rPr>
          <w:color w:val="auto"/>
        </w:rPr>
        <w:t>quant à la question de savoir si les états financiers présentent correctement la situation financière de l</w:t>
      </w:r>
      <w:r w:rsidR="00ED7246" w:rsidRPr="00FB0850">
        <w:rPr>
          <w:color w:val="auto"/>
        </w:rPr>
        <w:t>’</w:t>
      </w:r>
      <w:r w:rsidR="00E124B9" w:rsidRPr="00FB0850">
        <w:rPr>
          <w:color w:val="auto"/>
        </w:rPr>
        <w:t xml:space="preserve">UPOV </w:t>
      </w:r>
      <w:r w:rsidR="00C53F23" w:rsidRPr="00FB0850">
        <w:rPr>
          <w:color w:val="auto"/>
        </w:rPr>
        <w:t>pour l</w:t>
      </w:r>
      <w:r w:rsidR="00ED7246" w:rsidRPr="00FB0850">
        <w:rPr>
          <w:color w:val="auto"/>
        </w:rPr>
        <w:t>’</w:t>
      </w:r>
      <w:r w:rsidR="00C53F23" w:rsidRPr="00FB0850">
        <w:rPr>
          <w:color w:val="auto"/>
        </w:rPr>
        <w:t>exercice clos au 3</w:t>
      </w:r>
      <w:r w:rsidR="00ED7246" w:rsidRPr="00FB0850">
        <w:rPr>
          <w:color w:val="auto"/>
        </w:rPr>
        <w:t>1 décembre 20</w:t>
      </w:r>
      <w:r w:rsidR="00C53F23" w:rsidRPr="00FB0850">
        <w:rPr>
          <w:color w:val="auto"/>
        </w:rPr>
        <w:t>18</w:t>
      </w:r>
      <w:r w:rsidRPr="00FB0850">
        <w:rPr>
          <w:color w:val="auto"/>
        </w:rPr>
        <w:t>, ainsi que sa performance financière et s</w:t>
      </w:r>
      <w:r w:rsidR="00C53F23" w:rsidRPr="00FB0850">
        <w:rPr>
          <w:color w:val="auto"/>
        </w:rPr>
        <w:t xml:space="preserve">es flux de trésorerie </w:t>
      </w:r>
      <w:r w:rsidRPr="00FB0850">
        <w:rPr>
          <w:color w:val="auto"/>
        </w:rPr>
        <w:t>pour l</w:t>
      </w:r>
      <w:r w:rsidR="00ED7246" w:rsidRPr="00FB0850">
        <w:rPr>
          <w:color w:val="auto"/>
        </w:rPr>
        <w:t>’</w:t>
      </w:r>
      <w:r w:rsidRPr="00FB0850">
        <w:rPr>
          <w:color w:val="auto"/>
        </w:rPr>
        <w:t>exercice clos à cette date</w:t>
      </w:r>
      <w:r w:rsidR="00E124B9" w:rsidRPr="00FB0850">
        <w:rPr>
          <w:color w:val="auto"/>
        </w:rPr>
        <w:t xml:space="preserve">, </w:t>
      </w:r>
      <w:r w:rsidR="00CA040B" w:rsidRPr="00FB0850">
        <w:rPr>
          <w:color w:val="auto"/>
        </w:rPr>
        <w:t xml:space="preserve">conformément aux </w:t>
      </w:r>
      <w:r w:rsidR="00292EA7" w:rsidRPr="00FB0850">
        <w:rPr>
          <w:color w:val="auto"/>
        </w:rPr>
        <w:t xml:space="preserve">Normes </w:t>
      </w:r>
      <w:r w:rsidR="00CA040B" w:rsidRPr="00FB0850">
        <w:rPr>
          <w:bCs/>
          <w:color w:val="auto"/>
        </w:rPr>
        <w:t>comptables internationales pour le secteur publ</w:t>
      </w:r>
      <w:r w:rsidR="002A21D7" w:rsidRPr="00FB0850">
        <w:rPr>
          <w:bCs/>
          <w:color w:val="auto"/>
        </w:rPr>
        <w:t xml:space="preserve">ic.  </w:t>
      </w:r>
      <w:r w:rsidR="002A21D7" w:rsidRPr="00FB0850">
        <w:rPr>
          <w:color w:val="auto"/>
        </w:rPr>
        <w:t>L’a</w:t>
      </w:r>
      <w:r w:rsidRPr="00FB0850">
        <w:rPr>
          <w:color w:val="auto"/>
        </w:rPr>
        <w:t xml:space="preserve">udit comprend une évaluation </w:t>
      </w:r>
      <w:r w:rsidR="001E47D5" w:rsidRPr="00FB0850">
        <w:rPr>
          <w:color w:val="auto"/>
        </w:rPr>
        <w:t xml:space="preserve">visant à vérifier que les dépenses inscrites aux états financiers ont été appliquées au service des objectifs fixés par le Conseil et que les recettes et les dépenses ont été correctement classées et inscrites </w:t>
      </w:r>
      <w:r w:rsidR="009537BA" w:rsidRPr="00FB0850">
        <w:rPr>
          <w:color w:val="auto"/>
        </w:rPr>
        <w:t>dans l</w:t>
      </w:r>
      <w:r w:rsidR="001E47D5" w:rsidRPr="00FB0850">
        <w:rPr>
          <w:color w:val="auto"/>
        </w:rPr>
        <w:t>e respect</w:t>
      </w:r>
      <w:r w:rsidR="009537BA" w:rsidRPr="00FB0850">
        <w:rPr>
          <w:color w:val="auto"/>
        </w:rPr>
        <w:t xml:space="preserve"> du</w:t>
      </w:r>
      <w:r w:rsidR="001E47D5" w:rsidRPr="00FB0850">
        <w:rPr>
          <w:color w:val="auto"/>
        </w:rPr>
        <w:t xml:space="preserve"> Règlement financier et règlement d</w:t>
      </w:r>
      <w:r w:rsidR="00ED7246" w:rsidRPr="00FB0850">
        <w:rPr>
          <w:color w:val="auto"/>
        </w:rPr>
        <w:t>’</w:t>
      </w:r>
      <w:r w:rsidR="001E47D5" w:rsidRPr="00FB0850">
        <w:rPr>
          <w:color w:val="auto"/>
        </w:rPr>
        <w:t xml:space="preserve">exécution </w:t>
      </w:r>
      <w:r w:rsidR="00FB0850" w:rsidRPr="00FB0850">
        <w:rPr>
          <w:color w:val="auto"/>
        </w:rPr>
        <w:t xml:space="preserve">du Règlement financier </w:t>
      </w:r>
      <w:r w:rsidR="001E47D5" w:rsidRPr="00FB0850">
        <w:rPr>
          <w:color w:val="auto"/>
        </w:rPr>
        <w:t>de l</w:t>
      </w:r>
      <w:r w:rsidR="00ED7246" w:rsidRPr="00FB0850">
        <w:rPr>
          <w:color w:val="auto"/>
        </w:rPr>
        <w:t>’</w:t>
      </w:r>
      <w:r w:rsidR="00E124B9" w:rsidRPr="00FB0850">
        <w:rPr>
          <w:color w:val="auto"/>
        </w:rPr>
        <w:t xml:space="preserve">UPOV. </w:t>
      </w:r>
      <w:r w:rsidR="00114591" w:rsidRPr="00FB0850">
        <w:rPr>
          <w:color w:val="auto"/>
        </w:rPr>
        <w:t xml:space="preserve"> </w:t>
      </w:r>
      <w:r w:rsidR="00AE677B" w:rsidRPr="00FB0850">
        <w:rPr>
          <w:color w:val="auto"/>
        </w:rPr>
        <w:t>L</w:t>
      </w:r>
      <w:r w:rsidR="00ED7246" w:rsidRPr="00FB0850">
        <w:rPr>
          <w:color w:val="auto"/>
        </w:rPr>
        <w:t>’</w:t>
      </w:r>
      <w:r w:rsidR="00E124B9" w:rsidRPr="00FB0850">
        <w:rPr>
          <w:color w:val="auto"/>
        </w:rPr>
        <w:t xml:space="preserve">audit </w:t>
      </w:r>
      <w:r w:rsidR="00AE677B" w:rsidRPr="00FB0850">
        <w:rPr>
          <w:color w:val="auto"/>
        </w:rPr>
        <w:t>comprend une révision générale des systèmes financiers et des contrôles internes, ainsi qu</w:t>
      </w:r>
      <w:r w:rsidR="00ED7246" w:rsidRPr="00FB0850">
        <w:rPr>
          <w:color w:val="auto"/>
        </w:rPr>
        <w:t>’</w:t>
      </w:r>
      <w:r w:rsidR="00AE677B" w:rsidRPr="00FB0850">
        <w:rPr>
          <w:color w:val="auto"/>
        </w:rPr>
        <w:t xml:space="preserve">un examen des </w:t>
      </w:r>
      <w:r w:rsidR="00E124B9" w:rsidRPr="00FB0850">
        <w:rPr>
          <w:color w:val="auto"/>
        </w:rPr>
        <w:t>test</w:t>
      </w:r>
      <w:r w:rsidR="00AE677B" w:rsidRPr="00FB0850">
        <w:rPr>
          <w:color w:val="auto"/>
        </w:rPr>
        <w:t>s</w:t>
      </w:r>
      <w:r w:rsidR="00E124B9" w:rsidRPr="00FB0850">
        <w:rPr>
          <w:color w:val="auto"/>
        </w:rPr>
        <w:t xml:space="preserve"> </w:t>
      </w:r>
      <w:r w:rsidR="00AE677B" w:rsidRPr="00FB0850">
        <w:rPr>
          <w:color w:val="auto"/>
        </w:rPr>
        <w:t>portant sur les registres comptables</w:t>
      </w:r>
      <w:r w:rsidR="00532DF0" w:rsidRPr="00FB0850">
        <w:rPr>
          <w:color w:val="auto"/>
        </w:rPr>
        <w:t>,</w:t>
      </w:r>
      <w:r w:rsidR="00AE677B" w:rsidRPr="00FB0850">
        <w:rPr>
          <w:color w:val="auto"/>
        </w:rPr>
        <w:t xml:space="preserve"> et autres </w:t>
      </w:r>
      <w:r w:rsidR="00CA040B" w:rsidRPr="00FB0850">
        <w:rPr>
          <w:color w:val="auto"/>
        </w:rPr>
        <w:t>éléments probants</w:t>
      </w:r>
      <w:r w:rsidR="00532DF0" w:rsidRPr="00FB0850">
        <w:rPr>
          <w:color w:val="auto"/>
        </w:rPr>
        <w:t>,</w:t>
      </w:r>
      <w:r w:rsidR="00CA040B" w:rsidRPr="00FB0850">
        <w:rPr>
          <w:color w:val="auto"/>
        </w:rPr>
        <w:t xml:space="preserve"> au niveau considéré nécessaire pour fonder notre opinion </w:t>
      </w:r>
      <w:r w:rsidR="00E124B9" w:rsidRPr="00FB0850">
        <w:rPr>
          <w:color w:val="auto"/>
        </w:rPr>
        <w:t>su</w:t>
      </w:r>
      <w:r w:rsidR="00CA040B" w:rsidRPr="00FB0850">
        <w:rPr>
          <w:color w:val="auto"/>
        </w:rPr>
        <w:t xml:space="preserve">r les états </w:t>
      </w:r>
      <w:r w:rsidR="00E124B9" w:rsidRPr="00FB0850">
        <w:rPr>
          <w:color w:val="auto"/>
        </w:rPr>
        <w:t>financi</w:t>
      </w:r>
      <w:r w:rsidR="00CA040B" w:rsidRPr="00FB0850">
        <w:rPr>
          <w:color w:val="auto"/>
        </w:rPr>
        <w:t>er</w:t>
      </w:r>
      <w:r w:rsidR="00E124B9" w:rsidRPr="00FB0850">
        <w:rPr>
          <w:color w:val="auto"/>
        </w:rPr>
        <w:t>s.</w:t>
      </w:r>
    </w:p>
    <w:p w:rsidR="00CA3696" w:rsidRPr="00FB0850" w:rsidRDefault="00AE677B" w:rsidP="00F24F3F">
      <w:pPr>
        <w:pStyle w:val="Heading3"/>
        <w:rPr>
          <w:lang w:val="fr-FR"/>
        </w:rPr>
      </w:pPr>
      <w:r w:rsidRPr="00FB0850">
        <w:rPr>
          <w:lang w:val="fr-FR"/>
        </w:rPr>
        <w:t>Désignation du vérificateur externe</w:t>
      </w:r>
      <w:r w:rsidR="00661C3B" w:rsidRPr="00FB0850">
        <w:rPr>
          <w:lang w:val="fr-FR"/>
        </w:rPr>
        <w:t xml:space="preserve"> des comptes</w:t>
      </w:r>
    </w:p>
    <w:p w:rsidR="00CA3696" w:rsidRPr="00FB0850" w:rsidRDefault="00892F6A" w:rsidP="00F24F3F">
      <w:pPr>
        <w:pStyle w:val="Number1"/>
        <w:numPr>
          <w:ilvl w:val="1"/>
          <w:numId w:val="3"/>
        </w:numPr>
        <w:ind w:left="1701" w:firstLine="0"/>
        <w:jc w:val="both"/>
        <w:rPr>
          <w:color w:val="auto"/>
        </w:rPr>
      </w:pPr>
      <w:r w:rsidRPr="00FB0850">
        <w:rPr>
          <w:color w:val="auto"/>
        </w:rPr>
        <w:t>Le Règlement financier et règlement d</w:t>
      </w:r>
      <w:r w:rsidR="00ED7246" w:rsidRPr="00FB0850">
        <w:rPr>
          <w:color w:val="auto"/>
        </w:rPr>
        <w:t>’</w:t>
      </w:r>
      <w:r w:rsidRPr="00FB0850">
        <w:rPr>
          <w:color w:val="auto"/>
        </w:rPr>
        <w:t xml:space="preserve">exécution </w:t>
      </w:r>
      <w:r w:rsidR="00FB0850" w:rsidRPr="00FB0850">
        <w:rPr>
          <w:color w:val="auto"/>
        </w:rPr>
        <w:t xml:space="preserve">du Règlement financier </w:t>
      </w:r>
      <w:r w:rsidRPr="00FB0850">
        <w:rPr>
          <w:color w:val="auto"/>
        </w:rPr>
        <w:t>de l</w:t>
      </w:r>
      <w:r w:rsidR="00ED7246" w:rsidRPr="00FB0850">
        <w:rPr>
          <w:color w:val="auto"/>
        </w:rPr>
        <w:t>’</w:t>
      </w:r>
      <w:r w:rsidRPr="00FB0850">
        <w:rPr>
          <w:color w:val="auto"/>
        </w:rPr>
        <w:t>UPOV stipule que, lorsque le vérificateur externe de l</w:t>
      </w:r>
      <w:r w:rsidR="00ED7246" w:rsidRPr="00FB0850">
        <w:rPr>
          <w:color w:val="auto"/>
        </w:rPr>
        <w:t>’</w:t>
      </w:r>
      <w:r w:rsidRPr="00FB0850">
        <w:rPr>
          <w:color w:val="auto"/>
        </w:rPr>
        <w:t xml:space="preserve">OMPI est le </w:t>
      </w:r>
      <w:r w:rsidR="001D6283" w:rsidRPr="00FB0850">
        <w:rPr>
          <w:color w:val="auto"/>
        </w:rPr>
        <w:t>c</w:t>
      </w:r>
      <w:r w:rsidRPr="00FB0850">
        <w:rPr>
          <w:color w:val="auto"/>
        </w:rPr>
        <w:t>ontrôleur et vérificateur général des comptes</w:t>
      </w:r>
      <w:r w:rsidR="001D6283" w:rsidRPr="00FB0850">
        <w:rPr>
          <w:color w:val="auto"/>
        </w:rPr>
        <w:t xml:space="preserve"> d</w:t>
      </w:r>
      <w:r w:rsidR="00ED7246" w:rsidRPr="00FB0850">
        <w:rPr>
          <w:color w:val="auto"/>
        </w:rPr>
        <w:t>’</w:t>
      </w:r>
      <w:r w:rsidR="001D6283" w:rsidRPr="00FB0850">
        <w:rPr>
          <w:color w:val="auto"/>
        </w:rPr>
        <w:t xml:space="preserve">un </w:t>
      </w:r>
      <w:r w:rsidR="00661C3B" w:rsidRPr="00FB0850">
        <w:rPr>
          <w:color w:val="auto"/>
        </w:rPr>
        <w:t>É</w:t>
      </w:r>
      <w:r w:rsidR="001D6283" w:rsidRPr="00FB0850">
        <w:rPr>
          <w:color w:val="auto"/>
        </w:rPr>
        <w:t>tat</w:t>
      </w:r>
      <w:r w:rsidR="00661C3B" w:rsidRPr="00FB0850">
        <w:rPr>
          <w:color w:val="auto"/>
        </w:rPr>
        <w:t xml:space="preserve"> </w:t>
      </w:r>
      <w:r w:rsidR="001D6283" w:rsidRPr="00FB0850">
        <w:rPr>
          <w:color w:val="auto"/>
        </w:rPr>
        <w:t>membre de l</w:t>
      </w:r>
      <w:r w:rsidR="00ED7246" w:rsidRPr="00FB0850">
        <w:rPr>
          <w:color w:val="auto"/>
        </w:rPr>
        <w:t>’</w:t>
      </w:r>
      <w:r w:rsidR="00E124B9" w:rsidRPr="00FB0850">
        <w:rPr>
          <w:color w:val="auto"/>
        </w:rPr>
        <w:t xml:space="preserve">UPOV, </w:t>
      </w:r>
      <w:r w:rsidR="00661C3B" w:rsidRPr="00FB0850">
        <w:rPr>
          <w:color w:val="auto"/>
        </w:rPr>
        <w:t>l</w:t>
      </w:r>
      <w:r w:rsidR="00E124B9" w:rsidRPr="00FB0850">
        <w:rPr>
          <w:color w:val="auto"/>
        </w:rPr>
        <w:t>e Con</w:t>
      </w:r>
      <w:r w:rsidR="00661C3B" w:rsidRPr="00FB0850">
        <w:rPr>
          <w:color w:val="auto"/>
        </w:rPr>
        <w:t>se</w:t>
      </w:r>
      <w:r w:rsidR="00E124B9" w:rsidRPr="00FB0850">
        <w:rPr>
          <w:color w:val="auto"/>
        </w:rPr>
        <w:t xml:space="preserve">il </w:t>
      </w:r>
      <w:r w:rsidR="00661C3B" w:rsidRPr="00FB0850">
        <w:rPr>
          <w:color w:val="auto"/>
        </w:rPr>
        <w:t>doit désigner en qualité de vérificateur externe des comptes</w:t>
      </w:r>
      <w:r w:rsidR="00E124B9" w:rsidRPr="00FB0850">
        <w:rPr>
          <w:color w:val="auto"/>
        </w:rPr>
        <w:t xml:space="preserve">, </w:t>
      </w:r>
      <w:r w:rsidR="00661C3B" w:rsidRPr="00FB0850">
        <w:rPr>
          <w:color w:val="auto"/>
        </w:rPr>
        <w:t>avec son accord, le vérificateur externe de l</w:t>
      </w:r>
      <w:r w:rsidR="00ED7246" w:rsidRPr="00FB0850">
        <w:rPr>
          <w:color w:val="auto"/>
        </w:rPr>
        <w:t>’</w:t>
      </w:r>
      <w:r w:rsidR="00661C3B" w:rsidRPr="00FB0850">
        <w:rPr>
          <w:color w:val="auto"/>
        </w:rPr>
        <w:t>OMPI</w:t>
      </w:r>
      <w:r w:rsidR="00E124B9" w:rsidRPr="00FB0850">
        <w:rPr>
          <w:color w:val="auto"/>
        </w:rPr>
        <w:t xml:space="preserve">.  </w:t>
      </w:r>
      <w:r w:rsidRPr="00FB0850">
        <w:rPr>
          <w:color w:val="auto"/>
        </w:rPr>
        <w:t>Le Bureau national de vérification du Royaume</w:t>
      </w:r>
      <w:r w:rsidR="00ED7246" w:rsidRPr="00FB0850">
        <w:rPr>
          <w:color w:val="auto"/>
        </w:rPr>
        <w:t>-</w:t>
      </w:r>
      <w:r w:rsidRPr="00FB0850">
        <w:rPr>
          <w:color w:val="auto"/>
        </w:rPr>
        <w:t>Uni</w:t>
      </w:r>
      <w:r w:rsidR="00E124B9" w:rsidRPr="00FB0850">
        <w:rPr>
          <w:color w:val="auto"/>
        </w:rPr>
        <w:t xml:space="preserve"> </w:t>
      </w:r>
      <w:r w:rsidR="00661C3B" w:rsidRPr="00FB0850">
        <w:rPr>
          <w:color w:val="auto"/>
        </w:rPr>
        <w:t>a été désigné vérificateur externe de l</w:t>
      </w:r>
      <w:r w:rsidR="00ED7246" w:rsidRPr="00FB0850">
        <w:rPr>
          <w:color w:val="auto"/>
        </w:rPr>
        <w:t>’</w:t>
      </w:r>
      <w:r w:rsidR="00661C3B" w:rsidRPr="00FB0850">
        <w:rPr>
          <w:color w:val="auto"/>
        </w:rPr>
        <w:t>OMPI pour un mandat de six ans courant à partir du</w:t>
      </w:r>
      <w:r w:rsidR="00ED7246" w:rsidRPr="00FB0850">
        <w:rPr>
          <w:color w:val="auto"/>
        </w:rPr>
        <w:t xml:space="preserve"> 1</w:t>
      </w:r>
      <w:r w:rsidR="00ED7246" w:rsidRPr="00FB0850">
        <w:rPr>
          <w:color w:val="auto"/>
          <w:vertAlign w:val="superscript"/>
        </w:rPr>
        <w:t>er</w:t>
      </w:r>
      <w:r w:rsidR="00ED7246" w:rsidRPr="00FB0850">
        <w:rPr>
          <w:color w:val="auto"/>
        </w:rPr>
        <w:t> janvier 20</w:t>
      </w:r>
      <w:r w:rsidR="00661C3B" w:rsidRPr="00FB0850">
        <w:rPr>
          <w:color w:val="auto"/>
        </w:rPr>
        <w:t>18</w:t>
      </w:r>
      <w:r w:rsidR="00E124B9" w:rsidRPr="00FB0850">
        <w:rPr>
          <w:color w:val="auto"/>
        </w:rPr>
        <w:t xml:space="preserve">.  </w:t>
      </w:r>
      <w:r w:rsidR="00661C3B" w:rsidRPr="00FB0850">
        <w:rPr>
          <w:color w:val="auto"/>
        </w:rPr>
        <w:t>E</w:t>
      </w:r>
      <w:r w:rsidR="00E124B9" w:rsidRPr="00FB0850">
        <w:rPr>
          <w:color w:val="auto"/>
        </w:rPr>
        <w:t>n</w:t>
      </w:r>
      <w:r w:rsidR="00661C3B" w:rsidRPr="00FB0850">
        <w:rPr>
          <w:color w:val="auto"/>
        </w:rPr>
        <w:t xml:space="preserve"> </w:t>
      </w:r>
      <w:r w:rsidR="00ED7246" w:rsidRPr="00FB0850">
        <w:rPr>
          <w:color w:val="auto"/>
        </w:rPr>
        <w:t>octobre 20</w:t>
      </w:r>
      <w:r w:rsidR="00E124B9" w:rsidRPr="00FB0850">
        <w:rPr>
          <w:color w:val="auto"/>
        </w:rPr>
        <w:t xml:space="preserve">17, </w:t>
      </w:r>
      <w:r w:rsidR="00661C3B" w:rsidRPr="00FB0850">
        <w:rPr>
          <w:color w:val="auto"/>
        </w:rPr>
        <w:t>le Conseil a ratifié la désignation</w:t>
      </w:r>
      <w:r w:rsidR="00ED7246" w:rsidRPr="00FB0850">
        <w:rPr>
          <w:color w:val="auto"/>
        </w:rPr>
        <w:t xml:space="preserve"> du NAO</w:t>
      </w:r>
      <w:r w:rsidR="00C14A08" w:rsidRPr="00FB0850">
        <w:rPr>
          <w:color w:val="auto"/>
        </w:rPr>
        <w:t xml:space="preserve"> </w:t>
      </w:r>
      <w:r w:rsidR="00532DF0" w:rsidRPr="00FB0850">
        <w:rPr>
          <w:color w:val="auto"/>
        </w:rPr>
        <w:t xml:space="preserve">britannique </w:t>
      </w:r>
      <w:r w:rsidR="00C14A08" w:rsidRPr="00FB0850">
        <w:rPr>
          <w:color w:val="auto"/>
        </w:rPr>
        <w:t>en qualité de vérificateur externe des comptes de l</w:t>
      </w:r>
      <w:r w:rsidR="00ED7246" w:rsidRPr="00FB0850">
        <w:rPr>
          <w:color w:val="auto"/>
        </w:rPr>
        <w:t>’</w:t>
      </w:r>
      <w:r w:rsidR="00E124B9" w:rsidRPr="00FB0850">
        <w:rPr>
          <w:color w:val="auto"/>
        </w:rPr>
        <w:t>UPOV.</w:t>
      </w:r>
    </w:p>
    <w:p w:rsidR="00CA3696" w:rsidRPr="00FB0850" w:rsidRDefault="00C14A08" w:rsidP="00F24F3F">
      <w:pPr>
        <w:pStyle w:val="Heading3"/>
        <w:rPr>
          <w:lang w:val="fr-FR"/>
        </w:rPr>
      </w:pPr>
      <w:r w:rsidRPr="00FB0850">
        <w:rPr>
          <w:lang w:val="fr-FR"/>
        </w:rPr>
        <w:t xml:space="preserve">Arrangements </w:t>
      </w:r>
      <w:r w:rsidR="00EE24A6" w:rsidRPr="00FB0850">
        <w:rPr>
          <w:lang w:val="fr-FR"/>
        </w:rPr>
        <w:t xml:space="preserve">relatifs à </w:t>
      </w:r>
      <w:r w:rsidR="004E39C2" w:rsidRPr="00FB0850">
        <w:rPr>
          <w:lang w:val="fr-FR"/>
        </w:rPr>
        <w:t>la passation</w:t>
      </w:r>
    </w:p>
    <w:p w:rsidR="00CA3696" w:rsidRPr="00FB0850" w:rsidRDefault="00496495" w:rsidP="00F24F3F">
      <w:pPr>
        <w:pStyle w:val="Number1"/>
        <w:numPr>
          <w:ilvl w:val="1"/>
          <w:numId w:val="3"/>
        </w:numPr>
        <w:ind w:left="1701" w:firstLine="0"/>
        <w:jc w:val="both"/>
        <w:rPr>
          <w:color w:val="auto"/>
        </w:rPr>
      </w:pPr>
      <w:r w:rsidRPr="00FB0850">
        <w:rPr>
          <w:color w:val="auto"/>
        </w:rPr>
        <w:t xml:space="preserve">Conformément aux protocoles </w:t>
      </w:r>
      <w:r w:rsidR="004E39C2" w:rsidRPr="00FB0850">
        <w:rPr>
          <w:color w:val="auto"/>
        </w:rPr>
        <w:t xml:space="preserve">du Groupe des vérificateurs externes des comptes des </w:t>
      </w:r>
      <w:r w:rsidR="00ED7246" w:rsidRPr="00FB0850">
        <w:rPr>
          <w:color w:val="auto"/>
        </w:rPr>
        <w:t>Nations Unies</w:t>
      </w:r>
      <w:r w:rsidR="004E39C2" w:rsidRPr="00FB0850">
        <w:rPr>
          <w:color w:val="auto"/>
        </w:rPr>
        <w:t xml:space="preserve">, </w:t>
      </w:r>
      <w:r w:rsidR="00EE24A6" w:rsidRPr="00FB0850">
        <w:rPr>
          <w:color w:val="auto"/>
        </w:rPr>
        <w:t xml:space="preserve">nous avons soumis les demandes pertinentes à </w:t>
      </w:r>
      <w:r w:rsidR="004E39C2" w:rsidRPr="00FB0850">
        <w:rPr>
          <w:color w:val="auto"/>
        </w:rPr>
        <w:t>l</w:t>
      </w:r>
      <w:r w:rsidR="00ED7246" w:rsidRPr="00FB0850">
        <w:rPr>
          <w:color w:val="auto"/>
        </w:rPr>
        <w:t>’</w:t>
      </w:r>
      <w:r w:rsidR="004E39C2" w:rsidRPr="00FB0850">
        <w:rPr>
          <w:color w:val="auto"/>
        </w:rPr>
        <w:t>Office fédéral suisse de l</w:t>
      </w:r>
      <w:r w:rsidR="00ED7246" w:rsidRPr="00FB0850">
        <w:rPr>
          <w:color w:val="auto"/>
        </w:rPr>
        <w:t>’</w:t>
      </w:r>
      <w:r w:rsidR="004E39C2" w:rsidRPr="00FB0850">
        <w:rPr>
          <w:color w:val="auto"/>
        </w:rPr>
        <w:t xml:space="preserve">audit </w:t>
      </w:r>
      <w:r w:rsidR="00EE24A6" w:rsidRPr="00FB0850">
        <w:rPr>
          <w:color w:val="auto"/>
        </w:rPr>
        <w:t>et toutes les</w:t>
      </w:r>
      <w:r w:rsidR="00E124B9" w:rsidRPr="00FB0850">
        <w:rPr>
          <w:color w:val="auto"/>
        </w:rPr>
        <w:t xml:space="preserve"> information</w:t>
      </w:r>
      <w:r w:rsidR="00EE24A6" w:rsidRPr="00FB0850">
        <w:rPr>
          <w:color w:val="auto"/>
        </w:rPr>
        <w:t>s</w:t>
      </w:r>
      <w:r w:rsidR="00E124B9" w:rsidRPr="00FB0850">
        <w:rPr>
          <w:color w:val="auto"/>
        </w:rPr>
        <w:t xml:space="preserve"> </w:t>
      </w:r>
      <w:r w:rsidR="00EE24A6" w:rsidRPr="00FB0850">
        <w:rPr>
          <w:color w:val="auto"/>
        </w:rPr>
        <w:t>que nous avons requises ont été mises à notre disposition</w:t>
      </w:r>
      <w:r w:rsidR="00E124B9" w:rsidRPr="00FB0850">
        <w:rPr>
          <w:color w:val="auto"/>
        </w:rPr>
        <w:t>.</w:t>
      </w:r>
      <w:r w:rsidR="00114591" w:rsidRPr="00FB0850">
        <w:rPr>
          <w:color w:val="auto"/>
        </w:rPr>
        <w:t xml:space="preserve"> </w:t>
      </w:r>
      <w:r w:rsidR="00E124B9" w:rsidRPr="00FB0850">
        <w:rPr>
          <w:color w:val="auto"/>
        </w:rPr>
        <w:t xml:space="preserve"> </w:t>
      </w:r>
      <w:r w:rsidR="00EE24A6" w:rsidRPr="00FB0850">
        <w:rPr>
          <w:color w:val="auto"/>
        </w:rPr>
        <w:t>En outre, comme le stipulent les normes internationales d</w:t>
      </w:r>
      <w:r w:rsidR="00ED7246" w:rsidRPr="00FB0850">
        <w:rPr>
          <w:color w:val="auto"/>
        </w:rPr>
        <w:t>’</w:t>
      </w:r>
      <w:r w:rsidR="00EE24A6" w:rsidRPr="00FB0850">
        <w:rPr>
          <w:color w:val="auto"/>
        </w:rPr>
        <w:t>audit</w:t>
      </w:r>
      <w:r w:rsidR="00E124B9" w:rsidRPr="00FB0850">
        <w:rPr>
          <w:color w:val="auto"/>
        </w:rPr>
        <w:t xml:space="preserve">, </w:t>
      </w:r>
      <w:r w:rsidR="00EE24A6" w:rsidRPr="00FB0850">
        <w:rPr>
          <w:color w:val="auto"/>
        </w:rPr>
        <w:t>nous avons réalisé les procédures appropriées pour obtenir l</w:t>
      </w:r>
      <w:r w:rsidR="00ED7246" w:rsidRPr="00FB0850">
        <w:rPr>
          <w:color w:val="auto"/>
        </w:rPr>
        <w:t>’</w:t>
      </w:r>
      <w:r w:rsidR="00E124B9" w:rsidRPr="00FB0850">
        <w:rPr>
          <w:color w:val="auto"/>
        </w:rPr>
        <w:t xml:space="preserve">assurance </w:t>
      </w:r>
      <w:r w:rsidR="00EE24A6" w:rsidRPr="00FB0850">
        <w:rPr>
          <w:color w:val="auto"/>
        </w:rPr>
        <w:t xml:space="preserve">requise concernant les bilans </w:t>
      </w:r>
      <w:r w:rsidR="00711393" w:rsidRPr="00FB0850">
        <w:rPr>
          <w:color w:val="auto"/>
        </w:rPr>
        <w:t>inscrits au</w:t>
      </w:r>
      <w:r w:rsidR="00ED7246" w:rsidRPr="00FB0850">
        <w:rPr>
          <w:color w:val="auto"/>
        </w:rPr>
        <w:t xml:space="preserve"> 1</w:t>
      </w:r>
      <w:r w:rsidR="00ED7246" w:rsidRPr="00FB0850">
        <w:rPr>
          <w:color w:val="auto"/>
          <w:vertAlign w:val="superscript"/>
        </w:rPr>
        <w:t>er</w:t>
      </w:r>
      <w:r w:rsidR="00ED7246" w:rsidRPr="00FB0850">
        <w:rPr>
          <w:color w:val="auto"/>
        </w:rPr>
        <w:t> janvier 20</w:t>
      </w:r>
      <w:r w:rsidR="00E124B9" w:rsidRPr="00FB0850">
        <w:rPr>
          <w:color w:val="auto"/>
        </w:rPr>
        <w:t>18.</w:t>
      </w:r>
    </w:p>
    <w:p w:rsidR="00CA3696" w:rsidRPr="00FB0850" w:rsidRDefault="00711393" w:rsidP="00F24F3F">
      <w:pPr>
        <w:pStyle w:val="Heading3"/>
        <w:rPr>
          <w:lang w:val="fr-FR"/>
        </w:rPr>
      </w:pPr>
      <w:r w:rsidRPr="00FB0850">
        <w:rPr>
          <w:lang w:val="fr-FR"/>
        </w:rPr>
        <w:lastRenderedPageBreak/>
        <w:t>Environnement de contrôle de l</w:t>
      </w:r>
      <w:r w:rsidR="00ED7246" w:rsidRPr="00FB0850">
        <w:rPr>
          <w:lang w:val="fr-FR"/>
        </w:rPr>
        <w:t>’</w:t>
      </w:r>
      <w:r w:rsidR="00E124B9" w:rsidRPr="00FB0850">
        <w:rPr>
          <w:lang w:val="fr-FR"/>
        </w:rPr>
        <w:t>UPOV</w:t>
      </w:r>
    </w:p>
    <w:p w:rsidR="00CA3696" w:rsidRPr="00FB0850" w:rsidRDefault="00ED7246" w:rsidP="00F24F3F">
      <w:pPr>
        <w:pStyle w:val="Number1"/>
        <w:numPr>
          <w:ilvl w:val="1"/>
          <w:numId w:val="3"/>
        </w:numPr>
        <w:ind w:left="1701" w:firstLine="0"/>
        <w:jc w:val="both"/>
        <w:rPr>
          <w:color w:val="auto"/>
        </w:rPr>
      </w:pPr>
      <w:r w:rsidRPr="00FB0850">
        <w:rPr>
          <w:color w:val="auto"/>
        </w:rPr>
        <w:t>En 1982</w:t>
      </w:r>
      <w:r w:rsidR="00E124B9" w:rsidRPr="00FB0850">
        <w:rPr>
          <w:color w:val="auto"/>
        </w:rPr>
        <w:t xml:space="preserve">, </w:t>
      </w:r>
      <w:r w:rsidR="00711393" w:rsidRPr="00FB0850">
        <w:rPr>
          <w:color w:val="auto"/>
        </w:rPr>
        <w:t>l</w:t>
      </w:r>
      <w:r w:rsidRPr="00FB0850">
        <w:rPr>
          <w:color w:val="auto"/>
        </w:rPr>
        <w:t>’</w:t>
      </w:r>
      <w:r w:rsidR="00E124B9" w:rsidRPr="00FB0850">
        <w:rPr>
          <w:color w:val="auto"/>
        </w:rPr>
        <w:t xml:space="preserve">UPOV </w:t>
      </w:r>
      <w:r w:rsidR="00711393" w:rsidRPr="00FB0850">
        <w:rPr>
          <w:color w:val="auto"/>
        </w:rPr>
        <w:t>et l</w:t>
      </w:r>
      <w:r w:rsidRPr="00FB0850">
        <w:rPr>
          <w:color w:val="auto"/>
        </w:rPr>
        <w:t>’</w:t>
      </w:r>
      <w:r w:rsidR="00711393" w:rsidRPr="00FB0850">
        <w:rPr>
          <w:color w:val="auto"/>
        </w:rPr>
        <w:t>Organisation Mondiale de la Propriété Intellectuelle (OMPI)</w:t>
      </w:r>
      <w:r w:rsidR="00E124B9" w:rsidRPr="00FB0850">
        <w:rPr>
          <w:color w:val="auto"/>
        </w:rPr>
        <w:t xml:space="preserve"> </w:t>
      </w:r>
      <w:r w:rsidR="00711393" w:rsidRPr="00FB0850">
        <w:rPr>
          <w:color w:val="auto"/>
        </w:rPr>
        <w:t>ont conclu un accord au</w:t>
      </w:r>
      <w:r w:rsidR="005627F1" w:rsidRPr="00FB0850">
        <w:rPr>
          <w:color w:val="auto"/>
        </w:rPr>
        <w:t>x</w:t>
      </w:r>
      <w:r w:rsidR="00711393" w:rsidRPr="00FB0850">
        <w:rPr>
          <w:color w:val="auto"/>
        </w:rPr>
        <w:t xml:space="preserve"> terme</w:t>
      </w:r>
      <w:r w:rsidR="005627F1" w:rsidRPr="00FB0850">
        <w:rPr>
          <w:color w:val="auto"/>
        </w:rPr>
        <w:t>s</w:t>
      </w:r>
      <w:r w:rsidR="00711393" w:rsidRPr="00FB0850">
        <w:rPr>
          <w:color w:val="auto"/>
        </w:rPr>
        <w:t xml:space="preserve"> duquel l</w:t>
      </w:r>
      <w:r w:rsidRPr="00FB0850">
        <w:rPr>
          <w:color w:val="auto"/>
        </w:rPr>
        <w:t>’</w:t>
      </w:r>
      <w:r w:rsidR="00711393" w:rsidRPr="00FB0850">
        <w:rPr>
          <w:color w:val="auto"/>
        </w:rPr>
        <w:t xml:space="preserve">OMPI </w:t>
      </w:r>
      <w:r w:rsidR="005627F1" w:rsidRPr="00FB0850">
        <w:rPr>
          <w:color w:val="auto"/>
        </w:rPr>
        <w:t>prend en charge</w:t>
      </w:r>
      <w:r w:rsidR="00711393" w:rsidRPr="00FB0850">
        <w:rPr>
          <w:color w:val="auto"/>
        </w:rPr>
        <w:t xml:space="preserve"> les demandes administratives de l</w:t>
      </w:r>
      <w:r w:rsidRPr="00FB0850">
        <w:rPr>
          <w:color w:val="auto"/>
        </w:rPr>
        <w:t>’</w:t>
      </w:r>
      <w:r w:rsidR="00E124B9" w:rsidRPr="00FB0850">
        <w:rPr>
          <w:color w:val="auto"/>
        </w:rPr>
        <w:t>UPOV</w:t>
      </w:r>
      <w:r w:rsidR="00711393" w:rsidRPr="00FB0850">
        <w:rPr>
          <w:color w:val="auto"/>
        </w:rPr>
        <w:t xml:space="preserve">, </w:t>
      </w:r>
      <w:r w:rsidRPr="00FB0850">
        <w:rPr>
          <w:color w:val="auto"/>
        </w:rPr>
        <w:t>y compris</w:t>
      </w:r>
      <w:r w:rsidR="00711393" w:rsidRPr="00FB0850">
        <w:rPr>
          <w:color w:val="auto"/>
        </w:rPr>
        <w:t xml:space="preserve"> l</w:t>
      </w:r>
      <w:r w:rsidRPr="00FB0850">
        <w:rPr>
          <w:color w:val="auto"/>
        </w:rPr>
        <w:t>’</w:t>
      </w:r>
      <w:r w:rsidR="00711393" w:rsidRPr="00FB0850">
        <w:rPr>
          <w:color w:val="auto"/>
        </w:rPr>
        <w:t>ensemble des questions qui ont trait à l</w:t>
      </w:r>
      <w:r w:rsidRPr="00FB0850">
        <w:rPr>
          <w:color w:val="auto"/>
        </w:rPr>
        <w:t>’</w:t>
      </w:r>
      <w:r w:rsidR="00711393" w:rsidRPr="00FB0850">
        <w:rPr>
          <w:color w:val="auto"/>
        </w:rPr>
        <w:t xml:space="preserve">administration financière, </w:t>
      </w:r>
      <w:r w:rsidR="005627F1" w:rsidRPr="00FB0850">
        <w:rPr>
          <w:color w:val="auto"/>
        </w:rPr>
        <w:t>dont</w:t>
      </w:r>
      <w:r w:rsidR="00711393" w:rsidRPr="00FB0850">
        <w:rPr>
          <w:color w:val="auto"/>
        </w:rPr>
        <w:t xml:space="preserve"> la </w:t>
      </w:r>
      <w:r w:rsidR="00E124B9" w:rsidRPr="00FB0850">
        <w:rPr>
          <w:color w:val="auto"/>
        </w:rPr>
        <w:t>pr</w:t>
      </w:r>
      <w:r w:rsidR="00711393" w:rsidRPr="00FB0850">
        <w:rPr>
          <w:color w:val="auto"/>
        </w:rPr>
        <w:t>é</w:t>
      </w:r>
      <w:r w:rsidR="00E124B9" w:rsidRPr="00FB0850">
        <w:rPr>
          <w:color w:val="auto"/>
        </w:rPr>
        <w:t xml:space="preserve">paration </w:t>
      </w:r>
      <w:r w:rsidR="00711393" w:rsidRPr="00FB0850">
        <w:rPr>
          <w:color w:val="auto"/>
        </w:rPr>
        <w:t xml:space="preserve">des états financiers </w:t>
      </w:r>
      <w:r w:rsidR="00E124B9" w:rsidRPr="00FB0850">
        <w:rPr>
          <w:color w:val="auto"/>
        </w:rPr>
        <w:t>annu</w:t>
      </w:r>
      <w:r w:rsidR="00711393" w:rsidRPr="00FB0850">
        <w:rPr>
          <w:color w:val="auto"/>
        </w:rPr>
        <w:t>el</w:t>
      </w:r>
      <w:r w:rsidR="00E124B9" w:rsidRPr="00FB0850">
        <w:rPr>
          <w:color w:val="auto"/>
        </w:rPr>
        <w:t>s.</w:t>
      </w:r>
    </w:p>
    <w:p w:rsidR="00CA3696" w:rsidRPr="00FB0850" w:rsidRDefault="005627F1" w:rsidP="00F24F3F">
      <w:pPr>
        <w:pStyle w:val="Number1"/>
        <w:numPr>
          <w:ilvl w:val="1"/>
          <w:numId w:val="3"/>
        </w:numPr>
        <w:ind w:left="1701" w:firstLine="0"/>
        <w:jc w:val="both"/>
        <w:rPr>
          <w:color w:val="auto"/>
        </w:rPr>
      </w:pPr>
      <w:r w:rsidRPr="00FB0850">
        <w:rPr>
          <w:color w:val="auto"/>
        </w:rPr>
        <w:t>Il existe une synergie dans la désignation d</w:t>
      </w:r>
      <w:r w:rsidR="00ED7246" w:rsidRPr="00FB0850">
        <w:rPr>
          <w:color w:val="auto"/>
        </w:rPr>
        <w:t>’</w:t>
      </w:r>
      <w:r w:rsidRPr="00FB0850">
        <w:rPr>
          <w:color w:val="auto"/>
        </w:rPr>
        <w:t xml:space="preserve">un vérificateur externe des comptes commun </w:t>
      </w:r>
      <w:r w:rsidR="004A22B8" w:rsidRPr="00FB0850">
        <w:rPr>
          <w:color w:val="auto"/>
        </w:rPr>
        <w:t>chargé de vérifier les comptes de l</w:t>
      </w:r>
      <w:r w:rsidR="00ED7246" w:rsidRPr="00FB0850">
        <w:rPr>
          <w:color w:val="auto"/>
        </w:rPr>
        <w:t>’</w:t>
      </w:r>
      <w:r w:rsidR="00E124B9" w:rsidRPr="00FB0850">
        <w:rPr>
          <w:color w:val="auto"/>
        </w:rPr>
        <w:t xml:space="preserve">UPOV </w:t>
      </w:r>
      <w:r w:rsidR="004A22B8" w:rsidRPr="00FB0850">
        <w:rPr>
          <w:color w:val="auto"/>
        </w:rPr>
        <w:t>et de l</w:t>
      </w:r>
      <w:r w:rsidR="00ED7246" w:rsidRPr="00FB0850">
        <w:rPr>
          <w:color w:val="auto"/>
        </w:rPr>
        <w:t>’</w:t>
      </w:r>
      <w:r w:rsidR="004A22B8" w:rsidRPr="00FB0850">
        <w:rPr>
          <w:color w:val="auto"/>
        </w:rPr>
        <w:t>O</w:t>
      </w:r>
      <w:r w:rsidR="002A21D7" w:rsidRPr="00FB0850">
        <w:rPr>
          <w:color w:val="auto"/>
        </w:rPr>
        <w:t>MPI.  To</w:t>
      </w:r>
      <w:r w:rsidR="004A22B8" w:rsidRPr="00FB0850">
        <w:rPr>
          <w:color w:val="auto"/>
        </w:rPr>
        <w:t>utefois, conformément aux normes internationales d</w:t>
      </w:r>
      <w:r w:rsidR="00ED7246" w:rsidRPr="00FB0850">
        <w:rPr>
          <w:color w:val="auto"/>
        </w:rPr>
        <w:t>’</w:t>
      </w:r>
      <w:r w:rsidR="004A22B8" w:rsidRPr="00FB0850">
        <w:rPr>
          <w:color w:val="auto"/>
        </w:rPr>
        <w:t>a</w:t>
      </w:r>
      <w:r w:rsidR="00E124B9" w:rsidRPr="00FB0850">
        <w:rPr>
          <w:color w:val="auto"/>
        </w:rPr>
        <w:t>udit</w:t>
      </w:r>
      <w:r w:rsidR="004A22B8" w:rsidRPr="00FB0850">
        <w:rPr>
          <w:color w:val="auto"/>
        </w:rPr>
        <w:t>,</w:t>
      </w:r>
      <w:r w:rsidR="00E124B9" w:rsidRPr="00FB0850">
        <w:rPr>
          <w:color w:val="auto"/>
        </w:rPr>
        <w:t xml:space="preserve"> </w:t>
      </w:r>
      <w:r w:rsidR="004A22B8" w:rsidRPr="00FB0850">
        <w:rPr>
          <w:color w:val="auto"/>
        </w:rPr>
        <w:t>nous planifions et réalisons chaque audit séparéme</w:t>
      </w:r>
      <w:r w:rsidR="002A21D7" w:rsidRPr="00FB0850">
        <w:rPr>
          <w:color w:val="auto"/>
        </w:rPr>
        <w:t>nt.  No</w:t>
      </w:r>
      <w:r w:rsidR="004A22B8" w:rsidRPr="00FB0850">
        <w:rPr>
          <w:color w:val="auto"/>
        </w:rPr>
        <w:t>s responsabilités concernant l</w:t>
      </w:r>
      <w:r w:rsidR="00ED7246" w:rsidRPr="00FB0850">
        <w:rPr>
          <w:color w:val="auto"/>
        </w:rPr>
        <w:t>’</w:t>
      </w:r>
      <w:r w:rsidR="004A22B8" w:rsidRPr="00FB0850">
        <w:rPr>
          <w:color w:val="auto"/>
        </w:rPr>
        <w:t>audit de l</w:t>
      </w:r>
      <w:r w:rsidR="00ED7246" w:rsidRPr="00FB0850">
        <w:rPr>
          <w:color w:val="auto"/>
        </w:rPr>
        <w:t>’</w:t>
      </w:r>
      <w:r w:rsidR="00E124B9" w:rsidRPr="00FB0850">
        <w:rPr>
          <w:color w:val="auto"/>
        </w:rPr>
        <w:t>UPOV inclue</w:t>
      </w:r>
      <w:r w:rsidR="004A22B8" w:rsidRPr="00FB0850">
        <w:rPr>
          <w:color w:val="auto"/>
        </w:rPr>
        <w:t>nt</w:t>
      </w:r>
      <w:r w:rsidR="00E124B9" w:rsidRPr="00FB0850">
        <w:rPr>
          <w:color w:val="auto"/>
        </w:rPr>
        <w:t xml:space="preserve"> </w:t>
      </w:r>
      <w:r w:rsidR="004A22B8" w:rsidRPr="00FB0850">
        <w:rPr>
          <w:color w:val="auto"/>
        </w:rPr>
        <w:t>l</w:t>
      </w:r>
      <w:r w:rsidR="00ED7246" w:rsidRPr="00FB0850">
        <w:rPr>
          <w:color w:val="auto"/>
        </w:rPr>
        <w:t>’</w:t>
      </w:r>
      <w:r w:rsidR="004A22B8" w:rsidRPr="00FB0850">
        <w:rPr>
          <w:color w:val="auto"/>
        </w:rPr>
        <w:t>exigence de comprendre les contrôles internes pertinents pour l</w:t>
      </w:r>
      <w:r w:rsidR="00ED7246" w:rsidRPr="00FB0850">
        <w:rPr>
          <w:color w:val="auto"/>
        </w:rPr>
        <w:t>’</w:t>
      </w:r>
      <w:r w:rsidR="00E124B9" w:rsidRPr="00FB0850">
        <w:rPr>
          <w:color w:val="auto"/>
        </w:rPr>
        <w:t xml:space="preserve">audit </w:t>
      </w:r>
      <w:r w:rsidR="004A22B8" w:rsidRPr="00FB0850">
        <w:rPr>
          <w:color w:val="auto"/>
        </w:rPr>
        <w:t>afin d</w:t>
      </w:r>
      <w:r w:rsidR="00ED7246" w:rsidRPr="00FB0850">
        <w:rPr>
          <w:color w:val="auto"/>
        </w:rPr>
        <w:t>’</w:t>
      </w:r>
      <w:r w:rsidR="004A22B8" w:rsidRPr="00FB0850">
        <w:rPr>
          <w:color w:val="auto"/>
        </w:rPr>
        <w:t>élaborer des procédures d</w:t>
      </w:r>
      <w:r w:rsidR="00ED7246" w:rsidRPr="00FB0850">
        <w:rPr>
          <w:color w:val="auto"/>
        </w:rPr>
        <w:t>’</w:t>
      </w:r>
      <w:r w:rsidR="00E124B9" w:rsidRPr="00FB0850">
        <w:rPr>
          <w:color w:val="auto"/>
        </w:rPr>
        <w:t xml:space="preserve">audit </w:t>
      </w:r>
      <w:r w:rsidR="004A22B8" w:rsidRPr="00FB0850">
        <w:rPr>
          <w:color w:val="auto"/>
        </w:rPr>
        <w:t>qui soient appropriées à toutes les circonstanc</w:t>
      </w:r>
      <w:r w:rsidR="002A21D7" w:rsidRPr="00FB0850">
        <w:rPr>
          <w:color w:val="auto"/>
        </w:rPr>
        <w:t>es.  Au</w:t>
      </w:r>
      <w:r w:rsidR="004712B0" w:rsidRPr="00FB0850">
        <w:rPr>
          <w:color w:val="auto"/>
        </w:rPr>
        <w:t xml:space="preserve"> titre des normes internationales d</w:t>
      </w:r>
      <w:r w:rsidR="00ED7246" w:rsidRPr="00FB0850">
        <w:rPr>
          <w:color w:val="auto"/>
        </w:rPr>
        <w:t>’</w:t>
      </w:r>
      <w:r w:rsidR="004712B0" w:rsidRPr="00FB0850">
        <w:rPr>
          <w:color w:val="auto"/>
        </w:rPr>
        <w:t xml:space="preserve">audit, nous avons mis en </w:t>
      </w:r>
      <w:r w:rsidR="00E124B9" w:rsidRPr="00FB0850">
        <w:rPr>
          <w:color w:val="auto"/>
        </w:rPr>
        <w:t xml:space="preserve">place </w:t>
      </w:r>
      <w:r w:rsidR="004712B0" w:rsidRPr="00FB0850">
        <w:rPr>
          <w:color w:val="auto"/>
        </w:rPr>
        <w:t xml:space="preserve">des </w:t>
      </w:r>
      <w:r w:rsidR="00E124B9" w:rsidRPr="00FB0850">
        <w:rPr>
          <w:color w:val="auto"/>
        </w:rPr>
        <w:t>proc</w:t>
      </w:r>
      <w:r w:rsidR="004712B0" w:rsidRPr="00FB0850">
        <w:rPr>
          <w:color w:val="auto"/>
        </w:rPr>
        <w:t>é</w:t>
      </w:r>
      <w:r w:rsidR="00E124B9" w:rsidRPr="00FB0850">
        <w:rPr>
          <w:color w:val="auto"/>
        </w:rPr>
        <w:t xml:space="preserve">dures </w:t>
      </w:r>
      <w:r w:rsidR="004712B0" w:rsidRPr="00FB0850">
        <w:rPr>
          <w:color w:val="auto"/>
        </w:rPr>
        <w:t>formelles afin de nous baser sur le travail d</w:t>
      </w:r>
      <w:r w:rsidR="00ED7246" w:rsidRPr="00FB0850">
        <w:rPr>
          <w:color w:val="auto"/>
        </w:rPr>
        <w:t>’</w:t>
      </w:r>
      <w:r w:rsidR="00E124B9" w:rsidRPr="00FB0850">
        <w:rPr>
          <w:color w:val="auto"/>
        </w:rPr>
        <w:t xml:space="preserve">audit </w:t>
      </w:r>
      <w:r w:rsidR="004712B0" w:rsidRPr="00FB0850">
        <w:rPr>
          <w:color w:val="auto"/>
        </w:rPr>
        <w:t>des systèmes de l</w:t>
      </w:r>
      <w:r w:rsidR="00ED7246" w:rsidRPr="00FB0850">
        <w:rPr>
          <w:color w:val="auto"/>
        </w:rPr>
        <w:t>’</w:t>
      </w:r>
      <w:r w:rsidR="004712B0" w:rsidRPr="00FB0850">
        <w:rPr>
          <w:color w:val="auto"/>
        </w:rPr>
        <w:t>OMPI que nos équipes réalisent</w:t>
      </w:r>
      <w:r w:rsidR="00E124B9" w:rsidRPr="00FB0850">
        <w:rPr>
          <w:color w:val="auto"/>
        </w:rPr>
        <w:t>.</w:t>
      </w:r>
    </w:p>
    <w:p w:rsidR="00CA3696" w:rsidRPr="00FB0850" w:rsidRDefault="00CA3696" w:rsidP="00F24F3F">
      <w:pPr>
        <w:pStyle w:val="Heading3"/>
        <w:rPr>
          <w:lang w:val="fr-FR"/>
        </w:rPr>
      </w:pPr>
      <w:r w:rsidRPr="00FB0850">
        <w:rPr>
          <w:lang w:val="fr-FR"/>
        </w:rPr>
        <w:t>Déclaration sur le contrôle interne</w:t>
      </w:r>
    </w:p>
    <w:p w:rsidR="00ED7246" w:rsidRPr="00FB0850" w:rsidRDefault="00CA3696" w:rsidP="00F24F3F">
      <w:pPr>
        <w:pStyle w:val="Number1"/>
        <w:numPr>
          <w:ilvl w:val="1"/>
          <w:numId w:val="3"/>
        </w:numPr>
        <w:ind w:left="1701" w:firstLine="0"/>
        <w:jc w:val="both"/>
        <w:rPr>
          <w:color w:val="auto"/>
        </w:rPr>
      </w:pPr>
      <w:r w:rsidRPr="00FB0850">
        <w:rPr>
          <w:color w:val="auto"/>
        </w:rPr>
        <w:t>La déclaration sur le contrôle interne est utilisée pour présenter un rapport transparent et responsable de l</w:t>
      </w:r>
      <w:r w:rsidR="00ED7246" w:rsidRPr="00FB0850">
        <w:rPr>
          <w:color w:val="auto"/>
        </w:rPr>
        <w:t>’</w:t>
      </w:r>
      <w:r w:rsidRPr="00FB0850">
        <w:rPr>
          <w:color w:val="auto"/>
        </w:rPr>
        <w:t>environnement de contrôle ainsi que des risques auxquels sont confrontées les organisatio</w:t>
      </w:r>
      <w:r w:rsidR="002A21D7" w:rsidRPr="00FB0850">
        <w:rPr>
          <w:color w:val="auto"/>
        </w:rPr>
        <w:t>ns.  Ce</w:t>
      </w:r>
      <w:r w:rsidRPr="00FB0850">
        <w:rPr>
          <w:color w:val="auto"/>
        </w:rPr>
        <w:t xml:space="preserve"> rapport devrait rendre compte des processus par produit et au jour le jour, tout en donnant des informations sur les principaux composants et les interactions essentielles au bon fonctionnement de la gouvernance et du cadre des contrôles intern</w:t>
      </w:r>
      <w:r w:rsidR="002A21D7" w:rsidRPr="00FB0850">
        <w:rPr>
          <w:color w:val="auto"/>
        </w:rPr>
        <w:t>es.  L’e</w:t>
      </w:r>
      <w:r w:rsidRPr="00FB0850">
        <w:rPr>
          <w:color w:val="auto"/>
        </w:rPr>
        <w:t>fficacité des contrôles internes décrits dans la déclaration devrait faire l</w:t>
      </w:r>
      <w:r w:rsidR="00ED7246" w:rsidRPr="00FB0850">
        <w:rPr>
          <w:color w:val="auto"/>
        </w:rPr>
        <w:t>’</w:t>
      </w:r>
      <w:r w:rsidRPr="00FB0850">
        <w:rPr>
          <w:color w:val="auto"/>
        </w:rPr>
        <w:t>objet d</w:t>
      </w:r>
      <w:r w:rsidR="00ED7246" w:rsidRPr="00FB0850">
        <w:rPr>
          <w:color w:val="auto"/>
        </w:rPr>
        <w:t>’</w:t>
      </w:r>
      <w:r w:rsidRPr="00FB0850">
        <w:rPr>
          <w:color w:val="auto"/>
        </w:rPr>
        <w:t>un examen constant, à partir des contributions des services d</w:t>
      </w:r>
      <w:r w:rsidR="00ED7246" w:rsidRPr="00FB0850">
        <w:rPr>
          <w:color w:val="auto"/>
        </w:rPr>
        <w:t>’</w:t>
      </w:r>
      <w:r w:rsidRPr="00FB0850">
        <w:rPr>
          <w:color w:val="auto"/>
        </w:rPr>
        <w:t>assurance et des résultats des vérifications de conformité de la directi</w:t>
      </w:r>
      <w:r w:rsidR="002A21D7" w:rsidRPr="00FB0850">
        <w:rPr>
          <w:color w:val="auto"/>
        </w:rPr>
        <w:t>on.  C’e</w:t>
      </w:r>
      <w:r w:rsidRPr="00FB0850">
        <w:rPr>
          <w:color w:val="auto"/>
        </w:rPr>
        <w:t>st dans la déclaration que les résultats de ces assurances sont synthétisés et utilisés, dans le but de donner un aperçu du fonctionnement des processus de contrôle.</w:t>
      </w:r>
    </w:p>
    <w:p w:rsidR="00CA3696" w:rsidRPr="00FB0850" w:rsidRDefault="004712B0" w:rsidP="00F24F3F">
      <w:pPr>
        <w:pStyle w:val="Number1"/>
        <w:numPr>
          <w:ilvl w:val="1"/>
          <w:numId w:val="3"/>
        </w:numPr>
        <w:ind w:left="1701" w:firstLine="0"/>
        <w:jc w:val="both"/>
        <w:rPr>
          <w:color w:val="auto"/>
        </w:rPr>
      </w:pPr>
      <w:r w:rsidRPr="00FB0850">
        <w:rPr>
          <w:color w:val="auto"/>
        </w:rPr>
        <w:t xml:space="preserve">En vertu des arrangements </w:t>
      </w:r>
      <w:r w:rsidR="00E124B9" w:rsidRPr="00FB0850">
        <w:rPr>
          <w:color w:val="auto"/>
        </w:rPr>
        <w:t>administrati</w:t>
      </w:r>
      <w:r w:rsidRPr="00FB0850">
        <w:rPr>
          <w:color w:val="auto"/>
        </w:rPr>
        <w:t>f</w:t>
      </w:r>
      <w:r w:rsidR="00E124B9" w:rsidRPr="00FB0850">
        <w:rPr>
          <w:color w:val="auto"/>
        </w:rPr>
        <w:t xml:space="preserve">s, </w:t>
      </w:r>
      <w:r w:rsidRPr="00FB0850">
        <w:rPr>
          <w:color w:val="auto"/>
        </w:rPr>
        <w:t>la déclaration sur le contrôle interne de l</w:t>
      </w:r>
      <w:r w:rsidR="00ED7246" w:rsidRPr="00FB0850">
        <w:rPr>
          <w:color w:val="auto"/>
        </w:rPr>
        <w:t>’</w:t>
      </w:r>
      <w:r w:rsidR="00E124B9" w:rsidRPr="00FB0850">
        <w:rPr>
          <w:color w:val="auto"/>
        </w:rPr>
        <w:t xml:space="preserve">UPOV </w:t>
      </w:r>
      <w:r w:rsidRPr="00FB0850">
        <w:rPr>
          <w:color w:val="auto"/>
        </w:rPr>
        <w:t>est larg</w:t>
      </w:r>
      <w:r w:rsidR="00C61FE1" w:rsidRPr="00FB0850">
        <w:rPr>
          <w:color w:val="auto"/>
        </w:rPr>
        <w:t>e</w:t>
      </w:r>
      <w:r w:rsidRPr="00FB0850">
        <w:rPr>
          <w:color w:val="auto"/>
        </w:rPr>
        <w:t>ment basée sur les environnements opérationnels et le cadre comptable de l</w:t>
      </w:r>
      <w:r w:rsidR="00ED7246" w:rsidRPr="00FB0850">
        <w:rPr>
          <w:color w:val="auto"/>
        </w:rPr>
        <w:t>’</w:t>
      </w:r>
      <w:r w:rsidRPr="00FB0850">
        <w:rPr>
          <w:color w:val="auto"/>
        </w:rPr>
        <w:t>O</w:t>
      </w:r>
      <w:r w:rsidR="002A21D7" w:rsidRPr="00FB0850">
        <w:rPr>
          <w:color w:val="auto"/>
        </w:rPr>
        <w:t>MPI.  No</w:t>
      </w:r>
      <w:r w:rsidR="00C61FE1" w:rsidRPr="00FB0850">
        <w:rPr>
          <w:color w:val="auto"/>
        </w:rPr>
        <w:t xml:space="preserve">us avons vérifié si les </w:t>
      </w:r>
      <w:r w:rsidR="00E124B9" w:rsidRPr="00FB0850">
        <w:rPr>
          <w:color w:val="auto"/>
        </w:rPr>
        <w:t>information</w:t>
      </w:r>
      <w:r w:rsidR="00C61FE1" w:rsidRPr="00FB0850">
        <w:rPr>
          <w:color w:val="auto"/>
        </w:rPr>
        <w:t>s</w:t>
      </w:r>
      <w:r w:rsidR="00E124B9" w:rsidRPr="00FB0850">
        <w:rPr>
          <w:color w:val="auto"/>
        </w:rPr>
        <w:t xml:space="preserve"> cont</w:t>
      </w:r>
      <w:r w:rsidR="00C61FE1" w:rsidRPr="00FB0850">
        <w:rPr>
          <w:color w:val="auto"/>
        </w:rPr>
        <w:t>e</w:t>
      </w:r>
      <w:r w:rsidR="00E124B9" w:rsidRPr="00FB0850">
        <w:rPr>
          <w:color w:val="auto"/>
        </w:rPr>
        <w:t>n</w:t>
      </w:r>
      <w:r w:rsidR="00C61FE1" w:rsidRPr="00FB0850">
        <w:rPr>
          <w:color w:val="auto"/>
        </w:rPr>
        <w:t>u</w:t>
      </w:r>
      <w:r w:rsidR="00E124B9" w:rsidRPr="00FB0850">
        <w:rPr>
          <w:color w:val="auto"/>
        </w:rPr>
        <w:t>e</w:t>
      </w:r>
      <w:r w:rsidR="00C61FE1" w:rsidRPr="00FB0850">
        <w:rPr>
          <w:color w:val="auto"/>
        </w:rPr>
        <w:t>s</w:t>
      </w:r>
      <w:r w:rsidR="00E124B9" w:rsidRPr="00FB0850">
        <w:rPr>
          <w:color w:val="auto"/>
        </w:rPr>
        <w:t xml:space="preserve"> </w:t>
      </w:r>
      <w:r w:rsidR="00C61FE1" w:rsidRPr="00FB0850">
        <w:rPr>
          <w:color w:val="auto"/>
        </w:rPr>
        <w:t>dans la déclaration sur le contrôle interne</w:t>
      </w:r>
      <w:r w:rsidR="00E124B9" w:rsidRPr="00FB0850">
        <w:rPr>
          <w:color w:val="auto"/>
        </w:rPr>
        <w:t xml:space="preserve"> </w:t>
      </w:r>
      <w:r w:rsidR="00C61FE1" w:rsidRPr="00FB0850">
        <w:rPr>
          <w:color w:val="auto"/>
        </w:rPr>
        <w:t>est cohérente avec notre compréhension de l</w:t>
      </w:r>
      <w:r w:rsidR="00ED7246" w:rsidRPr="00FB0850">
        <w:rPr>
          <w:color w:val="auto"/>
        </w:rPr>
        <w:t>’</w:t>
      </w:r>
      <w:r w:rsidR="00E124B9" w:rsidRPr="00FB0850">
        <w:rPr>
          <w:color w:val="auto"/>
        </w:rPr>
        <w:t xml:space="preserve">UPOV </w:t>
      </w:r>
      <w:r w:rsidR="00C61FE1" w:rsidRPr="00FB0850">
        <w:rPr>
          <w:color w:val="auto"/>
        </w:rPr>
        <w:t>et n</w:t>
      </w:r>
      <w:r w:rsidR="00ED7246" w:rsidRPr="00FB0850">
        <w:rPr>
          <w:color w:val="auto"/>
        </w:rPr>
        <w:t>’</w:t>
      </w:r>
      <w:r w:rsidR="00C61FE1" w:rsidRPr="00FB0850">
        <w:rPr>
          <w:color w:val="auto"/>
        </w:rPr>
        <w:t xml:space="preserve">avons constaté aucune incohérence significative avec notre compréhension de son </w:t>
      </w:r>
      <w:r w:rsidR="00E124B9" w:rsidRPr="00FB0850">
        <w:rPr>
          <w:color w:val="auto"/>
        </w:rPr>
        <w:t>environ</w:t>
      </w:r>
      <w:r w:rsidR="00C61FE1" w:rsidRPr="00FB0850">
        <w:rPr>
          <w:color w:val="auto"/>
        </w:rPr>
        <w:t>ne</w:t>
      </w:r>
      <w:r w:rsidR="00E124B9" w:rsidRPr="00FB0850">
        <w:rPr>
          <w:color w:val="auto"/>
        </w:rPr>
        <w:t>ment.</w:t>
      </w:r>
    </w:p>
    <w:p w:rsidR="00ED7246" w:rsidRPr="00FB0850" w:rsidRDefault="00C61FE1" w:rsidP="00F24F3F">
      <w:pPr>
        <w:pStyle w:val="Number1"/>
        <w:numPr>
          <w:ilvl w:val="1"/>
          <w:numId w:val="3"/>
        </w:numPr>
        <w:ind w:left="1701" w:firstLine="0"/>
        <w:jc w:val="both"/>
        <w:rPr>
          <w:color w:val="auto"/>
        </w:rPr>
      </w:pPr>
      <w:r w:rsidRPr="00FB0850">
        <w:rPr>
          <w:color w:val="auto"/>
        </w:rPr>
        <w:t xml:space="preserve">Il y a toutefois </w:t>
      </w:r>
      <w:r w:rsidR="00077D99" w:rsidRPr="00FB0850">
        <w:rPr>
          <w:color w:val="auto"/>
        </w:rPr>
        <w:t>d</w:t>
      </w:r>
      <w:r w:rsidRPr="00FB0850">
        <w:rPr>
          <w:color w:val="auto"/>
        </w:rPr>
        <w:t xml:space="preserve">e </w:t>
      </w:r>
      <w:r w:rsidR="00077D99" w:rsidRPr="00FB0850">
        <w:rPr>
          <w:color w:val="auto"/>
        </w:rPr>
        <w:t xml:space="preserve">la </w:t>
      </w:r>
      <w:r w:rsidRPr="00FB0850">
        <w:rPr>
          <w:color w:val="auto"/>
        </w:rPr>
        <w:t xml:space="preserve">marge </w:t>
      </w:r>
      <w:r w:rsidR="00293D1B" w:rsidRPr="00FB0850">
        <w:rPr>
          <w:color w:val="auto"/>
        </w:rPr>
        <w:t xml:space="preserve">pour un </w:t>
      </w:r>
      <w:r w:rsidRPr="00FB0850">
        <w:rPr>
          <w:color w:val="auto"/>
        </w:rPr>
        <w:t>examen plus approfondi par l</w:t>
      </w:r>
      <w:r w:rsidR="00ED7246" w:rsidRPr="00FB0850">
        <w:rPr>
          <w:color w:val="auto"/>
        </w:rPr>
        <w:t>’</w:t>
      </w:r>
      <w:r w:rsidR="00E124B9" w:rsidRPr="00FB0850">
        <w:rPr>
          <w:color w:val="auto"/>
        </w:rPr>
        <w:t xml:space="preserve">UPOV </w:t>
      </w:r>
      <w:r w:rsidRPr="00FB0850">
        <w:rPr>
          <w:color w:val="auto"/>
        </w:rPr>
        <w:t xml:space="preserve">des </w:t>
      </w:r>
      <w:r w:rsidR="00E124B9" w:rsidRPr="00FB0850">
        <w:rPr>
          <w:color w:val="auto"/>
        </w:rPr>
        <w:t xml:space="preserve">assurances </w:t>
      </w:r>
      <w:r w:rsidRPr="00FB0850">
        <w:rPr>
          <w:color w:val="auto"/>
        </w:rPr>
        <w:t>reç</w:t>
      </w:r>
      <w:r w:rsidR="00532DF0" w:rsidRPr="00FB0850">
        <w:rPr>
          <w:color w:val="auto"/>
        </w:rPr>
        <w:t>ues</w:t>
      </w:r>
      <w:r w:rsidRPr="00FB0850">
        <w:rPr>
          <w:color w:val="auto"/>
        </w:rPr>
        <w:t xml:space="preserve"> directement de l</w:t>
      </w:r>
      <w:r w:rsidR="00ED7246" w:rsidRPr="00FB0850">
        <w:rPr>
          <w:color w:val="auto"/>
        </w:rPr>
        <w:t>’</w:t>
      </w:r>
      <w:r w:rsidRPr="00FB0850">
        <w:rPr>
          <w:color w:val="auto"/>
        </w:rPr>
        <w:t>OMPI</w:t>
      </w:r>
      <w:r w:rsidR="00E124B9" w:rsidRPr="00FB0850">
        <w:rPr>
          <w:color w:val="auto"/>
        </w:rPr>
        <w:t xml:space="preserve">, </w:t>
      </w:r>
      <w:r w:rsidR="00293D1B" w:rsidRPr="00FB0850">
        <w:rPr>
          <w:color w:val="auto"/>
        </w:rPr>
        <w:t>afin de s</w:t>
      </w:r>
      <w:r w:rsidR="00ED7246" w:rsidRPr="00FB0850">
        <w:rPr>
          <w:color w:val="auto"/>
        </w:rPr>
        <w:t>’</w:t>
      </w:r>
      <w:r w:rsidR="00293D1B" w:rsidRPr="00FB0850">
        <w:rPr>
          <w:color w:val="auto"/>
        </w:rPr>
        <w:t>assurer que l</w:t>
      </w:r>
      <w:r w:rsidR="00ED7246" w:rsidRPr="00FB0850">
        <w:rPr>
          <w:color w:val="auto"/>
        </w:rPr>
        <w:t>’</w:t>
      </w:r>
      <w:r w:rsidR="00293D1B" w:rsidRPr="00FB0850">
        <w:rPr>
          <w:color w:val="auto"/>
        </w:rPr>
        <w:t>effectivité opérationnel</w:t>
      </w:r>
      <w:r w:rsidR="00532DF0" w:rsidRPr="00FB0850">
        <w:rPr>
          <w:color w:val="auto"/>
        </w:rPr>
        <w:t>le</w:t>
      </w:r>
      <w:r w:rsidR="00293D1B" w:rsidRPr="00FB0850">
        <w:rPr>
          <w:color w:val="auto"/>
        </w:rPr>
        <w:t xml:space="preserve"> des contrôles</w:t>
      </w:r>
      <w:r w:rsidR="00532DF0" w:rsidRPr="00FB0850">
        <w:rPr>
          <w:color w:val="auto"/>
        </w:rPr>
        <w:t xml:space="preserve"> est satisfaisan</w:t>
      </w:r>
      <w:r w:rsidR="002A21D7" w:rsidRPr="00FB0850">
        <w:rPr>
          <w:color w:val="auto"/>
        </w:rPr>
        <w:t>te.  Il</w:t>
      </w:r>
      <w:r w:rsidR="00293D1B" w:rsidRPr="00FB0850">
        <w:rPr>
          <w:color w:val="auto"/>
        </w:rPr>
        <w:t xml:space="preserve"> y a également </w:t>
      </w:r>
      <w:r w:rsidR="00077D99" w:rsidRPr="00FB0850">
        <w:rPr>
          <w:color w:val="auto"/>
        </w:rPr>
        <w:t>d</w:t>
      </w:r>
      <w:r w:rsidR="00293D1B" w:rsidRPr="00FB0850">
        <w:rPr>
          <w:color w:val="auto"/>
        </w:rPr>
        <w:t xml:space="preserve">e </w:t>
      </w:r>
      <w:r w:rsidR="00077D99" w:rsidRPr="00FB0850">
        <w:rPr>
          <w:color w:val="auto"/>
        </w:rPr>
        <w:t xml:space="preserve">la </w:t>
      </w:r>
      <w:r w:rsidR="00293D1B" w:rsidRPr="00FB0850">
        <w:rPr>
          <w:color w:val="auto"/>
        </w:rPr>
        <w:t>marge pour un examen</w:t>
      </w:r>
      <w:r w:rsidR="00077D99" w:rsidRPr="00FB0850">
        <w:rPr>
          <w:color w:val="auto"/>
        </w:rPr>
        <w:t>,</w:t>
      </w:r>
      <w:r w:rsidR="00293D1B" w:rsidRPr="00FB0850">
        <w:rPr>
          <w:color w:val="auto"/>
        </w:rPr>
        <w:t xml:space="preserve"> par l</w:t>
      </w:r>
      <w:r w:rsidR="00ED7246" w:rsidRPr="00FB0850">
        <w:rPr>
          <w:color w:val="auto"/>
        </w:rPr>
        <w:t>’</w:t>
      </w:r>
      <w:r w:rsidR="00E124B9" w:rsidRPr="00FB0850">
        <w:rPr>
          <w:color w:val="auto"/>
        </w:rPr>
        <w:t>UPOV</w:t>
      </w:r>
      <w:r w:rsidR="00077D99" w:rsidRPr="00FB0850">
        <w:rPr>
          <w:color w:val="auto"/>
        </w:rPr>
        <w:t>,</w:t>
      </w:r>
      <w:r w:rsidR="00E124B9" w:rsidRPr="00FB0850">
        <w:rPr>
          <w:color w:val="auto"/>
        </w:rPr>
        <w:t xml:space="preserve"> </w:t>
      </w:r>
      <w:r w:rsidR="00293D1B" w:rsidRPr="00FB0850">
        <w:rPr>
          <w:color w:val="auto"/>
        </w:rPr>
        <w:t xml:space="preserve">du cadre de responsabilisation de </w:t>
      </w:r>
      <w:r w:rsidRPr="00FB0850">
        <w:rPr>
          <w:color w:val="auto"/>
        </w:rPr>
        <w:t>l</w:t>
      </w:r>
      <w:r w:rsidR="00ED7246" w:rsidRPr="00FB0850">
        <w:rPr>
          <w:color w:val="auto"/>
        </w:rPr>
        <w:t>’</w:t>
      </w:r>
      <w:r w:rsidRPr="00FB0850">
        <w:rPr>
          <w:color w:val="auto"/>
        </w:rPr>
        <w:t>OMPI</w:t>
      </w:r>
      <w:r w:rsidR="00E124B9" w:rsidRPr="00FB0850">
        <w:rPr>
          <w:color w:val="auto"/>
        </w:rPr>
        <w:t xml:space="preserve"> </w:t>
      </w:r>
      <w:r w:rsidR="00293D1B" w:rsidRPr="00FB0850">
        <w:rPr>
          <w:color w:val="auto"/>
        </w:rPr>
        <w:t>et pour une réflexion, le cas échéant, sur l</w:t>
      </w:r>
      <w:r w:rsidR="00ED7246" w:rsidRPr="00FB0850">
        <w:rPr>
          <w:color w:val="auto"/>
        </w:rPr>
        <w:t>’</w:t>
      </w:r>
      <w:r w:rsidR="00293D1B" w:rsidRPr="00FB0850">
        <w:rPr>
          <w:color w:val="auto"/>
        </w:rPr>
        <w:t xml:space="preserve">étendue de </w:t>
      </w:r>
      <w:r w:rsidR="00077D99" w:rsidRPr="00FB0850">
        <w:rPr>
          <w:color w:val="auto"/>
        </w:rPr>
        <w:t>l</w:t>
      </w:r>
      <w:r w:rsidR="00293D1B" w:rsidRPr="00FB0850">
        <w:rPr>
          <w:color w:val="auto"/>
        </w:rPr>
        <w:t xml:space="preserve">a duplication </w:t>
      </w:r>
      <w:r w:rsidR="00077D99" w:rsidRPr="00FB0850">
        <w:rPr>
          <w:color w:val="auto"/>
        </w:rPr>
        <w:t xml:space="preserve">de ce dernier </w:t>
      </w:r>
      <w:r w:rsidR="00293D1B" w:rsidRPr="00FB0850">
        <w:rPr>
          <w:color w:val="auto"/>
        </w:rPr>
        <w:t xml:space="preserve">dans les processus de contrôle interne </w:t>
      </w:r>
      <w:r w:rsidR="00532DF0" w:rsidRPr="00FB0850">
        <w:rPr>
          <w:color w:val="auto"/>
        </w:rPr>
        <w:t xml:space="preserve">propres </w:t>
      </w:r>
      <w:r w:rsidR="00293D1B" w:rsidRPr="00FB0850">
        <w:rPr>
          <w:color w:val="auto"/>
        </w:rPr>
        <w:t>de l</w:t>
      </w:r>
      <w:r w:rsidR="00ED7246" w:rsidRPr="00FB0850">
        <w:rPr>
          <w:color w:val="auto"/>
        </w:rPr>
        <w:t>’</w:t>
      </w:r>
      <w:r w:rsidR="00293D1B" w:rsidRPr="00FB0850">
        <w:rPr>
          <w:color w:val="auto"/>
        </w:rPr>
        <w:t>UPOV</w:t>
      </w:r>
      <w:r w:rsidR="00E124B9" w:rsidRPr="00FB0850">
        <w:rPr>
          <w:color w:val="auto"/>
        </w:rPr>
        <w:t>.</w:t>
      </w:r>
    </w:p>
    <w:p w:rsidR="00CA3696" w:rsidRPr="00FB0850" w:rsidRDefault="00077D99" w:rsidP="00F24F3F">
      <w:pPr>
        <w:pStyle w:val="Number1"/>
        <w:numPr>
          <w:ilvl w:val="1"/>
          <w:numId w:val="3"/>
        </w:numPr>
        <w:ind w:left="1701" w:firstLine="0"/>
        <w:jc w:val="both"/>
        <w:rPr>
          <w:color w:val="auto"/>
        </w:rPr>
      </w:pPr>
      <w:r w:rsidRPr="00FB0850">
        <w:rPr>
          <w:color w:val="auto"/>
        </w:rPr>
        <w:t>L</w:t>
      </w:r>
      <w:r w:rsidR="00ED7246" w:rsidRPr="00FB0850">
        <w:rPr>
          <w:color w:val="auto"/>
        </w:rPr>
        <w:t>’</w:t>
      </w:r>
      <w:r w:rsidR="00E124B9" w:rsidRPr="00FB0850">
        <w:rPr>
          <w:color w:val="auto"/>
        </w:rPr>
        <w:t xml:space="preserve">UPOV </w:t>
      </w:r>
      <w:r w:rsidRPr="00FB0850">
        <w:rPr>
          <w:color w:val="auto"/>
        </w:rPr>
        <w:t>devrait également mener une réflexion sur ses propres procédures de gestion des risque</w:t>
      </w:r>
      <w:r w:rsidR="00E124B9" w:rsidRPr="00FB0850">
        <w:rPr>
          <w:color w:val="auto"/>
        </w:rPr>
        <w:t>s</w:t>
      </w:r>
      <w:r w:rsidRPr="00FB0850">
        <w:rPr>
          <w:color w:val="auto"/>
        </w:rPr>
        <w:t xml:space="preserve"> dans la déclaration et examiner l</w:t>
      </w:r>
      <w:r w:rsidR="00ED7246" w:rsidRPr="00FB0850">
        <w:rPr>
          <w:color w:val="auto"/>
        </w:rPr>
        <w:t>’</w:t>
      </w:r>
      <w:r w:rsidRPr="00FB0850">
        <w:rPr>
          <w:color w:val="auto"/>
        </w:rPr>
        <w:t>effectivité des contrôles réalisés par les responsables de l</w:t>
      </w:r>
      <w:r w:rsidR="00ED7246" w:rsidRPr="00FB0850">
        <w:rPr>
          <w:color w:val="auto"/>
        </w:rPr>
        <w:t>’</w:t>
      </w:r>
      <w:r w:rsidR="00E124B9" w:rsidRPr="00FB0850">
        <w:rPr>
          <w:color w:val="auto"/>
        </w:rPr>
        <w:t xml:space="preserve">UPOV </w:t>
      </w:r>
      <w:r w:rsidR="003413EE" w:rsidRPr="00FB0850">
        <w:rPr>
          <w:color w:val="auto"/>
        </w:rPr>
        <w:t>au regard des contrôles réalisés dans l</w:t>
      </w:r>
      <w:r w:rsidR="00ED7246" w:rsidRPr="00FB0850">
        <w:rPr>
          <w:color w:val="auto"/>
        </w:rPr>
        <w:t>’</w:t>
      </w:r>
      <w:r w:rsidR="003413EE" w:rsidRPr="00FB0850">
        <w:rPr>
          <w:color w:val="auto"/>
        </w:rPr>
        <w:t>environnement d</w:t>
      </w:r>
      <w:r w:rsidR="00E124B9" w:rsidRPr="00FB0850">
        <w:rPr>
          <w:color w:val="auto"/>
        </w:rPr>
        <w:t xml:space="preserve">e </w:t>
      </w:r>
      <w:r w:rsidR="00C61FE1" w:rsidRPr="00FB0850">
        <w:rPr>
          <w:color w:val="auto"/>
        </w:rPr>
        <w:t>l</w:t>
      </w:r>
      <w:r w:rsidR="00ED7246" w:rsidRPr="00FB0850">
        <w:rPr>
          <w:color w:val="auto"/>
        </w:rPr>
        <w:t>’</w:t>
      </w:r>
      <w:r w:rsidR="00C61FE1" w:rsidRPr="00FB0850">
        <w:rPr>
          <w:color w:val="auto"/>
        </w:rPr>
        <w:t>O</w:t>
      </w:r>
      <w:r w:rsidR="002A21D7" w:rsidRPr="00FB0850">
        <w:rPr>
          <w:color w:val="auto"/>
        </w:rPr>
        <w:t>MPI.  Il</w:t>
      </w:r>
      <w:r w:rsidR="003413EE" w:rsidRPr="00FB0850">
        <w:rPr>
          <w:color w:val="auto"/>
        </w:rPr>
        <w:t xml:space="preserve"> y aurait </w:t>
      </w:r>
      <w:r w:rsidR="00441D25" w:rsidRPr="00FB0850">
        <w:rPr>
          <w:color w:val="auto"/>
        </w:rPr>
        <w:t>ainsi</w:t>
      </w:r>
      <w:r w:rsidR="003413EE" w:rsidRPr="00FB0850">
        <w:rPr>
          <w:color w:val="auto"/>
        </w:rPr>
        <w:t xml:space="preserve"> une plus grande transparence sur la façon dont pourraient être atténués les </w:t>
      </w:r>
      <w:r w:rsidR="00E124B9" w:rsidRPr="00FB0850">
        <w:rPr>
          <w:color w:val="auto"/>
        </w:rPr>
        <w:t>ris</w:t>
      </w:r>
      <w:r w:rsidR="003413EE" w:rsidRPr="00FB0850">
        <w:rPr>
          <w:color w:val="auto"/>
        </w:rPr>
        <w:t>que</w:t>
      </w:r>
      <w:r w:rsidR="00E124B9" w:rsidRPr="00FB0850">
        <w:rPr>
          <w:color w:val="auto"/>
        </w:rPr>
        <w:t xml:space="preserve">s </w:t>
      </w:r>
      <w:r w:rsidR="003413EE" w:rsidRPr="00FB0850">
        <w:rPr>
          <w:color w:val="auto"/>
        </w:rPr>
        <w:t>pesant sur la ré</w:t>
      </w:r>
      <w:r w:rsidR="00C541F2" w:rsidRPr="00FB0850">
        <w:rPr>
          <w:color w:val="auto"/>
        </w:rPr>
        <w:t>alisation</w:t>
      </w:r>
      <w:r w:rsidR="003413EE" w:rsidRPr="00FB0850">
        <w:rPr>
          <w:color w:val="auto"/>
        </w:rPr>
        <w:t xml:space="preserve"> des objectifs de l</w:t>
      </w:r>
      <w:r w:rsidR="00ED7246" w:rsidRPr="00FB0850">
        <w:rPr>
          <w:color w:val="auto"/>
        </w:rPr>
        <w:t>’</w:t>
      </w:r>
      <w:r w:rsidR="00C541F2" w:rsidRPr="00FB0850">
        <w:rPr>
          <w:color w:val="auto"/>
        </w:rPr>
        <w:t>U</w:t>
      </w:r>
      <w:r w:rsidR="002A21D7" w:rsidRPr="00FB0850">
        <w:rPr>
          <w:color w:val="auto"/>
        </w:rPr>
        <w:t>POV.  De</w:t>
      </w:r>
      <w:r w:rsidR="003413EE" w:rsidRPr="00FB0850">
        <w:rPr>
          <w:color w:val="auto"/>
        </w:rPr>
        <w:t xml:space="preserve"> telles pratiques de gestion des risques vont gagner en importance au fur et à mesure que l</w:t>
      </w:r>
      <w:r w:rsidR="00ED7246" w:rsidRPr="00FB0850">
        <w:rPr>
          <w:color w:val="auto"/>
        </w:rPr>
        <w:t>’</w:t>
      </w:r>
      <w:r w:rsidR="00E124B9" w:rsidRPr="00FB0850">
        <w:rPr>
          <w:color w:val="auto"/>
        </w:rPr>
        <w:t>UPOV d</w:t>
      </w:r>
      <w:r w:rsidR="003413EE" w:rsidRPr="00FB0850">
        <w:rPr>
          <w:color w:val="auto"/>
        </w:rPr>
        <w:t>é</w:t>
      </w:r>
      <w:r w:rsidR="00E124B9" w:rsidRPr="00FB0850">
        <w:rPr>
          <w:color w:val="auto"/>
        </w:rPr>
        <w:t>velop</w:t>
      </w:r>
      <w:r w:rsidR="003413EE" w:rsidRPr="00FB0850">
        <w:rPr>
          <w:color w:val="auto"/>
        </w:rPr>
        <w:t>pera davantage se</w:t>
      </w:r>
      <w:r w:rsidR="00E124B9" w:rsidRPr="00FB0850">
        <w:rPr>
          <w:color w:val="auto"/>
        </w:rPr>
        <w:t xml:space="preserve">s </w:t>
      </w:r>
      <w:r w:rsidR="003413EE" w:rsidRPr="00FB0850">
        <w:rPr>
          <w:color w:val="auto"/>
        </w:rPr>
        <w:t xml:space="preserve">activités </w:t>
      </w:r>
      <w:r w:rsidR="00E124B9" w:rsidRPr="00FB0850">
        <w:rPr>
          <w:color w:val="auto"/>
        </w:rPr>
        <w:t>commercial</w:t>
      </w:r>
      <w:r w:rsidR="003413EE" w:rsidRPr="00FB0850">
        <w:rPr>
          <w:color w:val="auto"/>
        </w:rPr>
        <w:t>es</w:t>
      </w:r>
      <w:r w:rsidR="00E124B9" w:rsidRPr="00FB0850">
        <w:rPr>
          <w:color w:val="auto"/>
        </w:rPr>
        <w:t xml:space="preserve"> </w:t>
      </w:r>
      <w:r w:rsidR="003413EE" w:rsidRPr="00FB0850">
        <w:rPr>
          <w:color w:val="auto"/>
        </w:rPr>
        <w:t>dans le cadre de son plan de rentabilisati</w:t>
      </w:r>
      <w:r w:rsidR="002A21D7" w:rsidRPr="00FB0850">
        <w:rPr>
          <w:color w:val="auto"/>
        </w:rPr>
        <w:t>on.  Ét</w:t>
      </w:r>
      <w:r w:rsidR="00D021AA" w:rsidRPr="00FB0850">
        <w:rPr>
          <w:color w:val="auto"/>
        </w:rPr>
        <w:t>ant donné l</w:t>
      </w:r>
      <w:r w:rsidR="00ED7246" w:rsidRPr="00FB0850">
        <w:rPr>
          <w:color w:val="auto"/>
        </w:rPr>
        <w:t>’</w:t>
      </w:r>
      <w:r w:rsidR="00E124B9" w:rsidRPr="00FB0850">
        <w:rPr>
          <w:color w:val="auto"/>
        </w:rPr>
        <w:t xml:space="preserve">importance </w:t>
      </w:r>
      <w:r w:rsidR="00D021AA" w:rsidRPr="00FB0850">
        <w:rPr>
          <w:color w:val="auto"/>
        </w:rPr>
        <w:t>de la déclaration et sa valeur en tant que document comptable, l</w:t>
      </w:r>
      <w:r w:rsidR="00ED7246" w:rsidRPr="00FB0850">
        <w:rPr>
          <w:color w:val="auto"/>
        </w:rPr>
        <w:t>’</w:t>
      </w:r>
      <w:r w:rsidR="00E124B9" w:rsidRPr="00FB0850">
        <w:rPr>
          <w:color w:val="auto"/>
        </w:rPr>
        <w:t xml:space="preserve">UPOV </w:t>
      </w:r>
      <w:r w:rsidR="00D021AA" w:rsidRPr="00FB0850">
        <w:rPr>
          <w:color w:val="auto"/>
        </w:rPr>
        <w:t>devrait également réfléchir à l</w:t>
      </w:r>
      <w:r w:rsidR="00ED7246" w:rsidRPr="00FB0850">
        <w:rPr>
          <w:color w:val="auto"/>
        </w:rPr>
        <w:t>’</w:t>
      </w:r>
      <w:r w:rsidR="00D021AA" w:rsidRPr="00FB0850">
        <w:rPr>
          <w:color w:val="auto"/>
        </w:rPr>
        <w:t>inclure</w:t>
      </w:r>
      <w:r w:rsidR="00C541F2" w:rsidRPr="00FB0850">
        <w:rPr>
          <w:color w:val="auto"/>
        </w:rPr>
        <w:t>,</w:t>
      </w:r>
      <w:r w:rsidR="00D021AA" w:rsidRPr="00FB0850">
        <w:rPr>
          <w:color w:val="auto"/>
        </w:rPr>
        <w:t xml:space="preserve"> avec les états financiers</w:t>
      </w:r>
      <w:r w:rsidR="00C541F2" w:rsidRPr="00FB0850">
        <w:rPr>
          <w:color w:val="auto"/>
        </w:rPr>
        <w:t>,</w:t>
      </w:r>
      <w:r w:rsidR="00D021AA" w:rsidRPr="00FB0850">
        <w:rPr>
          <w:color w:val="auto"/>
        </w:rPr>
        <w:t xml:space="preserve"> dans le rapport général au </w:t>
      </w:r>
      <w:r w:rsidR="00E124B9" w:rsidRPr="00FB0850">
        <w:rPr>
          <w:color w:val="auto"/>
        </w:rPr>
        <w:t>Con</w:t>
      </w:r>
      <w:r w:rsidR="00D021AA" w:rsidRPr="00FB0850">
        <w:rPr>
          <w:color w:val="auto"/>
        </w:rPr>
        <w:t>se</w:t>
      </w:r>
      <w:r w:rsidR="00E124B9" w:rsidRPr="00FB0850">
        <w:rPr>
          <w:color w:val="auto"/>
        </w:rPr>
        <w:t>il.</w:t>
      </w:r>
    </w:p>
    <w:p w:rsidR="00CA3696" w:rsidRPr="00FB0850" w:rsidRDefault="001D6283" w:rsidP="00F24F3F">
      <w:pPr>
        <w:pStyle w:val="Number1"/>
        <w:keepNext/>
        <w:ind w:left="1701"/>
        <w:jc w:val="both"/>
        <w:rPr>
          <w:b/>
          <w:color w:val="auto"/>
        </w:rPr>
      </w:pPr>
      <w:r w:rsidRPr="00FB0850">
        <w:rPr>
          <w:b/>
          <w:color w:val="auto"/>
        </w:rPr>
        <w:lastRenderedPageBreak/>
        <w:t>L</w:t>
      </w:r>
      <w:r w:rsidR="00ED7246" w:rsidRPr="00FB0850">
        <w:rPr>
          <w:b/>
          <w:color w:val="auto"/>
        </w:rPr>
        <w:t>’</w:t>
      </w:r>
      <w:r w:rsidR="00E124B9" w:rsidRPr="00FB0850">
        <w:rPr>
          <w:b/>
          <w:color w:val="auto"/>
        </w:rPr>
        <w:t xml:space="preserve">UPOV </w:t>
      </w:r>
      <w:r w:rsidRPr="00FB0850">
        <w:rPr>
          <w:b/>
          <w:color w:val="auto"/>
        </w:rPr>
        <w:t>devrait</w:t>
      </w:r>
      <w:r w:rsidR="00ED7246" w:rsidRPr="00FB0850">
        <w:rPr>
          <w:b/>
          <w:color w:val="auto"/>
        </w:rPr>
        <w:t> :</w:t>
      </w:r>
    </w:p>
    <w:p w:rsidR="00ED7246" w:rsidRPr="00FB0850" w:rsidRDefault="00E124B9" w:rsidP="00F24F3F">
      <w:pPr>
        <w:pStyle w:val="Number1"/>
        <w:ind w:left="1701"/>
        <w:jc w:val="both"/>
        <w:rPr>
          <w:b/>
          <w:color w:val="auto"/>
        </w:rPr>
      </w:pPr>
      <w:r w:rsidRPr="00FB0850">
        <w:rPr>
          <w:b/>
          <w:color w:val="auto"/>
        </w:rPr>
        <w:t xml:space="preserve">R1. </w:t>
      </w:r>
      <w:r w:rsidR="00292EA7" w:rsidRPr="00FB0850">
        <w:rPr>
          <w:b/>
          <w:color w:val="auto"/>
        </w:rPr>
        <w:t xml:space="preserve"> e</w:t>
      </w:r>
      <w:r w:rsidR="00D021AA" w:rsidRPr="00FB0850">
        <w:rPr>
          <w:b/>
          <w:color w:val="auto"/>
        </w:rPr>
        <w:t>nvisage</w:t>
      </w:r>
      <w:r w:rsidRPr="00FB0850">
        <w:rPr>
          <w:b/>
          <w:color w:val="auto"/>
        </w:rPr>
        <w:t xml:space="preserve">r </w:t>
      </w:r>
      <w:r w:rsidR="00D021AA" w:rsidRPr="00FB0850">
        <w:rPr>
          <w:b/>
          <w:color w:val="auto"/>
        </w:rPr>
        <w:t>de revoir le contenu actuel de son système de contrôle interne (</w:t>
      </w:r>
      <w:r w:rsidRPr="00FB0850">
        <w:rPr>
          <w:b/>
          <w:color w:val="auto"/>
        </w:rPr>
        <w:t>SC</w:t>
      </w:r>
      <w:r w:rsidR="00D021AA" w:rsidRPr="00FB0850">
        <w:rPr>
          <w:b/>
          <w:color w:val="auto"/>
        </w:rPr>
        <w:t>I)</w:t>
      </w:r>
      <w:r w:rsidRPr="00FB0850">
        <w:rPr>
          <w:b/>
          <w:color w:val="auto"/>
        </w:rPr>
        <w:t xml:space="preserve"> </w:t>
      </w:r>
      <w:r w:rsidR="00DF747C" w:rsidRPr="00FB0850">
        <w:rPr>
          <w:b/>
          <w:color w:val="auto"/>
        </w:rPr>
        <w:t>ainsi que son champ d</w:t>
      </w:r>
      <w:r w:rsidR="00ED7246" w:rsidRPr="00FB0850">
        <w:rPr>
          <w:b/>
          <w:color w:val="auto"/>
        </w:rPr>
        <w:t>’</w:t>
      </w:r>
      <w:r w:rsidR="00DF747C" w:rsidRPr="00FB0850">
        <w:rPr>
          <w:b/>
          <w:color w:val="auto"/>
        </w:rPr>
        <w:t>application, afin de se baser sur les pratiques é</w:t>
      </w:r>
      <w:r w:rsidRPr="00FB0850">
        <w:rPr>
          <w:b/>
          <w:color w:val="auto"/>
        </w:rPr>
        <w:t>merg</w:t>
      </w:r>
      <w:r w:rsidR="00DF747C" w:rsidRPr="00FB0850">
        <w:rPr>
          <w:b/>
          <w:color w:val="auto"/>
        </w:rPr>
        <w:t xml:space="preserve">entes </w:t>
      </w:r>
      <w:r w:rsidR="00DF747C" w:rsidRPr="00FB0850">
        <w:rPr>
          <w:rFonts w:ascii="Arial Bold" w:hAnsi="Arial Bold"/>
          <w:b/>
          <w:color w:val="auto"/>
          <w:spacing w:val="-2"/>
        </w:rPr>
        <w:t>utilisées pour appuyer</w:t>
      </w:r>
      <w:r w:rsidR="00ED7246" w:rsidRPr="00FB0850">
        <w:rPr>
          <w:rFonts w:ascii="Arial Bold" w:hAnsi="Arial Bold"/>
          <w:b/>
          <w:color w:val="auto"/>
          <w:spacing w:val="-2"/>
        </w:rPr>
        <w:t xml:space="preserve"> le</w:t>
      </w:r>
      <w:r w:rsidR="00FB0850" w:rsidRPr="00FB0850">
        <w:rPr>
          <w:rFonts w:ascii="Arial Bold" w:hAnsi="Arial Bold"/>
          <w:b/>
          <w:color w:val="auto"/>
          <w:spacing w:val="-2"/>
        </w:rPr>
        <w:t xml:space="preserve"> </w:t>
      </w:r>
      <w:r w:rsidR="00ED7246" w:rsidRPr="00FB0850">
        <w:rPr>
          <w:rFonts w:ascii="Arial Bold" w:hAnsi="Arial Bold"/>
          <w:b/>
          <w:color w:val="auto"/>
          <w:spacing w:val="-2"/>
        </w:rPr>
        <w:t>SCI</w:t>
      </w:r>
      <w:r w:rsidR="00DF747C" w:rsidRPr="00FB0850">
        <w:rPr>
          <w:rFonts w:ascii="Arial Bold" w:hAnsi="Arial Bold"/>
          <w:b/>
          <w:color w:val="auto"/>
          <w:spacing w:val="-2"/>
        </w:rPr>
        <w:t xml:space="preserve"> </w:t>
      </w:r>
      <w:r w:rsidR="00C541F2" w:rsidRPr="00FB0850">
        <w:rPr>
          <w:rFonts w:ascii="Arial Bold" w:hAnsi="Arial Bold"/>
          <w:b/>
          <w:color w:val="auto"/>
          <w:spacing w:val="-2"/>
        </w:rPr>
        <w:t xml:space="preserve">propre </w:t>
      </w:r>
      <w:r w:rsidR="00DF747C" w:rsidRPr="00FB0850">
        <w:rPr>
          <w:rFonts w:ascii="Arial Bold" w:hAnsi="Arial Bold"/>
          <w:b/>
          <w:color w:val="auto"/>
          <w:spacing w:val="-2"/>
        </w:rPr>
        <w:t xml:space="preserve">de </w:t>
      </w:r>
      <w:r w:rsidR="00C61FE1" w:rsidRPr="00FB0850">
        <w:rPr>
          <w:rFonts w:ascii="Arial Bold" w:hAnsi="Arial Bold"/>
          <w:b/>
          <w:color w:val="auto"/>
          <w:spacing w:val="-2"/>
        </w:rPr>
        <w:t>l</w:t>
      </w:r>
      <w:r w:rsidR="00ED7246" w:rsidRPr="00FB0850">
        <w:rPr>
          <w:rFonts w:ascii="Arial Bold" w:hAnsi="Arial Bold"/>
          <w:b/>
          <w:color w:val="auto"/>
          <w:spacing w:val="-2"/>
        </w:rPr>
        <w:t>’</w:t>
      </w:r>
      <w:r w:rsidR="00C61FE1" w:rsidRPr="00FB0850">
        <w:rPr>
          <w:rFonts w:ascii="Arial Bold" w:hAnsi="Arial Bold"/>
          <w:b/>
          <w:color w:val="auto"/>
          <w:spacing w:val="-2"/>
        </w:rPr>
        <w:t>OMPI</w:t>
      </w:r>
      <w:r w:rsidRPr="00FB0850">
        <w:rPr>
          <w:rFonts w:ascii="Arial Bold" w:hAnsi="Arial Bold"/>
          <w:b/>
          <w:color w:val="auto"/>
          <w:spacing w:val="-2"/>
        </w:rPr>
        <w:t xml:space="preserve"> </w:t>
      </w:r>
      <w:r w:rsidR="00DF747C" w:rsidRPr="00FB0850">
        <w:rPr>
          <w:rFonts w:ascii="Arial Bold" w:hAnsi="Arial Bold"/>
          <w:b/>
          <w:color w:val="auto"/>
          <w:spacing w:val="-2"/>
        </w:rPr>
        <w:t>et ses éléments probants d</w:t>
      </w:r>
      <w:r w:rsidR="00ED7246" w:rsidRPr="00FB0850">
        <w:rPr>
          <w:rFonts w:ascii="Arial Bold" w:hAnsi="Arial Bold"/>
          <w:b/>
          <w:color w:val="auto"/>
          <w:spacing w:val="-2"/>
        </w:rPr>
        <w:t>’</w:t>
      </w:r>
      <w:r w:rsidRPr="00FB0850">
        <w:rPr>
          <w:rFonts w:ascii="Arial Bold" w:hAnsi="Arial Bold"/>
          <w:b/>
          <w:color w:val="auto"/>
          <w:spacing w:val="-2"/>
        </w:rPr>
        <w:t>assurance.</w:t>
      </w:r>
    </w:p>
    <w:p w:rsidR="00CA3696" w:rsidRPr="00FB0850" w:rsidRDefault="00E124B9" w:rsidP="00F24F3F">
      <w:pPr>
        <w:pStyle w:val="Number1"/>
        <w:ind w:left="1701"/>
        <w:jc w:val="both"/>
        <w:rPr>
          <w:b/>
          <w:color w:val="auto"/>
        </w:rPr>
      </w:pPr>
      <w:r w:rsidRPr="00FB0850">
        <w:rPr>
          <w:b/>
          <w:color w:val="auto"/>
        </w:rPr>
        <w:t xml:space="preserve">R2. </w:t>
      </w:r>
      <w:r w:rsidR="00292EA7" w:rsidRPr="00FB0850">
        <w:rPr>
          <w:b/>
          <w:color w:val="auto"/>
        </w:rPr>
        <w:t xml:space="preserve"> r</w:t>
      </w:r>
      <w:r w:rsidR="00DF747C" w:rsidRPr="00FB0850">
        <w:rPr>
          <w:b/>
          <w:color w:val="auto"/>
        </w:rPr>
        <w:t>enforc</w:t>
      </w:r>
      <w:r w:rsidRPr="00FB0850">
        <w:rPr>
          <w:b/>
          <w:color w:val="auto"/>
        </w:rPr>
        <w:t>e</w:t>
      </w:r>
      <w:r w:rsidR="00DF747C" w:rsidRPr="00FB0850">
        <w:rPr>
          <w:b/>
          <w:color w:val="auto"/>
        </w:rPr>
        <w:t>r</w:t>
      </w:r>
      <w:r w:rsidRPr="00FB0850">
        <w:rPr>
          <w:b/>
          <w:color w:val="auto"/>
        </w:rPr>
        <w:t xml:space="preserve"> </w:t>
      </w:r>
      <w:r w:rsidR="00DF747C" w:rsidRPr="00FB0850">
        <w:rPr>
          <w:b/>
          <w:color w:val="auto"/>
        </w:rPr>
        <w:t>l</w:t>
      </w:r>
      <w:r w:rsidRPr="00FB0850">
        <w:rPr>
          <w:b/>
          <w:color w:val="auto"/>
        </w:rPr>
        <w:t>e</w:t>
      </w:r>
      <w:r w:rsidR="00DF747C" w:rsidRPr="00FB0850">
        <w:rPr>
          <w:b/>
          <w:color w:val="auto"/>
        </w:rPr>
        <w:t>s</w:t>
      </w:r>
      <w:r w:rsidRPr="00FB0850">
        <w:rPr>
          <w:b/>
          <w:color w:val="auto"/>
        </w:rPr>
        <w:t xml:space="preserve"> </w:t>
      </w:r>
      <w:r w:rsidR="00DF747C" w:rsidRPr="00FB0850">
        <w:rPr>
          <w:b/>
          <w:color w:val="auto"/>
        </w:rPr>
        <w:t>éléments d</w:t>
      </w:r>
      <w:r w:rsidR="00ED7246" w:rsidRPr="00FB0850">
        <w:rPr>
          <w:b/>
          <w:color w:val="auto"/>
        </w:rPr>
        <w:t>’</w:t>
      </w:r>
      <w:r w:rsidR="00DF747C" w:rsidRPr="00FB0850">
        <w:rPr>
          <w:b/>
          <w:color w:val="auto"/>
        </w:rPr>
        <w:t>information sur la gestion des risques dans</w:t>
      </w:r>
      <w:r w:rsidR="00ED7246" w:rsidRPr="00FB0850">
        <w:rPr>
          <w:b/>
          <w:color w:val="auto"/>
        </w:rPr>
        <w:t xml:space="preserve"> le SCI</w:t>
      </w:r>
      <w:r w:rsidR="0008189B" w:rsidRPr="00FB0850">
        <w:rPr>
          <w:b/>
          <w:color w:val="auto"/>
        </w:rPr>
        <w:t>,</w:t>
      </w:r>
      <w:r w:rsidRPr="00FB0850">
        <w:rPr>
          <w:b/>
          <w:color w:val="auto"/>
        </w:rPr>
        <w:t xml:space="preserve"> </w:t>
      </w:r>
      <w:r w:rsidR="00DF747C" w:rsidRPr="00FB0850">
        <w:rPr>
          <w:b/>
          <w:color w:val="auto"/>
        </w:rPr>
        <w:t>afin de fournir davantage d</w:t>
      </w:r>
      <w:r w:rsidR="00ED7246" w:rsidRPr="00FB0850">
        <w:rPr>
          <w:b/>
          <w:color w:val="auto"/>
        </w:rPr>
        <w:t>’</w:t>
      </w:r>
      <w:r w:rsidRPr="00FB0850">
        <w:rPr>
          <w:b/>
          <w:color w:val="auto"/>
        </w:rPr>
        <w:t>information</w:t>
      </w:r>
      <w:r w:rsidR="00DF747C" w:rsidRPr="00FB0850">
        <w:rPr>
          <w:b/>
          <w:color w:val="auto"/>
        </w:rPr>
        <w:t>s</w:t>
      </w:r>
      <w:r w:rsidRPr="00FB0850">
        <w:rPr>
          <w:b/>
          <w:color w:val="auto"/>
        </w:rPr>
        <w:t xml:space="preserve"> </w:t>
      </w:r>
      <w:r w:rsidR="00C541F2" w:rsidRPr="00FB0850">
        <w:rPr>
          <w:b/>
          <w:color w:val="auto"/>
        </w:rPr>
        <w:t>sur la gestion des risques propre de l</w:t>
      </w:r>
      <w:r w:rsidR="00ED7246" w:rsidRPr="00FB0850">
        <w:rPr>
          <w:b/>
          <w:color w:val="auto"/>
        </w:rPr>
        <w:t>’</w:t>
      </w:r>
      <w:r w:rsidRPr="00FB0850">
        <w:rPr>
          <w:b/>
          <w:color w:val="auto"/>
        </w:rPr>
        <w:t>UPOV</w:t>
      </w:r>
      <w:r w:rsidR="00C541F2" w:rsidRPr="00FB0850">
        <w:rPr>
          <w:b/>
          <w:color w:val="auto"/>
        </w:rPr>
        <w:t xml:space="preserve"> et sur les risques opérationnels auxquel</w:t>
      </w:r>
      <w:r w:rsidRPr="00FB0850">
        <w:rPr>
          <w:b/>
          <w:color w:val="auto"/>
        </w:rPr>
        <w:t xml:space="preserve">s </w:t>
      </w:r>
      <w:r w:rsidR="00C541F2" w:rsidRPr="00FB0850">
        <w:rPr>
          <w:b/>
          <w:color w:val="auto"/>
        </w:rPr>
        <w:t>l</w:t>
      </w:r>
      <w:r w:rsidR="00ED7246" w:rsidRPr="00FB0850">
        <w:rPr>
          <w:b/>
          <w:color w:val="auto"/>
        </w:rPr>
        <w:t>’</w:t>
      </w:r>
      <w:r w:rsidR="00C541F2" w:rsidRPr="00FB0850">
        <w:rPr>
          <w:b/>
          <w:color w:val="auto"/>
        </w:rPr>
        <w:t>UPOV fait face</w:t>
      </w:r>
      <w:r w:rsidRPr="00FB0850">
        <w:rPr>
          <w:b/>
          <w:color w:val="auto"/>
        </w:rPr>
        <w:t>.</w:t>
      </w:r>
    </w:p>
    <w:p w:rsidR="00CA3696" w:rsidRPr="00FB0850" w:rsidRDefault="00A67A44" w:rsidP="00F24F3F">
      <w:pPr>
        <w:pStyle w:val="Heading2"/>
        <w:rPr>
          <w:lang w:val="fr-FR"/>
        </w:rPr>
      </w:pPr>
      <w:bookmarkStart w:id="10" w:name="_Toc14355938"/>
      <w:r w:rsidRPr="00FB0850">
        <w:rPr>
          <w:lang w:val="fr-FR"/>
        </w:rPr>
        <w:t>Commentaires financiers</w:t>
      </w:r>
      <w:bookmarkEnd w:id="10"/>
    </w:p>
    <w:p w:rsidR="00CA3696" w:rsidRPr="00FB0850" w:rsidRDefault="00C541F2" w:rsidP="00F24F3F">
      <w:pPr>
        <w:pStyle w:val="Heading3"/>
        <w:rPr>
          <w:lang w:val="fr-FR"/>
        </w:rPr>
      </w:pPr>
      <w:r w:rsidRPr="00FB0850">
        <w:rPr>
          <w:lang w:val="fr-FR"/>
        </w:rPr>
        <w:t>P</w:t>
      </w:r>
      <w:r w:rsidR="00E124B9" w:rsidRPr="00FB0850">
        <w:rPr>
          <w:lang w:val="fr-FR"/>
        </w:rPr>
        <w:t>erformance</w:t>
      </w:r>
      <w:r w:rsidRPr="00FB0850">
        <w:rPr>
          <w:lang w:val="fr-FR"/>
        </w:rPr>
        <w:t xml:space="preserve"> budgétaire</w:t>
      </w:r>
    </w:p>
    <w:p w:rsidR="00ED7246" w:rsidRPr="00FB0850" w:rsidRDefault="00C541F2" w:rsidP="00F24F3F">
      <w:pPr>
        <w:pStyle w:val="Number1"/>
        <w:numPr>
          <w:ilvl w:val="1"/>
          <w:numId w:val="3"/>
        </w:numPr>
        <w:ind w:left="1701" w:firstLine="0"/>
        <w:jc w:val="both"/>
        <w:rPr>
          <w:color w:val="auto"/>
        </w:rPr>
      </w:pPr>
      <w:r w:rsidRPr="00FB0850">
        <w:rPr>
          <w:color w:val="auto"/>
        </w:rPr>
        <w:t>L</w:t>
      </w:r>
      <w:r w:rsidR="00ED7246" w:rsidRPr="00FB0850">
        <w:rPr>
          <w:color w:val="auto"/>
        </w:rPr>
        <w:t>’</w:t>
      </w:r>
      <w:r w:rsidRPr="00FB0850">
        <w:rPr>
          <w:color w:val="auto"/>
        </w:rPr>
        <w:t xml:space="preserve">exercice financier </w:t>
      </w:r>
      <w:r w:rsidR="00E124B9" w:rsidRPr="00FB0850">
        <w:rPr>
          <w:color w:val="auto"/>
        </w:rPr>
        <w:t xml:space="preserve">2018 </w:t>
      </w:r>
      <w:r w:rsidRPr="00FB0850">
        <w:rPr>
          <w:color w:val="auto"/>
        </w:rPr>
        <w:t xml:space="preserve">est la première année du budget de programme </w:t>
      </w:r>
      <w:r w:rsidR="00ED7246" w:rsidRPr="00FB0850">
        <w:rPr>
          <w:color w:val="auto"/>
        </w:rPr>
        <w:t>biennal 2018-</w:t>
      </w:r>
      <w:r w:rsidR="00E124B9" w:rsidRPr="00FB0850">
        <w:rPr>
          <w:color w:val="auto"/>
        </w:rPr>
        <w:t xml:space="preserve">2019. </w:t>
      </w:r>
      <w:r w:rsidR="00114591" w:rsidRPr="00FB0850">
        <w:rPr>
          <w:color w:val="auto"/>
        </w:rPr>
        <w:t xml:space="preserve"> </w:t>
      </w:r>
      <w:r w:rsidRPr="00FB0850">
        <w:rPr>
          <w:color w:val="auto"/>
        </w:rPr>
        <w:t>Le budget approuvé de l</w:t>
      </w:r>
      <w:r w:rsidR="00ED7246" w:rsidRPr="00FB0850">
        <w:rPr>
          <w:color w:val="auto"/>
        </w:rPr>
        <w:t>’</w:t>
      </w:r>
      <w:r w:rsidR="00E124B9" w:rsidRPr="00FB0850">
        <w:rPr>
          <w:color w:val="auto"/>
        </w:rPr>
        <w:t xml:space="preserve">UPOV </w:t>
      </w:r>
      <w:r w:rsidRPr="00FB0850">
        <w:rPr>
          <w:color w:val="auto"/>
        </w:rPr>
        <w:t xml:space="preserve">est établi </w:t>
      </w:r>
      <w:r w:rsidR="00834ABC" w:rsidRPr="00FB0850">
        <w:rPr>
          <w:color w:val="auto"/>
        </w:rPr>
        <w:t>selo</w:t>
      </w:r>
      <w:r w:rsidR="00FB0850">
        <w:rPr>
          <w:color w:val="auto"/>
        </w:rPr>
        <w:t xml:space="preserve">n la méthode de la comptabilité </w:t>
      </w:r>
      <w:r w:rsidR="00834ABC" w:rsidRPr="00FB0850">
        <w:rPr>
          <w:color w:val="auto"/>
        </w:rPr>
        <w:t>d</w:t>
      </w:r>
      <w:r w:rsidR="00ED7246" w:rsidRPr="00FB0850">
        <w:rPr>
          <w:color w:val="auto"/>
        </w:rPr>
        <w:t>’</w:t>
      </w:r>
      <w:r w:rsidR="00834ABC" w:rsidRPr="00FB0850">
        <w:rPr>
          <w:color w:val="auto"/>
        </w:rPr>
        <w:t>exercice modifiée</w:t>
      </w:r>
      <w:r w:rsidR="00E124B9" w:rsidRPr="00FB0850">
        <w:rPr>
          <w:color w:val="auto"/>
        </w:rPr>
        <w:t xml:space="preserve">, </w:t>
      </w:r>
      <w:r w:rsidR="00834ABC" w:rsidRPr="00FB0850">
        <w:rPr>
          <w:color w:val="auto"/>
        </w:rPr>
        <w:t>ce qui veut dire que l</w:t>
      </w:r>
      <w:r w:rsidR="00E124B9" w:rsidRPr="00FB0850">
        <w:rPr>
          <w:color w:val="auto"/>
        </w:rPr>
        <w:t xml:space="preserve">e budget </w:t>
      </w:r>
      <w:r w:rsidR="00834ABC" w:rsidRPr="00FB0850">
        <w:rPr>
          <w:color w:val="auto"/>
        </w:rPr>
        <w:t>et les états financiers sont présentés selon deux méthodes différent</w:t>
      </w:r>
      <w:r w:rsidR="002A21D7" w:rsidRPr="00FB0850">
        <w:rPr>
          <w:color w:val="auto"/>
        </w:rPr>
        <w:t>es.  En</w:t>
      </w:r>
      <w:r w:rsidR="00834ABC" w:rsidRPr="00FB0850">
        <w:rPr>
          <w:color w:val="auto"/>
        </w:rPr>
        <w:t xml:space="preserve"> conséquence, la </w:t>
      </w:r>
      <w:r w:rsidR="00E124B9" w:rsidRPr="00FB0850">
        <w:rPr>
          <w:color w:val="auto"/>
        </w:rPr>
        <w:t xml:space="preserve">Note 13 </w:t>
      </w:r>
      <w:r w:rsidR="00834ABC" w:rsidRPr="00FB0850">
        <w:rPr>
          <w:color w:val="auto"/>
        </w:rPr>
        <w:t>des états financiers</w:t>
      </w:r>
      <w:r w:rsidR="00E124B9" w:rsidRPr="00FB0850">
        <w:rPr>
          <w:color w:val="auto"/>
        </w:rPr>
        <w:t xml:space="preserve"> </w:t>
      </w:r>
      <w:r w:rsidR="00834ABC" w:rsidRPr="00FB0850">
        <w:rPr>
          <w:color w:val="auto"/>
        </w:rPr>
        <w:t>fournit une ré</w:t>
      </w:r>
      <w:r w:rsidR="00E124B9" w:rsidRPr="00FB0850">
        <w:rPr>
          <w:color w:val="auto"/>
        </w:rPr>
        <w:t xml:space="preserve">conciliation </w:t>
      </w:r>
      <w:r w:rsidR="00834ABC" w:rsidRPr="00FB0850">
        <w:rPr>
          <w:color w:val="auto"/>
        </w:rPr>
        <w:t>de l</w:t>
      </w:r>
      <w:r w:rsidR="00ED7246" w:rsidRPr="00FB0850">
        <w:rPr>
          <w:color w:val="auto"/>
        </w:rPr>
        <w:t>’</w:t>
      </w:r>
      <w:r w:rsidR="00834ABC" w:rsidRPr="00FB0850">
        <w:rPr>
          <w:color w:val="auto"/>
        </w:rPr>
        <w:t xml:space="preserve">état de comparaison </w:t>
      </w:r>
      <w:r w:rsidR="00E124B9" w:rsidRPr="00FB0850">
        <w:rPr>
          <w:color w:val="auto"/>
        </w:rPr>
        <w:t>budg</w:t>
      </w:r>
      <w:r w:rsidR="00834ABC" w:rsidRPr="00FB0850">
        <w:rPr>
          <w:color w:val="auto"/>
        </w:rPr>
        <w:t>étaire</w:t>
      </w:r>
      <w:r w:rsidR="00E124B9" w:rsidRPr="00FB0850">
        <w:rPr>
          <w:color w:val="auto"/>
        </w:rPr>
        <w:t xml:space="preserve"> (</w:t>
      </w:r>
      <w:r w:rsidR="00834ABC" w:rsidRPr="00FB0850">
        <w:rPr>
          <w:color w:val="auto"/>
        </w:rPr>
        <w:t>état</w:t>
      </w:r>
      <w:r w:rsidR="00E124B9" w:rsidRPr="00FB0850">
        <w:rPr>
          <w:color w:val="auto"/>
        </w:rPr>
        <w:t xml:space="preserve"> V) </w:t>
      </w:r>
      <w:r w:rsidR="00834ABC" w:rsidRPr="00FB0850">
        <w:rPr>
          <w:color w:val="auto"/>
        </w:rPr>
        <w:t>et de l</w:t>
      </w:r>
      <w:r w:rsidR="00ED7246" w:rsidRPr="00FB0850">
        <w:rPr>
          <w:color w:val="auto"/>
        </w:rPr>
        <w:t>’</w:t>
      </w:r>
      <w:r w:rsidR="00834ABC" w:rsidRPr="00FB0850">
        <w:rPr>
          <w:color w:val="auto"/>
        </w:rPr>
        <w:t>état de la performance financière</w:t>
      </w:r>
      <w:r w:rsidR="00E124B9" w:rsidRPr="00FB0850">
        <w:rPr>
          <w:color w:val="auto"/>
        </w:rPr>
        <w:t xml:space="preserve"> (</w:t>
      </w:r>
      <w:r w:rsidR="00834ABC" w:rsidRPr="00FB0850">
        <w:rPr>
          <w:color w:val="auto"/>
        </w:rPr>
        <w:t>état</w:t>
      </w:r>
      <w:r w:rsidR="00E124B9" w:rsidRPr="00FB0850">
        <w:rPr>
          <w:color w:val="auto"/>
        </w:rPr>
        <w:t xml:space="preserve"> II).</w:t>
      </w:r>
    </w:p>
    <w:p w:rsidR="00F9008A" w:rsidRPr="00FB0850" w:rsidRDefault="00834ABC" w:rsidP="00F24F3F">
      <w:pPr>
        <w:pStyle w:val="Number1"/>
        <w:numPr>
          <w:ilvl w:val="1"/>
          <w:numId w:val="3"/>
        </w:numPr>
        <w:ind w:left="1701" w:firstLine="0"/>
        <w:jc w:val="both"/>
        <w:rPr>
          <w:color w:val="auto"/>
        </w:rPr>
      </w:pPr>
      <w:r w:rsidRPr="00FB0850">
        <w:rPr>
          <w:color w:val="auto"/>
        </w:rPr>
        <w:t xml:space="preserve">Les budgets originaux et finaux </w:t>
      </w:r>
      <w:r w:rsidR="00ED7246" w:rsidRPr="00FB0850">
        <w:rPr>
          <w:color w:val="auto"/>
        </w:rPr>
        <w:t>pour 2018</w:t>
      </w:r>
      <w:r w:rsidR="00E124B9" w:rsidRPr="00FB0850">
        <w:rPr>
          <w:color w:val="auto"/>
        </w:rPr>
        <w:t xml:space="preserve"> pr</w:t>
      </w:r>
      <w:r w:rsidRPr="00FB0850">
        <w:rPr>
          <w:color w:val="auto"/>
        </w:rPr>
        <w:t>é</w:t>
      </w:r>
      <w:r w:rsidR="00E124B9" w:rsidRPr="00FB0850">
        <w:rPr>
          <w:color w:val="auto"/>
        </w:rPr>
        <w:t>sent</w:t>
      </w:r>
      <w:r w:rsidRPr="00FB0850">
        <w:rPr>
          <w:color w:val="auto"/>
        </w:rPr>
        <w:t xml:space="preserve">ent une situation </w:t>
      </w:r>
      <w:r w:rsidR="00005C77" w:rsidRPr="00FB0850">
        <w:rPr>
          <w:color w:val="auto"/>
        </w:rPr>
        <w:t>d</w:t>
      </w:r>
      <w:r w:rsidR="00ED7246" w:rsidRPr="00FB0850">
        <w:rPr>
          <w:color w:val="auto"/>
        </w:rPr>
        <w:t>’</w:t>
      </w:r>
      <w:r w:rsidR="00005C77" w:rsidRPr="00FB0850">
        <w:rPr>
          <w:color w:val="auto"/>
        </w:rPr>
        <w:t xml:space="preserve">équilibre </w:t>
      </w:r>
      <w:r w:rsidR="0008189B" w:rsidRPr="00FB0850">
        <w:rPr>
          <w:color w:val="auto"/>
        </w:rPr>
        <w:t>pour</w:t>
      </w:r>
      <w:r w:rsidR="00005C77" w:rsidRPr="00FB0850">
        <w:rPr>
          <w:color w:val="auto"/>
        </w:rPr>
        <w:t xml:space="preserve"> l</w:t>
      </w:r>
      <w:r w:rsidR="00ED7246" w:rsidRPr="00FB0850">
        <w:rPr>
          <w:color w:val="auto"/>
        </w:rPr>
        <w:t>’</w:t>
      </w:r>
      <w:r w:rsidR="00E124B9" w:rsidRPr="00FB0850">
        <w:rPr>
          <w:color w:val="auto"/>
        </w:rPr>
        <w:t xml:space="preserve">UPOV, </w:t>
      </w:r>
      <w:r w:rsidR="00005C77" w:rsidRPr="00FB0850">
        <w:rPr>
          <w:color w:val="auto"/>
        </w:rPr>
        <w:t>avec des prévisions de recettes et de dépenses de 3,4</w:t>
      </w:r>
      <w:r w:rsidR="00ED7246" w:rsidRPr="00FB0850">
        <w:rPr>
          <w:color w:val="auto"/>
        </w:rPr>
        <w:t>7 million</w:t>
      </w:r>
      <w:r w:rsidR="00005C77" w:rsidRPr="00FB0850">
        <w:rPr>
          <w:color w:val="auto"/>
        </w:rPr>
        <w:t>s de francs suiss</w:t>
      </w:r>
      <w:r w:rsidR="002A21D7" w:rsidRPr="00FB0850">
        <w:rPr>
          <w:color w:val="auto"/>
        </w:rPr>
        <w:t>es.  Al</w:t>
      </w:r>
      <w:r w:rsidR="00005C77" w:rsidRPr="00FB0850">
        <w:rPr>
          <w:color w:val="auto"/>
        </w:rPr>
        <w:t xml:space="preserve">ors que les recettes </w:t>
      </w:r>
      <w:r w:rsidR="0008189B" w:rsidRPr="00FB0850">
        <w:rPr>
          <w:color w:val="auto"/>
        </w:rPr>
        <w:t xml:space="preserve">ont </w:t>
      </w:r>
      <w:r w:rsidR="00005C77" w:rsidRPr="00FB0850">
        <w:rPr>
          <w:color w:val="auto"/>
        </w:rPr>
        <w:t>ét</w:t>
      </w:r>
      <w:r w:rsidR="0008189B" w:rsidRPr="00FB0850">
        <w:rPr>
          <w:color w:val="auto"/>
        </w:rPr>
        <w:t>é</w:t>
      </w:r>
      <w:r w:rsidR="00005C77" w:rsidRPr="00FB0850">
        <w:rPr>
          <w:color w:val="auto"/>
        </w:rPr>
        <w:t xml:space="preserve"> inférieures de 48</w:t>
      </w:r>
      <w:r w:rsidR="00114591" w:rsidRPr="00FB0850">
        <w:rPr>
          <w:color w:val="auto"/>
        </w:rPr>
        <w:t> </w:t>
      </w:r>
      <w:r w:rsidR="00005C77" w:rsidRPr="00FB0850">
        <w:rPr>
          <w:color w:val="auto"/>
        </w:rPr>
        <w:t>00</w:t>
      </w:r>
      <w:r w:rsidR="00ED7246" w:rsidRPr="00FB0850">
        <w:rPr>
          <w:color w:val="auto"/>
        </w:rPr>
        <w:t>0 franc</w:t>
      </w:r>
      <w:r w:rsidR="00005C77" w:rsidRPr="00FB0850">
        <w:rPr>
          <w:color w:val="auto"/>
        </w:rPr>
        <w:t xml:space="preserve">s suisses aux montants inscrits au </w:t>
      </w:r>
      <w:r w:rsidR="00E124B9" w:rsidRPr="00FB0850">
        <w:rPr>
          <w:color w:val="auto"/>
        </w:rPr>
        <w:t xml:space="preserve">budget, </w:t>
      </w:r>
      <w:r w:rsidR="00005C77" w:rsidRPr="00FB0850">
        <w:rPr>
          <w:color w:val="auto"/>
        </w:rPr>
        <w:t>l</w:t>
      </w:r>
      <w:r w:rsidR="00ED7246" w:rsidRPr="00FB0850">
        <w:rPr>
          <w:color w:val="auto"/>
        </w:rPr>
        <w:t>’</w:t>
      </w:r>
      <w:r w:rsidR="00E124B9" w:rsidRPr="00FB0850">
        <w:rPr>
          <w:color w:val="auto"/>
        </w:rPr>
        <w:t xml:space="preserve">UPOV </w:t>
      </w:r>
      <w:r w:rsidR="00005C77" w:rsidRPr="00FB0850">
        <w:rPr>
          <w:color w:val="auto"/>
        </w:rPr>
        <w:t>a enregistré un excédent budgétaire de 67</w:t>
      </w:r>
      <w:r w:rsidR="00114591" w:rsidRPr="00FB0850">
        <w:rPr>
          <w:color w:val="auto"/>
        </w:rPr>
        <w:t> </w:t>
      </w:r>
      <w:r w:rsidR="00005C77" w:rsidRPr="00FB0850">
        <w:rPr>
          <w:color w:val="auto"/>
        </w:rPr>
        <w:t>00</w:t>
      </w:r>
      <w:r w:rsidR="00ED7246" w:rsidRPr="00FB0850">
        <w:rPr>
          <w:color w:val="auto"/>
        </w:rPr>
        <w:t>0 franc</w:t>
      </w:r>
      <w:r w:rsidR="00005C77" w:rsidRPr="00FB0850">
        <w:rPr>
          <w:color w:val="auto"/>
        </w:rPr>
        <w:t xml:space="preserve">s suisses </w:t>
      </w:r>
      <w:r w:rsidR="0008189B" w:rsidRPr="00FB0850">
        <w:rPr>
          <w:color w:val="auto"/>
        </w:rPr>
        <w:t>du fait que l</w:t>
      </w:r>
      <w:r w:rsidR="00005C77" w:rsidRPr="00FB0850">
        <w:rPr>
          <w:color w:val="auto"/>
        </w:rPr>
        <w:t xml:space="preserve">e montant des dépenses </w:t>
      </w:r>
      <w:r w:rsidR="0008189B" w:rsidRPr="00FB0850">
        <w:rPr>
          <w:color w:val="auto"/>
        </w:rPr>
        <w:t xml:space="preserve">a été </w:t>
      </w:r>
      <w:r w:rsidR="00005C77" w:rsidRPr="00FB0850">
        <w:rPr>
          <w:color w:val="auto"/>
        </w:rPr>
        <w:t>inférieur de 115</w:t>
      </w:r>
      <w:r w:rsidR="00114591" w:rsidRPr="00FB0850">
        <w:rPr>
          <w:color w:val="auto"/>
        </w:rPr>
        <w:t> </w:t>
      </w:r>
      <w:r w:rsidR="00005C77" w:rsidRPr="00FB0850">
        <w:rPr>
          <w:color w:val="auto"/>
        </w:rPr>
        <w:t>00</w:t>
      </w:r>
      <w:r w:rsidR="00ED7246" w:rsidRPr="00FB0850">
        <w:rPr>
          <w:color w:val="auto"/>
        </w:rPr>
        <w:t>0 franc</w:t>
      </w:r>
      <w:r w:rsidR="00005C77" w:rsidRPr="00FB0850">
        <w:rPr>
          <w:color w:val="auto"/>
        </w:rPr>
        <w:t>s suisses</w:t>
      </w:r>
      <w:r w:rsidR="00D0021D" w:rsidRPr="00FB0850">
        <w:rPr>
          <w:color w:val="auto"/>
        </w:rPr>
        <w:t xml:space="preserve"> par rapport aux montants inscrits au budg</w:t>
      </w:r>
      <w:r w:rsidR="002A21D7" w:rsidRPr="00FB0850">
        <w:rPr>
          <w:color w:val="auto"/>
        </w:rPr>
        <w:t>et.  La</w:t>
      </w:r>
      <w:r w:rsidR="00D0021D" w:rsidRPr="00FB0850">
        <w:rPr>
          <w:color w:val="auto"/>
        </w:rPr>
        <w:t xml:space="preserve"> performance financière de l</w:t>
      </w:r>
      <w:r w:rsidR="00ED7246" w:rsidRPr="00FB0850">
        <w:rPr>
          <w:color w:val="auto"/>
        </w:rPr>
        <w:t>’</w:t>
      </w:r>
      <w:r w:rsidR="00E124B9" w:rsidRPr="00FB0850">
        <w:rPr>
          <w:color w:val="auto"/>
        </w:rPr>
        <w:t>UPOV</w:t>
      </w:r>
      <w:r w:rsidR="00D0021D" w:rsidRPr="00FB0850">
        <w:rPr>
          <w:color w:val="auto"/>
        </w:rPr>
        <w:t xml:space="preserve"> </w:t>
      </w:r>
      <w:r w:rsidR="00ED7246" w:rsidRPr="00FB0850">
        <w:rPr>
          <w:color w:val="auto"/>
        </w:rPr>
        <w:t>en 2018</w:t>
      </w:r>
      <w:r w:rsidR="00E124B9" w:rsidRPr="00FB0850">
        <w:rPr>
          <w:color w:val="auto"/>
        </w:rPr>
        <w:t xml:space="preserve"> </w:t>
      </w:r>
      <w:r w:rsidR="00D0021D" w:rsidRPr="00FB0850">
        <w:rPr>
          <w:color w:val="auto"/>
        </w:rPr>
        <w:t>figure au tableau</w:t>
      </w:r>
      <w:r w:rsidR="00114591" w:rsidRPr="00FB0850">
        <w:rPr>
          <w:color w:val="auto"/>
        </w:rPr>
        <w:t> </w:t>
      </w:r>
      <w:r w:rsidR="00E124B9" w:rsidRPr="00FB0850">
        <w:rPr>
          <w:color w:val="auto"/>
        </w:rPr>
        <w:t xml:space="preserve">1 </w:t>
      </w:r>
      <w:r w:rsidR="00D0021D" w:rsidRPr="00FB0850">
        <w:rPr>
          <w:color w:val="auto"/>
        </w:rPr>
        <w:t>ci</w:t>
      </w:r>
      <w:r w:rsidR="00ED7246" w:rsidRPr="00FB0850">
        <w:rPr>
          <w:color w:val="auto"/>
        </w:rPr>
        <w:t>-</w:t>
      </w:r>
      <w:r w:rsidR="00D0021D" w:rsidRPr="00FB0850">
        <w:rPr>
          <w:color w:val="auto"/>
        </w:rPr>
        <w:t>dessous</w:t>
      </w:r>
      <w:r w:rsidR="00ED7246" w:rsidRPr="00FB0850">
        <w:rPr>
          <w:color w:val="auto"/>
        </w:rPr>
        <w:t> :</w:t>
      </w:r>
      <w:r w:rsidR="00E124B9" w:rsidRPr="00FB0850">
        <w:rPr>
          <w:color w:val="auto"/>
        </w:rPr>
        <w:t xml:space="preserve"> </w:t>
      </w:r>
    </w:p>
    <w:tbl>
      <w:tblPr>
        <w:tblW w:w="7938" w:type="dxa"/>
        <w:tblInd w:w="1701" w:type="dxa"/>
        <w:tblBorders>
          <w:top w:val="single" w:sz="4" w:space="0" w:color="auto"/>
          <w:bottom w:val="single" w:sz="4" w:space="0" w:color="auto"/>
        </w:tblBorders>
        <w:tblCellMar>
          <w:top w:w="57" w:type="dxa"/>
          <w:bottom w:w="57" w:type="dxa"/>
        </w:tblCellMar>
        <w:tblLook w:val="0600" w:firstRow="0" w:lastRow="0" w:firstColumn="0" w:lastColumn="0" w:noHBand="1" w:noVBand="1"/>
      </w:tblPr>
      <w:tblGrid>
        <w:gridCol w:w="1611"/>
        <w:gridCol w:w="1545"/>
        <w:gridCol w:w="1572"/>
        <w:gridCol w:w="1845"/>
        <w:gridCol w:w="1365"/>
      </w:tblGrid>
      <w:tr w:rsidR="000222D6" w:rsidRPr="00FB0850" w:rsidTr="00F24F3F">
        <w:tc>
          <w:tcPr>
            <w:tcW w:w="9639" w:type="dxa"/>
            <w:gridSpan w:val="5"/>
            <w:shd w:val="clear" w:color="auto" w:fill="auto"/>
          </w:tcPr>
          <w:p w:rsidR="00E124B9" w:rsidRPr="00FB0850" w:rsidRDefault="00CA3696" w:rsidP="00FB0850">
            <w:pPr>
              <w:spacing w:line="280" w:lineRule="atLeast"/>
              <w:rPr>
                <w:b/>
                <w:sz w:val="18"/>
                <w:lang w:eastAsia="en-GB"/>
              </w:rPr>
            </w:pPr>
            <w:r w:rsidRPr="00FB0850">
              <w:rPr>
                <w:b/>
                <w:sz w:val="18"/>
                <w:lang w:eastAsia="en-GB"/>
              </w:rPr>
              <w:t>Figure</w:t>
            </w:r>
            <w:r w:rsidR="00114591" w:rsidRPr="00FB0850">
              <w:rPr>
                <w:b/>
                <w:sz w:val="18"/>
                <w:lang w:eastAsia="en-GB"/>
              </w:rPr>
              <w:t> </w:t>
            </w:r>
            <w:r w:rsidRPr="00FB0850">
              <w:rPr>
                <w:b/>
                <w:sz w:val="18"/>
                <w:lang w:eastAsia="en-GB"/>
              </w:rPr>
              <w:t>1</w:t>
            </w:r>
            <w:r w:rsidR="00E124B9" w:rsidRPr="00FB0850">
              <w:rPr>
                <w:b/>
                <w:sz w:val="18"/>
                <w:lang w:eastAsia="en-GB"/>
              </w:rPr>
              <w:t xml:space="preserve"> </w:t>
            </w:r>
          </w:p>
        </w:tc>
      </w:tr>
      <w:tr w:rsidR="000222D6" w:rsidRPr="00FB0850" w:rsidTr="00F24F3F">
        <w:tc>
          <w:tcPr>
            <w:tcW w:w="9639" w:type="dxa"/>
            <w:gridSpan w:val="5"/>
            <w:shd w:val="clear" w:color="auto" w:fill="auto"/>
          </w:tcPr>
          <w:p w:rsidR="00E124B9" w:rsidRPr="00FB0850" w:rsidRDefault="00E124B9" w:rsidP="00FB0850">
            <w:pPr>
              <w:spacing w:line="280" w:lineRule="atLeast"/>
              <w:rPr>
                <w:sz w:val="18"/>
                <w:lang w:eastAsia="en-GB"/>
              </w:rPr>
            </w:pPr>
            <w:r w:rsidRPr="00FB0850">
              <w:rPr>
                <w:sz w:val="18"/>
                <w:lang w:eastAsia="en-GB"/>
              </w:rPr>
              <w:t xml:space="preserve">2018 </w:t>
            </w:r>
            <w:r w:rsidR="00BA60E9" w:rsidRPr="00FB0850">
              <w:rPr>
                <w:sz w:val="18"/>
                <w:lang w:eastAsia="en-GB"/>
              </w:rPr>
              <w:t>Performance budgétaire 2018 de l</w:t>
            </w:r>
            <w:r w:rsidR="00ED7246" w:rsidRPr="00FB0850">
              <w:rPr>
                <w:sz w:val="18"/>
                <w:lang w:eastAsia="en-GB"/>
              </w:rPr>
              <w:t>’</w:t>
            </w:r>
            <w:r w:rsidR="00BA60E9" w:rsidRPr="00FB0850">
              <w:rPr>
                <w:sz w:val="18"/>
                <w:lang w:eastAsia="en-GB"/>
              </w:rPr>
              <w:t>UPOV (en milliers de francs suisses)</w:t>
            </w:r>
          </w:p>
        </w:tc>
      </w:tr>
      <w:tr w:rsidR="000222D6" w:rsidRPr="00FB0850" w:rsidTr="00F24F3F">
        <w:tc>
          <w:tcPr>
            <w:tcW w:w="1927" w:type="dxa"/>
            <w:shd w:val="clear" w:color="auto" w:fill="auto"/>
          </w:tcPr>
          <w:p w:rsidR="00E124B9" w:rsidRPr="00FB0850" w:rsidRDefault="00E124B9" w:rsidP="00F24F3F">
            <w:pPr>
              <w:pStyle w:val="ColumnHeading"/>
              <w:spacing w:before="0" w:after="0"/>
              <w:rPr>
                <w:color w:val="auto"/>
                <w:lang w:val="fr-FR" w:eastAsia="en-GB"/>
              </w:rPr>
            </w:pPr>
          </w:p>
        </w:tc>
        <w:tc>
          <w:tcPr>
            <w:tcW w:w="1928" w:type="dxa"/>
            <w:shd w:val="clear" w:color="auto" w:fill="auto"/>
          </w:tcPr>
          <w:p w:rsidR="00E124B9" w:rsidRPr="00FB0850" w:rsidRDefault="00E124B9" w:rsidP="00F24F3F">
            <w:pPr>
              <w:pStyle w:val="ColumnHeading"/>
              <w:spacing w:before="0" w:after="0"/>
              <w:jc w:val="center"/>
              <w:rPr>
                <w:color w:val="auto"/>
                <w:lang w:val="fr-FR" w:eastAsia="en-GB"/>
              </w:rPr>
            </w:pPr>
            <w:r w:rsidRPr="00FB0850">
              <w:rPr>
                <w:color w:val="auto"/>
                <w:lang w:val="fr-FR" w:eastAsia="en-GB"/>
              </w:rPr>
              <w:t>Budget</w:t>
            </w:r>
          </w:p>
        </w:tc>
        <w:tc>
          <w:tcPr>
            <w:tcW w:w="1928" w:type="dxa"/>
            <w:shd w:val="clear" w:color="auto" w:fill="auto"/>
          </w:tcPr>
          <w:p w:rsidR="00E124B9" w:rsidRPr="00FB0850" w:rsidRDefault="00BA60E9" w:rsidP="00F24F3F">
            <w:pPr>
              <w:pStyle w:val="ColumnHeading"/>
              <w:spacing w:before="0" w:after="0"/>
              <w:jc w:val="center"/>
              <w:rPr>
                <w:color w:val="auto"/>
                <w:lang w:val="fr-FR" w:eastAsia="en-GB"/>
              </w:rPr>
            </w:pPr>
            <w:r w:rsidRPr="00FB0850">
              <w:rPr>
                <w:color w:val="auto"/>
                <w:lang w:val="fr-FR" w:eastAsia="en-GB"/>
              </w:rPr>
              <w:t>Résultat</w:t>
            </w:r>
          </w:p>
        </w:tc>
        <w:tc>
          <w:tcPr>
            <w:tcW w:w="1928" w:type="dxa"/>
            <w:shd w:val="clear" w:color="auto" w:fill="auto"/>
          </w:tcPr>
          <w:p w:rsidR="00E124B9" w:rsidRPr="00FB0850" w:rsidRDefault="00E124B9" w:rsidP="00F24F3F">
            <w:pPr>
              <w:pStyle w:val="ColumnHeading"/>
              <w:spacing w:before="0" w:after="0"/>
              <w:jc w:val="center"/>
              <w:rPr>
                <w:color w:val="auto"/>
                <w:lang w:val="fr-FR" w:eastAsia="en-GB"/>
              </w:rPr>
            </w:pPr>
            <w:r w:rsidRPr="00FB0850">
              <w:rPr>
                <w:color w:val="auto"/>
                <w:lang w:val="fr-FR" w:eastAsia="en-GB"/>
              </w:rPr>
              <w:t>(Exc</w:t>
            </w:r>
            <w:r w:rsidR="00BA60E9" w:rsidRPr="00FB0850">
              <w:rPr>
                <w:color w:val="auto"/>
                <w:lang w:val="fr-FR" w:eastAsia="en-GB"/>
              </w:rPr>
              <w:t>édent</w:t>
            </w:r>
            <w:r w:rsidRPr="00FB0850">
              <w:rPr>
                <w:color w:val="auto"/>
                <w:lang w:val="fr-FR" w:eastAsia="en-GB"/>
              </w:rPr>
              <w:t>)/Surplus</w:t>
            </w:r>
          </w:p>
        </w:tc>
        <w:tc>
          <w:tcPr>
            <w:tcW w:w="1928" w:type="dxa"/>
            <w:shd w:val="clear" w:color="auto" w:fill="auto"/>
          </w:tcPr>
          <w:p w:rsidR="00E124B9" w:rsidRPr="00FB0850" w:rsidRDefault="00E124B9" w:rsidP="00F24F3F">
            <w:pPr>
              <w:pStyle w:val="ColumnHeading"/>
              <w:spacing w:before="0" w:after="0"/>
              <w:rPr>
                <w:color w:val="auto"/>
                <w:lang w:val="fr-FR" w:eastAsia="en-GB"/>
              </w:rPr>
            </w:pPr>
          </w:p>
        </w:tc>
      </w:tr>
      <w:tr w:rsidR="000222D6" w:rsidRPr="00FB0850" w:rsidTr="00F24F3F">
        <w:tc>
          <w:tcPr>
            <w:tcW w:w="1927" w:type="dxa"/>
            <w:shd w:val="clear" w:color="auto" w:fill="auto"/>
          </w:tcPr>
          <w:p w:rsidR="00E124B9" w:rsidRPr="00FB0850" w:rsidRDefault="00BA60E9" w:rsidP="00F24F3F">
            <w:pPr>
              <w:pStyle w:val="Figuretext"/>
              <w:spacing w:before="0" w:after="0"/>
              <w:rPr>
                <w:b/>
                <w:color w:val="auto"/>
                <w:lang w:val="fr-FR" w:eastAsia="en-GB"/>
              </w:rPr>
            </w:pPr>
            <w:r w:rsidRPr="00FB0850">
              <w:rPr>
                <w:b/>
                <w:color w:val="auto"/>
                <w:lang w:val="fr-FR" w:eastAsia="en-GB"/>
              </w:rPr>
              <w:t>Recettes</w:t>
            </w:r>
          </w:p>
        </w:tc>
        <w:tc>
          <w:tcPr>
            <w:tcW w:w="1928" w:type="dxa"/>
            <w:shd w:val="clear" w:color="auto" w:fill="auto"/>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3</w:t>
            </w:r>
            <w:r w:rsidR="00BA60E9" w:rsidRPr="00FB0850">
              <w:rPr>
                <w:color w:val="auto"/>
                <w:lang w:val="fr-FR" w:eastAsia="en-GB"/>
              </w:rPr>
              <w:t xml:space="preserve"> </w:t>
            </w:r>
            <w:r w:rsidRPr="00FB0850">
              <w:rPr>
                <w:color w:val="auto"/>
                <w:lang w:val="fr-FR" w:eastAsia="en-GB"/>
              </w:rPr>
              <w:t>470</w:t>
            </w:r>
          </w:p>
        </w:tc>
        <w:tc>
          <w:tcPr>
            <w:tcW w:w="1928" w:type="dxa"/>
            <w:shd w:val="clear" w:color="auto" w:fill="auto"/>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3</w:t>
            </w:r>
            <w:r w:rsidR="00BA60E9" w:rsidRPr="00FB0850">
              <w:rPr>
                <w:color w:val="auto"/>
                <w:lang w:val="fr-FR" w:eastAsia="en-GB"/>
              </w:rPr>
              <w:t xml:space="preserve"> </w:t>
            </w:r>
            <w:r w:rsidRPr="00FB0850">
              <w:rPr>
                <w:color w:val="auto"/>
                <w:lang w:val="fr-FR" w:eastAsia="en-GB"/>
              </w:rPr>
              <w:t>422</w:t>
            </w:r>
          </w:p>
        </w:tc>
        <w:tc>
          <w:tcPr>
            <w:tcW w:w="1928" w:type="dxa"/>
            <w:shd w:val="clear" w:color="auto" w:fill="auto"/>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(48)</w:t>
            </w:r>
          </w:p>
        </w:tc>
        <w:tc>
          <w:tcPr>
            <w:tcW w:w="1928" w:type="dxa"/>
            <w:shd w:val="clear" w:color="auto" w:fill="auto"/>
          </w:tcPr>
          <w:p w:rsidR="00E124B9" w:rsidRPr="00FB0850" w:rsidRDefault="00E124B9" w:rsidP="00F24F3F">
            <w:pPr>
              <w:pStyle w:val="Figuretext"/>
              <w:spacing w:before="0" w:after="0"/>
              <w:rPr>
                <w:color w:val="auto"/>
                <w:lang w:val="fr-FR" w:eastAsia="en-GB"/>
              </w:rPr>
            </w:pPr>
          </w:p>
        </w:tc>
      </w:tr>
      <w:tr w:rsidR="000222D6" w:rsidRPr="00FB0850" w:rsidTr="00F24F3F">
        <w:tc>
          <w:tcPr>
            <w:tcW w:w="1927" w:type="dxa"/>
            <w:shd w:val="clear" w:color="auto" w:fill="auto"/>
          </w:tcPr>
          <w:p w:rsidR="00E124B9" w:rsidRPr="00FB0850" w:rsidRDefault="00BA60E9" w:rsidP="00F24F3F">
            <w:pPr>
              <w:pStyle w:val="Figuretext"/>
              <w:spacing w:before="0" w:after="0"/>
              <w:rPr>
                <w:b/>
                <w:color w:val="auto"/>
                <w:lang w:val="fr-FR" w:eastAsia="en-GB"/>
              </w:rPr>
            </w:pPr>
            <w:r w:rsidRPr="00FB0850">
              <w:rPr>
                <w:b/>
                <w:color w:val="auto"/>
                <w:lang w:val="fr-FR" w:eastAsia="en-GB"/>
              </w:rPr>
              <w:t>Dépenses</w:t>
            </w:r>
          </w:p>
        </w:tc>
        <w:tc>
          <w:tcPr>
            <w:tcW w:w="1928" w:type="dxa"/>
            <w:shd w:val="clear" w:color="auto" w:fill="auto"/>
          </w:tcPr>
          <w:p w:rsidR="00E124B9" w:rsidRPr="00FB0850" w:rsidRDefault="00E124B9" w:rsidP="00F24F3F">
            <w:pPr>
              <w:pStyle w:val="Figuretext"/>
              <w:spacing w:before="0" w:after="0"/>
              <w:jc w:val="center"/>
              <w:rPr>
                <w:color w:val="auto"/>
                <w:u w:val="single"/>
                <w:lang w:val="fr-FR" w:eastAsia="en-GB"/>
              </w:rPr>
            </w:pPr>
            <w:r w:rsidRPr="00FB0850">
              <w:rPr>
                <w:color w:val="auto"/>
                <w:u w:val="single"/>
                <w:lang w:val="fr-FR" w:eastAsia="en-GB"/>
              </w:rPr>
              <w:t>(3</w:t>
            </w:r>
            <w:r w:rsidR="00BA60E9" w:rsidRPr="00FB0850">
              <w:rPr>
                <w:color w:val="auto"/>
                <w:u w:val="single"/>
                <w:lang w:val="fr-FR" w:eastAsia="en-GB"/>
              </w:rPr>
              <w:t xml:space="preserve"> </w:t>
            </w:r>
            <w:r w:rsidRPr="00FB0850">
              <w:rPr>
                <w:color w:val="auto"/>
                <w:u w:val="single"/>
                <w:lang w:val="fr-FR" w:eastAsia="en-GB"/>
              </w:rPr>
              <w:t>470)</w:t>
            </w:r>
          </w:p>
        </w:tc>
        <w:tc>
          <w:tcPr>
            <w:tcW w:w="1928" w:type="dxa"/>
            <w:shd w:val="clear" w:color="auto" w:fill="auto"/>
          </w:tcPr>
          <w:p w:rsidR="00E124B9" w:rsidRPr="00FB0850" w:rsidRDefault="00E124B9" w:rsidP="00F24F3F">
            <w:pPr>
              <w:pStyle w:val="Figuretext"/>
              <w:spacing w:before="0" w:after="0"/>
              <w:jc w:val="center"/>
              <w:rPr>
                <w:color w:val="auto"/>
                <w:u w:val="single"/>
                <w:lang w:val="fr-FR" w:eastAsia="en-GB"/>
              </w:rPr>
            </w:pPr>
            <w:r w:rsidRPr="00FB0850">
              <w:rPr>
                <w:color w:val="auto"/>
                <w:u w:val="single"/>
                <w:lang w:val="fr-FR" w:eastAsia="en-GB"/>
              </w:rPr>
              <w:t>(3</w:t>
            </w:r>
            <w:r w:rsidR="00BA60E9" w:rsidRPr="00FB0850">
              <w:rPr>
                <w:color w:val="auto"/>
                <w:u w:val="single"/>
                <w:lang w:val="fr-FR" w:eastAsia="en-GB"/>
              </w:rPr>
              <w:t xml:space="preserve"> </w:t>
            </w:r>
            <w:r w:rsidRPr="00FB0850">
              <w:rPr>
                <w:color w:val="auto"/>
                <w:u w:val="single"/>
                <w:lang w:val="fr-FR" w:eastAsia="en-GB"/>
              </w:rPr>
              <w:t>355)</w:t>
            </w:r>
          </w:p>
        </w:tc>
        <w:tc>
          <w:tcPr>
            <w:tcW w:w="1928" w:type="dxa"/>
            <w:shd w:val="clear" w:color="auto" w:fill="auto"/>
          </w:tcPr>
          <w:p w:rsidR="00E124B9" w:rsidRPr="00FB0850" w:rsidRDefault="00E124B9" w:rsidP="00F24F3F">
            <w:pPr>
              <w:pStyle w:val="Figuretext"/>
              <w:spacing w:before="0" w:after="0"/>
              <w:jc w:val="center"/>
              <w:rPr>
                <w:color w:val="auto"/>
                <w:u w:val="single"/>
                <w:lang w:val="fr-FR" w:eastAsia="en-GB"/>
              </w:rPr>
            </w:pPr>
            <w:r w:rsidRPr="00FB0850">
              <w:rPr>
                <w:color w:val="auto"/>
                <w:u w:val="single"/>
                <w:lang w:val="fr-FR" w:eastAsia="en-GB"/>
              </w:rPr>
              <w:t>115</w:t>
            </w:r>
          </w:p>
        </w:tc>
        <w:tc>
          <w:tcPr>
            <w:tcW w:w="1928" w:type="dxa"/>
            <w:shd w:val="clear" w:color="auto" w:fill="auto"/>
          </w:tcPr>
          <w:p w:rsidR="00E124B9" w:rsidRPr="00FB0850" w:rsidRDefault="00E124B9" w:rsidP="00F24F3F">
            <w:pPr>
              <w:pStyle w:val="Figuretext"/>
              <w:spacing w:before="0" w:after="0"/>
              <w:rPr>
                <w:color w:val="auto"/>
                <w:lang w:val="fr-FR" w:eastAsia="en-GB"/>
              </w:rPr>
            </w:pPr>
          </w:p>
        </w:tc>
      </w:tr>
      <w:tr w:rsidR="000222D6" w:rsidRPr="00FB0850" w:rsidTr="00F24F3F">
        <w:tc>
          <w:tcPr>
            <w:tcW w:w="1927" w:type="dxa"/>
            <w:shd w:val="clear" w:color="auto" w:fill="auto"/>
          </w:tcPr>
          <w:p w:rsidR="00E124B9" w:rsidRPr="00FB0850" w:rsidRDefault="00BA60E9" w:rsidP="00F24F3F">
            <w:pPr>
              <w:pStyle w:val="Figuretext"/>
              <w:spacing w:before="0" w:after="0"/>
              <w:rPr>
                <w:rStyle w:val="Bold"/>
                <w:color w:val="auto"/>
                <w:lang w:val="fr-FR" w:eastAsia="en-GB"/>
              </w:rPr>
            </w:pPr>
            <w:r w:rsidRPr="00FB0850">
              <w:rPr>
                <w:rStyle w:val="Bold"/>
                <w:color w:val="auto"/>
                <w:lang w:val="fr-FR" w:eastAsia="en-GB"/>
              </w:rPr>
              <w:t>Résultat net</w:t>
            </w:r>
          </w:p>
        </w:tc>
        <w:tc>
          <w:tcPr>
            <w:tcW w:w="1928" w:type="dxa"/>
            <w:shd w:val="clear" w:color="auto" w:fill="auto"/>
          </w:tcPr>
          <w:p w:rsidR="00E124B9" w:rsidRPr="00FB0850" w:rsidRDefault="00BA60E9" w:rsidP="00F24F3F">
            <w:pPr>
              <w:pStyle w:val="Figuretext"/>
              <w:spacing w:before="0" w:after="0"/>
              <w:jc w:val="center"/>
              <w:rPr>
                <w:color w:val="auto"/>
                <w:lang w:val="fr-FR" w:eastAsia="en-GB"/>
              </w:rPr>
            </w:pPr>
            <w:r w:rsidRPr="00FB0850">
              <w:rPr>
                <w:color w:val="auto"/>
                <w:lang w:val="fr-FR" w:eastAsia="en-GB"/>
              </w:rPr>
              <w:t>0</w:t>
            </w:r>
          </w:p>
        </w:tc>
        <w:tc>
          <w:tcPr>
            <w:tcW w:w="1928" w:type="dxa"/>
            <w:shd w:val="clear" w:color="auto" w:fill="auto"/>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67</w:t>
            </w:r>
          </w:p>
        </w:tc>
        <w:tc>
          <w:tcPr>
            <w:tcW w:w="1928" w:type="dxa"/>
            <w:shd w:val="clear" w:color="auto" w:fill="auto"/>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67</w:t>
            </w:r>
          </w:p>
        </w:tc>
        <w:tc>
          <w:tcPr>
            <w:tcW w:w="1928" w:type="dxa"/>
            <w:shd w:val="clear" w:color="auto" w:fill="auto"/>
          </w:tcPr>
          <w:p w:rsidR="00E124B9" w:rsidRPr="00FB0850" w:rsidRDefault="00E124B9" w:rsidP="00F24F3F">
            <w:pPr>
              <w:pStyle w:val="Figuretext"/>
              <w:spacing w:before="0" w:after="0"/>
              <w:rPr>
                <w:color w:val="auto"/>
                <w:lang w:val="fr-FR" w:eastAsia="en-GB"/>
              </w:rPr>
            </w:pPr>
          </w:p>
        </w:tc>
      </w:tr>
      <w:tr w:rsidR="000222D6" w:rsidRPr="00FB0850" w:rsidTr="00F24F3F">
        <w:tc>
          <w:tcPr>
            <w:tcW w:w="9639" w:type="dxa"/>
            <w:gridSpan w:val="5"/>
            <w:shd w:val="clear" w:color="auto" w:fill="auto"/>
          </w:tcPr>
          <w:p w:rsidR="00E124B9" w:rsidRPr="00FB0850" w:rsidRDefault="00CA3696" w:rsidP="00F24F3F">
            <w:pPr>
              <w:pStyle w:val="Figuretext"/>
              <w:spacing w:before="0" w:after="0"/>
              <w:rPr>
                <w:color w:val="auto"/>
                <w:lang w:val="fr-FR" w:eastAsia="en-GB"/>
              </w:rPr>
            </w:pPr>
            <w:r w:rsidRPr="00FB0850">
              <w:rPr>
                <w:color w:val="auto"/>
                <w:lang w:val="fr-FR" w:eastAsia="en-GB"/>
              </w:rPr>
              <w:t>Source</w:t>
            </w:r>
            <w:r w:rsidR="00ED7246" w:rsidRPr="00FB0850">
              <w:rPr>
                <w:color w:val="auto"/>
                <w:lang w:val="fr-FR" w:eastAsia="en-GB"/>
              </w:rPr>
              <w:t> :</w:t>
            </w:r>
            <w:r w:rsidRPr="00FB0850">
              <w:rPr>
                <w:color w:val="auto"/>
                <w:lang w:val="fr-FR" w:eastAsia="en-GB"/>
              </w:rPr>
              <w:t xml:space="preserve"> États financiers de l</w:t>
            </w:r>
            <w:r w:rsidR="00ED7246" w:rsidRPr="00FB0850">
              <w:rPr>
                <w:color w:val="auto"/>
                <w:lang w:val="fr-FR" w:eastAsia="en-GB"/>
              </w:rPr>
              <w:t>’</w:t>
            </w:r>
            <w:r w:rsidRPr="00FB0850">
              <w:rPr>
                <w:color w:val="auto"/>
                <w:lang w:val="fr-FR" w:eastAsia="en-GB"/>
              </w:rPr>
              <w:t>UPOV après audit</w:t>
            </w:r>
          </w:p>
        </w:tc>
      </w:tr>
    </w:tbl>
    <w:p w:rsidR="00CA3696" w:rsidRPr="00FB0850" w:rsidRDefault="00D0021D" w:rsidP="00F24F3F">
      <w:pPr>
        <w:pStyle w:val="Number1"/>
        <w:numPr>
          <w:ilvl w:val="1"/>
          <w:numId w:val="3"/>
        </w:numPr>
        <w:ind w:left="1701" w:firstLine="0"/>
        <w:jc w:val="both"/>
        <w:rPr>
          <w:color w:val="auto"/>
        </w:rPr>
      </w:pPr>
      <w:r w:rsidRPr="00FB0850">
        <w:rPr>
          <w:color w:val="auto"/>
        </w:rPr>
        <w:t xml:space="preserve">La raison principale </w:t>
      </w:r>
      <w:r w:rsidR="00955312" w:rsidRPr="00FB0850">
        <w:rPr>
          <w:color w:val="auto"/>
        </w:rPr>
        <w:t>d</w:t>
      </w:r>
      <w:r w:rsidRPr="00FB0850">
        <w:rPr>
          <w:color w:val="auto"/>
        </w:rPr>
        <w:t xml:space="preserve">u niveau de dépenses inférieur aux prévisions </w:t>
      </w:r>
      <w:r w:rsidR="00955312" w:rsidRPr="00FB0850">
        <w:rPr>
          <w:color w:val="auto"/>
        </w:rPr>
        <w:t>tient à</w:t>
      </w:r>
      <w:r w:rsidRPr="00FB0850">
        <w:rPr>
          <w:color w:val="auto"/>
        </w:rPr>
        <w:t xml:space="preserve"> la </w:t>
      </w:r>
      <w:r w:rsidR="00E124B9" w:rsidRPr="00FB0850">
        <w:rPr>
          <w:color w:val="auto"/>
        </w:rPr>
        <w:t>r</w:t>
      </w:r>
      <w:r w:rsidRPr="00FB0850">
        <w:rPr>
          <w:color w:val="auto"/>
        </w:rPr>
        <w:t>é</w:t>
      </w:r>
      <w:r w:rsidR="00E124B9" w:rsidRPr="00FB0850">
        <w:rPr>
          <w:color w:val="auto"/>
        </w:rPr>
        <w:t xml:space="preserve">duction </w:t>
      </w:r>
      <w:r w:rsidRPr="00FB0850">
        <w:rPr>
          <w:color w:val="auto"/>
        </w:rPr>
        <w:t>du multiplicateur d</w:t>
      </w:r>
      <w:r w:rsidR="00ED7246" w:rsidRPr="00FB0850">
        <w:rPr>
          <w:color w:val="auto"/>
        </w:rPr>
        <w:t>’</w:t>
      </w:r>
      <w:r w:rsidRPr="00FB0850">
        <w:rPr>
          <w:color w:val="auto"/>
        </w:rPr>
        <w:t xml:space="preserve">ajustement de poste à </w:t>
      </w:r>
      <w:r w:rsidR="00E124B9" w:rsidRPr="00FB0850">
        <w:rPr>
          <w:color w:val="auto"/>
        </w:rPr>
        <w:t>Gen</w:t>
      </w:r>
      <w:r w:rsidRPr="00FB0850">
        <w:rPr>
          <w:color w:val="auto"/>
        </w:rPr>
        <w:t>è</w:t>
      </w:r>
      <w:r w:rsidR="00E124B9" w:rsidRPr="00FB0850">
        <w:rPr>
          <w:color w:val="auto"/>
        </w:rPr>
        <w:t>v</w:t>
      </w:r>
      <w:r w:rsidRPr="00FB0850">
        <w:rPr>
          <w:color w:val="auto"/>
        </w:rPr>
        <w:t>e</w:t>
      </w:r>
      <w:r w:rsidR="00E124B9" w:rsidRPr="00FB0850">
        <w:rPr>
          <w:color w:val="auto"/>
        </w:rPr>
        <w:t xml:space="preserve"> </w:t>
      </w:r>
      <w:r w:rsidRPr="00FB0850">
        <w:rPr>
          <w:color w:val="auto"/>
        </w:rPr>
        <w:t xml:space="preserve">et au recours </w:t>
      </w:r>
      <w:r w:rsidR="0008189B" w:rsidRPr="00FB0850">
        <w:rPr>
          <w:color w:val="auto"/>
        </w:rPr>
        <w:t>à du personnel intérimaire sur l</w:t>
      </w:r>
      <w:r w:rsidR="00ED7246" w:rsidRPr="00FB0850">
        <w:rPr>
          <w:color w:val="auto"/>
        </w:rPr>
        <w:t>’</w:t>
      </w:r>
      <w:r w:rsidR="0008189B" w:rsidRPr="00FB0850">
        <w:rPr>
          <w:color w:val="auto"/>
        </w:rPr>
        <w:t xml:space="preserve">année </w:t>
      </w:r>
      <w:r w:rsidRPr="00FB0850">
        <w:rPr>
          <w:color w:val="auto"/>
        </w:rPr>
        <w:t xml:space="preserve">moins élevé que </w:t>
      </w:r>
      <w:r w:rsidR="00955312" w:rsidRPr="00FB0850">
        <w:rPr>
          <w:color w:val="auto"/>
        </w:rPr>
        <w:t>dans les prévisions</w:t>
      </w:r>
      <w:r w:rsidR="0008189B" w:rsidRPr="00FB0850">
        <w:rPr>
          <w:color w:val="auto"/>
        </w:rPr>
        <w:t>,</w:t>
      </w:r>
      <w:r w:rsidRPr="00FB0850">
        <w:rPr>
          <w:color w:val="auto"/>
        </w:rPr>
        <w:t xml:space="preserve"> </w:t>
      </w:r>
      <w:r w:rsidR="00955312" w:rsidRPr="00FB0850">
        <w:rPr>
          <w:color w:val="auto"/>
        </w:rPr>
        <w:t xml:space="preserve">suite aux </w:t>
      </w:r>
      <w:r w:rsidR="00C253AD" w:rsidRPr="00FB0850">
        <w:rPr>
          <w:color w:val="auto"/>
        </w:rPr>
        <w:t xml:space="preserve">emplois </w:t>
      </w:r>
      <w:r w:rsidR="00955312" w:rsidRPr="00FB0850">
        <w:rPr>
          <w:color w:val="auto"/>
        </w:rPr>
        <w:t xml:space="preserve">qui ont été </w:t>
      </w:r>
      <w:r w:rsidR="00C253AD" w:rsidRPr="00FB0850">
        <w:rPr>
          <w:color w:val="auto"/>
        </w:rPr>
        <w:t xml:space="preserve">pourvus plus tôt que </w:t>
      </w:r>
      <w:r w:rsidR="00955312" w:rsidRPr="00FB0850">
        <w:rPr>
          <w:color w:val="auto"/>
        </w:rPr>
        <w:t>prévu</w:t>
      </w:r>
      <w:r w:rsidR="00E124B9" w:rsidRPr="00FB0850">
        <w:rPr>
          <w:color w:val="auto"/>
        </w:rPr>
        <w:t>.</w:t>
      </w:r>
    </w:p>
    <w:p w:rsidR="00CA3696" w:rsidRPr="00FB0850" w:rsidRDefault="00CA3696" w:rsidP="00F24F3F">
      <w:pPr>
        <w:pStyle w:val="Heading3"/>
        <w:rPr>
          <w:lang w:val="fr-FR"/>
        </w:rPr>
      </w:pPr>
      <w:r w:rsidRPr="00FB0850">
        <w:rPr>
          <w:lang w:val="fr-FR"/>
        </w:rPr>
        <w:t>Performance financière</w:t>
      </w:r>
    </w:p>
    <w:p w:rsidR="00ED7246" w:rsidRPr="00FB0850" w:rsidRDefault="00ED7246" w:rsidP="00F24F3F">
      <w:pPr>
        <w:pStyle w:val="Number1"/>
        <w:numPr>
          <w:ilvl w:val="1"/>
          <w:numId w:val="3"/>
        </w:numPr>
        <w:ind w:left="1701" w:firstLine="0"/>
        <w:jc w:val="both"/>
        <w:rPr>
          <w:color w:val="auto"/>
        </w:rPr>
      </w:pPr>
      <w:r w:rsidRPr="00FB0850">
        <w:rPr>
          <w:color w:val="auto"/>
        </w:rPr>
        <w:t>En 2018</w:t>
      </w:r>
      <w:r w:rsidR="00E124B9" w:rsidRPr="00FB0850">
        <w:rPr>
          <w:color w:val="auto"/>
        </w:rPr>
        <w:t xml:space="preserve">, </w:t>
      </w:r>
      <w:r w:rsidR="00C253AD" w:rsidRPr="00FB0850">
        <w:rPr>
          <w:color w:val="auto"/>
        </w:rPr>
        <w:t>l</w:t>
      </w:r>
      <w:r w:rsidRPr="00FB0850">
        <w:rPr>
          <w:color w:val="auto"/>
        </w:rPr>
        <w:t>’</w:t>
      </w:r>
      <w:r w:rsidR="00E124B9" w:rsidRPr="00FB0850">
        <w:rPr>
          <w:color w:val="auto"/>
        </w:rPr>
        <w:t xml:space="preserve">UPOV </w:t>
      </w:r>
      <w:r w:rsidR="00C253AD" w:rsidRPr="00FB0850">
        <w:rPr>
          <w:color w:val="auto"/>
        </w:rPr>
        <w:t xml:space="preserve">a enregistré un déficit au regard des </w:t>
      </w:r>
      <w:r w:rsidR="00292EA7" w:rsidRPr="00FB0850">
        <w:rPr>
          <w:color w:val="auto"/>
        </w:rPr>
        <w:t>N</w:t>
      </w:r>
      <w:r w:rsidR="00747E8E" w:rsidRPr="00FB0850">
        <w:rPr>
          <w:color w:val="auto"/>
        </w:rPr>
        <w:t>ormes comptables internationales pour le secteur public (</w:t>
      </w:r>
      <w:r w:rsidR="00E124B9" w:rsidRPr="00FB0850">
        <w:rPr>
          <w:color w:val="auto"/>
        </w:rPr>
        <w:t>IPSAS</w:t>
      </w:r>
      <w:r w:rsidR="00747E8E" w:rsidRPr="00FB0850">
        <w:rPr>
          <w:color w:val="auto"/>
        </w:rPr>
        <w:t>)</w:t>
      </w:r>
      <w:r w:rsidR="00E124B9" w:rsidRPr="00FB0850">
        <w:rPr>
          <w:color w:val="auto"/>
        </w:rPr>
        <w:t xml:space="preserve"> </w:t>
      </w:r>
      <w:r w:rsidR="00747E8E" w:rsidRPr="00FB0850">
        <w:rPr>
          <w:color w:val="auto"/>
        </w:rPr>
        <w:t>de 42</w:t>
      </w:r>
      <w:r w:rsidR="00114591" w:rsidRPr="00FB0850">
        <w:rPr>
          <w:color w:val="auto"/>
        </w:rPr>
        <w:t> </w:t>
      </w:r>
      <w:r w:rsidR="00747E8E" w:rsidRPr="00FB0850">
        <w:rPr>
          <w:color w:val="auto"/>
        </w:rPr>
        <w:t>00</w:t>
      </w:r>
      <w:r w:rsidRPr="00FB0850">
        <w:rPr>
          <w:color w:val="auto"/>
        </w:rPr>
        <w:t>0 franc</w:t>
      </w:r>
      <w:r w:rsidR="00005C77" w:rsidRPr="00FB0850">
        <w:rPr>
          <w:color w:val="auto"/>
        </w:rPr>
        <w:t>s suisses</w:t>
      </w:r>
      <w:r w:rsidR="00E124B9" w:rsidRPr="00FB0850">
        <w:rPr>
          <w:color w:val="auto"/>
        </w:rPr>
        <w:t xml:space="preserve"> </w:t>
      </w:r>
      <w:r w:rsidR="00747E8E" w:rsidRPr="00FB0850">
        <w:rPr>
          <w:color w:val="auto"/>
        </w:rPr>
        <w:t>pour l</w:t>
      </w:r>
      <w:r w:rsidRPr="00FB0850">
        <w:rPr>
          <w:color w:val="auto"/>
        </w:rPr>
        <w:t>’</w:t>
      </w:r>
      <w:r w:rsidR="00747E8E" w:rsidRPr="00FB0850">
        <w:rPr>
          <w:color w:val="auto"/>
        </w:rPr>
        <w:t>année</w:t>
      </w:r>
      <w:r w:rsidR="00E124B9" w:rsidRPr="00FB0850">
        <w:rPr>
          <w:color w:val="auto"/>
        </w:rPr>
        <w:t xml:space="preserve"> (2017</w:t>
      </w:r>
      <w:r w:rsidRPr="00FB0850">
        <w:rPr>
          <w:color w:val="auto"/>
        </w:rPr>
        <w:t> :</w:t>
      </w:r>
      <w:r w:rsidR="00E124B9" w:rsidRPr="00FB0850">
        <w:rPr>
          <w:color w:val="auto"/>
        </w:rPr>
        <w:t xml:space="preserve"> d</w:t>
      </w:r>
      <w:r w:rsidR="00747E8E" w:rsidRPr="00FB0850">
        <w:rPr>
          <w:color w:val="auto"/>
        </w:rPr>
        <w:t>é</w:t>
      </w:r>
      <w:r w:rsidR="00E124B9" w:rsidRPr="00FB0850">
        <w:rPr>
          <w:color w:val="auto"/>
        </w:rPr>
        <w:t xml:space="preserve">ficit </w:t>
      </w:r>
      <w:r w:rsidR="00747E8E" w:rsidRPr="00FB0850">
        <w:rPr>
          <w:color w:val="auto"/>
        </w:rPr>
        <w:t xml:space="preserve">de </w:t>
      </w:r>
      <w:r w:rsidR="00E124B9" w:rsidRPr="00FB0850">
        <w:rPr>
          <w:color w:val="auto"/>
        </w:rPr>
        <w:t>290</w:t>
      </w:r>
      <w:r w:rsidR="00114591" w:rsidRPr="00FB0850">
        <w:rPr>
          <w:color w:val="auto"/>
        </w:rPr>
        <w:t> </w:t>
      </w:r>
      <w:r w:rsidR="00E124B9" w:rsidRPr="00FB0850">
        <w:rPr>
          <w:color w:val="auto"/>
        </w:rPr>
        <w:t>00</w:t>
      </w:r>
      <w:r w:rsidRPr="00FB0850">
        <w:rPr>
          <w:color w:val="auto"/>
        </w:rPr>
        <w:t>0 franc</w:t>
      </w:r>
      <w:r w:rsidR="00747E8E" w:rsidRPr="00FB0850">
        <w:rPr>
          <w:color w:val="auto"/>
        </w:rPr>
        <w:t>s suiss</w:t>
      </w:r>
      <w:r w:rsidR="002A21D7" w:rsidRPr="00FB0850">
        <w:rPr>
          <w:color w:val="auto"/>
        </w:rPr>
        <w:t>es).  Ce</w:t>
      </w:r>
      <w:r w:rsidR="00747E8E" w:rsidRPr="00FB0850">
        <w:rPr>
          <w:color w:val="auto"/>
        </w:rPr>
        <w:t xml:space="preserve"> résultat a été compensé par les gains actuariels </w:t>
      </w:r>
      <w:r w:rsidR="00005C77" w:rsidRPr="00FB0850">
        <w:rPr>
          <w:color w:val="auto"/>
        </w:rPr>
        <w:t xml:space="preserve">de </w:t>
      </w:r>
      <w:r w:rsidR="00E124B9" w:rsidRPr="00FB0850">
        <w:rPr>
          <w:color w:val="auto"/>
        </w:rPr>
        <w:t>93</w:t>
      </w:r>
      <w:r w:rsidR="00114591" w:rsidRPr="00FB0850">
        <w:rPr>
          <w:color w:val="auto"/>
        </w:rPr>
        <w:t> </w:t>
      </w:r>
      <w:r w:rsidR="00E124B9" w:rsidRPr="00FB0850">
        <w:rPr>
          <w:color w:val="auto"/>
        </w:rPr>
        <w:t>00</w:t>
      </w:r>
      <w:r w:rsidRPr="00FB0850">
        <w:rPr>
          <w:color w:val="auto"/>
        </w:rPr>
        <w:t>0 franc</w:t>
      </w:r>
      <w:r w:rsidR="008B548D" w:rsidRPr="00FB0850">
        <w:rPr>
          <w:color w:val="auto"/>
        </w:rPr>
        <w:t>s suisses dérivés de ses obligations post</w:t>
      </w:r>
      <w:r w:rsidRPr="00FB0850">
        <w:rPr>
          <w:color w:val="auto"/>
        </w:rPr>
        <w:t>-</w:t>
      </w:r>
      <w:r w:rsidR="008B548D" w:rsidRPr="00FB0850">
        <w:rPr>
          <w:color w:val="auto"/>
        </w:rPr>
        <w:t xml:space="preserve">emploi </w:t>
      </w:r>
      <w:r w:rsidR="000F122C" w:rsidRPr="00FB0850">
        <w:rPr>
          <w:color w:val="auto"/>
        </w:rPr>
        <w:t xml:space="preserve">et des </w:t>
      </w:r>
      <w:r w:rsidR="00E124B9" w:rsidRPr="00FB0850">
        <w:rPr>
          <w:color w:val="auto"/>
        </w:rPr>
        <w:t xml:space="preserve">contributions </w:t>
      </w:r>
      <w:r w:rsidR="000F122C" w:rsidRPr="00FB0850">
        <w:rPr>
          <w:color w:val="auto"/>
        </w:rPr>
        <w:t xml:space="preserve">des membres au Fonds de roulement à hauteur de </w:t>
      </w:r>
      <w:r w:rsidR="00114591" w:rsidRPr="00FB0850">
        <w:rPr>
          <w:color w:val="auto"/>
        </w:rPr>
        <w:t>2000</w:t>
      </w:r>
      <w:r w:rsidRPr="00FB0850">
        <w:rPr>
          <w:color w:val="auto"/>
        </w:rPr>
        <w:t> franc</w:t>
      </w:r>
      <w:r w:rsidR="000F122C" w:rsidRPr="00FB0850">
        <w:rPr>
          <w:color w:val="auto"/>
        </w:rPr>
        <w:t>s suisses, ce qui a porté les actifs n</w:t>
      </w:r>
      <w:r w:rsidR="00E124B9" w:rsidRPr="00FB0850">
        <w:rPr>
          <w:color w:val="auto"/>
        </w:rPr>
        <w:t>ets</w:t>
      </w:r>
      <w:r w:rsidR="00955312" w:rsidRPr="00FB0850">
        <w:rPr>
          <w:color w:val="auto"/>
        </w:rPr>
        <w:t>,</w:t>
      </w:r>
      <w:r w:rsidR="00E124B9" w:rsidRPr="00FB0850">
        <w:rPr>
          <w:color w:val="auto"/>
        </w:rPr>
        <w:t xml:space="preserve"> </w:t>
      </w:r>
      <w:r w:rsidR="00955312" w:rsidRPr="00FB0850">
        <w:rPr>
          <w:color w:val="auto"/>
        </w:rPr>
        <w:t xml:space="preserve">qui étaient </w:t>
      </w:r>
      <w:r w:rsidR="008B548D" w:rsidRPr="00FB0850">
        <w:rPr>
          <w:color w:val="auto"/>
        </w:rPr>
        <w:t>de</w:t>
      </w:r>
      <w:r w:rsidR="00E124B9" w:rsidRPr="00FB0850">
        <w:rPr>
          <w:color w:val="auto"/>
        </w:rPr>
        <w:t xml:space="preserve"> 630</w:t>
      </w:r>
      <w:r w:rsidR="00114591" w:rsidRPr="00FB0850">
        <w:rPr>
          <w:color w:val="auto"/>
        </w:rPr>
        <w:t> </w:t>
      </w:r>
      <w:r w:rsidR="00E124B9" w:rsidRPr="00FB0850">
        <w:rPr>
          <w:color w:val="auto"/>
        </w:rPr>
        <w:t>00</w:t>
      </w:r>
      <w:r w:rsidRPr="00FB0850">
        <w:rPr>
          <w:color w:val="auto"/>
        </w:rPr>
        <w:t>0 franc</w:t>
      </w:r>
      <w:r w:rsidR="008B548D" w:rsidRPr="00FB0850">
        <w:rPr>
          <w:color w:val="auto"/>
        </w:rPr>
        <w:t xml:space="preserve">s suisses </w:t>
      </w:r>
      <w:r w:rsidR="00E124B9" w:rsidRPr="00FB0850">
        <w:rPr>
          <w:color w:val="auto"/>
        </w:rPr>
        <w:t>a</w:t>
      </w:r>
      <w:r w:rsidR="000F122C" w:rsidRPr="00FB0850">
        <w:rPr>
          <w:color w:val="auto"/>
        </w:rPr>
        <w:t>u</w:t>
      </w:r>
      <w:r w:rsidR="00E124B9" w:rsidRPr="00FB0850">
        <w:rPr>
          <w:color w:val="auto"/>
        </w:rPr>
        <w:t xml:space="preserve"> 3</w:t>
      </w:r>
      <w:r w:rsidRPr="00FB0850">
        <w:rPr>
          <w:color w:val="auto"/>
        </w:rPr>
        <w:t>1 décembre 20</w:t>
      </w:r>
      <w:r w:rsidR="00E124B9" w:rsidRPr="00FB0850">
        <w:rPr>
          <w:color w:val="auto"/>
        </w:rPr>
        <w:t>17</w:t>
      </w:r>
      <w:r w:rsidR="00955312" w:rsidRPr="00FB0850">
        <w:rPr>
          <w:color w:val="auto"/>
        </w:rPr>
        <w:t>,</w:t>
      </w:r>
      <w:r w:rsidR="00E124B9" w:rsidRPr="00FB0850">
        <w:rPr>
          <w:color w:val="auto"/>
        </w:rPr>
        <w:t xml:space="preserve"> </w:t>
      </w:r>
      <w:r w:rsidR="00412979" w:rsidRPr="00FB0850">
        <w:rPr>
          <w:color w:val="auto"/>
        </w:rPr>
        <w:t xml:space="preserve">à un </w:t>
      </w:r>
      <w:r w:rsidR="000F122C" w:rsidRPr="00FB0850">
        <w:rPr>
          <w:color w:val="auto"/>
        </w:rPr>
        <w:t xml:space="preserve">montant </w:t>
      </w:r>
      <w:r w:rsidR="00412979" w:rsidRPr="00FB0850">
        <w:rPr>
          <w:color w:val="auto"/>
        </w:rPr>
        <w:t>plus élevé</w:t>
      </w:r>
      <w:r w:rsidR="00955312" w:rsidRPr="00FB0850">
        <w:rPr>
          <w:color w:val="auto"/>
        </w:rPr>
        <w:t>,</w:t>
      </w:r>
      <w:r w:rsidR="00412979" w:rsidRPr="00FB0850">
        <w:rPr>
          <w:color w:val="auto"/>
        </w:rPr>
        <w:t xml:space="preserve"> </w:t>
      </w:r>
      <w:r w:rsidR="000F122C" w:rsidRPr="00FB0850">
        <w:rPr>
          <w:color w:val="auto"/>
        </w:rPr>
        <w:t>de</w:t>
      </w:r>
      <w:r w:rsidR="00E124B9" w:rsidRPr="00FB0850">
        <w:rPr>
          <w:color w:val="auto"/>
        </w:rPr>
        <w:t xml:space="preserve"> 683</w:t>
      </w:r>
      <w:r w:rsidR="00114591" w:rsidRPr="00FB0850">
        <w:rPr>
          <w:color w:val="auto"/>
        </w:rPr>
        <w:t> </w:t>
      </w:r>
      <w:r w:rsidR="00E124B9" w:rsidRPr="00FB0850">
        <w:rPr>
          <w:color w:val="auto"/>
        </w:rPr>
        <w:t>00</w:t>
      </w:r>
      <w:r w:rsidRPr="00FB0850">
        <w:rPr>
          <w:color w:val="auto"/>
        </w:rPr>
        <w:t>0 franc</w:t>
      </w:r>
      <w:r w:rsidR="008B548D" w:rsidRPr="00FB0850">
        <w:rPr>
          <w:color w:val="auto"/>
        </w:rPr>
        <w:t xml:space="preserve">s suisses </w:t>
      </w:r>
      <w:r w:rsidR="00E124B9" w:rsidRPr="00FB0850">
        <w:rPr>
          <w:color w:val="auto"/>
        </w:rPr>
        <w:t>a</w:t>
      </w:r>
      <w:r w:rsidR="000F122C" w:rsidRPr="00FB0850">
        <w:rPr>
          <w:color w:val="auto"/>
        </w:rPr>
        <w:t>u</w:t>
      </w:r>
      <w:r w:rsidR="00E124B9" w:rsidRPr="00FB0850">
        <w:rPr>
          <w:color w:val="auto"/>
        </w:rPr>
        <w:t xml:space="preserve"> 3</w:t>
      </w:r>
      <w:r w:rsidRPr="00FB0850">
        <w:rPr>
          <w:color w:val="auto"/>
        </w:rPr>
        <w:t>1 décembre 20</w:t>
      </w:r>
      <w:r w:rsidR="00E124B9" w:rsidRPr="00FB0850">
        <w:rPr>
          <w:color w:val="auto"/>
        </w:rPr>
        <w:t>18.</w:t>
      </w:r>
    </w:p>
    <w:p w:rsidR="00226A57" w:rsidRPr="00FB0850" w:rsidRDefault="00412979" w:rsidP="00F24F3F">
      <w:pPr>
        <w:pStyle w:val="Number1"/>
        <w:numPr>
          <w:ilvl w:val="1"/>
          <w:numId w:val="3"/>
        </w:numPr>
        <w:ind w:left="1701" w:firstLine="0"/>
        <w:jc w:val="both"/>
        <w:rPr>
          <w:color w:val="auto"/>
        </w:rPr>
      </w:pPr>
      <w:r w:rsidRPr="00FB0850">
        <w:rPr>
          <w:color w:val="auto"/>
        </w:rPr>
        <w:lastRenderedPageBreak/>
        <w:t>Les recettes de 3,</w:t>
      </w:r>
      <w:r w:rsidR="00ED7246" w:rsidRPr="00FB0850">
        <w:rPr>
          <w:color w:val="auto"/>
        </w:rPr>
        <w:t>6 million</w:t>
      </w:r>
      <w:r w:rsidRPr="00FB0850">
        <w:rPr>
          <w:color w:val="auto"/>
        </w:rPr>
        <w:t>s de francs suisses inscrites au titre de l</w:t>
      </w:r>
      <w:r w:rsidR="00ED7246" w:rsidRPr="00FB0850">
        <w:rPr>
          <w:color w:val="auto"/>
        </w:rPr>
        <w:t>’</w:t>
      </w:r>
      <w:r w:rsidRPr="00FB0850">
        <w:rPr>
          <w:color w:val="auto"/>
        </w:rPr>
        <w:t>année</w:t>
      </w:r>
      <w:r w:rsidR="00E124B9" w:rsidRPr="00FB0850">
        <w:rPr>
          <w:color w:val="auto"/>
        </w:rPr>
        <w:t xml:space="preserve"> </w:t>
      </w:r>
      <w:r w:rsidRPr="00FB0850">
        <w:rPr>
          <w:color w:val="auto"/>
        </w:rPr>
        <w:t>ont conservé un niveau cohérent avec celles de l</w:t>
      </w:r>
      <w:r w:rsidR="00ED7246" w:rsidRPr="00FB0850">
        <w:rPr>
          <w:color w:val="auto"/>
        </w:rPr>
        <w:t>’</w:t>
      </w:r>
      <w:r w:rsidRPr="00FB0850">
        <w:rPr>
          <w:color w:val="auto"/>
        </w:rPr>
        <w:t>année précédente</w:t>
      </w:r>
      <w:r w:rsidR="00E124B9" w:rsidRPr="00FB0850">
        <w:rPr>
          <w:color w:val="auto"/>
        </w:rPr>
        <w:t xml:space="preserve"> (2017</w:t>
      </w:r>
      <w:r w:rsidR="00ED7246" w:rsidRPr="00FB0850">
        <w:rPr>
          <w:color w:val="auto"/>
        </w:rPr>
        <w:t> :</w:t>
      </w:r>
      <w:r w:rsidR="00E124B9" w:rsidRPr="00FB0850">
        <w:rPr>
          <w:color w:val="auto"/>
        </w:rPr>
        <w:t xml:space="preserve"> </w:t>
      </w:r>
      <w:r w:rsidRPr="00FB0850">
        <w:rPr>
          <w:color w:val="auto"/>
        </w:rPr>
        <w:t>3,</w:t>
      </w:r>
      <w:r w:rsidR="00ED7246" w:rsidRPr="00FB0850">
        <w:rPr>
          <w:color w:val="auto"/>
        </w:rPr>
        <w:t>6 million</w:t>
      </w:r>
      <w:r w:rsidR="00005C77" w:rsidRPr="00FB0850">
        <w:rPr>
          <w:color w:val="auto"/>
        </w:rPr>
        <w:t>s de francs suiss</w:t>
      </w:r>
      <w:r w:rsidR="002A21D7" w:rsidRPr="00FB0850">
        <w:rPr>
          <w:color w:val="auto"/>
        </w:rPr>
        <w:t>es).  La</w:t>
      </w:r>
      <w:r w:rsidRPr="00FB0850">
        <w:rPr>
          <w:color w:val="auto"/>
        </w:rPr>
        <w:t xml:space="preserve"> hausse de</w:t>
      </w:r>
      <w:r w:rsidR="001A05B8" w:rsidRPr="00FB0850">
        <w:rPr>
          <w:color w:val="auto"/>
        </w:rPr>
        <w:t>s</w:t>
      </w:r>
      <w:r w:rsidRPr="00FB0850">
        <w:rPr>
          <w:color w:val="auto"/>
        </w:rPr>
        <w:t xml:space="preserve"> recettes </w:t>
      </w:r>
      <w:r w:rsidR="001A05B8" w:rsidRPr="00FB0850">
        <w:rPr>
          <w:color w:val="auto"/>
        </w:rPr>
        <w:t xml:space="preserve">extrabudgétaires, qui sont passées de </w:t>
      </w:r>
      <w:r w:rsidR="00E124B9" w:rsidRPr="00FB0850">
        <w:rPr>
          <w:color w:val="auto"/>
        </w:rPr>
        <w:t>258</w:t>
      </w:r>
      <w:r w:rsidR="00114591" w:rsidRPr="00FB0850">
        <w:rPr>
          <w:color w:val="auto"/>
        </w:rPr>
        <w:t> </w:t>
      </w:r>
      <w:r w:rsidR="00E124B9" w:rsidRPr="00FB0850">
        <w:rPr>
          <w:color w:val="auto"/>
        </w:rPr>
        <w:t>00</w:t>
      </w:r>
      <w:r w:rsidR="00ED7246" w:rsidRPr="00FB0850">
        <w:rPr>
          <w:color w:val="auto"/>
        </w:rPr>
        <w:t>0 franc</w:t>
      </w:r>
      <w:r w:rsidR="001A05B8" w:rsidRPr="00FB0850">
        <w:rPr>
          <w:color w:val="auto"/>
        </w:rPr>
        <w:t>s suisses à</w:t>
      </w:r>
      <w:r w:rsidR="00E124B9" w:rsidRPr="00FB0850">
        <w:rPr>
          <w:color w:val="auto"/>
        </w:rPr>
        <w:t xml:space="preserve"> 282</w:t>
      </w:r>
      <w:r w:rsidR="00114591" w:rsidRPr="00FB0850">
        <w:rPr>
          <w:color w:val="auto"/>
        </w:rPr>
        <w:t> </w:t>
      </w:r>
      <w:r w:rsidR="00E124B9" w:rsidRPr="00FB0850">
        <w:rPr>
          <w:color w:val="auto"/>
        </w:rPr>
        <w:t>00</w:t>
      </w:r>
      <w:r w:rsidR="00ED7246" w:rsidRPr="00FB0850">
        <w:rPr>
          <w:color w:val="auto"/>
        </w:rPr>
        <w:t>0 franc</w:t>
      </w:r>
      <w:r w:rsidR="001A05B8" w:rsidRPr="00FB0850">
        <w:rPr>
          <w:color w:val="auto"/>
        </w:rPr>
        <w:t xml:space="preserve">s suisses, est principalement due aux compléments de contributions versés par la </w:t>
      </w:r>
      <w:r w:rsidR="00FB0850">
        <w:rPr>
          <w:i/>
          <w:color w:val="auto"/>
        </w:rPr>
        <w:t>International Seed Federation</w:t>
      </w:r>
      <w:r w:rsidR="00E124B9" w:rsidRPr="00FB0850">
        <w:rPr>
          <w:color w:val="auto"/>
        </w:rPr>
        <w:t xml:space="preserve">, </w:t>
      </w:r>
      <w:r w:rsidR="001A05B8" w:rsidRPr="00FB0850">
        <w:rPr>
          <w:color w:val="auto"/>
        </w:rPr>
        <w:t>les États</w:t>
      </w:r>
      <w:r w:rsidR="00ED7246" w:rsidRPr="00FB0850">
        <w:rPr>
          <w:color w:val="auto"/>
        </w:rPr>
        <w:t>-</w:t>
      </w:r>
      <w:r w:rsidR="001A05B8" w:rsidRPr="00FB0850">
        <w:rPr>
          <w:color w:val="auto"/>
        </w:rPr>
        <w:t>Unis d</w:t>
      </w:r>
      <w:r w:rsidR="00ED7246" w:rsidRPr="00FB0850">
        <w:rPr>
          <w:color w:val="auto"/>
        </w:rPr>
        <w:t>’</w:t>
      </w:r>
      <w:r w:rsidR="00E124B9" w:rsidRPr="00FB0850">
        <w:rPr>
          <w:color w:val="auto"/>
        </w:rPr>
        <w:t>Am</w:t>
      </w:r>
      <w:r w:rsidR="001A05B8" w:rsidRPr="00FB0850">
        <w:rPr>
          <w:color w:val="auto"/>
        </w:rPr>
        <w:t>é</w:t>
      </w:r>
      <w:r w:rsidR="00E124B9" w:rsidRPr="00FB0850">
        <w:rPr>
          <w:color w:val="auto"/>
        </w:rPr>
        <w:t>ri</w:t>
      </w:r>
      <w:r w:rsidR="001A05B8" w:rsidRPr="00FB0850">
        <w:rPr>
          <w:color w:val="auto"/>
        </w:rPr>
        <w:t>que</w:t>
      </w:r>
      <w:r w:rsidR="00E124B9" w:rsidRPr="00FB0850">
        <w:rPr>
          <w:color w:val="auto"/>
        </w:rPr>
        <w:t xml:space="preserve"> </w:t>
      </w:r>
      <w:r w:rsidR="002F28C7" w:rsidRPr="00FB0850">
        <w:rPr>
          <w:color w:val="auto"/>
        </w:rPr>
        <w:t>et le</w:t>
      </w:r>
      <w:r w:rsidR="00E124B9" w:rsidRPr="00FB0850">
        <w:rPr>
          <w:color w:val="auto"/>
        </w:rPr>
        <w:t xml:space="preserve"> Jap</w:t>
      </w:r>
      <w:r w:rsidR="002F28C7" w:rsidRPr="00FB0850">
        <w:rPr>
          <w:color w:val="auto"/>
        </w:rPr>
        <w:t>o</w:t>
      </w:r>
      <w:r w:rsidR="00E124B9" w:rsidRPr="00FB0850">
        <w:rPr>
          <w:color w:val="auto"/>
        </w:rPr>
        <w:t>n</w:t>
      </w:r>
      <w:r w:rsidR="002F28C7" w:rsidRPr="00FB0850">
        <w:rPr>
          <w:color w:val="auto"/>
        </w:rPr>
        <w:t>,</w:t>
      </w:r>
      <w:r w:rsidR="00E124B9" w:rsidRPr="00FB0850">
        <w:rPr>
          <w:color w:val="auto"/>
        </w:rPr>
        <w:t xml:space="preserve"> </w:t>
      </w:r>
      <w:r w:rsidR="00955312" w:rsidRPr="00FB0850">
        <w:rPr>
          <w:color w:val="auto"/>
        </w:rPr>
        <w:t xml:space="preserve">venus </w:t>
      </w:r>
      <w:r w:rsidR="002F28C7" w:rsidRPr="00FB0850">
        <w:rPr>
          <w:color w:val="auto"/>
        </w:rPr>
        <w:t>compens</w:t>
      </w:r>
      <w:r w:rsidR="00955312" w:rsidRPr="00FB0850">
        <w:rPr>
          <w:color w:val="auto"/>
        </w:rPr>
        <w:t>er</w:t>
      </w:r>
      <w:r w:rsidR="002F28C7" w:rsidRPr="00FB0850">
        <w:rPr>
          <w:color w:val="auto"/>
        </w:rPr>
        <w:t xml:space="preserve"> la baisse des </w:t>
      </w:r>
      <w:r w:rsidR="00E124B9" w:rsidRPr="00FB0850">
        <w:rPr>
          <w:color w:val="auto"/>
        </w:rPr>
        <w:t xml:space="preserve">contributions </w:t>
      </w:r>
      <w:r w:rsidR="002F28C7" w:rsidRPr="00FB0850">
        <w:rPr>
          <w:color w:val="auto"/>
        </w:rPr>
        <w:t xml:space="preserve">versées par les membres, de </w:t>
      </w:r>
      <w:r w:rsidR="00E124B9" w:rsidRPr="00FB0850">
        <w:rPr>
          <w:color w:val="auto"/>
        </w:rPr>
        <w:t>3</w:t>
      </w:r>
      <w:r w:rsidR="002F28C7" w:rsidRPr="00FB0850">
        <w:rPr>
          <w:color w:val="auto"/>
        </w:rPr>
        <w:t>,</w:t>
      </w:r>
      <w:r w:rsidR="00E124B9" w:rsidRPr="00FB0850">
        <w:rPr>
          <w:color w:val="auto"/>
        </w:rPr>
        <w:t>3</w:t>
      </w:r>
      <w:r w:rsidR="00ED7246" w:rsidRPr="00FB0850">
        <w:rPr>
          <w:color w:val="auto"/>
        </w:rPr>
        <w:t>7 million</w:t>
      </w:r>
      <w:r w:rsidR="00005C77" w:rsidRPr="00FB0850">
        <w:rPr>
          <w:color w:val="auto"/>
        </w:rPr>
        <w:t>s de francs suisses</w:t>
      </w:r>
      <w:r w:rsidR="00E124B9" w:rsidRPr="00FB0850">
        <w:rPr>
          <w:color w:val="auto"/>
        </w:rPr>
        <w:t xml:space="preserve"> </w:t>
      </w:r>
      <w:r w:rsidR="002F28C7" w:rsidRPr="00FB0850">
        <w:rPr>
          <w:color w:val="auto"/>
        </w:rPr>
        <w:t xml:space="preserve">à </w:t>
      </w:r>
      <w:r w:rsidR="00E124B9" w:rsidRPr="00FB0850">
        <w:rPr>
          <w:color w:val="auto"/>
        </w:rPr>
        <w:t>3</w:t>
      </w:r>
      <w:r w:rsidR="002F28C7" w:rsidRPr="00FB0850">
        <w:rPr>
          <w:color w:val="auto"/>
        </w:rPr>
        <w:t>,</w:t>
      </w:r>
      <w:r w:rsidR="00E124B9" w:rsidRPr="00FB0850">
        <w:rPr>
          <w:color w:val="auto"/>
        </w:rPr>
        <w:t>3</w:t>
      </w:r>
      <w:r w:rsidR="00ED7246" w:rsidRPr="00FB0850">
        <w:rPr>
          <w:color w:val="auto"/>
        </w:rPr>
        <w:t>2 million</w:t>
      </w:r>
      <w:r w:rsidR="002F28C7" w:rsidRPr="00FB0850">
        <w:rPr>
          <w:color w:val="auto"/>
        </w:rPr>
        <w:t>s de francs suisses,</w:t>
      </w:r>
      <w:r w:rsidR="00E124B9" w:rsidRPr="00FB0850">
        <w:rPr>
          <w:color w:val="auto"/>
        </w:rPr>
        <w:t xml:space="preserve"> </w:t>
      </w:r>
      <w:r w:rsidR="00C9429F" w:rsidRPr="00FB0850">
        <w:rPr>
          <w:color w:val="auto"/>
        </w:rPr>
        <w:t xml:space="preserve">qui </w:t>
      </w:r>
      <w:r w:rsidR="00E124B9" w:rsidRPr="00FB0850">
        <w:rPr>
          <w:color w:val="auto"/>
        </w:rPr>
        <w:t>r</w:t>
      </w:r>
      <w:r w:rsidR="002F28C7" w:rsidRPr="00FB0850">
        <w:rPr>
          <w:color w:val="auto"/>
        </w:rPr>
        <w:t>é</w:t>
      </w:r>
      <w:r w:rsidR="00E124B9" w:rsidRPr="00FB0850">
        <w:rPr>
          <w:color w:val="auto"/>
        </w:rPr>
        <w:t>sult</w:t>
      </w:r>
      <w:r w:rsidR="002F28C7" w:rsidRPr="00FB0850">
        <w:rPr>
          <w:color w:val="auto"/>
        </w:rPr>
        <w:t>a</w:t>
      </w:r>
      <w:r w:rsidR="00C9429F" w:rsidRPr="00FB0850">
        <w:rPr>
          <w:color w:val="auto"/>
        </w:rPr>
        <w:t>i</w:t>
      </w:r>
      <w:r w:rsidR="002F28C7" w:rsidRPr="00FB0850">
        <w:rPr>
          <w:color w:val="auto"/>
        </w:rPr>
        <w:t>t d</w:t>
      </w:r>
      <w:r w:rsidR="00ED7246" w:rsidRPr="00FB0850">
        <w:rPr>
          <w:color w:val="auto"/>
        </w:rPr>
        <w:t>’</w:t>
      </w:r>
      <w:r w:rsidR="002F28C7" w:rsidRPr="00FB0850">
        <w:rPr>
          <w:color w:val="auto"/>
        </w:rPr>
        <w:t xml:space="preserve">une aggravation des </w:t>
      </w:r>
      <w:r w:rsidR="002B4044" w:rsidRPr="00FB0850">
        <w:rPr>
          <w:color w:val="auto"/>
        </w:rPr>
        <w:t>arriéré</w:t>
      </w:r>
      <w:r w:rsidR="002F28C7" w:rsidRPr="00FB0850">
        <w:rPr>
          <w:color w:val="auto"/>
        </w:rPr>
        <w:t>s</w:t>
      </w:r>
      <w:r w:rsidR="00E124B9" w:rsidRPr="00FB0850">
        <w:rPr>
          <w:color w:val="auto"/>
        </w:rPr>
        <w:t xml:space="preserve"> </w:t>
      </w:r>
      <w:r w:rsidR="002B4044" w:rsidRPr="00FB0850">
        <w:rPr>
          <w:color w:val="auto"/>
        </w:rPr>
        <w:t>d</w:t>
      </w:r>
      <w:r w:rsidR="00ED7246" w:rsidRPr="00FB0850">
        <w:rPr>
          <w:color w:val="auto"/>
        </w:rPr>
        <w:t>’</w:t>
      </w:r>
      <w:r w:rsidR="002F28C7" w:rsidRPr="00FB0850">
        <w:rPr>
          <w:color w:val="auto"/>
        </w:rPr>
        <w:t xml:space="preserve">un membre </w:t>
      </w:r>
      <w:r w:rsidR="00E124B9" w:rsidRPr="00FB0850">
        <w:rPr>
          <w:color w:val="auto"/>
        </w:rPr>
        <w:t>(54</w:t>
      </w:r>
      <w:r w:rsidR="00114591" w:rsidRPr="00FB0850">
        <w:rPr>
          <w:color w:val="auto"/>
        </w:rPr>
        <w:t> </w:t>
      </w:r>
      <w:r w:rsidR="00E124B9" w:rsidRPr="00FB0850">
        <w:rPr>
          <w:color w:val="auto"/>
        </w:rPr>
        <w:t>00</w:t>
      </w:r>
      <w:r w:rsidR="00ED7246" w:rsidRPr="00FB0850">
        <w:rPr>
          <w:color w:val="auto"/>
        </w:rPr>
        <w:t>0 franc</w:t>
      </w:r>
      <w:r w:rsidR="00ED2A9D" w:rsidRPr="00FB0850">
        <w:rPr>
          <w:color w:val="auto"/>
        </w:rPr>
        <w:t>s suisses</w:t>
      </w:r>
      <w:r w:rsidR="00E124B9" w:rsidRPr="00FB0850">
        <w:rPr>
          <w:color w:val="auto"/>
        </w:rPr>
        <w:t xml:space="preserve">) </w:t>
      </w:r>
      <w:r w:rsidR="00ED2A9D" w:rsidRPr="00FB0850">
        <w:rPr>
          <w:color w:val="auto"/>
        </w:rPr>
        <w:t xml:space="preserve">compensée par les </w:t>
      </w:r>
      <w:r w:rsidR="00E124B9" w:rsidRPr="00FB0850">
        <w:rPr>
          <w:color w:val="auto"/>
        </w:rPr>
        <w:t>contributions l</w:t>
      </w:r>
      <w:r w:rsidR="00ED2A9D" w:rsidRPr="00FB0850">
        <w:rPr>
          <w:color w:val="auto"/>
        </w:rPr>
        <w:t>iées à un nouveau membre</w:t>
      </w:r>
      <w:r w:rsidR="00E124B9" w:rsidRPr="00FB0850">
        <w:rPr>
          <w:color w:val="auto"/>
        </w:rPr>
        <w:t xml:space="preserve"> (11</w:t>
      </w:r>
      <w:r w:rsidR="00114591" w:rsidRPr="00FB0850">
        <w:rPr>
          <w:color w:val="auto"/>
        </w:rPr>
        <w:t> </w:t>
      </w:r>
      <w:r w:rsidR="00E124B9" w:rsidRPr="00FB0850">
        <w:rPr>
          <w:color w:val="auto"/>
        </w:rPr>
        <w:t>00</w:t>
      </w:r>
      <w:r w:rsidR="00ED7246" w:rsidRPr="00FB0850">
        <w:rPr>
          <w:color w:val="auto"/>
        </w:rPr>
        <w:t>0 franc</w:t>
      </w:r>
      <w:r w:rsidR="00ED2A9D" w:rsidRPr="00FB0850">
        <w:rPr>
          <w:color w:val="auto"/>
        </w:rPr>
        <w:t>s suiss</w:t>
      </w:r>
      <w:r w:rsidR="002A21D7" w:rsidRPr="00FB0850">
        <w:rPr>
          <w:color w:val="auto"/>
        </w:rPr>
        <w:t>es).  Le</w:t>
      </w:r>
      <w:r w:rsidR="00ED2A9D" w:rsidRPr="00FB0850">
        <w:rPr>
          <w:color w:val="auto"/>
        </w:rPr>
        <w:t>s dépenses ont baissé, de 3,</w:t>
      </w:r>
      <w:r w:rsidR="00ED7246" w:rsidRPr="00FB0850">
        <w:rPr>
          <w:color w:val="auto"/>
        </w:rPr>
        <w:t>9 million</w:t>
      </w:r>
      <w:r w:rsidR="00005C77" w:rsidRPr="00FB0850">
        <w:rPr>
          <w:color w:val="auto"/>
        </w:rPr>
        <w:t>s de francs suisses</w:t>
      </w:r>
      <w:r w:rsidR="00E124B9" w:rsidRPr="00FB0850">
        <w:rPr>
          <w:color w:val="auto"/>
        </w:rPr>
        <w:t xml:space="preserve"> </w:t>
      </w:r>
      <w:r w:rsidR="00ED7246" w:rsidRPr="00FB0850">
        <w:rPr>
          <w:color w:val="auto"/>
        </w:rPr>
        <w:t>en 2017</w:t>
      </w:r>
      <w:r w:rsidR="00E124B9" w:rsidRPr="00FB0850">
        <w:rPr>
          <w:color w:val="auto"/>
        </w:rPr>
        <w:t xml:space="preserve"> </w:t>
      </w:r>
      <w:r w:rsidR="00ED2A9D" w:rsidRPr="00FB0850">
        <w:rPr>
          <w:color w:val="auto"/>
        </w:rPr>
        <w:t xml:space="preserve">à </w:t>
      </w:r>
      <w:r w:rsidR="00E124B9" w:rsidRPr="00FB0850">
        <w:rPr>
          <w:color w:val="auto"/>
        </w:rPr>
        <w:t>3</w:t>
      </w:r>
      <w:r w:rsidR="00ED2A9D" w:rsidRPr="00FB0850">
        <w:rPr>
          <w:color w:val="auto"/>
        </w:rPr>
        <w:t>,</w:t>
      </w:r>
      <w:r w:rsidR="00ED7246" w:rsidRPr="00FB0850">
        <w:rPr>
          <w:color w:val="auto"/>
        </w:rPr>
        <w:t>7 million</w:t>
      </w:r>
      <w:r w:rsidR="00ED2A9D" w:rsidRPr="00FB0850">
        <w:rPr>
          <w:color w:val="auto"/>
        </w:rPr>
        <w:t>s de francs suisses</w:t>
      </w:r>
      <w:r w:rsidR="00FD2FD5" w:rsidRPr="00FB0850">
        <w:rPr>
          <w:color w:val="auto"/>
        </w:rPr>
        <w:t xml:space="preserve">, du fait, principalement, des réductions dans les services </w:t>
      </w:r>
      <w:r w:rsidR="00E124B9" w:rsidRPr="00FB0850">
        <w:rPr>
          <w:color w:val="auto"/>
        </w:rPr>
        <w:t>contractu</w:t>
      </w:r>
      <w:r w:rsidR="00FD2FD5" w:rsidRPr="00FB0850">
        <w:rPr>
          <w:color w:val="auto"/>
        </w:rPr>
        <w:t>e</w:t>
      </w:r>
      <w:r w:rsidR="00E124B9" w:rsidRPr="00FB0850">
        <w:rPr>
          <w:color w:val="auto"/>
        </w:rPr>
        <w:t>l</w:t>
      </w:r>
      <w:r w:rsidR="00FD2FD5" w:rsidRPr="00FB0850">
        <w:rPr>
          <w:color w:val="auto"/>
        </w:rPr>
        <w:t>s</w:t>
      </w:r>
      <w:r w:rsidR="00E124B9" w:rsidRPr="00FB0850">
        <w:rPr>
          <w:color w:val="auto"/>
        </w:rPr>
        <w:t xml:space="preserve">, </w:t>
      </w:r>
      <w:r w:rsidR="00ED7246" w:rsidRPr="00FB0850">
        <w:rPr>
          <w:color w:val="auto"/>
        </w:rPr>
        <w:t>y compris</w:t>
      </w:r>
      <w:r w:rsidR="00FD2FD5" w:rsidRPr="00FB0850">
        <w:rPr>
          <w:color w:val="auto"/>
        </w:rPr>
        <w:t xml:space="preserve"> de traducteur</w:t>
      </w:r>
      <w:r w:rsidR="00E124B9" w:rsidRPr="00FB0850">
        <w:rPr>
          <w:color w:val="auto"/>
        </w:rPr>
        <w:t xml:space="preserve">s </w:t>
      </w:r>
      <w:r w:rsidR="00FD2FD5" w:rsidRPr="00FB0850">
        <w:rPr>
          <w:color w:val="auto"/>
        </w:rPr>
        <w:t>et d</w:t>
      </w:r>
      <w:r w:rsidR="00ED7246" w:rsidRPr="00FB0850">
        <w:rPr>
          <w:color w:val="auto"/>
        </w:rPr>
        <w:t>’</w:t>
      </w:r>
      <w:r w:rsidR="00E124B9" w:rsidRPr="00FB0850">
        <w:rPr>
          <w:color w:val="auto"/>
        </w:rPr>
        <w:t>interpr</w:t>
      </w:r>
      <w:r w:rsidR="00FD2FD5" w:rsidRPr="00FB0850">
        <w:rPr>
          <w:color w:val="auto"/>
        </w:rPr>
        <w:t>è</w:t>
      </w:r>
      <w:r w:rsidR="00E124B9" w:rsidRPr="00FB0850">
        <w:rPr>
          <w:color w:val="auto"/>
        </w:rPr>
        <w:t>tes.</w:t>
      </w:r>
    </w:p>
    <w:p w:rsidR="00ED7246" w:rsidRPr="00FB0850" w:rsidRDefault="00FD2FD5" w:rsidP="00F24F3F">
      <w:pPr>
        <w:pStyle w:val="Number1"/>
        <w:numPr>
          <w:ilvl w:val="1"/>
          <w:numId w:val="3"/>
        </w:numPr>
        <w:ind w:left="1701" w:firstLine="0"/>
        <w:jc w:val="both"/>
        <w:rPr>
          <w:color w:val="auto"/>
        </w:rPr>
      </w:pPr>
      <w:r w:rsidRPr="00FB0850">
        <w:rPr>
          <w:color w:val="auto"/>
        </w:rPr>
        <w:t>L</w:t>
      </w:r>
      <w:r w:rsidR="00ED7246" w:rsidRPr="00FB0850">
        <w:rPr>
          <w:color w:val="auto"/>
        </w:rPr>
        <w:t>’</w:t>
      </w:r>
      <w:r w:rsidR="00E124B9" w:rsidRPr="00FB0850">
        <w:rPr>
          <w:color w:val="auto"/>
        </w:rPr>
        <w:t xml:space="preserve">UPOV </w:t>
      </w:r>
      <w:r w:rsidRPr="00FB0850">
        <w:rPr>
          <w:color w:val="auto"/>
        </w:rPr>
        <w:t>a conservé une situation financière solide ces quatre dernières anné</w:t>
      </w:r>
      <w:r w:rsidR="002A21D7" w:rsidRPr="00FB0850">
        <w:rPr>
          <w:color w:val="auto"/>
        </w:rPr>
        <w:t>es.  Ta</w:t>
      </w:r>
      <w:r w:rsidRPr="00FB0850">
        <w:rPr>
          <w:color w:val="auto"/>
        </w:rPr>
        <w:t xml:space="preserve">ndis que le </w:t>
      </w:r>
      <w:r w:rsidR="00E124B9" w:rsidRPr="00FB0850">
        <w:rPr>
          <w:color w:val="auto"/>
        </w:rPr>
        <w:t xml:space="preserve">total </w:t>
      </w:r>
      <w:r w:rsidRPr="00FB0850">
        <w:rPr>
          <w:color w:val="auto"/>
        </w:rPr>
        <w:t>des actif</w:t>
      </w:r>
      <w:r w:rsidR="00E124B9" w:rsidRPr="00FB0850">
        <w:rPr>
          <w:color w:val="auto"/>
        </w:rPr>
        <w:t xml:space="preserve">s </w:t>
      </w:r>
      <w:r w:rsidRPr="00FB0850">
        <w:rPr>
          <w:color w:val="auto"/>
        </w:rPr>
        <w:t xml:space="preserve">baissait de </w:t>
      </w:r>
      <w:r w:rsidR="00E124B9" w:rsidRPr="00FB0850">
        <w:rPr>
          <w:color w:val="auto"/>
        </w:rPr>
        <w:t>6</w:t>
      </w:r>
      <w:r w:rsidRPr="00FB0850">
        <w:rPr>
          <w:color w:val="auto"/>
        </w:rPr>
        <w:t>,</w:t>
      </w:r>
      <w:r w:rsidR="00E124B9" w:rsidRPr="00FB0850">
        <w:rPr>
          <w:color w:val="auto"/>
        </w:rPr>
        <w:t>1</w:t>
      </w:r>
      <w:r w:rsidRPr="00FB0850">
        <w:rPr>
          <w:color w:val="auto"/>
        </w:rPr>
        <w:t>% sur la période, passant de 4,</w:t>
      </w:r>
      <w:r w:rsidR="00ED7246" w:rsidRPr="00FB0850">
        <w:rPr>
          <w:color w:val="auto"/>
        </w:rPr>
        <w:t>7 million</w:t>
      </w:r>
      <w:r w:rsidR="00005C77" w:rsidRPr="00FB0850">
        <w:rPr>
          <w:color w:val="auto"/>
        </w:rPr>
        <w:t>s de francs suisses</w:t>
      </w:r>
      <w:r w:rsidR="00E124B9" w:rsidRPr="00FB0850">
        <w:rPr>
          <w:color w:val="auto"/>
        </w:rPr>
        <w:t xml:space="preserve"> </w:t>
      </w:r>
      <w:r w:rsidRPr="00FB0850">
        <w:rPr>
          <w:color w:val="auto"/>
        </w:rPr>
        <w:t>à 4,</w:t>
      </w:r>
      <w:r w:rsidR="00ED7246" w:rsidRPr="00FB0850">
        <w:rPr>
          <w:color w:val="auto"/>
        </w:rPr>
        <w:t>4 million</w:t>
      </w:r>
      <w:r w:rsidR="00005C77" w:rsidRPr="00FB0850">
        <w:rPr>
          <w:color w:val="auto"/>
        </w:rPr>
        <w:t>s de francs suisses</w:t>
      </w:r>
      <w:r w:rsidR="00E124B9" w:rsidRPr="00FB0850">
        <w:rPr>
          <w:color w:val="auto"/>
        </w:rPr>
        <w:t xml:space="preserve">, </w:t>
      </w:r>
      <w:r w:rsidRPr="00FB0850">
        <w:rPr>
          <w:color w:val="auto"/>
        </w:rPr>
        <w:t xml:space="preserve">le </w:t>
      </w:r>
      <w:r w:rsidR="00E124B9" w:rsidRPr="00FB0850">
        <w:rPr>
          <w:color w:val="auto"/>
        </w:rPr>
        <w:t xml:space="preserve">total </w:t>
      </w:r>
      <w:r w:rsidR="00413ECA" w:rsidRPr="00FB0850">
        <w:rPr>
          <w:color w:val="auto"/>
        </w:rPr>
        <w:t xml:space="preserve">des passifs augmentait de </w:t>
      </w:r>
      <w:r w:rsidR="00E124B9" w:rsidRPr="00FB0850">
        <w:rPr>
          <w:color w:val="auto"/>
        </w:rPr>
        <w:t>22</w:t>
      </w:r>
      <w:r w:rsidR="00413ECA" w:rsidRPr="00FB0850">
        <w:rPr>
          <w:color w:val="auto"/>
        </w:rPr>
        <w:t>,</w:t>
      </w:r>
      <w:r w:rsidR="00E124B9" w:rsidRPr="00FB0850">
        <w:rPr>
          <w:color w:val="auto"/>
        </w:rPr>
        <w:t>8</w:t>
      </w:r>
      <w:r w:rsidR="00413ECA" w:rsidRPr="00FB0850">
        <w:rPr>
          <w:color w:val="auto"/>
        </w:rPr>
        <w:t>%, s</w:t>
      </w:r>
      <w:r w:rsidR="00ED7246" w:rsidRPr="00FB0850">
        <w:rPr>
          <w:color w:val="auto"/>
        </w:rPr>
        <w:t>’</w:t>
      </w:r>
      <w:r w:rsidR="00413ECA" w:rsidRPr="00FB0850">
        <w:rPr>
          <w:color w:val="auto"/>
        </w:rPr>
        <w:t xml:space="preserve">élevant de </w:t>
      </w:r>
      <w:r w:rsidR="00ED7246" w:rsidRPr="00FB0850">
        <w:rPr>
          <w:color w:val="auto"/>
        </w:rPr>
        <w:t>3 million</w:t>
      </w:r>
      <w:r w:rsidR="00005C77" w:rsidRPr="00FB0850">
        <w:rPr>
          <w:color w:val="auto"/>
        </w:rPr>
        <w:t>s de francs suisses</w:t>
      </w:r>
      <w:r w:rsidR="00E124B9" w:rsidRPr="00FB0850">
        <w:rPr>
          <w:color w:val="auto"/>
        </w:rPr>
        <w:t xml:space="preserve"> </w:t>
      </w:r>
      <w:r w:rsidR="00413ECA" w:rsidRPr="00FB0850">
        <w:rPr>
          <w:color w:val="auto"/>
        </w:rPr>
        <w:t xml:space="preserve">à </w:t>
      </w:r>
      <w:r w:rsidR="00E124B9" w:rsidRPr="00FB0850">
        <w:rPr>
          <w:color w:val="auto"/>
        </w:rPr>
        <w:t>3</w:t>
      </w:r>
      <w:r w:rsidR="00413ECA" w:rsidRPr="00FB0850">
        <w:rPr>
          <w:color w:val="auto"/>
        </w:rPr>
        <w:t>,</w:t>
      </w:r>
      <w:r w:rsidR="00ED7246" w:rsidRPr="00FB0850">
        <w:rPr>
          <w:color w:val="auto"/>
        </w:rPr>
        <w:t>7 million</w:t>
      </w:r>
      <w:r w:rsidR="00005C77" w:rsidRPr="00FB0850">
        <w:rPr>
          <w:color w:val="auto"/>
        </w:rPr>
        <w:t>s de francs suiss</w:t>
      </w:r>
      <w:r w:rsidR="002A21D7" w:rsidRPr="00FB0850">
        <w:rPr>
          <w:color w:val="auto"/>
        </w:rPr>
        <w:t>es.  Ce</w:t>
      </w:r>
      <w:r w:rsidR="00413ECA" w:rsidRPr="00FB0850">
        <w:rPr>
          <w:color w:val="auto"/>
        </w:rPr>
        <w:t xml:space="preserve">tte augmentation est principalement </w:t>
      </w:r>
      <w:r w:rsidR="00E124B9" w:rsidRPr="00FB0850">
        <w:rPr>
          <w:color w:val="auto"/>
        </w:rPr>
        <w:t xml:space="preserve">due </w:t>
      </w:r>
      <w:r w:rsidR="00413ECA" w:rsidRPr="00FB0850">
        <w:rPr>
          <w:color w:val="auto"/>
        </w:rPr>
        <w:t xml:space="preserve">à la hausse du passif </w:t>
      </w:r>
      <w:r w:rsidR="00226A57" w:rsidRPr="00FB0850">
        <w:rPr>
          <w:color w:val="auto"/>
        </w:rPr>
        <w:t xml:space="preserve">en </w:t>
      </w:r>
      <w:r w:rsidR="00413ECA" w:rsidRPr="00FB0850">
        <w:rPr>
          <w:color w:val="auto"/>
        </w:rPr>
        <w:t>li</w:t>
      </w:r>
      <w:r w:rsidR="00226A57" w:rsidRPr="00FB0850">
        <w:rPr>
          <w:color w:val="auto"/>
        </w:rPr>
        <w:t>en avec les</w:t>
      </w:r>
      <w:r w:rsidR="00413ECA" w:rsidRPr="00FB0850">
        <w:rPr>
          <w:color w:val="auto"/>
        </w:rPr>
        <w:t xml:space="preserve"> avantages </w:t>
      </w:r>
      <w:r w:rsidR="00226A57" w:rsidRPr="00FB0850">
        <w:rPr>
          <w:color w:val="auto"/>
        </w:rPr>
        <w:t xml:space="preserve">à verser aux </w:t>
      </w:r>
      <w:r w:rsidR="00413ECA" w:rsidRPr="00FB0850">
        <w:rPr>
          <w:color w:val="auto"/>
        </w:rPr>
        <w:t>employés de l</w:t>
      </w:r>
      <w:r w:rsidR="00ED7246" w:rsidRPr="00FB0850">
        <w:rPr>
          <w:color w:val="auto"/>
        </w:rPr>
        <w:t>’</w:t>
      </w:r>
      <w:r w:rsidR="00E124B9" w:rsidRPr="00FB0850">
        <w:rPr>
          <w:color w:val="auto"/>
        </w:rPr>
        <w:t>UPOV</w:t>
      </w:r>
      <w:r w:rsidR="00226A57" w:rsidRPr="00FB0850">
        <w:rPr>
          <w:color w:val="auto"/>
        </w:rPr>
        <w:t>, dont le montant est passé</w:t>
      </w:r>
      <w:r w:rsidR="00E124B9" w:rsidRPr="00FB0850">
        <w:rPr>
          <w:color w:val="auto"/>
        </w:rPr>
        <w:t xml:space="preserve"> </w:t>
      </w:r>
      <w:r w:rsidR="00892155" w:rsidRPr="00FB0850">
        <w:rPr>
          <w:color w:val="auto"/>
        </w:rPr>
        <w:t>de 1,</w:t>
      </w:r>
      <w:r w:rsidR="00ED7246" w:rsidRPr="00FB0850">
        <w:rPr>
          <w:color w:val="auto"/>
        </w:rPr>
        <w:t>4 million</w:t>
      </w:r>
      <w:r w:rsidR="00005C77" w:rsidRPr="00FB0850">
        <w:rPr>
          <w:color w:val="auto"/>
        </w:rPr>
        <w:t xml:space="preserve"> de francs suisses</w:t>
      </w:r>
      <w:r w:rsidR="00E124B9" w:rsidRPr="00FB0850">
        <w:rPr>
          <w:color w:val="auto"/>
        </w:rPr>
        <w:t xml:space="preserve"> </w:t>
      </w:r>
      <w:r w:rsidR="00892155" w:rsidRPr="00FB0850">
        <w:rPr>
          <w:color w:val="auto"/>
        </w:rPr>
        <w:t>à 2,</w:t>
      </w:r>
      <w:r w:rsidR="00ED7246" w:rsidRPr="00FB0850">
        <w:rPr>
          <w:color w:val="auto"/>
        </w:rPr>
        <w:t>5 million</w:t>
      </w:r>
      <w:r w:rsidR="00005C77" w:rsidRPr="00FB0850">
        <w:rPr>
          <w:color w:val="auto"/>
        </w:rPr>
        <w:t>s de francs suisses</w:t>
      </w:r>
      <w:r w:rsidR="00C9429F" w:rsidRPr="00FB0850">
        <w:rPr>
          <w:color w:val="auto"/>
        </w:rPr>
        <w:t>,</w:t>
      </w:r>
      <w:r w:rsidR="00E124B9" w:rsidRPr="00FB0850">
        <w:rPr>
          <w:color w:val="auto"/>
        </w:rPr>
        <w:t xml:space="preserve"> </w:t>
      </w:r>
      <w:r w:rsidR="00226A57" w:rsidRPr="00FB0850">
        <w:rPr>
          <w:color w:val="auto"/>
        </w:rPr>
        <w:t xml:space="preserve">en raison du changement de méthode comptable </w:t>
      </w:r>
      <w:r w:rsidR="00E124B9" w:rsidRPr="00FB0850">
        <w:rPr>
          <w:color w:val="auto"/>
        </w:rPr>
        <w:t>r</w:t>
      </w:r>
      <w:r w:rsidR="00226A57" w:rsidRPr="00FB0850">
        <w:rPr>
          <w:color w:val="auto"/>
        </w:rPr>
        <w:t>é</w:t>
      </w:r>
      <w:r w:rsidR="00E124B9" w:rsidRPr="00FB0850">
        <w:rPr>
          <w:color w:val="auto"/>
        </w:rPr>
        <w:t>sult</w:t>
      </w:r>
      <w:r w:rsidR="00226A57" w:rsidRPr="00FB0850">
        <w:rPr>
          <w:color w:val="auto"/>
        </w:rPr>
        <w:t>ant de l</w:t>
      </w:r>
      <w:r w:rsidR="00ED7246" w:rsidRPr="00FB0850">
        <w:rPr>
          <w:color w:val="auto"/>
        </w:rPr>
        <w:t>’</w:t>
      </w:r>
      <w:r w:rsidR="00E124B9" w:rsidRPr="00FB0850">
        <w:rPr>
          <w:color w:val="auto"/>
        </w:rPr>
        <w:t xml:space="preserve">adoption, </w:t>
      </w:r>
      <w:r w:rsidR="00ED7246" w:rsidRPr="00FB0850">
        <w:rPr>
          <w:color w:val="auto"/>
        </w:rPr>
        <w:t>en 2017</w:t>
      </w:r>
      <w:r w:rsidR="00E124B9" w:rsidRPr="00FB0850">
        <w:rPr>
          <w:color w:val="auto"/>
        </w:rPr>
        <w:t xml:space="preserve">, </w:t>
      </w:r>
      <w:r w:rsidR="00892155" w:rsidRPr="00FB0850">
        <w:rPr>
          <w:color w:val="auto"/>
        </w:rPr>
        <w:t xml:space="preserve">de la norme </w:t>
      </w:r>
      <w:r w:rsidR="00E124B9" w:rsidRPr="00FB0850">
        <w:rPr>
          <w:color w:val="auto"/>
        </w:rPr>
        <w:t>IPSAS 39 –</w:t>
      </w:r>
      <w:r w:rsidR="00F45F80" w:rsidRPr="00FB0850">
        <w:rPr>
          <w:color w:val="auto"/>
        </w:rPr>
        <w:t xml:space="preserve"> </w:t>
      </w:r>
      <w:r w:rsidR="00892155" w:rsidRPr="00FB0850">
        <w:rPr>
          <w:rFonts w:cs="Arial"/>
          <w:i/>
          <w:iCs/>
          <w:color w:val="auto"/>
          <w:szCs w:val="20"/>
        </w:rPr>
        <w:t>norme relative aux avantages du</w:t>
      </w:r>
      <w:r w:rsidR="00892155" w:rsidRPr="00FB0850">
        <w:rPr>
          <w:rFonts w:cs="Arial"/>
          <w:i/>
          <w:iCs/>
          <w:color w:val="auto"/>
        </w:rPr>
        <w:t xml:space="preserve"> </w:t>
      </w:r>
      <w:r w:rsidR="00892155" w:rsidRPr="00FB0850">
        <w:rPr>
          <w:rFonts w:cs="Arial"/>
          <w:i/>
          <w:iCs/>
          <w:color w:val="auto"/>
          <w:szCs w:val="20"/>
        </w:rPr>
        <w:t>personn</w:t>
      </w:r>
      <w:r w:rsidR="002A21D7" w:rsidRPr="00FB0850">
        <w:rPr>
          <w:rFonts w:cs="Arial"/>
          <w:i/>
          <w:iCs/>
          <w:color w:val="auto"/>
          <w:szCs w:val="20"/>
        </w:rPr>
        <w:t xml:space="preserve">el.  </w:t>
      </w:r>
      <w:r w:rsidR="002A21D7" w:rsidRPr="00FB0850">
        <w:rPr>
          <w:color w:val="auto"/>
        </w:rPr>
        <w:t xml:space="preserve">À </w:t>
      </w:r>
      <w:r w:rsidR="00226A57" w:rsidRPr="00FB0850">
        <w:rPr>
          <w:color w:val="auto"/>
        </w:rPr>
        <w:t>la fin de chaque exercice financier, l</w:t>
      </w:r>
      <w:r w:rsidR="00ED7246" w:rsidRPr="00FB0850">
        <w:rPr>
          <w:color w:val="auto"/>
        </w:rPr>
        <w:t>’</w:t>
      </w:r>
      <w:r w:rsidR="00E124B9" w:rsidRPr="00FB0850">
        <w:rPr>
          <w:color w:val="auto"/>
        </w:rPr>
        <w:t xml:space="preserve">UPOV </w:t>
      </w:r>
      <w:r w:rsidR="004A1B9B" w:rsidRPr="00FB0850">
        <w:rPr>
          <w:color w:val="auto"/>
        </w:rPr>
        <w:t>s</w:t>
      </w:r>
      <w:r w:rsidR="00ED7246" w:rsidRPr="00FB0850">
        <w:rPr>
          <w:color w:val="auto"/>
        </w:rPr>
        <w:t>’</w:t>
      </w:r>
      <w:r w:rsidR="004A1B9B" w:rsidRPr="00FB0850">
        <w:rPr>
          <w:color w:val="auto"/>
        </w:rPr>
        <w:t>acquitte pleinement de ses responsabilités en matière d</w:t>
      </w:r>
      <w:r w:rsidR="00ED7246" w:rsidRPr="00FB0850">
        <w:rPr>
          <w:color w:val="auto"/>
        </w:rPr>
        <w:t>’</w:t>
      </w:r>
      <w:r w:rsidR="004A1B9B" w:rsidRPr="00FB0850">
        <w:rPr>
          <w:color w:val="auto"/>
        </w:rPr>
        <w:t xml:space="preserve">avantages </w:t>
      </w:r>
      <w:r w:rsidR="00E124B9" w:rsidRPr="00FB0850">
        <w:rPr>
          <w:color w:val="auto"/>
        </w:rPr>
        <w:t>post</w:t>
      </w:r>
      <w:r w:rsidR="00ED7246" w:rsidRPr="00FB0850">
        <w:rPr>
          <w:color w:val="auto"/>
        </w:rPr>
        <w:t>-</w:t>
      </w:r>
      <w:r w:rsidR="00E124B9" w:rsidRPr="00FB0850">
        <w:rPr>
          <w:color w:val="auto"/>
        </w:rPr>
        <w:t>emplo</w:t>
      </w:r>
      <w:r w:rsidR="004A1B9B" w:rsidRPr="00FB0850">
        <w:rPr>
          <w:color w:val="auto"/>
        </w:rPr>
        <w:t>i</w:t>
      </w:r>
      <w:r w:rsidR="00E124B9" w:rsidRPr="00FB0850">
        <w:rPr>
          <w:color w:val="auto"/>
        </w:rPr>
        <w:t>.</w:t>
      </w:r>
    </w:p>
    <w:p w:rsidR="00ED7246" w:rsidRPr="00FB0850" w:rsidRDefault="004A1B9B" w:rsidP="00F24F3F">
      <w:pPr>
        <w:pStyle w:val="Number1"/>
        <w:numPr>
          <w:ilvl w:val="1"/>
          <w:numId w:val="3"/>
        </w:numPr>
        <w:ind w:left="1701" w:firstLine="0"/>
        <w:jc w:val="both"/>
        <w:rPr>
          <w:color w:val="auto"/>
        </w:rPr>
      </w:pPr>
      <w:r w:rsidRPr="00FB0850">
        <w:rPr>
          <w:color w:val="auto"/>
        </w:rPr>
        <w:t>Les actifs nets de l</w:t>
      </w:r>
      <w:r w:rsidR="00ED7246" w:rsidRPr="00FB0850">
        <w:rPr>
          <w:color w:val="auto"/>
        </w:rPr>
        <w:t>’</w:t>
      </w:r>
      <w:r w:rsidR="00E124B9" w:rsidRPr="00FB0850">
        <w:rPr>
          <w:color w:val="auto"/>
        </w:rPr>
        <w:t xml:space="preserve">UPOV </w:t>
      </w:r>
      <w:r w:rsidRPr="00FB0850">
        <w:rPr>
          <w:color w:val="auto"/>
        </w:rPr>
        <w:t>s</w:t>
      </w:r>
      <w:r w:rsidR="00ED7246" w:rsidRPr="00FB0850">
        <w:rPr>
          <w:color w:val="auto"/>
        </w:rPr>
        <w:t>’</w:t>
      </w:r>
      <w:r w:rsidRPr="00FB0850">
        <w:rPr>
          <w:color w:val="auto"/>
        </w:rPr>
        <w:t xml:space="preserve">élèvent à </w:t>
      </w:r>
      <w:r w:rsidR="00E124B9" w:rsidRPr="00FB0850">
        <w:rPr>
          <w:color w:val="auto"/>
        </w:rPr>
        <w:t>683</w:t>
      </w:r>
      <w:r w:rsidR="00114591" w:rsidRPr="00FB0850">
        <w:rPr>
          <w:color w:val="auto"/>
        </w:rPr>
        <w:t> </w:t>
      </w:r>
      <w:r w:rsidR="00E124B9" w:rsidRPr="00FB0850">
        <w:rPr>
          <w:color w:val="auto"/>
        </w:rPr>
        <w:t>00</w:t>
      </w:r>
      <w:r w:rsidR="00ED7246" w:rsidRPr="00FB0850">
        <w:rPr>
          <w:color w:val="auto"/>
        </w:rPr>
        <w:t>0 franc</w:t>
      </w:r>
      <w:r w:rsidRPr="00FB0850">
        <w:rPr>
          <w:color w:val="auto"/>
        </w:rPr>
        <w:t>s suiss</w:t>
      </w:r>
      <w:r w:rsidR="002A21D7" w:rsidRPr="00FB0850">
        <w:rPr>
          <w:color w:val="auto"/>
        </w:rPr>
        <w:t>es.  En</w:t>
      </w:r>
      <w:r w:rsidRPr="00FB0850">
        <w:rPr>
          <w:color w:val="auto"/>
        </w:rPr>
        <w:t xml:space="preserve"> dépit du fait que l</w:t>
      </w:r>
      <w:r w:rsidR="00ED7246" w:rsidRPr="00FB0850">
        <w:rPr>
          <w:color w:val="auto"/>
        </w:rPr>
        <w:t>’</w:t>
      </w:r>
      <w:r w:rsidR="00E124B9" w:rsidRPr="00FB0850">
        <w:rPr>
          <w:color w:val="auto"/>
        </w:rPr>
        <w:t>UPOV a</w:t>
      </w:r>
      <w:r w:rsidRPr="00FB0850">
        <w:rPr>
          <w:color w:val="auto"/>
        </w:rPr>
        <w:t xml:space="preserve">it </w:t>
      </w:r>
      <w:r w:rsidR="00E124B9" w:rsidRPr="00FB0850">
        <w:rPr>
          <w:color w:val="auto"/>
        </w:rPr>
        <w:t>cumul</w:t>
      </w:r>
      <w:r w:rsidRPr="00FB0850">
        <w:rPr>
          <w:color w:val="auto"/>
        </w:rPr>
        <w:t>é</w:t>
      </w:r>
      <w:r w:rsidR="00E124B9" w:rsidRPr="00FB0850">
        <w:rPr>
          <w:color w:val="auto"/>
        </w:rPr>
        <w:t xml:space="preserve"> </w:t>
      </w:r>
      <w:r w:rsidRPr="00FB0850">
        <w:rPr>
          <w:color w:val="auto"/>
        </w:rPr>
        <w:t>des excédents de 943</w:t>
      </w:r>
      <w:r w:rsidR="00114591" w:rsidRPr="00FB0850">
        <w:rPr>
          <w:color w:val="auto"/>
        </w:rPr>
        <w:t> </w:t>
      </w:r>
      <w:r w:rsidRPr="00FB0850">
        <w:rPr>
          <w:color w:val="auto"/>
        </w:rPr>
        <w:t>00</w:t>
      </w:r>
      <w:r w:rsidR="00ED7246" w:rsidRPr="00FB0850">
        <w:rPr>
          <w:color w:val="auto"/>
        </w:rPr>
        <w:t>0 franc</w:t>
      </w:r>
      <w:r w:rsidR="00005C77" w:rsidRPr="00FB0850">
        <w:rPr>
          <w:color w:val="auto"/>
        </w:rPr>
        <w:t>s suisses</w:t>
      </w:r>
      <w:r w:rsidR="00E124B9" w:rsidRPr="00FB0850">
        <w:rPr>
          <w:color w:val="auto"/>
        </w:rPr>
        <w:t xml:space="preserve"> </w:t>
      </w:r>
      <w:r w:rsidR="00ED1235" w:rsidRPr="00FB0850">
        <w:rPr>
          <w:color w:val="auto"/>
        </w:rPr>
        <w:t xml:space="preserve">au titre </w:t>
      </w:r>
      <w:r w:rsidRPr="00FB0850">
        <w:rPr>
          <w:color w:val="auto"/>
        </w:rPr>
        <w:t>d</w:t>
      </w:r>
      <w:r w:rsidR="00ED1235" w:rsidRPr="00FB0850">
        <w:rPr>
          <w:color w:val="auto"/>
        </w:rPr>
        <w:t>u</w:t>
      </w:r>
      <w:r w:rsidRPr="00FB0850">
        <w:rPr>
          <w:color w:val="auto"/>
        </w:rPr>
        <w:t xml:space="preserve"> Fonds de réserve</w:t>
      </w:r>
      <w:r w:rsidR="00E124B9" w:rsidRPr="00FB0850">
        <w:rPr>
          <w:color w:val="auto"/>
        </w:rPr>
        <w:t xml:space="preserve">, </w:t>
      </w:r>
      <w:r w:rsidR="00ED1235" w:rsidRPr="00FB0850">
        <w:rPr>
          <w:color w:val="auto"/>
        </w:rPr>
        <w:t xml:space="preserve">ce montant est fortement contrebalancé </w:t>
      </w:r>
      <w:r w:rsidR="000B7940" w:rsidRPr="00FB0850">
        <w:rPr>
          <w:color w:val="auto"/>
        </w:rPr>
        <w:t>par la somme de 808</w:t>
      </w:r>
      <w:r w:rsidR="00114591" w:rsidRPr="00FB0850">
        <w:rPr>
          <w:color w:val="auto"/>
        </w:rPr>
        <w:t> </w:t>
      </w:r>
      <w:r w:rsidR="000B7940" w:rsidRPr="00FB0850">
        <w:rPr>
          <w:color w:val="auto"/>
        </w:rPr>
        <w:t>00</w:t>
      </w:r>
      <w:r w:rsidR="00ED7246" w:rsidRPr="00FB0850">
        <w:rPr>
          <w:color w:val="auto"/>
        </w:rPr>
        <w:t>0 franc</w:t>
      </w:r>
      <w:r w:rsidR="00005C77" w:rsidRPr="00FB0850">
        <w:rPr>
          <w:color w:val="auto"/>
        </w:rPr>
        <w:t>s suisses</w:t>
      </w:r>
      <w:r w:rsidR="000B7940" w:rsidRPr="00FB0850">
        <w:rPr>
          <w:color w:val="auto"/>
        </w:rPr>
        <w:t xml:space="preserve"> </w:t>
      </w:r>
      <w:r w:rsidR="001C05B3" w:rsidRPr="00FB0850">
        <w:rPr>
          <w:color w:val="auto"/>
        </w:rPr>
        <w:t xml:space="preserve">de pertes </w:t>
      </w:r>
      <w:r w:rsidR="00E124B9" w:rsidRPr="00FB0850">
        <w:rPr>
          <w:color w:val="auto"/>
        </w:rPr>
        <w:t>actuari</w:t>
      </w:r>
      <w:r w:rsidR="001C05B3" w:rsidRPr="00FB0850">
        <w:rPr>
          <w:color w:val="auto"/>
        </w:rPr>
        <w:t>e</w:t>
      </w:r>
      <w:r w:rsidR="00E124B9" w:rsidRPr="00FB0850">
        <w:rPr>
          <w:color w:val="auto"/>
        </w:rPr>
        <w:t xml:space="preserve">lles </w:t>
      </w:r>
      <w:r w:rsidR="001C05B3" w:rsidRPr="00FB0850">
        <w:rPr>
          <w:color w:val="auto"/>
        </w:rPr>
        <w:t>en</w:t>
      </w:r>
      <w:r w:rsidR="00E124B9" w:rsidRPr="00FB0850">
        <w:rPr>
          <w:color w:val="auto"/>
        </w:rPr>
        <w:t xml:space="preserve"> </w:t>
      </w:r>
      <w:r w:rsidR="000B7940" w:rsidRPr="00FB0850">
        <w:rPr>
          <w:color w:val="auto"/>
        </w:rPr>
        <w:t>avantages post</w:t>
      </w:r>
      <w:r w:rsidR="00ED7246" w:rsidRPr="00FB0850">
        <w:rPr>
          <w:color w:val="auto"/>
        </w:rPr>
        <w:t>-</w:t>
      </w:r>
      <w:r w:rsidR="000B7940" w:rsidRPr="00FB0850">
        <w:rPr>
          <w:color w:val="auto"/>
        </w:rPr>
        <w:t>empl</w:t>
      </w:r>
      <w:r w:rsidR="002A21D7" w:rsidRPr="00FB0850">
        <w:rPr>
          <w:color w:val="auto"/>
        </w:rPr>
        <w:t>oi.  En</w:t>
      </w:r>
      <w:r w:rsidR="001C05B3" w:rsidRPr="00FB0850">
        <w:rPr>
          <w:color w:val="auto"/>
        </w:rPr>
        <w:t xml:space="preserve"> outre</w:t>
      </w:r>
      <w:r w:rsidR="00E124B9" w:rsidRPr="00FB0850">
        <w:rPr>
          <w:color w:val="auto"/>
        </w:rPr>
        <w:t xml:space="preserve">, </w:t>
      </w:r>
      <w:r w:rsidR="001C05B3" w:rsidRPr="00FB0850">
        <w:rPr>
          <w:color w:val="auto"/>
        </w:rPr>
        <w:t>l</w:t>
      </w:r>
      <w:r w:rsidR="00ED7246" w:rsidRPr="00FB0850">
        <w:rPr>
          <w:color w:val="auto"/>
        </w:rPr>
        <w:t>’</w:t>
      </w:r>
      <w:r w:rsidR="00E124B9" w:rsidRPr="00FB0850">
        <w:rPr>
          <w:color w:val="auto"/>
        </w:rPr>
        <w:t xml:space="preserve">UPOV </w:t>
      </w:r>
      <w:r w:rsidR="001C05B3" w:rsidRPr="00FB0850">
        <w:rPr>
          <w:color w:val="auto"/>
        </w:rPr>
        <w:t>conserv</w:t>
      </w:r>
      <w:r w:rsidR="00E124B9" w:rsidRPr="00FB0850">
        <w:rPr>
          <w:color w:val="auto"/>
        </w:rPr>
        <w:t>e</w:t>
      </w:r>
      <w:r w:rsidR="001C05B3" w:rsidRPr="00FB0850">
        <w:rPr>
          <w:color w:val="auto"/>
        </w:rPr>
        <w:t xml:space="preserve"> 548</w:t>
      </w:r>
      <w:r w:rsidR="00114591" w:rsidRPr="00FB0850">
        <w:rPr>
          <w:color w:val="auto"/>
        </w:rPr>
        <w:t> </w:t>
      </w:r>
      <w:r w:rsidR="001C05B3" w:rsidRPr="00FB0850">
        <w:rPr>
          <w:color w:val="auto"/>
        </w:rPr>
        <w:t>00</w:t>
      </w:r>
      <w:r w:rsidR="00ED7246" w:rsidRPr="00FB0850">
        <w:rPr>
          <w:color w:val="auto"/>
        </w:rPr>
        <w:t>0 franc</w:t>
      </w:r>
      <w:r w:rsidR="00005C77" w:rsidRPr="00FB0850">
        <w:rPr>
          <w:color w:val="auto"/>
        </w:rPr>
        <w:t>s suisses</w:t>
      </w:r>
      <w:r w:rsidR="001C05B3" w:rsidRPr="00FB0850">
        <w:rPr>
          <w:color w:val="auto"/>
        </w:rPr>
        <w:t xml:space="preserve"> dans le Fonds de rouleme</w:t>
      </w:r>
      <w:r w:rsidR="002A21D7" w:rsidRPr="00FB0850">
        <w:rPr>
          <w:color w:val="auto"/>
        </w:rPr>
        <w:t>nt.  Po</w:t>
      </w:r>
      <w:r w:rsidR="001C05B3" w:rsidRPr="00FB0850">
        <w:rPr>
          <w:color w:val="auto"/>
        </w:rPr>
        <w:t>ur plus de</w:t>
      </w:r>
      <w:r w:rsidR="00E124B9" w:rsidRPr="00FB0850">
        <w:rPr>
          <w:color w:val="auto"/>
        </w:rPr>
        <w:t xml:space="preserve"> d</w:t>
      </w:r>
      <w:r w:rsidR="001C05B3" w:rsidRPr="00FB0850">
        <w:rPr>
          <w:color w:val="auto"/>
        </w:rPr>
        <w:t>é</w:t>
      </w:r>
      <w:r w:rsidR="00E124B9" w:rsidRPr="00FB0850">
        <w:rPr>
          <w:color w:val="auto"/>
        </w:rPr>
        <w:t xml:space="preserve">tails </w:t>
      </w:r>
      <w:r w:rsidR="001C05B3" w:rsidRPr="00FB0850">
        <w:rPr>
          <w:color w:val="auto"/>
        </w:rPr>
        <w:t>sur c</w:t>
      </w:r>
      <w:r w:rsidR="00E124B9" w:rsidRPr="00FB0850">
        <w:rPr>
          <w:color w:val="auto"/>
        </w:rPr>
        <w:t>es r</w:t>
      </w:r>
      <w:r w:rsidR="001C05B3" w:rsidRPr="00FB0850">
        <w:rPr>
          <w:color w:val="auto"/>
        </w:rPr>
        <w:t>é</w:t>
      </w:r>
      <w:r w:rsidR="00E124B9" w:rsidRPr="00FB0850">
        <w:rPr>
          <w:color w:val="auto"/>
        </w:rPr>
        <w:t>serves</w:t>
      </w:r>
      <w:r w:rsidR="001C05B3" w:rsidRPr="00FB0850">
        <w:rPr>
          <w:color w:val="auto"/>
        </w:rPr>
        <w:t xml:space="preserve">, se reporter à la </w:t>
      </w:r>
      <w:r w:rsidR="00FB0850">
        <w:rPr>
          <w:color w:val="auto"/>
        </w:rPr>
        <w:t>note </w:t>
      </w:r>
      <w:r w:rsidR="00E124B9" w:rsidRPr="00FB0850">
        <w:rPr>
          <w:color w:val="auto"/>
        </w:rPr>
        <w:t xml:space="preserve">12 </w:t>
      </w:r>
      <w:r w:rsidR="001C05B3" w:rsidRPr="00FB0850">
        <w:rPr>
          <w:color w:val="auto"/>
        </w:rPr>
        <w:t>des</w:t>
      </w:r>
      <w:r w:rsidR="00E124B9" w:rsidRPr="00FB0850">
        <w:rPr>
          <w:color w:val="auto"/>
        </w:rPr>
        <w:t xml:space="preserve"> </w:t>
      </w:r>
      <w:r w:rsidR="00834ABC" w:rsidRPr="00FB0850">
        <w:rPr>
          <w:color w:val="auto"/>
        </w:rPr>
        <w:t>états financiers</w:t>
      </w:r>
      <w:r w:rsidR="00E124B9" w:rsidRPr="00FB0850">
        <w:rPr>
          <w:color w:val="auto"/>
        </w:rPr>
        <w:t>.</w:t>
      </w:r>
    </w:p>
    <w:p w:rsidR="00CA3696" w:rsidRPr="00FB0850" w:rsidRDefault="00CA3696" w:rsidP="00F24F3F">
      <w:pPr>
        <w:pStyle w:val="Number1"/>
        <w:numPr>
          <w:ilvl w:val="1"/>
          <w:numId w:val="3"/>
        </w:numPr>
        <w:ind w:left="1701" w:firstLine="0"/>
        <w:jc w:val="both"/>
        <w:rPr>
          <w:color w:val="auto"/>
        </w:rPr>
      </w:pPr>
      <w:r w:rsidRPr="00FB0850">
        <w:rPr>
          <w:color w:val="auto"/>
        </w:rPr>
        <w:t>Nous utilisons l</w:t>
      </w:r>
      <w:r w:rsidR="00ED7246" w:rsidRPr="00FB0850">
        <w:rPr>
          <w:color w:val="auto"/>
        </w:rPr>
        <w:t>’</w:t>
      </w:r>
      <w:r w:rsidRPr="00FB0850">
        <w:rPr>
          <w:color w:val="auto"/>
        </w:rPr>
        <w:t>analyse des ratios sur la santé financière d</w:t>
      </w:r>
      <w:r w:rsidR="00ED7246" w:rsidRPr="00FB0850">
        <w:rPr>
          <w:color w:val="auto"/>
        </w:rPr>
        <w:t>’</w:t>
      </w:r>
      <w:r w:rsidRPr="00FB0850">
        <w:rPr>
          <w:color w:val="auto"/>
        </w:rPr>
        <w:t>une organisation dans tous nos audits internationaux afin de montrer de quelle façon les situations financières changent avec le tem</w:t>
      </w:r>
      <w:r w:rsidR="002A21D7" w:rsidRPr="00FB0850">
        <w:rPr>
          <w:color w:val="auto"/>
        </w:rPr>
        <w:t>ps.  Ce</w:t>
      </w:r>
      <w:r w:rsidRPr="00FB0850">
        <w:rPr>
          <w:color w:val="auto"/>
        </w:rPr>
        <w:t>s ratios expriment la relation entre un poste budgétaire par rapport à un autre poste budgétai</w:t>
      </w:r>
      <w:r w:rsidR="002A21D7" w:rsidRPr="00FB0850">
        <w:rPr>
          <w:color w:val="auto"/>
        </w:rPr>
        <w:t>re.  Ce</w:t>
      </w:r>
      <w:r w:rsidR="001C05B3" w:rsidRPr="00FB0850">
        <w:rPr>
          <w:color w:val="auto"/>
        </w:rPr>
        <w:t xml:space="preserve">s </w:t>
      </w:r>
      <w:r w:rsidR="00E124B9" w:rsidRPr="00FB0850">
        <w:rPr>
          <w:color w:val="auto"/>
        </w:rPr>
        <w:t xml:space="preserve">ratios </w:t>
      </w:r>
      <w:r w:rsidR="005E2387" w:rsidRPr="00FB0850">
        <w:rPr>
          <w:color w:val="auto"/>
        </w:rPr>
        <w:t xml:space="preserve">élevés </w:t>
      </w:r>
      <w:r w:rsidR="00E124B9" w:rsidRPr="00FB0850">
        <w:rPr>
          <w:color w:val="auto"/>
        </w:rPr>
        <w:t>confirm</w:t>
      </w:r>
      <w:r w:rsidR="001C05B3" w:rsidRPr="00FB0850">
        <w:rPr>
          <w:color w:val="auto"/>
        </w:rPr>
        <w:t xml:space="preserve">ent également </w:t>
      </w:r>
      <w:r w:rsidR="00D019B9" w:rsidRPr="00FB0850">
        <w:rPr>
          <w:color w:val="auto"/>
        </w:rPr>
        <w:t>que l</w:t>
      </w:r>
      <w:r w:rsidR="00ED7246" w:rsidRPr="00FB0850">
        <w:rPr>
          <w:color w:val="auto"/>
        </w:rPr>
        <w:t>’</w:t>
      </w:r>
      <w:r w:rsidR="00D019B9" w:rsidRPr="00FB0850">
        <w:rPr>
          <w:color w:val="auto"/>
        </w:rPr>
        <w:t>UPOV dispose d</w:t>
      </w:r>
      <w:r w:rsidR="00ED7246" w:rsidRPr="00FB0850">
        <w:rPr>
          <w:color w:val="auto"/>
        </w:rPr>
        <w:t>’</w:t>
      </w:r>
      <w:r w:rsidR="0063359A" w:rsidRPr="00FB0850">
        <w:rPr>
          <w:color w:val="auto"/>
        </w:rPr>
        <w:t>un volum</w:t>
      </w:r>
      <w:r w:rsidR="00D019B9" w:rsidRPr="00FB0850">
        <w:rPr>
          <w:color w:val="auto"/>
        </w:rPr>
        <w:t>e d</w:t>
      </w:r>
      <w:r w:rsidR="00ED7246" w:rsidRPr="00FB0850">
        <w:rPr>
          <w:color w:val="auto"/>
        </w:rPr>
        <w:t>’</w:t>
      </w:r>
      <w:r w:rsidR="00D019B9" w:rsidRPr="00FB0850">
        <w:rPr>
          <w:color w:val="auto"/>
        </w:rPr>
        <w:t xml:space="preserve">actifs </w:t>
      </w:r>
      <w:r w:rsidR="00E124B9" w:rsidRPr="00FB0850">
        <w:rPr>
          <w:color w:val="auto"/>
        </w:rPr>
        <w:t xml:space="preserve">nets </w:t>
      </w:r>
      <w:r w:rsidR="0063359A" w:rsidRPr="00FB0850">
        <w:rPr>
          <w:color w:val="auto"/>
        </w:rPr>
        <w:t xml:space="preserve">suffisant </w:t>
      </w:r>
      <w:r w:rsidR="00D019B9" w:rsidRPr="00FB0850">
        <w:rPr>
          <w:color w:val="auto"/>
        </w:rPr>
        <w:t xml:space="preserve">pour </w:t>
      </w:r>
      <w:r w:rsidR="0063359A" w:rsidRPr="00FB0850">
        <w:rPr>
          <w:color w:val="auto"/>
        </w:rPr>
        <w:t>couvrir ses engagements à court et à long terme</w:t>
      </w:r>
      <w:r w:rsidR="00E124B9" w:rsidRPr="00FB0850">
        <w:rPr>
          <w:color w:val="auto"/>
        </w:rPr>
        <w:t xml:space="preserve">. </w:t>
      </w:r>
      <w:r w:rsidR="00114591" w:rsidRPr="00FB0850">
        <w:rPr>
          <w:color w:val="auto"/>
        </w:rPr>
        <w:t xml:space="preserve"> </w:t>
      </w:r>
    </w:p>
    <w:tbl>
      <w:tblPr>
        <w:tblW w:w="7938" w:type="dxa"/>
        <w:tblInd w:w="1701" w:type="dxa"/>
        <w:tblBorders>
          <w:top w:val="single" w:sz="4" w:space="0" w:color="auto"/>
          <w:bottom w:val="single" w:sz="4" w:space="0" w:color="auto"/>
        </w:tblBorders>
        <w:tblCellMar>
          <w:top w:w="57" w:type="dxa"/>
          <w:bottom w:w="57" w:type="dxa"/>
        </w:tblCellMar>
        <w:tblLook w:val="0600" w:firstRow="0" w:lastRow="0" w:firstColumn="0" w:lastColumn="0" w:noHBand="1" w:noVBand="1"/>
      </w:tblPr>
      <w:tblGrid>
        <w:gridCol w:w="1683"/>
        <w:gridCol w:w="1560"/>
        <w:gridCol w:w="1560"/>
        <w:gridCol w:w="1575"/>
        <w:gridCol w:w="1560"/>
      </w:tblGrid>
      <w:tr w:rsidR="000222D6" w:rsidRPr="00FB0850" w:rsidTr="00F24F3F">
        <w:trPr>
          <w:cantSplit/>
        </w:trPr>
        <w:tc>
          <w:tcPr>
            <w:tcW w:w="9639" w:type="dxa"/>
            <w:gridSpan w:val="5"/>
            <w:shd w:val="clear" w:color="auto" w:fill="auto"/>
          </w:tcPr>
          <w:p w:rsidR="00E124B9" w:rsidRPr="00FB0850" w:rsidRDefault="00CA3696" w:rsidP="00FB0850">
            <w:pPr>
              <w:keepNext/>
              <w:spacing w:line="280" w:lineRule="atLeast"/>
              <w:rPr>
                <w:b/>
                <w:sz w:val="18"/>
                <w:lang w:eastAsia="en-GB"/>
              </w:rPr>
            </w:pPr>
            <w:r w:rsidRPr="00FB0850">
              <w:rPr>
                <w:b/>
                <w:sz w:val="18"/>
                <w:lang w:eastAsia="en-GB"/>
              </w:rPr>
              <w:lastRenderedPageBreak/>
              <w:t>Figure</w:t>
            </w:r>
            <w:r w:rsidR="00114591" w:rsidRPr="00FB0850">
              <w:rPr>
                <w:b/>
                <w:sz w:val="18"/>
                <w:lang w:eastAsia="en-GB"/>
              </w:rPr>
              <w:t> </w:t>
            </w:r>
            <w:r w:rsidRPr="00FB0850">
              <w:rPr>
                <w:b/>
                <w:sz w:val="18"/>
                <w:lang w:eastAsia="en-GB"/>
              </w:rPr>
              <w:t>3</w:t>
            </w:r>
            <w:r w:rsidR="00E124B9" w:rsidRPr="00FB0850">
              <w:rPr>
                <w:b/>
                <w:sz w:val="18"/>
                <w:lang w:eastAsia="en-GB"/>
              </w:rPr>
              <w:t xml:space="preserve"> </w:t>
            </w:r>
          </w:p>
        </w:tc>
      </w:tr>
      <w:tr w:rsidR="000222D6" w:rsidRPr="00FB0850" w:rsidTr="00F24F3F">
        <w:trPr>
          <w:cantSplit/>
        </w:trPr>
        <w:tc>
          <w:tcPr>
            <w:tcW w:w="9639" w:type="dxa"/>
            <w:gridSpan w:val="5"/>
            <w:shd w:val="clear" w:color="auto" w:fill="auto"/>
          </w:tcPr>
          <w:p w:rsidR="00E124B9" w:rsidRPr="00FB0850" w:rsidRDefault="005E2387" w:rsidP="00FB0850">
            <w:pPr>
              <w:keepNext/>
              <w:spacing w:line="280" w:lineRule="atLeast"/>
              <w:rPr>
                <w:sz w:val="18"/>
                <w:lang w:eastAsia="en-GB"/>
              </w:rPr>
            </w:pPr>
            <w:r w:rsidRPr="00FB0850">
              <w:rPr>
                <w:sz w:val="18"/>
                <w:lang w:eastAsia="en-GB"/>
              </w:rPr>
              <w:t>Ratios financiers pour l</w:t>
            </w:r>
            <w:r w:rsidR="00ED7246" w:rsidRPr="00FB0850">
              <w:rPr>
                <w:sz w:val="18"/>
                <w:lang w:eastAsia="en-GB"/>
              </w:rPr>
              <w:t>’</w:t>
            </w:r>
            <w:r w:rsidR="00E124B9" w:rsidRPr="00FB0850">
              <w:rPr>
                <w:sz w:val="18"/>
                <w:lang w:eastAsia="en-GB"/>
              </w:rPr>
              <w:t>UPOV</w:t>
            </w:r>
          </w:p>
        </w:tc>
      </w:tr>
      <w:tr w:rsidR="000222D6" w:rsidRPr="00FB0850" w:rsidTr="00F24F3F">
        <w:trPr>
          <w:cantSplit/>
        </w:trPr>
        <w:tc>
          <w:tcPr>
            <w:tcW w:w="1927" w:type="dxa"/>
            <w:shd w:val="clear" w:color="auto" w:fill="auto"/>
          </w:tcPr>
          <w:p w:rsidR="00E124B9" w:rsidRPr="00FB0850" w:rsidRDefault="00E124B9" w:rsidP="00292EA7">
            <w:pPr>
              <w:pStyle w:val="ColumnHeading"/>
              <w:keepNext/>
              <w:spacing w:before="0" w:after="0"/>
              <w:rPr>
                <w:color w:val="auto"/>
                <w:lang w:val="fr-FR" w:eastAsia="en-GB"/>
              </w:rPr>
            </w:pPr>
            <w:r w:rsidRPr="00FB0850">
              <w:rPr>
                <w:color w:val="auto"/>
                <w:lang w:val="fr-FR" w:eastAsia="en-GB"/>
              </w:rPr>
              <w:t>Ratio</w:t>
            </w:r>
          </w:p>
        </w:tc>
        <w:tc>
          <w:tcPr>
            <w:tcW w:w="1928" w:type="dxa"/>
            <w:shd w:val="clear" w:color="auto" w:fill="auto"/>
            <w:vAlign w:val="center"/>
          </w:tcPr>
          <w:p w:rsidR="00E124B9" w:rsidRPr="00FB0850" w:rsidRDefault="00E124B9" w:rsidP="00292EA7">
            <w:pPr>
              <w:pStyle w:val="ColumnHeading"/>
              <w:keepNext/>
              <w:spacing w:before="0" w:after="0"/>
              <w:jc w:val="center"/>
              <w:rPr>
                <w:color w:val="auto"/>
                <w:lang w:val="fr-FR" w:eastAsia="en-GB"/>
              </w:rPr>
            </w:pPr>
            <w:r w:rsidRPr="00FB0850">
              <w:rPr>
                <w:color w:val="auto"/>
                <w:lang w:val="fr-FR" w:eastAsia="en-GB"/>
              </w:rPr>
              <w:t>2018</w:t>
            </w:r>
          </w:p>
        </w:tc>
        <w:tc>
          <w:tcPr>
            <w:tcW w:w="1928" w:type="dxa"/>
            <w:shd w:val="clear" w:color="auto" w:fill="auto"/>
            <w:vAlign w:val="center"/>
          </w:tcPr>
          <w:p w:rsidR="00E124B9" w:rsidRPr="00FB0850" w:rsidRDefault="00E124B9" w:rsidP="00292EA7">
            <w:pPr>
              <w:pStyle w:val="ColumnHeading"/>
              <w:keepNext/>
              <w:spacing w:before="0" w:after="0"/>
              <w:jc w:val="center"/>
              <w:rPr>
                <w:color w:val="auto"/>
                <w:lang w:val="fr-FR" w:eastAsia="en-GB"/>
              </w:rPr>
            </w:pPr>
            <w:r w:rsidRPr="00FB0850">
              <w:rPr>
                <w:color w:val="auto"/>
                <w:lang w:val="fr-FR" w:eastAsia="en-GB"/>
              </w:rPr>
              <w:t>2017</w:t>
            </w:r>
          </w:p>
        </w:tc>
        <w:tc>
          <w:tcPr>
            <w:tcW w:w="1928" w:type="dxa"/>
            <w:shd w:val="clear" w:color="auto" w:fill="auto"/>
            <w:vAlign w:val="center"/>
          </w:tcPr>
          <w:p w:rsidR="00E124B9" w:rsidRPr="00FB0850" w:rsidRDefault="00E124B9" w:rsidP="00292EA7">
            <w:pPr>
              <w:pStyle w:val="ColumnHeading"/>
              <w:keepNext/>
              <w:spacing w:before="0" w:after="0"/>
              <w:jc w:val="center"/>
              <w:rPr>
                <w:color w:val="auto"/>
                <w:lang w:val="fr-FR" w:eastAsia="en-GB"/>
              </w:rPr>
            </w:pPr>
            <w:r w:rsidRPr="00FB0850">
              <w:rPr>
                <w:color w:val="auto"/>
                <w:lang w:val="fr-FR" w:eastAsia="en-GB"/>
              </w:rPr>
              <w:t>2016</w:t>
            </w:r>
            <w:r w:rsidRPr="00FB0850">
              <w:rPr>
                <w:color w:val="auto"/>
                <w:vertAlign w:val="superscript"/>
                <w:lang w:val="fr-FR" w:eastAsia="en-GB"/>
              </w:rPr>
              <w:t>4</w:t>
            </w:r>
          </w:p>
        </w:tc>
        <w:tc>
          <w:tcPr>
            <w:tcW w:w="1928" w:type="dxa"/>
            <w:shd w:val="clear" w:color="auto" w:fill="auto"/>
            <w:vAlign w:val="center"/>
          </w:tcPr>
          <w:p w:rsidR="00E124B9" w:rsidRPr="00FB0850" w:rsidRDefault="00E124B9" w:rsidP="00292EA7">
            <w:pPr>
              <w:pStyle w:val="ColumnHeading"/>
              <w:keepNext/>
              <w:spacing w:before="0" w:after="0"/>
              <w:jc w:val="center"/>
              <w:rPr>
                <w:color w:val="auto"/>
                <w:lang w:val="fr-FR" w:eastAsia="en-GB"/>
              </w:rPr>
            </w:pPr>
            <w:r w:rsidRPr="00FB0850">
              <w:rPr>
                <w:color w:val="auto"/>
                <w:lang w:val="fr-FR" w:eastAsia="en-GB"/>
              </w:rPr>
              <w:t>2015</w:t>
            </w:r>
          </w:p>
        </w:tc>
      </w:tr>
      <w:tr w:rsidR="000222D6" w:rsidRPr="00FB0850" w:rsidTr="00F24F3F">
        <w:trPr>
          <w:cantSplit/>
        </w:trPr>
        <w:tc>
          <w:tcPr>
            <w:tcW w:w="1927" w:type="dxa"/>
            <w:shd w:val="clear" w:color="auto" w:fill="auto"/>
          </w:tcPr>
          <w:p w:rsidR="00CA3696" w:rsidRPr="00FB0850" w:rsidRDefault="00CA3696" w:rsidP="00292EA7">
            <w:pPr>
              <w:pStyle w:val="Figuretext"/>
              <w:keepNext/>
              <w:spacing w:before="0" w:after="0"/>
              <w:rPr>
                <w:color w:val="auto"/>
                <w:lang w:val="fr-FR" w:eastAsia="en-GB"/>
              </w:rPr>
            </w:pPr>
            <w:r w:rsidRPr="00FB0850">
              <w:rPr>
                <w:color w:val="auto"/>
                <w:lang w:val="fr-FR" w:eastAsia="en-GB"/>
              </w:rPr>
              <w:t>Ratio courant</w:t>
            </w:r>
          </w:p>
          <w:p w:rsidR="00E124B9" w:rsidRPr="00FB0850" w:rsidRDefault="00CA3696" w:rsidP="00292EA7">
            <w:pPr>
              <w:pStyle w:val="Figuretext"/>
              <w:keepNext/>
              <w:spacing w:before="0" w:after="0"/>
              <w:rPr>
                <w:color w:val="auto"/>
                <w:lang w:val="fr-FR" w:eastAsia="en-GB"/>
              </w:rPr>
            </w:pPr>
            <w:r w:rsidRPr="00FB0850">
              <w:rPr>
                <w:color w:val="auto"/>
                <w:lang w:val="fr-FR" w:eastAsia="en-GB"/>
              </w:rPr>
              <w:t>Actifs courants</w:t>
            </w:r>
            <w:r w:rsidR="00ED7246" w:rsidRPr="00FB0850">
              <w:rPr>
                <w:color w:val="auto"/>
                <w:lang w:val="fr-FR" w:eastAsia="en-GB"/>
              </w:rPr>
              <w:t> :</w:t>
            </w:r>
            <w:r w:rsidR="00E124B9" w:rsidRPr="00FB0850">
              <w:rPr>
                <w:color w:val="auto"/>
                <w:lang w:val="fr-FR" w:eastAsia="en-GB"/>
              </w:rPr>
              <w:t xml:space="preserve"> </w:t>
            </w:r>
            <w:r w:rsidRPr="00FB0850">
              <w:rPr>
                <w:color w:val="auto"/>
                <w:lang w:val="fr-FR" w:eastAsia="en-GB"/>
              </w:rPr>
              <w:t>Passifs courants</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3</w:t>
            </w:r>
            <w:r w:rsidR="00F24F3F" w:rsidRPr="00FB0850">
              <w:rPr>
                <w:color w:val="auto"/>
                <w:lang w:val="fr-FR" w:eastAsia="en-GB"/>
              </w:rPr>
              <w:t>,</w:t>
            </w:r>
            <w:r w:rsidRPr="00FB0850">
              <w:rPr>
                <w:color w:val="auto"/>
                <w:lang w:val="fr-FR" w:eastAsia="en-GB"/>
              </w:rPr>
              <w:t>07</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3</w:t>
            </w:r>
            <w:r w:rsidR="00F24F3F" w:rsidRPr="00FB0850">
              <w:rPr>
                <w:color w:val="auto"/>
                <w:lang w:val="fr-FR" w:eastAsia="en-GB"/>
              </w:rPr>
              <w:t>,</w:t>
            </w:r>
            <w:r w:rsidRPr="00FB0850">
              <w:rPr>
                <w:color w:val="auto"/>
                <w:lang w:val="fr-FR" w:eastAsia="en-GB"/>
              </w:rPr>
              <w:t>19</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2</w:t>
            </w:r>
            <w:r w:rsidR="00F24F3F" w:rsidRPr="00FB0850">
              <w:rPr>
                <w:color w:val="auto"/>
                <w:lang w:val="fr-FR" w:eastAsia="en-GB"/>
              </w:rPr>
              <w:t>,</w:t>
            </w:r>
            <w:r w:rsidRPr="00FB0850">
              <w:rPr>
                <w:color w:val="auto"/>
                <w:lang w:val="fr-FR" w:eastAsia="en-GB"/>
              </w:rPr>
              <w:t>24</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2</w:t>
            </w:r>
            <w:r w:rsidR="00F24F3F" w:rsidRPr="00FB0850">
              <w:rPr>
                <w:color w:val="auto"/>
                <w:lang w:val="fr-FR" w:eastAsia="en-GB"/>
              </w:rPr>
              <w:t>,</w:t>
            </w:r>
            <w:r w:rsidRPr="00FB0850">
              <w:rPr>
                <w:color w:val="auto"/>
                <w:lang w:val="fr-FR" w:eastAsia="en-GB"/>
              </w:rPr>
              <w:t>53</w:t>
            </w:r>
          </w:p>
        </w:tc>
      </w:tr>
      <w:tr w:rsidR="000222D6" w:rsidRPr="00FB0850" w:rsidTr="00F24F3F">
        <w:trPr>
          <w:cantSplit/>
        </w:trPr>
        <w:tc>
          <w:tcPr>
            <w:tcW w:w="1927" w:type="dxa"/>
            <w:shd w:val="clear" w:color="auto" w:fill="auto"/>
          </w:tcPr>
          <w:p w:rsidR="00ED7246" w:rsidRPr="00FB0850" w:rsidRDefault="00CA3696" w:rsidP="00292EA7">
            <w:pPr>
              <w:pStyle w:val="Figuretext"/>
              <w:keepNext/>
              <w:spacing w:before="0" w:after="0"/>
              <w:rPr>
                <w:rStyle w:val="Bold"/>
                <w:color w:val="auto"/>
                <w:lang w:val="fr-FR" w:eastAsia="en-GB"/>
              </w:rPr>
            </w:pPr>
            <w:r w:rsidRPr="00FB0850">
              <w:rPr>
                <w:rStyle w:val="Bold"/>
                <w:color w:val="auto"/>
                <w:lang w:val="fr-FR" w:eastAsia="en-GB"/>
              </w:rPr>
              <w:t>Actif total</w:t>
            </w:r>
            <w:r w:rsidR="00ED7246" w:rsidRPr="00FB0850">
              <w:rPr>
                <w:rStyle w:val="Bold"/>
                <w:color w:val="auto"/>
                <w:lang w:val="fr-FR" w:eastAsia="en-GB"/>
              </w:rPr>
              <w:t> :</w:t>
            </w:r>
            <w:r w:rsidRPr="00FB0850">
              <w:rPr>
                <w:rStyle w:val="Bold"/>
                <w:color w:val="auto"/>
                <w:lang w:val="fr-FR" w:eastAsia="en-GB"/>
              </w:rPr>
              <w:t xml:space="preserve"> </w:t>
            </w:r>
            <w:r w:rsidR="00FB0850">
              <w:rPr>
                <w:rStyle w:val="Bold"/>
                <w:color w:val="auto"/>
                <w:lang w:val="fr-FR" w:eastAsia="en-GB"/>
              </w:rPr>
              <w:br/>
            </w:r>
            <w:r w:rsidRPr="00FB0850">
              <w:rPr>
                <w:rStyle w:val="Bold"/>
                <w:color w:val="auto"/>
                <w:lang w:val="fr-FR" w:eastAsia="en-GB"/>
              </w:rPr>
              <w:t>Passif total</w:t>
            </w:r>
          </w:p>
          <w:p w:rsidR="00E124B9" w:rsidRPr="00FB0850" w:rsidRDefault="00CA3696" w:rsidP="00292EA7">
            <w:pPr>
              <w:pStyle w:val="Figuretext"/>
              <w:keepNext/>
              <w:spacing w:before="0" w:after="0"/>
              <w:rPr>
                <w:color w:val="auto"/>
                <w:lang w:val="fr-FR" w:eastAsia="en-GB"/>
              </w:rPr>
            </w:pPr>
            <w:r w:rsidRPr="00FB0850">
              <w:rPr>
                <w:color w:val="auto"/>
                <w:lang w:val="fr-FR" w:eastAsia="en-GB"/>
              </w:rPr>
              <w:t>Actif</w:t>
            </w:r>
            <w:r w:rsidR="00ED7246" w:rsidRPr="00FB0850">
              <w:rPr>
                <w:color w:val="auto"/>
                <w:lang w:val="fr-FR" w:eastAsia="en-GB"/>
              </w:rPr>
              <w:t> :</w:t>
            </w:r>
            <w:r w:rsidRPr="00FB0850">
              <w:rPr>
                <w:color w:val="auto"/>
                <w:lang w:val="fr-FR" w:eastAsia="en-GB"/>
              </w:rPr>
              <w:t xml:space="preserve"> Passif</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1</w:t>
            </w:r>
            <w:r w:rsidR="00F24F3F" w:rsidRPr="00FB0850">
              <w:rPr>
                <w:color w:val="auto"/>
                <w:lang w:val="fr-FR" w:eastAsia="en-GB"/>
              </w:rPr>
              <w:t>,</w:t>
            </w:r>
            <w:r w:rsidRPr="00FB0850">
              <w:rPr>
                <w:color w:val="auto"/>
                <w:lang w:val="fr-FR" w:eastAsia="en-GB"/>
              </w:rPr>
              <w:t>18</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1</w:t>
            </w:r>
            <w:r w:rsidR="00F24F3F" w:rsidRPr="00FB0850">
              <w:rPr>
                <w:color w:val="auto"/>
                <w:lang w:val="fr-FR" w:eastAsia="en-GB"/>
              </w:rPr>
              <w:t>,</w:t>
            </w:r>
            <w:r w:rsidRPr="00FB0850">
              <w:rPr>
                <w:color w:val="auto"/>
                <w:lang w:val="fr-FR" w:eastAsia="en-GB"/>
              </w:rPr>
              <w:t>18</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1</w:t>
            </w:r>
            <w:r w:rsidR="00F24F3F" w:rsidRPr="00FB0850">
              <w:rPr>
                <w:color w:val="auto"/>
                <w:lang w:val="fr-FR" w:eastAsia="en-GB"/>
              </w:rPr>
              <w:t>,</w:t>
            </w:r>
            <w:r w:rsidRPr="00FB0850">
              <w:rPr>
                <w:color w:val="auto"/>
                <w:lang w:val="fr-FR" w:eastAsia="en-GB"/>
              </w:rPr>
              <w:t>16</w:t>
            </w: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r w:rsidRPr="00FB0850">
              <w:rPr>
                <w:color w:val="auto"/>
                <w:lang w:val="fr-FR" w:eastAsia="en-GB"/>
              </w:rPr>
              <w:t>1</w:t>
            </w:r>
            <w:r w:rsidR="00F24F3F" w:rsidRPr="00FB0850">
              <w:rPr>
                <w:color w:val="auto"/>
                <w:lang w:val="fr-FR" w:eastAsia="en-GB"/>
              </w:rPr>
              <w:t>,</w:t>
            </w:r>
            <w:r w:rsidRPr="00FB0850">
              <w:rPr>
                <w:color w:val="auto"/>
                <w:lang w:val="fr-FR" w:eastAsia="en-GB"/>
              </w:rPr>
              <w:t>55</w:t>
            </w:r>
          </w:p>
        </w:tc>
      </w:tr>
      <w:tr w:rsidR="000222D6" w:rsidRPr="00FB0850" w:rsidTr="00F24F3F">
        <w:trPr>
          <w:cantSplit/>
        </w:trPr>
        <w:tc>
          <w:tcPr>
            <w:tcW w:w="1927" w:type="dxa"/>
            <w:shd w:val="clear" w:color="auto" w:fill="auto"/>
          </w:tcPr>
          <w:p w:rsidR="00E124B9" w:rsidRPr="00FB0850" w:rsidRDefault="00E124B9" w:rsidP="00292EA7">
            <w:pPr>
              <w:pStyle w:val="Figuretext"/>
              <w:keepNext/>
              <w:spacing w:before="0" w:after="0"/>
              <w:rPr>
                <w:rStyle w:val="Bold"/>
                <w:color w:val="auto"/>
                <w:lang w:val="fr-FR" w:eastAsia="en-GB"/>
              </w:rPr>
            </w:pP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p>
        </w:tc>
        <w:tc>
          <w:tcPr>
            <w:tcW w:w="1928" w:type="dxa"/>
            <w:shd w:val="clear" w:color="auto" w:fill="auto"/>
            <w:vAlign w:val="center"/>
          </w:tcPr>
          <w:p w:rsidR="00E124B9" w:rsidRPr="00FB0850" w:rsidRDefault="00E124B9" w:rsidP="00292EA7">
            <w:pPr>
              <w:pStyle w:val="Figuretext"/>
              <w:keepNext/>
              <w:spacing w:before="0" w:after="0"/>
              <w:jc w:val="center"/>
              <w:rPr>
                <w:color w:val="auto"/>
                <w:lang w:val="fr-FR" w:eastAsia="en-GB"/>
              </w:rPr>
            </w:pPr>
          </w:p>
        </w:tc>
      </w:tr>
      <w:tr w:rsidR="000222D6" w:rsidRPr="00FB0850" w:rsidTr="00F24F3F">
        <w:trPr>
          <w:cantSplit/>
        </w:trPr>
        <w:tc>
          <w:tcPr>
            <w:tcW w:w="1927" w:type="dxa"/>
            <w:shd w:val="clear" w:color="auto" w:fill="auto"/>
          </w:tcPr>
          <w:p w:rsidR="00CA3696" w:rsidRPr="00FB0850" w:rsidRDefault="00CA3696" w:rsidP="00F24F3F">
            <w:pPr>
              <w:pStyle w:val="Figuretext"/>
              <w:spacing w:before="0" w:after="0"/>
              <w:rPr>
                <w:rStyle w:val="Bold"/>
                <w:color w:val="auto"/>
                <w:lang w:val="fr-FR" w:eastAsia="en-GB"/>
              </w:rPr>
            </w:pPr>
            <w:r w:rsidRPr="00FB0850">
              <w:rPr>
                <w:rStyle w:val="Bold"/>
                <w:color w:val="auto"/>
                <w:lang w:val="fr-FR" w:eastAsia="en-GB"/>
              </w:rPr>
              <w:t>Ratio de trésorerie</w:t>
            </w:r>
          </w:p>
          <w:p w:rsidR="00E124B9" w:rsidRPr="00FB0850" w:rsidRDefault="00CA3696" w:rsidP="00F24F3F">
            <w:pPr>
              <w:pStyle w:val="Figuretext"/>
              <w:spacing w:before="0" w:after="0"/>
              <w:rPr>
                <w:color w:val="auto"/>
                <w:lang w:val="fr-FR" w:eastAsia="en-GB"/>
              </w:rPr>
            </w:pPr>
            <w:r w:rsidRPr="00FB0850">
              <w:rPr>
                <w:color w:val="auto"/>
                <w:lang w:val="fr-FR" w:eastAsia="en-GB"/>
              </w:rPr>
              <w:t>Trésorerie et équivalents de trésorerie</w:t>
            </w:r>
            <w:r w:rsidR="00ED7246" w:rsidRPr="00FB0850">
              <w:rPr>
                <w:color w:val="auto"/>
                <w:lang w:val="fr-FR" w:eastAsia="en-GB"/>
              </w:rPr>
              <w:t> :</w:t>
            </w:r>
            <w:r w:rsidRPr="00FB0850">
              <w:rPr>
                <w:color w:val="auto"/>
                <w:lang w:val="fr-FR" w:eastAsia="en-GB"/>
              </w:rPr>
              <w:t xml:space="preserve"> </w:t>
            </w:r>
            <w:r w:rsidR="00FB0850">
              <w:rPr>
                <w:color w:val="auto"/>
                <w:lang w:val="fr-FR" w:eastAsia="en-GB"/>
              </w:rPr>
              <w:br/>
            </w:r>
            <w:r w:rsidRPr="00FB0850">
              <w:rPr>
                <w:color w:val="auto"/>
                <w:lang w:val="fr-FR" w:eastAsia="en-GB"/>
              </w:rPr>
              <w:t>Passifs courants</w:t>
            </w:r>
          </w:p>
        </w:tc>
        <w:tc>
          <w:tcPr>
            <w:tcW w:w="1928" w:type="dxa"/>
            <w:shd w:val="clear" w:color="auto" w:fill="auto"/>
            <w:vAlign w:val="center"/>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2</w:t>
            </w:r>
            <w:r w:rsidR="00F24F3F" w:rsidRPr="00FB0850">
              <w:rPr>
                <w:color w:val="auto"/>
                <w:lang w:val="fr-FR" w:eastAsia="en-GB"/>
              </w:rPr>
              <w:t>,</w:t>
            </w:r>
            <w:r w:rsidRPr="00FB0850">
              <w:rPr>
                <w:color w:val="auto"/>
                <w:lang w:val="fr-FR" w:eastAsia="en-GB"/>
              </w:rPr>
              <w:t>97</w:t>
            </w:r>
          </w:p>
        </w:tc>
        <w:tc>
          <w:tcPr>
            <w:tcW w:w="1928" w:type="dxa"/>
            <w:shd w:val="clear" w:color="auto" w:fill="auto"/>
            <w:vAlign w:val="center"/>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3</w:t>
            </w:r>
            <w:r w:rsidR="00F24F3F" w:rsidRPr="00FB0850">
              <w:rPr>
                <w:color w:val="auto"/>
                <w:lang w:val="fr-FR" w:eastAsia="en-GB"/>
              </w:rPr>
              <w:t>,</w:t>
            </w:r>
            <w:r w:rsidRPr="00FB0850">
              <w:rPr>
                <w:color w:val="auto"/>
                <w:lang w:val="fr-FR" w:eastAsia="en-GB"/>
              </w:rPr>
              <w:t>13</w:t>
            </w:r>
          </w:p>
        </w:tc>
        <w:tc>
          <w:tcPr>
            <w:tcW w:w="1928" w:type="dxa"/>
            <w:shd w:val="clear" w:color="auto" w:fill="auto"/>
            <w:vAlign w:val="center"/>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2</w:t>
            </w:r>
            <w:r w:rsidR="00F24F3F" w:rsidRPr="00FB0850">
              <w:rPr>
                <w:color w:val="auto"/>
                <w:lang w:val="fr-FR" w:eastAsia="en-GB"/>
              </w:rPr>
              <w:t>,</w:t>
            </w:r>
            <w:r w:rsidRPr="00FB0850">
              <w:rPr>
                <w:color w:val="auto"/>
                <w:lang w:val="fr-FR" w:eastAsia="en-GB"/>
              </w:rPr>
              <w:t>19</w:t>
            </w:r>
          </w:p>
        </w:tc>
        <w:tc>
          <w:tcPr>
            <w:tcW w:w="1928" w:type="dxa"/>
            <w:shd w:val="clear" w:color="auto" w:fill="auto"/>
            <w:vAlign w:val="center"/>
          </w:tcPr>
          <w:p w:rsidR="00E124B9" w:rsidRPr="00FB0850" w:rsidRDefault="00E124B9" w:rsidP="00F24F3F">
            <w:pPr>
              <w:pStyle w:val="Figuretext"/>
              <w:spacing w:before="0" w:after="0"/>
              <w:jc w:val="center"/>
              <w:rPr>
                <w:color w:val="auto"/>
                <w:lang w:val="fr-FR" w:eastAsia="en-GB"/>
              </w:rPr>
            </w:pPr>
            <w:r w:rsidRPr="00FB0850">
              <w:rPr>
                <w:color w:val="auto"/>
                <w:lang w:val="fr-FR" w:eastAsia="en-GB"/>
              </w:rPr>
              <w:t>2</w:t>
            </w:r>
            <w:r w:rsidR="00F24F3F" w:rsidRPr="00FB0850">
              <w:rPr>
                <w:color w:val="auto"/>
                <w:lang w:val="fr-FR" w:eastAsia="en-GB"/>
              </w:rPr>
              <w:t>,</w:t>
            </w:r>
            <w:r w:rsidRPr="00FB0850">
              <w:rPr>
                <w:color w:val="auto"/>
                <w:lang w:val="fr-FR" w:eastAsia="en-GB"/>
              </w:rPr>
              <w:t>43</w:t>
            </w:r>
          </w:p>
        </w:tc>
      </w:tr>
      <w:tr w:rsidR="000222D6" w:rsidRPr="00FB0850" w:rsidTr="00F24F3F">
        <w:trPr>
          <w:cantSplit/>
        </w:trPr>
        <w:tc>
          <w:tcPr>
            <w:tcW w:w="9639" w:type="dxa"/>
            <w:gridSpan w:val="5"/>
            <w:shd w:val="clear" w:color="auto" w:fill="auto"/>
          </w:tcPr>
          <w:p w:rsidR="00CA3696" w:rsidRPr="00FB0850" w:rsidRDefault="00CA3696" w:rsidP="0072643B">
            <w:pPr>
              <w:pStyle w:val="FootnoteText"/>
            </w:pPr>
            <w:r w:rsidRPr="00FB0850">
              <w:rPr>
                <w:vertAlign w:val="superscript"/>
              </w:rPr>
              <w:t>1</w:t>
            </w:r>
            <w:r w:rsidR="00456C9A" w:rsidRPr="00FB0850">
              <w:t xml:space="preserve"> </w:t>
            </w:r>
            <w:r w:rsidRPr="00FB0850">
              <w:t>Un ratio de liquidité générale élevé indique la capacité d</w:t>
            </w:r>
            <w:r w:rsidR="00ED7246" w:rsidRPr="00FB0850">
              <w:t>’</w:t>
            </w:r>
            <w:r w:rsidRPr="00FB0850">
              <w:t>un organisme à rembourser ses passifs à court terme.</w:t>
            </w:r>
          </w:p>
          <w:p w:rsidR="00CA3696" w:rsidRPr="00FB0850" w:rsidRDefault="00CA3696" w:rsidP="0072643B">
            <w:pPr>
              <w:pStyle w:val="FootnoteText"/>
            </w:pPr>
            <w:r w:rsidRPr="00FB0850">
              <w:rPr>
                <w:vertAlign w:val="superscript"/>
              </w:rPr>
              <w:t>2</w:t>
            </w:r>
            <w:r w:rsidR="00456C9A" w:rsidRPr="00FB0850">
              <w:t xml:space="preserve"> </w:t>
            </w:r>
            <w:r w:rsidRPr="00FB0850">
              <w:t>Un ratio actif passif élevé est un bon indicateur de solvabilité.</w:t>
            </w:r>
          </w:p>
          <w:p w:rsidR="00CA3696" w:rsidRPr="00FB0850" w:rsidRDefault="00CA3696" w:rsidP="0072643B">
            <w:pPr>
              <w:pStyle w:val="FootnoteText"/>
            </w:pPr>
            <w:r w:rsidRPr="00FB0850">
              <w:rPr>
                <w:vertAlign w:val="superscript"/>
              </w:rPr>
              <w:t>3</w:t>
            </w:r>
            <w:r w:rsidRPr="00FB0850">
              <w:t xml:space="preserve"> Le ratio de trésorerie est un indicateur de la liquidité d</w:t>
            </w:r>
            <w:r w:rsidR="00ED7246" w:rsidRPr="00FB0850">
              <w:t>’</w:t>
            </w:r>
            <w:r w:rsidRPr="00FB0850">
              <w:t>un organisme, en ce qu</w:t>
            </w:r>
            <w:r w:rsidR="00ED7246" w:rsidRPr="00FB0850">
              <w:t>’</w:t>
            </w:r>
            <w:r w:rsidRPr="00FB0850">
              <w:t>il mesure les montants de trésorerie et d</w:t>
            </w:r>
            <w:r w:rsidR="00ED7246" w:rsidRPr="00FB0850">
              <w:t>’</w:t>
            </w:r>
            <w:r w:rsidRPr="00FB0850">
              <w:t>équivalents de trésorerie disponibles dans les actifs courants pour couvrir les passifs courants.</w:t>
            </w:r>
          </w:p>
          <w:p w:rsidR="00CA3696" w:rsidRPr="00FB0850" w:rsidRDefault="00E124B9" w:rsidP="0072643B">
            <w:pPr>
              <w:pStyle w:val="FootnoteText"/>
              <w:rPr>
                <w:i/>
                <w:iCs/>
              </w:rPr>
            </w:pPr>
            <w:r w:rsidRPr="00FB0850">
              <w:rPr>
                <w:vertAlign w:val="superscript"/>
              </w:rPr>
              <w:t xml:space="preserve">4 </w:t>
            </w:r>
            <w:r w:rsidR="00C9429F" w:rsidRPr="00FB0850">
              <w:t xml:space="preserve">Les avantages du personnel </w:t>
            </w:r>
            <w:r w:rsidR="00ED7246" w:rsidRPr="00FB0850">
              <w:t>pour 2016</w:t>
            </w:r>
            <w:r w:rsidRPr="00FB0850">
              <w:t xml:space="preserve"> </w:t>
            </w:r>
            <w:r w:rsidR="00C9429F" w:rsidRPr="00FB0850">
              <w:t xml:space="preserve">ont été reformulés </w:t>
            </w:r>
            <w:r w:rsidR="00ED7246" w:rsidRPr="00FB0850">
              <w:t>en 2017</w:t>
            </w:r>
            <w:r w:rsidRPr="00FB0850">
              <w:t xml:space="preserve"> </w:t>
            </w:r>
            <w:r w:rsidR="00C9429F" w:rsidRPr="00FB0850">
              <w:t>pour tenir compte de l</w:t>
            </w:r>
            <w:r w:rsidR="00ED7246" w:rsidRPr="00FB0850">
              <w:t>’</w:t>
            </w:r>
            <w:r w:rsidRPr="00FB0850">
              <w:t>adoption</w:t>
            </w:r>
            <w:r w:rsidR="00C9429F" w:rsidRPr="00FB0850">
              <w:t xml:space="preserve"> de</w:t>
            </w:r>
            <w:r w:rsidRPr="00FB0850">
              <w:t xml:space="preserve"> </w:t>
            </w:r>
            <w:r w:rsidR="00C9429F" w:rsidRPr="00FB0850">
              <w:t>la norme</w:t>
            </w:r>
            <w:r w:rsidR="00114591" w:rsidRPr="00FB0850">
              <w:t> </w:t>
            </w:r>
            <w:r w:rsidR="00C9429F" w:rsidRPr="00FB0850">
              <w:t>IPSAS 39 –</w:t>
            </w:r>
            <w:r w:rsidR="00F45F80" w:rsidRPr="00FB0850">
              <w:t xml:space="preserve"> </w:t>
            </w:r>
            <w:r w:rsidR="00C9429F" w:rsidRPr="00FB0850">
              <w:rPr>
                <w:i/>
                <w:iCs/>
              </w:rPr>
              <w:t>norme relative aux avantages du personnel</w:t>
            </w:r>
          </w:p>
          <w:p w:rsidR="00C9429F" w:rsidRPr="00FB0850" w:rsidRDefault="00C9429F" w:rsidP="0072643B">
            <w:pPr>
              <w:pStyle w:val="FootnoteText"/>
            </w:pPr>
          </w:p>
          <w:p w:rsidR="00E124B9" w:rsidRPr="00FB0850" w:rsidRDefault="00C72A44" w:rsidP="0072643B">
            <w:pPr>
              <w:pStyle w:val="FootnoteText"/>
              <w:rPr>
                <w:rStyle w:val="FootnoteReference"/>
                <w:lang w:eastAsia="en-GB"/>
              </w:rPr>
            </w:pPr>
            <w:r w:rsidRPr="00FB0850">
              <w:t>Source</w:t>
            </w:r>
            <w:r w:rsidR="00ED7246" w:rsidRPr="00FB0850">
              <w:t> :</w:t>
            </w:r>
            <w:r w:rsidRPr="00FB0850">
              <w:t xml:space="preserve"> États financiers de l</w:t>
            </w:r>
            <w:r w:rsidR="00ED7246" w:rsidRPr="00FB0850">
              <w:t>’</w:t>
            </w:r>
            <w:r w:rsidRPr="00FB0850">
              <w:t>UPOV après audit</w:t>
            </w:r>
          </w:p>
        </w:tc>
      </w:tr>
    </w:tbl>
    <w:p w:rsidR="00CA3696" w:rsidRPr="00FB0850" w:rsidRDefault="0063359A" w:rsidP="00F24F3F">
      <w:pPr>
        <w:pStyle w:val="Number1"/>
        <w:numPr>
          <w:ilvl w:val="1"/>
          <w:numId w:val="3"/>
        </w:numPr>
        <w:ind w:left="1701" w:firstLine="0"/>
        <w:jc w:val="both"/>
        <w:rPr>
          <w:color w:val="auto"/>
        </w:rPr>
      </w:pPr>
      <w:bookmarkStart w:id="11" w:name="SW0005"/>
      <w:bookmarkEnd w:id="9"/>
      <w:r w:rsidRPr="00FB0850">
        <w:rPr>
          <w:color w:val="auto"/>
        </w:rPr>
        <w:t xml:space="preserve">Même si </w:t>
      </w:r>
      <w:r w:rsidR="00B378CA" w:rsidRPr="00FB0850">
        <w:rPr>
          <w:color w:val="auto"/>
        </w:rPr>
        <w:t>son</w:t>
      </w:r>
      <w:r w:rsidRPr="00FB0850">
        <w:rPr>
          <w:color w:val="auto"/>
        </w:rPr>
        <w:t xml:space="preserve"> ratio global d</w:t>
      </w:r>
      <w:r w:rsidR="00ED7246" w:rsidRPr="00FB0850">
        <w:rPr>
          <w:color w:val="auto"/>
        </w:rPr>
        <w:t>’</w:t>
      </w:r>
      <w:r w:rsidRPr="00FB0850">
        <w:rPr>
          <w:color w:val="auto"/>
        </w:rPr>
        <w:t xml:space="preserve">actifs a baissé de </w:t>
      </w:r>
      <w:r w:rsidR="00E124B9" w:rsidRPr="00FB0850">
        <w:rPr>
          <w:color w:val="auto"/>
        </w:rPr>
        <w:t>1</w:t>
      </w:r>
      <w:r w:rsidRPr="00FB0850">
        <w:rPr>
          <w:color w:val="auto"/>
        </w:rPr>
        <w:t>,</w:t>
      </w:r>
      <w:r w:rsidR="00E124B9" w:rsidRPr="00FB0850">
        <w:rPr>
          <w:color w:val="auto"/>
        </w:rPr>
        <w:t xml:space="preserve">55 </w:t>
      </w:r>
      <w:r w:rsidRPr="00FB0850">
        <w:rPr>
          <w:color w:val="auto"/>
        </w:rPr>
        <w:t>à</w:t>
      </w:r>
      <w:r w:rsidR="00E124B9" w:rsidRPr="00FB0850">
        <w:rPr>
          <w:color w:val="auto"/>
        </w:rPr>
        <w:t xml:space="preserve"> 1</w:t>
      </w:r>
      <w:r w:rsidRPr="00FB0850">
        <w:rPr>
          <w:color w:val="auto"/>
        </w:rPr>
        <w:t>,</w:t>
      </w:r>
      <w:r w:rsidR="00E124B9" w:rsidRPr="00FB0850">
        <w:rPr>
          <w:color w:val="auto"/>
        </w:rPr>
        <w:t xml:space="preserve">18, </w:t>
      </w:r>
      <w:r w:rsidRPr="00FB0850">
        <w:rPr>
          <w:color w:val="auto"/>
        </w:rPr>
        <w:t>l</w:t>
      </w:r>
      <w:r w:rsidR="00ED7246" w:rsidRPr="00FB0850">
        <w:rPr>
          <w:color w:val="auto"/>
        </w:rPr>
        <w:t>’</w:t>
      </w:r>
      <w:r w:rsidR="00E124B9" w:rsidRPr="00FB0850">
        <w:rPr>
          <w:color w:val="auto"/>
        </w:rPr>
        <w:t xml:space="preserve">UPOV </w:t>
      </w:r>
      <w:r w:rsidR="00273C14" w:rsidRPr="00FB0850">
        <w:rPr>
          <w:color w:val="auto"/>
        </w:rPr>
        <w:t>conserve un volume d</w:t>
      </w:r>
      <w:r w:rsidR="00ED7246" w:rsidRPr="00FB0850">
        <w:rPr>
          <w:color w:val="auto"/>
        </w:rPr>
        <w:t>’</w:t>
      </w:r>
      <w:r w:rsidR="00273C14" w:rsidRPr="00FB0850">
        <w:rPr>
          <w:color w:val="auto"/>
        </w:rPr>
        <w:t>actifs suffisant pour couvrir ses engagements</w:t>
      </w:r>
      <w:r w:rsidR="00E124B9" w:rsidRPr="00FB0850">
        <w:rPr>
          <w:color w:val="auto"/>
        </w:rPr>
        <w:t xml:space="preserve">, </w:t>
      </w:r>
      <w:r w:rsidR="00273C14" w:rsidRPr="00FB0850">
        <w:rPr>
          <w:color w:val="auto"/>
        </w:rPr>
        <w:t xml:space="preserve">dans la mesure où sa trésorerie et ses équivalents de trésorerie </w:t>
      </w:r>
      <w:r w:rsidR="00E124B9" w:rsidRPr="00FB0850">
        <w:rPr>
          <w:color w:val="auto"/>
        </w:rPr>
        <w:t>co</w:t>
      </w:r>
      <w:r w:rsidR="00273C14" w:rsidRPr="00FB0850">
        <w:rPr>
          <w:color w:val="auto"/>
        </w:rPr>
        <w:t>uvrent 2,97</w:t>
      </w:r>
      <w:r w:rsidR="00292EA7" w:rsidRPr="00FB0850">
        <w:rPr>
          <w:color w:val="auto"/>
        </w:rPr>
        <w:t> </w:t>
      </w:r>
      <w:r w:rsidR="00273C14" w:rsidRPr="00FB0850">
        <w:rPr>
          <w:color w:val="auto"/>
        </w:rPr>
        <w:t>fois ses engagements courants</w:t>
      </w:r>
      <w:r w:rsidR="00E124B9" w:rsidRPr="00FB0850">
        <w:rPr>
          <w:color w:val="auto"/>
        </w:rPr>
        <w:t xml:space="preserve">, </w:t>
      </w:r>
      <w:r w:rsidR="00273C14" w:rsidRPr="00FB0850">
        <w:rPr>
          <w:color w:val="auto"/>
        </w:rPr>
        <w:t xml:space="preserve">en hausse par rapport à </w:t>
      </w:r>
      <w:r w:rsidR="00BF5708" w:rsidRPr="00FB0850">
        <w:rPr>
          <w:color w:val="auto"/>
        </w:rPr>
        <w:t>l</w:t>
      </w:r>
      <w:r w:rsidR="00ED7246" w:rsidRPr="00FB0850">
        <w:rPr>
          <w:color w:val="auto"/>
        </w:rPr>
        <w:t>’</w:t>
      </w:r>
      <w:r w:rsidR="00BF5708" w:rsidRPr="00FB0850">
        <w:rPr>
          <w:color w:val="auto"/>
        </w:rPr>
        <w:t xml:space="preserve">année </w:t>
      </w:r>
      <w:r w:rsidR="00273C14" w:rsidRPr="00FB0850">
        <w:rPr>
          <w:color w:val="auto"/>
        </w:rPr>
        <w:t xml:space="preserve">2015 </w:t>
      </w:r>
      <w:r w:rsidR="00BF5708" w:rsidRPr="00FB0850">
        <w:rPr>
          <w:color w:val="auto"/>
        </w:rPr>
        <w:t xml:space="preserve">où </w:t>
      </w:r>
      <w:r w:rsidR="00273C14" w:rsidRPr="00FB0850">
        <w:rPr>
          <w:color w:val="auto"/>
        </w:rPr>
        <w:t>le r</w:t>
      </w:r>
      <w:r w:rsidR="00BF5708" w:rsidRPr="00FB0850">
        <w:rPr>
          <w:color w:val="auto"/>
        </w:rPr>
        <w:t>atio</w:t>
      </w:r>
      <w:r w:rsidR="00273C14" w:rsidRPr="00FB0850">
        <w:rPr>
          <w:color w:val="auto"/>
        </w:rPr>
        <w:t xml:space="preserve"> était </w:t>
      </w:r>
      <w:r w:rsidR="00BF5708" w:rsidRPr="00FB0850">
        <w:rPr>
          <w:color w:val="auto"/>
        </w:rPr>
        <w:t xml:space="preserve">de </w:t>
      </w:r>
      <w:r w:rsidR="00E124B9" w:rsidRPr="00FB0850">
        <w:rPr>
          <w:color w:val="auto"/>
        </w:rPr>
        <w:t>2</w:t>
      </w:r>
      <w:r w:rsidR="00273C14" w:rsidRPr="00FB0850">
        <w:rPr>
          <w:color w:val="auto"/>
        </w:rPr>
        <w:t>,</w:t>
      </w:r>
      <w:r w:rsidR="00E124B9" w:rsidRPr="00FB0850">
        <w:rPr>
          <w:color w:val="auto"/>
        </w:rPr>
        <w:t xml:space="preserve">43. </w:t>
      </w:r>
      <w:r w:rsidR="00114591" w:rsidRPr="00FB0850">
        <w:rPr>
          <w:color w:val="auto"/>
        </w:rPr>
        <w:t xml:space="preserve"> </w:t>
      </w:r>
      <w:r w:rsidR="00273C14" w:rsidRPr="00FB0850">
        <w:rPr>
          <w:color w:val="auto"/>
        </w:rPr>
        <w:t>Il s</w:t>
      </w:r>
      <w:r w:rsidR="00ED7246" w:rsidRPr="00FB0850">
        <w:rPr>
          <w:color w:val="auto"/>
        </w:rPr>
        <w:t>’</w:t>
      </w:r>
      <w:r w:rsidR="00273C14" w:rsidRPr="00FB0850">
        <w:rPr>
          <w:color w:val="auto"/>
        </w:rPr>
        <w:t>agit d</w:t>
      </w:r>
      <w:r w:rsidR="00ED7246" w:rsidRPr="00FB0850">
        <w:rPr>
          <w:color w:val="auto"/>
        </w:rPr>
        <w:t>’</w:t>
      </w:r>
      <w:r w:rsidR="00273C14" w:rsidRPr="00FB0850">
        <w:rPr>
          <w:color w:val="auto"/>
        </w:rPr>
        <w:t xml:space="preserve">un ratio relativement élevé, et les raisons justifiant de considérer les </w:t>
      </w:r>
      <w:r w:rsidR="0080367A" w:rsidRPr="00FB0850">
        <w:rPr>
          <w:color w:val="auto"/>
        </w:rPr>
        <w:t>solde</w:t>
      </w:r>
      <w:r w:rsidR="00273C14" w:rsidRPr="00FB0850">
        <w:rPr>
          <w:color w:val="auto"/>
        </w:rPr>
        <w:t>s comme de la trésorerie sont indiquées plus b</w:t>
      </w:r>
      <w:r w:rsidR="002A21D7" w:rsidRPr="00FB0850">
        <w:rPr>
          <w:color w:val="auto"/>
        </w:rPr>
        <w:t>as.  La</w:t>
      </w:r>
      <w:r w:rsidR="00273C14" w:rsidRPr="00FB0850">
        <w:rPr>
          <w:color w:val="auto"/>
        </w:rPr>
        <w:t xml:space="preserve"> </w:t>
      </w:r>
      <w:r w:rsidR="00E124B9" w:rsidRPr="00FB0850">
        <w:rPr>
          <w:color w:val="auto"/>
        </w:rPr>
        <w:t>r</w:t>
      </w:r>
      <w:r w:rsidR="00273C14" w:rsidRPr="00FB0850">
        <w:rPr>
          <w:color w:val="auto"/>
        </w:rPr>
        <w:t>é</w:t>
      </w:r>
      <w:r w:rsidR="00E124B9" w:rsidRPr="00FB0850">
        <w:rPr>
          <w:color w:val="auto"/>
        </w:rPr>
        <w:t xml:space="preserve">duction </w:t>
      </w:r>
      <w:r w:rsidR="00273C14" w:rsidRPr="00FB0850">
        <w:rPr>
          <w:color w:val="auto"/>
        </w:rPr>
        <w:t xml:space="preserve">globale des ratios courants et </w:t>
      </w:r>
      <w:r w:rsidR="0080367A" w:rsidRPr="00FB0850">
        <w:rPr>
          <w:color w:val="auto"/>
        </w:rPr>
        <w:t xml:space="preserve">des ratios </w:t>
      </w:r>
      <w:r w:rsidR="00273C14" w:rsidRPr="00FB0850">
        <w:rPr>
          <w:color w:val="auto"/>
        </w:rPr>
        <w:t xml:space="preserve">de trésorerie </w:t>
      </w:r>
      <w:r w:rsidR="0080367A" w:rsidRPr="00FB0850">
        <w:rPr>
          <w:color w:val="auto"/>
        </w:rPr>
        <w:t>pendant l</w:t>
      </w:r>
      <w:r w:rsidR="00ED7246" w:rsidRPr="00FB0850">
        <w:rPr>
          <w:color w:val="auto"/>
        </w:rPr>
        <w:t>’</w:t>
      </w:r>
      <w:r w:rsidR="0080367A" w:rsidRPr="00FB0850">
        <w:rPr>
          <w:color w:val="auto"/>
        </w:rPr>
        <w:t>année en cours est due principalement à l</w:t>
      </w:r>
      <w:r w:rsidR="00ED7246" w:rsidRPr="00FB0850">
        <w:rPr>
          <w:color w:val="auto"/>
        </w:rPr>
        <w:t>’</w:t>
      </w:r>
      <w:r w:rsidR="0080367A" w:rsidRPr="00FB0850">
        <w:rPr>
          <w:color w:val="auto"/>
        </w:rPr>
        <w:t xml:space="preserve">augmentation du solde dû à </w:t>
      </w:r>
      <w:r w:rsidR="00C61FE1" w:rsidRPr="00FB0850">
        <w:rPr>
          <w:color w:val="auto"/>
        </w:rPr>
        <w:t>l</w:t>
      </w:r>
      <w:r w:rsidR="00ED7246" w:rsidRPr="00FB0850">
        <w:rPr>
          <w:color w:val="auto"/>
        </w:rPr>
        <w:t>’</w:t>
      </w:r>
      <w:r w:rsidR="00C61FE1" w:rsidRPr="00FB0850">
        <w:rPr>
          <w:color w:val="auto"/>
        </w:rPr>
        <w:t>OMPI</w:t>
      </w:r>
      <w:r w:rsidR="00E124B9" w:rsidRPr="00FB0850">
        <w:rPr>
          <w:color w:val="auto"/>
        </w:rPr>
        <w:t xml:space="preserve"> </w:t>
      </w:r>
      <w:r w:rsidR="0080367A" w:rsidRPr="00FB0850">
        <w:rPr>
          <w:color w:val="auto"/>
        </w:rPr>
        <w:t xml:space="preserve">au titre des services </w:t>
      </w:r>
      <w:r w:rsidR="00E124B9" w:rsidRPr="00FB0850">
        <w:rPr>
          <w:color w:val="auto"/>
        </w:rPr>
        <w:t>administrati</w:t>
      </w:r>
      <w:r w:rsidR="0080367A" w:rsidRPr="00FB0850">
        <w:rPr>
          <w:color w:val="auto"/>
        </w:rPr>
        <w:t>f</w:t>
      </w:r>
      <w:r w:rsidR="00E124B9" w:rsidRPr="00FB0850">
        <w:rPr>
          <w:color w:val="auto"/>
        </w:rPr>
        <w:t>s.</w:t>
      </w:r>
    </w:p>
    <w:p w:rsidR="00CA3696" w:rsidRPr="00FB0850" w:rsidRDefault="00C72A44" w:rsidP="00F24F3F">
      <w:pPr>
        <w:pStyle w:val="Heading3"/>
        <w:rPr>
          <w:lang w:val="fr-FR"/>
        </w:rPr>
      </w:pPr>
      <w:r w:rsidRPr="00FB0850">
        <w:rPr>
          <w:lang w:val="fr-FR"/>
        </w:rPr>
        <w:t>Trésorerie et équivalents de trésorerie</w:t>
      </w:r>
    </w:p>
    <w:p w:rsidR="00ED7246" w:rsidRPr="00FB0850" w:rsidRDefault="00E124B9" w:rsidP="00F24F3F">
      <w:pPr>
        <w:pStyle w:val="Number1"/>
        <w:numPr>
          <w:ilvl w:val="1"/>
          <w:numId w:val="3"/>
        </w:numPr>
        <w:ind w:left="1701" w:firstLine="0"/>
        <w:jc w:val="both"/>
        <w:rPr>
          <w:color w:val="auto"/>
        </w:rPr>
      </w:pPr>
      <w:r w:rsidRPr="00FB0850">
        <w:rPr>
          <w:color w:val="auto"/>
        </w:rPr>
        <w:t>A</w:t>
      </w:r>
      <w:r w:rsidR="0080367A" w:rsidRPr="00FB0850">
        <w:rPr>
          <w:color w:val="auto"/>
        </w:rPr>
        <w:t>u</w:t>
      </w:r>
      <w:r w:rsidRPr="00FB0850">
        <w:rPr>
          <w:color w:val="auto"/>
        </w:rPr>
        <w:t xml:space="preserve"> 3</w:t>
      </w:r>
      <w:r w:rsidR="00ED7246" w:rsidRPr="00FB0850">
        <w:rPr>
          <w:color w:val="auto"/>
        </w:rPr>
        <w:t>1 décembre 20</w:t>
      </w:r>
      <w:r w:rsidRPr="00FB0850">
        <w:rPr>
          <w:color w:val="auto"/>
        </w:rPr>
        <w:t xml:space="preserve">18, </w:t>
      </w:r>
      <w:r w:rsidR="006F1883" w:rsidRPr="00FB0850">
        <w:rPr>
          <w:color w:val="auto"/>
        </w:rPr>
        <w:t>l</w:t>
      </w:r>
      <w:r w:rsidR="00ED7246" w:rsidRPr="00FB0850">
        <w:rPr>
          <w:color w:val="auto"/>
        </w:rPr>
        <w:t>’</w:t>
      </w:r>
      <w:r w:rsidRPr="00FB0850">
        <w:rPr>
          <w:color w:val="auto"/>
        </w:rPr>
        <w:t xml:space="preserve">UPOV </w:t>
      </w:r>
      <w:r w:rsidR="006F1883" w:rsidRPr="00FB0850">
        <w:rPr>
          <w:color w:val="auto"/>
        </w:rPr>
        <w:t xml:space="preserve">avait inscrit </w:t>
      </w:r>
      <w:r w:rsidR="000E69A4" w:rsidRPr="00FB0850">
        <w:rPr>
          <w:color w:val="auto"/>
        </w:rPr>
        <w:t>en</w:t>
      </w:r>
      <w:r w:rsidR="006F1883" w:rsidRPr="00FB0850">
        <w:rPr>
          <w:color w:val="auto"/>
        </w:rPr>
        <w:t xml:space="preserve"> solde de trésorerie et d</w:t>
      </w:r>
      <w:r w:rsidR="00ED7246" w:rsidRPr="00FB0850">
        <w:rPr>
          <w:color w:val="auto"/>
        </w:rPr>
        <w:t>’</w:t>
      </w:r>
      <w:r w:rsidR="006F1883" w:rsidRPr="00FB0850">
        <w:rPr>
          <w:color w:val="auto"/>
        </w:rPr>
        <w:t>équivalents de trésorerie</w:t>
      </w:r>
      <w:r w:rsidRPr="00FB0850">
        <w:rPr>
          <w:color w:val="auto"/>
          <w:vertAlign w:val="superscript"/>
        </w:rPr>
        <w:footnoteReference w:id="2"/>
      </w:r>
      <w:r w:rsidR="006F1883" w:rsidRPr="00FB0850">
        <w:rPr>
          <w:color w:val="auto"/>
        </w:rPr>
        <w:t xml:space="preserve"> un montant de 4,</w:t>
      </w:r>
      <w:r w:rsidR="00ED7246" w:rsidRPr="00FB0850">
        <w:rPr>
          <w:color w:val="auto"/>
        </w:rPr>
        <w:t>3 million</w:t>
      </w:r>
      <w:r w:rsidR="00005C77" w:rsidRPr="00FB0850">
        <w:rPr>
          <w:color w:val="auto"/>
        </w:rPr>
        <w:t>s de francs suisses</w:t>
      </w:r>
      <w:r w:rsidRPr="00FB0850">
        <w:rPr>
          <w:color w:val="auto"/>
        </w:rPr>
        <w:t xml:space="preserve">, </w:t>
      </w:r>
      <w:r w:rsidR="006F1883" w:rsidRPr="00FB0850">
        <w:rPr>
          <w:color w:val="auto"/>
        </w:rPr>
        <w:t>e</w:t>
      </w:r>
      <w:r w:rsidRPr="00FB0850">
        <w:rPr>
          <w:color w:val="auto"/>
        </w:rPr>
        <w:t xml:space="preserve">n </w:t>
      </w:r>
      <w:r w:rsidR="006F1883" w:rsidRPr="00FB0850">
        <w:rPr>
          <w:color w:val="auto"/>
        </w:rPr>
        <w:t xml:space="preserve">hausse de </w:t>
      </w:r>
      <w:r w:rsidRPr="00FB0850">
        <w:rPr>
          <w:color w:val="auto"/>
        </w:rPr>
        <w:t>3</w:t>
      </w:r>
      <w:r w:rsidR="006F1883" w:rsidRPr="00FB0850">
        <w:rPr>
          <w:color w:val="auto"/>
        </w:rPr>
        <w:t>,</w:t>
      </w:r>
      <w:r w:rsidRPr="00FB0850">
        <w:rPr>
          <w:color w:val="auto"/>
        </w:rPr>
        <w:t>9</w:t>
      </w:r>
      <w:r w:rsidR="006F1883" w:rsidRPr="00FB0850">
        <w:rPr>
          <w:color w:val="auto"/>
        </w:rPr>
        <w:t xml:space="preserve">% par rapport au </w:t>
      </w:r>
      <w:r w:rsidRPr="00FB0850">
        <w:rPr>
          <w:color w:val="auto"/>
        </w:rPr>
        <w:t>3</w:t>
      </w:r>
      <w:r w:rsidR="00ED7246" w:rsidRPr="00FB0850">
        <w:rPr>
          <w:color w:val="auto"/>
        </w:rPr>
        <w:t>1 décembre 20</w:t>
      </w:r>
      <w:r w:rsidRPr="00FB0850">
        <w:rPr>
          <w:color w:val="auto"/>
        </w:rPr>
        <w:t xml:space="preserve">17. </w:t>
      </w:r>
      <w:r w:rsidR="00114591" w:rsidRPr="00FB0850">
        <w:rPr>
          <w:color w:val="auto"/>
        </w:rPr>
        <w:t xml:space="preserve"> </w:t>
      </w:r>
      <w:r w:rsidR="006F1883" w:rsidRPr="00FB0850">
        <w:rPr>
          <w:color w:val="auto"/>
        </w:rPr>
        <w:t xml:space="preserve">Conformément au </w:t>
      </w:r>
      <w:r w:rsidR="00114591" w:rsidRPr="00FB0850">
        <w:rPr>
          <w:color w:val="auto"/>
        </w:rPr>
        <w:t>chapitre</w:t>
      </w:r>
      <w:r w:rsidR="00ED7246" w:rsidRPr="00FB0850">
        <w:rPr>
          <w:color w:val="auto"/>
        </w:rPr>
        <w:t> 4</w:t>
      </w:r>
      <w:r w:rsidRPr="00FB0850">
        <w:rPr>
          <w:color w:val="auto"/>
        </w:rPr>
        <w:t xml:space="preserve"> </w:t>
      </w:r>
      <w:r w:rsidR="006F1883" w:rsidRPr="00FB0850">
        <w:rPr>
          <w:color w:val="auto"/>
        </w:rPr>
        <w:t>du Règlement financier et du règlement d</w:t>
      </w:r>
      <w:r w:rsidR="00ED7246" w:rsidRPr="00FB0850">
        <w:rPr>
          <w:color w:val="auto"/>
        </w:rPr>
        <w:t>’</w:t>
      </w:r>
      <w:r w:rsidR="006F1883" w:rsidRPr="00FB0850">
        <w:rPr>
          <w:color w:val="auto"/>
        </w:rPr>
        <w:t xml:space="preserve">exécution </w:t>
      </w:r>
      <w:r w:rsidR="00DC3195" w:rsidRPr="00FB0850">
        <w:rPr>
          <w:color w:val="auto"/>
        </w:rPr>
        <w:t xml:space="preserve">du Règlement financier </w:t>
      </w:r>
      <w:r w:rsidR="006F1883" w:rsidRPr="00FB0850">
        <w:rPr>
          <w:color w:val="auto"/>
        </w:rPr>
        <w:t>de l</w:t>
      </w:r>
      <w:r w:rsidR="00ED7246" w:rsidRPr="00FB0850">
        <w:rPr>
          <w:color w:val="auto"/>
        </w:rPr>
        <w:t>’</w:t>
      </w:r>
      <w:r w:rsidRPr="00FB0850">
        <w:rPr>
          <w:color w:val="auto"/>
        </w:rPr>
        <w:t xml:space="preserve">UPOV, </w:t>
      </w:r>
      <w:r w:rsidR="00264DEF" w:rsidRPr="00FB0850">
        <w:rPr>
          <w:color w:val="auto"/>
        </w:rPr>
        <w:t>la garde des fonds de l</w:t>
      </w:r>
      <w:r w:rsidR="00ED7246" w:rsidRPr="00FB0850">
        <w:rPr>
          <w:color w:val="auto"/>
        </w:rPr>
        <w:t>’</w:t>
      </w:r>
      <w:r w:rsidRPr="00FB0850">
        <w:rPr>
          <w:color w:val="auto"/>
        </w:rPr>
        <w:t xml:space="preserve">UPOV </w:t>
      </w:r>
      <w:r w:rsidR="00264DEF" w:rsidRPr="00FB0850">
        <w:rPr>
          <w:color w:val="auto"/>
        </w:rPr>
        <w:t xml:space="preserve">est assurée par </w:t>
      </w:r>
      <w:r w:rsidR="00C61FE1" w:rsidRPr="00FB0850">
        <w:rPr>
          <w:color w:val="auto"/>
        </w:rPr>
        <w:t>l</w:t>
      </w:r>
      <w:r w:rsidR="00ED7246" w:rsidRPr="00FB0850">
        <w:rPr>
          <w:color w:val="auto"/>
        </w:rPr>
        <w:t>’</w:t>
      </w:r>
      <w:r w:rsidR="00C61FE1" w:rsidRPr="00FB0850">
        <w:rPr>
          <w:color w:val="auto"/>
        </w:rPr>
        <w:t>OMPI</w:t>
      </w:r>
      <w:r w:rsidRPr="00FB0850">
        <w:rPr>
          <w:color w:val="auto"/>
        </w:rPr>
        <w:t xml:space="preserve">. </w:t>
      </w:r>
      <w:r w:rsidR="00114591" w:rsidRPr="00FB0850">
        <w:rPr>
          <w:color w:val="auto"/>
        </w:rPr>
        <w:t xml:space="preserve"> </w:t>
      </w:r>
      <w:r w:rsidR="00264DEF" w:rsidRPr="00FB0850">
        <w:rPr>
          <w:color w:val="auto"/>
        </w:rPr>
        <w:t>L</w:t>
      </w:r>
      <w:r w:rsidR="00ED7246" w:rsidRPr="00FB0850">
        <w:rPr>
          <w:color w:val="auto"/>
        </w:rPr>
        <w:t>’</w:t>
      </w:r>
      <w:r w:rsidR="00C61FE1" w:rsidRPr="00FB0850">
        <w:rPr>
          <w:color w:val="auto"/>
        </w:rPr>
        <w:t>OMPI</w:t>
      </w:r>
      <w:r w:rsidRPr="00FB0850">
        <w:rPr>
          <w:color w:val="auto"/>
        </w:rPr>
        <w:t xml:space="preserve"> a autorit</w:t>
      </w:r>
      <w:r w:rsidR="00264DEF" w:rsidRPr="00FB0850">
        <w:rPr>
          <w:color w:val="auto"/>
        </w:rPr>
        <w:t>é</w:t>
      </w:r>
      <w:r w:rsidRPr="00FB0850">
        <w:rPr>
          <w:color w:val="auto"/>
        </w:rPr>
        <w:t xml:space="preserve"> </w:t>
      </w:r>
      <w:r w:rsidR="00264DEF" w:rsidRPr="00FB0850">
        <w:rPr>
          <w:color w:val="auto"/>
        </w:rPr>
        <w:t xml:space="preserve">pour </w:t>
      </w:r>
      <w:r w:rsidR="000E69A4" w:rsidRPr="00FB0850">
        <w:rPr>
          <w:color w:val="auto"/>
        </w:rPr>
        <w:t>effectue</w:t>
      </w:r>
      <w:r w:rsidR="00264DEF" w:rsidRPr="00FB0850">
        <w:rPr>
          <w:color w:val="auto"/>
        </w:rPr>
        <w:t xml:space="preserve">r les placements à court </w:t>
      </w:r>
      <w:r w:rsidRPr="00FB0850">
        <w:rPr>
          <w:color w:val="auto"/>
        </w:rPr>
        <w:t>term</w:t>
      </w:r>
      <w:r w:rsidR="00264DEF" w:rsidRPr="00FB0850">
        <w:rPr>
          <w:color w:val="auto"/>
        </w:rPr>
        <w:t>e</w:t>
      </w:r>
      <w:r w:rsidRPr="00FB0850">
        <w:rPr>
          <w:color w:val="auto"/>
        </w:rPr>
        <w:t xml:space="preserve"> </w:t>
      </w:r>
      <w:r w:rsidR="00264DEF" w:rsidRPr="00FB0850">
        <w:rPr>
          <w:color w:val="auto"/>
        </w:rPr>
        <w:t>des fonds qui ne sont pas nécessaires aux besoins immédiats, conformément au Règlement financier et au</w:t>
      </w:r>
      <w:r w:rsidR="008D7B44" w:rsidRPr="00FB0850">
        <w:rPr>
          <w:color w:val="auto"/>
        </w:rPr>
        <w:t xml:space="preserve"> </w:t>
      </w:r>
      <w:r w:rsidR="00264DEF" w:rsidRPr="00FB0850">
        <w:rPr>
          <w:color w:val="auto"/>
        </w:rPr>
        <w:t>règlement d</w:t>
      </w:r>
      <w:r w:rsidR="00ED7246" w:rsidRPr="00FB0850">
        <w:rPr>
          <w:color w:val="auto"/>
        </w:rPr>
        <w:t>’</w:t>
      </w:r>
      <w:r w:rsidR="00264DEF" w:rsidRPr="00FB0850">
        <w:rPr>
          <w:color w:val="auto"/>
        </w:rPr>
        <w:t>exécution du Règlement financier de l</w:t>
      </w:r>
      <w:r w:rsidR="00ED7246" w:rsidRPr="00FB0850">
        <w:rPr>
          <w:color w:val="auto"/>
        </w:rPr>
        <w:t>’</w:t>
      </w:r>
      <w:r w:rsidR="00264DEF" w:rsidRPr="00FB0850">
        <w:rPr>
          <w:color w:val="auto"/>
        </w:rPr>
        <w:t>UPOV</w:t>
      </w:r>
      <w:r w:rsidRPr="00FB0850">
        <w:rPr>
          <w:color w:val="auto"/>
        </w:rPr>
        <w:t>.</w:t>
      </w:r>
    </w:p>
    <w:p w:rsidR="00ED7246" w:rsidRPr="00FB0850" w:rsidRDefault="00264DEF" w:rsidP="00F24F3F">
      <w:pPr>
        <w:pStyle w:val="Number1"/>
        <w:numPr>
          <w:ilvl w:val="1"/>
          <w:numId w:val="3"/>
        </w:numPr>
        <w:ind w:left="1701" w:firstLine="0"/>
        <w:jc w:val="both"/>
        <w:rPr>
          <w:color w:val="auto"/>
        </w:rPr>
      </w:pPr>
      <w:r w:rsidRPr="00FB0850">
        <w:rPr>
          <w:color w:val="auto"/>
        </w:rPr>
        <w:t>Au</w:t>
      </w:r>
      <w:r w:rsidR="00E124B9" w:rsidRPr="00FB0850">
        <w:rPr>
          <w:color w:val="auto"/>
        </w:rPr>
        <w:t xml:space="preserve"> 3</w:t>
      </w:r>
      <w:r w:rsidR="00ED7246" w:rsidRPr="00FB0850">
        <w:rPr>
          <w:color w:val="auto"/>
        </w:rPr>
        <w:t>1 décembre 20</w:t>
      </w:r>
      <w:r w:rsidR="00E124B9" w:rsidRPr="00FB0850">
        <w:rPr>
          <w:color w:val="auto"/>
        </w:rPr>
        <w:t>18, 97</w:t>
      </w:r>
      <w:r w:rsidRPr="00FB0850">
        <w:rPr>
          <w:color w:val="auto"/>
        </w:rPr>
        <w:t>,</w:t>
      </w:r>
      <w:r w:rsidR="00E124B9" w:rsidRPr="00FB0850">
        <w:rPr>
          <w:color w:val="auto"/>
        </w:rPr>
        <w:t>0</w:t>
      </w:r>
      <w:r w:rsidRPr="00FB0850">
        <w:rPr>
          <w:color w:val="auto"/>
        </w:rPr>
        <w:t>%</w:t>
      </w:r>
      <w:r w:rsidR="00E124B9" w:rsidRPr="00FB0850">
        <w:rPr>
          <w:color w:val="auto"/>
        </w:rPr>
        <w:t xml:space="preserve"> </w:t>
      </w:r>
      <w:r w:rsidRPr="00FB0850">
        <w:rPr>
          <w:color w:val="auto"/>
        </w:rPr>
        <w:t>des actifs de trésorerie de l</w:t>
      </w:r>
      <w:r w:rsidR="00ED7246" w:rsidRPr="00FB0850">
        <w:rPr>
          <w:color w:val="auto"/>
        </w:rPr>
        <w:t>’</w:t>
      </w:r>
      <w:r w:rsidR="00E124B9" w:rsidRPr="00FB0850">
        <w:rPr>
          <w:color w:val="auto"/>
        </w:rPr>
        <w:t>UPOV (</w:t>
      </w:r>
      <w:r w:rsidRPr="00FB0850">
        <w:rPr>
          <w:color w:val="auto"/>
        </w:rPr>
        <w:t>4,</w:t>
      </w:r>
      <w:r w:rsidR="00ED7246" w:rsidRPr="00FB0850">
        <w:rPr>
          <w:color w:val="auto"/>
        </w:rPr>
        <w:t>1 million</w:t>
      </w:r>
      <w:r w:rsidR="00005C77" w:rsidRPr="00FB0850">
        <w:rPr>
          <w:color w:val="auto"/>
        </w:rPr>
        <w:t>s de francs suisses</w:t>
      </w:r>
      <w:r w:rsidR="00E124B9" w:rsidRPr="00FB0850">
        <w:rPr>
          <w:color w:val="auto"/>
        </w:rPr>
        <w:t xml:space="preserve">) </w:t>
      </w:r>
      <w:r w:rsidRPr="00FB0850">
        <w:rPr>
          <w:color w:val="auto"/>
        </w:rPr>
        <w:t>étaient déposés sur des comptes en francs suiss</w:t>
      </w:r>
      <w:r w:rsidR="002A21D7" w:rsidRPr="00FB0850">
        <w:rPr>
          <w:color w:val="auto"/>
        </w:rPr>
        <w:t>es.  Le</w:t>
      </w:r>
      <w:r w:rsidRPr="00FB0850">
        <w:rPr>
          <w:color w:val="auto"/>
        </w:rPr>
        <w:t xml:space="preserve"> </w:t>
      </w:r>
      <w:r w:rsidR="001A6135" w:rsidRPr="00FB0850">
        <w:rPr>
          <w:color w:val="auto"/>
        </w:rPr>
        <w:t>directeur</w:t>
      </w:r>
      <w:r w:rsidRPr="00FB0850">
        <w:rPr>
          <w:color w:val="auto"/>
        </w:rPr>
        <w:t xml:space="preserve"> </w:t>
      </w:r>
      <w:r w:rsidR="001A6135" w:rsidRPr="00FB0850">
        <w:rPr>
          <w:color w:val="auto"/>
        </w:rPr>
        <w:t>de la Division des finances</w:t>
      </w:r>
      <w:r w:rsidRPr="00FB0850">
        <w:rPr>
          <w:color w:val="auto"/>
        </w:rPr>
        <w:t xml:space="preserve"> de </w:t>
      </w:r>
      <w:r w:rsidR="00C61FE1" w:rsidRPr="00FB0850">
        <w:rPr>
          <w:color w:val="auto"/>
        </w:rPr>
        <w:t>l</w:t>
      </w:r>
      <w:r w:rsidR="00ED7246" w:rsidRPr="00FB0850">
        <w:rPr>
          <w:color w:val="auto"/>
        </w:rPr>
        <w:t>’</w:t>
      </w:r>
      <w:r w:rsidR="00C61FE1" w:rsidRPr="00FB0850">
        <w:rPr>
          <w:color w:val="auto"/>
        </w:rPr>
        <w:t>OMPI</w:t>
      </w:r>
      <w:r w:rsidR="00E124B9" w:rsidRPr="00FB0850">
        <w:rPr>
          <w:color w:val="auto"/>
        </w:rPr>
        <w:t xml:space="preserve">, </w:t>
      </w:r>
      <w:r w:rsidR="001A6135" w:rsidRPr="00FB0850">
        <w:rPr>
          <w:color w:val="auto"/>
        </w:rPr>
        <w:t>e</w:t>
      </w:r>
      <w:r w:rsidR="00E124B9" w:rsidRPr="00FB0850">
        <w:rPr>
          <w:color w:val="auto"/>
        </w:rPr>
        <w:t xml:space="preserve">n consultation </w:t>
      </w:r>
      <w:r w:rsidR="001A6135" w:rsidRPr="00FB0850">
        <w:rPr>
          <w:color w:val="auto"/>
        </w:rPr>
        <w:t>avec le Secrétaire général de l</w:t>
      </w:r>
      <w:r w:rsidR="00ED7246" w:rsidRPr="00FB0850">
        <w:rPr>
          <w:color w:val="auto"/>
        </w:rPr>
        <w:t>’</w:t>
      </w:r>
      <w:r w:rsidR="00E124B9" w:rsidRPr="00FB0850">
        <w:rPr>
          <w:color w:val="auto"/>
        </w:rPr>
        <w:t xml:space="preserve">UPOV, </w:t>
      </w:r>
      <w:r w:rsidR="001A6135" w:rsidRPr="00FB0850">
        <w:rPr>
          <w:color w:val="auto"/>
        </w:rPr>
        <w:t xml:space="preserve">a </w:t>
      </w:r>
      <w:r w:rsidR="00E124B9" w:rsidRPr="00FB0850">
        <w:rPr>
          <w:color w:val="auto"/>
        </w:rPr>
        <w:t>consid</w:t>
      </w:r>
      <w:r w:rsidR="001A6135" w:rsidRPr="00FB0850">
        <w:rPr>
          <w:color w:val="auto"/>
        </w:rPr>
        <w:t>é</w:t>
      </w:r>
      <w:r w:rsidR="00E124B9" w:rsidRPr="00FB0850">
        <w:rPr>
          <w:color w:val="auto"/>
        </w:rPr>
        <w:t>r</w:t>
      </w:r>
      <w:r w:rsidR="001A6135" w:rsidRPr="00FB0850">
        <w:rPr>
          <w:color w:val="auto"/>
        </w:rPr>
        <w:t>é</w:t>
      </w:r>
      <w:r w:rsidR="00E124B9" w:rsidRPr="00FB0850">
        <w:rPr>
          <w:color w:val="auto"/>
        </w:rPr>
        <w:t xml:space="preserve"> </w:t>
      </w:r>
      <w:r w:rsidR="001A6135" w:rsidRPr="00FB0850">
        <w:rPr>
          <w:color w:val="auto"/>
        </w:rPr>
        <w:t>que le retour sur investissement potentiel des placements de plus long terme était contrebalancé par le coût d</w:t>
      </w:r>
      <w:r w:rsidR="00ED7246" w:rsidRPr="00FB0850">
        <w:rPr>
          <w:color w:val="auto"/>
        </w:rPr>
        <w:t>’</w:t>
      </w:r>
      <w:r w:rsidR="001A6135" w:rsidRPr="00FB0850">
        <w:rPr>
          <w:color w:val="auto"/>
        </w:rPr>
        <w:t>é</w:t>
      </w:r>
      <w:r w:rsidR="00E124B9" w:rsidRPr="00FB0850">
        <w:rPr>
          <w:color w:val="auto"/>
        </w:rPr>
        <w:t>tablis</w:t>
      </w:r>
      <w:r w:rsidR="001A6135" w:rsidRPr="00FB0850">
        <w:rPr>
          <w:color w:val="auto"/>
        </w:rPr>
        <w:t>se</w:t>
      </w:r>
      <w:r w:rsidR="00E124B9" w:rsidRPr="00FB0850">
        <w:rPr>
          <w:color w:val="auto"/>
        </w:rPr>
        <w:t xml:space="preserve">ment </w:t>
      </w:r>
      <w:r w:rsidR="00A456D7" w:rsidRPr="00FB0850">
        <w:rPr>
          <w:color w:val="auto"/>
        </w:rPr>
        <w:t>et</w:t>
      </w:r>
      <w:r w:rsidR="00E124B9" w:rsidRPr="00FB0850">
        <w:rPr>
          <w:color w:val="auto"/>
        </w:rPr>
        <w:t xml:space="preserve"> </w:t>
      </w:r>
      <w:r w:rsidR="001A6135" w:rsidRPr="00FB0850">
        <w:rPr>
          <w:color w:val="auto"/>
        </w:rPr>
        <w:t xml:space="preserve">de </w:t>
      </w:r>
      <w:r w:rsidR="00A456D7" w:rsidRPr="00FB0850">
        <w:rPr>
          <w:color w:val="auto"/>
        </w:rPr>
        <w:t>gestion</w:t>
      </w:r>
      <w:r w:rsidR="00E124B9" w:rsidRPr="00FB0850">
        <w:rPr>
          <w:color w:val="auto"/>
        </w:rPr>
        <w:t xml:space="preserve"> </w:t>
      </w:r>
      <w:r w:rsidR="001A6135" w:rsidRPr="00FB0850">
        <w:rPr>
          <w:color w:val="auto"/>
        </w:rPr>
        <w:t>des comptes concernés, en raison d</w:t>
      </w:r>
      <w:r w:rsidR="00A456D7" w:rsidRPr="00FB0850">
        <w:rPr>
          <w:color w:val="auto"/>
        </w:rPr>
        <w:t>u volum</w:t>
      </w:r>
      <w:r w:rsidR="001A6135" w:rsidRPr="00FB0850">
        <w:rPr>
          <w:color w:val="auto"/>
        </w:rPr>
        <w:t xml:space="preserve">e des </w:t>
      </w:r>
      <w:r w:rsidR="00A456D7" w:rsidRPr="00FB0850">
        <w:rPr>
          <w:color w:val="auto"/>
        </w:rPr>
        <w:t>soldes de trésorerie de l</w:t>
      </w:r>
      <w:r w:rsidR="00ED7246" w:rsidRPr="00FB0850">
        <w:rPr>
          <w:color w:val="auto"/>
        </w:rPr>
        <w:t>’</w:t>
      </w:r>
      <w:r w:rsidR="00E124B9" w:rsidRPr="00FB0850">
        <w:rPr>
          <w:color w:val="auto"/>
        </w:rPr>
        <w:t>UPOV.</w:t>
      </w:r>
    </w:p>
    <w:p w:rsidR="00CA3696" w:rsidRPr="00FB0850" w:rsidRDefault="00E124B9" w:rsidP="00F24F3F">
      <w:pPr>
        <w:pStyle w:val="Heading3"/>
        <w:rPr>
          <w:lang w:val="fr-FR"/>
        </w:rPr>
      </w:pPr>
      <w:r w:rsidRPr="00FB0850">
        <w:rPr>
          <w:lang w:val="fr-FR"/>
        </w:rPr>
        <w:lastRenderedPageBreak/>
        <w:t>F</w:t>
      </w:r>
      <w:r w:rsidR="00A456D7" w:rsidRPr="00FB0850">
        <w:rPr>
          <w:lang w:val="fr-FR"/>
        </w:rPr>
        <w:t>inancement des avantages du personnel de l</w:t>
      </w:r>
      <w:r w:rsidR="00ED7246" w:rsidRPr="00FB0850">
        <w:rPr>
          <w:lang w:val="fr-FR"/>
        </w:rPr>
        <w:t>’</w:t>
      </w:r>
      <w:r w:rsidRPr="00FB0850">
        <w:rPr>
          <w:lang w:val="fr-FR"/>
        </w:rPr>
        <w:t>UPOV</w:t>
      </w:r>
    </w:p>
    <w:p w:rsidR="00ED7246" w:rsidRPr="00FB0850" w:rsidRDefault="00E124B9" w:rsidP="00F24F3F">
      <w:pPr>
        <w:pStyle w:val="Number1"/>
        <w:numPr>
          <w:ilvl w:val="1"/>
          <w:numId w:val="3"/>
        </w:numPr>
        <w:ind w:left="1701" w:firstLine="0"/>
        <w:jc w:val="both"/>
        <w:rPr>
          <w:color w:val="auto"/>
        </w:rPr>
      </w:pPr>
      <w:r w:rsidRPr="00FB0850">
        <w:rPr>
          <w:color w:val="auto"/>
        </w:rPr>
        <w:t>A</w:t>
      </w:r>
      <w:r w:rsidR="00A456D7" w:rsidRPr="00FB0850">
        <w:rPr>
          <w:color w:val="auto"/>
        </w:rPr>
        <w:t>u</w:t>
      </w:r>
      <w:r w:rsidRPr="00FB0850">
        <w:rPr>
          <w:color w:val="auto"/>
        </w:rPr>
        <w:t xml:space="preserve"> 3</w:t>
      </w:r>
      <w:r w:rsidR="00ED7246" w:rsidRPr="00FB0850">
        <w:rPr>
          <w:color w:val="auto"/>
        </w:rPr>
        <w:t>1 décembre 20</w:t>
      </w:r>
      <w:r w:rsidRPr="00FB0850">
        <w:rPr>
          <w:color w:val="auto"/>
        </w:rPr>
        <w:t xml:space="preserve">18, </w:t>
      </w:r>
      <w:r w:rsidR="00A456D7" w:rsidRPr="00FB0850">
        <w:rPr>
          <w:color w:val="auto"/>
        </w:rPr>
        <w:t>l</w:t>
      </w:r>
      <w:r w:rsidR="00ED7246" w:rsidRPr="00FB0850">
        <w:rPr>
          <w:color w:val="auto"/>
        </w:rPr>
        <w:t>’</w:t>
      </w:r>
      <w:r w:rsidRPr="00FB0850">
        <w:rPr>
          <w:color w:val="auto"/>
        </w:rPr>
        <w:t xml:space="preserve">UPOV </w:t>
      </w:r>
      <w:r w:rsidR="002D2800" w:rsidRPr="00FB0850">
        <w:rPr>
          <w:color w:val="auto"/>
        </w:rPr>
        <w:t>s</w:t>
      </w:r>
      <w:r w:rsidR="00ED7246" w:rsidRPr="00FB0850">
        <w:rPr>
          <w:color w:val="auto"/>
        </w:rPr>
        <w:t>’</w:t>
      </w:r>
      <w:r w:rsidR="002D2800" w:rsidRPr="00FB0850">
        <w:rPr>
          <w:color w:val="auto"/>
        </w:rPr>
        <w:t xml:space="preserve">est acquittée des avantages </w:t>
      </w:r>
      <w:r w:rsidRPr="00FB0850">
        <w:rPr>
          <w:color w:val="auto"/>
        </w:rPr>
        <w:t>post</w:t>
      </w:r>
      <w:r w:rsidR="00ED7246" w:rsidRPr="00FB0850">
        <w:rPr>
          <w:color w:val="auto"/>
        </w:rPr>
        <w:t>-</w:t>
      </w:r>
      <w:r w:rsidRPr="00FB0850">
        <w:rPr>
          <w:color w:val="auto"/>
        </w:rPr>
        <w:t>emplo</w:t>
      </w:r>
      <w:r w:rsidR="002D2800" w:rsidRPr="00FB0850">
        <w:rPr>
          <w:color w:val="auto"/>
        </w:rPr>
        <w:t>i assumés à hauteur de 2,</w:t>
      </w:r>
      <w:r w:rsidR="00ED7246" w:rsidRPr="00FB0850">
        <w:rPr>
          <w:color w:val="auto"/>
        </w:rPr>
        <w:t>5 million</w:t>
      </w:r>
      <w:r w:rsidR="00005C77" w:rsidRPr="00FB0850">
        <w:rPr>
          <w:color w:val="auto"/>
        </w:rPr>
        <w:t>s de francs suisses</w:t>
      </w:r>
      <w:r w:rsidRPr="00FB0850">
        <w:rPr>
          <w:color w:val="auto"/>
        </w:rPr>
        <w:t xml:space="preserve">, </w:t>
      </w:r>
      <w:r w:rsidR="002D2800" w:rsidRPr="00FB0850">
        <w:rPr>
          <w:color w:val="auto"/>
        </w:rPr>
        <w:t>dont</w:t>
      </w:r>
      <w:r w:rsidRPr="00FB0850">
        <w:rPr>
          <w:color w:val="auto"/>
        </w:rPr>
        <w:t xml:space="preserve"> 89</w:t>
      </w:r>
      <w:r w:rsidR="002D2800" w:rsidRPr="00FB0850">
        <w:rPr>
          <w:color w:val="auto"/>
        </w:rPr>
        <w:t>,</w:t>
      </w:r>
      <w:r w:rsidRPr="00FB0850">
        <w:rPr>
          <w:color w:val="auto"/>
        </w:rPr>
        <w:t>8</w:t>
      </w:r>
      <w:r w:rsidR="002D2800" w:rsidRPr="00FB0850">
        <w:rPr>
          <w:color w:val="auto"/>
        </w:rPr>
        <w:t>%</w:t>
      </w:r>
      <w:r w:rsidRPr="00FB0850">
        <w:rPr>
          <w:color w:val="auto"/>
        </w:rPr>
        <w:t xml:space="preserve"> (</w:t>
      </w:r>
      <w:r w:rsidR="002D2800" w:rsidRPr="00FB0850">
        <w:rPr>
          <w:color w:val="auto"/>
        </w:rPr>
        <w:t>2,</w:t>
      </w:r>
      <w:r w:rsidR="00ED7246" w:rsidRPr="00FB0850">
        <w:rPr>
          <w:color w:val="auto"/>
        </w:rPr>
        <w:t>2 million</w:t>
      </w:r>
      <w:r w:rsidR="00005C77" w:rsidRPr="00FB0850">
        <w:rPr>
          <w:color w:val="auto"/>
        </w:rPr>
        <w:t>s de francs suisses</w:t>
      </w:r>
      <w:r w:rsidRPr="00FB0850">
        <w:rPr>
          <w:color w:val="auto"/>
        </w:rPr>
        <w:t xml:space="preserve">) </w:t>
      </w:r>
      <w:r w:rsidR="00D244C4" w:rsidRPr="00FB0850">
        <w:rPr>
          <w:color w:val="auto"/>
        </w:rPr>
        <w:t xml:space="preserve">concernant </w:t>
      </w:r>
      <w:r w:rsidR="002D2800" w:rsidRPr="00FB0850">
        <w:rPr>
          <w:color w:val="auto"/>
        </w:rPr>
        <w:t>ses obligations au titre de l</w:t>
      </w:r>
      <w:r w:rsidR="00ED7246" w:rsidRPr="00FB0850">
        <w:rPr>
          <w:color w:val="auto"/>
        </w:rPr>
        <w:t>’</w:t>
      </w:r>
      <w:r w:rsidR="002D2800" w:rsidRPr="00FB0850">
        <w:rPr>
          <w:color w:val="auto"/>
        </w:rPr>
        <w:t>assurance</w:t>
      </w:r>
      <w:r w:rsidR="00114591" w:rsidRPr="00FB0850">
        <w:rPr>
          <w:color w:val="auto"/>
        </w:rPr>
        <w:t xml:space="preserve"> </w:t>
      </w:r>
      <w:r w:rsidR="002D2800" w:rsidRPr="00FB0850">
        <w:rPr>
          <w:color w:val="auto"/>
        </w:rPr>
        <w:t>maladie après cessation de service (AMCS)</w:t>
      </w:r>
      <w:r w:rsidRPr="00FB0850">
        <w:rPr>
          <w:color w:val="auto"/>
        </w:rPr>
        <w:t>.</w:t>
      </w:r>
    </w:p>
    <w:p w:rsidR="00ED7246" w:rsidRPr="00FB0850" w:rsidRDefault="00D244C4" w:rsidP="00F24F3F">
      <w:pPr>
        <w:pStyle w:val="Number1"/>
        <w:numPr>
          <w:ilvl w:val="1"/>
          <w:numId w:val="3"/>
        </w:numPr>
        <w:ind w:left="1701" w:firstLine="0"/>
        <w:jc w:val="both"/>
        <w:rPr>
          <w:color w:val="auto"/>
        </w:rPr>
      </w:pPr>
      <w:r w:rsidRPr="00FB0850">
        <w:rPr>
          <w:color w:val="auto"/>
        </w:rPr>
        <w:t>Lors de sa trente</w:t>
      </w:r>
      <w:r w:rsidR="00ED7246" w:rsidRPr="00FB0850">
        <w:rPr>
          <w:color w:val="auto"/>
        </w:rPr>
        <w:t>-</w:t>
      </w:r>
      <w:r w:rsidRPr="00FB0850">
        <w:rPr>
          <w:color w:val="auto"/>
        </w:rPr>
        <w:t>trois</w:t>
      </w:r>
      <w:r w:rsidR="00ED7246" w:rsidRPr="00FB0850">
        <w:rPr>
          <w:color w:val="auto"/>
        </w:rPr>
        <w:t>ième session</w:t>
      </w:r>
      <w:r w:rsidRPr="00FB0850">
        <w:rPr>
          <w:color w:val="auto"/>
        </w:rPr>
        <w:t xml:space="preserve"> </w:t>
      </w:r>
      <w:r w:rsidR="00E124B9" w:rsidRPr="00FB0850">
        <w:rPr>
          <w:color w:val="auto"/>
        </w:rPr>
        <w:t>extraordina</w:t>
      </w:r>
      <w:r w:rsidRPr="00FB0850">
        <w:rPr>
          <w:color w:val="auto"/>
        </w:rPr>
        <w:t>ire de</w:t>
      </w:r>
      <w:r w:rsidR="00E124B9" w:rsidRPr="00FB0850">
        <w:rPr>
          <w:color w:val="auto"/>
        </w:rPr>
        <w:t xml:space="preserve"> </w:t>
      </w:r>
      <w:r w:rsidR="00ED7246" w:rsidRPr="00FB0850">
        <w:rPr>
          <w:color w:val="auto"/>
        </w:rPr>
        <w:t>mars 20</w:t>
      </w:r>
      <w:r w:rsidR="00E124B9" w:rsidRPr="00FB0850">
        <w:rPr>
          <w:color w:val="auto"/>
        </w:rPr>
        <w:t>16</w:t>
      </w:r>
      <w:r w:rsidR="00E124B9" w:rsidRPr="00FB0850">
        <w:rPr>
          <w:color w:val="auto"/>
          <w:vertAlign w:val="superscript"/>
        </w:rPr>
        <w:footnoteReference w:id="3"/>
      </w:r>
      <w:r w:rsidR="00E124B9" w:rsidRPr="00FB0850">
        <w:rPr>
          <w:color w:val="auto"/>
        </w:rPr>
        <w:t xml:space="preserve">, </w:t>
      </w:r>
      <w:r w:rsidRPr="00FB0850">
        <w:rPr>
          <w:color w:val="auto"/>
        </w:rPr>
        <w:t>le Conseil de l</w:t>
      </w:r>
      <w:r w:rsidR="00ED7246" w:rsidRPr="00FB0850">
        <w:rPr>
          <w:color w:val="auto"/>
        </w:rPr>
        <w:t>’</w:t>
      </w:r>
      <w:r w:rsidR="00E124B9" w:rsidRPr="00FB0850">
        <w:rPr>
          <w:color w:val="auto"/>
        </w:rPr>
        <w:t xml:space="preserve">UPOV </w:t>
      </w:r>
      <w:r w:rsidR="009C1AD6" w:rsidRPr="00FB0850">
        <w:rPr>
          <w:color w:val="auto"/>
        </w:rPr>
        <w:t xml:space="preserve">a </w:t>
      </w:r>
      <w:r w:rsidR="00E124B9" w:rsidRPr="00FB0850">
        <w:rPr>
          <w:color w:val="auto"/>
        </w:rPr>
        <w:t>d</w:t>
      </w:r>
      <w:r w:rsidR="009C1AD6" w:rsidRPr="00FB0850">
        <w:rPr>
          <w:color w:val="auto"/>
        </w:rPr>
        <w:t>é</w:t>
      </w:r>
      <w:r w:rsidR="00E124B9" w:rsidRPr="00FB0850">
        <w:rPr>
          <w:color w:val="auto"/>
        </w:rPr>
        <w:t>cid</w:t>
      </w:r>
      <w:r w:rsidR="009C1AD6" w:rsidRPr="00FB0850">
        <w:rPr>
          <w:color w:val="auto"/>
        </w:rPr>
        <w:t>é</w:t>
      </w:r>
      <w:r w:rsidR="00E124B9" w:rsidRPr="00FB0850">
        <w:rPr>
          <w:color w:val="auto"/>
        </w:rPr>
        <w:t xml:space="preserve"> </w:t>
      </w:r>
      <w:r w:rsidR="009C1AD6" w:rsidRPr="00FB0850">
        <w:rPr>
          <w:color w:val="auto"/>
        </w:rPr>
        <w:t xml:space="preserve">de créer un compte bancaire à </w:t>
      </w:r>
      <w:r w:rsidR="00E124B9" w:rsidRPr="00FB0850">
        <w:rPr>
          <w:color w:val="auto"/>
        </w:rPr>
        <w:t xml:space="preserve">part </w:t>
      </w:r>
      <w:r w:rsidR="009C1AD6" w:rsidRPr="00FB0850">
        <w:rPr>
          <w:color w:val="auto"/>
        </w:rPr>
        <w:t>pour l</w:t>
      </w:r>
      <w:r w:rsidR="00ED7246" w:rsidRPr="00FB0850">
        <w:rPr>
          <w:color w:val="auto"/>
        </w:rPr>
        <w:t>’</w:t>
      </w:r>
      <w:r w:rsidR="00E124B9" w:rsidRPr="00FB0850">
        <w:rPr>
          <w:color w:val="auto"/>
        </w:rPr>
        <w:t>UPOV</w:t>
      </w:r>
      <w:r w:rsidR="009C1AD6" w:rsidRPr="00FB0850">
        <w:rPr>
          <w:color w:val="auto"/>
        </w:rPr>
        <w:t>,</w:t>
      </w:r>
      <w:r w:rsidR="00E124B9" w:rsidRPr="00FB0850">
        <w:rPr>
          <w:color w:val="auto"/>
        </w:rPr>
        <w:t xml:space="preserve"> </w:t>
      </w:r>
      <w:r w:rsidR="009C1AD6" w:rsidRPr="00FB0850">
        <w:rPr>
          <w:color w:val="auto"/>
        </w:rPr>
        <w:t>dédié aux fonds alloués au financement de ses obligations au titre de l</w:t>
      </w:r>
      <w:r w:rsidR="00ED7246" w:rsidRPr="00FB0850">
        <w:rPr>
          <w:color w:val="auto"/>
        </w:rPr>
        <w:t>’</w:t>
      </w:r>
      <w:r w:rsidR="009C1AD6" w:rsidRPr="00FB0850">
        <w:rPr>
          <w:color w:val="auto"/>
        </w:rPr>
        <w:t>A</w:t>
      </w:r>
      <w:r w:rsidR="002A21D7" w:rsidRPr="00FB0850">
        <w:rPr>
          <w:color w:val="auto"/>
        </w:rPr>
        <w:t>MCS.  Au</w:t>
      </w:r>
      <w:r w:rsidR="009C1AD6" w:rsidRPr="00FB0850">
        <w:rPr>
          <w:color w:val="auto"/>
        </w:rPr>
        <w:t xml:space="preserve"> cours de chaque année biennale, 6% du coût des po</w:t>
      </w:r>
      <w:r w:rsidR="00E124B9" w:rsidRPr="00FB0850">
        <w:rPr>
          <w:color w:val="auto"/>
        </w:rPr>
        <w:t>st</w:t>
      </w:r>
      <w:r w:rsidR="009C1AD6" w:rsidRPr="00FB0850">
        <w:rPr>
          <w:color w:val="auto"/>
        </w:rPr>
        <w:t>e</w:t>
      </w:r>
      <w:r w:rsidR="00E124B9" w:rsidRPr="00FB0850">
        <w:rPr>
          <w:color w:val="auto"/>
        </w:rPr>
        <w:t>s, net</w:t>
      </w:r>
      <w:r w:rsidR="009C1AD6" w:rsidRPr="00FB0850">
        <w:rPr>
          <w:color w:val="auto"/>
        </w:rPr>
        <w:t>s</w:t>
      </w:r>
      <w:r w:rsidR="00E124B9" w:rsidRPr="00FB0850">
        <w:rPr>
          <w:color w:val="auto"/>
        </w:rPr>
        <w:t xml:space="preserve"> </w:t>
      </w:r>
      <w:r w:rsidR="009C1AD6" w:rsidRPr="00FB0850">
        <w:rPr>
          <w:color w:val="auto"/>
        </w:rPr>
        <w:t>des</w:t>
      </w:r>
      <w:r w:rsidR="00E124B9" w:rsidRPr="00FB0850">
        <w:rPr>
          <w:color w:val="auto"/>
        </w:rPr>
        <w:t xml:space="preserve"> d</w:t>
      </w:r>
      <w:r w:rsidR="009C1AD6" w:rsidRPr="00FB0850">
        <w:rPr>
          <w:color w:val="auto"/>
        </w:rPr>
        <w:t>é</w:t>
      </w:r>
      <w:r w:rsidR="00E124B9" w:rsidRPr="00FB0850">
        <w:rPr>
          <w:color w:val="auto"/>
        </w:rPr>
        <w:t xml:space="preserve">ductions </w:t>
      </w:r>
      <w:r w:rsidR="009C1AD6" w:rsidRPr="00FB0850">
        <w:rPr>
          <w:color w:val="auto"/>
        </w:rPr>
        <w:t>au titre de l</w:t>
      </w:r>
      <w:r w:rsidR="00ED7246" w:rsidRPr="00FB0850">
        <w:rPr>
          <w:color w:val="auto"/>
        </w:rPr>
        <w:t>’</w:t>
      </w:r>
      <w:r w:rsidR="009C1AD6" w:rsidRPr="00FB0850">
        <w:rPr>
          <w:color w:val="auto"/>
        </w:rPr>
        <w:t>AMCS</w:t>
      </w:r>
      <w:r w:rsidR="00E124B9" w:rsidRPr="00FB0850">
        <w:rPr>
          <w:color w:val="auto"/>
        </w:rPr>
        <w:t xml:space="preserve">, </w:t>
      </w:r>
      <w:r w:rsidR="002A040A" w:rsidRPr="00FB0850">
        <w:rPr>
          <w:color w:val="auto"/>
        </w:rPr>
        <w:t>des primes de rapatriement et des paiements des congés annuels cumulés</w:t>
      </w:r>
      <w:r w:rsidR="00E124B9" w:rsidRPr="00FB0850">
        <w:rPr>
          <w:color w:val="auto"/>
        </w:rPr>
        <w:t xml:space="preserve">, </w:t>
      </w:r>
      <w:r w:rsidR="002A040A" w:rsidRPr="00FB0850">
        <w:rPr>
          <w:color w:val="auto"/>
        </w:rPr>
        <w:t>doivent être alloués à ce compte de façon à aider à financer cette obligati</w:t>
      </w:r>
      <w:r w:rsidR="002A21D7" w:rsidRPr="00FB0850">
        <w:rPr>
          <w:color w:val="auto"/>
        </w:rPr>
        <w:t>on.  L’e</w:t>
      </w:r>
      <w:r w:rsidR="002A040A" w:rsidRPr="00FB0850">
        <w:rPr>
          <w:color w:val="auto"/>
        </w:rPr>
        <w:t xml:space="preserve">ngagement inscrit </w:t>
      </w:r>
      <w:r w:rsidR="003771FB" w:rsidRPr="00FB0850">
        <w:rPr>
          <w:color w:val="auto"/>
        </w:rPr>
        <w:t xml:space="preserve">à ce titre </w:t>
      </w:r>
      <w:r w:rsidR="002A040A" w:rsidRPr="00FB0850">
        <w:rPr>
          <w:color w:val="auto"/>
        </w:rPr>
        <w:t>dans le solde de trésorerie stratégique de l</w:t>
      </w:r>
      <w:r w:rsidR="00ED7246" w:rsidRPr="00FB0850">
        <w:rPr>
          <w:color w:val="auto"/>
        </w:rPr>
        <w:t>’</w:t>
      </w:r>
      <w:r w:rsidR="00E124B9" w:rsidRPr="00FB0850">
        <w:rPr>
          <w:color w:val="auto"/>
        </w:rPr>
        <w:t>UPOV</w:t>
      </w:r>
      <w:r w:rsidR="002A040A" w:rsidRPr="00FB0850">
        <w:rPr>
          <w:color w:val="auto"/>
        </w:rPr>
        <w:t xml:space="preserve"> s</w:t>
      </w:r>
      <w:r w:rsidR="00ED7246" w:rsidRPr="00FB0850">
        <w:rPr>
          <w:color w:val="auto"/>
        </w:rPr>
        <w:t>’</w:t>
      </w:r>
      <w:r w:rsidR="002A040A" w:rsidRPr="00FB0850">
        <w:rPr>
          <w:color w:val="auto"/>
        </w:rPr>
        <w:t>élève à 783</w:t>
      </w:r>
      <w:r w:rsidR="00114591" w:rsidRPr="00FB0850">
        <w:rPr>
          <w:color w:val="auto"/>
        </w:rPr>
        <w:t> </w:t>
      </w:r>
      <w:r w:rsidR="002A040A" w:rsidRPr="00FB0850">
        <w:rPr>
          <w:color w:val="auto"/>
        </w:rPr>
        <w:t>00</w:t>
      </w:r>
      <w:r w:rsidR="00ED7246" w:rsidRPr="00FB0850">
        <w:rPr>
          <w:color w:val="auto"/>
        </w:rPr>
        <w:t>0 franc</w:t>
      </w:r>
      <w:r w:rsidR="00005C77" w:rsidRPr="00FB0850">
        <w:rPr>
          <w:color w:val="auto"/>
        </w:rPr>
        <w:t>s suisses</w:t>
      </w:r>
      <w:r w:rsidR="00E124B9" w:rsidRPr="00FB0850">
        <w:rPr>
          <w:color w:val="auto"/>
        </w:rPr>
        <w:t>.</w:t>
      </w:r>
    </w:p>
    <w:p w:rsidR="00CA3696" w:rsidRPr="00FB0850" w:rsidRDefault="003771FB" w:rsidP="00F24F3F">
      <w:pPr>
        <w:pStyle w:val="Number1"/>
        <w:numPr>
          <w:ilvl w:val="1"/>
          <w:numId w:val="3"/>
        </w:numPr>
        <w:ind w:left="1701" w:firstLine="0"/>
        <w:jc w:val="both"/>
        <w:rPr>
          <w:color w:val="auto"/>
        </w:rPr>
      </w:pPr>
      <w:r w:rsidRPr="00FB0850">
        <w:rPr>
          <w:color w:val="auto"/>
        </w:rPr>
        <w:t xml:space="preserve">La décision du </w:t>
      </w:r>
      <w:r w:rsidR="00E124B9" w:rsidRPr="00FB0850">
        <w:rPr>
          <w:color w:val="auto"/>
        </w:rPr>
        <w:t>Con</w:t>
      </w:r>
      <w:r w:rsidRPr="00FB0850">
        <w:rPr>
          <w:color w:val="auto"/>
        </w:rPr>
        <w:t xml:space="preserve">seil a été mise en œuvre par </w:t>
      </w:r>
      <w:r w:rsidR="00C61FE1" w:rsidRPr="00FB0850">
        <w:rPr>
          <w:color w:val="auto"/>
        </w:rPr>
        <w:t>l</w:t>
      </w:r>
      <w:r w:rsidR="00ED7246" w:rsidRPr="00FB0850">
        <w:rPr>
          <w:color w:val="auto"/>
        </w:rPr>
        <w:t>’</w:t>
      </w:r>
      <w:r w:rsidR="00C61FE1" w:rsidRPr="00FB0850">
        <w:rPr>
          <w:color w:val="auto"/>
        </w:rPr>
        <w:t>OMPI</w:t>
      </w:r>
      <w:r w:rsidR="00E124B9" w:rsidRPr="00FB0850">
        <w:rPr>
          <w:color w:val="auto"/>
        </w:rPr>
        <w:t xml:space="preserve"> </w:t>
      </w:r>
      <w:r w:rsidRPr="00FB0850">
        <w:rPr>
          <w:color w:val="auto"/>
        </w:rPr>
        <w:t>au moyen d</w:t>
      </w:r>
      <w:r w:rsidR="00ED7246" w:rsidRPr="00FB0850">
        <w:rPr>
          <w:color w:val="auto"/>
        </w:rPr>
        <w:t>’</w:t>
      </w:r>
      <w:r w:rsidRPr="00FB0850">
        <w:rPr>
          <w:color w:val="auto"/>
        </w:rPr>
        <w:t>une instruction de blo</w:t>
      </w:r>
      <w:r w:rsidR="00F9008A" w:rsidRPr="00FB0850">
        <w:rPr>
          <w:color w:val="auto"/>
        </w:rPr>
        <w:t>quer</w:t>
      </w:r>
      <w:r w:rsidRPr="00FB0850">
        <w:rPr>
          <w:color w:val="auto"/>
        </w:rPr>
        <w:t xml:space="preserve"> un montant de 760</w:t>
      </w:r>
      <w:r w:rsidR="00114591" w:rsidRPr="00FB0850">
        <w:rPr>
          <w:color w:val="auto"/>
        </w:rPr>
        <w:t> </w:t>
      </w:r>
      <w:r w:rsidRPr="00FB0850">
        <w:rPr>
          <w:color w:val="auto"/>
        </w:rPr>
        <w:t>00</w:t>
      </w:r>
      <w:r w:rsidR="00ED7246" w:rsidRPr="00FB0850">
        <w:rPr>
          <w:color w:val="auto"/>
        </w:rPr>
        <w:t>0 franc</w:t>
      </w:r>
      <w:r w:rsidRPr="00FB0850">
        <w:rPr>
          <w:color w:val="auto"/>
        </w:rPr>
        <w:t>s suisses sur le compte bancaire principal de l</w:t>
      </w:r>
      <w:r w:rsidR="00ED7246" w:rsidRPr="00FB0850">
        <w:rPr>
          <w:color w:val="auto"/>
        </w:rPr>
        <w:t>’</w:t>
      </w:r>
      <w:r w:rsidR="00E124B9" w:rsidRPr="00FB0850">
        <w:rPr>
          <w:color w:val="auto"/>
        </w:rPr>
        <w:t>UPOV</w:t>
      </w:r>
      <w:r w:rsidR="000E69A4" w:rsidRPr="00FB0850">
        <w:rPr>
          <w:color w:val="auto"/>
        </w:rPr>
        <w:t>,</w:t>
      </w:r>
      <w:r w:rsidR="00E124B9" w:rsidRPr="00FB0850">
        <w:rPr>
          <w:color w:val="auto"/>
        </w:rPr>
        <w:t xml:space="preserve"> </w:t>
      </w:r>
      <w:r w:rsidRPr="00FB0850">
        <w:rPr>
          <w:color w:val="auto"/>
        </w:rPr>
        <w:t xml:space="preserve">afin de restreindre de manière </w:t>
      </w:r>
      <w:r w:rsidR="00E124B9" w:rsidRPr="00FB0850">
        <w:rPr>
          <w:color w:val="auto"/>
        </w:rPr>
        <w:t xml:space="preserve">effective </w:t>
      </w:r>
      <w:r w:rsidRPr="00FB0850">
        <w:rPr>
          <w:color w:val="auto"/>
        </w:rPr>
        <w:t>l</w:t>
      </w:r>
      <w:r w:rsidR="00ED7246" w:rsidRPr="00FB0850">
        <w:rPr>
          <w:color w:val="auto"/>
        </w:rPr>
        <w:t>’</w:t>
      </w:r>
      <w:r w:rsidRPr="00FB0850">
        <w:rPr>
          <w:color w:val="auto"/>
        </w:rPr>
        <w:t>utilisation de ces fon</w:t>
      </w:r>
      <w:r w:rsidR="002A21D7" w:rsidRPr="00FB0850">
        <w:rPr>
          <w:color w:val="auto"/>
        </w:rPr>
        <w:t>ds.  Mê</w:t>
      </w:r>
      <w:r w:rsidR="00F9008A" w:rsidRPr="00FB0850">
        <w:rPr>
          <w:color w:val="auto"/>
        </w:rPr>
        <w:t>me si cette méthode atteint le même but qu</w:t>
      </w:r>
      <w:r w:rsidR="00ED7246" w:rsidRPr="00FB0850">
        <w:rPr>
          <w:color w:val="auto"/>
        </w:rPr>
        <w:t>’</w:t>
      </w:r>
      <w:r w:rsidR="00F9008A" w:rsidRPr="00FB0850">
        <w:rPr>
          <w:color w:val="auto"/>
        </w:rPr>
        <w:t>avec une restriction des fonds</w:t>
      </w:r>
      <w:r w:rsidR="00E124B9" w:rsidRPr="00FB0850">
        <w:rPr>
          <w:color w:val="auto"/>
        </w:rPr>
        <w:t xml:space="preserve">, </w:t>
      </w:r>
      <w:r w:rsidR="00F9008A" w:rsidRPr="00FB0850">
        <w:rPr>
          <w:color w:val="auto"/>
        </w:rPr>
        <w:t>elle ne remplit pas entièrement la demande formulée par le Conseil de créer un compte sépa</w:t>
      </w:r>
      <w:r w:rsidR="002A21D7" w:rsidRPr="00FB0850">
        <w:rPr>
          <w:color w:val="auto"/>
        </w:rPr>
        <w:t>ré.  Le</w:t>
      </w:r>
      <w:r w:rsidR="00F9008A" w:rsidRPr="00FB0850">
        <w:rPr>
          <w:color w:val="auto"/>
        </w:rPr>
        <w:t xml:space="preserve">s responsables de </w:t>
      </w:r>
      <w:r w:rsidR="00C61FE1" w:rsidRPr="00FB0850">
        <w:rPr>
          <w:color w:val="auto"/>
        </w:rPr>
        <w:t>l</w:t>
      </w:r>
      <w:r w:rsidR="00ED7246" w:rsidRPr="00FB0850">
        <w:rPr>
          <w:color w:val="auto"/>
        </w:rPr>
        <w:t>’</w:t>
      </w:r>
      <w:r w:rsidR="00C61FE1" w:rsidRPr="00FB0850">
        <w:rPr>
          <w:color w:val="auto"/>
        </w:rPr>
        <w:t>OMPI</w:t>
      </w:r>
      <w:r w:rsidR="00F9008A" w:rsidRPr="00FB0850">
        <w:rPr>
          <w:color w:val="auto"/>
        </w:rPr>
        <w:t xml:space="preserve"> </w:t>
      </w:r>
      <w:r w:rsidR="00E124B9" w:rsidRPr="00FB0850">
        <w:rPr>
          <w:color w:val="auto"/>
        </w:rPr>
        <w:t>consid</w:t>
      </w:r>
      <w:r w:rsidR="00F9008A" w:rsidRPr="00FB0850">
        <w:rPr>
          <w:color w:val="auto"/>
        </w:rPr>
        <w:t>ère</w:t>
      </w:r>
      <w:r w:rsidR="000E69A4" w:rsidRPr="00FB0850">
        <w:rPr>
          <w:color w:val="auto"/>
        </w:rPr>
        <w:t>nt</w:t>
      </w:r>
      <w:r w:rsidR="00F9008A" w:rsidRPr="00FB0850">
        <w:rPr>
          <w:color w:val="auto"/>
        </w:rPr>
        <w:t xml:space="preserve"> que l</w:t>
      </w:r>
      <w:r w:rsidR="00ED7246" w:rsidRPr="00FB0850">
        <w:rPr>
          <w:color w:val="auto"/>
        </w:rPr>
        <w:t>’</w:t>
      </w:r>
      <w:r w:rsidR="00F9008A" w:rsidRPr="00FB0850">
        <w:rPr>
          <w:color w:val="auto"/>
        </w:rPr>
        <w:t>instruction donnée offre d</w:t>
      </w:r>
      <w:r w:rsidR="00ED7246" w:rsidRPr="00FB0850">
        <w:rPr>
          <w:color w:val="auto"/>
        </w:rPr>
        <w:t>’</w:t>
      </w:r>
      <w:r w:rsidR="00F9008A" w:rsidRPr="00FB0850">
        <w:rPr>
          <w:color w:val="auto"/>
        </w:rPr>
        <w:t xml:space="preserve">autres avantages, comme par exemple </w:t>
      </w:r>
      <w:r w:rsidR="00F67151" w:rsidRPr="00FB0850">
        <w:rPr>
          <w:color w:val="auto"/>
        </w:rPr>
        <w:t xml:space="preserve">de </w:t>
      </w:r>
      <w:r w:rsidR="00F9008A" w:rsidRPr="00FB0850">
        <w:rPr>
          <w:color w:val="auto"/>
        </w:rPr>
        <w:t>ré</w:t>
      </w:r>
      <w:r w:rsidR="00E124B9" w:rsidRPr="00FB0850">
        <w:rPr>
          <w:color w:val="auto"/>
        </w:rPr>
        <w:t>dui</w:t>
      </w:r>
      <w:r w:rsidR="00F67151" w:rsidRPr="00FB0850">
        <w:rPr>
          <w:color w:val="auto"/>
        </w:rPr>
        <w:t>re</w:t>
      </w:r>
      <w:r w:rsidR="00E124B9" w:rsidRPr="00FB0850">
        <w:rPr>
          <w:color w:val="auto"/>
        </w:rPr>
        <w:t xml:space="preserve"> </w:t>
      </w:r>
      <w:r w:rsidR="00F67151" w:rsidRPr="00FB0850">
        <w:rPr>
          <w:color w:val="auto"/>
        </w:rPr>
        <w:t xml:space="preserve">le nombre de comptes </w:t>
      </w:r>
      <w:r w:rsidR="00E124B9" w:rsidRPr="00FB0850">
        <w:rPr>
          <w:color w:val="auto"/>
        </w:rPr>
        <w:t>(</w:t>
      </w:r>
      <w:r w:rsidR="00F67151" w:rsidRPr="00FB0850">
        <w:rPr>
          <w:color w:val="auto"/>
        </w:rPr>
        <w:t xml:space="preserve">et </w:t>
      </w:r>
      <w:r w:rsidR="000E69A4" w:rsidRPr="00FB0850">
        <w:rPr>
          <w:color w:val="auto"/>
        </w:rPr>
        <w:t>le</w:t>
      </w:r>
      <w:r w:rsidR="00F67151" w:rsidRPr="00FB0850">
        <w:rPr>
          <w:color w:val="auto"/>
        </w:rPr>
        <w:t xml:space="preserve"> travail de gestion afférent</w:t>
      </w:r>
      <w:r w:rsidR="00E124B9" w:rsidRPr="00FB0850">
        <w:rPr>
          <w:color w:val="auto"/>
        </w:rPr>
        <w:t xml:space="preserve">), </w:t>
      </w:r>
      <w:r w:rsidR="00F67151" w:rsidRPr="00FB0850">
        <w:rPr>
          <w:color w:val="auto"/>
        </w:rPr>
        <w:t>d</w:t>
      </w:r>
      <w:r w:rsidR="00ED7246" w:rsidRPr="00FB0850">
        <w:rPr>
          <w:color w:val="auto"/>
        </w:rPr>
        <w:t>’</w:t>
      </w:r>
      <w:r w:rsidR="00F67151" w:rsidRPr="00FB0850">
        <w:rPr>
          <w:color w:val="auto"/>
        </w:rPr>
        <w:t>abaisser les frais bancaires mensuels et les commissions annuelles</w:t>
      </w:r>
      <w:r w:rsidR="00E124B9" w:rsidRPr="00FB0850">
        <w:rPr>
          <w:color w:val="auto"/>
        </w:rPr>
        <w:t xml:space="preserve">, </w:t>
      </w:r>
      <w:r w:rsidR="00F67151" w:rsidRPr="00FB0850">
        <w:rPr>
          <w:color w:val="auto"/>
        </w:rPr>
        <w:t>d</w:t>
      </w:r>
      <w:r w:rsidR="00ED7246" w:rsidRPr="00FB0850">
        <w:rPr>
          <w:color w:val="auto"/>
        </w:rPr>
        <w:t>’</w:t>
      </w:r>
      <w:r w:rsidR="00F67151" w:rsidRPr="00FB0850">
        <w:rPr>
          <w:color w:val="auto"/>
        </w:rPr>
        <w:t>éviter les taux d</w:t>
      </w:r>
      <w:r w:rsidR="00ED7246" w:rsidRPr="00FB0850">
        <w:rPr>
          <w:color w:val="auto"/>
        </w:rPr>
        <w:t>’</w:t>
      </w:r>
      <w:r w:rsidR="00F67151" w:rsidRPr="00FB0850">
        <w:rPr>
          <w:color w:val="auto"/>
        </w:rPr>
        <w:t xml:space="preserve">intérêt </w:t>
      </w:r>
      <w:r w:rsidR="00E124B9" w:rsidRPr="00FB0850">
        <w:rPr>
          <w:color w:val="auto"/>
        </w:rPr>
        <w:t>n</w:t>
      </w:r>
      <w:r w:rsidR="00F67151" w:rsidRPr="00FB0850">
        <w:rPr>
          <w:color w:val="auto"/>
        </w:rPr>
        <w:t>é</w:t>
      </w:r>
      <w:r w:rsidR="00E124B9" w:rsidRPr="00FB0850">
        <w:rPr>
          <w:color w:val="auto"/>
        </w:rPr>
        <w:t>gati</w:t>
      </w:r>
      <w:r w:rsidR="00F67151" w:rsidRPr="00FB0850">
        <w:rPr>
          <w:color w:val="auto"/>
        </w:rPr>
        <w:t>fs</w:t>
      </w:r>
      <w:r w:rsidR="00E124B9" w:rsidRPr="00FB0850">
        <w:rPr>
          <w:color w:val="auto"/>
        </w:rPr>
        <w:t xml:space="preserve"> applicable</w:t>
      </w:r>
      <w:r w:rsidR="00F67151" w:rsidRPr="00FB0850">
        <w:rPr>
          <w:color w:val="auto"/>
        </w:rPr>
        <w:t>s</w:t>
      </w:r>
      <w:r w:rsidR="00E124B9" w:rsidRPr="00FB0850">
        <w:rPr>
          <w:color w:val="auto"/>
        </w:rPr>
        <w:t xml:space="preserve"> </w:t>
      </w:r>
      <w:r w:rsidR="00F67151" w:rsidRPr="00FB0850">
        <w:rPr>
          <w:color w:val="auto"/>
        </w:rPr>
        <w:t>au</w:t>
      </w:r>
      <w:r w:rsidR="008D7B44" w:rsidRPr="00FB0850">
        <w:rPr>
          <w:color w:val="auto"/>
        </w:rPr>
        <w:t>x</w:t>
      </w:r>
      <w:r w:rsidR="00F67151" w:rsidRPr="00FB0850">
        <w:rPr>
          <w:color w:val="auto"/>
        </w:rPr>
        <w:t xml:space="preserve"> nouveaux comptes bancaires et d</w:t>
      </w:r>
      <w:r w:rsidR="00ED7246" w:rsidRPr="00FB0850">
        <w:rPr>
          <w:color w:val="auto"/>
        </w:rPr>
        <w:t>’</w:t>
      </w:r>
      <w:r w:rsidR="00F67151" w:rsidRPr="00FB0850">
        <w:rPr>
          <w:color w:val="auto"/>
        </w:rPr>
        <w:t>améliorer la visibilité de la trésorerie sans avoir à créer de nouveaux comptes en banque</w:t>
      </w:r>
      <w:r w:rsidR="00E124B9" w:rsidRPr="00FB0850">
        <w:rPr>
          <w:color w:val="auto"/>
        </w:rPr>
        <w:t>.</w:t>
      </w:r>
    </w:p>
    <w:p w:rsidR="00CA3696" w:rsidRPr="00FB0850" w:rsidRDefault="00E124B9" w:rsidP="00F24F3F">
      <w:pPr>
        <w:pStyle w:val="Number1"/>
        <w:ind w:left="1701"/>
        <w:jc w:val="both"/>
        <w:rPr>
          <w:color w:val="auto"/>
        </w:rPr>
      </w:pPr>
      <w:r w:rsidRPr="00FB0850">
        <w:rPr>
          <w:b/>
          <w:color w:val="auto"/>
        </w:rPr>
        <w:t>R3</w:t>
      </w:r>
      <w:r w:rsidR="00F67151" w:rsidRPr="00FB0850">
        <w:rPr>
          <w:b/>
          <w:color w:val="auto"/>
        </w:rPr>
        <w:t>.</w:t>
      </w:r>
      <w:r w:rsidRPr="00FB0850">
        <w:rPr>
          <w:b/>
          <w:color w:val="auto"/>
        </w:rPr>
        <w:t xml:space="preserve"> </w:t>
      </w:r>
      <w:r w:rsidR="00292EA7" w:rsidRPr="00FB0850">
        <w:rPr>
          <w:b/>
          <w:color w:val="auto"/>
        </w:rPr>
        <w:t xml:space="preserve"> l</w:t>
      </w:r>
      <w:r w:rsidR="00ED7246" w:rsidRPr="00FB0850">
        <w:rPr>
          <w:b/>
          <w:color w:val="auto"/>
        </w:rPr>
        <w:t>’</w:t>
      </w:r>
      <w:r w:rsidRPr="00FB0850">
        <w:rPr>
          <w:b/>
          <w:color w:val="auto"/>
        </w:rPr>
        <w:t xml:space="preserve">UPOV </w:t>
      </w:r>
      <w:r w:rsidR="00F67151" w:rsidRPr="00FB0850">
        <w:rPr>
          <w:b/>
          <w:color w:val="auto"/>
        </w:rPr>
        <w:t xml:space="preserve">devrait, soit approuver </w:t>
      </w:r>
      <w:r w:rsidRPr="00FB0850">
        <w:rPr>
          <w:b/>
          <w:color w:val="auto"/>
        </w:rPr>
        <w:t>form</w:t>
      </w:r>
      <w:r w:rsidR="00F67151" w:rsidRPr="00FB0850">
        <w:rPr>
          <w:b/>
          <w:color w:val="auto"/>
        </w:rPr>
        <w:t>e</w:t>
      </w:r>
      <w:r w:rsidRPr="00FB0850">
        <w:rPr>
          <w:b/>
          <w:color w:val="auto"/>
        </w:rPr>
        <w:t>ll</w:t>
      </w:r>
      <w:r w:rsidR="00F67151" w:rsidRPr="00FB0850">
        <w:rPr>
          <w:b/>
          <w:color w:val="auto"/>
        </w:rPr>
        <w:t>ement l</w:t>
      </w:r>
      <w:r w:rsidR="00ED7246" w:rsidRPr="00FB0850">
        <w:rPr>
          <w:b/>
          <w:color w:val="auto"/>
        </w:rPr>
        <w:t>’</w:t>
      </w:r>
      <w:r w:rsidRPr="00FB0850">
        <w:rPr>
          <w:b/>
          <w:color w:val="auto"/>
        </w:rPr>
        <w:t>approch</w:t>
      </w:r>
      <w:r w:rsidR="00F67151" w:rsidRPr="00FB0850">
        <w:rPr>
          <w:b/>
          <w:color w:val="auto"/>
        </w:rPr>
        <w:t>e</w:t>
      </w:r>
      <w:r w:rsidRPr="00FB0850">
        <w:rPr>
          <w:b/>
          <w:color w:val="auto"/>
        </w:rPr>
        <w:t xml:space="preserve"> </w:t>
      </w:r>
      <w:r w:rsidR="00F67151" w:rsidRPr="00FB0850">
        <w:rPr>
          <w:b/>
          <w:color w:val="auto"/>
        </w:rPr>
        <w:t>de</w:t>
      </w:r>
      <w:r w:rsidRPr="00FB0850">
        <w:rPr>
          <w:b/>
          <w:color w:val="auto"/>
        </w:rPr>
        <w:t xml:space="preserve"> </w:t>
      </w:r>
      <w:r w:rsidR="00C61FE1" w:rsidRPr="00FB0850">
        <w:rPr>
          <w:b/>
          <w:color w:val="auto"/>
        </w:rPr>
        <w:t>l</w:t>
      </w:r>
      <w:r w:rsidR="00ED7246" w:rsidRPr="00FB0850">
        <w:rPr>
          <w:b/>
          <w:color w:val="auto"/>
        </w:rPr>
        <w:t>’</w:t>
      </w:r>
      <w:r w:rsidR="00C61FE1" w:rsidRPr="00FB0850">
        <w:rPr>
          <w:b/>
          <w:color w:val="auto"/>
        </w:rPr>
        <w:t>OMPI</w:t>
      </w:r>
      <w:r w:rsidRPr="00FB0850">
        <w:rPr>
          <w:b/>
          <w:color w:val="auto"/>
        </w:rPr>
        <w:t xml:space="preserve"> </w:t>
      </w:r>
      <w:r w:rsidR="00F67151" w:rsidRPr="00FB0850">
        <w:rPr>
          <w:b/>
          <w:color w:val="auto"/>
        </w:rPr>
        <w:t xml:space="preserve">consistant à poser des </w:t>
      </w:r>
      <w:r w:rsidRPr="00FB0850">
        <w:rPr>
          <w:b/>
          <w:color w:val="auto"/>
        </w:rPr>
        <w:t>restriction</w:t>
      </w:r>
      <w:r w:rsidR="00F67151" w:rsidRPr="00FB0850">
        <w:rPr>
          <w:b/>
          <w:color w:val="auto"/>
        </w:rPr>
        <w:t>s</w:t>
      </w:r>
      <w:r w:rsidRPr="00FB0850">
        <w:rPr>
          <w:b/>
          <w:color w:val="auto"/>
        </w:rPr>
        <w:t xml:space="preserve"> </w:t>
      </w:r>
      <w:r w:rsidR="00F67151" w:rsidRPr="00FB0850">
        <w:rPr>
          <w:b/>
          <w:color w:val="auto"/>
        </w:rPr>
        <w:t>sur les fonds, soit s</w:t>
      </w:r>
      <w:r w:rsidR="00ED7246" w:rsidRPr="00FB0850">
        <w:rPr>
          <w:b/>
          <w:color w:val="auto"/>
        </w:rPr>
        <w:t>’</w:t>
      </w:r>
      <w:r w:rsidR="00F67151" w:rsidRPr="00FB0850">
        <w:rPr>
          <w:b/>
          <w:color w:val="auto"/>
        </w:rPr>
        <w:t>assurer de la création d</w:t>
      </w:r>
      <w:r w:rsidR="00ED7246" w:rsidRPr="00FB0850">
        <w:rPr>
          <w:b/>
          <w:color w:val="auto"/>
        </w:rPr>
        <w:t>’</w:t>
      </w:r>
      <w:r w:rsidR="00F67151" w:rsidRPr="00FB0850">
        <w:rPr>
          <w:b/>
          <w:color w:val="auto"/>
        </w:rPr>
        <w:t xml:space="preserve">un compte à part, en </w:t>
      </w:r>
      <w:r w:rsidR="0016211C" w:rsidRPr="00FB0850">
        <w:rPr>
          <w:b/>
          <w:color w:val="auto"/>
        </w:rPr>
        <w:t>ligne</w:t>
      </w:r>
      <w:r w:rsidR="00F67151" w:rsidRPr="00FB0850">
        <w:rPr>
          <w:b/>
          <w:color w:val="auto"/>
        </w:rPr>
        <w:t xml:space="preserve"> avec la décision du </w:t>
      </w:r>
      <w:r w:rsidRPr="00FB0850">
        <w:rPr>
          <w:b/>
          <w:color w:val="auto"/>
        </w:rPr>
        <w:t>Con</w:t>
      </w:r>
      <w:r w:rsidR="00F67151" w:rsidRPr="00FB0850">
        <w:rPr>
          <w:b/>
          <w:color w:val="auto"/>
        </w:rPr>
        <w:t>sei</w:t>
      </w:r>
      <w:r w:rsidRPr="00FB0850">
        <w:rPr>
          <w:b/>
          <w:color w:val="auto"/>
        </w:rPr>
        <w:t>l.</w:t>
      </w:r>
    </w:p>
    <w:p w:rsidR="00CA3696" w:rsidRPr="00FB0850" w:rsidRDefault="005E2387" w:rsidP="00F24F3F">
      <w:pPr>
        <w:pStyle w:val="Heading2"/>
        <w:rPr>
          <w:lang w:val="fr-FR"/>
        </w:rPr>
      </w:pPr>
      <w:bookmarkStart w:id="12" w:name="_Toc14355939"/>
      <w:r w:rsidRPr="00FB0850">
        <w:rPr>
          <w:lang w:val="fr-FR"/>
        </w:rPr>
        <w:t xml:space="preserve">Développement </w:t>
      </w:r>
      <w:r w:rsidR="00A67A44" w:rsidRPr="00FB0850">
        <w:rPr>
          <w:lang w:val="fr-FR"/>
        </w:rPr>
        <w:t>des activité</w:t>
      </w:r>
      <w:r w:rsidR="00E124B9" w:rsidRPr="00FB0850">
        <w:rPr>
          <w:lang w:val="fr-FR"/>
        </w:rPr>
        <w:t>s</w:t>
      </w:r>
      <w:bookmarkEnd w:id="12"/>
    </w:p>
    <w:p w:rsidR="00ED7246" w:rsidRPr="00FB0850" w:rsidRDefault="00C72A44" w:rsidP="00F24F3F">
      <w:pPr>
        <w:pStyle w:val="Number1"/>
        <w:numPr>
          <w:ilvl w:val="1"/>
          <w:numId w:val="3"/>
        </w:numPr>
        <w:ind w:left="1701" w:firstLine="0"/>
        <w:jc w:val="both"/>
        <w:rPr>
          <w:color w:val="auto"/>
        </w:rPr>
      </w:pPr>
      <w:r w:rsidRPr="00FB0850">
        <w:rPr>
          <w:color w:val="auto"/>
        </w:rPr>
        <w:t>L</w:t>
      </w:r>
      <w:r w:rsidR="00ED7246" w:rsidRPr="00FB0850">
        <w:rPr>
          <w:color w:val="auto"/>
        </w:rPr>
        <w:t>’</w:t>
      </w:r>
      <w:r w:rsidRPr="00FB0850">
        <w:rPr>
          <w:color w:val="auto"/>
        </w:rPr>
        <w:t>évolution récente du nombre de membres de l</w:t>
      </w:r>
      <w:r w:rsidR="00ED7246" w:rsidRPr="00FB0850">
        <w:rPr>
          <w:color w:val="auto"/>
        </w:rPr>
        <w:t>’</w:t>
      </w:r>
      <w:r w:rsidRPr="00FB0850">
        <w:rPr>
          <w:color w:val="auto"/>
        </w:rPr>
        <w:t>UPOV</w:t>
      </w:r>
      <w:r w:rsidR="0016211C" w:rsidRPr="00FB0850">
        <w:rPr>
          <w:color w:val="auto"/>
        </w:rPr>
        <w:t>,</w:t>
      </w:r>
      <w:r w:rsidRPr="00FB0850">
        <w:rPr>
          <w:color w:val="auto"/>
        </w:rPr>
        <w:t xml:space="preserve"> </w:t>
      </w:r>
      <w:r w:rsidR="0016211C" w:rsidRPr="00FB0850">
        <w:rPr>
          <w:color w:val="auto"/>
        </w:rPr>
        <w:t>tout comme une</w:t>
      </w:r>
      <w:r w:rsidRPr="00FB0850">
        <w:rPr>
          <w:color w:val="auto"/>
        </w:rPr>
        <w:t xml:space="preserve"> meilleure compréhension du besoin d</w:t>
      </w:r>
      <w:r w:rsidR="00ED7246" w:rsidRPr="00FB0850">
        <w:rPr>
          <w:color w:val="auto"/>
        </w:rPr>
        <w:t>’</w:t>
      </w:r>
      <w:r w:rsidRPr="00FB0850">
        <w:rPr>
          <w:color w:val="auto"/>
        </w:rPr>
        <w:t>élaborer des politiques efficaces visant à répondre aux demandes croissantes en matière d</w:t>
      </w:r>
      <w:r w:rsidR="00ED7246" w:rsidRPr="00FB0850">
        <w:rPr>
          <w:color w:val="auto"/>
        </w:rPr>
        <w:t>’</w:t>
      </w:r>
      <w:r w:rsidRPr="00FB0850">
        <w:rPr>
          <w:color w:val="auto"/>
        </w:rPr>
        <w:t>agriculture</w:t>
      </w:r>
      <w:r w:rsidR="0016211C" w:rsidRPr="00FB0850">
        <w:rPr>
          <w:color w:val="auto"/>
        </w:rPr>
        <w:t>,</w:t>
      </w:r>
      <w:r w:rsidRPr="00FB0850">
        <w:rPr>
          <w:color w:val="auto"/>
        </w:rPr>
        <w:t xml:space="preserve"> montrent la nécessité pour l</w:t>
      </w:r>
      <w:r w:rsidR="00ED7246" w:rsidRPr="00FB0850">
        <w:rPr>
          <w:color w:val="auto"/>
        </w:rPr>
        <w:t>’</w:t>
      </w:r>
      <w:r w:rsidRPr="00FB0850">
        <w:rPr>
          <w:color w:val="auto"/>
        </w:rPr>
        <w:t>UPOV</w:t>
      </w:r>
      <w:r w:rsidR="008D7B44" w:rsidRPr="00FB0850">
        <w:rPr>
          <w:color w:val="auto"/>
        </w:rPr>
        <w:t xml:space="preserve"> </w:t>
      </w:r>
      <w:r w:rsidRPr="00FB0850">
        <w:rPr>
          <w:color w:val="auto"/>
        </w:rPr>
        <w:t xml:space="preserve">de réexaminer les ressources </w:t>
      </w:r>
      <w:r w:rsidR="00B96901" w:rsidRPr="00FB0850">
        <w:rPr>
          <w:color w:val="auto"/>
        </w:rPr>
        <w:t xml:space="preserve">à sa </w:t>
      </w:r>
      <w:r w:rsidRPr="00FB0850">
        <w:rPr>
          <w:color w:val="auto"/>
        </w:rPr>
        <w:t>dispos</w:t>
      </w:r>
      <w:r w:rsidR="00B96901" w:rsidRPr="00FB0850">
        <w:rPr>
          <w:color w:val="auto"/>
        </w:rPr>
        <w:t>ition</w:t>
      </w:r>
      <w:r w:rsidRPr="00FB0850">
        <w:rPr>
          <w:color w:val="auto"/>
        </w:rPr>
        <w:t xml:space="preserve"> pour atteindre ses objectifs.</w:t>
      </w:r>
    </w:p>
    <w:p w:rsidR="00ED7246" w:rsidRPr="00FB0850" w:rsidRDefault="00C72A44" w:rsidP="00F24F3F">
      <w:pPr>
        <w:pStyle w:val="Number1"/>
        <w:numPr>
          <w:ilvl w:val="1"/>
          <w:numId w:val="3"/>
        </w:numPr>
        <w:ind w:left="1701" w:firstLine="0"/>
        <w:jc w:val="both"/>
        <w:rPr>
          <w:color w:val="auto"/>
        </w:rPr>
      </w:pPr>
      <w:r w:rsidRPr="00FB0850">
        <w:rPr>
          <w:color w:val="auto"/>
        </w:rPr>
        <w:t>Cette situation était mise en lumière dans le rapport d</w:t>
      </w:r>
      <w:r w:rsidR="00ED7246" w:rsidRPr="00FB0850">
        <w:rPr>
          <w:color w:val="auto"/>
        </w:rPr>
        <w:t>’</w:t>
      </w:r>
      <w:r w:rsidRPr="00FB0850">
        <w:rPr>
          <w:color w:val="auto"/>
        </w:rPr>
        <w:t>évaluation de la Division de la supervision interne (DSI) de l</w:t>
      </w:r>
      <w:r w:rsidR="00ED7246" w:rsidRPr="00FB0850">
        <w:rPr>
          <w:color w:val="auto"/>
        </w:rPr>
        <w:t>’</w:t>
      </w:r>
      <w:r w:rsidRPr="00FB0850">
        <w:rPr>
          <w:color w:val="auto"/>
        </w:rPr>
        <w:t>Organisation Mondiale de la Propriété Intellectuelle (OMPI) intitulé “Évaluation de l</w:t>
      </w:r>
      <w:r w:rsidR="00ED7246" w:rsidRPr="00FB0850">
        <w:rPr>
          <w:color w:val="auto"/>
        </w:rPr>
        <w:t>’</w:t>
      </w:r>
      <w:r w:rsidRPr="00FB0850">
        <w:rPr>
          <w:color w:val="auto"/>
        </w:rPr>
        <w:t xml:space="preserve">Union internationale pour la protection des obtentions végétales (UPOV)”, réalisé </w:t>
      </w:r>
      <w:r w:rsidR="00ED7246" w:rsidRPr="00FB0850">
        <w:rPr>
          <w:color w:val="auto"/>
        </w:rPr>
        <w:t>en 2016</w:t>
      </w:r>
      <w:r w:rsidRPr="00FB0850">
        <w:rPr>
          <w:color w:val="auto"/>
        </w:rPr>
        <w:t>.</w:t>
      </w:r>
      <w:r w:rsidR="00E124B9" w:rsidRPr="00FB0850">
        <w:rPr>
          <w:color w:val="auto"/>
        </w:rPr>
        <w:t xml:space="preserve"> </w:t>
      </w:r>
      <w:r w:rsidR="00114591" w:rsidRPr="00FB0850">
        <w:rPr>
          <w:color w:val="auto"/>
        </w:rPr>
        <w:t xml:space="preserve"> </w:t>
      </w:r>
      <w:r w:rsidR="0016211C" w:rsidRPr="00FB0850">
        <w:rPr>
          <w:color w:val="auto"/>
        </w:rPr>
        <w:t>L</w:t>
      </w:r>
      <w:r w:rsidR="00E124B9" w:rsidRPr="00FB0850">
        <w:rPr>
          <w:color w:val="auto"/>
        </w:rPr>
        <w:t>e</w:t>
      </w:r>
      <w:r w:rsidR="0016211C" w:rsidRPr="00FB0850">
        <w:rPr>
          <w:color w:val="auto"/>
        </w:rPr>
        <w:t xml:space="preserve"> rapport recommandait que l</w:t>
      </w:r>
      <w:r w:rsidR="00ED7246" w:rsidRPr="00FB0850">
        <w:rPr>
          <w:color w:val="auto"/>
        </w:rPr>
        <w:t>’</w:t>
      </w:r>
      <w:r w:rsidR="00E124B9" w:rsidRPr="00FB0850">
        <w:rPr>
          <w:color w:val="auto"/>
        </w:rPr>
        <w:t xml:space="preserve">UPOV </w:t>
      </w:r>
      <w:r w:rsidR="00B378CA" w:rsidRPr="00FB0850">
        <w:rPr>
          <w:color w:val="auto"/>
        </w:rPr>
        <w:t>réfléchiss</w:t>
      </w:r>
      <w:r w:rsidR="0016211C" w:rsidRPr="00FB0850">
        <w:rPr>
          <w:color w:val="auto"/>
        </w:rPr>
        <w:t xml:space="preserve">e </w:t>
      </w:r>
      <w:r w:rsidR="00B378CA" w:rsidRPr="00FB0850">
        <w:rPr>
          <w:color w:val="auto"/>
        </w:rPr>
        <w:t xml:space="preserve">à </w:t>
      </w:r>
      <w:r w:rsidR="0016211C" w:rsidRPr="00FB0850">
        <w:rPr>
          <w:color w:val="auto"/>
        </w:rPr>
        <w:t xml:space="preserve">un Plan stratégique </w:t>
      </w:r>
      <w:r w:rsidR="005E2387" w:rsidRPr="00FB0850">
        <w:rPr>
          <w:color w:val="auto"/>
        </w:rPr>
        <w:t>pour le développement de</w:t>
      </w:r>
      <w:r w:rsidR="0016211C" w:rsidRPr="00FB0850">
        <w:rPr>
          <w:color w:val="auto"/>
        </w:rPr>
        <w:t>s activités</w:t>
      </w:r>
      <w:r w:rsidR="005E2387" w:rsidRPr="00FB0850">
        <w:rPr>
          <w:color w:val="auto"/>
        </w:rPr>
        <w:t>, afin de diversifier ses flux de recettes</w:t>
      </w:r>
      <w:r w:rsidR="00E124B9" w:rsidRPr="00FB0850">
        <w:rPr>
          <w:color w:val="auto"/>
        </w:rPr>
        <w:t xml:space="preserve">. </w:t>
      </w:r>
      <w:r w:rsidR="00114591" w:rsidRPr="00FB0850">
        <w:rPr>
          <w:color w:val="auto"/>
        </w:rPr>
        <w:t xml:space="preserve"> </w:t>
      </w:r>
      <w:r w:rsidR="00B378CA" w:rsidRPr="00FB0850">
        <w:rPr>
          <w:color w:val="auto"/>
        </w:rPr>
        <w:t>L</w:t>
      </w:r>
      <w:r w:rsidR="00ED7246" w:rsidRPr="00FB0850">
        <w:rPr>
          <w:color w:val="auto"/>
        </w:rPr>
        <w:t>’</w:t>
      </w:r>
      <w:r w:rsidR="00E124B9" w:rsidRPr="00FB0850">
        <w:rPr>
          <w:color w:val="auto"/>
        </w:rPr>
        <w:t xml:space="preserve">UPOV </w:t>
      </w:r>
      <w:r w:rsidR="00B378CA" w:rsidRPr="00FB0850">
        <w:rPr>
          <w:color w:val="auto"/>
        </w:rPr>
        <w:t xml:space="preserve">a suivi cette recommandation et a élaboré un projet de Plan stratégique pour le développement des activités, adopté par le Comité consultatif en </w:t>
      </w:r>
      <w:r w:rsidR="00ED7246" w:rsidRPr="00FB0850">
        <w:rPr>
          <w:color w:val="auto"/>
        </w:rPr>
        <w:t>octobre 20</w:t>
      </w:r>
      <w:r w:rsidR="00E124B9" w:rsidRPr="00FB0850">
        <w:rPr>
          <w:color w:val="auto"/>
        </w:rPr>
        <w:t>17.</w:t>
      </w:r>
    </w:p>
    <w:p w:rsidR="00ED7246" w:rsidRPr="00FB0850" w:rsidRDefault="00B378CA" w:rsidP="00F24F3F">
      <w:pPr>
        <w:pStyle w:val="Number1"/>
        <w:numPr>
          <w:ilvl w:val="1"/>
          <w:numId w:val="3"/>
        </w:numPr>
        <w:ind w:left="1701" w:firstLine="0"/>
        <w:jc w:val="both"/>
        <w:rPr>
          <w:color w:val="auto"/>
        </w:rPr>
      </w:pPr>
      <w:r w:rsidRPr="00FB0850">
        <w:rPr>
          <w:color w:val="auto"/>
        </w:rPr>
        <w:t xml:space="preserve">Dans le cadre du </w:t>
      </w:r>
      <w:r w:rsidR="0072643B">
        <w:rPr>
          <w:color w:val="auto"/>
        </w:rPr>
        <w:t>p</w:t>
      </w:r>
      <w:r w:rsidRPr="00FB0850">
        <w:rPr>
          <w:color w:val="auto"/>
        </w:rPr>
        <w:t>lan d</w:t>
      </w:r>
      <w:r w:rsidR="00ED7246" w:rsidRPr="00FB0850">
        <w:rPr>
          <w:color w:val="auto"/>
        </w:rPr>
        <w:t>’</w:t>
      </w:r>
      <w:r w:rsidRPr="00FB0850">
        <w:rPr>
          <w:color w:val="auto"/>
        </w:rPr>
        <w:t>activités</w:t>
      </w:r>
      <w:r w:rsidR="00E124B9" w:rsidRPr="00FB0850">
        <w:rPr>
          <w:color w:val="auto"/>
        </w:rPr>
        <w:t xml:space="preserve">, </w:t>
      </w:r>
      <w:r w:rsidRPr="00FB0850">
        <w:rPr>
          <w:color w:val="auto"/>
        </w:rPr>
        <w:t>l</w:t>
      </w:r>
      <w:r w:rsidR="00ED7246" w:rsidRPr="00FB0850">
        <w:rPr>
          <w:color w:val="auto"/>
        </w:rPr>
        <w:t>’</w:t>
      </w:r>
      <w:r w:rsidR="00E124B9" w:rsidRPr="00FB0850">
        <w:rPr>
          <w:color w:val="auto"/>
        </w:rPr>
        <w:t xml:space="preserve">UPOV </w:t>
      </w:r>
      <w:r w:rsidRPr="00FB0850">
        <w:rPr>
          <w:color w:val="auto"/>
        </w:rPr>
        <w:t>n</w:t>
      </w:r>
      <w:r w:rsidR="00ED7246" w:rsidRPr="00FB0850">
        <w:rPr>
          <w:color w:val="auto"/>
        </w:rPr>
        <w:t>’</w:t>
      </w:r>
      <w:r w:rsidRPr="00FB0850">
        <w:rPr>
          <w:color w:val="auto"/>
        </w:rPr>
        <w:t>envisage pas d</w:t>
      </w:r>
      <w:r w:rsidR="00ED7246" w:rsidRPr="00FB0850">
        <w:rPr>
          <w:color w:val="auto"/>
        </w:rPr>
        <w:t>’</w:t>
      </w:r>
      <w:r w:rsidRPr="00FB0850">
        <w:rPr>
          <w:color w:val="auto"/>
        </w:rPr>
        <w:t xml:space="preserve">augmenter le montant des unités de contribution de ses membres </w:t>
      </w:r>
      <w:r w:rsidR="002B4044" w:rsidRPr="00FB0850">
        <w:rPr>
          <w:color w:val="auto"/>
        </w:rPr>
        <w:t>pour lever des recettes supplémentair</w:t>
      </w:r>
      <w:r w:rsidR="002A21D7" w:rsidRPr="00FB0850">
        <w:rPr>
          <w:color w:val="auto"/>
        </w:rPr>
        <w:t>es.  En</w:t>
      </w:r>
      <w:r w:rsidR="00FB2BD5" w:rsidRPr="00FB0850">
        <w:rPr>
          <w:color w:val="auto"/>
        </w:rPr>
        <w:t xml:space="preserve"> </w:t>
      </w:r>
      <w:r w:rsidR="00ED7246" w:rsidRPr="00FB0850">
        <w:rPr>
          <w:color w:val="auto"/>
        </w:rPr>
        <w:t>janvier 20</w:t>
      </w:r>
      <w:r w:rsidR="00FB2BD5" w:rsidRPr="00FB0850">
        <w:rPr>
          <w:color w:val="auto"/>
        </w:rPr>
        <w:t>17, l</w:t>
      </w:r>
      <w:r w:rsidR="00ED7246" w:rsidRPr="00FB0850">
        <w:rPr>
          <w:color w:val="auto"/>
        </w:rPr>
        <w:t>’</w:t>
      </w:r>
      <w:r w:rsidR="00FB2BD5" w:rsidRPr="00FB0850">
        <w:rPr>
          <w:color w:val="auto"/>
        </w:rPr>
        <w:t xml:space="preserve">UPOV a lancé son formulaire de demande électronique </w:t>
      </w:r>
      <w:r w:rsidR="00ED7246" w:rsidRPr="00FB0850">
        <w:rPr>
          <w:color w:val="auto"/>
        </w:rPr>
        <w:t>“U</w:t>
      </w:r>
      <w:r w:rsidR="00FB2BD5" w:rsidRPr="00FB0850">
        <w:rPr>
          <w:color w:val="auto"/>
        </w:rPr>
        <w:t>POV PRISM</w:t>
      </w:r>
      <w:r w:rsidR="00ED7246" w:rsidRPr="00FB0850">
        <w:rPr>
          <w:color w:val="auto"/>
        </w:rPr>
        <w:t>A”</w:t>
      </w:r>
      <w:r w:rsidR="00FB2BD5" w:rsidRPr="00FB0850">
        <w:rPr>
          <w:color w:val="auto"/>
        </w:rPr>
        <w:t>, un outil en ligne qui peut être utilisé pour fournir les données relatives aux demandes à tous les services de protection des obtentions végétales participant</w:t>
      </w:r>
      <w:r w:rsidR="0072643B">
        <w:rPr>
          <w:color w:val="auto"/>
        </w:rPr>
        <w:t>s</w:t>
      </w:r>
      <w:r w:rsidR="00FB2BD5" w:rsidRPr="00FB0850">
        <w:rPr>
          <w:color w:val="auto"/>
        </w:rPr>
        <w:t xml:space="preserve"> au format exi</w:t>
      </w:r>
      <w:r w:rsidR="002A21D7" w:rsidRPr="00FB0850">
        <w:rPr>
          <w:color w:val="auto"/>
        </w:rPr>
        <w:t>gé.  Ce</w:t>
      </w:r>
      <w:r w:rsidR="002B4044" w:rsidRPr="00FB0850">
        <w:rPr>
          <w:color w:val="auto"/>
        </w:rPr>
        <w:t xml:space="preserve"> système a été introduit selon le principe suivant lequel les redevances acquittées par les demandeurs </w:t>
      </w:r>
      <w:r w:rsidR="00EF02E5" w:rsidRPr="00FB0850">
        <w:rPr>
          <w:color w:val="auto"/>
        </w:rPr>
        <w:t xml:space="preserve">allaient </w:t>
      </w:r>
      <w:r w:rsidR="002B4044" w:rsidRPr="00FB0850">
        <w:rPr>
          <w:color w:val="auto"/>
        </w:rPr>
        <w:t xml:space="preserve">couvrir au final les coûts du </w:t>
      </w:r>
      <w:r w:rsidR="00E124B9" w:rsidRPr="00FB0850">
        <w:rPr>
          <w:color w:val="auto"/>
        </w:rPr>
        <w:t>service</w:t>
      </w:r>
      <w:r w:rsidR="002B4044" w:rsidRPr="00FB0850">
        <w:rPr>
          <w:color w:val="auto"/>
        </w:rPr>
        <w:t>,</w:t>
      </w:r>
      <w:r w:rsidR="00E124B9" w:rsidRPr="00FB0850">
        <w:rPr>
          <w:color w:val="auto"/>
        </w:rPr>
        <w:t xml:space="preserve"> </w:t>
      </w:r>
      <w:r w:rsidR="002B4044" w:rsidRPr="00FB0850">
        <w:rPr>
          <w:color w:val="auto"/>
        </w:rPr>
        <w:t xml:space="preserve">ce qui </w:t>
      </w:r>
      <w:r w:rsidR="00EF02E5" w:rsidRPr="00FB0850">
        <w:rPr>
          <w:color w:val="auto"/>
        </w:rPr>
        <w:t>devr</w:t>
      </w:r>
      <w:r w:rsidR="002B4044" w:rsidRPr="00FB0850">
        <w:rPr>
          <w:color w:val="auto"/>
        </w:rPr>
        <w:t xml:space="preserve">ait </w:t>
      </w:r>
      <w:r w:rsidR="00EF02E5" w:rsidRPr="00FB0850">
        <w:rPr>
          <w:color w:val="auto"/>
        </w:rPr>
        <w:t xml:space="preserve">élargir la couverture </w:t>
      </w:r>
      <w:r w:rsidR="00EF02E5" w:rsidRPr="00FB0850">
        <w:rPr>
          <w:color w:val="auto"/>
        </w:rPr>
        <w:lastRenderedPageBreak/>
        <w:t>à l</w:t>
      </w:r>
      <w:r w:rsidR="00ED7246" w:rsidRPr="00FB0850">
        <w:rPr>
          <w:color w:val="auto"/>
        </w:rPr>
        <w:t>’</w:t>
      </w:r>
      <w:r w:rsidR="00EF02E5" w:rsidRPr="00FB0850">
        <w:rPr>
          <w:color w:val="auto"/>
        </w:rPr>
        <w:t>ensemble des membres de l</w:t>
      </w:r>
      <w:r w:rsidR="00ED7246" w:rsidRPr="00FB0850">
        <w:rPr>
          <w:color w:val="auto"/>
        </w:rPr>
        <w:t>’</w:t>
      </w:r>
      <w:r w:rsidR="00E124B9" w:rsidRPr="00FB0850">
        <w:rPr>
          <w:color w:val="auto"/>
        </w:rPr>
        <w:t xml:space="preserve">Union </w:t>
      </w:r>
      <w:r w:rsidR="00EF02E5" w:rsidRPr="00FB0850">
        <w:rPr>
          <w:color w:val="auto"/>
        </w:rPr>
        <w:t xml:space="preserve">souhaitant y </w:t>
      </w:r>
      <w:r w:rsidR="00E124B9" w:rsidRPr="00FB0850">
        <w:rPr>
          <w:color w:val="auto"/>
        </w:rPr>
        <w:t>participe</w:t>
      </w:r>
      <w:r w:rsidR="00EF02E5" w:rsidRPr="00FB0850">
        <w:rPr>
          <w:color w:val="auto"/>
        </w:rPr>
        <w:t>r</w:t>
      </w:r>
      <w:r w:rsidR="00E124B9" w:rsidRPr="00FB0850">
        <w:rPr>
          <w:color w:val="auto"/>
        </w:rPr>
        <w:t xml:space="preserve"> </w:t>
      </w:r>
      <w:r w:rsidR="00EF02E5" w:rsidRPr="00FB0850">
        <w:rPr>
          <w:color w:val="auto"/>
        </w:rPr>
        <w:t>et couvrir l</w:t>
      </w:r>
      <w:r w:rsidR="00ED7246" w:rsidRPr="00FB0850">
        <w:rPr>
          <w:color w:val="auto"/>
        </w:rPr>
        <w:t>’</w:t>
      </w:r>
      <w:r w:rsidR="00EF02E5" w:rsidRPr="00FB0850">
        <w:rPr>
          <w:color w:val="auto"/>
        </w:rPr>
        <w:t>entièreté des cultures/e</w:t>
      </w:r>
      <w:r w:rsidR="00E124B9" w:rsidRPr="00FB0850">
        <w:rPr>
          <w:color w:val="auto"/>
        </w:rPr>
        <w:t>sp</w:t>
      </w:r>
      <w:r w:rsidR="00EF02E5" w:rsidRPr="00FB0850">
        <w:rPr>
          <w:color w:val="auto"/>
        </w:rPr>
        <w:t>è</w:t>
      </w:r>
      <w:r w:rsidR="00E124B9" w:rsidRPr="00FB0850">
        <w:rPr>
          <w:color w:val="auto"/>
        </w:rPr>
        <w:t>ces.</w:t>
      </w:r>
    </w:p>
    <w:p w:rsidR="00CA3696" w:rsidRPr="00FB0850" w:rsidRDefault="00FB2BD5" w:rsidP="00F24F3F">
      <w:pPr>
        <w:pStyle w:val="Number1"/>
        <w:numPr>
          <w:ilvl w:val="1"/>
          <w:numId w:val="3"/>
        </w:numPr>
        <w:ind w:left="1701" w:firstLine="0"/>
        <w:jc w:val="both"/>
        <w:rPr>
          <w:color w:val="auto"/>
        </w:rPr>
      </w:pPr>
      <w:r w:rsidRPr="00FB0850">
        <w:rPr>
          <w:color w:val="auto"/>
        </w:rPr>
        <w:t>En novembre 2018, le Comité consultatif a noté qu</w:t>
      </w:r>
      <w:r w:rsidR="00ED7246" w:rsidRPr="00FB0850">
        <w:rPr>
          <w:color w:val="auto"/>
        </w:rPr>
        <w:t>’</w:t>
      </w:r>
      <w:r w:rsidRPr="00FB0850">
        <w:rPr>
          <w:color w:val="auto"/>
        </w:rPr>
        <w:t>il fallait davantage de temps pour augmenter le nombre d</w:t>
      </w:r>
      <w:r w:rsidR="00ED7246" w:rsidRPr="00FB0850">
        <w:rPr>
          <w:color w:val="auto"/>
        </w:rPr>
        <w:t>’</w:t>
      </w:r>
      <w:r w:rsidRPr="00FB0850">
        <w:rPr>
          <w:color w:val="auto"/>
        </w:rPr>
        <w:t>utilisateurs d</w:t>
      </w:r>
      <w:r w:rsidR="00ED7246" w:rsidRPr="00FB0850">
        <w:rPr>
          <w:color w:val="auto"/>
        </w:rPr>
        <w:t>’</w:t>
      </w:r>
      <w:r w:rsidRPr="00FB0850">
        <w:rPr>
          <w:color w:val="auto"/>
        </w:rPr>
        <w:t>UPOV PRISMA et pouvoir ainsi réaliser une enquête fiable sur la pertinence des options pour son financement, ainsi que pour garantir sa fiabili</w:t>
      </w:r>
      <w:r w:rsidR="002A21D7" w:rsidRPr="00FB0850">
        <w:rPr>
          <w:color w:val="auto"/>
        </w:rPr>
        <w:t>té.  Le</w:t>
      </w:r>
      <w:r w:rsidR="00EF02E5" w:rsidRPr="00FB0850">
        <w:rPr>
          <w:color w:val="auto"/>
        </w:rPr>
        <w:t xml:space="preserve"> </w:t>
      </w:r>
      <w:r w:rsidR="00E124B9" w:rsidRPr="00FB0850">
        <w:rPr>
          <w:color w:val="auto"/>
        </w:rPr>
        <w:t>Con</w:t>
      </w:r>
      <w:r w:rsidR="00EF02E5" w:rsidRPr="00FB0850">
        <w:rPr>
          <w:color w:val="auto"/>
        </w:rPr>
        <w:t>sei</w:t>
      </w:r>
      <w:r w:rsidR="00E124B9" w:rsidRPr="00FB0850">
        <w:rPr>
          <w:color w:val="auto"/>
        </w:rPr>
        <w:t xml:space="preserve">l </w:t>
      </w:r>
      <w:r w:rsidR="00EF02E5" w:rsidRPr="00FB0850">
        <w:rPr>
          <w:color w:val="auto"/>
        </w:rPr>
        <w:t>a par la suite</w:t>
      </w:r>
      <w:r w:rsidR="00E124B9" w:rsidRPr="00FB0850">
        <w:rPr>
          <w:color w:val="auto"/>
        </w:rPr>
        <w:t xml:space="preserve"> appro</w:t>
      </w:r>
      <w:r w:rsidR="00EF02E5" w:rsidRPr="00FB0850">
        <w:rPr>
          <w:color w:val="auto"/>
        </w:rPr>
        <w:t>u</w:t>
      </w:r>
      <w:r w:rsidR="00E124B9" w:rsidRPr="00FB0850">
        <w:rPr>
          <w:color w:val="auto"/>
        </w:rPr>
        <w:t>v</w:t>
      </w:r>
      <w:r w:rsidR="00EF02E5" w:rsidRPr="00FB0850">
        <w:rPr>
          <w:color w:val="auto"/>
        </w:rPr>
        <w:t>é</w:t>
      </w:r>
      <w:r w:rsidR="00E124B9" w:rsidRPr="00FB0850">
        <w:rPr>
          <w:color w:val="auto"/>
        </w:rPr>
        <w:t xml:space="preserve"> </w:t>
      </w:r>
      <w:r w:rsidR="00EF02E5" w:rsidRPr="00FB0850">
        <w:rPr>
          <w:color w:val="auto"/>
        </w:rPr>
        <w:t xml:space="preserve">la recommandation du </w:t>
      </w:r>
      <w:r w:rsidR="0072643B" w:rsidRPr="00FB0850">
        <w:rPr>
          <w:color w:val="auto"/>
        </w:rPr>
        <w:t xml:space="preserve">Comité </w:t>
      </w:r>
      <w:r w:rsidR="00EF02E5" w:rsidRPr="00FB0850">
        <w:rPr>
          <w:color w:val="auto"/>
        </w:rPr>
        <w:t>visant à autoriser l</w:t>
      </w:r>
      <w:r w:rsidR="00ED7246" w:rsidRPr="00FB0850">
        <w:rPr>
          <w:color w:val="auto"/>
        </w:rPr>
        <w:t>’</w:t>
      </w:r>
      <w:r w:rsidR="00EF02E5" w:rsidRPr="00FB0850">
        <w:rPr>
          <w:color w:val="auto"/>
        </w:rPr>
        <w:t>utilisation gratuite d</w:t>
      </w:r>
      <w:r w:rsidR="00ED7246" w:rsidRPr="00FB0850">
        <w:rPr>
          <w:color w:val="auto"/>
        </w:rPr>
        <w:t>’</w:t>
      </w:r>
      <w:r w:rsidR="00E124B9" w:rsidRPr="00FB0850">
        <w:rPr>
          <w:color w:val="auto"/>
        </w:rPr>
        <w:t xml:space="preserve">UPOV PRISMA </w:t>
      </w:r>
      <w:r w:rsidR="00ED7246" w:rsidRPr="00FB0850">
        <w:rPr>
          <w:color w:val="auto"/>
        </w:rPr>
        <w:t>en 2019</w:t>
      </w:r>
      <w:r w:rsidR="00E124B9" w:rsidRPr="00FB0850">
        <w:rPr>
          <w:color w:val="auto"/>
        </w:rPr>
        <w:t>.</w:t>
      </w:r>
    </w:p>
    <w:p w:rsidR="00ED7246" w:rsidRPr="00FB0850" w:rsidRDefault="00E124B9" w:rsidP="00F24F3F">
      <w:pPr>
        <w:pStyle w:val="Number1"/>
        <w:numPr>
          <w:ilvl w:val="1"/>
          <w:numId w:val="3"/>
        </w:numPr>
        <w:ind w:left="1701" w:firstLine="0"/>
        <w:jc w:val="both"/>
        <w:rPr>
          <w:color w:val="auto"/>
        </w:rPr>
      </w:pPr>
      <w:r w:rsidRPr="00FB0850">
        <w:rPr>
          <w:color w:val="auto"/>
        </w:rPr>
        <w:t>A</w:t>
      </w:r>
      <w:r w:rsidR="00EF02E5" w:rsidRPr="00FB0850">
        <w:rPr>
          <w:color w:val="auto"/>
        </w:rPr>
        <w:t>u fur et à mesure que l</w:t>
      </w:r>
      <w:r w:rsidR="00ED7246" w:rsidRPr="00FB0850">
        <w:rPr>
          <w:color w:val="auto"/>
        </w:rPr>
        <w:t>’</w:t>
      </w:r>
      <w:r w:rsidRPr="00FB0850">
        <w:rPr>
          <w:color w:val="auto"/>
        </w:rPr>
        <w:t xml:space="preserve">UPOV </w:t>
      </w:r>
      <w:r w:rsidR="00EF02E5" w:rsidRPr="00FB0850">
        <w:rPr>
          <w:color w:val="auto"/>
        </w:rPr>
        <w:t>s</w:t>
      </w:r>
      <w:r w:rsidR="00ED7246" w:rsidRPr="00FB0850">
        <w:rPr>
          <w:color w:val="auto"/>
        </w:rPr>
        <w:t>’</w:t>
      </w:r>
      <w:r w:rsidR="00EF02E5" w:rsidRPr="00FB0850">
        <w:rPr>
          <w:color w:val="auto"/>
        </w:rPr>
        <w:t xml:space="preserve">acheminera vers un environnement opérationnel plus </w:t>
      </w:r>
      <w:r w:rsidRPr="00FB0850">
        <w:rPr>
          <w:color w:val="auto"/>
        </w:rPr>
        <w:t xml:space="preserve">commercial, </w:t>
      </w:r>
      <w:r w:rsidR="00EF02E5" w:rsidRPr="00FB0850">
        <w:rPr>
          <w:color w:val="auto"/>
        </w:rPr>
        <w:t xml:space="preserve">il lui faudra </w:t>
      </w:r>
      <w:r w:rsidR="00D66B8F" w:rsidRPr="00FB0850">
        <w:rPr>
          <w:color w:val="auto"/>
        </w:rPr>
        <w:t xml:space="preserve">procéder à une </w:t>
      </w:r>
      <w:r w:rsidR="00EF02E5" w:rsidRPr="00FB0850">
        <w:rPr>
          <w:color w:val="auto"/>
        </w:rPr>
        <w:t>réfl</w:t>
      </w:r>
      <w:r w:rsidR="00D66B8F" w:rsidRPr="00FB0850">
        <w:rPr>
          <w:color w:val="auto"/>
        </w:rPr>
        <w:t xml:space="preserve">exion approfondie sur le coût du modèle employé et dresser des projections </w:t>
      </w:r>
      <w:r w:rsidRPr="00FB0850">
        <w:rPr>
          <w:color w:val="auto"/>
        </w:rPr>
        <w:t>r</w:t>
      </w:r>
      <w:r w:rsidR="00D66B8F" w:rsidRPr="00FB0850">
        <w:rPr>
          <w:color w:val="auto"/>
        </w:rPr>
        <w:t>é</w:t>
      </w:r>
      <w:r w:rsidRPr="00FB0850">
        <w:rPr>
          <w:color w:val="auto"/>
        </w:rPr>
        <w:t>alist</w:t>
      </w:r>
      <w:r w:rsidR="00D66B8F" w:rsidRPr="00FB0850">
        <w:rPr>
          <w:color w:val="auto"/>
        </w:rPr>
        <w:t>e</w:t>
      </w:r>
      <w:r w:rsidRPr="00FB0850">
        <w:rPr>
          <w:color w:val="auto"/>
        </w:rPr>
        <w:t xml:space="preserve">s </w:t>
      </w:r>
      <w:r w:rsidR="00D66B8F" w:rsidRPr="00FB0850">
        <w:rPr>
          <w:color w:val="auto"/>
        </w:rPr>
        <w:t xml:space="preserve">permettant de </w:t>
      </w:r>
      <w:bookmarkStart w:id="13" w:name="SW0007"/>
      <w:bookmarkEnd w:id="11"/>
      <w:r w:rsidRPr="00FB0850">
        <w:rPr>
          <w:color w:val="auto"/>
        </w:rPr>
        <w:t>progress</w:t>
      </w:r>
      <w:r w:rsidR="00D66B8F" w:rsidRPr="00FB0850">
        <w:rPr>
          <w:color w:val="auto"/>
        </w:rPr>
        <w:t>er</w:t>
      </w:r>
      <w:r w:rsidRPr="00FB0850">
        <w:rPr>
          <w:color w:val="auto"/>
        </w:rPr>
        <w:t xml:space="preserve"> </w:t>
      </w:r>
      <w:r w:rsidR="00D66B8F" w:rsidRPr="00FB0850">
        <w:rPr>
          <w:color w:val="auto"/>
        </w:rPr>
        <w:t>au vu des cibles évalué</w:t>
      </w:r>
      <w:r w:rsidR="002A21D7" w:rsidRPr="00FB0850">
        <w:rPr>
          <w:color w:val="auto"/>
        </w:rPr>
        <w:t>es.  Av</w:t>
      </w:r>
      <w:r w:rsidR="00D66B8F" w:rsidRPr="00FB0850">
        <w:rPr>
          <w:color w:val="auto"/>
        </w:rPr>
        <w:t>ec une compréhension plus fine et un meilleur aperçu des coûts de fonctionnement, l</w:t>
      </w:r>
      <w:r w:rsidR="00ED7246" w:rsidRPr="00FB0850">
        <w:rPr>
          <w:color w:val="auto"/>
        </w:rPr>
        <w:t>’</w:t>
      </w:r>
      <w:r w:rsidRPr="00FB0850">
        <w:rPr>
          <w:color w:val="auto"/>
        </w:rPr>
        <w:t xml:space="preserve">UPOV </w:t>
      </w:r>
      <w:r w:rsidR="00D66B8F" w:rsidRPr="00FB0850">
        <w:rPr>
          <w:color w:val="auto"/>
        </w:rPr>
        <w:t xml:space="preserve">sera davantage en mesure de mieux </w:t>
      </w:r>
      <w:r w:rsidRPr="00FB0850">
        <w:rPr>
          <w:color w:val="auto"/>
        </w:rPr>
        <w:t>analyse</w:t>
      </w:r>
      <w:r w:rsidR="00D66B8F" w:rsidRPr="00FB0850">
        <w:rPr>
          <w:color w:val="auto"/>
        </w:rPr>
        <w:t>r</w:t>
      </w:r>
      <w:r w:rsidRPr="00FB0850">
        <w:rPr>
          <w:color w:val="auto"/>
        </w:rPr>
        <w:t xml:space="preserve">, </w:t>
      </w:r>
      <w:r w:rsidR="00D66B8F" w:rsidRPr="00FB0850">
        <w:rPr>
          <w:color w:val="auto"/>
        </w:rPr>
        <w:t>référencer et gérer ces coûts</w:t>
      </w:r>
      <w:r w:rsidR="00B96901" w:rsidRPr="00FB0850">
        <w:rPr>
          <w:color w:val="auto"/>
        </w:rPr>
        <w:t>,</w:t>
      </w:r>
      <w:r w:rsidR="00D66B8F" w:rsidRPr="00FB0850">
        <w:rPr>
          <w:color w:val="auto"/>
        </w:rPr>
        <w:t xml:space="preserve"> et de mieux s</w:t>
      </w:r>
      <w:r w:rsidR="00ED7246" w:rsidRPr="00FB0850">
        <w:rPr>
          <w:color w:val="auto"/>
        </w:rPr>
        <w:t>’</w:t>
      </w:r>
      <w:r w:rsidR="00D66B8F" w:rsidRPr="00FB0850">
        <w:rPr>
          <w:color w:val="auto"/>
        </w:rPr>
        <w:t xml:space="preserve">assurer que les taux de redevances soient fixés au niveau adéquat pour compenser les coûts supplémentaires de gestion et de fonctionnement du système </w:t>
      </w:r>
      <w:r w:rsidRPr="00FB0850">
        <w:rPr>
          <w:color w:val="auto"/>
        </w:rPr>
        <w:t>UPOV PRISMA.</w:t>
      </w:r>
    </w:p>
    <w:p w:rsidR="00ED7246" w:rsidRPr="00FB0850" w:rsidRDefault="00B96901" w:rsidP="00F24F3F">
      <w:pPr>
        <w:pStyle w:val="Number1"/>
        <w:numPr>
          <w:ilvl w:val="1"/>
          <w:numId w:val="3"/>
        </w:numPr>
        <w:ind w:left="1701" w:firstLine="0"/>
        <w:jc w:val="both"/>
        <w:rPr>
          <w:color w:val="auto"/>
        </w:rPr>
      </w:pPr>
      <w:r w:rsidRPr="00FB0850">
        <w:rPr>
          <w:color w:val="auto"/>
        </w:rPr>
        <w:t xml:space="preserve">Pour tout changement </w:t>
      </w:r>
      <w:r w:rsidR="00E124B9" w:rsidRPr="00FB0850">
        <w:rPr>
          <w:color w:val="auto"/>
        </w:rPr>
        <w:t>significat</w:t>
      </w:r>
      <w:r w:rsidRPr="00FB0850">
        <w:rPr>
          <w:color w:val="auto"/>
        </w:rPr>
        <w:t>if de cette</w:t>
      </w:r>
      <w:r w:rsidR="00E124B9" w:rsidRPr="00FB0850">
        <w:rPr>
          <w:color w:val="auto"/>
        </w:rPr>
        <w:t xml:space="preserve"> nature</w:t>
      </w:r>
      <w:r w:rsidRPr="00FB0850">
        <w:rPr>
          <w:color w:val="auto"/>
        </w:rPr>
        <w:t>,</w:t>
      </w:r>
      <w:r w:rsidR="00E124B9" w:rsidRPr="00FB0850">
        <w:rPr>
          <w:color w:val="auto"/>
        </w:rPr>
        <w:t xml:space="preserve"> </w:t>
      </w:r>
      <w:r w:rsidRPr="00FB0850">
        <w:rPr>
          <w:color w:val="auto"/>
        </w:rPr>
        <w:t>il est</w:t>
      </w:r>
      <w:r w:rsidR="00E124B9" w:rsidRPr="00FB0850">
        <w:rPr>
          <w:color w:val="auto"/>
        </w:rPr>
        <w:t xml:space="preserve"> important </w:t>
      </w:r>
      <w:r w:rsidRPr="00FB0850">
        <w:rPr>
          <w:color w:val="auto"/>
        </w:rPr>
        <w:t xml:space="preserve">de veiller à ce que des mécanismes de </w:t>
      </w:r>
      <w:r w:rsidR="00E124B9" w:rsidRPr="00FB0850">
        <w:rPr>
          <w:color w:val="auto"/>
        </w:rPr>
        <w:t>go</w:t>
      </w:r>
      <w:r w:rsidRPr="00FB0850">
        <w:rPr>
          <w:color w:val="auto"/>
        </w:rPr>
        <w:t>u</w:t>
      </w:r>
      <w:r w:rsidR="00E124B9" w:rsidRPr="00FB0850">
        <w:rPr>
          <w:color w:val="auto"/>
        </w:rPr>
        <w:t xml:space="preserve">vernance </w:t>
      </w:r>
      <w:r w:rsidRPr="00FB0850">
        <w:rPr>
          <w:color w:val="auto"/>
        </w:rPr>
        <w:t>adéquats soient e</w:t>
      </w:r>
      <w:r w:rsidR="00E124B9" w:rsidRPr="00FB0850">
        <w:rPr>
          <w:color w:val="auto"/>
        </w:rPr>
        <w:t>n place</w:t>
      </w:r>
      <w:r w:rsidRPr="00FB0850">
        <w:rPr>
          <w:color w:val="auto"/>
        </w:rPr>
        <w:t xml:space="preserve">, afin de contrôler la </w:t>
      </w:r>
      <w:r w:rsidR="00E124B9" w:rsidRPr="00FB0850">
        <w:rPr>
          <w:color w:val="auto"/>
        </w:rPr>
        <w:t>performance a</w:t>
      </w:r>
      <w:r w:rsidRPr="00FB0850">
        <w:rPr>
          <w:color w:val="auto"/>
        </w:rPr>
        <w:t xml:space="preserve">u regard des </w:t>
      </w:r>
      <w:r w:rsidR="00E124B9" w:rsidRPr="00FB0850">
        <w:rPr>
          <w:color w:val="auto"/>
        </w:rPr>
        <w:t>objecti</w:t>
      </w:r>
      <w:r w:rsidRPr="00FB0850">
        <w:rPr>
          <w:color w:val="auto"/>
        </w:rPr>
        <w:t>f</w:t>
      </w:r>
      <w:r w:rsidR="00E124B9" w:rsidRPr="00FB0850">
        <w:rPr>
          <w:color w:val="auto"/>
        </w:rPr>
        <w:t xml:space="preserve">s </w:t>
      </w:r>
      <w:r w:rsidRPr="00FB0850">
        <w:rPr>
          <w:color w:val="auto"/>
        </w:rPr>
        <w:t>fixés dans le plan d</w:t>
      </w:r>
      <w:r w:rsidR="00ED7246" w:rsidRPr="00FB0850">
        <w:rPr>
          <w:color w:val="auto"/>
        </w:rPr>
        <w:t>’</w:t>
      </w:r>
      <w:r w:rsidRPr="00FB0850">
        <w:rPr>
          <w:color w:val="auto"/>
        </w:rPr>
        <w:t>activit</w:t>
      </w:r>
      <w:r w:rsidR="002A21D7" w:rsidRPr="00FB0850">
        <w:rPr>
          <w:color w:val="auto"/>
        </w:rPr>
        <w:t>és.  Un</w:t>
      </w:r>
      <w:r w:rsidRPr="00FB0850">
        <w:rPr>
          <w:color w:val="auto"/>
        </w:rPr>
        <w:t xml:space="preserve">e gestion de </w:t>
      </w:r>
      <w:r w:rsidR="00E124B9" w:rsidRPr="00FB0850">
        <w:rPr>
          <w:color w:val="auto"/>
        </w:rPr>
        <w:t xml:space="preserve">projet </w:t>
      </w:r>
      <w:r w:rsidRPr="00FB0850">
        <w:rPr>
          <w:color w:val="auto"/>
        </w:rPr>
        <w:t xml:space="preserve">solide doit inclure un </w:t>
      </w:r>
      <w:r w:rsidR="00E124B9" w:rsidRPr="00FB0850">
        <w:rPr>
          <w:color w:val="auto"/>
        </w:rPr>
        <w:t>engagement</w:t>
      </w:r>
      <w:r w:rsidRPr="00FB0850">
        <w:rPr>
          <w:color w:val="auto"/>
        </w:rPr>
        <w:t xml:space="preserve"> approprié des parties prenantes</w:t>
      </w:r>
      <w:r w:rsidR="00E124B9" w:rsidRPr="00FB0850">
        <w:rPr>
          <w:color w:val="auto"/>
        </w:rPr>
        <w:t xml:space="preserve">, </w:t>
      </w:r>
      <w:r w:rsidR="00906072" w:rsidRPr="00FB0850">
        <w:rPr>
          <w:color w:val="auto"/>
        </w:rPr>
        <w:t>une vision d</w:t>
      </w:r>
      <w:r w:rsidR="00ED7246" w:rsidRPr="00FB0850">
        <w:rPr>
          <w:color w:val="auto"/>
        </w:rPr>
        <w:t>’</w:t>
      </w:r>
      <w:r w:rsidR="00906072" w:rsidRPr="00FB0850">
        <w:rPr>
          <w:color w:val="auto"/>
        </w:rPr>
        <w:t xml:space="preserve">ensemble </w:t>
      </w:r>
      <w:r w:rsidR="00CE64BE" w:rsidRPr="00FB0850">
        <w:rPr>
          <w:color w:val="auto"/>
        </w:rPr>
        <w:t xml:space="preserve">ainsi que des informations </w:t>
      </w:r>
      <w:r w:rsidR="00906072" w:rsidRPr="00FB0850">
        <w:rPr>
          <w:color w:val="auto"/>
        </w:rPr>
        <w:t>permettant de surveiller l</w:t>
      </w:r>
      <w:r w:rsidR="00ED7246" w:rsidRPr="00FB0850">
        <w:rPr>
          <w:color w:val="auto"/>
        </w:rPr>
        <w:t>’</w:t>
      </w:r>
      <w:r w:rsidR="00E124B9" w:rsidRPr="00FB0850">
        <w:rPr>
          <w:color w:val="auto"/>
        </w:rPr>
        <w:t xml:space="preserve">impact </w:t>
      </w:r>
      <w:r w:rsidR="00906072" w:rsidRPr="00FB0850">
        <w:rPr>
          <w:color w:val="auto"/>
        </w:rPr>
        <w:t>de tels</w:t>
      </w:r>
      <w:r w:rsidR="00E124B9" w:rsidRPr="00FB0850">
        <w:rPr>
          <w:color w:val="auto"/>
        </w:rPr>
        <w:t xml:space="preserve"> change</w:t>
      </w:r>
      <w:r w:rsidR="00906072" w:rsidRPr="00FB0850">
        <w:rPr>
          <w:color w:val="auto"/>
        </w:rPr>
        <w:t>men</w:t>
      </w:r>
      <w:r w:rsidR="002A21D7" w:rsidRPr="00FB0850">
        <w:rPr>
          <w:color w:val="auto"/>
        </w:rPr>
        <w:t>ts.  Ce</w:t>
      </w:r>
      <w:r w:rsidR="00906072" w:rsidRPr="00FB0850">
        <w:rPr>
          <w:color w:val="auto"/>
        </w:rPr>
        <w:t xml:space="preserve">tte première </w:t>
      </w:r>
      <w:r w:rsidR="00E124B9" w:rsidRPr="00FB0850">
        <w:rPr>
          <w:color w:val="auto"/>
        </w:rPr>
        <w:t xml:space="preserve">phase </w:t>
      </w:r>
      <w:r w:rsidR="00906072" w:rsidRPr="00FB0850">
        <w:rPr>
          <w:color w:val="auto"/>
        </w:rPr>
        <w:t>devrait permettre à l</w:t>
      </w:r>
      <w:r w:rsidR="00ED7246" w:rsidRPr="00FB0850">
        <w:rPr>
          <w:color w:val="auto"/>
        </w:rPr>
        <w:t>’</w:t>
      </w:r>
      <w:r w:rsidR="00E124B9" w:rsidRPr="00FB0850">
        <w:rPr>
          <w:color w:val="auto"/>
        </w:rPr>
        <w:t xml:space="preserve">UPOV </w:t>
      </w:r>
      <w:r w:rsidR="00906072" w:rsidRPr="00FB0850">
        <w:rPr>
          <w:color w:val="auto"/>
        </w:rPr>
        <w:t>d</w:t>
      </w:r>
      <w:r w:rsidR="00ED7246" w:rsidRPr="00FB0850">
        <w:rPr>
          <w:color w:val="auto"/>
        </w:rPr>
        <w:t>’</w:t>
      </w:r>
      <w:r w:rsidR="00906072" w:rsidRPr="00FB0850">
        <w:rPr>
          <w:color w:val="auto"/>
        </w:rPr>
        <w:t xml:space="preserve">évaluer la pertinence de ces </w:t>
      </w:r>
      <w:r w:rsidR="00E124B9" w:rsidRPr="00FB0850">
        <w:rPr>
          <w:color w:val="auto"/>
        </w:rPr>
        <w:t>arrangements</w:t>
      </w:r>
      <w:r w:rsidR="00906072" w:rsidRPr="00FB0850">
        <w:rPr>
          <w:color w:val="auto"/>
        </w:rPr>
        <w:t xml:space="preserve"> et de revoir les responsabilités au titre de la mise en place de ces changemen</w:t>
      </w:r>
      <w:r w:rsidR="002A21D7" w:rsidRPr="00FB0850">
        <w:rPr>
          <w:color w:val="auto"/>
        </w:rPr>
        <w:t>ts.  Un</w:t>
      </w:r>
      <w:r w:rsidR="00906072" w:rsidRPr="00FB0850">
        <w:rPr>
          <w:color w:val="auto"/>
        </w:rPr>
        <w:t>e gestion de risque e</w:t>
      </w:r>
      <w:r w:rsidR="00E124B9" w:rsidRPr="00FB0850">
        <w:rPr>
          <w:color w:val="auto"/>
        </w:rPr>
        <w:t xml:space="preserve">ffective </w:t>
      </w:r>
      <w:r w:rsidR="00906072" w:rsidRPr="00FB0850">
        <w:rPr>
          <w:color w:val="auto"/>
        </w:rPr>
        <w:t xml:space="preserve">du </w:t>
      </w:r>
      <w:r w:rsidR="00E124B9" w:rsidRPr="00FB0850">
        <w:rPr>
          <w:color w:val="auto"/>
        </w:rPr>
        <w:t xml:space="preserve">projet </w:t>
      </w:r>
      <w:r w:rsidR="00906072" w:rsidRPr="00FB0850">
        <w:rPr>
          <w:color w:val="auto"/>
        </w:rPr>
        <w:t>fournira une assurance plus systématique que les risques sont atténués et contrôlés</w:t>
      </w:r>
      <w:r w:rsidR="00E124B9" w:rsidRPr="00FB0850">
        <w:rPr>
          <w:color w:val="auto"/>
        </w:rPr>
        <w:t>.</w:t>
      </w:r>
    </w:p>
    <w:p w:rsidR="00CA3696" w:rsidRPr="00FB0850" w:rsidRDefault="00906072" w:rsidP="00F24F3F">
      <w:pPr>
        <w:pStyle w:val="Number1"/>
        <w:numPr>
          <w:ilvl w:val="1"/>
          <w:numId w:val="3"/>
        </w:numPr>
        <w:ind w:left="1701" w:firstLine="0"/>
        <w:jc w:val="both"/>
        <w:rPr>
          <w:color w:val="auto"/>
        </w:rPr>
      </w:pPr>
      <w:r w:rsidRPr="00FB0850">
        <w:rPr>
          <w:color w:val="auto"/>
        </w:rPr>
        <w:t>Eu égard à l</w:t>
      </w:r>
      <w:r w:rsidR="00ED7246" w:rsidRPr="00FB0850">
        <w:rPr>
          <w:color w:val="auto"/>
        </w:rPr>
        <w:t>’</w:t>
      </w:r>
      <w:r w:rsidRPr="00FB0850">
        <w:rPr>
          <w:color w:val="auto"/>
        </w:rPr>
        <w:t xml:space="preserve">importance </w:t>
      </w:r>
      <w:r w:rsidR="00E124B9" w:rsidRPr="00FB0850">
        <w:rPr>
          <w:color w:val="auto"/>
        </w:rPr>
        <w:t>potenti</w:t>
      </w:r>
      <w:r w:rsidRPr="00FB0850">
        <w:rPr>
          <w:color w:val="auto"/>
        </w:rPr>
        <w:t>el</w:t>
      </w:r>
      <w:r w:rsidR="00E124B9" w:rsidRPr="00FB0850">
        <w:rPr>
          <w:color w:val="auto"/>
        </w:rPr>
        <w:t xml:space="preserve">le </w:t>
      </w:r>
      <w:r w:rsidRPr="00FB0850">
        <w:rPr>
          <w:color w:val="auto"/>
        </w:rPr>
        <w:t xml:space="preserve">du </w:t>
      </w:r>
      <w:r w:rsidR="00E124B9" w:rsidRPr="00FB0850">
        <w:rPr>
          <w:color w:val="auto"/>
        </w:rPr>
        <w:t xml:space="preserve">projet </w:t>
      </w:r>
      <w:r w:rsidRPr="00FB0850">
        <w:rPr>
          <w:color w:val="auto"/>
        </w:rPr>
        <w:t xml:space="preserve">et aux changements </w:t>
      </w:r>
      <w:r w:rsidR="00E124B9" w:rsidRPr="00FB0850">
        <w:rPr>
          <w:color w:val="auto"/>
        </w:rPr>
        <w:t>cultur</w:t>
      </w:r>
      <w:r w:rsidRPr="00FB0850">
        <w:rPr>
          <w:color w:val="auto"/>
        </w:rPr>
        <w:t>e</w:t>
      </w:r>
      <w:r w:rsidR="00E124B9" w:rsidRPr="00FB0850">
        <w:rPr>
          <w:color w:val="auto"/>
        </w:rPr>
        <w:t>l</w:t>
      </w:r>
      <w:r w:rsidRPr="00FB0850">
        <w:rPr>
          <w:color w:val="auto"/>
        </w:rPr>
        <w:t>s</w:t>
      </w:r>
      <w:r w:rsidR="00E124B9" w:rsidRPr="00FB0850">
        <w:rPr>
          <w:color w:val="auto"/>
        </w:rPr>
        <w:t xml:space="preserve"> </w:t>
      </w:r>
      <w:r w:rsidRPr="00FB0850">
        <w:rPr>
          <w:color w:val="auto"/>
        </w:rPr>
        <w:t>qui pourraient s</w:t>
      </w:r>
      <w:r w:rsidR="00ED7246" w:rsidRPr="00FB0850">
        <w:rPr>
          <w:color w:val="auto"/>
        </w:rPr>
        <w:t>’</w:t>
      </w:r>
      <w:r w:rsidRPr="00FB0850">
        <w:rPr>
          <w:color w:val="auto"/>
        </w:rPr>
        <w:t xml:space="preserve">avérer nécessaires </w:t>
      </w:r>
      <w:r w:rsidR="00CE64BE" w:rsidRPr="00FB0850">
        <w:rPr>
          <w:color w:val="auto"/>
        </w:rPr>
        <w:t>à</w:t>
      </w:r>
      <w:r w:rsidRPr="00FB0850">
        <w:rPr>
          <w:color w:val="auto"/>
        </w:rPr>
        <w:t xml:space="preserve"> ce passage vers une orientation plus </w:t>
      </w:r>
      <w:r w:rsidR="00E124B9" w:rsidRPr="00FB0850">
        <w:rPr>
          <w:color w:val="auto"/>
        </w:rPr>
        <w:t>commercial</w:t>
      </w:r>
      <w:r w:rsidRPr="00FB0850">
        <w:rPr>
          <w:color w:val="auto"/>
        </w:rPr>
        <w:t>e</w:t>
      </w:r>
      <w:r w:rsidR="00E124B9" w:rsidRPr="00FB0850">
        <w:rPr>
          <w:color w:val="auto"/>
        </w:rPr>
        <w:t xml:space="preserve">, </w:t>
      </w:r>
      <w:r w:rsidRPr="00FB0850">
        <w:rPr>
          <w:color w:val="auto"/>
        </w:rPr>
        <w:t xml:space="preserve">nous </w:t>
      </w:r>
      <w:r w:rsidR="0037060C" w:rsidRPr="00FB0850">
        <w:rPr>
          <w:color w:val="auto"/>
        </w:rPr>
        <w:t>espérons</w:t>
      </w:r>
      <w:r w:rsidRPr="00FB0850">
        <w:rPr>
          <w:color w:val="auto"/>
        </w:rPr>
        <w:t xml:space="preserve"> pouvoir évaluer les progrès réalisés </w:t>
      </w:r>
      <w:r w:rsidR="0037060C" w:rsidRPr="00FB0850">
        <w:rPr>
          <w:color w:val="auto"/>
        </w:rPr>
        <w:t xml:space="preserve">dans la mise en œuvre du système </w:t>
      </w:r>
      <w:r w:rsidR="0072643B">
        <w:rPr>
          <w:color w:val="auto"/>
        </w:rPr>
        <w:t>UPOV </w:t>
      </w:r>
      <w:r w:rsidR="00E124B9" w:rsidRPr="00FB0850">
        <w:rPr>
          <w:color w:val="auto"/>
        </w:rPr>
        <w:t xml:space="preserve">PRISMA </w:t>
      </w:r>
      <w:r w:rsidR="0037060C" w:rsidRPr="00FB0850">
        <w:rPr>
          <w:color w:val="auto"/>
        </w:rPr>
        <w:t xml:space="preserve">lors de nos vérifications de comptes </w:t>
      </w:r>
      <w:r w:rsidR="00E124B9" w:rsidRPr="00FB0850">
        <w:rPr>
          <w:color w:val="auto"/>
        </w:rPr>
        <w:t>future</w:t>
      </w:r>
      <w:r w:rsidR="0037060C" w:rsidRPr="00FB0850">
        <w:rPr>
          <w:color w:val="auto"/>
        </w:rPr>
        <w:t>s</w:t>
      </w:r>
      <w:r w:rsidR="00E124B9" w:rsidRPr="00FB0850">
        <w:rPr>
          <w:color w:val="auto"/>
        </w:rPr>
        <w:t>.</w:t>
      </w:r>
    </w:p>
    <w:p w:rsidR="00CA3696" w:rsidRPr="00FB0850" w:rsidRDefault="001D6283" w:rsidP="00F24F3F">
      <w:pPr>
        <w:pStyle w:val="Heading2"/>
        <w:rPr>
          <w:lang w:val="fr-FR"/>
        </w:rPr>
      </w:pPr>
      <w:bookmarkStart w:id="14" w:name="_Toc14355940"/>
      <w:bookmarkStart w:id="15" w:name="SW0022"/>
      <w:bookmarkEnd w:id="8"/>
      <w:bookmarkEnd w:id="13"/>
      <w:r w:rsidRPr="00FB0850">
        <w:rPr>
          <w:lang w:val="fr-FR"/>
        </w:rPr>
        <w:t>Fraudes, paiements à titre gracieux et</w:t>
      </w:r>
      <w:r w:rsidR="00F24F3F" w:rsidRPr="00FB0850">
        <w:rPr>
          <w:lang w:val="fr-FR"/>
        </w:rPr>
        <w:t> </w:t>
      </w:r>
      <w:r w:rsidRPr="00FB0850">
        <w:rPr>
          <w:lang w:val="fr-FR"/>
        </w:rPr>
        <w:t>annulations</w:t>
      </w:r>
      <w:bookmarkEnd w:id="14"/>
    </w:p>
    <w:p w:rsidR="00CA3696" w:rsidRPr="00FB0850" w:rsidRDefault="00FB2BD5" w:rsidP="00F24F3F">
      <w:pPr>
        <w:pStyle w:val="Number1"/>
        <w:numPr>
          <w:ilvl w:val="1"/>
          <w:numId w:val="3"/>
        </w:numPr>
        <w:ind w:left="1701" w:firstLine="0"/>
        <w:jc w:val="both"/>
        <w:rPr>
          <w:color w:val="auto"/>
        </w:rPr>
      </w:pPr>
      <w:r w:rsidRPr="00FB0850">
        <w:rPr>
          <w:color w:val="auto"/>
        </w:rPr>
        <w:t xml:space="preserve">Conformément aux normes comptables internationales (ISA 240), notre audit est planifié de manière à attendre raisonnablement une identification des principales fausses déclarations et irrégularités, </w:t>
      </w:r>
      <w:r w:rsidR="00ED7246" w:rsidRPr="00FB0850">
        <w:rPr>
          <w:color w:val="auto"/>
        </w:rPr>
        <w:t>y compris</w:t>
      </w:r>
      <w:r w:rsidRPr="00FB0850">
        <w:rPr>
          <w:color w:val="auto"/>
        </w:rPr>
        <w:t xml:space="preserve"> celles qui résultent de fraud</w:t>
      </w:r>
      <w:r w:rsidR="002A21D7" w:rsidRPr="00FB0850">
        <w:rPr>
          <w:color w:val="auto"/>
        </w:rPr>
        <w:t>es.  Il</w:t>
      </w:r>
      <w:r w:rsidRPr="00FB0850">
        <w:rPr>
          <w:color w:val="auto"/>
        </w:rPr>
        <w:t xml:space="preserve"> ne convient toutefois pas d</w:t>
      </w:r>
      <w:r w:rsidR="00ED7246" w:rsidRPr="00FB0850">
        <w:rPr>
          <w:color w:val="auto"/>
        </w:rPr>
        <w:t>’</w:t>
      </w:r>
      <w:r w:rsidRPr="00FB0850">
        <w:rPr>
          <w:color w:val="auto"/>
        </w:rPr>
        <w:t>attendre de l</w:t>
      </w:r>
      <w:r w:rsidR="00ED7246" w:rsidRPr="00FB0850">
        <w:rPr>
          <w:color w:val="auto"/>
        </w:rPr>
        <w:t>’</w:t>
      </w:r>
      <w:r w:rsidRPr="00FB0850">
        <w:rPr>
          <w:color w:val="auto"/>
        </w:rPr>
        <w:t>audit qu</w:t>
      </w:r>
      <w:r w:rsidR="00ED7246" w:rsidRPr="00FB0850">
        <w:rPr>
          <w:color w:val="auto"/>
        </w:rPr>
        <w:t>’</w:t>
      </w:r>
      <w:r w:rsidRPr="00FB0850">
        <w:rPr>
          <w:color w:val="auto"/>
        </w:rPr>
        <w:t>il identifie l</w:t>
      </w:r>
      <w:r w:rsidR="00ED7246" w:rsidRPr="00FB0850">
        <w:rPr>
          <w:color w:val="auto"/>
        </w:rPr>
        <w:t>’</w:t>
      </w:r>
      <w:r w:rsidRPr="00FB0850">
        <w:rPr>
          <w:color w:val="auto"/>
        </w:rPr>
        <w:t>ensemble des fausses déclarations ou irrégularit</w:t>
      </w:r>
      <w:r w:rsidR="002A21D7" w:rsidRPr="00FB0850">
        <w:rPr>
          <w:color w:val="auto"/>
        </w:rPr>
        <w:t>és.  La</w:t>
      </w:r>
      <w:r w:rsidRPr="00FB0850">
        <w:rPr>
          <w:color w:val="auto"/>
        </w:rPr>
        <w:t xml:space="preserve"> responsabilité première en matière de prévention et de détection des fraudes incombe à la direction.</w:t>
      </w:r>
    </w:p>
    <w:p w:rsidR="00CA3696" w:rsidRPr="00FB0850" w:rsidRDefault="00FB2BD5" w:rsidP="00F24F3F">
      <w:pPr>
        <w:pStyle w:val="Number1"/>
        <w:numPr>
          <w:ilvl w:val="1"/>
          <w:numId w:val="3"/>
        </w:numPr>
        <w:ind w:left="1701" w:firstLine="0"/>
        <w:jc w:val="both"/>
        <w:rPr>
          <w:color w:val="auto"/>
        </w:rPr>
      </w:pPr>
      <w:r w:rsidRPr="00FB0850">
        <w:rPr>
          <w:color w:val="auto"/>
        </w:rPr>
        <w:t>Au cours de l</w:t>
      </w:r>
      <w:r w:rsidR="00ED7246" w:rsidRPr="00FB0850">
        <w:rPr>
          <w:color w:val="auto"/>
        </w:rPr>
        <w:t>’</w:t>
      </w:r>
      <w:r w:rsidRPr="00FB0850">
        <w:rPr>
          <w:color w:val="auto"/>
        </w:rPr>
        <w:t>audit, nous avons interrogé la direction et les personnes chargées de la gouvernance sur les responsabilités en termes de surveillance de l</w:t>
      </w:r>
      <w:r w:rsidR="00ED7246" w:rsidRPr="00FB0850">
        <w:rPr>
          <w:color w:val="auto"/>
        </w:rPr>
        <w:t>’</w:t>
      </w:r>
      <w:r w:rsidRPr="00FB0850">
        <w:rPr>
          <w:color w:val="auto"/>
        </w:rPr>
        <w:t xml:space="preserve">évaluation des risques de fraudes substantielles, ainsi que sur les processus mis en place pour identifier et répondre à ces risques, </w:t>
      </w:r>
      <w:r w:rsidR="00ED7246" w:rsidRPr="00FB0850">
        <w:rPr>
          <w:color w:val="auto"/>
        </w:rPr>
        <w:t>y compris</w:t>
      </w:r>
      <w:r w:rsidRPr="00FB0850">
        <w:rPr>
          <w:color w:val="auto"/>
        </w:rPr>
        <w:t xml:space="preserve"> à un éventuel risque spécifique que la direction aurait identifié ou qui aurait été porté à sa connaissan</w:t>
      </w:r>
      <w:r w:rsidR="002A21D7" w:rsidRPr="00FB0850">
        <w:rPr>
          <w:color w:val="auto"/>
        </w:rPr>
        <w:t>ce.  No</w:t>
      </w:r>
      <w:r w:rsidRPr="00FB0850">
        <w:rPr>
          <w:color w:val="auto"/>
        </w:rPr>
        <w:t xml:space="preserve">us avons également cherché </w:t>
      </w:r>
      <w:r w:rsidR="00ED7246" w:rsidRPr="00FB0850">
        <w:rPr>
          <w:color w:val="auto"/>
        </w:rPr>
        <w:t>à savoir</w:t>
      </w:r>
      <w:r w:rsidRPr="00FB0850">
        <w:rPr>
          <w:color w:val="auto"/>
        </w:rPr>
        <w:t xml:space="preserve"> si la direction avait connaissance de fraudes avérées, suspectées ou allégué</w:t>
      </w:r>
      <w:r w:rsidR="002A21D7" w:rsidRPr="00FB0850">
        <w:rPr>
          <w:color w:val="auto"/>
        </w:rPr>
        <w:t>es.  No</w:t>
      </w:r>
      <w:r w:rsidR="000F7F8B" w:rsidRPr="00FB0850">
        <w:rPr>
          <w:color w:val="auto"/>
        </w:rPr>
        <w:t>us n</w:t>
      </w:r>
      <w:r w:rsidR="00ED7246" w:rsidRPr="00FB0850">
        <w:rPr>
          <w:color w:val="auto"/>
        </w:rPr>
        <w:t>’</w:t>
      </w:r>
      <w:r w:rsidR="000F7F8B" w:rsidRPr="00FB0850">
        <w:rPr>
          <w:color w:val="auto"/>
        </w:rPr>
        <w:t>avons observé aucun cas de fraude au cours de notre audit, et aucune affaire n</w:t>
      </w:r>
      <w:r w:rsidR="00ED7246" w:rsidRPr="00FB0850">
        <w:rPr>
          <w:color w:val="auto"/>
        </w:rPr>
        <w:t>’</w:t>
      </w:r>
      <w:r w:rsidR="000F7F8B" w:rsidRPr="00FB0850">
        <w:rPr>
          <w:color w:val="auto"/>
        </w:rPr>
        <w:t>a retenu notre attention au cours de nos tests.</w:t>
      </w:r>
    </w:p>
    <w:p w:rsidR="00CA3696" w:rsidRPr="00FB0850" w:rsidRDefault="001D6283" w:rsidP="00F24F3F">
      <w:pPr>
        <w:pStyle w:val="Number1"/>
        <w:numPr>
          <w:ilvl w:val="1"/>
          <w:numId w:val="3"/>
        </w:numPr>
        <w:ind w:left="1701" w:firstLine="0"/>
        <w:jc w:val="both"/>
        <w:rPr>
          <w:color w:val="auto"/>
        </w:rPr>
      </w:pPr>
      <w:r w:rsidRPr="00FB0850">
        <w:rPr>
          <w:color w:val="auto"/>
        </w:rPr>
        <w:lastRenderedPageBreak/>
        <w:t>L</w:t>
      </w:r>
      <w:r w:rsidR="00ED7246" w:rsidRPr="00FB0850">
        <w:rPr>
          <w:color w:val="auto"/>
        </w:rPr>
        <w:t>’</w:t>
      </w:r>
      <w:r w:rsidR="00E124B9" w:rsidRPr="00FB0850">
        <w:rPr>
          <w:color w:val="auto"/>
        </w:rPr>
        <w:t xml:space="preserve">UPOV </w:t>
      </w:r>
      <w:r w:rsidRPr="00FB0850">
        <w:rPr>
          <w:color w:val="auto"/>
        </w:rPr>
        <w:t>n</w:t>
      </w:r>
      <w:r w:rsidR="00ED7246" w:rsidRPr="00FB0850">
        <w:rPr>
          <w:color w:val="auto"/>
        </w:rPr>
        <w:t>’</w:t>
      </w:r>
      <w:r w:rsidRPr="00FB0850">
        <w:rPr>
          <w:color w:val="auto"/>
        </w:rPr>
        <w:t>a fait état d</w:t>
      </w:r>
      <w:r w:rsidR="00ED7246" w:rsidRPr="00FB0850">
        <w:rPr>
          <w:color w:val="auto"/>
        </w:rPr>
        <w:t>’</w:t>
      </w:r>
      <w:r w:rsidRPr="00FB0850">
        <w:rPr>
          <w:color w:val="auto"/>
        </w:rPr>
        <w:t>aucun paiement à titre gracieux ni d</w:t>
      </w:r>
      <w:r w:rsidR="00ED7246" w:rsidRPr="00FB0850">
        <w:rPr>
          <w:color w:val="auto"/>
        </w:rPr>
        <w:t>’</w:t>
      </w:r>
      <w:r w:rsidRPr="00FB0850">
        <w:rPr>
          <w:color w:val="auto"/>
        </w:rPr>
        <w:t xml:space="preserve">aucune annulation </w:t>
      </w:r>
      <w:r w:rsidR="00ED7246" w:rsidRPr="00FB0850">
        <w:rPr>
          <w:color w:val="auto"/>
        </w:rPr>
        <w:t>en 2018</w:t>
      </w:r>
      <w:r w:rsidR="00E124B9" w:rsidRPr="00FB0850">
        <w:rPr>
          <w:color w:val="auto"/>
        </w:rPr>
        <w:t>.</w:t>
      </w:r>
    </w:p>
    <w:p w:rsidR="00CA3696" w:rsidRPr="00FB0850" w:rsidRDefault="000F7F8B" w:rsidP="00F24F3F">
      <w:pPr>
        <w:pStyle w:val="Heading2"/>
        <w:rPr>
          <w:lang w:val="fr-FR"/>
        </w:rPr>
      </w:pPr>
      <w:bookmarkStart w:id="16" w:name="_Toc14355941"/>
      <w:r w:rsidRPr="00FB0850">
        <w:rPr>
          <w:lang w:val="fr-FR"/>
        </w:rPr>
        <w:t>Recommandations des années précédentes</w:t>
      </w:r>
      <w:bookmarkEnd w:id="16"/>
    </w:p>
    <w:p w:rsidR="00ED7246" w:rsidRPr="00FB0850" w:rsidRDefault="0037060C" w:rsidP="00F24F3F">
      <w:pPr>
        <w:pStyle w:val="Number1"/>
        <w:numPr>
          <w:ilvl w:val="1"/>
          <w:numId w:val="3"/>
        </w:numPr>
        <w:ind w:left="1701" w:firstLine="0"/>
        <w:jc w:val="both"/>
        <w:rPr>
          <w:color w:val="auto"/>
        </w:rPr>
      </w:pPr>
      <w:r w:rsidRPr="00FB0850">
        <w:rPr>
          <w:color w:val="auto"/>
        </w:rPr>
        <w:t>Aucune recommandation n</w:t>
      </w:r>
      <w:r w:rsidR="00ED7246" w:rsidRPr="00FB0850">
        <w:rPr>
          <w:color w:val="auto"/>
        </w:rPr>
        <w:t>’</w:t>
      </w:r>
      <w:r w:rsidRPr="00FB0850">
        <w:rPr>
          <w:color w:val="auto"/>
        </w:rPr>
        <w:t>a été formulée lors des précédentes année</w:t>
      </w:r>
      <w:r w:rsidR="00E124B9" w:rsidRPr="00FB0850">
        <w:rPr>
          <w:color w:val="auto"/>
        </w:rPr>
        <w:t>s.</w:t>
      </w:r>
    </w:p>
    <w:p w:rsidR="00CA3696" w:rsidRPr="00FB0850" w:rsidRDefault="000F7F8B" w:rsidP="00F24F3F">
      <w:pPr>
        <w:pStyle w:val="Heading2"/>
        <w:rPr>
          <w:lang w:val="fr-FR"/>
        </w:rPr>
      </w:pPr>
      <w:bookmarkStart w:id="17" w:name="_Toc14355942"/>
      <w:r w:rsidRPr="00FB0850">
        <w:rPr>
          <w:lang w:val="fr-FR"/>
        </w:rPr>
        <w:t>Remerciements</w:t>
      </w:r>
      <w:bookmarkEnd w:id="17"/>
    </w:p>
    <w:p w:rsidR="00CA3696" w:rsidRPr="00FB0850" w:rsidRDefault="0037060C" w:rsidP="00F24F3F">
      <w:pPr>
        <w:pStyle w:val="Number1"/>
        <w:numPr>
          <w:ilvl w:val="1"/>
          <w:numId w:val="3"/>
        </w:numPr>
        <w:ind w:left="1701" w:firstLine="0"/>
        <w:jc w:val="both"/>
        <w:rPr>
          <w:color w:val="auto"/>
        </w:rPr>
      </w:pPr>
      <w:bookmarkStart w:id="18" w:name="SW0023"/>
      <w:bookmarkEnd w:id="15"/>
      <w:r w:rsidRPr="00FB0850">
        <w:rPr>
          <w:color w:val="auto"/>
        </w:rPr>
        <w:t>Nous voudrions remercier le personnel de l</w:t>
      </w:r>
      <w:r w:rsidR="00ED7246" w:rsidRPr="00FB0850">
        <w:rPr>
          <w:color w:val="auto"/>
        </w:rPr>
        <w:t>’</w:t>
      </w:r>
      <w:r w:rsidR="00E124B9" w:rsidRPr="00FB0850">
        <w:rPr>
          <w:color w:val="auto"/>
        </w:rPr>
        <w:t xml:space="preserve">UPOV </w:t>
      </w:r>
      <w:r w:rsidRPr="00FB0850">
        <w:rPr>
          <w:color w:val="auto"/>
        </w:rPr>
        <w:t>et les collègues de l</w:t>
      </w:r>
      <w:r w:rsidR="00ED7246" w:rsidRPr="00FB0850">
        <w:rPr>
          <w:color w:val="auto"/>
        </w:rPr>
        <w:t>’</w:t>
      </w:r>
      <w:r w:rsidRPr="00FB0850">
        <w:rPr>
          <w:color w:val="auto"/>
        </w:rPr>
        <w:t xml:space="preserve">Organisation Mondiale de la Propriété Intellectuelle pour leur </w:t>
      </w:r>
      <w:r w:rsidR="00E124B9" w:rsidRPr="00FB0850">
        <w:rPr>
          <w:color w:val="auto"/>
        </w:rPr>
        <w:t>coop</w:t>
      </w:r>
      <w:r w:rsidRPr="00FB0850">
        <w:rPr>
          <w:color w:val="auto"/>
        </w:rPr>
        <w:t>é</w:t>
      </w:r>
      <w:r w:rsidR="00E124B9" w:rsidRPr="00FB0850">
        <w:rPr>
          <w:color w:val="auto"/>
        </w:rPr>
        <w:t xml:space="preserve">ration </w:t>
      </w:r>
      <w:r w:rsidRPr="00FB0850">
        <w:rPr>
          <w:color w:val="auto"/>
        </w:rPr>
        <w:t xml:space="preserve">à </w:t>
      </w:r>
      <w:r w:rsidR="00E124B9" w:rsidRPr="00FB0850">
        <w:rPr>
          <w:color w:val="auto"/>
        </w:rPr>
        <w:t>facilit</w:t>
      </w:r>
      <w:r w:rsidRPr="00FB0850">
        <w:rPr>
          <w:color w:val="auto"/>
        </w:rPr>
        <w:t>er notre première année de travail de vérification des comptes</w:t>
      </w:r>
      <w:r w:rsidR="00E124B9" w:rsidRPr="00FB0850">
        <w:rPr>
          <w:color w:val="auto"/>
        </w:rPr>
        <w:t>.</w:t>
      </w:r>
    </w:p>
    <w:p w:rsidR="00CA3696" w:rsidRPr="00FB0850" w:rsidRDefault="00CA3696" w:rsidP="00E124B9">
      <w:pPr>
        <w:rPr>
          <w:rFonts w:cs="Arial"/>
          <w:szCs w:val="24"/>
        </w:rPr>
      </w:pPr>
    </w:p>
    <w:p w:rsidR="00CA3696" w:rsidRPr="00FB0850" w:rsidRDefault="00E124B9" w:rsidP="0072643B">
      <w:pPr>
        <w:spacing w:after="120"/>
        <w:ind w:left="1701"/>
        <w:rPr>
          <w:rStyle w:val="Bold"/>
        </w:rPr>
      </w:pPr>
      <w:r w:rsidRPr="00FB0850">
        <w:rPr>
          <w:rStyle w:val="Bold"/>
        </w:rPr>
        <w:t>Gareth Davies</w:t>
      </w:r>
    </w:p>
    <w:p w:rsidR="00CA3696" w:rsidRPr="00FB0850" w:rsidRDefault="000F7F8B" w:rsidP="0072643B">
      <w:pPr>
        <w:spacing w:after="120"/>
        <w:ind w:left="1701"/>
        <w:jc w:val="left"/>
        <w:rPr>
          <w:rStyle w:val="Bold"/>
        </w:rPr>
      </w:pPr>
      <w:r w:rsidRPr="00FB0850">
        <w:rPr>
          <w:rStyle w:val="Bold"/>
        </w:rPr>
        <w:t xml:space="preserve">Contrôleur et Vérificateur général des comptes du </w:t>
      </w:r>
      <w:r w:rsidR="0072643B">
        <w:rPr>
          <w:rStyle w:val="Bold"/>
        </w:rPr>
        <w:t xml:space="preserve">Royaume-Uni </w:t>
      </w:r>
      <w:r w:rsidRPr="00FB0850">
        <w:rPr>
          <w:rStyle w:val="Bold"/>
        </w:rPr>
        <w:t>– Vérificateur externe aux comptes</w:t>
      </w:r>
    </w:p>
    <w:bookmarkEnd w:id="18"/>
    <w:p w:rsidR="00CA3696" w:rsidRPr="00FB0850" w:rsidRDefault="000F7F8B" w:rsidP="00F24F3F">
      <w:pPr>
        <w:ind w:left="1701"/>
        <w:rPr>
          <w:rStyle w:val="Bold"/>
        </w:rPr>
      </w:pPr>
      <w:r w:rsidRPr="00FB0850">
        <w:rPr>
          <w:rStyle w:val="Bold"/>
        </w:rPr>
        <w:t>1</w:t>
      </w:r>
      <w:r w:rsidR="0072643B">
        <w:rPr>
          <w:rStyle w:val="Bold"/>
        </w:rPr>
        <w:t>3</w:t>
      </w:r>
      <w:r w:rsidR="00ED7246" w:rsidRPr="00FB0850">
        <w:rPr>
          <w:rStyle w:val="Bold"/>
        </w:rPr>
        <w:t> juin 20</w:t>
      </w:r>
      <w:r w:rsidRPr="00FB0850">
        <w:rPr>
          <w:rStyle w:val="Bold"/>
        </w:rPr>
        <w:t>19</w:t>
      </w:r>
    </w:p>
    <w:p w:rsidR="00F24F3F" w:rsidRPr="00FB0850" w:rsidRDefault="00F24F3F">
      <w:pPr>
        <w:jc w:val="left"/>
        <w:rPr>
          <w:rStyle w:val="Bold"/>
          <w:lang w:eastAsia="x-none"/>
        </w:rPr>
      </w:pPr>
      <w:r w:rsidRPr="00FB0850">
        <w:rPr>
          <w:rStyle w:val="Bold"/>
        </w:rPr>
        <w:br w:type="page"/>
      </w:r>
    </w:p>
    <w:p w:rsidR="00CA3696" w:rsidRPr="00FB0850" w:rsidRDefault="0037060C" w:rsidP="000E37FF">
      <w:pPr>
        <w:pStyle w:val="BodyText"/>
        <w:spacing w:after="120" w:line="260" w:lineRule="atLeast"/>
        <w:rPr>
          <w:rStyle w:val="Bold"/>
          <w:lang w:val="fr-FR"/>
        </w:rPr>
      </w:pPr>
      <w:r w:rsidRPr="00FB0850">
        <w:rPr>
          <w:rStyle w:val="Bold"/>
          <w:lang w:val="fr-FR"/>
        </w:rPr>
        <w:lastRenderedPageBreak/>
        <w:t xml:space="preserve">RAPPORT DU VÉRIFICATEUR </w:t>
      </w:r>
      <w:r w:rsidR="00D4790B" w:rsidRPr="00FB0850">
        <w:rPr>
          <w:rStyle w:val="Bold"/>
          <w:lang w:val="fr-FR"/>
        </w:rPr>
        <w:t>IND</w:t>
      </w:r>
      <w:r w:rsidRPr="00FB0850">
        <w:rPr>
          <w:rStyle w:val="Bold"/>
          <w:lang w:val="fr-FR"/>
        </w:rPr>
        <w:t>É</w:t>
      </w:r>
      <w:r w:rsidR="00D4790B" w:rsidRPr="00FB0850">
        <w:rPr>
          <w:rStyle w:val="Bold"/>
          <w:lang w:val="fr-FR"/>
        </w:rPr>
        <w:t>PEND</w:t>
      </w:r>
      <w:r w:rsidRPr="00FB0850">
        <w:rPr>
          <w:rStyle w:val="Bold"/>
          <w:lang w:val="fr-FR"/>
        </w:rPr>
        <w:t>A</w:t>
      </w:r>
      <w:r w:rsidR="00D4790B" w:rsidRPr="00FB0850">
        <w:rPr>
          <w:rStyle w:val="Bold"/>
          <w:lang w:val="fr-FR"/>
        </w:rPr>
        <w:t xml:space="preserve">NT </w:t>
      </w:r>
      <w:r w:rsidRPr="00FB0850">
        <w:rPr>
          <w:rStyle w:val="Bold"/>
          <w:lang w:val="fr-FR"/>
        </w:rPr>
        <w:t>DES COMPTES</w:t>
      </w:r>
      <w:r w:rsidR="004B76CE" w:rsidRPr="00FB0850">
        <w:rPr>
          <w:rStyle w:val="Bold"/>
          <w:lang w:val="fr-FR"/>
        </w:rPr>
        <w:t xml:space="preserve"> </w:t>
      </w:r>
      <w:r w:rsidR="004B76CE" w:rsidRPr="00FB0850">
        <w:rPr>
          <w:b/>
          <w:bCs/>
          <w:lang w:val="fr-FR"/>
        </w:rPr>
        <w:t>AU CONSEIL</w:t>
      </w:r>
    </w:p>
    <w:p w:rsidR="00CA3696" w:rsidRPr="00FB0850" w:rsidRDefault="00605165" w:rsidP="000E37FF">
      <w:pPr>
        <w:pStyle w:val="BodyText"/>
        <w:spacing w:after="120" w:line="260" w:lineRule="atLeast"/>
        <w:rPr>
          <w:rStyle w:val="Bold"/>
          <w:lang w:val="fr-FR"/>
        </w:rPr>
      </w:pPr>
      <w:r w:rsidRPr="00FB0850">
        <w:rPr>
          <w:rStyle w:val="Bold"/>
          <w:lang w:val="fr-FR"/>
        </w:rPr>
        <w:t>Opinion sur les états financiers</w:t>
      </w:r>
    </w:p>
    <w:p w:rsidR="00CA3696" w:rsidRPr="00FB0850" w:rsidRDefault="00C70B9E" w:rsidP="000E37FF">
      <w:pPr>
        <w:pStyle w:val="BodyText"/>
        <w:spacing w:after="120" w:line="260" w:lineRule="atLeast"/>
        <w:rPr>
          <w:lang w:val="fr-FR"/>
        </w:rPr>
      </w:pPr>
      <w:r>
        <w:rPr>
          <w:lang w:val="fr-FR"/>
        </w:rPr>
        <w:t xml:space="preserve">J’ai </w:t>
      </w:r>
      <w:r w:rsidR="004B76CE" w:rsidRPr="00FB0850">
        <w:rPr>
          <w:lang w:val="fr-FR"/>
        </w:rPr>
        <w:t xml:space="preserve">procédé à la vérification des </w:t>
      </w:r>
      <w:r w:rsidR="00834ABC" w:rsidRPr="00FB0850">
        <w:rPr>
          <w:lang w:val="fr-FR"/>
        </w:rPr>
        <w:t>états financiers</w:t>
      </w:r>
      <w:r w:rsidR="00D4790B" w:rsidRPr="00FB0850">
        <w:rPr>
          <w:lang w:val="fr-FR"/>
        </w:rPr>
        <w:t xml:space="preserve"> </w:t>
      </w:r>
      <w:r w:rsidR="004B76CE" w:rsidRPr="00FB0850">
        <w:rPr>
          <w:lang w:val="fr-FR"/>
        </w:rPr>
        <w:t>de l</w:t>
      </w:r>
      <w:r w:rsidR="00ED7246" w:rsidRPr="00FB0850">
        <w:rPr>
          <w:lang w:val="fr-FR"/>
        </w:rPr>
        <w:t>’</w:t>
      </w:r>
      <w:r w:rsidR="000B7940" w:rsidRPr="00FB0850">
        <w:rPr>
          <w:lang w:val="fr-FR"/>
        </w:rPr>
        <w:t xml:space="preserve">Union internationale pour la protection des obtentions végétales </w:t>
      </w:r>
      <w:r w:rsidR="00D4790B" w:rsidRPr="00FB0850">
        <w:rPr>
          <w:lang w:val="fr-FR"/>
        </w:rPr>
        <w:t xml:space="preserve">(UPOV) </w:t>
      </w:r>
      <w:r w:rsidR="004B76CE" w:rsidRPr="00FB0850">
        <w:rPr>
          <w:lang w:val="fr-FR"/>
        </w:rPr>
        <w:t>pour l</w:t>
      </w:r>
      <w:r w:rsidR="00ED7246" w:rsidRPr="00FB0850">
        <w:rPr>
          <w:lang w:val="fr-FR"/>
        </w:rPr>
        <w:t>’</w:t>
      </w:r>
      <w:r w:rsidR="004B76CE" w:rsidRPr="00FB0850">
        <w:rPr>
          <w:lang w:val="fr-FR"/>
        </w:rPr>
        <w:t xml:space="preserve">exercice clos le </w:t>
      </w:r>
      <w:r w:rsidR="00D4790B" w:rsidRPr="00FB0850">
        <w:rPr>
          <w:lang w:val="fr-FR"/>
        </w:rPr>
        <w:t>3</w:t>
      </w:r>
      <w:r w:rsidR="00ED7246" w:rsidRPr="00FB0850">
        <w:rPr>
          <w:lang w:val="fr-FR"/>
        </w:rPr>
        <w:t>1 décembre 20</w:t>
      </w:r>
      <w:r w:rsidR="00D4790B" w:rsidRPr="00FB0850">
        <w:rPr>
          <w:lang w:val="fr-FR"/>
        </w:rPr>
        <w:t xml:space="preserve">18, </w:t>
      </w:r>
      <w:r w:rsidR="004B76CE" w:rsidRPr="00FB0850">
        <w:rPr>
          <w:lang w:val="fr-FR"/>
        </w:rPr>
        <w:t>qui comprennent l</w:t>
      </w:r>
      <w:r w:rsidR="00ED7246" w:rsidRPr="00FB0850">
        <w:rPr>
          <w:lang w:val="fr-FR"/>
        </w:rPr>
        <w:t>’</w:t>
      </w:r>
      <w:r w:rsidR="004B76CE" w:rsidRPr="00FB0850">
        <w:rPr>
          <w:lang w:val="fr-FR"/>
        </w:rPr>
        <w:t>état de la situation financière, l</w:t>
      </w:r>
      <w:r w:rsidR="00ED7246" w:rsidRPr="00FB0850">
        <w:rPr>
          <w:lang w:val="fr-FR"/>
        </w:rPr>
        <w:t>’</w:t>
      </w:r>
      <w:r w:rsidR="004B76CE" w:rsidRPr="00FB0850">
        <w:rPr>
          <w:lang w:val="fr-FR"/>
        </w:rPr>
        <w:t>état de la performance financière</w:t>
      </w:r>
      <w:r w:rsidR="00D4790B" w:rsidRPr="00FB0850">
        <w:rPr>
          <w:lang w:val="fr-FR"/>
        </w:rPr>
        <w:t xml:space="preserve">, </w:t>
      </w:r>
      <w:r w:rsidR="004B76CE" w:rsidRPr="00FB0850">
        <w:rPr>
          <w:lang w:val="fr-FR"/>
        </w:rPr>
        <w:t>l</w:t>
      </w:r>
      <w:r w:rsidR="00ED7246" w:rsidRPr="00FB0850">
        <w:rPr>
          <w:lang w:val="fr-FR"/>
        </w:rPr>
        <w:t>’</w:t>
      </w:r>
      <w:r w:rsidR="004B76CE" w:rsidRPr="00FB0850">
        <w:rPr>
          <w:lang w:val="fr-FR"/>
        </w:rPr>
        <w:t>état des variations des actifs nets</w:t>
      </w:r>
      <w:r w:rsidR="00D4790B" w:rsidRPr="00FB0850">
        <w:rPr>
          <w:lang w:val="fr-FR"/>
        </w:rPr>
        <w:t xml:space="preserve">, </w:t>
      </w:r>
      <w:r w:rsidR="004B76CE" w:rsidRPr="00FB0850">
        <w:rPr>
          <w:lang w:val="fr-FR"/>
        </w:rPr>
        <w:t>l</w:t>
      </w:r>
      <w:r w:rsidR="00ED7246" w:rsidRPr="00FB0850">
        <w:rPr>
          <w:lang w:val="fr-FR"/>
        </w:rPr>
        <w:t>’</w:t>
      </w:r>
      <w:r w:rsidR="004B76CE" w:rsidRPr="00FB0850">
        <w:rPr>
          <w:lang w:val="fr-FR"/>
        </w:rPr>
        <w:t>état des flux de trésorerie</w:t>
      </w:r>
      <w:r w:rsidR="00D4790B" w:rsidRPr="00FB0850">
        <w:rPr>
          <w:lang w:val="fr-FR"/>
        </w:rPr>
        <w:t xml:space="preserve">, </w:t>
      </w:r>
      <w:r w:rsidR="004B76CE" w:rsidRPr="00FB0850">
        <w:rPr>
          <w:lang w:val="fr-FR"/>
        </w:rPr>
        <w:t>l</w:t>
      </w:r>
      <w:r w:rsidR="00ED7246" w:rsidRPr="00FB0850">
        <w:rPr>
          <w:lang w:val="fr-FR"/>
        </w:rPr>
        <w:t>’</w:t>
      </w:r>
      <w:r w:rsidR="004B76CE" w:rsidRPr="00FB0850">
        <w:rPr>
          <w:lang w:val="fr-FR"/>
        </w:rPr>
        <w:t>état de comparaison des montants budgétaires et des montants réels pour l</w:t>
      </w:r>
      <w:r w:rsidR="00ED7246" w:rsidRPr="00FB0850">
        <w:rPr>
          <w:lang w:val="fr-FR"/>
        </w:rPr>
        <w:t>’</w:t>
      </w:r>
      <w:r w:rsidR="004B76CE" w:rsidRPr="00FB0850">
        <w:rPr>
          <w:lang w:val="fr-FR"/>
        </w:rPr>
        <w:t>exercice clos à cette date, ainsi que les notes afférente</w:t>
      </w:r>
      <w:r w:rsidR="00D4790B" w:rsidRPr="00FB0850">
        <w:rPr>
          <w:lang w:val="fr-FR"/>
        </w:rPr>
        <w:t>s.</w:t>
      </w:r>
    </w:p>
    <w:p w:rsidR="00CA3696" w:rsidRPr="00FB0850" w:rsidRDefault="00605165" w:rsidP="000E37FF">
      <w:pPr>
        <w:pStyle w:val="BodyText"/>
        <w:spacing w:after="120" w:line="260" w:lineRule="atLeast"/>
        <w:rPr>
          <w:lang w:val="fr-FR"/>
        </w:rPr>
      </w:pPr>
      <w:r w:rsidRPr="00FB0850">
        <w:rPr>
          <w:lang w:val="fr-FR"/>
        </w:rPr>
        <w:t xml:space="preserve">À </w:t>
      </w:r>
      <w:r w:rsidR="00C70B9E">
        <w:rPr>
          <w:lang w:val="fr-FR"/>
        </w:rPr>
        <w:t xml:space="preserve">mon </w:t>
      </w:r>
      <w:r w:rsidRPr="00FB0850">
        <w:rPr>
          <w:lang w:val="fr-FR"/>
        </w:rPr>
        <w:t>avis, les états financiers donnent une image fidèle, dans tous leurs aspects significatifs, de la situation financière de l</w:t>
      </w:r>
      <w:r w:rsidR="00ED7246" w:rsidRPr="00FB0850">
        <w:rPr>
          <w:lang w:val="fr-FR"/>
        </w:rPr>
        <w:t>’</w:t>
      </w:r>
      <w:r w:rsidRPr="00FB0850">
        <w:rPr>
          <w:lang w:val="fr-FR"/>
        </w:rPr>
        <w:t>UPOV au 3</w:t>
      </w:r>
      <w:r w:rsidR="00ED7246" w:rsidRPr="00FB0850">
        <w:rPr>
          <w:lang w:val="fr-FR"/>
        </w:rPr>
        <w:t>1 décembre 20</w:t>
      </w:r>
      <w:r w:rsidRPr="00FB0850">
        <w:rPr>
          <w:lang w:val="fr-FR"/>
        </w:rPr>
        <w:t>18, ainsi que de sa performance financière et de ses flux de trésorerie à la fin de l</w:t>
      </w:r>
      <w:r w:rsidR="00ED7246" w:rsidRPr="00FB0850">
        <w:rPr>
          <w:lang w:val="fr-FR"/>
        </w:rPr>
        <w:t>’</w:t>
      </w:r>
      <w:r w:rsidRPr="00FB0850">
        <w:rPr>
          <w:lang w:val="fr-FR"/>
        </w:rPr>
        <w:t xml:space="preserve">année, conformément aux </w:t>
      </w:r>
      <w:r w:rsidR="00292EA7" w:rsidRPr="00FB0850">
        <w:rPr>
          <w:lang w:val="fr-FR"/>
        </w:rPr>
        <w:t>N</w:t>
      </w:r>
      <w:r w:rsidRPr="00FB0850">
        <w:rPr>
          <w:lang w:val="fr-FR"/>
        </w:rPr>
        <w:t>ormes comptables internationales pour le secteur public.</w:t>
      </w:r>
    </w:p>
    <w:p w:rsidR="00CA3696" w:rsidRPr="00FB0850" w:rsidRDefault="00605165" w:rsidP="000E37FF">
      <w:pPr>
        <w:pStyle w:val="BodyText"/>
        <w:spacing w:after="120" w:line="260" w:lineRule="atLeast"/>
        <w:rPr>
          <w:rStyle w:val="Bold"/>
          <w:lang w:val="fr-FR"/>
        </w:rPr>
      </w:pPr>
      <w:r w:rsidRPr="00FB0850">
        <w:rPr>
          <w:rStyle w:val="Bold"/>
          <w:lang w:val="fr-FR"/>
        </w:rPr>
        <w:t>Opinion sur la régularité</w:t>
      </w:r>
    </w:p>
    <w:p w:rsidR="00CA3696" w:rsidRPr="00FB0850" w:rsidRDefault="00605165" w:rsidP="000E37FF">
      <w:pPr>
        <w:pStyle w:val="BodyText"/>
        <w:spacing w:after="120" w:line="260" w:lineRule="atLeast"/>
        <w:rPr>
          <w:lang w:val="fr-FR"/>
        </w:rPr>
      </w:pPr>
      <w:r w:rsidRPr="00FB0850">
        <w:rPr>
          <w:lang w:val="fr-FR"/>
        </w:rPr>
        <w:t xml:space="preserve">À </w:t>
      </w:r>
      <w:r w:rsidR="00C70B9E">
        <w:rPr>
          <w:lang w:val="fr-FR"/>
        </w:rPr>
        <w:t>mon</w:t>
      </w:r>
      <w:r w:rsidRPr="00FB0850">
        <w:rPr>
          <w:lang w:val="fr-FR"/>
        </w:rPr>
        <w:t xml:space="preserve"> avis, dans tous leurs aspects significatifs, les recettes et les dépenses ont été appliquées au service des objectifs visés par le Conseil, et les transactions financières sont conformes au Règlement financier et au règlement d</w:t>
      </w:r>
      <w:r w:rsidR="00ED7246" w:rsidRPr="00FB0850">
        <w:rPr>
          <w:lang w:val="fr-FR"/>
        </w:rPr>
        <w:t>’</w:t>
      </w:r>
      <w:r w:rsidRPr="00FB0850">
        <w:rPr>
          <w:lang w:val="fr-FR"/>
        </w:rPr>
        <w:t>exécution du Règlement financier de l</w:t>
      </w:r>
      <w:r w:rsidR="00ED7246" w:rsidRPr="00FB0850">
        <w:rPr>
          <w:lang w:val="fr-FR"/>
        </w:rPr>
        <w:t>’</w:t>
      </w:r>
      <w:r w:rsidRPr="00FB0850">
        <w:rPr>
          <w:lang w:val="fr-FR"/>
        </w:rPr>
        <w:t>UPOV.</w:t>
      </w:r>
    </w:p>
    <w:p w:rsidR="00ED7246" w:rsidRPr="00FB0850" w:rsidRDefault="00605165" w:rsidP="000E37FF">
      <w:pPr>
        <w:pStyle w:val="BodyText"/>
        <w:spacing w:after="120" w:line="260" w:lineRule="atLeast"/>
        <w:rPr>
          <w:rStyle w:val="Bold"/>
          <w:lang w:val="fr-FR"/>
        </w:rPr>
      </w:pPr>
      <w:r w:rsidRPr="00FB0850">
        <w:rPr>
          <w:rStyle w:val="Bold"/>
          <w:lang w:val="fr-FR"/>
        </w:rPr>
        <w:t xml:space="preserve">Base de fondement pour </w:t>
      </w:r>
      <w:r w:rsidR="00C70B9E">
        <w:rPr>
          <w:rStyle w:val="Bold"/>
          <w:lang w:val="fr-FR"/>
        </w:rPr>
        <w:t>mon</w:t>
      </w:r>
      <w:r w:rsidRPr="00FB0850">
        <w:rPr>
          <w:rStyle w:val="Bold"/>
          <w:lang w:val="fr-FR"/>
        </w:rPr>
        <w:t xml:space="preserve"> opinion</w:t>
      </w:r>
    </w:p>
    <w:p w:rsidR="00ED7246" w:rsidRPr="00FB0850" w:rsidRDefault="00C70B9E" w:rsidP="000E37FF">
      <w:pPr>
        <w:pStyle w:val="BodyText"/>
        <w:spacing w:after="120" w:line="260" w:lineRule="atLeast"/>
        <w:rPr>
          <w:lang w:val="fr-FR"/>
        </w:rPr>
      </w:pPr>
      <w:r>
        <w:rPr>
          <w:lang w:val="fr-FR"/>
        </w:rPr>
        <w:t xml:space="preserve">J’ai </w:t>
      </w:r>
      <w:r w:rsidR="00605165" w:rsidRPr="00FB0850">
        <w:rPr>
          <w:lang w:val="fr-FR"/>
        </w:rPr>
        <w:t xml:space="preserve">effectué </w:t>
      </w:r>
      <w:r>
        <w:rPr>
          <w:lang w:val="fr-FR"/>
        </w:rPr>
        <w:t xml:space="preserve">ma </w:t>
      </w:r>
      <w:r w:rsidR="00605165" w:rsidRPr="00FB0850">
        <w:rPr>
          <w:lang w:val="fr-FR"/>
        </w:rPr>
        <w:t>vérification en respectant les normes internationales d</w:t>
      </w:r>
      <w:r w:rsidR="00ED7246" w:rsidRPr="00FB0850">
        <w:rPr>
          <w:lang w:val="fr-FR"/>
        </w:rPr>
        <w:t>’</w:t>
      </w:r>
      <w:r w:rsidR="00605165" w:rsidRPr="00FB0850">
        <w:rPr>
          <w:lang w:val="fr-FR"/>
        </w:rPr>
        <w:t>audit (ISAs).</w:t>
      </w:r>
      <w:r w:rsidR="00D4790B" w:rsidRPr="00FB0850">
        <w:rPr>
          <w:lang w:val="fr-FR"/>
        </w:rPr>
        <w:t xml:space="preserve"> </w:t>
      </w:r>
      <w:r w:rsidR="00114591" w:rsidRPr="00FB0850">
        <w:rPr>
          <w:lang w:val="fr-FR"/>
        </w:rPr>
        <w:t xml:space="preserve"> </w:t>
      </w:r>
      <w:r>
        <w:rPr>
          <w:lang w:val="fr-FR"/>
        </w:rPr>
        <w:t xml:space="preserve">Mes </w:t>
      </w:r>
      <w:r w:rsidR="00605165" w:rsidRPr="00FB0850">
        <w:rPr>
          <w:lang w:val="fr-FR"/>
        </w:rPr>
        <w:t xml:space="preserve">responsabilités au titre de ces normes sont expliquées dans la section de </w:t>
      </w:r>
      <w:r>
        <w:rPr>
          <w:lang w:val="fr-FR"/>
        </w:rPr>
        <w:t xml:space="preserve">mon </w:t>
      </w:r>
      <w:r w:rsidR="00605165" w:rsidRPr="00FB0850">
        <w:rPr>
          <w:lang w:val="fr-FR"/>
        </w:rPr>
        <w:t>rapport intitulée Responsabilités du vérificateur des comptes pour la vérification des états financie</w:t>
      </w:r>
      <w:r w:rsidR="002A21D7" w:rsidRPr="00FB0850">
        <w:rPr>
          <w:lang w:val="fr-FR"/>
        </w:rPr>
        <w:t>rs.  Au</w:t>
      </w:r>
      <w:r w:rsidR="00605165" w:rsidRPr="00FB0850">
        <w:rPr>
          <w:lang w:val="fr-FR"/>
        </w:rPr>
        <w:t xml:space="preserve"> titre de ces normes, le contrôleur et ses collaborateurs doivent respecter les normes déontologiques du Conseil en matière d</w:t>
      </w:r>
      <w:r w:rsidR="00ED7246" w:rsidRPr="00FB0850">
        <w:rPr>
          <w:lang w:val="fr-FR"/>
        </w:rPr>
        <w:t>’</w:t>
      </w:r>
      <w:r w:rsidR="00605165" w:rsidRPr="00FB0850">
        <w:rPr>
          <w:lang w:val="fr-FR"/>
        </w:rPr>
        <w:t xml:space="preserve">information financière, révisées </w:t>
      </w:r>
      <w:r w:rsidR="00ED7246" w:rsidRPr="00FB0850">
        <w:rPr>
          <w:lang w:val="fr-FR"/>
        </w:rPr>
        <w:t>en 2016</w:t>
      </w:r>
      <w:r w:rsidR="00605165" w:rsidRPr="00FB0850">
        <w:rPr>
          <w:lang w:val="fr-FR"/>
        </w:rPr>
        <w:t>.</w:t>
      </w:r>
      <w:r w:rsidR="00D4790B" w:rsidRPr="00FB0850">
        <w:rPr>
          <w:lang w:val="fr-FR"/>
        </w:rPr>
        <w:t xml:space="preserve"> </w:t>
      </w:r>
      <w:r w:rsidR="00114591" w:rsidRPr="00FB0850">
        <w:rPr>
          <w:lang w:val="fr-FR"/>
        </w:rPr>
        <w:t xml:space="preserve"> </w:t>
      </w:r>
      <w:r>
        <w:rPr>
          <w:lang w:val="fr-FR"/>
        </w:rPr>
        <w:t>Je suis indépendant</w:t>
      </w:r>
      <w:r w:rsidR="00605165" w:rsidRPr="00FB0850">
        <w:rPr>
          <w:lang w:val="fr-FR"/>
        </w:rPr>
        <w:t xml:space="preserve"> de l</w:t>
      </w:r>
      <w:r w:rsidR="00ED7246" w:rsidRPr="00FB0850">
        <w:rPr>
          <w:lang w:val="fr-FR"/>
        </w:rPr>
        <w:t>’</w:t>
      </w:r>
      <w:r w:rsidR="00605165" w:rsidRPr="00FB0850">
        <w:rPr>
          <w:lang w:val="fr-FR"/>
        </w:rPr>
        <w:t xml:space="preserve">UPOV, conformément aux exigences déontologiques pertinentes dans le cadre de </w:t>
      </w:r>
      <w:r>
        <w:rPr>
          <w:lang w:val="fr-FR"/>
        </w:rPr>
        <w:t xml:space="preserve">ma </w:t>
      </w:r>
      <w:r w:rsidR="00605165" w:rsidRPr="00FB0850">
        <w:rPr>
          <w:lang w:val="fr-FR"/>
        </w:rPr>
        <w:t>vérification des états financiers au Royaume</w:t>
      </w:r>
      <w:r w:rsidR="00ED7246" w:rsidRPr="00FB0850">
        <w:rPr>
          <w:lang w:val="fr-FR"/>
        </w:rPr>
        <w:t>-</w:t>
      </w:r>
      <w:r w:rsidR="00605165" w:rsidRPr="00FB0850">
        <w:rPr>
          <w:lang w:val="fr-FR"/>
        </w:rPr>
        <w:t>U</w:t>
      </w:r>
      <w:r w:rsidR="002A21D7" w:rsidRPr="00FB0850">
        <w:rPr>
          <w:lang w:val="fr-FR"/>
        </w:rPr>
        <w:t xml:space="preserve">ni.  </w:t>
      </w:r>
      <w:r>
        <w:rPr>
          <w:lang w:val="fr-FR"/>
        </w:rPr>
        <w:t xml:space="preserve">J’ai </w:t>
      </w:r>
      <w:r w:rsidR="00605165" w:rsidRPr="00FB0850">
        <w:rPr>
          <w:lang w:val="fr-FR"/>
        </w:rPr>
        <w:t xml:space="preserve">rempli </w:t>
      </w:r>
      <w:r>
        <w:rPr>
          <w:lang w:val="fr-FR"/>
        </w:rPr>
        <w:t xml:space="preserve">mes </w:t>
      </w:r>
      <w:r w:rsidR="00605165" w:rsidRPr="00FB0850">
        <w:rPr>
          <w:lang w:val="fr-FR"/>
        </w:rPr>
        <w:t>autres responsabilités déontologiques en respectant ces exigenc</w:t>
      </w:r>
      <w:r w:rsidR="002A21D7" w:rsidRPr="00FB0850">
        <w:rPr>
          <w:lang w:val="fr-FR"/>
        </w:rPr>
        <w:t xml:space="preserve">es.  </w:t>
      </w:r>
      <w:r>
        <w:rPr>
          <w:lang w:val="fr-FR"/>
        </w:rPr>
        <w:t xml:space="preserve">J’estime </w:t>
      </w:r>
      <w:r w:rsidR="00605165" w:rsidRPr="00FB0850">
        <w:rPr>
          <w:lang w:val="fr-FR"/>
        </w:rPr>
        <w:t xml:space="preserve">que les éléments probants recueillis sont suffisants et appropriés pour fonder </w:t>
      </w:r>
      <w:r>
        <w:rPr>
          <w:lang w:val="fr-FR"/>
        </w:rPr>
        <w:t>mon</w:t>
      </w:r>
      <w:r w:rsidR="00605165" w:rsidRPr="00FB0850">
        <w:rPr>
          <w:lang w:val="fr-FR"/>
        </w:rPr>
        <w:t xml:space="preserve"> opinion.</w:t>
      </w:r>
    </w:p>
    <w:p w:rsidR="00CA3696" w:rsidRPr="00FB0850" w:rsidRDefault="00605165" w:rsidP="000E37FF">
      <w:pPr>
        <w:pStyle w:val="BodyText"/>
        <w:spacing w:after="120" w:line="260" w:lineRule="atLeast"/>
        <w:rPr>
          <w:rStyle w:val="Bold"/>
          <w:lang w:val="fr-FR"/>
        </w:rPr>
      </w:pPr>
      <w:r w:rsidRPr="00FB0850">
        <w:rPr>
          <w:rStyle w:val="Bold"/>
          <w:lang w:val="fr-FR"/>
        </w:rPr>
        <w:t>Responsabilités de la direction et des parties chargées de la gouvernance pour les états financiers</w:t>
      </w:r>
    </w:p>
    <w:p w:rsidR="00ED7246" w:rsidRPr="00FB0850" w:rsidRDefault="00605165" w:rsidP="000E37FF">
      <w:pPr>
        <w:pStyle w:val="BodyText"/>
        <w:spacing w:after="120" w:line="260" w:lineRule="atLeast"/>
        <w:rPr>
          <w:lang w:val="fr-FR"/>
        </w:rPr>
      </w:pPr>
      <w:r w:rsidRPr="00FB0850">
        <w:rPr>
          <w:lang w:val="fr-FR"/>
        </w:rPr>
        <w:t>Le Secrétaire général est chargé de préparer les états financiers et d</w:t>
      </w:r>
      <w:r w:rsidR="00ED7246" w:rsidRPr="00FB0850">
        <w:rPr>
          <w:lang w:val="fr-FR"/>
        </w:rPr>
        <w:t>’</w:t>
      </w:r>
      <w:r w:rsidRPr="00FB0850">
        <w:rPr>
          <w:lang w:val="fr-FR"/>
        </w:rPr>
        <w:t>en présenter une image fidèle conformément aux Normes comptables internationales pour le secteur public, et de procéder au contrôle interne que la direction juge nécessaire afin d</w:t>
      </w:r>
      <w:r w:rsidR="00ED7246" w:rsidRPr="00FB0850">
        <w:rPr>
          <w:lang w:val="fr-FR"/>
        </w:rPr>
        <w:t>’</w:t>
      </w:r>
      <w:r w:rsidRPr="00FB0850">
        <w:rPr>
          <w:lang w:val="fr-FR"/>
        </w:rPr>
        <w:t>établir des états financiers qui ne comportent pas d</w:t>
      </w:r>
      <w:r w:rsidR="00ED7246" w:rsidRPr="00FB0850">
        <w:rPr>
          <w:lang w:val="fr-FR"/>
        </w:rPr>
        <w:t>’</w:t>
      </w:r>
      <w:r w:rsidRPr="00FB0850">
        <w:rPr>
          <w:lang w:val="fr-FR"/>
        </w:rPr>
        <w:t>anomalies significatives, qu</w:t>
      </w:r>
      <w:r w:rsidR="00ED7246" w:rsidRPr="00FB0850">
        <w:rPr>
          <w:lang w:val="fr-FR"/>
        </w:rPr>
        <w:t>’</w:t>
      </w:r>
      <w:r w:rsidRPr="00FB0850">
        <w:rPr>
          <w:lang w:val="fr-FR"/>
        </w:rPr>
        <w:t>elles proviennent de fraudes ou résultent d</w:t>
      </w:r>
      <w:r w:rsidR="00ED7246" w:rsidRPr="00FB0850">
        <w:rPr>
          <w:lang w:val="fr-FR"/>
        </w:rPr>
        <w:t>’</w:t>
      </w:r>
      <w:r w:rsidRPr="00FB0850">
        <w:rPr>
          <w:lang w:val="fr-FR"/>
        </w:rPr>
        <w:t>erreurs.</w:t>
      </w:r>
    </w:p>
    <w:p w:rsidR="00ED7246" w:rsidRPr="00FB0850" w:rsidRDefault="00605165" w:rsidP="000E37FF">
      <w:pPr>
        <w:pStyle w:val="BodyText"/>
        <w:spacing w:after="120" w:line="260" w:lineRule="atLeast"/>
        <w:rPr>
          <w:lang w:val="fr-FR"/>
        </w:rPr>
      </w:pPr>
      <w:r w:rsidRPr="00FB0850">
        <w:rPr>
          <w:lang w:val="fr-FR"/>
        </w:rPr>
        <w:t>Dans l</w:t>
      </w:r>
      <w:r w:rsidR="00ED7246" w:rsidRPr="00FB0850">
        <w:rPr>
          <w:lang w:val="fr-FR"/>
        </w:rPr>
        <w:t>’</w:t>
      </w:r>
      <w:r w:rsidRPr="00FB0850">
        <w:rPr>
          <w:lang w:val="fr-FR"/>
        </w:rPr>
        <w:t>établissement des états financiers, la direction est chargée d</w:t>
      </w:r>
      <w:r w:rsidR="00ED7246" w:rsidRPr="00FB0850">
        <w:rPr>
          <w:lang w:val="fr-FR"/>
        </w:rPr>
        <w:t>’</w:t>
      </w:r>
      <w:r w:rsidRPr="00FB0850">
        <w:rPr>
          <w:lang w:val="fr-FR"/>
        </w:rPr>
        <w:t>évaluer la capacité de l</w:t>
      </w:r>
      <w:r w:rsidR="00ED7246" w:rsidRPr="00FB0850">
        <w:rPr>
          <w:lang w:val="fr-FR"/>
        </w:rPr>
        <w:t>’</w:t>
      </w:r>
      <w:r w:rsidRPr="00FB0850">
        <w:rPr>
          <w:lang w:val="fr-FR"/>
        </w:rPr>
        <w:t>UPOV de poursuivre son activité en indiquant, selon qu</w:t>
      </w:r>
      <w:r w:rsidR="00ED7246" w:rsidRPr="00FB0850">
        <w:rPr>
          <w:lang w:val="fr-FR"/>
        </w:rPr>
        <w:t>’</w:t>
      </w:r>
      <w:r w:rsidRPr="00FB0850">
        <w:rPr>
          <w:lang w:val="fr-FR"/>
        </w:rPr>
        <w:t>il convient, les questions en lien avec la poursuite des activités et en utilisant le principe comptable de la continuité de l</w:t>
      </w:r>
      <w:r w:rsidR="00ED7246" w:rsidRPr="00FB0850">
        <w:rPr>
          <w:lang w:val="fr-FR"/>
        </w:rPr>
        <w:t>’</w:t>
      </w:r>
      <w:r w:rsidRPr="00FB0850">
        <w:rPr>
          <w:lang w:val="fr-FR"/>
        </w:rPr>
        <w:t>activité à moins que la direction ait l</w:t>
      </w:r>
      <w:r w:rsidR="00ED7246" w:rsidRPr="00FB0850">
        <w:rPr>
          <w:lang w:val="fr-FR"/>
        </w:rPr>
        <w:t>’</w:t>
      </w:r>
      <w:r w:rsidRPr="00FB0850">
        <w:rPr>
          <w:lang w:val="fr-FR"/>
        </w:rPr>
        <w:t>intention de liquider l</w:t>
      </w:r>
      <w:r w:rsidR="00ED7246" w:rsidRPr="00FB0850">
        <w:rPr>
          <w:lang w:val="fr-FR"/>
        </w:rPr>
        <w:t>’</w:t>
      </w:r>
      <w:r w:rsidRPr="00FB0850">
        <w:rPr>
          <w:lang w:val="fr-FR"/>
        </w:rPr>
        <w:t>UPOV ou de faire cesser son activité, ou qu</w:t>
      </w:r>
      <w:r w:rsidR="00ED7246" w:rsidRPr="00FB0850">
        <w:rPr>
          <w:lang w:val="fr-FR"/>
        </w:rPr>
        <w:t>’</w:t>
      </w:r>
      <w:r w:rsidRPr="00FB0850">
        <w:rPr>
          <w:lang w:val="fr-FR"/>
        </w:rPr>
        <w:t>il n</w:t>
      </w:r>
      <w:r w:rsidR="00ED7246" w:rsidRPr="00FB0850">
        <w:rPr>
          <w:lang w:val="fr-FR"/>
        </w:rPr>
        <w:t>’</w:t>
      </w:r>
      <w:r w:rsidRPr="00FB0850">
        <w:rPr>
          <w:lang w:val="fr-FR"/>
        </w:rPr>
        <w:t>existe aucune alternative réaliste à cette liquidation ou cette cessation.</w:t>
      </w:r>
    </w:p>
    <w:p w:rsidR="00ED7246" w:rsidRPr="00FB0850" w:rsidRDefault="00605165" w:rsidP="000E37FF">
      <w:pPr>
        <w:pStyle w:val="BodyText"/>
        <w:spacing w:after="120" w:line="260" w:lineRule="atLeast"/>
        <w:rPr>
          <w:lang w:val="fr-FR"/>
        </w:rPr>
      </w:pPr>
      <w:r w:rsidRPr="00FB0850">
        <w:rPr>
          <w:lang w:val="fr-FR"/>
        </w:rPr>
        <w:t>Les parties chargées de la gouvernance sont responsables de la surveillance du processus de rapport financier de l</w:t>
      </w:r>
      <w:r w:rsidR="00ED7246" w:rsidRPr="00FB0850">
        <w:rPr>
          <w:lang w:val="fr-FR"/>
        </w:rPr>
        <w:t>’</w:t>
      </w:r>
      <w:r w:rsidRPr="00FB0850">
        <w:rPr>
          <w:lang w:val="fr-FR"/>
        </w:rPr>
        <w:t>UPOV.</w:t>
      </w:r>
    </w:p>
    <w:p w:rsidR="00ED7246" w:rsidRPr="00FB0850" w:rsidRDefault="00605165" w:rsidP="000E37FF">
      <w:pPr>
        <w:pStyle w:val="BodyText"/>
        <w:spacing w:after="120" w:line="260" w:lineRule="atLeast"/>
        <w:rPr>
          <w:rStyle w:val="Bold"/>
          <w:lang w:val="fr-FR"/>
        </w:rPr>
      </w:pPr>
      <w:r w:rsidRPr="00FB0850">
        <w:rPr>
          <w:rStyle w:val="Bold"/>
          <w:lang w:val="fr-FR"/>
        </w:rPr>
        <w:t>Responsabilités du vérificateur des comptes pour la vérification des états financiers</w:t>
      </w:r>
    </w:p>
    <w:p w:rsidR="00ED7246" w:rsidRPr="00FB0850" w:rsidRDefault="00C70B9E" w:rsidP="000E37FF">
      <w:pPr>
        <w:pStyle w:val="BodyText"/>
        <w:spacing w:after="120" w:line="260" w:lineRule="atLeast"/>
        <w:rPr>
          <w:lang w:val="fr-FR"/>
        </w:rPr>
      </w:pPr>
      <w:r>
        <w:rPr>
          <w:lang w:val="fr-FR"/>
        </w:rPr>
        <w:t>Mes</w:t>
      </w:r>
      <w:r w:rsidR="00605165" w:rsidRPr="00FB0850">
        <w:rPr>
          <w:lang w:val="fr-FR"/>
        </w:rPr>
        <w:t xml:space="preserve"> responsabilités sont d</w:t>
      </w:r>
      <w:r w:rsidR="00ED7246" w:rsidRPr="00FB0850">
        <w:rPr>
          <w:lang w:val="fr-FR"/>
        </w:rPr>
        <w:t>’</w:t>
      </w:r>
      <w:r w:rsidR="00605165" w:rsidRPr="00FB0850">
        <w:rPr>
          <w:lang w:val="fr-FR"/>
        </w:rPr>
        <w:t>obtenir une assurance raisonnable que les états financiers dans leur ensemble ne comportent pas d</w:t>
      </w:r>
      <w:r w:rsidR="00ED7246" w:rsidRPr="00FB0850">
        <w:rPr>
          <w:lang w:val="fr-FR"/>
        </w:rPr>
        <w:t>’</w:t>
      </w:r>
      <w:r w:rsidR="00605165" w:rsidRPr="00FB0850">
        <w:rPr>
          <w:lang w:val="fr-FR"/>
        </w:rPr>
        <w:t>anomalies significatives, que celles</w:t>
      </w:r>
      <w:r w:rsidR="00ED7246" w:rsidRPr="00FB0850">
        <w:rPr>
          <w:lang w:val="fr-FR"/>
        </w:rPr>
        <w:t>-</w:t>
      </w:r>
      <w:r w:rsidR="00605165" w:rsidRPr="00FB0850">
        <w:rPr>
          <w:lang w:val="fr-FR"/>
        </w:rPr>
        <w:t>ci proviennent de fraudes ou résultent d</w:t>
      </w:r>
      <w:r w:rsidR="00ED7246" w:rsidRPr="00FB0850">
        <w:rPr>
          <w:lang w:val="fr-FR"/>
        </w:rPr>
        <w:t>’</w:t>
      </w:r>
      <w:r w:rsidR="00605165" w:rsidRPr="00FB0850">
        <w:rPr>
          <w:lang w:val="fr-FR"/>
        </w:rPr>
        <w:t xml:space="preserve">erreurs, et de rendre un rapport de vérification des comptes qui contienne </w:t>
      </w:r>
      <w:r>
        <w:rPr>
          <w:lang w:val="fr-FR"/>
        </w:rPr>
        <w:t xml:space="preserve">mon </w:t>
      </w:r>
      <w:r w:rsidR="00605165" w:rsidRPr="00FB0850">
        <w:rPr>
          <w:lang w:val="fr-FR"/>
        </w:rPr>
        <w:t>opini</w:t>
      </w:r>
      <w:r w:rsidR="002A21D7" w:rsidRPr="00FB0850">
        <w:rPr>
          <w:lang w:val="fr-FR"/>
        </w:rPr>
        <w:t>on.  L’a</w:t>
      </w:r>
      <w:r w:rsidR="00605165" w:rsidRPr="00FB0850">
        <w:rPr>
          <w:lang w:val="fr-FR"/>
        </w:rPr>
        <w:t>ssurance raisonnable est un niveau d</w:t>
      </w:r>
      <w:r w:rsidR="00ED7246" w:rsidRPr="00FB0850">
        <w:rPr>
          <w:lang w:val="fr-FR"/>
        </w:rPr>
        <w:t>’</w:t>
      </w:r>
      <w:r w:rsidR="00605165" w:rsidRPr="00FB0850">
        <w:rPr>
          <w:lang w:val="fr-FR"/>
        </w:rPr>
        <w:t>assurance élevé, mais elle ne constitue pas une garantie qu</w:t>
      </w:r>
      <w:r w:rsidR="00ED7246" w:rsidRPr="00FB0850">
        <w:rPr>
          <w:lang w:val="fr-FR"/>
        </w:rPr>
        <w:t>’</w:t>
      </w:r>
      <w:r w:rsidR="00605165" w:rsidRPr="00FB0850">
        <w:rPr>
          <w:lang w:val="fr-FR"/>
        </w:rPr>
        <w:t>une vérification menée conformément aux normes internationales d</w:t>
      </w:r>
      <w:r w:rsidR="00ED7246" w:rsidRPr="00FB0850">
        <w:rPr>
          <w:lang w:val="fr-FR"/>
        </w:rPr>
        <w:t>’</w:t>
      </w:r>
      <w:r w:rsidR="00605165" w:rsidRPr="00FB0850">
        <w:rPr>
          <w:lang w:val="fr-FR"/>
        </w:rPr>
        <w:t>audit repère toujours une anomalie significative lorsqu</w:t>
      </w:r>
      <w:r w:rsidR="00ED7246" w:rsidRPr="00FB0850">
        <w:rPr>
          <w:lang w:val="fr-FR"/>
        </w:rPr>
        <w:t>’</w:t>
      </w:r>
      <w:r w:rsidR="00605165" w:rsidRPr="00FB0850">
        <w:rPr>
          <w:lang w:val="fr-FR"/>
        </w:rPr>
        <w:t>elle exis</w:t>
      </w:r>
      <w:r w:rsidR="002A21D7" w:rsidRPr="00FB0850">
        <w:rPr>
          <w:lang w:val="fr-FR"/>
        </w:rPr>
        <w:t>te.  Le</w:t>
      </w:r>
      <w:r w:rsidR="00605165" w:rsidRPr="00FB0850">
        <w:rPr>
          <w:lang w:val="fr-FR"/>
        </w:rPr>
        <w:t>s anomalies peuvent être causées par des fraudes ou des erreurs et elles sont considérées comme significatives si, individuellement ou dans l</w:t>
      </w:r>
      <w:r w:rsidR="00ED7246" w:rsidRPr="00FB0850">
        <w:rPr>
          <w:lang w:val="fr-FR"/>
        </w:rPr>
        <w:t>’</w:t>
      </w:r>
      <w:r w:rsidR="00605165" w:rsidRPr="00FB0850">
        <w:rPr>
          <w:lang w:val="fr-FR"/>
        </w:rPr>
        <w:t>ensemble, on pourrait raisonnablement s</w:t>
      </w:r>
      <w:r w:rsidR="00ED7246" w:rsidRPr="00FB0850">
        <w:rPr>
          <w:lang w:val="fr-FR"/>
        </w:rPr>
        <w:t>’</w:t>
      </w:r>
      <w:r w:rsidR="00605165" w:rsidRPr="00FB0850">
        <w:rPr>
          <w:lang w:val="fr-FR"/>
        </w:rPr>
        <w:t>attendre à ce qu</w:t>
      </w:r>
      <w:r w:rsidR="00ED7246" w:rsidRPr="00FB0850">
        <w:rPr>
          <w:lang w:val="fr-FR"/>
        </w:rPr>
        <w:t>’</w:t>
      </w:r>
      <w:r w:rsidR="00605165" w:rsidRPr="00FB0850">
        <w:rPr>
          <w:lang w:val="fr-FR"/>
        </w:rPr>
        <w:t>elles influent sur les décisions d</w:t>
      </w:r>
      <w:r w:rsidR="00ED7246" w:rsidRPr="00FB0850">
        <w:rPr>
          <w:lang w:val="fr-FR"/>
        </w:rPr>
        <w:t>’</w:t>
      </w:r>
      <w:r w:rsidR="00605165" w:rsidRPr="00FB0850">
        <w:rPr>
          <w:lang w:val="fr-FR"/>
        </w:rPr>
        <w:t>ordre économique des utilisateurs.</w:t>
      </w:r>
    </w:p>
    <w:p w:rsidR="00ED7246" w:rsidRPr="00FB0850" w:rsidRDefault="00605165" w:rsidP="000E37FF">
      <w:pPr>
        <w:pStyle w:val="BodyText"/>
        <w:spacing w:after="120" w:line="260" w:lineRule="atLeast"/>
        <w:rPr>
          <w:lang w:val="fr-FR"/>
        </w:rPr>
      </w:pPr>
      <w:r w:rsidRPr="00FB0850">
        <w:rPr>
          <w:lang w:val="fr-FR"/>
        </w:rPr>
        <w:t>Étant donné qu</w:t>
      </w:r>
      <w:r w:rsidR="00ED7246" w:rsidRPr="00FB0850">
        <w:rPr>
          <w:lang w:val="fr-FR"/>
        </w:rPr>
        <w:t>’</w:t>
      </w:r>
      <w:r w:rsidRPr="00FB0850">
        <w:rPr>
          <w:lang w:val="fr-FR"/>
        </w:rPr>
        <w:t>il s</w:t>
      </w:r>
      <w:r w:rsidR="00ED7246" w:rsidRPr="00FB0850">
        <w:rPr>
          <w:lang w:val="fr-FR"/>
        </w:rPr>
        <w:t>’</w:t>
      </w:r>
      <w:r w:rsidRPr="00FB0850">
        <w:rPr>
          <w:lang w:val="fr-FR"/>
        </w:rPr>
        <w:t>agit d</w:t>
      </w:r>
      <w:r w:rsidR="00ED7246" w:rsidRPr="00FB0850">
        <w:rPr>
          <w:lang w:val="fr-FR"/>
        </w:rPr>
        <w:t>’</w:t>
      </w:r>
      <w:r w:rsidRPr="00FB0850">
        <w:rPr>
          <w:lang w:val="fr-FR"/>
        </w:rPr>
        <w:t>une vérification des comptes menée conformément aux normes internationales d</w:t>
      </w:r>
      <w:r w:rsidR="00ED7246" w:rsidRPr="00FB0850">
        <w:rPr>
          <w:lang w:val="fr-FR"/>
        </w:rPr>
        <w:t>’</w:t>
      </w:r>
      <w:r w:rsidRPr="00FB0850">
        <w:rPr>
          <w:lang w:val="fr-FR"/>
        </w:rPr>
        <w:t xml:space="preserve">audit, </w:t>
      </w:r>
      <w:r w:rsidR="00C70B9E">
        <w:rPr>
          <w:lang w:val="fr-FR"/>
        </w:rPr>
        <w:t>j’ai fait</w:t>
      </w:r>
      <w:r w:rsidRPr="00FB0850">
        <w:rPr>
          <w:lang w:val="fr-FR"/>
        </w:rPr>
        <w:t xml:space="preserve"> appel à </w:t>
      </w:r>
      <w:r w:rsidR="00C70B9E">
        <w:rPr>
          <w:lang w:val="fr-FR"/>
        </w:rPr>
        <w:t xml:space="preserve">mon </w:t>
      </w:r>
      <w:r w:rsidRPr="00FB0850">
        <w:rPr>
          <w:lang w:val="fr-FR"/>
        </w:rPr>
        <w:t xml:space="preserve">jugement professionnel et </w:t>
      </w:r>
      <w:r w:rsidR="00C70B9E">
        <w:rPr>
          <w:lang w:val="fr-FR"/>
        </w:rPr>
        <w:t xml:space="preserve">fait </w:t>
      </w:r>
      <w:r w:rsidRPr="00FB0850">
        <w:rPr>
          <w:lang w:val="fr-FR"/>
        </w:rPr>
        <w:t>preuve de scepticisme professionnel tout au long du processus de vérification des compt</w:t>
      </w:r>
      <w:r w:rsidR="002A21D7" w:rsidRPr="00FB0850">
        <w:rPr>
          <w:lang w:val="fr-FR"/>
        </w:rPr>
        <w:t xml:space="preserve">es.  </w:t>
      </w:r>
      <w:r w:rsidR="00C70B9E">
        <w:rPr>
          <w:lang w:val="fr-FR"/>
        </w:rPr>
        <w:t xml:space="preserve">Je m’emploie </w:t>
      </w:r>
      <w:r w:rsidRPr="00FB0850">
        <w:rPr>
          <w:lang w:val="fr-FR"/>
        </w:rPr>
        <w:t>également à</w:t>
      </w:r>
      <w:r w:rsidR="00ED7246" w:rsidRPr="00FB0850">
        <w:rPr>
          <w:lang w:val="fr-FR"/>
        </w:rPr>
        <w:t> :</w:t>
      </w:r>
    </w:p>
    <w:p w:rsidR="00ED7246" w:rsidRPr="00FB0850" w:rsidRDefault="00605165" w:rsidP="000E37FF">
      <w:pPr>
        <w:pStyle w:val="Bullet"/>
        <w:spacing w:after="120" w:line="260" w:lineRule="atLeast"/>
        <w:ind w:left="567" w:hanging="567"/>
        <w:rPr>
          <w:color w:val="auto"/>
          <w:lang w:val="fr-FR"/>
        </w:rPr>
      </w:pPr>
      <w:r w:rsidRPr="00FB0850">
        <w:rPr>
          <w:color w:val="auto"/>
          <w:lang w:val="fr-FR"/>
        </w:rPr>
        <w:lastRenderedPageBreak/>
        <w:t>identifier et évaluer les risques d</w:t>
      </w:r>
      <w:r w:rsidR="00ED7246" w:rsidRPr="00FB0850">
        <w:rPr>
          <w:color w:val="auto"/>
          <w:lang w:val="fr-FR"/>
        </w:rPr>
        <w:t>’</w:t>
      </w:r>
      <w:r w:rsidRPr="00FB0850">
        <w:rPr>
          <w:color w:val="auto"/>
          <w:lang w:val="fr-FR"/>
        </w:rPr>
        <w:t>anomalies significatives dans les états financiers, que celles</w:t>
      </w:r>
      <w:r w:rsidR="00ED7246" w:rsidRPr="00FB0850">
        <w:rPr>
          <w:color w:val="auto"/>
          <w:lang w:val="fr-FR"/>
        </w:rPr>
        <w:t>-</w:t>
      </w:r>
      <w:r w:rsidRPr="00FB0850">
        <w:rPr>
          <w:color w:val="auto"/>
          <w:lang w:val="fr-FR"/>
        </w:rPr>
        <w:t>ci proviennent de fraudes ou résultent d</w:t>
      </w:r>
      <w:r w:rsidR="00ED7246" w:rsidRPr="00FB0850">
        <w:rPr>
          <w:color w:val="auto"/>
          <w:lang w:val="fr-FR"/>
        </w:rPr>
        <w:t>’</w:t>
      </w:r>
      <w:r w:rsidRPr="00FB0850">
        <w:rPr>
          <w:color w:val="auto"/>
          <w:lang w:val="fr-FR"/>
        </w:rPr>
        <w:t xml:space="preserve">erreurs, créer et appliquer des procédures de vérification répondant à ces risques, et recueillir des éléments probants suffisants et appropriés pour fonder </w:t>
      </w:r>
      <w:r w:rsidR="00C70B9E">
        <w:rPr>
          <w:color w:val="auto"/>
          <w:lang w:val="fr-FR"/>
        </w:rPr>
        <w:t>mon</w:t>
      </w:r>
      <w:r w:rsidRPr="00FB0850">
        <w:rPr>
          <w:color w:val="auto"/>
          <w:lang w:val="fr-FR"/>
        </w:rPr>
        <w:t xml:space="preserve"> opini</w:t>
      </w:r>
      <w:r w:rsidR="002A21D7" w:rsidRPr="00FB0850">
        <w:rPr>
          <w:color w:val="auto"/>
          <w:lang w:val="fr-FR"/>
        </w:rPr>
        <w:t>on.  Le</w:t>
      </w:r>
      <w:r w:rsidRPr="00FB0850">
        <w:rPr>
          <w:color w:val="auto"/>
          <w:lang w:val="fr-FR"/>
        </w:rPr>
        <w:t xml:space="preserve"> risque de ne pas repérer une anomalie significative provenant d</w:t>
      </w:r>
      <w:r w:rsidR="00ED7246" w:rsidRPr="00FB0850">
        <w:rPr>
          <w:color w:val="auto"/>
          <w:lang w:val="fr-FR"/>
        </w:rPr>
        <w:t>’</w:t>
      </w:r>
      <w:r w:rsidRPr="00FB0850">
        <w:rPr>
          <w:color w:val="auto"/>
          <w:lang w:val="fr-FR"/>
        </w:rPr>
        <w:t>une fraude est plus élevé que pour les anomalies résultant d</w:t>
      </w:r>
      <w:r w:rsidR="00ED7246" w:rsidRPr="00FB0850">
        <w:rPr>
          <w:color w:val="auto"/>
          <w:lang w:val="fr-FR"/>
        </w:rPr>
        <w:t>’</w:t>
      </w:r>
      <w:r w:rsidRPr="00FB0850">
        <w:rPr>
          <w:color w:val="auto"/>
          <w:lang w:val="fr-FR"/>
        </w:rPr>
        <w:t>une erreur, car les fraudes peuvent impliquer des collusions, des falsifications, des omissions intentionnelles, des fausses déclarations ou des contournements des mécanismes de contrôle interne;</w:t>
      </w:r>
    </w:p>
    <w:p w:rsidR="00ED7246" w:rsidRPr="00FB0850" w:rsidRDefault="00605165" w:rsidP="000E37FF">
      <w:pPr>
        <w:pStyle w:val="Bullet"/>
        <w:spacing w:after="120" w:line="260" w:lineRule="atLeast"/>
        <w:ind w:left="567" w:hanging="567"/>
        <w:rPr>
          <w:color w:val="auto"/>
          <w:lang w:val="fr-FR"/>
        </w:rPr>
      </w:pPr>
      <w:r w:rsidRPr="00FB0850">
        <w:rPr>
          <w:color w:val="auto"/>
          <w:lang w:val="fr-FR"/>
        </w:rPr>
        <w:t>bien comprendre le contrôle interne dans la perspective de l</w:t>
      </w:r>
      <w:r w:rsidR="00ED7246" w:rsidRPr="00FB0850">
        <w:rPr>
          <w:color w:val="auto"/>
          <w:lang w:val="fr-FR"/>
        </w:rPr>
        <w:t>’</w:t>
      </w:r>
      <w:r w:rsidRPr="00FB0850">
        <w:rPr>
          <w:color w:val="auto"/>
          <w:lang w:val="fr-FR"/>
        </w:rPr>
        <w:t>audit afin de définir des procédures de vérification des comptes appropriées en la circonstance, et non dans le but d</w:t>
      </w:r>
      <w:r w:rsidR="00ED7246" w:rsidRPr="00FB0850">
        <w:rPr>
          <w:color w:val="auto"/>
          <w:lang w:val="fr-FR"/>
        </w:rPr>
        <w:t>’</w:t>
      </w:r>
      <w:r w:rsidRPr="00FB0850">
        <w:rPr>
          <w:color w:val="auto"/>
          <w:lang w:val="fr-FR"/>
        </w:rPr>
        <w:t>exprimer une opinion sur l</w:t>
      </w:r>
      <w:r w:rsidR="00ED7246" w:rsidRPr="00FB0850">
        <w:rPr>
          <w:color w:val="auto"/>
          <w:lang w:val="fr-FR"/>
        </w:rPr>
        <w:t>’</w:t>
      </w:r>
      <w:r w:rsidRPr="00FB0850">
        <w:rPr>
          <w:color w:val="auto"/>
          <w:lang w:val="fr-FR"/>
        </w:rPr>
        <w:t>efficacité du contrôle interne de l</w:t>
      </w:r>
      <w:r w:rsidR="00ED7246" w:rsidRPr="00FB0850">
        <w:rPr>
          <w:color w:val="auto"/>
          <w:lang w:val="fr-FR"/>
        </w:rPr>
        <w:t>’</w:t>
      </w:r>
      <w:r w:rsidRPr="00FB0850">
        <w:rPr>
          <w:color w:val="auto"/>
          <w:lang w:val="fr-FR"/>
        </w:rPr>
        <w:t>UPOV;</w:t>
      </w:r>
    </w:p>
    <w:p w:rsidR="00ED7246" w:rsidRPr="00FB0850" w:rsidRDefault="00605165" w:rsidP="000E37FF">
      <w:pPr>
        <w:pStyle w:val="Bullet"/>
        <w:spacing w:after="120" w:line="260" w:lineRule="atLeast"/>
        <w:ind w:left="567" w:hanging="567"/>
        <w:rPr>
          <w:color w:val="auto"/>
          <w:lang w:val="fr-FR"/>
        </w:rPr>
      </w:pPr>
      <w:r w:rsidRPr="00FB0850">
        <w:rPr>
          <w:color w:val="auto"/>
          <w:lang w:val="fr-FR"/>
        </w:rPr>
        <w:t>évaluer le caractère approprié des politiques comptables utilisées et le caractère raisonnable des estimations comptables faites par la direction ainsi que des informations à fournir correspondantes;</w:t>
      </w:r>
    </w:p>
    <w:p w:rsidR="00ED7246" w:rsidRPr="00FB0850" w:rsidRDefault="00605165" w:rsidP="000E37FF">
      <w:pPr>
        <w:pStyle w:val="Bullet"/>
        <w:spacing w:after="120" w:line="260" w:lineRule="atLeast"/>
        <w:ind w:left="567" w:hanging="567"/>
        <w:rPr>
          <w:color w:val="auto"/>
          <w:lang w:val="fr-FR"/>
        </w:rPr>
      </w:pPr>
      <w:r w:rsidRPr="00FB0850">
        <w:rPr>
          <w:color w:val="auto"/>
          <w:lang w:val="fr-FR"/>
        </w:rPr>
        <w:t>parvenir à des conclusions en ce qui concerne le caractère approprié de l</w:t>
      </w:r>
      <w:r w:rsidR="00ED7246" w:rsidRPr="00FB0850">
        <w:rPr>
          <w:color w:val="auto"/>
          <w:lang w:val="fr-FR"/>
        </w:rPr>
        <w:t>’</w:t>
      </w:r>
      <w:r w:rsidRPr="00FB0850">
        <w:rPr>
          <w:color w:val="auto"/>
          <w:lang w:val="fr-FR"/>
        </w:rPr>
        <w:t>utilisation par la direction du principe comptable de la continuité de l</w:t>
      </w:r>
      <w:r w:rsidR="00ED7246" w:rsidRPr="00FB0850">
        <w:rPr>
          <w:color w:val="auto"/>
          <w:lang w:val="fr-FR"/>
        </w:rPr>
        <w:t>’</w:t>
      </w:r>
      <w:r w:rsidRPr="00FB0850">
        <w:rPr>
          <w:color w:val="auto"/>
          <w:lang w:val="fr-FR"/>
        </w:rPr>
        <w:t>activité et, en fonction des éléments probants obtenus, la question de savoir si des incertitudes significatives existent liées à des événements ou à des conditions susceptibles de jeter un doute important sur la capacité de l</w:t>
      </w:r>
      <w:r w:rsidR="00ED7246" w:rsidRPr="00FB0850">
        <w:rPr>
          <w:color w:val="auto"/>
          <w:lang w:val="fr-FR"/>
        </w:rPr>
        <w:t>’</w:t>
      </w:r>
      <w:r w:rsidRPr="00FB0850">
        <w:rPr>
          <w:color w:val="auto"/>
          <w:lang w:val="fr-FR"/>
        </w:rPr>
        <w:t>UPOV de poursuivre son activi</w:t>
      </w:r>
      <w:r w:rsidR="002A21D7" w:rsidRPr="00FB0850">
        <w:rPr>
          <w:color w:val="auto"/>
          <w:lang w:val="fr-FR"/>
        </w:rPr>
        <w:t>té.  Si</w:t>
      </w:r>
      <w:r w:rsidRPr="00FB0850">
        <w:rPr>
          <w:color w:val="auto"/>
          <w:lang w:val="fr-FR"/>
        </w:rPr>
        <w:t xml:space="preserve"> </w:t>
      </w:r>
      <w:r w:rsidR="00C70B9E">
        <w:rPr>
          <w:color w:val="auto"/>
          <w:lang w:val="fr-FR"/>
        </w:rPr>
        <w:t>je conclus</w:t>
      </w:r>
      <w:r w:rsidRPr="00FB0850">
        <w:rPr>
          <w:color w:val="auto"/>
          <w:lang w:val="fr-FR"/>
        </w:rPr>
        <w:t xml:space="preserve"> qu</w:t>
      </w:r>
      <w:r w:rsidR="00ED7246" w:rsidRPr="00FB0850">
        <w:rPr>
          <w:color w:val="auto"/>
          <w:lang w:val="fr-FR"/>
        </w:rPr>
        <w:t>’</w:t>
      </w:r>
      <w:r w:rsidRPr="00FB0850">
        <w:rPr>
          <w:color w:val="auto"/>
          <w:lang w:val="fr-FR"/>
        </w:rPr>
        <w:t xml:space="preserve">une incertitude significative existe, </w:t>
      </w:r>
      <w:r w:rsidR="00C70B9E">
        <w:rPr>
          <w:color w:val="auto"/>
          <w:lang w:val="fr-FR"/>
        </w:rPr>
        <w:t>je suis</w:t>
      </w:r>
      <w:r w:rsidRPr="00FB0850">
        <w:rPr>
          <w:color w:val="auto"/>
          <w:lang w:val="fr-FR"/>
        </w:rPr>
        <w:t xml:space="preserve"> </w:t>
      </w:r>
      <w:r w:rsidR="00C70B9E">
        <w:rPr>
          <w:color w:val="auto"/>
          <w:lang w:val="fr-FR"/>
        </w:rPr>
        <w:t xml:space="preserve">tenu </w:t>
      </w:r>
      <w:r w:rsidRPr="00FB0850">
        <w:rPr>
          <w:color w:val="auto"/>
          <w:lang w:val="fr-FR"/>
        </w:rPr>
        <w:t xml:space="preserve">de faire ressortir, dans le rapport du vérificateur, les informations à fournir correspondantes dans les états financiers ou, si les informations en question sont insuffisantes, de modifier </w:t>
      </w:r>
      <w:r w:rsidR="00C70B9E">
        <w:rPr>
          <w:color w:val="auto"/>
          <w:lang w:val="fr-FR"/>
        </w:rPr>
        <w:t>mon</w:t>
      </w:r>
      <w:r w:rsidRPr="00FB0850">
        <w:rPr>
          <w:color w:val="auto"/>
          <w:lang w:val="fr-FR"/>
        </w:rPr>
        <w:t xml:space="preserve"> opini</w:t>
      </w:r>
      <w:r w:rsidR="002A21D7" w:rsidRPr="00FB0850">
        <w:rPr>
          <w:color w:val="auto"/>
          <w:lang w:val="fr-FR"/>
        </w:rPr>
        <w:t xml:space="preserve">on.  </w:t>
      </w:r>
      <w:r w:rsidR="00C70B9E">
        <w:rPr>
          <w:color w:val="auto"/>
          <w:lang w:val="fr-FR"/>
        </w:rPr>
        <w:t xml:space="preserve">Mes </w:t>
      </w:r>
      <w:r w:rsidRPr="00FB0850">
        <w:rPr>
          <w:color w:val="auto"/>
          <w:lang w:val="fr-FR"/>
        </w:rPr>
        <w:t>conclusions sont fondées sur les éléments probants obtenus jusqu</w:t>
      </w:r>
      <w:r w:rsidR="00ED7246" w:rsidRPr="00FB0850">
        <w:rPr>
          <w:color w:val="auto"/>
          <w:lang w:val="fr-FR"/>
        </w:rPr>
        <w:t>’</w:t>
      </w:r>
      <w:r w:rsidRPr="00FB0850">
        <w:rPr>
          <w:color w:val="auto"/>
          <w:lang w:val="fr-FR"/>
        </w:rPr>
        <w:t>à la date d</w:t>
      </w:r>
      <w:r w:rsidR="00ED7246" w:rsidRPr="00FB0850">
        <w:rPr>
          <w:color w:val="auto"/>
          <w:lang w:val="fr-FR"/>
        </w:rPr>
        <w:t>’</w:t>
      </w:r>
      <w:r w:rsidRPr="00FB0850">
        <w:rPr>
          <w:color w:val="auto"/>
          <w:lang w:val="fr-FR"/>
        </w:rPr>
        <w:t>élaboration du rapport d</w:t>
      </w:r>
      <w:r w:rsidR="00ED7246" w:rsidRPr="00FB0850">
        <w:rPr>
          <w:color w:val="auto"/>
          <w:lang w:val="fr-FR"/>
        </w:rPr>
        <w:t>’</w:t>
      </w:r>
      <w:r w:rsidRPr="00FB0850">
        <w:rPr>
          <w:color w:val="auto"/>
          <w:lang w:val="fr-FR"/>
        </w:rPr>
        <w:t>aud</w:t>
      </w:r>
      <w:r w:rsidR="002A21D7" w:rsidRPr="00FB0850">
        <w:rPr>
          <w:color w:val="auto"/>
          <w:lang w:val="fr-FR"/>
        </w:rPr>
        <w:t>it.  To</w:t>
      </w:r>
      <w:r w:rsidRPr="00FB0850">
        <w:rPr>
          <w:color w:val="auto"/>
          <w:lang w:val="fr-FR"/>
        </w:rPr>
        <w:t>utefois, des événements ou conditions futurs pourraient pousser l</w:t>
      </w:r>
      <w:r w:rsidR="00ED7246" w:rsidRPr="00FB0850">
        <w:rPr>
          <w:color w:val="auto"/>
          <w:lang w:val="fr-FR"/>
        </w:rPr>
        <w:t>’</w:t>
      </w:r>
      <w:r w:rsidRPr="00FB0850">
        <w:rPr>
          <w:color w:val="auto"/>
          <w:lang w:val="fr-FR"/>
        </w:rPr>
        <w:t>UPOV à cesser ses activités;</w:t>
      </w:r>
    </w:p>
    <w:p w:rsidR="00ED7246" w:rsidRPr="00FB0850" w:rsidRDefault="00605165" w:rsidP="000E37FF">
      <w:pPr>
        <w:pStyle w:val="Bullet"/>
        <w:spacing w:after="120" w:line="260" w:lineRule="atLeast"/>
        <w:ind w:left="567" w:hanging="567"/>
        <w:rPr>
          <w:color w:val="auto"/>
          <w:lang w:val="fr-FR"/>
        </w:rPr>
      </w:pPr>
      <w:r w:rsidRPr="00FB0850">
        <w:rPr>
          <w:color w:val="auto"/>
          <w:lang w:val="fr-FR"/>
        </w:rPr>
        <w:t>évaluer la présentation, la structure et le contenu globaux des états financiers, notamment des informations à fournir, et déterminer si les états financiers donnent une image fidèle des transactions et événements sous</w:t>
      </w:r>
      <w:r w:rsidR="00ED7246" w:rsidRPr="00FB0850">
        <w:rPr>
          <w:color w:val="auto"/>
          <w:lang w:val="fr-FR"/>
        </w:rPr>
        <w:t>-</w:t>
      </w:r>
      <w:r w:rsidRPr="00FB0850">
        <w:rPr>
          <w:color w:val="auto"/>
          <w:lang w:val="fr-FR"/>
        </w:rPr>
        <w:t>jacents.</w:t>
      </w:r>
    </w:p>
    <w:p w:rsidR="00ED7246" w:rsidRPr="00FB0850" w:rsidRDefault="00C70B9E" w:rsidP="000E37FF">
      <w:pPr>
        <w:pStyle w:val="BodyText"/>
        <w:spacing w:after="120" w:line="260" w:lineRule="atLeast"/>
        <w:rPr>
          <w:lang w:val="fr-FR"/>
        </w:rPr>
      </w:pPr>
      <w:r>
        <w:rPr>
          <w:lang w:val="fr-FR"/>
        </w:rPr>
        <w:t xml:space="preserve">Je communique </w:t>
      </w:r>
      <w:r w:rsidR="00605165" w:rsidRPr="00FB0850">
        <w:rPr>
          <w:lang w:val="fr-FR"/>
        </w:rPr>
        <w:t xml:space="preserve">avec les personnes chargées de la gouvernance à propos, entre autres, de la portée et du calendrier prévus pour la vérification des comptes, ainsi que des principales conclusions en découlant, notamment des lacunes importantes en matière de contrôle interne que </w:t>
      </w:r>
      <w:r>
        <w:rPr>
          <w:lang w:val="fr-FR"/>
        </w:rPr>
        <w:t xml:space="preserve">j’ai </w:t>
      </w:r>
      <w:r w:rsidR="00605165" w:rsidRPr="00FB0850">
        <w:rPr>
          <w:lang w:val="fr-FR"/>
        </w:rPr>
        <w:t xml:space="preserve">repérées au cours de </w:t>
      </w:r>
      <w:r>
        <w:rPr>
          <w:lang w:val="fr-FR"/>
        </w:rPr>
        <w:t xml:space="preserve">mon </w:t>
      </w:r>
      <w:r w:rsidR="00605165" w:rsidRPr="00FB0850">
        <w:rPr>
          <w:lang w:val="fr-FR"/>
        </w:rPr>
        <w:t>audit.</w:t>
      </w:r>
    </w:p>
    <w:p w:rsidR="00CA3696" w:rsidRPr="00FB0850" w:rsidRDefault="00605165" w:rsidP="000E37FF">
      <w:pPr>
        <w:pStyle w:val="BodyText"/>
        <w:spacing w:after="120" w:line="260" w:lineRule="atLeast"/>
        <w:rPr>
          <w:rStyle w:val="Bold"/>
          <w:lang w:val="fr-FR"/>
        </w:rPr>
      </w:pPr>
      <w:r w:rsidRPr="00FB0850">
        <w:rPr>
          <w:rStyle w:val="Bold"/>
          <w:lang w:val="fr-FR"/>
        </w:rPr>
        <w:t>Informations diverses</w:t>
      </w:r>
    </w:p>
    <w:p w:rsidR="00CA3696" w:rsidRPr="00FB0850" w:rsidRDefault="00605165" w:rsidP="000E37FF">
      <w:pPr>
        <w:pStyle w:val="BodyText"/>
        <w:spacing w:after="120" w:line="260" w:lineRule="atLeast"/>
        <w:rPr>
          <w:lang w:val="fr-FR"/>
        </w:rPr>
      </w:pPr>
      <w:r w:rsidRPr="00FB0850">
        <w:rPr>
          <w:lang w:val="fr-FR"/>
        </w:rPr>
        <w:t>La direction est responsable des autres informatio</w:t>
      </w:r>
      <w:r w:rsidR="002A21D7" w:rsidRPr="00FB0850">
        <w:rPr>
          <w:lang w:val="fr-FR"/>
        </w:rPr>
        <w:t>ns.  Le</w:t>
      </w:r>
      <w:r w:rsidRPr="00FB0850">
        <w:rPr>
          <w:lang w:val="fr-FR"/>
        </w:rPr>
        <w:t>s autres informations comprennent le rapport financier annuel pour l</w:t>
      </w:r>
      <w:r w:rsidR="00ED7246" w:rsidRPr="00FB0850">
        <w:rPr>
          <w:lang w:val="fr-FR"/>
        </w:rPr>
        <w:t>’</w:t>
      </w:r>
      <w:r w:rsidRPr="00FB0850">
        <w:rPr>
          <w:lang w:val="fr-FR"/>
        </w:rPr>
        <w:t>année s</w:t>
      </w:r>
      <w:r w:rsidR="00ED7246" w:rsidRPr="00FB0850">
        <w:rPr>
          <w:lang w:val="fr-FR"/>
        </w:rPr>
        <w:t>’</w:t>
      </w:r>
      <w:r w:rsidRPr="00FB0850">
        <w:rPr>
          <w:lang w:val="fr-FR"/>
        </w:rPr>
        <w:t>achevant le 31 décembre 2018 et ses annex</w:t>
      </w:r>
      <w:r w:rsidR="002A21D7" w:rsidRPr="00FB0850">
        <w:rPr>
          <w:lang w:val="fr-FR"/>
        </w:rPr>
        <w:t xml:space="preserve">es.  </w:t>
      </w:r>
      <w:r w:rsidR="00C70B9E">
        <w:rPr>
          <w:lang w:val="fr-FR"/>
        </w:rPr>
        <w:t xml:space="preserve">Mon </w:t>
      </w:r>
      <w:r w:rsidRPr="00FB0850">
        <w:rPr>
          <w:lang w:val="fr-FR"/>
        </w:rPr>
        <w:t xml:space="preserve">opinion sur les états financiers ne concerne pas les autres informations et </w:t>
      </w:r>
      <w:r w:rsidR="00C70B9E">
        <w:rPr>
          <w:lang w:val="fr-FR"/>
        </w:rPr>
        <w:t>je ne formule</w:t>
      </w:r>
      <w:r w:rsidRPr="00FB0850">
        <w:rPr>
          <w:lang w:val="fr-FR"/>
        </w:rPr>
        <w:t xml:space="preserve"> aucune conclusion ferme à ce suj</w:t>
      </w:r>
      <w:r w:rsidR="002A21D7" w:rsidRPr="00FB0850">
        <w:rPr>
          <w:lang w:val="fr-FR"/>
        </w:rPr>
        <w:t>et.  S’a</w:t>
      </w:r>
      <w:r w:rsidRPr="00FB0850">
        <w:rPr>
          <w:lang w:val="fr-FR"/>
        </w:rPr>
        <w:t xml:space="preserve">gissant de </w:t>
      </w:r>
      <w:r w:rsidR="00C70B9E">
        <w:rPr>
          <w:lang w:val="fr-FR"/>
        </w:rPr>
        <w:t xml:space="preserve">ma </w:t>
      </w:r>
      <w:r w:rsidRPr="00FB0850">
        <w:rPr>
          <w:lang w:val="fr-FR"/>
        </w:rPr>
        <w:t xml:space="preserve">vérification des états financiers, </w:t>
      </w:r>
      <w:r w:rsidR="00C70B9E">
        <w:rPr>
          <w:lang w:val="fr-FR"/>
        </w:rPr>
        <w:t xml:space="preserve">ma </w:t>
      </w:r>
      <w:r w:rsidRPr="00FB0850">
        <w:rPr>
          <w:lang w:val="fr-FR"/>
        </w:rPr>
        <w:t xml:space="preserve">responsabilité est de lire les autres informations et, ce faisant, de déterminer si elles sont significativement incompatibles avec les états financiers ou si </w:t>
      </w:r>
      <w:r w:rsidR="00C70B9E">
        <w:rPr>
          <w:lang w:val="fr-FR"/>
        </w:rPr>
        <w:t>me</w:t>
      </w:r>
      <w:r w:rsidRPr="00FB0850">
        <w:rPr>
          <w:lang w:val="fr-FR"/>
        </w:rPr>
        <w:t>s connaissances issues de la vérification des comptes ou d</w:t>
      </w:r>
      <w:r w:rsidR="00ED7246" w:rsidRPr="00FB0850">
        <w:rPr>
          <w:lang w:val="fr-FR"/>
        </w:rPr>
        <w:t>’</w:t>
      </w:r>
      <w:r w:rsidRPr="00FB0850">
        <w:rPr>
          <w:lang w:val="fr-FR"/>
        </w:rPr>
        <w:t>autres sources semblent présenter des erreurs important</w:t>
      </w:r>
      <w:r w:rsidR="002A21D7" w:rsidRPr="00FB0850">
        <w:rPr>
          <w:lang w:val="fr-FR"/>
        </w:rPr>
        <w:t>es.  Si</w:t>
      </w:r>
      <w:r w:rsidRPr="00FB0850">
        <w:rPr>
          <w:lang w:val="fr-FR"/>
        </w:rPr>
        <w:t xml:space="preserve">, en </w:t>
      </w:r>
      <w:r w:rsidR="00C70B9E">
        <w:rPr>
          <w:lang w:val="fr-FR"/>
        </w:rPr>
        <w:t xml:space="preserve">me </w:t>
      </w:r>
      <w:r w:rsidRPr="00FB0850">
        <w:rPr>
          <w:lang w:val="fr-FR"/>
        </w:rPr>
        <w:t xml:space="preserve">fondant sur le travail que </w:t>
      </w:r>
      <w:r w:rsidR="00C70B9E">
        <w:rPr>
          <w:lang w:val="fr-FR"/>
        </w:rPr>
        <w:t xml:space="preserve">j’ai </w:t>
      </w:r>
      <w:r w:rsidRPr="00FB0850">
        <w:rPr>
          <w:lang w:val="fr-FR"/>
        </w:rPr>
        <w:t xml:space="preserve">réalisé, </w:t>
      </w:r>
      <w:r w:rsidR="00C70B9E">
        <w:rPr>
          <w:lang w:val="fr-FR"/>
        </w:rPr>
        <w:t>je conclu</w:t>
      </w:r>
      <w:r w:rsidRPr="00FB0850">
        <w:rPr>
          <w:lang w:val="fr-FR"/>
        </w:rPr>
        <w:t xml:space="preserve">s que ces autres informations présentent une anomalie significative, </w:t>
      </w:r>
      <w:r w:rsidR="00C70B9E">
        <w:rPr>
          <w:lang w:val="fr-FR"/>
        </w:rPr>
        <w:t>je suis tenu</w:t>
      </w:r>
      <w:r w:rsidRPr="00FB0850">
        <w:rPr>
          <w:lang w:val="fr-FR"/>
        </w:rPr>
        <w:t xml:space="preserve"> de le signal</w:t>
      </w:r>
      <w:r w:rsidR="002A21D7" w:rsidRPr="00FB0850">
        <w:rPr>
          <w:lang w:val="fr-FR"/>
        </w:rPr>
        <w:t xml:space="preserve">er.  </w:t>
      </w:r>
      <w:r w:rsidR="00C70B9E">
        <w:rPr>
          <w:lang w:val="fr-FR"/>
        </w:rPr>
        <w:t xml:space="preserve">Je n’ai </w:t>
      </w:r>
      <w:r w:rsidRPr="00FB0850">
        <w:rPr>
          <w:lang w:val="fr-FR"/>
        </w:rPr>
        <w:t>rien à signaler à ce sujet.</w:t>
      </w:r>
    </w:p>
    <w:p w:rsidR="00CA3696" w:rsidRPr="00FB0850" w:rsidRDefault="00CA3696" w:rsidP="000E37FF">
      <w:pPr>
        <w:pStyle w:val="BodyText"/>
        <w:spacing w:after="120" w:line="260" w:lineRule="atLeast"/>
        <w:rPr>
          <w:lang w:val="fr-FR"/>
        </w:rPr>
      </w:pPr>
    </w:p>
    <w:p w:rsidR="00CA3696" w:rsidRPr="00FB0850" w:rsidRDefault="00D4790B" w:rsidP="00A05935">
      <w:pPr>
        <w:pStyle w:val="BodyText"/>
        <w:rPr>
          <w:b/>
          <w:lang w:val="fr-FR"/>
        </w:rPr>
      </w:pPr>
      <w:r w:rsidRPr="00FB0850">
        <w:rPr>
          <w:b/>
          <w:lang w:val="fr-FR"/>
        </w:rPr>
        <w:t>Gareth Davies</w:t>
      </w:r>
    </w:p>
    <w:p w:rsidR="00CA3696" w:rsidRPr="00FB0850" w:rsidRDefault="00605165" w:rsidP="00605165">
      <w:pPr>
        <w:pStyle w:val="BodyText"/>
        <w:rPr>
          <w:b/>
          <w:lang w:val="fr-FR"/>
        </w:rPr>
      </w:pPr>
      <w:r w:rsidRPr="00FB0850">
        <w:rPr>
          <w:b/>
          <w:lang w:val="fr-FR"/>
        </w:rPr>
        <w:t>Contrôleur et vérificateur général des comptes</w:t>
      </w:r>
    </w:p>
    <w:p w:rsidR="00CA3696" w:rsidRPr="00FB0850" w:rsidRDefault="00CA3696" w:rsidP="00A05935">
      <w:pPr>
        <w:pStyle w:val="BodyText"/>
        <w:rPr>
          <w:lang w:val="fr-FR"/>
        </w:rPr>
      </w:pPr>
    </w:p>
    <w:p w:rsidR="00CA3696" w:rsidRPr="00FB0850" w:rsidRDefault="00605165" w:rsidP="00605165">
      <w:pPr>
        <w:pStyle w:val="BodyText"/>
        <w:rPr>
          <w:lang w:val="fr-FR"/>
        </w:rPr>
      </w:pPr>
      <w:r w:rsidRPr="00FB0850">
        <w:rPr>
          <w:lang w:val="fr-FR"/>
        </w:rPr>
        <w:t>Bureau national de vérification du Royaume</w:t>
      </w:r>
      <w:r w:rsidR="00ED7246" w:rsidRPr="00FB0850">
        <w:rPr>
          <w:lang w:val="fr-FR"/>
        </w:rPr>
        <w:t>-</w:t>
      </w:r>
      <w:r w:rsidRPr="00FB0850">
        <w:rPr>
          <w:lang w:val="fr-FR"/>
        </w:rPr>
        <w:t>Uni</w:t>
      </w:r>
    </w:p>
    <w:p w:rsidR="00CA3696" w:rsidRPr="00FB0850" w:rsidRDefault="00D4790B" w:rsidP="00A05935">
      <w:pPr>
        <w:pStyle w:val="BodyText"/>
        <w:rPr>
          <w:lang w:val="fr-FR"/>
        </w:rPr>
      </w:pPr>
      <w:r w:rsidRPr="00FB0850">
        <w:rPr>
          <w:lang w:val="fr-FR"/>
        </w:rPr>
        <w:t>157</w:t>
      </w:r>
      <w:r w:rsidR="00ED7246" w:rsidRPr="00FB0850">
        <w:rPr>
          <w:lang w:val="fr-FR"/>
        </w:rPr>
        <w:t>-</w:t>
      </w:r>
      <w:r w:rsidRPr="00FB0850">
        <w:rPr>
          <w:lang w:val="fr-FR"/>
        </w:rPr>
        <w:t>197 Buckingham Palace Road</w:t>
      </w:r>
    </w:p>
    <w:p w:rsidR="00CA3696" w:rsidRPr="00FB0850" w:rsidRDefault="00D4790B" w:rsidP="00A05935">
      <w:pPr>
        <w:pStyle w:val="BodyText"/>
        <w:rPr>
          <w:lang w:val="fr-FR"/>
        </w:rPr>
      </w:pPr>
      <w:r w:rsidRPr="00FB0850">
        <w:rPr>
          <w:lang w:val="fr-FR"/>
        </w:rPr>
        <w:t>Victoria</w:t>
      </w:r>
    </w:p>
    <w:p w:rsidR="00CA3696" w:rsidRPr="00FB0850" w:rsidRDefault="00605165" w:rsidP="00605165">
      <w:pPr>
        <w:pStyle w:val="BodyText"/>
        <w:rPr>
          <w:lang w:val="fr-FR"/>
        </w:rPr>
      </w:pPr>
      <w:r w:rsidRPr="00FB0850">
        <w:rPr>
          <w:lang w:val="fr-FR"/>
        </w:rPr>
        <w:t>Londres</w:t>
      </w:r>
      <w:r w:rsidR="00D4790B" w:rsidRPr="00FB0850">
        <w:rPr>
          <w:lang w:val="fr-FR"/>
        </w:rPr>
        <w:t xml:space="preserve"> SW1W 9SP</w:t>
      </w:r>
    </w:p>
    <w:p w:rsidR="00CA3696" w:rsidRPr="00FB0850" w:rsidRDefault="00605165" w:rsidP="00605165">
      <w:pPr>
        <w:pStyle w:val="BodyText"/>
        <w:rPr>
          <w:lang w:val="fr-FR"/>
        </w:rPr>
      </w:pPr>
      <w:r w:rsidRPr="00FB0850">
        <w:rPr>
          <w:lang w:val="fr-FR"/>
        </w:rPr>
        <w:t>Royaume</w:t>
      </w:r>
      <w:r w:rsidR="00ED7246" w:rsidRPr="00FB0850">
        <w:rPr>
          <w:lang w:val="fr-FR"/>
        </w:rPr>
        <w:t>-</w:t>
      </w:r>
      <w:r w:rsidRPr="00FB0850">
        <w:rPr>
          <w:lang w:val="fr-FR"/>
        </w:rPr>
        <w:t>Uni</w:t>
      </w:r>
    </w:p>
    <w:p w:rsidR="00CA3696" w:rsidRPr="00FB0850" w:rsidRDefault="00CA3696" w:rsidP="00A05935">
      <w:pPr>
        <w:pStyle w:val="BodyText"/>
        <w:rPr>
          <w:lang w:val="fr-FR"/>
        </w:rPr>
      </w:pPr>
    </w:p>
    <w:p w:rsidR="00CA3696" w:rsidRDefault="00605165" w:rsidP="00605165">
      <w:pPr>
        <w:pStyle w:val="BodyText"/>
        <w:rPr>
          <w:lang w:val="fr-FR"/>
        </w:rPr>
      </w:pPr>
      <w:r w:rsidRPr="00FB0850">
        <w:rPr>
          <w:lang w:val="fr-FR"/>
        </w:rPr>
        <w:t>1</w:t>
      </w:r>
      <w:r w:rsidR="0055103E">
        <w:rPr>
          <w:lang w:val="fr-FR"/>
        </w:rPr>
        <w:t>3</w:t>
      </w:r>
      <w:r w:rsidR="00ED7246" w:rsidRPr="00FB0850">
        <w:rPr>
          <w:lang w:val="fr-FR"/>
        </w:rPr>
        <w:t> juin 20</w:t>
      </w:r>
      <w:r w:rsidRPr="00FB0850">
        <w:rPr>
          <w:lang w:val="fr-FR"/>
        </w:rPr>
        <w:t>19</w:t>
      </w:r>
    </w:p>
    <w:p w:rsidR="00CE079A" w:rsidRDefault="00CE079A" w:rsidP="00605165">
      <w:pPr>
        <w:pStyle w:val="BodyText"/>
        <w:rPr>
          <w:lang w:val="fr-FR"/>
        </w:rPr>
      </w:pPr>
    </w:p>
    <w:p w:rsidR="00CE079A" w:rsidRDefault="00CE079A" w:rsidP="00605165">
      <w:pPr>
        <w:pStyle w:val="BodyText"/>
        <w:rPr>
          <w:lang w:val="fr-FR"/>
        </w:rPr>
      </w:pPr>
    </w:p>
    <w:p w:rsidR="00CE079A" w:rsidRDefault="00CE079A" w:rsidP="00605165">
      <w:pPr>
        <w:pStyle w:val="BodyText"/>
        <w:rPr>
          <w:lang w:val="fr-FR"/>
        </w:rPr>
      </w:pPr>
    </w:p>
    <w:p w:rsidR="00CE079A" w:rsidRPr="00FB0850" w:rsidRDefault="00CE079A" w:rsidP="00CE079A">
      <w:pPr>
        <w:pStyle w:val="BodyText"/>
        <w:jc w:val="right"/>
        <w:rPr>
          <w:lang w:val="fr-FR"/>
        </w:rPr>
      </w:pPr>
      <w:r>
        <w:rPr>
          <w:lang w:val="fr-FR"/>
        </w:rPr>
        <w:t>[Fin de l’annexe et du document]</w:t>
      </w:r>
    </w:p>
    <w:sectPr w:rsidR="00CE079A" w:rsidRPr="00FB0850" w:rsidSect="00FB0850">
      <w:headerReference w:type="even" r:id="rId10"/>
      <w:headerReference w:type="default" r:id="rId11"/>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B4" w:rsidRDefault="001E74B4" w:rsidP="006655D3">
      <w:r>
        <w:separator/>
      </w:r>
    </w:p>
    <w:p w:rsidR="001E74B4" w:rsidRDefault="001E74B4" w:rsidP="006655D3"/>
    <w:p w:rsidR="001E74B4" w:rsidRDefault="001E74B4" w:rsidP="006655D3"/>
  </w:endnote>
  <w:endnote w:type="continuationSeparator" w:id="0">
    <w:p w:rsidR="001E74B4" w:rsidRDefault="001E74B4" w:rsidP="006655D3">
      <w:r>
        <w:separator/>
      </w:r>
    </w:p>
    <w:p w:rsidR="001E74B4" w:rsidRPr="00294751" w:rsidRDefault="001E74B4">
      <w:pPr>
        <w:pStyle w:val="Footer"/>
        <w:spacing w:after="60"/>
        <w:rPr>
          <w:sz w:val="18"/>
          <w:lang w:val="fr-FR"/>
        </w:rPr>
      </w:pPr>
      <w:r w:rsidRPr="00294751">
        <w:rPr>
          <w:sz w:val="18"/>
          <w:lang w:val="fr-FR"/>
        </w:rPr>
        <w:t>[Suite de la note de la page précédente]</w:t>
      </w:r>
    </w:p>
    <w:p w:rsidR="001E74B4" w:rsidRPr="00294751" w:rsidRDefault="001E74B4" w:rsidP="006655D3"/>
    <w:p w:rsidR="001E74B4" w:rsidRPr="00294751" w:rsidRDefault="001E74B4" w:rsidP="006655D3"/>
  </w:endnote>
  <w:endnote w:type="continuationNotice" w:id="1">
    <w:p w:rsidR="001E74B4" w:rsidRPr="00294751" w:rsidRDefault="001E74B4" w:rsidP="006655D3">
      <w:r w:rsidRPr="00294751">
        <w:t>[Suite de la note page suivante]</w:t>
      </w:r>
    </w:p>
    <w:p w:rsidR="001E74B4" w:rsidRPr="00294751" w:rsidRDefault="001E74B4" w:rsidP="006655D3"/>
    <w:p w:rsidR="001E74B4" w:rsidRPr="00294751" w:rsidRDefault="001E74B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B4" w:rsidRDefault="001E74B4" w:rsidP="006655D3">
      <w:r>
        <w:separator/>
      </w:r>
    </w:p>
  </w:footnote>
  <w:footnote w:type="continuationSeparator" w:id="0">
    <w:p w:rsidR="001E74B4" w:rsidRDefault="001E74B4" w:rsidP="006655D3">
      <w:r>
        <w:separator/>
      </w:r>
    </w:p>
  </w:footnote>
  <w:footnote w:type="continuationNotice" w:id="1">
    <w:p w:rsidR="001E74B4" w:rsidRPr="00AB530F" w:rsidRDefault="001E74B4" w:rsidP="00AB530F">
      <w:pPr>
        <w:pStyle w:val="Footer"/>
      </w:pPr>
    </w:p>
  </w:footnote>
  <w:footnote w:id="2">
    <w:p w:rsidR="00E124B9" w:rsidRDefault="00E124B9" w:rsidP="0072643B">
      <w:pPr>
        <w:pStyle w:val="FootnoteText"/>
      </w:pPr>
      <w:r>
        <w:rPr>
          <w:rStyle w:val="FootnoteReference"/>
        </w:rPr>
        <w:footnoteRef/>
      </w:r>
      <w:r>
        <w:t xml:space="preserve"> </w:t>
      </w:r>
      <w:r w:rsidR="00F24F3F">
        <w:tab/>
      </w:r>
      <w:r w:rsidR="0080367A">
        <w:t xml:space="preserve">Les équivalents de trésorerie, qui sont des </w:t>
      </w:r>
      <w:r w:rsidR="00DC3195">
        <w:t>plac</w:t>
      </w:r>
      <w:r w:rsidR="0080367A">
        <w:t>e</w:t>
      </w:r>
      <w:r>
        <w:t xml:space="preserve">ments </w:t>
      </w:r>
      <w:r w:rsidR="0080367A">
        <w:t>à échéance extrêmement courte, sont considérés comme de la trésorerie.</w:t>
      </w:r>
    </w:p>
  </w:footnote>
  <w:footnote w:id="3">
    <w:p w:rsidR="00F24F3F" w:rsidRPr="00C72A44" w:rsidRDefault="00E124B9" w:rsidP="0072643B">
      <w:pPr>
        <w:pStyle w:val="FootnoteText"/>
      </w:pPr>
      <w:r>
        <w:rPr>
          <w:rStyle w:val="FootnoteReference"/>
        </w:rPr>
        <w:footnoteRef/>
      </w:r>
      <w:r w:rsidRPr="00C72A44">
        <w:t xml:space="preserve"> </w:t>
      </w:r>
      <w:r w:rsidR="00F24F3F">
        <w:tab/>
      </w:r>
      <w:r w:rsidR="00C72A44" w:rsidRPr="00C72A44">
        <w:t>Voir le document C(Extr.)/33/6</w:t>
      </w:r>
      <w:r w:rsidR="00F24F3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782255" w:rsidP="00EB048E">
    <w:pPr>
      <w:pStyle w:val="Header"/>
      <w:rPr>
        <w:rStyle w:val="PageNumber"/>
        <w:lang w:val="en-US"/>
      </w:rPr>
    </w:pPr>
    <w:r>
      <w:rPr>
        <w:rStyle w:val="PageNumber"/>
        <w:lang w:val="en-US"/>
      </w:rPr>
      <w:t>C</w:t>
    </w:r>
    <w:r w:rsidR="00D32A63">
      <w:rPr>
        <w:rStyle w:val="PageNumber"/>
        <w:lang w:val="en-US"/>
      </w:rPr>
      <w:t>/53/6</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4B9">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35" w:rsidRPr="001769CE" w:rsidRDefault="003B62FD" w:rsidP="00A05935">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Pr>
        <w:bCs/>
        <w:noProof/>
        <w:lang w:val="en-US"/>
      </w:rPr>
      <w:t>Error! No text of specified style in document.</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sidRPr="003B62FD">
      <w:rPr>
        <w:b/>
        <w:bCs/>
        <w:noProof/>
        <w:lang w:val="en-US"/>
      </w:rPr>
      <w:t>External Auditor's Report on the 2018 UPOV Financial Statements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Pr="008B1523" w:rsidRDefault="00D4790B" w:rsidP="000222D6">
    <w:pPr>
      <w:pStyle w:val="Header"/>
      <w:tabs>
        <w:tab w:val="center" w:pos="4820"/>
      </w:tabs>
      <w:rPr>
        <w:rStyle w:val="PageNumber"/>
      </w:rPr>
    </w:pPr>
    <w:r w:rsidRPr="008B1523">
      <w:rPr>
        <w:rStyle w:val="PageNumber"/>
      </w:rPr>
      <w:t>C/53/6</w:t>
    </w:r>
  </w:p>
  <w:p w:rsidR="00D4790B" w:rsidRPr="008B1523" w:rsidRDefault="00D4790B" w:rsidP="000222D6">
    <w:pPr>
      <w:pStyle w:val="Header"/>
      <w:tabs>
        <w:tab w:val="center" w:pos="4820"/>
      </w:tabs>
      <w:rPr>
        <w:rStyle w:val="PageNumber"/>
      </w:rPr>
    </w:pPr>
    <w:r w:rsidRPr="008B1523">
      <w:t>Annex</w:t>
    </w:r>
    <w:r w:rsidR="00C33AF0" w:rsidRPr="008B1523">
      <w:t>e</w:t>
    </w:r>
    <w:r w:rsidRPr="008B1523">
      <w:t xml:space="preserve">, page </w:t>
    </w:r>
    <w:r w:rsidRPr="008B1523">
      <w:rPr>
        <w:rStyle w:val="PageNumber"/>
      </w:rPr>
      <w:fldChar w:fldCharType="begin"/>
    </w:r>
    <w:r w:rsidRPr="008B1523">
      <w:rPr>
        <w:rStyle w:val="PageNumber"/>
      </w:rPr>
      <w:instrText xml:space="preserve"> PAGE </w:instrText>
    </w:r>
    <w:r w:rsidRPr="008B1523">
      <w:rPr>
        <w:rStyle w:val="PageNumber"/>
      </w:rPr>
      <w:fldChar w:fldCharType="separate"/>
    </w:r>
    <w:r w:rsidR="00D15D21">
      <w:rPr>
        <w:rStyle w:val="PageNumber"/>
        <w:noProof/>
      </w:rPr>
      <w:t>14</w:t>
    </w:r>
    <w:r w:rsidRPr="008B1523">
      <w:rPr>
        <w:rStyle w:val="PageNumber"/>
      </w:rPr>
      <w:fldChar w:fldCharType="end"/>
    </w:r>
  </w:p>
  <w:p w:rsidR="000222D6" w:rsidRPr="008B1523" w:rsidRDefault="000222D6" w:rsidP="000222D6">
    <w:pPr>
      <w:pStyle w:val="Header"/>
      <w:tabs>
        <w:tab w:val="center" w:pos="4820"/>
      </w:tabs>
      <w:rPr>
        <w:rStyle w:val="PageNumber"/>
      </w:rPr>
    </w:pPr>
  </w:p>
  <w:p w:rsidR="000222D6" w:rsidRPr="008B1523" w:rsidRDefault="000222D6" w:rsidP="000222D6">
    <w:pPr>
      <w:pStyle w:val="Header"/>
      <w:tabs>
        <w:tab w:val="center" w:pos="48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D6" w:rsidRDefault="000222D6" w:rsidP="000222D6">
    <w:pPr>
      <w:pStyle w:val="Header"/>
      <w:tabs>
        <w:tab w:val="center" w:pos="4820"/>
      </w:tabs>
      <w:rPr>
        <w:rStyle w:val="PageNumber"/>
        <w:lang w:val="en-US"/>
      </w:rPr>
    </w:pPr>
    <w:r>
      <w:rPr>
        <w:rStyle w:val="PageNumber"/>
        <w:lang w:val="en-US"/>
      </w:rPr>
      <w:t>C/53/6</w:t>
    </w:r>
  </w:p>
  <w:p w:rsidR="000222D6" w:rsidRPr="00C5280D" w:rsidRDefault="000222D6" w:rsidP="000222D6">
    <w:pPr>
      <w:pStyle w:val="Header"/>
      <w:tabs>
        <w:tab w:val="center" w:pos="4820"/>
      </w:tabs>
      <w:rPr>
        <w:rStyle w:val="PageNumber"/>
        <w:lang w:val="en-US"/>
      </w:rPr>
    </w:pPr>
  </w:p>
  <w:p w:rsidR="000222D6" w:rsidRPr="00C5280D" w:rsidRDefault="000222D6" w:rsidP="000222D6">
    <w:pPr>
      <w:pStyle w:val="Header"/>
      <w:tabs>
        <w:tab w:val="center" w:pos="4820"/>
      </w:tabs>
      <w:rPr>
        <w:lang w:val="en-US"/>
      </w:rPr>
    </w:pPr>
    <w:r>
      <w:rPr>
        <w:lang w:val="en-US"/>
      </w:rPr>
      <w:t>ANNEXE</w:t>
    </w:r>
  </w:p>
  <w:p w:rsidR="000222D6" w:rsidRDefault="00022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F370A8C6"/>
    <w:lvl w:ilvl="0">
      <w:start w:val="1"/>
      <w:numFmt w:val="cardinalText"/>
      <w:suff w:val="nothing"/>
      <w:lvlText w:val="Part %1"/>
      <w:lvlJc w:val="left"/>
      <w:pPr>
        <w:ind w:left="1440" w:hanging="1440"/>
      </w:pPr>
      <w:rPr>
        <w:rFonts w:hint="default"/>
        <w:b w:val="0"/>
        <w:i w:val="0"/>
        <w:vanish w:val="0"/>
        <w:color w:val="auto"/>
      </w:rPr>
    </w:lvl>
    <w:lvl w:ilvl="1">
      <w:start w:val="1"/>
      <w:numFmt w:val="decimal"/>
      <w:isLgl/>
      <w:lvlText w:val="%1.%2"/>
      <w:lvlJc w:val="left"/>
      <w:pPr>
        <w:tabs>
          <w:tab w:val="num" w:pos="454"/>
        </w:tabs>
        <w:ind w:left="0" w:firstLine="0"/>
      </w:p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4267212B"/>
    <w:multiLevelType w:val="multilevel"/>
    <w:tmpl w:val="44A04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C55332"/>
    <w:multiLevelType w:val="hybridMultilevel"/>
    <w:tmpl w:val="CB98FD50"/>
    <w:lvl w:ilvl="0" w:tplc="A7F88A2E">
      <w:start w:val="1"/>
      <w:numFmt w:val="decimal"/>
      <w:lvlText w:val="2.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UPOV"/>
    <w:docVar w:name="TextBaseURL" w:val="empty"/>
    <w:docVar w:name="UILng" w:val="en"/>
  </w:docVars>
  <w:rsids>
    <w:rsidRoot w:val="001B4D3B"/>
    <w:rsid w:val="00005C77"/>
    <w:rsid w:val="00010CF3"/>
    <w:rsid w:val="00011E27"/>
    <w:rsid w:val="000148BC"/>
    <w:rsid w:val="00020544"/>
    <w:rsid w:val="000222D6"/>
    <w:rsid w:val="00024AB8"/>
    <w:rsid w:val="00030854"/>
    <w:rsid w:val="00036028"/>
    <w:rsid w:val="00044642"/>
    <w:rsid w:val="000446B9"/>
    <w:rsid w:val="00047E21"/>
    <w:rsid w:val="00050E16"/>
    <w:rsid w:val="00071469"/>
    <w:rsid w:val="000717F5"/>
    <w:rsid w:val="00077D99"/>
    <w:rsid w:val="0008189B"/>
    <w:rsid w:val="00085505"/>
    <w:rsid w:val="000B7940"/>
    <w:rsid w:val="000C37F3"/>
    <w:rsid w:val="000C4E25"/>
    <w:rsid w:val="000C7021"/>
    <w:rsid w:val="000D6BBC"/>
    <w:rsid w:val="000D7780"/>
    <w:rsid w:val="000E37FF"/>
    <w:rsid w:val="000E636A"/>
    <w:rsid w:val="000E69A4"/>
    <w:rsid w:val="000F122C"/>
    <w:rsid w:val="000F2F11"/>
    <w:rsid w:val="000F7F8B"/>
    <w:rsid w:val="00105929"/>
    <w:rsid w:val="001061FB"/>
    <w:rsid w:val="00110C36"/>
    <w:rsid w:val="001131D5"/>
    <w:rsid w:val="00114591"/>
    <w:rsid w:val="00117EDF"/>
    <w:rsid w:val="00141DB8"/>
    <w:rsid w:val="0016211C"/>
    <w:rsid w:val="00166543"/>
    <w:rsid w:val="00172084"/>
    <w:rsid w:val="0017474A"/>
    <w:rsid w:val="001758C6"/>
    <w:rsid w:val="00182B99"/>
    <w:rsid w:val="001861B2"/>
    <w:rsid w:val="001A05B8"/>
    <w:rsid w:val="001A6135"/>
    <w:rsid w:val="001B3564"/>
    <w:rsid w:val="001B4D3B"/>
    <w:rsid w:val="001C05B3"/>
    <w:rsid w:val="001C1525"/>
    <w:rsid w:val="001C32AF"/>
    <w:rsid w:val="001C7868"/>
    <w:rsid w:val="001D6283"/>
    <w:rsid w:val="001E47D5"/>
    <w:rsid w:val="001E74B4"/>
    <w:rsid w:val="0021332C"/>
    <w:rsid w:val="00213982"/>
    <w:rsid w:val="00214C72"/>
    <w:rsid w:val="00224076"/>
    <w:rsid w:val="00226A57"/>
    <w:rsid w:val="00231359"/>
    <w:rsid w:val="0024416D"/>
    <w:rsid w:val="00247E0D"/>
    <w:rsid w:val="00256BFA"/>
    <w:rsid w:val="00264DEF"/>
    <w:rsid w:val="00271911"/>
    <w:rsid w:val="00273C14"/>
    <w:rsid w:val="002800A0"/>
    <w:rsid w:val="002801B3"/>
    <w:rsid w:val="00281060"/>
    <w:rsid w:val="00292300"/>
    <w:rsid w:val="00292EA7"/>
    <w:rsid w:val="00293D1B"/>
    <w:rsid w:val="002940E8"/>
    <w:rsid w:val="00294751"/>
    <w:rsid w:val="002A040A"/>
    <w:rsid w:val="002A21D7"/>
    <w:rsid w:val="002A6E50"/>
    <w:rsid w:val="002B4044"/>
    <w:rsid w:val="002B4298"/>
    <w:rsid w:val="002C256A"/>
    <w:rsid w:val="002C4812"/>
    <w:rsid w:val="002D2800"/>
    <w:rsid w:val="002F28C7"/>
    <w:rsid w:val="0030305D"/>
    <w:rsid w:val="00305A7F"/>
    <w:rsid w:val="003152FE"/>
    <w:rsid w:val="00327436"/>
    <w:rsid w:val="003413EE"/>
    <w:rsid w:val="00342A9D"/>
    <w:rsid w:val="00344BD6"/>
    <w:rsid w:val="0035528D"/>
    <w:rsid w:val="00361821"/>
    <w:rsid w:val="00361E9E"/>
    <w:rsid w:val="0037060C"/>
    <w:rsid w:val="00373EF2"/>
    <w:rsid w:val="003771FB"/>
    <w:rsid w:val="00385502"/>
    <w:rsid w:val="0039633A"/>
    <w:rsid w:val="003B62FD"/>
    <w:rsid w:val="003C7FBE"/>
    <w:rsid w:val="003D227C"/>
    <w:rsid w:val="003D2B4D"/>
    <w:rsid w:val="003F5F2B"/>
    <w:rsid w:val="00412979"/>
    <w:rsid w:val="00413ECA"/>
    <w:rsid w:val="00441D25"/>
    <w:rsid w:val="00444A88"/>
    <w:rsid w:val="00456C9A"/>
    <w:rsid w:val="00466537"/>
    <w:rsid w:val="004712B0"/>
    <w:rsid w:val="00474DA4"/>
    <w:rsid w:val="00476B4D"/>
    <w:rsid w:val="004805FA"/>
    <w:rsid w:val="004935D2"/>
    <w:rsid w:val="00496495"/>
    <w:rsid w:val="004A1B9B"/>
    <w:rsid w:val="004A22B8"/>
    <w:rsid w:val="004B0AAF"/>
    <w:rsid w:val="004B1215"/>
    <w:rsid w:val="004B76CE"/>
    <w:rsid w:val="004D047D"/>
    <w:rsid w:val="004E39C2"/>
    <w:rsid w:val="004F1E9E"/>
    <w:rsid w:val="004F305A"/>
    <w:rsid w:val="00503E5D"/>
    <w:rsid w:val="00512164"/>
    <w:rsid w:val="00520297"/>
    <w:rsid w:val="005215B4"/>
    <w:rsid w:val="00532DF0"/>
    <w:rsid w:val="005338F9"/>
    <w:rsid w:val="0054281C"/>
    <w:rsid w:val="00544581"/>
    <w:rsid w:val="0055103E"/>
    <w:rsid w:val="0055268D"/>
    <w:rsid w:val="005627F1"/>
    <w:rsid w:val="00576BE4"/>
    <w:rsid w:val="005A400A"/>
    <w:rsid w:val="005B33E1"/>
    <w:rsid w:val="005E2387"/>
    <w:rsid w:val="005F7B92"/>
    <w:rsid w:val="005F7D85"/>
    <w:rsid w:val="00605165"/>
    <w:rsid w:val="00612379"/>
    <w:rsid w:val="00612887"/>
    <w:rsid w:val="00614A71"/>
    <w:rsid w:val="006153B6"/>
    <w:rsid w:val="0061555F"/>
    <w:rsid w:val="0063359A"/>
    <w:rsid w:val="00636CA6"/>
    <w:rsid w:val="00641200"/>
    <w:rsid w:val="00643243"/>
    <w:rsid w:val="00645CA8"/>
    <w:rsid w:val="00661C3B"/>
    <w:rsid w:val="006655D3"/>
    <w:rsid w:val="00667404"/>
    <w:rsid w:val="00687EB4"/>
    <w:rsid w:val="006935BD"/>
    <w:rsid w:val="00695C56"/>
    <w:rsid w:val="006A5CDE"/>
    <w:rsid w:val="006A644A"/>
    <w:rsid w:val="006B17D2"/>
    <w:rsid w:val="006C224E"/>
    <w:rsid w:val="006D75F8"/>
    <w:rsid w:val="006D780A"/>
    <w:rsid w:val="006E4625"/>
    <w:rsid w:val="006F1883"/>
    <w:rsid w:val="0070538B"/>
    <w:rsid w:val="00711393"/>
    <w:rsid w:val="0071271E"/>
    <w:rsid w:val="0071520B"/>
    <w:rsid w:val="00717A8E"/>
    <w:rsid w:val="0072643B"/>
    <w:rsid w:val="00732DEC"/>
    <w:rsid w:val="00735BD5"/>
    <w:rsid w:val="007451EC"/>
    <w:rsid w:val="00747E8E"/>
    <w:rsid w:val="00751613"/>
    <w:rsid w:val="00751893"/>
    <w:rsid w:val="007556F6"/>
    <w:rsid w:val="00760EEF"/>
    <w:rsid w:val="0076599C"/>
    <w:rsid w:val="00777EE5"/>
    <w:rsid w:val="00782255"/>
    <w:rsid w:val="00784836"/>
    <w:rsid w:val="0079023E"/>
    <w:rsid w:val="007A2854"/>
    <w:rsid w:val="007C1D92"/>
    <w:rsid w:val="007C3C19"/>
    <w:rsid w:val="007C4CB9"/>
    <w:rsid w:val="007D0B9D"/>
    <w:rsid w:val="007D19B0"/>
    <w:rsid w:val="007D4635"/>
    <w:rsid w:val="007E0E6D"/>
    <w:rsid w:val="007F498F"/>
    <w:rsid w:val="0080367A"/>
    <w:rsid w:val="0080669D"/>
    <w:rsid w:val="0080679D"/>
    <w:rsid w:val="008108B0"/>
    <w:rsid w:val="00811B20"/>
    <w:rsid w:val="008211B5"/>
    <w:rsid w:val="0082296E"/>
    <w:rsid w:val="00824099"/>
    <w:rsid w:val="00834ABC"/>
    <w:rsid w:val="00846D7C"/>
    <w:rsid w:val="00867AC1"/>
    <w:rsid w:val="00871172"/>
    <w:rsid w:val="00890DF8"/>
    <w:rsid w:val="00892155"/>
    <w:rsid w:val="00892F6A"/>
    <w:rsid w:val="008A743F"/>
    <w:rsid w:val="008B1523"/>
    <w:rsid w:val="008B548D"/>
    <w:rsid w:val="008C0970"/>
    <w:rsid w:val="008C509A"/>
    <w:rsid w:val="008D0BC5"/>
    <w:rsid w:val="008D2CF7"/>
    <w:rsid w:val="008D7B44"/>
    <w:rsid w:val="008F6CC5"/>
    <w:rsid w:val="00900C26"/>
    <w:rsid w:val="0090197F"/>
    <w:rsid w:val="00903264"/>
    <w:rsid w:val="00906072"/>
    <w:rsid w:val="00906DDC"/>
    <w:rsid w:val="00927A1A"/>
    <w:rsid w:val="00934E09"/>
    <w:rsid w:val="00936253"/>
    <w:rsid w:val="00940D46"/>
    <w:rsid w:val="00952DD4"/>
    <w:rsid w:val="009537BA"/>
    <w:rsid w:val="00955312"/>
    <w:rsid w:val="00965AE7"/>
    <w:rsid w:val="00970FED"/>
    <w:rsid w:val="00992D82"/>
    <w:rsid w:val="00997029"/>
    <w:rsid w:val="009A7339"/>
    <w:rsid w:val="009B440E"/>
    <w:rsid w:val="009C1AD6"/>
    <w:rsid w:val="009D690D"/>
    <w:rsid w:val="009E65B6"/>
    <w:rsid w:val="009F77CF"/>
    <w:rsid w:val="00A05935"/>
    <w:rsid w:val="00A24C10"/>
    <w:rsid w:val="00A3365A"/>
    <w:rsid w:val="00A42AC3"/>
    <w:rsid w:val="00A430CF"/>
    <w:rsid w:val="00A456D7"/>
    <w:rsid w:val="00A4577C"/>
    <w:rsid w:val="00A460F0"/>
    <w:rsid w:val="00A46E23"/>
    <w:rsid w:val="00A54309"/>
    <w:rsid w:val="00A67A44"/>
    <w:rsid w:val="00A727CB"/>
    <w:rsid w:val="00AA17E8"/>
    <w:rsid w:val="00AB1E37"/>
    <w:rsid w:val="00AB2B93"/>
    <w:rsid w:val="00AB530F"/>
    <w:rsid w:val="00AB7E5B"/>
    <w:rsid w:val="00AC2883"/>
    <w:rsid w:val="00AE0EF1"/>
    <w:rsid w:val="00AE2937"/>
    <w:rsid w:val="00AE677B"/>
    <w:rsid w:val="00B07301"/>
    <w:rsid w:val="00B11F3E"/>
    <w:rsid w:val="00B224DE"/>
    <w:rsid w:val="00B23F85"/>
    <w:rsid w:val="00B324D4"/>
    <w:rsid w:val="00B378CA"/>
    <w:rsid w:val="00B46575"/>
    <w:rsid w:val="00B61777"/>
    <w:rsid w:val="00B75C70"/>
    <w:rsid w:val="00B84BBD"/>
    <w:rsid w:val="00B96901"/>
    <w:rsid w:val="00BA43FB"/>
    <w:rsid w:val="00BA60E9"/>
    <w:rsid w:val="00BA7244"/>
    <w:rsid w:val="00BC127D"/>
    <w:rsid w:val="00BC1FE6"/>
    <w:rsid w:val="00BC5E50"/>
    <w:rsid w:val="00BF5708"/>
    <w:rsid w:val="00C0502E"/>
    <w:rsid w:val="00C061B6"/>
    <w:rsid w:val="00C14A08"/>
    <w:rsid w:val="00C2446C"/>
    <w:rsid w:val="00C253AD"/>
    <w:rsid w:val="00C33AF0"/>
    <w:rsid w:val="00C355C3"/>
    <w:rsid w:val="00C36AE5"/>
    <w:rsid w:val="00C41F17"/>
    <w:rsid w:val="00C527FA"/>
    <w:rsid w:val="00C5280D"/>
    <w:rsid w:val="00C53EB3"/>
    <w:rsid w:val="00C53F23"/>
    <w:rsid w:val="00C541F2"/>
    <w:rsid w:val="00C5791C"/>
    <w:rsid w:val="00C61FE1"/>
    <w:rsid w:val="00C66290"/>
    <w:rsid w:val="00C66C4C"/>
    <w:rsid w:val="00C70B9E"/>
    <w:rsid w:val="00C72A44"/>
    <w:rsid w:val="00C72B7A"/>
    <w:rsid w:val="00C84DBE"/>
    <w:rsid w:val="00C9429F"/>
    <w:rsid w:val="00C973F2"/>
    <w:rsid w:val="00CA040B"/>
    <w:rsid w:val="00CA304C"/>
    <w:rsid w:val="00CA3696"/>
    <w:rsid w:val="00CA774A"/>
    <w:rsid w:val="00CB0E4D"/>
    <w:rsid w:val="00CC11B0"/>
    <w:rsid w:val="00CC2841"/>
    <w:rsid w:val="00CE079A"/>
    <w:rsid w:val="00CE64BE"/>
    <w:rsid w:val="00CF1330"/>
    <w:rsid w:val="00CF7AAE"/>
    <w:rsid w:val="00CF7E36"/>
    <w:rsid w:val="00D0021D"/>
    <w:rsid w:val="00D019B9"/>
    <w:rsid w:val="00D021AA"/>
    <w:rsid w:val="00D15D21"/>
    <w:rsid w:val="00D244C4"/>
    <w:rsid w:val="00D258AB"/>
    <w:rsid w:val="00D32A63"/>
    <w:rsid w:val="00D3708D"/>
    <w:rsid w:val="00D40426"/>
    <w:rsid w:val="00D4790B"/>
    <w:rsid w:val="00D57C96"/>
    <w:rsid w:val="00D57D18"/>
    <w:rsid w:val="00D62581"/>
    <w:rsid w:val="00D66B8F"/>
    <w:rsid w:val="00D91203"/>
    <w:rsid w:val="00D95174"/>
    <w:rsid w:val="00DA4973"/>
    <w:rsid w:val="00DA6F36"/>
    <w:rsid w:val="00DB2EB5"/>
    <w:rsid w:val="00DB596E"/>
    <w:rsid w:val="00DB7773"/>
    <w:rsid w:val="00DC00EA"/>
    <w:rsid w:val="00DC3195"/>
    <w:rsid w:val="00DC3802"/>
    <w:rsid w:val="00DF747C"/>
    <w:rsid w:val="00E07D87"/>
    <w:rsid w:val="00E11D35"/>
    <w:rsid w:val="00E124B9"/>
    <w:rsid w:val="00E245CE"/>
    <w:rsid w:val="00E32F7E"/>
    <w:rsid w:val="00E5267B"/>
    <w:rsid w:val="00E57FD3"/>
    <w:rsid w:val="00E63C0E"/>
    <w:rsid w:val="00E72D49"/>
    <w:rsid w:val="00E7593C"/>
    <w:rsid w:val="00E7678A"/>
    <w:rsid w:val="00E935F1"/>
    <w:rsid w:val="00E94A81"/>
    <w:rsid w:val="00EA1FFB"/>
    <w:rsid w:val="00EA7A14"/>
    <w:rsid w:val="00EB048E"/>
    <w:rsid w:val="00EB4E9C"/>
    <w:rsid w:val="00ED1235"/>
    <w:rsid w:val="00ED2A9D"/>
    <w:rsid w:val="00ED7246"/>
    <w:rsid w:val="00EE18BC"/>
    <w:rsid w:val="00EE24A6"/>
    <w:rsid w:val="00EE34DF"/>
    <w:rsid w:val="00EF02E5"/>
    <w:rsid w:val="00EF2F89"/>
    <w:rsid w:val="00F03E98"/>
    <w:rsid w:val="00F1237A"/>
    <w:rsid w:val="00F22CBD"/>
    <w:rsid w:val="00F24F3F"/>
    <w:rsid w:val="00F272F1"/>
    <w:rsid w:val="00F36269"/>
    <w:rsid w:val="00F45372"/>
    <w:rsid w:val="00F45F80"/>
    <w:rsid w:val="00F55293"/>
    <w:rsid w:val="00F560F7"/>
    <w:rsid w:val="00F6334D"/>
    <w:rsid w:val="00F63599"/>
    <w:rsid w:val="00F67151"/>
    <w:rsid w:val="00F9008A"/>
    <w:rsid w:val="00FA49AB"/>
    <w:rsid w:val="00FB0850"/>
    <w:rsid w:val="00FB2BD5"/>
    <w:rsid w:val="00FB694C"/>
    <w:rsid w:val="00FD2FD5"/>
    <w:rsid w:val="00FE11B5"/>
    <w:rsid w:val="00FE39C7"/>
    <w:rsid w:val="00FF4D07"/>
    <w:rsid w:val="00FF5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06ED21"/>
  <w15:chartTrackingRefBased/>
  <w15:docId w15:val="{6DEBCC6B-6476-4107-B138-3FDC18AA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50"/>
    <w:pPr>
      <w:jc w:val="both"/>
    </w:pPr>
    <w:rPr>
      <w:rFonts w:ascii="Arial" w:hAnsi="Arial"/>
      <w:lang w:eastAsia="en-US"/>
    </w:rPr>
  </w:style>
  <w:style w:type="paragraph" w:styleId="Heading1">
    <w:name w:val="heading 1"/>
    <w:next w:val="Heading2"/>
    <w:link w:val="Heading1Char"/>
    <w:uiPriority w:val="10"/>
    <w:qFormat/>
    <w:rsid w:val="000222D6"/>
    <w:pPr>
      <w:keepNext/>
      <w:pageBreakBefore/>
      <w:spacing w:after="1020" w:line="560" w:lineRule="exact"/>
      <w:ind w:left="1701"/>
      <w:outlineLvl w:val="0"/>
    </w:pPr>
    <w:rPr>
      <w:rFonts w:ascii="Arial" w:hAnsi="Arial"/>
      <w:color w:val="000000"/>
      <w:spacing w:val="-6"/>
      <w:sz w:val="48"/>
      <w:szCs w:val="56"/>
      <w:lang w:val="en-GB"/>
    </w:rPr>
  </w:style>
  <w:style w:type="paragraph" w:styleId="Heading2">
    <w:name w:val="heading 2"/>
    <w:next w:val="Heading3"/>
    <w:link w:val="Heading2Char"/>
    <w:uiPriority w:val="11"/>
    <w:qFormat/>
    <w:rsid w:val="000222D6"/>
    <w:pPr>
      <w:keepNext/>
      <w:keepLines/>
      <w:widowControl w:val="0"/>
      <w:adjustRightInd w:val="0"/>
      <w:spacing w:before="120" w:after="110" w:line="420" w:lineRule="exact"/>
      <w:ind w:left="1701"/>
      <w:textAlignment w:val="baseline"/>
      <w:outlineLvl w:val="1"/>
    </w:pPr>
    <w:rPr>
      <w:rFonts w:ascii="Arial" w:hAnsi="Arial"/>
      <w:color w:val="000000"/>
      <w:sz w:val="36"/>
      <w:szCs w:val="70"/>
      <w:lang w:val="en-GB"/>
    </w:rPr>
  </w:style>
  <w:style w:type="paragraph" w:styleId="Heading3">
    <w:name w:val="heading 3"/>
    <w:next w:val="BodyText"/>
    <w:link w:val="Heading3Char"/>
    <w:uiPriority w:val="12"/>
    <w:qFormat/>
    <w:rsid w:val="00F24F3F"/>
    <w:pPr>
      <w:keepNext/>
      <w:keepLines/>
      <w:widowControl w:val="0"/>
      <w:adjustRightInd w:val="0"/>
      <w:spacing w:before="160" w:after="84" w:line="300" w:lineRule="exact"/>
      <w:ind w:left="1701"/>
      <w:textAlignment w:val="baseline"/>
      <w:outlineLvl w:val="2"/>
    </w:pPr>
    <w:rPr>
      <w:rFonts w:ascii="Arial" w:hAnsi="Arial"/>
      <w:color w:val="000000"/>
      <w:sz w:val="24"/>
      <w:szCs w:val="44"/>
      <w:lang w:val="en-GB"/>
    </w:rPr>
  </w:style>
  <w:style w:type="paragraph" w:styleId="Heading4">
    <w:name w:val="heading 4"/>
    <w:basedOn w:val="Normal"/>
    <w:next w:val="Normal"/>
    <w:link w:val="Heading4Char"/>
    <w:uiPriority w:val="13"/>
    <w:qFormat/>
    <w:rsid w:val="00E124B9"/>
    <w:pPr>
      <w:keepNext/>
      <w:keepLines/>
      <w:spacing w:before="60" w:after="170" w:line="300" w:lineRule="exact"/>
      <w:jc w:val="left"/>
      <w:outlineLvl w:val="3"/>
    </w:pPr>
    <w:rPr>
      <w:rFonts w:eastAsia="Calibri"/>
      <w:color w:val="000000"/>
      <w:sz w:val="24"/>
      <w:lang w:val="en-GB" w:eastAsia="x-none"/>
    </w:rPr>
  </w:style>
  <w:style w:type="paragraph" w:styleId="Heading5">
    <w:name w:val="heading 5"/>
    <w:basedOn w:val="Normal"/>
    <w:next w:val="Normal"/>
    <w:link w:val="Heading5Char"/>
    <w:uiPriority w:val="14"/>
    <w:qFormat/>
    <w:rsid w:val="00E124B9"/>
    <w:pPr>
      <w:keepNext/>
      <w:spacing w:before="60" w:after="170" w:line="240" w:lineRule="exact"/>
      <w:jc w:val="left"/>
      <w:outlineLvl w:val="4"/>
    </w:pPr>
    <w:rPr>
      <w:rFonts w:eastAsia="Calibri"/>
      <w:b/>
      <w:bCs/>
      <w:iCs/>
      <w:szCs w:val="26"/>
      <w:lang w:val="en-GB" w:eastAsia="x-non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lang w:val="en-US" w:eastAsia="en-US"/>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qFormat/>
    <w:rsid w:val="0072643B"/>
    <w:pPr>
      <w:spacing w:before="60"/>
      <w:ind w:left="284" w:hanging="284"/>
      <w:jc w:val="both"/>
    </w:pPr>
    <w:rPr>
      <w:rFonts w:ascii="Arial" w:hAnsi="Arial"/>
      <w:sz w:val="16"/>
    </w:rPr>
  </w:style>
  <w:style w:type="character" w:styleId="FootnoteReference">
    <w:name w:val="footnote reference"/>
    <w:aliases w:val="FR"/>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rPr>
      <w:lang w:val="x-none" w:eastAsia="x-none"/>
    </w:rPr>
  </w:style>
  <w:style w:type="paragraph" w:customStyle="1" w:styleId="Disclaimer">
    <w:name w:val="Disclaimer"/>
    <w:next w:val="Normal"/>
    <w:qFormat/>
    <w:rsid w:val="007451EC"/>
    <w:pPr>
      <w:spacing w:after="600"/>
    </w:pPr>
    <w:rPr>
      <w:rFonts w:ascii="Arial" w:hAnsi="Arial"/>
      <w:i/>
      <w:iCs/>
      <w:color w:val="A6A6A6"/>
      <w:lang w:val="en-US" w:eastAsia="en-US"/>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character" w:customStyle="1" w:styleId="DocoriginalChar">
    <w:name w:val="Doc_original 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71172"/>
    <w:pPr>
      <w:tabs>
        <w:tab w:val="right" w:pos="7740"/>
      </w:tabs>
      <w:spacing w:before="120"/>
      <w:ind w:left="1701" w:right="663"/>
    </w:pPr>
    <w:rPr>
      <w:rFonts w:ascii="Arial" w:hAnsi="Arial"/>
      <w:noProof/>
      <w:color w:val="000000"/>
      <w:sz w:val="22"/>
      <w:lang w:val="en-GB" w:eastAsia="en-US"/>
    </w:rPr>
  </w:style>
  <w:style w:type="paragraph" w:styleId="TOC3">
    <w:name w:val="toc 3"/>
    <w:basedOn w:val="Normal"/>
    <w:next w:val="Normal"/>
    <w:uiPriority w:val="39"/>
    <w:rsid w:val="00E124B9"/>
    <w:pPr>
      <w:tabs>
        <w:tab w:val="right" w:pos="7740"/>
      </w:tabs>
      <w:spacing w:before="120" w:after="170" w:line="280" w:lineRule="atLeast"/>
      <w:ind w:right="663"/>
      <w:jc w:val="left"/>
    </w:pPr>
    <w:rPr>
      <w:rFonts w:eastAsia="Calibri"/>
      <w:b/>
      <w:noProof/>
      <w:sz w:val="22"/>
      <w:lang w:val="en-GB"/>
    </w:rPr>
  </w:style>
  <w:style w:type="character" w:styleId="Hyperlink">
    <w:name w:val="Hyperlink"/>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eastAsia="en-US"/>
    </w:rPr>
  </w:style>
  <w:style w:type="paragraph" w:styleId="TOC1">
    <w:name w:val="toc 1"/>
    <w:basedOn w:val="TOAHeading"/>
    <w:next w:val="Normal"/>
    <w:uiPriority w:val="39"/>
    <w:rsid w:val="00871172"/>
    <w:pPr>
      <w:tabs>
        <w:tab w:val="right" w:pos="7740"/>
      </w:tabs>
      <w:spacing w:after="170" w:line="280" w:lineRule="atLeast"/>
      <w:ind w:left="1701" w:right="663"/>
      <w:jc w:val="left"/>
    </w:pPr>
    <w:rPr>
      <w:rFonts w:ascii="Arial" w:hAnsi="Arial"/>
      <w:noProof/>
      <w:color w:val="000000"/>
      <w:sz w:val="22"/>
      <w:szCs w:val="20"/>
      <w:lang w:val="en-GB"/>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eastAsia="en-US"/>
    </w:rPr>
  </w:style>
  <w:style w:type="paragraph" w:styleId="BalloonText">
    <w:name w:val="Balloon Text"/>
    <w:basedOn w:val="Normal"/>
    <w:link w:val="BalloonTextChar"/>
    <w:rsid w:val="00271911"/>
    <w:rPr>
      <w:rFonts w:ascii="Tahoma" w:hAnsi="Tahoma"/>
      <w:sz w:val="16"/>
      <w:szCs w:val="16"/>
      <w:lang w:val="x-none" w:eastAsia="x-none"/>
    </w:rPr>
  </w:style>
  <w:style w:type="character" w:customStyle="1" w:styleId="BalloonTextChar">
    <w:name w:val="Balloon Text Char"/>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lang w:val="en-US" w:eastAsia="en-US"/>
    </w:rPr>
  </w:style>
  <w:style w:type="paragraph" w:customStyle="1" w:styleId="zzDoNotRemove">
    <w:name w:val="zz Do Not Remove"/>
    <w:basedOn w:val="Normal"/>
    <w:semiHidden/>
    <w:rsid w:val="00E124B9"/>
    <w:pPr>
      <w:pBdr>
        <w:top w:val="single" w:sz="4" w:space="9" w:color="auto"/>
      </w:pBdr>
      <w:spacing w:after="170" w:line="320" w:lineRule="exact"/>
      <w:jc w:val="left"/>
    </w:pPr>
    <w:rPr>
      <w:rFonts w:eastAsia="Calibri"/>
      <w:lang w:val="en-GB"/>
    </w:rPr>
  </w:style>
  <w:style w:type="paragraph" w:customStyle="1" w:styleId="zzContentsHeader">
    <w:name w:val="zz  Contents Header"/>
    <w:semiHidden/>
    <w:rsid w:val="00E124B9"/>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zzDocType">
    <w:name w:val="zzDocType"/>
    <w:basedOn w:val="Normal"/>
    <w:semiHidden/>
    <w:rsid w:val="00E124B9"/>
    <w:pPr>
      <w:spacing w:before="120" w:after="170" w:line="240" w:lineRule="exact"/>
      <w:jc w:val="left"/>
    </w:pPr>
    <w:rPr>
      <w:rFonts w:ascii="Arial Bold" w:eastAsia="Calibri" w:hAnsi="Arial Bold"/>
      <w:b/>
      <w:caps/>
      <w:lang w:val="en-GB"/>
    </w:rPr>
  </w:style>
  <w:style w:type="paragraph" w:customStyle="1" w:styleId="zzReporttitle">
    <w:name w:val="zz Report title"/>
    <w:basedOn w:val="Normal"/>
    <w:semiHidden/>
    <w:rsid w:val="00E124B9"/>
    <w:pPr>
      <w:keepNext/>
      <w:spacing w:before="200" w:after="200" w:line="560" w:lineRule="exact"/>
      <w:jc w:val="left"/>
    </w:pPr>
    <w:rPr>
      <w:rFonts w:eastAsia="Calibri" w:cs="HelveticaNeue-Light"/>
      <w:color w:val="000000"/>
      <w:spacing w:val="-6"/>
      <w:sz w:val="48"/>
      <w:szCs w:val="56"/>
      <w:lang w:val="en-GB"/>
    </w:rPr>
  </w:style>
  <w:style w:type="paragraph" w:customStyle="1" w:styleId="zzDepartmentname">
    <w:name w:val="zz Department name"/>
    <w:semiHidden/>
    <w:rsid w:val="00E124B9"/>
    <w:rPr>
      <w:rFonts w:ascii="Arial" w:hAnsi="Arial" w:cs="Arial"/>
      <w:b/>
      <w:position w:val="-36"/>
      <w:sz w:val="28"/>
      <w:szCs w:val="28"/>
      <w:lang w:val="en-GB" w:eastAsia="en-GB"/>
    </w:rPr>
  </w:style>
  <w:style w:type="character" w:customStyle="1" w:styleId="BodyTextChar">
    <w:name w:val="Body Text Char"/>
    <w:link w:val="BodyText"/>
    <w:rsid w:val="00E124B9"/>
    <w:rPr>
      <w:rFonts w:ascii="Arial" w:hAnsi="Arial"/>
    </w:rPr>
  </w:style>
  <w:style w:type="paragraph" w:customStyle="1" w:styleId="Mission">
    <w:name w:val="Mission"/>
    <w:basedOn w:val="BodyText"/>
    <w:semiHidden/>
    <w:qFormat/>
    <w:rsid w:val="00E124B9"/>
    <w:pPr>
      <w:tabs>
        <w:tab w:val="left" w:pos="454"/>
      </w:tabs>
      <w:spacing w:line="280" w:lineRule="atLeast"/>
      <w:jc w:val="left"/>
    </w:pPr>
    <w:rPr>
      <w:rFonts w:eastAsia="Calibri"/>
      <w:sz w:val="36"/>
      <w:szCs w:val="36"/>
      <w:lang w:val="en-GB"/>
    </w:rPr>
  </w:style>
  <w:style w:type="paragraph" w:customStyle="1" w:styleId="Appendix">
    <w:name w:val="Appendix"/>
    <w:next w:val="Heading2"/>
    <w:uiPriority w:val="15"/>
    <w:qFormat/>
    <w:rsid w:val="00E124B9"/>
    <w:pPr>
      <w:pageBreakBefore/>
      <w:numPr>
        <w:numId w:val="1"/>
      </w:numPr>
      <w:spacing w:after="1020" w:line="560" w:lineRule="atLeast"/>
      <w:outlineLvl w:val="2"/>
    </w:pPr>
    <w:rPr>
      <w:rFonts w:ascii="Arial" w:hAnsi="Arial" w:cs="HelveticaNeue-Light"/>
      <w:color w:val="000000"/>
      <w:spacing w:val="-6"/>
      <w:sz w:val="48"/>
      <w:szCs w:val="56"/>
      <w:lang w:val="en-GB" w:eastAsia="en-US"/>
    </w:rPr>
  </w:style>
  <w:style w:type="character" w:customStyle="1" w:styleId="Heading1Char">
    <w:name w:val="Heading 1 Char"/>
    <w:link w:val="Heading1"/>
    <w:uiPriority w:val="10"/>
    <w:rsid w:val="000222D6"/>
    <w:rPr>
      <w:rFonts w:ascii="Arial" w:hAnsi="Arial"/>
      <w:color w:val="000000"/>
      <w:spacing w:val="-6"/>
      <w:sz w:val="48"/>
      <w:szCs w:val="56"/>
      <w:lang w:val="en-GB"/>
    </w:rPr>
  </w:style>
  <w:style w:type="character" w:customStyle="1" w:styleId="Heading2Char">
    <w:name w:val="Heading 2 Char"/>
    <w:link w:val="Heading2"/>
    <w:uiPriority w:val="11"/>
    <w:rsid w:val="000222D6"/>
    <w:rPr>
      <w:rFonts w:ascii="Arial" w:hAnsi="Arial"/>
      <w:color w:val="000000"/>
      <w:sz w:val="36"/>
      <w:szCs w:val="70"/>
      <w:lang w:val="en-GB"/>
    </w:rPr>
  </w:style>
  <w:style w:type="character" w:customStyle="1" w:styleId="Heading3Char">
    <w:name w:val="Heading 3 Char"/>
    <w:link w:val="Heading3"/>
    <w:uiPriority w:val="12"/>
    <w:rsid w:val="00F24F3F"/>
    <w:rPr>
      <w:rFonts w:ascii="Arial" w:hAnsi="Arial"/>
      <w:color w:val="000000"/>
      <w:sz w:val="24"/>
      <w:szCs w:val="44"/>
      <w:lang w:val="en-GB"/>
    </w:rPr>
  </w:style>
  <w:style w:type="character" w:customStyle="1" w:styleId="Heading4Char">
    <w:name w:val="Heading 4 Char"/>
    <w:link w:val="Heading4"/>
    <w:uiPriority w:val="13"/>
    <w:rsid w:val="00E124B9"/>
    <w:rPr>
      <w:rFonts w:ascii="Arial" w:eastAsia="Calibri" w:hAnsi="Arial" w:cs="Times New Roman"/>
      <w:color w:val="000000"/>
      <w:sz w:val="24"/>
      <w:lang w:val="en-GB"/>
    </w:rPr>
  </w:style>
  <w:style w:type="character" w:customStyle="1" w:styleId="Heading5Char">
    <w:name w:val="Heading 5 Char"/>
    <w:link w:val="Heading5"/>
    <w:uiPriority w:val="14"/>
    <w:rsid w:val="00E124B9"/>
    <w:rPr>
      <w:rFonts w:ascii="Arial" w:eastAsia="Calibri" w:hAnsi="Arial" w:cs="Times New Roman"/>
      <w:b/>
      <w:bCs/>
      <w:iCs/>
      <w:szCs w:val="26"/>
      <w:lang w:val="en-GB"/>
    </w:rPr>
  </w:style>
  <w:style w:type="paragraph" w:styleId="TOAHeading">
    <w:name w:val="toa heading"/>
    <w:basedOn w:val="Normal"/>
    <w:next w:val="Normal"/>
    <w:semiHidden/>
    <w:unhideWhenUsed/>
    <w:rsid w:val="00E124B9"/>
    <w:pPr>
      <w:spacing w:before="120"/>
    </w:pPr>
    <w:rPr>
      <w:rFonts w:ascii="Cambria" w:hAnsi="Cambria"/>
      <w:b/>
      <w:bCs/>
      <w:sz w:val="24"/>
      <w:szCs w:val="24"/>
    </w:rPr>
  </w:style>
  <w:style w:type="character" w:customStyle="1" w:styleId="Bold">
    <w:name w:val="Bold"/>
    <w:uiPriority w:val="3"/>
    <w:qFormat/>
    <w:rsid w:val="00E124B9"/>
    <w:rPr>
      <w:b/>
      <w:bCs/>
    </w:rPr>
  </w:style>
  <w:style w:type="paragraph" w:customStyle="1" w:styleId="Bulletalphabet">
    <w:name w:val="Bullet alphabet"/>
    <w:uiPriority w:val="7"/>
    <w:qFormat/>
    <w:rsid w:val="00E124B9"/>
    <w:pPr>
      <w:widowControl w:val="0"/>
      <w:tabs>
        <w:tab w:val="num" w:pos="454"/>
      </w:tabs>
      <w:adjustRightInd w:val="0"/>
      <w:spacing w:after="170" w:line="280" w:lineRule="atLeast"/>
      <w:ind w:left="454" w:hanging="454"/>
      <w:textAlignment w:val="baseline"/>
    </w:pPr>
    <w:rPr>
      <w:rFonts w:ascii="Arial" w:hAnsi="Arial" w:cs="Arial"/>
      <w:color w:val="000000"/>
      <w:lang w:val="en-GB" w:eastAsia="en-US"/>
    </w:rPr>
  </w:style>
  <w:style w:type="paragraph" w:customStyle="1" w:styleId="Number1">
    <w:name w:val="Number 1"/>
    <w:link w:val="Number1Char"/>
    <w:uiPriority w:val="2"/>
    <w:qFormat/>
    <w:rsid w:val="00FB0850"/>
    <w:pPr>
      <w:tabs>
        <w:tab w:val="left" w:pos="720"/>
      </w:tabs>
      <w:adjustRightInd w:val="0"/>
      <w:spacing w:before="120" w:after="170" w:line="280" w:lineRule="atLeast"/>
      <w:textAlignment w:val="baseline"/>
    </w:pPr>
    <w:rPr>
      <w:rFonts w:ascii="Arial" w:hAnsi="Arial"/>
      <w:color w:val="000000"/>
      <w:szCs w:val="24"/>
    </w:rPr>
  </w:style>
  <w:style w:type="character" w:customStyle="1" w:styleId="Number1Char">
    <w:name w:val="Number 1 Char"/>
    <w:link w:val="Number1"/>
    <w:uiPriority w:val="2"/>
    <w:rsid w:val="00FB0850"/>
    <w:rPr>
      <w:rFonts w:ascii="Arial" w:hAnsi="Arial"/>
      <w:color w:val="000000"/>
      <w:szCs w:val="24"/>
    </w:rPr>
  </w:style>
  <w:style w:type="paragraph" w:customStyle="1" w:styleId="Figuretext">
    <w:name w:val="Figure text"/>
    <w:basedOn w:val="Normal"/>
    <w:link w:val="FiguretextChar"/>
    <w:uiPriority w:val="20"/>
    <w:qFormat/>
    <w:rsid w:val="00E124B9"/>
    <w:pPr>
      <w:spacing w:before="40" w:after="40" w:line="220" w:lineRule="exact"/>
      <w:jc w:val="left"/>
    </w:pPr>
    <w:rPr>
      <w:rFonts w:eastAsia="Calibri"/>
      <w:color w:val="000000"/>
      <w:sz w:val="16"/>
      <w:szCs w:val="16"/>
      <w:lang w:val="en-GB" w:eastAsia="x-none"/>
    </w:rPr>
  </w:style>
  <w:style w:type="paragraph" w:customStyle="1" w:styleId="ColumnHeading">
    <w:name w:val="Column Heading"/>
    <w:basedOn w:val="Normal"/>
    <w:uiPriority w:val="19"/>
    <w:qFormat/>
    <w:rsid w:val="00E124B9"/>
    <w:pPr>
      <w:spacing w:before="120" w:after="170" w:line="240" w:lineRule="atLeast"/>
      <w:jc w:val="left"/>
    </w:pPr>
    <w:rPr>
      <w:rFonts w:eastAsia="Calibri"/>
      <w:b/>
      <w:color w:val="000000"/>
      <w:sz w:val="16"/>
      <w:szCs w:val="16"/>
      <w:lang w:val="en-GB"/>
    </w:rPr>
  </w:style>
  <w:style w:type="character" w:customStyle="1" w:styleId="FiguretextChar">
    <w:name w:val="Figure text Char"/>
    <w:link w:val="Figuretext"/>
    <w:uiPriority w:val="20"/>
    <w:rsid w:val="00E124B9"/>
    <w:rPr>
      <w:rFonts w:ascii="Arial" w:eastAsia="Calibri" w:hAnsi="Arial" w:cs="Times New Roman"/>
      <w:color w:val="000000"/>
      <w:sz w:val="16"/>
      <w:szCs w:val="16"/>
      <w:lang w:val="en-GB"/>
    </w:rPr>
  </w:style>
  <w:style w:type="table" w:customStyle="1" w:styleId="NAOTable">
    <w:name w:val="NAO Table"/>
    <w:basedOn w:val="TableNormal"/>
    <w:rsid w:val="00E124B9"/>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link w:val="FootnoteText"/>
    <w:uiPriority w:val="99"/>
    <w:rsid w:val="0072643B"/>
    <w:rPr>
      <w:rFonts w:ascii="Arial" w:hAnsi="Arial"/>
      <w:sz w:val="16"/>
    </w:rPr>
  </w:style>
  <w:style w:type="paragraph" w:customStyle="1" w:styleId="Bullet">
    <w:name w:val="Bullet"/>
    <w:uiPriority w:val="5"/>
    <w:qFormat/>
    <w:rsid w:val="00D4790B"/>
    <w:pPr>
      <w:widowControl w:val="0"/>
      <w:numPr>
        <w:numId w:val="4"/>
      </w:numPr>
      <w:adjustRightInd w:val="0"/>
      <w:spacing w:after="170" w:line="280" w:lineRule="exact"/>
      <w:textAlignment w:val="baseline"/>
    </w:pPr>
    <w:rPr>
      <w:rFonts w:ascii="Arial" w:hAnsi="Arial" w:cs="Arial"/>
      <w:color w:val="000000"/>
      <w:lang w:val="en-GB" w:eastAsia="en-US"/>
    </w:rPr>
  </w:style>
  <w:style w:type="paragraph" w:customStyle="1" w:styleId="Bulletsecondary">
    <w:name w:val="Bullet secondary"/>
    <w:uiPriority w:val="6"/>
    <w:qFormat/>
    <w:rsid w:val="00D4790B"/>
    <w:pPr>
      <w:widowControl w:val="0"/>
      <w:numPr>
        <w:ilvl w:val="1"/>
        <w:numId w:val="4"/>
      </w:numPr>
      <w:adjustRightInd w:val="0"/>
      <w:spacing w:after="170" w:line="280" w:lineRule="exact"/>
      <w:textAlignment w:val="baseline"/>
    </w:pPr>
    <w:rPr>
      <w:rFonts w:ascii="Arial" w:hAnsi="Arial" w:cs="Arial"/>
      <w:color w:val="000000"/>
      <w:lang w:val="en-GB" w:eastAsia="en-US"/>
    </w:rPr>
  </w:style>
  <w:style w:type="character" w:customStyle="1" w:styleId="HeaderChar">
    <w:name w:val="Header Char"/>
    <w:link w:val="Header"/>
    <w:rsid w:val="00D4790B"/>
    <w:rPr>
      <w:rFonts w:ascii="Arial" w:hAnsi="Arial"/>
      <w:lang w:val="fr-FR" w:eastAsia="fr-FR" w:bidi="ar-SA"/>
    </w:rPr>
  </w:style>
  <w:style w:type="numbering" w:customStyle="1" w:styleId="NAOBullets">
    <w:name w:val="NAO_Bullets"/>
    <w:basedOn w:val="NoList"/>
    <w:uiPriority w:val="99"/>
    <w:rsid w:val="00D4790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97D7-8398-4A12-B510-2D7846E0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5367</Words>
  <Characters>30597</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C/53/6</vt:lpstr>
      <vt:lpstr>C/53/6</vt:lpstr>
    </vt:vector>
  </TitlesOfParts>
  <Company>UPOV</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C/53/6</dc:title>
  <dc:subject/>
  <dc:creator>SANCHEZ VIZCAINO GOMEZ Rosa Maria</dc:creator>
  <cp:keywords/>
  <cp:lastModifiedBy>SANCHEZ VIZCAINO GOMEZ Rosa Maria</cp:lastModifiedBy>
  <cp:revision>18</cp:revision>
  <cp:lastPrinted>2016-11-22T15:41:00Z</cp:lastPrinted>
  <dcterms:created xsi:type="dcterms:W3CDTF">2019-07-14T18:25:00Z</dcterms:created>
  <dcterms:modified xsi:type="dcterms:W3CDTF">2019-08-06T07:00:00Z</dcterms:modified>
</cp:coreProperties>
</file>