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D66B2A" w:rsidRPr="00645FD3" w:rsidTr="002743D8">
        <w:tc>
          <w:tcPr>
            <w:tcW w:w="6522" w:type="dxa"/>
          </w:tcPr>
          <w:p w:rsidR="00D66B2A" w:rsidRPr="00645FD3" w:rsidRDefault="00D66B2A" w:rsidP="002743D8">
            <w:bookmarkStart w:id="0" w:name="_GoBack"/>
            <w:bookmarkEnd w:id="0"/>
            <w:r w:rsidRPr="00645FD3">
              <w:rPr>
                <w:noProof/>
                <w:lang w:val="en-US"/>
              </w:rPr>
              <w:drawing>
                <wp:inline distT="0" distB="0" distL="0" distR="0" wp14:anchorId="41CFB556" wp14:editId="586C7F6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66B2A" w:rsidRPr="00645FD3" w:rsidRDefault="00D66B2A" w:rsidP="002743D8">
            <w:pPr>
              <w:pStyle w:val="Lettrine"/>
            </w:pPr>
            <w:r w:rsidRPr="00645FD3">
              <w:t>F</w:t>
            </w:r>
          </w:p>
        </w:tc>
      </w:tr>
      <w:tr w:rsidR="00D66B2A" w:rsidRPr="00645FD3" w:rsidTr="002743D8">
        <w:trPr>
          <w:trHeight w:val="219"/>
        </w:trPr>
        <w:tc>
          <w:tcPr>
            <w:tcW w:w="6522" w:type="dxa"/>
          </w:tcPr>
          <w:p w:rsidR="00D66B2A" w:rsidRPr="00645FD3" w:rsidRDefault="00D66B2A" w:rsidP="002743D8">
            <w:pPr>
              <w:pStyle w:val="upove"/>
            </w:pPr>
            <w:r w:rsidRPr="00645FD3">
              <w:t>Union internationale pour la protection des obtentions végétales</w:t>
            </w:r>
          </w:p>
        </w:tc>
        <w:tc>
          <w:tcPr>
            <w:tcW w:w="3117" w:type="dxa"/>
          </w:tcPr>
          <w:p w:rsidR="00D66B2A" w:rsidRPr="00645FD3" w:rsidRDefault="00D66B2A" w:rsidP="002743D8"/>
        </w:tc>
      </w:tr>
    </w:tbl>
    <w:p w:rsidR="00D66B2A" w:rsidRPr="00645FD3" w:rsidRDefault="00D66B2A" w:rsidP="00D66B2A"/>
    <w:p w:rsidR="00D66B2A" w:rsidRPr="00645FD3" w:rsidRDefault="00D66B2A" w:rsidP="00D66B2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D66B2A" w:rsidRPr="00645FD3" w:rsidTr="002743D8">
        <w:tc>
          <w:tcPr>
            <w:tcW w:w="6512" w:type="dxa"/>
          </w:tcPr>
          <w:p w:rsidR="00D66B2A" w:rsidRPr="00645FD3" w:rsidRDefault="00D66B2A" w:rsidP="002743D8">
            <w:pPr>
              <w:pStyle w:val="Sessiontc"/>
              <w:spacing w:line="240" w:lineRule="auto"/>
            </w:pPr>
            <w:r w:rsidRPr="00645FD3">
              <w:t>Conseil</w:t>
            </w:r>
          </w:p>
          <w:p w:rsidR="00D66B2A" w:rsidRPr="00645FD3" w:rsidRDefault="00D66B2A" w:rsidP="002743D8">
            <w:pPr>
              <w:pStyle w:val="Sessiontcplacedate"/>
              <w:rPr>
                <w:sz w:val="22"/>
              </w:rPr>
            </w:pPr>
            <w:r w:rsidRPr="00645FD3">
              <w:t>Cinquante</w:t>
            </w:r>
            <w:r w:rsidR="009E1FB4" w:rsidRPr="00645FD3">
              <w:t>-</w:t>
            </w:r>
            <w:r w:rsidRPr="00645FD3">
              <w:t>trois</w:t>
            </w:r>
            <w:r w:rsidR="009E1FB4" w:rsidRPr="00645FD3">
              <w:t>ième session</w:t>
            </w:r>
            <w:r w:rsidRPr="00645FD3">
              <w:t xml:space="preserve"> ordinaire</w:t>
            </w:r>
            <w:r w:rsidRPr="00645FD3">
              <w:br/>
              <w:t>Genève,</w:t>
            </w:r>
            <w:r w:rsidR="009E1FB4" w:rsidRPr="00645FD3">
              <w:t xml:space="preserve"> 1</w:t>
            </w:r>
            <w:r w:rsidR="009E1FB4" w:rsidRPr="00645FD3">
              <w:rPr>
                <w:vertAlign w:val="superscript"/>
              </w:rPr>
              <w:t>er</w:t>
            </w:r>
            <w:r w:rsidR="009E1FB4" w:rsidRPr="00645FD3">
              <w:t> </w:t>
            </w:r>
            <w:r w:rsidRPr="00645FD3">
              <w:t>novembre</w:t>
            </w:r>
            <w:r w:rsidR="00E5665F" w:rsidRPr="00645FD3">
              <w:t> </w:t>
            </w:r>
            <w:r w:rsidRPr="00645FD3">
              <w:t>2019</w:t>
            </w:r>
          </w:p>
        </w:tc>
        <w:tc>
          <w:tcPr>
            <w:tcW w:w="3127" w:type="dxa"/>
          </w:tcPr>
          <w:p w:rsidR="00D66B2A" w:rsidRPr="00645FD3" w:rsidRDefault="00D66B2A" w:rsidP="002743D8">
            <w:pPr>
              <w:pStyle w:val="Doccode"/>
              <w:rPr>
                <w:lang w:val="fr-FR"/>
              </w:rPr>
            </w:pPr>
            <w:r w:rsidRPr="00645FD3">
              <w:rPr>
                <w:lang w:val="fr-FR"/>
              </w:rPr>
              <w:t>C/53/</w:t>
            </w:r>
            <w:r w:rsidR="00461106" w:rsidRPr="00645FD3">
              <w:rPr>
                <w:lang w:val="fr-FR"/>
              </w:rPr>
              <w:t>3</w:t>
            </w:r>
          </w:p>
          <w:p w:rsidR="00D66B2A" w:rsidRPr="00645FD3" w:rsidRDefault="00D66B2A" w:rsidP="002743D8">
            <w:pPr>
              <w:pStyle w:val="Docoriginal"/>
            </w:pPr>
            <w:r w:rsidRPr="00645FD3">
              <w:t>Original</w:t>
            </w:r>
            <w:r w:rsidR="009E1FB4" w:rsidRPr="00645FD3">
              <w:t> :</w:t>
            </w:r>
            <w:r w:rsidRPr="00645FD3">
              <w:rPr>
                <w:b w:val="0"/>
                <w:spacing w:val="0"/>
              </w:rPr>
              <w:t xml:space="preserve"> anglais</w:t>
            </w:r>
          </w:p>
          <w:p w:rsidR="00D66B2A" w:rsidRPr="00645FD3" w:rsidRDefault="00D66B2A" w:rsidP="00C752B0">
            <w:pPr>
              <w:pStyle w:val="Docoriginal"/>
            </w:pPr>
            <w:r w:rsidRPr="00645FD3">
              <w:t>Date</w:t>
            </w:r>
            <w:r w:rsidR="009E1FB4" w:rsidRPr="00645FD3">
              <w:t> :</w:t>
            </w:r>
            <w:r w:rsidRPr="00645FD3">
              <w:rPr>
                <w:b w:val="0"/>
                <w:spacing w:val="0"/>
              </w:rPr>
              <w:t xml:space="preserve"> 1</w:t>
            </w:r>
            <w:r w:rsidR="00C752B0" w:rsidRPr="00645FD3">
              <w:rPr>
                <w:b w:val="0"/>
                <w:spacing w:val="0"/>
                <w:vertAlign w:val="superscript"/>
              </w:rPr>
              <w:t>er</w:t>
            </w:r>
            <w:r w:rsidR="00C752B0" w:rsidRPr="00645FD3">
              <w:rPr>
                <w:b w:val="0"/>
                <w:spacing w:val="0"/>
              </w:rPr>
              <w:t xml:space="preserve"> août </w:t>
            </w:r>
            <w:r w:rsidRPr="00645FD3">
              <w:rPr>
                <w:b w:val="0"/>
                <w:spacing w:val="0"/>
              </w:rPr>
              <w:t>2019</w:t>
            </w:r>
          </w:p>
        </w:tc>
      </w:tr>
    </w:tbl>
    <w:p w:rsidR="00D66B2A" w:rsidRPr="00645FD3" w:rsidRDefault="00D66B2A" w:rsidP="00D66B2A">
      <w:pPr>
        <w:pStyle w:val="Titleofdoc0"/>
      </w:pPr>
      <w:bookmarkStart w:id="1" w:name="TitleOfDoc"/>
      <w:bookmarkEnd w:id="1"/>
      <w:r w:rsidRPr="00645FD3">
        <w:t>Adoption de DOCUMENTs</w:t>
      </w:r>
    </w:p>
    <w:p w:rsidR="00D66B2A" w:rsidRPr="00645FD3" w:rsidRDefault="00D66B2A" w:rsidP="00D66B2A">
      <w:pPr>
        <w:pStyle w:val="preparedby1"/>
        <w:jc w:val="left"/>
      </w:pPr>
      <w:bookmarkStart w:id="2" w:name="Prepared"/>
      <w:bookmarkEnd w:id="2"/>
      <w:r w:rsidRPr="00645FD3">
        <w:t>Document établi par le Bureau de l</w:t>
      </w:r>
      <w:r w:rsidR="009E1FB4" w:rsidRPr="00645FD3">
        <w:t>’</w:t>
      </w:r>
      <w:r w:rsidRPr="00645FD3">
        <w:t>Union</w:t>
      </w:r>
    </w:p>
    <w:p w:rsidR="00D66B2A" w:rsidRPr="00645FD3" w:rsidRDefault="00D66B2A" w:rsidP="00D66B2A">
      <w:pPr>
        <w:pStyle w:val="Disclaimer"/>
        <w:rPr>
          <w:lang w:val="fr-FR"/>
        </w:rPr>
      </w:pPr>
      <w:r w:rsidRPr="00645FD3">
        <w:rPr>
          <w:lang w:val="fr-FR"/>
        </w:rPr>
        <w:t>Avertissement</w:t>
      </w:r>
      <w:r w:rsidR="009E1FB4" w:rsidRPr="00645FD3">
        <w:rPr>
          <w:lang w:val="fr-FR"/>
        </w:rPr>
        <w:t> :</w:t>
      </w:r>
      <w:r w:rsidRPr="00645FD3">
        <w:rPr>
          <w:lang w:val="fr-FR"/>
        </w:rPr>
        <w:t xml:space="preserve"> le présent document ne représente pas les principes ou les orientations de l</w:t>
      </w:r>
      <w:r w:rsidR="009E1FB4" w:rsidRPr="00645FD3">
        <w:rPr>
          <w:lang w:val="fr-FR"/>
        </w:rPr>
        <w:t>’</w:t>
      </w:r>
      <w:r w:rsidRPr="00645FD3">
        <w:rPr>
          <w:lang w:val="fr-FR"/>
        </w:rPr>
        <w:t>UPOV</w:t>
      </w:r>
    </w:p>
    <w:p w:rsidR="00917A05" w:rsidRPr="00645FD3" w:rsidRDefault="004F45B7" w:rsidP="009B4E66">
      <w:pPr>
        <w:rPr>
          <w:spacing w:val="-2"/>
        </w:rPr>
      </w:pPr>
      <w:r w:rsidRPr="00645FD3">
        <w:fldChar w:fldCharType="begin"/>
      </w:r>
      <w:r w:rsidRPr="00645FD3">
        <w:instrText xml:space="preserve"> AUTONUM  </w:instrText>
      </w:r>
      <w:r w:rsidRPr="00645FD3">
        <w:fldChar w:fldCharType="end"/>
      </w:r>
      <w:r w:rsidRPr="00645FD3">
        <w:tab/>
      </w:r>
      <w:r w:rsidR="009B4E66" w:rsidRPr="00645FD3">
        <w:t>L</w:t>
      </w:r>
      <w:r w:rsidR="009E1FB4" w:rsidRPr="00645FD3">
        <w:t>’</w:t>
      </w:r>
      <w:r w:rsidR="009B4E66" w:rsidRPr="00645FD3">
        <w:t>objet du présent document est de fournir des informations sur les documents ci</w:t>
      </w:r>
      <w:r w:rsidR="009E1FB4" w:rsidRPr="00645FD3">
        <w:t>-</w:t>
      </w:r>
      <w:r w:rsidR="009B4E66" w:rsidRPr="00645FD3">
        <w:t>après, que le Conseil sera invité à adopter à sa cinquante</w:t>
      </w:r>
      <w:r w:rsidR="009E1FB4" w:rsidRPr="00645FD3">
        <w:t>-</w:t>
      </w:r>
      <w:r w:rsidR="009B4E66" w:rsidRPr="00645FD3">
        <w:t>trois</w:t>
      </w:r>
      <w:r w:rsidR="009E1FB4" w:rsidRPr="00645FD3">
        <w:t>ième session</w:t>
      </w:r>
      <w:r w:rsidR="009B4E66" w:rsidRPr="00645FD3">
        <w:t xml:space="preserve"> ordinaire</w:t>
      </w:r>
      <w:r w:rsidR="009E1FB4" w:rsidRPr="00645FD3">
        <w:t> :</w:t>
      </w:r>
    </w:p>
    <w:p w:rsidR="00917A05" w:rsidRPr="00645FD3" w:rsidRDefault="00917A05" w:rsidP="004F45B7">
      <w:pPr>
        <w:keepNext/>
        <w:ind w:left="2268" w:hanging="1701"/>
        <w:rPr>
          <w:bCs/>
          <w:snapToGrid w:val="0"/>
          <w:szCs w:val="24"/>
        </w:rPr>
      </w:pPr>
    </w:p>
    <w:p w:rsidR="00917A05" w:rsidRPr="00645FD3" w:rsidRDefault="009B4E66" w:rsidP="009B4E66">
      <w:pPr>
        <w:ind w:left="567"/>
        <w:rPr>
          <w:bCs/>
          <w:snapToGrid w:val="0"/>
          <w:szCs w:val="24"/>
        </w:rPr>
      </w:pPr>
      <w:r w:rsidRPr="00645FD3">
        <w:rPr>
          <w:bCs/>
          <w:snapToGrid w:val="0"/>
          <w:szCs w:val="24"/>
          <w:u w:val="single"/>
        </w:rPr>
        <w:t>Documents TGP</w:t>
      </w:r>
      <w:r w:rsidR="009E1FB4" w:rsidRPr="00645FD3">
        <w:rPr>
          <w:bCs/>
          <w:snapToGrid w:val="0"/>
          <w:szCs w:val="24"/>
        </w:rPr>
        <w:t> :</w:t>
      </w:r>
    </w:p>
    <w:p w:rsidR="00917A05" w:rsidRPr="00645FD3" w:rsidRDefault="00917A05" w:rsidP="004F45B7">
      <w:pPr>
        <w:ind w:left="2268" w:hanging="1701"/>
        <w:rPr>
          <w:bCs/>
          <w:snapToGrid w:val="0"/>
          <w:szCs w:val="24"/>
        </w:rPr>
      </w:pPr>
    </w:p>
    <w:p w:rsidR="00917A05" w:rsidRPr="00645FD3" w:rsidRDefault="009B4E66" w:rsidP="009B4E66">
      <w:pPr>
        <w:ind w:left="1985" w:hanging="851"/>
        <w:rPr>
          <w:bCs/>
          <w:snapToGrid w:val="0"/>
          <w:szCs w:val="24"/>
        </w:rPr>
      </w:pPr>
      <w:r w:rsidRPr="00645FD3">
        <w:rPr>
          <w:bCs/>
          <w:snapToGrid w:val="0"/>
          <w:szCs w:val="24"/>
        </w:rPr>
        <w:t>TGP/7</w:t>
      </w:r>
      <w:r w:rsidRPr="00645FD3">
        <w:rPr>
          <w:bCs/>
          <w:snapToGrid w:val="0"/>
          <w:szCs w:val="24"/>
        </w:rPr>
        <w:tab/>
        <w:t>Élaboration des principes directeurs d</w:t>
      </w:r>
      <w:r w:rsidR="009E1FB4" w:rsidRPr="00645FD3">
        <w:rPr>
          <w:bCs/>
          <w:snapToGrid w:val="0"/>
          <w:szCs w:val="24"/>
        </w:rPr>
        <w:t>’</w:t>
      </w:r>
      <w:r w:rsidRPr="00645FD3">
        <w:rPr>
          <w:bCs/>
          <w:snapToGrid w:val="0"/>
          <w:szCs w:val="24"/>
        </w:rPr>
        <w:t>examen (révision) (</w:t>
      </w:r>
      <w:r w:rsidR="009E1FB4" w:rsidRPr="00645FD3">
        <w:rPr>
          <w:bCs/>
          <w:snapToGrid w:val="0"/>
          <w:szCs w:val="24"/>
        </w:rPr>
        <w:t>document TG</w:t>
      </w:r>
      <w:r w:rsidRPr="00645FD3">
        <w:rPr>
          <w:bCs/>
          <w:snapToGrid w:val="0"/>
          <w:szCs w:val="24"/>
        </w:rPr>
        <w:t>P/7/7 Draft</w:t>
      </w:r>
      <w:r w:rsidR="00E5665F" w:rsidRPr="00645FD3">
        <w:rPr>
          <w:bCs/>
          <w:snapToGrid w:val="0"/>
          <w:szCs w:val="24"/>
        </w:rPr>
        <w:t> </w:t>
      </w:r>
      <w:r w:rsidRPr="00645FD3">
        <w:rPr>
          <w:bCs/>
          <w:snapToGrid w:val="0"/>
          <w:szCs w:val="24"/>
        </w:rPr>
        <w:t>1)</w:t>
      </w:r>
    </w:p>
    <w:p w:rsidR="00917A05" w:rsidRPr="00645FD3" w:rsidRDefault="00917A05" w:rsidP="004F45B7">
      <w:pPr>
        <w:ind w:left="1985" w:hanging="851"/>
        <w:rPr>
          <w:bCs/>
          <w:snapToGrid w:val="0"/>
          <w:szCs w:val="24"/>
        </w:rPr>
      </w:pPr>
    </w:p>
    <w:p w:rsidR="00917A05" w:rsidRPr="00645FD3" w:rsidRDefault="009B4E66" w:rsidP="009B4E66">
      <w:pPr>
        <w:ind w:left="1985" w:hanging="851"/>
        <w:jc w:val="left"/>
      </w:pPr>
      <w:r w:rsidRPr="00645FD3">
        <w:t>TGP/8</w:t>
      </w:r>
      <w:r w:rsidRPr="00645FD3">
        <w:tab/>
        <w:t>Protocole d</w:t>
      </w:r>
      <w:r w:rsidR="009E1FB4" w:rsidRPr="00645FD3">
        <w:t>’</w:t>
      </w:r>
      <w:r w:rsidRPr="00645FD3">
        <w:t>essai et techniques utilisés dans l</w:t>
      </w:r>
      <w:r w:rsidR="009E1FB4" w:rsidRPr="00645FD3">
        <w:t>’</w:t>
      </w:r>
      <w:r w:rsidRPr="00645FD3">
        <w:t>examen de la distinction, de l</w:t>
      </w:r>
      <w:r w:rsidR="009E1FB4" w:rsidRPr="00645FD3">
        <w:t>’</w:t>
      </w:r>
      <w:r w:rsidRPr="00645FD3">
        <w:t>homogénéité et de la stabilité (révision) (</w:t>
      </w:r>
      <w:r w:rsidR="009E1FB4" w:rsidRPr="00645FD3">
        <w:t>document TG</w:t>
      </w:r>
      <w:r w:rsidRPr="00645FD3">
        <w:t>P/8/4 Draft</w:t>
      </w:r>
      <w:r w:rsidR="00E5665F" w:rsidRPr="00645FD3">
        <w:t> </w:t>
      </w:r>
      <w:r w:rsidRPr="00645FD3">
        <w:t>1)</w:t>
      </w:r>
    </w:p>
    <w:p w:rsidR="00917A05" w:rsidRPr="00645FD3" w:rsidRDefault="00917A05" w:rsidP="00565C8C">
      <w:pPr>
        <w:ind w:left="1985" w:hanging="851"/>
        <w:jc w:val="left"/>
      </w:pPr>
    </w:p>
    <w:p w:rsidR="00917A05" w:rsidRPr="00645FD3" w:rsidRDefault="00C818C6" w:rsidP="00C818C6">
      <w:pPr>
        <w:ind w:left="1985" w:hanging="851"/>
        <w:jc w:val="left"/>
      </w:pPr>
      <w:r w:rsidRPr="00645FD3">
        <w:t>TGP/10</w:t>
      </w:r>
      <w:r w:rsidRPr="00645FD3">
        <w:tab/>
        <w:t>Examen de l</w:t>
      </w:r>
      <w:r w:rsidR="009E1FB4" w:rsidRPr="00645FD3">
        <w:t>’</w:t>
      </w:r>
      <w:r w:rsidRPr="00645FD3">
        <w:t>homogénéité (révision) (</w:t>
      </w:r>
      <w:r w:rsidR="009E1FB4" w:rsidRPr="00645FD3">
        <w:t>document TG</w:t>
      </w:r>
      <w:r w:rsidRPr="00645FD3">
        <w:t>P/10/2 Draft</w:t>
      </w:r>
      <w:r w:rsidR="00E5665F" w:rsidRPr="00645FD3">
        <w:t> </w:t>
      </w:r>
      <w:r w:rsidRPr="00645FD3">
        <w:t>1)</w:t>
      </w:r>
    </w:p>
    <w:p w:rsidR="00917A05" w:rsidRPr="00645FD3" w:rsidRDefault="00917A05" w:rsidP="00565C8C">
      <w:pPr>
        <w:ind w:left="1985" w:hanging="851"/>
        <w:jc w:val="left"/>
      </w:pPr>
    </w:p>
    <w:p w:rsidR="00917A05" w:rsidRPr="00645FD3" w:rsidRDefault="00C818C6" w:rsidP="00C818C6">
      <w:pPr>
        <w:ind w:left="1985" w:hanging="851"/>
        <w:jc w:val="left"/>
      </w:pPr>
      <w:r w:rsidRPr="00645FD3">
        <w:t>TGP/14</w:t>
      </w:r>
      <w:r w:rsidRPr="00645FD3">
        <w:tab/>
        <w:t>Glossaire de termes utilisés dans les documents de l</w:t>
      </w:r>
      <w:r w:rsidR="009E1FB4" w:rsidRPr="00645FD3">
        <w:t>’</w:t>
      </w:r>
      <w:r w:rsidRPr="00645FD3">
        <w:t>UPOV (révision) (</w:t>
      </w:r>
      <w:r w:rsidR="009E1FB4" w:rsidRPr="00645FD3">
        <w:t>document</w:t>
      </w:r>
      <w:r w:rsidR="002743D8" w:rsidRPr="00645FD3">
        <w:t> </w:t>
      </w:r>
      <w:r w:rsidR="009E1FB4" w:rsidRPr="00645FD3">
        <w:t>TG</w:t>
      </w:r>
      <w:r w:rsidRPr="00645FD3">
        <w:t>P/14/4 Draft</w:t>
      </w:r>
      <w:r w:rsidR="00E5665F" w:rsidRPr="00645FD3">
        <w:t> </w:t>
      </w:r>
      <w:r w:rsidRPr="00645FD3">
        <w:t>1)</w:t>
      </w:r>
    </w:p>
    <w:p w:rsidR="00917A05" w:rsidRPr="00645FD3" w:rsidRDefault="00917A05" w:rsidP="00565C8C">
      <w:pPr>
        <w:ind w:left="1985" w:hanging="851"/>
        <w:jc w:val="left"/>
      </w:pPr>
    </w:p>
    <w:p w:rsidR="00917A05" w:rsidRPr="00645FD3" w:rsidRDefault="00C818C6" w:rsidP="00C818C6">
      <w:pPr>
        <w:ind w:left="1985" w:hanging="851"/>
        <w:jc w:val="left"/>
      </w:pPr>
      <w:r w:rsidRPr="00645FD3">
        <w:t>TGP/15</w:t>
      </w:r>
      <w:r w:rsidRPr="00645FD3">
        <w:tab/>
        <w:t>Conseils en ce qui concerne l</w:t>
      </w:r>
      <w:r w:rsidR="009E1FB4" w:rsidRPr="00645FD3">
        <w:t>’</w:t>
      </w:r>
      <w:r w:rsidRPr="00645FD3">
        <w:t>utilisation des marqueurs biochimiques et moléculaires dans l</w:t>
      </w:r>
      <w:r w:rsidR="009E1FB4" w:rsidRPr="00645FD3">
        <w:t>’</w:t>
      </w:r>
      <w:r w:rsidRPr="00645FD3">
        <w:t>examen de la distinction, de l</w:t>
      </w:r>
      <w:r w:rsidR="009E1FB4" w:rsidRPr="00645FD3">
        <w:t>’</w:t>
      </w:r>
      <w:r w:rsidRPr="00645FD3">
        <w:t>homogénéité et de la stabilité (DHS) (révision) (</w:t>
      </w:r>
      <w:r w:rsidR="009E1FB4" w:rsidRPr="00645FD3">
        <w:t>document TG</w:t>
      </w:r>
      <w:r w:rsidRPr="00645FD3">
        <w:t>P/15/2 Draft</w:t>
      </w:r>
      <w:r w:rsidR="00E5665F" w:rsidRPr="00645FD3">
        <w:t> </w:t>
      </w:r>
      <w:r w:rsidRPr="00645FD3">
        <w:t>2)</w:t>
      </w:r>
    </w:p>
    <w:p w:rsidR="00917A05" w:rsidRPr="00645FD3" w:rsidRDefault="00917A05" w:rsidP="00565C8C">
      <w:pPr>
        <w:ind w:left="1985" w:hanging="851"/>
        <w:jc w:val="left"/>
        <w:rPr>
          <w:bCs/>
          <w:snapToGrid w:val="0"/>
          <w:szCs w:val="24"/>
        </w:rPr>
      </w:pPr>
    </w:p>
    <w:p w:rsidR="009E1FB4" w:rsidRPr="00645FD3" w:rsidRDefault="00C818C6" w:rsidP="00C818C6">
      <w:pPr>
        <w:ind w:left="1985" w:hanging="851"/>
        <w:jc w:val="left"/>
        <w:rPr>
          <w:bCs/>
          <w:snapToGrid w:val="0"/>
          <w:szCs w:val="24"/>
        </w:rPr>
      </w:pPr>
      <w:r w:rsidRPr="00645FD3">
        <w:rPr>
          <w:bCs/>
          <w:snapToGrid w:val="0"/>
          <w:szCs w:val="24"/>
        </w:rPr>
        <w:t>TGP/0</w:t>
      </w:r>
      <w:r w:rsidRPr="00645FD3">
        <w:rPr>
          <w:bCs/>
          <w:snapToGrid w:val="0"/>
          <w:szCs w:val="24"/>
        </w:rPr>
        <w:tab/>
        <w:t>Liste des documents TGP et date de la version la plus récente de ces documents (révision) (</w:t>
      </w:r>
      <w:r w:rsidR="009E1FB4" w:rsidRPr="00645FD3">
        <w:rPr>
          <w:bCs/>
          <w:snapToGrid w:val="0"/>
          <w:szCs w:val="24"/>
        </w:rPr>
        <w:t>document TG</w:t>
      </w:r>
      <w:r w:rsidRPr="00645FD3">
        <w:rPr>
          <w:bCs/>
          <w:snapToGrid w:val="0"/>
          <w:szCs w:val="24"/>
        </w:rPr>
        <w:t>P/0/11 Draft</w:t>
      </w:r>
      <w:r w:rsidR="00E5665F" w:rsidRPr="00645FD3">
        <w:rPr>
          <w:bCs/>
          <w:snapToGrid w:val="0"/>
          <w:szCs w:val="24"/>
        </w:rPr>
        <w:t> </w:t>
      </w:r>
      <w:r w:rsidRPr="00645FD3">
        <w:rPr>
          <w:bCs/>
          <w:snapToGrid w:val="0"/>
          <w:szCs w:val="24"/>
        </w:rPr>
        <w:t>1)</w:t>
      </w:r>
    </w:p>
    <w:p w:rsidR="00917A05" w:rsidRPr="00645FD3" w:rsidRDefault="00917A05" w:rsidP="004F45B7">
      <w:pPr>
        <w:ind w:left="2268" w:hanging="1701"/>
        <w:rPr>
          <w:bCs/>
          <w:snapToGrid w:val="0"/>
          <w:szCs w:val="24"/>
        </w:rPr>
      </w:pPr>
    </w:p>
    <w:p w:rsidR="00917A05" w:rsidRPr="00645FD3" w:rsidRDefault="00C818C6" w:rsidP="00C818C6">
      <w:pPr>
        <w:keepNext/>
        <w:ind w:left="567"/>
        <w:rPr>
          <w:bCs/>
          <w:snapToGrid w:val="0"/>
          <w:szCs w:val="24"/>
        </w:rPr>
      </w:pPr>
      <w:r w:rsidRPr="00645FD3">
        <w:rPr>
          <w:bCs/>
          <w:snapToGrid w:val="0"/>
          <w:szCs w:val="24"/>
          <w:u w:val="single"/>
        </w:rPr>
        <w:t>Documents d</w:t>
      </w:r>
      <w:r w:rsidR="009E1FB4" w:rsidRPr="00645FD3">
        <w:rPr>
          <w:bCs/>
          <w:snapToGrid w:val="0"/>
          <w:szCs w:val="24"/>
          <w:u w:val="single"/>
        </w:rPr>
        <w:t>’</w:t>
      </w:r>
      <w:r w:rsidRPr="00645FD3">
        <w:rPr>
          <w:bCs/>
          <w:snapToGrid w:val="0"/>
          <w:szCs w:val="24"/>
          <w:u w:val="single"/>
        </w:rPr>
        <w:t>information</w:t>
      </w:r>
      <w:r w:rsidR="009E1FB4" w:rsidRPr="00645FD3">
        <w:rPr>
          <w:bCs/>
          <w:snapToGrid w:val="0"/>
          <w:szCs w:val="24"/>
        </w:rPr>
        <w:t> :</w:t>
      </w:r>
    </w:p>
    <w:p w:rsidR="00917A05" w:rsidRPr="00645FD3" w:rsidRDefault="00917A05" w:rsidP="004F45B7">
      <w:pPr>
        <w:keepNext/>
        <w:ind w:left="567"/>
        <w:rPr>
          <w:bCs/>
          <w:snapToGrid w:val="0"/>
          <w:szCs w:val="24"/>
        </w:rPr>
      </w:pPr>
    </w:p>
    <w:p w:rsidR="00917A05" w:rsidRPr="00645FD3" w:rsidRDefault="00C818C6" w:rsidP="00C818C6">
      <w:pPr>
        <w:ind w:left="2835" w:hanging="1701"/>
        <w:jc w:val="left"/>
        <w:rPr>
          <w:bCs/>
          <w:snapToGrid w:val="0"/>
          <w:szCs w:val="24"/>
        </w:rPr>
      </w:pPr>
      <w:r w:rsidRPr="00645FD3">
        <w:rPr>
          <w:bCs/>
          <w:snapToGrid w:val="0"/>
          <w:szCs w:val="24"/>
        </w:rPr>
        <w:t>UPOV/INF/5</w:t>
      </w:r>
      <w:r w:rsidRPr="00645FD3">
        <w:rPr>
          <w:bCs/>
          <w:snapToGrid w:val="0"/>
          <w:szCs w:val="24"/>
        </w:rPr>
        <w:tab/>
        <w:t>Publication type de l</w:t>
      </w:r>
      <w:r w:rsidR="009E1FB4" w:rsidRPr="00645FD3">
        <w:rPr>
          <w:bCs/>
          <w:snapToGrid w:val="0"/>
          <w:szCs w:val="24"/>
        </w:rPr>
        <w:t>’</w:t>
      </w:r>
      <w:r w:rsidRPr="00645FD3">
        <w:rPr>
          <w:bCs/>
          <w:snapToGrid w:val="0"/>
          <w:szCs w:val="24"/>
        </w:rPr>
        <w:t>UPOV de la protection des obtentions végétales (révision) (</w:t>
      </w:r>
      <w:r w:rsidR="009E1FB4" w:rsidRPr="00645FD3">
        <w:rPr>
          <w:bCs/>
          <w:snapToGrid w:val="0"/>
          <w:szCs w:val="24"/>
        </w:rPr>
        <w:t>document UP</w:t>
      </w:r>
      <w:r w:rsidRPr="00645FD3">
        <w:rPr>
          <w:bCs/>
          <w:snapToGrid w:val="0"/>
          <w:szCs w:val="24"/>
        </w:rPr>
        <w:t>OV/INF/5/2 Draft</w:t>
      </w:r>
      <w:r w:rsidR="00E5665F" w:rsidRPr="00645FD3">
        <w:rPr>
          <w:bCs/>
          <w:snapToGrid w:val="0"/>
          <w:szCs w:val="24"/>
        </w:rPr>
        <w:t> </w:t>
      </w:r>
      <w:r w:rsidRPr="00645FD3">
        <w:rPr>
          <w:bCs/>
          <w:snapToGrid w:val="0"/>
          <w:szCs w:val="24"/>
        </w:rPr>
        <w:t>2)</w:t>
      </w:r>
    </w:p>
    <w:p w:rsidR="00917A05" w:rsidRPr="00645FD3" w:rsidRDefault="00917A05" w:rsidP="004F45B7">
      <w:pPr>
        <w:ind w:left="3402" w:hanging="1701"/>
        <w:jc w:val="left"/>
        <w:rPr>
          <w:bCs/>
          <w:snapToGrid w:val="0"/>
          <w:szCs w:val="24"/>
        </w:rPr>
      </w:pPr>
    </w:p>
    <w:p w:rsidR="00917A05" w:rsidRPr="00645FD3" w:rsidRDefault="00C818C6" w:rsidP="00C818C6">
      <w:pPr>
        <w:ind w:left="2835" w:hanging="1701"/>
        <w:jc w:val="left"/>
        <w:rPr>
          <w:bCs/>
          <w:snapToGrid w:val="0"/>
          <w:spacing w:val="-4"/>
          <w:szCs w:val="24"/>
        </w:rPr>
      </w:pPr>
      <w:r w:rsidRPr="00645FD3">
        <w:rPr>
          <w:bCs/>
          <w:snapToGrid w:val="0"/>
          <w:spacing w:val="-4"/>
          <w:szCs w:val="24"/>
        </w:rPr>
        <w:t>UPOV/INF/22</w:t>
      </w:r>
      <w:r w:rsidRPr="00645FD3">
        <w:rPr>
          <w:bCs/>
          <w:snapToGrid w:val="0"/>
          <w:spacing w:val="-4"/>
          <w:szCs w:val="24"/>
        </w:rPr>
        <w:tab/>
        <w:t>Logiciels et équipements utilisés par les membres de l</w:t>
      </w:r>
      <w:r w:rsidR="009E1FB4" w:rsidRPr="00645FD3">
        <w:rPr>
          <w:bCs/>
          <w:snapToGrid w:val="0"/>
          <w:spacing w:val="-4"/>
          <w:szCs w:val="24"/>
        </w:rPr>
        <w:t>’</w:t>
      </w:r>
      <w:r w:rsidRPr="00645FD3">
        <w:rPr>
          <w:bCs/>
          <w:snapToGrid w:val="0"/>
          <w:spacing w:val="-4"/>
          <w:szCs w:val="24"/>
        </w:rPr>
        <w:t>Union (révision) (</w:t>
      </w:r>
      <w:r w:rsidR="009E1FB4" w:rsidRPr="00645FD3">
        <w:rPr>
          <w:bCs/>
          <w:snapToGrid w:val="0"/>
          <w:spacing w:val="-4"/>
          <w:szCs w:val="24"/>
        </w:rPr>
        <w:t>document UP</w:t>
      </w:r>
      <w:r w:rsidRPr="00645FD3">
        <w:rPr>
          <w:bCs/>
          <w:snapToGrid w:val="0"/>
          <w:spacing w:val="-4"/>
          <w:szCs w:val="24"/>
        </w:rPr>
        <w:t>OV/INF/22/6 Draft</w:t>
      </w:r>
      <w:r w:rsidR="00E5665F" w:rsidRPr="00645FD3">
        <w:rPr>
          <w:bCs/>
          <w:snapToGrid w:val="0"/>
          <w:spacing w:val="-4"/>
          <w:szCs w:val="24"/>
        </w:rPr>
        <w:t> </w:t>
      </w:r>
      <w:r w:rsidRPr="00645FD3">
        <w:rPr>
          <w:bCs/>
          <w:snapToGrid w:val="0"/>
          <w:spacing w:val="-4"/>
          <w:szCs w:val="24"/>
        </w:rPr>
        <w:t>1)</w:t>
      </w:r>
    </w:p>
    <w:p w:rsidR="00917A05" w:rsidRPr="00645FD3" w:rsidRDefault="00917A05" w:rsidP="004F45B7">
      <w:pPr>
        <w:ind w:left="3402" w:hanging="1701"/>
        <w:jc w:val="left"/>
        <w:rPr>
          <w:bCs/>
          <w:snapToGrid w:val="0"/>
          <w:spacing w:val="-4"/>
          <w:szCs w:val="24"/>
        </w:rPr>
      </w:pPr>
    </w:p>
    <w:p w:rsidR="00917A05" w:rsidRPr="00645FD3" w:rsidRDefault="00C818C6" w:rsidP="00C818C6">
      <w:pPr>
        <w:ind w:left="2835" w:hanging="1701"/>
        <w:jc w:val="left"/>
      </w:pPr>
      <w:r w:rsidRPr="00645FD3">
        <w:t>UPOV/INF</w:t>
      </w:r>
      <w:r w:rsidR="009E1FB4" w:rsidRPr="00645FD3">
        <w:t>-</w:t>
      </w:r>
      <w:r w:rsidRPr="00645FD3">
        <w:t>EXN</w:t>
      </w:r>
      <w:r w:rsidRPr="00645FD3">
        <w:tab/>
        <w:t>Liste des documents UPOV/INF</w:t>
      </w:r>
      <w:r w:rsidR="009E1FB4" w:rsidRPr="00645FD3">
        <w:t>-</w:t>
      </w:r>
      <w:r w:rsidRPr="00645FD3">
        <w:t>EXN et date de la version la plus récente de ces documents (révision) (document UPOV/INF</w:t>
      </w:r>
      <w:r w:rsidR="009E1FB4" w:rsidRPr="00645FD3">
        <w:t>-</w:t>
      </w:r>
      <w:r w:rsidRPr="00645FD3">
        <w:t>EXN/13 Draft 1)</w:t>
      </w:r>
    </w:p>
    <w:p w:rsidR="00917A05" w:rsidRPr="00645FD3" w:rsidRDefault="00917A05" w:rsidP="004F45B7"/>
    <w:p w:rsidR="00917A05" w:rsidRPr="00645FD3" w:rsidRDefault="004F45B7" w:rsidP="00C818C6">
      <w:r w:rsidRPr="00645FD3">
        <w:fldChar w:fldCharType="begin"/>
      </w:r>
      <w:r w:rsidRPr="00645FD3">
        <w:instrText xml:space="preserve"> AUTONUM  </w:instrText>
      </w:r>
      <w:r w:rsidRPr="00645FD3">
        <w:fldChar w:fldCharType="end"/>
      </w:r>
      <w:r w:rsidRPr="00645FD3">
        <w:tab/>
      </w:r>
      <w:r w:rsidR="00C818C6" w:rsidRPr="00645FD3">
        <w:t>Les abréviations suivantes sont utilisées dans le présent document</w:t>
      </w:r>
      <w:r w:rsidR="009E1FB4" w:rsidRPr="00645FD3">
        <w:t> :</w:t>
      </w:r>
    </w:p>
    <w:p w:rsidR="00917A05" w:rsidRPr="00645FD3" w:rsidRDefault="00917A05" w:rsidP="004F45B7">
      <w:pPr>
        <w:ind w:left="1692" w:hanging="1125"/>
        <w:jc w:val="left"/>
      </w:pPr>
    </w:p>
    <w:p w:rsidR="00917A05" w:rsidRPr="00645FD3" w:rsidRDefault="004F45B7" w:rsidP="00C818C6">
      <w:pPr>
        <w:tabs>
          <w:tab w:val="left" w:pos="567"/>
          <w:tab w:val="left" w:pos="1701"/>
        </w:tabs>
      </w:pPr>
      <w:r w:rsidRPr="00645FD3">
        <w:tab/>
      </w:r>
      <w:r w:rsidR="00C818C6" w:rsidRPr="00645FD3">
        <w:t>CAJ</w:t>
      </w:r>
      <w:r w:rsidR="009E1FB4" w:rsidRPr="00645FD3">
        <w:t> :</w:t>
      </w:r>
      <w:r w:rsidR="00D13CCA" w:rsidRPr="00645FD3">
        <w:t xml:space="preserve"> </w:t>
      </w:r>
      <w:r w:rsidR="00C818C6" w:rsidRPr="00645FD3">
        <w:tab/>
        <w:t>Comité administratif et juridique</w:t>
      </w:r>
    </w:p>
    <w:p w:rsidR="00917A05" w:rsidRPr="00645FD3" w:rsidRDefault="004F45B7" w:rsidP="00C818C6">
      <w:pPr>
        <w:tabs>
          <w:tab w:val="left" w:pos="567"/>
          <w:tab w:val="left" w:pos="1701"/>
        </w:tabs>
      </w:pPr>
      <w:r w:rsidRPr="00645FD3">
        <w:tab/>
      </w:r>
      <w:r w:rsidR="00C818C6" w:rsidRPr="00645FD3">
        <w:t>TC</w:t>
      </w:r>
      <w:r w:rsidR="009E1FB4" w:rsidRPr="00645FD3">
        <w:t> :</w:t>
      </w:r>
      <w:r w:rsidR="00D13CCA" w:rsidRPr="00645FD3">
        <w:t xml:space="preserve"> </w:t>
      </w:r>
      <w:r w:rsidR="00C818C6" w:rsidRPr="00645FD3">
        <w:tab/>
        <w:t>Comité technique</w:t>
      </w:r>
    </w:p>
    <w:p w:rsidR="00917A05" w:rsidRPr="00645FD3" w:rsidRDefault="00917A05" w:rsidP="004F45B7">
      <w:pPr>
        <w:tabs>
          <w:tab w:val="left" w:pos="567"/>
          <w:tab w:val="left" w:pos="1701"/>
        </w:tabs>
      </w:pPr>
    </w:p>
    <w:p w:rsidR="00917A05" w:rsidRPr="00645FD3" w:rsidRDefault="00917A05" w:rsidP="004F45B7">
      <w:pPr>
        <w:tabs>
          <w:tab w:val="left" w:pos="567"/>
          <w:tab w:val="left" w:pos="1701"/>
        </w:tabs>
      </w:pPr>
    </w:p>
    <w:p w:rsidR="00917A05" w:rsidRPr="00645FD3" w:rsidRDefault="004F45B7" w:rsidP="004F45B7">
      <w:pPr>
        <w:jc w:val="left"/>
      </w:pPr>
      <w:r w:rsidRPr="00645FD3">
        <w:br w:type="page"/>
      </w:r>
    </w:p>
    <w:p w:rsidR="00917A05" w:rsidRPr="00645FD3" w:rsidRDefault="00C818C6" w:rsidP="00C818C6">
      <w:pPr>
        <w:pStyle w:val="Heading1"/>
        <w:rPr>
          <w:snapToGrid w:val="0"/>
          <w:lang w:val="fr-FR"/>
        </w:rPr>
      </w:pPr>
      <w:r w:rsidRPr="00645FD3">
        <w:rPr>
          <w:snapToGrid w:val="0"/>
          <w:lang w:val="fr-FR"/>
        </w:rPr>
        <w:lastRenderedPageBreak/>
        <w:t>Documents TGP</w:t>
      </w:r>
    </w:p>
    <w:p w:rsidR="00917A05" w:rsidRPr="00645FD3" w:rsidRDefault="00917A05" w:rsidP="001F64D8">
      <w:pPr>
        <w:keepNext/>
      </w:pPr>
    </w:p>
    <w:p w:rsidR="00917A05" w:rsidRPr="00645FD3" w:rsidRDefault="00C818C6" w:rsidP="00C818C6">
      <w:pPr>
        <w:keepNext/>
        <w:rPr>
          <w:bCs/>
          <w:snapToGrid w:val="0"/>
          <w:szCs w:val="24"/>
          <w:u w:val="single"/>
        </w:rPr>
      </w:pPr>
      <w:r w:rsidRPr="00645FD3">
        <w:rPr>
          <w:bCs/>
          <w:snapToGrid w:val="0"/>
          <w:szCs w:val="24"/>
          <w:u w:val="single"/>
        </w:rPr>
        <w:t>TGP/7</w:t>
      </w:r>
      <w:r w:rsidR="009E1FB4" w:rsidRPr="00645FD3">
        <w:rPr>
          <w:bCs/>
          <w:snapToGrid w:val="0"/>
          <w:szCs w:val="24"/>
          <w:u w:val="single"/>
        </w:rPr>
        <w:t> :</w:t>
      </w:r>
      <w:r w:rsidRPr="00645FD3">
        <w:rPr>
          <w:bCs/>
          <w:snapToGrid w:val="0"/>
          <w:szCs w:val="24"/>
          <w:u w:val="single"/>
        </w:rPr>
        <w:t xml:space="preserve"> Élaboration des principes directeurs d</w:t>
      </w:r>
      <w:r w:rsidR="009E1FB4" w:rsidRPr="00645FD3">
        <w:rPr>
          <w:bCs/>
          <w:snapToGrid w:val="0"/>
          <w:szCs w:val="24"/>
          <w:u w:val="single"/>
        </w:rPr>
        <w:t>’</w:t>
      </w:r>
      <w:r w:rsidRPr="00645FD3">
        <w:rPr>
          <w:bCs/>
          <w:snapToGrid w:val="0"/>
          <w:szCs w:val="24"/>
          <w:u w:val="single"/>
        </w:rPr>
        <w:t>examen (révision) (</w:t>
      </w:r>
      <w:r w:rsidR="009E1FB4" w:rsidRPr="00645FD3">
        <w:rPr>
          <w:bCs/>
          <w:snapToGrid w:val="0"/>
          <w:szCs w:val="24"/>
          <w:u w:val="single"/>
        </w:rPr>
        <w:t>document TG</w:t>
      </w:r>
      <w:r w:rsidRPr="00645FD3">
        <w:rPr>
          <w:bCs/>
          <w:snapToGrid w:val="0"/>
          <w:szCs w:val="24"/>
          <w:u w:val="single"/>
        </w:rPr>
        <w:t>P/7/7 Draft</w:t>
      </w:r>
      <w:r w:rsidR="00E5665F" w:rsidRPr="00645FD3">
        <w:rPr>
          <w:bCs/>
          <w:snapToGrid w:val="0"/>
          <w:szCs w:val="24"/>
          <w:u w:val="single"/>
        </w:rPr>
        <w:t> </w:t>
      </w:r>
      <w:r w:rsidRPr="00645FD3">
        <w:rPr>
          <w:bCs/>
          <w:snapToGrid w:val="0"/>
          <w:szCs w:val="24"/>
          <w:u w:val="single"/>
        </w:rPr>
        <w:t>1)</w:t>
      </w:r>
    </w:p>
    <w:p w:rsidR="00917A05" w:rsidRPr="00645FD3" w:rsidRDefault="00917A05" w:rsidP="004F45B7">
      <w:pPr>
        <w:keepNext/>
        <w:rPr>
          <w:bCs/>
          <w:snapToGrid w:val="0"/>
          <w:szCs w:val="24"/>
        </w:rPr>
      </w:pPr>
    </w:p>
    <w:bookmarkStart w:id="3" w:name="BAck_Annex_1"/>
    <w:bookmarkEnd w:id="3"/>
    <w:p w:rsidR="00917A05" w:rsidRPr="00645FD3" w:rsidRDefault="002944D2" w:rsidP="00C818C6">
      <w:pPr>
        <w:keepNext/>
      </w:pPr>
      <w:r w:rsidRPr="00645FD3">
        <w:fldChar w:fldCharType="begin"/>
      </w:r>
      <w:r w:rsidRPr="00645FD3">
        <w:instrText xml:space="preserve"> AUTONUM  </w:instrText>
      </w:r>
      <w:r w:rsidRPr="00645FD3">
        <w:fldChar w:fldCharType="end"/>
      </w:r>
      <w:r w:rsidRPr="00645FD3">
        <w:tab/>
      </w:r>
      <w:r w:rsidR="00C818C6" w:rsidRPr="00645FD3">
        <w:t>À sa cinquante</w:t>
      </w:r>
      <w:r w:rsidR="009E1FB4" w:rsidRPr="00645FD3">
        <w:t>-</w:t>
      </w:r>
      <w:r w:rsidR="00C818C6" w:rsidRPr="00645FD3">
        <w:t>quatr</w:t>
      </w:r>
      <w:r w:rsidR="009E1FB4" w:rsidRPr="00645FD3">
        <w:t>ième session</w:t>
      </w:r>
      <w:bookmarkStart w:id="4" w:name="_Ref13507369"/>
      <w:r w:rsidR="00C818C6" w:rsidRPr="00645FD3">
        <w:rPr>
          <w:rStyle w:val="FootnoteReference"/>
        </w:rPr>
        <w:footnoteReference w:id="2"/>
      </w:r>
      <w:bookmarkEnd w:id="4"/>
      <w:r w:rsidR="00C818C6" w:rsidRPr="00645FD3">
        <w:t>, le</w:t>
      </w:r>
      <w:r w:rsidR="009E1FB4" w:rsidRPr="00645FD3">
        <w:t> TC</w:t>
      </w:r>
      <w:r w:rsidR="00C818C6" w:rsidRPr="00645FD3">
        <w:t xml:space="preserve"> a approuvé les propositions d</w:t>
      </w:r>
      <w:r w:rsidR="009E1FB4" w:rsidRPr="00645FD3">
        <w:t>’</w:t>
      </w:r>
      <w:r w:rsidR="00C818C6" w:rsidRPr="00645FD3">
        <w:t>orientations concernant la “Durée des examens DHS” et la “Procédure applicable à l</w:t>
      </w:r>
      <w:r w:rsidR="009E1FB4" w:rsidRPr="00645FD3">
        <w:t>’</w:t>
      </w:r>
      <w:r w:rsidR="00C818C6" w:rsidRPr="00645FD3">
        <w:t>adoption des principes directeurs d</w:t>
      </w:r>
      <w:r w:rsidR="009E1FB4" w:rsidRPr="00645FD3">
        <w:t>’</w:t>
      </w:r>
      <w:r w:rsidR="00C818C6" w:rsidRPr="00645FD3">
        <w:t>examen”, en vue de leur inclusion dans une version révisée du document TGP/7 “Élaboration des principes directeurs d</w:t>
      </w:r>
      <w:r w:rsidR="009E1FB4" w:rsidRPr="00645FD3">
        <w:t>’</w:t>
      </w:r>
      <w:r w:rsidR="00C818C6" w:rsidRPr="00645FD3">
        <w:t>examen”</w:t>
      </w:r>
      <w:r w:rsidRPr="00645FD3">
        <w:t xml:space="preserve"> </w:t>
      </w:r>
      <w:r w:rsidR="001F64D8" w:rsidRPr="00645FD3">
        <w:t>(</w:t>
      </w:r>
      <w:r w:rsidR="00C818C6" w:rsidRPr="00645FD3">
        <w:t xml:space="preserve">voir les </w:t>
      </w:r>
      <w:r w:rsidR="00FC34F0" w:rsidRPr="00645FD3">
        <w:t>paragraph</w:t>
      </w:r>
      <w:r w:rsidR="00C818C6" w:rsidRPr="00645FD3">
        <w:t>es</w:t>
      </w:r>
      <w:r w:rsidR="00E5665F" w:rsidRPr="00645FD3">
        <w:t> </w:t>
      </w:r>
      <w:r w:rsidR="00C818C6" w:rsidRPr="00645FD3">
        <w:t>210 à</w:t>
      </w:r>
      <w:r w:rsidR="00FC34F0" w:rsidRPr="00645FD3">
        <w:t xml:space="preserve"> 212 </w:t>
      </w:r>
      <w:r w:rsidR="00C818C6" w:rsidRPr="00645FD3">
        <w:t>et 217 à</w:t>
      </w:r>
      <w:r w:rsidR="00FC34F0" w:rsidRPr="00645FD3">
        <w:t xml:space="preserve"> 220</w:t>
      </w:r>
      <w:r w:rsidR="00C818C6" w:rsidRPr="00645FD3">
        <w:t xml:space="preserve"> du document </w:t>
      </w:r>
      <w:hyperlink r:id="rId9" w:history="1">
        <w:hyperlink r:id="rId10" w:history="1">
          <w:r w:rsidR="00D811BF">
            <w:rPr>
              <w:rStyle w:val="Hyperlink"/>
            </w:rPr>
            <w:t>TC/54/31 Corr.</w:t>
          </w:r>
        </w:hyperlink>
      </w:hyperlink>
      <w:r w:rsidR="00C818C6" w:rsidRPr="00645FD3">
        <w:t xml:space="preserve"> “</w:t>
      </w:r>
      <w:r w:rsidR="009E1F8B" w:rsidRPr="00645FD3">
        <w:t>Compte rendu</w:t>
      </w:r>
      <w:r w:rsidR="00C818C6" w:rsidRPr="00645FD3">
        <w:t>”</w:t>
      </w:r>
      <w:r w:rsidR="00FC34F0" w:rsidRPr="00645FD3">
        <w:t>)</w:t>
      </w:r>
      <w:r w:rsidRPr="00645FD3">
        <w:t>.</w:t>
      </w:r>
    </w:p>
    <w:p w:rsidR="00917A05" w:rsidRPr="00645FD3" w:rsidRDefault="00917A05" w:rsidP="00D72856">
      <w:pPr>
        <w:rPr>
          <w:bCs/>
          <w:snapToGrid w:val="0"/>
          <w:szCs w:val="24"/>
        </w:rPr>
      </w:pPr>
    </w:p>
    <w:p w:rsidR="00917A05" w:rsidRPr="00645FD3" w:rsidRDefault="00940819" w:rsidP="002A3260">
      <w:pPr>
        <w:rPr>
          <w:spacing w:val="-2"/>
        </w:rPr>
      </w:pPr>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2A3260" w:rsidRPr="00645FD3">
        <w:rPr>
          <w:spacing w:val="-2"/>
        </w:rPr>
        <w:t>Sur la base de ce qui précède, le</w:t>
      </w:r>
      <w:r w:rsidR="009E1FB4" w:rsidRPr="00645FD3">
        <w:rPr>
          <w:spacing w:val="-2"/>
        </w:rPr>
        <w:t> TC</w:t>
      </w:r>
      <w:r w:rsidR="002A3260" w:rsidRPr="00645FD3">
        <w:rPr>
          <w:spacing w:val="-2"/>
        </w:rPr>
        <w:t xml:space="preserve"> est convenu qu</w:t>
      </w:r>
      <w:r w:rsidR="009E1FB4" w:rsidRPr="00645FD3">
        <w:rPr>
          <w:spacing w:val="-2"/>
        </w:rPr>
        <w:t>’</w:t>
      </w:r>
      <w:r w:rsidR="002A3260" w:rsidRPr="00645FD3">
        <w:rPr>
          <w:spacing w:val="-2"/>
        </w:rPr>
        <w:t xml:space="preserve">une version révisée du </w:t>
      </w:r>
      <w:r w:rsidR="009E1FB4" w:rsidRPr="00645FD3">
        <w:rPr>
          <w:spacing w:val="-2"/>
        </w:rPr>
        <w:t>document TG</w:t>
      </w:r>
      <w:r w:rsidR="002A3260" w:rsidRPr="00645FD3">
        <w:rPr>
          <w:spacing w:val="-2"/>
        </w:rPr>
        <w:t>P/7/6 (</w:t>
      </w:r>
      <w:r w:rsidR="009E1FB4" w:rsidRPr="00645FD3">
        <w:rPr>
          <w:spacing w:val="-2"/>
        </w:rPr>
        <w:t>document</w:t>
      </w:r>
      <w:r w:rsidR="005667BF" w:rsidRPr="00645FD3">
        <w:rPr>
          <w:spacing w:val="-2"/>
        </w:rPr>
        <w:t> </w:t>
      </w:r>
      <w:r w:rsidR="009E1FB4" w:rsidRPr="00645FD3">
        <w:rPr>
          <w:spacing w:val="-2"/>
        </w:rPr>
        <w:t>TG</w:t>
      </w:r>
      <w:r w:rsidR="002A3260" w:rsidRPr="00645FD3">
        <w:rPr>
          <w:spacing w:val="-2"/>
        </w:rPr>
        <w:t>P/7/7 Draft 1) devait être soumise au Conseil pour adoption à sa cinquante</w:t>
      </w:r>
      <w:r w:rsidR="009E1FB4" w:rsidRPr="00645FD3">
        <w:rPr>
          <w:spacing w:val="-2"/>
        </w:rPr>
        <w:t>-</w:t>
      </w:r>
      <w:r w:rsidR="002A3260" w:rsidRPr="00645FD3">
        <w:rPr>
          <w:spacing w:val="-2"/>
        </w:rPr>
        <w:t>trois</w:t>
      </w:r>
      <w:r w:rsidR="009E1FB4" w:rsidRPr="00645FD3">
        <w:rPr>
          <w:spacing w:val="-2"/>
        </w:rPr>
        <w:t>ième session</w:t>
      </w:r>
      <w:r w:rsidR="002A3260" w:rsidRPr="00645FD3">
        <w:rPr>
          <w:spacing w:val="-2"/>
        </w:rPr>
        <w:t xml:space="preserve"> ordinaire, sous réserve de l</w:t>
      </w:r>
      <w:r w:rsidR="009E1FB4" w:rsidRPr="00645FD3">
        <w:rPr>
          <w:spacing w:val="-2"/>
        </w:rPr>
        <w:t>’</w:t>
      </w:r>
      <w:r w:rsidR="002A3260" w:rsidRPr="00645FD3">
        <w:rPr>
          <w:spacing w:val="-2"/>
        </w:rPr>
        <w:t>approbation du CAJ à sa soixante</w:t>
      </w:r>
      <w:r w:rsidR="009E1FB4" w:rsidRPr="00645FD3">
        <w:rPr>
          <w:spacing w:val="-2"/>
        </w:rPr>
        <w:t>-</w:t>
      </w:r>
      <w:r w:rsidR="002A3260" w:rsidRPr="00645FD3">
        <w:rPr>
          <w:spacing w:val="-2"/>
        </w:rPr>
        <w:t>seiz</w:t>
      </w:r>
      <w:r w:rsidR="009E1FB4" w:rsidRPr="00645FD3">
        <w:rPr>
          <w:spacing w:val="-2"/>
        </w:rPr>
        <w:t>ième session</w:t>
      </w:r>
      <w:bookmarkStart w:id="6" w:name="_Ref13509809"/>
      <w:r w:rsidR="002A3260" w:rsidRPr="00645FD3">
        <w:rPr>
          <w:rStyle w:val="FootnoteReference"/>
          <w:spacing w:val="-2"/>
        </w:rPr>
        <w:footnoteReference w:id="3"/>
      </w:r>
      <w:bookmarkEnd w:id="6"/>
      <w:r w:rsidRPr="00645FD3">
        <w:rPr>
          <w:spacing w:val="-2"/>
        </w:rPr>
        <w:t>.</w:t>
      </w:r>
    </w:p>
    <w:p w:rsidR="00917A05" w:rsidRPr="00645FD3" w:rsidRDefault="00917A05" w:rsidP="00D72856">
      <w:pPr>
        <w:rPr>
          <w:spacing w:val="-2"/>
        </w:rPr>
      </w:pPr>
    </w:p>
    <w:p w:rsidR="00917A05" w:rsidRPr="00645FD3" w:rsidRDefault="00940819" w:rsidP="00D72856">
      <w:pPr>
        <w:rPr>
          <w:bCs/>
          <w:snapToGrid w:val="0"/>
          <w:szCs w:val="24"/>
        </w:rPr>
      </w:pPr>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2A3260" w:rsidRPr="00645FD3">
        <w:rPr>
          <w:spacing w:val="-2"/>
        </w:rPr>
        <w:t xml:space="preserve">Les traductions en français, allemand et espagnol du texte anglais original ont été examinées par les membres concernés du Comité de rédaction avant la présentation du projet de </w:t>
      </w:r>
      <w:r w:rsidR="009E1FB4" w:rsidRPr="00645FD3">
        <w:rPr>
          <w:spacing w:val="-2"/>
        </w:rPr>
        <w:t>document TG</w:t>
      </w:r>
      <w:r w:rsidR="002A3260" w:rsidRPr="00645FD3">
        <w:rPr>
          <w:spacing w:val="-2"/>
        </w:rPr>
        <w:t>P/7/7 au Conse</w:t>
      </w:r>
      <w:r w:rsidR="00B5679E" w:rsidRPr="00645FD3">
        <w:rPr>
          <w:spacing w:val="-2"/>
        </w:rPr>
        <w:t>il.  Le</w:t>
      </w:r>
      <w:r w:rsidR="002A3260" w:rsidRPr="00645FD3">
        <w:rPr>
          <w:spacing w:val="-2"/>
        </w:rPr>
        <w:t xml:space="preserve"> </w:t>
      </w:r>
      <w:r w:rsidR="009E1FB4" w:rsidRPr="00645FD3">
        <w:rPr>
          <w:spacing w:val="-2"/>
        </w:rPr>
        <w:t>document TG</w:t>
      </w:r>
      <w:r w:rsidR="002A3260" w:rsidRPr="00645FD3">
        <w:rPr>
          <w:spacing w:val="-2"/>
        </w:rPr>
        <w:t>P/7/7 Draft</w:t>
      </w:r>
      <w:r w:rsidR="00E5665F" w:rsidRPr="00645FD3">
        <w:rPr>
          <w:spacing w:val="-2"/>
        </w:rPr>
        <w:t> </w:t>
      </w:r>
      <w:r w:rsidR="002A3260" w:rsidRPr="00645FD3">
        <w:rPr>
          <w:spacing w:val="-2"/>
        </w:rPr>
        <w:t>1 contient les modifications approuvées par le</w:t>
      </w:r>
      <w:r w:rsidR="009E1FB4" w:rsidRPr="00645FD3">
        <w:rPr>
          <w:spacing w:val="-2"/>
        </w:rPr>
        <w:t> TC</w:t>
      </w:r>
      <w:r w:rsidR="002A3260" w:rsidRPr="00645FD3">
        <w:rPr>
          <w:spacing w:val="-2"/>
        </w:rPr>
        <w:t xml:space="preserve"> figurant à l</w:t>
      </w:r>
      <w:r w:rsidR="009E1FB4" w:rsidRPr="00645FD3">
        <w:rPr>
          <w:spacing w:val="-2"/>
        </w:rPr>
        <w:t>’annexe I</w:t>
      </w:r>
      <w:r w:rsidR="002A3260" w:rsidRPr="00645FD3">
        <w:rPr>
          <w:spacing w:val="-2"/>
        </w:rPr>
        <w:t xml:space="preserve"> du présent document (avec changements apparents), ainsi que les modifications d</w:t>
      </w:r>
      <w:r w:rsidR="009E1FB4" w:rsidRPr="00645FD3">
        <w:rPr>
          <w:spacing w:val="-2"/>
        </w:rPr>
        <w:t>’</w:t>
      </w:r>
      <w:r w:rsidR="002A3260" w:rsidRPr="00645FD3">
        <w:rPr>
          <w:spacing w:val="-2"/>
        </w:rPr>
        <w:t>ordre linguistique apportées par les membres concernés du Comité de rédaction</w:t>
      </w:r>
      <w:r w:rsidRPr="00645FD3">
        <w:rPr>
          <w:spacing w:val="-2"/>
        </w:rPr>
        <w:t>.</w:t>
      </w:r>
    </w:p>
    <w:p w:rsidR="00917A05" w:rsidRPr="00645FD3" w:rsidRDefault="00917A05" w:rsidP="00D72856">
      <w:pPr>
        <w:rPr>
          <w:bCs/>
          <w:snapToGrid w:val="0"/>
          <w:szCs w:val="24"/>
        </w:rPr>
      </w:pPr>
    </w:p>
    <w:p w:rsidR="009E1FB4" w:rsidRPr="00645FD3" w:rsidRDefault="00914635" w:rsidP="007C014C">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461106" w:rsidRPr="00645FD3">
        <w:rPr>
          <w:spacing w:val="-2"/>
        </w:rPr>
        <w:t>Un</w:t>
      </w:r>
      <w:r w:rsidR="007C014C" w:rsidRPr="00645FD3">
        <w:rPr>
          <w:spacing w:val="-2"/>
        </w:rPr>
        <w:t xml:space="preserve"> compte </w:t>
      </w:r>
      <w:r w:rsidR="00461106" w:rsidRPr="00645FD3">
        <w:rPr>
          <w:spacing w:val="-2"/>
        </w:rPr>
        <w:t xml:space="preserve">rendu </w:t>
      </w:r>
      <w:r w:rsidR="007C014C" w:rsidRPr="00645FD3">
        <w:rPr>
          <w:spacing w:val="-2"/>
        </w:rPr>
        <w:t>des conclusions formulées par le</w:t>
      </w:r>
      <w:r w:rsidR="009E1FB4" w:rsidRPr="00645FD3">
        <w:rPr>
          <w:spacing w:val="-2"/>
        </w:rPr>
        <w:t> TC</w:t>
      </w:r>
      <w:r w:rsidR="007C014C" w:rsidRPr="00645FD3">
        <w:rPr>
          <w:spacing w:val="-2"/>
        </w:rPr>
        <w:t xml:space="preserve"> à sa cinquante</w:t>
      </w:r>
      <w:r w:rsidR="009E1FB4" w:rsidRPr="00645FD3">
        <w:rPr>
          <w:spacing w:val="-2"/>
        </w:rPr>
        <w:t>-</w:t>
      </w:r>
      <w:r w:rsidR="007C014C" w:rsidRPr="00645FD3">
        <w:rPr>
          <w:spacing w:val="-2"/>
        </w:rPr>
        <w:t>cinqu</w:t>
      </w:r>
      <w:r w:rsidR="009E1FB4" w:rsidRPr="00645FD3">
        <w:rPr>
          <w:spacing w:val="-2"/>
        </w:rPr>
        <w:t>ième session</w:t>
      </w:r>
      <w:r w:rsidR="007C014C" w:rsidRPr="00645FD3">
        <w:rPr>
          <w:rStyle w:val="FootnoteReference"/>
          <w:spacing w:val="-2"/>
        </w:rPr>
        <w:footnoteReference w:id="4"/>
      </w:r>
      <w:r w:rsidR="007C014C" w:rsidRPr="00645FD3">
        <w:rPr>
          <w:spacing w:val="-2"/>
        </w:rPr>
        <w:t xml:space="preserve"> et par</w:t>
      </w:r>
      <w:r w:rsidR="009E1FB4" w:rsidRPr="00645FD3">
        <w:rPr>
          <w:spacing w:val="-2"/>
        </w:rPr>
        <w:t xml:space="preserve"> le CAJ</w:t>
      </w:r>
      <w:r w:rsidR="007C014C" w:rsidRPr="00645FD3">
        <w:rPr>
          <w:spacing w:val="-2"/>
        </w:rPr>
        <w:t xml:space="preserve"> à sa soixante</w:t>
      </w:r>
      <w:r w:rsidR="009E1FB4" w:rsidRPr="00645FD3">
        <w:rPr>
          <w:spacing w:val="-2"/>
        </w:rPr>
        <w:t>-</w:t>
      </w:r>
      <w:r w:rsidR="007C014C" w:rsidRPr="00645FD3">
        <w:rPr>
          <w:spacing w:val="-2"/>
        </w:rPr>
        <w:t>seiz</w:t>
      </w:r>
      <w:r w:rsidR="009E1FB4" w:rsidRPr="00645FD3">
        <w:rPr>
          <w:spacing w:val="-2"/>
        </w:rPr>
        <w:t>ième session</w:t>
      </w:r>
      <w:r w:rsidR="004B4CDA" w:rsidRPr="00645FD3">
        <w:rPr>
          <w:vertAlign w:val="superscript"/>
        </w:rPr>
        <w:fldChar w:fldCharType="begin"/>
      </w:r>
      <w:r w:rsidR="004B4CDA" w:rsidRPr="00645FD3">
        <w:rPr>
          <w:vertAlign w:val="superscript"/>
        </w:rPr>
        <w:instrText xml:space="preserve"> NOTEREF _Ref13509809 \h  \* MERGEFORMAT </w:instrText>
      </w:r>
      <w:r w:rsidR="004B4CDA" w:rsidRPr="00645FD3">
        <w:rPr>
          <w:vertAlign w:val="superscript"/>
        </w:rPr>
      </w:r>
      <w:r w:rsidR="004B4CDA" w:rsidRPr="00645FD3">
        <w:rPr>
          <w:vertAlign w:val="superscript"/>
        </w:rPr>
        <w:fldChar w:fldCharType="separate"/>
      </w:r>
      <w:r w:rsidR="007C014C" w:rsidRPr="00645FD3">
        <w:rPr>
          <w:vertAlign w:val="superscript"/>
        </w:rPr>
        <w:t>2</w:t>
      </w:r>
      <w:r w:rsidR="004B4CDA" w:rsidRPr="00645FD3">
        <w:rPr>
          <w:vertAlign w:val="superscript"/>
        </w:rPr>
        <w:fldChar w:fldCharType="end"/>
      </w:r>
      <w:r w:rsidR="007C014C" w:rsidRPr="00645FD3">
        <w:t xml:space="preserve"> au sujet des propositions de révision du do</w:t>
      </w:r>
      <w:r w:rsidR="00544E29" w:rsidRPr="00645FD3">
        <w:t>cument TGP/7/6</w:t>
      </w:r>
      <w:r w:rsidR="007C014C" w:rsidRPr="00645FD3">
        <w:t xml:space="preserve"> sera présenté au Conseil à sa cinquante</w:t>
      </w:r>
      <w:r w:rsidR="009E1FB4" w:rsidRPr="00645FD3">
        <w:t>-</w:t>
      </w:r>
      <w:r w:rsidR="007C014C" w:rsidRPr="00645FD3">
        <w:t>trois</w:t>
      </w:r>
      <w:r w:rsidR="009E1FB4" w:rsidRPr="00645FD3">
        <w:t>ième session</w:t>
      </w:r>
      <w:r w:rsidR="007C014C" w:rsidRPr="00645FD3">
        <w:t xml:space="preserve"> ordinaire (voir les </w:t>
      </w:r>
      <w:r w:rsidR="009E1FB4" w:rsidRPr="00645FD3">
        <w:t>documents TC</w:t>
      </w:r>
      <w:r w:rsidR="007C014C" w:rsidRPr="00645FD3">
        <w:t>/55/[xx] “Compte rendu” et CAJ/76/[xx] “Compte rendu”).</w:t>
      </w:r>
    </w:p>
    <w:p w:rsidR="00917A05" w:rsidRPr="00645FD3" w:rsidRDefault="00917A05" w:rsidP="00E67F5D"/>
    <w:p w:rsidR="00917A05" w:rsidRPr="00645FD3" w:rsidRDefault="00E67F5D" w:rsidP="00E67F5D">
      <w:pPr>
        <w:pStyle w:val="DecisionParagraphs"/>
        <w:rPr>
          <w:spacing w:val="2"/>
        </w:rPr>
      </w:pPr>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7C014C" w:rsidRPr="00645FD3">
        <w:rPr>
          <w:spacing w:val="2"/>
        </w:rPr>
        <w:t>Le Conseil est invité à adopter la version révisée du document TGP/7 “Élaboration des principes directeurs d</w:t>
      </w:r>
      <w:r w:rsidR="009E1FB4" w:rsidRPr="00645FD3">
        <w:rPr>
          <w:spacing w:val="2"/>
        </w:rPr>
        <w:t>’</w:t>
      </w:r>
      <w:r w:rsidR="007C014C" w:rsidRPr="00645FD3">
        <w:rPr>
          <w:spacing w:val="2"/>
        </w:rPr>
        <w:t xml:space="preserve">examen” (document TGP/7/7), </w:t>
      </w:r>
      <w:r w:rsidR="00C752B0" w:rsidRPr="00645FD3">
        <w:rPr>
          <w:spacing w:val="-2"/>
        </w:rPr>
        <w:t>sur la base du document TGP/7/7 Draft </w:t>
      </w:r>
      <w:r w:rsidR="007C014C" w:rsidRPr="00645FD3">
        <w:rPr>
          <w:spacing w:val="-2"/>
        </w:rPr>
        <w:t xml:space="preserve">1, compte </w:t>
      </w:r>
      <w:r w:rsidR="00C752B0" w:rsidRPr="00645FD3">
        <w:rPr>
          <w:spacing w:val="-2"/>
        </w:rPr>
        <w:br/>
      </w:r>
      <w:r w:rsidR="007C014C" w:rsidRPr="00645FD3">
        <w:rPr>
          <w:spacing w:val="-2"/>
        </w:rPr>
        <w:t>tenu</w:t>
      </w:r>
      <w:r w:rsidR="007C014C" w:rsidRPr="00645FD3">
        <w:rPr>
          <w:spacing w:val="2"/>
        </w:rPr>
        <w:t xml:space="preserve"> des conclusions formulées par le</w:t>
      </w:r>
      <w:r w:rsidR="00C752B0" w:rsidRPr="00645FD3">
        <w:rPr>
          <w:spacing w:val="2"/>
        </w:rPr>
        <w:t xml:space="preserve"> </w:t>
      </w:r>
      <w:r w:rsidR="009E1FB4" w:rsidRPr="00645FD3">
        <w:rPr>
          <w:spacing w:val="2"/>
        </w:rPr>
        <w:t>TC</w:t>
      </w:r>
      <w:r w:rsidR="007C014C" w:rsidRPr="00645FD3">
        <w:rPr>
          <w:spacing w:val="2"/>
        </w:rPr>
        <w:t xml:space="preserve"> à sa cinquante</w:t>
      </w:r>
      <w:r w:rsidR="005667BF" w:rsidRPr="00645FD3">
        <w:rPr>
          <w:spacing w:val="2"/>
        </w:rPr>
        <w:noBreakHyphen/>
      </w:r>
      <w:r w:rsidR="007C014C" w:rsidRPr="00645FD3">
        <w:rPr>
          <w:spacing w:val="2"/>
        </w:rPr>
        <w:t>cinqu</w:t>
      </w:r>
      <w:r w:rsidR="005667BF" w:rsidRPr="00645FD3">
        <w:rPr>
          <w:spacing w:val="2"/>
        </w:rPr>
        <w:t xml:space="preserve">ième </w:t>
      </w:r>
      <w:r w:rsidR="009E1FB4" w:rsidRPr="00645FD3">
        <w:rPr>
          <w:spacing w:val="2"/>
        </w:rPr>
        <w:t>session</w:t>
      </w:r>
      <w:r w:rsidR="007C014C" w:rsidRPr="00645FD3">
        <w:rPr>
          <w:spacing w:val="2"/>
        </w:rPr>
        <w:t xml:space="preserve"> et par</w:t>
      </w:r>
      <w:r w:rsidR="00C752B0" w:rsidRPr="00645FD3">
        <w:rPr>
          <w:spacing w:val="2"/>
        </w:rPr>
        <w:t xml:space="preserve"> le </w:t>
      </w:r>
      <w:r w:rsidR="009E1FB4" w:rsidRPr="00645FD3">
        <w:rPr>
          <w:spacing w:val="2"/>
        </w:rPr>
        <w:t>CAJ</w:t>
      </w:r>
      <w:r w:rsidR="007C014C" w:rsidRPr="00645FD3">
        <w:rPr>
          <w:spacing w:val="2"/>
        </w:rPr>
        <w:t xml:space="preserve"> à sa soixante</w:t>
      </w:r>
      <w:r w:rsidR="005667BF" w:rsidRPr="00645FD3">
        <w:rPr>
          <w:spacing w:val="2"/>
        </w:rPr>
        <w:noBreakHyphen/>
      </w:r>
      <w:r w:rsidR="007C014C" w:rsidRPr="00645FD3">
        <w:rPr>
          <w:spacing w:val="2"/>
        </w:rPr>
        <w:t>seiz</w:t>
      </w:r>
      <w:r w:rsidR="005667BF" w:rsidRPr="00645FD3">
        <w:rPr>
          <w:spacing w:val="2"/>
        </w:rPr>
        <w:t xml:space="preserve">ième </w:t>
      </w:r>
      <w:r w:rsidR="009E1FB4" w:rsidRPr="00645FD3">
        <w:rPr>
          <w:spacing w:val="2"/>
        </w:rPr>
        <w:t>session</w:t>
      </w:r>
      <w:r w:rsidRPr="00645FD3">
        <w:rPr>
          <w:spacing w:val="2"/>
        </w:rPr>
        <w:t>.</w:t>
      </w:r>
    </w:p>
    <w:p w:rsidR="00917A05" w:rsidRPr="00645FD3" w:rsidRDefault="00917A05">
      <w:pPr>
        <w:jc w:val="left"/>
        <w:rPr>
          <w:bCs/>
          <w:snapToGrid w:val="0"/>
          <w:szCs w:val="24"/>
        </w:rPr>
      </w:pPr>
    </w:p>
    <w:p w:rsidR="00917A05" w:rsidRPr="00645FD3" w:rsidRDefault="00917A05">
      <w:pPr>
        <w:jc w:val="left"/>
        <w:rPr>
          <w:bCs/>
          <w:snapToGrid w:val="0"/>
          <w:szCs w:val="24"/>
        </w:rPr>
      </w:pPr>
    </w:p>
    <w:p w:rsidR="00917A05" w:rsidRPr="00645FD3" w:rsidRDefault="00672858" w:rsidP="004975B4">
      <w:pPr>
        <w:keepNext/>
        <w:rPr>
          <w:bCs/>
          <w:snapToGrid w:val="0"/>
          <w:szCs w:val="24"/>
          <w:u w:val="single"/>
        </w:rPr>
      </w:pPr>
      <w:r w:rsidRPr="00645FD3">
        <w:rPr>
          <w:bCs/>
          <w:snapToGrid w:val="0"/>
          <w:szCs w:val="24"/>
          <w:u w:val="single"/>
        </w:rPr>
        <w:t>TGP/8</w:t>
      </w:r>
      <w:r w:rsidR="009E1FB4" w:rsidRPr="00645FD3">
        <w:rPr>
          <w:bCs/>
          <w:snapToGrid w:val="0"/>
          <w:szCs w:val="24"/>
          <w:u w:val="single"/>
        </w:rPr>
        <w:t> :</w:t>
      </w:r>
      <w:r w:rsidRPr="00645FD3">
        <w:rPr>
          <w:bCs/>
          <w:snapToGrid w:val="0"/>
          <w:szCs w:val="24"/>
          <w:u w:val="single"/>
        </w:rPr>
        <w:t xml:space="preserve"> Protocole d</w:t>
      </w:r>
      <w:r w:rsidR="009E1FB4" w:rsidRPr="00645FD3">
        <w:rPr>
          <w:bCs/>
          <w:snapToGrid w:val="0"/>
          <w:szCs w:val="24"/>
          <w:u w:val="single"/>
        </w:rPr>
        <w:t>’</w:t>
      </w:r>
      <w:r w:rsidRPr="00645FD3">
        <w:rPr>
          <w:bCs/>
          <w:snapToGrid w:val="0"/>
          <w:szCs w:val="24"/>
          <w:u w:val="single"/>
        </w:rPr>
        <w:t>essai et techniques utilisés dans l</w:t>
      </w:r>
      <w:r w:rsidR="009E1FB4" w:rsidRPr="00645FD3">
        <w:rPr>
          <w:bCs/>
          <w:snapToGrid w:val="0"/>
          <w:szCs w:val="24"/>
          <w:u w:val="single"/>
        </w:rPr>
        <w:t>’</w:t>
      </w:r>
      <w:r w:rsidRPr="00645FD3">
        <w:rPr>
          <w:bCs/>
          <w:snapToGrid w:val="0"/>
          <w:szCs w:val="24"/>
          <w:u w:val="single"/>
        </w:rPr>
        <w:t>examen de la distinction, de l</w:t>
      </w:r>
      <w:r w:rsidR="009E1FB4" w:rsidRPr="00645FD3">
        <w:rPr>
          <w:bCs/>
          <w:snapToGrid w:val="0"/>
          <w:szCs w:val="24"/>
          <w:u w:val="single"/>
        </w:rPr>
        <w:t>’</w:t>
      </w:r>
      <w:r w:rsidRPr="00645FD3">
        <w:rPr>
          <w:bCs/>
          <w:snapToGrid w:val="0"/>
          <w:szCs w:val="24"/>
          <w:u w:val="single"/>
        </w:rPr>
        <w:t>homogénéité et de la stabilité (révision) (</w:t>
      </w:r>
      <w:r w:rsidR="009E1FB4" w:rsidRPr="00645FD3">
        <w:rPr>
          <w:bCs/>
          <w:snapToGrid w:val="0"/>
          <w:szCs w:val="24"/>
          <w:u w:val="single"/>
        </w:rPr>
        <w:t>document TG</w:t>
      </w:r>
      <w:r w:rsidRPr="00645FD3">
        <w:rPr>
          <w:bCs/>
          <w:snapToGrid w:val="0"/>
          <w:szCs w:val="24"/>
          <w:u w:val="single"/>
        </w:rPr>
        <w:t>P/8/4 Draft</w:t>
      </w:r>
      <w:r w:rsidR="00E5665F" w:rsidRPr="00645FD3">
        <w:rPr>
          <w:bCs/>
          <w:snapToGrid w:val="0"/>
          <w:szCs w:val="24"/>
          <w:u w:val="single"/>
        </w:rPr>
        <w:t> </w:t>
      </w:r>
      <w:r w:rsidRPr="00645FD3">
        <w:rPr>
          <w:bCs/>
          <w:snapToGrid w:val="0"/>
          <w:szCs w:val="24"/>
          <w:u w:val="single"/>
        </w:rPr>
        <w:t>1</w:t>
      </w:r>
      <w:r w:rsidR="003D0EB7" w:rsidRPr="00645FD3">
        <w:rPr>
          <w:bCs/>
          <w:snapToGrid w:val="0"/>
          <w:szCs w:val="24"/>
          <w:u w:val="single"/>
        </w:rPr>
        <w:t>)</w:t>
      </w:r>
    </w:p>
    <w:p w:rsidR="00917A05" w:rsidRPr="00645FD3" w:rsidRDefault="00917A05" w:rsidP="00184FAA">
      <w:pPr>
        <w:keepNext/>
        <w:jc w:val="left"/>
        <w:rPr>
          <w:u w:val="single"/>
        </w:rPr>
      </w:pPr>
    </w:p>
    <w:p w:rsidR="00917A05" w:rsidRPr="00645FD3" w:rsidRDefault="001A7309" w:rsidP="001A7309">
      <w:r w:rsidRPr="00645FD3">
        <w:fldChar w:fldCharType="begin"/>
      </w:r>
      <w:r w:rsidRPr="00645FD3">
        <w:instrText xml:space="preserve"> AUTONUM  </w:instrText>
      </w:r>
      <w:r w:rsidRPr="00645FD3">
        <w:fldChar w:fldCharType="end"/>
      </w:r>
      <w:r w:rsidRPr="00645FD3">
        <w:tab/>
      </w:r>
      <w:r w:rsidR="00672858" w:rsidRPr="00645FD3">
        <w:t>À sa cinquante</w:t>
      </w:r>
      <w:r w:rsidR="009E1FB4" w:rsidRPr="00645FD3">
        <w:t>-</w:t>
      </w:r>
      <w:r w:rsidR="00672858" w:rsidRPr="00645FD3">
        <w:t>trois</w:t>
      </w:r>
      <w:r w:rsidR="009E1FB4" w:rsidRPr="00645FD3">
        <w:t>ième session</w:t>
      </w:r>
      <w:r w:rsidR="00672858" w:rsidRPr="00645FD3">
        <w:rPr>
          <w:rStyle w:val="FootnoteReference"/>
        </w:rPr>
        <w:footnoteReference w:id="5"/>
      </w:r>
      <w:r w:rsidR="00672858" w:rsidRPr="00645FD3">
        <w:t>, le</w:t>
      </w:r>
      <w:r w:rsidR="009E1FB4" w:rsidRPr="00645FD3">
        <w:t> TC</w:t>
      </w:r>
      <w:r w:rsidR="00672858" w:rsidRPr="00645FD3">
        <w:t xml:space="preserve"> a approuvé la proposition d</w:t>
      </w:r>
      <w:r w:rsidR="009E1FB4" w:rsidRPr="00645FD3">
        <w:t>’</w:t>
      </w:r>
      <w:r w:rsidR="00672858" w:rsidRPr="00645FD3">
        <w:t>orientations sur l</w:t>
      </w:r>
      <w:r w:rsidR="009E1FB4" w:rsidRPr="00645FD3">
        <w:t>’</w:t>
      </w:r>
      <w:r w:rsidR="00672858" w:rsidRPr="00645FD3">
        <w:t>“Examen des caractères DHS sur la base d</w:t>
      </w:r>
      <w:r w:rsidR="009E1FB4" w:rsidRPr="00645FD3">
        <w:t>’</w:t>
      </w:r>
      <w:r w:rsidR="00672858" w:rsidRPr="00645FD3">
        <w:t>échantillons globaux” en vue de leur inclusion dans une version révisée du document TGP/8 “Protocole d</w:t>
      </w:r>
      <w:r w:rsidR="009E1FB4" w:rsidRPr="00645FD3">
        <w:t>’</w:t>
      </w:r>
      <w:r w:rsidR="00672858" w:rsidRPr="00645FD3">
        <w:t>essai et techniques utilisés dans l</w:t>
      </w:r>
      <w:r w:rsidR="009E1FB4" w:rsidRPr="00645FD3">
        <w:t>’</w:t>
      </w:r>
      <w:r w:rsidR="00672858" w:rsidRPr="00645FD3">
        <w:t>examen de la distinction, de l</w:t>
      </w:r>
      <w:r w:rsidR="009E1FB4" w:rsidRPr="00645FD3">
        <w:t>’</w:t>
      </w:r>
      <w:r w:rsidR="00672858" w:rsidRPr="00645FD3">
        <w:t xml:space="preserve">homogénéité et de la stabilité” </w:t>
      </w:r>
      <w:r w:rsidR="007D2E34" w:rsidRPr="00645FD3">
        <w:t>(</w:t>
      </w:r>
      <w:r w:rsidR="00672858" w:rsidRPr="00645FD3">
        <w:t>voir les paragraphes</w:t>
      </w:r>
      <w:r w:rsidR="00E5665F" w:rsidRPr="00645FD3">
        <w:t> </w:t>
      </w:r>
      <w:r w:rsidR="00672858" w:rsidRPr="00645FD3">
        <w:t>113 à 116 du</w:t>
      </w:r>
      <w:r w:rsidR="007D2E34" w:rsidRPr="00645FD3">
        <w:t xml:space="preserve"> document </w:t>
      </w:r>
      <w:hyperlink r:id="rId11" w:history="1">
        <w:r w:rsidR="00084193" w:rsidRPr="00645FD3">
          <w:rPr>
            <w:rStyle w:val="Hyperlink"/>
          </w:rPr>
          <w:t>TC/53/31</w:t>
        </w:r>
      </w:hyperlink>
      <w:r w:rsidR="00084193" w:rsidRPr="00645FD3">
        <w:t xml:space="preserve"> “</w:t>
      </w:r>
      <w:r w:rsidR="00672858" w:rsidRPr="00645FD3">
        <w:t>Compte rendu”</w:t>
      </w:r>
      <w:r w:rsidR="007D2E34" w:rsidRPr="00645FD3">
        <w:t>).</w:t>
      </w:r>
    </w:p>
    <w:p w:rsidR="00917A05" w:rsidRPr="00645FD3" w:rsidRDefault="00917A05" w:rsidP="00184FAA">
      <w:pPr>
        <w:keepNext/>
        <w:jc w:val="left"/>
        <w:rPr>
          <w:u w:val="single"/>
        </w:rPr>
      </w:pPr>
    </w:p>
    <w:p w:rsidR="00917A05" w:rsidRPr="00645FD3" w:rsidRDefault="001A7309" w:rsidP="00544E29">
      <w:r w:rsidRPr="00645FD3">
        <w:fldChar w:fldCharType="begin"/>
      </w:r>
      <w:r w:rsidRPr="00645FD3">
        <w:instrText xml:space="preserve"> AUTONUM  </w:instrText>
      </w:r>
      <w:r w:rsidRPr="00645FD3">
        <w:fldChar w:fldCharType="end"/>
      </w:r>
      <w:r w:rsidRPr="00645FD3">
        <w:tab/>
      </w:r>
      <w:r w:rsidR="00544E29" w:rsidRPr="00645FD3">
        <w:t>À sa cinquante</w:t>
      </w:r>
      <w:r w:rsidR="009E1FB4" w:rsidRPr="00645FD3">
        <w:t>-</w:t>
      </w:r>
      <w:r w:rsidR="00544E29" w:rsidRPr="00645FD3">
        <w:t>quatr</w:t>
      </w:r>
      <w:r w:rsidR="009E1FB4" w:rsidRPr="00645FD3">
        <w:t>ième session</w:t>
      </w:r>
      <w:hyperlink w:anchor="notebasdepage1" w:history="1">
        <w:r w:rsidR="00544E29" w:rsidRPr="00645FD3">
          <w:rPr>
            <w:rStyle w:val="Hyperlink"/>
            <w:color w:val="auto"/>
            <w:u w:val="none"/>
            <w:vertAlign w:val="superscript"/>
          </w:rPr>
          <w:t>1</w:t>
        </w:r>
      </w:hyperlink>
      <w:r w:rsidR="00544E29" w:rsidRPr="00645FD3">
        <w:t>, le</w:t>
      </w:r>
      <w:r w:rsidR="009E1FB4" w:rsidRPr="00645FD3">
        <w:t> TC</w:t>
      </w:r>
      <w:r w:rsidR="00544E29" w:rsidRPr="00645FD3">
        <w:rPr>
          <w:vertAlign w:val="superscript"/>
        </w:rPr>
        <w:t xml:space="preserve"> </w:t>
      </w:r>
      <w:r w:rsidR="00544E29" w:rsidRPr="00645FD3">
        <w:t xml:space="preserve">a noté que les principes directeurs y relatifs avaient été élaborés en vue de leur insertion dans le document TGP/10 et il </w:t>
      </w:r>
      <w:r w:rsidR="00461106" w:rsidRPr="00645FD3">
        <w:t xml:space="preserve">est </w:t>
      </w:r>
      <w:r w:rsidR="00544E29" w:rsidRPr="00645FD3">
        <w:t>convenu de remplacer les orientations figurant dans le document TGP/8/2, deuxième partie, section 8, sous</w:t>
      </w:r>
      <w:r w:rsidR="009E1FB4" w:rsidRPr="00645FD3">
        <w:t>-</w:t>
      </w:r>
      <w:r w:rsidR="00544E29" w:rsidRPr="00645FD3">
        <w:t>section 8.1.7, par un renvoi aux nouvelles orientations sur l</w:t>
      </w:r>
      <w:r w:rsidR="009E1FB4" w:rsidRPr="00645FD3">
        <w:t>’</w:t>
      </w:r>
      <w:r w:rsidR="00544E29" w:rsidRPr="00645FD3">
        <w:t>“Évaluation de l</w:t>
      </w:r>
      <w:r w:rsidR="009E1FB4" w:rsidRPr="00645FD3">
        <w:t>’</w:t>
      </w:r>
      <w:r w:rsidR="00544E29" w:rsidRPr="00645FD3">
        <w:t>homogénéité d</w:t>
      </w:r>
      <w:r w:rsidR="009E1FB4" w:rsidRPr="00645FD3">
        <w:t>’</w:t>
      </w:r>
      <w:r w:rsidR="00544E29" w:rsidRPr="00645FD3">
        <w:t>après les plantes hors</w:t>
      </w:r>
      <w:r w:rsidR="009E1FB4" w:rsidRPr="00645FD3">
        <w:t>-</w:t>
      </w:r>
      <w:r w:rsidR="00544E29" w:rsidRPr="00645FD3">
        <w:t>type sur la base de plusieurs cycles de végétation ou sur la base de sous</w:t>
      </w:r>
      <w:r w:rsidR="009E1FB4" w:rsidRPr="00645FD3">
        <w:t>-</w:t>
      </w:r>
      <w:r w:rsidR="00544E29" w:rsidRPr="00645FD3">
        <w:t>échantillons” en vue de leur inclusion dans le document TGP/10 “Examen de l</w:t>
      </w:r>
      <w:r w:rsidR="009E1FB4" w:rsidRPr="00645FD3">
        <w:t>’</w:t>
      </w:r>
      <w:r w:rsidR="00544E29" w:rsidRPr="00645FD3">
        <w:t>homogénéité” (voir les paragraphes</w:t>
      </w:r>
      <w:r w:rsidR="00E5665F" w:rsidRPr="00645FD3">
        <w:t> </w:t>
      </w:r>
      <w:r w:rsidR="00544E29" w:rsidRPr="00645FD3">
        <w:t>231 et 232 du document </w:t>
      </w:r>
      <w:hyperlink r:id="rId12" w:history="1">
        <w:r w:rsidR="00D811BF">
          <w:rPr>
            <w:rStyle w:val="Hyperlink"/>
          </w:rPr>
          <w:t>TC/54/31 Corr.</w:t>
        </w:r>
      </w:hyperlink>
      <w:r w:rsidR="00544E29" w:rsidRPr="00645FD3">
        <w:t xml:space="preserve"> “Compte rendu”).</w:t>
      </w:r>
    </w:p>
    <w:p w:rsidR="00917A05" w:rsidRPr="00645FD3" w:rsidRDefault="00917A05" w:rsidP="00DB2BDB"/>
    <w:p w:rsidR="009E1FB4" w:rsidRPr="00645FD3" w:rsidRDefault="004B4CDA" w:rsidP="004B4CDA">
      <w:pPr>
        <w:rPr>
          <w:spacing w:val="-2"/>
        </w:rPr>
      </w:pPr>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544E29" w:rsidRPr="00645FD3">
        <w:rPr>
          <w:spacing w:val="-2"/>
        </w:rPr>
        <w:t>Sur la base de ce qui précède, le</w:t>
      </w:r>
      <w:r w:rsidR="009E1FB4" w:rsidRPr="00645FD3">
        <w:rPr>
          <w:spacing w:val="-2"/>
        </w:rPr>
        <w:t> TC</w:t>
      </w:r>
      <w:r w:rsidR="00544E29" w:rsidRPr="00645FD3">
        <w:rPr>
          <w:spacing w:val="-2"/>
        </w:rPr>
        <w:t xml:space="preserve"> est convenu qu</w:t>
      </w:r>
      <w:r w:rsidR="009E1FB4" w:rsidRPr="00645FD3">
        <w:rPr>
          <w:spacing w:val="-2"/>
        </w:rPr>
        <w:t>’</w:t>
      </w:r>
      <w:r w:rsidR="00544E29" w:rsidRPr="00645FD3">
        <w:rPr>
          <w:spacing w:val="-2"/>
        </w:rPr>
        <w:t xml:space="preserve">une version révisée du </w:t>
      </w:r>
      <w:r w:rsidR="009E1FB4" w:rsidRPr="00645FD3">
        <w:rPr>
          <w:spacing w:val="-2"/>
        </w:rPr>
        <w:t>document TG</w:t>
      </w:r>
      <w:r w:rsidR="00544E29" w:rsidRPr="00645FD3">
        <w:rPr>
          <w:spacing w:val="-2"/>
        </w:rPr>
        <w:t>P/8/3 (</w:t>
      </w:r>
      <w:r w:rsidR="009E1FB4" w:rsidRPr="00645FD3">
        <w:rPr>
          <w:spacing w:val="-2"/>
        </w:rPr>
        <w:t>document</w:t>
      </w:r>
      <w:r w:rsidR="00C752B0" w:rsidRPr="00645FD3">
        <w:rPr>
          <w:spacing w:val="-2"/>
        </w:rPr>
        <w:t> </w:t>
      </w:r>
      <w:r w:rsidR="009E1FB4" w:rsidRPr="00645FD3">
        <w:rPr>
          <w:spacing w:val="-2"/>
        </w:rPr>
        <w:t>TG</w:t>
      </w:r>
      <w:r w:rsidR="00C752B0" w:rsidRPr="00645FD3">
        <w:rPr>
          <w:spacing w:val="-2"/>
        </w:rPr>
        <w:t>P/8/4 </w:t>
      </w:r>
      <w:r w:rsidR="00544E29" w:rsidRPr="00645FD3">
        <w:rPr>
          <w:spacing w:val="-2"/>
        </w:rPr>
        <w:t>Draft 1) devait être soumise au Conseil pour adoption à sa cinquante</w:t>
      </w:r>
      <w:r w:rsidR="009E1FB4" w:rsidRPr="00645FD3">
        <w:rPr>
          <w:spacing w:val="-2"/>
        </w:rPr>
        <w:t>-</w:t>
      </w:r>
      <w:r w:rsidR="00544E29" w:rsidRPr="00645FD3">
        <w:rPr>
          <w:spacing w:val="-2"/>
        </w:rPr>
        <w:t>trois</w:t>
      </w:r>
      <w:r w:rsidR="00C752B0" w:rsidRPr="00645FD3">
        <w:rPr>
          <w:spacing w:val="-2"/>
        </w:rPr>
        <w:t xml:space="preserve">ième </w:t>
      </w:r>
      <w:r w:rsidR="009E1FB4" w:rsidRPr="00645FD3">
        <w:rPr>
          <w:spacing w:val="-2"/>
        </w:rPr>
        <w:t>session</w:t>
      </w:r>
      <w:r w:rsidR="00544E29" w:rsidRPr="00645FD3">
        <w:rPr>
          <w:spacing w:val="-2"/>
        </w:rPr>
        <w:t xml:space="preserve"> ordinaire, sous réserve de l</w:t>
      </w:r>
      <w:r w:rsidR="009E1FB4" w:rsidRPr="00645FD3">
        <w:rPr>
          <w:spacing w:val="-2"/>
        </w:rPr>
        <w:t>’</w:t>
      </w:r>
      <w:r w:rsidR="00544E29" w:rsidRPr="00645FD3">
        <w:rPr>
          <w:spacing w:val="-2"/>
        </w:rPr>
        <w:t>approbation du CAJ à sa soixante</w:t>
      </w:r>
      <w:r w:rsidR="009E1FB4" w:rsidRPr="00645FD3">
        <w:rPr>
          <w:spacing w:val="-2"/>
        </w:rPr>
        <w:t>-</w:t>
      </w:r>
      <w:r w:rsidR="00544E29" w:rsidRPr="00645FD3">
        <w:rPr>
          <w:spacing w:val="-2"/>
        </w:rPr>
        <w:t>seiz</w:t>
      </w:r>
      <w:r w:rsidR="009E1FB4" w:rsidRPr="00645FD3">
        <w:rPr>
          <w:spacing w:val="-2"/>
        </w:rPr>
        <w:t>ième session</w:t>
      </w:r>
      <w:r w:rsidRPr="00645FD3">
        <w:rPr>
          <w:spacing w:val="-2"/>
          <w:vertAlign w:val="superscript"/>
        </w:rPr>
        <w:fldChar w:fldCharType="begin"/>
      </w:r>
      <w:r w:rsidRPr="00645FD3">
        <w:rPr>
          <w:spacing w:val="-2"/>
          <w:vertAlign w:val="superscript"/>
        </w:rPr>
        <w:instrText xml:space="preserve"> NOTEREF _Ref13509809 \h  \* MERGEFORMAT </w:instrText>
      </w:r>
      <w:r w:rsidRPr="00645FD3">
        <w:rPr>
          <w:spacing w:val="-2"/>
          <w:vertAlign w:val="superscript"/>
        </w:rPr>
      </w:r>
      <w:r w:rsidRPr="00645FD3">
        <w:rPr>
          <w:spacing w:val="-2"/>
          <w:vertAlign w:val="superscript"/>
        </w:rPr>
        <w:fldChar w:fldCharType="separate"/>
      </w:r>
      <w:r w:rsidR="009A21B9" w:rsidRPr="00645FD3">
        <w:rPr>
          <w:spacing w:val="-2"/>
          <w:vertAlign w:val="superscript"/>
        </w:rPr>
        <w:t>2</w:t>
      </w:r>
      <w:r w:rsidRPr="00645FD3">
        <w:rPr>
          <w:spacing w:val="-2"/>
          <w:vertAlign w:val="superscript"/>
        </w:rPr>
        <w:fldChar w:fldCharType="end"/>
      </w:r>
      <w:r w:rsidRPr="00645FD3">
        <w:rPr>
          <w:spacing w:val="-2"/>
        </w:rPr>
        <w:t>.</w:t>
      </w:r>
    </w:p>
    <w:p w:rsidR="00917A05" w:rsidRPr="00645FD3" w:rsidRDefault="00917A05" w:rsidP="004B4CDA">
      <w:pPr>
        <w:rPr>
          <w:spacing w:val="-2"/>
        </w:rPr>
      </w:pPr>
    </w:p>
    <w:p w:rsidR="00F0369B" w:rsidRPr="00645FD3" w:rsidRDefault="004B4CDA" w:rsidP="004B4CDA">
      <w:pPr>
        <w:rPr>
          <w:spacing w:val="-2"/>
        </w:rPr>
      </w:pPr>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544E29" w:rsidRPr="00645FD3">
        <w:rPr>
          <w:spacing w:val="-2"/>
        </w:rPr>
        <w:t xml:space="preserve">Les traductions en français, allemand et espagnol du texte anglais original ont été examinées par les membres concernés du Comité de rédaction avant la présentation du projet de </w:t>
      </w:r>
      <w:r w:rsidR="009E1FB4" w:rsidRPr="00645FD3">
        <w:rPr>
          <w:spacing w:val="-2"/>
        </w:rPr>
        <w:t>document TG</w:t>
      </w:r>
      <w:r w:rsidR="00544E29" w:rsidRPr="00645FD3">
        <w:rPr>
          <w:spacing w:val="-2"/>
        </w:rPr>
        <w:t>P/8/4 au Conse</w:t>
      </w:r>
      <w:r w:rsidR="00B5679E" w:rsidRPr="00645FD3">
        <w:rPr>
          <w:spacing w:val="-2"/>
        </w:rPr>
        <w:t>il.  Le</w:t>
      </w:r>
      <w:r w:rsidR="00544E29" w:rsidRPr="00645FD3">
        <w:rPr>
          <w:spacing w:val="-2"/>
        </w:rPr>
        <w:t xml:space="preserve"> </w:t>
      </w:r>
      <w:r w:rsidR="009E1FB4" w:rsidRPr="00645FD3">
        <w:rPr>
          <w:spacing w:val="-2"/>
        </w:rPr>
        <w:t>document TG</w:t>
      </w:r>
      <w:r w:rsidR="00544E29" w:rsidRPr="00645FD3">
        <w:rPr>
          <w:spacing w:val="-2"/>
        </w:rPr>
        <w:t>P/8/4 Draft 1 contient les modifications approuvées par le</w:t>
      </w:r>
      <w:r w:rsidR="009E1FB4" w:rsidRPr="00645FD3">
        <w:rPr>
          <w:spacing w:val="-2"/>
        </w:rPr>
        <w:t> TC</w:t>
      </w:r>
      <w:r w:rsidR="00544E29" w:rsidRPr="00645FD3">
        <w:rPr>
          <w:spacing w:val="-2"/>
        </w:rPr>
        <w:t xml:space="preserve"> figurant à l</w:t>
      </w:r>
      <w:r w:rsidR="009E1FB4" w:rsidRPr="00645FD3">
        <w:rPr>
          <w:spacing w:val="-2"/>
        </w:rPr>
        <w:t>’</w:t>
      </w:r>
      <w:r w:rsidR="00544E29" w:rsidRPr="00645FD3">
        <w:rPr>
          <w:spacing w:val="-2"/>
        </w:rPr>
        <w:t>annexe II du présent document (avec changements apparents), ainsi que les modifications d</w:t>
      </w:r>
      <w:r w:rsidR="009E1FB4" w:rsidRPr="00645FD3">
        <w:rPr>
          <w:spacing w:val="-2"/>
        </w:rPr>
        <w:t>’</w:t>
      </w:r>
      <w:r w:rsidR="00544E29" w:rsidRPr="00645FD3">
        <w:rPr>
          <w:spacing w:val="-2"/>
        </w:rPr>
        <w:t>ordre linguistique apportées par les membres concernés du Comité de rédaction</w:t>
      </w:r>
      <w:r w:rsidRPr="00645FD3">
        <w:rPr>
          <w:spacing w:val="-2"/>
        </w:rPr>
        <w:t>.</w:t>
      </w:r>
      <w:r w:rsidR="00F0369B" w:rsidRPr="00645FD3">
        <w:rPr>
          <w:spacing w:val="-2"/>
        </w:rPr>
        <w:t xml:space="preserve"> </w:t>
      </w:r>
      <w:r w:rsidR="00F0369B" w:rsidRPr="00645FD3">
        <w:rPr>
          <w:spacing w:val="-2"/>
        </w:rPr>
        <w:br w:type="page"/>
      </w:r>
    </w:p>
    <w:p w:rsidR="009E1FB4" w:rsidRPr="00645FD3" w:rsidRDefault="00084193" w:rsidP="00BF0B0F">
      <w:pPr>
        <w:keepLines/>
      </w:pPr>
      <w:r w:rsidRPr="00645FD3">
        <w:rPr>
          <w:spacing w:val="-2"/>
        </w:rPr>
        <w:lastRenderedPageBreak/>
        <w:fldChar w:fldCharType="begin"/>
      </w:r>
      <w:r w:rsidRPr="00645FD3">
        <w:rPr>
          <w:spacing w:val="-2"/>
        </w:rPr>
        <w:instrText xml:space="preserve"> AUTONUM  </w:instrText>
      </w:r>
      <w:r w:rsidRPr="00645FD3">
        <w:rPr>
          <w:spacing w:val="-2"/>
        </w:rPr>
        <w:fldChar w:fldCharType="end"/>
      </w:r>
      <w:r w:rsidRPr="00645FD3">
        <w:rPr>
          <w:spacing w:val="-2"/>
        </w:rPr>
        <w:tab/>
      </w:r>
      <w:r w:rsidR="00544E29" w:rsidRPr="00645FD3">
        <w:rPr>
          <w:spacing w:val="-2"/>
        </w:rPr>
        <w:t xml:space="preserve">Un compte rendu des </w:t>
      </w:r>
      <w:r w:rsidRPr="00645FD3">
        <w:rPr>
          <w:spacing w:val="-2"/>
        </w:rPr>
        <w:t xml:space="preserve">conclusions </w:t>
      </w:r>
      <w:r w:rsidR="00544E29" w:rsidRPr="00645FD3">
        <w:rPr>
          <w:spacing w:val="-2"/>
        </w:rPr>
        <w:t>formulées par le</w:t>
      </w:r>
      <w:r w:rsidR="009E1FB4" w:rsidRPr="00645FD3">
        <w:rPr>
          <w:spacing w:val="-2"/>
        </w:rPr>
        <w:t> TC</w:t>
      </w:r>
      <w:r w:rsidRPr="00645FD3">
        <w:rPr>
          <w:spacing w:val="-2"/>
        </w:rPr>
        <w:t xml:space="preserve"> </w:t>
      </w:r>
      <w:r w:rsidR="00544E29" w:rsidRPr="00645FD3">
        <w:rPr>
          <w:spacing w:val="-2"/>
        </w:rPr>
        <w:t>à sa cinquante</w:t>
      </w:r>
      <w:r w:rsidR="009E1FB4" w:rsidRPr="00645FD3">
        <w:rPr>
          <w:spacing w:val="-2"/>
        </w:rPr>
        <w:t>-</w:t>
      </w:r>
      <w:r w:rsidR="00544E29" w:rsidRPr="00645FD3">
        <w:rPr>
          <w:spacing w:val="-2"/>
        </w:rPr>
        <w:t>cinqu</w:t>
      </w:r>
      <w:r w:rsidR="009E1FB4" w:rsidRPr="00645FD3">
        <w:rPr>
          <w:spacing w:val="-2"/>
        </w:rPr>
        <w:t>ième session</w:t>
      </w:r>
      <w:hyperlink w:anchor="notebasdepage3" w:history="1">
        <w:r w:rsidR="00461106" w:rsidRPr="00645FD3">
          <w:rPr>
            <w:rStyle w:val="Hyperlink"/>
            <w:color w:val="auto"/>
            <w:spacing w:val="-2"/>
            <w:u w:val="none"/>
            <w:vertAlign w:val="superscript"/>
          </w:rPr>
          <w:t>3</w:t>
        </w:r>
      </w:hyperlink>
      <w:r w:rsidR="00461106" w:rsidRPr="00645FD3">
        <w:rPr>
          <w:spacing w:val="-2"/>
        </w:rPr>
        <w:t xml:space="preserve"> </w:t>
      </w:r>
      <w:r w:rsidR="00544E29" w:rsidRPr="00645FD3">
        <w:rPr>
          <w:spacing w:val="-2"/>
        </w:rPr>
        <w:t>et par</w:t>
      </w:r>
      <w:r w:rsidR="009E1FB4" w:rsidRPr="00645FD3">
        <w:rPr>
          <w:spacing w:val="-2"/>
        </w:rPr>
        <w:t xml:space="preserve"> le </w:t>
      </w:r>
      <w:r w:rsidR="009E1FB4" w:rsidRPr="00645FD3">
        <w:t>CAJ</w:t>
      </w:r>
      <w:r w:rsidR="00544E29" w:rsidRPr="00645FD3">
        <w:t xml:space="preserve"> à sa soixante</w:t>
      </w:r>
      <w:r w:rsidR="009E1FB4" w:rsidRPr="00645FD3">
        <w:t>-</w:t>
      </w:r>
      <w:r w:rsidR="00544E29" w:rsidRPr="00645FD3">
        <w:t>seiz</w:t>
      </w:r>
      <w:r w:rsidR="009E1FB4" w:rsidRPr="00645FD3">
        <w:t>ième session</w:t>
      </w:r>
      <w:r w:rsidR="00FB361A" w:rsidRPr="00645FD3">
        <w:rPr>
          <w:vertAlign w:val="superscript"/>
        </w:rPr>
        <w:fldChar w:fldCharType="begin"/>
      </w:r>
      <w:r w:rsidR="00FB361A" w:rsidRPr="00645FD3">
        <w:rPr>
          <w:vertAlign w:val="superscript"/>
        </w:rPr>
        <w:instrText xml:space="preserve"> NOTEREF _Ref13509809 \h  \* MERGEFORMAT </w:instrText>
      </w:r>
      <w:r w:rsidR="00FB361A" w:rsidRPr="00645FD3">
        <w:rPr>
          <w:vertAlign w:val="superscript"/>
        </w:rPr>
      </w:r>
      <w:r w:rsidR="00FB361A" w:rsidRPr="00645FD3">
        <w:rPr>
          <w:vertAlign w:val="superscript"/>
        </w:rPr>
        <w:fldChar w:fldCharType="separate"/>
      </w:r>
      <w:r w:rsidR="009A21B9" w:rsidRPr="00645FD3">
        <w:rPr>
          <w:vertAlign w:val="superscript"/>
        </w:rPr>
        <w:t>2</w:t>
      </w:r>
      <w:r w:rsidR="00FB361A" w:rsidRPr="00645FD3">
        <w:rPr>
          <w:vertAlign w:val="superscript"/>
        </w:rPr>
        <w:fldChar w:fldCharType="end"/>
      </w:r>
      <w:r w:rsidRPr="00645FD3">
        <w:t xml:space="preserve">, </w:t>
      </w:r>
      <w:r w:rsidR="00544E29" w:rsidRPr="00645FD3">
        <w:t xml:space="preserve">au sujet des propositions de révision du </w:t>
      </w:r>
      <w:r w:rsidRPr="00645FD3">
        <w:t xml:space="preserve">document TGP/8/3 </w:t>
      </w:r>
      <w:r w:rsidR="00544E29" w:rsidRPr="00645FD3">
        <w:t>sera présenté au Conseil à sa cinquante</w:t>
      </w:r>
      <w:r w:rsidR="009E1FB4" w:rsidRPr="00645FD3">
        <w:t>-</w:t>
      </w:r>
      <w:r w:rsidR="00544E29" w:rsidRPr="00645FD3">
        <w:t>trois</w:t>
      </w:r>
      <w:r w:rsidR="009E1FB4" w:rsidRPr="00645FD3">
        <w:t>ième session</w:t>
      </w:r>
      <w:r w:rsidR="00544E29" w:rsidRPr="00645FD3">
        <w:t xml:space="preserve"> ordinaire </w:t>
      </w:r>
      <w:r w:rsidRPr="00645FD3">
        <w:t>(</w:t>
      </w:r>
      <w:r w:rsidR="00544E29" w:rsidRPr="00645FD3">
        <w:t>voir les</w:t>
      </w:r>
      <w:r w:rsidRPr="00645FD3">
        <w:t xml:space="preserve"> </w:t>
      </w:r>
      <w:r w:rsidR="009E1FB4" w:rsidRPr="00645FD3">
        <w:t>documents TC</w:t>
      </w:r>
      <w:r w:rsidRPr="00645FD3">
        <w:t>/55/[</w:t>
      </w:r>
      <w:r w:rsidR="00FB361A" w:rsidRPr="00645FD3">
        <w:t>xx</w:t>
      </w:r>
      <w:r w:rsidRPr="00645FD3">
        <w:t>] “</w:t>
      </w:r>
      <w:r w:rsidR="00544E29" w:rsidRPr="00645FD3">
        <w:t>Compte rendu</w:t>
      </w:r>
      <w:r w:rsidRPr="00645FD3">
        <w:t xml:space="preserve">” </w:t>
      </w:r>
      <w:r w:rsidR="00544E29" w:rsidRPr="00645FD3">
        <w:t>et</w:t>
      </w:r>
      <w:r w:rsidRPr="00645FD3">
        <w:t xml:space="preserve"> CAJ/76/[</w:t>
      </w:r>
      <w:r w:rsidR="00FB361A" w:rsidRPr="00645FD3">
        <w:t>xx</w:t>
      </w:r>
      <w:r w:rsidRPr="00645FD3">
        <w:t>] “</w:t>
      </w:r>
      <w:r w:rsidR="00544E29" w:rsidRPr="00645FD3">
        <w:t>Compte rendu</w:t>
      </w:r>
      <w:r w:rsidRPr="00645FD3">
        <w:t>”).</w:t>
      </w:r>
    </w:p>
    <w:p w:rsidR="00917A05" w:rsidRPr="00645FD3" w:rsidRDefault="00917A05" w:rsidP="00DB2BDB"/>
    <w:p w:rsidR="009E1FB4" w:rsidRPr="00645FD3" w:rsidRDefault="00DB2BDB" w:rsidP="00DB2BDB">
      <w:pPr>
        <w:pStyle w:val="DecisionParagraphs"/>
      </w:pPr>
      <w:r w:rsidRPr="00645FD3">
        <w:fldChar w:fldCharType="begin"/>
      </w:r>
      <w:r w:rsidRPr="00645FD3">
        <w:instrText xml:space="preserve"> AUTONUM  </w:instrText>
      </w:r>
      <w:r w:rsidRPr="00645FD3">
        <w:fldChar w:fldCharType="end"/>
      </w:r>
      <w:r w:rsidRPr="00645FD3">
        <w:tab/>
      </w:r>
      <w:r w:rsidR="007F2B54" w:rsidRPr="00645FD3">
        <w:t xml:space="preserve">Le Conseil est invité à </w:t>
      </w:r>
      <w:r w:rsidR="00740B44" w:rsidRPr="00645FD3">
        <w:t>adopter</w:t>
      </w:r>
      <w:r w:rsidR="007F2B54" w:rsidRPr="00645FD3">
        <w:t xml:space="preserve"> la version révisée du document TGP/8 “Protocole d</w:t>
      </w:r>
      <w:r w:rsidR="009E1FB4" w:rsidRPr="00645FD3">
        <w:t>’</w:t>
      </w:r>
      <w:r w:rsidR="007F2B54" w:rsidRPr="00645FD3">
        <w:t>essai et techniques utilisés dans l</w:t>
      </w:r>
      <w:r w:rsidR="009E1FB4" w:rsidRPr="00645FD3">
        <w:t>’</w:t>
      </w:r>
      <w:r w:rsidR="007F2B54" w:rsidRPr="00645FD3">
        <w:t>examen de la distinction, de l</w:t>
      </w:r>
      <w:r w:rsidR="009E1FB4" w:rsidRPr="00645FD3">
        <w:t>’</w:t>
      </w:r>
      <w:r w:rsidR="007F2B54" w:rsidRPr="00645FD3">
        <w:t>homogénéité et de la stabilité” (document TGP/8/3), sur la base du document TGP/8/4 Draft 1, compte tenu des conclusions formulées par le</w:t>
      </w:r>
      <w:r w:rsidR="00C752B0" w:rsidRPr="00645FD3">
        <w:t xml:space="preserve"> </w:t>
      </w:r>
      <w:r w:rsidR="009E1FB4" w:rsidRPr="00645FD3">
        <w:t>TC</w:t>
      </w:r>
      <w:r w:rsidR="007F2B54" w:rsidRPr="00645FD3">
        <w:t xml:space="preserve"> à sa cinquante</w:t>
      </w:r>
      <w:r w:rsidR="00DD7A8C" w:rsidRPr="00645FD3">
        <w:noBreakHyphen/>
      </w:r>
      <w:r w:rsidR="007F2B54" w:rsidRPr="00645FD3">
        <w:t>cinqu</w:t>
      </w:r>
      <w:r w:rsidR="00DD7A8C" w:rsidRPr="00645FD3">
        <w:t xml:space="preserve">ième </w:t>
      </w:r>
      <w:r w:rsidR="009E1FB4" w:rsidRPr="00645FD3">
        <w:t>session</w:t>
      </w:r>
      <w:r w:rsidR="007F2B54" w:rsidRPr="00645FD3">
        <w:t xml:space="preserve"> et par</w:t>
      </w:r>
      <w:r w:rsidR="009E1FB4" w:rsidRPr="00645FD3">
        <w:t xml:space="preserve"> le</w:t>
      </w:r>
      <w:r w:rsidR="00C752B0" w:rsidRPr="00645FD3">
        <w:t xml:space="preserve"> </w:t>
      </w:r>
      <w:r w:rsidR="009E1FB4" w:rsidRPr="00645FD3">
        <w:t>CAJ</w:t>
      </w:r>
      <w:r w:rsidR="007F2B54" w:rsidRPr="00645FD3">
        <w:t xml:space="preserve"> à sa soixante</w:t>
      </w:r>
      <w:r w:rsidR="009E1FB4" w:rsidRPr="00645FD3">
        <w:t>-</w:t>
      </w:r>
      <w:r w:rsidR="007F2B54" w:rsidRPr="00645FD3">
        <w:t>seiz</w:t>
      </w:r>
      <w:r w:rsidR="00DD7A8C" w:rsidRPr="00645FD3">
        <w:t xml:space="preserve">ième </w:t>
      </w:r>
      <w:r w:rsidR="009E1FB4" w:rsidRPr="00645FD3">
        <w:t>session</w:t>
      </w:r>
      <w:r w:rsidRPr="00645FD3">
        <w:t>.</w:t>
      </w:r>
    </w:p>
    <w:p w:rsidR="00917A05" w:rsidRPr="00645FD3" w:rsidRDefault="00917A05" w:rsidP="008966F7">
      <w:pPr>
        <w:jc w:val="left"/>
      </w:pPr>
    </w:p>
    <w:p w:rsidR="00917A05" w:rsidRPr="00645FD3" w:rsidRDefault="00917A05" w:rsidP="008966F7">
      <w:pPr>
        <w:jc w:val="left"/>
      </w:pPr>
    </w:p>
    <w:p w:rsidR="00917A05" w:rsidRPr="00645FD3" w:rsidRDefault="003D0EB7" w:rsidP="00191B77">
      <w:pPr>
        <w:keepNext/>
        <w:jc w:val="left"/>
        <w:rPr>
          <w:bCs/>
          <w:snapToGrid w:val="0"/>
          <w:szCs w:val="24"/>
          <w:u w:val="single"/>
        </w:rPr>
      </w:pPr>
      <w:r w:rsidRPr="00645FD3">
        <w:rPr>
          <w:bCs/>
          <w:snapToGrid w:val="0"/>
          <w:szCs w:val="24"/>
          <w:u w:val="single"/>
        </w:rPr>
        <w:t>TGP/10</w:t>
      </w:r>
      <w:r w:rsidR="009E1FB4" w:rsidRPr="00645FD3">
        <w:rPr>
          <w:bCs/>
          <w:snapToGrid w:val="0"/>
          <w:szCs w:val="24"/>
          <w:u w:val="single"/>
        </w:rPr>
        <w:t> :</w:t>
      </w:r>
      <w:r w:rsidR="007D3092" w:rsidRPr="00645FD3">
        <w:rPr>
          <w:u w:val="single"/>
        </w:rPr>
        <w:t xml:space="preserve"> </w:t>
      </w:r>
      <w:r w:rsidR="007D3092" w:rsidRPr="00645FD3">
        <w:rPr>
          <w:bCs/>
          <w:snapToGrid w:val="0"/>
          <w:szCs w:val="24"/>
          <w:u w:val="single"/>
        </w:rPr>
        <w:t>Examen de l</w:t>
      </w:r>
      <w:r w:rsidR="009E1FB4" w:rsidRPr="00645FD3">
        <w:rPr>
          <w:bCs/>
          <w:snapToGrid w:val="0"/>
          <w:szCs w:val="24"/>
          <w:u w:val="single"/>
        </w:rPr>
        <w:t>’</w:t>
      </w:r>
      <w:r w:rsidR="007D3092" w:rsidRPr="00645FD3">
        <w:rPr>
          <w:bCs/>
          <w:snapToGrid w:val="0"/>
          <w:szCs w:val="24"/>
          <w:u w:val="single"/>
        </w:rPr>
        <w:t>homogénéité (révision) (</w:t>
      </w:r>
      <w:r w:rsidR="009E1FB4" w:rsidRPr="00645FD3">
        <w:rPr>
          <w:bCs/>
          <w:snapToGrid w:val="0"/>
          <w:szCs w:val="24"/>
          <w:u w:val="single"/>
        </w:rPr>
        <w:t>document TG</w:t>
      </w:r>
      <w:r w:rsidR="007D3092" w:rsidRPr="00645FD3">
        <w:rPr>
          <w:bCs/>
          <w:snapToGrid w:val="0"/>
          <w:szCs w:val="24"/>
          <w:u w:val="single"/>
        </w:rPr>
        <w:t>P/10/2 Draft</w:t>
      </w:r>
      <w:r w:rsidR="00E5665F" w:rsidRPr="00645FD3">
        <w:rPr>
          <w:bCs/>
          <w:snapToGrid w:val="0"/>
          <w:szCs w:val="24"/>
          <w:u w:val="single"/>
        </w:rPr>
        <w:t> </w:t>
      </w:r>
      <w:r w:rsidR="007D3092" w:rsidRPr="00645FD3">
        <w:rPr>
          <w:bCs/>
          <w:snapToGrid w:val="0"/>
          <w:szCs w:val="24"/>
          <w:u w:val="single"/>
        </w:rPr>
        <w:t>1</w:t>
      </w:r>
      <w:r w:rsidR="00D131B7" w:rsidRPr="00645FD3">
        <w:rPr>
          <w:bCs/>
          <w:snapToGrid w:val="0"/>
          <w:szCs w:val="24"/>
          <w:u w:val="single"/>
        </w:rPr>
        <w:t>)</w:t>
      </w:r>
    </w:p>
    <w:p w:rsidR="00917A05" w:rsidRPr="00645FD3" w:rsidRDefault="00917A05" w:rsidP="00191B77">
      <w:pPr>
        <w:keepNext/>
      </w:pPr>
    </w:p>
    <w:p w:rsidR="009E1FB4" w:rsidRPr="00645FD3" w:rsidRDefault="00191B77" w:rsidP="00191B77">
      <w:pPr>
        <w:keepNext/>
        <w:keepLines/>
        <w:rPr>
          <w:rFonts w:eastAsia="MS Mincho"/>
          <w:szCs w:val="24"/>
          <w:lang w:eastAsia="ja-JP"/>
        </w:rPr>
      </w:pPr>
      <w:r w:rsidRPr="00645FD3">
        <w:fldChar w:fldCharType="begin"/>
      </w:r>
      <w:r w:rsidRPr="00645FD3">
        <w:instrText xml:space="preserve"> AUTONUM  </w:instrText>
      </w:r>
      <w:r w:rsidRPr="00645FD3">
        <w:fldChar w:fldCharType="end"/>
      </w:r>
      <w:r w:rsidRPr="00645FD3">
        <w:tab/>
      </w:r>
      <w:r w:rsidR="007D3092" w:rsidRPr="00645FD3">
        <w:t>À sa cinquante</w:t>
      </w:r>
      <w:r w:rsidR="009E1FB4" w:rsidRPr="00645FD3">
        <w:t>-</w:t>
      </w:r>
      <w:r w:rsidR="007D3092" w:rsidRPr="00645FD3">
        <w:t>quatr</w:t>
      </w:r>
      <w:r w:rsidR="009E1FB4" w:rsidRPr="00645FD3">
        <w:t>ième session</w:t>
      </w:r>
      <w:r w:rsidR="00E5665F" w:rsidRPr="00645FD3">
        <w:rPr>
          <w:vertAlign w:val="superscript"/>
        </w:rPr>
        <w:t> </w:t>
      </w:r>
      <w:r w:rsidR="00FB361A" w:rsidRPr="00645FD3">
        <w:rPr>
          <w:vertAlign w:val="superscript"/>
        </w:rPr>
        <w:fldChar w:fldCharType="begin"/>
      </w:r>
      <w:r w:rsidR="00FB361A" w:rsidRPr="00645FD3">
        <w:rPr>
          <w:vertAlign w:val="superscript"/>
        </w:rPr>
        <w:instrText xml:space="preserve"> NOTEREF _Ref13507369 \h  \* MERGEFORMAT </w:instrText>
      </w:r>
      <w:r w:rsidR="00FB361A" w:rsidRPr="00645FD3">
        <w:rPr>
          <w:vertAlign w:val="superscript"/>
        </w:rPr>
      </w:r>
      <w:r w:rsidR="00FB361A" w:rsidRPr="00645FD3">
        <w:rPr>
          <w:vertAlign w:val="superscript"/>
        </w:rPr>
        <w:fldChar w:fldCharType="separate"/>
      </w:r>
      <w:r w:rsidR="009A21B9" w:rsidRPr="00645FD3">
        <w:rPr>
          <w:vertAlign w:val="superscript"/>
        </w:rPr>
        <w:t>1</w:t>
      </w:r>
      <w:r w:rsidR="00FB361A" w:rsidRPr="00645FD3">
        <w:rPr>
          <w:vertAlign w:val="superscript"/>
        </w:rPr>
        <w:fldChar w:fldCharType="end"/>
      </w:r>
      <w:r w:rsidRPr="00645FD3">
        <w:t xml:space="preserve">, </w:t>
      </w:r>
      <w:r w:rsidR="007D3092" w:rsidRPr="00645FD3">
        <w:t>le</w:t>
      </w:r>
      <w:r w:rsidR="009E1FB4" w:rsidRPr="00645FD3">
        <w:t> TC</w:t>
      </w:r>
      <w:r w:rsidR="007D3092" w:rsidRPr="00645FD3">
        <w:t xml:space="preserve"> est convenu que le projet d</w:t>
      </w:r>
      <w:r w:rsidR="009E1FB4" w:rsidRPr="00645FD3">
        <w:t>’</w:t>
      </w:r>
      <w:r w:rsidR="007D3092" w:rsidRPr="00645FD3">
        <w:t>orientations sur l</w:t>
      </w:r>
      <w:r w:rsidR="009E1FB4" w:rsidRPr="00645FD3">
        <w:t>’</w:t>
      </w:r>
      <w:r w:rsidR="007D3092" w:rsidRPr="00645FD3">
        <w:t>“Évaluation de l</w:t>
      </w:r>
      <w:r w:rsidR="009E1FB4" w:rsidRPr="00645FD3">
        <w:t>’</w:t>
      </w:r>
      <w:r w:rsidR="007D3092" w:rsidRPr="00645FD3">
        <w:t>homogénéité d</w:t>
      </w:r>
      <w:r w:rsidR="009E1FB4" w:rsidRPr="00645FD3">
        <w:t>’</w:t>
      </w:r>
      <w:r w:rsidR="007D3092" w:rsidRPr="00645FD3">
        <w:t>après les plantes hors</w:t>
      </w:r>
      <w:r w:rsidR="009E1FB4" w:rsidRPr="00645FD3">
        <w:t>-</w:t>
      </w:r>
      <w:r w:rsidR="007D3092" w:rsidRPr="00645FD3">
        <w:t>type sur la base de plusieurs cycles de végétation ou sur la</w:t>
      </w:r>
      <w:r w:rsidR="00461106" w:rsidRPr="00645FD3">
        <w:t xml:space="preserve"> base de sous</w:t>
      </w:r>
      <w:r w:rsidR="009E1FB4" w:rsidRPr="00645FD3">
        <w:t>-</w:t>
      </w:r>
      <w:r w:rsidR="00461106" w:rsidRPr="00645FD3">
        <w:t>échantillons” dev</w:t>
      </w:r>
      <w:r w:rsidR="007D3092" w:rsidRPr="00645FD3">
        <w:t>ait être soumis au Conseil pour adoption en vue de son inclusion dans une future version révisée du document TGP/10 “Examen de l</w:t>
      </w:r>
      <w:r w:rsidR="009E1FB4" w:rsidRPr="00645FD3">
        <w:t>’</w:t>
      </w:r>
      <w:r w:rsidR="007D3092" w:rsidRPr="00645FD3">
        <w:t>homogénéité”</w:t>
      </w:r>
      <w:r w:rsidR="007D2E34" w:rsidRPr="00645FD3">
        <w:t xml:space="preserve"> (</w:t>
      </w:r>
      <w:r w:rsidR="007D3092" w:rsidRPr="00645FD3">
        <w:t>voir les paragraphes</w:t>
      </w:r>
      <w:r w:rsidR="00E5665F" w:rsidRPr="00645FD3">
        <w:t> </w:t>
      </w:r>
      <w:r w:rsidR="007D3092" w:rsidRPr="00645FD3">
        <w:t xml:space="preserve">233 et 234 du </w:t>
      </w:r>
      <w:r w:rsidR="007D2E34" w:rsidRPr="00645FD3">
        <w:t>document</w:t>
      </w:r>
      <w:r w:rsidR="00E5665F" w:rsidRPr="00645FD3">
        <w:t> </w:t>
      </w:r>
      <w:hyperlink r:id="rId13" w:history="1">
        <w:r w:rsidR="00D811BF">
          <w:rPr>
            <w:rStyle w:val="Hyperlink"/>
          </w:rPr>
          <w:t>TC/54/31 Corr.</w:t>
        </w:r>
      </w:hyperlink>
      <w:r w:rsidR="007D2E34" w:rsidRPr="00645FD3">
        <w:t xml:space="preserve"> “</w:t>
      </w:r>
      <w:r w:rsidR="007D3092" w:rsidRPr="00645FD3">
        <w:t>Compte rendu</w:t>
      </w:r>
      <w:r w:rsidR="007D2E34" w:rsidRPr="00645FD3">
        <w:t>”).</w:t>
      </w:r>
    </w:p>
    <w:p w:rsidR="00917A05" w:rsidRPr="00645FD3" w:rsidRDefault="00917A05" w:rsidP="00191B77"/>
    <w:p w:rsidR="00917A05" w:rsidRPr="00645FD3" w:rsidRDefault="00FB361A" w:rsidP="00FB361A">
      <w:pPr>
        <w:rPr>
          <w:bCs/>
          <w:snapToGrid w:val="0"/>
          <w:szCs w:val="24"/>
        </w:rPr>
      </w:pPr>
      <w:r w:rsidRPr="00645FD3">
        <w:fldChar w:fldCharType="begin"/>
      </w:r>
      <w:r w:rsidRPr="00645FD3">
        <w:instrText xml:space="preserve"> AUTONUM  </w:instrText>
      </w:r>
      <w:r w:rsidRPr="00645FD3">
        <w:fldChar w:fldCharType="end"/>
      </w:r>
      <w:r w:rsidRPr="00645FD3">
        <w:tab/>
      </w:r>
      <w:r w:rsidR="003F03EE" w:rsidRPr="00645FD3">
        <w:t xml:space="preserve">Les traductions en français, allemand et espagnol du texte anglais original ont été examinées par les membres concernés du Comité de rédaction avant la présentation du projet de </w:t>
      </w:r>
      <w:r w:rsidR="009E1FB4" w:rsidRPr="00645FD3">
        <w:t>document TG</w:t>
      </w:r>
      <w:r w:rsidR="003F03EE" w:rsidRPr="00645FD3">
        <w:t>P/10/2 au Conse</w:t>
      </w:r>
      <w:r w:rsidR="00B5679E" w:rsidRPr="00645FD3">
        <w:t>il.  Le</w:t>
      </w:r>
      <w:r w:rsidR="003F03EE" w:rsidRPr="00645FD3">
        <w:t xml:space="preserve"> </w:t>
      </w:r>
      <w:r w:rsidR="009E1FB4" w:rsidRPr="00645FD3">
        <w:t>document TG</w:t>
      </w:r>
      <w:r w:rsidR="003F03EE" w:rsidRPr="00645FD3">
        <w:t>P/10/2 Draft 1 contient les modifications approuvées par le</w:t>
      </w:r>
      <w:r w:rsidR="009E1FB4" w:rsidRPr="00645FD3">
        <w:t> TC</w:t>
      </w:r>
      <w:r w:rsidR="003F03EE" w:rsidRPr="00645FD3">
        <w:t xml:space="preserve"> figurant à l</w:t>
      </w:r>
      <w:r w:rsidR="009E1FB4" w:rsidRPr="00645FD3">
        <w:t>’</w:t>
      </w:r>
      <w:r w:rsidR="003F03EE" w:rsidRPr="00645FD3">
        <w:t>annexe III du présent document, ainsi que les modifications d</w:t>
      </w:r>
      <w:r w:rsidR="009E1FB4" w:rsidRPr="00645FD3">
        <w:t>’</w:t>
      </w:r>
      <w:r w:rsidR="003F03EE" w:rsidRPr="00645FD3">
        <w:t>ordre linguistique apportées par les membres concernés du Comité de rédaction</w:t>
      </w:r>
      <w:r w:rsidRPr="00645FD3">
        <w:t>.</w:t>
      </w:r>
    </w:p>
    <w:p w:rsidR="00917A05" w:rsidRPr="00645FD3" w:rsidRDefault="00917A05" w:rsidP="00FB361A">
      <w:pPr>
        <w:rPr>
          <w:bCs/>
          <w:snapToGrid w:val="0"/>
          <w:szCs w:val="24"/>
        </w:rPr>
      </w:pPr>
    </w:p>
    <w:p w:rsidR="009E1FB4" w:rsidRPr="00645FD3" w:rsidRDefault="00084193" w:rsidP="00084193">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3F03EE" w:rsidRPr="00645FD3">
        <w:rPr>
          <w:spacing w:val="-2"/>
        </w:rPr>
        <w:t>Un compte rendu des conclusions formulées par le</w:t>
      </w:r>
      <w:r w:rsidR="009E1FB4" w:rsidRPr="00645FD3">
        <w:rPr>
          <w:spacing w:val="-2"/>
        </w:rPr>
        <w:t> TC</w:t>
      </w:r>
      <w:r w:rsidR="003F03EE" w:rsidRPr="00645FD3">
        <w:rPr>
          <w:spacing w:val="-2"/>
        </w:rPr>
        <w:t xml:space="preserve"> à sa cinquante</w:t>
      </w:r>
      <w:r w:rsidR="009E1FB4" w:rsidRPr="00645FD3">
        <w:rPr>
          <w:spacing w:val="-2"/>
        </w:rPr>
        <w:t>-</w:t>
      </w:r>
      <w:r w:rsidR="003F03EE" w:rsidRPr="00645FD3">
        <w:rPr>
          <w:spacing w:val="-2"/>
        </w:rPr>
        <w:t>cinqu</w:t>
      </w:r>
      <w:r w:rsidR="009E1FB4" w:rsidRPr="00645FD3">
        <w:rPr>
          <w:spacing w:val="-2"/>
        </w:rPr>
        <w:t>ième session</w:t>
      </w:r>
      <w:hyperlink w:anchor="notebasdepage3" w:history="1">
        <w:r w:rsidR="00461106" w:rsidRPr="00645FD3">
          <w:rPr>
            <w:rStyle w:val="Hyperlink"/>
            <w:color w:val="auto"/>
            <w:spacing w:val="-2"/>
            <w:u w:val="none"/>
            <w:vertAlign w:val="superscript"/>
          </w:rPr>
          <w:t>3</w:t>
        </w:r>
      </w:hyperlink>
      <w:r w:rsidR="003F03EE" w:rsidRPr="00645FD3">
        <w:rPr>
          <w:spacing w:val="-2"/>
        </w:rPr>
        <w:t xml:space="preserve"> et par</w:t>
      </w:r>
      <w:r w:rsidR="009E1FB4" w:rsidRPr="00645FD3">
        <w:rPr>
          <w:spacing w:val="-2"/>
        </w:rPr>
        <w:t xml:space="preserve"> le </w:t>
      </w:r>
      <w:r w:rsidR="009E1FB4" w:rsidRPr="00645FD3">
        <w:t>CAJ</w:t>
      </w:r>
      <w:r w:rsidR="003F03EE" w:rsidRPr="00645FD3">
        <w:t xml:space="preserve"> à sa soixante</w:t>
      </w:r>
      <w:r w:rsidR="009E1FB4" w:rsidRPr="00645FD3">
        <w:t>-</w:t>
      </w:r>
      <w:r w:rsidR="003F03EE" w:rsidRPr="00645FD3">
        <w:t>seiz</w:t>
      </w:r>
      <w:r w:rsidR="009E1FB4" w:rsidRPr="00645FD3">
        <w:t>ième session</w:t>
      </w:r>
      <w:r w:rsidR="003F03EE" w:rsidRPr="00645FD3">
        <w:rPr>
          <w:vertAlign w:val="superscript"/>
        </w:rPr>
        <w:fldChar w:fldCharType="begin"/>
      </w:r>
      <w:r w:rsidR="003F03EE" w:rsidRPr="00645FD3">
        <w:rPr>
          <w:vertAlign w:val="superscript"/>
        </w:rPr>
        <w:instrText xml:space="preserve"> NOTEREF _Ref13509809 \h  \* MERGEFORMAT </w:instrText>
      </w:r>
      <w:r w:rsidR="003F03EE" w:rsidRPr="00645FD3">
        <w:rPr>
          <w:vertAlign w:val="superscript"/>
        </w:rPr>
      </w:r>
      <w:r w:rsidR="003F03EE" w:rsidRPr="00645FD3">
        <w:rPr>
          <w:vertAlign w:val="superscript"/>
        </w:rPr>
        <w:fldChar w:fldCharType="separate"/>
      </w:r>
      <w:r w:rsidR="003F03EE" w:rsidRPr="00645FD3">
        <w:rPr>
          <w:vertAlign w:val="superscript"/>
        </w:rPr>
        <w:t>2</w:t>
      </w:r>
      <w:r w:rsidR="003F03EE" w:rsidRPr="00645FD3">
        <w:rPr>
          <w:vertAlign w:val="superscript"/>
        </w:rPr>
        <w:fldChar w:fldCharType="end"/>
      </w:r>
      <w:r w:rsidR="003F03EE" w:rsidRPr="00645FD3">
        <w:t xml:space="preserve">, au sujet des propositions de révision du </w:t>
      </w:r>
      <w:r w:rsidRPr="00645FD3">
        <w:t>document TGP/10/1</w:t>
      </w:r>
      <w:r w:rsidR="003F03EE" w:rsidRPr="00645FD3">
        <w:t xml:space="preserve"> sera présenté au Conseil à sa cinquante</w:t>
      </w:r>
      <w:r w:rsidR="009E1FB4" w:rsidRPr="00645FD3">
        <w:t>-</w:t>
      </w:r>
      <w:r w:rsidR="003F03EE" w:rsidRPr="00645FD3">
        <w:t>trois</w:t>
      </w:r>
      <w:r w:rsidR="009E1FB4" w:rsidRPr="00645FD3">
        <w:t>ième session</w:t>
      </w:r>
      <w:r w:rsidR="003F03EE" w:rsidRPr="00645FD3">
        <w:t xml:space="preserve"> ordinaire (voir les </w:t>
      </w:r>
      <w:r w:rsidR="009E1FB4" w:rsidRPr="00645FD3">
        <w:t>documents TC</w:t>
      </w:r>
      <w:r w:rsidR="003F03EE" w:rsidRPr="00645FD3">
        <w:t>/55/[xx] “Compte rendu” et CAJ/76/[xx] “Compte rendu”)</w:t>
      </w:r>
      <w:r w:rsidRPr="00645FD3">
        <w:t>.</w:t>
      </w:r>
    </w:p>
    <w:p w:rsidR="00917A05" w:rsidRPr="00645FD3" w:rsidRDefault="00917A05" w:rsidP="00807CB1"/>
    <w:p w:rsidR="009E1FB4" w:rsidRPr="00645FD3" w:rsidRDefault="005D1FEE" w:rsidP="005D1FEE">
      <w:pPr>
        <w:pStyle w:val="DecisionParagraphs"/>
      </w:pPr>
      <w:r w:rsidRPr="00645FD3">
        <w:fldChar w:fldCharType="begin"/>
      </w:r>
      <w:r w:rsidRPr="00645FD3">
        <w:instrText xml:space="preserve"> AUTONUM  </w:instrText>
      </w:r>
      <w:r w:rsidRPr="00645FD3">
        <w:fldChar w:fldCharType="end"/>
      </w:r>
      <w:r w:rsidRPr="00645FD3">
        <w:tab/>
      </w:r>
      <w:r w:rsidR="003F03EE" w:rsidRPr="00645FD3">
        <w:t>Le Conseil est invité à adopter la version révisée du document TGP/10 “Examen de l</w:t>
      </w:r>
      <w:r w:rsidR="009E1FB4" w:rsidRPr="00645FD3">
        <w:t>’</w:t>
      </w:r>
      <w:r w:rsidR="003F03EE" w:rsidRPr="00645FD3">
        <w:t>homogénéité” (document TGP/10/1), s</w:t>
      </w:r>
      <w:r w:rsidR="00C752B0" w:rsidRPr="00645FD3">
        <w:t>ur la base du document TGP/10/2 Draft </w:t>
      </w:r>
      <w:r w:rsidR="003F03EE" w:rsidRPr="00645FD3">
        <w:t>1, compte tenu des conclusions formulées par le</w:t>
      </w:r>
      <w:r w:rsidR="009E1FB4" w:rsidRPr="00645FD3">
        <w:t> TC</w:t>
      </w:r>
      <w:r w:rsidR="003F03EE" w:rsidRPr="00645FD3">
        <w:t xml:space="preserve"> à sa cinquante</w:t>
      </w:r>
      <w:r w:rsidR="009E1FB4" w:rsidRPr="00645FD3">
        <w:t>-</w:t>
      </w:r>
      <w:r w:rsidR="003F03EE" w:rsidRPr="00645FD3">
        <w:t>cinqu</w:t>
      </w:r>
      <w:r w:rsidR="009E1FB4" w:rsidRPr="00645FD3">
        <w:t>i</w:t>
      </w:r>
      <w:r w:rsidR="00C752B0" w:rsidRPr="00645FD3">
        <w:t xml:space="preserve">ème </w:t>
      </w:r>
      <w:r w:rsidR="009E1FB4" w:rsidRPr="00645FD3">
        <w:t>session</w:t>
      </w:r>
      <w:r w:rsidR="003F03EE" w:rsidRPr="00645FD3">
        <w:t xml:space="preserve"> et par</w:t>
      </w:r>
      <w:r w:rsidR="009E1FB4" w:rsidRPr="00645FD3">
        <w:t xml:space="preserve"> le CAJ</w:t>
      </w:r>
      <w:r w:rsidR="003F03EE" w:rsidRPr="00645FD3">
        <w:t xml:space="preserve"> à sa soixante</w:t>
      </w:r>
      <w:r w:rsidR="009E1FB4" w:rsidRPr="00645FD3">
        <w:t>-</w:t>
      </w:r>
      <w:r w:rsidR="003F03EE" w:rsidRPr="00645FD3">
        <w:t>seiz</w:t>
      </w:r>
      <w:r w:rsidR="009E1FB4" w:rsidRPr="00645FD3">
        <w:t>ième session</w:t>
      </w:r>
      <w:r w:rsidRPr="00645FD3">
        <w:t>.</w:t>
      </w:r>
    </w:p>
    <w:p w:rsidR="00917A05" w:rsidRPr="00645FD3" w:rsidRDefault="00917A05" w:rsidP="003D0EB7">
      <w:pPr>
        <w:jc w:val="left"/>
      </w:pPr>
    </w:p>
    <w:p w:rsidR="00917A05" w:rsidRPr="00645FD3" w:rsidRDefault="00917A05" w:rsidP="003D0EB7">
      <w:pPr>
        <w:jc w:val="left"/>
      </w:pPr>
    </w:p>
    <w:p w:rsidR="00917A05" w:rsidRPr="00645FD3" w:rsidRDefault="003D0EB7" w:rsidP="003D0EB7">
      <w:pPr>
        <w:jc w:val="left"/>
        <w:rPr>
          <w:bCs/>
          <w:snapToGrid w:val="0"/>
          <w:szCs w:val="24"/>
          <w:u w:val="single"/>
        </w:rPr>
      </w:pPr>
      <w:r w:rsidRPr="00645FD3">
        <w:rPr>
          <w:bCs/>
          <w:snapToGrid w:val="0"/>
          <w:szCs w:val="24"/>
          <w:u w:val="single"/>
        </w:rPr>
        <w:t>TGP/14</w:t>
      </w:r>
      <w:r w:rsidR="009E1FB4" w:rsidRPr="00645FD3">
        <w:rPr>
          <w:bCs/>
          <w:snapToGrid w:val="0"/>
          <w:szCs w:val="24"/>
          <w:u w:val="single"/>
        </w:rPr>
        <w:t> :</w:t>
      </w:r>
      <w:r w:rsidRPr="00645FD3">
        <w:rPr>
          <w:bCs/>
          <w:snapToGrid w:val="0"/>
          <w:szCs w:val="24"/>
          <w:u w:val="single"/>
        </w:rPr>
        <w:t xml:space="preserve"> </w:t>
      </w:r>
      <w:r w:rsidR="00A44D58" w:rsidRPr="00645FD3">
        <w:rPr>
          <w:u w:val="single"/>
        </w:rPr>
        <w:t>Glossaire de termes utilisés dans les documents de l</w:t>
      </w:r>
      <w:r w:rsidR="009E1FB4" w:rsidRPr="00645FD3">
        <w:rPr>
          <w:u w:val="single"/>
        </w:rPr>
        <w:t>’</w:t>
      </w:r>
      <w:r w:rsidR="00A44D58" w:rsidRPr="00645FD3">
        <w:rPr>
          <w:u w:val="single"/>
        </w:rPr>
        <w:t>UPOV (</w:t>
      </w:r>
      <w:r w:rsidR="009E1FB4" w:rsidRPr="00645FD3">
        <w:rPr>
          <w:u w:val="single"/>
        </w:rPr>
        <w:t>document TG</w:t>
      </w:r>
      <w:r w:rsidR="00A44D58" w:rsidRPr="00645FD3">
        <w:rPr>
          <w:u w:val="single"/>
        </w:rPr>
        <w:t>P/14/4 Draft </w:t>
      </w:r>
      <w:r w:rsidRPr="00645FD3">
        <w:rPr>
          <w:bCs/>
          <w:snapToGrid w:val="0"/>
          <w:szCs w:val="24"/>
          <w:u w:val="single"/>
        </w:rPr>
        <w:t>1)</w:t>
      </w:r>
    </w:p>
    <w:p w:rsidR="00917A05" w:rsidRPr="00645FD3" w:rsidRDefault="00917A05" w:rsidP="003D0EB7">
      <w:pPr>
        <w:jc w:val="left"/>
      </w:pPr>
    </w:p>
    <w:p w:rsidR="00917A05" w:rsidRPr="00645FD3" w:rsidRDefault="000F250F" w:rsidP="000F250F">
      <w:r w:rsidRPr="00645FD3">
        <w:fldChar w:fldCharType="begin"/>
      </w:r>
      <w:r w:rsidRPr="00645FD3">
        <w:instrText xml:space="preserve"> AUTONUM  </w:instrText>
      </w:r>
      <w:r w:rsidRPr="00645FD3">
        <w:fldChar w:fldCharType="end"/>
      </w:r>
      <w:r w:rsidRPr="00645FD3">
        <w:tab/>
      </w:r>
      <w:r w:rsidR="003C5006" w:rsidRPr="00645FD3">
        <w:t>À sa cinquante</w:t>
      </w:r>
      <w:r w:rsidR="009E1FB4" w:rsidRPr="00645FD3">
        <w:t>-</w:t>
      </w:r>
      <w:r w:rsidR="003C5006" w:rsidRPr="00645FD3">
        <w:t>trois</w:t>
      </w:r>
      <w:r w:rsidR="009E1FB4" w:rsidRPr="00645FD3">
        <w:t>ième session</w:t>
      </w:r>
      <w:hyperlink w:anchor="notebasdepage4" w:history="1">
        <w:r w:rsidR="00461106" w:rsidRPr="00645FD3">
          <w:rPr>
            <w:rStyle w:val="Hyperlink"/>
            <w:color w:val="auto"/>
            <w:u w:val="none"/>
            <w:vertAlign w:val="superscript"/>
          </w:rPr>
          <w:t>4</w:t>
        </w:r>
      </w:hyperlink>
      <w:r w:rsidR="00067473" w:rsidRPr="00645FD3">
        <w:t>,</w:t>
      </w:r>
      <w:r w:rsidR="00084193" w:rsidRPr="00645FD3">
        <w:t xml:space="preserve"> </w:t>
      </w:r>
      <w:r w:rsidR="003C5006" w:rsidRPr="00645FD3">
        <w:t>le</w:t>
      </w:r>
      <w:r w:rsidR="009E1FB4" w:rsidRPr="00645FD3">
        <w:t> TC</w:t>
      </w:r>
      <w:r w:rsidR="003C5006" w:rsidRPr="00645FD3">
        <w:t xml:space="preserve"> est convenu de réviser le document TGP/14</w:t>
      </w:r>
      <w:r w:rsidR="009E1FB4" w:rsidRPr="00645FD3">
        <w:t> :</w:t>
      </w:r>
      <w:r w:rsidR="003C5006" w:rsidRPr="00645FD3">
        <w:t xml:space="preserve"> section 2</w:t>
      </w:r>
      <w:r w:rsidR="009E1FB4" w:rsidRPr="00645FD3">
        <w:t> :</w:t>
      </w:r>
      <w:r w:rsidR="003C5006" w:rsidRPr="00645FD3">
        <w:t xml:space="preserve"> sous</w:t>
      </w:r>
      <w:r w:rsidR="00C752B0" w:rsidRPr="00645FD3">
        <w:noBreakHyphen/>
      </w:r>
      <w:r w:rsidR="003C5006" w:rsidRPr="00645FD3">
        <w:t>section 2</w:t>
      </w:r>
      <w:r w:rsidR="009E1FB4" w:rsidRPr="00645FD3">
        <w:t> :</w:t>
      </w:r>
      <w:r w:rsidR="003C5006" w:rsidRPr="00645FD3">
        <w:t xml:space="preserve"> “Formes et structures” pour modifier le tableau figurant dans la variante 2 de l</w:t>
      </w:r>
      <w:r w:rsidR="009E1FB4" w:rsidRPr="00645FD3">
        <w:t>’</w:t>
      </w:r>
      <w:r w:rsidR="003C5006" w:rsidRPr="00645FD3">
        <w:t>exemple 5, comme indiqué à l</w:t>
      </w:r>
      <w:r w:rsidR="009E1FB4" w:rsidRPr="00645FD3">
        <w:t>’</w:t>
      </w:r>
      <w:r w:rsidR="003C5006" w:rsidRPr="00645FD3">
        <w:t xml:space="preserve">annexe IV du présent document </w:t>
      </w:r>
      <w:r w:rsidR="00084193" w:rsidRPr="00645FD3">
        <w:t>(</w:t>
      </w:r>
      <w:r w:rsidR="003C5006" w:rsidRPr="00645FD3">
        <w:t>voir le paragraphe</w:t>
      </w:r>
      <w:r w:rsidR="00E5665F" w:rsidRPr="00645FD3">
        <w:t> </w:t>
      </w:r>
      <w:r w:rsidR="003C5006" w:rsidRPr="00645FD3">
        <w:t>141 du</w:t>
      </w:r>
      <w:r w:rsidR="00084193" w:rsidRPr="00645FD3">
        <w:t xml:space="preserve"> document</w:t>
      </w:r>
      <w:r w:rsidR="00E5665F" w:rsidRPr="00645FD3">
        <w:t> </w:t>
      </w:r>
      <w:hyperlink r:id="rId14" w:history="1">
        <w:hyperlink r:id="rId15" w:history="1">
          <w:r w:rsidR="00D811BF" w:rsidRPr="00645FD3">
            <w:rPr>
              <w:rStyle w:val="Hyperlink"/>
            </w:rPr>
            <w:t>TC/53/31</w:t>
          </w:r>
        </w:hyperlink>
      </w:hyperlink>
      <w:r w:rsidR="00084193" w:rsidRPr="00645FD3">
        <w:t xml:space="preserve"> “</w:t>
      </w:r>
      <w:r w:rsidR="003C5006" w:rsidRPr="00645FD3">
        <w:t>Compte rendu</w:t>
      </w:r>
      <w:r w:rsidR="00084193" w:rsidRPr="00645FD3">
        <w:t>”)</w:t>
      </w:r>
      <w:r w:rsidR="00067473" w:rsidRPr="00645FD3">
        <w:t>.</w:t>
      </w:r>
    </w:p>
    <w:p w:rsidR="00917A05" w:rsidRPr="00645FD3" w:rsidRDefault="00917A05" w:rsidP="000F250F"/>
    <w:p w:rsidR="00917A05" w:rsidRPr="00645FD3" w:rsidRDefault="00067473" w:rsidP="000F250F">
      <w:r w:rsidRPr="00645FD3">
        <w:fldChar w:fldCharType="begin"/>
      </w:r>
      <w:r w:rsidRPr="00645FD3">
        <w:instrText xml:space="preserve"> AUTONUM  </w:instrText>
      </w:r>
      <w:r w:rsidRPr="00645FD3">
        <w:fldChar w:fldCharType="end"/>
      </w:r>
      <w:r w:rsidRPr="00645FD3">
        <w:tab/>
      </w:r>
      <w:r w:rsidR="00265746" w:rsidRPr="00645FD3">
        <w:t>À sa cinquante</w:t>
      </w:r>
      <w:r w:rsidR="009E1FB4" w:rsidRPr="00645FD3">
        <w:t>-</w:t>
      </w:r>
      <w:r w:rsidR="00265746" w:rsidRPr="00645FD3">
        <w:t>quatr</w:t>
      </w:r>
      <w:r w:rsidR="009E1FB4" w:rsidRPr="00645FD3">
        <w:t>ième session</w:t>
      </w:r>
      <w:r w:rsidR="0027272E" w:rsidRPr="00645FD3">
        <w:rPr>
          <w:vertAlign w:val="superscript"/>
        </w:rPr>
        <w:fldChar w:fldCharType="begin"/>
      </w:r>
      <w:r w:rsidR="0027272E" w:rsidRPr="00645FD3">
        <w:rPr>
          <w:vertAlign w:val="superscript"/>
        </w:rPr>
        <w:instrText xml:space="preserve"> NOTEREF _Ref13507369 \h  \* MERGEFORMAT </w:instrText>
      </w:r>
      <w:r w:rsidR="0027272E" w:rsidRPr="00645FD3">
        <w:rPr>
          <w:vertAlign w:val="superscript"/>
        </w:rPr>
      </w:r>
      <w:r w:rsidR="0027272E" w:rsidRPr="00645FD3">
        <w:rPr>
          <w:vertAlign w:val="superscript"/>
        </w:rPr>
        <w:fldChar w:fldCharType="separate"/>
      </w:r>
      <w:r w:rsidR="009A21B9" w:rsidRPr="00645FD3">
        <w:rPr>
          <w:vertAlign w:val="superscript"/>
        </w:rPr>
        <w:t>1</w:t>
      </w:r>
      <w:r w:rsidR="0027272E" w:rsidRPr="00645FD3">
        <w:rPr>
          <w:vertAlign w:val="superscript"/>
        </w:rPr>
        <w:fldChar w:fldCharType="end"/>
      </w:r>
      <w:r w:rsidR="000F250F" w:rsidRPr="00645FD3">
        <w:t xml:space="preserve">, </w:t>
      </w:r>
      <w:r w:rsidR="00265746" w:rsidRPr="00645FD3">
        <w:t>le</w:t>
      </w:r>
      <w:r w:rsidR="009E1FB4" w:rsidRPr="00645FD3">
        <w:t> TC</w:t>
      </w:r>
      <w:r w:rsidR="00265746" w:rsidRPr="00645FD3">
        <w:t xml:space="preserve"> a approuvé les propositions de révision du document TGP/14 “Glossaire de termes utilisés dans les documents de l</w:t>
      </w:r>
      <w:r w:rsidR="009E1FB4" w:rsidRPr="00645FD3">
        <w:t>’</w:t>
      </w:r>
      <w:r w:rsidR="00265746" w:rsidRPr="00645FD3">
        <w:t>UPOV” pour inclure des orientations sur les facteurs à prendre en considération pour la création de groupes de couleurs aux fins du regroupement des variétés et de l</w:t>
      </w:r>
      <w:r w:rsidR="009E1FB4" w:rsidRPr="00645FD3">
        <w:t>’</w:t>
      </w:r>
      <w:r w:rsidR="00265746" w:rsidRPr="00645FD3">
        <w:t xml:space="preserve">organisation des essais en culture </w:t>
      </w:r>
      <w:r w:rsidR="007D2E34" w:rsidRPr="00645FD3">
        <w:t>(</w:t>
      </w:r>
      <w:r w:rsidR="00265746" w:rsidRPr="00645FD3">
        <w:t>voir le paragraphe</w:t>
      </w:r>
      <w:r w:rsidR="00E5665F" w:rsidRPr="00645FD3">
        <w:t> </w:t>
      </w:r>
      <w:r w:rsidR="00265746" w:rsidRPr="00645FD3">
        <w:t>244 du</w:t>
      </w:r>
      <w:r w:rsidR="007D2E34" w:rsidRPr="00645FD3">
        <w:t> document</w:t>
      </w:r>
      <w:r w:rsidR="00E5665F" w:rsidRPr="00645FD3">
        <w:t> </w:t>
      </w:r>
      <w:hyperlink r:id="rId16" w:history="1">
        <w:r w:rsidR="00D811BF">
          <w:rPr>
            <w:rStyle w:val="Hyperlink"/>
          </w:rPr>
          <w:t>TC/54/31 Corr.</w:t>
        </w:r>
      </w:hyperlink>
      <w:r w:rsidR="007D2E34" w:rsidRPr="00645FD3">
        <w:t xml:space="preserve"> “</w:t>
      </w:r>
      <w:r w:rsidR="00265746" w:rsidRPr="00645FD3">
        <w:t>Compte rendu</w:t>
      </w:r>
      <w:r w:rsidR="007D2E34" w:rsidRPr="00645FD3">
        <w:t>”)</w:t>
      </w:r>
      <w:r w:rsidRPr="00645FD3">
        <w:t>.</w:t>
      </w:r>
    </w:p>
    <w:p w:rsidR="00917A05" w:rsidRPr="00645FD3" w:rsidRDefault="00917A05" w:rsidP="008966F7"/>
    <w:p w:rsidR="009E1FB4" w:rsidRPr="00645FD3" w:rsidRDefault="004E031E" w:rsidP="004E031E">
      <w:pPr>
        <w:rPr>
          <w:spacing w:val="-2"/>
        </w:rPr>
      </w:pPr>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265746" w:rsidRPr="00645FD3">
        <w:rPr>
          <w:spacing w:val="-2"/>
        </w:rPr>
        <w:t>Sur la base de ce qui précède, le</w:t>
      </w:r>
      <w:r w:rsidR="009E1FB4" w:rsidRPr="00645FD3">
        <w:rPr>
          <w:spacing w:val="-2"/>
        </w:rPr>
        <w:t> TC</w:t>
      </w:r>
      <w:r w:rsidR="00265746" w:rsidRPr="00645FD3">
        <w:rPr>
          <w:spacing w:val="-2"/>
        </w:rPr>
        <w:t xml:space="preserve"> est convenu qu</w:t>
      </w:r>
      <w:r w:rsidR="009E1FB4" w:rsidRPr="00645FD3">
        <w:rPr>
          <w:spacing w:val="-2"/>
        </w:rPr>
        <w:t>’</w:t>
      </w:r>
      <w:r w:rsidR="00265746" w:rsidRPr="00645FD3">
        <w:rPr>
          <w:spacing w:val="-2"/>
        </w:rPr>
        <w:t xml:space="preserve">une version révisée du </w:t>
      </w:r>
      <w:r w:rsidR="009E1FB4" w:rsidRPr="00645FD3">
        <w:rPr>
          <w:spacing w:val="-2"/>
        </w:rPr>
        <w:t>document TG</w:t>
      </w:r>
      <w:r w:rsidR="00265746" w:rsidRPr="00645FD3">
        <w:rPr>
          <w:spacing w:val="-2"/>
        </w:rPr>
        <w:t>P/14/3 (</w:t>
      </w:r>
      <w:r w:rsidR="009E1FB4" w:rsidRPr="00645FD3">
        <w:rPr>
          <w:spacing w:val="-2"/>
        </w:rPr>
        <w:t>document TG</w:t>
      </w:r>
      <w:r w:rsidR="00265746" w:rsidRPr="00645FD3">
        <w:rPr>
          <w:spacing w:val="-2"/>
        </w:rPr>
        <w:t>P/14/4 Draft 1) devait être soumise au Conseil pour adoption à sa cinquante</w:t>
      </w:r>
      <w:r w:rsidR="009E1FB4" w:rsidRPr="00645FD3">
        <w:rPr>
          <w:spacing w:val="-2"/>
        </w:rPr>
        <w:t>-</w:t>
      </w:r>
      <w:r w:rsidR="00265746" w:rsidRPr="00645FD3">
        <w:rPr>
          <w:spacing w:val="-2"/>
        </w:rPr>
        <w:t>trois</w:t>
      </w:r>
      <w:r w:rsidR="009E1FB4" w:rsidRPr="00645FD3">
        <w:rPr>
          <w:spacing w:val="-2"/>
        </w:rPr>
        <w:t>ième session</w:t>
      </w:r>
      <w:r w:rsidR="00265746" w:rsidRPr="00645FD3">
        <w:rPr>
          <w:spacing w:val="-2"/>
        </w:rPr>
        <w:t xml:space="preserve"> ordinaire, sous réserve de l</w:t>
      </w:r>
      <w:r w:rsidR="009E1FB4" w:rsidRPr="00645FD3">
        <w:rPr>
          <w:spacing w:val="-2"/>
        </w:rPr>
        <w:t>’</w:t>
      </w:r>
      <w:r w:rsidR="00265746" w:rsidRPr="00645FD3">
        <w:rPr>
          <w:spacing w:val="-2"/>
        </w:rPr>
        <w:t>approbation du CAJ à sa soixante</w:t>
      </w:r>
      <w:r w:rsidR="009E1FB4" w:rsidRPr="00645FD3">
        <w:rPr>
          <w:spacing w:val="-2"/>
        </w:rPr>
        <w:t>-</w:t>
      </w:r>
      <w:r w:rsidR="00265746" w:rsidRPr="00645FD3">
        <w:rPr>
          <w:spacing w:val="-2"/>
        </w:rPr>
        <w:t>seiz</w:t>
      </w:r>
      <w:r w:rsidR="009E1FB4" w:rsidRPr="00645FD3">
        <w:rPr>
          <w:spacing w:val="-2"/>
        </w:rPr>
        <w:t>ième session</w:t>
      </w:r>
      <w:r w:rsidRPr="00645FD3">
        <w:rPr>
          <w:spacing w:val="-2"/>
          <w:vertAlign w:val="superscript"/>
        </w:rPr>
        <w:fldChar w:fldCharType="begin"/>
      </w:r>
      <w:r w:rsidRPr="00645FD3">
        <w:rPr>
          <w:spacing w:val="-2"/>
          <w:vertAlign w:val="superscript"/>
        </w:rPr>
        <w:instrText xml:space="preserve"> NOTEREF _Ref13509809 \h  \* MERGEFORMAT </w:instrText>
      </w:r>
      <w:r w:rsidRPr="00645FD3">
        <w:rPr>
          <w:spacing w:val="-2"/>
          <w:vertAlign w:val="superscript"/>
        </w:rPr>
      </w:r>
      <w:r w:rsidRPr="00645FD3">
        <w:rPr>
          <w:spacing w:val="-2"/>
          <w:vertAlign w:val="superscript"/>
        </w:rPr>
        <w:fldChar w:fldCharType="separate"/>
      </w:r>
      <w:r w:rsidR="009A21B9" w:rsidRPr="00645FD3">
        <w:rPr>
          <w:spacing w:val="-2"/>
          <w:vertAlign w:val="superscript"/>
        </w:rPr>
        <w:t>2</w:t>
      </w:r>
      <w:r w:rsidRPr="00645FD3">
        <w:rPr>
          <w:spacing w:val="-2"/>
          <w:vertAlign w:val="superscript"/>
        </w:rPr>
        <w:fldChar w:fldCharType="end"/>
      </w:r>
      <w:r w:rsidRPr="00645FD3">
        <w:rPr>
          <w:spacing w:val="-2"/>
        </w:rPr>
        <w:t>.</w:t>
      </w:r>
    </w:p>
    <w:p w:rsidR="00917A05" w:rsidRPr="00645FD3" w:rsidRDefault="00917A05" w:rsidP="004E031E">
      <w:pPr>
        <w:rPr>
          <w:spacing w:val="-2"/>
        </w:rPr>
      </w:pPr>
    </w:p>
    <w:p w:rsidR="00917A05" w:rsidRPr="00645FD3" w:rsidRDefault="0027272E" w:rsidP="0027272E">
      <w:pPr>
        <w:rPr>
          <w:bCs/>
          <w:snapToGrid w:val="0"/>
          <w:szCs w:val="24"/>
        </w:rPr>
      </w:pPr>
      <w:r w:rsidRPr="00645FD3">
        <w:fldChar w:fldCharType="begin"/>
      </w:r>
      <w:r w:rsidRPr="00645FD3">
        <w:instrText xml:space="preserve"> AUTONUM  </w:instrText>
      </w:r>
      <w:r w:rsidRPr="00645FD3">
        <w:fldChar w:fldCharType="end"/>
      </w:r>
      <w:r w:rsidRPr="00645FD3">
        <w:tab/>
      </w:r>
      <w:r w:rsidR="00265746" w:rsidRPr="00645FD3">
        <w:t xml:space="preserve">Les traductions en français, allemand et espagnol du texte anglais original ont été examinées par les membres concernés du Comité de rédaction avant la présentation du projet de </w:t>
      </w:r>
      <w:r w:rsidR="009E1FB4" w:rsidRPr="00645FD3">
        <w:t>document TG</w:t>
      </w:r>
      <w:r w:rsidR="00265746" w:rsidRPr="00645FD3">
        <w:t>P/14/4 au Conse</w:t>
      </w:r>
      <w:r w:rsidR="00B5679E" w:rsidRPr="00645FD3">
        <w:t>il.  Le</w:t>
      </w:r>
      <w:r w:rsidR="00265746" w:rsidRPr="00645FD3">
        <w:t xml:space="preserve"> </w:t>
      </w:r>
      <w:r w:rsidR="009E1FB4" w:rsidRPr="00645FD3">
        <w:t>document TG</w:t>
      </w:r>
      <w:r w:rsidR="00265746" w:rsidRPr="00645FD3">
        <w:t>P/14/4 Draft 1 contient les modifications approuvées par le</w:t>
      </w:r>
      <w:r w:rsidR="009E1FB4" w:rsidRPr="00645FD3">
        <w:t> TC</w:t>
      </w:r>
      <w:r w:rsidR="00265746" w:rsidRPr="00645FD3">
        <w:t xml:space="preserve"> figurant à l</w:t>
      </w:r>
      <w:r w:rsidR="009E1FB4" w:rsidRPr="00645FD3">
        <w:t>’</w:t>
      </w:r>
      <w:r w:rsidR="00265746" w:rsidRPr="00645FD3">
        <w:t>annexe IV du présent document, ainsi que les modifications d</w:t>
      </w:r>
      <w:r w:rsidR="009E1FB4" w:rsidRPr="00645FD3">
        <w:t>’</w:t>
      </w:r>
      <w:r w:rsidR="00265746" w:rsidRPr="00645FD3">
        <w:t>ordre linguistique apportées par les membres concernés du Comité de rédaction</w:t>
      </w:r>
      <w:r w:rsidRPr="00645FD3">
        <w:t>.</w:t>
      </w:r>
    </w:p>
    <w:p w:rsidR="00917A05" w:rsidRPr="00645FD3" w:rsidRDefault="00917A05" w:rsidP="0027272E">
      <w:pPr>
        <w:rPr>
          <w:bCs/>
          <w:snapToGrid w:val="0"/>
          <w:szCs w:val="24"/>
        </w:rPr>
      </w:pPr>
    </w:p>
    <w:p w:rsidR="009E1FB4" w:rsidRPr="00645FD3" w:rsidRDefault="00FD3216" w:rsidP="00FD3216">
      <w:r w:rsidRPr="00645FD3">
        <w:rPr>
          <w:spacing w:val="-2"/>
        </w:rPr>
        <w:fldChar w:fldCharType="begin"/>
      </w:r>
      <w:r w:rsidRPr="00645FD3">
        <w:rPr>
          <w:spacing w:val="-2"/>
        </w:rPr>
        <w:instrText xml:space="preserve"> AUTONUM  </w:instrText>
      </w:r>
      <w:r w:rsidRPr="00645FD3">
        <w:rPr>
          <w:spacing w:val="-2"/>
        </w:rPr>
        <w:fldChar w:fldCharType="end"/>
      </w:r>
      <w:r w:rsidRPr="00645FD3">
        <w:rPr>
          <w:spacing w:val="-2"/>
        </w:rPr>
        <w:tab/>
      </w:r>
      <w:r w:rsidR="00265746" w:rsidRPr="00645FD3">
        <w:rPr>
          <w:spacing w:val="-2"/>
        </w:rPr>
        <w:t>Un compte rendu des conclusions formulées par le</w:t>
      </w:r>
      <w:r w:rsidR="009E1FB4" w:rsidRPr="00645FD3">
        <w:rPr>
          <w:spacing w:val="-2"/>
        </w:rPr>
        <w:t> TC</w:t>
      </w:r>
      <w:r w:rsidR="00265746" w:rsidRPr="00645FD3">
        <w:rPr>
          <w:spacing w:val="-2"/>
        </w:rPr>
        <w:t xml:space="preserve"> à sa cinquante</w:t>
      </w:r>
      <w:r w:rsidR="009E1FB4" w:rsidRPr="00645FD3">
        <w:rPr>
          <w:spacing w:val="-2"/>
        </w:rPr>
        <w:t>-</w:t>
      </w:r>
      <w:r w:rsidR="00265746" w:rsidRPr="00645FD3">
        <w:rPr>
          <w:spacing w:val="-2"/>
        </w:rPr>
        <w:t>cinqu</w:t>
      </w:r>
      <w:r w:rsidR="009E1FB4" w:rsidRPr="00645FD3">
        <w:rPr>
          <w:spacing w:val="-2"/>
        </w:rPr>
        <w:t>ième session</w:t>
      </w:r>
      <w:hyperlink w:anchor="notebasdepage3" w:history="1">
        <w:r w:rsidR="00461106" w:rsidRPr="00645FD3">
          <w:rPr>
            <w:rStyle w:val="Hyperlink"/>
            <w:color w:val="auto"/>
            <w:spacing w:val="-2"/>
            <w:u w:val="none"/>
            <w:vertAlign w:val="superscript"/>
          </w:rPr>
          <w:t>3</w:t>
        </w:r>
      </w:hyperlink>
      <w:r w:rsidR="00265746" w:rsidRPr="00645FD3">
        <w:rPr>
          <w:spacing w:val="-2"/>
        </w:rPr>
        <w:t xml:space="preserve"> et par</w:t>
      </w:r>
      <w:r w:rsidR="009E1FB4" w:rsidRPr="00645FD3">
        <w:rPr>
          <w:spacing w:val="-2"/>
        </w:rPr>
        <w:t xml:space="preserve"> le </w:t>
      </w:r>
      <w:r w:rsidR="009E1FB4" w:rsidRPr="00645FD3">
        <w:t>CAJ</w:t>
      </w:r>
      <w:r w:rsidR="00265746" w:rsidRPr="00645FD3">
        <w:t xml:space="preserve"> à sa soixante</w:t>
      </w:r>
      <w:r w:rsidR="009E1FB4" w:rsidRPr="00645FD3">
        <w:t>-</w:t>
      </w:r>
      <w:r w:rsidR="00265746" w:rsidRPr="00645FD3">
        <w:t>seiz</w:t>
      </w:r>
      <w:r w:rsidR="009E1FB4" w:rsidRPr="00645FD3">
        <w:t>ième session</w:t>
      </w:r>
      <w:r w:rsidR="00265746" w:rsidRPr="00645FD3">
        <w:rPr>
          <w:vertAlign w:val="superscript"/>
        </w:rPr>
        <w:fldChar w:fldCharType="begin"/>
      </w:r>
      <w:r w:rsidR="00265746" w:rsidRPr="00645FD3">
        <w:rPr>
          <w:vertAlign w:val="superscript"/>
        </w:rPr>
        <w:instrText xml:space="preserve"> NOTEREF _Ref13509809 \h  \* MERGEFORMAT </w:instrText>
      </w:r>
      <w:r w:rsidR="00265746" w:rsidRPr="00645FD3">
        <w:rPr>
          <w:vertAlign w:val="superscript"/>
        </w:rPr>
      </w:r>
      <w:r w:rsidR="00265746" w:rsidRPr="00645FD3">
        <w:rPr>
          <w:vertAlign w:val="superscript"/>
        </w:rPr>
        <w:fldChar w:fldCharType="separate"/>
      </w:r>
      <w:r w:rsidR="00265746" w:rsidRPr="00645FD3">
        <w:rPr>
          <w:vertAlign w:val="superscript"/>
        </w:rPr>
        <w:t>2</w:t>
      </w:r>
      <w:r w:rsidR="00265746" w:rsidRPr="00645FD3">
        <w:rPr>
          <w:vertAlign w:val="superscript"/>
        </w:rPr>
        <w:fldChar w:fldCharType="end"/>
      </w:r>
      <w:r w:rsidR="00265746" w:rsidRPr="00645FD3">
        <w:t xml:space="preserve">, au sujet des propositions de révision du document </w:t>
      </w:r>
      <w:r w:rsidRPr="00645FD3">
        <w:t>TGP/14/3</w:t>
      </w:r>
      <w:r w:rsidR="00265746" w:rsidRPr="00645FD3">
        <w:t xml:space="preserve"> sera présenté au Conseil à sa cinquante</w:t>
      </w:r>
      <w:r w:rsidR="009E1FB4" w:rsidRPr="00645FD3">
        <w:t>-</w:t>
      </w:r>
      <w:r w:rsidR="00265746" w:rsidRPr="00645FD3">
        <w:t>trois</w:t>
      </w:r>
      <w:r w:rsidR="009E1FB4" w:rsidRPr="00645FD3">
        <w:t>ième session</w:t>
      </w:r>
      <w:r w:rsidR="00265746" w:rsidRPr="00645FD3">
        <w:t xml:space="preserve"> ordinaire (voir les </w:t>
      </w:r>
      <w:r w:rsidR="009E1FB4" w:rsidRPr="00645FD3">
        <w:t>documents TC</w:t>
      </w:r>
      <w:r w:rsidR="00265746" w:rsidRPr="00645FD3">
        <w:t>/55/[xx] “Compte rendu” et CAJ/76/[xx] “Compte rendu”).</w:t>
      </w:r>
    </w:p>
    <w:p w:rsidR="00917A05" w:rsidRPr="00645FD3" w:rsidRDefault="00917A05" w:rsidP="00E578A3"/>
    <w:p w:rsidR="009E1FB4" w:rsidRPr="00645FD3" w:rsidRDefault="000F250F" w:rsidP="000F250F">
      <w:pPr>
        <w:pStyle w:val="DecisionParagraphs"/>
      </w:pPr>
      <w:r w:rsidRPr="00645FD3">
        <w:fldChar w:fldCharType="begin"/>
      </w:r>
      <w:r w:rsidRPr="00645FD3">
        <w:instrText xml:space="preserve"> AUTONUM  </w:instrText>
      </w:r>
      <w:r w:rsidRPr="00645FD3">
        <w:fldChar w:fldCharType="end"/>
      </w:r>
      <w:r w:rsidRPr="00645FD3">
        <w:tab/>
      </w:r>
      <w:r w:rsidR="00265746" w:rsidRPr="00645FD3">
        <w:t>Le Conseil est invité à adopter la version révisée du document TGP/14 “</w:t>
      </w:r>
      <w:r w:rsidR="00461106" w:rsidRPr="00645FD3">
        <w:t>Glossaire de termes utilisés dans les documents de l</w:t>
      </w:r>
      <w:r w:rsidR="009E1FB4" w:rsidRPr="00645FD3">
        <w:t>’</w:t>
      </w:r>
      <w:r w:rsidR="00461106" w:rsidRPr="00645FD3">
        <w:t>UPOV</w:t>
      </w:r>
      <w:r w:rsidR="00265746" w:rsidRPr="00645FD3">
        <w:t>” (document TGP/14/3), s</w:t>
      </w:r>
      <w:r w:rsidR="00C752B0" w:rsidRPr="00645FD3">
        <w:t>ur la base du document TGP/14/4 </w:t>
      </w:r>
      <w:r w:rsidR="00265746" w:rsidRPr="00645FD3">
        <w:t>Draft</w:t>
      </w:r>
      <w:r w:rsidR="00C752B0" w:rsidRPr="00645FD3">
        <w:t> </w:t>
      </w:r>
      <w:r w:rsidR="00265746" w:rsidRPr="00645FD3">
        <w:t>1, compte tenu des conclusions formulées par le</w:t>
      </w:r>
      <w:r w:rsidR="00C752B0" w:rsidRPr="00645FD3">
        <w:t xml:space="preserve"> </w:t>
      </w:r>
      <w:r w:rsidR="009E1FB4" w:rsidRPr="00645FD3">
        <w:t>TC</w:t>
      </w:r>
      <w:r w:rsidR="00265746" w:rsidRPr="00645FD3">
        <w:t xml:space="preserve"> à sa cinquante</w:t>
      </w:r>
      <w:r w:rsidR="009E1FB4" w:rsidRPr="00645FD3">
        <w:t>-</w:t>
      </w:r>
      <w:r w:rsidR="00265746" w:rsidRPr="00645FD3">
        <w:t>cinqu</w:t>
      </w:r>
      <w:r w:rsidR="00C752B0" w:rsidRPr="00645FD3">
        <w:t xml:space="preserve">ième </w:t>
      </w:r>
      <w:r w:rsidR="009E1FB4" w:rsidRPr="00645FD3">
        <w:t>session</w:t>
      </w:r>
      <w:r w:rsidR="00265746" w:rsidRPr="00645FD3">
        <w:t xml:space="preserve"> et par</w:t>
      </w:r>
      <w:r w:rsidR="009E1FB4" w:rsidRPr="00645FD3">
        <w:t xml:space="preserve"> le</w:t>
      </w:r>
      <w:r w:rsidR="00C752B0" w:rsidRPr="00645FD3">
        <w:t xml:space="preserve"> </w:t>
      </w:r>
      <w:r w:rsidR="009E1FB4" w:rsidRPr="00645FD3">
        <w:t>CAJ</w:t>
      </w:r>
      <w:r w:rsidR="00265746" w:rsidRPr="00645FD3">
        <w:t xml:space="preserve"> à sa soixante</w:t>
      </w:r>
      <w:r w:rsidR="009E1FB4" w:rsidRPr="00645FD3">
        <w:t>-</w:t>
      </w:r>
      <w:r w:rsidR="00265746" w:rsidRPr="00645FD3">
        <w:t>seiz</w:t>
      </w:r>
      <w:r w:rsidR="009E1FB4" w:rsidRPr="00645FD3">
        <w:t>ième session</w:t>
      </w:r>
      <w:r w:rsidRPr="00645FD3">
        <w:t>.</w:t>
      </w:r>
    </w:p>
    <w:p w:rsidR="00917A05" w:rsidRPr="00645FD3" w:rsidRDefault="00917A05" w:rsidP="003D0EB7">
      <w:pPr>
        <w:jc w:val="left"/>
      </w:pPr>
    </w:p>
    <w:p w:rsidR="00917A05" w:rsidRPr="00645FD3" w:rsidRDefault="00917A05" w:rsidP="003D0EB7">
      <w:pPr>
        <w:jc w:val="left"/>
      </w:pPr>
    </w:p>
    <w:p w:rsidR="00917A05" w:rsidRPr="00645FD3" w:rsidRDefault="003D0EB7" w:rsidP="00BF0B0F">
      <w:pPr>
        <w:keepNext/>
        <w:rPr>
          <w:bCs/>
          <w:snapToGrid w:val="0"/>
          <w:szCs w:val="24"/>
          <w:u w:val="single"/>
        </w:rPr>
      </w:pPr>
      <w:r w:rsidRPr="00645FD3">
        <w:rPr>
          <w:bCs/>
          <w:snapToGrid w:val="0"/>
          <w:szCs w:val="24"/>
          <w:u w:val="single"/>
        </w:rPr>
        <w:t>TGP/15</w:t>
      </w:r>
      <w:r w:rsidR="009E1FB4" w:rsidRPr="00645FD3">
        <w:rPr>
          <w:bCs/>
          <w:snapToGrid w:val="0"/>
          <w:szCs w:val="24"/>
          <w:u w:val="single"/>
        </w:rPr>
        <w:t> :</w:t>
      </w:r>
      <w:r w:rsidRPr="00645FD3">
        <w:rPr>
          <w:bCs/>
          <w:snapToGrid w:val="0"/>
          <w:szCs w:val="24"/>
          <w:u w:val="single"/>
        </w:rPr>
        <w:t xml:space="preserve"> </w:t>
      </w:r>
      <w:r w:rsidR="00265746" w:rsidRPr="00645FD3">
        <w:rPr>
          <w:bCs/>
          <w:snapToGrid w:val="0"/>
          <w:szCs w:val="24"/>
          <w:u w:val="single"/>
        </w:rPr>
        <w:t>Conseils en ce qui concerne l</w:t>
      </w:r>
      <w:r w:rsidR="009E1FB4" w:rsidRPr="00645FD3">
        <w:rPr>
          <w:bCs/>
          <w:snapToGrid w:val="0"/>
          <w:szCs w:val="24"/>
          <w:u w:val="single"/>
        </w:rPr>
        <w:t>’</w:t>
      </w:r>
      <w:r w:rsidR="00265746" w:rsidRPr="00645FD3">
        <w:rPr>
          <w:bCs/>
          <w:snapToGrid w:val="0"/>
          <w:szCs w:val="24"/>
          <w:u w:val="single"/>
        </w:rPr>
        <w:t>utilisation des marqueurs biochimiques et moléculaires dans l</w:t>
      </w:r>
      <w:r w:rsidR="009E1FB4" w:rsidRPr="00645FD3">
        <w:rPr>
          <w:bCs/>
          <w:snapToGrid w:val="0"/>
          <w:szCs w:val="24"/>
          <w:u w:val="single"/>
        </w:rPr>
        <w:t>’</w:t>
      </w:r>
      <w:r w:rsidR="00265746" w:rsidRPr="00645FD3">
        <w:rPr>
          <w:bCs/>
          <w:snapToGrid w:val="0"/>
          <w:szCs w:val="24"/>
          <w:u w:val="single"/>
        </w:rPr>
        <w:t>examen de la distinction, de l</w:t>
      </w:r>
      <w:r w:rsidR="009E1FB4" w:rsidRPr="00645FD3">
        <w:rPr>
          <w:bCs/>
          <w:snapToGrid w:val="0"/>
          <w:szCs w:val="24"/>
          <w:u w:val="single"/>
        </w:rPr>
        <w:t>’</w:t>
      </w:r>
      <w:r w:rsidR="00265746" w:rsidRPr="00645FD3">
        <w:rPr>
          <w:bCs/>
          <w:snapToGrid w:val="0"/>
          <w:szCs w:val="24"/>
          <w:u w:val="single"/>
        </w:rPr>
        <w:t>homogénéité et de la stabilité (DHS) (révision) (</w:t>
      </w:r>
      <w:r w:rsidR="009E1FB4" w:rsidRPr="00645FD3">
        <w:rPr>
          <w:bCs/>
          <w:snapToGrid w:val="0"/>
          <w:szCs w:val="24"/>
          <w:u w:val="single"/>
        </w:rPr>
        <w:t>document TG</w:t>
      </w:r>
      <w:r w:rsidR="00265746" w:rsidRPr="00645FD3">
        <w:rPr>
          <w:bCs/>
          <w:snapToGrid w:val="0"/>
          <w:szCs w:val="24"/>
          <w:u w:val="single"/>
        </w:rPr>
        <w:t>P/15/2 Draft</w:t>
      </w:r>
      <w:r w:rsidR="00E5665F" w:rsidRPr="00645FD3">
        <w:rPr>
          <w:bCs/>
          <w:snapToGrid w:val="0"/>
          <w:szCs w:val="24"/>
          <w:u w:val="single"/>
        </w:rPr>
        <w:t> </w:t>
      </w:r>
      <w:r w:rsidR="00265746" w:rsidRPr="00645FD3">
        <w:rPr>
          <w:bCs/>
          <w:snapToGrid w:val="0"/>
          <w:szCs w:val="24"/>
          <w:u w:val="single"/>
        </w:rPr>
        <w:t>2</w:t>
      </w:r>
      <w:r w:rsidRPr="00645FD3">
        <w:rPr>
          <w:bCs/>
          <w:snapToGrid w:val="0"/>
          <w:szCs w:val="24"/>
          <w:u w:val="single"/>
        </w:rPr>
        <w:t>)</w:t>
      </w:r>
    </w:p>
    <w:p w:rsidR="00917A05" w:rsidRPr="00645FD3" w:rsidRDefault="00917A05" w:rsidP="007111B2">
      <w:pPr>
        <w:keepNext/>
        <w:jc w:val="left"/>
      </w:pPr>
    </w:p>
    <w:p w:rsidR="00917A05" w:rsidRPr="00645FD3" w:rsidRDefault="00FE319F" w:rsidP="009D162E">
      <w:r w:rsidRPr="00645FD3">
        <w:rPr>
          <w:rFonts w:cs="Arial"/>
        </w:rPr>
        <w:fldChar w:fldCharType="begin"/>
      </w:r>
      <w:r w:rsidRPr="00645FD3">
        <w:rPr>
          <w:rFonts w:cs="Arial"/>
        </w:rPr>
        <w:instrText xml:space="preserve"> AUTONUM  </w:instrText>
      </w:r>
      <w:r w:rsidRPr="00645FD3">
        <w:rPr>
          <w:rFonts w:cs="Arial"/>
        </w:rPr>
        <w:fldChar w:fldCharType="end"/>
      </w:r>
      <w:r w:rsidRPr="00645FD3">
        <w:rPr>
          <w:rFonts w:cs="Arial"/>
        </w:rPr>
        <w:tab/>
      </w:r>
      <w:r w:rsidR="00B101F9" w:rsidRPr="00645FD3">
        <w:rPr>
          <w:rFonts w:cs="Arial"/>
        </w:rPr>
        <w:t>À sa cinquante</w:t>
      </w:r>
      <w:r w:rsidR="009E1FB4" w:rsidRPr="00645FD3">
        <w:rPr>
          <w:rFonts w:cs="Arial"/>
        </w:rPr>
        <w:t>-</w:t>
      </w:r>
      <w:r w:rsidR="00B101F9" w:rsidRPr="00645FD3">
        <w:rPr>
          <w:rFonts w:cs="Arial"/>
        </w:rPr>
        <w:t>quatr</w:t>
      </w:r>
      <w:r w:rsidR="009E1FB4" w:rsidRPr="00645FD3">
        <w:rPr>
          <w:rFonts w:cs="Arial"/>
        </w:rPr>
        <w:t>ième session</w:t>
      </w:r>
      <w:r w:rsidRPr="00645FD3">
        <w:rPr>
          <w:vertAlign w:val="superscript"/>
        </w:rPr>
        <w:fldChar w:fldCharType="begin"/>
      </w:r>
      <w:r w:rsidRPr="00645FD3">
        <w:rPr>
          <w:vertAlign w:val="superscript"/>
        </w:rPr>
        <w:instrText xml:space="preserve"> NOTEREF _Ref13507369 \h  \* MERGEFORMAT </w:instrText>
      </w:r>
      <w:r w:rsidRPr="00645FD3">
        <w:rPr>
          <w:vertAlign w:val="superscript"/>
        </w:rPr>
      </w:r>
      <w:r w:rsidRPr="00645FD3">
        <w:rPr>
          <w:vertAlign w:val="superscript"/>
        </w:rPr>
        <w:fldChar w:fldCharType="separate"/>
      </w:r>
      <w:r w:rsidRPr="00645FD3">
        <w:rPr>
          <w:vertAlign w:val="superscript"/>
        </w:rPr>
        <w:t>1</w:t>
      </w:r>
      <w:r w:rsidRPr="00645FD3">
        <w:rPr>
          <w:vertAlign w:val="superscript"/>
        </w:rPr>
        <w:fldChar w:fldCharType="end"/>
      </w:r>
      <w:r w:rsidRPr="00645FD3">
        <w:t xml:space="preserve">, </w:t>
      </w:r>
      <w:r w:rsidR="00B101F9" w:rsidRPr="00645FD3">
        <w:t>le</w:t>
      </w:r>
      <w:r w:rsidR="009E1FB4" w:rsidRPr="00645FD3">
        <w:t> TC</w:t>
      </w:r>
      <w:r w:rsidR="00B101F9" w:rsidRPr="00645FD3">
        <w:t xml:space="preserve"> est convenu de réviser le </w:t>
      </w:r>
      <w:r w:rsidR="009E1FB4" w:rsidRPr="00645FD3">
        <w:t>document TG</w:t>
      </w:r>
      <w:r w:rsidRPr="00645FD3">
        <w:t xml:space="preserve">P/15 </w:t>
      </w:r>
      <w:r w:rsidR="00B101F9" w:rsidRPr="00645FD3">
        <w:rPr>
          <w:rFonts w:cs="Arial"/>
        </w:rPr>
        <w:t>afin de préciser qu</w:t>
      </w:r>
      <w:r w:rsidR="009E1FB4" w:rsidRPr="00645FD3">
        <w:rPr>
          <w:rFonts w:cs="Arial"/>
        </w:rPr>
        <w:t>’</w:t>
      </w:r>
      <w:r w:rsidR="00B101F9" w:rsidRPr="00645FD3">
        <w:rPr>
          <w:rFonts w:cs="Arial"/>
        </w:rPr>
        <w:t>il incombe à l</w:t>
      </w:r>
      <w:r w:rsidR="009E1FB4" w:rsidRPr="00645FD3">
        <w:rPr>
          <w:rFonts w:cs="Arial"/>
        </w:rPr>
        <w:t>’</w:t>
      </w:r>
      <w:r w:rsidR="00B101F9" w:rsidRPr="00645FD3">
        <w:rPr>
          <w:rFonts w:cs="Arial"/>
        </w:rPr>
        <w:t>administration de se prononcer sur la fiabilité du lien entre le gène et l</w:t>
      </w:r>
      <w:r w:rsidR="009E1FB4" w:rsidRPr="00645FD3">
        <w:rPr>
          <w:rFonts w:cs="Arial"/>
        </w:rPr>
        <w:t>’</w:t>
      </w:r>
      <w:r w:rsidR="00B101F9" w:rsidRPr="00645FD3">
        <w:rPr>
          <w:rFonts w:cs="Arial"/>
        </w:rPr>
        <w:t>expression du caractère</w:t>
      </w:r>
      <w:r w:rsidRPr="00645FD3">
        <w:t xml:space="preserve"> (</w:t>
      </w:r>
      <w:r w:rsidR="00B101F9" w:rsidRPr="00645FD3">
        <w:t>voir les paragraphes</w:t>
      </w:r>
      <w:r w:rsidR="00E5665F" w:rsidRPr="00645FD3">
        <w:t> </w:t>
      </w:r>
      <w:r w:rsidR="00B101F9" w:rsidRPr="00645FD3">
        <w:t xml:space="preserve">272 et 273 du </w:t>
      </w:r>
      <w:r w:rsidRPr="00645FD3">
        <w:t>document</w:t>
      </w:r>
      <w:r w:rsidR="00E5665F" w:rsidRPr="00645FD3">
        <w:t> </w:t>
      </w:r>
      <w:hyperlink r:id="rId17" w:history="1">
        <w:r w:rsidR="00D811BF">
          <w:rPr>
            <w:rStyle w:val="Hyperlink"/>
          </w:rPr>
          <w:t>TC/54/31 Corr.</w:t>
        </w:r>
      </w:hyperlink>
      <w:r w:rsidRPr="00645FD3">
        <w:t xml:space="preserve"> “</w:t>
      </w:r>
      <w:r w:rsidR="00B101F9" w:rsidRPr="00645FD3">
        <w:t>Compte rendu</w:t>
      </w:r>
      <w:r w:rsidRPr="00645FD3">
        <w:t>”).</w:t>
      </w:r>
    </w:p>
    <w:p w:rsidR="00917A05" w:rsidRPr="00645FD3" w:rsidRDefault="00917A05" w:rsidP="009D162E">
      <w:pPr>
        <w:rPr>
          <w:rFonts w:cs="Arial"/>
          <w:highlight w:val="yellow"/>
        </w:rPr>
      </w:pPr>
    </w:p>
    <w:p w:rsidR="00917A05" w:rsidRPr="00645FD3" w:rsidRDefault="00D14E8F" w:rsidP="00B43485">
      <w:r w:rsidRPr="00645FD3">
        <w:rPr>
          <w:rFonts w:cs="Arial"/>
        </w:rPr>
        <w:fldChar w:fldCharType="begin"/>
      </w:r>
      <w:r w:rsidRPr="00645FD3">
        <w:rPr>
          <w:rFonts w:cs="Arial"/>
        </w:rPr>
        <w:instrText xml:space="preserve"> AUTONUM  </w:instrText>
      </w:r>
      <w:r w:rsidRPr="00645FD3">
        <w:rPr>
          <w:rFonts w:cs="Arial"/>
        </w:rPr>
        <w:fldChar w:fldCharType="end"/>
      </w:r>
      <w:r w:rsidRPr="00645FD3">
        <w:rPr>
          <w:rFonts w:cs="Arial"/>
        </w:rPr>
        <w:tab/>
      </w:r>
      <w:r w:rsidR="00472A47" w:rsidRPr="00645FD3">
        <w:rPr>
          <w:rFonts w:cs="Arial"/>
        </w:rPr>
        <w:t>À sa cinquante</w:t>
      </w:r>
      <w:r w:rsidR="009E1FB4" w:rsidRPr="00645FD3">
        <w:rPr>
          <w:rFonts w:cs="Arial"/>
        </w:rPr>
        <w:t>-</w:t>
      </w:r>
      <w:r w:rsidR="00472A47" w:rsidRPr="00645FD3">
        <w:rPr>
          <w:rFonts w:cs="Arial"/>
        </w:rPr>
        <w:t>quatr</w:t>
      </w:r>
      <w:r w:rsidR="009E1FB4" w:rsidRPr="00645FD3">
        <w:rPr>
          <w:rFonts w:cs="Arial"/>
        </w:rPr>
        <w:t>ième session</w:t>
      </w:r>
      <w:r w:rsidR="009D162E" w:rsidRPr="00645FD3">
        <w:t xml:space="preserve">, </w:t>
      </w:r>
      <w:r w:rsidR="00472A47" w:rsidRPr="00645FD3">
        <w:rPr>
          <w:rFonts w:cs="Arial"/>
        </w:rPr>
        <w:t>le</w:t>
      </w:r>
      <w:r w:rsidR="009E1FB4" w:rsidRPr="00645FD3">
        <w:rPr>
          <w:rFonts w:cs="Arial"/>
        </w:rPr>
        <w:t> TC</w:t>
      </w:r>
      <w:r w:rsidR="00472A47" w:rsidRPr="00645FD3">
        <w:rPr>
          <w:rFonts w:cs="Arial"/>
        </w:rPr>
        <w:t xml:space="preserve"> est également convenu </w:t>
      </w:r>
      <w:r w:rsidR="00472A47" w:rsidRPr="00645FD3">
        <w:t>de l</w:t>
      </w:r>
      <w:r w:rsidR="009E1FB4" w:rsidRPr="00645FD3">
        <w:t>’</w:t>
      </w:r>
      <w:r w:rsidR="00472A47" w:rsidRPr="00645FD3">
        <w:t>inclusion d</w:t>
      </w:r>
      <w:r w:rsidR="009E1FB4" w:rsidRPr="00645FD3">
        <w:t>’</w:t>
      </w:r>
      <w:r w:rsidR="00472A47" w:rsidRPr="00645FD3">
        <w:t xml:space="preserve">un nouveau modèle “Sélection génétique de variétés voisines pour le premier cycle de végétation </w:t>
      </w:r>
      <w:r w:rsidR="00E5665F" w:rsidRPr="00645FD3">
        <w:t>–</w:t>
      </w:r>
      <w:r w:rsidR="00472A47" w:rsidRPr="00645FD3">
        <w:t xml:space="preserve"> exemple</w:t>
      </w:r>
      <w:r w:rsidR="009E1FB4" w:rsidRPr="00645FD3">
        <w:t> :</w:t>
      </w:r>
      <w:r w:rsidR="00472A47" w:rsidRPr="00645FD3">
        <w:t xml:space="preserve"> haricot vert” dans le document TGP/15 pour l</w:t>
      </w:r>
      <w:r w:rsidR="009E1FB4" w:rsidRPr="00645FD3">
        <w:t>’</w:t>
      </w:r>
      <w:r w:rsidR="00472A47" w:rsidRPr="00645FD3">
        <w:t>utilisation des marqueurs biochimiques et moléculaires dans l</w:t>
      </w:r>
      <w:r w:rsidR="009E1FB4" w:rsidRPr="00645FD3">
        <w:t>’</w:t>
      </w:r>
      <w:r w:rsidR="00472A47" w:rsidRPr="00645FD3">
        <w:t>examen de la distinction, de l</w:t>
      </w:r>
      <w:r w:rsidR="009E1FB4" w:rsidRPr="00645FD3">
        <w:t>’</w:t>
      </w:r>
      <w:r w:rsidR="00472A47" w:rsidRPr="00645FD3">
        <w:t>homogénéité et de la stabilité (DHS), sur la base du document TGP/15/2 Draft 1 révisé par le</w:t>
      </w:r>
      <w:r w:rsidR="009E1FB4" w:rsidRPr="00645FD3">
        <w:t> TC-EDC</w:t>
      </w:r>
      <w:r w:rsidR="00472A47" w:rsidRPr="00645FD3">
        <w:t>, comme indiqué à l</w:t>
      </w:r>
      <w:r w:rsidR="009E1FB4" w:rsidRPr="00645FD3">
        <w:t>’</w:t>
      </w:r>
      <w:r w:rsidR="00472A47" w:rsidRPr="00645FD3">
        <w:t>annexe III du document</w:t>
      </w:r>
      <w:r w:rsidR="00D811BF">
        <w:t xml:space="preserve"> </w:t>
      </w:r>
      <w:hyperlink r:id="rId18" w:history="1">
        <w:r w:rsidR="00D811BF">
          <w:rPr>
            <w:rStyle w:val="Hyperlink"/>
          </w:rPr>
          <w:t>TC/54/31 </w:t>
        </w:r>
        <w:r w:rsidR="00D811BF">
          <w:rPr>
            <w:rStyle w:val="Hyperlink"/>
          </w:rPr>
          <w:t>Corr.</w:t>
        </w:r>
      </w:hyperlink>
      <w:r w:rsidR="00B43485" w:rsidRPr="00645FD3">
        <w:t xml:space="preserve"> “</w:t>
      </w:r>
      <w:r w:rsidR="00472A47" w:rsidRPr="00645FD3">
        <w:t>Compte rendu</w:t>
      </w:r>
      <w:r w:rsidR="00B43485" w:rsidRPr="00645FD3">
        <w:t xml:space="preserve">” </w:t>
      </w:r>
      <w:r w:rsidRPr="00645FD3">
        <w:t>(</w:t>
      </w:r>
      <w:r w:rsidR="00472A47" w:rsidRPr="00645FD3">
        <w:t>voir les paragraphes</w:t>
      </w:r>
      <w:r w:rsidR="00E5665F" w:rsidRPr="00645FD3">
        <w:t> </w:t>
      </w:r>
      <w:r w:rsidR="00472A47" w:rsidRPr="00645FD3">
        <w:t xml:space="preserve">290 et 291 du </w:t>
      </w:r>
      <w:r w:rsidRPr="00645FD3">
        <w:t>document</w:t>
      </w:r>
      <w:r w:rsidR="00E5665F" w:rsidRPr="00645FD3">
        <w:t> </w:t>
      </w:r>
      <w:hyperlink r:id="rId19" w:history="1">
        <w:r w:rsidR="00D811BF">
          <w:rPr>
            <w:rStyle w:val="Hyperlink"/>
          </w:rPr>
          <w:t>TC/54/31 Corr.</w:t>
        </w:r>
      </w:hyperlink>
      <w:r w:rsidRPr="00645FD3">
        <w:t xml:space="preserve"> “</w:t>
      </w:r>
      <w:r w:rsidR="00472A47" w:rsidRPr="00645FD3">
        <w:t>Compte rendu</w:t>
      </w:r>
      <w:r w:rsidRPr="00645FD3">
        <w:t>”).</w:t>
      </w:r>
    </w:p>
    <w:p w:rsidR="00917A05" w:rsidRPr="00645FD3" w:rsidRDefault="00917A05" w:rsidP="008966F7"/>
    <w:p w:rsidR="00917A05" w:rsidRPr="00645FD3" w:rsidRDefault="00B43485" w:rsidP="00B43485">
      <w:r w:rsidRPr="00645FD3">
        <w:fldChar w:fldCharType="begin"/>
      </w:r>
      <w:r w:rsidRPr="00645FD3">
        <w:instrText xml:space="preserve"> AUTONUM  </w:instrText>
      </w:r>
      <w:r w:rsidRPr="00645FD3">
        <w:fldChar w:fldCharType="end"/>
      </w:r>
      <w:r w:rsidRPr="00645FD3">
        <w:tab/>
      </w:r>
      <w:r w:rsidR="002E00E6" w:rsidRPr="00645FD3">
        <w:t>Sur la base de ce qui précède, le</w:t>
      </w:r>
      <w:r w:rsidR="009E1FB4" w:rsidRPr="00645FD3">
        <w:t> TC</w:t>
      </w:r>
      <w:r w:rsidR="002E00E6" w:rsidRPr="00645FD3">
        <w:t xml:space="preserve"> est convenu qu</w:t>
      </w:r>
      <w:r w:rsidR="009E1FB4" w:rsidRPr="00645FD3">
        <w:t>’</w:t>
      </w:r>
      <w:r w:rsidR="002E00E6" w:rsidRPr="00645FD3">
        <w:t xml:space="preserve">une version révisée du </w:t>
      </w:r>
      <w:r w:rsidR="009E1FB4" w:rsidRPr="00645FD3">
        <w:t>document TG</w:t>
      </w:r>
      <w:r w:rsidR="002E00E6" w:rsidRPr="00645FD3">
        <w:t>P/15/1 (</w:t>
      </w:r>
      <w:r w:rsidR="009E1FB4" w:rsidRPr="00645FD3">
        <w:t>document TG</w:t>
      </w:r>
      <w:r w:rsidR="002E00E6" w:rsidRPr="00645FD3">
        <w:t>P/15/2 Draft 2) devait être soumise au Conseil pour adoption à sa cinquante</w:t>
      </w:r>
      <w:r w:rsidR="009E1FB4" w:rsidRPr="00645FD3">
        <w:t>-</w:t>
      </w:r>
      <w:r w:rsidR="002E00E6" w:rsidRPr="00645FD3">
        <w:t>trois</w:t>
      </w:r>
      <w:r w:rsidR="009E1FB4" w:rsidRPr="00645FD3">
        <w:t>ième session</w:t>
      </w:r>
      <w:r w:rsidR="002E00E6" w:rsidRPr="00645FD3">
        <w:t xml:space="preserve"> ordinaire, sous réserve de l</w:t>
      </w:r>
      <w:r w:rsidR="009E1FB4" w:rsidRPr="00645FD3">
        <w:t>’</w:t>
      </w:r>
      <w:r w:rsidR="002E00E6" w:rsidRPr="00645FD3">
        <w:t>approbation du CAJ à sa soixante</w:t>
      </w:r>
      <w:r w:rsidR="009E1FB4" w:rsidRPr="00645FD3">
        <w:t>-</w:t>
      </w:r>
      <w:r w:rsidR="002E00E6" w:rsidRPr="00645FD3">
        <w:t>seiz</w:t>
      </w:r>
      <w:r w:rsidR="009E1FB4" w:rsidRPr="00645FD3">
        <w:t>ième session</w:t>
      </w:r>
      <w:r w:rsidRPr="00645FD3">
        <w:rPr>
          <w:vertAlign w:val="superscript"/>
        </w:rPr>
        <w:fldChar w:fldCharType="begin"/>
      </w:r>
      <w:r w:rsidRPr="00645FD3">
        <w:rPr>
          <w:vertAlign w:val="superscript"/>
        </w:rPr>
        <w:instrText xml:space="preserve"> NOTEREF _Ref13509809 \h  \* MERGEFORMAT </w:instrText>
      </w:r>
      <w:r w:rsidRPr="00645FD3">
        <w:rPr>
          <w:vertAlign w:val="superscript"/>
        </w:rPr>
      </w:r>
      <w:r w:rsidRPr="00645FD3">
        <w:rPr>
          <w:vertAlign w:val="superscript"/>
        </w:rPr>
        <w:fldChar w:fldCharType="separate"/>
      </w:r>
      <w:r w:rsidR="009A21B9" w:rsidRPr="00645FD3">
        <w:rPr>
          <w:vertAlign w:val="superscript"/>
        </w:rPr>
        <w:t>2</w:t>
      </w:r>
      <w:r w:rsidRPr="00645FD3">
        <w:rPr>
          <w:vertAlign w:val="superscript"/>
        </w:rPr>
        <w:fldChar w:fldCharType="end"/>
      </w:r>
      <w:r w:rsidRPr="00645FD3">
        <w:t>.</w:t>
      </w:r>
    </w:p>
    <w:p w:rsidR="00917A05" w:rsidRPr="00645FD3" w:rsidRDefault="00917A05" w:rsidP="00B43485"/>
    <w:p w:rsidR="00917A05" w:rsidRPr="00645FD3" w:rsidRDefault="00B43485" w:rsidP="00B43485">
      <w:pPr>
        <w:rPr>
          <w:bCs/>
          <w:snapToGrid w:val="0"/>
          <w:szCs w:val="24"/>
        </w:rPr>
      </w:pPr>
      <w:r w:rsidRPr="00645FD3">
        <w:fldChar w:fldCharType="begin"/>
      </w:r>
      <w:r w:rsidRPr="00645FD3">
        <w:instrText xml:space="preserve"> AUTONUM  </w:instrText>
      </w:r>
      <w:r w:rsidRPr="00645FD3">
        <w:fldChar w:fldCharType="end"/>
      </w:r>
      <w:r w:rsidRPr="00645FD3">
        <w:tab/>
      </w:r>
      <w:r w:rsidR="002E00E6" w:rsidRPr="00645FD3">
        <w:t xml:space="preserve">Les traductions en français, allemand et espagnol du texte anglais original ont été examinées par les membres concernés du Comité de rédaction avant la présentation du projet de </w:t>
      </w:r>
      <w:r w:rsidR="009E1FB4" w:rsidRPr="00645FD3">
        <w:t>document TG</w:t>
      </w:r>
      <w:r w:rsidR="002E00E6" w:rsidRPr="00645FD3">
        <w:t>P/15/2 au Conse</w:t>
      </w:r>
      <w:r w:rsidR="00B5679E" w:rsidRPr="00645FD3">
        <w:t>il.  Le</w:t>
      </w:r>
      <w:r w:rsidR="002E00E6" w:rsidRPr="00645FD3">
        <w:t xml:space="preserve"> </w:t>
      </w:r>
      <w:r w:rsidR="009E1FB4" w:rsidRPr="00645FD3">
        <w:t>document TG</w:t>
      </w:r>
      <w:r w:rsidR="002E00E6" w:rsidRPr="00645FD3">
        <w:t>P/15/2 Draft 2 contient les modifications approuvées par le</w:t>
      </w:r>
      <w:r w:rsidR="009E1FB4" w:rsidRPr="00645FD3">
        <w:t> TC</w:t>
      </w:r>
      <w:r w:rsidR="002E00E6" w:rsidRPr="00645FD3">
        <w:t xml:space="preserve"> figurant à l</w:t>
      </w:r>
      <w:r w:rsidR="009E1FB4" w:rsidRPr="00645FD3">
        <w:t>’</w:t>
      </w:r>
      <w:r w:rsidR="002E00E6" w:rsidRPr="00645FD3">
        <w:t>annexe V du présent document, ainsi que les modifications d</w:t>
      </w:r>
      <w:r w:rsidR="009E1FB4" w:rsidRPr="00645FD3">
        <w:t>’</w:t>
      </w:r>
      <w:r w:rsidR="002E00E6" w:rsidRPr="00645FD3">
        <w:t>ordre linguistique apportées par les membres concernés du Comité de rédaction.</w:t>
      </w:r>
    </w:p>
    <w:p w:rsidR="00917A05" w:rsidRPr="00645FD3" w:rsidRDefault="00917A05" w:rsidP="00B43485">
      <w:pPr>
        <w:rPr>
          <w:bCs/>
          <w:snapToGrid w:val="0"/>
          <w:szCs w:val="24"/>
        </w:rPr>
      </w:pPr>
    </w:p>
    <w:p w:rsidR="009E1FB4" w:rsidRPr="00645FD3" w:rsidRDefault="00D14E8F" w:rsidP="00D14E8F">
      <w:r w:rsidRPr="00645FD3">
        <w:fldChar w:fldCharType="begin"/>
      </w:r>
      <w:r w:rsidRPr="00645FD3">
        <w:instrText xml:space="preserve"> AUTONUM  </w:instrText>
      </w:r>
      <w:r w:rsidRPr="00645FD3">
        <w:fldChar w:fldCharType="end"/>
      </w:r>
      <w:r w:rsidRPr="00645FD3">
        <w:tab/>
      </w:r>
      <w:r w:rsidR="002E00E6" w:rsidRPr="00645FD3">
        <w:t>Un compte rendu des conclusions formulées par le</w:t>
      </w:r>
      <w:r w:rsidR="009E1FB4" w:rsidRPr="00645FD3">
        <w:t> TC</w:t>
      </w:r>
      <w:r w:rsidR="002E00E6" w:rsidRPr="00645FD3">
        <w:t xml:space="preserve"> à sa cinquante</w:t>
      </w:r>
      <w:r w:rsidR="009E1FB4" w:rsidRPr="00645FD3">
        <w:t>-</w:t>
      </w:r>
      <w:r w:rsidR="002E00E6" w:rsidRPr="00645FD3">
        <w:t>cinqu</w:t>
      </w:r>
      <w:r w:rsidR="009E1FB4" w:rsidRPr="00645FD3">
        <w:t>ième session</w:t>
      </w:r>
      <w:hyperlink w:anchor="notebasdepage3" w:history="1">
        <w:r w:rsidR="00461106" w:rsidRPr="00645FD3">
          <w:rPr>
            <w:rStyle w:val="Hyperlink"/>
            <w:color w:val="auto"/>
            <w:u w:val="none"/>
            <w:vertAlign w:val="superscript"/>
          </w:rPr>
          <w:t>3</w:t>
        </w:r>
      </w:hyperlink>
      <w:r w:rsidR="002E00E6" w:rsidRPr="00645FD3">
        <w:t xml:space="preserve"> et par</w:t>
      </w:r>
      <w:r w:rsidR="009E1FB4" w:rsidRPr="00645FD3">
        <w:t xml:space="preserve"> le CAJ</w:t>
      </w:r>
      <w:r w:rsidR="002E00E6" w:rsidRPr="00645FD3">
        <w:t xml:space="preserve"> à sa soixante</w:t>
      </w:r>
      <w:r w:rsidR="009E1FB4" w:rsidRPr="00645FD3">
        <w:t>-</w:t>
      </w:r>
      <w:r w:rsidR="002E00E6" w:rsidRPr="00645FD3">
        <w:t>seiz</w:t>
      </w:r>
      <w:r w:rsidR="009E1FB4" w:rsidRPr="00645FD3">
        <w:t>ième session</w:t>
      </w:r>
      <w:r w:rsidR="002E00E6" w:rsidRPr="00645FD3">
        <w:rPr>
          <w:vertAlign w:val="superscript"/>
        </w:rPr>
        <w:fldChar w:fldCharType="begin"/>
      </w:r>
      <w:r w:rsidR="002E00E6" w:rsidRPr="00645FD3">
        <w:rPr>
          <w:vertAlign w:val="superscript"/>
        </w:rPr>
        <w:instrText xml:space="preserve"> NOTEREF _Ref13509809 \h  \* MERGEFORMAT </w:instrText>
      </w:r>
      <w:r w:rsidR="002E00E6" w:rsidRPr="00645FD3">
        <w:rPr>
          <w:vertAlign w:val="superscript"/>
        </w:rPr>
      </w:r>
      <w:r w:rsidR="002E00E6" w:rsidRPr="00645FD3">
        <w:rPr>
          <w:vertAlign w:val="superscript"/>
        </w:rPr>
        <w:fldChar w:fldCharType="separate"/>
      </w:r>
      <w:r w:rsidR="002E00E6" w:rsidRPr="00645FD3">
        <w:rPr>
          <w:vertAlign w:val="superscript"/>
        </w:rPr>
        <w:t>2</w:t>
      </w:r>
      <w:r w:rsidR="002E00E6" w:rsidRPr="00645FD3">
        <w:rPr>
          <w:vertAlign w:val="superscript"/>
        </w:rPr>
        <w:fldChar w:fldCharType="end"/>
      </w:r>
      <w:r w:rsidR="002E00E6" w:rsidRPr="00645FD3">
        <w:t xml:space="preserve">, au sujet des propositions de révision du </w:t>
      </w:r>
      <w:r w:rsidR="009E1FB4" w:rsidRPr="00645FD3">
        <w:t>document TG</w:t>
      </w:r>
      <w:r w:rsidRPr="00645FD3">
        <w:t>P/15/1</w:t>
      </w:r>
      <w:r w:rsidR="002E00E6" w:rsidRPr="00645FD3">
        <w:t xml:space="preserve"> sera présenté au Conseil à sa cinquante</w:t>
      </w:r>
      <w:r w:rsidR="009E1FB4" w:rsidRPr="00645FD3">
        <w:t>-</w:t>
      </w:r>
      <w:r w:rsidR="002E00E6" w:rsidRPr="00645FD3">
        <w:t>trois</w:t>
      </w:r>
      <w:r w:rsidR="009E1FB4" w:rsidRPr="00645FD3">
        <w:t>ième session</w:t>
      </w:r>
      <w:r w:rsidR="002E00E6" w:rsidRPr="00645FD3">
        <w:t xml:space="preserve"> ordinaire (voir les </w:t>
      </w:r>
      <w:r w:rsidR="009E1FB4" w:rsidRPr="00645FD3">
        <w:t>documents TC</w:t>
      </w:r>
      <w:r w:rsidR="002E00E6" w:rsidRPr="00645FD3">
        <w:t>/55/[xx] “Compte rendu” et CAJ/76/[xx] “Compte rendu”).</w:t>
      </w:r>
    </w:p>
    <w:p w:rsidR="00917A05" w:rsidRPr="00645FD3" w:rsidRDefault="00917A05" w:rsidP="00D14E8F"/>
    <w:p w:rsidR="009E1FB4" w:rsidRPr="00645FD3" w:rsidRDefault="002C7C01" w:rsidP="002C7C01">
      <w:pPr>
        <w:pStyle w:val="DecisionParagraphs"/>
      </w:pPr>
      <w:r w:rsidRPr="00645FD3">
        <w:fldChar w:fldCharType="begin"/>
      </w:r>
      <w:r w:rsidRPr="00645FD3">
        <w:instrText xml:space="preserve"> AUTONUM  </w:instrText>
      </w:r>
      <w:r w:rsidRPr="00645FD3">
        <w:fldChar w:fldCharType="end"/>
      </w:r>
      <w:r w:rsidRPr="00645FD3">
        <w:tab/>
      </w:r>
      <w:r w:rsidR="002E00E6" w:rsidRPr="00645FD3">
        <w:t>Le Conseil est invité à adopter la version révisée du document TGP/15 “Conseils en ce qui concerne l</w:t>
      </w:r>
      <w:r w:rsidR="009E1FB4" w:rsidRPr="00645FD3">
        <w:t>’</w:t>
      </w:r>
      <w:r w:rsidR="002E00E6" w:rsidRPr="00645FD3">
        <w:t>utilisation des marqueurs biochimiques et moléculaires dans l</w:t>
      </w:r>
      <w:r w:rsidR="009E1FB4" w:rsidRPr="00645FD3">
        <w:t>’</w:t>
      </w:r>
      <w:r w:rsidR="002E00E6" w:rsidRPr="00645FD3">
        <w:t>examen de la distinction, de l</w:t>
      </w:r>
      <w:r w:rsidR="009E1FB4" w:rsidRPr="00645FD3">
        <w:t>’</w:t>
      </w:r>
      <w:r w:rsidR="002E00E6" w:rsidRPr="00645FD3">
        <w:t xml:space="preserve">homogénéité et </w:t>
      </w:r>
      <w:r w:rsidR="000B40AD" w:rsidRPr="00645FD3">
        <w:t>de la stabilité (DHS) (document </w:t>
      </w:r>
      <w:r w:rsidR="002E00E6" w:rsidRPr="00645FD3">
        <w:t>TGP/15/1), sur la base du document TGP/15/2 Draft 2, compte tenu des conclusions formulées par le</w:t>
      </w:r>
      <w:r w:rsidR="009E1FB4" w:rsidRPr="00645FD3">
        <w:t> TC</w:t>
      </w:r>
      <w:r w:rsidR="002E00E6" w:rsidRPr="00645FD3">
        <w:t xml:space="preserve"> à sa cinquante</w:t>
      </w:r>
      <w:r w:rsidR="009E1FB4" w:rsidRPr="00645FD3">
        <w:t>-</w:t>
      </w:r>
      <w:r w:rsidR="002E00E6" w:rsidRPr="00645FD3">
        <w:t>cinqu</w:t>
      </w:r>
      <w:r w:rsidR="009E1FB4" w:rsidRPr="00645FD3">
        <w:t>ième session</w:t>
      </w:r>
      <w:r w:rsidR="002E00E6" w:rsidRPr="00645FD3">
        <w:t xml:space="preserve"> et par</w:t>
      </w:r>
      <w:r w:rsidR="009E1FB4" w:rsidRPr="00645FD3">
        <w:t xml:space="preserve"> le CAJ</w:t>
      </w:r>
      <w:r w:rsidR="002E00E6" w:rsidRPr="00645FD3">
        <w:t xml:space="preserve"> à sa soixante</w:t>
      </w:r>
      <w:r w:rsidR="009E1FB4" w:rsidRPr="00645FD3">
        <w:t>-</w:t>
      </w:r>
      <w:r w:rsidR="002E00E6" w:rsidRPr="00645FD3">
        <w:t>seiz</w:t>
      </w:r>
      <w:r w:rsidR="009E1FB4" w:rsidRPr="00645FD3">
        <w:t>ième session</w:t>
      </w:r>
      <w:r w:rsidRPr="00645FD3">
        <w:t>.</w:t>
      </w:r>
    </w:p>
    <w:p w:rsidR="00917A05" w:rsidRPr="00645FD3" w:rsidRDefault="00917A05" w:rsidP="003D0EB7">
      <w:pPr>
        <w:jc w:val="left"/>
      </w:pPr>
    </w:p>
    <w:p w:rsidR="00917A05" w:rsidRPr="00645FD3" w:rsidRDefault="00917A05" w:rsidP="003D0EB7">
      <w:pPr>
        <w:jc w:val="left"/>
      </w:pPr>
    </w:p>
    <w:p w:rsidR="009E1FB4" w:rsidRPr="00645FD3" w:rsidRDefault="003D0EB7" w:rsidP="003D0EB7">
      <w:pPr>
        <w:jc w:val="left"/>
        <w:rPr>
          <w:bCs/>
          <w:snapToGrid w:val="0"/>
          <w:szCs w:val="24"/>
          <w:u w:val="single"/>
        </w:rPr>
      </w:pPr>
      <w:r w:rsidRPr="00645FD3">
        <w:rPr>
          <w:bCs/>
          <w:snapToGrid w:val="0"/>
          <w:szCs w:val="24"/>
          <w:u w:val="single"/>
        </w:rPr>
        <w:t>TGP/0</w:t>
      </w:r>
      <w:r w:rsidR="009E1FB4" w:rsidRPr="00645FD3">
        <w:rPr>
          <w:bCs/>
          <w:snapToGrid w:val="0"/>
          <w:szCs w:val="24"/>
          <w:u w:val="single"/>
        </w:rPr>
        <w:t> :</w:t>
      </w:r>
      <w:r w:rsidRPr="00645FD3">
        <w:rPr>
          <w:bCs/>
          <w:snapToGrid w:val="0"/>
          <w:szCs w:val="24"/>
          <w:u w:val="single"/>
        </w:rPr>
        <w:t xml:space="preserve"> </w:t>
      </w:r>
      <w:r w:rsidR="002E00E6" w:rsidRPr="00645FD3">
        <w:rPr>
          <w:bCs/>
          <w:snapToGrid w:val="0"/>
          <w:szCs w:val="24"/>
          <w:u w:val="single"/>
        </w:rPr>
        <w:t>Liste des documents TGP et date de la version la plus récente de ces documents (révision) (</w:t>
      </w:r>
      <w:r w:rsidR="009E1FB4" w:rsidRPr="00645FD3">
        <w:rPr>
          <w:bCs/>
          <w:snapToGrid w:val="0"/>
          <w:szCs w:val="24"/>
          <w:u w:val="single"/>
        </w:rPr>
        <w:t>document TG</w:t>
      </w:r>
      <w:r w:rsidR="002E00E6" w:rsidRPr="00645FD3">
        <w:rPr>
          <w:bCs/>
          <w:snapToGrid w:val="0"/>
          <w:szCs w:val="24"/>
          <w:u w:val="single"/>
        </w:rPr>
        <w:t>P/0/11 Draft</w:t>
      </w:r>
      <w:r w:rsidR="00E5665F" w:rsidRPr="00645FD3">
        <w:rPr>
          <w:bCs/>
          <w:snapToGrid w:val="0"/>
          <w:szCs w:val="24"/>
          <w:u w:val="single"/>
        </w:rPr>
        <w:t> </w:t>
      </w:r>
      <w:r w:rsidR="002E00E6" w:rsidRPr="00645FD3">
        <w:rPr>
          <w:bCs/>
          <w:snapToGrid w:val="0"/>
          <w:szCs w:val="24"/>
          <w:u w:val="single"/>
        </w:rPr>
        <w:t>1</w:t>
      </w:r>
      <w:r w:rsidRPr="00645FD3">
        <w:rPr>
          <w:bCs/>
          <w:snapToGrid w:val="0"/>
          <w:szCs w:val="24"/>
          <w:u w:val="single"/>
        </w:rPr>
        <w:t>)</w:t>
      </w:r>
    </w:p>
    <w:p w:rsidR="00917A05" w:rsidRPr="00645FD3" w:rsidRDefault="00917A05" w:rsidP="004F45B7">
      <w:pPr>
        <w:keepNext/>
      </w:pPr>
    </w:p>
    <w:p w:rsidR="00917A05" w:rsidRPr="00645FD3" w:rsidRDefault="004F45B7" w:rsidP="004F45B7">
      <w:pPr>
        <w:keepNext/>
        <w:rPr>
          <w:rFonts w:cs="Arial"/>
        </w:rPr>
      </w:pPr>
      <w:r w:rsidRPr="00645FD3">
        <w:fldChar w:fldCharType="begin"/>
      </w:r>
      <w:r w:rsidRPr="00645FD3">
        <w:instrText xml:space="preserve"> AUTONUM  </w:instrText>
      </w:r>
      <w:r w:rsidRPr="00645FD3">
        <w:fldChar w:fldCharType="end"/>
      </w:r>
      <w:r w:rsidRPr="00645FD3">
        <w:tab/>
      </w:r>
      <w:r w:rsidR="006623A9" w:rsidRPr="00645FD3">
        <w:t>Parallèlement à l</w:t>
      </w:r>
      <w:r w:rsidR="009E1FB4" w:rsidRPr="00645FD3">
        <w:t>’</w:t>
      </w:r>
      <w:r w:rsidR="006623A9" w:rsidRPr="00645FD3">
        <w:t>adoption des documents TGP révisés</w:t>
      </w:r>
      <w:r w:rsidR="00461106" w:rsidRPr="00645FD3">
        <w:t xml:space="preserve"> </w:t>
      </w:r>
      <w:r w:rsidR="006623A9" w:rsidRPr="00645FD3">
        <w:t xml:space="preserve">à </w:t>
      </w:r>
      <w:r w:rsidR="00461106" w:rsidRPr="00645FD3">
        <w:t>l</w:t>
      </w:r>
      <w:r w:rsidR="006623A9" w:rsidRPr="00645FD3">
        <w:t>a cinquante</w:t>
      </w:r>
      <w:r w:rsidR="009E1FB4" w:rsidRPr="00645FD3">
        <w:t>-</w:t>
      </w:r>
      <w:r w:rsidR="006623A9" w:rsidRPr="00645FD3">
        <w:t>trois</w:t>
      </w:r>
      <w:r w:rsidR="009E1FB4" w:rsidRPr="00645FD3">
        <w:t>ième session</w:t>
      </w:r>
      <w:r w:rsidR="006623A9" w:rsidRPr="00645FD3">
        <w:t xml:space="preserve"> ordinaire</w:t>
      </w:r>
      <w:r w:rsidR="00461106" w:rsidRPr="00645FD3">
        <w:t xml:space="preserve"> du Conseil</w:t>
      </w:r>
      <w:r w:rsidR="006623A9" w:rsidRPr="00645FD3">
        <w:t>, il est proposé d</w:t>
      </w:r>
      <w:r w:rsidR="009E1FB4" w:rsidRPr="00645FD3">
        <w:t>’</w:t>
      </w:r>
      <w:r w:rsidR="006623A9" w:rsidRPr="00645FD3">
        <w:t xml:space="preserve">adopter une révision du </w:t>
      </w:r>
      <w:r w:rsidR="00A06E76" w:rsidRPr="00645FD3">
        <w:t>document TGP/0/10</w:t>
      </w:r>
      <w:r w:rsidRPr="00645FD3">
        <w:t xml:space="preserve"> </w:t>
      </w:r>
      <w:r w:rsidRPr="00645FD3">
        <w:rPr>
          <w:lang w:eastAsia="zh-CN"/>
        </w:rPr>
        <w:t>“</w:t>
      </w:r>
      <w:r w:rsidR="006623A9" w:rsidRPr="00645FD3">
        <w:t>Liste des documents TGP et date de la version la plus récente de ces documents</w:t>
      </w:r>
      <w:r w:rsidR="00A06E76" w:rsidRPr="00645FD3">
        <w:rPr>
          <w:lang w:eastAsia="zh-CN"/>
        </w:rPr>
        <w:t>” (document TGP/0/11</w:t>
      </w:r>
      <w:r w:rsidRPr="00645FD3">
        <w:rPr>
          <w:lang w:eastAsia="zh-CN"/>
        </w:rPr>
        <w:t>)</w:t>
      </w:r>
      <w:r w:rsidR="006623A9" w:rsidRPr="00645FD3">
        <w:rPr>
          <w:lang w:eastAsia="zh-CN"/>
        </w:rPr>
        <w:t>, sur la base du</w:t>
      </w:r>
      <w:r w:rsidR="00A06E76" w:rsidRPr="00645FD3">
        <w:t xml:space="preserve"> document TGP/0/11</w:t>
      </w:r>
      <w:r w:rsidRPr="00645FD3">
        <w:t> Draft 1</w:t>
      </w:r>
      <w:r w:rsidRPr="00645FD3">
        <w:rPr>
          <w:rFonts w:cs="Arial"/>
        </w:rPr>
        <w:t>.</w:t>
      </w:r>
    </w:p>
    <w:p w:rsidR="00917A05" w:rsidRPr="00645FD3" w:rsidRDefault="00917A05" w:rsidP="004F45B7"/>
    <w:p w:rsidR="009E1FB4" w:rsidRPr="00645FD3" w:rsidRDefault="004F45B7" w:rsidP="00B716DB">
      <w:pPr>
        <w:keepLines/>
        <w:tabs>
          <w:tab w:val="left" w:pos="5387"/>
          <w:tab w:val="left" w:pos="5954"/>
        </w:tabs>
        <w:ind w:left="4820"/>
      </w:pPr>
      <w:r w:rsidRPr="00645FD3">
        <w:rPr>
          <w:i/>
        </w:rPr>
        <w:lastRenderedPageBreak/>
        <w:fldChar w:fldCharType="begin"/>
      </w:r>
      <w:r w:rsidRPr="00645FD3">
        <w:rPr>
          <w:i/>
        </w:rPr>
        <w:instrText xml:space="preserve"> AUTONUM  </w:instrText>
      </w:r>
      <w:r w:rsidRPr="00645FD3">
        <w:rPr>
          <w:i/>
        </w:rPr>
        <w:fldChar w:fldCharType="end"/>
      </w:r>
      <w:r w:rsidRPr="00645FD3">
        <w:rPr>
          <w:i/>
        </w:rPr>
        <w:tab/>
      </w:r>
      <w:r w:rsidR="006623A9" w:rsidRPr="00645FD3">
        <w:rPr>
          <w:i/>
        </w:rPr>
        <w:t>Le Conseil est invité à adopter une version révisée du document TGP/0 “Liste des documents TGP et date de la version la plus récente de ces documents” (document TGP/0/10), sur la base du document TGP/0/11 Draft</w:t>
      </w:r>
      <w:r w:rsidRPr="00645FD3">
        <w:rPr>
          <w:rFonts w:cs="Arial"/>
          <w:i/>
        </w:rPr>
        <w:t xml:space="preserve"> 1.</w:t>
      </w:r>
    </w:p>
    <w:p w:rsidR="00917A05" w:rsidRPr="00645FD3" w:rsidRDefault="00917A05" w:rsidP="004F45B7">
      <w:pPr>
        <w:rPr>
          <w:snapToGrid w:val="0"/>
        </w:rPr>
      </w:pPr>
    </w:p>
    <w:p w:rsidR="00917A05" w:rsidRPr="00645FD3" w:rsidRDefault="00917A05" w:rsidP="004F45B7">
      <w:pPr>
        <w:rPr>
          <w:snapToGrid w:val="0"/>
        </w:rPr>
      </w:pPr>
    </w:p>
    <w:p w:rsidR="00917A05" w:rsidRPr="00645FD3" w:rsidRDefault="00917A05" w:rsidP="004F45B7">
      <w:pPr>
        <w:rPr>
          <w:snapToGrid w:val="0"/>
        </w:rPr>
      </w:pPr>
    </w:p>
    <w:p w:rsidR="00917A05" w:rsidRPr="00645FD3" w:rsidRDefault="00917A05" w:rsidP="00917A05">
      <w:pPr>
        <w:pStyle w:val="Heading1"/>
        <w:rPr>
          <w:snapToGrid w:val="0"/>
          <w:lang w:val="fr-FR"/>
        </w:rPr>
      </w:pPr>
      <w:r w:rsidRPr="00645FD3">
        <w:rPr>
          <w:snapToGrid w:val="0"/>
          <w:lang w:val="fr-FR"/>
        </w:rPr>
        <w:t>Documents d</w:t>
      </w:r>
      <w:r w:rsidR="009E1FB4" w:rsidRPr="00645FD3">
        <w:rPr>
          <w:snapToGrid w:val="0"/>
          <w:lang w:val="fr-FR"/>
        </w:rPr>
        <w:t>’</w:t>
      </w:r>
      <w:r w:rsidRPr="00645FD3">
        <w:rPr>
          <w:snapToGrid w:val="0"/>
          <w:lang w:val="fr-FR"/>
        </w:rPr>
        <w:t>information</w:t>
      </w:r>
    </w:p>
    <w:p w:rsidR="00917A05" w:rsidRPr="00645FD3" w:rsidRDefault="00917A05" w:rsidP="00E325A2">
      <w:pPr>
        <w:keepNext/>
        <w:rPr>
          <w:snapToGrid w:val="0"/>
        </w:rPr>
      </w:pPr>
    </w:p>
    <w:p w:rsidR="009E1FB4" w:rsidRPr="00645FD3" w:rsidRDefault="00917A05" w:rsidP="00917A05">
      <w:pPr>
        <w:jc w:val="left"/>
        <w:rPr>
          <w:bCs/>
          <w:snapToGrid w:val="0"/>
          <w:szCs w:val="24"/>
          <w:u w:val="single"/>
        </w:rPr>
      </w:pPr>
      <w:r w:rsidRPr="00645FD3">
        <w:rPr>
          <w:bCs/>
          <w:snapToGrid w:val="0"/>
          <w:szCs w:val="24"/>
          <w:u w:val="single"/>
        </w:rPr>
        <w:t>UPOV/INF/5</w:t>
      </w:r>
      <w:r w:rsidR="009E1FB4" w:rsidRPr="00645FD3">
        <w:rPr>
          <w:bCs/>
          <w:snapToGrid w:val="0"/>
          <w:szCs w:val="24"/>
          <w:u w:val="single"/>
        </w:rPr>
        <w:t> :</w:t>
      </w:r>
      <w:r w:rsidRPr="00645FD3">
        <w:rPr>
          <w:bCs/>
          <w:snapToGrid w:val="0"/>
          <w:szCs w:val="24"/>
          <w:u w:val="single"/>
        </w:rPr>
        <w:t xml:space="preserve"> Publication type de l</w:t>
      </w:r>
      <w:r w:rsidR="009E1FB4" w:rsidRPr="00645FD3">
        <w:rPr>
          <w:bCs/>
          <w:snapToGrid w:val="0"/>
          <w:szCs w:val="24"/>
          <w:u w:val="single"/>
        </w:rPr>
        <w:t>’</w:t>
      </w:r>
      <w:r w:rsidRPr="00645FD3">
        <w:rPr>
          <w:bCs/>
          <w:snapToGrid w:val="0"/>
          <w:szCs w:val="24"/>
          <w:u w:val="single"/>
        </w:rPr>
        <w:t>UPOV de la protection des obtentions végétales (révision) (</w:t>
      </w:r>
      <w:r w:rsidR="009E1FB4" w:rsidRPr="00645FD3">
        <w:rPr>
          <w:bCs/>
          <w:snapToGrid w:val="0"/>
          <w:szCs w:val="24"/>
          <w:u w:val="single"/>
        </w:rPr>
        <w:t>document</w:t>
      </w:r>
      <w:r w:rsidR="009E7AE9" w:rsidRPr="00645FD3">
        <w:rPr>
          <w:bCs/>
          <w:snapToGrid w:val="0"/>
          <w:szCs w:val="24"/>
          <w:u w:val="single"/>
        </w:rPr>
        <w:t> </w:t>
      </w:r>
      <w:r w:rsidR="009E1FB4" w:rsidRPr="00645FD3">
        <w:rPr>
          <w:bCs/>
          <w:snapToGrid w:val="0"/>
          <w:szCs w:val="24"/>
          <w:u w:val="single"/>
        </w:rPr>
        <w:t>UP</w:t>
      </w:r>
      <w:r w:rsidRPr="00645FD3">
        <w:rPr>
          <w:bCs/>
          <w:snapToGrid w:val="0"/>
          <w:szCs w:val="24"/>
          <w:u w:val="single"/>
        </w:rPr>
        <w:t>OV/INF/5/2 Draft</w:t>
      </w:r>
      <w:r w:rsidR="00E5665F" w:rsidRPr="00645FD3">
        <w:rPr>
          <w:bCs/>
          <w:snapToGrid w:val="0"/>
          <w:szCs w:val="24"/>
          <w:u w:val="single"/>
        </w:rPr>
        <w:t> </w:t>
      </w:r>
      <w:r w:rsidRPr="00645FD3">
        <w:rPr>
          <w:bCs/>
          <w:snapToGrid w:val="0"/>
          <w:szCs w:val="24"/>
          <w:u w:val="single"/>
        </w:rPr>
        <w:t>2)</w:t>
      </w:r>
    </w:p>
    <w:p w:rsidR="00917A05" w:rsidRPr="00645FD3" w:rsidRDefault="00917A05" w:rsidP="004F45B7">
      <w:pPr>
        <w:rPr>
          <w:snapToGrid w:val="0"/>
        </w:rPr>
      </w:pPr>
    </w:p>
    <w:p w:rsidR="00917A05" w:rsidRPr="00645FD3" w:rsidRDefault="009B2162" w:rsidP="00917A05">
      <w:pPr>
        <w:rPr>
          <w:rFonts w:eastAsia="SimSun"/>
          <w:snapToGrid w:val="0"/>
          <w:lang w:eastAsia="ja-JP"/>
        </w:rPr>
      </w:pPr>
      <w:r w:rsidRPr="00645FD3">
        <w:rPr>
          <w:i/>
          <w:spacing w:val="-2"/>
        </w:rPr>
        <w:fldChar w:fldCharType="begin"/>
      </w:r>
      <w:r w:rsidRPr="00645FD3">
        <w:rPr>
          <w:spacing w:val="-2"/>
        </w:rPr>
        <w:instrText xml:space="preserve"> AUTONUM  </w:instrText>
      </w:r>
      <w:r w:rsidRPr="00645FD3">
        <w:rPr>
          <w:i/>
          <w:spacing w:val="-2"/>
        </w:rPr>
        <w:fldChar w:fldCharType="end"/>
      </w:r>
      <w:r w:rsidRPr="00645FD3">
        <w:rPr>
          <w:spacing w:val="-2"/>
        </w:rPr>
        <w:tab/>
      </w:r>
      <w:r w:rsidR="00917A05" w:rsidRPr="00645FD3">
        <w:rPr>
          <w:spacing w:val="-2"/>
        </w:rPr>
        <w:t>À sa soixante</w:t>
      </w:r>
      <w:r w:rsidR="009E1FB4" w:rsidRPr="00645FD3">
        <w:rPr>
          <w:spacing w:val="-2"/>
        </w:rPr>
        <w:t>-</w:t>
      </w:r>
      <w:r w:rsidR="00917A05" w:rsidRPr="00645FD3">
        <w:rPr>
          <w:spacing w:val="-2"/>
        </w:rPr>
        <w:t>quinz</w:t>
      </w:r>
      <w:r w:rsidR="009E1FB4" w:rsidRPr="00645FD3">
        <w:rPr>
          <w:spacing w:val="-2"/>
        </w:rPr>
        <w:t>ième session</w:t>
      </w:r>
      <w:r w:rsidR="00917A05" w:rsidRPr="00645FD3">
        <w:rPr>
          <w:rStyle w:val="FootnoteReference"/>
          <w:spacing w:val="-2"/>
        </w:rPr>
        <w:footnoteReference w:id="6"/>
      </w:r>
      <w:r w:rsidR="00917A05" w:rsidRPr="00645FD3">
        <w:rPr>
          <w:spacing w:val="-2"/>
        </w:rPr>
        <w:t>,</w:t>
      </w:r>
      <w:r w:rsidR="009E1FB4" w:rsidRPr="00645FD3">
        <w:rPr>
          <w:spacing w:val="-2"/>
        </w:rPr>
        <w:t xml:space="preserve"> le CAJ</w:t>
      </w:r>
      <w:r w:rsidR="00917A05" w:rsidRPr="00645FD3">
        <w:rPr>
          <w:spacing w:val="-2"/>
        </w:rPr>
        <w:t xml:space="preserve"> a approuvé la version révisée du document UPOV/INF/5 “Bulletin type de l</w:t>
      </w:r>
      <w:r w:rsidR="009E1FB4" w:rsidRPr="00645FD3">
        <w:rPr>
          <w:spacing w:val="-2"/>
        </w:rPr>
        <w:t>’</w:t>
      </w:r>
      <w:r w:rsidR="00917A05" w:rsidRPr="00645FD3">
        <w:rPr>
          <w:spacing w:val="-2"/>
        </w:rPr>
        <w:t>UPOV de la protection des obtentions végétales” figurant dans le document UPOV/INF/5/2 Draft 1</w:t>
      </w:r>
      <w:r w:rsidR="00F93C73" w:rsidRPr="00645FD3">
        <w:rPr>
          <w:spacing w:val="-2"/>
        </w:rPr>
        <w:t xml:space="preserve"> </w:t>
      </w:r>
      <w:r w:rsidR="00917A05" w:rsidRPr="00645FD3">
        <w:rPr>
          <w:spacing w:val="-2"/>
        </w:rPr>
        <w:t>“Publication type de l</w:t>
      </w:r>
      <w:r w:rsidR="009E1FB4" w:rsidRPr="00645FD3">
        <w:rPr>
          <w:spacing w:val="-2"/>
        </w:rPr>
        <w:t>’</w:t>
      </w:r>
      <w:r w:rsidR="00917A05" w:rsidRPr="00645FD3">
        <w:rPr>
          <w:spacing w:val="-2"/>
        </w:rPr>
        <w:t>UPOV de la protection des obtentions végétales</w:t>
      </w:r>
      <w:r w:rsidR="00EA4D2D" w:rsidRPr="00645FD3">
        <w:rPr>
          <w:spacing w:val="-2"/>
        </w:rPr>
        <w:t>”</w:t>
      </w:r>
      <w:r w:rsidR="00917A05" w:rsidRPr="00645FD3">
        <w:rPr>
          <w:spacing w:val="-2"/>
        </w:rPr>
        <w:t xml:space="preserve"> (révisi</w:t>
      </w:r>
      <w:r w:rsidR="00B5679E" w:rsidRPr="00645FD3">
        <w:rPr>
          <w:spacing w:val="-2"/>
        </w:rPr>
        <w:t xml:space="preserve">on).  </w:t>
      </w:r>
      <w:r w:rsidR="00B5679E" w:rsidRPr="00645FD3">
        <w:t>Le</w:t>
      </w:r>
      <w:r w:rsidR="009E1FB4" w:rsidRPr="00645FD3">
        <w:t> CAJ</w:t>
      </w:r>
      <w:r w:rsidR="00917A05" w:rsidRPr="00645FD3">
        <w:t xml:space="preserve"> est convenu de présenter la révision du document UPOV/INF/5 sur la base du document UPOV/INF/5/2 Draft 2</w:t>
      </w:r>
      <w:r w:rsidR="00F93C73" w:rsidRPr="00645FD3">
        <w:t xml:space="preserve"> </w:t>
      </w:r>
      <w:r w:rsidR="00917A05" w:rsidRPr="00645FD3">
        <w:t>“Publication type de l</w:t>
      </w:r>
      <w:r w:rsidR="009E1FB4" w:rsidRPr="00645FD3">
        <w:t>’</w:t>
      </w:r>
      <w:r w:rsidR="00917A05" w:rsidRPr="00645FD3">
        <w:t xml:space="preserve">UPOV de la protection des obtentions végétales”, pour adoption par le Conseil </w:t>
      </w:r>
      <w:r w:rsidR="009E1FB4" w:rsidRPr="00645FD3">
        <w:t>en 2019</w:t>
      </w:r>
      <w:r w:rsidR="00917A05" w:rsidRPr="00645FD3">
        <w:t xml:space="preserve"> (voir le paragraphe</w:t>
      </w:r>
      <w:r w:rsidR="00E5665F" w:rsidRPr="00645FD3">
        <w:t> </w:t>
      </w:r>
      <w:r w:rsidR="00917A05" w:rsidRPr="00645FD3">
        <w:t>27 du document CAJ/75/14 “Compte rendu”).</w:t>
      </w:r>
    </w:p>
    <w:p w:rsidR="00917A05" w:rsidRPr="00645FD3" w:rsidRDefault="00917A05" w:rsidP="009B2162">
      <w:pPr>
        <w:rPr>
          <w:rFonts w:eastAsia="SimSun"/>
          <w:snapToGrid w:val="0"/>
          <w:lang w:eastAsia="ja-JP"/>
        </w:rPr>
      </w:pPr>
    </w:p>
    <w:p w:rsidR="009E1FB4" w:rsidRPr="00645FD3" w:rsidRDefault="00AE7C50" w:rsidP="00FB691C">
      <w:pPr>
        <w:keepLines/>
        <w:rPr>
          <w:rFonts w:eastAsia="SimSun"/>
          <w:snapToGrid w:val="0"/>
          <w:lang w:eastAsia="ja-JP"/>
        </w:rPr>
      </w:pPr>
      <w:r w:rsidRPr="00645FD3">
        <w:rPr>
          <w:i/>
          <w:spacing w:val="-2"/>
        </w:rPr>
        <w:fldChar w:fldCharType="begin"/>
      </w:r>
      <w:r w:rsidRPr="00645FD3">
        <w:rPr>
          <w:spacing w:val="-2"/>
        </w:rPr>
        <w:instrText xml:space="preserve"> AUTONUM  </w:instrText>
      </w:r>
      <w:r w:rsidRPr="00645FD3">
        <w:rPr>
          <w:i/>
          <w:spacing w:val="-2"/>
        </w:rPr>
        <w:fldChar w:fldCharType="end"/>
      </w:r>
      <w:r w:rsidRPr="00645FD3">
        <w:rPr>
          <w:i/>
          <w:spacing w:val="-2"/>
        </w:rPr>
        <w:tab/>
      </w:r>
      <w:r w:rsidR="00FB691C" w:rsidRPr="00645FD3">
        <w:rPr>
          <w:spacing w:val="-2"/>
        </w:rPr>
        <w:t>Lors de l</w:t>
      </w:r>
      <w:r w:rsidR="009E1FB4" w:rsidRPr="00645FD3">
        <w:rPr>
          <w:spacing w:val="-2"/>
        </w:rPr>
        <w:t>’</w:t>
      </w:r>
      <w:r w:rsidR="00FB691C" w:rsidRPr="00645FD3">
        <w:rPr>
          <w:spacing w:val="-2"/>
        </w:rPr>
        <w:t xml:space="preserve">élaboration du </w:t>
      </w:r>
      <w:r w:rsidR="009E1FB4" w:rsidRPr="00645FD3">
        <w:rPr>
          <w:spacing w:val="-2"/>
        </w:rPr>
        <w:t>document UP</w:t>
      </w:r>
      <w:r w:rsidR="00FB691C" w:rsidRPr="00645FD3">
        <w:rPr>
          <w:spacing w:val="-2"/>
        </w:rPr>
        <w:t>OV/INF/5/2 Draft</w:t>
      </w:r>
      <w:r w:rsidR="00E5665F" w:rsidRPr="00645FD3">
        <w:rPr>
          <w:spacing w:val="-2"/>
        </w:rPr>
        <w:t> </w:t>
      </w:r>
      <w:r w:rsidR="00FB691C" w:rsidRPr="00645FD3">
        <w:rPr>
          <w:spacing w:val="-2"/>
        </w:rPr>
        <w:t>2, le Bureau de l</w:t>
      </w:r>
      <w:r w:rsidR="009E1FB4" w:rsidRPr="00645FD3">
        <w:rPr>
          <w:spacing w:val="-2"/>
        </w:rPr>
        <w:t>’</w:t>
      </w:r>
      <w:r w:rsidR="00FB691C" w:rsidRPr="00645FD3">
        <w:rPr>
          <w:spacing w:val="-2"/>
        </w:rPr>
        <w:t>Union a noté que, dans la section “Modifications apportées aux dénominations variétales”, sous</w:t>
      </w:r>
      <w:r w:rsidR="009E1FB4" w:rsidRPr="00645FD3">
        <w:rPr>
          <w:spacing w:val="-2"/>
        </w:rPr>
        <w:t>-</w:t>
      </w:r>
      <w:r w:rsidR="00FB691C" w:rsidRPr="00645FD3">
        <w:rPr>
          <w:spacing w:val="-2"/>
        </w:rPr>
        <w:t>section “Modifications apportées aux dénominations variétales proposées”, le titre de la colonne “Dénomination variétal</w:t>
      </w:r>
      <w:r w:rsidR="00EA4D2D" w:rsidRPr="00645FD3">
        <w:rPr>
          <w:spacing w:val="-2"/>
        </w:rPr>
        <w:t xml:space="preserve">e” </w:t>
      </w:r>
      <w:r w:rsidR="008F505F" w:rsidRPr="00645FD3">
        <w:rPr>
          <w:spacing w:val="-2"/>
        </w:rPr>
        <w:t>doit</w:t>
      </w:r>
      <w:r w:rsidR="00FB691C" w:rsidRPr="00645FD3">
        <w:rPr>
          <w:spacing w:val="-2"/>
        </w:rPr>
        <w:t xml:space="preserve"> être remplacé par “Précédente dénomination variétale proposée”, conformément à la colonne “Précédente dénomination variétale” dans la sous</w:t>
      </w:r>
      <w:r w:rsidR="009E1FB4" w:rsidRPr="00645FD3">
        <w:rPr>
          <w:spacing w:val="-2"/>
        </w:rPr>
        <w:t>-</w:t>
      </w:r>
      <w:r w:rsidR="00FB691C" w:rsidRPr="00645FD3">
        <w:rPr>
          <w:spacing w:val="-2"/>
        </w:rPr>
        <w:t>section “Approbations de nouvelles dénominations variétales de variétés protégées”.</w:t>
      </w:r>
      <w:r w:rsidR="00F6380E" w:rsidRPr="00645FD3">
        <w:rPr>
          <w:rFonts w:eastAsia="SimSun"/>
          <w:snapToGrid w:val="0"/>
          <w:lang w:eastAsia="ja-JP"/>
        </w:rPr>
        <w:t xml:space="preserve">  </w:t>
      </w:r>
      <w:r w:rsidR="00FB691C" w:rsidRPr="00645FD3">
        <w:rPr>
          <w:rFonts w:eastAsia="SimSun"/>
          <w:snapToGrid w:val="0"/>
          <w:lang w:eastAsia="ja-JP"/>
        </w:rPr>
        <w:t xml:space="preserve">Cette correction a été apportée dans le </w:t>
      </w:r>
      <w:r w:rsidR="009E1FB4" w:rsidRPr="00645FD3">
        <w:rPr>
          <w:rFonts w:eastAsia="SimSun"/>
          <w:snapToGrid w:val="0"/>
          <w:lang w:eastAsia="ja-JP"/>
        </w:rPr>
        <w:t>document UP</w:t>
      </w:r>
      <w:r w:rsidR="00FB691C" w:rsidRPr="00645FD3">
        <w:rPr>
          <w:rFonts w:eastAsia="SimSun"/>
          <w:snapToGrid w:val="0"/>
          <w:lang w:eastAsia="ja-JP"/>
        </w:rPr>
        <w:t>OV/INF/5/2 Draft</w:t>
      </w:r>
      <w:r w:rsidR="00E5665F" w:rsidRPr="00645FD3">
        <w:rPr>
          <w:rFonts w:eastAsia="SimSun"/>
          <w:snapToGrid w:val="0"/>
          <w:lang w:eastAsia="ja-JP"/>
        </w:rPr>
        <w:t> </w:t>
      </w:r>
      <w:r w:rsidR="00FB691C" w:rsidRPr="00645FD3">
        <w:rPr>
          <w:rFonts w:eastAsia="SimSun"/>
          <w:snapToGrid w:val="0"/>
          <w:lang w:eastAsia="ja-JP"/>
        </w:rPr>
        <w:t>2 (voir note de fin de document i)).</w:t>
      </w:r>
    </w:p>
    <w:p w:rsidR="00917A05" w:rsidRPr="00645FD3" w:rsidRDefault="00917A05" w:rsidP="009B2162">
      <w:pPr>
        <w:rPr>
          <w:rFonts w:eastAsia="SimSun"/>
          <w:snapToGrid w:val="0"/>
          <w:lang w:eastAsia="ja-JP"/>
        </w:rPr>
      </w:pPr>
    </w:p>
    <w:p w:rsidR="009E1FB4" w:rsidRPr="00645FD3" w:rsidRDefault="004E3225" w:rsidP="00355E19">
      <w:pPr>
        <w:pStyle w:val="DecisionParagraphs"/>
      </w:pPr>
      <w:r w:rsidRPr="00645FD3">
        <w:fldChar w:fldCharType="begin"/>
      </w:r>
      <w:r w:rsidRPr="00645FD3">
        <w:instrText xml:space="preserve"> AUTONUM  </w:instrText>
      </w:r>
      <w:r w:rsidRPr="00645FD3">
        <w:fldChar w:fldCharType="end"/>
      </w:r>
      <w:r w:rsidRPr="00645FD3">
        <w:tab/>
      </w:r>
      <w:r w:rsidR="00355E19" w:rsidRPr="00645FD3">
        <w:t xml:space="preserve">Le Conseil est invité à adopter la version révisée du document UPOV/INF/5 “Bulletin type de </w:t>
      </w:r>
      <w:r w:rsidR="00F93C73" w:rsidRPr="00645FD3">
        <w:br/>
      </w:r>
      <w:r w:rsidR="00355E19" w:rsidRPr="00645FD3">
        <w:t>l</w:t>
      </w:r>
      <w:r w:rsidR="009E1FB4" w:rsidRPr="00645FD3">
        <w:t>’</w:t>
      </w:r>
      <w:r w:rsidR="00355E19" w:rsidRPr="00645FD3">
        <w:t>UPOV de la protection des obtentions végétales” (document UPOV/INF/5), figuran</w:t>
      </w:r>
      <w:r w:rsidR="00F93C73" w:rsidRPr="00645FD3">
        <w:t>t dans le document UPOV/INF/5/2 </w:t>
      </w:r>
      <w:r w:rsidR="00355E19" w:rsidRPr="00645FD3">
        <w:t>Draft 2</w:t>
      </w:r>
      <w:r w:rsidR="00F93C73" w:rsidRPr="00645FD3">
        <w:t xml:space="preserve"> </w:t>
      </w:r>
      <w:r w:rsidR="00355E19" w:rsidRPr="00645FD3">
        <w:t>“Publication type de l</w:t>
      </w:r>
      <w:r w:rsidR="009E1FB4" w:rsidRPr="00645FD3">
        <w:t>’</w:t>
      </w:r>
      <w:r w:rsidR="00355E19" w:rsidRPr="00645FD3">
        <w:t>UPOV de la protection des obtentions végétales”.</w:t>
      </w:r>
    </w:p>
    <w:p w:rsidR="00917A05" w:rsidRPr="00645FD3" w:rsidRDefault="00917A05" w:rsidP="009A1C33">
      <w:pPr>
        <w:pStyle w:val="DecisionParagraphs"/>
        <w:ind w:left="0"/>
        <w:rPr>
          <w:i w:val="0"/>
          <w:lang w:eastAsia="zh-CN"/>
        </w:rPr>
      </w:pPr>
    </w:p>
    <w:p w:rsidR="00917A05" w:rsidRPr="00645FD3" w:rsidRDefault="00917A05" w:rsidP="004F45B7">
      <w:pPr>
        <w:jc w:val="left"/>
        <w:rPr>
          <w:bCs/>
          <w:snapToGrid w:val="0"/>
        </w:rPr>
      </w:pPr>
    </w:p>
    <w:p w:rsidR="009E1FB4" w:rsidRPr="00645FD3" w:rsidRDefault="00355E19" w:rsidP="00355E19">
      <w:pPr>
        <w:keepNext/>
        <w:ind w:left="1418" w:hanging="1418"/>
        <w:jc w:val="left"/>
        <w:rPr>
          <w:bCs/>
          <w:snapToGrid w:val="0"/>
          <w:spacing w:val="-4"/>
          <w:u w:val="single"/>
        </w:rPr>
      </w:pPr>
      <w:r w:rsidRPr="00645FD3">
        <w:rPr>
          <w:bCs/>
          <w:snapToGrid w:val="0"/>
          <w:spacing w:val="-4"/>
          <w:u w:val="single"/>
        </w:rPr>
        <w:t>UPOV/INF/22</w:t>
      </w:r>
      <w:r w:rsidR="009E1FB4" w:rsidRPr="00645FD3">
        <w:rPr>
          <w:bCs/>
          <w:snapToGrid w:val="0"/>
          <w:spacing w:val="-4"/>
          <w:u w:val="single"/>
        </w:rPr>
        <w:t> :</w:t>
      </w:r>
      <w:r w:rsidRPr="00645FD3">
        <w:rPr>
          <w:bCs/>
          <w:snapToGrid w:val="0"/>
          <w:spacing w:val="-4"/>
          <w:u w:val="single"/>
        </w:rPr>
        <w:t xml:space="preserve"> Logiciels et équipements utilisés par les membres de l</w:t>
      </w:r>
      <w:r w:rsidR="009E1FB4" w:rsidRPr="00645FD3">
        <w:rPr>
          <w:bCs/>
          <w:snapToGrid w:val="0"/>
          <w:spacing w:val="-4"/>
          <w:u w:val="single"/>
        </w:rPr>
        <w:t>’</w:t>
      </w:r>
      <w:r w:rsidRPr="00645FD3">
        <w:rPr>
          <w:bCs/>
          <w:snapToGrid w:val="0"/>
          <w:spacing w:val="-4"/>
          <w:u w:val="single"/>
        </w:rPr>
        <w:t>Union (révision)</w:t>
      </w:r>
    </w:p>
    <w:p w:rsidR="00917A05" w:rsidRPr="00645FD3" w:rsidRDefault="00355E19" w:rsidP="00355E19">
      <w:pPr>
        <w:keepNext/>
        <w:ind w:left="1418" w:hanging="1418"/>
        <w:jc w:val="left"/>
        <w:rPr>
          <w:bCs/>
          <w:snapToGrid w:val="0"/>
          <w:spacing w:val="-4"/>
          <w:u w:val="single"/>
        </w:rPr>
      </w:pPr>
      <w:r w:rsidRPr="00645FD3">
        <w:rPr>
          <w:bCs/>
          <w:snapToGrid w:val="0"/>
          <w:spacing w:val="-4"/>
          <w:u w:val="single"/>
        </w:rPr>
        <w:t>(</w:t>
      </w:r>
      <w:r w:rsidR="009E1FB4" w:rsidRPr="00645FD3">
        <w:rPr>
          <w:bCs/>
          <w:snapToGrid w:val="0"/>
          <w:spacing w:val="-4"/>
          <w:u w:val="single"/>
        </w:rPr>
        <w:t>document UP</w:t>
      </w:r>
      <w:r w:rsidRPr="00645FD3">
        <w:rPr>
          <w:bCs/>
          <w:snapToGrid w:val="0"/>
          <w:spacing w:val="-4"/>
          <w:u w:val="single"/>
        </w:rPr>
        <w:t>OV/INF/22/6 Draft</w:t>
      </w:r>
      <w:r w:rsidR="00E5665F" w:rsidRPr="00645FD3">
        <w:rPr>
          <w:bCs/>
          <w:snapToGrid w:val="0"/>
          <w:spacing w:val="-4"/>
          <w:u w:val="single"/>
        </w:rPr>
        <w:t> </w:t>
      </w:r>
      <w:r w:rsidRPr="00645FD3">
        <w:rPr>
          <w:bCs/>
          <w:snapToGrid w:val="0"/>
          <w:spacing w:val="-4"/>
          <w:u w:val="single"/>
        </w:rPr>
        <w:t>1)</w:t>
      </w:r>
    </w:p>
    <w:p w:rsidR="00917A05" w:rsidRPr="00645FD3" w:rsidRDefault="00917A05" w:rsidP="004F45B7">
      <w:pPr>
        <w:keepNext/>
        <w:jc w:val="left"/>
        <w:rPr>
          <w:bCs/>
          <w:snapToGrid w:val="0"/>
          <w:spacing w:val="-4"/>
          <w:u w:val="single"/>
        </w:rPr>
      </w:pPr>
    </w:p>
    <w:p w:rsidR="00917A05" w:rsidRPr="00645FD3" w:rsidRDefault="004F45B7" w:rsidP="00355E19">
      <w:pPr>
        <w:keepNext/>
      </w:pPr>
      <w:r w:rsidRPr="00645FD3">
        <w:fldChar w:fldCharType="begin"/>
      </w:r>
      <w:r w:rsidRPr="00645FD3">
        <w:instrText xml:space="preserve"> AUTONUM  </w:instrText>
      </w:r>
      <w:r w:rsidRPr="00645FD3">
        <w:fldChar w:fldCharType="end"/>
      </w:r>
      <w:r w:rsidRPr="00645FD3">
        <w:tab/>
      </w:r>
      <w:r w:rsidR="00355E19" w:rsidRPr="00645FD3">
        <w:t>Le</w:t>
      </w:r>
      <w:r w:rsidR="009E1FB4" w:rsidRPr="00645FD3">
        <w:t> TC</w:t>
      </w:r>
      <w:r w:rsidR="00355E19" w:rsidRPr="00645FD3">
        <w:t>, à sa cinquante</w:t>
      </w:r>
      <w:r w:rsidR="009E1FB4" w:rsidRPr="00645FD3">
        <w:t>-</w:t>
      </w:r>
      <w:r w:rsidR="00355E19" w:rsidRPr="00645FD3">
        <w:t>cinqu</w:t>
      </w:r>
      <w:r w:rsidR="009E1FB4" w:rsidRPr="00645FD3">
        <w:t>ième session</w:t>
      </w:r>
      <w:hyperlink w:anchor="notebasdepage3" w:history="1">
        <w:r w:rsidR="00EA4D2D" w:rsidRPr="00645FD3">
          <w:rPr>
            <w:rStyle w:val="Hyperlink"/>
            <w:color w:val="auto"/>
            <w:u w:val="none"/>
            <w:vertAlign w:val="superscript"/>
          </w:rPr>
          <w:t>3</w:t>
        </w:r>
      </w:hyperlink>
      <w:r w:rsidR="00355E19" w:rsidRPr="00645FD3">
        <w:rPr>
          <w:spacing w:val="-2"/>
        </w:rPr>
        <w:t>, et</w:t>
      </w:r>
      <w:r w:rsidR="009E1FB4" w:rsidRPr="00645FD3">
        <w:rPr>
          <w:spacing w:val="-2"/>
        </w:rPr>
        <w:t xml:space="preserve"> le CAJ</w:t>
      </w:r>
      <w:r w:rsidR="00355E19" w:rsidRPr="00645FD3">
        <w:rPr>
          <w:spacing w:val="-2"/>
        </w:rPr>
        <w:t>, à sa soixante</w:t>
      </w:r>
      <w:r w:rsidR="009E1FB4" w:rsidRPr="00645FD3">
        <w:rPr>
          <w:spacing w:val="-2"/>
        </w:rPr>
        <w:t>-</w:t>
      </w:r>
      <w:r w:rsidR="00355E19" w:rsidRPr="00645FD3">
        <w:rPr>
          <w:spacing w:val="-2"/>
        </w:rPr>
        <w:t>seiz</w:t>
      </w:r>
      <w:r w:rsidR="009E1FB4" w:rsidRPr="00645FD3">
        <w:rPr>
          <w:spacing w:val="-2"/>
        </w:rPr>
        <w:t>ième session</w:t>
      </w:r>
      <w:r w:rsidR="005B0157" w:rsidRPr="00645FD3">
        <w:rPr>
          <w:vertAlign w:val="superscript"/>
        </w:rPr>
        <w:fldChar w:fldCharType="begin"/>
      </w:r>
      <w:r w:rsidR="005B0157" w:rsidRPr="00645FD3">
        <w:rPr>
          <w:vertAlign w:val="superscript"/>
        </w:rPr>
        <w:instrText xml:space="preserve"> NOTEREF _Ref13509809 \h  \* MERGEFORMAT </w:instrText>
      </w:r>
      <w:r w:rsidR="005B0157" w:rsidRPr="00645FD3">
        <w:rPr>
          <w:vertAlign w:val="superscript"/>
        </w:rPr>
      </w:r>
      <w:r w:rsidR="005B0157" w:rsidRPr="00645FD3">
        <w:rPr>
          <w:vertAlign w:val="superscript"/>
        </w:rPr>
        <w:fldChar w:fldCharType="separate"/>
      </w:r>
      <w:r w:rsidR="009A21B9" w:rsidRPr="00645FD3">
        <w:rPr>
          <w:vertAlign w:val="superscript"/>
        </w:rPr>
        <w:t>2</w:t>
      </w:r>
      <w:r w:rsidR="005B0157" w:rsidRPr="00645FD3">
        <w:rPr>
          <w:vertAlign w:val="superscript"/>
        </w:rPr>
        <w:fldChar w:fldCharType="end"/>
      </w:r>
      <w:r w:rsidR="00355E19" w:rsidRPr="00645FD3">
        <w:t>, seront invité</w:t>
      </w:r>
      <w:r w:rsidR="00EA4D2D" w:rsidRPr="00645FD3">
        <w:t>s</w:t>
      </w:r>
      <w:r w:rsidR="00355E19" w:rsidRPr="00645FD3">
        <w:t xml:space="preserve"> à approuver les propositions de révision du document UPOV/INF/22/5 “Logiciels et équipements utilisés par les membres de l</w:t>
      </w:r>
      <w:r w:rsidR="009E1FB4" w:rsidRPr="00645FD3">
        <w:t>’</w:t>
      </w:r>
      <w:r w:rsidR="00355E19" w:rsidRPr="00645FD3">
        <w:t xml:space="preserve">Union”, figurant dans le </w:t>
      </w:r>
      <w:r w:rsidR="009E1FB4" w:rsidRPr="00645FD3">
        <w:t>document UP</w:t>
      </w:r>
      <w:r w:rsidR="00355E19" w:rsidRPr="00645FD3">
        <w:t>OV/INF/22/6 Draft 1.</w:t>
      </w:r>
    </w:p>
    <w:p w:rsidR="00917A05" w:rsidRPr="00645FD3" w:rsidRDefault="00917A05" w:rsidP="004F45B7"/>
    <w:p w:rsidR="00917A05" w:rsidRPr="00645FD3" w:rsidRDefault="004F45B7" w:rsidP="00355E19">
      <w:r w:rsidRPr="00645FD3">
        <w:fldChar w:fldCharType="begin"/>
      </w:r>
      <w:r w:rsidRPr="00645FD3">
        <w:instrText xml:space="preserve"> AUTONUM  </w:instrText>
      </w:r>
      <w:r w:rsidRPr="00645FD3">
        <w:fldChar w:fldCharType="end"/>
      </w:r>
      <w:r w:rsidRPr="00645FD3">
        <w:tab/>
      </w:r>
      <w:r w:rsidR="00355E19" w:rsidRPr="00645FD3">
        <w:t>Un compte rendu des conclusions formulées par le</w:t>
      </w:r>
      <w:r w:rsidR="009E1FB4" w:rsidRPr="00645FD3">
        <w:t> TC</w:t>
      </w:r>
      <w:r w:rsidR="00355E19" w:rsidRPr="00645FD3">
        <w:t xml:space="preserve"> à sa cinquante</w:t>
      </w:r>
      <w:r w:rsidR="009E1FB4" w:rsidRPr="00645FD3">
        <w:t>-</w:t>
      </w:r>
      <w:r w:rsidR="00355E19" w:rsidRPr="00645FD3">
        <w:t>cinqu</w:t>
      </w:r>
      <w:r w:rsidR="009E1FB4" w:rsidRPr="00645FD3">
        <w:t>ième session</w:t>
      </w:r>
      <w:r w:rsidR="00355E19" w:rsidRPr="00645FD3">
        <w:t xml:space="preserve"> et par</w:t>
      </w:r>
      <w:r w:rsidR="009E1FB4" w:rsidRPr="00645FD3">
        <w:t xml:space="preserve"> le CAJ</w:t>
      </w:r>
      <w:r w:rsidR="00355E19" w:rsidRPr="00645FD3">
        <w:t xml:space="preserve"> à sa soixante</w:t>
      </w:r>
      <w:r w:rsidR="009E1FB4" w:rsidRPr="00645FD3">
        <w:t>-</w:t>
      </w:r>
      <w:r w:rsidR="00355E19" w:rsidRPr="00645FD3">
        <w:t>seiz</w:t>
      </w:r>
      <w:r w:rsidR="009E1FB4" w:rsidRPr="00645FD3">
        <w:t>ième session</w:t>
      </w:r>
      <w:r w:rsidR="00355E19" w:rsidRPr="00645FD3">
        <w:t xml:space="preserve"> au sujet des propositions de révision du </w:t>
      </w:r>
      <w:r w:rsidR="009E1FB4" w:rsidRPr="00645FD3">
        <w:t>document UP</w:t>
      </w:r>
      <w:r w:rsidR="00355E19" w:rsidRPr="00645FD3">
        <w:t>OV/INF/22/5 sera présenté au Conseil à sa cinquante</w:t>
      </w:r>
      <w:r w:rsidR="009E1FB4" w:rsidRPr="00645FD3">
        <w:t>-</w:t>
      </w:r>
      <w:r w:rsidR="00355E19" w:rsidRPr="00645FD3">
        <w:t>trois</w:t>
      </w:r>
      <w:r w:rsidR="009E1FB4" w:rsidRPr="00645FD3">
        <w:t>ième session</w:t>
      </w:r>
      <w:r w:rsidR="00355E19" w:rsidRPr="00645FD3">
        <w:t xml:space="preserve"> ordinaire (voir les </w:t>
      </w:r>
      <w:r w:rsidR="009E1FB4" w:rsidRPr="00645FD3">
        <w:t>documents TC</w:t>
      </w:r>
      <w:r w:rsidR="00355E19" w:rsidRPr="00645FD3">
        <w:t>/55/[xx] “Compte rendu” et CAJ/76/[xx] “Compte rendu”).</w:t>
      </w:r>
    </w:p>
    <w:p w:rsidR="00917A05" w:rsidRPr="00645FD3" w:rsidRDefault="00917A05" w:rsidP="00EE045D"/>
    <w:p w:rsidR="00917A05" w:rsidRPr="00645FD3" w:rsidRDefault="004F45B7" w:rsidP="00355E19">
      <w:pPr>
        <w:pStyle w:val="DecisionParagraphs"/>
        <w:keepLines/>
        <w:rPr>
          <w:spacing w:val="-2"/>
        </w:rPr>
      </w:pPr>
      <w:r w:rsidRPr="00645FD3">
        <w:rPr>
          <w:lang w:eastAsia="zh-CN"/>
        </w:rPr>
        <w:fldChar w:fldCharType="begin"/>
      </w:r>
      <w:r w:rsidRPr="00645FD3">
        <w:rPr>
          <w:lang w:eastAsia="zh-CN"/>
        </w:rPr>
        <w:instrText xml:space="preserve"> AUTONUM  </w:instrText>
      </w:r>
      <w:r w:rsidRPr="00645FD3">
        <w:rPr>
          <w:lang w:eastAsia="zh-CN"/>
        </w:rPr>
        <w:fldChar w:fldCharType="end"/>
      </w:r>
      <w:r w:rsidRPr="00645FD3">
        <w:rPr>
          <w:lang w:eastAsia="zh-CN"/>
        </w:rPr>
        <w:tab/>
      </w:r>
      <w:r w:rsidR="00355E19" w:rsidRPr="00645FD3">
        <w:rPr>
          <w:lang w:eastAsia="zh-CN"/>
        </w:rPr>
        <w:t>Le Conseil est invité à adopter la version révisée du document UPOV/INF/22/5 “Logiciels et équipements utilisés par les membres de l</w:t>
      </w:r>
      <w:r w:rsidR="009E1FB4" w:rsidRPr="00645FD3">
        <w:rPr>
          <w:lang w:eastAsia="zh-CN"/>
        </w:rPr>
        <w:t>’</w:t>
      </w:r>
      <w:r w:rsidR="00355E19" w:rsidRPr="00645FD3">
        <w:rPr>
          <w:lang w:eastAsia="zh-CN"/>
        </w:rPr>
        <w:t>Union” (document UPOV/INF/22/5/1) sur la base du document UPOV/INF/22/6 Draft 1, compte tenu des conclusions formulées par le</w:t>
      </w:r>
      <w:r w:rsidR="009E1FB4" w:rsidRPr="00645FD3">
        <w:rPr>
          <w:lang w:eastAsia="zh-CN"/>
        </w:rPr>
        <w:t> TC</w:t>
      </w:r>
      <w:r w:rsidR="00355E19" w:rsidRPr="00645FD3">
        <w:rPr>
          <w:lang w:eastAsia="zh-CN"/>
        </w:rPr>
        <w:t xml:space="preserve"> à sa cinquante</w:t>
      </w:r>
      <w:r w:rsidR="009E1FB4" w:rsidRPr="00645FD3">
        <w:rPr>
          <w:lang w:eastAsia="zh-CN"/>
        </w:rPr>
        <w:t>-</w:t>
      </w:r>
      <w:r w:rsidR="00355E19" w:rsidRPr="00645FD3">
        <w:rPr>
          <w:lang w:eastAsia="zh-CN"/>
        </w:rPr>
        <w:t>cinqu</w:t>
      </w:r>
      <w:r w:rsidR="009E1FB4" w:rsidRPr="00645FD3">
        <w:rPr>
          <w:lang w:eastAsia="zh-CN"/>
        </w:rPr>
        <w:t>ième session</w:t>
      </w:r>
      <w:r w:rsidR="00355E19" w:rsidRPr="00645FD3">
        <w:rPr>
          <w:lang w:eastAsia="zh-CN"/>
        </w:rPr>
        <w:t xml:space="preserve"> et par</w:t>
      </w:r>
      <w:r w:rsidR="009E1FB4" w:rsidRPr="00645FD3">
        <w:rPr>
          <w:lang w:eastAsia="zh-CN"/>
        </w:rPr>
        <w:t xml:space="preserve"> le CAJ</w:t>
      </w:r>
      <w:r w:rsidR="00355E19" w:rsidRPr="00645FD3">
        <w:rPr>
          <w:lang w:eastAsia="zh-CN"/>
        </w:rPr>
        <w:t xml:space="preserve"> à sa soixante</w:t>
      </w:r>
      <w:r w:rsidR="009E1FB4" w:rsidRPr="00645FD3">
        <w:rPr>
          <w:lang w:eastAsia="zh-CN"/>
        </w:rPr>
        <w:t>-</w:t>
      </w:r>
      <w:r w:rsidR="00355E19" w:rsidRPr="00645FD3">
        <w:rPr>
          <w:lang w:eastAsia="zh-CN"/>
        </w:rPr>
        <w:t>seiz</w:t>
      </w:r>
      <w:r w:rsidR="009E1FB4" w:rsidRPr="00645FD3">
        <w:rPr>
          <w:lang w:eastAsia="zh-CN"/>
        </w:rPr>
        <w:t>ième session</w:t>
      </w:r>
      <w:r w:rsidR="00355E19" w:rsidRPr="00645FD3">
        <w:rPr>
          <w:lang w:eastAsia="zh-CN"/>
        </w:rPr>
        <w:t>.</w:t>
      </w:r>
    </w:p>
    <w:p w:rsidR="00917A05" w:rsidRPr="00645FD3" w:rsidRDefault="00917A05" w:rsidP="00EE045D">
      <w:pPr>
        <w:pStyle w:val="DecisionParagraphs"/>
        <w:ind w:left="0"/>
        <w:jc w:val="left"/>
        <w:rPr>
          <w:spacing w:val="-2"/>
        </w:rPr>
      </w:pPr>
    </w:p>
    <w:p w:rsidR="00917A05" w:rsidRPr="00645FD3" w:rsidRDefault="00917A05" w:rsidP="00EE045D">
      <w:pPr>
        <w:pStyle w:val="DecisionParagraphs"/>
        <w:ind w:left="0"/>
        <w:jc w:val="left"/>
        <w:rPr>
          <w:spacing w:val="-2"/>
        </w:rPr>
      </w:pPr>
    </w:p>
    <w:p w:rsidR="00917A05" w:rsidRPr="00645FD3" w:rsidRDefault="00355E19" w:rsidP="00630D2D">
      <w:pPr>
        <w:keepNext/>
        <w:keepLines/>
        <w:rPr>
          <w:u w:val="single"/>
        </w:rPr>
      </w:pPr>
      <w:r w:rsidRPr="00645FD3">
        <w:rPr>
          <w:u w:val="single"/>
        </w:rPr>
        <w:lastRenderedPageBreak/>
        <w:t>UPOV/INF</w:t>
      </w:r>
      <w:r w:rsidR="009E1FB4" w:rsidRPr="00645FD3">
        <w:rPr>
          <w:u w:val="single"/>
        </w:rPr>
        <w:t>-</w:t>
      </w:r>
      <w:r w:rsidRPr="00645FD3">
        <w:rPr>
          <w:u w:val="single"/>
        </w:rPr>
        <w:t>EXN</w:t>
      </w:r>
      <w:r w:rsidR="009E1FB4" w:rsidRPr="00645FD3">
        <w:rPr>
          <w:u w:val="single"/>
        </w:rPr>
        <w:t> :</w:t>
      </w:r>
      <w:r w:rsidRPr="00645FD3">
        <w:rPr>
          <w:u w:val="single"/>
        </w:rPr>
        <w:t xml:space="preserve"> Liste des documents UPOV/INF</w:t>
      </w:r>
      <w:r w:rsidR="009E1FB4" w:rsidRPr="00645FD3">
        <w:rPr>
          <w:u w:val="single"/>
        </w:rPr>
        <w:t>-</w:t>
      </w:r>
      <w:r w:rsidRPr="00645FD3">
        <w:rPr>
          <w:u w:val="single"/>
        </w:rPr>
        <w:t>EXN et date de la version la plus récente de ces documents (révision)</w:t>
      </w:r>
      <w:r w:rsidR="00C50142" w:rsidRPr="00645FD3">
        <w:rPr>
          <w:u w:val="single"/>
        </w:rPr>
        <w:t xml:space="preserve"> </w:t>
      </w:r>
      <w:r w:rsidRPr="00645FD3">
        <w:rPr>
          <w:u w:val="single"/>
        </w:rPr>
        <w:t>(</w:t>
      </w:r>
      <w:r w:rsidR="009E1FB4" w:rsidRPr="00645FD3">
        <w:rPr>
          <w:u w:val="single"/>
        </w:rPr>
        <w:t>document UP</w:t>
      </w:r>
      <w:r w:rsidRPr="00645FD3">
        <w:rPr>
          <w:u w:val="single"/>
        </w:rPr>
        <w:t>OV/INF</w:t>
      </w:r>
      <w:r w:rsidR="009E1FB4" w:rsidRPr="00645FD3">
        <w:rPr>
          <w:u w:val="single"/>
        </w:rPr>
        <w:t>-</w:t>
      </w:r>
      <w:r w:rsidR="00A65EFB" w:rsidRPr="00645FD3">
        <w:rPr>
          <w:u w:val="single"/>
        </w:rPr>
        <w:t>EXN/13</w:t>
      </w:r>
      <w:r w:rsidRPr="00645FD3">
        <w:rPr>
          <w:u w:val="single"/>
        </w:rPr>
        <w:t xml:space="preserve"> Draft</w:t>
      </w:r>
      <w:r w:rsidR="00E5665F" w:rsidRPr="00645FD3">
        <w:rPr>
          <w:u w:val="single"/>
        </w:rPr>
        <w:t> </w:t>
      </w:r>
      <w:r w:rsidRPr="00645FD3">
        <w:rPr>
          <w:u w:val="single"/>
        </w:rPr>
        <w:t>1)</w:t>
      </w:r>
    </w:p>
    <w:p w:rsidR="00917A05" w:rsidRPr="00645FD3" w:rsidRDefault="00917A05" w:rsidP="00282339">
      <w:pPr>
        <w:keepNext/>
        <w:keepLines/>
      </w:pPr>
    </w:p>
    <w:p w:rsidR="00917A05" w:rsidRPr="00645FD3" w:rsidRDefault="004F45B7" w:rsidP="00282339">
      <w:pPr>
        <w:keepNext/>
        <w:keepLines/>
      </w:pPr>
      <w:r w:rsidRPr="00645FD3">
        <w:fldChar w:fldCharType="begin"/>
      </w:r>
      <w:r w:rsidRPr="00645FD3">
        <w:instrText xml:space="preserve"> AUTONUM  </w:instrText>
      </w:r>
      <w:r w:rsidRPr="00645FD3">
        <w:fldChar w:fldCharType="end"/>
      </w:r>
      <w:r w:rsidRPr="00645FD3">
        <w:tab/>
      </w:r>
      <w:r w:rsidR="004876DF" w:rsidRPr="00645FD3">
        <w:t>Parallèlement aux documents d</w:t>
      </w:r>
      <w:r w:rsidR="009E1FB4" w:rsidRPr="00645FD3">
        <w:t>’</w:t>
      </w:r>
      <w:r w:rsidR="004876DF" w:rsidRPr="00645FD3">
        <w:t>information que le Conseil sera invité à adopter à sa cinquante</w:t>
      </w:r>
      <w:r w:rsidR="009E1FB4" w:rsidRPr="00645FD3">
        <w:t>-</w:t>
      </w:r>
      <w:r w:rsidR="004876DF" w:rsidRPr="00645FD3">
        <w:t>trois</w:t>
      </w:r>
      <w:r w:rsidR="009E1FB4" w:rsidRPr="00645FD3">
        <w:t>ième session</w:t>
      </w:r>
      <w:r w:rsidR="004876DF" w:rsidRPr="00645FD3">
        <w:t xml:space="preserve"> ordinaire, il est proposé d</w:t>
      </w:r>
      <w:r w:rsidR="009E1FB4" w:rsidRPr="00645FD3">
        <w:t>’</w:t>
      </w:r>
      <w:r w:rsidR="004876DF" w:rsidRPr="00645FD3">
        <w:t>adopter une version révisée du document UPOV/INF</w:t>
      </w:r>
      <w:r w:rsidR="009E1FB4" w:rsidRPr="00645FD3">
        <w:t>-</w:t>
      </w:r>
      <w:r w:rsidR="00A65EFB" w:rsidRPr="00645FD3">
        <w:t>EXN/12</w:t>
      </w:r>
      <w:r w:rsidR="004876DF" w:rsidRPr="00645FD3">
        <w:t xml:space="preserve"> “Liste des documents UPOV/INF</w:t>
      </w:r>
      <w:r w:rsidR="009E1FB4" w:rsidRPr="00645FD3">
        <w:t>-</w:t>
      </w:r>
      <w:r w:rsidR="004876DF" w:rsidRPr="00645FD3">
        <w:t>EXN et date de la version la plus récente de ces documents” sur la base du document UPOV/INF</w:t>
      </w:r>
      <w:r w:rsidR="009E1FB4" w:rsidRPr="00645FD3">
        <w:t>-</w:t>
      </w:r>
      <w:r w:rsidR="00A65EFB" w:rsidRPr="00645FD3">
        <w:t>EXN/13</w:t>
      </w:r>
      <w:r w:rsidR="004876DF" w:rsidRPr="00645FD3">
        <w:t xml:space="preserve"> Draft 1.</w:t>
      </w:r>
    </w:p>
    <w:p w:rsidR="00917A05" w:rsidRPr="00645FD3" w:rsidRDefault="00917A05" w:rsidP="004F45B7"/>
    <w:p w:rsidR="00917A05" w:rsidRPr="00645FD3" w:rsidRDefault="004F45B7" w:rsidP="004876DF">
      <w:pPr>
        <w:pStyle w:val="DecisionParagraphs"/>
      </w:pPr>
      <w:r w:rsidRPr="00645FD3">
        <w:fldChar w:fldCharType="begin"/>
      </w:r>
      <w:r w:rsidRPr="00645FD3">
        <w:instrText xml:space="preserve"> AUTONUM  </w:instrText>
      </w:r>
      <w:r w:rsidRPr="00645FD3">
        <w:fldChar w:fldCharType="end"/>
      </w:r>
      <w:r w:rsidRPr="00645FD3">
        <w:tab/>
      </w:r>
      <w:r w:rsidR="004876DF" w:rsidRPr="00645FD3">
        <w:t>Le Conseil est invité à adopter une version révisée du document UPOV/INF</w:t>
      </w:r>
      <w:r w:rsidR="009E1FB4" w:rsidRPr="00645FD3">
        <w:t>-</w:t>
      </w:r>
      <w:r w:rsidR="00A65EFB" w:rsidRPr="00645FD3">
        <w:t>EXN/12</w:t>
      </w:r>
      <w:r w:rsidR="004876DF" w:rsidRPr="00645FD3">
        <w:t xml:space="preserve"> </w:t>
      </w:r>
      <w:r w:rsidR="00630D2D" w:rsidRPr="00645FD3">
        <w:br/>
      </w:r>
      <w:r w:rsidR="004876DF" w:rsidRPr="00645FD3">
        <w:t>“Liste des documents UPOV/INF</w:t>
      </w:r>
      <w:r w:rsidR="009E1FB4" w:rsidRPr="00645FD3">
        <w:t>-</w:t>
      </w:r>
      <w:r w:rsidR="004876DF" w:rsidRPr="00645FD3">
        <w:t>EXN et date de la version la plus réce</w:t>
      </w:r>
      <w:r w:rsidR="00630D2D" w:rsidRPr="00645FD3">
        <w:t>nte de ces documents” (document </w:t>
      </w:r>
      <w:r w:rsidR="004876DF" w:rsidRPr="00645FD3">
        <w:t>UPOV/INF</w:t>
      </w:r>
      <w:r w:rsidR="00A65EFB" w:rsidRPr="00645FD3">
        <w:noBreakHyphen/>
        <w:t>EXN/13</w:t>
      </w:r>
      <w:r w:rsidR="004876DF" w:rsidRPr="00645FD3">
        <w:t>) sur la base du document UPOV/INF</w:t>
      </w:r>
      <w:r w:rsidR="009E1FB4" w:rsidRPr="00645FD3">
        <w:t>-</w:t>
      </w:r>
      <w:r w:rsidR="00A65EFB" w:rsidRPr="00645FD3">
        <w:t>EXN/13</w:t>
      </w:r>
      <w:r w:rsidR="004876DF" w:rsidRPr="00645FD3">
        <w:t xml:space="preserve"> Draft 1.</w:t>
      </w:r>
    </w:p>
    <w:p w:rsidR="00917A05" w:rsidRPr="00645FD3" w:rsidRDefault="00917A05" w:rsidP="004F45B7"/>
    <w:p w:rsidR="00917A05" w:rsidRPr="00645FD3" w:rsidRDefault="00917A05" w:rsidP="004F45B7"/>
    <w:p w:rsidR="00917A05" w:rsidRPr="00645FD3" w:rsidRDefault="00917A05" w:rsidP="004F45B7"/>
    <w:p w:rsidR="00917A05" w:rsidRPr="00645FD3" w:rsidRDefault="004876DF" w:rsidP="004876DF">
      <w:pPr>
        <w:jc w:val="right"/>
      </w:pPr>
      <w:r w:rsidRPr="00645FD3">
        <w:t>[Les annexes suivent]</w:t>
      </w:r>
    </w:p>
    <w:p w:rsidR="00462A02" w:rsidRPr="00645FD3" w:rsidRDefault="00462A02" w:rsidP="004876DF">
      <w:pPr>
        <w:jc w:val="right"/>
      </w:pPr>
    </w:p>
    <w:p w:rsidR="00462A02" w:rsidRPr="00645FD3" w:rsidRDefault="00462A02" w:rsidP="004876DF">
      <w:pPr>
        <w:jc w:val="right"/>
      </w:pPr>
    </w:p>
    <w:p w:rsidR="00917A05" w:rsidRPr="00645FD3" w:rsidRDefault="00917A05" w:rsidP="004F45B7">
      <w:pPr>
        <w:jc w:val="center"/>
      </w:pPr>
    </w:p>
    <w:p w:rsidR="004F45B7" w:rsidRPr="00645FD3" w:rsidRDefault="004F45B7" w:rsidP="004F45B7">
      <w:pPr>
        <w:jc w:val="right"/>
        <w:sectPr w:rsidR="004F45B7" w:rsidRPr="00645FD3" w:rsidSect="00F0369B">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504" w:right="1138" w:bottom="1138" w:left="1138" w:header="504" w:footer="677" w:gutter="0"/>
          <w:cols w:space="720"/>
          <w:titlePg/>
        </w:sectPr>
      </w:pPr>
    </w:p>
    <w:p w:rsidR="009E1FB4" w:rsidRPr="00645FD3" w:rsidRDefault="004876DF" w:rsidP="004876DF">
      <w:pPr>
        <w:jc w:val="center"/>
        <w:rPr>
          <w:caps/>
        </w:rPr>
      </w:pPr>
      <w:r w:rsidRPr="00645FD3">
        <w:rPr>
          <w:caps/>
        </w:rPr>
        <w:lastRenderedPageBreak/>
        <w:t xml:space="preserve">Révisions du </w:t>
      </w:r>
      <w:r w:rsidR="009E1FB4" w:rsidRPr="00645FD3">
        <w:rPr>
          <w:caps/>
        </w:rPr>
        <w:t>document TG</w:t>
      </w:r>
      <w:r w:rsidRPr="00645FD3">
        <w:rPr>
          <w:caps/>
        </w:rPr>
        <w:t>P/7 “Élaboration des principes directeurs d</w:t>
      </w:r>
      <w:r w:rsidR="009E1FB4" w:rsidRPr="00645FD3">
        <w:rPr>
          <w:caps/>
        </w:rPr>
        <w:t>’</w:t>
      </w:r>
      <w:r w:rsidRPr="00645FD3">
        <w:rPr>
          <w:caps/>
        </w:rPr>
        <w:t>examen”</w:t>
      </w:r>
    </w:p>
    <w:p w:rsidR="00917A05" w:rsidRPr="00645FD3" w:rsidRDefault="004876DF" w:rsidP="004876DF">
      <w:pPr>
        <w:jc w:val="center"/>
      </w:pPr>
      <w:r w:rsidRPr="00645FD3">
        <w:t>APPROUVÉES PAR LE COMITÉ TECHNIQUE À SA CINQUANTE</w:t>
      </w:r>
      <w:r w:rsidR="009E1FB4" w:rsidRPr="00645FD3">
        <w:t>-</w:t>
      </w:r>
      <w:r w:rsidRPr="00645FD3">
        <w:t>QUATRIÈME SESSION</w:t>
      </w:r>
      <w:r w:rsidRPr="00645FD3">
        <w:rPr>
          <w:rStyle w:val="FootnoteReference"/>
        </w:rPr>
        <w:footnoteReference w:id="7"/>
      </w:r>
    </w:p>
    <w:p w:rsidR="00917A05" w:rsidRPr="00645FD3" w:rsidRDefault="00917A05" w:rsidP="004F45B7">
      <w:pPr>
        <w:jc w:val="center"/>
      </w:pPr>
    </w:p>
    <w:p w:rsidR="00912AEB" w:rsidRPr="00645FD3" w:rsidRDefault="00912AEB" w:rsidP="00912AEB">
      <w:pPr>
        <w:jc w:val="center"/>
      </w:pPr>
    </w:p>
    <w:p w:rsidR="00912AEB" w:rsidRPr="00645FD3" w:rsidRDefault="00912AEB" w:rsidP="00912AEB">
      <w:r w:rsidRPr="00645FD3">
        <w:rPr>
          <w:noProof/>
          <w:lang w:val="en-US"/>
        </w:rPr>
        <mc:AlternateContent>
          <mc:Choice Requires="wps">
            <w:drawing>
              <wp:anchor distT="0" distB="0" distL="114300" distR="114300" simplePos="0" relativeHeight="251665408" behindDoc="0" locked="0" layoutInCell="1" allowOverlap="1" wp14:anchorId="2CDE1385" wp14:editId="5E9F984D">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912AEB" w:rsidRPr="008E5756" w:rsidRDefault="00912AEB" w:rsidP="00912AEB">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912AEB" w:rsidRPr="008E5756" w:rsidRDefault="00912AEB" w:rsidP="00912AEB">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E1385"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912AEB" w:rsidRPr="008E5756" w:rsidRDefault="00912AEB" w:rsidP="00912AEB">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912AEB" w:rsidRPr="008E5756" w:rsidRDefault="00912AEB" w:rsidP="00912AEB">
                      <w:pPr>
                        <w:rPr>
                          <w:lang w:val="fr-CH"/>
                        </w:rPr>
                      </w:pPr>
                    </w:p>
                  </w:txbxContent>
                </v:textbox>
              </v:shape>
            </w:pict>
          </mc:Fallback>
        </mc:AlternateContent>
      </w:r>
    </w:p>
    <w:p w:rsidR="00912AEB" w:rsidRPr="00645FD3" w:rsidRDefault="00912AEB" w:rsidP="00912AEB"/>
    <w:p w:rsidR="00912AEB" w:rsidRPr="00645FD3" w:rsidRDefault="00912AEB" w:rsidP="00912AEB"/>
    <w:p w:rsidR="00917A05" w:rsidRPr="00645FD3" w:rsidRDefault="00917A05" w:rsidP="004F45B7"/>
    <w:p w:rsidR="00917A05" w:rsidRPr="00645FD3" w:rsidRDefault="00917A05" w:rsidP="00A8283B"/>
    <w:p w:rsidR="009E1FB4" w:rsidRPr="00645FD3" w:rsidRDefault="00912AEB" w:rsidP="00A8283B">
      <w:pPr>
        <w:rPr>
          <w:u w:val="single"/>
        </w:rPr>
      </w:pPr>
      <w:r w:rsidRPr="00645FD3">
        <w:rPr>
          <w:u w:val="single"/>
        </w:rPr>
        <w:t>Durée de l’examen DHS</w:t>
      </w:r>
    </w:p>
    <w:p w:rsidR="00917A05" w:rsidRPr="00645FD3" w:rsidRDefault="00917A05" w:rsidP="00A8283B">
      <w:pPr>
        <w:rPr>
          <w:u w:val="single"/>
        </w:rPr>
      </w:pPr>
    </w:p>
    <w:p w:rsidR="00917A05" w:rsidRPr="00645FD3" w:rsidRDefault="00912AEB" w:rsidP="00A8283B">
      <w:pPr>
        <w:rPr>
          <w:i/>
        </w:rPr>
      </w:pPr>
      <w:r w:rsidRPr="00645FD3">
        <w:rPr>
          <w:i/>
        </w:rPr>
        <w:t>Texte standard général</w:t>
      </w:r>
      <w:r w:rsidR="00A8283B" w:rsidRPr="00645FD3">
        <w:rPr>
          <w:i/>
        </w:rPr>
        <w:t xml:space="preserve">: </w:t>
      </w:r>
      <w:r w:rsidR="009E1FB4" w:rsidRPr="00645FD3">
        <w:rPr>
          <w:i/>
        </w:rPr>
        <w:t>Section 3</w:t>
      </w:r>
      <w:r w:rsidR="00A8283B" w:rsidRPr="00645FD3">
        <w:rPr>
          <w:i/>
        </w:rPr>
        <w:t xml:space="preserve">.1: </w:t>
      </w:r>
      <w:r w:rsidRPr="00645FD3">
        <w:rPr>
          <w:i/>
        </w:rPr>
        <w:t>Nombre de cycles de végétation</w:t>
      </w:r>
    </w:p>
    <w:p w:rsidR="00917A05" w:rsidRPr="00645FD3" w:rsidRDefault="00917A05" w:rsidP="00A8283B"/>
    <w:p w:rsidR="00917A05" w:rsidRPr="00645FD3" w:rsidRDefault="00912AEB" w:rsidP="00A8283B">
      <w:r w:rsidRPr="00645FD3">
        <w:t>Le TC est convenu d’ajouter la phrase suivante comme texte standard des principes directeurs d’examen </w:t>
      </w:r>
      <w:r w:rsidR="00A8283B" w:rsidRPr="00645FD3">
        <w:t xml:space="preserve"> (</w:t>
      </w:r>
      <w:r w:rsidRPr="00645FD3">
        <w:t xml:space="preserve">voir le </w:t>
      </w:r>
      <w:r w:rsidR="009E1FB4" w:rsidRPr="00645FD3">
        <w:t xml:space="preserve">document </w:t>
      </w:r>
      <w:r w:rsidR="00D811BF">
        <w:t>TC/54/31 Corr.</w:t>
      </w:r>
      <w:r w:rsidR="00A8283B" w:rsidRPr="00645FD3">
        <w:t xml:space="preserve"> “</w:t>
      </w:r>
      <w:r w:rsidRPr="00645FD3">
        <w:t>Compte rendu</w:t>
      </w:r>
      <w:r w:rsidR="00A8283B" w:rsidRPr="00645FD3">
        <w:t>”, paragraph</w:t>
      </w:r>
      <w:r w:rsidRPr="00645FD3">
        <w:t>e</w:t>
      </w:r>
      <w:r w:rsidR="00A8283B" w:rsidRPr="00645FD3">
        <w:t xml:space="preserve">s 210 </w:t>
      </w:r>
      <w:r w:rsidRPr="00645FD3">
        <w:t>à</w:t>
      </w:r>
      <w:r w:rsidR="00A8283B" w:rsidRPr="00645FD3">
        <w:t xml:space="preserve"> 212):</w:t>
      </w:r>
    </w:p>
    <w:p w:rsidR="00917A05" w:rsidRPr="00645FD3" w:rsidRDefault="00917A05" w:rsidP="00A8283B">
      <w:pPr>
        <w:rPr>
          <w:sz w:val="18"/>
          <w:highlight w:val="yellow"/>
        </w:rPr>
      </w:pPr>
    </w:p>
    <w:p w:rsidR="00912AEB" w:rsidRPr="00645FD3" w:rsidRDefault="00912AEB" w:rsidP="00912AEB">
      <w:pPr>
        <w:ind w:left="567" w:right="567"/>
        <w:rPr>
          <w:sz w:val="18"/>
          <w:u w:val="single"/>
        </w:rPr>
      </w:pPr>
      <w:r w:rsidRPr="00645FD3">
        <w:rPr>
          <w:sz w:val="18"/>
          <w:highlight w:val="lightGray"/>
          <w:u w:val="single"/>
        </w:rPr>
        <w:t>“L’examen d’une variété peut être achevé quand le service compétent peut déterminer avec certitude le résultat de l’examen.”</w:t>
      </w:r>
    </w:p>
    <w:p w:rsidR="00917A05" w:rsidRPr="00645FD3" w:rsidRDefault="00917A05" w:rsidP="00A8283B"/>
    <w:p w:rsidR="00917A05" w:rsidRPr="00645FD3" w:rsidRDefault="00917A05" w:rsidP="00A8283B">
      <w:pPr>
        <w:rPr>
          <w:rFonts w:eastAsia="MS Mincho"/>
          <w:u w:val="single"/>
        </w:rPr>
      </w:pPr>
    </w:p>
    <w:p w:rsidR="009E1FB4" w:rsidRPr="00645FD3" w:rsidRDefault="00645FD3" w:rsidP="00A8283B">
      <w:pPr>
        <w:rPr>
          <w:rFonts w:eastAsia="MS Mincho"/>
          <w:u w:val="single"/>
        </w:rPr>
      </w:pPr>
      <w:r w:rsidRPr="00645FD3">
        <w:rPr>
          <w:rFonts w:eastAsia="MS Mincho"/>
          <w:u w:val="single"/>
        </w:rPr>
        <w:t>Procédure d’adoption des principes directeurs d’examen par correspondance</w:t>
      </w:r>
    </w:p>
    <w:p w:rsidR="00917A05" w:rsidRPr="00645FD3" w:rsidRDefault="00917A05" w:rsidP="00A8283B">
      <w:pPr>
        <w:rPr>
          <w:i/>
        </w:rPr>
      </w:pPr>
    </w:p>
    <w:p w:rsidR="00917A05" w:rsidRPr="00645FD3" w:rsidRDefault="009E1FB4" w:rsidP="00A8283B">
      <w:pPr>
        <w:rPr>
          <w:i/>
        </w:rPr>
      </w:pPr>
      <w:r w:rsidRPr="00645FD3">
        <w:rPr>
          <w:i/>
        </w:rPr>
        <w:t>Section 2</w:t>
      </w:r>
      <w:r w:rsidR="00A8283B" w:rsidRPr="00645FD3">
        <w:rPr>
          <w:i/>
        </w:rPr>
        <w:t>.2 “</w:t>
      </w:r>
      <w:r w:rsidR="00645FD3" w:rsidRPr="00645FD3">
        <w:rPr>
          <w:i/>
        </w:rPr>
        <w:t>Procédure applicable à l’adoption des principes directeurs d’examen</w:t>
      </w:r>
      <w:r w:rsidR="00A8283B" w:rsidRPr="00645FD3">
        <w:rPr>
          <w:i/>
        </w:rPr>
        <w:t>”</w:t>
      </w:r>
    </w:p>
    <w:p w:rsidR="00917A05" w:rsidRPr="00645FD3" w:rsidRDefault="00917A05" w:rsidP="00A8283B">
      <w:pPr>
        <w:rPr>
          <w:i/>
        </w:rPr>
      </w:pPr>
    </w:p>
    <w:p w:rsidR="00645FD3" w:rsidRPr="00645FD3" w:rsidRDefault="00645FD3" w:rsidP="00645FD3">
      <w:r w:rsidRPr="00645FD3">
        <w:t xml:space="preserve">Le TC est convenu que les orientations figurant dans le document TGP/7 doivent être modifiées comme suit (voir le document </w:t>
      </w:r>
      <w:r w:rsidR="00D811BF">
        <w:t>TC/54/31 Corr.</w:t>
      </w:r>
      <w:r w:rsidRPr="00645FD3">
        <w:t xml:space="preserve"> “Compte rendu”, paragraphes 217 à 220):</w:t>
      </w:r>
    </w:p>
    <w:p w:rsidR="00645FD3" w:rsidRPr="00645FD3" w:rsidRDefault="00645FD3" w:rsidP="00645FD3">
      <w:pPr>
        <w:rPr>
          <w:sz w:val="18"/>
          <w:highlight w:val="yellow"/>
        </w:rPr>
      </w:pPr>
    </w:p>
    <w:p w:rsidR="00645FD3" w:rsidRPr="00645FD3" w:rsidRDefault="00645FD3" w:rsidP="00645FD3">
      <w:pPr>
        <w:keepNext/>
        <w:ind w:left="567" w:right="567"/>
        <w:rPr>
          <w:sz w:val="18"/>
          <w:szCs w:val="18"/>
          <w:u w:val="single"/>
        </w:rPr>
      </w:pPr>
      <w:r w:rsidRPr="00645FD3">
        <w:rPr>
          <w:sz w:val="18"/>
          <w:szCs w:val="18"/>
          <w:u w:val="single"/>
        </w:rPr>
        <w:t>"2.2.7</w:t>
      </w:r>
      <w:r w:rsidRPr="00645FD3">
        <w:rPr>
          <w:sz w:val="18"/>
          <w:szCs w:val="18"/>
          <w:u w:val="single"/>
        </w:rPr>
        <w:tab/>
      </w:r>
      <w:r w:rsidRPr="00645FD3">
        <w:rPr>
          <w:sz w:val="18"/>
          <w:szCs w:val="18"/>
          <w:u w:val="single"/>
          <w:bdr w:val="single" w:sz="4" w:space="0" w:color="auto"/>
        </w:rPr>
        <w:t>ÉTAPE 7</w:t>
      </w:r>
      <w:r w:rsidRPr="00645FD3">
        <w:rPr>
          <w:sz w:val="18"/>
          <w:szCs w:val="18"/>
          <w:u w:val="single"/>
        </w:rPr>
        <w:tab/>
        <w:t>Examen des projets de principes directeurs par le TC</w:t>
      </w:r>
      <w:r w:rsidRPr="00645FD3">
        <w:rPr>
          <w:sz w:val="18"/>
          <w:szCs w:val="18"/>
          <w:u w:val="single"/>
        </w:rPr>
        <w:noBreakHyphen/>
        <w:t>EDC</w:t>
      </w:r>
    </w:p>
    <w:p w:rsidR="00645FD3" w:rsidRPr="00645FD3" w:rsidRDefault="00645FD3" w:rsidP="00645FD3">
      <w:pPr>
        <w:ind w:left="567" w:right="567"/>
        <w:rPr>
          <w:sz w:val="18"/>
          <w:szCs w:val="18"/>
        </w:rPr>
      </w:pPr>
    </w:p>
    <w:p w:rsidR="00645FD3" w:rsidRPr="00645FD3" w:rsidRDefault="00645FD3" w:rsidP="00645FD3">
      <w:pPr>
        <w:ind w:left="567" w:right="567"/>
        <w:rPr>
          <w:sz w:val="18"/>
          <w:szCs w:val="18"/>
        </w:rPr>
      </w:pPr>
      <w:r w:rsidRPr="00645FD3">
        <w:rPr>
          <w:sz w:val="18"/>
          <w:szCs w:val="18"/>
        </w:rPr>
        <w:t>"2.2.7.1</w:t>
      </w:r>
      <w:r w:rsidRPr="00645FD3">
        <w:rPr>
          <w:sz w:val="18"/>
          <w:szCs w:val="18"/>
        </w:rPr>
        <w:tab/>
        <w:t>Le TC</w:t>
      </w:r>
      <w:r w:rsidRPr="00645FD3">
        <w:rPr>
          <w:sz w:val="18"/>
          <w:szCs w:val="18"/>
        </w:rPr>
        <w:noBreakHyphen/>
        <w:t>EDC a été créé par le Comité technique afin d’examiner tous les projets de principes directeurs d’examen établis par les TWP avant qu’ils ne soient soumis au Comité technique pour adoption.  Le TC</w:t>
      </w:r>
      <w:r w:rsidRPr="00645FD3">
        <w:rPr>
          <w:sz w:val="18"/>
          <w:szCs w:val="18"/>
        </w:rPr>
        <w:noBreakHyphen/>
        <w:t>EDC a pour rôle de s’assurer que les principes directeurs d’examen ont été élaborés conformément aux exigences énumérées dans le document TGP/7 et que toutes les versions linguistiques officielles de l’UPOV concordent.  Il ne procède pas à un examen technique des principes directeurs d’examen quant au fond.  Les membres du TC</w:t>
      </w:r>
      <w:r w:rsidRPr="00645FD3">
        <w:rPr>
          <w:sz w:val="18"/>
          <w:szCs w:val="18"/>
        </w:rPr>
        <w:noBreakHyphen/>
        <w:t>EDC sont choisis par le TC de manière à réunir une vaste expérience du système de l’UPOV et à représenter les langues de l’UPOV, à savoir le français, l’allemand, l’anglais et l’espagnol.  Le président du TC</w:t>
      </w:r>
      <w:r w:rsidRPr="00645FD3">
        <w:rPr>
          <w:sz w:val="18"/>
          <w:szCs w:val="18"/>
        </w:rPr>
        <w:noBreakHyphen/>
        <w:t>EDC est un membre du Secrétariat de l’UPOV.</w:t>
      </w:r>
    </w:p>
    <w:p w:rsidR="00645FD3" w:rsidRPr="00645FD3" w:rsidRDefault="00645FD3" w:rsidP="00645FD3">
      <w:pPr>
        <w:ind w:left="567" w:right="567"/>
        <w:rPr>
          <w:sz w:val="18"/>
          <w:szCs w:val="18"/>
        </w:rPr>
      </w:pPr>
    </w:p>
    <w:p w:rsidR="00645FD3" w:rsidRPr="00645FD3" w:rsidRDefault="00645FD3" w:rsidP="00645FD3">
      <w:pPr>
        <w:ind w:left="567" w:right="567"/>
        <w:rPr>
          <w:sz w:val="18"/>
          <w:szCs w:val="18"/>
        </w:rPr>
      </w:pPr>
      <w:r w:rsidRPr="00645FD3">
        <w:rPr>
          <w:sz w:val="18"/>
          <w:szCs w:val="18"/>
        </w:rPr>
        <w:t>"2.2.7.2</w:t>
      </w:r>
      <w:r w:rsidRPr="00645FD3">
        <w:rPr>
          <w:sz w:val="18"/>
          <w:szCs w:val="18"/>
        </w:rPr>
        <w:tab/>
        <w:t>Le TC</w:t>
      </w:r>
      <w:r w:rsidRPr="00645FD3">
        <w:rPr>
          <w:sz w:val="18"/>
          <w:szCs w:val="18"/>
        </w:rPr>
        <w:noBreakHyphen/>
        <w:t>EDC examine le projet de principes directeurs d’examen compte tenu de toutes instructions particulières données par le Comité technique et formule une recommandation quant à la possibilité d’adopter ces principes directeurs (étape 8).</w:t>
      </w:r>
      <w:r w:rsidRPr="00645FD3">
        <w:rPr>
          <w:sz w:val="18"/>
        </w:rPr>
        <w:t xml:space="preserve"> </w:t>
      </w:r>
      <w:r w:rsidRPr="00645FD3">
        <w:rPr>
          <w:sz w:val="18"/>
          <w:szCs w:val="18"/>
        </w:rPr>
        <w:t xml:space="preserve"> Il peut présenter au Comité technique une proposition d’adoption sous réserve de modifications d’ordre rédactionnel, qu’il indique expressément.</w:t>
      </w:r>
    </w:p>
    <w:p w:rsidR="00645FD3" w:rsidRPr="00645FD3" w:rsidRDefault="00645FD3" w:rsidP="00645FD3">
      <w:pPr>
        <w:ind w:left="567" w:right="567"/>
        <w:rPr>
          <w:sz w:val="18"/>
          <w:szCs w:val="18"/>
        </w:rPr>
      </w:pPr>
    </w:p>
    <w:p w:rsidR="00645FD3" w:rsidRPr="00645FD3" w:rsidRDefault="00645FD3" w:rsidP="00645FD3">
      <w:pPr>
        <w:ind w:left="567" w:right="567"/>
        <w:rPr>
          <w:strike/>
          <w:sz w:val="18"/>
          <w:szCs w:val="18"/>
          <w:highlight w:val="lightGray"/>
        </w:rPr>
      </w:pPr>
      <w:r w:rsidRPr="00645FD3">
        <w:rPr>
          <w:sz w:val="18"/>
          <w:szCs w:val="18"/>
          <w:highlight w:val="lightGray"/>
          <w:u w:val="single"/>
        </w:rPr>
        <w:t>"</w:t>
      </w:r>
      <w:r w:rsidRPr="00645FD3">
        <w:rPr>
          <w:strike/>
          <w:sz w:val="18"/>
          <w:szCs w:val="18"/>
          <w:highlight w:val="lightGray"/>
        </w:rPr>
        <w:t>2.2.7.3</w:t>
      </w:r>
      <w:r w:rsidRPr="00645FD3">
        <w:rPr>
          <w:strike/>
          <w:sz w:val="18"/>
          <w:szCs w:val="18"/>
          <w:highlight w:val="lightGray"/>
        </w:rPr>
        <w:tab/>
        <w:t>S’il considère que des problèmes techniques doivent être résolus, le TC</w:t>
      </w:r>
      <w:r w:rsidRPr="00645FD3">
        <w:rPr>
          <w:strike/>
          <w:sz w:val="18"/>
          <w:szCs w:val="18"/>
          <w:highlight w:val="lightGray"/>
        </w:rPr>
        <w:noBreakHyphen/>
        <w:t>EDC peut chercher à résoudre les problèmes avec l’expert principal avant que le Comité technique examine les principes directeurs d’examen.  Lorsque ceci n’est pas possible, le TC</w:t>
      </w:r>
      <w:r w:rsidRPr="00645FD3">
        <w:rPr>
          <w:strike/>
          <w:sz w:val="18"/>
          <w:szCs w:val="18"/>
          <w:highlight w:val="lightGray"/>
        </w:rPr>
        <w:noBreakHyphen/>
        <w:t>EDC peut recommander au Comité technique :</w:t>
      </w:r>
    </w:p>
    <w:p w:rsidR="00645FD3" w:rsidRPr="00645FD3" w:rsidRDefault="00645FD3" w:rsidP="00645FD3">
      <w:pPr>
        <w:ind w:left="567" w:right="567"/>
        <w:rPr>
          <w:strike/>
          <w:sz w:val="18"/>
          <w:szCs w:val="18"/>
          <w:highlight w:val="lightGray"/>
        </w:rPr>
      </w:pPr>
    </w:p>
    <w:p w:rsidR="00645FD3" w:rsidRPr="00645FD3" w:rsidRDefault="00645FD3" w:rsidP="00645FD3">
      <w:pPr>
        <w:ind w:left="567" w:right="567"/>
        <w:rPr>
          <w:strike/>
          <w:sz w:val="18"/>
          <w:szCs w:val="18"/>
          <w:highlight w:val="lightGray"/>
        </w:rPr>
      </w:pPr>
      <w:r w:rsidRPr="00645FD3">
        <w:rPr>
          <w:strike/>
          <w:sz w:val="18"/>
          <w:szCs w:val="18"/>
          <w:highlight w:val="lightGray"/>
        </w:rPr>
        <w:tab/>
        <w:t>a)</w:t>
      </w:r>
      <w:r w:rsidRPr="00645FD3">
        <w:rPr>
          <w:strike/>
          <w:sz w:val="18"/>
          <w:szCs w:val="18"/>
          <w:highlight w:val="lightGray"/>
        </w:rPr>
        <w:tab/>
        <w:t>de renvoyer les principes directeurs d’examen au groupe de travail technique (étape 4), ou</w:t>
      </w:r>
    </w:p>
    <w:p w:rsidR="00645FD3" w:rsidRPr="00645FD3" w:rsidRDefault="00645FD3" w:rsidP="00645FD3">
      <w:pPr>
        <w:ind w:left="567" w:right="567"/>
        <w:rPr>
          <w:strike/>
          <w:sz w:val="18"/>
          <w:szCs w:val="18"/>
        </w:rPr>
      </w:pPr>
      <w:r w:rsidRPr="00645FD3">
        <w:rPr>
          <w:strike/>
          <w:sz w:val="18"/>
          <w:szCs w:val="18"/>
          <w:highlight w:val="lightGray"/>
        </w:rPr>
        <w:tab/>
        <w:t>b)</w:t>
      </w:r>
      <w:r w:rsidRPr="00645FD3">
        <w:rPr>
          <w:strike/>
          <w:sz w:val="18"/>
          <w:szCs w:val="18"/>
          <w:highlight w:val="lightGray"/>
        </w:rPr>
        <w:tab/>
        <w:t>d’adopter les principes directeurs d’examen sous réserve de renseignements supplémentaires fournis par l’expert principal en accord avec tous les experts intéressés et le président du groupe de travail technique concerné.</w:t>
      </w:r>
    </w:p>
    <w:p w:rsidR="00645FD3" w:rsidRPr="00645FD3" w:rsidRDefault="00645FD3" w:rsidP="00645FD3">
      <w:pPr>
        <w:ind w:right="567"/>
        <w:rPr>
          <w:sz w:val="18"/>
          <w:szCs w:val="18"/>
        </w:rPr>
      </w:pPr>
    </w:p>
    <w:p w:rsidR="00645FD3" w:rsidRPr="00645FD3" w:rsidRDefault="00645FD3" w:rsidP="00645FD3">
      <w:pPr>
        <w:ind w:left="567" w:right="567"/>
        <w:rPr>
          <w:sz w:val="18"/>
          <w:szCs w:val="18"/>
          <w:highlight w:val="lightGray"/>
          <w:u w:val="single"/>
        </w:rPr>
      </w:pPr>
      <w:r w:rsidRPr="00645FD3">
        <w:rPr>
          <w:sz w:val="18"/>
          <w:szCs w:val="18"/>
          <w:highlight w:val="lightGray"/>
          <w:u w:val="single"/>
        </w:rPr>
        <w:t>“NOUVEAU</w:t>
      </w:r>
      <w:r w:rsidRPr="00645FD3">
        <w:rPr>
          <w:sz w:val="18"/>
          <w:szCs w:val="18"/>
          <w:highlight w:val="lightGray"/>
          <w:u w:val="single"/>
        </w:rPr>
        <w:tab/>
        <w:t>Sauf décision contraire du TC, le TC</w:t>
      </w:r>
      <w:r w:rsidRPr="00645FD3">
        <w:rPr>
          <w:sz w:val="18"/>
          <w:szCs w:val="18"/>
          <w:highlight w:val="lightGray"/>
          <w:u w:val="single"/>
        </w:rPr>
        <w:noBreakHyphen/>
        <w:t>EDC se réunit deux fois par an, une fois en mars</w:t>
      </w:r>
      <w:r w:rsidRPr="00645FD3">
        <w:rPr>
          <w:sz w:val="18"/>
          <w:szCs w:val="18"/>
          <w:highlight w:val="lightGray"/>
          <w:u w:val="single"/>
        </w:rPr>
        <w:noBreakHyphen/>
        <w:t>avril et une fois dans le cadre de la session du TC (octobre</w:t>
      </w:r>
      <w:r w:rsidRPr="00645FD3">
        <w:rPr>
          <w:sz w:val="18"/>
          <w:szCs w:val="18"/>
          <w:highlight w:val="lightGray"/>
          <w:u w:val="single"/>
        </w:rPr>
        <w:noBreakHyphen/>
        <w:t>novembre).  Le TC</w:t>
      </w:r>
      <w:r w:rsidRPr="00645FD3">
        <w:rPr>
          <w:sz w:val="18"/>
          <w:szCs w:val="18"/>
          <w:highlight w:val="lightGray"/>
          <w:u w:val="single"/>
        </w:rPr>
        <w:noBreakHyphen/>
        <w:t>EDC examinera les principes directeurs d’examen soumis par les TWP au moins 14 semaines avant la réunion du TC</w:t>
      </w:r>
      <w:r w:rsidRPr="00645FD3">
        <w:rPr>
          <w:sz w:val="18"/>
          <w:szCs w:val="18"/>
          <w:highlight w:val="lightGray"/>
          <w:u w:val="single"/>
        </w:rPr>
        <w:noBreakHyphen/>
        <w:t>EDC.  Les principes directeurs d’examen soumis moins de 14 semaines avant la réunion du TC</w:t>
      </w:r>
      <w:r w:rsidRPr="00645FD3">
        <w:rPr>
          <w:sz w:val="18"/>
          <w:szCs w:val="18"/>
          <w:highlight w:val="lightGray"/>
          <w:u w:val="single"/>
        </w:rPr>
        <w:noBreakHyphen/>
        <w:t>EDC seront examinés à sa réunion suivante.</w:t>
      </w:r>
    </w:p>
    <w:p w:rsidR="00645FD3" w:rsidRPr="00645FD3" w:rsidRDefault="00645FD3" w:rsidP="00645FD3">
      <w:pPr>
        <w:tabs>
          <w:tab w:val="left" w:pos="567"/>
          <w:tab w:val="left" w:pos="1134"/>
          <w:tab w:val="left" w:pos="5387"/>
        </w:tabs>
        <w:ind w:left="567" w:right="567"/>
        <w:rPr>
          <w:sz w:val="18"/>
          <w:szCs w:val="18"/>
          <w:highlight w:val="lightGray"/>
          <w:u w:val="single"/>
        </w:rPr>
      </w:pPr>
    </w:p>
    <w:p w:rsidR="00645FD3" w:rsidRPr="00645FD3" w:rsidRDefault="00645FD3" w:rsidP="00645FD3">
      <w:pPr>
        <w:ind w:left="567" w:right="567"/>
        <w:rPr>
          <w:sz w:val="18"/>
          <w:szCs w:val="18"/>
          <w:highlight w:val="lightGray"/>
          <w:u w:val="single"/>
        </w:rPr>
      </w:pPr>
      <w:r w:rsidRPr="00645FD3">
        <w:rPr>
          <w:sz w:val="18"/>
          <w:szCs w:val="18"/>
          <w:highlight w:val="lightGray"/>
          <w:u w:val="single"/>
        </w:rPr>
        <w:t>“NOUVEAU</w:t>
      </w:r>
      <w:r w:rsidRPr="00645FD3">
        <w:rPr>
          <w:sz w:val="18"/>
          <w:szCs w:val="18"/>
          <w:highlight w:val="lightGray"/>
          <w:u w:val="single"/>
        </w:rPr>
        <w:tab/>
        <w:t>L’examen des principes directeurs d’examen par le TC</w:t>
      </w:r>
      <w:r w:rsidRPr="00645FD3">
        <w:rPr>
          <w:sz w:val="18"/>
          <w:szCs w:val="18"/>
          <w:highlight w:val="lightGray"/>
          <w:u w:val="single"/>
        </w:rPr>
        <w:noBreakHyphen/>
        <w:t>EDC peut avoir l’un des résultats suivants :</w:t>
      </w:r>
    </w:p>
    <w:p w:rsidR="00645FD3" w:rsidRPr="00645FD3" w:rsidRDefault="00645FD3" w:rsidP="00645FD3">
      <w:pPr>
        <w:ind w:left="567" w:right="567"/>
        <w:rPr>
          <w:sz w:val="18"/>
          <w:szCs w:val="18"/>
          <w:highlight w:val="lightGray"/>
          <w:u w:val="single"/>
        </w:rPr>
      </w:pPr>
    </w:p>
    <w:p w:rsidR="00645FD3" w:rsidRPr="00645FD3" w:rsidRDefault="00645FD3" w:rsidP="00645FD3">
      <w:pPr>
        <w:numPr>
          <w:ilvl w:val="0"/>
          <w:numId w:val="7"/>
        </w:numPr>
        <w:ind w:left="1134" w:right="567" w:hanging="567"/>
        <w:contextualSpacing/>
        <w:rPr>
          <w:rFonts w:cs="Arial"/>
          <w:sz w:val="18"/>
          <w:szCs w:val="18"/>
          <w:highlight w:val="lightGray"/>
          <w:u w:val="single"/>
          <w:lang w:eastAsia="en-GB"/>
        </w:rPr>
      </w:pPr>
      <w:r w:rsidRPr="00645FD3">
        <w:rPr>
          <w:rFonts w:cs="Arial"/>
          <w:sz w:val="18"/>
          <w:szCs w:val="18"/>
          <w:highlight w:val="lightGray"/>
          <w:u w:val="single"/>
          <w:lang w:eastAsia="en-GB"/>
        </w:rPr>
        <w:t>aucun changement ne devra être apporté aux principes directeurs d’examen, si ce n’est des modifications d’ordre purement rédactionnel, à propos desquelles des recommandations ont</w:t>
      </w:r>
      <w:r w:rsidR="009F5A19">
        <w:rPr>
          <w:rFonts w:cs="Arial"/>
          <w:sz w:val="18"/>
          <w:szCs w:val="18"/>
          <w:highlight w:val="lightGray"/>
          <w:u w:val="single"/>
          <w:lang w:eastAsia="en-GB"/>
        </w:rPr>
        <w:t xml:space="preserve"> été approuvées par le TC</w:t>
      </w:r>
      <w:r w:rsidR="009F5A19">
        <w:rPr>
          <w:rFonts w:cs="Arial"/>
          <w:sz w:val="18"/>
          <w:szCs w:val="18"/>
          <w:highlight w:val="lightGray"/>
          <w:u w:val="single"/>
          <w:lang w:eastAsia="en-GB"/>
        </w:rPr>
        <w:noBreakHyphen/>
        <w:t xml:space="preserve">EDC; </w:t>
      </w:r>
      <w:r w:rsidRPr="00645FD3">
        <w:rPr>
          <w:rFonts w:cs="Arial"/>
          <w:sz w:val="18"/>
          <w:szCs w:val="18"/>
          <w:highlight w:val="lightGray"/>
          <w:u w:val="single"/>
          <w:lang w:eastAsia="en-GB"/>
        </w:rPr>
        <w:t>ou</w:t>
      </w:r>
    </w:p>
    <w:p w:rsidR="00645FD3" w:rsidRPr="00645FD3" w:rsidRDefault="00645FD3" w:rsidP="00645FD3">
      <w:pPr>
        <w:numPr>
          <w:ilvl w:val="0"/>
          <w:numId w:val="7"/>
        </w:numPr>
        <w:ind w:left="567" w:right="567" w:firstLine="0"/>
        <w:contextualSpacing/>
        <w:rPr>
          <w:rFonts w:cs="Arial"/>
          <w:sz w:val="18"/>
          <w:szCs w:val="18"/>
          <w:highlight w:val="lightGray"/>
          <w:u w:val="single"/>
          <w:lang w:eastAsia="en-GB"/>
        </w:rPr>
      </w:pPr>
      <w:r w:rsidRPr="00645FD3">
        <w:rPr>
          <w:rFonts w:cs="Arial"/>
          <w:sz w:val="18"/>
          <w:szCs w:val="18"/>
          <w:highlight w:val="lightGray"/>
          <w:u w:val="single"/>
          <w:lang w:eastAsia="en-GB"/>
        </w:rPr>
        <w:lastRenderedPageBreak/>
        <w:t>des précisions d’ordre réd</w:t>
      </w:r>
      <w:r w:rsidR="009F5A19">
        <w:rPr>
          <w:rFonts w:cs="Arial"/>
          <w:sz w:val="18"/>
          <w:szCs w:val="18"/>
          <w:highlight w:val="lightGray"/>
          <w:u w:val="single"/>
          <w:lang w:eastAsia="en-GB"/>
        </w:rPr>
        <w:t xml:space="preserve">actionnel sont nécessaires; </w:t>
      </w:r>
      <w:r w:rsidRPr="00645FD3">
        <w:rPr>
          <w:rFonts w:cs="Arial"/>
          <w:sz w:val="18"/>
          <w:szCs w:val="18"/>
          <w:highlight w:val="lightGray"/>
          <w:u w:val="single"/>
          <w:lang w:eastAsia="en-GB"/>
        </w:rPr>
        <w:t>ou</w:t>
      </w:r>
    </w:p>
    <w:p w:rsidR="00645FD3" w:rsidRPr="00645FD3" w:rsidRDefault="00645FD3" w:rsidP="00645FD3">
      <w:pPr>
        <w:numPr>
          <w:ilvl w:val="0"/>
          <w:numId w:val="7"/>
        </w:numPr>
        <w:ind w:left="567" w:right="567" w:firstLine="0"/>
        <w:contextualSpacing/>
        <w:rPr>
          <w:rFonts w:cs="Arial"/>
          <w:sz w:val="18"/>
          <w:szCs w:val="18"/>
          <w:highlight w:val="lightGray"/>
          <w:u w:val="single"/>
          <w:lang w:eastAsia="en-GB"/>
        </w:rPr>
      </w:pPr>
      <w:r w:rsidRPr="00645FD3">
        <w:rPr>
          <w:rFonts w:cs="Arial"/>
          <w:sz w:val="18"/>
          <w:szCs w:val="18"/>
          <w:highlight w:val="lightGray"/>
          <w:u w:val="single"/>
          <w:lang w:eastAsia="en-GB"/>
        </w:rPr>
        <w:t>des problèmes techniques doivent être résolus.</w:t>
      </w:r>
    </w:p>
    <w:p w:rsidR="00645FD3" w:rsidRPr="00645FD3" w:rsidRDefault="00645FD3" w:rsidP="00645FD3">
      <w:pPr>
        <w:ind w:left="567" w:right="567"/>
        <w:rPr>
          <w:sz w:val="18"/>
          <w:szCs w:val="18"/>
          <w:highlight w:val="lightGray"/>
          <w:u w:val="single"/>
        </w:rPr>
      </w:pPr>
    </w:p>
    <w:p w:rsidR="00645FD3" w:rsidRPr="00645FD3" w:rsidRDefault="00645FD3" w:rsidP="00645FD3">
      <w:pPr>
        <w:ind w:left="567" w:right="567"/>
        <w:rPr>
          <w:sz w:val="18"/>
          <w:szCs w:val="18"/>
          <w:highlight w:val="lightGray"/>
          <w:u w:val="single"/>
        </w:rPr>
      </w:pPr>
      <w:r w:rsidRPr="00645FD3">
        <w:rPr>
          <w:sz w:val="18"/>
          <w:szCs w:val="18"/>
          <w:highlight w:val="lightGray"/>
          <w:u w:val="single"/>
        </w:rPr>
        <w:t>“NOUVEAU</w:t>
      </w:r>
      <w:r w:rsidRPr="00645FD3">
        <w:rPr>
          <w:sz w:val="18"/>
          <w:szCs w:val="18"/>
          <w:highlight w:val="lightGray"/>
          <w:u w:val="single"/>
        </w:rPr>
        <w:tab/>
        <w:t>Dans les cas où aucun changement ne doit être apporté aux principes directeurs d’examen, si ce n’est des modifications d’ordre purement rédactionnel, à propos desquelles des recommandations ont été approuvées par le TC</w:t>
      </w:r>
      <w:r w:rsidRPr="00645FD3">
        <w:rPr>
          <w:sz w:val="18"/>
          <w:szCs w:val="18"/>
          <w:highlight w:val="lightGray"/>
          <w:u w:val="single"/>
        </w:rPr>
        <w:noBreakHyphen/>
        <w:t>EDC, les principes directeurs d’examen sont communiqués pour adoption au Comité technique.</w:t>
      </w:r>
    </w:p>
    <w:p w:rsidR="00645FD3" w:rsidRPr="00645FD3" w:rsidRDefault="00645FD3" w:rsidP="00645FD3">
      <w:pPr>
        <w:ind w:left="567" w:right="567"/>
        <w:rPr>
          <w:sz w:val="18"/>
          <w:szCs w:val="18"/>
          <w:highlight w:val="lightGray"/>
          <w:u w:val="single"/>
        </w:rPr>
      </w:pPr>
    </w:p>
    <w:p w:rsidR="00645FD3" w:rsidRPr="00645FD3" w:rsidRDefault="00645FD3" w:rsidP="00645FD3">
      <w:pPr>
        <w:ind w:left="567" w:right="567"/>
        <w:rPr>
          <w:sz w:val="18"/>
          <w:szCs w:val="18"/>
          <w:highlight w:val="lightGray"/>
          <w:u w:val="single"/>
        </w:rPr>
      </w:pPr>
      <w:r w:rsidRPr="00645FD3">
        <w:rPr>
          <w:sz w:val="18"/>
          <w:szCs w:val="18"/>
          <w:highlight w:val="lightGray"/>
          <w:u w:val="single"/>
        </w:rPr>
        <w:t>“NOUVEAU</w:t>
      </w:r>
      <w:r w:rsidRPr="00645FD3">
        <w:rPr>
          <w:sz w:val="18"/>
          <w:szCs w:val="18"/>
          <w:highlight w:val="lightGray"/>
          <w:u w:val="single"/>
        </w:rPr>
        <w:tab/>
        <w:t>La procédure ci</w:t>
      </w:r>
      <w:r w:rsidRPr="00645FD3">
        <w:rPr>
          <w:sz w:val="18"/>
          <w:szCs w:val="18"/>
          <w:highlight w:val="lightGray"/>
          <w:u w:val="single"/>
        </w:rPr>
        <w:noBreakHyphen/>
        <w:t>après s’applique aux principes directeurs d’examen pour lesquels des précisions d’ordre rédactionnel sont nécessaires :</w:t>
      </w:r>
    </w:p>
    <w:p w:rsidR="00645FD3" w:rsidRPr="00645FD3" w:rsidRDefault="00645FD3" w:rsidP="00645FD3">
      <w:pPr>
        <w:ind w:left="567" w:right="567"/>
        <w:rPr>
          <w:rFonts w:cs="Arial"/>
          <w:sz w:val="18"/>
          <w:szCs w:val="18"/>
          <w:highlight w:val="lightGray"/>
          <w:u w:val="single"/>
        </w:rPr>
      </w:pPr>
    </w:p>
    <w:p w:rsidR="00645FD3" w:rsidRPr="00645FD3" w:rsidRDefault="00645FD3" w:rsidP="00645FD3">
      <w:pPr>
        <w:numPr>
          <w:ilvl w:val="0"/>
          <w:numId w:val="5"/>
        </w:numPr>
        <w:ind w:left="1134" w:right="567" w:hanging="567"/>
        <w:contextualSpacing/>
        <w:rPr>
          <w:rFonts w:cs="Arial"/>
          <w:sz w:val="18"/>
          <w:szCs w:val="18"/>
          <w:highlight w:val="lightGray"/>
          <w:u w:val="single"/>
          <w:lang w:eastAsia="en-GB"/>
        </w:rPr>
      </w:pPr>
      <w:r w:rsidRPr="00645FD3">
        <w:rPr>
          <w:rFonts w:cs="Arial"/>
          <w:sz w:val="18"/>
          <w:szCs w:val="18"/>
          <w:highlight w:val="lightGray"/>
          <w:u w:val="single"/>
          <w:lang w:eastAsia="en-GB"/>
        </w:rPr>
        <w:t>la demande de précisions est transmise à l’expert principal;</w:t>
      </w:r>
    </w:p>
    <w:p w:rsidR="00645FD3" w:rsidRPr="00645FD3" w:rsidRDefault="00645FD3" w:rsidP="00645FD3">
      <w:pPr>
        <w:numPr>
          <w:ilvl w:val="0"/>
          <w:numId w:val="5"/>
        </w:numPr>
        <w:ind w:left="1134" w:right="567" w:hanging="567"/>
        <w:contextualSpacing/>
        <w:rPr>
          <w:rFonts w:cs="Arial"/>
          <w:sz w:val="18"/>
          <w:szCs w:val="18"/>
          <w:highlight w:val="lightGray"/>
          <w:u w:val="single"/>
          <w:lang w:eastAsia="en-GB"/>
        </w:rPr>
      </w:pPr>
      <w:r w:rsidRPr="00645FD3">
        <w:rPr>
          <w:rFonts w:cs="Arial"/>
          <w:sz w:val="18"/>
          <w:szCs w:val="18"/>
          <w:highlight w:val="lightGray"/>
          <w:u w:val="single"/>
          <w:lang w:eastAsia="en-GB"/>
        </w:rPr>
        <w:t>les précisions doivent être apportées dans un délai de quatre semaines;</w:t>
      </w:r>
    </w:p>
    <w:p w:rsidR="00645FD3" w:rsidRPr="00645FD3" w:rsidRDefault="00645FD3" w:rsidP="00645FD3">
      <w:pPr>
        <w:numPr>
          <w:ilvl w:val="0"/>
          <w:numId w:val="5"/>
        </w:numPr>
        <w:ind w:left="1134" w:right="567" w:hanging="567"/>
        <w:contextualSpacing/>
        <w:rPr>
          <w:rFonts w:cs="Arial"/>
          <w:sz w:val="18"/>
          <w:szCs w:val="18"/>
          <w:highlight w:val="lightGray"/>
          <w:u w:val="single"/>
          <w:lang w:eastAsia="en-GB"/>
        </w:rPr>
      </w:pPr>
      <w:r w:rsidRPr="00645FD3">
        <w:rPr>
          <w:rFonts w:cs="Arial"/>
          <w:sz w:val="18"/>
          <w:szCs w:val="18"/>
          <w:highlight w:val="lightGray"/>
          <w:u w:val="single"/>
          <w:lang w:eastAsia="en-GB"/>
        </w:rPr>
        <w:t>si les précisions sont approuvées par le TC</w:t>
      </w:r>
      <w:r w:rsidRPr="00645FD3">
        <w:rPr>
          <w:rFonts w:cs="Arial"/>
          <w:sz w:val="18"/>
          <w:szCs w:val="18"/>
          <w:highlight w:val="lightGray"/>
          <w:u w:val="single"/>
          <w:lang w:eastAsia="en-GB"/>
        </w:rPr>
        <w:noBreakHyphen/>
        <w:t>EDC, les principes directeurs d’examen seront recommandés pour adoption à la réunion du TC</w:t>
      </w:r>
      <w:r w:rsidRPr="00645FD3">
        <w:rPr>
          <w:rFonts w:cs="Arial"/>
          <w:sz w:val="18"/>
          <w:szCs w:val="18"/>
          <w:highlight w:val="lightGray"/>
          <w:u w:val="single"/>
          <w:lang w:eastAsia="en-GB"/>
        </w:rPr>
        <w:noBreakHyphen/>
        <w:t>EDC;</w:t>
      </w:r>
    </w:p>
    <w:p w:rsidR="00645FD3" w:rsidRPr="00645FD3" w:rsidRDefault="00645FD3" w:rsidP="00645FD3">
      <w:pPr>
        <w:numPr>
          <w:ilvl w:val="0"/>
          <w:numId w:val="5"/>
        </w:numPr>
        <w:ind w:left="1134" w:right="567" w:hanging="567"/>
        <w:contextualSpacing/>
        <w:rPr>
          <w:rFonts w:cs="Arial"/>
          <w:sz w:val="18"/>
          <w:szCs w:val="18"/>
          <w:highlight w:val="lightGray"/>
          <w:u w:val="single"/>
          <w:lang w:eastAsia="en-GB"/>
        </w:rPr>
      </w:pPr>
      <w:r w:rsidRPr="00645FD3">
        <w:rPr>
          <w:rFonts w:cs="Arial"/>
          <w:sz w:val="18"/>
          <w:szCs w:val="18"/>
          <w:highlight w:val="lightGray"/>
          <w:u w:val="single"/>
          <w:lang w:eastAsia="en-GB"/>
        </w:rPr>
        <w:t>les principes directeurs d’examen sont examinés en vue de leur adoption par le TC.</w:t>
      </w:r>
    </w:p>
    <w:p w:rsidR="00645FD3" w:rsidRPr="00645FD3" w:rsidRDefault="00645FD3" w:rsidP="00645FD3">
      <w:pPr>
        <w:ind w:left="993" w:right="567" w:hanging="426"/>
        <w:rPr>
          <w:sz w:val="18"/>
          <w:szCs w:val="18"/>
          <w:highlight w:val="lightGray"/>
          <w:u w:val="single"/>
        </w:rPr>
      </w:pPr>
    </w:p>
    <w:p w:rsidR="00645FD3" w:rsidRPr="00645FD3" w:rsidRDefault="00645FD3" w:rsidP="00645FD3">
      <w:pPr>
        <w:ind w:left="993" w:right="567" w:hanging="426"/>
        <w:rPr>
          <w:sz w:val="18"/>
          <w:szCs w:val="18"/>
          <w:highlight w:val="lightGray"/>
          <w:u w:val="single"/>
        </w:rPr>
      </w:pPr>
      <w:r w:rsidRPr="00645FD3">
        <w:rPr>
          <w:sz w:val="18"/>
          <w:szCs w:val="18"/>
          <w:highlight w:val="lightGray"/>
          <w:u w:val="single"/>
        </w:rPr>
        <w:t>“NOUVEAU</w:t>
      </w:r>
      <w:r w:rsidRPr="00645FD3">
        <w:rPr>
          <w:sz w:val="18"/>
          <w:szCs w:val="18"/>
          <w:highlight w:val="lightGray"/>
          <w:u w:val="single"/>
        </w:rPr>
        <w:tab/>
        <w:t>La procédure ci</w:t>
      </w:r>
      <w:r w:rsidRPr="00645FD3">
        <w:rPr>
          <w:sz w:val="18"/>
          <w:szCs w:val="18"/>
          <w:highlight w:val="lightGray"/>
          <w:u w:val="single"/>
        </w:rPr>
        <w:noBreakHyphen/>
        <w:t>après s’applique aux principes directeurs lorsque des problèmes techniques doivent être résolus :</w:t>
      </w:r>
    </w:p>
    <w:p w:rsidR="00645FD3" w:rsidRPr="00645FD3" w:rsidRDefault="00645FD3" w:rsidP="00645FD3">
      <w:pPr>
        <w:ind w:left="993" w:right="567" w:hanging="426"/>
        <w:rPr>
          <w:rFonts w:cs="Arial"/>
          <w:sz w:val="18"/>
          <w:szCs w:val="18"/>
          <w:highlight w:val="lightGray"/>
          <w:u w:val="single"/>
        </w:rPr>
      </w:pPr>
    </w:p>
    <w:p w:rsidR="00645FD3" w:rsidRPr="00645FD3" w:rsidRDefault="00645FD3" w:rsidP="00645FD3">
      <w:pPr>
        <w:numPr>
          <w:ilvl w:val="0"/>
          <w:numId w:val="6"/>
        </w:numPr>
        <w:ind w:left="993" w:right="567" w:hanging="426"/>
        <w:contextualSpacing/>
        <w:rPr>
          <w:rFonts w:cs="Arial"/>
          <w:sz w:val="18"/>
          <w:szCs w:val="18"/>
          <w:highlight w:val="lightGray"/>
          <w:u w:val="single"/>
          <w:lang w:eastAsia="en-GB"/>
        </w:rPr>
      </w:pPr>
      <w:r w:rsidRPr="00645FD3">
        <w:rPr>
          <w:rFonts w:cs="Arial"/>
          <w:sz w:val="18"/>
          <w:szCs w:val="18"/>
          <w:highlight w:val="lightGray"/>
          <w:u w:val="single"/>
          <w:lang w:eastAsia="en-GB"/>
        </w:rPr>
        <w:t>les problèmes techniques sont transmis à l’expert principal;</w:t>
      </w:r>
    </w:p>
    <w:p w:rsidR="00645FD3" w:rsidRPr="00645FD3" w:rsidRDefault="00645FD3" w:rsidP="00645FD3">
      <w:pPr>
        <w:numPr>
          <w:ilvl w:val="0"/>
          <w:numId w:val="6"/>
        </w:numPr>
        <w:ind w:left="993" w:right="567" w:hanging="426"/>
        <w:contextualSpacing/>
        <w:rPr>
          <w:rFonts w:cs="Arial"/>
          <w:sz w:val="18"/>
          <w:szCs w:val="18"/>
          <w:highlight w:val="lightGray"/>
          <w:u w:val="single"/>
          <w:lang w:eastAsia="en-GB"/>
        </w:rPr>
      </w:pPr>
      <w:r w:rsidRPr="00645FD3">
        <w:rPr>
          <w:rFonts w:cs="Arial"/>
          <w:sz w:val="18"/>
          <w:szCs w:val="18"/>
          <w:highlight w:val="lightGray"/>
          <w:u w:val="single"/>
          <w:lang w:eastAsia="en-GB"/>
        </w:rPr>
        <w:t>les problèmes techniques doivent être examinés par le groupe de travail technique correspondant sur la base du document TWP établi par l’expert principal au moins quatre semaines avant la session du TWP (il n’y a pas lieu d’établir un nouveau projet de principes directeurs d’examen);</w:t>
      </w:r>
    </w:p>
    <w:p w:rsidR="00645FD3" w:rsidRPr="00645FD3" w:rsidRDefault="00645FD3" w:rsidP="00645FD3">
      <w:pPr>
        <w:numPr>
          <w:ilvl w:val="0"/>
          <w:numId w:val="6"/>
        </w:numPr>
        <w:ind w:left="993" w:right="567" w:hanging="426"/>
        <w:contextualSpacing/>
        <w:rPr>
          <w:rFonts w:cs="Arial"/>
          <w:sz w:val="18"/>
          <w:szCs w:val="18"/>
          <w:highlight w:val="lightGray"/>
          <w:u w:val="single"/>
          <w:lang w:eastAsia="en-GB"/>
        </w:rPr>
      </w:pPr>
      <w:r w:rsidRPr="00645FD3">
        <w:rPr>
          <w:rFonts w:cs="Arial"/>
          <w:sz w:val="18"/>
          <w:szCs w:val="18"/>
          <w:highlight w:val="lightGray"/>
          <w:u w:val="single"/>
          <w:lang w:eastAsia="en-GB"/>
        </w:rPr>
        <w:t>la résolution des problèmes doit être communiquée au TC</w:t>
      </w:r>
      <w:r w:rsidRPr="00645FD3">
        <w:rPr>
          <w:rFonts w:cs="Arial"/>
          <w:sz w:val="18"/>
          <w:szCs w:val="18"/>
          <w:highlight w:val="lightGray"/>
          <w:u w:val="single"/>
          <w:lang w:eastAsia="en-GB"/>
        </w:rPr>
        <w:noBreakHyphen/>
        <w:t>EDC au moins sept semaines avant la réunion du TC</w:t>
      </w:r>
      <w:r w:rsidRPr="00645FD3">
        <w:rPr>
          <w:rFonts w:cs="Arial"/>
          <w:sz w:val="18"/>
          <w:szCs w:val="18"/>
          <w:highlight w:val="lightGray"/>
          <w:u w:val="single"/>
          <w:lang w:eastAsia="en-GB"/>
        </w:rPr>
        <w:noBreakHyphen/>
        <w:t>EDC;</w:t>
      </w:r>
    </w:p>
    <w:p w:rsidR="00645FD3" w:rsidRPr="00645FD3" w:rsidRDefault="00645FD3" w:rsidP="00645FD3">
      <w:pPr>
        <w:numPr>
          <w:ilvl w:val="0"/>
          <w:numId w:val="5"/>
        </w:numPr>
        <w:ind w:left="993" w:right="567" w:hanging="426"/>
        <w:contextualSpacing/>
        <w:rPr>
          <w:rFonts w:cs="Arial"/>
          <w:sz w:val="18"/>
          <w:szCs w:val="18"/>
          <w:highlight w:val="lightGray"/>
          <w:u w:val="single"/>
          <w:lang w:eastAsia="en-GB"/>
        </w:rPr>
      </w:pPr>
      <w:r w:rsidRPr="00645FD3">
        <w:rPr>
          <w:rFonts w:cs="Arial"/>
          <w:sz w:val="18"/>
          <w:szCs w:val="18"/>
          <w:highlight w:val="lightGray"/>
          <w:u w:val="single"/>
          <w:lang w:eastAsia="en-GB"/>
        </w:rPr>
        <w:t>en cas d’approbation par le TC</w:t>
      </w:r>
      <w:r w:rsidRPr="00645FD3">
        <w:rPr>
          <w:rFonts w:cs="Arial"/>
          <w:sz w:val="18"/>
          <w:szCs w:val="18"/>
          <w:highlight w:val="lightGray"/>
          <w:u w:val="single"/>
          <w:lang w:eastAsia="en-GB"/>
        </w:rPr>
        <w:noBreakHyphen/>
        <w:t>EDC, les principes directeurs d’examen seraient recommandés pour adoption à la réunion du TC</w:t>
      </w:r>
      <w:r w:rsidRPr="00645FD3">
        <w:rPr>
          <w:rFonts w:cs="Arial"/>
          <w:sz w:val="18"/>
          <w:szCs w:val="18"/>
          <w:highlight w:val="lightGray"/>
          <w:u w:val="single"/>
          <w:lang w:eastAsia="en-GB"/>
        </w:rPr>
        <w:noBreakHyphen/>
        <w:t>EDC;</w:t>
      </w:r>
    </w:p>
    <w:p w:rsidR="00645FD3" w:rsidRPr="00645FD3" w:rsidRDefault="00645FD3" w:rsidP="00645FD3">
      <w:pPr>
        <w:numPr>
          <w:ilvl w:val="0"/>
          <w:numId w:val="5"/>
        </w:numPr>
        <w:ind w:left="993" w:right="567" w:hanging="426"/>
        <w:contextualSpacing/>
        <w:rPr>
          <w:rFonts w:cs="Arial"/>
          <w:sz w:val="18"/>
          <w:szCs w:val="18"/>
          <w:highlight w:val="lightGray"/>
          <w:u w:val="single"/>
          <w:lang w:eastAsia="en-GB"/>
        </w:rPr>
      </w:pPr>
      <w:r w:rsidRPr="00645FD3">
        <w:rPr>
          <w:rFonts w:cs="Arial"/>
          <w:sz w:val="18"/>
          <w:szCs w:val="18"/>
          <w:highlight w:val="lightGray"/>
          <w:u w:val="single"/>
          <w:lang w:eastAsia="en-GB"/>
        </w:rPr>
        <w:t xml:space="preserve">les principes directeurs d’examen sont examinés </w:t>
      </w:r>
      <w:r w:rsidR="009F5A19">
        <w:rPr>
          <w:rFonts w:cs="Arial"/>
          <w:sz w:val="18"/>
          <w:szCs w:val="18"/>
          <w:highlight w:val="lightGray"/>
          <w:u w:val="single"/>
          <w:lang w:eastAsia="en-GB"/>
        </w:rPr>
        <w:t xml:space="preserve">en vue de leur </w:t>
      </w:r>
      <w:r w:rsidRPr="00645FD3">
        <w:rPr>
          <w:rFonts w:cs="Arial"/>
          <w:sz w:val="18"/>
          <w:szCs w:val="18"/>
          <w:highlight w:val="lightGray"/>
          <w:u w:val="single"/>
          <w:lang w:eastAsia="en-GB"/>
        </w:rPr>
        <w:t>adoption par le TC.</w:t>
      </w:r>
    </w:p>
    <w:p w:rsidR="00645FD3" w:rsidRPr="00645FD3" w:rsidRDefault="00645FD3" w:rsidP="00645FD3">
      <w:pPr>
        <w:ind w:left="567" w:right="567"/>
        <w:rPr>
          <w:sz w:val="18"/>
          <w:szCs w:val="18"/>
        </w:rPr>
      </w:pPr>
    </w:p>
    <w:p w:rsidR="00645FD3" w:rsidRPr="00645FD3" w:rsidRDefault="00645FD3" w:rsidP="00645FD3">
      <w:pPr>
        <w:ind w:left="567" w:right="567"/>
        <w:rPr>
          <w:sz w:val="18"/>
          <w:szCs w:val="18"/>
          <w:u w:val="single"/>
        </w:rPr>
      </w:pPr>
      <w:r w:rsidRPr="00645FD3">
        <w:rPr>
          <w:sz w:val="18"/>
          <w:szCs w:val="18"/>
          <w:highlight w:val="lightGray"/>
          <w:u w:val="single"/>
        </w:rPr>
        <w:t>"</w:t>
      </w:r>
      <w:r w:rsidRPr="00645FD3">
        <w:rPr>
          <w:sz w:val="18"/>
          <w:szCs w:val="18"/>
          <w:u w:val="single"/>
        </w:rPr>
        <w:t>2.2.8</w:t>
      </w:r>
      <w:r w:rsidRPr="00645FD3">
        <w:rPr>
          <w:sz w:val="18"/>
          <w:szCs w:val="18"/>
          <w:u w:val="single"/>
        </w:rPr>
        <w:tab/>
      </w:r>
      <w:r w:rsidRPr="00645FD3">
        <w:rPr>
          <w:sz w:val="18"/>
          <w:szCs w:val="18"/>
          <w:u w:val="single"/>
          <w:bdr w:val="single" w:sz="4" w:space="0" w:color="auto"/>
        </w:rPr>
        <w:t>ÉTAPE 8</w:t>
      </w:r>
      <w:r w:rsidRPr="00645FD3">
        <w:rPr>
          <w:sz w:val="18"/>
          <w:szCs w:val="18"/>
          <w:u w:val="single"/>
        </w:rPr>
        <w:t xml:space="preserve"> </w:t>
      </w:r>
      <w:r w:rsidRPr="00645FD3">
        <w:rPr>
          <w:sz w:val="18"/>
          <w:szCs w:val="18"/>
          <w:u w:val="single"/>
        </w:rPr>
        <w:tab/>
        <w:t>Adoption des projets de principes directeurs d’examen par le Comité technique</w:t>
      </w:r>
    </w:p>
    <w:p w:rsidR="00645FD3" w:rsidRPr="00645FD3" w:rsidRDefault="00645FD3" w:rsidP="00645FD3">
      <w:pPr>
        <w:ind w:left="567" w:right="567"/>
        <w:rPr>
          <w:sz w:val="18"/>
          <w:szCs w:val="18"/>
        </w:rPr>
      </w:pPr>
    </w:p>
    <w:p w:rsidR="00645FD3" w:rsidRPr="00645FD3" w:rsidRDefault="00645FD3" w:rsidP="00645FD3">
      <w:pPr>
        <w:ind w:left="567" w:right="567"/>
        <w:rPr>
          <w:sz w:val="18"/>
          <w:szCs w:val="18"/>
        </w:rPr>
      </w:pPr>
      <w:r w:rsidRPr="00645FD3">
        <w:rPr>
          <w:sz w:val="18"/>
          <w:szCs w:val="18"/>
        </w:rPr>
        <w:t>"2.2.8.1</w:t>
      </w:r>
      <w:r w:rsidRPr="00645FD3">
        <w:rPr>
          <w:sz w:val="18"/>
          <w:szCs w:val="18"/>
        </w:rPr>
        <w:tab/>
        <w:t>Sur la base des recommandations formulées par le TC</w:t>
      </w:r>
      <w:r w:rsidRPr="00645FD3">
        <w:rPr>
          <w:sz w:val="18"/>
          <w:szCs w:val="18"/>
        </w:rPr>
        <w:noBreakHyphen/>
        <w:t>EDC, le Comité technique décide d’adopter les principes directeurs d’examen ou de les renvoyer au TWP concerné.</w:t>
      </w:r>
    </w:p>
    <w:p w:rsidR="00645FD3" w:rsidRPr="00645FD3" w:rsidRDefault="00645FD3" w:rsidP="00645FD3">
      <w:pPr>
        <w:ind w:left="567" w:right="567"/>
        <w:rPr>
          <w:sz w:val="18"/>
          <w:szCs w:val="18"/>
        </w:rPr>
      </w:pPr>
    </w:p>
    <w:p w:rsidR="00645FD3" w:rsidRPr="00645FD3" w:rsidRDefault="00645FD3" w:rsidP="00645FD3">
      <w:pPr>
        <w:ind w:left="567" w:right="567"/>
        <w:rPr>
          <w:sz w:val="18"/>
          <w:szCs w:val="18"/>
          <w:highlight w:val="lightGray"/>
          <w:u w:val="single"/>
        </w:rPr>
      </w:pPr>
      <w:r w:rsidRPr="00645FD3">
        <w:rPr>
          <w:sz w:val="18"/>
          <w:szCs w:val="18"/>
          <w:highlight w:val="lightGray"/>
          <w:u w:val="single"/>
        </w:rPr>
        <w:t>“NOUVEAU</w:t>
      </w:r>
      <w:r w:rsidRPr="00645FD3">
        <w:rPr>
          <w:sz w:val="18"/>
          <w:szCs w:val="18"/>
          <w:highlight w:val="lightGray"/>
          <w:u w:val="single"/>
        </w:rPr>
        <w:tab/>
        <w:t>Le Comité technique peut adopter les principes directeurs d’examen à sa session ou par correspondance.  Les principes directeurs d’examen peuvent être adoptés par correspondance selon la procédure suivante :</w:t>
      </w:r>
    </w:p>
    <w:p w:rsidR="00645FD3" w:rsidRPr="00645FD3" w:rsidRDefault="00645FD3" w:rsidP="00645FD3">
      <w:pPr>
        <w:ind w:left="567" w:right="567"/>
        <w:rPr>
          <w:sz w:val="18"/>
          <w:szCs w:val="18"/>
          <w:highlight w:val="lightGray"/>
          <w:u w:val="single"/>
        </w:rPr>
      </w:pPr>
    </w:p>
    <w:p w:rsidR="00645FD3" w:rsidRPr="00645FD3" w:rsidRDefault="00645FD3" w:rsidP="00645FD3">
      <w:pPr>
        <w:numPr>
          <w:ilvl w:val="0"/>
          <w:numId w:val="4"/>
        </w:numPr>
        <w:tabs>
          <w:tab w:val="left" w:pos="1134"/>
          <w:tab w:val="left" w:pos="5387"/>
        </w:tabs>
        <w:ind w:left="1134" w:right="567" w:hanging="567"/>
        <w:contextualSpacing/>
        <w:rPr>
          <w:rFonts w:cs="Arial"/>
          <w:sz w:val="18"/>
          <w:szCs w:val="18"/>
          <w:highlight w:val="lightGray"/>
          <w:u w:val="single"/>
          <w:lang w:eastAsia="en-GB"/>
        </w:rPr>
      </w:pPr>
      <w:r w:rsidRPr="00645FD3">
        <w:rPr>
          <w:rFonts w:cs="Arial"/>
          <w:sz w:val="18"/>
          <w:szCs w:val="18"/>
          <w:highlight w:val="lightGray"/>
          <w:u w:val="single"/>
          <w:lang w:eastAsia="en-GB"/>
        </w:rPr>
        <w:t>Les projets de principes directeurs d’examen sont communiqués au TC pour adoption par correspondance avec les recommandations formulées par le TC</w:t>
      </w:r>
      <w:r w:rsidRPr="00645FD3">
        <w:rPr>
          <w:rFonts w:cs="Arial"/>
          <w:sz w:val="18"/>
          <w:szCs w:val="18"/>
          <w:highlight w:val="lightGray"/>
          <w:u w:val="single"/>
          <w:lang w:eastAsia="en-GB"/>
        </w:rPr>
        <w:noBreakHyphen/>
        <w:t>EDC;</w:t>
      </w:r>
    </w:p>
    <w:p w:rsidR="00645FD3" w:rsidRPr="00645FD3" w:rsidRDefault="00645FD3" w:rsidP="00645FD3">
      <w:pPr>
        <w:numPr>
          <w:ilvl w:val="0"/>
          <w:numId w:val="4"/>
        </w:numPr>
        <w:tabs>
          <w:tab w:val="left" w:pos="1134"/>
          <w:tab w:val="left" w:pos="5387"/>
        </w:tabs>
        <w:ind w:left="1134" w:right="567" w:hanging="567"/>
        <w:contextualSpacing/>
        <w:rPr>
          <w:rFonts w:cs="Arial"/>
          <w:sz w:val="18"/>
          <w:szCs w:val="18"/>
          <w:highlight w:val="lightGray"/>
          <w:u w:val="single"/>
          <w:lang w:eastAsia="en-GB"/>
        </w:rPr>
      </w:pPr>
      <w:r w:rsidRPr="00645FD3">
        <w:rPr>
          <w:rFonts w:cs="Arial"/>
          <w:sz w:val="18"/>
          <w:szCs w:val="18"/>
          <w:highlight w:val="lightGray"/>
          <w:u w:val="single"/>
          <w:lang w:eastAsia="en-GB"/>
        </w:rPr>
        <w:t>Les projets de principes directeurs d’examen sont considérés comme adoptés si aucune observation n’a été reçue dans un délai de six semaines;</w:t>
      </w:r>
    </w:p>
    <w:p w:rsidR="00645FD3" w:rsidRPr="00645FD3" w:rsidRDefault="00645FD3" w:rsidP="00645FD3">
      <w:pPr>
        <w:numPr>
          <w:ilvl w:val="0"/>
          <w:numId w:val="4"/>
        </w:numPr>
        <w:tabs>
          <w:tab w:val="left" w:pos="1134"/>
          <w:tab w:val="left" w:pos="5387"/>
        </w:tabs>
        <w:ind w:left="1134" w:right="567" w:hanging="567"/>
        <w:contextualSpacing/>
        <w:rPr>
          <w:rFonts w:cs="Arial"/>
          <w:sz w:val="18"/>
          <w:szCs w:val="18"/>
          <w:highlight w:val="lightGray"/>
          <w:u w:val="single"/>
          <w:lang w:eastAsia="en-GB"/>
        </w:rPr>
      </w:pPr>
      <w:r w:rsidRPr="00645FD3">
        <w:rPr>
          <w:rFonts w:cs="Arial"/>
          <w:sz w:val="18"/>
          <w:szCs w:val="18"/>
          <w:highlight w:val="lightGray"/>
          <w:u w:val="single"/>
          <w:lang w:eastAsia="en-GB"/>
        </w:rPr>
        <w:t>Si des observations sont formulées, les projets de principes directeurs d’examen sont renvoyés au TWP concerné pour qu’il en tienne compte.</w:t>
      </w:r>
    </w:p>
    <w:p w:rsidR="00645FD3" w:rsidRPr="00645FD3" w:rsidRDefault="00645FD3" w:rsidP="00645FD3">
      <w:pPr>
        <w:ind w:left="567" w:right="567"/>
        <w:rPr>
          <w:sz w:val="18"/>
          <w:szCs w:val="18"/>
        </w:rPr>
      </w:pPr>
    </w:p>
    <w:p w:rsidR="00645FD3" w:rsidRPr="00645FD3" w:rsidRDefault="00645FD3" w:rsidP="00645FD3">
      <w:pPr>
        <w:ind w:left="567" w:right="567"/>
        <w:rPr>
          <w:sz w:val="18"/>
          <w:szCs w:val="18"/>
        </w:rPr>
      </w:pPr>
      <w:r w:rsidRPr="00645FD3">
        <w:rPr>
          <w:sz w:val="18"/>
          <w:szCs w:val="18"/>
        </w:rPr>
        <w:t>"2.2.8.2</w:t>
      </w:r>
      <w:r w:rsidRPr="00645FD3">
        <w:rPr>
          <w:sz w:val="18"/>
          <w:szCs w:val="18"/>
        </w:rPr>
        <w:tab/>
        <w:t>Une fois que le Comité technique a adopté les principes directeurs d’examen, le Bureau apporte toutes les modifications arrêtées par le Comité technique, qui sont consignées dans le rapport sur la réunion pertinente du Comité technique.  Le Bureau publie ensuite les principes directeurs d’examen adoptés.</w:t>
      </w:r>
    </w:p>
    <w:p w:rsidR="00645FD3" w:rsidRPr="00645FD3" w:rsidRDefault="00645FD3" w:rsidP="00645FD3">
      <w:pPr>
        <w:ind w:left="567" w:right="567"/>
        <w:rPr>
          <w:strike/>
          <w:sz w:val="18"/>
          <w:szCs w:val="18"/>
        </w:rPr>
      </w:pPr>
    </w:p>
    <w:p w:rsidR="00645FD3" w:rsidRPr="00645FD3" w:rsidRDefault="00645FD3" w:rsidP="00645FD3">
      <w:pPr>
        <w:ind w:left="567" w:right="567"/>
        <w:rPr>
          <w:strike/>
          <w:sz w:val="18"/>
          <w:szCs w:val="18"/>
        </w:rPr>
      </w:pPr>
      <w:r w:rsidRPr="00645FD3">
        <w:rPr>
          <w:strike/>
          <w:sz w:val="18"/>
          <w:szCs w:val="18"/>
          <w:highlight w:val="lightGray"/>
        </w:rPr>
        <w:t>"2.2.8.3</w:t>
      </w:r>
      <w:r w:rsidRPr="00645FD3">
        <w:rPr>
          <w:strike/>
          <w:sz w:val="18"/>
          <w:szCs w:val="18"/>
          <w:highlight w:val="lightGray"/>
        </w:rPr>
        <w:tab/>
        <w:t>Si le Comité technique adopte les principes directeurs d’examen sous réserve de renseignements supplémentaires à présenter par l’expert principal avec l’accord de tous les experts intéressés et du président du TWP concerné (voir la section 2.2.7.3.b)), les renseignements nécessaires, approuvés par tous les experts intéressés, doivent être fournis au Bureau dans un délai de trois mois suivant la réunion du Comité technique ou avant la session suivante du TWP concerné si ce délai est plus court.  Si les renseignements nécessaires ne sont pas communiqués dans ce délai, les principes directeurs d’examen concernés ne sont pas adoptés et sont soumis de nouveau au TWP concerné (étape 4).</w:t>
      </w:r>
    </w:p>
    <w:p w:rsidR="00917A05" w:rsidRPr="00645FD3" w:rsidRDefault="00917A05" w:rsidP="00A8283B"/>
    <w:p w:rsidR="00917A05" w:rsidRPr="00645FD3" w:rsidRDefault="00917A05" w:rsidP="00A8283B"/>
    <w:p w:rsidR="00917A05" w:rsidRPr="00645FD3" w:rsidRDefault="00917A05" w:rsidP="00A8283B"/>
    <w:p w:rsidR="00917A05" w:rsidRPr="00645FD3" w:rsidRDefault="00A8283B" w:rsidP="00A8283B">
      <w:pPr>
        <w:jc w:val="right"/>
      </w:pPr>
      <w:r w:rsidRPr="00645FD3">
        <w:t>[</w:t>
      </w:r>
      <w:r w:rsidR="004876DF" w:rsidRPr="00645FD3">
        <w:t>L</w:t>
      </w:r>
      <w:r w:rsidR="009E1FB4" w:rsidRPr="00645FD3">
        <w:t>’</w:t>
      </w:r>
      <w:r w:rsidR="004876DF" w:rsidRPr="00645FD3">
        <w:t>annexe</w:t>
      </w:r>
      <w:r w:rsidR="00E5665F" w:rsidRPr="00645FD3">
        <w:t> </w:t>
      </w:r>
      <w:r w:rsidRPr="00645FD3">
        <w:t xml:space="preserve">II </w:t>
      </w:r>
      <w:r w:rsidR="004876DF" w:rsidRPr="00645FD3">
        <w:t>suit</w:t>
      </w:r>
      <w:r w:rsidRPr="00645FD3">
        <w:t>]</w:t>
      </w:r>
    </w:p>
    <w:p w:rsidR="00917A05" w:rsidRPr="00645FD3" w:rsidRDefault="00917A05" w:rsidP="004F45B7"/>
    <w:p w:rsidR="00A8283B" w:rsidRPr="00645FD3" w:rsidRDefault="00A8283B" w:rsidP="004F45B7">
      <w:pPr>
        <w:sectPr w:rsidR="00A8283B" w:rsidRPr="00645FD3" w:rsidSect="00A20071">
          <w:headerReference w:type="default" r:id="rId26"/>
          <w:headerReference w:type="first" r:id="rId27"/>
          <w:footnotePr>
            <w:numRestart w:val="eachSect"/>
          </w:footnotePr>
          <w:pgSz w:w="11907" w:h="16840" w:code="9"/>
          <w:pgMar w:top="510" w:right="1134" w:bottom="1134" w:left="1134" w:header="510" w:footer="680" w:gutter="0"/>
          <w:pgNumType w:start="1"/>
          <w:cols w:space="720"/>
          <w:titlePg/>
        </w:sectPr>
      </w:pPr>
    </w:p>
    <w:p w:rsidR="004876DF" w:rsidRPr="00645FD3" w:rsidRDefault="004876DF" w:rsidP="004876DF">
      <w:pPr>
        <w:jc w:val="center"/>
      </w:pPr>
      <w:r w:rsidRPr="00645FD3">
        <w:lastRenderedPageBreak/>
        <w:t>RÉVISIONS DU DOCUMENT TGP/8 “PROTOCOLE D</w:t>
      </w:r>
      <w:r w:rsidR="009E1FB4" w:rsidRPr="00645FD3">
        <w:t>’</w:t>
      </w:r>
      <w:r w:rsidRPr="00645FD3">
        <w:t>ESSAI ET TECHNIQUES UTILISÉS DANS L</w:t>
      </w:r>
      <w:r w:rsidR="009E1FB4" w:rsidRPr="00645FD3">
        <w:t>’</w:t>
      </w:r>
      <w:r w:rsidRPr="00645FD3">
        <w:t>EXAMEN DE LA DISTINCTION, DE L</w:t>
      </w:r>
      <w:r w:rsidR="009E1FB4" w:rsidRPr="00645FD3">
        <w:t>’</w:t>
      </w:r>
      <w:r w:rsidRPr="00645FD3">
        <w:t>HOMOGÉNÉITÉ ET DE LA STABILITÉ”</w:t>
      </w:r>
    </w:p>
    <w:p w:rsidR="00917A05" w:rsidRPr="00645FD3" w:rsidRDefault="004876DF" w:rsidP="004876DF">
      <w:pPr>
        <w:jc w:val="center"/>
      </w:pPr>
      <w:r w:rsidRPr="00645FD3">
        <w:t xml:space="preserve">APPROUVÉES PAR LE COMITÉ TECHNIQUE À SES </w:t>
      </w:r>
      <w:r w:rsidR="000D46A2">
        <w:br/>
      </w:r>
      <w:r w:rsidRPr="00645FD3">
        <w:t>CINQUANTE</w:t>
      </w:r>
      <w:r w:rsidR="009E1FB4" w:rsidRPr="00645FD3">
        <w:t>-</w:t>
      </w:r>
      <w:r w:rsidRPr="00645FD3">
        <w:t>TROISIÈME</w:t>
      </w:r>
      <w:r w:rsidRPr="00645FD3">
        <w:rPr>
          <w:rStyle w:val="FootnoteReference"/>
        </w:rPr>
        <w:footnoteReference w:id="8"/>
      </w:r>
      <w:r w:rsidRPr="00645FD3">
        <w:t xml:space="preserve"> ET CINQUANTE</w:t>
      </w:r>
      <w:r w:rsidR="009E1FB4" w:rsidRPr="00645FD3">
        <w:t>-</w:t>
      </w:r>
      <w:r w:rsidRPr="00645FD3">
        <w:t>QUATRIÈME</w:t>
      </w:r>
      <w:r w:rsidRPr="00645FD3">
        <w:rPr>
          <w:rStyle w:val="FootnoteReference"/>
        </w:rPr>
        <w:footnoteReference w:id="9"/>
      </w:r>
      <w:r w:rsidRPr="00645FD3">
        <w:t xml:space="preserve"> SESSIONS</w:t>
      </w:r>
    </w:p>
    <w:p w:rsidR="00917A05" w:rsidRPr="00645FD3" w:rsidRDefault="00917A05" w:rsidP="00C315A0">
      <w:pPr>
        <w:jc w:val="center"/>
        <w:rPr>
          <w:caps/>
        </w:rPr>
      </w:pPr>
    </w:p>
    <w:p w:rsidR="00473F9B" w:rsidRPr="00645FD3" w:rsidRDefault="00473F9B" w:rsidP="00473F9B">
      <w:pPr>
        <w:jc w:val="center"/>
      </w:pPr>
    </w:p>
    <w:p w:rsidR="00473F9B" w:rsidRPr="00645FD3" w:rsidRDefault="00473F9B" w:rsidP="00473F9B">
      <w:r w:rsidRPr="00645FD3">
        <w:rPr>
          <w:noProof/>
          <w:lang w:val="en-US"/>
        </w:rPr>
        <mc:AlternateContent>
          <mc:Choice Requires="wps">
            <w:drawing>
              <wp:anchor distT="0" distB="0" distL="114300" distR="114300" simplePos="0" relativeHeight="251667456" behindDoc="0" locked="0" layoutInCell="1" allowOverlap="1" wp14:anchorId="3680C91B" wp14:editId="05AFDDC4">
                <wp:simplePos x="0" y="0"/>
                <wp:positionH relativeFrom="column">
                  <wp:align>center</wp:align>
                </wp:positionH>
                <wp:positionV relativeFrom="paragraph">
                  <wp:posOffset>0</wp:posOffset>
                </wp:positionV>
                <wp:extent cx="4119842" cy="402609"/>
                <wp:effectExtent l="0" t="0" r="1460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473F9B" w:rsidRPr="008E5756" w:rsidRDefault="00473F9B" w:rsidP="00473F9B">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473F9B" w:rsidRPr="008E5756" w:rsidRDefault="00473F9B" w:rsidP="00473F9B">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0C91B" id="_x0000_s1027" type="#_x0000_t202" style="position:absolute;left:0;text-align:left;margin-left:0;margin-top:0;width:324.4pt;height:31.7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pyJQIAAEsEAAAOAAAAZHJzL2Uyb0RvYy54bWysVNuO2yAQfa/Uf0C8N77I2W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">
                <v:textbox>
                  <w:txbxContent>
                    <w:p w:rsidR="00473F9B" w:rsidRPr="008E5756" w:rsidRDefault="00473F9B" w:rsidP="00473F9B">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473F9B" w:rsidRPr="008E5756" w:rsidRDefault="00473F9B" w:rsidP="00473F9B">
                      <w:pPr>
                        <w:rPr>
                          <w:lang w:val="fr-CH"/>
                        </w:rPr>
                      </w:pPr>
                    </w:p>
                  </w:txbxContent>
                </v:textbox>
              </v:shape>
            </w:pict>
          </mc:Fallback>
        </mc:AlternateContent>
      </w:r>
    </w:p>
    <w:p w:rsidR="00473F9B" w:rsidRPr="00645FD3" w:rsidRDefault="00473F9B" w:rsidP="00473F9B"/>
    <w:p w:rsidR="00473F9B" w:rsidRPr="00645FD3" w:rsidRDefault="00473F9B" w:rsidP="00473F9B"/>
    <w:p w:rsidR="00473F9B" w:rsidRPr="00645FD3" w:rsidRDefault="00473F9B" w:rsidP="00473F9B"/>
    <w:p w:rsidR="00917A05" w:rsidRPr="00645FD3" w:rsidRDefault="00917A05" w:rsidP="00CD0F11"/>
    <w:p w:rsidR="00917A05" w:rsidRPr="00645FD3" w:rsidRDefault="00355C94" w:rsidP="0061050E">
      <w:pPr>
        <w:keepNext/>
        <w:rPr>
          <w:u w:val="single"/>
        </w:rPr>
      </w:pPr>
      <w:r w:rsidRPr="00355C94">
        <w:rPr>
          <w:u w:val="single"/>
        </w:rPr>
        <w:t xml:space="preserve">Examen DHS sur des </w:t>
      </w:r>
      <w:r>
        <w:rPr>
          <w:u w:val="single"/>
        </w:rPr>
        <w:t>é</w:t>
      </w:r>
      <w:r w:rsidRPr="00355C94">
        <w:rPr>
          <w:u w:val="single"/>
        </w:rPr>
        <w:t>chantillons globaux</w:t>
      </w:r>
    </w:p>
    <w:p w:rsidR="00917A05" w:rsidRPr="00645FD3" w:rsidRDefault="00917A05" w:rsidP="0061050E">
      <w:pPr>
        <w:keepNext/>
      </w:pPr>
    </w:p>
    <w:p w:rsidR="00917A05" w:rsidRPr="00645FD3" w:rsidRDefault="00355C94" w:rsidP="005E1F43">
      <w:pPr>
        <w:keepNext/>
        <w:rPr>
          <w:i/>
        </w:rPr>
      </w:pPr>
      <w:r>
        <w:rPr>
          <w:i/>
        </w:rPr>
        <w:t>Nouvelle section</w:t>
      </w:r>
      <w:r w:rsidR="009E1FB4" w:rsidRPr="00645FD3">
        <w:rPr>
          <w:i/>
        </w:rPr>
        <w:t> 1</w:t>
      </w:r>
      <w:r w:rsidR="005E1F43" w:rsidRPr="00645FD3">
        <w:rPr>
          <w:i/>
        </w:rPr>
        <w:t>2</w:t>
      </w:r>
      <w:r>
        <w:rPr>
          <w:i/>
        </w:rPr>
        <w:t> </w:t>
      </w:r>
      <w:r w:rsidR="005E1F43" w:rsidRPr="00645FD3">
        <w:rPr>
          <w:i/>
        </w:rPr>
        <w:t xml:space="preserve">: </w:t>
      </w:r>
      <w:r>
        <w:rPr>
          <w:i/>
        </w:rPr>
        <w:t>E</w:t>
      </w:r>
      <w:r w:rsidRPr="00355C94">
        <w:rPr>
          <w:i/>
        </w:rPr>
        <w:t>xamen des caractères sur la base d’échantillons globaux</w:t>
      </w:r>
    </w:p>
    <w:p w:rsidR="00917A05" w:rsidRPr="00645FD3" w:rsidRDefault="00917A05" w:rsidP="005E1F43">
      <w:pPr>
        <w:keepNext/>
      </w:pPr>
    </w:p>
    <w:p w:rsidR="00917A05" w:rsidRPr="00645FD3" w:rsidRDefault="00355C94" w:rsidP="005E1F43">
      <w:pPr>
        <w:keepNext/>
      </w:pPr>
      <w:r>
        <w:t>Le</w:t>
      </w:r>
      <w:r w:rsidR="009E1FB4" w:rsidRPr="00645FD3">
        <w:t> TC</w:t>
      </w:r>
      <w:r w:rsidR="005E1F43" w:rsidRPr="00645FD3">
        <w:t xml:space="preserve">, </w:t>
      </w:r>
      <w:r>
        <w:t xml:space="preserve">à sa cinquante-troisième </w:t>
      </w:r>
      <w:r w:rsidR="005E1F43" w:rsidRPr="00645FD3">
        <w:t>session</w:t>
      </w:r>
      <w:r w:rsidR="005E1F43" w:rsidRPr="00645FD3">
        <w:rPr>
          <w:vertAlign w:val="superscript"/>
        </w:rPr>
        <w:fldChar w:fldCharType="begin"/>
      </w:r>
      <w:r w:rsidR="005E1F43" w:rsidRPr="00645FD3">
        <w:rPr>
          <w:vertAlign w:val="superscript"/>
        </w:rPr>
        <w:instrText xml:space="preserve"> NOTEREF _Ref13509596 \h  \* MERGEFORMAT </w:instrText>
      </w:r>
      <w:r w:rsidR="005E1F43" w:rsidRPr="00645FD3">
        <w:rPr>
          <w:vertAlign w:val="superscript"/>
        </w:rPr>
      </w:r>
      <w:r w:rsidR="005E1F43" w:rsidRPr="00645FD3">
        <w:rPr>
          <w:vertAlign w:val="superscript"/>
        </w:rPr>
        <w:fldChar w:fldCharType="separate"/>
      </w:r>
      <w:r w:rsidR="009A21B9" w:rsidRPr="00645FD3">
        <w:rPr>
          <w:vertAlign w:val="superscript"/>
        </w:rPr>
        <w:t>1</w:t>
      </w:r>
      <w:r w:rsidR="005E1F43" w:rsidRPr="00645FD3">
        <w:rPr>
          <w:vertAlign w:val="superscript"/>
        </w:rPr>
        <w:fldChar w:fldCharType="end"/>
      </w:r>
      <w:r w:rsidR="005E1F43" w:rsidRPr="00645FD3">
        <w:t xml:space="preserve">, </w:t>
      </w:r>
      <w:r w:rsidRPr="007739C0">
        <w:t xml:space="preserve">a approuvé </w:t>
      </w:r>
      <w:r>
        <w:t>une</w:t>
      </w:r>
      <w:r w:rsidRPr="007739C0">
        <w:t xml:space="preserve"> liste de critères, qui servira de base à l’élaboration </w:t>
      </w:r>
      <w:r>
        <w:t xml:space="preserve">d’orientations, aux fins de leur inclusion dans une future version révisée du </w:t>
      </w:r>
      <w:r w:rsidR="005E1F43" w:rsidRPr="00645FD3">
        <w:t xml:space="preserve">document TGP/8, </w:t>
      </w:r>
      <w:r>
        <w:t xml:space="preserve">comme suit </w:t>
      </w:r>
      <w:r w:rsidR="005E1F43" w:rsidRPr="00645FD3">
        <w:t>(</w:t>
      </w:r>
      <w:r>
        <w:t xml:space="preserve">voir le </w:t>
      </w:r>
      <w:r w:rsidR="009E1FB4" w:rsidRPr="00645FD3">
        <w:t>document TC</w:t>
      </w:r>
      <w:r w:rsidR="005E1F43" w:rsidRPr="00645FD3">
        <w:t>/53/31 “</w:t>
      </w:r>
      <w:r>
        <w:t>Compte rendu</w:t>
      </w:r>
      <w:r w:rsidR="005E1F43" w:rsidRPr="00645FD3">
        <w:t>”, paragraph</w:t>
      </w:r>
      <w:r>
        <w:t>e</w:t>
      </w:r>
      <w:r w:rsidR="005E1F43" w:rsidRPr="00645FD3">
        <w:t xml:space="preserve">s 113 </w:t>
      </w:r>
      <w:r>
        <w:t>à</w:t>
      </w:r>
      <w:r w:rsidR="005E1F43" w:rsidRPr="00645FD3">
        <w:t xml:space="preserve"> 116):</w:t>
      </w:r>
    </w:p>
    <w:p w:rsidR="00917A05" w:rsidRPr="00645FD3" w:rsidRDefault="00917A05" w:rsidP="005E1F43">
      <w:pPr>
        <w:keepNext/>
      </w:pPr>
    </w:p>
    <w:p w:rsidR="00917A05" w:rsidRPr="00355C94" w:rsidRDefault="005E1F43" w:rsidP="005E1F43">
      <w:pPr>
        <w:keepNext/>
        <w:ind w:left="567" w:right="567"/>
        <w:rPr>
          <w:b/>
          <w:sz w:val="18"/>
          <w:highlight w:val="lightGray"/>
          <w:u w:val="single"/>
        </w:rPr>
      </w:pPr>
      <w:r w:rsidRPr="00355C94">
        <w:rPr>
          <w:b/>
          <w:sz w:val="18"/>
          <w:highlight w:val="lightGray"/>
          <w:u w:val="single"/>
        </w:rPr>
        <w:t>12.</w:t>
      </w:r>
      <w:r w:rsidRPr="00355C94">
        <w:rPr>
          <w:b/>
          <w:sz w:val="18"/>
          <w:highlight w:val="lightGray"/>
          <w:u w:val="single"/>
        </w:rPr>
        <w:tab/>
      </w:r>
      <w:r w:rsidR="00355C94" w:rsidRPr="00355C94">
        <w:rPr>
          <w:b/>
          <w:sz w:val="18"/>
          <w:highlight w:val="lightGray"/>
          <w:u w:val="single"/>
        </w:rPr>
        <w:t>EXAMEN DES CARACTÈRES SUR LA BASE D’ÉCHANTILLONS GLOBAUX</w:t>
      </w:r>
    </w:p>
    <w:p w:rsidR="00917A05" w:rsidRPr="00355C94" w:rsidRDefault="00917A05" w:rsidP="005E1F43">
      <w:pPr>
        <w:keepNext/>
        <w:ind w:left="567" w:right="567"/>
        <w:rPr>
          <w:sz w:val="18"/>
          <w:highlight w:val="lightGray"/>
          <w:u w:val="single"/>
        </w:rPr>
      </w:pPr>
    </w:p>
    <w:p w:rsidR="00917A05" w:rsidRPr="00355C94" w:rsidRDefault="00355C94" w:rsidP="005E1F43">
      <w:pPr>
        <w:keepNext/>
        <w:ind w:left="567" w:right="567"/>
        <w:rPr>
          <w:sz w:val="18"/>
          <w:highlight w:val="lightGray"/>
          <w:u w:val="single"/>
        </w:rPr>
      </w:pPr>
      <w:r w:rsidRPr="00355C94">
        <w:rPr>
          <w:sz w:val="18"/>
          <w:highlight w:val="lightGray"/>
          <w:u w:val="single"/>
        </w:rPr>
        <w:t>Des observations doivent porter sur les critères ci-après lors de l’examen des caractères sur la base d’échantillons globaux :</w:t>
      </w:r>
    </w:p>
    <w:p w:rsidR="00917A05" w:rsidRPr="00355C94" w:rsidRDefault="00917A05" w:rsidP="005E1F43">
      <w:pPr>
        <w:keepNext/>
        <w:ind w:left="567" w:right="567"/>
        <w:rPr>
          <w:sz w:val="18"/>
          <w:highlight w:val="lightGray"/>
          <w:u w:val="single"/>
        </w:rPr>
      </w:pPr>
    </w:p>
    <w:p w:rsidR="00355C94" w:rsidRPr="00355C94" w:rsidRDefault="00355C94" w:rsidP="00355C94">
      <w:pPr>
        <w:numPr>
          <w:ilvl w:val="0"/>
          <w:numId w:val="10"/>
        </w:numPr>
        <w:ind w:left="1134" w:right="567" w:hanging="567"/>
        <w:rPr>
          <w:sz w:val="18"/>
          <w:highlight w:val="lightGray"/>
          <w:u w:val="single"/>
        </w:rPr>
      </w:pPr>
      <w:r w:rsidRPr="00355C94">
        <w:rPr>
          <w:iCs/>
          <w:sz w:val="18"/>
          <w:highlight w:val="lightGray"/>
          <w:u w:val="single"/>
        </w:rPr>
        <w:t>le caractère devrait remplir les conditions relatives à un caractère, énoncées dans l’Introduction générale à l’examen de la distinction, de l’homogénéité et de la stabilité et à l’harmonisation des descriptions des obtentions végétales’ (voir la section 4.2.1 du document TG/1/3</w:t>
      </w:r>
      <w:r w:rsidRPr="00355C94">
        <w:rPr>
          <w:sz w:val="18"/>
          <w:highlight w:val="lightGray"/>
          <w:u w:val="single"/>
        </w:rPr>
        <w:t>),</w:t>
      </w:r>
    </w:p>
    <w:p w:rsidR="00355C94" w:rsidRPr="00355C94" w:rsidRDefault="00355C94" w:rsidP="00355C94">
      <w:pPr>
        <w:ind w:left="1134" w:right="567" w:hanging="567"/>
        <w:rPr>
          <w:sz w:val="18"/>
          <w:highlight w:val="lightGray"/>
          <w:u w:val="single"/>
        </w:rPr>
      </w:pPr>
    </w:p>
    <w:p w:rsidR="00355C94" w:rsidRPr="00355C94" w:rsidRDefault="00355C94" w:rsidP="00355C94">
      <w:pPr>
        <w:numPr>
          <w:ilvl w:val="0"/>
          <w:numId w:val="10"/>
        </w:numPr>
        <w:ind w:left="1134" w:right="567" w:hanging="567"/>
        <w:rPr>
          <w:iCs/>
          <w:sz w:val="18"/>
          <w:highlight w:val="lightGray"/>
          <w:u w:val="single"/>
        </w:rPr>
      </w:pPr>
      <w:r w:rsidRPr="00355C94">
        <w:rPr>
          <w:sz w:val="18"/>
          <w:highlight w:val="lightGray"/>
          <w:u w:val="single"/>
        </w:rPr>
        <w:t>des informations devraient être disponibles sur le déterminisme génétique du caractère,</w:t>
      </w:r>
    </w:p>
    <w:p w:rsidR="00355C94" w:rsidRPr="00355C94" w:rsidRDefault="00355C94" w:rsidP="00355C94">
      <w:pPr>
        <w:ind w:left="1134" w:right="567" w:hanging="567"/>
        <w:rPr>
          <w:iCs/>
          <w:sz w:val="18"/>
          <w:highlight w:val="lightGray"/>
          <w:u w:val="single"/>
        </w:rPr>
      </w:pPr>
    </w:p>
    <w:p w:rsidR="00355C94" w:rsidRPr="00355C94" w:rsidRDefault="00355C94" w:rsidP="00355C94">
      <w:pPr>
        <w:numPr>
          <w:ilvl w:val="0"/>
          <w:numId w:val="10"/>
        </w:numPr>
        <w:ind w:left="1134" w:right="567" w:hanging="567"/>
        <w:rPr>
          <w:iCs/>
          <w:sz w:val="18"/>
          <w:highlight w:val="lightGray"/>
          <w:u w:val="single"/>
        </w:rPr>
      </w:pPr>
      <w:r w:rsidRPr="00355C94">
        <w:rPr>
          <w:iCs/>
          <w:sz w:val="18"/>
          <w:highlight w:val="lightGray"/>
          <w:u w:val="single"/>
        </w:rPr>
        <w:t>la pertinence du caractère devrait être validée par une évaluation initiale de l’homogénéité à partir de plantes isolées,</w:t>
      </w:r>
    </w:p>
    <w:p w:rsidR="00355C94" w:rsidRPr="00355C94" w:rsidRDefault="00355C94" w:rsidP="00355C94">
      <w:pPr>
        <w:ind w:left="1134" w:right="567" w:hanging="567"/>
        <w:rPr>
          <w:iCs/>
          <w:sz w:val="18"/>
          <w:highlight w:val="lightGray"/>
          <w:u w:val="single"/>
        </w:rPr>
      </w:pPr>
    </w:p>
    <w:p w:rsidR="00355C94" w:rsidRPr="00355C94" w:rsidRDefault="00355C94" w:rsidP="00355C94">
      <w:pPr>
        <w:numPr>
          <w:ilvl w:val="0"/>
          <w:numId w:val="10"/>
        </w:numPr>
        <w:ind w:left="1134" w:right="567" w:hanging="567"/>
        <w:rPr>
          <w:iCs/>
          <w:sz w:val="18"/>
          <w:highlight w:val="lightGray"/>
          <w:u w:val="single"/>
        </w:rPr>
      </w:pPr>
      <w:r w:rsidRPr="00355C94">
        <w:rPr>
          <w:sz w:val="18"/>
          <w:highlight w:val="lightGray"/>
          <w:u w:val="single"/>
        </w:rPr>
        <w:t xml:space="preserve">des informations devraient être fournies sur la variabilité </w:t>
      </w:r>
      <w:r w:rsidR="009F5A19">
        <w:rPr>
          <w:sz w:val="18"/>
          <w:highlight w:val="lightGray"/>
          <w:u w:val="single"/>
        </w:rPr>
        <w:t>entre</w:t>
      </w:r>
      <w:r w:rsidRPr="00355C94">
        <w:rPr>
          <w:sz w:val="18"/>
          <w:highlight w:val="lightGray"/>
          <w:u w:val="single"/>
        </w:rPr>
        <w:t xml:space="preserve"> plantes et leurs différences au cours des cycles de végétation (données extraites de mesures </w:t>
      </w:r>
      <w:r w:rsidR="009F5A19">
        <w:rPr>
          <w:sz w:val="18"/>
          <w:highlight w:val="lightGray"/>
          <w:u w:val="single"/>
        </w:rPr>
        <w:t xml:space="preserve">de routine </w:t>
      </w:r>
      <w:r w:rsidRPr="00355C94">
        <w:rPr>
          <w:sz w:val="18"/>
          <w:highlight w:val="lightGray"/>
          <w:u w:val="single"/>
        </w:rPr>
        <w:t>relatives à un caractère sur plusieurs années</w:t>
      </w:r>
      <w:r w:rsidRPr="00355C94">
        <w:rPr>
          <w:iCs/>
          <w:sz w:val="18"/>
          <w:highlight w:val="lightGray"/>
          <w:u w:val="single"/>
        </w:rPr>
        <w:t>),</w:t>
      </w:r>
    </w:p>
    <w:p w:rsidR="00355C94" w:rsidRPr="00355C94" w:rsidRDefault="00355C94" w:rsidP="00355C94">
      <w:pPr>
        <w:ind w:left="1134" w:right="567" w:hanging="567"/>
        <w:rPr>
          <w:iCs/>
          <w:sz w:val="18"/>
          <w:highlight w:val="lightGray"/>
          <w:u w:val="single"/>
        </w:rPr>
      </w:pPr>
    </w:p>
    <w:p w:rsidR="00355C94" w:rsidRPr="00355C94" w:rsidRDefault="00355C94" w:rsidP="00355C94">
      <w:pPr>
        <w:numPr>
          <w:ilvl w:val="0"/>
          <w:numId w:val="10"/>
        </w:numPr>
        <w:ind w:left="1134" w:right="567" w:hanging="567"/>
        <w:rPr>
          <w:sz w:val="18"/>
          <w:highlight w:val="lightGray"/>
          <w:u w:val="single"/>
        </w:rPr>
      </w:pPr>
      <w:r w:rsidRPr="00355C94">
        <w:rPr>
          <w:sz w:val="18"/>
          <w:highlight w:val="lightGray"/>
          <w:u w:val="single"/>
        </w:rPr>
        <w:t>une description complète de la méthode d’évaluation devrait être fournie,</w:t>
      </w:r>
    </w:p>
    <w:p w:rsidR="00355C94" w:rsidRPr="00355C94" w:rsidRDefault="00355C94" w:rsidP="00355C94">
      <w:pPr>
        <w:ind w:left="1134" w:right="567" w:hanging="567"/>
        <w:rPr>
          <w:sz w:val="18"/>
          <w:highlight w:val="lightGray"/>
          <w:u w:val="single"/>
        </w:rPr>
      </w:pPr>
    </w:p>
    <w:p w:rsidR="00355C94" w:rsidRPr="008842D6" w:rsidRDefault="00355C94" w:rsidP="00355C94">
      <w:pPr>
        <w:numPr>
          <w:ilvl w:val="0"/>
          <w:numId w:val="10"/>
        </w:numPr>
        <w:ind w:left="1134" w:right="567" w:hanging="567"/>
        <w:rPr>
          <w:sz w:val="18"/>
        </w:rPr>
      </w:pPr>
      <w:r w:rsidRPr="00355C94">
        <w:rPr>
          <w:sz w:val="18"/>
          <w:highlight w:val="lightGray"/>
          <w:u w:val="single"/>
        </w:rPr>
        <w:t>la détermination des niveaux d’expression devrait être fondée sur la variation existante entre les variétés et tenir compte de l’influence de l’environnement.”</w:t>
      </w:r>
    </w:p>
    <w:p w:rsidR="00917A05" w:rsidRPr="00645FD3" w:rsidRDefault="00917A05" w:rsidP="005E1F43">
      <w:pPr>
        <w:rPr>
          <w:u w:val="single"/>
        </w:rPr>
      </w:pPr>
    </w:p>
    <w:p w:rsidR="00917A05" w:rsidRPr="00645FD3" w:rsidRDefault="00917A05" w:rsidP="005E1F43">
      <w:pPr>
        <w:rPr>
          <w:u w:val="single"/>
        </w:rPr>
      </w:pPr>
    </w:p>
    <w:p w:rsidR="00917A05" w:rsidRPr="00645FD3" w:rsidRDefault="00B4256D" w:rsidP="0061050E">
      <w:pPr>
        <w:keepNext/>
        <w:rPr>
          <w:i/>
        </w:rPr>
      </w:pPr>
      <w:r w:rsidRPr="00B4256D">
        <w:rPr>
          <w:i/>
        </w:rPr>
        <w:t>Méthode au-delà d’un essai unique (année)</w:t>
      </w:r>
    </w:p>
    <w:p w:rsidR="00917A05" w:rsidRPr="00645FD3" w:rsidRDefault="00917A05" w:rsidP="0061050E">
      <w:pPr>
        <w:keepNext/>
      </w:pPr>
    </w:p>
    <w:p w:rsidR="00B4256D" w:rsidRPr="00B4256D" w:rsidRDefault="00B4256D" w:rsidP="0061050E">
      <w:pPr>
        <w:keepNext/>
      </w:pPr>
      <w:r w:rsidRPr="00B4256D">
        <w:t>Le TC a noté que les orientations sur l’“Examen des caractères sur la base d’échantillons globaux” avaient été élaborées en vue de leur insertion dans le document TGP/10 et il est convenu que les orientations figurant dans le document TGP/8/2, deuxième partie, Section 8, sous</w:t>
      </w:r>
      <w:r w:rsidRPr="00B4256D">
        <w:noBreakHyphen/>
        <w:t>section 8.1.7, devraient être remplacées par un renvoi aux nouvelles orientations sur l’“Évaluation de l’homogénéité d’après les plantes hors</w:t>
      </w:r>
      <w:r w:rsidRPr="00B4256D">
        <w:noBreakHyphen/>
        <w:t>type sur la base de plusieurs cycles de végétation ou sur la base de sous</w:t>
      </w:r>
      <w:r w:rsidRPr="00B4256D">
        <w:noBreakHyphen/>
        <w:t>échantillons” devant être incluses dans le document TGP/10 “Examen de l’homogénéité”.</w:t>
      </w:r>
    </w:p>
    <w:p w:rsidR="00917A05" w:rsidRPr="00B4256D" w:rsidRDefault="00917A05" w:rsidP="0061050E">
      <w:pPr>
        <w:keepNext/>
      </w:pPr>
    </w:p>
    <w:p w:rsidR="00917A05" w:rsidRPr="00645FD3" w:rsidRDefault="00CD0F11" w:rsidP="00CD0F11">
      <w:pPr>
        <w:keepNext/>
        <w:tabs>
          <w:tab w:val="left" w:pos="1276"/>
        </w:tabs>
        <w:ind w:left="567" w:right="567"/>
        <w:rPr>
          <w:sz w:val="18"/>
        </w:rPr>
      </w:pPr>
      <w:r w:rsidRPr="00645FD3">
        <w:rPr>
          <w:sz w:val="18"/>
        </w:rPr>
        <w:t>8.1.7</w:t>
      </w:r>
      <w:r w:rsidRPr="00645FD3">
        <w:rPr>
          <w:sz w:val="18"/>
        </w:rPr>
        <w:tab/>
      </w:r>
      <w:r w:rsidR="00B4256D" w:rsidRPr="00B4256D">
        <w:rPr>
          <w:sz w:val="18"/>
        </w:rPr>
        <w:t>Méthode au-delà d’un essai unique (année)</w:t>
      </w:r>
    </w:p>
    <w:p w:rsidR="00917A05" w:rsidRPr="00645FD3" w:rsidRDefault="00917A05" w:rsidP="00CD0F11">
      <w:pPr>
        <w:keepNext/>
        <w:tabs>
          <w:tab w:val="left" w:pos="1276"/>
        </w:tabs>
        <w:ind w:left="567" w:right="567"/>
        <w:rPr>
          <w:sz w:val="18"/>
        </w:rPr>
      </w:pPr>
    </w:p>
    <w:p w:rsidR="00917A05" w:rsidRPr="00F504FA" w:rsidRDefault="00CD0F11" w:rsidP="00F504FA">
      <w:pPr>
        <w:keepNext/>
        <w:tabs>
          <w:tab w:val="left" w:pos="1276"/>
        </w:tabs>
        <w:ind w:left="567" w:right="567"/>
        <w:rPr>
          <w:sz w:val="18"/>
          <w:u w:val="single"/>
        </w:rPr>
      </w:pPr>
      <w:r w:rsidRPr="00B4256D">
        <w:rPr>
          <w:sz w:val="18"/>
          <w:highlight w:val="lightGray"/>
          <w:u w:val="single"/>
        </w:rPr>
        <w:t>8.1.7.1</w:t>
      </w:r>
      <w:r w:rsidRPr="00B4256D">
        <w:rPr>
          <w:sz w:val="18"/>
          <w:highlight w:val="lightGray"/>
          <w:u w:val="single"/>
        </w:rPr>
        <w:tab/>
      </w:r>
      <w:r w:rsidR="00B4256D" w:rsidRPr="00B4256D">
        <w:rPr>
          <w:sz w:val="18"/>
          <w:highlight w:val="lightGray"/>
          <w:u w:val="single"/>
        </w:rPr>
        <w:t>Des orientations sur l’évaluation de l’homogénéité d’après les plantes hors-type sur la base de plusieurs cycles de végétation ou sur la base de sous-échantillons dans le cadre d’un seul examen/essai figurent dans le document TGP/10 “Examen de l’homogénéité”.</w:t>
      </w:r>
    </w:p>
    <w:p w:rsidR="00917A05" w:rsidRPr="00645FD3" w:rsidRDefault="00917A05" w:rsidP="0061050E"/>
    <w:p w:rsidR="00917A05" w:rsidRPr="00645FD3" w:rsidRDefault="00917A05" w:rsidP="0061050E"/>
    <w:p w:rsidR="00917A05" w:rsidRPr="00645FD3" w:rsidRDefault="0061050E" w:rsidP="0061050E">
      <w:pPr>
        <w:jc w:val="right"/>
      </w:pPr>
      <w:r w:rsidRPr="00645FD3">
        <w:t>[</w:t>
      </w:r>
      <w:r w:rsidR="004876DF" w:rsidRPr="00645FD3">
        <w:t>L</w:t>
      </w:r>
      <w:r w:rsidR="009E1FB4" w:rsidRPr="00645FD3">
        <w:t>’annexe I</w:t>
      </w:r>
      <w:r w:rsidRPr="00645FD3">
        <w:t xml:space="preserve">II </w:t>
      </w:r>
      <w:r w:rsidR="004876DF" w:rsidRPr="00645FD3">
        <w:t>suit</w:t>
      </w:r>
      <w:r w:rsidRPr="00645FD3">
        <w:t>]</w:t>
      </w:r>
    </w:p>
    <w:p w:rsidR="00917A05" w:rsidRPr="00645FD3" w:rsidRDefault="00917A05" w:rsidP="0061050E"/>
    <w:p w:rsidR="0061050E" w:rsidRPr="00645FD3" w:rsidRDefault="0061050E" w:rsidP="0061050E">
      <w:pPr>
        <w:sectPr w:rsidR="0061050E" w:rsidRPr="00645FD3" w:rsidSect="00A20071">
          <w:headerReference w:type="first" r:id="rId28"/>
          <w:footnotePr>
            <w:numRestart w:val="eachSect"/>
          </w:footnotePr>
          <w:pgSz w:w="11907" w:h="16840" w:code="9"/>
          <w:pgMar w:top="510" w:right="1134" w:bottom="1134" w:left="1134" w:header="510" w:footer="680" w:gutter="0"/>
          <w:pgNumType w:start="1"/>
          <w:cols w:space="720"/>
          <w:titlePg/>
        </w:sectPr>
      </w:pPr>
    </w:p>
    <w:p w:rsidR="004876DF" w:rsidRPr="00645FD3" w:rsidRDefault="004876DF" w:rsidP="004876DF">
      <w:pPr>
        <w:jc w:val="center"/>
      </w:pPr>
      <w:r w:rsidRPr="00645FD3">
        <w:lastRenderedPageBreak/>
        <w:t>RÉVISIONS DU DOCUMENT TGP/10 “EXAMEN DE L</w:t>
      </w:r>
      <w:r w:rsidR="009E1FB4" w:rsidRPr="00645FD3">
        <w:t>’</w:t>
      </w:r>
      <w:r w:rsidRPr="00645FD3">
        <w:t>HOMOGÉNÉITÉ”</w:t>
      </w:r>
    </w:p>
    <w:p w:rsidR="00917A05" w:rsidRPr="00645FD3" w:rsidRDefault="004876DF" w:rsidP="004876DF">
      <w:pPr>
        <w:jc w:val="center"/>
      </w:pPr>
      <w:r w:rsidRPr="00645FD3">
        <w:t>APPROUVÉES PAR LE COMITÉ TECHNIQUE À SA CINQUANTE</w:t>
      </w:r>
      <w:r w:rsidR="009E1FB4" w:rsidRPr="00645FD3">
        <w:t>-</w:t>
      </w:r>
      <w:r w:rsidRPr="00645FD3">
        <w:t>QUATRIÈME SESSION</w:t>
      </w:r>
      <w:r w:rsidR="00A20071" w:rsidRPr="00645FD3">
        <w:rPr>
          <w:rStyle w:val="FootnoteReference"/>
        </w:rPr>
        <w:footnoteReference w:id="10"/>
      </w:r>
    </w:p>
    <w:p w:rsidR="00917A05" w:rsidRPr="00645FD3" w:rsidRDefault="00917A05" w:rsidP="0061050E">
      <w:pPr>
        <w:rPr>
          <w:sz w:val="18"/>
        </w:rPr>
      </w:pPr>
    </w:p>
    <w:p w:rsidR="00917A05" w:rsidRPr="00645FD3" w:rsidRDefault="00917A05" w:rsidP="0061050E">
      <w:pPr>
        <w:rPr>
          <w:sz w:val="18"/>
        </w:rPr>
      </w:pPr>
    </w:p>
    <w:p w:rsidR="00917A05" w:rsidRPr="00645FD3" w:rsidRDefault="00F82374" w:rsidP="00EF65E9">
      <w:pPr>
        <w:rPr>
          <w:u w:val="single"/>
        </w:rPr>
      </w:pPr>
      <w:r>
        <w:rPr>
          <w:rFonts w:eastAsia="MS Mincho"/>
          <w:u w:val="single"/>
        </w:rPr>
        <w:t>Nouvelle</w:t>
      </w:r>
      <w:r w:rsidR="0061050E" w:rsidRPr="00645FD3">
        <w:rPr>
          <w:rFonts w:eastAsia="MS Mincho"/>
          <w:u w:val="single"/>
        </w:rPr>
        <w:t xml:space="preserve"> </w:t>
      </w:r>
      <w:r w:rsidR="009E1FB4" w:rsidRPr="00645FD3">
        <w:rPr>
          <w:rFonts w:eastAsia="MS Mincho"/>
          <w:u w:val="single"/>
        </w:rPr>
        <w:t>Section 4</w:t>
      </w:r>
      <w:r w:rsidR="0061050E" w:rsidRPr="00645FD3">
        <w:rPr>
          <w:rFonts w:eastAsia="MS Mincho"/>
          <w:u w:val="single"/>
        </w:rPr>
        <w:t xml:space="preserve">.7: </w:t>
      </w:r>
      <w:r w:rsidRPr="00F82374">
        <w:rPr>
          <w:rFonts w:eastAsia="MS Mincho"/>
          <w:u w:val="single"/>
        </w:rPr>
        <w:t>Évaluation de l’homogénéité d’après les plantes hors-type sur la base de plusieurs cycles de végétation</w:t>
      </w:r>
    </w:p>
    <w:p w:rsidR="00917A05" w:rsidRPr="00645FD3" w:rsidRDefault="00917A05" w:rsidP="00EF65E9"/>
    <w:p w:rsidR="00F82374" w:rsidRPr="00BC0FED" w:rsidRDefault="00F82374" w:rsidP="00F82374">
      <w:pPr>
        <w:rPr>
          <w:szCs w:val="24"/>
        </w:rPr>
      </w:pPr>
      <w:r w:rsidRPr="00BC0FED">
        <w:t>Deux cycles de végétation indépendants pourraient avoir lieu en un seul endroit sur plusieurs années ou en différents endroits la même année, selon ce qui figure dans le document TGP/8, première partie, sections 1.2 et 1.3.</w:t>
      </w:r>
    </w:p>
    <w:p w:rsidR="00F82374" w:rsidRPr="00BC0FED" w:rsidRDefault="00F82374" w:rsidP="00F82374">
      <w:pPr>
        <w:rPr>
          <w:szCs w:val="24"/>
        </w:rPr>
      </w:pPr>
    </w:p>
    <w:p w:rsidR="00F82374" w:rsidRPr="00BC0FED" w:rsidRDefault="00F82374" w:rsidP="00F82374">
      <w:pPr>
        <w:rPr>
          <w:szCs w:val="24"/>
        </w:rPr>
      </w:pPr>
      <w:r w:rsidRPr="00BC0FED">
        <w:t>Les orientations ci-après ne sont pas destinées à être utilisées pour l’évaluation de l’homogénéité d’après les plantes hors-type sur les mêmes plantes pendant deux cycles de végétation.  Les résultats issus de cycles de végétation fondés sur des lots différents de matériel végétal ne devraient pas être combinés.</w:t>
      </w:r>
    </w:p>
    <w:p w:rsidR="00917A05" w:rsidRPr="00645FD3" w:rsidRDefault="00917A05" w:rsidP="00EF65E9">
      <w:pPr>
        <w:rPr>
          <w:sz w:val="22"/>
          <w:szCs w:val="24"/>
        </w:rPr>
      </w:pPr>
    </w:p>
    <w:p w:rsidR="009E1FB4" w:rsidRPr="00645FD3" w:rsidRDefault="00F82374" w:rsidP="00EF65E9">
      <w:pPr>
        <w:ind w:firstLine="567"/>
        <w:rPr>
          <w:i/>
          <w:szCs w:val="24"/>
        </w:rPr>
      </w:pPr>
      <w:r w:rsidRPr="00F82374">
        <w:rPr>
          <w:i/>
          <w:szCs w:val="24"/>
        </w:rPr>
        <w:t>Méthode 1 : Troisième cycle de végétation si les résultats sont incompatibles</w:t>
      </w:r>
    </w:p>
    <w:p w:rsidR="00917A05" w:rsidRPr="00645FD3" w:rsidRDefault="00917A05" w:rsidP="00EF65E9">
      <w:pPr>
        <w:jc w:val="center"/>
        <w:rPr>
          <w:b/>
          <w:szCs w:val="24"/>
        </w:rPr>
      </w:pPr>
    </w:p>
    <w:p w:rsidR="00F82374" w:rsidRPr="00F82374" w:rsidRDefault="00F82374" w:rsidP="00F82374">
      <w:pPr>
        <w:rPr>
          <w:rFonts w:eastAsia="SimSun"/>
        </w:rPr>
      </w:pPr>
      <w:r w:rsidRPr="00F82374">
        <w:rPr>
          <w:rFonts w:eastAsia="SimSun"/>
        </w:rPr>
        <w:t>Une variété est réputée homogène si elle se situe dans les limites de la norme d’homogénéité sur les deux cycles de végétation.</w:t>
      </w:r>
    </w:p>
    <w:p w:rsidR="00F82374" w:rsidRPr="00F82374" w:rsidRDefault="00F82374" w:rsidP="00F82374">
      <w:pPr>
        <w:rPr>
          <w:rFonts w:eastAsia="SimSun"/>
        </w:rPr>
      </w:pPr>
    </w:p>
    <w:p w:rsidR="00F82374" w:rsidRPr="00F82374" w:rsidRDefault="00F82374" w:rsidP="00F82374">
      <w:pPr>
        <w:rPr>
          <w:rFonts w:eastAsia="SimSun"/>
        </w:rPr>
      </w:pPr>
      <w:r w:rsidRPr="00F82374">
        <w:rPr>
          <w:rFonts w:eastAsia="SimSun"/>
        </w:rPr>
        <w:t>Une variété est réputée non homogène si elle ne se situe pas dans les limites de la norme d’homogénéité sur les deux cycles de végétation.</w:t>
      </w:r>
    </w:p>
    <w:p w:rsidR="00F82374" w:rsidRPr="00F82374" w:rsidRDefault="00F82374" w:rsidP="00F82374">
      <w:pPr>
        <w:rPr>
          <w:rFonts w:eastAsia="SimSun"/>
        </w:rPr>
      </w:pPr>
    </w:p>
    <w:p w:rsidR="00F82374" w:rsidRPr="00F82374" w:rsidRDefault="00F82374" w:rsidP="00F82374">
      <w:pPr>
        <w:rPr>
          <w:rFonts w:eastAsia="SimSun"/>
        </w:rPr>
      </w:pPr>
      <w:r w:rsidRPr="00F82374">
        <w:rPr>
          <w:rFonts w:eastAsia="SimSun"/>
        </w:rPr>
        <w:t>Si, à l’issue des deux cycles de végétation, la variété se situe dans les limites de la norme d’homogénéité pour un cycle et pas l’autre, l’homogénéité peut être évaluée sur un troisième cycle de végétation.  Si, pour ce troisième cycle, elle se situe dans les limites de la norme d’homogénéité, elle est réputée homogène.  Si, à la fin du troisième cycle de végétation, la variété ne se situe pas dans la norme d’homogénéité, elle est réputée non homogène.</w:t>
      </w:r>
    </w:p>
    <w:p w:rsidR="00F82374" w:rsidRPr="00F82374" w:rsidRDefault="00F82374" w:rsidP="00F82374"/>
    <w:p w:rsidR="00F82374" w:rsidRPr="00F82374" w:rsidRDefault="00F82374" w:rsidP="00F82374">
      <w:r w:rsidRPr="00F82374">
        <w:t>Il faut faire preuve de prudence lorsqu’on examine des résultats très différents dans chacun des cycles de végétation, notamment lorsqu’un type de plante hors-type a été observé à un niveau élevé dans un cycle de végétation tout en étant absent dans un autre.  Il est important d’identifier si la variation du nombre de plantes hors-type entre les cycles s’explique par des conditions environnementales ou des fluctuations d’échantillonnage.</w:t>
      </w:r>
    </w:p>
    <w:p w:rsidR="00F82374" w:rsidRPr="00F82374" w:rsidRDefault="00F82374" w:rsidP="00F82374"/>
    <w:p w:rsidR="00F82374" w:rsidRPr="00F82374" w:rsidRDefault="00F82374" w:rsidP="00F82374">
      <w:pPr>
        <w:rPr>
          <w:rFonts w:eastAsia="SimSun"/>
        </w:rPr>
      </w:pPr>
      <w:r w:rsidRPr="00F82374">
        <w:rPr>
          <w:rFonts w:eastAsia="SimSun"/>
        </w:rPr>
        <w:t>En outre, si au cours du premier cycle de végétation, le nombre de plantes hors-type dépasse une limite supérieure prédéfinie, la variété peut être rejetée après un seul cycle de végétation.</w:t>
      </w:r>
    </w:p>
    <w:p w:rsidR="00917A05" w:rsidRPr="00F82374" w:rsidRDefault="00917A05" w:rsidP="00F82374">
      <w:pPr>
        <w:rPr>
          <w:rFonts w:eastAsia="SimSun"/>
        </w:rPr>
      </w:pPr>
    </w:p>
    <w:p w:rsidR="00917A05" w:rsidRPr="00645FD3" w:rsidRDefault="00F82374" w:rsidP="00EF65E9">
      <w:pPr>
        <w:ind w:firstLine="567"/>
        <w:rPr>
          <w:i/>
          <w:szCs w:val="24"/>
        </w:rPr>
      </w:pPr>
      <w:r w:rsidRPr="00F82374">
        <w:rPr>
          <w:i/>
          <w:szCs w:val="24"/>
        </w:rPr>
        <w:t>Méthode 2 : Combiner les résultats de deux cycles de végétation si les résultats sont incompatibles</w:t>
      </w:r>
    </w:p>
    <w:p w:rsidR="00917A05" w:rsidRPr="00F82374" w:rsidRDefault="00917A05" w:rsidP="00F82374">
      <w:pPr>
        <w:rPr>
          <w:rFonts w:eastAsia="MS Mincho"/>
        </w:rPr>
      </w:pPr>
    </w:p>
    <w:p w:rsidR="00F82374" w:rsidRPr="00F82374" w:rsidRDefault="00F82374" w:rsidP="00F82374">
      <w:pPr>
        <w:rPr>
          <w:rFonts w:eastAsia="SimSun"/>
        </w:rPr>
      </w:pPr>
      <w:r w:rsidRPr="00F82374">
        <w:rPr>
          <w:rFonts w:eastAsia="SimSun"/>
        </w:rPr>
        <w:t>Une variété est réputée homogène si elle se situe dans les limites de la norme d’homogénéité sur les deux cycles de végétation.</w:t>
      </w:r>
    </w:p>
    <w:p w:rsidR="00F82374" w:rsidRPr="00F82374" w:rsidRDefault="00F82374" w:rsidP="00F82374">
      <w:pPr>
        <w:rPr>
          <w:rFonts w:eastAsia="SimSun"/>
        </w:rPr>
      </w:pPr>
    </w:p>
    <w:p w:rsidR="00F82374" w:rsidRPr="00F82374" w:rsidRDefault="00F82374" w:rsidP="00F82374">
      <w:pPr>
        <w:rPr>
          <w:rFonts w:eastAsia="SimSun"/>
        </w:rPr>
      </w:pPr>
      <w:r w:rsidRPr="00F82374">
        <w:rPr>
          <w:rFonts w:eastAsia="SimSun"/>
        </w:rPr>
        <w:t>Une variété est réputée non homogène si elle ne se situe pas dans les limites de la norme d’homogénéité sur les deux cycles de végétation.</w:t>
      </w:r>
    </w:p>
    <w:p w:rsidR="00F82374" w:rsidRPr="00F82374" w:rsidRDefault="00F82374" w:rsidP="00F82374">
      <w:pPr>
        <w:rPr>
          <w:rFonts w:eastAsia="SimSun"/>
        </w:rPr>
      </w:pPr>
    </w:p>
    <w:p w:rsidR="00F82374" w:rsidRPr="00F82374" w:rsidRDefault="00F82374" w:rsidP="00F82374">
      <w:pPr>
        <w:rPr>
          <w:rFonts w:eastAsia="SimSun"/>
        </w:rPr>
      </w:pPr>
      <w:r w:rsidRPr="00F82374">
        <w:rPr>
          <w:rFonts w:eastAsia="SimSun"/>
        </w:rPr>
        <w:t>Si, à l’issue des deux cycles de végétation, la variété se situe dans les limites de la norme d’homogénéité pour un cycle et pas l’autre, une variété est réputée homogène si le nombre total de plantes hors-type à l’issue des deux cycles de végétation ne dépasse pas le nombre de plantes hors-type autorisé pour la taille de l’échantillon des cycles de végétation 1 et 2 combinés.</w:t>
      </w:r>
    </w:p>
    <w:p w:rsidR="00F82374" w:rsidRPr="00F82374" w:rsidRDefault="00F82374" w:rsidP="00F82374">
      <w:pPr>
        <w:rPr>
          <w:rFonts w:eastAsia="SimSun"/>
        </w:rPr>
      </w:pPr>
    </w:p>
    <w:p w:rsidR="00F82374" w:rsidRPr="00F82374" w:rsidRDefault="00F82374" w:rsidP="00F82374">
      <w:pPr>
        <w:rPr>
          <w:rFonts w:eastAsia="SimSun"/>
        </w:rPr>
      </w:pPr>
      <w:r w:rsidRPr="00F82374">
        <w:rPr>
          <w:rFonts w:eastAsia="SimSun"/>
        </w:rPr>
        <w:t xml:space="preserve">Il faut faire preuve de prudence lorsqu’on examine des résultats très différents dans chacun des cycles de végétation, notamment lorsqu’un type de plante hors-type a été observé à un niveau élevé dans un cycle de végétation tout en étant absent dans un autre.  </w:t>
      </w:r>
      <w:r w:rsidRPr="00F82374">
        <w:t>Un test statistique d’homogénéité devrait être pratiqué, le cas échéant.  Il est important d’identifier si la variation du nombre de plantes hors-type entre les cycles s’explique par des conditions environnementales ou des fluctuations d’échantillonnage.</w:t>
      </w:r>
    </w:p>
    <w:p w:rsidR="00F82374" w:rsidRPr="00F82374" w:rsidRDefault="00F82374" w:rsidP="00F82374"/>
    <w:p w:rsidR="00F82374" w:rsidRPr="00F82374" w:rsidRDefault="00F82374" w:rsidP="00F82374">
      <w:pPr>
        <w:rPr>
          <w:rFonts w:eastAsia="SimSun"/>
        </w:rPr>
      </w:pPr>
      <w:r w:rsidRPr="00F82374">
        <w:rPr>
          <w:rFonts w:eastAsia="SimSun"/>
        </w:rPr>
        <w:t>En outre, si au cours du premier cycle de végétation, le nombre de plantes hors-type dépasse une limite supérieure prédéfinie, la variété peut être rejetée après un seul cycle de végétation.</w:t>
      </w:r>
    </w:p>
    <w:p w:rsidR="00917A05" w:rsidRPr="00645FD3" w:rsidRDefault="00917A05" w:rsidP="00EF65E9">
      <w:pPr>
        <w:rPr>
          <w:rFonts w:eastAsia="SimSun"/>
          <w:szCs w:val="24"/>
          <w:lang w:eastAsia="zh-CN"/>
        </w:rPr>
      </w:pPr>
    </w:p>
    <w:p w:rsidR="00917A05" w:rsidRPr="00645FD3" w:rsidRDefault="00F82374" w:rsidP="00EF65E9">
      <w:pPr>
        <w:keepNext/>
        <w:ind w:firstLine="567"/>
        <w:rPr>
          <w:bCs/>
          <w:i/>
        </w:rPr>
      </w:pPr>
      <w:r w:rsidRPr="00F82374">
        <w:rPr>
          <w:bCs/>
          <w:i/>
        </w:rPr>
        <w:lastRenderedPageBreak/>
        <w:t>Méthode 3 : Combiner les résultats de deux cycles de végétation</w:t>
      </w:r>
    </w:p>
    <w:p w:rsidR="00917A05" w:rsidRPr="00F82374" w:rsidRDefault="00917A05" w:rsidP="00F82374"/>
    <w:p w:rsidR="00F82374" w:rsidRPr="00F82374" w:rsidRDefault="00F82374" w:rsidP="00F82374">
      <w:r w:rsidRPr="00F82374">
        <w:t>Une variété est réputée homogène si le nombre total de plantes hors-type à l’issue des deux cycles de végétation ne dépasse pas le nombre de plantes hors-type autorisé pour l’échantillon combiné.</w:t>
      </w:r>
    </w:p>
    <w:p w:rsidR="00F82374" w:rsidRPr="00F82374" w:rsidRDefault="00F82374" w:rsidP="00F82374"/>
    <w:p w:rsidR="00F82374" w:rsidRPr="00F82374" w:rsidRDefault="00F82374" w:rsidP="00F82374">
      <w:r w:rsidRPr="00F82374">
        <w:t>Une variété est réputée non homogène si le nombre total de plantes hors-type à la fin des deux cycles de végétation dépasse le nombre de plantes hors-type autorisé pour l’échantillon combiné.</w:t>
      </w:r>
    </w:p>
    <w:p w:rsidR="00F82374" w:rsidRPr="00F82374" w:rsidRDefault="00F82374" w:rsidP="00F82374"/>
    <w:p w:rsidR="00F82374" w:rsidRPr="00F82374" w:rsidRDefault="00F82374" w:rsidP="00F82374">
      <w:r w:rsidRPr="00F82374">
        <w:t>Une variété peut être rejetée après un seul cycle de végétation si le nombre de plantes hors-type dépasse le nombre de plantes hors-type autorisé pour l’échantillon combiné (sur deux cycles).</w:t>
      </w:r>
    </w:p>
    <w:p w:rsidR="00F82374" w:rsidRPr="00F82374" w:rsidRDefault="00F82374" w:rsidP="00F82374"/>
    <w:p w:rsidR="00F82374" w:rsidRPr="00F82374" w:rsidRDefault="00F82374" w:rsidP="00F82374">
      <w:pPr>
        <w:rPr>
          <w:rFonts w:eastAsia="SimSun"/>
        </w:rPr>
      </w:pPr>
      <w:r w:rsidRPr="00F82374">
        <w:t xml:space="preserve">Il faut faire preuve de prudence lorsqu’on examine des résultats très différents dans chacun des cycles de végétation, notamment lorsqu’un type de plante hors-type est observé à un niveau élevé dans un cycle de végétation tout en étant absent dans un autre.  </w:t>
      </w:r>
      <w:r w:rsidRPr="00F82374">
        <w:rPr>
          <w:rFonts w:eastAsia="SimSun"/>
        </w:rPr>
        <w:t xml:space="preserve">Un test statistique d’homogénéité devrait être pratiqué, le cas échéant.  </w:t>
      </w:r>
      <w:r w:rsidRPr="00F82374">
        <w:t>Il est important d’identifier si la variation du nombre de plantes hors-type entre les cycles s’explique par des conditions environnementales ou des fluctuations d’échantillonnage.</w:t>
      </w:r>
    </w:p>
    <w:p w:rsidR="00917A05" w:rsidRPr="00645FD3" w:rsidRDefault="00917A05" w:rsidP="00EF65E9">
      <w:pPr>
        <w:keepNext/>
        <w:keepLines/>
        <w:jc w:val="left"/>
        <w:rPr>
          <w:sz w:val="22"/>
          <w:szCs w:val="24"/>
        </w:rPr>
      </w:pPr>
    </w:p>
    <w:p w:rsidR="00917A05" w:rsidRPr="00645FD3" w:rsidRDefault="0061050E" w:rsidP="00EF65E9">
      <w:pPr>
        <w:keepNext/>
        <w:keepLines/>
        <w:ind w:firstLine="567"/>
        <w:jc w:val="left"/>
        <w:rPr>
          <w:i/>
          <w:szCs w:val="24"/>
        </w:rPr>
      </w:pPr>
      <w:r w:rsidRPr="00645FD3">
        <w:rPr>
          <w:i/>
          <w:szCs w:val="24"/>
        </w:rPr>
        <w:t>Ex</w:t>
      </w:r>
      <w:r w:rsidR="00F82374">
        <w:rPr>
          <w:i/>
          <w:szCs w:val="24"/>
        </w:rPr>
        <w:t>e</w:t>
      </w:r>
      <w:r w:rsidRPr="00645FD3">
        <w:rPr>
          <w:i/>
          <w:szCs w:val="24"/>
        </w:rPr>
        <w:t>mple:</w:t>
      </w:r>
    </w:p>
    <w:p w:rsidR="00F82374" w:rsidRPr="00BC0FED" w:rsidRDefault="00F82374" w:rsidP="00F82374">
      <w:pPr>
        <w:keepNext/>
        <w:keepLines/>
        <w:jc w:val="left"/>
        <w:rPr>
          <w:szCs w:val="24"/>
        </w:rPr>
      </w:pPr>
    </w:p>
    <w:tbl>
      <w:tblPr>
        <w:tblW w:w="9148" w:type="dxa"/>
        <w:tblInd w:w="600" w:type="dxa"/>
        <w:tblLayout w:type="fixed"/>
        <w:tblLook w:val="04A0" w:firstRow="1" w:lastRow="0" w:firstColumn="1" w:lastColumn="0" w:noHBand="0" w:noVBand="1"/>
      </w:tblPr>
      <w:tblGrid>
        <w:gridCol w:w="697"/>
        <w:gridCol w:w="1134"/>
        <w:gridCol w:w="180"/>
        <w:gridCol w:w="954"/>
        <w:gridCol w:w="1807"/>
        <w:gridCol w:w="320"/>
        <w:gridCol w:w="2431"/>
        <w:gridCol w:w="1625"/>
      </w:tblGrid>
      <w:tr w:rsidR="00F82374" w:rsidRPr="00BC0FED" w:rsidTr="00F82374">
        <w:trPr>
          <w:gridAfter w:val="1"/>
          <w:wAfter w:w="1625" w:type="dxa"/>
          <w:trHeight w:val="255"/>
        </w:trPr>
        <w:tc>
          <w:tcPr>
            <w:tcW w:w="697" w:type="dxa"/>
            <w:tcBorders>
              <w:top w:val="nil"/>
              <w:left w:val="nil"/>
              <w:bottom w:val="nil"/>
            </w:tcBorders>
            <w:shd w:val="clear" w:color="auto" w:fill="auto"/>
            <w:noWrap/>
            <w:vAlign w:val="bottom"/>
          </w:tcPr>
          <w:p w:rsidR="00F82374" w:rsidRPr="00BC0FED" w:rsidRDefault="00F82374" w:rsidP="00D1000C">
            <w:pPr>
              <w:jc w:val="left"/>
              <w:rPr>
                <w:rFonts w:cs="Arial"/>
                <w:color w:val="000000"/>
              </w:rPr>
            </w:pPr>
          </w:p>
        </w:tc>
        <w:tc>
          <w:tcPr>
            <w:tcW w:w="6826" w:type="dxa"/>
            <w:gridSpan w:val="6"/>
            <w:tcBorders>
              <w:top w:val="nil"/>
            </w:tcBorders>
            <w:shd w:val="clear" w:color="auto" w:fill="auto"/>
            <w:vAlign w:val="bottom"/>
          </w:tcPr>
          <w:p w:rsidR="00F82374" w:rsidRPr="00BC0FED" w:rsidRDefault="00F82374" w:rsidP="00D1000C">
            <w:pPr>
              <w:jc w:val="left"/>
              <w:rPr>
                <w:rFonts w:cs="Arial"/>
                <w:color w:val="000000"/>
              </w:rPr>
            </w:pPr>
            <w:r w:rsidRPr="00BC0FED">
              <w:rPr>
                <w:rFonts w:cs="Arial"/>
                <w:color w:val="000000"/>
              </w:rPr>
              <w:t xml:space="preserve">Norme de population = 1% </w:t>
            </w:r>
          </w:p>
        </w:tc>
      </w:tr>
      <w:tr w:rsidR="00F82374" w:rsidRPr="00BC0FED" w:rsidTr="00F82374">
        <w:trPr>
          <w:gridAfter w:val="1"/>
          <w:wAfter w:w="1625" w:type="dxa"/>
          <w:trHeight w:val="270"/>
        </w:trPr>
        <w:tc>
          <w:tcPr>
            <w:tcW w:w="697" w:type="dxa"/>
            <w:tcBorders>
              <w:top w:val="nil"/>
              <w:left w:val="nil"/>
              <w:bottom w:val="nil"/>
            </w:tcBorders>
            <w:shd w:val="clear" w:color="auto" w:fill="auto"/>
            <w:noWrap/>
            <w:vAlign w:val="bottom"/>
            <w:hideMark/>
          </w:tcPr>
          <w:p w:rsidR="00F82374" w:rsidRPr="00BC0FED" w:rsidRDefault="00F82374" w:rsidP="00D1000C">
            <w:pPr>
              <w:jc w:val="left"/>
              <w:rPr>
                <w:rFonts w:cs="Arial"/>
                <w:color w:val="000000"/>
              </w:rPr>
            </w:pPr>
          </w:p>
        </w:tc>
        <w:tc>
          <w:tcPr>
            <w:tcW w:w="6826" w:type="dxa"/>
            <w:gridSpan w:val="6"/>
            <w:tcBorders>
              <w:top w:val="nil"/>
              <w:bottom w:val="single" w:sz="4" w:space="0" w:color="auto"/>
            </w:tcBorders>
            <w:shd w:val="clear" w:color="auto" w:fill="auto"/>
            <w:vAlign w:val="bottom"/>
          </w:tcPr>
          <w:p w:rsidR="00F82374" w:rsidRPr="00BC0FED" w:rsidRDefault="00F82374" w:rsidP="00D1000C">
            <w:pPr>
              <w:jc w:val="left"/>
              <w:rPr>
                <w:rFonts w:cs="Arial"/>
                <w:color w:val="000000"/>
              </w:rPr>
            </w:pPr>
            <w:r w:rsidRPr="00BC0FED">
              <w:rPr>
                <w:rFonts w:cs="Arial"/>
                <w:color w:val="000000"/>
              </w:rPr>
              <w:t>Probabilité d’acceptation ≥ 95%</w:t>
            </w:r>
          </w:p>
        </w:tc>
      </w:tr>
      <w:tr w:rsidR="00F82374" w:rsidRPr="0028220E" w:rsidTr="00F82374">
        <w:trPr>
          <w:gridBefore w:val="1"/>
          <w:gridAfter w:val="1"/>
          <w:wBefore w:w="697" w:type="dxa"/>
          <w:wAfter w:w="1625" w:type="dxa"/>
          <w:trHeight w:val="255"/>
        </w:trPr>
        <w:tc>
          <w:tcPr>
            <w:tcW w:w="6826"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F82374" w:rsidRPr="00BC0FED" w:rsidRDefault="00F82374" w:rsidP="00D1000C">
            <w:pPr>
              <w:jc w:val="left"/>
              <w:rPr>
                <w:rFonts w:cs="Arial"/>
                <w:color w:val="000000"/>
              </w:rPr>
            </w:pPr>
            <w:r w:rsidRPr="00BC0FED">
              <w:rPr>
                <w:rFonts w:cs="Arial"/>
                <w:color w:val="000000"/>
              </w:rPr>
              <w:t>Taille de l’échantillon dans chacun des cycles de végétation 1 et 2 = 50</w:t>
            </w:r>
          </w:p>
        </w:tc>
      </w:tr>
      <w:tr w:rsidR="00F82374" w:rsidRPr="0028220E" w:rsidTr="00F82374">
        <w:trPr>
          <w:gridBefore w:val="1"/>
          <w:gridAfter w:val="1"/>
          <w:wBefore w:w="697" w:type="dxa"/>
          <w:wAfter w:w="1625" w:type="dxa"/>
          <w:trHeight w:val="270"/>
        </w:trPr>
        <w:tc>
          <w:tcPr>
            <w:tcW w:w="6826"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F82374" w:rsidRPr="00BC0FED" w:rsidRDefault="00F82374" w:rsidP="00D1000C">
            <w:pPr>
              <w:jc w:val="left"/>
              <w:rPr>
                <w:rFonts w:cs="Arial"/>
                <w:color w:val="000000"/>
              </w:rPr>
            </w:pPr>
            <w:r w:rsidRPr="00BC0FED">
              <w:rPr>
                <w:rFonts w:cs="Arial"/>
                <w:color w:val="000000"/>
              </w:rPr>
              <w:t>Nombre maximum de plantes hors-type = 2</w:t>
            </w:r>
          </w:p>
        </w:tc>
      </w:tr>
      <w:tr w:rsidR="00F82374" w:rsidRPr="0028220E" w:rsidTr="00F82374">
        <w:trPr>
          <w:gridBefore w:val="1"/>
          <w:gridAfter w:val="1"/>
          <w:wBefore w:w="697" w:type="dxa"/>
          <w:wAfter w:w="1625" w:type="dxa"/>
          <w:trHeight w:val="270"/>
        </w:trPr>
        <w:tc>
          <w:tcPr>
            <w:tcW w:w="6826" w:type="dxa"/>
            <w:gridSpan w:val="6"/>
            <w:tcBorders>
              <w:top w:val="single" w:sz="4" w:space="0" w:color="auto"/>
              <w:left w:val="single" w:sz="4" w:space="0" w:color="auto"/>
              <w:bottom w:val="nil"/>
              <w:right w:val="single" w:sz="4" w:space="0" w:color="auto"/>
            </w:tcBorders>
            <w:shd w:val="clear" w:color="auto" w:fill="auto"/>
            <w:vAlign w:val="bottom"/>
          </w:tcPr>
          <w:p w:rsidR="00F82374" w:rsidRPr="00BC0FED" w:rsidRDefault="00F82374" w:rsidP="00D1000C">
            <w:pPr>
              <w:jc w:val="left"/>
              <w:rPr>
                <w:rFonts w:cs="Arial"/>
                <w:color w:val="000000"/>
              </w:rPr>
            </w:pPr>
            <w:r w:rsidRPr="00BC0FED">
              <w:rPr>
                <w:rFonts w:cs="Arial"/>
                <w:color w:val="000000"/>
              </w:rPr>
              <w:t>Taille de l’échantillon dans les cycles de végétation 1 et 2 combinés = 100</w:t>
            </w:r>
          </w:p>
        </w:tc>
      </w:tr>
      <w:tr w:rsidR="00F82374" w:rsidRPr="0028220E" w:rsidTr="00F82374">
        <w:trPr>
          <w:gridBefore w:val="1"/>
          <w:gridAfter w:val="1"/>
          <w:wBefore w:w="697" w:type="dxa"/>
          <w:wAfter w:w="1625" w:type="dxa"/>
          <w:trHeight w:val="270"/>
        </w:trPr>
        <w:tc>
          <w:tcPr>
            <w:tcW w:w="6826" w:type="dxa"/>
            <w:gridSpan w:val="6"/>
            <w:tcBorders>
              <w:top w:val="nil"/>
              <w:left w:val="single" w:sz="4" w:space="0" w:color="auto"/>
              <w:bottom w:val="single" w:sz="4" w:space="0" w:color="auto"/>
              <w:right w:val="single" w:sz="4" w:space="0" w:color="auto"/>
            </w:tcBorders>
            <w:shd w:val="clear" w:color="auto" w:fill="auto"/>
            <w:vAlign w:val="bottom"/>
          </w:tcPr>
          <w:p w:rsidR="00F82374" w:rsidRPr="00BC0FED" w:rsidRDefault="00F82374" w:rsidP="00D1000C">
            <w:pPr>
              <w:jc w:val="left"/>
              <w:rPr>
                <w:rFonts w:cs="Arial"/>
                <w:color w:val="000000"/>
              </w:rPr>
            </w:pPr>
            <w:r w:rsidRPr="00BC0FED">
              <w:rPr>
                <w:rFonts w:cs="Arial"/>
                <w:color w:val="000000"/>
              </w:rPr>
              <w:t>Nombre maximum de plantes hors-type = 3</w:t>
            </w:r>
          </w:p>
        </w:tc>
      </w:tr>
      <w:tr w:rsidR="00F82374" w:rsidRPr="0028220E" w:rsidTr="00F82374">
        <w:trPr>
          <w:gridBefore w:val="1"/>
          <w:gridAfter w:val="1"/>
          <w:wBefore w:w="697" w:type="dxa"/>
          <w:wAfter w:w="1625" w:type="dxa"/>
          <w:trHeight w:val="239"/>
        </w:trPr>
        <w:tc>
          <w:tcPr>
            <w:tcW w:w="1314" w:type="dxa"/>
            <w:gridSpan w:val="2"/>
            <w:tcBorders>
              <w:top w:val="nil"/>
              <w:left w:val="nil"/>
              <w:bottom w:val="single" w:sz="4" w:space="0" w:color="auto"/>
              <w:right w:val="nil"/>
            </w:tcBorders>
            <w:shd w:val="clear" w:color="auto" w:fill="auto"/>
            <w:noWrap/>
            <w:vAlign w:val="bottom"/>
            <w:hideMark/>
          </w:tcPr>
          <w:p w:rsidR="00F82374" w:rsidRPr="00BC0FED" w:rsidRDefault="00F82374" w:rsidP="00D1000C">
            <w:pPr>
              <w:jc w:val="left"/>
              <w:rPr>
                <w:rFonts w:cs="Arial"/>
                <w:color w:val="000000"/>
              </w:rPr>
            </w:pPr>
            <w:r w:rsidRPr="00BC0FED">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F82374" w:rsidRPr="00BC0FED" w:rsidRDefault="00F82374" w:rsidP="00D1000C">
            <w:pPr>
              <w:jc w:val="left"/>
              <w:rPr>
                <w:rFonts w:cs="Arial"/>
                <w:color w:val="000000"/>
              </w:rPr>
            </w:pPr>
            <w:r w:rsidRPr="00BC0FED">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F82374" w:rsidRPr="00BC0FED" w:rsidRDefault="00F82374" w:rsidP="00D1000C">
            <w:pPr>
              <w:jc w:val="left"/>
              <w:rPr>
                <w:rFonts w:cs="Arial"/>
                <w:color w:val="000000"/>
              </w:rPr>
            </w:pPr>
            <w:r w:rsidRPr="00BC0FED">
              <w:rPr>
                <w:rFonts w:cs="Arial"/>
                <w:color w:val="000000"/>
              </w:rPr>
              <w:t> </w:t>
            </w:r>
          </w:p>
        </w:tc>
        <w:tc>
          <w:tcPr>
            <w:tcW w:w="2751" w:type="dxa"/>
            <w:gridSpan w:val="2"/>
            <w:tcBorders>
              <w:top w:val="nil"/>
              <w:left w:val="nil"/>
              <w:bottom w:val="single" w:sz="4" w:space="0" w:color="auto"/>
            </w:tcBorders>
            <w:shd w:val="clear" w:color="auto" w:fill="auto"/>
            <w:noWrap/>
            <w:vAlign w:val="bottom"/>
            <w:hideMark/>
          </w:tcPr>
          <w:p w:rsidR="00F82374" w:rsidRPr="00BC0FED" w:rsidRDefault="00F82374" w:rsidP="00D1000C">
            <w:pPr>
              <w:jc w:val="left"/>
              <w:rPr>
                <w:rFonts w:cs="Arial"/>
                <w:color w:val="000000"/>
              </w:rPr>
            </w:pPr>
            <w:r w:rsidRPr="00BC0FED">
              <w:rPr>
                <w:rFonts w:cs="Arial"/>
                <w:color w:val="000000"/>
              </w:rPr>
              <w:t> </w:t>
            </w:r>
          </w:p>
        </w:tc>
      </w:tr>
      <w:tr w:rsidR="00F82374" w:rsidRPr="00BC0FED" w:rsidTr="00F82374">
        <w:trPr>
          <w:trHeight w:val="380"/>
        </w:trPr>
        <w:tc>
          <w:tcPr>
            <w:tcW w:w="697" w:type="dxa"/>
            <w:tcBorders>
              <w:top w:val="nil"/>
              <w:left w:val="nil"/>
              <w:bottom w:val="nil"/>
              <w:right w:val="single" w:sz="4" w:space="0" w:color="auto"/>
            </w:tcBorders>
            <w:shd w:val="clear" w:color="auto" w:fill="auto"/>
            <w:noWrap/>
            <w:vAlign w:val="bottom"/>
            <w:hideMark/>
          </w:tcPr>
          <w:p w:rsidR="00F82374" w:rsidRPr="00BC0FED" w:rsidRDefault="00F82374" w:rsidP="00D1000C">
            <w:pPr>
              <w:jc w:val="left"/>
              <w:rPr>
                <w:rFonts w:cs="Arial"/>
                <w:color w:val="000000"/>
              </w:rPr>
            </w:pPr>
            <w:r w:rsidRPr="00BC0FED">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Cycle de végétation</w:t>
            </w:r>
          </w:p>
        </w:tc>
        <w:tc>
          <w:tcPr>
            <w:tcW w:w="6183" w:type="dxa"/>
            <w:gridSpan w:val="4"/>
            <w:tcBorders>
              <w:top w:val="single" w:sz="4" w:space="0" w:color="auto"/>
              <w:left w:val="nil"/>
              <w:bottom w:val="single" w:sz="4" w:space="0" w:color="auto"/>
              <w:right w:val="single" w:sz="4" w:space="0" w:color="auto"/>
            </w:tcBorders>
            <w:shd w:val="clear" w:color="auto" w:fill="auto"/>
            <w:noWrap/>
            <w:vAlign w:val="center"/>
            <w:hideMark/>
          </w:tcPr>
          <w:p w:rsidR="00F82374" w:rsidRPr="00BC0FED" w:rsidRDefault="00F82374" w:rsidP="00F82374">
            <w:pPr>
              <w:jc w:val="center"/>
            </w:pPr>
            <w:r w:rsidRPr="00BC0FED">
              <w:rPr>
                <w:rFonts w:cs="Arial"/>
                <w:color w:val="000000"/>
              </w:rPr>
              <w:t>Décision</w:t>
            </w:r>
          </w:p>
        </w:tc>
      </w:tr>
      <w:tr w:rsidR="00F82374" w:rsidRPr="00BC0FED" w:rsidTr="00F82374">
        <w:trPr>
          <w:trHeight w:val="236"/>
        </w:trPr>
        <w:tc>
          <w:tcPr>
            <w:tcW w:w="697" w:type="dxa"/>
            <w:tcBorders>
              <w:top w:val="nil"/>
              <w:left w:val="nil"/>
              <w:bottom w:val="single" w:sz="4" w:space="0" w:color="auto"/>
              <w:right w:val="single" w:sz="4" w:space="0" w:color="auto"/>
            </w:tcBorders>
            <w:shd w:val="clear" w:color="auto" w:fill="auto"/>
            <w:noWrap/>
            <w:vAlign w:val="bottom"/>
            <w:hideMark/>
          </w:tcPr>
          <w:p w:rsidR="00F82374" w:rsidRPr="00BC0FED" w:rsidRDefault="00F82374" w:rsidP="00D1000C">
            <w:pPr>
              <w:jc w:val="left"/>
              <w:rPr>
                <w:rFonts w:cs="Arial"/>
                <w:color w:val="000000"/>
              </w:rPr>
            </w:pPr>
            <w:r w:rsidRPr="00BC0FED">
              <w:rPr>
                <w:rFonts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82374" w:rsidRPr="00BC0FED" w:rsidRDefault="00F82374" w:rsidP="00F82374">
            <w:pPr>
              <w:spacing w:after="100" w:afterAutospacing="1"/>
              <w:jc w:val="center"/>
              <w:rPr>
                <w:rFonts w:cs="Arial"/>
                <w:color w:val="000000"/>
              </w:rPr>
            </w:pPr>
            <w:r w:rsidRPr="00BC0FED">
              <w:rPr>
                <w:rFonts w:cs="Arial"/>
                <w:color w:val="000000"/>
              </w:rPr>
              <w:t>Premier</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Deuxième</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Méthode 1</w:t>
            </w:r>
          </w:p>
        </w:tc>
        <w:tc>
          <w:tcPr>
            <w:tcW w:w="2431" w:type="dxa"/>
            <w:tcBorders>
              <w:top w:val="nil"/>
              <w:left w:val="nil"/>
              <w:bottom w:val="single" w:sz="4" w:space="0" w:color="auto"/>
              <w:right w:val="single" w:sz="4" w:space="0" w:color="auto"/>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Méthode 2</w:t>
            </w:r>
          </w:p>
        </w:tc>
        <w:tc>
          <w:tcPr>
            <w:tcW w:w="1624" w:type="dxa"/>
            <w:tcBorders>
              <w:top w:val="single" w:sz="4" w:space="0" w:color="auto"/>
              <w:bottom w:val="single" w:sz="4" w:space="0" w:color="auto"/>
              <w:right w:val="single" w:sz="4" w:space="0" w:color="auto"/>
            </w:tcBorders>
            <w:shd w:val="clear" w:color="auto" w:fill="auto"/>
            <w:vAlign w:val="center"/>
          </w:tcPr>
          <w:p w:rsidR="00F82374" w:rsidRPr="00BC0FED" w:rsidRDefault="00F82374" w:rsidP="00F82374">
            <w:pPr>
              <w:jc w:val="center"/>
            </w:pPr>
            <w:r w:rsidRPr="00BC0FED">
              <w:t>Méthode 3</w:t>
            </w:r>
          </w:p>
        </w:tc>
      </w:tr>
      <w:tr w:rsidR="00F82374" w:rsidRPr="0028220E" w:rsidTr="00F82374">
        <w:trPr>
          <w:trHeight w:val="240"/>
        </w:trPr>
        <w:tc>
          <w:tcPr>
            <w:tcW w:w="697" w:type="dxa"/>
            <w:vMerge w:val="restart"/>
            <w:tcBorders>
              <w:top w:val="nil"/>
              <w:left w:val="single" w:sz="4" w:space="0" w:color="auto"/>
              <w:right w:val="single" w:sz="4" w:space="0" w:color="auto"/>
            </w:tcBorders>
            <w:shd w:val="clear" w:color="auto" w:fill="auto"/>
            <w:textDirection w:val="btLr"/>
            <w:vAlign w:val="center"/>
          </w:tcPr>
          <w:p w:rsidR="00F82374" w:rsidRPr="00BC0FED" w:rsidRDefault="00F82374" w:rsidP="00D1000C">
            <w:pPr>
              <w:jc w:val="center"/>
              <w:rPr>
                <w:rFonts w:cs="Arial"/>
                <w:color w:val="000000"/>
              </w:rPr>
            </w:pPr>
            <w:r w:rsidRPr="00BC0FED">
              <w:rPr>
                <w:rFonts w:cs="Arial"/>
                <w:color w:val="000000"/>
              </w:rPr>
              <w:t xml:space="preserve">Nombre de plantes </w:t>
            </w:r>
            <w:r w:rsidRPr="00BC0FED">
              <w:rPr>
                <w:rFonts w:cs="Arial"/>
                <w:color w:val="000000"/>
              </w:rPr>
              <w:br/>
              <w:t>hors-type</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F82374" w:rsidRPr="00BC0FED" w:rsidRDefault="00F82374" w:rsidP="00F82374">
            <w:pPr>
              <w:jc w:val="center"/>
              <w:rPr>
                <w:rFonts w:cs="Arial"/>
                <w:color w:val="000000"/>
              </w:rPr>
            </w:pPr>
            <w:r w:rsidRPr="00BC0FED">
              <w:rPr>
                <w:rFonts w:cs="Arial"/>
                <w:color w:val="00000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F82374" w:rsidRPr="00BC0FED" w:rsidRDefault="00F82374" w:rsidP="00F82374">
            <w:pPr>
              <w:jc w:val="center"/>
              <w:rPr>
                <w:rFonts w:cs="Arial"/>
                <w:color w:val="000000"/>
              </w:rPr>
            </w:pPr>
            <w:r w:rsidRPr="00BC0FED">
              <w:rPr>
                <w:rFonts w:cs="Arial"/>
                <w:color w:val="000000"/>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F82374" w:rsidRPr="00BC0FED" w:rsidRDefault="00F82374" w:rsidP="00F82374">
            <w:pPr>
              <w:jc w:val="center"/>
              <w:rPr>
                <w:rFonts w:cs="Arial"/>
                <w:color w:val="000000"/>
              </w:rPr>
            </w:pPr>
            <w:r w:rsidRPr="00BC0FED">
              <w:rPr>
                <w:rFonts w:cs="Arial"/>
                <w:color w:val="000000"/>
              </w:rPr>
              <w:t>homogène</w:t>
            </w:r>
          </w:p>
        </w:tc>
        <w:tc>
          <w:tcPr>
            <w:tcW w:w="2431" w:type="dxa"/>
            <w:tcBorders>
              <w:top w:val="single" w:sz="4" w:space="0" w:color="auto"/>
              <w:left w:val="single" w:sz="6" w:space="0" w:color="auto"/>
              <w:bottom w:val="single" w:sz="6" w:space="0" w:color="auto"/>
              <w:right w:val="single" w:sz="4" w:space="0" w:color="auto"/>
            </w:tcBorders>
            <w:shd w:val="clear" w:color="auto" w:fill="auto"/>
            <w:vAlign w:val="center"/>
          </w:tcPr>
          <w:p w:rsidR="00F82374" w:rsidRPr="00BC0FED" w:rsidRDefault="00F82374" w:rsidP="00F82374">
            <w:pPr>
              <w:jc w:val="center"/>
              <w:rPr>
                <w:rFonts w:cs="Arial"/>
                <w:color w:val="000000"/>
              </w:rPr>
            </w:pPr>
            <w:r w:rsidRPr="00BC0FED">
              <w:rPr>
                <w:rFonts w:cs="Arial"/>
                <w:color w:val="000000"/>
              </w:rPr>
              <w:t>homogène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F82374" w:rsidRPr="00BC0FED" w:rsidRDefault="00F82374" w:rsidP="00F82374">
            <w:pPr>
              <w:jc w:val="center"/>
            </w:pPr>
            <w:r w:rsidRPr="00BC0FED">
              <w:rPr>
                <w:rFonts w:cs="Arial"/>
                <w:color w:val="000000"/>
              </w:rPr>
              <w:t>homogène</w:t>
            </w:r>
          </w:p>
        </w:tc>
      </w:tr>
      <w:tr w:rsidR="00F82374" w:rsidRPr="0028220E" w:rsidTr="00F82374">
        <w:trPr>
          <w:trHeight w:val="240"/>
        </w:trPr>
        <w:tc>
          <w:tcPr>
            <w:tcW w:w="697" w:type="dxa"/>
            <w:vMerge/>
            <w:tcBorders>
              <w:left w:val="single" w:sz="4" w:space="0" w:color="auto"/>
              <w:right w:val="single" w:sz="4" w:space="0" w:color="auto"/>
            </w:tcBorders>
            <w:shd w:val="clear" w:color="auto" w:fill="auto"/>
            <w:textDirection w:val="btLr"/>
            <w:vAlign w:val="center"/>
            <w:hideMark/>
          </w:tcPr>
          <w:p w:rsidR="00F82374" w:rsidRPr="00BC0FED" w:rsidRDefault="00F82374" w:rsidP="00D1000C">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homogène</w:t>
            </w:r>
          </w:p>
        </w:tc>
        <w:tc>
          <w:tcPr>
            <w:tcW w:w="2431"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homogène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F82374" w:rsidRPr="00BC0FED" w:rsidRDefault="00F82374" w:rsidP="00F82374">
            <w:pPr>
              <w:jc w:val="center"/>
            </w:pPr>
            <w:r w:rsidRPr="00BC0FED">
              <w:t>non homogène</w:t>
            </w:r>
          </w:p>
        </w:tc>
      </w:tr>
      <w:tr w:rsidR="00F82374" w:rsidRPr="0028220E" w:rsidTr="00F82374">
        <w:trPr>
          <w:trHeight w:val="273"/>
        </w:trPr>
        <w:tc>
          <w:tcPr>
            <w:tcW w:w="697" w:type="dxa"/>
            <w:vMerge/>
            <w:tcBorders>
              <w:left w:val="single" w:sz="4" w:space="0" w:color="auto"/>
              <w:right w:val="single" w:sz="4" w:space="0" w:color="000000"/>
            </w:tcBorders>
            <w:vAlign w:val="center"/>
            <w:hideMark/>
          </w:tcPr>
          <w:p w:rsidR="00F82374" w:rsidRPr="00BC0FED" w:rsidRDefault="00F82374" w:rsidP="00D1000C">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troisième cycle de végétation*</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homogène</w:t>
            </w:r>
            <w:r>
              <w:rPr>
                <w:rFonts w:cs="Arial"/>
                <w:color w:val="000000"/>
              </w:rPr>
              <w:t>*</w:t>
            </w:r>
          </w:p>
        </w:tc>
        <w:tc>
          <w:tcPr>
            <w:tcW w:w="1624" w:type="dxa"/>
            <w:tcBorders>
              <w:top w:val="single" w:sz="4" w:space="0" w:color="auto"/>
              <w:bottom w:val="single" w:sz="4" w:space="0" w:color="auto"/>
              <w:right w:val="single" w:sz="4" w:space="0" w:color="auto"/>
            </w:tcBorders>
            <w:shd w:val="clear" w:color="auto" w:fill="auto"/>
            <w:vAlign w:val="center"/>
          </w:tcPr>
          <w:p w:rsidR="00F82374" w:rsidRPr="00BC0FED" w:rsidRDefault="00F82374" w:rsidP="00F82374">
            <w:pPr>
              <w:jc w:val="center"/>
            </w:pPr>
            <w:r w:rsidRPr="00BC0FED">
              <w:t>homogène</w:t>
            </w:r>
            <w:r>
              <w:t>*</w:t>
            </w:r>
          </w:p>
        </w:tc>
      </w:tr>
      <w:tr w:rsidR="00F82374" w:rsidRPr="0028220E" w:rsidTr="00F82374">
        <w:trPr>
          <w:trHeight w:val="248"/>
        </w:trPr>
        <w:tc>
          <w:tcPr>
            <w:tcW w:w="697" w:type="dxa"/>
            <w:vMerge/>
            <w:tcBorders>
              <w:left w:val="single" w:sz="4" w:space="0" w:color="auto"/>
              <w:right w:val="single" w:sz="4" w:space="0" w:color="auto"/>
            </w:tcBorders>
            <w:vAlign w:val="center"/>
            <w:hideMark/>
          </w:tcPr>
          <w:p w:rsidR="00F82374" w:rsidRPr="00BC0FED" w:rsidRDefault="00F82374" w:rsidP="00D1000C">
            <w:pPr>
              <w:jc w:val="left"/>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troisième cycle de végétation*</w:t>
            </w:r>
          </w:p>
        </w:tc>
        <w:tc>
          <w:tcPr>
            <w:tcW w:w="2431"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non homogène*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F82374" w:rsidRPr="00BC0FED" w:rsidRDefault="00F82374" w:rsidP="00F82374">
            <w:pPr>
              <w:jc w:val="center"/>
            </w:pPr>
            <w:r w:rsidRPr="00BC0FED">
              <w:t>non homogène*</w:t>
            </w:r>
          </w:p>
        </w:tc>
      </w:tr>
      <w:tr w:rsidR="00F82374" w:rsidRPr="0028220E" w:rsidTr="00F82374">
        <w:trPr>
          <w:trHeight w:val="267"/>
        </w:trPr>
        <w:tc>
          <w:tcPr>
            <w:tcW w:w="697" w:type="dxa"/>
            <w:vMerge/>
            <w:tcBorders>
              <w:left w:val="single" w:sz="4" w:space="0" w:color="auto"/>
              <w:right w:val="single" w:sz="4" w:space="0" w:color="000000"/>
            </w:tcBorders>
            <w:vAlign w:val="center"/>
            <w:hideMark/>
          </w:tcPr>
          <w:p w:rsidR="00F82374" w:rsidRPr="00BC0FED" w:rsidRDefault="00F82374" w:rsidP="00D1000C">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82374" w:rsidRPr="00BC0FED" w:rsidRDefault="00F82374" w:rsidP="00F82374">
            <w:pPr>
              <w:ind w:left="49"/>
              <w:jc w:val="center"/>
              <w:rPr>
                <w:rFonts w:cs="Arial"/>
                <w:color w:val="000000"/>
              </w:rPr>
            </w:pPr>
            <w:r w:rsidRPr="00BC0FED">
              <w:rPr>
                <w:rFonts w:cs="Arial"/>
                <w:color w:val="000000"/>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troisième cycle de végétation*</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F82374" w:rsidRPr="00BC0FED" w:rsidRDefault="00F82374" w:rsidP="00F82374">
            <w:pPr>
              <w:jc w:val="center"/>
              <w:rPr>
                <w:rFonts w:cs="Arial"/>
                <w:color w:val="000000"/>
              </w:rPr>
            </w:pPr>
            <w:r w:rsidRPr="00BC0FED">
              <w:rPr>
                <w:rFonts w:cs="Arial"/>
                <w:color w:val="000000"/>
              </w:rPr>
              <w:t>non homogène*</w:t>
            </w:r>
          </w:p>
        </w:tc>
        <w:tc>
          <w:tcPr>
            <w:tcW w:w="1624" w:type="dxa"/>
            <w:tcBorders>
              <w:top w:val="single" w:sz="4" w:space="0" w:color="auto"/>
              <w:bottom w:val="single" w:sz="4" w:space="0" w:color="auto"/>
              <w:right w:val="single" w:sz="4" w:space="0" w:color="auto"/>
            </w:tcBorders>
            <w:shd w:val="clear" w:color="auto" w:fill="auto"/>
            <w:vAlign w:val="center"/>
          </w:tcPr>
          <w:p w:rsidR="00F82374" w:rsidRPr="00BC0FED" w:rsidRDefault="00F82374" w:rsidP="00F82374">
            <w:pPr>
              <w:jc w:val="center"/>
            </w:pPr>
            <w:r w:rsidRPr="00BC0FED">
              <w:t>non homogène*</w:t>
            </w:r>
          </w:p>
        </w:tc>
      </w:tr>
      <w:tr w:rsidR="00F82374" w:rsidRPr="0028220E" w:rsidTr="00F82374">
        <w:trPr>
          <w:trHeight w:val="266"/>
        </w:trPr>
        <w:tc>
          <w:tcPr>
            <w:tcW w:w="697" w:type="dxa"/>
            <w:vMerge/>
            <w:tcBorders>
              <w:left w:val="single" w:sz="4" w:space="0" w:color="auto"/>
              <w:bottom w:val="single" w:sz="4" w:space="0" w:color="auto"/>
              <w:right w:val="single" w:sz="4" w:space="0" w:color="000000"/>
            </w:tcBorders>
            <w:shd w:val="clear" w:color="auto" w:fill="auto"/>
            <w:noWrap/>
            <w:vAlign w:val="bottom"/>
            <w:hideMark/>
          </w:tcPr>
          <w:p w:rsidR="00F82374" w:rsidRPr="00BC0FED" w:rsidRDefault="00F82374" w:rsidP="00D1000C">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F82374" w:rsidRPr="00BC0FED" w:rsidRDefault="00F82374" w:rsidP="00F82374">
            <w:pPr>
              <w:ind w:left="49"/>
              <w:jc w:val="center"/>
              <w:rPr>
                <w:rFonts w:cs="Arial"/>
                <w:color w:val="000000"/>
              </w:rPr>
            </w:pPr>
            <w:r w:rsidRPr="00BC0FED">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82374" w:rsidRPr="00BC0FED" w:rsidRDefault="00F82374" w:rsidP="00F82374">
            <w:pPr>
              <w:ind w:right="-123"/>
              <w:jc w:val="center"/>
              <w:rPr>
                <w:rFonts w:cs="Arial"/>
                <w:color w:val="000000"/>
              </w:rPr>
            </w:pPr>
            <w:r w:rsidRPr="00BC0FED">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2374" w:rsidRPr="00BC0FED" w:rsidRDefault="00F82374" w:rsidP="00F82374">
            <w:pPr>
              <w:ind w:right="-122"/>
              <w:jc w:val="center"/>
              <w:rPr>
                <w:rFonts w:cs="Arial"/>
                <w:color w:val="000000"/>
              </w:rPr>
            </w:pPr>
            <w:r w:rsidRPr="00BC0FED">
              <w:rPr>
                <w:rFonts w:cs="Arial"/>
                <w:color w:val="000000"/>
              </w:rPr>
              <w:t>troisième cycle de végétation*</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F82374" w:rsidRPr="00BC0FED" w:rsidRDefault="00F82374" w:rsidP="00F82374">
            <w:pPr>
              <w:jc w:val="center"/>
              <w:rPr>
                <w:rFonts w:cs="Arial"/>
                <w:color w:val="000000"/>
              </w:rPr>
            </w:pPr>
            <w:r w:rsidRPr="00BC0FED">
              <w:rPr>
                <w:rFonts w:cs="Arial"/>
                <w:color w:val="000000"/>
              </w:rPr>
              <w:t>non homogène*</w:t>
            </w:r>
          </w:p>
        </w:tc>
        <w:tc>
          <w:tcPr>
            <w:tcW w:w="1624" w:type="dxa"/>
            <w:tcBorders>
              <w:top w:val="single" w:sz="4" w:space="0" w:color="auto"/>
              <w:bottom w:val="single" w:sz="4" w:space="0" w:color="auto"/>
              <w:right w:val="single" w:sz="4" w:space="0" w:color="auto"/>
            </w:tcBorders>
            <w:shd w:val="clear" w:color="auto" w:fill="auto"/>
            <w:vAlign w:val="center"/>
          </w:tcPr>
          <w:p w:rsidR="00F82374" w:rsidRPr="00BC0FED" w:rsidRDefault="00F82374" w:rsidP="00F82374">
            <w:pPr>
              <w:jc w:val="center"/>
            </w:pPr>
            <w:r w:rsidRPr="00BC0FED">
              <w:t>non homogène*</w:t>
            </w:r>
          </w:p>
        </w:tc>
      </w:tr>
    </w:tbl>
    <w:p w:rsidR="00F82374" w:rsidRPr="00BC0FED" w:rsidRDefault="00F82374" w:rsidP="00F82374">
      <w:pPr>
        <w:pStyle w:val="Titleofdoc0"/>
        <w:spacing w:before="0"/>
        <w:jc w:val="both"/>
        <w:rPr>
          <w:sz w:val="12"/>
          <w:szCs w:val="24"/>
        </w:rPr>
      </w:pPr>
    </w:p>
    <w:p w:rsidR="00F82374" w:rsidRPr="00BC0FED" w:rsidRDefault="00F82374" w:rsidP="00F82374">
      <w:pPr>
        <w:keepNext/>
        <w:keepLines/>
        <w:ind w:left="34"/>
        <w:rPr>
          <w:sz w:val="16"/>
          <w:u w:val="single"/>
        </w:rPr>
      </w:pPr>
      <w:r w:rsidRPr="00BC0FED">
        <w:rPr>
          <w:sz w:val="18"/>
          <w:szCs w:val="24"/>
        </w:rPr>
        <w:t xml:space="preserve">* </w:t>
      </w:r>
      <w:r w:rsidRPr="00BC0FED">
        <w:rPr>
          <w:rFonts w:eastAsia="SimSun"/>
          <w:sz w:val="18"/>
        </w:rPr>
        <w:t xml:space="preserve">Il faut faire preuve de prudence lorsqu’on examine des résultats très différents dans chacun des cycles de végétation, notamment lorsqu’un type de plante hors-type a été observé à un niveau élevé dans un cycle de végétation tout en étant absent dans un autre.  </w:t>
      </w:r>
      <w:r w:rsidRPr="00BC0FED">
        <w:rPr>
          <w:sz w:val="18"/>
        </w:rPr>
        <w:t>Un test statistique d’homogénéité devrait être pratiqué, le cas échéant.  Il est important d’identifier si la variation du nombre de plantes hors-type entre les cycles s’explique par des conditions environnementales ou des fluctuations d’échantillonnage.</w:t>
      </w:r>
    </w:p>
    <w:p w:rsidR="00F82374" w:rsidRPr="00BC0FED" w:rsidRDefault="00F82374" w:rsidP="00F82374">
      <w:pPr>
        <w:keepNext/>
        <w:keepLines/>
        <w:ind w:left="34"/>
        <w:rPr>
          <w:sz w:val="18"/>
        </w:rPr>
      </w:pPr>
    </w:p>
    <w:p w:rsidR="00F82374" w:rsidRDefault="00F82374" w:rsidP="00F82374">
      <w:pPr>
        <w:keepNext/>
        <w:keepLines/>
        <w:spacing w:after="120"/>
        <w:ind w:left="34"/>
        <w:rPr>
          <w:sz w:val="18"/>
        </w:rPr>
      </w:pPr>
      <w:r w:rsidRPr="00BC0FED">
        <w:rPr>
          <w:sz w:val="18"/>
        </w:rPr>
        <w:t>** Si au cours du premier cycle de végétation, le nombre de plantes hors-type dépasse une limite supérieure prédéfinie, la variété peut être rejetée après un seul cycle de végétation.</w:t>
      </w:r>
    </w:p>
    <w:p w:rsidR="00917A05" w:rsidRPr="00645FD3" w:rsidRDefault="00917A05" w:rsidP="00EF65E9"/>
    <w:p w:rsidR="00917A05" w:rsidRPr="00645FD3" w:rsidRDefault="00917A05" w:rsidP="00EF65E9"/>
    <w:p w:rsidR="009E1FB4" w:rsidRPr="00645FD3" w:rsidRDefault="00F82374" w:rsidP="00EF65E9">
      <w:pPr>
        <w:rPr>
          <w:u w:val="single"/>
        </w:rPr>
      </w:pPr>
      <w:r>
        <w:rPr>
          <w:u w:val="single"/>
        </w:rPr>
        <w:t xml:space="preserve">Nouvelle </w:t>
      </w:r>
      <w:r w:rsidR="009E1FB4" w:rsidRPr="00645FD3">
        <w:rPr>
          <w:u w:val="single"/>
        </w:rPr>
        <w:t>Section 4</w:t>
      </w:r>
      <w:r w:rsidR="0061050E" w:rsidRPr="00645FD3">
        <w:rPr>
          <w:u w:val="single"/>
        </w:rPr>
        <w:t xml:space="preserve">.8: </w:t>
      </w:r>
      <w:r w:rsidRPr="00F82374">
        <w:rPr>
          <w:u w:val="single"/>
        </w:rPr>
        <w:t>Évaluation de l’homogénéité d’après les plantes hors-type sur la base de sous-échantillons dans le cadre d’un seul examen/essai</w:t>
      </w:r>
    </w:p>
    <w:p w:rsidR="00917A05" w:rsidRPr="00645FD3" w:rsidRDefault="00917A05" w:rsidP="00EF65E9"/>
    <w:p w:rsidR="00917A05" w:rsidRPr="00645FD3" w:rsidRDefault="00F82374" w:rsidP="00EF65E9">
      <w:pPr>
        <w:ind w:firstLine="567"/>
        <w:rPr>
          <w:i/>
        </w:rPr>
      </w:pPr>
      <w:r w:rsidRPr="00F82374">
        <w:rPr>
          <w:i/>
        </w:rPr>
        <w:t>Méthode : Utilisation du sous-échantillon comme première étape d’évaluation</w:t>
      </w:r>
    </w:p>
    <w:p w:rsidR="00917A05" w:rsidRPr="00F82374" w:rsidRDefault="00917A05" w:rsidP="00F82374"/>
    <w:p w:rsidR="00F82374" w:rsidRPr="00F82374" w:rsidRDefault="00F82374" w:rsidP="00F82374">
      <w:r w:rsidRPr="00F82374">
        <w:t>Une variété est réputée homogène si le nombre de plantes hors-type ne dépasse pas une limite inférieure prédéfinie dans le sous-échantillon.</w:t>
      </w:r>
    </w:p>
    <w:p w:rsidR="00F82374" w:rsidRPr="00F82374" w:rsidRDefault="00F82374" w:rsidP="00F82374"/>
    <w:p w:rsidR="00F82374" w:rsidRPr="00F82374" w:rsidRDefault="00F82374" w:rsidP="00F82374">
      <w:r w:rsidRPr="00F82374">
        <w:t>Une variété est réputée non homogène si le nombre de plantes hors-type dépasse une limite supérieure prédéfinie dans le sous-échantillon.</w:t>
      </w:r>
    </w:p>
    <w:p w:rsidR="00F82374" w:rsidRPr="00F82374" w:rsidRDefault="00F82374" w:rsidP="00F82374"/>
    <w:p w:rsidR="00F82374" w:rsidRPr="00F82374" w:rsidRDefault="00F82374" w:rsidP="00F82374">
      <w:r w:rsidRPr="00F82374">
        <w:t>Si le nombre de plantes hors-type se situe entre les limites inférieure et supérieure prédéfinies, l’échantillon tout entier est évalué.  Les limites inférieure et supérieure doivent être choisies compte tenu des probabilités d’erreurs de type I et de type II comparables entre le sous-échantillon et l’échantillon tout entier.</w:t>
      </w:r>
    </w:p>
    <w:p w:rsidR="00917A05" w:rsidRPr="00F82374" w:rsidRDefault="00917A05" w:rsidP="00F82374"/>
    <w:p w:rsidR="00917A05" w:rsidRPr="00645FD3" w:rsidRDefault="0061050E" w:rsidP="00EF65E9">
      <w:pPr>
        <w:ind w:firstLine="567"/>
        <w:rPr>
          <w:i/>
          <w:szCs w:val="24"/>
        </w:rPr>
      </w:pPr>
      <w:r w:rsidRPr="00645FD3">
        <w:rPr>
          <w:i/>
          <w:szCs w:val="24"/>
        </w:rPr>
        <w:t>Ex</w:t>
      </w:r>
      <w:r w:rsidR="00F82374">
        <w:rPr>
          <w:i/>
          <w:szCs w:val="24"/>
        </w:rPr>
        <w:t>e</w:t>
      </w:r>
      <w:r w:rsidRPr="00645FD3">
        <w:rPr>
          <w:i/>
          <w:szCs w:val="24"/>
        </w:rPr>
        <w:t>mple:</w:t>
      </w:r>
    </w:p>
    <w:p w:rsidR="00917A05" w:rsidRPr="00645FD3" w:rsidRDefault="00917A05" w:rsidP="00EF65E9">
      <w:pPr>
        <w:rPr>
          <w:szCs w:val="24"/>
        </w:rPr>
      </w:pPr>
    </w:p>
    <w:p w:rsidR="00F82374" w:rsidRPr="00BC0FED" w:rsidRDefault="00F82374" w:rsidP="00F82374">
      <w:pPr>
        <w:autoSpaceDE w:val="0"/>
        <w:autoSpaceDN w:val="0"/>
        <w:adjustRightInd w:val="0"/>
        <w:rPr>
          <w:color w:val="000000"/>
          <w:szCs w:val="24"/>
        </w:rPr>
      </w:pPr>
      <w:r w:rsidRPr="00BC0FED">
        <w:rPr>
          <w:color w:val="000000"/>
          <w:szCs w:val="24"/>
        </w:rPr>
        <w:t>Dans un échantillon de 100 plantes, le nombre acceptable de plantes hors-type est de 3 (sur la base d’une norme de population de 1% et d’une probabilité d’acceptation d’au moins 95%).</w:t>
      </w:r>
    </w:p>
    <w:p w:rsidR="00F82374" w:rsidRPr="00BC0FED" w:rsidRDefault="00F82374" w:rsidP="00F82374">
      <w:pPr>
        <w:autoSpaceDE w:val="0"/>
        <w:autoSpaceDN w:val="0"/>
        <w:adjustRightInd w:val="0"/>
        <w:rPr>
          <w:color w:val="000000"/>
          <w:szCs w:val="24"/>
        </w:rPr>
      </w:pPr>
    </w:p>
    <w:p w:rsidR="00F82374" w:rsidRPr="00BC0FED" w:rsidRDefault="00F82374" w:rsidP="00F82374">
      <w:pPr>
        <w:autoSpaceDE w:val="0"/>
        <w:autoSpaceDN w:val="0"/>
        <w:adjustRightInd w:val="0"/>
        <w:rPr>
          <w:color w:val="000000"/>
          <w:szCs w:val="24"/>
        </w:rPr>
      </w:pPr>
      <w:r w:rsidRPr="00BC0FED">
        <w:rPr>
          <w:color w:val="000000"/>
          <w:szCs w:val="24"/>
        </w:rPr>
        <w:t>Dans un sous-échantillon de 20 plantes utilisé dans le contexte de l’échantillon de 100 plantes ci-dessus :</w:t>
      </w:r>
    </w:p>
    <w:p w:rsidR="00F82374" w:rsidRPr="00BC0FED" w:rsidRDefault="00F82374" w:rsidP="00F82374">
      <w:pPr>
        <w:autoSpaceDE w:val="0"/>
        <w:autoSpaceDN w:val="0"/>
        <w:adjustRightInd w:val="0"/>
        <w:rPr>
          <w:color w:val="000000"/>
          <w:szCs w:val="24"/>
        </w:rPr>
      </w:pPr>
    </w:p>
    <w:p w:rsidR="00F82374" w:rsidRPr="00BC0FED" w:rsidRDefault="00F82374" w:rsidP="00F82374">
      <w:pPr>
        <w:ind w:left="567"/>
      </w:pPr>
      <w:r w:rsidRPr="00BC0FED">
        <w:t>Une variété est réputée homogène si aucune plante hors-type n’est observée dans le sous</w:t>
      </w:r>
      <w:r>
        <w:noBreakHyphen/>
      </w:r>
      <w:r w:rsidRPr="00BC0FED">
        <w:t>échantillon.</w:t>
      </w:r>
    </w:p>
    <w:p w:rsidR="00F82374" w:rsidRPr="00BC0FED" w:rsidRDefault="00F82374" w:rsidP="00F82374"/>
    <w:p w:rsidR="00F82374" w:rsidRPr="00BC0FED" w:rsidRDefault="00F82374" w:rsidP="00F82374">
      <w:pPr>
        <w:ind w:left="567"/>
      </w:pPr>
      <w:r w:rsidRPr="00BC0FED">
        <w:t>Une variété est réputée non homogène si le nombre de plantes hors-type dans le sous-échantillon dépasse 3.</w:t>
      </w:r>
    </w:p>
    <w:p w:rsidR="00F82374" w:rsidRPr="00BC0FED" w:rsidRDefault="00F82374" w:rsidP="00F82374"/>
    <w:p w:rsidR="00F82374" w:rsidRPr="00BC0FED" w:rsidRDefault="00F82374" w:rsidP="00F82374">
      <w:pPr>
        <w:ind w:left="567"/>
      </w:pPr>
      <w:r w:rsidRPr="00BC0FED">
        <w:t>Si le nombre de plantes hors-type varie entre 1 et 3, l’échantillon tout entier de 100 plantes est évalué.</w:t>
      </w:r>
    </w:p>
    <w:p w:rsidR="00F82374" w:rsidRPr="00BC0FED" w:rsidRDefault="00F82374" w:rsidP="00F82374">
      <w:pPr>
        <w:ind w:left="567"/>
      </w:pPr>
    </w:p>
    <w:p w:rsidR="00F82374" w:rsidRPr="00BC0FED" w:rsidRDefault="00F82374" w:rsidP="00F82374">
      <w:pPr>
        <w:ind w:left="567"/>
      </w:pPr>
      <w:r w:rsidRPr="00BC0FED">
        <w:rPr>
          <w:rFonts w:cs="Arial"/>
        </w:rPr>
        <w:t>Dans l’échantillon de 100 plantes, si le nombre de plantes hors-type dépasse 3, la variété est réputée non homogène.</w:t>
      </w:r>
    </w:p>
    <w:p w:rsidR="00917A05" w:rsidRPr="00645FD3" w:rsidRDefault="00917A05" w:rsidP="0061050E">
      <w:pPr>
        <w:jc w:val="right"/>
      </w:pPr>
    </w:p>
    <w:p w:rsidR="00917A05" w:rsidRPr="00645FD3" w:rsidRDefault="00917A05" w:rsidP="00EF65E9">
      <w:pPr>
        <w:jc w:val="right"/>
      </w:pPr>
    </w:p>
    <w:p w:rsidR="00917A05" w:rsidRPr="00645FD3" w:rsidRDefault="00917A05" w:rsidP="00EF65E9">
      <w:pPr>
        <w:jc w:val="right"/>
      </w:pPr>
    </w:p>
    <w:p w:rsidR="00E23559" w:rsidRPr="00645FD3" w:rsidRDefault="00E66E2B" w:rsidP="0061050E">
      <w:pPr>
        <w:jc w:val="right"/>
        <w:rPr>
          <w:rFonts w:cs="Arial"/>
        </w:rPr>
        <w:sectPr w:rsidR="00E23559" w:rsidRPr="00645FD3" w:rsidSect="00EF65E9">
          <w:headerReference w:type="default" r:id="rId29"/>
          <w:headerReference w:type="first" r:id="rId30"/>
          <w:footnotePr>
            <w:numRestart w:val="eachSect"/>
          </w:footnotePr>
          <w:pgSz w:w="11907" w:h="16840" w:code="9"/>
          <w:pgMar w:top="510" w:right="1134" w:bottom="1134" w:left="1134" w:header="510" w:footer="680" w:gutter="0"/>
          <w:pgNumType w:start="1"/>
          <w:cols w:space="720"/>
          <w:titlePg/>
        </w:sectPr>
      </w:pPr>
      <w:r w:rsidRPr="00645FD3">
        <w:t>[L</w:t>
      </w:r>
      <w:r w:rsidR="009E1FB4" w:rsidRPr="00645FD3">
        <w:t>’annexe I</w:t>
      </w:r>
      <w:r w:rsidR="0061050E" w:rsidRPr="00645FD3">
        <w:t xml:space="preserve">V </w:t>
      </w:r>
      <w:r w:rsidRPr="00645FD3">
        <w:t>suit</w:t>
      </w:r>
      <w:r w:rsidR="0061050E" w:rsidRPr="00645FD3">
        <w:rPr>
          <w:rFonts w:cs="Arial"/>
        </w:rPr>
        <w:t>]</w:t>
      </w:r>
    </w:p>
    <w:p w:rsidR="00E66E2B" w:rsidRPr="00645FD3" w:rsidRDefault="00E66E2B" w:rsidP="00EA4D2D">
      <w:pPr>
        <w:jc w:val="center"/>
      </w:pPr>
      <w:r w:rsidRPr="00645FD3">
        <w:lastRenderedPageBreak/>
        <w:t>RÉVISIONS DU DOCUMENT TGP/14 “GLOSSAIRE DE TERMES</w:t>
      </w:r>
      <w:r w:rsidR="00B50298">
        <w:t xml:space="preserve"> UTILISÉS DANS LES DOCUMENTS DE </w:t>
      </w:r>
      <w:r w:rsidRPr="00645FD3">
        <w:t>L</w:t>
      </w:r>
      <w:r w:rsidR="009E1FB4" w:rsidRPr="00645FD3">
        <w:t>’</w:t>
      </w:r>
      <w:r w:rsidRPr="00645FD3">
        <w:t>UPOV”</w:t>
      </w:r>
      <w:r w:rsidR="00B50298">
        <w:t xml:space="preserve"> </w:t>
      </w:r>
      <w:r w:rsidRPr="00645FD3">
        <w:t xml:space="preserve">APPROUVÉES PAR LE COMITÉ TECHNIQUE À SES </w:t>
      </w:r>
      <w:r w:rsidR="00B50298">
        <w:br/>
      </w:r>
      <w:r w:rsidRPr="00645FD3">
        <w:t>CINQUANTE</w:t>
      </w:r>
      <w:r w:rsidR="009E1FB4" w:rsidRPr="00645FD3">
        <w:t>-</w:t>
      </w:r>
      <w:r w:rsidRPr="00645FD3">
        <w:t>TROISIÈME</w:t>
      </w:r>
      <w:r w:rsidRPr="00645FD3">
        <w:rPr>
          <w:rStyle w:val="FootnoteReference"/>
        </w:rPr>
        <w:footnoteReference w:id="11"/>
      </w:r>
      <w:r w:rsidR="00B50298">
        <w:t xml:space="preserve"> </w:t>
      </w:r>
      <w:r w:rsidRPr="00645FD3">
        <w:t>ET CINQUANTE</w:t>
      </w:r>
      <w:r w:rsidR="009E1FB4" w:rsidRPr="00645FD3">
        <w:t>-</w:t>
      </w:r>
      <w:r w:rsidRPr="00645FD3">
        <w:t>QUATRIÈME</w:t>
      </w:r>
      <w:r w:rsidRPr="00645FD3">
        <w:rPr>
          <w:rStyle w:val="FootnoteReference"/>
        </w:rPr>
        <w:footnoteReference w:id="12"/>
      </w:r>
      <w:r w:rsidRPr="00645FD3">
        <w:t xml:space="preserve"> SESSIONS</w:t>
      </w:r>
    </w:p>
    <w:p w:rsidR="00917A05" w:rsidRPr="00645FD3" w:rsidRDefault="00917A05" w:rsidP="00E23559"/>
    <w:p w:rsidR="00917A05" w:rsidRPr="00645FD3" w:rsidRDefault="00917A05" w:rsidP="00E23559"/>
    <w:p w:rsidR="00917A05" w:rsidRPr="00645FD3" w:rsidRDefault="00E23559" w:rsidP="00E23559">
      <w:pPr>
        <w:rPr>
          <w:u w:val="single"/>
        </w:rPr>
      </w:pPr>
      <w:r w:rsidRPr="00645FD3">
        <w:rPr>
          <w:u w:val="single"/>
        </w:rPr>
        <w:t>(i)</w:t>
      </w:r>
      <w:r w:rsidRPr="00645FD3">
        <w:rPr>
          <w:u w:val="single"/>
        </w:rPr>
        <w:tab/>
      </w:r>
      <w:r w:rsidR="00B50298" w:rsidRPr="004F6BFF">
        <w:rPr>
          <w:u w:val="single"/>
        </w:rPr>
        <w:t>Illustrations des caractères liés à la forme et au ratio</w:t>
      </w:r>
    </w:p>
    <w:p w:rsidR="00917A05" w:rsidRPr="00645FD3" w:rsidRDefault="00917A05" w:rsidP="00E23559">
      <w:pPr>
        <w:rPr>
          <w:snapToGrid w:val="0"/>
        </w:rPr>
      </w:pPr>
    </w:p>
    <w:p w:rsidR="00B50298" w:rsidRPr="0016157A" w:rsidRDefault="00B50298" w:rsidP="00B50298">
      <w:r w:rsidRPr="007739C0">
        <w:t>Le</w:t>
      </w:r>
      <w:r>
        <w:t xml:space="preserve"> </w:t>
      </w:r>
      <w:r w:rsidRPr="007739C0">
        <w:t>TC</w:t>
      </w:r>
      <w:r>
        <w:t>, à sa cinquante-troisième session,</w:t>
      </w:r>
      <w:r w:rsidRPr="007739C0">
        <w:t xml:space="preserve"> </w:t>
      </w:r>
      <w:r>
        <w:t>est convenu</w:t>
      </w:r>
      <w:r w:rsidRPr="007739C0">
        <w:t xml:space="preserve"> de réviser le document TGP/14 : section 2 : sous</w:t>
      </w:r>
      <w:r>
        <w:noBreakHyphen/>
      </w:r>
      <w:r w:rsidRPr="007739C0">
        <w:t xml:space="preserve">section 2 : </w:t>
      </w:r>
      <w:r>
        <w:t>“</w:t>
      </w:r>
      <w:r w:rsidRPr="007739C0">
        <w:t>Formes et structures</w:t>
      </w:r>
      <w:r>
        <w:t>”</w:t>
      </w:r>
      <w:r w:rsidRPr="007739C0">
        <w:t xml:space="preserve"> pour modifier le tableau des positions de la partie la plus large et des rapports longueur/largeur présenté dans </w:t>
      </w:r>
      <w:r>
        <w:t xml:space="preserve">l’exemple 5, </w:t>
      </w:r>
      <w:r w:rsidRPr="007739C0">
        <w:t>variante 2</w:t>
      </w:r>
      <w:r>
        <w:t>,</w:t>
      </w:r>
      <w:r w:rsidRPr="007739C0">
        <w:t xml:space="preserve"> afin de supprimer le terme “rapport” et de faire figurer “largeur” dans une colonne distincte de l’échelle “large à étroit”, comme </w:t>
      </w:r>
      <w:r>
        <w:t xml:space="preserve">suit (voir </w:t>
      </w:r>
      <w:r w:rsidRPr="007739C0">
        <w:t xml:space="preserve">le </w:t>
      </w:r>
      <w:r w:rsidRPr="00645FD3">
        <w:t>document TC/53/31 “</w:t>
      </w:r>
      <w:r>
        <w:t>Compte rendu</w:t>
      </w:r>
      <w:r w:rsidRPr="00645FD3">
        <w:t>”, paragraph</w:t>
      </w:r>
      <w:r>
        <w:t>e</w:t>
      </w:r>
      <w:r w:rsidRPr="00645FD3">
        <w:t xml:space="preserve"> 141</w:t>
      </w:r>
      <w:r>
        <w:t xml:space="preserve">) </w:t>
      </w:r>
      <w:r w:rsidRPr="0016157A">
        <w:t>(</w:t>
      </w:r>
      <w:r w:rsidRPr="0016157A">
        <w:rPr>
          <w:strike/>
          <w:highlight w:val="lightGray"/>
        </w:rPr>
        <w:t>en surbrillance et biffé</w:t>
      </w:r>
      <w:r w:rsidRPr="0016157A">
        <w:t xml:space="preserve"> pour les suppressions et </w:t>
      </w:r>
      <w:r w:rsidRPr="0016157A">
        <w:rPr>
          <w:highlight w:val="lightGray"/>
          <w:u w:val="single"/>
        </w:rPr>
        <w:t xml:space="preserve">en surbrillance et souligné </w:t>
      </w:r>
      <w:r w:rsidRPr="0016157A">
        <w:t>pour les insertions) :</w:t>
      </w:r>
    </w:p>
    <w:p w:rsidR="00B50298" w:rsidRPr="00645FD3" w:rsidRDefault="00B50298" w:rsidP="00E235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11"/>
        <w:gridCol w:w="1453"/>
        <w:gridCol w:w="14"/>
      </w:tblGrid>
      <w:tr w:rsidR="00B50298" w:rsidRPr="00B50298" w:rsidTr="00D1000C">
        <w:trPr>
          <w:gridBefore w:val="1"/>
          <w:gridAfter w:val="1"/>
          <w:wBefore w:w="379" w:type="dxa"/>
          <w:wAfter w:w="14" w:type="dxa"/>
          <w:cantSplit/>
          <w:jc w:val="center"/>
        </w:trPr>
        <w:tc>
          <w:tcPr>
            <w:tcW w:w="422" w:type="dxa"/>
            <w:tcBorders>
              <w:top w:val="nil"/>
              <w:left w:val="nil"/>
              <w:bottom w:val="nil"/>
              <w:right w:val="nil"/>
            </w:tcBorders>
          </w:tcPr>
          <w:p w:rsidR="00B50298" w:rsidRPr="00210CB7" w:rsidRDefault="00B50298" w:rsidP="00D1000C">
            <w:pPr>
              <w:keepNext/>
              <w:keepLines/>
              <w:jc w:val="center"/>
            </w:pPr>
          </w:p>
        </w:tc>
        <w:tc>
          <w:tcPr>
            <w:tcW w:w="283" w:type="dxa"/>
            <w:gridSpan w:val="2"/>
            <w:tcBorders>
              <w:top w:val="nil"/>
              <w:left w:val="nil"/>
              <w:bottom w:val="nil"/>
              <w:right w:val="nil"/>
            </w:tcBorders>
          </w:tcPr>
          <w:p w:rsidR="00B50298" w:rsidRPr="00210CB7" w:rsidRDefault="00B50298" w:rsidP="00D1000C">
            <w:pPr>
              <w:keepNext/>
              <w:keepLines/>
              <w:jc w:val="center"/>
            </w:pPr>
          </w:p>
        </w:tc>
        <w:tc>
          <w:tcPr>
            <w:tcW w:w="8357" w:type="dxa"/>
            <w:gridSpan w:val="9"/>
            <w:tcBorders>
              <w:left w:val="single" w:sz="4" w:space="0" w:color="auto"/>
              <w:bottom w:val="nil"/>
            </w:tcBorders>
          </w:tcPr>
          <w:p w:rsidR="00B50298" w:rsidRPr="00B50298" w:rsidRDefault="00B50298" w:rsidP="00D1000C">
            <w:pPr>
              <w:keepNext/>
              <w:keepLines/>
              <w:jc w:val="center"/>
            </w:pPr>
            <w:r w:rsidRPr="00210CB7">
              <w:rPr>
                <w:noProof/>
              </w:rPr>
              <w:tab/>
            </w:r>
            <w:r w:rsidRPr="00B50298">
              <w:rPr>
                <w:noProof/>
              </w:rPr>
              <w:sym w:font="Wingdings" w:char="F0DF"/>
            </w:r>
            <w:r w:rsidRPr="00B50298">
              <w:rPr>
                <w:noProof/>
              </w:rPr>
              <w:tab/>
              <w:t>partie la plus large</w:t>
            </w:r>
            <w:r w:rsidRPr="00B50298">
              <w:tab/>
            </w:r>
            <w:r w:rsidRPr="00B50298">
              <w:tab/>
            </w:r>
            <w:r w:rsidRPr="00B50298">
              <w:rPr>
                <w:noProof/>
              </w:rPr>
              <w:sym w:font="Wingdings" w:char="F0E0"/>
            </w:r>
            <w:r w:rsidRPr="00B50298">
              <w:rPr>
                <w:noProof/>
              </w:rPr>
              <w:t xml:space="preserve"> </w:t>
            </w:r>
            <w:r w:rsidRPr="00B50298">
              <w:rPr>
                <w:noProof/>
              </w:rPr>
              <w:tab/>
            </w:r>
          </w:p>
        </w:tc>
      </w:tr>
      <w:tr w:rsidR="00B50298" w:rsidRPr="00B50298" w:rsidTr="00D1000C">
        <w:trPr>
          <w:gridBefore w:val="1"/>
          <w:gridAfter w:val="1"/>
          <w:wBefore w:w="379" w:type="dxa"/>
          <w:wAfter w:w="14" w:type="dxa"/>
          <w:cantSplit/>
          <w:jc w:val="center"/>
        </w:trPr>
        <w:tc>
          <w:tcPr>
            <w:tcW w:w="422" w:type="dxa"/>
            <w:tcBorders>
              <w:top w:val="nil"/>
              <w:left w:val="nil"/>
              <w:bottom w:val="nil"/>
              <w:right w:val="nil"/>
            </w:tcBorders>
          </w:tcPr>
          <w:p w:rsidR="00B50298" w:rsidRPr="00B50298" w:rsidRDefault="00B50298" w:rsidP="00D1000C">
            <w:pPr>
              <w:jc w:val="center"/>
            </w:pPr>
          </w:p>
        </w:tc>
        <w:tc>
          <w:tcPr>
            <w:tcW w:w="283" w:type="dxa"/>
            <w:gridSpan w:val="2"/>
            <w:tcBorders>
              <w:top w:val="nil"/>
              <w:left w:val="nil"/>
              <w:bottom w:val="nil"/>
              <w:right w:val="nil"/>
            </w:tcBorders>
          </w:tcPr>
          <w:p w:rsidR="00B50298" w:rsidRPr="00B50298" w:rsidRDefault="00B50298" w:rsidP="00D1000C">
            <w:pPr>
              <w:jc w:val="center"/>
            </w:pPr>
          </w:p>
        </w:tc>
        <w:tc>
          <w:tcPr>
            <w:tcW w:w="2835" w:type="dxa"/>
            <w:gridSpan w:val="4"/>
            <w:tcBorders>
              <w:top w:val="single" w:sz="4" w:space="0" w:color="auto"/>
              <w:left w:val="single" w:sz="4" w:space="0" w:color="auto"/>
              <w:bottom w:val="single" w:sz="4" w:space="0" w:color="auto"/>
              <w:right w:val="single" w:sz="4" w:space="0" w:color="auto"/>
            </w:tcBorders>
          </w:tcPr>
          <w:p w:rsidR="00B50298" w:rsidRPr="00B50298" w:rsidRDefault="00B50298" w:rsidP="00D1000C">
            <w:pPr>
              <w:jc w:val="center"/>
            </w:pPr>
            <w:r w:rsidRPr="00B50298">
              <w:rPr>
                <w:noProof/>
              </w:rPr>
              <w:t>(au</w:t>
            </w:r>
            <w:r w:rsidRPr="00B50298">
              <w:rPr>
                <w:noProof/>
              </w:rPr>
              <w:noBreakHyphen/>
              <w:t>dessous du milieu)</w:t>
            </w:r>
          </w:p>
        </w:tc>
        <w:tc>
          <w:tcPr>
            <w:tcW w:w="1418" w:type="dxa"/>
            <w:gridSpan w:val="2"/>
            <w:tcBorders>
              <w:top w:val="single" w:sz="4" w:space="0" w:color="auto"/>
              <w:left w:val="single" w:sz="4" w:space="0" w:color="auto"/>
              <w:bottom w:val="single" w:sz="4" w:space="0" w:color="auto"/>
              <w:right w:val="single" w:sz="4" w:space="0" w:color="auto"/>
            </w:tcBorders>
          </w:tcPr>
          <w:p w:rsidR="00B50298" w:rsidRPr="00B50298" w:rsidRDefault="00B50298" w:rsidP="00D1000C">
            <w:pPr>
              <w:jc w:val="center"/>
            </w:pPr>
            <w:r w:rsidRPr="00B50298">
              <w:t>au milieu</w:t>
            </w:r>
          </w:p>
        </w:tc>
        <w:tc>
          <w:tcPr>
            <w:tcW w:w="4104" w:type="dxa"/>
            <w:gridSpan w:val="3"/>
            <w:tcBorders>
              <w:top w:val="single" w:sz="4" w:space="0" w:color="auto"/>
              <w:left w:val="single" w:sz="4" w:space="0" w:color="auto"/>
              <w:bottom w:val="single" w:sz="4" w:space="0" w:color="auto"/>
              <w:right w:val="single" w:sz="4" w:space="0" w:color="auto"/>
            </w:tcBorders>
          </w:tcPr>
          <w:p w:rsidR="00B50298" w:rsidRPr="00B50298" w:rsidRDefault="00B50298" w:rsidP="00D1000C">
            <w:pPr>
              <w:jc w:val="center"/>
            </w:pPr>
            <w:r w:rsidRPr="00B50298">
              <w:rPr>
                <w:noProof/>
              </w:rPr>
              <w:t>(au</w:t>
            </w:r>
            <w:r w:rsidRPr="00B50298">
              <w:rPr>
                <w:noProof/>
              </w:rPr>
              <w:noBreakHyphen/>
              <w:t>dessus du milieu)</w:t>
            </w:r>
          </w:p>
        </w:tc>
      </w:tr>
      <w:tr w:rsidR="00B50298" w:rsidRPr="00B50298" w:rsidTr="00D1000C">
        <w:trPr>
          <w:gridBefore w:val="1"/>
          <w:wBefore w:w="379" w:type="dxa"/>
          <w:trHeight w:val="163"/>
          <w:jc w:val="center"/>
        </w:trPr>
        <w:tc>
          <w:tcPr>
            <w:tcW w:w="429" w:type="dxa"/>
            <w:gridSpan w:val="2"/>
            <w:tcBorders>
              <w:top w:val="nil"/>
              <w:left w:val="nil"/>
              <w:bottom w:val="nil"/>
              <w:right w:val="nil"/>
            </w:tcBorders>
          </w:tcPr>
          <w:p w:rsidR="00B50298" w:rsidRPr="00B50298" w:rsidRDefault="00B50298" w:rsidP="00D1000C">
            <w:pPr>
              <w:jc w:val="center"/>
            </w:pPr>
          </w:p>
        </w:tc>
        <w:tc>
          <w:tcPr>
            <w:tcW w:w="283" w:type="dxa"/>
            <w:gridSpan w:val="2"/>
            <w:tcBorders>
              <w:top w:val="nil"/>
              <w:left w:val="nil"/>
              <w:bottom w:val="nil"/>
              <w:right w:val="nil"/>
            </w:tcBorders>
          </w:tcPr>
          <w:p w:rsidR="00B50298" w:rsidRPr="00B50298" w:rsidRDefault="00B50298" w:rsidP="00D1000C">
            <w:pPr>
              <w:jc w:val="center"/>
            </w:pPr>
          </w:p>
        </w:tc>
        <w:tc>
          <w:tcPr>
            <w:tcW w:w="1420" w:type="dxa"/>
            <w:tcBorders>
              <w:top w:val="nil"/>
              <w:left w:val="nil"/>
              <w:bottom w:val="nil"/>
              <w:right w:val="nil"/>
            </w:tcBorders>
          </w:tcPr>
          <w:p w:rsidR="00B50298" w:rsidRPr="00B50298" w:rsidRDefault="00B50298" w:rsidP="00D1000C">
            <w:pPr>
              <w:jc w:val="center"/>
            </w:pPr>
          </w:p>
        </w:tc>
        <w:tc>
          <w:tcPr>
            <w:tcW w:w="1389" w:type="dxa"/>
            <w:tcBorders>
              <w:top w:val="nil"/>
              <w:left w:val="nil"/>
              <w:bottom w:val="nil"/>
              <w:right w:val="nil"/>
            </w:tcBorders>
          </w:tcPr>
          <w:p w:rsidR="00B50298" w:rsidRPr="00B50298" w:rsidRDefault="00B50298" w:rsidP="00D1000C">
            <w:pPr>
              <w:jc w:val="center"/>
            </w:pPr>
          </w:p>
        </w:tc>
        <w:tc>
          <w:tcPr>
            <w:tcW w:w="1389" w:type="dxa"/>
            <w:gridSpan w:val="2"/>
            <w:tcBorders>
              <w:top w:val="nil"/>
              <w:left w:val="nil"/>
              <w:bottom w:val="nil"/>
              <w:right w:val="nil"/>
            </w:tcBorders>
          </w:tcPr>
          <w:p w:rsidR="00B50298" w:rsidRPr="00B50298" w:rsidRDefault="00B50298" w:rsidP="00D1000C">
            <w:pPr>
              <w:jc w:val="center"/>
            </w:pPr>
          </w:p>
        </w:tc>
        <w:tc>
          <w:tcPr>
            <w:tcW w:w="1388" w:type="dxa"/>
            <w:gridSpan w:val="2"/>
            <w:tcBorders>
              <w:top w:val="nil"/>
              <w:left w:val="nil"/>
              <w:bottom w:val="nil"/>
              <w:right w:val="nil"/>
            </w:tcBorders>
          </w:tcPr>
          <w:p w:rsidR="00B50298" w:rsidRPr="00B50298" w:rsidRDefault="00B50298" w:rsidP="00D1000C">
            <w:pPr>
              <w:jc w:val="center"/>
            </w:pPr>
          </w:p>
        </w:tc>
        <w:tc>
          <w:tcPr>
            <w:tcW w:w="1311" w:type="dxa"/>
            <w:tcBorders>
              <w:top w:val="nil"/>
              <w:left w:val="nil"/>
              <w:bottom w:val="nil"/>
              <w:right w:val="nil"/>
            </w:tcBorders>
          </w:tcPr>
          <w:p w:rsidR="00B50298" w:rsidRPr="00B50298" w:rsidRDefault="00B50298" w:rsidP="00D1000C">
            <w:pPr>
              <w:jc w:val="center"/>
            </w:pPr>
          </w:p>
        </w:tc>
        <w:tc>
          <w:tcPr>
            <w:tcW w:w="1467" w:type="dxa"/>
            <w:gridSpan w:val="2"/>
            <w:tcBorders>
              <w:top w:val="nil"/>
              <w:left w:val="nil"/>
              <w:bottom w:val="nil"/>
              <w:right w:val="nil"/>
            </w:tcBorders>
          </w:tcPr>
          <w:p w:rsidR="00B50298" w:rsidRPr="00B50298" w:rsidRDefault="00B50298" w:rsidP="00D1000C">
            <w:pPr>
              <w:jc w:val="center"/>
            </w:pPr>
          </w:p>
        </w:tc>
      </w:tr>
      <w:tr w:rsidR="00B50298" w:rsidRPr="00B50298" w:rsidTr="00D1000C">
        <w:trPr>
          <w:cantSplit/>
          <w:jc w:val="center"/>
        </w:trPr>
        <w:tc>
          <w:tcPr>
            <w:tcW w:w="379" w:type="dxa"/>
            <w:vMerge w:val="restart"/>
            <w:shd w:val="clear" w:color="auto" w:fill="auto"/>
            <w:textDirection w:val="btLr"/>
          </w:tcPr>
          <w:p w:rsidR="00B50298" w:rsidRPr="00B50298" w:rsidRDefault="00B50298" w:rsidP="00D1000C">
            <w:pPr>
              <w:ind w:left="113" w:right="113"/>
              <w:jc w:val="center"/>
              <w:rPr>
                <w:noProof/>
              </w:rPr>
            </w:pPr>
            <w:r w:rsidRPr="00B50298">
              <w:rPr>
                <w:noProof/>
              </w:rPr>
              <w:sym w:font="Wingdings" w:char="F0DF"/>
            </w:r>
            <w:r w:rsidRPr="00B50298">
              <w:rPr>
                <w:sz w:val="18"/>
              </w:rPr>
              <w:tab/>
            </w:r>
            <w:r w:rsidRPr="00B50298">
              <w:rPr>
                <w:sz w:val="18"/>
              </w:rPr>
              <w:tab/>
            </w:r>
            <w:r w:rsidRPr="00B50298">
              <w:rPr>
                <w:noProof/>
              </w:rPr>
              <w:t>largeur relative</w:t>
            </w:r>
            <w:r w:rsidRPr="00B50298">
              <w:rPr>
                <w:sz w:val="18"/>
              </w:rPr>
              <w:tab/>
            </w:r>
            <w:r w:rsidRPr="00B50298">
              <w:rPr>
                <w:sz w:val="18"/>
              </w:rPr>
              <w:tab/>
            </w:r>
            <w:r w:rsidRPr="00B50298">
              <w:rPr>
                <w:noProof/>
              </w:rPr>
              <w:sym w:font="Wingdings" w:char="F0E0"/>
            </w:r>
          </w:p>
        </w:tc>
        <w:tc>
          <w:tcPr>
            <w:tcW w:w="429" w:type="dxa"/>
            <w:gridSpan w:val="2"/>
            <w:vMerge w:val="restart"/>
            <w:tcBorders>
              <w:top w:val="single" w:sz="4" w:space="0" w:color="auto"/>
              <w:right w:val="single" w:sz="4" w:space="0" w:color="auto"/>
            </w:tcBorders>
            <w:textDirection w:val="btLr"/>
          </w:tcPr>
          <w:p w:rsidR="00B50298" w:rsidRPr="00B50298" w:rsidRDefault="00B50298" w:rsidP="00D1000C">
            <w:pPr>
              <w:ind w:left="113" w:right="113"/>
              <w:jc w:val="center"/>
            </w:pPr>
            <w:r w:rsidRPr="00B50298">
              <w:rPr>
                <w:noProof/>
              </w:rPr>
              <w:t xml:space="preserve">large </w:t>
            </w:r>
            <w:r w:rsidRPr="00B50298">
              <w:rPr>
                <w:noProof/>
              </w:rPr>
              <w:sym w:font="Wingdings" w:char="F0DF"/>
            </w:r>
            <w:r w:rsidRPr="00B50298">
              <w:rPr>
                <w:noProof/>
                <w:sz w:val="18"/>
              </w:rPr>
              <w:tab/>
            </w:r>
            <w:r w:rsidRPr="00B50298">
              <w:rPr>
                <w:noProof/>
                <w:sz w:val="18"/>
              </w:rPr>
              <w:tab/>
            </w:r>
            <w:r w:rsidRPr="00B50298">
              <w:rPr>
                <w:noProof/>
                <w:sz w:val="18"/>
              </w:rPr>
              <w:tab/>
            </w:r>
            <w:r w:rsidRPr="00B50298">
              <w:rPr>
                <w:noProof/>
                <w:sz w:val="18"/>
              </w:rPr>
              <w:tab/>
            </w:r>
            <w:r w:rsidRPr="00B50298">
              <w:rPr>
                <w:sz w:val="18"/>
              </w:rPr>
              <w:tab/>
            </w:r>
            <w:r w:rsidRPr="00B50298">
              <w:rPr>
                <w:sz w:val="18"/>
              </w:rPr>
              <w:tab/>
            </w:r>
            <w:r w:rsidRPr="00B50298">
              <w:rPr>
                <w:sz w:val="18"/>
              </w:rPr>
              <w:tab/>
            </w:r>
            <w:r w:rsidRPr="00B50298">
              <w:rPr>
                <w:sz w:val="18"/>
              </w:rPr>
              <w:tab/>
            </w:r>
            <w:r w:rsidRPr="00B50298">
              <w:rPr>
                <w:noProof/>
              </w:rPr>
              <w:sym w:font="Wingdings" w:char="F0E0"/>
            </w:r>
            <w:r w:rsidRPr="00B50298">
              <w:rPr>
                <w:noProof/>
              </w:rPr>
              <w:t xml:space="preserve"> étroite </w:t>
            </w:r>
          </w:p>
        </w:tc>
        <w:tc>
          <w:tcPr>
            <w:tcW w:w="283" w:type="dxa"/>
            <w:gridSpan w:val="2"/>
            <w:tcBorders>
              <w:top w:val="nil"/>
              <w:left w:val="nil"/>
              <w:bottom w:val="nil"/>
              <w:right w:val="nil"/>
            </w:tcBorders>
          </w:tcPr>
          <w:p w:rsidR="00B50298" w:rsidRPr="00B50298" w:rsidRDefault="00B50298" w:rsidP="00D1000C">
            <w:pPr>
              <w:jc w:val="center"/>
            </w:pPr>
          </w:p>
        </w:tc>
        <w:tc>
          <w:tcPr>
            <w:tcW w:w="1420" w:type="dxa"/>
            <w:tcBorders>
              <w:left w:val="single" w:sz="4" w:space="0" w:color="auto"/>
            </w:tcBorders>
          </w:tcPr>
          <w:p w:rsidR="00B50298" w:rsidRPr="00B50298" w:rsidRDefault="00B50298" w:rsidP="00D1000C">
            <w:pPr>
              <w:jc w:val="center"/>
            </w:pPr>
          </w:p>
        </w:tc>
        <w:tc>
          <w:tcPr>
            <w:tcW w:w="1389" w:type="dxa"/>
          </w:tcPr>
          <w:p w:rsidR="00B50298" w:rsidRPr="00B50298" w:rsidRDefault="00B50298" w:rsidP="00D1000C">
            <w:pPr>
              <w:jc w:val="center"/>
            </w:pPr>
          </w:p>
        </w:tc>
        <w:tc>
          <w:tcPr>
            <w:tcW w:w="1389" w:type="dxa"/>
            <w:gridSpan w:val="2"/>
          </w:tcPr>
          <w:p w:rsidR="00B50298" w:rsidRPr="00B50298" w:rsidRDefault="00B50298" w:rsidP="00D1000C">
            <w:pPr>
              <w:jc w:val="center"/>
            </w:pPr>
            <w:r w:rsidRPr="00B50298">
              <w:rPr>
                <w:noProof/>
                <w:lang w:val="en-US"/>
              </w:rPr>
              <w:drawing>
                <wp:inline distT="0" distB="0" distL="0" distR="0" wp14:anchorId="2B815CD5" wp14:editId="1CD319FE">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B50298" w:rsidRPr="00B50298" w:rsidRDefault="00B50298" w:rsidP="00D1000C">
            <w:pPr>
              <w:jc w:val="center"/>
            </w:pPr>
            <w:r w:rsidRPr="00B50298">
              <w:t>6</w:t>
            </w:r>
          </w:p>
          <w:p w:rsidR="00B50298" w:rsidRPr="00B50298" w:rsidRDefault="00B50298" w:rsidP="00D1000C">
            <w:pPr>
              <w:jc w:val="center"/>
            </w:pPr>
            <w:r w:rsidRPr="00B50298">
              <w:t>linéaire</w:t>
            </w:r>
          </w:p>
        </w:tc>
        <w:tc>
          <w:tcPr>
            <w:tcW w:w="1388" w:type="dxa"/>
            <w:gridSpan w:val="2"/>
          </w:tcPr>
          <w:p w:rsidR="00B50298" w:rsidRPr="00B50298" w:rsidRDefault="00B50298" w:rsidP="00D1000C">
            <w:pPr>
              <w:jc w:val="center"/>
            </w:pPr>
          </w:p>
        </w:tc>
        <w:tc>
          <w:tcPr>
            <w:tcW w:w="1311" w:type="dxa"/>
          </w:tcPr>
          <w:p w:rsidR="00B50298" w:rsidRPr="00B50298" w:rsidRDefault="00B50298" w:rsidP="00D1000C">
            <w:pPr>
              <w:jc w:val="center"/>
            </w:pPr>
          </w:p>
        </w:tc>
        <w:tc>
          <w:tcPr>
            <w:tcW w:w="1467" w:type="dxa"/>
            <w:gridSpan w:val="2"/>
          </w:tcPr>
          <w:p w:rsidR="00B50298" w:rsidRPr="00B50298" w:rsidRDefault="00B50298" w:rsidP="00D1000C">
            <w:pPr>
              <w:jc w:val="center"/>
            </w:pPr>
          </w:p>
        </w:tc>
      </w:tr>
      <w:tr w:rsidR="00B50298" w:rsidRPr="00B50298" w:rsidTr="00D1000C">
        <w:trPr>
          <w:cantSplit/>
          <w:jc w:val="center"/>
        </w:trPr>
        <w:tc>
          <w:tcPr>
            <w:tcW w:w="379" w:type="dxa"/>
            <w:vMerge/>
            <w:shd w:val="clear" w:color="auto" w:fill="auto"/>
          </w:tcPr>
          <w:p w:rsidR="00B50298" w:rsidRPr="00B50298" w:rsidRDefault="00B50298" w:rsidP="00D1000C">
            <w:pPr>
              <w:jc w:val="center"/>
            </w:pPr>
          </w:p>
        </w:tc>
        <w:tc>
          <w:tcPr>
            <w:tcW w:w="429" w:type="dxa"/>
            <w:gridSpan w:val="2"/>
            <w:vMerge/>
            <w:tcBorders>
              <w:right w:val="single" w:sz="4" w:space="0" w:color="auto"/>
            </w:tcBorders>
          </w:tcPr>
          <w:p w:rsidR="00B50298" w:rsidRPr="00B50298" w:rsidRDefault="00B50298" w:rsidP="00D1000C">
            <w:pPr>
              <w:jc w:val="center"/>
            </w:pPr>
          </w:p>
        </w:tc>
        <w:tc>
          <w:tcPr>
            <w:tcW w:w="283" w:type="dxa"/>
            <w:gridSpan w:val="2"/>
            <w:tcBorders>
              <w:top w:val="nil"/>
              <w:left w:val="nil"/>
              <w:bottom w:val="nil"/>
              <w:right w:val="nil"/>
            </w:tcBorders>
          </w:tcPr>
          <w:p w:rsidR="00B50298" w:rsidRPr="00B50298" w:rsidRDefault="00B50298" w:rsidP="00D1000C">
            <w:pPr>
              <w:jc w:val="center"/>
            </w:pPr>
          </w:p>
        </w:tc>
        <w:tc>
          <w:tcPr>
            <w:tcW w:w="1420" w:type="dxa"/>
            <w:tcBorders>
              <w:left w:val="single" w:sz="4" w:space="0" w:color="auto"/>
            </w:tcBorders>
          </w:tcPr>
          <w:p w:rsidR="00B50298" w:rsidRPr="00B50298" w:rsidRDefault="00B50298" w:rsidP="00D1000C">
            <w:pPr>
              <w:jc w:val="center"/>
            </w:pPr>
          </w:p>
        </w:tc>
        <w:tc>
          <w:tcPr>
            <w:tcW w:w="1389" w:type="dxa"/>
          </w:tcPr>
          <w:p w:rsidR="00B50298" w:rsidRPr="00B50298" w:rsidRDefault="00B50298" w:rsidP="00D1000C">
            <w:pPr>
              <w:jc w:val="center"/>
            </w:pPr>
          </w:p>
        </w:tc>
        <w:tc>
          <w:tcPr>
            <w:tcW w:w="1389" w:type="dxa"/>
            <w:gridSpan w:val="2"/>
          </w:tcPr>
          <w:p w:rsidR="00B50298" w:rsidRPr="00B50298" w:rsidRDefault="00B50298" w:rsidP="00D1000C">
            <w:pPr>
              <w:jc w:val="center"/>
            </w:pPr>
            <w:r w:rsidRPr="00B50298">
              <w:rPr>
                <w:noProof/>
                <w:lang w:val="en-US"/>
              </w:rPr>
              <w:drawing>
                <wp:inline distT="0" distB="0" distL="0" distR="0" wp14:anchorId="6998EB1B" wp14:editId="2A804FBD">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B50298" w:rsidRPr="00B50298" w:rsidRDefault="00B50298" w:rsidP="00D1000C">
            <w:pPr>
              <w:jc w:val="center"/>
            </w:pPr>
            <w:r w:rsidRPr="00B50298">
              <w:t>5</w:t>
            </w:r>
          </w:p>
          <w:p w:rsidR="00B50298" w:rsidRPr="00B50298" w:rsidRDefault="00B50298" w:rsidP="00D1000C">
            <w:pPr>
              <w:jc w:val="center"/>
            </w:pPr>
            <w:r w:rsidRPr="00B50298">
              <w:t>oblongue</w:t>
            </w:r>
          </w:p>
        </w:tc>
        <w:tc>
          <w:tcPr>
            <w:tcW w:w="1388" w:type="dxa"/>
            <w:gridSpan w:val="2"/>
          </w:tcPr>
          <w:p w:rsidR="00B50298" w:rsidRPr="00B50298" w:rsidRDefault="00B50298" w:rsidP="00D1000C">
            <w:pPr>
              <w:jc w:val="center"/>
            </w:pPr>
            <w:r w:rsidRPr="00B50298">
              <w:rPr>
                <w:noProof/>
                <w:lang w:val="en-US"/>
              </w:rPr>
              <w:drawing>
                <wp:inline distT="0" distB="0" distL="0" distR="0" wp14:anchorId="177FD2D7" wp14:editId="1DC83908">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B50298" w:rsidRPr="00B50298" w:rsidRDefault="00B50298" w:rsidP="00D1000C">
            <w:pPr>
              <w:jc w:val="center"/>
            </w:pPr>
            <w:r w:rsidRPr="00B50298">
              <w:t>8</w:t>
            </w:r>
          </w:p>
          <w:p w:rsidR="00B50298" w:rsidRPr="00B50298" w:rsidRDefault="00B50298" w:rsidP="00D1000C">
            <w:pPr>
              <w:jc w:val="center"/>
            </w:pPr>
            <w:proofErr w:type="spellStart"/>
            <w:r w:rsidRPr="00B50298">
              <w:t>oblancéolée</w:t>
            </w:r>
            <w:proofErr w:type="spellEnd"/>
          </w:p>
        </w:tc>
        <w:tc>
          <w:tcPr>
            <w:tcW w:w="1311" w:type="dxa"/>
          </w:tcPr>
          <w:p w:rsidR="00B50298" w:rsidRPr="00B50298" w:rsidRDefault="00B50298" w:rsidP="00D1000C">
            <w:pPr>
              <w:jc w:val="center"/>
            </w:pPr>
            <w:r w:rsidRPr="00B50298">
              <w:rPr>
                <w:noProof/>
                <w:lang w:val="en-US"/>
              </w:rPr>
              <w:drawing>
                <wp:inline distT="0" distB="0" distL="0" distR="0" wp14:anchorId="2540A0DB" wp14:editId="3B67A6D5">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B50298" w:rsidRPr="00B50298" w:rsidRDefault="00B50298" w:rsidP="00D1000C">
            <w:pPr>
              <w:jc w:val="center"/>
            </w:pPr>
            <w:r w:rsidRPr="00B50298">
              <w:t>9</w:t>
            </w:r>
          </w:p>
          <w:p w:rsidR="00B50298" w:rsidRPr="00B50298" w:rsidRDefault="00B50298" w:rsidP="00D1000C">
            <w:pPr>
              <w:jc w:val="center"/>
            </w:pPr>
            <w:r w:rsidRPr="00B50298">
              <w:t>spatulée</w:t>
            </w:r>
          </w:p>
        </w:tc>
        <w:tc>
          <w:tcPr>
            <w:tcW w:w="1467" w:type="dxa"/>
            <w:gridSpan w:val="2"/>
          </w:tcPr>
          <w:p w:rsidR="00B50298" w:rsidRPr="00B50298" w:rsidRDefault="00B50298" w:rsidP="00D1000C">
            <w:pPr>
              <w:jc w:val="center"/>
            </w:pPr>
          </w:p>
        </w:tc>
      </w:tr>
      <w:tr w:rsidR="00B50298" w:rsidRPr="00B50298" w:rsidTr="00D1000C">
        <w:trPr>
          <w:cantSplit/>
          <w:jc w:val="center"/>
        </w:trPr>
        <w:tc>
          <w:tcPr>
            <w:tcW w:w="379" w:type="dxa"/>
            <w:vMerge/>
            <w:shd w:val="clear" w:color="auto" w:fill="auto"/>
          </w:tcPr>
          <w:p w:rsidR="00B50298" w:rsidRPr="00B50298" w:rsidRDefault="00B50298" w:rsidP="00D1000C">
            <w:pPr>
              <w:jc w:val="center"/>
            </w:pPr>
          </w:p>
        </w:tc>
        <w:tc>
          <w:tcPr>
            <w:tcW w:w="429" w:type="dxa"/>
            <w:gridSpan w:val="2"/>
            <w:vMerge/>
            <w:tcBorders>
              <w:right w:val="single" w:sz="4" w:space="0" w:color="auto"/>
            </w:tcBorders>
          </w:tcPr>
          <w:p w:rsidR="00B50298" w:rsidRPr="00B50298" w:rsidRDefault="00B50298" w:rsidP="00D1000C">
            <w:pPr>
              <w:jc w:val="center"/>
            </w:pPr>
          </w:p>
        </w:tc>
        <w:tc>
          <w:tcPr>
            <w:tcW w:w="283" w:type="dxa"/>
            <w:gridSpan w:val="2"/>
            <w:tcBorders>
              <w:top w:val="nil"/>
              <w:left w:val="nil"/>
              <w:bottom w:val="nil"/>
              <w:right w:val="nil"/>
            </w:tcBorders>
          </w:tcPr>
          <w:p w:rsidR="00B50298" w:rsidRPr="00B50298" w:rsidRDefault="00B50298" w:rsidP="00D1000C">
            <w:pPr>
              <w:jc w:val="center"/>
            </w:pPr>
          </w:p>
        </w:tc>
        <w:tc>
          <w:tcPr>
            <w:tcW w:w="1420" w:type="dxa"/>
            <w:tcBorders>
              <w:left w:val="single" w:sz="4" w:space="0" w:color="auto"/>
            </w:tcBorders>
          </w:tcPr>
          <w:p w:rsidR="00B50298" w:rsidRPr="00B50298" w:rsidRDefault="00B50298" w:rsidP="00D1000C">
            <w:pPr>
              <w:jc w:val="center"/>
            </w:pPr>
            <w:r w:rsidRPr="00B50298">
              <w:rPr>
                <w:noProof/>
                <w:lang w:val="en-US"/>
              </w:rPr>
              <w:drawing>
                <wp:inline distT="0" distB="0" distL="0" distR="0" wp14:anchorId="127818D7" wp14:editId="245DB351">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B50298" w:rsidRPr="00B50298" w:rsidRDefault="00B50298" w:rsidP="00D1000C">
            <w:pPr>
              <w:jc w:val="center"/>
            </w:pPr>
            <w:r w:rsidRPr="00B50298">
              <w:t>1</w:t>
            </w:r>
          </w:p>
          <w:p w:rsidR="00B50298" w:rsidRPr="00B50298" w:rsidRDefault="00B50298" w:rsidP="00D1000C">
            <w:pPr>
              <w:jc w:val="center"/>
            </w:pPr>
            <w:r w:rsidRPr="00B50298">
              <w:t>triangulaire</w:t>
            </w:r>
          </w:p>
        </w:tc>
        <w:tc>
          <w:tcPr>
            <w:tcW w:w="1389" w:type="dxa"/>
          </w:tcPr>
          <w:p w:rsidR="00B50298" w:rsidRPr="00B50298" w:rsidRDefault="00B50298" w:rsidP="00D1000C">
            <w:pPr>
              <w:jc w:val="center"/>
            </w:pPr>
            <w:r w:rsidRPr="00B50298">
              <w:rPr>
                <w:noProof/>
                <w:lang w:val="en-US"/>
              </w:rPr>
              <w:drawing>
                <wp:inline distT="0" distB="0" distL="0" distR="0" wp14:anchorId="39B501A5" wp14:editId="700CDAE6">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B50298" w:rsidRPr="00B50298" w:rsidRDefault="00B50298" w:rsidP="00D1000C">
            <w:pPr>
              <w:jc w:val="center"/>
            </w:pPr>
            <w:r w:rsidRPr="00B50298">
              <w:t>2</w:t>
            </w:r>
          </w:p>
          <w:p w:rsidR="00B50298" w:rsidRPr="00B50298" w:rsidRDefault="00B50298" w:rsidP="00D1000C">
            <w:pPr>
              <w:jc w:val="center"/>
            </w:pPr>
            <w:r w:rsidRPr="00B50298">
              <w:t>ovale</w:t>
            </w:r>
          </w:p>
        </w:tc>
        <w:tc>
          <w:tcPr>
            <w:tcW w:w="1389" w:type="dxa"/>
            <w:gridSpan w:val="2"/>
          </w:tcPr>
          <w:p w:rsidR="00B50298" w:rsidRPr="00B50298" w:rsidRDefault="00B50298" w:rsidP="00D1000C">
            <w:pPr>
              <w:jc w:val="center"/>
            </w:pPr>
            <w:r w:rsidRPr="00B50298">
              <w:rPr>
                <w:noProof/>
                <w:lang w:val="en-US"/>
              </w:rPr>
              <w:drawing>
                <wp:inline distT="0" distB="0" distL="0" distR="0" wp14:anchorId="3836A018" wp14:editId="22A879FC">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B50298" w:rsidRPr="00B50298" w:rsidRDefault="00B50298" w:rsidP="00D1000C">
            <w:pPr>
              <w:jc w:val="center"/>
            </w:pPr>
            <w:r w:rsidRPr="00B50298">
              <w:t>4</w:t>
            </w:r>
          </w:p>
          <w:p w:rsidR="00B50298" w:rsidRPr="00B50298" w:rsidRDefault="00B50298" w:rsidP="00D1000C">
            <w:pPr>
              <w:jc w:val="center"/>
            </w:pPr>
            <w:r w:rsidRPr="00B50298">
              <w:t>elliptique</w:t>
            </w:r>
          </w:p>
        </w:tc>
        <w:tc>
          <w:tcPr>
            <w:tcW w:w="1388" w:type="dxa"/>
            <w:gridSpan w:val="2"/>
          </w:tcPr>
          <w:p w:rsidR="00B50298" w:rsidRPr="00B50298" w:rsidRDefault="00B50298" w:rsidP="00D1000C">
            <w:pPr>
              <w:jc w:val="center"/>
            </w:pPr>
            <w:r w:rsidRPr="00B50298">
              <w:rPr>
                <w:noProof/>
                <w:lang w:val="en-US"/>
              </w:rPr>
              <w:drawing>
                <wp:inline distT="0" distB="0" distL="0" distR="0" wp14:anchorId="345C740A" wp14:editId="59DC8603">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B50298" w:rsidRPr="00B50298" w:rsidRDefault="00B50298" w:rsidP="00D1000C">
            <w:pPr>
              <w:jc w:val="center"/>
            </w:pPr>
            <w:r w:rsidRPr="00B50298">
              <w:t>7</w:t>
            </w:r>
          </w:p>
          <w:p w:rsidR="00B50298" w:rsidRPr="00B50298" w:rsidRDefault="00B50298" w:rsidP="00D1000C">
            <w:pPr>
              <w:jc w:val="center"/>
            </w:pPr>
            <w:proofErr w:type="spellStart"/>
            <w:r w:rsidRPr="00B50298">
              <w:t>obovale</w:t>
            </w:r>
            <w:proofErr w:type="spellEnd"/>
          </w:p>
        </w:tc>
        <w:tc>
          <w:tcPr>
            <w:tcW w:w="1311" w:type="dxa"/>
          </w:tcPr>
          <w:p w:rsidR="00B50298" w:rsidRPr="00B50298" w:rsidRDefault="00B50298" w:rsidP="00D1000C">
            <w:pPr>
              <w:jc w:val="center"/>
            </w:pPr>
          </w:p>
        </w:tc>
        <w:tc>
          <w:tcPr>
            <w:tcW w:w="1467" w:type="dxa"/>
            <w:gridSpan w:val="2"/>
          </w:tcPr>
          <w:p w:rsidR="00B50298" w:rsidRPr="00B50298" w:rsidRDefault="00B50298" w:rsidP="00D1000C">
            <w:pPr>
              <w:jc w:val="center"/>
            </w:pPr>
            <w:r w:rsidRPr="00B50298">
              <w:rPr>
                <w:noProof/>
                <w:lang w:val="en-US"/>
              </w:rPr>
              <w:drawing>
                <wp:inline distT="0" distB="0" distL="0" distR="0" wp14:anchorId="7C0E0DE2" wp14:editId="42378D6A">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B50298" w:rsidRPr="00B50298" w:rsidRDefault="00B50298" w:rsidP="00D1000C">
            <w:pPr>
              <w:jc w:val="center"/>
            </w:pPr>
            <w:r w:rsidRPr="00B50298">
              <w:t xml:space="preserve">10 </w:t>
            </w:r>
            <w:proofErr w:type="spellStart"/>
            <w:r w:rsidRPr="00B50298">
              <w:rPr>
                <w:spacing w:val="-2"/>
              </w:rPr>
              <w:t>obtriangulaire</w:t>
            </w:r>
            <w:proofErr w:type="spellEnd"/>
          </w:p>
        </w:tc>
      </w:tr>
      <w:tr w:rsidR="00B50298" w:rsidRPr="00B50298" w:rsidTr="00D1000C">
        <w:trPr>
          <w:cantSplit/>
          <w:trHeight w:val="2035"/>
          <w:jc w:val="center"/>
        </w:trPr>
        <w:tc>
          <w:tcPr>
            <w:tcW w:w="379" w:type="dxa"/>
            <w:vMerge/>
            <w:shd w:val="clear" w:color="auto" w:fill="auto"/>
          </w:tcPr>
          <w:p w:rsidR="00B50298" w:rsidRPr="00B50298" w:rsidRDefault="00B50298" w:rsidP="00D1000C">
            <w:pPr>
              <w:jc w:val="center"/>
            </w:pPr>
          </w:p>
        </w:tc>
        <w:tc>
          <w:tcPr>
            <w:tcW w:w="429" w:type="dxa"/>
            <w:gridSpan w:val="2"/>
            <w:vMerge/>
            <w:tcBorders>
              <w:right w:val="single" w:sz="4" w:space="0" w:color="auto"/>
            </w:tcBorders>
          </w:tcPr>
          <w:p w:rsidR="00B50298" w:rsidRPr="00B50298" w:rsidRDefault="00B50298" w:rsidP="00D1000C">
            <w:pPr>
              <w:jc w:val="center"/>
            </w:pPr>
          </w:p>
        </w:tc>
        <w:tc>
          <w:tcPr>
            <w:tcW w:w="283" w:type="dxa"/>
            <w:gridSpan w:val="2"/>
            <w:tcBorders>
              <w:top w:val="nil"/>
              <w:left w:val="nil"/>
              <w:bottom w:val="nil"/>
              <w:right w:val="nil"/>
            </w:tcBorders>
          </w:tcPr>
          <w:p w:rsidR="00B50298" w:rsidRPr="00B50298" w:rsidRDefault="00B50298" w:rsidP="00D1000C">
            <w:pPr>
              <w:jc w:val="center"/>
            </w:pPr>
          </w:p>
        </w:tc>
        <w:tc>
          <w:tcPr>
            <w:tcW w:w="1420" w:type="dxa"/>
            <w:tcBorders>
              <w:left w:val="single" w:sz="4" w:space="0" w:color="auto"/>
            </w:tcBorders>
          </w:tcPr>
          <w:p w:rsidR="00B50298" w:rsidRPr="00B50298" w:rsidRDefault="00B50298" w:rsidP="00D1000C">
            <w:pPr>
              <w:jc w:val="center"/>
            </w:pPr>
          </w:p>
        </w:tc>
        <w:tc>
          <w:tcPr>
            <w:tcW w:w="1389" w:type="dxa"/>
          </w:tcPr>
          <w:p w:rsidR="00B50298" w:rsidRPr="00B50298" w:rsidRDefault="00B50298" w:rsidP="00D1000C">
            <w:pPr>
              <w:jc w:val="center"/>
            </w:pPr>
          </w:p>
        </w:tc>
        <w:tc>
          <w:tcPr>
            <w:tcW w:w="1389" w:type="dxa"/>
            <w:gridSpan w:val="2"/>
          </w:tcPr>
          <w:p w:rsidR="00B50298" w:rsidRPr="00B50298" w:rsidRDefault="00B50298" w:rsidP="00D1000C">
            <w:pPr>
              <w:jc w:val="center"/>
            </w:pPr>
            <w:r w:rsidRPr="00B50298">
              <w:rPr>
                <w:noProof/>
                <w:lang w:val="en-US"/>
              </w:rPr>
              <w:drawing>
                <wp:inline distT="0" distB="0" distL="0" distR="0" wp14:anchorId="6838EE27" wp14:editId="6B15356B">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B50298" w:rsidRPr="00B50298" w:rsidRDefault="00B50298" w:rsidP="00D1000C">
            <w:pPr>
              <w:jc w:val="center"/>
            </w:pPr>
            <w:r w:rsidRPr="00B50298">
              <w:t>3</w:t>
            </w:r>
          </w:p>
          <w:p w:rsidR="00B50298" w:rsidRPr="00B50298" w:rsidRDefault="00B50298" w:rsidP="00D1000C">
            <w:pPr>
              <w:jc w:val="center"/>
            </w:pPr>
            <w:r w:rsidRPr="00B50298">
              <w:t>circulaire</w:t>
            </w:r>
          </w:p>
        </w:tc>
        <w:tc>
          <w:tcPr>
            <w:tcW w:w="1388" w:type="dxa"/>
            <w:gridSpan w:val="2"/>
          </w:tcPr>
          <w:p w:rsidR="00B50298" w:rsidRPr="00B50298" w:rsidRDefault="00B50298" w:rsidP="00D1000C">
            <w:pPr>
              <w:jc w:val="center"/>
            </w:pPr>
          </w:p>
        </w:tc>
        <w:tc>
          <w:tcPr>
            <w:tcW w:w="1311" w:type="dxa"/>
          </w:tcPr>
          <w:p w:rsidR="00B50298" w:rsidRPr="00B50298" w:rsidRDefault="00B50298" w:rsidP="00D1000C">
            <w:pPr>
              <w:jc w:val="center"/>
            </w:pPr>
          </w:p>
        </w:tc>
        <w:tc>
          <w:tcPr>
            <w:tcW w:w="1467" w:type="dxa"/>
            <w:gridSpan w:val="2"/>
          </w:tcPr>
          <w:p w:rsidR="00B50298" w:rsidRPr="00B50298" w:rsidRDefault="00B50298" w:rsidP="00D1000C">
            <w:pPr>
              <w:jc w:val="center"/>
            </w:pPr>
          </w:p>
        </w:tc>
      </w:tr>
    </w:tbl>
    <w:p w:rsidR="00B50298" w:rsidRPr="00B50298" w:rsidRDefault="00B50298" w:rsidP="00B50298">
      <w:pPr>
        <w:rPr>
          <w:rFonts w:eastAsia="MS Mincho"/>
          <w:lang w:val="fr-CH"/>
        </w:rPr>
      </w:pPr>
    </w:p>
    <w:p w:rsidR="00917A05" w:rsidRPr="00645FD3" w:rsidRDefault="00917A05" w:rsidP="00E23559"/>
    <w:p w:rsidR="00917A05" w:rsidRPr="00645FD3" w:rsidRDefault="00E23559" w:rsidP="00E23559">
      <w:pPr>
        <w:jc w:val="left"/>
      </w:pPr>
      <w:r w:rsidRPr="00645FD3">
        <w:br w:type="page"/>
      </w:r>
    </w:p>
    <w:p w:rsidR="00917A05" w:rsidRPr="00645FD3" w:rsidRDefault="00E23559" w:rsidP="00E23559">
      <w:pPr>
        <w:rPr>
          <w:rFonts w:eastAsia="MS Mincho"/>
          <w:u w:val="single"/>
        </w:rPr>
      </w:pPr>
      <w:r w:rsidRPr="00645FD3">
        <w:rPr>
          <w:rFonts w:eastAsia="MS Mincho"/>
          <w:u w:val="single"/>
        </w:rPr>
        <w:lastRenderedPageBreak/>
        <w:t>(ii)</w:t>
      </w:r>
      <w:r w:rsidRPr="00645FD3">
        <w:rPr>
          <w:rFonts w:eastAsia="MS Mincho"/>
          <w:u w:val="single"/>
        </w:rPr>
        <w:tab/>
      </w:r>
      <w:r w:rsidR="003E5AF4" w:rsidRPr="003E5AF4">
        <w:rPr>
          <w:rFonts w:eastAsia="MS Mincho"/>
          <w:u w:val="single"/>
        </w:rPr>
        <w:t>Facteurs à prendre en considération pour la création de groupes de couleurs</w:t>
      </w:r>
    </w:p>
    <w:p w:rsidR="00917A05" w:rsidRPr="00645FD3" w:rsidRDefault="00917A05" w:rsidP="00E23559"/>
    <w:p w:rsidR="00917A05" w:rsidRPr="00645FD3" w:rsidRDefault="003E5AF4" w:rsidP="00E23559">
      <w:r>
        <w:t xml:space="preserve">Le </w:t>
      </w:r>
      <w:r w:rsidR="009E1FB4" w:rsidRPr="00645FD3">
        <w:t>TC</w:t>
      </w:r>
      <w:r w:rsidR="00E23559" w:rsidRPr="00645FD3">
        <w:t xml:space="preserve">, </w:t>
      </w:r>
      <w:r>
        <w:t xml:space="preserve">à sa cinquante-quatrième </w:t>
      </w:r>
      <w:r w:rsidR="00E23559" w:rsidRPr="00645FD3">
        <w:t xml:space="preserve">session, </w:t>
      </w:r>
      <w:r>
        <w:t xml:space="preserve">a examiné le </w:t>
      </w:r>
      <w:r w:rsidR="009E1FB4" w:rsidRPr="00645FD3">
        <w:t>document TC</w:t>
      </w:r>
      <w:r w:rsidR="00E23559" w:rsidRPr="00645FD3">
        <w:t>/54/22 “</w:t>
      </w:r>
      <w:r w:rsidRPr="003E5AF4">
        <w:t xml:space="preserve">Noms de couleur pour le code RHS </w:t>
      </w:r>
      <w:r>
        <w:t>des couleurs</w:t>
      </w:r>
      <w:r w:rsidR="00E23559" w:rsidRPr="00645FD3">
        <w:t>” (</w:t>
      </w:r>
      <w:r>
        <w:t xml:space="preserve">voir le </w:t>
      </w:r>
      <w:r w:rsidR="009E1FB4" w:rsidRPr="00645FD3">
        <w:t xml:space="preserve">document </w:t>
      </w:r>
      <w:r w:rsidR="00D811BF">
        <w:t>TC/54/31 Corr.</w:t>
      </w:r>
      <w:r w:rsidR="00E23559" w:rsidRPr="00645FD3">
        <w:t xml:space="preserve"> “</w:t>
      </w:r>
      <w:r>
        <w:t>Compte rendu</w:t>
      </w:r>
      <w:r w:rsidR="00E23559" w:rsidRPr="00645FD3">
        <w:t>”, paragraph</w:t>
      </w:r>
      <w:r>
        <w:t>e</w:t>
      </w:r>
      <w:r w:rsidR="00E23559" w:rsidRPr="00645FD3">
        <w:t xml:space="preserve"> 244).</w:t>
      </w:r>
    </w:p>
    <w:p w:rsidR="00917A05" w:rsidRDefault="00917A05" w:rsidP="00E23559"/>
    <w:p w:rsidR="003E5AF4" w:rsidRPr="00645FD3" w:rsidRDefault="003E5AF4" w:rsidP="00E23559">
      <w:r>
        <w:t xml:space="preserve">Le </w:t>
      </w:r>
      <w:r w:rsidRPr="00961D01">
        <w:t xml:space="preserve">TC </w:t>
      </w:r>
      <w:r>
        <w:t xml:space="preserve">est convenu </w:t>
      </w:r>
      <w:r w:rsidRPr="00961D01">
        <w:t>de proposer de modifier comme suit le document TGP/14 pour y inclure des orientations sur les facteurs à prendre en considération pour la création de groupes de couleurs aux fins du groupement de variétés et de l’organisation d’essais en culture</w:t>
      </w:r>
      <w:r>
        <w:t> :</w:t>
      </w:r>
    </w:p>
    <w:p w:rsidR="00917A05" w:rsidRPr="00645FD3" w:rsidRDefault="00917A05" w:rsidP="00E23559">
      <w:pPr>
        <w:rPr>
          <w:rFonts w:eastAsiaTheme="minorEastAsia" w:cs="Arial"/>
        </w:rPr>
      </w:pPr>
    </w:p>
    <w:p w:rsidR="00917A05" w:rsidRPr="00645FD3" w:rsidRDefault="003E5AF4" w:rsidP="00E23559">
      <w:pPr>
        <w:ind w:left="567" w:right="567"/>
        <w:rPr>
          <w:rFonts w:eastAsiaTheme="minorEastAsia" w:cs="Arial"/>
          <w:szCs w:val="18"/>
        </w:rPr>
      </w:pPr>
      <w:r>
        <w:rPr>
          <w:rFonts w:eastAsiaTheme="minorEastAsia" w:cs="Arial"/>
          <w:szCs w:val="18"/>
        </w:rPr>
        <w:t xml:space="preserve">Sous-section </w:t>
      </w:r>
      <w:r w:rsidR="009E1FB4" w:rsidRPr="00645FD3">
        <w:rPr>
          <w:rFonts w:eastAsiaTheme="minorEastAsia" w:cs="Arial"/>
          <w:szCs w:val="18"/>
        </w:rPr>
        <w:t>3</w:t>
      </w:r>
      <w:r w:rsidR="00E23559" w:rsidRPr="00645FD3">
        <w:rPr>
          <w:rFonts w:eastAsiaTheme="minorEastAsia" w:cs="Arial"/>
          <w:szCs w:val="18"/>
        </w:rPr>
        <w:t>: Co</w:t>
      </w:r>
      <w:r>
        <w:rPr>
          <w:rFonts w:eastAsiaTheme="minorEastAsia" w:cs="Arial"/>
          <w:szCs w:val="18"/>
        </w:rPr>
        <w:t>uleur</w:t>
      </w:r>
      <w:r w:rsidR="00E23559" w:rsidRPr="00645FD3">
        <w:rPr>
          <w:rFonts w:eastAsiaTheme="minorEastAsia" w:cs="Arial"/>
          <w:szCs w:val="18"/>
        </w:rPr>
        <w:t xml:space="preserve">: </w:t>
      </w:r>
      <w:r>
        <w:rPr>
          <w:rFonts w:eastAsiaTheme="minorEastAsia" w:cs="Arial"/>
          <w:szCs w:val="18"/>
        </w:rPr>
        <w:t>Nouvelle s</w:t>
      </w:r>
      <w:r w:rsidR="00E23559" w:rsidRPr="00645FD3">
        <w:rPr>
          <w:rFonts w:eastAsiaTheme="minorEastAsia" w:cs="Arial"/>
          <w:szCs w:val="18"/>
        </w:rPr>
        <w:t>ection: 5 “</w:t>
      </w:r>
      <w:r w:rsidRPr="003E5AF4">
        <w:rPr>
          <w:rFonts w:eastAsiaTheme="minorEastAsia" w:cs="Arial"/>
          <w:szCs w:val="18"/>
        </w:rPr>
        <w:t>Facteurs à prendre en considération pour la création de groupes de couleurs</w:t>
      </w:r>
      <w:r w:rsidR="00E23559" w:rsidRPr="00645FD3">
        <w:rPr>
          <w:rFonts w:eastAsiaTheme="minorEastAsia" w:cs="Arial"/>
          <w:szCs w:val="18"/>
        </w:rPr>
        <w:t>”</w:t>
      </w:r>
    </w:p>
    <w:p w:rsidR="00917A05" w:rsidRPr="00645FD3" w:rsidRDefault="00917A05" w:rsidP="00E23559">
      <w:pPr>
        <w:ind w:left="567" w:right="567"/>
        <w:rPr>
          <w:rFonts w:eastAsiaTheme="minorEastAsia" w:cs="Arial"/>
        </w:rPr>
      </w:pPr>
    </w:p>
    <w:p w:rsidR="003E5AF4" w:rsidRPr="003E5AF4" w:rsidRDefault="003E5AF4" w:rsidP="003E5AF4">
      <w:pPr>
        <w:keepNext/>
        <w:ind w:left="567" w:right="567"/>
        <w:rPr>
          <w:rFonts w:eastAsiaTheme="minorEastAsia" w:cs="Arial"/>
        </w:rPr>
      </w:pPr>
      <w:r w:rsidRPr="003E5AF4">
        <w:rPr>
          <w:rFonts w:eastAsiaTheme="minorEastAsia" w:cs="Arial"/>
        </w:rPr>
        <w:t>“Lorsqu’on utilise la couleur d’une partie de plante aux fins du groupement des variétés, une très nette différence entre les couleurs est requise.  Cependant, les groupes de couleurs sont également utilisés dans le questionnaire technique pour les demandeurs qui n’ont pas de code RHS des couleurs.  Par conséquent, les groupes doivent être suffisamment petits pour que les demandeurs puissent indiquer un niveau d’expression adapté pour le caractère.</w:t>
      </w:r>
    </w:p>
    <w:p w:rsidR="003E5AF4" w:rsidRPr="003E5AF4" w:rsidRDefault="003E5AF4" w:rsidP="003E5AF4">
      <w:pPr>
        <w:ind w:left="567" w:right="567"/>
        <w:rPr>
          <w:rFonts w:eastAsiaTheme="minorEastAsia" w:cs="Arial"/>
        </w:rPr>
      </w:pPr>
    </w:p>
    <w:p w:rsidR="003E5AF4" w:rsidRPr="003E5AF4" w:rsidRDefault="003E5AF4" w:rsidP="003E5AF4">
      <w:pPr>
        <w:ind w:left="567" w:right="567"/>
        <w:rPr>
          <w:rFonts w:eastAsiaTheme="minorEastAsia" w:cs="Arial"/>
        </w:rPr>
      </w:pPr>
      <w:r w:rsidRPr="003E5AF4">
        <w:rPr>
          <w:rFonts w:eastAsiaTheme="minorEastAsia" w:cs="Arial"/>
        </w:rPr>
        <w:t>“Les facteurs ci</w:t>
      </w:r>
      <w:r w:rsidRPr="003E5AF4">
        <w:rPr>
          <w:rFonts w:eastAsiaTheme="minorEastAsia" w:cs="Arial"/>
        </w:rPr>
        <w:noBreakHyphen/>
        <w:t>après sont à prendre en considération pour la création de groupes de couleurs aux fins du groupement des variétés :</w:t>
      </w:r>
    </w:p>
    <w:p w:rsidR="003E5AF4" w:rsidRPr="003E5AF4" w:rsidRDefault="003E5AF4" w:rsidP="003E5AF4">
      <w:pPr>
        <w:ind w:left="567" w:right="567"/>
        <w:rPr>
          <w:rFonts w:eastAsiaTheme="minorEastAsia" w:cs="Arial"/>
          <w:sz w:val="12"/>
        </w:rPr>
      </w:pPr>
    </w:p>
    <w:p w:rsidR="003E5AF4" w:rsidRPr="003E5AF4" w:rsidRDefault="003E5AF4" w:rsidP="003E5AF4">
      <w:pPr>
        <w:numPr>
          <w:ilvl w:val="0"/>
          <w:numId w:val="8"/>
        </w:numPr>
        <w:ind w:left="1701" w:right="567" w:hanging="567"/>
        <w:contextualSpacing/>
        <w:rPr>
          <w:rFonts w:eastAsiaTheme="minorEastAsia" w:cs="Arial"/>
        </w:rPr>
      </w:pPr>
      <w:r w:rsidRPr="003E5AF4">
        <w:rPr>
          <w:rFonts w:eastAsiaTheme="minorEastAsia" w:cs="Arial"/>
        </w:rPr>
        <w:t>gamme des variations de la couleur de la partie de plante au sein de l’espèce</w:t>
      </w:r>
    </w:p>
    <w:p w:rsidR="003E5AF4" w:rsidRPr="003E5AF4" w:rsidRDefault="003E5AF4" w:rsidP="003E5AF4">
      <w:pPr>
        <w:numPr>
          <w:ilvl w:val="0"/>
          <w:numId w:val="8"/>
        </w:numPr>
        <w:ind w:left="1701" w:right="567" w:hanging="567"/>
        <w:contextualSpacing/>
        <w:rPr>
          <w:rFonts w:eastAsiaTheme="minorEastAsia" w:cs="Arial"/>
        </w:rPr>
      </w:pPr>
      <w:r w:rsidRPr="003E5AF4">
        <w:rPr>
          <w:rFonts w:eastAsiaTheme="minorEastAsia" w:cs="Arial"/>
        </w:rPr>
        <w:t>différences de couleurs nécessaires pour que les variétés soient considérées comme étant nettement distinctes</w:t>
      </w:r>
    </w:p>
    <w:p w:rsidR="003E5AF4" w:rsidRPr="003E5AF4" w:rsidRDefault="003E5AF4" w:rsidP="003E5AF4">
      <w:pPr>
        <w:numPr>
          <w:ilvl w:val="0"/>
          <w:numId w:val="8"/>
        </w:numPr>
        <w:ind w:left="1701" w:right="567" w:hanging="567"/>
        <w:contextualSpacing/>
        <w:rPr>
          <w:rFonts w:eastAsiaTheme="minorEastAsia" w:cs="Arial"/>
        </w:rPr>
      </w:pPr>
      <w:r w:rsidRPr="003E5AF4">
        <w:rPr>
          <w:rFonts w:eastAsiaTheme="minorEastAsia" w:cs="Arial"/>
        </w:rPr>
        <w:t>influence possible de l’environnement sur la couleur de la partie de plante.</w:t>
      </w:r>
    </w:p>
    <w:p w:rsidR="003E5AF4" w:rsidRPr="003E5AF4" w:rsidRDefault="003E5AF4" w:rsidP="003E5AF4">
      <w:pPr>
        <w:rPr>
          <w:rFonts w:eastAsiaTheme="minorEastAsia"/>
          <w:sz w:val="22"/>
        </w:rPr>
      </w:pPr>
    </w:p>
    <w:p w:rsidR="003E5AF4" w:rsidRPr="003E5AF4" w:rsidRDefault="003E5AF4" w:rsidP="003E5AF4">
      <w:pPr>
        <w:ind w:left="567" w:right="567"/>
        <w:rPr>
          <w:rFonts w:eastAsiaTheme="minorEastAsia" w:cs="Arial"/>
        </w:rPr>
      </w:pPr>
      <w:r w:rsidRPr="003E5AF4">
        <w:rPr>
          <w:rFonts w:eastAsiaTheme="minorEastAsia" w:cs="Arial"/>
        </w:rPr>
        <w:t>“Selon l’espèce et la partie de plante observée, les groupes de couleurs aux fins du groupement peuvent varier.  Le tableau ci</w:t>
      </w:r>
      <w:r w:rsidRPr="003E5AF4">
        <w:rPr>
          <w:rFonts w:eastAsiaTheme="minorEastAsia" w:cs="Arial"/>
        </w:rPr>
        <w:noBreakHyphen/>
        <w:t>dessous contient des exemples de groupes de couleurs aux fins des caractères de groupement de plusieurs principes directeurs d’examen.</w:t>
      </w:r>
    </w:p>
    <w:p w:rsidR="003E5AF4" w:rsidRPr="003E5AF4" w:rsidRDefault="003E5AF4" w:rsidP="003E5AF4">
      <w:pPr>
        <w:tabs>
          <w:tab w:val="left" w:pos="8556"/>
        </w:tabs>
        <w:rPr>
          <w:rFonts w:eastAsiaTheme="minorEastAsia" w:cs="Arial"/>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3E5AF4" w:rsidRPr="003E5AF4" w:rsidTr="00D1000C">
        <w:trPr>
          <w:cantSplit/>
          <w:trHeight w:val="397"/>
          <w:jc w:val="center"/>
        </w:trPr>
        <w:tc>
          <w:tcPr>
            <w:tcW w:w="1508" w:type="dxa"/>
            <w:tcBorders>
              <w:top w:val="single" w:sz="4" w:space="0" w:color="auto"/>
              <w:left w:val="nil"/>
              <w:bottom w:val="single" w:sz="4" w:space="0" w:color="auto"/>
              <w:right w:val="single" w:sz="4" w:space="0" w:color="auto"/>
            </w:tcBorders>
          </w:tcPr>
          <w:p w:rsidR="003E5AF4" w:rsidRPr="003E5AF4" w:rsidRDefault="003E5AF4" w:rsidP="00D1000C">
            <w:pPr>
              <w:keepNext/>
              <w:rPr>
                <w:sz w:val="18"/>
              </w:rPr>
            </w:pPr>
            <w:r w:rsidRPr="003E5AF4">
              <w:rPr>
                <w:sz w:val="18"/>
              </w:rPr>
              <w:t>Principes directeurs d’examen</w:t>
            </w:r>
          </w:p>
        </w:tc>
        <w:tc>
          <w:tcPr>
            <w:tcW w:w="1786" w:type="dxa"/>
            <w:tcBorders>
              <w:top w:val="single" w:sz="4" w:space="0" w:color="auto"/>
              <w:left w:val="single" w:sz="4" w:space="0" w:color="auto"/>
              <w:bottom w:val="single" w:sz="4" w:space="0" w:color="auto"/>
              <w:right w:val="single" w:sz="4" w:space="0" w:color="auto"/>
            </w:tcBorders>
            <w:hideMark/>
          </w:tcPr>
          <w:p w:rsidR="003E5AF4" w:rsidRPr="003E5AF4" w:rsidRDefault="003E5AF4" w:rsidP="00D1000C">
            <w:pPr>
              <w:keepNext/>
              <w:rPr>
                <w:sz w:val="18"/>
              </w:rPr>
            </w:pPr>
            <w:r w:rsidRPr="003E5AF4">
              <w:rPr>
                <w:sz w:val="18"/>
              </w:rPr>
              <w:t>Campanule (TG/305/1)</w:t>
            </w:r>
          </w:p>
        </w:tc>
        <w:tc>
          <w:tcPr>
            <w:tcW w:w="2002" w:type="dxa"/>
            <w:tcBorders>
              <w:top w:val="single" w:sz="4" w:space="0" w:color="auto"/>
              <w:left w:val="single" w:sz="4" w:space="0" w:color="auto"/>
              <w:bottom w:val="single" w:sz="4" w:space="0" w:color="auto"/>
              <w:right w:val="single" w:sz="4" w:space="0" w:color="auto"/>
            </w:tcBorders>
            <w:hideMark/>
          </w:tcPr>
          <w:p w:rsidR="003E5AF4" w:rsidRPr="003E5AF4" w:rsidRDefault="003E5AF4" w:rsidP="00D1000C">
            <w:pPr>
              <w:keepNext/>
              <w:rPr>
                <w:sz w:val="18"/>
              </w:rPr>
            </w:pPr>
            <w:proofErr w:type="spellStart"/>
            <w:r w:rsidRPr="003E5AF4">
              <w:rPr>
                <w:sz w:val="18"/>
              </w:rPr>
              <w:t>Funkia</w:t>
            </w:r>
            <w:proofErr w:type="spellEnd"/>
            <w:r w:rsidRPr="003E5AF4">
              <w:rPr>
                <w:sz w:val="18"/>
              </w:rPr>
              <w:t xml:space="preserve"> (TG/299/1)</w:t>
            </w:r>
          </w:p>
        </w:tc>
        <w:tc>
          <w:tcPr>
            <w:tcW w:w="1741" w:type="dxa"/>
            <w:tcBorders>
              <w:top w:val="single" w:sz="4" w:space="0" w:color="auto"/>
              <w:left w:val="single" w:sz="4" w:space="0" w:color="auto"/>
              <w:bottom w:val="single" w:sz="4" w:space="0" w:color="auto"/>
              <w:right w:val="single" w:sz="4" w:space="0" w:color="auto"/>
            </w:tcBorders>
            <w:hideMark/>
          </w:tcPr>
          <w:p w:rsidR="003E5AF4" w:rsidRPr="003E5AF4" w:rsidRDefault="003E5AF4" w:rsidP="00D1000C">
            <w:pPr>
              <w:keepNext/>
              <w:rPr>
                <w:sz w:val="18"/>
              </w:rPr>
            </w:pPr>
            <w:r w:rsidRPr="003E5AF4">
              <w:rPr>
                <w:sz w:val="18"/>
              </w:rPr>
              <w:t>Cordyline (TG/317/1)</w:t>
            </w:r>
          </w:p>
        </w:tc>
        <w:tc>
          <w:tcPr>
            <w:tcW w:w="1701" w:type="dxa"/>
            <w:tcBorders>
              <w:top w:val="single" w:sz="4" w:space="0" w:color="auto"/>
              <w:left w:val="single" w:sz="4" w:space="0" w:color="auto"/>
              <w:bottom w:val="single" w:sz="4" w:space="0" w:color="auto"/>
            </w:tcBorders>
            <w:hideMark/>
          </w:tcPr>
          <w:p w:rsidR="003E5AF4" w:rsidRPr="003E5AF4" w:rsidRDefault="003E5AF4" w:rsidP="00D1000C">
            <w:pPr>
              <w:keepNext/>
              <w:rPr>
                <w:sz w:val="18"/>
              </w:rPr>
            </w:pPr>
            <w:proofErr w:type="spellStart"/>
            <w:r w:rsidRPr="003E5AF4">
              <w:rPr>
                <w:sz w:val="18"/>
              </w:rPr>
              <w:t>Ostéospermum</w:t>
            </w:r>
            <w:proofErr w:type="spellEnd"/>
            <w:r w:rsidRPr="003E5AF4">
              <w:rPr>
                <w:sz w:val="18"/>
              </w:rPr>
              <w:t xml:space="preserve"> (TG/175/5)</w:t>
            </w:r>
          </w:p>
        </w:tc>
      </w:tr>
      <w:tr w:rsidR="003E5AF4" w:rsidRPr="003E5AF4" w:rsidTr="00D1000C">
        <w:trPr>
          <w:cantSplit/>
          <w:jc w:val="center"/>
        </w:trPr>
        <w:tc>
          <w:tcPr>
            <w:tcW w:w="1508" w:type="dxa"/>
            <w:tcBorders>
              <w:top w:val="nil"/>
              <w:left w:val="nil"/>
              <w:bottom w:val="single" w:sz="4" w:space="0" w:color="auto"/>
              <w:right w:val="single" w:sz="4" w:space="0" w:color="auto"/>
            </w:tcBorders>
          </w:tcPr>
          <w:p w:rsidR="003E5AF4" w:rsidRPr="003E5AF4" w:rsidRDefault="003E5AF4" w:rsidP="00D1000C">
            <w:pPr>
              <w:keepNext/>
              <w:jc w:val="left"/>
              <w:rPr>
                <w:sz w:val="18"/>
              </w:rPr>
            </w:pPr>
            <w:r w:rsidRPr="003E5AF4">
              <w:rPr>
                <w:sz w:val="18"/>
              </w:rPr>
              <w:t>Caractère</w:t>
            </w:r>
          </w:p>
        </w:tc>
        <w:tc>
          <w:tcPr>
            <w:tcW w:w="1786" w:type="dxa"/>
            <w:tcBorders>
              <w:top w:val="nil"/>
              <w:left w:val="single" w:sz="4" w:space="0" w:color="auto"/>
              <w:bottom w:val="single" w:sz="4" w:space="0" w:color="auto"/>
              <w:right w:val="single" w:sz="4" w:space="0" w:color="auto"/>
            </w:tcBorders>
            <w:hideMark/>
          </w:tcPr>
          <w:p w:rsidR="003E5AF4" w:rsidRPr="003E5AF4" w:rsidRDefault="003E5AF4" w:rsidP="00D1000C">
            <w:pPr>
              <w:keepNext/>
              <w:jc w:val="left"/>
              <w:rPr>
                <w:sz w:val="18"/>
              </w:rPr>
            </w:pPr>
            <w:r w:rsidRPr="003E5AF4">
              <w:rPr>
                <w:sz w:val="18"/>
              </w:rPr>
              <w:t>Corolle : couleur principale de la face interne</w:t>
            </w:r>
          </w:p>
        </w:tc>
        <w:tc>
          <w:tcPr>
            <w:tcW w:w="2002" w:type="dxa"/>
            <w:tcBorders>
              <w:top w:val="nil"/>
              <w:left w:val="single" w:sz="4" w:space="0" w:color="auto"/>
              <w:bottom w:val="single" w:sz="4" w:space="0" w:color="auto"/>
              <w:right w:val="single" w:sz="4" w:space="0" w:color="auto"/>
            </w:tcBorders>
            <w:hideMark/>
          </w:tcPr>
          <w:p w:rsidR="003E5AF4" w:rsidRPr="003E5AF4" w:rsidRDefault="003E5AF4" w:rsidP="00D1000C">
            <w:pPr>
              <w:keepNext/>
              <w:jc w:val="left"/>
              <w:rPr>
                <w:sz w:val="18"/>
              </w:rPr>
            </w:pPr>
            <w:r w:rsidRPr="003E5AF4">
              <w:rPr>
                <w:sz w:val="18"/>
              </w:rPr>
              <w:t>Limbe : couleur qui occupe la surface la plus grande</w:t>
            </w:r>
          </w:p>
        </w:tc>
        <w:tc>
          <w:tcPr>
            <w:tcW w:w="1741" w:type="dxa"/>
            <w:tcBorders>
              <w:top w:val="nil"/>
              <w:left w:val="single" w:sz="4" w:space="0" w:color="auto"/>
              <w:bottom w:val="single" w:sz="4" w:space="0" w:color="auto"/>
              <w:right w:val="single" w:sz="4" w:space="0" w:color="auto"/>
            </w:tcBorders>
            <w:hideMark/>
          </w:tcPr>
          <w:p w:rsidR="003E5AF4" w:rsidRPr="003E5AF4" w:rsidRDefault="003E5AF4" w:rsidP="00D1000C">
            <w:pPr>
              <w:keepNext/>
              <w:jc w:val="left"/>
              <w:rPr>
                <w:sz w:val="18"/>
              </w:rPr>
            </w:pPr>
            <w:r w:rsidRPr="003E5AF4">
              <w:rPr>
                <w:sz w:val="18"/>
              </w:rPr>
              <w:t>Feuille : couleur secondaire</w:t>
            </w:r>
          </w:p>
        </w:tc>
        <w:tc>
          <w:tcPr>
            <w:tcW w:w="1701" w:type="dxa"/>
            <w:tcBorders>
              <w:top w:val="nil"/>
              <w:left w:val="single" w:sz="4" w:space="0" w:color="auto"/>
              <w:bottom w:val="single" w:sz="4" w:space="0" w:color="auto"/>
            </w:tcBorders>
            <w:hideMark/>
          </w:tcPr>
          <w:p w:rsidR="003E5AF4" w:rsidRPr="003E5AF4" w:rsidRDefault="003E5AF4" w:rsidP="00D1000C">
            <w:pPr>
              <w:keepNext/>
              <w:jc w:val="left"/>
              <w:rPr>
                <w:sz w:val="18"/>
              </w:rPr>
            </w:pPr>
            <w:r w:rsidRPr="003E5AF4">
              <w:rPr>
                <w:sz w:val="18"/>
              </w:rPr>
              <w:t>Fleur ligulée : couleur principale de la partie médiane</w:t>
            </w:r>
          </w:p>
        </w:tc>
      </w:tr>
      <w:tr w:rsidR="003E5AF4" w:rsidRPr="003E5AF4" w:rsidTr="00D1000C">
        <w:trPr>
          <w:cantSplit/>
          <w:jc w:val="center"/>
        </w:trPr>
        <w:tc>
          <w:tcPr>
            <w:tcW w:w="1508" w:type="dxa"/>
            <w:vMerge w:val="restart"/>
            <w:tcBorders>
              <w:top w:val="nil"/>
              <w:left w:val="nil"/>
              <w:right w:val="single" w:sz="4" w:space="0" w:color="auto"/>
            </w:tcBorders>
            <w:hideMark/>
          </w:tcPr>
          <w:p w:rsidR="003E5AF4" w:rsidRPr="003E5AF4" w:rsidRDefault="003E5AF4" w:rsidP="003E5AF4">
            <w:pPr>
              <w:keepNext/>
              <w:jc w:val="left"/>
              <w:rPr>
                <w:sz w:val="18"/>
              </w:rPr>
            </w:pPr>
            <w:r w:rsidRPr="003E5AF4">
              <w:rPr>
                <w:sz w:val="18"/>
              </w:rPr>
              <w:t>Groupes de couleurs</w:t>
            </w:r>
            <w:r>
              <w:rPr>
                <w:sz w:val="18"/>
              </w:rPr>
              <w:t xml:space="preserve"> </w:t>
            </w:r>
            <w:r w:rsidRPr="003E5AF4">
              <w:rPr>
                <w:sz w:val="18"/>
              </w:rPr>
              <w:t>aux fins du groupement des variétés</w:t>
            </w:r>
          </w:p>
        </w:tc>
        <w:tc>
          <w:tcPr>
            <w:tcW w:w="1786"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blanc</w:t>
            </w:r>
          </w:p>
        </w:tc>
        <w:tc>
          <w:tcPr>
            <w:tcW w:w="2002"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blanc</w:t>
            </w:r>
          </w:p>
        </w:tc>
        <w:tc>
          <w:tcPr>
            <w:tcW w:w="1741"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blanc</w:t>
            </w:r>
          </w:p>
        </w:tc>
        <w:tc>
          <w:tcPr>
            <w:tcW w:w="1701" w:type="dxa"/>
            <w:tcBorders>
              <w:top w:val="nil"/>
              <w:left w:val="single" w:sz="4" w:space="0" w:color="auto"/>
              <w:bottom w:val="nil"/>
            </w:tcBorders>
            <w:hideMark/>
          </w:tcPr>
          <w:p w:rsidR="003E5AF4" w:rsidRPr="003E5AF4" w:rsidRDefault="003E5AF4" w:rsidP="00D1000C">
            <w:pPr>
              <w:keepNext/>
              <w:rPr>
                <w:sz w:val="18"/>
              </w:rPr>
            </w:pPr>
            <w:r w:rsidRPr="003E5AF4">
              <w:rPr>
                <w:sz w:val="18"/>
              </w:rPr>
              <w:t>blanc</w:t>
            </w:r>
          </w:p>
        </w:tc>
      </w:tr>
      <w:tr w:rsidR="003E5AF4" w:rsidRPr="003E5AF4" w:rsidTr="00D1000C">
        <w:trPr>
          <w:cantSplit/>
          <w:jc w:val="center"/>
        </w:trPr>
        <w:tc>
          <w:tcPr>
            <w:tcW w:w="1508" w:type="dxa"/>
            <w:vMerge/>
            <w:tcBorders>
              <w:left w:val="nil"/>
              <w:bottom w:val="nil"/>
              <w:right w:val="single" w:sz="4" w:space="0" w:color="auto"/>
            </w:tcBorders>
            <w:hideMark/>
          </w:tcPr>
          <w:p w:rsidR="003E5AF4" w:rsidRPr="003E5AF4" w:rsidRDefault="003E5AF4" w:rsidP="00D1000C">
            <w:pPr>
              <w:keepNext/>
              <w:rPr>
                <w:sz w:val="18"/>
              </w:rPr>
            </w:pPr>
          </w:p>
        </w:tc>
        <w:tc>
          <w:tcPr>
            <w:tcW w:w="1786"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rose</w:t>
            </w:r>
          </w:p>
        </w:tc>
        <w:tc>
          <w:tcPr>
            <w:tcW w:w="2002"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jaune clair</w:t>
            </w:r>
          </w:p>
        </w:tc>
        <w:tc>
          <w:tcPr>
            <w:tcW w:w="1741"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jaune</w:t>
            </w:r>
          </w:p>
        </w:tc>
        <w:tc>
          <w:tcPr>
            <w:tcW w:w="1701" w:type="dxa"/>
            <w:tcBorders>
              <w:top w:val="nil"/>
              <w:left w:val="single" w:sz="4" w:space="0" w:color="auto"/>
              <w:bottom w:val="nil"/>
            </w:tcBorders>
            <w:hideMark/>
          </w:tcPr>
          <w:p w:rsidR="003E5AF4" w:rsidRPr="003E5AF4" w:rsidRDefault="003E5AF4" w:rsidP="00D1000C">
            <w:pPr>
              <w:keepNext/>
              <w:rPr>
                <w:sz w:val="18"/>
              </w:rPr>
            </w:pPr>
            <w:r w:rsidRPr="003E5AF4">
              <w:rPr>
                <w:sz w:val="18"/>
              </w:rPr>
              <w:t>jaune</w:t>
            </w:r>
          </w:p>
        </w:tc>
      </w:tr>
      <w:tr w:rsidR="003E5AF4" w:rsidRPr="003E5AF4" w:rsidTr="00D1000C">
        <w:trPr>
          <w:cantSplit/>
          <w:jc w:val="center"/>
        </w:trPr>
        <w:tc>
          <w:tcPr>
            <w:tcW w:w="1508" w:type="dxa"/>
            <w:tcBorders>
              <w:top w:val="nil"/>
              <w:left w:val="nil"/>
              <w:bottom w:val="nil"/>
              <w:right w:val="single" w:sz="4" w:space="0" w:color="auto"/>
            </w:tcBorders>
          </w:tcPr>
          <w:p w:rsidR="003E5AF4" w:rsidRPr="003E5AF4" w:rsidRDefault="003E5AF4" w:rsidP="00D1000C">
            <w:pPr>
              <w:keepNext/>
              <w:rPr>
                <w:sz w:val="18"/>
              </w:rPr>
            </w:pPr>
          </w:p>
        </w:tc>
        <w:tc>
          <w:tcPr>
            <w:tcW w:w="1786"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pourpre-rouge</w:t>
            </w:r>
          </w:p>
        </w:tc>
        <w:tc>
          <w:tcPr>
            <w:tcW w:w="2002"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jaune moyen</w:t>
            </w:r>
          </w:p>
        </w:tc>
        <w:tc>
          <w:tcPr>
            <w:tcW w:w="1741"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vert</w:t>
            </w:r>
          </w:p>
        </w:tc>
        <w:tc>
          <w:tcPr>
            <w:tcW w:w="1701" w:type="dxa"/>
            <w:tcBorders>
              <w:top w:val="nil"/>
              <w:left w:val="single" w:sz="4" w:space="0" w:color="auto"/>
              <w:bottom w:val="nil"/>
            </w:tcBorders>
            <w:hideMark/>
          </w:tcPr>
          <w:p w:rsidR="003E5AF4" w:rsidRPr="003E5AF4" w:rsidRDefault="003E5AF4" w:rsidP="00D1000C">
            <w:pPr>
              <w:keepNext/>
              <w:rPr>
                <w:sz w:val="18"/>
              </w:rPr>
            </w:pPr>
            <w:r w:rsidRPr="003E5AF4">
              <w:rPr>
                <w:sz w:val="18"/>
              </w:rPr>
              <w:t>orange</w:t>
            </w:r>
          </w:p>
        </w:tc>
      </w:tr>
      <w:tr w:rsidR="003E5AF4" w:rsidRPr="003E5AF4" w:rsidTr="00D1000C">
        <w:trPr>
          <w:cantSplit/>
          <w:jc w:val="center"/>
        </w:trPr>
        <w:tc>
          <w:tcPr>
            <w:tcW w:w="1508" w:type="dxa"/>
            <w:tcBorders>
              <w:top w:val="nil"/>
              <w:left w:val="nil"/>
              <w:bottom w:val="nil"/>
              <w:right w:val="single" w:sz="4" w:space="0" w:color="auto"/>
            </w:tcBorders>
          </w:tcPr>
          <w:p w:rsidR="003E5AF4" w:rsidRPr="003E5AF4" w:rsidRDefault="003E5AF4" w:rsidP="00D1000C">
            <w:pPr>
              <w:keepNext/>
              <w:rPr>
                <w:sz w:val="18"/>
              </w:rPr>
            </w:pPr>
          </w:p>
        </w:tc>
        <w:tc>
          <w:tcPr>
            <w:tcW w:w="1786"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pourpre</w:t>
            </w:r>
          </w:p>
        </w:tc>
        <w:tc>
          <w:tcPr>
            <w:tcW w:w="2002"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jaune foncé</w:t>
            </w:r>
          </w:p>
        </w:tc>
        <w:tc>
          <w:tcPr>
            <w:tcW w:w="1741"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rouge</w:t>
            </w:r>
          </w:p>
        </w:tc>
        <w:tc>
          <w:tcPr>
            <w:tcW w:w="1701" w:type="dxa"/>
            <w:tcBorders>
              <w:top w:val="nil"/>
              <w:left w:val="single" w:sz="4" w:space="0" w:color="auto"/>
              <w:bottom w:val="nil"/>
            </w:tcBorders>
            <w:hideMark/>
          </w:tcPr>
          <w:p w:rsidR="003E5AF4" w:rsidRPr="003E5AF4" w:rsidRDefault="003E5AF4" w:rsidP="00D1000C">
            <w:pPr>
              <w:keepNext/>
              <w:rPr>
                <w:sz w:val="18"/>
              </w:rPr>
            </w:pPr>
            <w:r w:rsidRPr="003E5AF4">
              <w:rPr>
                <w:sz w:val="18"/>
              </w:rPr>
              <w:t>rose</w:t>
            </w:r>
          </w:p>
        </w:tc>
      </w:tr>
      <w:tr w:rsidR="003E5AF4" w:rsidRPr="003E5AF4" w:rsidTr="00D1000C">
        <w:trPr>
          <w:cantSplit/>
          <w:jc w:val="center"/>
        </w:trPr>
        <w:tc>
          <w:tcPr>
            <w:tcW w:w="1508" w:type="dxa"/>
            <w:tcBorders>
              <w:top w:val="nil"/>
              <w:left w:val="nil"/>
              <w:bottom w:val="nil"/>
              <w:right w:val="single" w:sz="4" w:space="0" w:color="auto"/>
            </w:tcBorders>
          </w:tcPr>
          <w:p w:rsidR="003E5AF4" w:rsidRPr="003E5AF4" w:rsidRDefault="003E5AF4" w:rsidP="00D1000C">
            <w:pPr>
              <w:keepNext/>
              <w:rPr>
                <w:sz w:val="18"/>
              </w:rPr>
            </w:pPr>
          </w:p>
        </w:tc>
        <w:tc>
          <w:tcPr>
            <w:tcW w:w="1786"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bleu</w:t>
            </w:r>
          </w:p>
        </w:tc>
        <w:tc>
          <w:tcPr>
            <w:tcW w:w="2002"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vert clair</w:t>
            </w:r>
          </w:p>
        </w:tc>
        <w:tc>
          <w:tcPr>
            <w:tcW w:w="1741"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pourpre</w:t>
            </w:r>
          </w:p>
        </w:tc>
        <w:tc>
          <w:tcPr>
            <w:tcW w:w="1701" w:type="dxa"/>
            <w:tcBorders>
              <w:top w:val="nil"/>
              <w:left w:val="single" w:sz="4" w:space="0" w:color="auto"/>
              <w:bottom w:val="nil"/>
            </w:tcBorders>
            <w:hideMark/>
          </w:tcPr>
          <w:p w:rsidR="003E5AF4" w:rsidRPr="003E5AF4" w:rsidRDefault="003E5AF4" w:rsidP="00D1000C">
            <w:pPr>
              <w:keepNext/>
              <w:rPr>
                <w:sz w:val="18"/>
              </w:rPr>
            </w:pPr>
            <w:r w:rsidRPr="003E5AF4">
              <w:rPr>
                <w:sz w:val="18"/>
              </w:rPr>
              <w:t>rouge</w:t>
            </w:r>
          </w:p>
        </w:tc>
      </w:tr>
      <w:tr w:rsidR="003E5AF4" w:rsidRPr="003E5AF4" w:rsidTr="00D1000C">
        <w:trPr>
          <w:cantSplit/>
          <w:jc w:val="center"/>
        </w:trPr>
        <w:tc>
          <w:tcPr>
            <w:tcW w:w="1508" w:type="dxa"/>
            <w:tcBorders>
              <w:top w:val="nil"/>
              <w:left w:val="nil"/>
              <w:bottom w:val="nil"/>
              <w:right w:val="single" w:sz="4" w:space="0" w:color="auto"/>
            </w:tcBorders>
          </w:tcPr>
          <w:p w:rsidR="003E5AF4" w:rsidRPr="003E5AF4" w:rsidRDefault="003E5AF4" w:rsidP="00D1000C">
            <w:pPr>
              <w:keepNext/>
              <w:rPr>
                <w:sz w:val="18"/>
              </w:rPr>
            </w:pPr>
          </w:p>
        </w:tc>
        <w:tc>
          <w:tcPr>
            <w:tcW w:w="1786" w:type="dxa"/>
            <w:tcBorders>
              <w:top w:val="nil"/>
              <w:left w:val="single" w:sz="4" w:space="0" w:color="auto"/>
              <w:bottom w:val="nil"/>
              <w:right w:val="single" w:sz="4" w:space="0" w:color="auto"/>
            </w:tcBorders>
          </w:tcPr>
          <w:p w:rsidR="003E5AF4" w:rsidRPr="003E5AF4" w:rsidRDefault="003E5AF4" w:rsidP="00D1000C">
            <w:pPr>
              <w:keepNext/>
              <w:rPr>
                <w:sz w:val="18"/>
              </w:rPr>
            </w:pPr>
          </w:p>
        </w:tc>
        <w:tc>
          <w:tcPr>
            <w:tcW w:w="2002"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vert moyen</w:t>
            </w:r>
          </w:p>
        </w:tc>
        <w:tc>
          <w:tcPr>
            <w:tcW w:w="1741"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marron</w:t>
            </w:r>
          </w:p>
        </w:tc>
        <w:tc>
          <w:tcPr>
            <w:tcW w:w="1701" w:type="dxa"/>
            <w:tcBorders>
              <w:top w:val="nil"/>
              <w:left w:val="single" w:sz="4" w:space="0" w:color="auto"/>
              <w:bottom w:val="nil"/>
            </w:tcBorders>
            <w:hideMark/>
          </w:tcPr>
          <w:p w:rsidR="003E5AF4" w:rsidRPr="003E5AF4" w:rsidRDefault="003E5AF4" w:rsidP="00D1000C">
            <w:pPr>
              <w:keepNext/>
              <w:rPr>
                <w:sz w:val="18"/>
              </w:rPr>
            </w:pPr>
            <w:r w:rsidRPr="003E5AF4">
              <w:rPr>
                <w:sz w:val="18"/>
              </w:rPr>
              <w:t>pourpre</w:t>
            </w:r>
          </w:p>
        </w:tc>
      </w:tr>
      <w:tr w:rsidR="003E5AF4" w:rsidRPr="003E5AF4" w:rsidTr="00D1000C">
        <w:trPr>
          <w:cantSplit/>
          <w:jc w:val="center"/>
        </w:trPr>
        <w:tc>
          <w:tcPr>
            <w:tcW w:w="1508" w:type="dxa"/>
            <w:tcBorders>
              <w:top w:val="nil"/>
              <w:left w:val="nil"/>
              <w:bottom w:val="nil"/>
              <w:right w:val="single" w:sz="4" w:space="0" w:color="auto"/>
            </w:tcBorders>
          </w:tcPr>
          <w:p w:rsidR="003E5AF4" w:rsidRPr="003E5AF4" w:rsidRDefault="003E5AF4" w:rsidP="00D1000C">
            <w:pPr>
              <w:keepNext/>
              <w:rPr>
                <w:sz w:val="18"/>
              </w:rPr>
            </w:pPr>
          </w:p>
        </w:tc>
        <w:tc>
          <w:tcPr>
            <w:tcW w:w="1786" w:type="dxa"/>
            <w:tcBorders>
              <w:top w:val="nil"/>
              <w:left w:val="single" w:sz="4" w:space="0" w:color="auto"/>
              <w:bottom w:val="nil"/>
              <w:right w:val="single" w:sz="4" w:space="0" w:color="auto"/>
            </w:tcBorders>
          </w:tcPr>
          <w:p w:rsidR="003E5AF4" w:rsidRPr="003E5AF4" w:rsidRDefault="003E5AF4" w:rsidP="00D1000C">
            <w:pPr>
              <w:keepNext/>
              <w:rPr>
                <w:sz w:val="18"/>
              </w:rPr>
            </w:pPr>
          </w:p>
        </w:tc>
        <w:tc>
          <w:tcPr>
            <w:tcW w:w="2002"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vert foncé</w:t>
            </w:r>
          </w:p>
        </w:tc>
        <w:tc>
          <w:tcPr>
            <w:tcW w:w="1741" w:type="dxa"/>
            <w:tcBorders>
              <w:top w:val="nil"/>
              <w:left w:val="single" w:sz="4" w:space="0" w:color="auto"/>
              <w:bottom w:val="nil"/>
              <w:right w:val="single" w:sz="4" w:space="0" w:color="auto"/>
            </w:tcBorders>
            <w:hideMark/>
          </w:tcPr>
          <w:p w:rsidR="003E5AF4" w:rsidRPr="003E5AF4" w:rsidRDefault="003E5AF4" w:rsidP="00D1000C">
            <w:pPr>
              <w:keepNext/>
              <w:rPr>
                <w:sz w:val="18"/>
              </w:rPr>
            </w:pPr>
            <w:r w:rsidRPr="003E5AF4">
              <w:rPr>
                <w:sz w:val="18"/>
              </w:rPr>
              <w:t>noirâtre</w:t>
            </w:r>
          </w:p>
        </w:tc>
        <w:tc>
          <w:tcPr>
            <w:tcW w:w="1701" w:type="dxa"/>
            <w:tcBorders>
              <w:top w:val="nil"/>
              <w:left w:val="single" w:sz="4" w:space="0" w:color="auto"/>
              <w:bottom w:val="nil"/>
            </w:tcBorders>
            <w:hideMark/>
          </w:tcPr>
          <w:p w:rsidR="003E5AF4" w:rsidRPr="003E5AF4" w:rsidRDefault="003E5AF4" w:rsidP="00D1000C">
            <w:pPr>
              <w:keepNext/>
              <w:rPr>
                <w:sz w:val="18"/>
              </w:rPr>
            </w:pPr>
            <w:r w:rsidRPr="003E5AF4">
              <w:rPr>
                <w:sz w:val="18"/>
              </w:rPr>
              <w:t>violet</w:t>
            </w:r>
          </w:p>
        </w:tc>
      </w:tr>
      <w:tr w:rsidR="003E5AF4" w:rsidRPr="003E5AF4" w:rsidTr="00D1000C">
        <w:trPr>
          <w:cantSplit/>
          <w:jc w:val="center"/>
        </w:trPr>
        <w:tc>
          <w:tcPr>
            <w:tcW w:w="1508" w:type="dxa"/>
            <w:tcBorders>
              <w:top w:val="nil"/>
              <w:left w:val="nil"/>
              <w:bottom w:val="nil"/>
              <w:right w:val="single" w:sz="4" w:space="0" w:color="auto"/>
            </w:tcBorders>
          </w:tcPr>
          <w:p w:rsidR="003E5AF4" w:rsidRPr="003E5AF4" w:rsidRDefault="003E5AF4" w:rsidP="00D1000C">
            <w:pPr>
              <w:rPr>
                <w:sz w:val="18"/>
              </w:rPr>
            </w:pPr>
          </w:p>
        </w:tc>
        <w:tc>
          <w:tcPr>
            <w:tcW w:w="1786" w:type="dxa"/>
            <w:tcBorders>
              <w:top w:val="nil"/>
              <w:left w:val="single" w:sz="4" w:space="0" w:color="auto"/>
              <w:bottom w:val="nil"/>
              <w:right w:val="single" w:sz="4" w:space="0" w:color="auto"/>
            </w:tcBorders>
          </w:tcPr>
          <w:p w:rsidR="003E5AF4" w:rsidRPr="003E5AF4" w:rsidRDefault="003E5AF4" w:rsidP="00D1000C">
            <w:pPr>
              <w:rPr>
                <w:sz w:val="18"/>
              </w:rPr>
            </w:pPr>
          </w:p>
        </w:tc>
        <w:tc>
          <w:tcPr>
            <w:tcW w:w="2002" w:type="dxa"/>
            <w:tcBorders>
              <w:top w:val="nil"/>
              <w:left w:val="single" w:sz="4" w:space="0" w:color="auto"/>
              <w:bottom w:val="nil"/>
              <w:right w:val="single" w:sz="4" w:space="0" w:color="auto"/>
            </w:tcBorders>
            <w:hideMark/>
          </w:tcPr>
          <w:p w:rsidR="003E5AF4" w:rsidRPr="003E5AF4" w:rsidRDefault="003E5AF4" w:rsidP="00D1000C">
            <w:pPr>
              <w:rPr>
                <w:sz w:val="18"/>
              </w:rPr>
            </w:pPr>
            <w:proofErr w:type="spellStart"/>
            <w:r w:rsidRPr="003E5AF4">
              <w:rPr>
                <w:sz w:val="18"/>
              </w:rPr>
              <w:t>vert-bleu</w:t>
            </w:r>
            <w:proofErr w:type="spellEnd"/>
          </w:p>
        </w:tc>
        <w:tc>
          <w:tcPr>
            <w:tcW w:w="1741" w:type="dxa"/>
            <w:tcBorders>
              <w:top w:val="nil"/>
              <w:left w:val="single" w:sz="4" w:space="0" w:color="auto"/>
              <w:bottom w:val="nil"/>
              <w:right w:val="single" w:sz="4" w:space="0" w:color="auto"/>
            </w:tcBorders>
          </w:tcPr>
          <w:p w:rsidR="003E5AF4" w:rsidRPr="003E5AF4" w:rsidRDefault="003E5AF4" w:rsidP="00D1000C">
            <w:pPr>
              <w:rPr>
                <w:sz w:val="18"/>
              </w:rPr>
            </w:pPr>
          </w:p>
        </w:tc>
        <w:tc>
          <w:tcPr>
            <w:tcW w:w="1701" w:type="dxa"/>
            <w:tcBorders>
              <w:top w:val="nil"/>
              <w:left w:val="single" w:sz="4" w:space="0" w:color="auto"/>
              <w:bottom w:val="nil"/>
            </w:tcBorders>
          </w:tcPr>
          <w:p w:rsidR="003E5AF4" w:rsidRPr="003E5AF4" w:rsidRDefault="003E5AF4" w:rsidP="00D1000C">
            <w:pPr>
              <w:rPr>
                <w:sz w:val="18"/>
              </w:rPr>
            </w:pPr>
          </w:p>
        </w:tc>
      </w:tr>
    </w:tbl>
    <w:p w:rsidR="003E5AF4" w:rsidRPr="003E5AF4" w:rsidRDefault="003E5AF4" w:rsidP="003E5AF4">
      <w:pPr>
        <w:rPr>
          <w:rFonts w:eastAsiaTheme="minorEastAsia" w:cs="Arial"/>
        </w:rPr>
      </w:pPr>
    </w:p>
    <w:p w:rsidR="003E5AF4" w:rsidRPr="003E5AF4" w:rsidRDefault="003E5AF4" w:rsidP="003E5AF4">
      <w:pPr>
        <w:ind w:left="567" w:right="567"/>
        <w:rPr>
          <w:rFonts w:eastAsiaTheme="minorEastAsia" w:cs="Arial"/>
        </w:rPr>
      </w:pPr>
      <w:r w:rsidRPr="003E5AF4">
        <w:rPr>
          <w:rFonts w:eastAsiaTheme="minorEastAsia" w:cs="Arial"/>
        </w:rPr>
        <w:t>“Il y a lieu de souligner que tous les groupes ne sont pas nécessairement nettement distincts les uns des autres lorsque les renseignements utilisés ne proviennent pas de la même source (même site, même observateur) et qu’ils ne peuvent pas toujours être utilisés pour exclure des variétés de l’essai.  Par exemple, concernant le caractère ‘Feuille : couleur secondaire’ pour la cordyline, il peut être impossible de faire une distinction nette entre ‘brun’ et ‘noirâtre’ lorsqu’on examine des photographies sur Internet ou dans un catalogue de plantes”.</w:t>
      </w:r>
    </w:p>
    <w:p w:rsidR="00917A05" w:rsidRPr="00645FD3" w:rsidRDefault="00917A05" w:rsidP="00E23559">
      <w:pPr>
        <w:jc w:val="left"/>
      </w:pPr>
    </w:p>
    <w:p w:rsidR="00917A05" w:rsidRPr="00645FD3" w:rsidRDefault="00917A05" w:rsidP="00E23559">
      <w:pPr>
        <w:jc w:val="left"/>
      </w:pPr>
    </w:p>
    <w:p w:rsidR="00917A05" w:rsidRPr="00645FD3" w:rsidRDefault="00917A05" w:rsidP="00E23559">
      <w:pPr>
        <w:jc w:val="left"/>
      </w:pPr>
    </w:p>
    <w:p w:rsidR="00917A05" w:rsidRPr="00645FD3" w:rsidRDefault="00E23559" w:rsidP="00E23559">
      <w:pPr>
        <w:jc w:val="right"/>
      </w:pPr>
      <w:r w:rsidRPr="00645FD3">
        <w:t>[</w:t>
      </w:r>
      <w:r w:rsidR="00E66E2B" w:rsidRPr="00645FD3">
        <w:t>L</w:t>
      </w:r>
      <w:r w:rsidR="009E1FB4" w:rsidRPr="00645FD3">
        <w:t>’annexe V</w:t>
      </w:r>
      <w:r w:rsidRPr="00645FD3">
        <w:t xml:space="preserve"> </w:t>
      </w:r>
      <w:r w:rsidR="00E66E2B" w:rsidRPr="00645FD3">
        <w:t>suit</w:t>
      </w:r>
      <w:r w:rsidRPr="00645FD3">
        <w:t>]</w:t>
      </w:r>
    </w:p>
    <w:p w:rsidR="00917A05" w:rsidRPr="00645FD3" w:rsidRDefault="00917A05" w:rsidP="00E23559">
      <w:pPr>
        <w:jc w:val="left"/>
      </w:pPr>
    </w:p>
    <w:p w:rsidR="00917A05" w:rsidRPr="00645FD3" w:rsidRDefault="00917A05" w:rsidP="00E23559">
      <w:pPr>
        <w:jc w:val="left"/>
      </w:pPr>
    </w:p>
    <w:p w:rsidR="00E23559" w:rsidRPr="00645FD3" w:rsidRDefault="00E23559" w:rsidP="004F45B7">
      <w:pPr>
        <w:sectPr w:rsidR="00E23559" w:rsidRPr="00645FD3" w:rsidSect="00EF65E9">
          <w:headerReference w:type="default" r:id="rId41"/>
          <w:headerReference w:type="first" r:id="rId42"/>
          <w:footnotePr>
            <w:numRestart w:val="eachSect"/>
          </w:footnotePr>
          <w:pgSz w:w="11907" w:h="16840" w:code="9"/>
          <w:pgMar w:top="510" w:right="1134" w:bottom="1134" w:left="1134" w:header="510" w:footer="680" w:gutter="0"/>
          <w:pgNumType w:start="1"/>
          <w:cols w:space="720"/>
          <w:titlePg/>
        </w:sectPr>
      </w:pPr>
    </w:p>
    <w:p w:rsidR="00E66E2B" w:rsidRPr="00645FD3" w:rsidRDefault="00E66E2B" w:rsidP="009B089B">
      <w:pPr>
        <w:ind w:left="-180" w:right="-171"/>
        <w:jc w:val="center"/>
      </w:pPr>
      <w:r w:rsidRPr="00645FD3">
        <w:lastRenderedPageBreak/>
        <w:t xml:space="preserve">RÉVISIONS DU DOCUMENT TGP/15 </w:t>
      </w:r>
      <w:r w:rsidR="009B089B">
        <w:br/>
      </w:r>
      <w:r w:rsidRPr="00645FD3">
        <w:t>“CONSEILS EN CE QUI CONCERNE L</w:t>
      </w:r>
      <w:r w:rsidR="009E1FB4" w:rsidRPr="00645FD3">
        <w:t>’</w:t>
      </w:r>
      <w:r w:rsidRPr="00645FD3">
        <w:t>UTILISATION DES MARQUEURS BIOCHIMIQUES ET MOLÉCULAIRES DANS L</w:t>
      </w:r>
      <w:r w:rsidR="009E1FB4" w:rsidRPr="00645FD3">
        <w:t>’</w:t>
      </w:r>
      <w:r w:rsidRPr="00645FD3">
        <w:t>EXAMEN DE LA DISTINCTION, DE L</w:t>
      </w:r>
      <w:r w:rsidR="009E1FB4" w:rsidRPr="00645FD3">
        <w:t>’</w:t>
      </w:r>
      <w:r w:rsidRPr="00645FD3">
        <w:t>HOMOGÉNÉITÉ ET DE LA STABILITÉ (DHS)”</w:t>
      </w:r>
    </w:p>
    <w:p w:rsidR="00917A05" w:rsidRPr="00645FD3" w:rsidRDefault="00E66E2B" w:rsidP="00E66E2B">
      <w:pPr>
        <w:jc w:val="center"/>
      </w:pPr>
      <w:r w:rsidRPr="00645FD3">
        <w:t>APPROUVÉES PAR LE COMITÉ TECHNIQUE À SA CINQUANTE</w:t>
      </w:r>
      <w:r w:rsidR="009E1FB4" w:rsidRPr="00645FD3">
        <w:t>-</w:t>
      </w:r>
      <w:r w:rsidRPr="00645FD3">
        <w:t>QUATRIÈME SESSION</w:t>
      </w:r>
      <w:r w:rsidRPr="00645FD3">
        <w:rPr>
          <w:rStyle w:val="FootnoteReference"/>
        </w:rPr>
        <w:footnoteReference w:id="13"/>
      </w:r>
    </w:p>
    <w:p w:rsidR="00917A05" w:rsidRPr="00645FD3" w:rsidRDefault="00917A05" w:rsidP="00E23559"/>
    <w:p w:rsidR="00917A05" w:rsidRPr="00645FD3" w:rsidRDefault="00917A05" w:rsidP="00FD3A90"/>
    <w:p w:rsidR="00917A05" w:rsidRPr="00645FD3" w:rsidRDefault="00FD3A90" w:rsidP="009B089B">
      <w:pPr>
        <w:rPr>
          <w:u w:val="single"/>
        </w:rPr>
      </w:pPr>
      <w:r w:rsidRPr="00645FD3">
        <w:rPr>
          <w:u w:val="single"/>
        </w:rPr>
        <w:t>R</w:t>
      </w:r>
      <w:r w:rsidR="009B089B">
        <w:rPr>
          <w:u w:val="single"/>
        </w:rPr>
        <w:t>é</w:t>
      </w:r>
      <w:r w:rsidRPr="00645FD3">
        <w:rPr>
          <w:u w:val="single"/>
        </w:rPr>
        <w:t xml:space="preserve">vision </w:t>
      </w:r>
      <w:r w:rsidR="009B089B">
        <w:rPr>
          <w:u w:val="single"/>
        </w:rPr>
        <w:t>du modèle</w:t>
      </w:r>
      <w:r w:rsidRPr="00645FD3">
        <w:rPr>
          <w:u w:val="single"/>
        </w:rPr>
        <w:t xml:space="preserve"> 1: </w:t>
      </w:r>
      <w:r w:rsidR="009B089B">
        <w:rPr>
          <w:u w:val="single"/>
        </w:rPr>
        <w:t>nouveau texte</w:t>
      </w:r>
      <w:r w:rsidRPr="00645FD3">
        <w:rPr>
          <w:u w:val="single"/>
        </w:rPr>
        <w:t xml:space="preserve"> </w:t>
      </w:r>
      <w:r w:rsidR="009B089B" w:rsidRPr="009B089B">
        <w:rPr>
          <w:u w:val="single"/>
        </w:rPr>
        <w:t>sur la fiabilité du lien entre le gène</w:t>
      </w:r>
      <w:r w:rsidR="009B089B">
        <w:rPr>
          <w:u w:val="single"/>
        </w:rPr>
        <w:t xml:space="preserve"> </w:t>
      </w:r>
      <w:r w:rsidR="009B089B" w:rsidRPr="009B089B">
        <w:rPr>
          <w:u w:val="single"/>
        </w:rPr>
        <w:t>et l’expression du caractère</w:t>
      </w:r>
    </w:p>
    <w:p w:rsidR="00917A05" w:rsidRPr="00645FD3" w:rsidRDefault="00917A05" w:rsidP="00810A9A"/>
    <w:p w:rsidR="00917A05" w:rsidRPr="00645FD3" w:rsidRDefault="009B089B" w:rsidP="00810A9A">
      <w:r>
        <w:t xml:space="preserve">Suite aux propositions approuvées par le TC à sa cinquante-quatrième session, il est proposé d’inclure les phrases suivantes dans le </w:t>
      </w:r>
      <w:r w:rsidR="009E1FB4" w:rsidRPr="00645FD3">
        <w:t>document TG</w:t>
      </w:r>
      <w:r w:rsidR="00810A9A" w:rsidRPr="00645FD3">
        <w:t>P/15:</w:t>
      </w:r>
    </w:p>
    <w:p w:rsidR="00917A05" w:rsidRPr="00645FD3" w:rsidRDefault="00917A05" w:rsidP="00810A9A"/>
    <w:p w:rsidR="009B089B" w:rsidRPr="00E04ED5" w:rsidRDefault="009B089B" w:rsidP="009B089B">
      <w:pPr>
        <w:tabs>
          <w:tab w:val="left" w:pos="1276"/>
        </w:tabs>
        <w:ind w:left="567"/>
        <w:rPr>
          <w:rFonts w:cs="Arial"/>
          <w:lang w:val="fr-CH"/>
        </w:rPr>
      </w:pPr>
      <w:r w:rsidRPr="00E04ED5">
        <w:rPr>
          <w:rFonts w:cs="Arial"/>
          <w:lang w:val="fr-CH"/>
        </w:rPr>
        <w:t>2.1.2</w:t>
      </w:r>
      <w:r w:rsidRPr="00E04ED5">
        <w:rPr>
          <w:rFonts w:cs="Arial"/>
          <w:lang w:val="fr-CH"/>
        </w:rPr>
        <w:tab/>
        <w:t xml:space="preserve">Il appartient aux services compétents d’examiner si les hypothèses formulées se vérifient lorsque le modèle et l’exemple sont utilisés, comme indiqué dans l’annexe I du présent document.  </w:t>
      </w:r>
    </w:p>
    <w:p w:rsidR="009B089B" w:rsidRPr="00E04ED5" w:rsidRDefault="009B089B" w:rsidP="009B089B">
      <w:pPr>
        <w:tabs>
          <w:tab w:val="left" w:pos="1276"/>
        </w:tabs>
        <w:ind w:left="567"/>
        <w:rPr>
          <w:rFonts w:cs="Arial"/>
          <w:lang w:val="fr-CH"/>
        </w:rPr>
      </w:pPr>
    </w:p>
    <w:p w:rsidR="009B089B" w:rsidRPr="00E04ED5" w:rsidRDefault="009B089B" w:rsidP="009B089B">
      <w:pPr>
        <w:tabs>
          <w:tab w:val="left" w:pos="1276"/>
        </w:tabs>
        <w:ind w:left="567"/>
        <w:rPr>
          <w:rFonts w:cs="Arial"/>
          <w:lang w:val="fr-CH"/>
        </w:rPr>
      </w:pPr>
      <w:r w:rsidRPr="00E04ED5">
        <w:rPr>
          <w:rFonts w:cs="Arial"/>
          <w:lang w:val="fr-CH"/>
        </w:rPr>
        <w:t>2.1.3.</w:t>
      </w:r>
      <w:r w:rsidRPr="00E04ED5">
        <w:rPr>
          <w:rFonts w:cs="Arial"/>
          <w:lang w:val="fr-CH"/>
        </w:rPr>
        <w:tab/>
        <w:t xml:space="preserve">Pour inclure dans les principes directeurs d’examen une méthode fondée sur le modèle figurant à l’annexe I du présent document, il faudrait que le groupe de travail technique concerné et le TC considèrent qu’il </w:t>
      </w:r>
      <w:r>
        <w:rPr>
          <w:rFonts w:cs="Arial"/>
          <w:lang w:val="fr-CH"/>
        </w:rPr>
        <w:t>satisfasse</w:t>
      </w:r>
      <w:r w:rsidRPr="00E04ED5">
        <w:rPr>
          <w:rFonts w:cs="Arial"/>
          <w:lang w:val="fr-CH"/>
        </w:rPr>
        <w:t xml:space="preserve"> à l’exigence de fiabilité du lien entre le gène</w:t>
      </w:r>
      <w:r>
        <w:rPr>
          <w:rFonts w:cs="Arial"/>
          <w:lang w:val="fr-CH"/>
        </w:rPr>
        <w:t xml:space="preserve"> et l’expression du caractère.</w:t>
      </w:r>
    </w:p>
    <w:p w:rsidR="00917A05" w:rsidRPr="00645FD3" w:rsidRDefault="00917A05" w:rsidP="00FD3A90"/>
    <w:p w:rsidR="00917A05" w:rsidRPr="00645FD3" w:rsidRDefault="00917A05" w:rsidP="00FD3A90">
      <w:pPr>
        <w:jc w:val="left"/>
      </w:pPr>
    </w:p>
    <w:p w:rsidR="00917A05" w:rsidRPr="00645FD3" w:rsidRDefault="009B089B" w:rsidP="00FD3A90">
      <w:pPr>
        <w:rPr>
          <w:u w:val="single"/>
        </w:rPr>
      </w:pPr>
      <w:r w:rsidRPr="009B089B">
        <w:rPr>
          <w:u w:val="single"/>
        </w:rPr>
        <w:t>Nouveau modèle</w:t>
      </w:r>
      <w:r w:rsidR="00FD3A90" w:rsidRPr="009B089B">
        <w:rPr>
          <w:u w:val="single"/>
        </w:rPr>
        <w:t>: “</w:t>
      </w:r>
      <w:r w:rsidRPr="009B089B">
        <w:rPr>
          <w:rFonts w:cs="Arial"/>
          <w:iCs/>
          <w:u w:val="single"/>
        </w:rPr>
        <w:t>Sélection génétique de variétés voisines pour le premier cycle de végétation</w:t>
      </w:r>
      <w:r w:rsidR="00FD3A90" w:rsidRPr="00645FD3">
        <w:rPr>
          <w:rFonts w:cs="Arial"/>
          <w:iCs/>
          <w:u w:val="single"/>
        </w:rPr>
        <w:t>”</w:t>
      </w:r>
    </w:p>
    <w:p w:rsidR="00917A05" w:rsidRPr="00645FD3" w:rsidRDefault="00917A05" w:rsidP="00FD3A90"/>
    <w:p w:rsidR="00917A05" w:rsidRPr="00645FD3" w:rsidRDefault="009B089B" w:rsidP="00FD3A90">
      <w:r>
        <w:t>Le TC, à sa cinquante-quatrième session</w:t>
      </w:r>
      <w:r w:rsidR="00FD3A90" w:rsidRPr="00645FD3">
        <w:t xml:space="preserve">, </w:t>
      </w:r>
      <w:r>
        <w:t xml:space="preserve">est convenu d’inclure un nouveau modèle dans le </w:t>
      </w:r>
      <w:r w:rsidR="00FD3A90" w:rsidRPr="00645FD3">
        <w:t xml:space="preserve">document TGP/15, </w:t>
      </w:r>
      <w:r>
        <w:t xml:space="preserve">comme suit </w:t>
      </w:r>
      <w:r w:rsidR="00FD3A90" w:rsidRPr="00645FD3">
        <w:t>(</w:t>
      </w:r>
      <w:r>
        <w:t xml:space="preserve">voir le </w:t>
      </w:r>
      <w:r w:rsidR="009E1FB4" w:rsidRPr="00645FD3">
        <w:t xml:space="preserve">document </w:t>
      </w:r>
      <w:r w:rsidR="00D811BF">
        <w:t>TC/54/31 Corr.</w:t>
      </w:r>
      <w:r w:rsidR="00FD3A90" w:rsidRPr="00645FD3">
        <w:t xml:space="preserve"> “</w:t>
      </w:r>
      <w:r>
        <w:t>Compte rendu</w:t>
      </w:r>
      <w:r w:rsidR="00FD3A90" w:rsidRPr="00645FD3">
        <w:t>”, paragraph</w:t>
      </w:r>
      <w:r>
        <w:t>e</w:t>
      </w:r>
      <w:r w:rsidR="00FD3A90" w:rsidRPr="00645FD3">
        <w:t xml:space="preserve">s 290 </w:t>
      </w:r>
      <w:r>
        <w:t>et</w:t>
      </w:r>
      <w:r w:rsidR="00FD3A90" w:rsidRPr="00645FD3">
        <w:t xml:space="preserve"> 291):</w:t>
      </w:r>
    </w:p>
    <w:p w:rsidR="00917A05" w:rsidRPr="00645FD3" w:rsidRDefault="00917A05" w:rsidP="00FD3A90"/>
    <w:p w:rsidR="00917A05" w:rsidRPr="00645FD3" w:rsidRDefault="009B089B" w:rsidP="00BF0B0F">
      <w:pPr>
        <w:ind w:left="567" w:right="567"/>
        <w:rPr>
          <w:i/>
        </w:rPr>
      </w:pPr>
      <w:r w:rsidRPr="009B089B">
        <w:rPr>
          <w:i/>
        </w:rPr>
        <w:t>Nouvelle section 2.3 “Sélection génétique de variétés voisines pour le premier cycle de végétation”</w:t>
      </w:r>
    </w:p>
    <w:p w:rsidR="00917A05" w:rsidRPr="00645FD3" w:rsidRDefault="00917A05" w:rsidP="00BF0B0F">
      <w:pPr>
        <w:ind w:left="567" w:right="567"/>
      </w:pPr>
    </w:p>
    <w:p w:rsidR="009B089B" w:rsidRPr="006A2630" w:rsidRDefault="009B089B" w:rsidP="009B089B">
      <w:pPr>
        <w:ind w:left="567" w:right="567"/>
      </w:pPr>
      <w:r w:rsidRPr="006A2630">
        <w:t>2.3</w:t>
      </w:r>
      <w:r w:rsidRPr="006A2630">
        <w:tab/>
        <w:t>Sélection génétique de variétés voisines pour le premier cycle de végétation (voir l’annexe III)</w:t>
      </w:r>
    </w:p>
    <w:p w:rsidR="009B089B" w:rsidRPr="006A2630" w:rsidRDefault="009B089B" w:rsidP="009B089B">
      <w:pPr>
        <w:ind w:left="567" w:right="567"/>
      </w:pPr>
    </w:p>
    <w:p w:rsidR="009B089B" w:rsidRPr="006A2630" w:rsidRDefault="009B089B" w:rsidP="009B089B">
      <w:pPr>
        <w:ind w:left="567" w:right="567"/>
      </w:pPr>
      <w:r w:rsidRPr="006A2630">
        <w:t xml:space="preserve">2.3.1 </w:t>
      </w:r>
      <w:r w:rsidRPr="006A2630">
        <w:tab/>
        <w:t>La présente méthode comprend une étape permettant de vérifier la similarité génétique avant le premier cycle de végétation.</w:t>
      </w:r>
    </w:p>
    <w:p w:rsidR="009B089B" w:rsidRPr="006A2630" w:rsidRDefault="009B089B" w:rsidP="009B089B">
      <w:pPr>
        <w:ind w:left="567" w:right="567"/>
      </w:pPr>
    </w:p>
    <w:p w:rsidR="009B089B" w:rsidRPr="006A2630" w:rsidRDefault="009B089B" w:rsidP="009B089B">
      <w:pPr>
        <w:ind w:left="567" w:right="567"/>
      </w:pPr>
      <w:r w:rsidRPr="006A2630">
        <w:t>2.3.2</w:t>
      </w:r>
      <w:r w:rsidRPr="006A2630">
        <w:tab/>
        <w:t xml:space="preserve">Dans les cas où la durée minimale des essais est normalement de deux cycles de végétation, des variétés voisines sont sélectionnées dans la collection de variétés afin de les comparer aux variétés candidates </w:t>
      </w:r>
      <w:r w:rsidR="00E23825">
        <w:t>pendant</w:t>
      </w:r>
      <w:r w:rsidRPr="006A2630">
        <w:t xml:space="preserve">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9B089B" w:rsidRPr="006A2630" w:rsidRDefault="009B089B" w:rsidP="009B089B">
      <w:pPr>
        <w:ind w:left="567" w:right="567"/>
      </w:pPr>
    </w:p>
    <w:p w:rsidR="009B089B" w:rsidRPr="006A2630" w:rsidRDefault="009B089B" w:rsidP="009B089B">
      <w:pPr>
        <w:ind w:left="567" w:right="567"/>
      </w:pPr>
      <w:r w:rsidRPr="006A2630">
        <w:t>2.3.3</w:t>
      </w:r>
      <w:r w:rsidRPr="006A2630">
        <w:tab/>
        <w:t xml:space="preserve">Compte tenu de la description variétale des caractères DHS produite dans le premier cycle de végétation, une recherche supplémentaire est effectuée afin de recenser, dans la collection de variétés, des variétés </w:t>
      </w:r>
      <w:r w:rsidR="00E23825" w:rsidRPr="006A2630">
        <w:t xml:space="preserve">voisines </w:t>
      </w:r>
      <w:r w:rsidRPr="006A2630">
        <w:t xml:space="preserve">n’ayant pas fait l’objet d’une comparaison dans le premier cycle de végétation qui </w:t>
      </w:r>
      <w:r w:rsidR="00E23825">
        <w:t xml:space="preserve">devraient </w:t>
      </w:r>
      <w:r w:rsidRPr="006A2630">
        <w:t>être comparées à la variété candidate dans le second cycle de végétation.</w:t>
      </w:r>
    </w:p>
    <w:p w:rsidR="009B089B" w:rsidRPr="006A2630" w:rsidRDefault="009B089B" w:rsidP="009B089B">
      <w:pPr>
        <w:ind w:left="567" w:right="567"/>
      </w:pPr>
    </w:p>
    <w:p w:rsidR="009B089B" w:rsidRPr="006A2630" w:rsidRDefault="009B089B" w:rsidP="009B089B">
      <w:pPr>
        <w:ind w:left="567" w:right="567"/>
      </w:pPr>
      <w:r w:rsidRPr="006A2630">
        <w:t>2.3.4</w:t>
      </w:r>
      <w:r w:rsidRPr="006A2630">
        <w:tab/>
        <w:t>L’annexe III du présent document “Sélection génétique de variétés voisines pour le premier cycle de végétation” présente un exemple de la sélection génétique de variétés voisines pour le premier cycle de végétation.</w:t>
      </w:r>
    </w:p>
    <w:p w:rsidR="00917A05" w:rsidRPr="00645FD3" w:rsidRDefault="00917A05" w:rsidP="00BF0B0F">
      <w:pPr>
        <w:ind w:left="567" w:right="567"/>
      </w:pPr>
    </w:p>
    <w:p w:rsidR="00917A05" w:rsidRPr="00645FD3" w:rsidRDefault="009B089B" w:rsidP="00BF0B0F">
      <w:pPr>
        <w:ind w:left="567" w:right="567"/>
        <w:rPr>
          <w:i/>
        </w:rPr>
      </w:pPr>
      <w:r w:rsidRPr="009B089B">
        <w:rPr>
          <w:i/>
        </w:rPr>
        <w:t>Annexe III “Modèle : Sélection génétique de variétés voisines pour le premier cycle de végétation”</w:t>
      </w:r>
    </w:p>
    <w:p w:rsidR="00917A05" w:rsidRPr="00645FD3" w:rsidRDefault="00917A05" w:rsidP="00BF0B0F">
      <w:pPr>
        <w:ind w:left="567" w:right="567"/>
        <w:jc w:val="center"/>
        <w:rPr>
          <w:snapToGrid w:val="0"/>
        </w:rPr>
      </w:pPr>
    </w:p>
    <w:p w:rsidR="00917A05" w:rsidRPr="00645FD3" w:rsidRDefault="00FD3A90" w:rsidP="00BF0B0F">
      <w:pPr>
        <w:ind w:left="567" w:right="567"/>
        <w:jc w:val="left"/>
        <w:rPr>
          <w:i/>
        </w:rPr>
      </w:pPr>
      <w:r w:rsidRPr="00645FD3">
        <w:t>Ex</w:t>
      </w:r>
      <w:r w:rsidR="009B089B">
        <w:t>e</w:t>
      </w:r>
      <w:r w:rsidRPr="00645FD3">
        <w:t xml:space="preserve">mple:  </w:t>
      </w:r>
      <w:r w:rsidR="009B089B">
        <w:t xml:space="preserve">Haricot </w:t>
      </w:r>
      <w:r w:rsidRPr="00645FD3">
        <w:t>(</w:t>
      </w:r>
      <w:r w:rsidR="009B089B" w:rsidRPr="009B089B">
        <w:t>établi par un expert des Pays Bas</w:t>
      </w:r>
      <w:r w:rsidRPr="00645FD3">
        <w:t>)</w:t>
      </w:r>
    </w:p>
    <w:p w:rsidR="00917A05" w:rsidRPr="00645FD3" w:rsidRDefault="00917A05" w:rsidP="00BF0B0F">
      <w:pPr>
        <w:ind w:left="567" w:right="567"/>
        <w:jc w:val="center"/>
        <w:rPr>
          <w:rFonts w:cs="Arial"/>
          <w:i/>
        </w:rPr>
      </w:pPr>
    </w:p>
    <w:p w:rsidR="00917A05" w:rsidRPr="00645FD3" w:rsidRDefault="00FD3A90" w:rsidP="00BF0B0F">
      <w:pPr>
        <w:ind w:left="567" w:right="567"/>
      </w:pPr>
      <w:r w:rsidRPr="00645FD3">
        <w:t>1.</w:t>
      </w:r>
      <w:r w:rsidRPr="00645FD3">
        <w:tab/>
      </w:r>
      <w:r w:rsidRPr="009B089B">
        <w:rPr>
          <w:u w:val="single"/>
        </w:rPr>
        <w:t>Introduction</w:t>
      </w:r>
    </w:p>
    <w:p w:rsidR="00917A05" w:rsidRPr="00645FD3" w:rsidRDefault="00917A05" w:rsidP="00BF0B0F">
      <w:pPr>
        <w:ind w:left="567" w:right="567"/>
      </w:pPr>
    </w:p>
    <w:p w:rsidR="009B089B" w:rsidRPr="006A2630" w:rsidRDefault="009B089B" w:rsidP="009B089B">
      <w:pPr>
        <w:ind w:left="562" w:right="562"/>
      </w:pPr>
      <w:r w:rsidRPr="006A2630">
        <w:t xml:space="preserve">1.1 </w:t>
      </w:r>
      <w:r w:rsidRPr="006A2630">
        <w:tab/>
        <w:t>La présente méthode comprend une étape permettant de vérifier la similarité génétique avant le premier cycle de végétation.</w:t>
      </w:r>
    </w:p>
    <w:p w:rsidR="009B089B" w:rsidRPr="006A2630" w:rsidRDefault="009B089B" w:rsidP="009B089B">
      <w:pPr>
        <w:ind w:left="562" w:right="562"/>
      </w:pPr>
    </w:p>
    <w:p w:rsidR="009B089B" w:rsidRPr="006A2630" w:rsidRDefault="009B089B" w:rsidP="009B089B">
      <w:pPr>
        <w:ind w:left="562" w:right="562"/>
      </w:pPr>
      <w:r w:rsidRPr="006A2630">
        <w:lastRenderedPageBreak/>
        <w:t>1.2</w:t>
      </w:r>
      <w:r w:rsidRPr="006A2630">
        <w:tab/>
        <w:t xml:space="preserve">Dans les cas où la durée minimale des essais est normalement de deux cycles de végétation, des variétés voisines sont sélectionnées dans la collection de variétés afin de les comparer aux variétés candidates </w:t>
      </w:r>
      <w:r w:rsidR="00E23825">
        <w:t>pendant</w:t>
      </w:r>
      <w:r w:rsidRPr="006A2630">
        <w:t xml:space="preserve">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9B089B" w:rsidRPr="006A2630" w:rsidRDefault="009B089B" w:rsidP="009B089B">
      <w:pPr>
        <w:ind w:left="562" w:right="562"/>
      </w:pPr>
    </w:p>
    <w:p w:rsidR="009B089B" w:rsidRPr="006A2630" w:rsidRDefault="009B089B" w:rsidP="009B089B">
      <w:pPr>
        <w:ind w:left="562" w:right="562"/>
      </w:pPr>
      <w:r w:rsidRPr="006A2630">
        <w:t>1.3</w:t>
      </w:r>
      <w:r w:rsidRPr="006A2630">
        <w:tab/>
        <w:t xml:space="preserve">Compte tenu de la description variétale des caractères DHS produite dans le premier cycle de végétation, une recherche supplémentaire est effectuée afin de recenser, dans la collection de variétés, des variétés </w:t>
      </w:r>
      <w:r w:rsidR="00E23825" w:rsidRPr="006A2630">
        <w:t xml:space="preserve">voisines </w:t>
      </w:r>
      <w:r w:rsidRPr="006A2630">
        <w:t xml:space="preserve">n’ayant pas fait l’objet d’une comparaison dans le premier cycle de végétation qui </w:t>
      </w:r>
      <w:r w:rsidR="00E23825">
        <w:t xml:space="preserve">devraient </w:t>
      </w:r>
      <w:r w:rsidRPr="006A2630">
        <w:t>être comparées à la variété candidate dans le second cycle de végétation.</w:t>
      </w:r>
    </w:p>
    <w:p w:rsidR="009B089B" w:rsidRPr="006A2630" w:rsidRDefault="009B089B" w:rsidP="009B089B">
      <w:pPr>
        <w:ind w:left="562" w:right="562"/>
      </w:pPr>
    </w:p>
    <w:p w:rsidR="009B089B" w:rsidRPr="00B77A62" w:rsidRDefault="009B089B" w:rsidP="009B089B">
      <w:pPr>
        <w:pStyle w:val="Heading2"/>
        <w:ind w:left="562" w:right="562"/>
        <w:rPr>
          <w:lang w:val="fr-CH"/>
        </w:rPr>
      </w:pPr>
      <w:r w:rsidRPr="00B77A62">
        <w:rPr>
          <w:u w:val="none"/>
          <w:lang w:val="fr-CH"/>
        </w:rPr>
        <w:t>2.</w:t>
      </w:r>
      <w:r w:rsidRPr="00B77A62">
        <w:rPr>
          <w:u w:val="none"/>
          <w:lang w:val="fr-CH"/>
        </w:rPr>
        <w:tab/>
      </w:r>
      <w:r w:rsidRPr="00B77A62">
        <w:rPr>
          <w:lang w:val="fr-CH"/>
        </w:rPr>
        <w:t>Procédure</w:t>
      </w:r>
    </w:p>
    <w:p w:rsidR="009B089B" w:rsidRPr="00B516A0" w:rsidRDefault="009B089B" w:rsidP="009B089B">
      <w:pPr>
        <w:pStyle w:val="Heading3"/>
        <w:ind w:left="562" w:right="562"/>
        <w:rPr>
          <w:sz w:val="18"/>
          <w:lang w:val="fr-FR"/>
        </w:rPr>
      </w:pPr>
    </w:p>
    <w:p w:rsidR="009B089B" w:rsidRPr="006A2630" w:rsidRDefault="009B089B" w:rsidP="009B089B">
      <w:pPr>
        <w:pStyle w:val="Heading3"/>
        <w:ind w:left="562" w:right="562"/>
        <w:rPr>
          <w:lang w:val="fr-FR"/>
        </w:rPr>
      </w:pPr>
      <w:r w:rsidRPr="006A2630">
        <w:rPr>
          <w:lang w:val="fr-FR"/>
        </w:rPr>
        <w:t>Détermination de la similarité génétique</w:t>
      </w:r>
    </w:p>
    <w:p w:rsidR="009B089B" w:rsidRPr="006A2630" w:rsidRDefault="009B089B" w:rsidP="009B089B">
      <w:pPr>
        <w:ind w:left="562" w:right="562"/>
      </w:pPr>
    </w:p>
    <w:p w:rsidR="009B089B" w:rsidRPr="006A2630" w:rsidRDefault="009B089B" w:rsidP="009B089B">
      <w:pPr>
        <w:ind w:left="562" w:right="562"/>
      </w:pPr>
      <w:r w:rsidRPr="006A2630">
        <w:t>2.1</w:t>
      </w:r>
      <w:r w:rsidRPr="006A2630">
        <w:tab/>
        <w:t>Le profil d’ADN de la variété candidate est produit sitôt le matériel végétal reçu.</w:t>
      </w:r>
    </w:p>
    <w:p w:rsidR="009B089B" w:rsidRPr="00B516A0" w:rsidRDefault="009B089B" w:rsidP="009B089B">
      <w:pPr>
        <w:ind w:left="562" w:right="562"/>
        <w:rPr>
          <w:sz w:val="14"/>
        </w:rPr>
      </w:pPr>
    </w:p>
    <w:p w:rsidR="009B089B" w:rsidRPr="006A2630" w:rsidRDefault="009B089B" w:rsidP="009B089B">
      <w:pPr>
        <w:ind w:left="562" w:right="562"/>
      </w:pPr>
      <w:r w:rsidRPr="006A2630">
        <w:t>2.2</w:t>
      </w:r>
      <w:r w:rsidRPr="006A2630">
        <w:tab/>
        <w:t>Le profil d’ADN est comparé aux profils de toutes les variétés figurant dans la collection de variétés, puis les variétés génétiquement similaires sont recensées.</w:t>
      </w:r>
    </w:p>
    <w:p w:rsidR="009B089B" w:rsidRPr="00B516A0" w:rsidRDefault="009B089B" w:rsidP="009B089B">
      <w:pPr>
        <w:ind w:left="562" w:right="562"/>
        <w:rPr>
          <w:sz w:val="12"/>
        </w:rPr>
      </w:pPr>
    </w:p>
    <w:p w:rsidR="009B089B" w:rsidRPr="006A2630" w:rsidRDefault="009B089B" w:rsidP="009B089B">
      <w:pPr>
        <w:pStyle w:val="Heading3"/>
        <w:ind w:left="562" w:right="562"/>
        <w:rPr>
          <w:lang w:val="fr-FR"/>
        </w:rPr>
      </w:pPr>
      <w:r w:rsidRPr="006A2630">
        <w:rPr>
          <w:lang w:val="fr-FR"/>
        </w:rPr>
        <w:t>Informations figurant dans le questionnaire technique</w:t>
      </w:r>
    </w:p>
    <w:p w:rsidR="009B089B" w:rsidRPr="00B516A0" w:rsidRDefault="009B089B" w:rsidP="009B089B">
      <w:pPr>
        <w:ind w:left="562" w:right="562"/>
        <w:rPr>
          <w:sz w:val="12"/>
        </w:rPr>
      </w:pPr>
    </w:p>
    <w:p w:rsidR="009B089B" w:rsidRPr="006A2630" w:rsidRDefault="009B089B" w:rsidP="009B089B">
      <w:pPr>
        <w:ind w:left="562" w:right="562"/>
      </w:pPr>
      <w:r w:rsidRPr="006A2630">
        <w:t>2.3</w:t>
      </w:r>
      <w:r w:rsidRPr="006A2630">
        <w:tab/>
        <w:t>Les informations fournies par le demandeur figurant dans le questionnaire technique sont ensuite utilisées pour déterminer s’il existe des différences nettes entre les caractères DHS pour certaines des variétés génétiquement similaires, afin que celles</w:t>
      </w:r>
      <w:r>
        <w:noBreakHyphen/>
      </w:r>
      <w:r w:rsidRPr="006A2630">
        <w:t xml:space="preserve">ci ne </w:t>
      </w:r>
      <w:r w:rsidR="00986B48">
        <w:t>soient</w:t>
      </w:r>
      <w:r w:rsidRPr="006A2630">
        <w:t xml:space="preserve"> pas comparées aux variétés candidates dans un essai en culture.</w:t>
      </w:r>
    </w:p>
    <w:p w:rsidR="009B089B" w:rsidRPr="006A2630" w:rsidRDefault="009B089B" w:rsidP="009B089B">
      <w:pPr>
        <w:ind w:left="562" w:right="562"/>
      </w:pPr>
    </w:p>
    <w:p w:rsidR="009B089B" w:rsidRPr="006A2630" w:rsidRDefault="009B089B" w:rsidP="009B089B">
      <w:pPr>
        <w:pStyle w:val="Heading3"/>
        <w:ind w:left="562" w:right="562"/>
        <w:rPr>
          <w:lang w:val="fr-FR"/>
        </w:rPr>
      </w:pPr>
      <w:r w:rsidRPr="006A2630">
        <w:rPr>
          <w:lang w:val="fr-FR"/>
        </w:rPr>
        <w:t>Essai en plein champ</w:t>
      </w:r>
    </w:p>
    <w:p w:rsidR="009B089B" w:rsidRPr="006A2630" w:rsidRDefault="009B089B" w:rsidP="009B089B">
      <w:pPr>
        <w:ind w:left="562" w:right="562"/>
      </w:pPr>
    </w:p>
    <w:p w:rsidR="009B089B" w:rsidRPr="006A2630" w:rsidRDefault="009B089B" w:rsidP="009B089B">
      <w:pPr>
        <w:pStyle w:val="Heading4"/>
        <w:ind w:left="562" w:right="562"/>
      </w:pPr>
      <w:r w:rsidRPr="006A2630">
        <w:t>Premier cycle de végétation</w:t>
      </w:r>
      <w:r w:rsidRPr="006A2630">
        <w:rPr>
          <w:u w:val="none"/>
        </w:rPr>
        <w:t> :</w:t>
      </w:r>
    </w:p>
    <w:p w:rsidR="009B089B" w:rsidRPr="00B516A0" w:rsidRDefault="009B089B" w:rsidP="009B089B">
      <w:pPr>
        <w:ind w:left="562" w:right="562"/>
        <w:rPr>
          <w:sz w:val="14"/>
        </w:rPr>
      </w:pPr>
    </w:p>
    <w:p w:rsidR="009B089B" w:rsidRPr="006A2630" w:rsidRDefault="009B089B" w:rsidP="009B089B">
      <w:pPr>
        <w:ind w:left="562" w:right="562"/>
      </w:pPr>
      <w:r w:rsidRPr="006A2630">
        <w:t>2.4</w:t>
      </w:r>
      <w:r w:rsidRPr="006A2630">
        <w:tab/>
        <w:t>La variété candidate et les variétés génétiquement similaires sélectionnées conformément à la procédure susmentionnée font l’objet d’un essai un plein champ.  Une description complète des caractères DHS de la variété candidate est produite, puis comparée aux descriptions de toutes les variétés figurant dans la collection de variétés au moyen d’une base de données contenant les descriptions produites au même endroit au cours des années précédentes.</w:t>
      </w:r>
    </w:p>
    <w:p w:rsidR="009B089B" w:rsidRPr="00B516A0" w:rsidRDefault="009B089B" w:rsidP="009B089B">
      <w:pPr>
        <w:ind w:left="562" w:right="562"/>
        <w:rPr>
          <w:sz w:val="12"/>
        </w:rPr>
      </w:pPr>
    </w:p>
    <w:p w:rsidR="009B089B" w:rsidRPr="006A2630" w:rsidRDefault="009B089B" w:rsidP="009B089B">
      <w:pPr>
        <w:ind w:left="562" w:right="562"/>
      </w:pPr>
      <w:r w:rsidRPr="006A2630">
        <w:t>2.5</w:t>
      </w:r>
      <w:r w:rsidRPr="006A2630">
        <w:tab/>
        <w:t>Résultats possibles :</w:t>
      </w:r>
    </w:p>
    <w:p w:rsidR="009B089B" w:rsidRPr="00B516A0" w:rsidRDefault="009B089B" w:rsidP="009B089B">
      <w:pPr>
        <w:ind w:left="562" w:right="562"/>
        <w:rPr>
          <w:sz w:val="12"/>
        </w:rPr>
      </w:pPr>
    </w:p>
    <w:p w:rsidR="009B089B" w:rsidRPr="006A2630" w:rsidRDefault="009B089B" w:rsidP="009B089B">
      <w:pPr>
        <w:ind w:left="562" w:right="562"/>
      </w:pPr>
      <w:r w:rsidRPr="006A2630">
        <w:t>Si la variété candidate ne se distingue pas des variétés génétiquement similaires du point de vue des caractères DHS, l’essai se poursuit dans le cadre d’un second cycle de végétation.</w:t>
      </w:r>
    </w:p>
    <w:p w:rsidR="009B089B" w:rsidRPr="00B516A0" w:rsidRDefault="009B089B" w:rsidP="009B089B">
      <w:pPr>
        <w:ind w:left="562" w:right="562"/>
        <w:rPr>
          <w:sz w:val="12"/>
        </w:rPr>
      </w:pPr>
    </w:p>
    <w:p w:rsidR="009B089B" w:rsidRPr="006A2630" w:rsidRDefault="009B089B" w:rsidP="009B089B">
      <w:pPr>
        <w:ind w:left="562" w:right="562"/>
      </w:pPr>
      <w:r w:rsidRPr="006A2630">
        <w:t>Dans tous les cas, la description de la variété candidate produite dans le premier cycle de végétation est comparée aux descriptions des variétés figurant dans la collection de variétés au moyen d’une base de données contenant les descriptions produites au même endroit.</w:t>
      </w:r>
    </w:p>
    <w:p w:rsidR="009B089B" w:rsidRPr="00B516A0" w:rsidRDefault="009B089B" w:rsidP="009B089B">
      <w:pPr>
        <w:ind w:left="562" w:right="562"/>
        <w:rPr>
          <w:sz w:val="12"/>
        </w:rPr>
      </w:pPr>
    </w:p>
    <w:p w:rsidR="009B089B" w:rsidRPr="006A2630" w:rsidRDefault="009B089B" w:rsidP="009B089B">
      <w:pPr>
        <w:ind w:left="562" w:right="562"/>
      </w:pPr>
      <w:r w:rsidRPr="006A2630">
        <w:tab/>
      </w:r>
      <w:r w:rsidRPr="006A2630">
        <w:tab/>
        <w:t xml:space="preserve">a) </w:t>
      </w:r>
      <w:r>
        <w:tab/>
      </w:r>
      <w:r w:rsidRPr="006A2630">
        <w:t>Si la variété candidate est jugée distincte de toutes les variétés ayant fait l’objet du premier cycle de végétation et de toutes les autres variétés figurant dans la collection de variétés à la fin du premier cycle de végétation et qu’elle remplit les conditions d’homogénéité et de stabilité, l’essai DHS s’achève après le premier cycle de végétation.</w:t>
      </w:r>
    </w:p>
    <w:p w:rsidR="009B089B" w:rsidRPr="00B516A0" w:rsidRDefault="009B089B" w:rsidP="009B089B">
      <w:pPr>
        <w:ind w:left="562" w:right="562"/>
        <w:rPr>
          <w:sz w:val="12"/>
        </w:rPr>
      </w:pPr>
    </w:p>
    <w:p w:rsidR="009B089B" w:rsidRPr="006A2630" w:rsidRDefault="009B089B" w:rsidP="009B089B">
      <w:pPr>
        <w:ind w:left="562" w:right="562"/>
      </w:pPr>
      <w:r w:rsidRPr="006A2630">
        <w:tab/>
      </w:r>
      <w:r w:rsidRPr="006A2630">
        <w:tab/>
        <w:t xml:space="preserve">b) </w:t>
      </w:r>
      <w:r>
        <w:tab/>
      </w:r>
      <w:r w:rsidRPr="006A2630">
        <w:t>Dans tous les autres cas, un second cycle de végétation est nécessaire.</w:t>
      </w:r>
    </w:p>
    <w:p w:rsidR="009B089B" w:rsidRPr="00B516A0" w:rsidRDefault="009B089B" w:rsidP="009B089B">
      <w:pPr>
        <w:ind w:left="562" w:right="562"/>
        <w:rPr>
          <w:sz w:val="12"/>
        </w:rPr>
      </w:pPr>
    </w:p>
    <w:p w:rsidR="009B089B" w:rsidRPr="00B516A0" w:rsidRDefault="009B089B" w:rsidP="009B089B">
      <w:pPr>
        <w:ind w:left="562" w:right="562"/>
        <w:rPr>
          <w:sz w:val="12"/>
        </w:rPr>
      </w:pPr>
    </w:p>
    <w:p w:rsidR="009B089B" w:rsidRPr="006A2630" w:rsidRDefault="009B089B" w:rsidP="009B089B">
      <w:pPr>
        <w:pStyle w:val="Heading4"/>
        <w:ind w:left="562" w:right="562"/>
      </w:pPr>
      <w:r w:rsidRPr="006A2630">
        <w:t>Second cycle de végétation</w:t>
      </w:r>
    </w:p>
    <w:p w:rsidR="009B089B" w:rsidRPr="006A2630" w:rsidRDefault="009B089B" w:rsidP="009B089B">
      <w:pPr>
        <w:ind w:left="562" w:right="562"/>
      </w:pPr>
    </w:p>
    <w:p w:rsidR="009B089B" w:rsidRPr="006A2630" w:rsidRDefault="009B089B" w:rsidP="009B089B">
      <w:pPr>
        <w:ind w:left="562" w:right="562"/>
      </w:pPr>
      <w:r w:rsidRPr="006A2630">
        <w:t>2.6</w:t>
      </w:r>
      <w:r w:rsidRPr="006A2630">
        <w:tab/>
        <w:t>Dans le second cycle de végétation, la variété candidate est mise en culture avec toutes les variétés figurant dans la collection de variétés à l’égard desquelles il n’a pas été possible d’établir la distinction à la fin du premier cycle de végétation.</w:t>
      </w:r>
    </w:p>
    <w:p w:rsidR="009B089B" w:rsidRPr="00B516A0" w:rsidRDefault="009B089B" w:rsidP="009B089B">
      <w:pPr>
        <w:ind w:left="562" w:right="562"/>
        <w:rPr>
          <w:sz w:val="12"/>
        </w:rPr>
      </w:pPr>
    </w:p>
    <w:p w:rsidR="009B089B" w:rsidRPr="006A2630" w:rsidRDefault="009B089B" w:rsidP="009B089B">
      <w:pPr>
        <w:ind w:left="562" w:right="562"/>
      </w:pPr>
      <w:r w:rsidRPr="006A2630">
        <w:t>2.7</w:t>
      </w:r>
      <w:r w:rsidRPr="006A2630">
        <w:tab/>
        <w:t>À la fin du second cycle de végétation, on procède à une évaluation DHS.  S’il n’est pas possible de se prononcer quant à l’examen DHS à la fin du second cycle de végétation, un cycle de végétation supplémentaire peut être nécessaire.</w:t>
      </w:r>
    </w:p>
    <w:p w:rsidR="00917A05" w:rsidRPr="00645FD3" w:rsidRDefault="00917A05" w:rsidP="00FD3A90"/>
    <w:p w:rsidR="00050E16" w:rsidRPr="00645FD3" w:rsidRDefault="0053502B" w:rsidP="009B440E">
      <w:pPr>
        <w:jc w:val="left"/>
      </w:pPr>
      <w:r w:rsidRPr="00645FD3">
        <w:rPr>
          <w:noProof/>
          <w:lang w:val="en-US"/>
        </w:rPr>
        <mc:AlternateContent>
          <mc:Choice Requires="wps">
            <w:drawing>
              <wp:anchor distT="0" distB="0" distL="114300" distR="114300" simplePos="0" relativeHeight="251661312" behindDoc="0" locked="0" layoutInCell="1" allowOverlap="1">
                <wp:simplePos x="0" y="0"/>
                <wp:positionH relativeFrom="column">
                  <wp:posOffset>4098317</wp:posOffset>
                </wp:positionH>
                <wp:positionV relativeFrom="paragraph">
                  <wp:posOffset>154250</wp:posOffset>
                </wp:positionV>
                <wp:extent cx="2186609" cy="285667"/>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186609" cy="285667"/>
                        </a:xfrm>
                        <a:prstGeom prst="rect">
                          <a:avLst/>
                        </a:prstGeom>
                        <a:noFill/>
                        <a:ln w="6350">
                          <a:noFill/>
                        </a:ln>
                      </wps:spPr>
                      <wps:txbx>
                        <w:txbxContent>
                          <w:p w:rsidR="009E7AE9" w:rsidRPr="00E66E2B" w:rsidRDefault="009E7AE9" w:rsidP="0053502B">
                            <w:pPr>
                              <w:jc w:val="right"/>
                              <w:rPr>
                                <w:lang w:val="fr-CH"/>
                              </w:rPr>
                            </w:pPr>
                            <w:r w:rsidRPr="00E66E2B">
                              <w:rPr>
                                <w:lang w:val="fr-CH"/>
                              </w:rPr>
                              <w:t>[Fin de l’annexe V et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2.7pt;margin-top:12.15pt;width:172.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" filled="f" stroked="f" strokeweight=".5pt">
                <v:textbox>
                  <w:txbxContent>
                    <w:p w:rsidR="009E7AE9" w:rsidRPr="00E66E2B" w:rsidRDefault="009E7AE9" w:rsidP="0053502B">
                      <w:pPr>
                        <w:jc w:val="right"/>
                        <w:rPr>
                          <w:lang w:val="fr-CH"/>
                        </w:rPr>
                      </w:pPr>
                      <w:r w:rsidRPr="00E66E2B">
                        <w:rPr>
                          <w:lang w:val="fr-CH"/>
                        </w:rPr>
                        <w:t>[Fin de l’annexe V et du document]</w:t>
                      </w:r>
                    </w:p>
                  </w:txbxContent>
                </v:textbox>
              </v:shape>
            </w:pict>
          </mc:Fallback>
        </mc:AlternateContent>
      </w:r>
    </w:p>
    <w:sectPr w:rsidR="00050E16" w:rsidRPr="00645FD3" w:rsidSect="009B089B">
      <w:headerReference w:type="default" r:id="rId43"/>
      <w:headerReference w:type="first" r:id="rId44"/>
      <w:footnotePr>
        <w:numRestart w:val="eachSect"/>
      </w:footnotePr>
      <w:pgSz w:w="11907" w:h="16840" w:code="9"/>
      <w:pgMar w:top="510" w:right="1134" w:bottom="810"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E9" w:rsidRDefault="009E7AE9" w:rsidP="006655D3">
      <w:r>
        <w:separator/>
      </w:r>
    </w:p>
    <w:p w:rsidR="009E7AE9" w:rsidRDefault="009E7AE9" w:rsidP="006655D3"/>
    <w:p w:rsidR="009E7AE9" w:rsidRDefault="009E7AE9" w:rsidP="006655D3"/>
  </w:endnote>
  <w:endnote w:type="continuationSeparator" w:id="0">
    <w:p w:rsidR="009E7AE9" w:rsidRDefault="009E7AE9" w:rsidP="006655D3">
      <w:r>
        <w:separator/>
      </w:r>
    </w:p>
    <w:p w:rsidR="009E7AE9" w:rsidRPr="00294751" w:rsidRDefault="009E7AE9">
      <w:pPr>
        <w:pStyle w:val="Footer"/>
        <w:spacing w:after="60"/>
        <w:rPr>
          <w:sz w:val="18"/>
          <w:lang w:val="fr-FR"/>
        </w:rPr>
      </w:pPr>
      <w:r w:rsidRPr="00294751">
        <w:rPr>
          <w:sz w:val="18"/>
          <w:lang w:val="fr-FR"/>
        </w:rPr>
        <w:t>[Suite de la note de la page précédente]</w:t>
      </w:r>
    </w:p>
    <w:p w:rsidR="009E7AE9" w:rsidRPr="00294751" w:rsidRDefault="009E7AE9" w:rsidP="006655D3"/>
    <w:p w:rsidR="009E7AE9" w:rsidRPr="00294751" w:rsidRDefault="009E7AE9" w:rsidP="006655D3"/>
  </w:endnote>
  <w:endnote w:type="continuationNotice" w:id="1">
    <w:p w:rsidR="009E7AE9" w:rsidRPr="00294751" w:rsidRDefault="009E7AE9" w:rsidP="006655D3">
      <w:r w:rsidRPr="00294751">
        <w:t>[Suite de la note page suivante]</w:t>
      </w:r>
    </w:p>
    <w:p w:rsidR="009E7AE9" w:rsidRPr="00294751" w:rsidRDefault="009E7AE9" w:rsidP="006655D3"/>
    <w:p w:rsidR="009E7AE9" w:rsidRPr="00294751" w:rsidRDefault="009E7AE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E9" w:rsidRDefault="009E7AE9" w:rsidP="006655D3">
      <w:r>
        <w:separator/>
      </w:r>
    </w:p>
  </w:footnote>
  <w:footnote w:type="continuationSeparator" w:id="0">
    <w:p w:rsidR="009E7AE9" w:rsidRDefault="009E7AE9" w:rsidP="006655D3">
      <w:r>
        <w:separator/>
      </w:r>
    </w:p>
  </w:footnote>
  <w:footnote w:type="continuationNotice" w:id="1">
    <w:p w:rsidR="009E7AE9" w:rsidRPr="00AB530F" w:rsidRDefault="009E7AE9" w:rsidP="00AB530F">
      <w:pPr>
        <w:pStyle w:val="Footer"/>
      </w:pPr>
    </w:p>
  </w:footnote>
  <w:footnote w:id="2">
    <w:p w:rsidR="009E7AE9" w:rsidRPr="00461106" w:rsidRDefault="009E7AE9" w:rsidP="00C818C6">
      <w:pPr>
        <w:pStyle w:val="FootnoteText"/>
        <w:rPr>
          <w:lang w:val="fr-CH"/>
        </w:rPr>
      </w:pPr>
      <w:r w:rsidRPr="00461106">
        <w:rPr>
          <w:rStyle w:val="FootnoteReference"/>
          <w:lang w:val="fr-CH"/>
        </w:rPr>
        <w:footnoteRef/>
      </w:r>
      <w:r w:rsidRPr="00461106">
        <w:rPr>
          <w:lang w:val="fr-CH"/>
        </w:rPr>
        <w:tab/>
      </w:r>
      <w:bookmarkStart w:id="5" w:name="notebasdepage1"/>
      <w:bookmarkEnd w:id="5"/>
      <w:r w:rsidRPr="00461106">
        <w:rPr>
          <w:lang w:val="fr-CH"/>
        </w:rPr>
        <w:t>Tenue à Genève les 29 et 30 octobre 2018</w:t>
      </w:r>
    </w:p>
  </w:footnote>
  <w:footnote w:id="3">
    <w:p w:rsidR="009E7AE9" w:rsidRPr="00461106" w:rsidRDefault="009E7AE9" w:rsidP="002A3260">
      <w:pPr>
        <w:pStyle w:val="FootnoteText"/>
        <w:rPr>
          <w:lang w:val="fr-CH"/>
        </w:rPr>
      </w:pPr>
      <w:r w:rsidRPr="00461106">
        <w:rPr>
          <w:rStyle w:val="FootnoteReference"/>
          <w:lang w:val="fr-CH"/>
        </w:rPr>
        <w:footnoteRef/>
      </w:r>
      <w:r w:rsidRPr="00461106">
        <w:rPr>
          <w:lang w:val="fr-CH"/>
        </w:rPr>
        <w:tab/>
      </w:r>
      <w:bookmarkStart w:id="7" w:name="notebasdepage2"/>
      <w:bookmarkEnd w:id="7"/>
      <w:r w:rsidRPr="00461106">
        <w:rPr>
          <w:lang w:val="fr-CH"/>
        </w:rPr>
        <w:t xml:space="preserve">Prévue à Genève le </w:t>
      </w:r>
      <w:r w:rsidRPr="00461106">
        <w:rPr>
          <w:spacing w:val="-2"/>
          <w:lang w:val="fr-CH"/>
        </w:rPr>
        <w:t>30 octobre 2019.</w:t>
      </w:r>
    </w:p>
  </w:footnote>
  <w:footnote w:id="4">
    <w:p w:rsidR="009E7AE9" w:rsidRPr="00461106" w:rsidRDefault="009E7AE9" w:rsidP="007C014C">
      <w:pPr>
        <w:pStyle w:val="FootnoteText"/>
        <w:rPr>
          <w:lang w:val="fr-CH"/>
        </w:rPr>
      </w:pPr>
      <w:r w:rsidRPr="00461106">
        <w:rPr>
          <w:rStyle w:val="FootnoteReference"/>
        </w:rPr>
        <w:footnoteRef/>
      </w:r>
      <w:r w:rsidRPr="00461106">
        <w:rPr>
          <w:lang w:val="fr-CH"/>
        </w:rPr>
        <w:t xml:space="preserve"> </w:t>
      </w:r>
      <w:r w:rsidRPr="00461106">
        <w:rPr>
          <w:lang w:val="fr-CH"/>
        </w:rPr>
        <w:tab/>
      </w:r>
      <w:bookmarkStart w:id="8" w:name="notebasdepage3"/>
      <w:bookmarkEnd w:id="8"/>
      <w:r w:rsidRPr="00461106">
        <w:rPr>
          <w:lang w:val="fr-CH"/>
        </w:rPr>
        <w:t>Prévue à Genève les 28 et 29 octobre 2019.</w:t>
      </w:r>
    </w:p>
  </w:footnote>
  <w:footnote w:id="5">
    <w:p w:rsidR="009E7AE9" w:rsidRPr="00461106" w:rsidRDefault="009E7AE9" w:rsidP="00672858">
      <w:pPr>
        <w:pStyle w:val="FootnoteText"/>
        <w:rPr>
          <w:lang w:val="fr-CH"/>
        </w:rPr>
      </w:pPr>
      <w:r w:rsidRPr="00461106">
        <w:rPr>
          <w:rStyle w:val="FootnoteReference"/>
          <w:lang w:val="fr-CH"/>
        </w:rPr>
        <w:footnoteRef/>
      </w:r>
      <w:r w:rsidRPr="00461106">
        <w:rPr>
          <w:lang w:val="fr-CH"/>
        </w:rPr>
        <w:t xml:space="preserve"> </w:t>
      </w:r>
      <w:r w:rsidRPr="00461106">
        <w:rPr>
          <w:lang w:val="fr-CH"/>
        </w:rPr>
        <w:tab/>
      </w:r>
      <w:bookmarkStart w:id="9" w:name="notebasdepage7"/>
      <w:bookmarkStart w:id="10" w:name="notebasdepage4"/>
      <w:bookmarkEnd w:id="9"/>
      <w:bookmarkEnd w:id="10"/>
      <w:r w:rsidRPr="00461106">
        <w:rPr>
          <w:lang w:val="fr-CH"/>
        </w:rPr>
        <w:t>Tenue à Genève du 3 au 5 avril 2017.</w:t>
      </w:r>
    </w:p>
  </w:footnote>
  <w:footnote w:id="6">
    <w:p w:rsidR="009E7AE9" w:rsidRPr="00461106" w:rsidRDefault="009E7AE9" w:rsidP="00917A05">
      <w:pPr>
        <w:pStyle w:val="FootnoteText"/>
        <w:rPr>
          <w:lang w:val="fr-CH"/>
        </w:rPr>
      </w:pPr>
      <w:r w:rsidRPr="00461106">
        <w:rPr>
          <w:rStyle w:val="FootnoteReference"/>
        </w:rPr>
        <w:footnoteRef/>
      </w:r>
      <w:r w:rsidRPr="00461106">
        <w:rPr>
          <w:lang w:val="fr-CH"/>
        </w:rPr>
        <w:t xml:space="preserve"> </w:t>
      </w:r>
      <w:r w:rsidRPr="00461106">
        <w:rPr>
          <w:lang w:val="fr-CH"/>
        </w:rPr>
        <w:tab/>
        <w:t>Tenue à Genève le 31 octobre 2018.</w:t>
      </w:r>
    </w:p>
  </w:footnote>
  <w:footnote w:id="7">
    <w:p w:rsidR="009E7AE9" w:rsidRPr="00461106" w:rsidRDefault="009E7AE9" w:rsidP="004876DF">
      <w:pPr>
        <w:pStyle w:val="FootnoteText"/>
        <w:rPr>
          <w:lang w:val="fr-CH"/>
        </w:rPr>
      </w:pPr>
      <w:r w:rsidRPr="00461106">
        <w:rPr>
          <w:rStyle w:val="FootnoteReference"/>
        </w:rPr>
        <w:footnoteRef/>
      </w:r>
      <w:r w:rsidRPr="00461106">
        <w:rPr>
          <w:lang w:val="fr-CH"/>
        </w:rPr>
        <w:t xml:space="preserve"> </w:t>
      </w:r>
      <w:r w:rsidRPr="00461106">
        <w:rPr>
          <w:lang w:val="fr-CH"/>
        </w:rPr>
        <w:tab/>
        <w:t>Tenue à Genève les 28 et 29 octobre 2018.</w:t>
      </w:r>
    </w:p>
  </w:footnote>
  <w:footnote w:id="8">
    <w:p w:rsidR="009E7AE9" w:rsidRPr="00461106" w:rsidRDefault="009E7AE9" w:rsidP="004876DF">
      <w:pPr>
        <w:pStyle w:val="FootnoteText"/>
        <w:rPr>
          <w:lang w:val="fr-CH"/>
        </w:rPr>
      </w:pPr>
      <w:r w:rsidRPr="00461106">
        <w:rPr>
          <w:rStyle w:val="FootnoteReference"/>
          <w:lang w:val="fr-CH"/>
        </w:rPr>
        <w:footnoteRef/>
      </w:r>
      <w:r w:rsidRPr="00461106">
        <w:rPr>
          <w:lang w:val="fr-CH"/>
        </w:rPr>
        <w:t xml:space="preserve"> </w:t>
      </w:r>
      <w:r w:rsidRPr="00461106">
        <w:rPr>
          <w:lang w:val="fr-CH"/>
        </w:rPr>
        <w:tab/>
        <w:t>Tenue à Genève du 3 au 5 avril 2017.</w:t>
      </w:r>
    </w:p>
  </w:footnote>
  <w:footnote w:id="9">
    <w:p w:rsidR="009E7AE9" w:rsidRPr="00461106" w:rsidRDefault="009E7AE9" w:rsidP="004876DF">
      <w:pPr>
        <w:pStyle w:val="FootnoteText"/>
        <w:rPr>
          <w:lang w:val="fr-CH"/>
        </w:rPr>
      </w:pPr>
      <w:r w:rsidRPr="00461106">
        <w:rPr>
          <w:rStyle w:val="FootnoteReference"/>
          <w:lang w:val="fr-CH"/>
        </w:rPr>
        <w:footnoteRef/>
      </w:r>
      <w:r w:rsidRPr="00461106">
        <w:rPr>
          <w:lang w:val="fr-CH"/>
        </w:rPr>
        <w:t xml:space="preserve"> </w:t>
      </w:r>
      <w:r w:rsidRPr="00461106">
        <w:rPr>
          <w:lang w:val="fr-CH"/>
        </w:rPr>
        <w:tab/>
        <w:t>Tenue à Genève les 28 et 29 octobre 2018.</w:t>
      </w:r>
    </w:p>
  </w:footnote>
  <w:footnote w:id="10">
    <w:p w:rsidR="009E7AE9" w:rsidRPr="00461106" w:rsidRDefault="009E7AE9" w:rsidP="00A20071">
      <w:pPr>
        <w:pStyle w:val="FootnoteText"/>
        <w:rPr>
          <w:lang w:val="fr-CH"/>
        </w:rPr>
      </w:pPr>
      <w:r w:rsidRPr="00461106">
        <w:rPr>
          <w:rStyle w:val="FootnoteReference"/>
          <w:lang w:val="fr-CH"/>
        </w:rPr>
        <w:footnoteRef/>
      </w:r>
      <w:r w:rsidRPr="00461106">
        <w:rPr>
          <w:lang w:val="fr-CH"/>
        </w:rPr>
        <w:t xml:space="preserve"> </w:t>
      </w:r>
      <w:r w:rsidRPr="00461106">
        <w:rPr>
          <w:lang w:val="fr-CH"/>
        </w:rPr>
        <w:tab/>
        <w:t>Tenue à Genève les 28 et 29 octobre 2018.</w:t>
      </w:r>
    </w:p>
  </w:footnote>
  <w:footnote w:id="11">
    <w:p w:rsidR="009E7AE9" w:rsidRPr="00461106" w:rsidRDefault="009E7AE9" w:rsidP="00E66E2B">
      <w:pPr>
        <w:pStyle w:val="FootnoteText"/>
        <w:rPr>
          <w:lang w:val="fr-CH"/>
        </w:rPr>
      </w:pPr>
      <w:r w:rsidRPr="00461106">
        <w:rPr>
          <w:rStyle w:val="FootnoteReference"/>
          <w:lang w:val="fr-CH"/>
        </w:rPr>
        <w:footnoteRef/>
      </w:r>
      <w:r w:rsidRPr="00461106">
        <w:rPr>
          <w:lang w:val="fr-CH"/>
        </w:rPr>
        <w:tab/>
        <w:t>Tenue à Genève du 3 au 5 avril 2017.</w:t>
      </w:r>
    </w:p>
  </w:footnote>
  <w:footnote w:id="12">
    <w:p w:rsidR="009E7AE9" w:rsidRPr="00461106" w:rsidRDefault="009E7AE9" w:rsidP="00E66E2B">
      <w:pPr>
        <w:pStyle w:val="FootnoteText"/>
        <w:rPr>
          <w:lang w:val="fr-CH"/>
        </w:rPr>
      </w:pPr>
      <w:r w:rsidRPr="00461106">
        <w:rPr>
          <w:rStyle w:val="FootnoteReference"/>
          <w:lang w:val="fr-CH"/>
        </w:rPr>
        <w:footnoteRef/>
      </w:r>
      <w:r w:rsidRPr="00461106">
        <w:rPr>
          <w:lang w:val="fr-CH"/>
        </w:rPr>
        <w:t xml:space="preserve"> </w:t>
      </w:r>
      <w:r w:rsidRPr="00461106">
        <w:rPr>
          <w:lang w:val="fr-CH"/>
        </w:rPr>
        <w:tab/>
        <w:t>Tenue à Genève les 28 et 29 octobre 2018.</w:t>
      </w:r>
    </w:p>
  </w:footnote>
  <w:footnote w:id="13">
    <w:p w:rsidR="009E7AE9" w:rsidRPr="00461106" w:rsidRDefault="009E7AE9" w:rsidP="00E66E2B">
      <w:pPr>
        <w:pStyle w:val="FootnoteText"/>
        <w:rPr>
          <w:lang w:val="fr-CH"/>
        </w:rPr>
      </w:pPr>
      <w:r w:rsidRPr="00461106">
        <w:rPr>
          <w:rStyle w:val="FootnoteReference"/>
        </w:rPr>
        <w:footnoteRef/>
      </w:r>
      <w:r w:rsidRPr="00461106">
        <w:rPr>
          <w:lang w:val="fr-CH"/>
        </w:rPr>
        <w:t xml:space="preserve"> </w:t>
      </w:r>
      <w:r w:rsidRPr="00461106">
        <w:rPr>
          <w:lang w:val="fr-CH"/>
        </w:rPr>
        <w:tab/>
        <w:t>Tenue à Genève les 28 et 29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rsidP="00CB4522">
    <w:pPr>
      <w:pStyle w:val="Header"/>
      <w:rPr>
        <w:lang w:val="en-US"/>
      </w:rPr>
    </w:pPr>
    <w:r>
      <w:rPr>
        <w:lang w:val="en-US"/>
      </w:rPr>
      <w:t>C/53/3</w:t>
    </w:r>
  </w:p>
  <w:p w:rsidR="009E7AE9" w:rsidRDefault="009E7AE9" w:rsidP="00CB4522">
    <w:pPr>
      <w:pStyle w:val="Header"/>
      <w:rPr>
        <w:lang w:val="en-US"/>
      </w:rPr>
    </w:pPr>
    <w:r>
      <w:rPr>
        <w:lang w:val="en-US"/>
      </w:rPr>
      <w:t>ANNEXE IV</w:t>
    </w:r>
  </w:p>
  <w:p w:rsidR="009E7AE9" w:rsidRDefault="009E7AE9" w:rsidP="00CB4522">
    <w:pPr>
      <w:pStyle w:val="Header"/>
      <w:rPr>
        <w:lang w:val="en-US"/>
      </w:rPr>
    </w:pPr>
  </w:p>
  <w:p w:rsidR="009E7AE9" w:rsidRDefault="009E7A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Pr="00E66E2B" w:rsidRDefault="009E7AE9" w:rsidP="00EB048E">
    <w:pPr>
      <w:pStyle w:val="Header"/>
      <w:rPr>
        <w:rStyle w:val="PageNumber"/>
        <w:lang w:val="fr-CH"/>
      </w:rPr>
    </w:pPr>
    <w:r w:rsidRPr="00E66E2B">
      <w:rPr>
        <w:rStyle w:val="PageNumber"/>
        <w:lang w:val="fr-CH"/>
      </w:rPr>
      <w:t>C/53/3</w:t>
    </w:r>
  </w:p>
  <w:p w:rsidR="009E7AE9" w:rsidRPr="00E66E2B" w:rsidRDefault="009E7AE9" w:rsidP="00A8283B">
    <w:pPr>
      <w:pStyle w:val="Header"/>
      <w:rPr>
        <w:rStyle w:val="PageNumber"/>
        <w:lang w:val="fr-CH"/>
      </w:rPr>
    </w:pPr>
    <w:r w:rsidRPr="00E66E2B">
      <w:rPr>
        <w:lang w:val="fr-CH"/>
      </w:rPr>
      <w:t xml:space="preserve">Annexe V, page </w:t>
    </w:r>
    <w:r w:rsidRPr="00E66E2B">
      <w:rPr>
        <w:rStyle w:val="PageNumber"/>
        <w:lang w:val="fr-CH"/>
      </w:rPr>
      <w:fldChar w:fldCharType="begin"/>
    </w:r>
    <w:r w:rsidRPr="00E66E2B">
      <w:rPr>
        <w:rStyle w:val="PageNumber"/>
        <w:lang w:val="fr-CH"/>
      </w:rPr>
      <w:instrText xml:space="preserve"> PAGE </w:instrText>
    </w:r>
    <w:r w:rsidRPr="00E66E2B">
      <w:rPr>
        <w:rStyle w:val="PageNumber"/>
        <w:lang w:val="fr-CH"/>
      </w:rPr>
      <w:fldChar w:fldCharType="separate"/>
    </w:r>
    <w:r w:rsidR="00D811BF">
      <w:rPr>
        <w:rStyle w:val="PageNumber"/>
        <w:noProof/>
        <w:lang w:val="fr-CH"/>
      </w:rPr>
      <w:t>2</w:t>
    </w:r>
    <w:r w:rsidRPr="00E66E2B">
      <w:rPr>
        <w:rStyle w:val="PageNumber"/>
        <w:lang w:val="fr-CH"/>
      </w:rPr>
      <w:fldChar w:fldCharType="end"/>
    </w:r>
  </w:p>
  <w:p w:rsidR="009E7AE9" w:rsidRPr="00E66E2B" w:rsidRDefault="009E7AE9" w:rsidP="00A8283B">
    <w:pPr>
      <w:pStyle w:val="Header"/>
      <w:rPr>
        <w:lang w:val="fr-CH"/>
      </w:rPr>
    </w:pPr>
  </w:p>
  <w:p w:rsidR="009E7AE9" w:rsidRPr="00E66E2B" w:rsidRDefault="009E7AE9" w:rsidP="00A8283B">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rsidP="00CB4522">
    <w:pPr>
      <w:pStyle w:val="Header"/>
      <w:rPr>
        <w:lang w:val="en-US"/>
      </w:rPr>
    </w:pPr>
    <w:r>
      <w:rPr>
        <w:lang w:val="en-US"/>
      </w:rPr>
      <w:t>C/53/3</w:t>
    </w:r>
  </w:p>
  <w:p w:rsidR="009E7AE9" w:rsidRDefault="009E7AE9" w:rsidP="00CB4522">
    <w:pPr>
      <w:pStyle w:val="Header"/>
      <w:rPr>
        <w:lang w:val="en-US"/>
      </w:rPr>
    </w:pPr>
    <w:r>
      <w:rPr>
        <w:lang w:val="en-US"/>
      </w:rPr>
      <w:t>ANNEXE V</w:t>
    </w:r>
  </w:p>
  <w:p w:rsidR="009E7AE9" w:rsidRDefault="009E7AE9" w:rsidP="00CB4522">
    <w:pPr>
      <w:pStyle w:val="Header"/>
      <w:rPr>
        <w:lang w:val="en-US"/>
      </w:rPr>
    </w:pPr>
  </w:p>
  <w:p w:rsidR="009E7AE9" w:rsidRDefault="009E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Pr="00C5280D" w:rsidRDefault="009E7AE9" w:rsidP="00EB048E">
    <w:pPr>
      <w:pStyle w:val="Header"/>
      <w:rPr>
        <w:rStyle w:val="PageNumber"/>
        <w:lang w:val="en-US"/>
      </w:rPr>
    </w:pPr>
    <w:r>
      <w:rPr>
        <w:rStyle w:val="PageNumber"/>
        <w:lang w:val="en-US"/>
      </w:rPr>
      <w:t>C/53/3</w:t>
    </w:r>
  </w:p>
  <w:p w:rsidR="009E7AE9" w:rsidRPr="00C5280D" w:rsidRDefault="009E7AE9"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811BF">
      <w:rPr>
        <w:rStyle w:val="PageNumber"/>
        <w:noProof/>
        <w:lang w:val="en-US"/>
      </w:rPr>
      <w:t>6</w:t>
    </w:r>
    <w:r w:rsidRPr="00C5280D">
      <w:rPr>
        <w:rStyle w:val="PageNumber"/>
        <w:lang w:val="en-US"/>
      </w:rPr>
      <w:fldChar w:fldCharType="end"/>
    </w:r>
  </w:p>
  <w:p w:rsidR="009E7AE9" w:rsidRPr="00C5280D" w:rsidRDefault="009E7AE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Pr="00C5280D" w:rsidRDefault="009E7AE9" w:rsidP="00EB048E">
    <w:pPr>
      <w:pStyle w:val="Header"/>
      <w:rPr>
        <w:rStyle w:val="PageNumber"/>
        <w:lang w:val="en-US"/>
      </w:rPr>
    </w:pPr>
    <w:r>
      <w:rPr>
        <w:rStyle w:val="PageNumber"/>
        <w:lang w:val="en-US"/>
      </w:rPr>
      <w:t>C/53/3</w:t>
    </w:r>
  </w:p>
  <w:p w:rsidR="009E7AE9" w:rsidRDefault="009E7AE9" w:rsidP="00A8283B">
    <w:pPr>
      <w:pStyle w:val="Header"/>
      <w:rPr>
        <w:rStyle w:val="PageNumbe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811BF">
      <w:rPr>
        <w:rStyle w:val="PageNumber"/>
        <w:noProof/>
        <w:lang w:val="en-US"/>
      </w:rPr>
      <w:t>2</w:t>
    </w:r>
    <w:r w:rsidRPr="00C5280D">
      <w:rPr>
        <w:rStyle w:val="PageNumber"/>
        <w:lang w:val="en-US"/>
      </w:rPr>
      <w:fldChar w:fldCharType="end"/>
    </w:r>
  </w:p>
  <w:p w:rsidR="009E7AE9" w:rsidRDefault="009E7AE9" w:rsidP="00A8283B">
    <w:pPr>
      <w:pStyle w:val="Header"/>
      <w:rPr>
        <w:lang w:val="en-US"/>
      </w:rPr>
    </w:pPr>
  </w:p>
  <w:p w:rsidR="009E7AE9" w:rsidRPr="00A8283B" w:rsidRDefault="009E7AE9" w:rsidP="00A8283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rsidP="00CB4522">
    <w:pPr>
      <w:pStyle w:val="Header"/>
      <w:rPr>
        <w:lang w:val="en-US"/>
      </w:rPr>
    </w:pPr>
    <w:r>
      <w:rPr>
        <w:lang w:val="en-US"/>
      </w:rPr>
      <w:t>C/53/3</w:t>
    </w:r>
  </w:p>
  <w:p w:rsidR="009E7AE9" w:rsidRDefault="009E7AE9" w:rsidP="00CB4522">
    <w:pPr>
      <w:pStyle w:val="Header"/>
      <w:rPr>
        <w:lang w:val="en-US"/>
      </w:rPr>
    </w:pPr>
    <w:r>
      <w:rPr>
        <w:lang w:val="en-US"/>
      </w:rPr>
      <w:t>ANNEXE I</w:t>
    </w:r>
  </w:p>
  <w:p w:rsidR="009E7AE9" w:rsidRDefault="009E7AE9" w:rsidP="00CB4522">
    <w:pPr>
      <w:pStyle w:val="Header"/>
      <w:rPr>
        <w:lang w:val="en-US"/>
      </w:rPr>
    </w:pPr>
  </w:p>
  <w:p w:rsidR="009E7AE9" w:rsidRDefault="009E7A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rsidP="00CB4522">
    <w:pPr>
      <w:pStyle w:val="Header"/>
      <w:rPr>
        <w:lang w:val="en-US"/>
      </w:rPr>
    </w:pPr>
    <w:r>
      <w:rPr>
        <w:lang w:val="en-US"/>
      </w:rPr>
      <w:t>C/53/3</w:t>
    </w:r>
  </w:p>
  <w:p w:rsidR="009E7AE9" w:rsidRDefault="009E7AE9" w:rsidP="00CB4522">
    <w:pPr>
      <w:pStyle w:val="Header"/>
      <w:rPr>
        <w:lang w:val="en-US"/>
      </w:rPr>
    </w:pPr>
    <w:r>
      <w:rPr>
        <w:lang w:val="en-US"/>
      </w:rPr>
      <w:t>ANNEXE II</w:t>
    </w:r>
  </w:p>
  <w:p w:rsidR="009E7AE9" w:rsidRDefault="009E7AE9" w:rsidP="00CB4522">
    <w:pPr>
      <w:pStyle w:val="Header"/>
      <w:rPr>
        <w:lang w:val="en-US"/>
      </w:rPr>
    </w:pPr>
  </w:p>
  <w:p w:rsidR="009E7AE9" w:rsidRDefault="009E7A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Pr="00E66E2B" w:rsidRDefault="009E7AE9" w:rsidP="00EB048E">
    <w:pPr>
      <w:pStyle w:val="Header"/>
      <w:rPr>
        <w:rStyle w:val="PageNumber"/>
        <w:lang w:val="fr-CH"/>
      </w:rPr>
    </w:pPr>
    <w:r w:rsidRPr="00E66E2B">
      <w:rPr>
        <w:rStyle w:val="PageNumber"/>
        <w:lang w:val="fr-CH"/>
      </w:rPr>
      <w:t>C/53/3</w:t>
    </w:r>
  </w:p>
  <w:p w:rsidR="009E7AE9" w:rsidRPr="00E66E2B" w:rsidRDefault="009E7AE9" w:rsidP="00A8283B">
    <w:pPr>
      <w:pStyle w:val="Header"/>
      <w:rPr>
        <w:rStyle w:val="PageNumber"/>
        <w:lang w:val="fr-CH"/>
      </w:rPr>
    </w:pPr>
    <w:r w:rsidRPr="00E66E2B">
      <w:rPr>
        <w:lang w:val="fr-CH"/>
      </w:rPr>
      <w:t xml:space="preserve">Annexe III, page </w:t>
    </w:r>
    <w:r w:rsidRPr="00E66E2B">
      <w:rPr>
        <w:rStyle w:val="PageNumber"/>
        <w:lang w:val="fr-CH"/>
      </w:rPr>
      <w:fldChar w:fldCharType="begin"/>
    </w:r>
    <w:r w:rsidRPr="00E66E2B">
      <w:rPr>
        <w:rStyle w:val="PageNumber"/>
        <w:lang w:val="fr-CH"/>
      </w:rPr>
      <w:instrText xml:space="preserve"> PAGE </w:instrText>
    </w:r>
    <w:r w:rsidRPr="00E66E2B">
      <w:rPr>
        <w:rStyle w:val="PageNumber"/>
        <w:lang w:val="fr-CH"/>
      </w:rPr>
      <w:fldChar w:fldCharType="separate"/>
    </w:r>
    <w:r w:rsidR="00D811BF">
      <w:rPr>
        <w:rStyle w:val="PageNumber"/>
        <w:noProof/>
        <w:lang w:val="fr-CH"/>
      </w:rPr>
      <w:t>3</w:t>
    </w:r>
    <w:r w:rsidRPr="00E66E2B">
      <w:rPr>
        <w:rStyle w:val="PageNumber"/>
        <w:lang w:val="fr-CH"/>
      </w:rPr>
      <w:fldChar w:fldCharType="end"/>
    </w:r>
  </w:p>
  <w:p w:rsidR="009E7AE9" w:rsidRPr="00E66E2B" w:rsidRDefault="009E7AE9" w:rsidP="00A8283B">
    <w:pPr>
      <w:pStyle w:val="Header"/>
      <w:rPr>
        <w:lang w:val="fr-CH"/>
      </w:rPr>
    </w:pPr>
  </w:p>
  <w:p w:rsidR="009E7AE9" w:rsidRPr="00E66E2B" w:rsidRDefault="009E7AE9" w:rsidP="00A8283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Default="009E7AE9" w:rsidP="00CB4522">
    <w:pPr>
      <w:pStyle w:val="Header"/>
      <w:rPr>
        <w:lang w:val="en-US"/>
      </w:rPr>
    </w:pPr>
    <w:r>
      <w:rPr>
        <w:lang w:val="en-US"/>
      </w:rPr>
      <w:t>C/53/3</w:t>
    </w:r>
  </w:p>
  <w:p w:rsidR="009E7AE9" w:rsidRDefault="009E7AE9" w:rsidP="00CB4522">
    <w:pPr>
      <w:pStyle w:val="Header"/>
      <w:rPr>
        <w:lang w:val="en-US"/>
      </w:rPr>
    </w:pPr>
    <w:r>
      <w:rPr>
        <w:lang w:val="en-US"/>
      </w:rPr>
      <w:t>ANNEXE III</w:t>
    </w:r>
  </w:p>
  <w:p w:rsidR="009E7AE9" w:rsidRDefault="009E7AE9" w:rsidP="00CB4522">
    <w:pPr>
      <w:pStyle w:val="Header"/>
      <w:rPr>
        <w:lang w:val="en-US"/>
      </w:rPr>
    </w:pPr>
  </w:p>
  <w:p w:rsidR="009E7AE9" w:rsidRDefault="009E7A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E9" w:rsidRPr="00E66E2B" w:rsidRDefault="009E7AE9" w:rsidP="00EB048E">
    <w:pPr>
      <w:pStyle w:val="Header"/>
      <w:rPr>
        <w:rStyle w:val="PageNumber"/>
        <w:lang w:val="fr-CH"/>
      </w:rPr>
    </w:pPr>
    <w:r w:rsidRPr="00E66E2B">
      <w:rPr>
        <w:rStyle w:val="PageNumber"/>
        <w:lang w:val="fr-CH"/>
      </w:rPr>
      <w:t>C/53/3</w:t>
    </w:r>
  </w:p>
  <w:p w:rsidR="009E7AE9" w:rsidRPr="00E66E2B" w:rsidRDefault="009E7AE9" w:rsidP="00A8283B">
    <w:pPr>
      <w:pStyle w:val="Header"/>
      <w:rPr>
        <w:rStyle w:val="PageNumber"/>
        <w:lang w:val="fr-CH"/>
      </w:rPr>
    </w:pPr>
    <w:r w:rsidRPr="00E66E2B">
      <w:rPr>
        <w:lang w:val="fr-CH"/>
      </w:rPr>
      <w:t xml:space="preserve">Annexe IV, page </w:t>
    </w:r>
    <w:r w:rsidRPr="00E66E2B">
      <w:rPr>
        <w:rStyle w:val="PageNumber"/>
        <w:lang w:val="fr-CH"/>
      </w:rPr>
      <w:fldChar w:fldCharType="begin"/>
    </w:r>
    <w:r w:rsidRPr="00E66E2B">
      <w:rPr>
        <w:rStyle w:val="PageNumber"/>
        <w:lang w:val="fr-CH"/>
      </w:rPr>
      <w:instrText xml:space="preserve"> PAGE </w:instrText>
    </w:r>
    <w:r w:rsidRPr="00E66E2B">
      <w:rPr>
        <w:rStyle w:val="PageNumber"/>
        <w:lang w:val="fr-CH"/>
      </w:rPr>
      <w:fldChar w:fldCharType="separate"/>
    </w:r>
    <w:r w:rsidR="00D811BF">
      <w:rPr>
        <w:rStyle w:val="PageNumber"/>
        <w:noProof/>
        <w:lang w:val="fr-CH"/>
      </w:rPr>
      <w:t>2</w:t>
    </w:r>
    <w:r w:rsidRPr="00E66E2B">
      <w:rPr>
        <w:rStyle w:val="PageNumber"/>
        <w:lang w:val="fr-CH"/>
      </w:rPr>
      <w:fldChar w:fldCharType="end"/>
    </w:r>
  </w:p>
  <w:p w:rsidR="009E7AE9" w:rsidRDefault="009E7AE9" w:rsidP="00A8283B">
    <w:pPr>
      <w:pStyle w:val="Header"/>
      <w:rPr>
        <w:lang w:val="fr-CH"/>
      </w:rPr>
    </w:pPr>
  </w:p>
  <w:p w:rsidR="009E7AE9" w:rsidRPr="00E66E2B" w:rsidRDefault="009E7AE9" w:rsidP="00A8283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02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68D2437"/>
    <w:multiLevelType w:val="hybridMultilevel"/>
    <w:tmpl w:val="E632D114"/>
    <w:lvl w:ilvl="0" w:tplc="0409000F">
      <w:start w:val="1"/>
      <w:numFmt w:val="decimal"/>
      <w:lvlText w:val="%1."/>
      <w:lvlJc w:val="left"/>
      <w:pPr>
        <w:ind w:left="-351" w:hanging="360"/>
      </w:pPr>
    </w:lvl>
    <w:lvl w:ilvl="1" w:tplc="04090019">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3"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F04A6"/>
    <w:multiLevelType w:val="hybridMultilevel"/>
    <w:tmpl w:val="0B60CECC"/>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E0910"/>
    <w:multiLevelType w:val="hybridMultilevel"/>
    <w:tmpl w:val="1BA05412"/>
    <w:lvl w:ilvl="0" w:tplc="159E9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8"/>
  </w:num>
  <w:num w:numId="6">
    <w:abstractNumId w:val="5"/>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1B4D3B"/>
    <w:rsid w:val="00004BD7"/>
    <w:rsid w:val="00010CF3"/>
    <w:rsid w:val="00011E27"/>
    <w:rsid w:val="000148BC"/>
    <w:rsid w:val="00024AB8"/>
    <w:rsid w:val="00026FCE"/>
    <w:rsid w:val="00030854"/>
    <w:rsid w:val="00036028"/>
    <w:rsid w:val="00044642"/>
    <w:rsid w:val="000446B9"/>
    <w:rsid w:val="00047E21"/>
    <w:rsid w:val="00050791"/>
    <w:rsid w:val="00050E16"/>
    <w:rsid w:val="00067473"/>
    <w:rsid w:val="00077DB5"/>
    <w:rsid w:val="00082542"/>
    <w:rsid w:val="00084193"/>
    <w:rsid w:val="00085505"/>
    <w:rsid w:val="000938BB"/>
    <w:rsid w:val="0009468B"/>
    <w:rsid w:val="000A2A99"/>
    <w:rsid w:val="000A790D"/>
    <w:rsid w:val="000B40AD"/>
    <w:rsid w:val="000C4E25"/>
    <w:rsid w:val="000C7021"/>
    <w:rsid w:val="000D064D"/>
    <w:rsid w:val="000D46A2"/>
    <w:rsid w:val="000D6BBC"/>
    <w:rsid w:val="000D7780"/>
    <w:rsid w:val="000E636A"/>
    <w:rsid w:val="000E7A75"/>
    <w:rsid w:val="000F250F"/>
    <w:rsid w:val="000F2F11"/>
    <w:rsid w:val="00104878"/>
    <w:rsid w:val="00105929"/>
    <w:rsid w:val="00110C36"/>
    <w:rsid w:val="001131D5"/>
    <w:rsid w:val="00141DB8"/>
    <w:rsid w:val="00172084"/>
    <w:rsid w:val="0017474A"/>
    <w:rsid w:val="001758C6"/>
    <w:rsid w:val="00182B99"/>
    <w:rsid w:val="00184FAA"/>
    <w:rsid w:val="00191B77"/>
    <w:rsid w:val="00195DD2"/>
    <w:rsid w:val="001A7309"/>
    <w:rsid w:val="001B4D3B"/>
    <w:rsid w:val="001C1525"/>
    <w:rsid w:val="001C29A3"/>
    <w:rsid w:val="001C3766"/>
    <w:rsid w:val="001F64D8"/>
    <w:rsid w:val="0020221D"/>
    <w:rsid w:val="00202E8D"/>
    <w:rsid w:val="0021332C"/>
    <w:rsid w:val="00213982"/>
    <w:rsid w:val="00214C72"/>
    <w:rsid w:val="0022778F"/>
    <w:rsid w:val="002422C8"/>
    <w:rsid w:val="0024416D"/>
    <w:rsid w:val="00256BFA"/>
    <w:rsid w:val="00265746"/>
    <w:rsid w:val="0027034F"/>
    <w:rsid w:val="00271911"/>
    <w:rsid w:val="0027272E"/>
    <w:rsid w:val="002743D8"/>
    <w:rsid w:val="002800A0"/>
    <w:rsid w:val="002801B3"/>
    <w:rsid w:val="00281060"/>
    <w:rsid w:val="00282339"/>
    <w:rsid w:val="002940E8"/>
    <w:rsid w:val="002944D2"/>
    <w:rsid w:val="00294751"/>
    <w:rsid w:val="002A3260"/>
    <w:rsid w:val="002A6E50"/>
    <w:rsid w:val="002B3E11"/>
    <w:rsid w:val="002B4298"/>
    <w:rsid w:val="002C256A"/>
    <w:rsid w:val="002C7C01"/>
    <w:rsid w:val="002E00E6"/>
    <w:rsid w:val="00305A7F"/>
    <w:rsid w:val="003152FE"/>
    <w:rsid w:val="00327436"/>
    <w:rsid w:val="00344BD6"/>
    <w:rsid w:val="0035528D"/>
    <w:rsid w:val="00355C94"/>
    <w:rsid w:val="00355E19"/>
    <w:rsid w:val="00361821"/>
    <w:rsid w:val="00361E9E"/>
    <w:rsid w:val="00380AD5"/>
    <w:rsid w:val="0039633A"/>
    <w:rsid w:val="003B186E"/>
    <w:rsid w:val="003B7F3C"/>
    <w:rsid w:val="003C5006"/>
    <w:rsid w:val="003C7FBE"/>
    <w:rsid w:val="003D0EB7"/>
    <w:rsid w:val="003D227C"/>
    <w:rsid w:val="003D2B4D"/>
    <w:rsid w:val="003E5AF4"/>
    <w:rsid w:val="003F03EE"/>
    <w:rsid w:val="003F5F2B"/>
    <w:rsid w:val="00415530"/>
    <w:rsid w:val="00433E4E"/>
    <w:rsid w:val="00444A88"/>
    <w:rsid w:val="00461106"/>
    <w:rsid w:val="00462A02"/>
    <w:rsid w:val="00472A47"/>
    <w:rsid w:val="00473F9B"/>
    <w:rsid w:val="00474DA4"/>
    <w:rsid w:val="00476B4D"/>
    <w:rsid w:val="004805FA"/>
    <w:rsid w:val="004876DF"/>
    <w:rsid w:val="004935D2"/>
    <w:rsid w:val="004975B4"/>
    <w:rsid w:val="004A086C"/>
    <w:rsid w:val="004B1215"/>
    <w:rsid w:val="004B4CDA"/>
    <w:rsid w:val="004D047D"/>
    <w:rsid w:val="004E031E"/>
    <w:rsid w:val="004E2580"/>
    <w:rsid w:val="004E3225"/>
    <w:rsid w:val="004F1E9E"/>
    <w:rsid w:val="004F305A"/>
    <w:rsid w:val="004F45B7"/>
    <w:rsid w:val="005042AF"/>
    <w:rsid w:val="00512164"/>
    <w:rsid w:val="00520297"/>
    <w:rsid w:val="005338F9"/>
    <w:rsid w:val="0053502B"/>
    <w:rsid w:val="005423A3"/>
    <w:rsid w:val="0054281C"/>
    <w:rsid w:val="00544581"/>
    <w:rsid w:val="00544E29"/>
    <w:rsid w:val="0055268D"/>
    <w:rsid w:val="00565C8C"/>
    <w:rsid w:val="005667BF"/>
    <w:rsid w:val="00576BE4"/>
    <w:rsid w:val="00587EB0"/>
    <w:rsid w:val="005A400A"/>
    <w:rsid w:val="005B0157"/>
    <w:rsid w:val="005C3142"/>
    <w:rsid w:val="005D1FEE"/>
    <w:rsid w:val="005E1F43"/>
    <w:rsid w:val="005F7B92"/>
    <w:rsid w:val="0061050E"/>
    <w:rsid w:val="00612379"/>
    <w:rsid w:val="00612488"/>
    <w:rsid w:val="006153B6"/>
    <w:rsid w:val="0061555F"/>
    <w:rsid w:val="00630AF6"/>
    <w:rsid w:val="00630D2D"/>
    <w:rsid w:val="00636CA6"/>
    <w:rsid w:val="00641200"/>
    <w:rsid w:val="00645CA8"/>
    <w:rsid w:val="00645FD3"/>
    <w:rsid w:val="006623A9"/>
    <w:rsid w:val="006655D3"/>
    <w:rsid w:val="00667404"/>
    <w:rsid w:val="00672858"/>
    <w:rsid w:val="006850E3"/>
    <w:rsid w:val="00687EB4"/>
    <w:rsid w:val="00695C56"/>
    <w:rsid w:val="00695E22"/>
    <w:rsid w:val="006A5CDE"/>
    <w:rsid w:val="006A5FC5"/>
    <w:rsid w:val="006A644A"/>
    <w:rsid w:val="006B17D2"/>
    <w:rsid w:val="006C224E"/>
    <w:rsid w:val="006D21A4"/>
    <w:rsid w:val="006D780A"/>
    <w:rsid w:val="006E5C45"/>
    <w:rsid w:val="007111B2"/>
    <w:rsid w:val="0071271E"/>
    <w:rsid w:val="00717A8E"/>
    <w:rsid w:val="00732DEC"/>
    <w:rsid w:val="00735BD5"/>
    <w:rsid w:val="00740B44"/>
    <w:rsid w:val="00741658"/>
    <w:rsid w:val="007451EC"/>
    <w:rsid w:val="00751613"/>
    <w:rsid w:val="007556F6"/>
    <w:rsid w:val="00760EEF"/>
    <w:rsid w:val="00766E97"/>
    <w:rsid w:val="00777EE5"/>
    <w:rsid w:val="00782255"/>
    <w:rsid w:val="00784836"/>
    <w:rsid w:val="0079023E"/>
    <w:rsid w:val="00792504"/>
    <w:rsid w:val="007A2854"/>
    <w:rsid w:val="007C014C"/>
    <w:rsid w:val="007C1D92"/>
    <w:rsid w:val="007C3C19"/>
    <w:rsid w:val="007C4CB9"/>
    <w:rsid w:val="007D0B9D"/>
    <w:rsid w:val="007D19B0"/>
    <w:rsid w:val="007D2E34"/>
    <w:rsid w:val="007D3092"/>
    <w:rsid w:val="007D4635"/>
    <w:rsid w:val="007F2B54"/>
    <w:rsid w:val="007F498F"/>
    <w:rsid w:val="0080679D"/>
    <w:rsid w:val="00807CB1"/>
    <w:rsid w:val="008108B0"/>
    <w:rsid w:val="00810A9A"/>
    <w:rsid w:val="00811B20"/>
    <w:rsid w:val="008211B5"/>
    <w:rsid w:val="0082296E"/>
    <w:rsid w:val="00824099"/>
    <w:rsid w:val="00846D7C"/>
    <w:rsid w:val="008608C6"/>
    <w:rsid w:val="00867AC1"/>
    <w:rsid w:val="00884300"/>
    <w:rsid w:val="00890DF8"/>
    <w:rsid w:val="0089519F"/>
    <w:rsid w:val="008966F7"/>
    <w:rsid w:val="0089704D"/>
    <w:rsid w:val="008A41A6"/>
    <w:rsid w:val="008A48B2"/>
    <w:rsid w:val="008A743F"/>
    <w:rsid w:val="008C0970"/>
    <w:rsid w:val="008C788B"/>
    <w:rsid w:val="008D0BC5"/>
    <w:rsid w:val="008D2CF7"/>
    <w:rsid w:val="008F505F"/>
    <w:rsid w:val="00900C26"/>
    <w:rsid w:val="0090197F"/>
    <w:rsid w:val="00903264"/>
    <w:rsid w:val="00906DDC"/>
    <w:rsid w:val="009124F3"/>
    <w:rsid w:val="00912AEB"/>
    <w:rsid w:val="00914635"/>
    <w:rsid w:val="00917A05"/>
    <w:rsid w:val="00934E09"/>
    <w:rsid w:val="00936253"/>
    <w:rsid w:val="00940819"/>
    <w:rsid w:val="00940D46"/>
    <w:rsid w:val="0094332F"/>
    <w:rsid w:val="00952DD4"/>
    <w:rsid w:val="00965AE7"/>
    <w:rsid w:val="009663C2"/>
    <w:rsid w:val="00970FED"/>
    <w:rsid w:val="00986B48"/>
    <w:rsid w:val="00992D82"/>
    <w:rsid w:val="0099612E"/>
    <w:rsid w:val="00997029"/>
    <w:rsid w:val="009A1C33"/>
    <w:rsid w:val="009A21B9"/>
    <w:rsid w:val="009A4E77"/>
    <w:rsid w:val="009A614A"/>
    <w:rsid w:val="009A7339"/>
    <w:rsid w:val="009B089B"/>
    <w:rsid w:val="009B2162"/>
    <w:rsid w:val="009B440E"/>
    <w:rsid w:val="009B4E66"/>
    <w:rsid w:val="009C5095"/>
    <w:rsid w:val="009C6CEA"/>
    <w:rsid w:val="009D162E"/>
    <w:rsid w:val="009D690D"/>
    <w:rsid w:val="009E1F8B"/>
    <w:rsid w:val="009E1FB4"/>
    <w:rsid w:val="009E65B6"/>
    <w:rsid w:val="009E7AE9"/>
    <w:rsid w:val="009F5A19"/>
    <w:rsid w:val="009F77CF"/>
    <w:rsid w:val="00A06E76"/>
    <w:rsid w:val="00A20071"/>
    <w:rsid w:val="00A24C10"/>
    <w:rsid w:val="00A3365A"/>
    <w:rsid w:val="00A42AC3"/>
    <w:rsid w:val="00A430CF"/>
    <w:rsid w:val="00A44D58"/>
    <w:rsid w:val="00A54309"/>
    <w:rsid w:val="00A56DAF"/>
    <w:rsid w:val="00A65EFB"/>
    <w:rsid w:val="00A8283B"/>
    <w:rsid w:val="00AA1410"/>
    <w:rsid w:val="00AB2B93"/>
    <w:rsid w:val="00AB530F"/>
    <w:rsid w:val="00AB7E5B"/>
    <w:rsid w:val="00AC2883"/>
    <w:rsid w:val="00AD13BD"/>
    <w:rsid w:val="00AE0EF1"/>
    <w:rsid w:val="00AE2937"/>
    <w:rsid w:val="00AE6CAF"/>
    <w:rsid w:val="00AE7C50"/>
    <w:rsid w:val="00AE7E30"/>
    <w:rsid w:val="00B05240"/>
    <w:rsid w:val="00B07301"/>
    <w:rsid w:val="00B07900"/>
    <w:rsid w:val="00B101F9"/>
    <w:rsid w:val="00B11F3E"/>
    <w:rsid w:val="00B141A2"/>
    <w:rsid w:val="00B212B3"/>
    <w:rsid w:val="00B224DE"/>
    <w:rsid w:val="00B324D4"/>
    <w:rsid w:val="00B4256D"/>
    <w:rsid w:val="00B43485"/>
    <w:rsid w:val="00B46575"/>
    <w:rsid w:val="00B50298"/>
    <w:rsid w:val="00B5679E"/>
    <w:rsid w:val="00B5756B"/>
    <w:rsid w:val="00B61777"/>
    <w:rsid w:val="00B62624"/>
    <w:rsid w:val="00B708A5"/>
    <w:rsid w:val="00B716DB"/>
    <w:rsid w:val="00B75E0C"/>
    <w:rsid w:val="00B84BBD"/>
    <w:rsid w:val="00BA43FB"/>
    <w:rsid w:val="00BA6D9A"/>
    <w:rsid w:val="00BB50C5"/>
    <w:rsid w:val="00BB6643"/>
    <w:rsid w:val="00BC127D"/>
    <w:rsid w:val="00BC1FE6"/>
    <w:rsid w:val="00BF0B0F"/>
    <w:rsid w:val="00BF490B"/>
    <w:rsid w:val="00C061B6"/>
    <w:rsid w:val="00C07AF9"/>
    <w:rsid w:val="00C16393"/>
    <w:rsid w:val="00C23EC2"/>
    <w:rsid w:val="00C2446C"/>
    <w:rsid w:val="00C315A0"/>
    <w:rsid w:val="00C36AE5"/>
    <w:rsid w:val="00C41F17"/>
    <w:rsid w:val="00C50142"/>
    <w:rsid w:val="00C527FA"/>
    <w:rsid w:val="00C5280D"/>
    <w:rsid w:val="00C53EB3"/>
    <w:rsid w:val="00C5791C"/>
    <w:rsid w:val="00C66290"/>
    <w:rsid w:val="00C72B7A"/>
    <w:rsid w:val="00C752B0"/>
    <w:rsid w:val="00C818C6"/>
    <w:rsid w:val="00C821C8"/>
    <w:rsid w:val="00C91A30"/>
    <w:rsid w:val="00C973F2"/>
    <w:rsid w:val="00CA304C"/>
    <w:rsid w:val="00CA774A"/>
    <w:rsid w:val="00CB4522"/>
    <w:rsid w:val="00CC11B0"/>
    <w:rsid w:val="00CC2841"/>
    <w:rsid w:val="00CD0F11"/>
    <w:rsid w:val="00CE1AD4"/>
    <w:rsid w:val="00CF1330"/>
    <w:rsid w:val="00CF7E36"/>
    <w:rsid w:val="00D131B7"/>
    <w:rsid w:val="00D13CCA"/>
    <w:rsid w:val="00D14E8F"/>
    <w:rsid w:val="00D2444E"/>
    <w:rsid w:val="00D24A6C"/>
    <w:rsid w:val="00D3708D"/>
    <w:rsid w:val="00D40426"/>
    <w:rsid w:val="00D57C96"/>
    <w:rsid w:val="00D57D18"/>
    <w:rsid w:val="00D66B2A"/>
    <w:rsid w:val="00D72856"/>
    <w:rsid w:val="00D73539"/>
    <w:rsid w:val="00D74D5D"/>
    <w:rsid w:val="00D811BF"/>
    <w:rsid w:val="00D91203"/>
    <w:rsid w:val="00D95174"/>
    <w:rsid w:val="00DA4973"/>
    <w:rsid w:val="00DA6F36"/>
    <w:rsid w:val="00DB2BDB"/>
    <w:rsid w:val="00DB2EB5"/>
    <w:rsid w:val="00DB596E"/>
    <w:rsid w:val="00DB7773"/>
    <w:rsid w:val="00DC00EA"/>
    <w:rsid w:val="00DC3802"/>
    <w:rsid w:val="00DD5AB0"/>
    <w:rsid w:val="00DD7A8C"/>
    <w:rsid w:val="00E07D87"/>
    <w:rsid w:val="00E11AC8"/>
    <w:rsid w:val="00E11CE2"/>
    <w:rsid w:val="00E12538"/>
    <w:rsid w:val="00E23559"/>
    <w:rsid w:val="00E23825"/>
    <w:rsid w:val="00E325A2"/>
    <w:rsid w:val="00E32F7E"/>
    <w:rsid w:val="00E36006"/>
    <w:rsid w:val="00E5267B"/>
    <w:rsid w:val="00E54696"/>
    <w:rsid w:val="00E5665F"/>
    <w:rsid w:val="00E578A3"/>
    <w:rsid w:val="00E57FD3"/>
    <w:rsid w:val="00E63C0E"/>
    <w:rsid w:val="00E66E2B"/>
    <w:rsid w:val="00E6781F"/>
    <w:rsid w:val="00E67F5D"/>
    <w:rsid w:val="00E72D49"/>
    <w:rsid w:val="00E7593C"/>
    <w:rsid w:val="00E7678A"/>
    <w:rsid w:val="00E77F58"/>
    <w:rsid w:val="00E8527B"/>
    <w:rsid w:val="00E935F1"/>
    <w:rsid w:val="00E948AB"/>
    <w:rsid w:val="00E94A81"/>
    <w:rsid w:val="00EA1FFB"/>
    <w:rsid w:val="00EA4D2D"/>
    <w:rsid w:val="00EB048E"/>
    <w:rsid w:val="00EB4E9C"/>
    <w:rsid w:val="00EE045D"/>
    <w:rsid w:val="00EE34DF"/>
    <w:rsid w:val="00EF2F89"/>
    <w:rsid w:val="00EF5FE8"/>
    <w:rsid w:val="00EF65E9"/>
    <w:rsid w:val="00F0369B"/>
    <w:rsid w:val="00F03E98"/>
    <w:rsid w:val="00F1237A"/>
    <w:rsid w:val="00F163A1"/>
    <w:rsid w:val="00F22CBD"/>
    <w:rsid w:val="00F272F1"/>
    <w:rsid w:val="00F45372"/>
    <w:rsid w:val="00F504FA"/>
    <w:rsid w:val="00F560F7"/>
    <w:rsid w:val="00F6334D"/>
    <w:rsid w:val="00F63599"/>
    <w:rsid w:val="00F6380E"/>
    <w:rsid w:val="00F82374"/>
    <w:rsid w:val="00F93C73"/>
    <w:rsid w:val="00FA49AB"/>
    <w:rsid w:val="00FA7A1E"/>
    <w:rsid w:val="00FB361A"/>
    <w:rsid w:val="00FB691C"/>
    <w:rsid w:val="00FC34F0"/>
    <w:rsid w:val="00FC7CCC"/>
    <w:rsid w:val="00FD0F20"/>
    <w:rsid w:val="00FD20DA"/>
    <w:rsid w:val="00FD3216"/>
    <w:rsid w:val="00FD3A90"/>
    <w:rsid w:val="00FE074A"/>
    <w:rsid w:val="00FE319F"/>
    <w:rsid w:val="00FE39C7"/>
    <w:rsid w:val="00FE3C8A"/>
    <w:rsid w:val="00FF4D07"/>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79BE117"/>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74"/>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3D0EB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40819"/>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F45B7"/>
    <w:pPr>
      <w:ind w:left="720"/>
      <w:contextualSpacing/>
    </w:pPr>
  </w:style>
  <w:style w:type="character" w:customStyle="1" w:styleId="DecisionParagraphsChar">
    <w:name w:val="DecisionParagraphs Char"/>
    <w:basedOn w:val="DefaultParagraphFont"/>
    <w:link w:val="DecisionParagraphs"/>
    <w:rsid w:val="004F45B7"/>
    <w:rPr>
      <w:rFonts w:ascii="Arial" w:hAnsi="Arial"/>
      <w:i/>
    </w:rPr>
  </w:style>
  <w:style w:type="character" w:customStyle="1" w:styleId="HeaderChar">
    <w:name w:val="Header Char"/>
    <w:link w:val="Header"/>
    <w:rsid w:val="004F45B7"/>
    <w:rPr>
      <w:rFonts w:ascii="Arial" w:hAnsi="Arial"/>
      <w:lang w:val="fr-FR"/>
    </w:rPr>
  </w:style>
  <w:style w:type="table" w:styleId="TableGrid">
    <w:name w:val="Table Grid"/>
    <w:basedOn w:val="TableNormal"/>
    <w:rsid w:val="004F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F45B7"/>
    <w:pPr>
      <w:numPr>
        <w:numId w:val="2"/>
      </w:numPr>
      <w:contextualSpacing/>
    </w:pPr>
  </w:style>
  <w:style w:type="character" w:styleId="FollowedHyperlink">
    <w:name w:val="FollowedHyperlink"/>
    <w:basedOn w:val="DefaultParagraphFont"/>
    <w:rsid w:val="004F45B7"/>
    <w:rPr>
      <w:color w:val="800080" w:themeColor="followedHyperlink"/>
      <w:u w:val="single"/>
    </w:rPr>
  </w:style>
  <w:style w:type="character" w:customStyle="1" w:styleId="Heading6Char">
    <w:name w:val="Heading 6 Char"/>
    <w:basedOn w:val="DefaultParagraphFont"/>
    <w:link w:val="Heading6"/>
    <w:semiHidden/>
    <w:rsid w:val="003D0EB7"/>
    <w:rPr>
      <w:rFonts w:asciiTheme="majorHAnsi" w:eastAsiaTheme="majorEastAsia" w:hAnsiTheme="majorHAnsi" w:cstheme="majorBidi"/>
      <w:color w:val="243F60" w:themeColor="accent1" w:themeShade="7F"/>
    </w:rPr>
  </w:style>
  <w:style w:type="character" w:customStyle="1" w:styleId="Heading4Char">
    <w:name w:val="Heading 4 Char"/>
    <w:link w:val="Heading4"/>
    <w:rsid w:val="003D0EB7"/>
    <w:rPr>
      <w:rFonts w:ascii="Arial" w:hAnsi="Arial"/>
      <w:u w:val="single"/>
      <w:lang w:val="fr-FR"/>
    </w:rPr>
  </w:style>
  <w:style w:type="table" w:customStyle="1" w:styleId="TableGrid2">
    <w:name w:val="Table Grid2"/>
    <w:basedOn w:val="TableNormal"/>
    <w:next w:val="TableGrid"/>
    <w:uiPriority w:val="59"/>
    <w:rsid w:val="00E67F5D"/>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7F5D"/>
    <w:rPr>
      <w:rFonts w:ascii="Arial" w:hAnsi="Arial"/>
      <w:i/>
    </w:rPr>
  </w:style>
  <w:style w:type="character" w:customStyle="1" w:styleId="EndnoteTextChar">
    <w:name w:val="Endnote Text Char"/>
    <w:basedOn w:val="DefaultParagraphFont"/>
    <w:link w:val="EndnoteText"/>
    <w:semiHidden/>
    <w:rsid w:val="009D162E"/>
    <w:rPr>
      <w:rFonts w:ascii="Arial" w:hAnsi="Arial"/>
    </w:rPr>
  </w:style>
  <w:style w:type="character" w:customStyle="1" w:styleId="Heading2Char">
    <w:name w:val="Heading 2 Char"/>
    <w:aliases w:val="VARIETY Char,variety Char"/>
    <w:link w:val="Heading2"/>
    <w:locked/>
    <w:rsid w:val="009B089B"/>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pov.int/edocs/mdocs/upov/fr/tc_54/tc_54_31.pdf" TargetMode="External"/><Relationship Id="rId18" Type="http://schemas.openxmlformats.org/officeDocument/2006/relationships/hyperlink" Target="https://www.upov.int/edocs/mdocs/upov/fr/tc_54/tc_54_31.pdf" TargetMode="External"/><Relationship Id="rId26" Type="http://schemas.openxmlformats.org/officeDocument/2006/relationships/header" Target="header4.xml"/><Relationship Id="rId39" Type="http://schemas.openxmlformats.org/officeDocument/2006/relationships/image" Target="media/image10.wmf"/><Relationship Id="rId21" Type="http://schemas.openxmlformats.org/officeDocument/2006/relationships/header" Target="header2.xml"/><Relationship Id="rId34" Type="http://schemas.openxmlformats.org/officeDocument/2006/relationships/image" Target="media/image5.wmf"/><Relationship Id="rId42"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pov.int/edocs/mdocs/upov/fr/tc_54/tc_54_31.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fr/tc_53/tc_53_31.pdf" TargetMode="External"/><Relationship Id="rId24" Type="http://schemas.openxmlformats.org/officeDocument/2006/relationships/header" Target="header3.xml"/><Relationship Id="rId32" Type="http://schemas.openxmlformats.org/officeDocument/2006/relationships/image" Target="media/image3.wmf"/><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pov.int/edocs/mdocs/upov/fr/tc_53/tc_53_31.pdf"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image" Target="media/image7.wmf"/><Relationship Id="rId10" Type="http://schemas.openxmlformats.org/officeDocument/2006/relationships/hyperlink" Target="https://www.upov.int/edocs/mdocs/upov/fr/tc_54/tc_54_31.pdf" TargetMode="External"/><Relationship Id="rId19" Type="http://schemas.openxmlformats.org/officeDocument/2006/relationships/hyperlink" Target="https://www.upov.int/edocs/mdocs/upov/fr/tc_54/tc_54_31.pdf" TargetMode="External"/><Relationship Id="rId31" Type="http://schemas.openxmlformats.org/officeDocument/2006/relationships/image" Target="media/image2.wmf"/><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upov.int/meetings/fr/doc_details.jsp?meeting_id=48107&amp;doc_id=419311" TargetMode="External"/><Relationship Id="rId14" Type="http://schemas.openxmlformats.org/officeDocument/2006/relationships/hyperlink" Target="https://www.upov.int/meetings/fr/doc_details.jsp?meeting_id=42485&amp;doc_id=369923"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image" Target="media/image6.wmf"/><Relationship Id="rId43"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pov.int/edocs/mdocs/upov/fr/tc_54/tc_54_31.pdf" TargetMode="External"/><Relationship Id="rId17" Type="http://schemas.openxmlformats.org/officeDocument/2006/relationships/hyperlink" Target="https://www.upov.int/edocs/mdocs/upov/fr/tc_54/tc_54_31.pdf" TargetMode="External"/><Relationship Id="rId25" Type="http://schemas.openxmlformats.org/officeDocument/2006/relationships/footer" Target="footer3.xm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42CA-C7F6-4BAB-93C4-8E7347AA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16</Pages>
  <Words>6906</Words>
  <Characters>41023</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C/53/3</vt:lpstr>
    </vt:vector>
  </TitlesOfParts>
  <Company>UPOV</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C/53/3</dc:title>
  <dc:creator>SANCHEZ VIZCAINO GOMEZ Rosa Maria</dc:creator>
  <cp:lastModifiedBy>SANCHEZ VIZCAINO GOMEZ Rosa Maria</cp:lastModifiedBy>
  <cp:revision>69</cp:revision>
  <cp:lastPrinted>2019-08-01T07:56:00Z</cp:lastPrinted>
  <dcterms:created xsi:type="dcterms:W3CDTF">2019-07-25T13:44:00Z</dcterms:created>
  <dcterms:modified xsi:type="dcterms:W3CDTF">2019-08-02T11:59:00Z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03a364f5-6aa3-4272-81e5-fbd73853b6c1</vt:lpwstr>
  </property>
</Properties>
</file>