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AC3FBE">
        <w:tc>
          <w:tcPr>
            <w:tcW w:w="5954" w:type="dxa"/>
          </w:tcPr>
          <w:p w:rsidR="00EB4E9C" w:rsidRPr="00AC2883" w:rsidRDefault="00AB5931" w:rsidP="00AC2883">
            <w:pPr>
              <w:pStyle w:val="Sessiontc"/>
              <w:spacing w:line="240" w:lineRule="auto"/>
            </w:pPr>
            <w:r>
              <w:t>Conseil</w:t>
            </w:r>
          </w:p>
          <w:p w:rsidR="00EB4E9C" w:rsidRPr="00DC3802" w:rsidRDefault="00AB5931" w:rsidP="005E7EA6">
            <w:pPr>
              <w:pStyle w:val="Sessiontcplacedate"/>
              <w:rPr>
                <w:sz w:val="22"/>
              </w:rPr>
            </w:pPr>
            <w:r>
              <w:t>Cinquante</w:t>
            </w:r>
            <w:r w:rsidR="005E7EA6">
              <w:t>-deuxième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B967FA">
              <w:t>2</w:t>
            </w:r>
            <w:r w:rsidR="00A706D3">
              <w:t xml:space="preserve"> </w:t>
            </w:r>
            <w:r w:rsidR="005E7EA6">
              <w:t>novembre 2018</w:t>
            </w:r>
          </w:p>
        </w:tc>
        <w:tc>
          <w:tcPr>
            <w:tcW w:w="3685" w:type="dxa"/>
          </w:tcPr>
          <w:p w:rsidR="00EB4E9C" w:rsidRPr="003C7FBE" w:rsidRDefault="005E7EA6" w:rsidP="003C7FBE">
            <w:pPr>
              <w:pStyle w:val="Doccode"/>
            </w:pPr>
            <w:r>
              <w:t>C/52</w:t>
            </w:r>
            <w:r w:rsidR="00EB4E9C" w:rsidRPr="00AC2883">
              <w:t>/</w:t>
            </w:r>
            <w:r w:rsidR="00AC3FBE">
              <w:t>15</w:t>
            </w:r>
            <w:r w:rsidR="00D15BB0">
              <w:t xml:space="preserve"> Add.</w:t>
            </w:r>
          </w:p>
          <w:p w:rsidR="00AC3FBE" w:rsidRPr="00D206F1" w:rsidRDefault="00AC3FBE" w:rsidP="00AC3FBE">
            <w:pPr>
              <w:pStyle w:val="Docoriginal"/>
            </w:pPr>
            <w:r w:rsidRPr="00D206F1">
              <w:t>Original:</w:t>
            </w:r>
            <w:r w:rsidRPr="00D206F1">
              <w:rPr>
                <w:b w:val="0"/>
                <w:spacing w:val="0"/>
              </w:rPr>
              <w:t xml:space="preserve">  English/español</w:t>
            </w:r>
          </w:p>
          <w:p w:rsidR="00EB4E9C" w:rsidRPr="007C1D92" w:rsidRDefault="00AC3FBE" w:rsidP="000443E5">
            <w:pPr>
              <w:pStyle w:val="Docoriginal"/>
            </w:pPr>
            <w:r w:rsidRPr="00D206F1">
              <w:t>Date:</w:t>
            </w:r>
            <w:r w:rsidRPr="00D206F1">
              <w:rPr>
                <w:b w:val="0"/>
                <w:spacing w:val="0"/>
              </w:rPr>
              <w:t xml:space="preserve">  </w:t>
            </w:r>
            <w:r w:rsidR="000443E5">
              <w:rPr>
                <w:b w:val="0"/>
                <w:spacing w:val="0"/>
              </w:rPr>
              <w:t>28</w:t>
            </w:r>
            <w:r>
              <w:rPr>
                <w:b w:val="0"/>
                <w:spacing w:val="0"/>
              </w:rPr>
              <w:t xml:space="preserve"> </w:t>
            </w:r>
            <w:r w:rsidR="000443E5">
              <w:rPr>
                <w:b w:val="0"/>
                <w:spacing w:val="0"/>
              </w:rPr>
              <w:t xml:space="preserve">novembre </w:t>
            </w:r>
            <w:r>
              <w:rPr>
                <w:b w:val="0"/>
                <w:spacing w:val="0"/>
              </w:rPr>
              <w:t>2018</w:t>
            </w:r>
          </w:p>
        </w:tc>
      </w:tr>
    </w:tbl>
    <w:p w:rsidR="00AC3FBE" w:rsidRPr="006A644A" w:rsidRDefault="000443E5" w:rsidP="00AC3FBE">
      <w:pPr>
        <w:pStyle w:val="Titleofdoc0"/>
      </w:pPr>
      <w:bookmarkStart w:id="0" w:name="TitleOfDoc"/>
      <w:bookmarkEnd w:id="0"/>
      <w:r>
        <w:t>ADDITIF</w:t>
      </w:r>
      <w:r>
        <w:br/>
      </w:r>
      <w:r w:rsidR="00AC3FBE" w:rsidRPr="007C115C">
        <w:t>RAPPORTS DES REPRÉSENTANTS DES MEMBRES ET DES OBSERVATEURS SUR LA SITUATION DANS LES DOMAINES LÉGISLATIF, ADMINISTRATIF ET TECHNIQUE</w:t>
      </w:r>
    </w:p>
    <w:p w:rsidR="00AC3FBE" w:rsidRPr="006A644A" w:rsidRDefault="00AC3FBE" w:rsidP="00AC3FBE">
      <w:pPr>
        <w:pStyle w:val="preparedby1"/>
        <w:jc w:val="left"/>
      </w:pPr>
      <w:bookmarkStart w:id="1" w:name="Prepared"/>
      <w:bookmarkEnd w:id="1"/>
      <w:r w:rsidRPr="000C4E25">
        <w:t xml:space="preserve">Document </w:t>
      </w:r>
      <w:r>
        <w:t>établi par le Bureau de l’Union</w:t>
      </w:r>
    </w:p>
    <w:p w:rsidR="00AC3FBE" w:rsidRPr="006A644A" w:rsidRDefault="00AC3FBE" w:rsidP="00AC3FBE">
      <w:pPr>
        <w:pStyle w:val="Disclaimer"/>
      </w:pPr>
      <w:r w:rsidRPr="00A706D3">
        <w:t>Avertissement : le présent document ne représente pas les principes ou les orientations de l’UPOV</w:t>
      </w:r>
    </w:p>
    <w:p w:rsidR="000443E5" w:rsidRPr="00FA0A3D" w:rsidRDefault="000443E5" w:rsidP="000443E5">
      <w:pPr>
        <w:rPr>
          <w:snapToGrid w:val="0"/>
        </w:rPr>
      </w:pPr>
      <w:r w:rsidRPr="00CD4782">
        <w:rPr>
          <w:snapToGrid w:val="0"/>
        </w:rPr>
        <w:t xml:space="preserve">Les rapports ci-dessous ont été reçus après la date limite du </w:t>
      </w:r>
      <w:r>
        <w:rPr>
          <w:snapToGrid w:val="0"/>
        </w:rPr>
        <w:t>18</w:t>
      </w:r>
      <w:r w:rsidRPr="00CD4782">
        <w:rPr>
          <w:snapToGrid w:val="0"/>
        </w:rPr>
        <w:t xml:space="preserve"> septembre 201</w:t>
      </w:r>
      <w:r>
        <w:rPr>
          <w:snapToGrid w:val="0"/>
        </w:rPr>
        <w:t>8</w:t>
      </w:r>
      <w:r w:rsidRPr="00CD4782">
        <w:rPr>
          <w:snapToGrid w:val="0"/>
        </w:rPr>
        <w:t xml:space="preserve"> (dans l’ordre alphabétique</w:t>
      </w:r>
      <w:r>
        <w:rPr>
          <w:snapToGrid w:val="0"/>
        </w:rPr>
        <w:t xml:space="preserve"> </w:t>
      </w:r>
      <w:r w:rsidRPr="00CD4782">
        <w:rPr>
          <w:snapToGrid w:val="0"/>
        </w:rPr>
        <w:t>des noms en français) :</w:t>
      </w:r>
    </w:p>
    <w:p w:rsidR="00AC3FBE" w:rsidRPr="004F3AB8" w:rsidRDefault="00AC3FBE" w:rsidP="00AC3FBE">
      <w:pPr>
        <w:rPr>
          <w:snapToGrid w:val="0"/>
        </w:rPr>
      </w:pPr>
    </w:p>
    <w:p w:rsidR="00AC3FBE" w:rsidRPr="004F3AB8" w:rsidRDefault="00AC3FBE" w:rsidP="00AC3FBE">
      <w:pPr>
        <w:ind w:left="567"/>
        <w:rPr>
          <w:szCs w:val="24"/>
        </w:rPr>
      </w:pPr>
      <w:r w:rsidRPr="004F3AB8">
        <w:rPr>
          <w:snapToGrid w:val="0"/>
          <w:u w:val="single"/>
        </w:rPr>
        <w:t>Membres</w:t>
      </w:r>
      <w:r w:rsidRPr="004F3AB8">
        <w:rPr>
          <w:snapToGrid w:val="0"/>
        </w:rPr>
        <w:t xml:space="preserve"> : annexes I à </w:t>
      </w:r>
      <w:r w:rsidR="000443E5">
        <w:rPr>
          <w:snapToGrid w:val="0"/>
        </w:rPr>
        <w:t>I</w:t>
      </w:r>
      <w:r>
        <w:rPr>
          <w:snapToGrid w:val="0"/>
        </w:rPr>
        <w:t>V </w:t>
      </w:r>
      <w:r w:rsidRPr="004F3AB8">
        <w:rPr>
          <w:snapToGrid w:val="0"/>
        </w:rPr>
        <w:t xml:space="preserve">: </w:t>
      </w:r>
      <w:r w:rsidR="000443E5">
        <w:t>Australie, Brésil, Colombie et Japon</w:t>
      </w:r>
    </w:p>
    <w:p w:rsidR="00AC3FBE" w:rsidRDefault="00AC3FBE" w:rsidP="00AC3FBE">
      <w:pPr>
        <w:rPr>
          <w:snapToGrid w:val="0"/>
        </w:rPr>
      </w:pPr>
    </w:p>
    <w:p w:rsidR="00AC3FBE" w:rsidRDefault="00AC3FBE" w:rsidP="00AC3FBE"/>
    <w:p w:rsidR="00AC3FBE" w:rsidRDefault="00AC3FBE" w:rsidP="00AC3FBE"/>
    <w:p w:rsidR="00AC3FBE" w:rsidRPr="0075031D" w:rsidRDefault="00AC3FBE" w:rsidP="00AC3FBE">
      <w:pPr>
        <w:jc w:val="right"/>
      </w:pPr>
      <w:r w:rsidRPr="004F3AB8">
        <w:rPr>
          <w:snapToGrid w:val="0"/>
        </w:rPr>
        <w:t>[Les annexes suivent]</w:t>
      </w:r>
    </w:p>
    <w:p w:rsidR="0035084F" w:rsidRDefault="0035084F">
      <w:pPr>
        <w:jc w:val="left"/>
      </w:pPr>
    </w:p>
    <w:p w:rsidR="003D0373" w:rsidRDefault="003D0373" w:rsidP="009B440E">
      <w:pPr>
        <w:jc w:val="left"/>
        <w:sectPr w:rsidR="003D0373" w:rsidSect="00906DDC">
          <w:headerReference w:type="default" r:id="rId8"/>
          <w:pgSz w:w="11907" w:h="16840" w:code="9"/>
          <w:pgMar w:top="510" w:right="1134" w:bottom="1134" w:left="1134" w:header="510" w:footer="680" w:gutter="0"/>
          <w:cols w:space="720"/>
          <w:titlePg/>
        </w:sectPr>
      </w:pPr>
    </w:p>
    <w:p w:rsidR="003D0373" w:rsidRPr="0075031D" w:rsidRDefault="00D15BB0" w:rsidP="003D0373">
      <w:pPr>
        <w:jc w:val="center"/>
      </w:pPr>
      <w:r>
        <w:lastRenderedPageBreak/>
        <w:t>C/52/15 Add.</w:t>
      </w:r>
    </w:p>
    <w:p w:rsidR="003D0373" w:rsidRPr="0075031D" w:rsidRDefault="003D0373" w:rsidP="003D0373">
      <w:pPr>
        <w:jc w:val="center"/>
      </w:pPr>
    </w:p>
    <w:p w:rsidR="003D0373" w:rsidRPr="0075031D" w:rsidRDefault="003D0373" w:rsidP="003D0373">
      <w:pPr>
        <w:jc w:val="center"/>
      </w:pPr>
      <w:r>
        <w:t>ANNEXE</w:t>
      </w:r>
      <w:r w:rsidRPr="0075031D">
        <w:t xml:space="preserve"> I</w:t>
      </w:r>
    </w:p>
    <w:p w:rsidR="003D0373" w:rsidRPr="0075031D" w:rsidRDefault="003D0373" w:rsidP="003D0373">
      <w:pPr>
        <w:jc w:val="center"/>
      </w:pPr>
    </w:p>
    <w:p w:rsidR="003D0373" w:rsidRDefault="003D0373" w:rsidP="003D0373">
      <w:pPr>
        <w:jc w:val="center"/>
      </w:pPr>
    </w:p>
    <w:p w:rsidR="00D15BB0" w:rsidRPr="00F03E8A" w:rsidRDefault="00D15BB0" w:rsidP="00D15BB0">
      <w:pPr>
        <w:jc w:val="center"/>
        <w:rPr>
          <w:rFonts w:cs="Arial"/>
          <w:lang w:val="fr-CH"/>
        </w:rPr>
      </w:pPr>
      <w:r w:rsidRPr="00F03E8A">
        <w:rPr>
          <w:rFonts w:cs="Arial"/>
          <w:lang w:val="fr-CH"/>
        </w:rPr>
        <w:t>AUSTRALIE</w:t>
      </w:r>
    </w:p>
    <w:p w:rsidR="00D15BB0" w:rsidRPr="00F03E8A" w:rsidRDefault="00D15BB0" w:rsidP="00D15BB0">
      <w:pPr>
        <w:jc w:val="center"/>
        <w:rPr>
          <w:rFonts w:cs="Arial"/>
          <w:lang w:val="fr-CH"/>
        </w:rPr>
      </w:pPr>
    </w:p>
    <w:p w:rsidR="00D15BB0" w:rsidRPr="00F03E8A" w:rsidRDefault="00D15BB0" w:rsidP="00D15BB0">
      <w:pPr>
        <w:jc w:val="center"/>
        <w:rPr>
          <w:rFonts w:cs="Arial"/>
          <w:lang w:val="fr-CH"/>
        </w:rPr>
      </w:pPr>
    </w:p>
    <w:p w:rsidR="00D15BB0" w:rsidRPr="00F03E8A" w:rsidRDefault="00D15BB0" w:rsidP="00D15BB0">
      <w:pPr>
        <w:rPr>
          <w:rFonts w:cs="Arial"/>
          <w:lang w:val="fr-CH"/>
        </w:rPr>
      </w:pPr>
      <w:r w:rsidRPr="00F03E8A">
        <w:rPr>
          <w:rFonts w:cs="Arial"/>
          <w:lang w:val="fr-CH"/>
        </w:rPr>
        <w:t>I.</w:t>
      </w:r>
      <w:r w:rsidRPr="00F03E8A">
        <w:rPr>
          <w:rFonts w:cs="Arial"/>
          <w:lang w:val="fr-CH"/>
        </w:rPr>
        <w:tab/>
        <w:t>PROTECTION DES OBTENTIONS VÉGÉTALES</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rPr>
        <w:t>1.</w:t>
      </w:r>
      <w:r w:rsidRPr="00F03E8A">
        <w:rPr>
          <w:rFonts w:cs="Arial"/>
        </w:rPr>
        <w:tab/>
      </w:r>
      <w:r w:rsidRPr="00F03E8A">
        <w:rPr>
          <w:rFonts w:cs="Arial"/>
          <w:u w:val="single"/>
          <w:lang w:val="fr-CH"/>
        </w:rPr>
        <w:t>Situation dans le domaine législatif</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ab/>
        <w:t>1.1</w:t>
      </w:r>
      <w:r w:rsidRPr="00F03E8A">
        <w:rPr>
          <w:rFonts w:cs="Arial"/>
          <w:lang w:val="fr-CH"/>
        </w:rPr>
        <w:tab/>
        <w:t>Modifications de la loi et des textes d’application</w:t>
      </w:r>
    </w:p>
    <w:p w:rsidR="00D15BB0" w:rsidRPr="00F03E8A" w:rsidRDefault="00D15BB0" w:rsidP="00D15BB0">
      <w:pPr>
        <w:ind w:left="1701" w:hanging="567"/>
        <w:rPr>
          <w:rFonts w:cs="Arial"/>
          <w:lang w:val="fr-CH"/>
        </w:rPr>
      </w:pPr>
      <w:r w:rsidRPr="00F03E8A">
        <w:rPr>
          <w:rFonts w:cs="Arial"/>
          <w:lang w:val="fr-CH"/>
        </w:rPr>
        <w:t>–</w:t>
      </w:r>
      <w:r w:rsidRPr="00F03E8A">
        <w:rPr>
          <w:rFonts w:cs="Arial"/>
          <w:lang w:val="fr-CH"/>
        </w:rPr>
        <w:tab/>
        <w:t>Autres modifications, y compris pour les taxes</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 xml:space="preserve">La loi de 2018 portant modification de la législation relative à la propriété intellectuelle (réponse à la commission de la productivité, première partie, et autres mesures) a été adoptée par le Parlement australien et a reçu la sanction royale le 24 août 2018.  La loi contient un certain nombre de modifications portant sur la loi relative aux droits d’obtenteur de 1994.  Les modifications d’ordre administratif et informatif sont entrées en vigueur suite à la sanction royale.  La dernière version de la loi relative aux droits d’obtenteur figure à l’adresse </w:t>
      </w:r>
      <w:hyperlink r:id="rId9" w:history="1">
        <w:r w:rsidRPr="00F03E8A">
          <w:rPr>
            <w:rStyle w:val="Hyperlink"/>
            <w:rFonts w:cs="Arial"/>
            <w:lang w:val="fr-CH"/>
          </w:rPr>
          <w:t>https://www.legislation.gov.au/Details/C2018C00361</w:t>
        </w:r>
      </w:hyperlink>
      <w:r w:rsidRPr="00F03E8A">
        <w:rPr>
          <w:rFonts w:cs="Arial"/>
          <w:lang w:val="fr-CH"/>
        </w:rPr>
        <w:t>.</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Plusieurs autres modifications, y compris celles mentionnées ci-après, ont également été adoptées, mais n’entreront en vigueur qu’à partir du 24 février 2019 (six mois après la sanction royale) :</w:t>
      </w:r>
    </w:p>
    <w:p w:rsidR="00D15BB0" w:rsidRPr="00F03E8A" w:rsidRDefault="00D15BB0" w:rsidP="00D15BB0">
      <w:pPr>
        <w:rPr>
          <w:rFonts w:cs="Arial"/>
          <w:lang w:val="fr-CH"/>
        </w:rPr>
      </w:pPr>
    </w:p>
    <w:p w:rsidR="00D15BB0" w:rsidRPr="00F03E8A" w:rsidRDefault="00D15BB0" w:rsidP="00D15BB0">
      <w:pPr>
        <w:ind w:left="567" w:hanging="567"/>
        <w:rPr>
          <w:rFonts w:cs="Arial"/>
          <w:lang w:val="fr-CH"/>
        </w:rPr>
      </w:pPr>
      <w:r w:rsidRPr="00F03E8A">
        <w:rPr>
          <w:rFonts w:cs="Arial"/>
          <w:lang w:val="fr-CH"/>
        </w:rPr>
        <w:t>–</w:t>
      </w:r>
      <w:r>
        <w:rPr>
          <w:rFonts w:cs="Arial"/>
          <w:lang w:val="fr-CH"/>
        </w:rPr>
        <w:tab/>
      </w:r>
      <w:r w:rsidRPr="00F03E8A">
        <w:rPr>
          <w:rFonts w:cs="Arial"/>
          <w:lang w:val="fr-CH"/>
        </w:rPr>
        <w:t>intégration des variétés non protégées dans la déclaration portant sur les variétés essentiellement dérivées</w:t>
      </w:r>
    </w:p>
    <w:p w:rsidR="00D15BB0" w:rsidRPr="00F03E8A" w:rsidRDefault="00D15BB0" w:rsidP="00D15BB0">
      <w:pPr>
        <w:ind w:left="567" w:hanging="567"/>
        <w:rPr>
          <w:rFonts w:cs="Arial"/>
          <w:lang w:val="fr-CH"/>
        </w:rPr>
      </w:pPr>
      <w:r w:rsidRPr="00F03E8A">
        <w:rPr>
          <w:rFonts w:cs="Arial"/>
          <w:lang w:val="fr-CH"/>
        </w:rPr>
        <w:t>–</w:t>
      </w:r>
      <w:r>
        <w:rPr>
          <w:rFonts w:cs="Arial"/>
          <w:lang w:val="fr-CH"/>
        </w:rPr>
        <w:tab/>
      </w:r>
      <w:r w:rsidRPr="00F03E8A">
        <w:rPr>
          <w:rFonts w:cs="Arial"/>
          <w:lang w:val="fr-CH"/>
        </w:rPr>
        <w:t>possibilité d’accorder des dommages-intérêts supplémentaires dans les affaires d’atteinte aux droits</w:t>
      </w:r>
    </w:p>
    <w:p w:rsidR="00D15BB0" w:rsidRPr="00F03E8A" w:rsidRDefault="00D15BB0" w:rsidP="00D15BB0">
      <w:pPr>
        <w:ind w:left="567" w:hanging="567"/>
        <w:rPr>
          <w:rFonts w:cs="Arial"/>
          <w:lang w:val="fr-CH"/>
        </w:rPr>
      </w:pPr>
      <w:r w:rsidRPr="00F03E8A">
        <w:rPr>
          <w:rFonts w:cs="Arial"/>
          <w:lang w:val="fr-CH"/>
        </w:rPr>
        <w:t>–</w:t>
      </w:r>
      <w:r>
        <w:rPr>
          <w:rFonts w:cs="Arial"/>
          <w:lang w:val="fr-CH"/>
        </w:rPr>
        <w:tab/>
      </w:r>
      <w:r w:rsidRPr="00F03E8A">
        <w:rPr>
          <w:rFonts w:cs="Arial"/>
          <w:lang w:val="fr-CH"/>
        </w:rPr>
        <w:t>reconnaissance des preneurs de licences exclusives</w:t>
      </w:r>
    </w:p>
    <w:p w:rsidR="00D15BB0" w:rsidRPr="00F03E8A" w:rsidRDefault="00D15BB0" w:rsidP="00D15BB0">
      <w:pPr>
        <w:rPr>
          <w:rFonts w:cs="Arial"/>
          <w:lang w:val="fr-CH"/>
        </w:rPr>
      </w:pP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2.</w:t>
      </w:r>
      <w:r w:rsidRPr="00F03E8A">
        <w:rPr>
          <w:rFonts w:cs="Arial"/>
          <w:lang w:val="fr-CH"/>
        </w:rPr>
        <w:tab/>
      </w:r>
      <w:r w:rsidRPr="00F03E8A">
        <w:rPr>
          <w:rFonts w:cs="Arial"/>
          <w:u w:val="single"/>
          <w:lang w:val="fr-CH"/>
        </w:rPr>
        <w:t>Coopération en matière d’examen</w:t>
      </w:r>
    </w:p>
    <w:p w:rsidR="00D15BB0" w:rsidRPr="00F03E8A" w:rsidRDefault="00D15BB0" w:rsidP="00D15BB0">
      <w:pPr>
        <w:rPr>
          <w:rFonts w:cs="Arial"/>
          <w:lang w:val="fr-CH"/>
        </w:rPr>
      </w:pPr>
    </w:p>
    <w:p w:rsidR="00D15BB0" w:rsidRPr="00F03E8A" w:rsidRDefault="00D15BB0" w:rsidP="00D15BB0">
      <w:pPr>
        <w:rPr>
          <w:rFonts w:cs="Arial"/>
          <w:b/>
          <w:lang w:val="fr-CH"/>
        </w:rPr>
      </w:pPr>
      <w:r w:rsidRPr="00F03E8A">
        <w:rPr>
          <w:rFonts w:cs="Arial"/>
          <w:lang w:val="fr-CH"/>
        </w:rPr>
        <w:tab/>
        <w:t>Aucun élément nouveau.</w:t>
      </w:r>
    </w:p>
    <w:p w:rsidR="00D15BB0" w:rsidRPr="00F03E8A" w:rsidRDefault="00D15BB0" w:rsidP="00D15BB0">
      <w:pPr>
        <w:rPr>
          <w:rFonts w:cs="Arial"/>
          <w:lang w:val="fr-CH"/>
        </w:rPr>
      </w:pPr>
    </w:p>
    <w:p w:rsidR="00D15BB0" w:rsidRPr="00F03E8A" w:rsidRDefault="00D15BB0" w:rsidP="00D15BB0">
      <w:pPr>
        <w:rPr>
          <w:rFonts w:cs="Arial"/>
          <w:lang w:val="fr-CH"/>
        </w:rPr>
      </w:pPr>
    </w:p>
    <w:p w:rsidR="00D15BB0" w:rsidRPr="00F03E8A" w:rsidRDefault="00D15BB0" w:rsidP="00D15BB0">
      <w:pPr>
        <w:rPr>
          <w:rFonts w:cs="Arial"/>
          <w:u w:val="single"/>
          <w:lang w:val="fr-CH"/>
        </w:rPr>
      </w:pPr>
      <w:r w:rsidRPr="00F03E8A">
        <w:rPr>
          <w:rFonts w:cs="Arial"/>
          <w:lang w:val="fr-CH"/>
        </w:rPr>
        <w:t>3.</w:t>
      </w:r>
      <w:r w:rsidRPr="00F03E8A">
        <w:rPr>
          <w:rFonts w:cs="Arial"/>
          <w:lang w:val="fr-CH"/>
        </w:rPr>
        <w:tab/>
      </w:r>
      <w:r w:rsidRPr="00F03E8A">
        <w:rPr>
          <w:rFonts w:cs="Arial"/>
          <w:u w:val="single"/>
          <w:lang w:val="fr-CH"/>
        </w:rPr>
        <w:t>Situation dans le domaine administratif</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ab/>
        <w:t>Aucun élément nouveau.</w:t>
      </w:r>
    </w:p>
    <w:p w:rsidR="00D15BB0" w:rsidRPr="00F03E8A" w:rsidRDefault="00D15BB0" w:rsidP="00D15BB0">
      <w:pPr>
        <w:rPr>
          <w:rFonts w:cs="Arial"/>
          <w:lang w:val="fr-CH"/>
        </w:rPr>
      </w:pP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4.</w:t>
      </w:r>
      <w:r w:rsidRPr="00F03E8A">
        <w:rPr>
          <w:rFonts w:cs="Arial"/>
          <w:lang w:val="fr-CH"/>
        </w:rPr>
        <w:tab/>
      </w:r>
      <w:r w:rsidRPr="00F03E8A">
        <w:rPr>
          <w:rFonts w:cs="Arial"/>
          <w:u w:val="single"/>
          <w:lang w:val="fr-CH"/>
        </w:rPr>
        <w:t>Situation dans le domaine technique</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ab/>
        <w:t>Aucun élément nouveau.</w:t>
      </w:r>
    </w:p>
    <w:p w:rsidR="00D15BB0" w:rsidRPr="00F03E8A" w:rsidRDefault="00D15BB0" w:rsidP="00D15BB0">
      <w:pPr>
        <w:rPr>
          <w:rFonts w:cs="Arial"/>
          <w:lang w:val="fr-CH"/>
        </w:rPr>
      </w:pPr>
    </w:p>
    <w:p w:rsidR="00D15BB0" w:rsidRPr="00F03E8A" w:rsidRDefault="00D15BB0" w:rsidP="00D15BB0">
      <w:pPr>
        <w:rPr>
          <w:rFonts w:cs="Arial"/>
          <w:lang w:val="fr-CH"/>
        </w:rPr>
      </w:pPr>
    </w:p>
    <w:p w:rsidR="00D15BB0" w:rsidRPr="00F03E8A" w:rsidRDefault="00D15BB0" w:rsidP="00D15BB0">
      <w:pPr>
        <w:rPr>
          <w:rFonts w:cs="Arial"/>
          <w:u w:val="single"/>
          <w:lang w:val="fr-CH"/>
        </w:rPr>
      </w:pPr>
      <w:r w:rsidRPr="00F03E8A">
        <w:rPr>
          <w:rFonts w:cs="Arial"/>
          <w:lang w:val="fr-CH"/>
        </w:rPr>
        <w:t>5.</w:t>
      </w:r>
      <w:r w:rsidRPr="00F03E8A">
        <w:rPr>
          <w:rFonts w:cs="Arial"/>
          <w:lang w:val="fr-CH"/>
        </w:rPr>
        <w:tab/>
      </w:r>
      <w:r w:rsidRPr="00F03E8A">
        <w:rPr>
          <w:rFonts w:cs="Arial"/>
          <w:u w:val="single"/>
          <w:lang w:val="fr-CH"/>
        </w:rPr>
        <w:t>Activités de promotion de la protection des obtentions végétales</w:t>
      </w:r>
    </w:p>
    <w:p w:rsidR="00D15BB0" w:rsidRPr="00F03E8A" w:rsidRDefault="00D15BB0" w:rsidP="00D15BB0">
      <w:pPr>
        <w:rPr>
          <w:rFonts w:cs="Arial"/>
          <w:lang w:val="fr-CH"/>
        </w:rPr>
      </w:pPr>
    </w:p>
    <w:tbl>
      <w:tblPr>
        <w:tblStyle w:val="TableGrid"/>
        <w:tblW w:w="5000" w:type="pct"/>
        <w:tblCellMar>
          <w:top w:w="57" w:type="dxa"/>
          <w:bottom w:w="57" w:type="dxa"/>
        </w:tblCellMar>
        <w:tblLook w:val="01E0" w:firstRow="1" w:lastRow="1" w:firstColumn="1" w:lastColumn="1" w:noHBand="0" w:noVBand="0"/>
      </w:tblPr>
      <w:tblGrid>
        <w:gridCol w:w="1539"/>
        <w:gridCol w:w="1891"/>
        <w:gridCol w:w="1595"/>
        <w:gridCol w:w="2098"/>
        <w:gridCol w:w="2506"/>
      </w:tblGrid>
      <w:tr w:rsidR="00D15BB0" w:rsidRPr="00F03E8A" w:rsidTr="002D69F6">
        <w:tc>
          <w:tcPr>
            <w:tcW w:w="1555" w:type="dxa"/>
          </w:tcPr>
          <w:p w:rsidR="00D15BB0" w:rsidRPr="00F03E8A" w:rsidRDefault="00D15BB0" w:rsidP="002D69F6">
            <w:pPr>
              <w:jc w:val="left"/>
              <w:rPr>
                <w:rFonts w:cs="Arial"/>
                <w:sz w:val="18"/>
              </w:rPr>
            </w:pPr>
            <w:r w:rsidRPr="00F03E8A">
              <w:rPr>
                <w:rFonts w:cs="Arial"/>
                <w:sz w:val="18"/>
              </w:rPr>
              <w:t>Date</w:t>
            </w:r>
          </w:p>
        </w:tc>
        <w:tc>
          <w:tcPr>
            <w:tcW w:w="1940" w:type="dxa"/>
          </w:tcPr>
          <w:p w:rsidR="00D15BB0" w:rsidRPr="00F03E8A" w:rsidRDefault="00D15BB0" w:rsidP="002D69F6">
            <w:pPr>
              <w:jc w:val="left"/>
              <w:rPr>
                <w:rFonts w:cs="Arial"/>
                <w:sz w:val="18"/>
              </w:rPr>
            </w:pPr>
            <w:r w:rsidRPr="00F03E8A">
              <w:rPr>
                <w:rFonts w:cs="Arial"/>
                <w:sz w:val="18"/>
              </w:rPr>
              <w:t>Lieu</w:t>
            </w:r>
          </w:p>
        </w:tc>
        <w:tc>
          <w:tcPr>
            <w:tcW w:w="1603" w:type="dxa"/>
          </w:tcPr>
          <w:p w:rsidR="00D15BB0" w:rsidRPr="00F03E8A" w:rsidRDefault="00D15BB0" w:rsidP="002D69F6">
            <w:pPr>
              <w:jc w:val="left"/>
              <w:rPr>
                <w:rFonts w:cs="Arial"/>
                <w:sz w:val="18"/>
              </w:rPr>
            </w:pPr>
            <w:r w:rsidRPr="00F03E8A">
              <w:rPr>
                <w:rFonts w:cs="Arial"/>
                <w:sz w:val="18"/>
              </w:rPr>
              <w:t>Organisateur(s)</w:t>
            </w:r>
          </w:p>
        </w:tc>
        <w:tc>
          <w:tcPr>
            <w:tcW w:w="2127" w:type="dxa"/>
          </w:tcPr>
          <w:p w:rsidR="00D15BB0" w:rsidRPr="00F03E8A" w:rsidRDefault="00D15BB0" w:rsidP="002D69F6">
            <w:pPr>
              <w:jc w:val="left"/>
              <w:rPr>
                <w:rFonts w:cs="Arial"/>
                <w:sz w:val="18"/>
              </w:rPr>
            </w:pPr>
            <w:r w:rsidRPr="00F03E8A">
              <w:rPr>
                <w:rFonts w:cs="Arial"/>
                <w:sz w:val="18"/>
              </w:rPr>
              <w:t>But de l’activité</w:t>
            </w:r>
          </w:p>
        </w:tc>
        <w:tc>
          <w:tcPr>
            <w:tcW w:w="2551" w:type="dxa"/>
          </w:tcPr>
          <w:p w:rsidR="00D15BB0" w:rsidRPr="00F03E8A" w:rsidRDefault="00D15BB0" w:rsidP="002D69F6">
            <w:pPr>
              <w:jc w:val="left"/>
              <w:rPr>
                <w:rFonts w:cs="Arial"/>
                <w:sz w:val="18"/>
                <w:lang w:val="fr-CH"/>
              </w:rPr>
            </w:pPr>
            <w:r w:rsidRPr="00F03E8A">
              <w:rPr>
                <w:rFonts w:cs="Arial"/>
                <w:sz w:val="18"/>
                <w:lang w:val="fr-CH"/>
              </w:rPr>
              <w:t>Pays/organisations participants (nombre de participants de chacun d’eux)</w:t>
            </w:r>
          </w:p>
        </w:tc>
      </w:tr>
      <w:tr w:rsidR="00D15BB0" w:rsidRPr="00F03E8A" w:rsidTr="002D69F6">
        <w:tc>
          <w:tcPr>
            <w:tcW w:w="1555" w:type="dxa"/>
          </w:tcPr>
          <w:p w:rsidR="00D15BB0" w:rsidRPr="00F03E8A" w:rsidRDefault="00D15BB0" w:rsidP="002D69F6">
            <w:pPr>
              <w:jc w:val="left"/>
              <w:rPr>
                <w:rFonts w:cs="Arial"/>
                <w:sz w:val="18"/>
              </w:rPr>
            </w:pPr>
            <w:r w:rsidRPr="00F03E8A">
              <w:rPr>
                <w:rFonts w:cs="Arial"/>
                <w:sz w:val="18"/>
              </w:rPr>
              <w:t>22 août 2018</w:t>
            </w:r>
          </w:p>
        </w:tc>
        <w:tc>
          <w:tcPr>
            <w:tcW w:w="1940" w:type="dxa"/>
          </w:tcPr>
          <w:p w:rsidR="00D15BB0" w:rsidRPr="00F03E8A" w:rsidRDefault="00D15BB0" w:rsidP="002D69F6">
            <w:pPr>
              <w:jc w:val="left"/>
              <w:rPr>
                <w:rFonts w:cs="Arial"/>
                <w:sz w:val="18"/>
              </w:rPr>
            </w:pPr>
            <w:r w:rsidRPr="00F03E8A">
              <w:rPr>
                <w:rFonts w:cs="Arial"/>
                <w:sz w:val="18"/>
              </w:rPr>
              <w:t>Melbourne (Australie)</w:t>
            </w:r>
          </w:p>
        </w:tc>
        <w:tc>
          <w:tcPr>
            <w:tcW w:w="1603" w:type="dxa"/>
          </w:tcPr>
          <w:p w:rsidR="00D15BB0" w:rsidRPr="00F03E8A" w:rsidRDefault="00D15BB0" w:rsidP="002D69F6">
            <w:pPr>
              <w:jc w:val="left"/>
              <w:rPr>
                <w:rFonts w:cs="Arial"/>
                <w:sz w:val="18"/>
              </w:rPr>
            </w:pPr>
            <w:r w:rsidRPr="00F03E8A">
              <w:rPr>
                <w:rFonts w:cs="Arial"/>
                <w:sz w:val="18"/>
              </w:rPr>
              <w:t>Australian Seed Federation</w:t>
            </w:r>
          </w:p>
        </w:tc>
        <w:tc>
          <w:tcPr>
            <w:tcW w:w="2127" w:type="dxa"/>
          </w:tcPr>
          <w:p w:rsidR="00D15BB0" w:rsidRPr="00F03E8A" w:rsidRDefault="00D15BB0" w:rsidP="002D69F6">
            <w:pPr>
              <w:jc w:val="left"/>
              <w:rPr>
                <w:rFonts w:cs="Arial"/>
                <w:sz w:val="18"/>
              </w:rPr>
            </w:pPr>
            <w:r w:rsidRPr="00F03E8A">
              <w:rPr>
                <w:rFonts w:cs="Arial"/>
                <w:sz w:val="18"/>
              </w:rPr>
              <w:t>Présentation d’</w:t>
            </w:r>
            <w:r w:rsidR="00FE1BC4">
              <w:rPr>
                <w:rFonts w:cs="Arial"/>
                <w:sz w:val="18"/>
              </w:rPr>
              <w:t>UPOV </w:t>
            </w:r>
            <w:r w:rsidRPr="00F03E8A">
              <w:rPr>
                <w:rFonts w:cs="Arial"/>
                <w:sz w:val="18"/>
              </w:rPr>
              <w:t>PRISMA</w:t>
            </w:r>
          </w:p>
        </w:tc>
        <w:tc>
          <w:tcPr>
            <w:tcW w:w="2551" w:type="dxa"/>
          </w:tcPr>
          <w:p w:rsidR="00D15BB0" w:rsidRPr="00F03E8A" w:rsidRDefault="00D15BB0" w:rsidP="002D69F6">
            <w:pPr>
              <w:jc w:val="left"/>
              <w:rPr>
                <w:rFonts w:cs="Arial"/>
                <w:sz w:val="18"/>
                <w:lang w:val="fr-CH"/>
              </w:rPr>
            </w:pPr>
            <w:r w:rsidRPr="00F03E8A">
              <w:rPr>
                <w:rFonts w:cs="Arial"/>
                <w:sz w:val="18"/>
                <w:lang w:val="fr-CH"/>
              </w:rPr>
              <w:t>Organisations des industries semencières d’Australie et de Nouvelle-Zélande</w:t>
            </w:r>
          </w:p>
        </w:tc>
      </w:tr>
    </w:tbl>
    <w:p w:rsidR="00D15BB0" w:rsidRPr="00F03E8A" w:rsidRDefault="00D15BB0" w:rsidP="00D15BB0">
      <w:pPr>
        <w:rPr>
          <w:rFonts w:cs="Arial"/>
          <w:lang w:val="fr-CH"/>
        </w:rPr>
      </w:pP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II.</w:t>
      </w:r>
      <w:r w:rsidRPr="00F03E8A">
        <w:rPr>
          <w:rFonts w:cs="Arial"/>
          <w:lang w:val="fr-CH"/>
        </w:rPr>
        <w:tab/>
        <w:t>AUTRES ÉLÉMENTS NOUVEAUX PRÉSENTANT UN INTÉRÊT POUR L’UPOV</w:t>
      </w:r>
    </w:p>
    <w:p w:rsidR="00D15BB0" w:rsidRPr="00F03E8A" w:rsidRDefault="00D15BB0" w:rsidP="00D15BB0">
      <w:pPr>
        <w:rPr>
          <w:rFonts w:cs="Arial"/>
          <w:lang w:val="fr-CH"/>
        </w:rPr>
      </w:pPr>
    </w:p>
    <w:p w:rsidR="00D15BB0" w:rsidRPr="00F03E8A" w:rsidRDefault="00D15BB0" w:rsidP="00D15BB0">
      <w:pPr>
        <w:rPr>
          <w:rFonts w:cs="Arial"/>
          <w:lang w:val="fr-CH"/>
        </w:rPr>
      </w:pPr>
      <w:r w:rsidRPr="00F03E8A">
        <w:rPr>
          <w:rFonts w:cs="Arial"/>
          <w:lang w:val="fr-CH"/>
        </w:rPr>
        <w:tab/>
        <w:t>Aucun élément nouveau.</w:t>
      </w:r>
    </w:p>
    <w:p w:rsidR="003D0373" w:rsidRDefault="003D0373" w:rsidP="003D0373">
      <w:pPr>
        <w:jc w:val="left"/>
      </w:pPr>
    </w:p>
    <w:p w:rsidR="00D15BB0" w:rsidRDefault="00D15BB0" w:rsidP="003D0373">
      <w:pPr>
        <w:jc w:val="left"/>
      </w:pPr>
    </w:p>
    <w:p w:rsidR="003D0373" w:rsidRDefault="003D0373" w:rsidP="003D0373">
      <w:pPr>
        <w:jc w:val="left"/>
      </w:pPr>
    </w:p>
    <w:p w:rsidR="003D0373" w:rsidRDefault="003D0373" w:rsidP="003D0373">
      <w:pPr>
        <w:jc w:val="right"/>
      </w:pPr>
      <w:r>
        <w:t>[L’annexe II suit]</w:t>
      </w:r>
    </w:p>
    <w:p w:rsidR="003D0373" w:rsidRDefault="003D0373" w:rsidP="003D0373">
      <w:pPr>
        <w:jc w:val="left"/>
      </w:pPr>
    </w:p>
    <w:p w:rsidR="003D0373" w:rsidRDefault="003D0373" w:rsidP="003D0373">
      <w:pPr>
        <w:jc w:val="left"/>
        <w:sectPr w:rsidR="003D0373" w:rsidSect="00AE79F5">
          <w:headerReference w:type="default" r:id="rId10"/>
          <w:pgSz w:w="11907" w:h="16840" w:code="9"/>
          <w:pgMar w:top="510" w:right="1134" w:bottom="1134" w:left="1134" w:header="510" w:footer="680" w:gutter="0"/>
          <w:pgNumType w:start="1"/>
          <w:cols w:space="720"/>
          <w:titlePg/>
        </w:sectPr>
      </w:pPr>
    </w:p>
    <w:p w:rsidR="003D0373" w:rsidRPr="0075031D" w:rsidRDefault="00D15BB0" w:rsidP="003D0373">
      <w:pPr>
        <w:jc w:val="center"/>
      </w:pPr>
      <w:r>
        <w:lastRenderedPageBreak/>
        <w:t>C/52/15 Add.</w:t>
      </w:r>
    </w:p>
    <w:p w:rsidR="003D0373" w:rsidRPr="0075031D" w:rsidRDefault="003D0373" w:rsidP="003D0373">
      <w:pPr>
        <w:jc w:val="center"/>
      </w:pPr>
    </w:p>
    <w:p w:rsidR="003D0373" w:rsidRPr="0075031D" w:rsidRDefault="003D0373" w:rsidP="003D0373">
      <w:pPr>
        <w:jc w:val="center"/>
      </w:pPr>
      <w:r>
        <w:t>ANNEXE</w:t>
      </w:r>
      <w:r w:rsidRPr="0075031D">
        <w:t xml:space="preserve"> I</w:t>
      </w:r>
      <w:r>
        <w:t>I</w:t>
      </w:r>
    </w:p>
    <w:p w:rsidR="003D0373" w:rsidRPr="0075031D" w:rsidRDefault="003D0373" w:rsidP="003D0373">
      <w:pPr>
        <w:jc w:val="center"/>
      </w:pPr>
    </w:p>
    <w:p w:rsidR="003D0373" w:rsidRDefault="003D0373" w:rsidP="003D0373">
      <w:pPr>
        <w:jc w:val="center"/>
      </w:pPr>
    </w:p>
    <w:p w:rsidR="00FE1BC4" w:rsidRPr="00F03E8A" w:rsidRDefault="00FE1BC4" w:rsidP="00FE1BC4">
      <w:pPr>
        <w:jc w:val="center"/>
        <w:rPr>
          <w:rFonts w:cs="Arial"/>
          <w:lang w:val="fr-CH"/>
        </w:rPr>
      </w:pPr>
      <w:r w:rsidRPr="00F03E8A">
        <w:rPr>
          <w:rFonts w:cs="Arial"/>
          <w:lang w:val="fr-CH"/>
        </w:rPr>
        <w:t>BRÉSIL</w:t>
      </w:r>
    </w:p>
    <w:p w:rsidR="00FE1BC4" w:rsidRPr="00F03E8A" w:rsidRDefault="00FE1BC4" w:rsidP="00FE1BC4">
      <w:pPr>
        <w:rPr>
          <w:rFonts w:cs="Arial"/>
          <w:lang w:val="fr-CH"/>
        </w:rPr>
      </w:pP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I.</w:t>
      </w:r>
      <w:r w:rsidRPr="00F03E8A">
        <w:rPr>
          <w:rFonts w:cs="Arial"/>
          <w:lang w:val="fr-CH"/>
        </w:rPr>
        <w:tab/>
        <w:t>PROTECTION DES OBTENTIONS VÉGÉTALES</w:t>
      </w:r>
    </w:p>
    <w:p w:rsidR="00FE1BC4" w:rsidRPr="00F03E8A" w:rsidRDefault="00FE1BC4" w:rsidP="00FE1BC4">
      <w:pPr>
        <w:rPr>
          <w:rFonts w:cs="Arial"/>
          <w:lang w:val="fr-CH"/>
        </w:rPr>
      </w:pPr>
    </w:p>
    <w:p w:rsidR="00FE1BC4" w:rsidRPr="00F03E8A" w:rsidRDefault="00FE1BC4" w:rsidP="00FE1BC4">
      <w:pPr>
        <w:tabs>
          <w:tab w:val="left" w:pos="426"/>
          <w:tab w:val="left" w:pos="1276"/>
        </w:tabs>
        <w:rPr>
          <w:rFonts w:cs="Arial"/>
          <w:lang w:val="fr-CH"/>
        </w:rPr>
      </w:pPr>
      <w:r w:rsidRPr="00F03E8A">
        <w:rPr>
          <w:rFonts w:cs="Arial"/>
          <w:lang w:val="fr-CH"/>
        </w:rPr>
        <w:t>1.</w:t>
      </w:r>
      <w:r w:rsidRPr="00F03E8A">
        <w:rPr>
          <w:rFonts w:cs="Arial"/>
          <w:lang w:val="fr-CH"/>
        </w:rPr>
        <w:tab/>
      </w:r>
      <w:r w:rsidRPr="00F03E8A">
        <w:rPr>
          <w:rFonts w:cs="Arial"/>
          <w:u w:val="single"/>
          <w:lang w:val="fr-CH"/>
        </w:rPr>
        <w:t>Situation dans le domaine législatif</w:t>
      </w: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1.1</w:t>
      </w:r>
      <w:r w:rsidRPr="00F03E8A">
        <w:rPr>
          <w:rFonts w:cs="Arial"/>
          <w:lang w:val="fr-CH"/>
        </w:rPr>
        <w:tab/>
        <w:t>Modifications de la loi et des textes d’application</w:t>
      </w:r>
    </w:p>
    <w:p w:rsidR="00FE1BC4" w:rsidRPr="00F03E8A" w:rsidRDefault="00FE1BC4" w:rsidP="00FE1BC4">
      <w:pPr>
        <w:rPr>
          <w:rFonts w:cs="Arial"/>
          <w:lang w:val="fr-CH"/>
        </w:rPr>
      </w:pPr>
    </w:p>
    <w:p w:rsidR="00FE1BC4" w:rsidRPr="00F03E8A" w:rsidRDefault="00FE1BC4" w:rsidP="00FE1BC4">
      <w:pPr>
        <w:rPr>
          <w:rFonts w:cs="Arial"/>
          <w:lang w:val="fr-CH"/>
        </w:rPr>
      </w:pPr>
      <w:r>
        <w:rPr>
          <w:rFonts w:cs="Arial"/>
          <w:lang w:val="fr-CH"/>
        </w:rPr>
        <w:t>–</w:t>
      </w:r>
      <w:r>
        <w:rPr>
          <w:rFonts w:cs="Arial"/>
          <w:lang w:val="fr-CH"/>
        </w:rPr>
        <w:tab/>
      </w:r>
      <w:r w:rsidRPr="00F03E8A">
        <w:rPr>
          <w:rFonts w:cs="Arial"/>
          <w:lang w:val="fr-CH"/>
        </w:rPr>
        <w:t>Loi 13.606/18</w:t>
      </w: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1.2</w:t>
      </w:r>
      <w:r w:rsidRPr="00F03E8A">
        <w:rPr>
          <w:rFonts w:cs="Arial"/>
          <w:lang w:val="fr-CH"/>
        </w:rPr>
        <w:tab/>
        <w:t>Extension de la protection à d’autres genres et espèces (effectuée ou prévue)</w:t>
      </w:r>
    </w:p>
    <w:p w:rsidR="00FE1BC4" w:rsidRPr="00F03E8A" w:rsidRDefault="00FE1BC4" w:rsidP="00FE1BC4">
      <w:pPr>
        <w:rPr>
          <w:rFonts w:cs="Arial"/>
          <w:lang w:val="fr-CH"/>
        </w:rPr>
      </w:pPr>
    </w:p>
    <w:p w:rsidR="00FE1BC4" w:rsidRPr="00F03E8A" w:rsidRDefault="00FE1BC4" w:rsidP="00FE1BC4">
      <w:pPr>
        <w:ind w:left="567" w:hanging="567"/>
        <w:rPr>
          <w:rFonts w:cs="Arial"/>
          <w:lang w:val="fr-CH" w:eastAsia="pt-BR"/>
        </w:rPr>
      </w:pPr>
      <w:r>
        <w:rPr>
          <w:rFonts w:cs="Arial"/>
          <w:lang w:val="fr-CH" w:eastAsia="pt-BR"/>
        </w:rPr>
        <w:t>–</w:t>
      </w:r>
      <w:r>
        <w:rPr>
          <w:rFonts w:cs="Arial"/>
          <w:lang w:val="fr-CH" w:eastAsia="pt-BR"/>
        </w:rPr>
        <w:tab/>
      </w:r>
      <w:r w:rsidRPr="00F03E8A">
        <w:rPr>
          <w:rFonts w:cs="Arial"/>
          <w:lang w:val="fr-CH" w:eastAsia="pt-BR"/>
        </w:rPr>
        <w:t xml:space="preserve">Suivant la fin de l’année 2017 à aujourd’hui, la protection a été étendue à </w:t>
      </w:r>
      <w:r w:rsidRPr="00C313C9">
        <w:rPr>
          <w:lang w:eastAsia="pt-BR"/>
        </w:rPr>
        <w:t>Begonia boliviensis A. DC., Begonia pendula Ridl., Begonia x sempreflorens-cultorum hort, Begonia x tuberhybrida Voss, Begonia boliviensis A. DC. X Begonia pendula Ridl., Bougainvillea (Comm. Ex Juss.), Cocos nucifera L., Agave, Cicer arietinum L., Lagenaria siceraria (Molina) Standl., Pelargonium grandiflorum (Andrews) Willd., P.</w:t>
      </w:r>
      <w:r>
        <w:rPr>
          <w:lang w:eastAsia="pt-BR"/>
        </w:rPr>
        <w:t> </w:t>
      </w:r>
      <w:r w:rsidRPr="00C313C9">
        <w:rPr>
          <w:lang w:eastAsia="pt-BR"/>
        </w:rPr>
        <w:t xml:space="preserve">xdomesticum L.H. Bailey, P. crispum (P.J. Bergius) L’Hér. e P. crispum x P. xdomesticum </w:t>
      </w:r>
      <w:r>
        <w:rPr>
          <w:lang w:eastAsia="pt-BR"/>
        </w:rPr>
        <w:t>et</w:t>
      </w:r>
      <w:r w:rsidRPr="00C313C9">
        <w:rPr>
          <w:lang w:eastAsia="pt-BR"/>
        </w:rPr>
        <w:t xml:space="preserve"> Psidium guajava L.</w:t>
      </w:r>
    </w:p>
    <w:p w:rsidR="00FE1BC4" w:rsidRPr="00F03E8A" w:rsidRDefault="00FE1BC4" w:rsidP="00FE1BC4">
      <w:pPr>
        <w:ind w:left="567" w:hanging="567"/>
        <w:rPr>
          <w:rFonts w:cs="Arial"/>
          <w:lang w:val="fr-CH" w:eastAsia="pt-BR"/>
        </w:rPr>
      </w:pPr>
    </w:p>
    <w:p w:rsidR="00FE1BC4" w:rsidRPr="00F03E8A" w:rsidRDefault="00FE1BC4" w:rsidP="00FE1BC4">
      <w:pPr>
        <w:ind w:left="567" w:hanging="567"/>
        <w:rPr>
          <w:rFonts w:cs="Arial"/>
          <w:lang w:val="fr-CH"/>
        </w:rPr>
      </w:pPr>
      <w:r w:rsidRPr="00F03E8A">
        <w:rPr>
          <w:rFonts w:cs="Arial"/>
          <w:lang w:val="fr-CH"/>
        </w:rPr>
        <w:t>–</w:t>
      </w:r>
      <w:r w:rsidRPr="00F03E8A">
        <w:rPr>
          <w:rFonts w:cs="Arial"/>
          <w:lang w:val="fr-CH"/>
        </w:rPr>
        <w:tab/>
        <w:t>Révisions envisagées des principes directeurs d’examen DHS : canne à sucre, blé</w:t>
      </w: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1.3</w:t>
      </w:r>
      <w:r w:rsidRPr="00F03E8A">
        <w:rPr>
          <w:rFonts w:cs="Arial"/>
          <w:lang w:val="fr-CH"/>
        </w:rPr>
        <w:tab/>
        <w:t>Jurisprudence</w:t>
      </w: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ab/>
        <w:t>Aucun élément nouveau.</w:t>
      </w:r>
    </w:p>
    <w:p w:rsidR="00FE1BC4" w:rsidRPr="00F03E8A" w:rsidRDefault="00FE1BC4" w:rsidP="00FE1BC4">
      <w:pPr>
        <w:rPr>
          <w:rFonts w:cs="Arial"/>
          <w:lang w:val="fr-CH"/>
        </w:rPr>
      </w:pP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2.</w:t>
      </w:r>
      <w:r w:rsidRPr="00F03E8A">
        <w:rPr>
          <w:rFonts w:cs="Arial"/>
          <w:lang w:val="fr-CH"/>
        </w:rPr>
        <w:tab/>
      </w:r>
      <w:r w:rsidRPr="00F03E8A">
        <w:rPr>
          <w:rFonts w:cs="Arial"/>
          <w:u w:val="single"/>
          <w:lang w:val="fr-CH"/>
        </w:rPr>
        <w:t>Coopération en matière d’examen</w:t>
      </w:r>
    </w:p>
    <w:p w:rsidR="00FE1BC4" w:rsidRPr="00F03E8A" w:rsidRDefault="00FE1BC4" w:rsidP="00FE1BC4">
      <w:pPr>
        <w:tabs>
          <w:tab w:val="left" w:pos="426"/>
          <w:tab w:val="left" w:pos="851"/>
        </w:tabs>
        <w:rPr>
          <w:rFonts w:cs="Arial"/>
          <w:b/>
          <w:lang w:val="fr-CH"/>
        </w:rPr>
      </w:pPr>
    </w:p>
    <w:p w:rsidR="00FE1BC4" w:rsidRPr="00F03E8A" w:rsidRDefault="00FE1BC4" w:rsidP="00FE1BC4">
      <w:pPr>
        <w:rPr>
          <w:rFonts w:cs="Arial"/>
          <w:lang w:val="fr-CH"/>
        </w:rPr>
      </w:pPr>
      <w:r w:rsidRPr="00F03E8A">
        <w:rPr>
          <w:rFonts w:cs="Arial"/>
          <w:lang w:val="fr-CH"/>
        </w:rPr>
        <w:tab/>
        <w:t>Aucun élément nouveau.</w:t>
      </w:r>
    </w:p>
    <w:p w:rsidR="00FE1BC4" w:rsidRPr="00F03E8A" w:rsidRDefault="00FE1BC4" w:rsidP="00FE1BC4">
      <w:pPr>
        <w:tabs>
          <w:tab w:val="left" w:pos="426"/>
          <w:tab w:val="left" w:pos="851"/>
        </w:tabs>
        <w:rPr>
          <w:rFonts w:cs="Arial"/>
          <w:b/>
          <w:lang w:val="fr-CH"/>
        </w:rPr>
      </w:pPr>
    </w:p>
    <w:p w:rsidR="00FE1BC4" w:rsidRPr="00F03E8A" w:rsidRDefault="00FE1BC4" w:rsidP="00FE1BC4">
      <w:pPr>
        <w:rPr>
          <w:rFonts w:cs="Arial"/>
          <w:lang w:val="fr-CH"/>
        </w:rPr>
      </w:pPr>
    </w:p>
    <w:p w:rsidR="00FE1BC4" w:rsidRPr="00F03E8A" w:rsidRDefault="00FE1BC4" w:rsidP="00FE1BC4">
      <w:pPr>
        <w:rPr>
          <w:rFonts w:cs="Arial"/>
          <w:u w:val="single"/>
          <w:lang w:val="fr-CH"/>
        </w:rPr>
      </w:pPr>
      <w:r w:rsidRPr="00F03E8A">
        <w:rPr>
          <w:rFonts w:cs="Arial"/>
          <w:lang w:val="fr-CH"/>
        </w:rPr>
        <w:t>3.</w:t>
      </w:r>
      <w:r w:rsidRPr="00F03E8A">
        <w:rPr>
          <w:rFonts w:cs="Arial"/>
          <w:lang w:val="fr-CH"/>
        </w:rPr>
        <w:tab/>
      </w:r>
      <w:r w:rsidRPr="00F03E8A">
        <w:rPr>
          <w:rFonts w:cs="Arial"/>
          <w:u w:val="single"/>
          <w:lang w:val="fr-CH"/>
        </w:rPr>
        <w:t>Situation dans le domaine administratif</w:t>
      </w: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Le service de protection des obtentions végétales a mis à jour son système de demande de droit d’obtenteur (CultivarWeb) par la mise en place d’un système de demande entièrement en ligne (sans papier) qui intègre les caractéristiques suivantes :</w:t>
      </w:r>
    </w:p>
    <w:p w:rsidR="00FE1BC4" w:rsidRPr="00F03E8A" w:rsidRDefault="00FE1BC4" w:rsidP="00FE1BC4">
      <w:pPr>
        <w:rPr>
          <w:rFonts w:cs="Arial"/>
          <w:lang w:val="fr-CH"/>
        </w:rPr>
      </w:pPr>
    </w:p>
    <w:p w:rsidR="00FE1BC4" w:rsidRPr="00F03E8A" w:rsidRDefault="00FE1BC4" w:rsidP="00FE1BC4">
      <w:pPr>
        <w:pStyle w:val="ListParagraph"/>
        <w:numPr>
          <w:ilvl w:val="0"/>
          <w:numId w:val="49"/>
        </w:numPr>
        <w:ind w:left="1134" w:hanging="567"/>
        <w:contextualSpacing/>
        <w:jc w:val="both"/>
        <w:rPr>
          <w:rFonts w:cs="Arial"/>
          <w:szCs w:val="20"/>
          <w:lang w:val="fr-CH"/>
        </w:rPr>
      </w:pPr>
      <w:r w:rsidRPr="00F03E8A">
        <w:rPr>
          <w:rFonts w:cs="Arial"/>
          <w:szCs w:val="20"/>
          <w:lang w:val="fr-CH"/>
        </w:rPr>
        <w:t>Dépôt électronique des demandes;</w:t>
      </w:r>
    </w:p>
    <w:p w:rsidR="00FE1BC4" w:rsidRPr="00F03E8A" w:rsidRDefault="00FE1BC4" w:rsidP="00FE1BC4">
      <w:pPr>
        <w:pStyle w:val="ListParagraph"/>
        <w:numPr>
          <w:ilvl w:val="0"/>
          <w:numId w:val="49"/>
        </w:numPr>
        <w:ind w:left="1134" w:hanging="567"/>
        <w:contextualSpacing/>
        <w:jc w:val="both"/>
        <w:rPr>
          <w:rFonts w:cs="Arial"/>
          <w:szCs w:val="20"/>
          <w:lang w:val="fr-CH"/>
        </w:rPr>
      </w:pPr>
      <w:r w:rsidRPr="00F03E8A">
        <w:rPr>
          <w:rFonts w:cs="Arial"/>
          <w:szCs w:val="20"/>
          <w:lang w:val="fr-CH"/>
        </w:rPr>
        <w:t>Échange électronique des renseignements supplémentaires;</w:t>
      </w:r>
    </w:p>
    <w:p w:rsidR="00FE1BC4" w:rsidRPr="00F03E8A" w:rsidRDefault="00FE1BC4" w:rsidP="00FE1BC4">
      <w:pPr>
        <w:pStyle w:val="ListParagraph"/>
        <w:numPr>
          <w:ilvl w:val="0"/>
          <w:numId w:val="49"/>
        </w:numPr>
        <w:ind w:left="1134" w:hanging="567"/>
        <w:contextualSpacing/>
        <w:jc w:val="both"/>
        <w:rPr>
          <w:rFonts w:cs="Arial"/>
          <w:szCs w:val="20"/>
          <w:lang w:val="fr-CH"/>
        </w:rPr>
      </w:pPr>
      <w:r w:rsidRPr="00F03E8A">
        <w:rPr>
          <w:rFonts w:cs="Arial"/>
          <w:szCs w:val="20"/>
          <w:lang w:val="fr-CH"/>
        </w:rPr>
        <w:t>Bouton pour demander en un clic le retrait de la demande ou l’abandon de la protection;</w:t>
      </w:r>
    </w:p>
    <w:p w:rsidR="00FE1BC4" w:rsidRPr="00F03E8A" w:rsidRDefault="00FE1BC4" w:rsidP="00FE1BC4">
      <w:pPr>
        <w:pStyle w:val="ListParagraph"/>
        <w:numPr>
          <w:ilvl w:val="0"/>
          <w:numId w:val="49"/>
        </w:numPr>
        <w:ind w:left="1134" w:hanging="567"/>
        <w:contextualSpacing/>
        <w:jc w:val="both"/>
        <w:rPr>
          <w:rFonts w:cs="Arial"/>
          <w:szCs w:val="20"/>
          <w:lang w:val="fr-CH"/>
        </w:rPr>
      </w:pPr>
      <w:r w:rsidRPr="00F03E8A">
        <w:rPr>
          <w:rFonts w:cs="Arial"/>
          <w:szCs w:val="20"/>
          <w:lang w:val="fr-CH"/>
        </w:rPr>
        <w:t>Gestion des taxes (meilleure gestion des taxes pour les obtenteurs, création simplifiée du formulaire de recouvrement des taxes, données d’entrée et compensation automatisées, etc.).</w:t>
      </w:r>
    </w:p>
    <w:p w:rsidR="00FE1BC4" w:rsidRPr="00F03E8A" w:rsidRDefault="00FE1BC4" w:rsidP="00FE1BC4">
      <w:pPr>
        <w:rPr>
          <w:rFonts w:cs="Arial"/>
          <w:lang w:val="fr-CH"/>
        </w:rPr>
      </w:pPr>
    </w:p>
    <w:p w:rsidR="00FE1BC4" w:rsidRPr="00F03E8A" w:rsidRDefault="00FE1BC4" w:rsidP="00FE1BC4">
      <w:pPr>
        <w:rPr>
          <w:rFonts w:cs="Arial"/>
          <w:lang w:val="fr-CH"/>
        </w:rPr>
      </w:pPr>
    </w:p>
    <w:p w:rsidR="00FE1BC4" w:rsidRPr="00F03E8A" w:rsidRDefault="00FE1BC4" w:rsidP="00FE1BC4">
      <w:pPr>
        <w:spacing w:line="360" w:lineRule="auto"/>
        <w:rPr>
          <w:rFonts w:cs="Arial"/>
          <w:lang w:val="fr-CH"/>
        </w:rPr>
      </w:pPr>
      <w:r w:rsidRPr="00F03E8A">
        <w:rPr>
          <w:rFonts w:cs="Arial"/>
          <w:lang w:val="fr-CH"/>
        </w:rPr>
        <w:t>4.</w:t>
      </w:r>
      <w:r w:rsidRPr="00F03E8A">
        <w:rPr>
          <w:rFonts w:cs="Arial"/>
          <w:lang w:val="fr-CH"/>
        </w:rPr>
        <w:tab/>
      </w:r>
      <w:r w:rsidRPr="00F03E8A">
        <w:rPr>
          <w:rFonts w:cs="Arial"/>
          <w:u w:val="single"/>
          <w:lang w:val="fr-CH"/>
        </w:rPr>
        <w:t>Situation dans le domaine technique</w:t>
      </w:r>
    </w:p>
    <w:p w:rsidR="00FE1BC4" w:rsidRPr="00F03E8A" w:rsidRDefault="00FE1BC4" w:rsidP="00FE1BC4">
      <w:pPr>
        <w:rPr>
          <w:rFonts w:cs="Arial"/>
          <w:lang w:val="fr-CH"/>
        </w:rPr>
      </w:pPr>
      <w:r w:rsidRPr="00F03E8A">
        <w:rPr>
          <w:rFonts w:cs="Arial"/>
          <w:lang w:val="fr-CH"/>
        </w:rPr>
        <w:tab/>
        <w:t>Aucun élément nouveau.</w:t>
      </w:r>
    </w:p>
    <w:p w:rsidR="00FE1BC4" w:rsidRPr="00F03E8A" w:rsidRDefault="00FE1BC4" w:rsidP="00FE1BC4">
      <w:pPr>
        <w:rPr>
          <w:rFonts w:cs="Arial"/>
          <w:lang w:val="fr-CH"/>
        </w:rPr>
      </w:pPr>
    </w:p>
    <w:p w:rsidR="00FE1BC4" w:rsidRPr="00F03E8A" w:rsidRDefault="00FE1BC4" w:rsidP="00FE1BC4">
      <w:pPr>
        <w:rPr>
          <w:rFonts w:cs="Arial"/>
          <w:lang w:val="fr-CH"/>
        </w:rPr>
      </w:pPr>
    </w:p>
    <w:p w:rsidR="000A6155" w:rsidRDefault="000A6155">
      <w:pPr>
        <w:jc w:val="left"/>
        <w:rPr>
          <w:rFonts w:cs="Arial"/>
          <w:lang w:val="fr-CH"/>
        </w:rPr>
      </w:pPr>
      <w:r>
        <w:rPr>
          <w:rFonts w:cs="Arial"/>
          <w:lang w:val="fr-CH"/>
        </w:rPr>
        <w:br w:type="page"/>
      </w:r>
    </w:p>
    <w:p w:rsidR="00FE1BC4" w:rsidRPr="00F03E8A" w:rsidRDefault="00FE1BC4" w:rsidP="00FE1BC4">
      <w:pPr>
        <w:rPr>
          <w:rFonts w:cs="Arial"/>
          <w:u w:val="single"/>
          <w:lang w:val="fr-CH"/>
        </w:rPr>
      </w:pPr>
      <w:r w:rsidRPr="00F03E8A">
        <w:rPr>
          <w:rFonts w:cs="Arial"/>
          <w:lang w:val="fr-CH"/>
        </w:rPr>
        <w:lastRenderedPageBreak/>
        <w:t>5.</w:t>
      </w:r>
      <w:r w:rsidRPr="00F03E8A">
        <w:rPr>
          <w:rFonts w:cs="Arial"/>
          <w:lang w:val="fr-CH"/>
        </w:rPr>
        <w:tab/>
      </w:r>
      <w:r w:rsidRPr="00F03E8A">
        <w:rPr>
          <w:rFonts w:cs="Arial"/>
          <w:u w:val="single"/>
          <w:lang w:val="fr-CH"/>
        </w:rPr>
        <w:t>Activités de promotion de la protection des obtentions végétales</w:t>
      </w:r>
    </w:p>
    <w:p w:rsidR="00FE1BC4" w:rsidRPr="00F03E8A" w:rsidRDefault="00FE1BC4" w:rsidP="00FE1BC4">
      <w:pPr>
        <w:rPr>
          <w:rFonts w:cs="Arial"/>
          <w:lang w:val="fr-CH"/>
        </w:rPr>
      </w:pP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1116"/>
        <w:gridCol w:w="1208"/>
        <w:gridCol w:w="1137"/>
        <w:gridCol w:w="1226"/>
        <w:gridCol w:w="1536"/>
        <w:gridCol w:w="1918"/>
        <w:gridCol w:w="1488"/>
      </w:tblGrid>
      <w:tr w:rsidR="00FE1BC4" w:rsidRPr="00F03E8A" w:rsidTr="000A6155">
        <w:tc>
          <w:tcPr>
            <w:tcW w:w="1129" w:type="dxa"/>
          </w:tcPr>
          <w:p w:rsidR="00FE1BC4" w:rsidRPr="00F03E8A" w:rsidRDefault="00FE1BC4" w:rsidP="002D69F6">
            <w:pPr>
              <w:tabs>
                <w:tab w:val="left" w:pos="169"/>
              </w:tabs>
              <w:jc w:val="left"/>
              <w:rPr>
                <w:rFonts w:cs="Arial"/>
                <w:sz w:val="16"/>
                <w:szCs w:val="16"/>
              </w:rPr>
            </w:pPr>
            <w:bookmarkStart w:id="2" w:name="_Hlk493056441"/>
            <w:r w:rsidRPr="00F03E8A">
              <w:rPr>
                <w:rFonts w:cs="Arial"/>
                <w:sz w:val="16"/>
                <w:szCs w:val="16"/>
              </w:rPr>
              <w:t>Titre de l’activité</w:t>
            </w:r>
          </w:p>
        </w:tc>
        <w:tc>
          <w:tcPr>
            <w:tcW w:w="1276" w:type="dxa"/>
          </w:tcPr>
          <w:p w:rsidR="00FE1BC4" w:rsidRPr="00F03E8A" w:rsidRDefault="00FE1BC4" w:rsidP="002D69F6">
            <w:pPr>
              <w:jc w:val="left"/>
              <w:rPr>
                <w:rFonts w:cs="Arial"/>
                <w:sz w:val="16"/>
                <w:szCs w:val="16"/>
              </w:rPr>
            </w:pPr>
            <w:r w:rsidRPr="00F03E8A">
              <w:rPr>
                <w:rFonts w:cs="Arial"/>
                <w:sz w:val="16"/>
                <w:szCs w:val="16"/>
              </w:rPr>
              <w:t>Date</w:t>
            </w:r>
          </w:p>
        </w:tc>
        <w:tc>
          <w:tcPr>
            <w:tcW w:w="851" w:type="dxa"/>
          </w:tcPr>
          <w:p w:rsidR="00FE1BC4" w:rsidRPr="00F03E8A" w:rsidRDefault="00FE1BC4" w:rsidP="002D69F6">
            <w:pPr>
              <w:jc w:val="left"/>
              <w:rPr>
                <w:rFonts w:cs="Arial"/>
                <w:sz w:val="16"/>
                <w:szCs w:val="16"/>
              </w:rPr>
            </w:pPr>
            <w:r w:rsidRPr="00F03E8A">
              <w:rPr>
                <w:rFonts w:cs="Arial"/>
                <w:sz w:val="16"/>
                <w:szCs w:val="16"/>
              </w:rPr>
              <w:t>Lieu</w:t>
            </w:r>
          </w:p>
        </w:tc>
        <w:tc>
          <w:tcPr>
            <w:tcW w:w="1134" w:type="dxa"/>
          </w:tcPr>
          <w:p w:rsidR="00FE1BC4" w:rsidRPr="00F03E8A" w:rsidRDefault="00FE1BC4" w:rsidP="002D69F6">
            <w:pPr>
              <w:jc w:val="left"/>
              <w:rPr>
                <w:rFonts w:cs="Arial"/>
                <w:sz w:val="16"/>
                <w:szCs w:val="16"/>
              </w:rPr>
            </w:pPr>
            <w:r w:rsidRPr="00F03E8A">
              <w:rPr>
                <w:rFonts w:cs="Arial"/>
                <w:sz w:val="16"/>
                <w:szCs w:val="16"/>
              </w:rPr>
              <w:t>Organisateur(s)</w:t>
            </w:r>
          </w:p>
        </w:tc>
        <w:tc>
          <w:tcPr>
            <w:tcW w:w="1786" w:type="dxa"/>
          </w:tcPr>
          <w:p w:rsidR="00FE1BC4" w:rsidRPr="00F03E8A" w:rsidRDefault="00FE1BC4" w:rsidP="002D69F6">
            <w:pPr>
              <w:jc w:val="left"/>
              <w:rPr>
                <w:rFonts w:cs="Arial"/>
                <w:sz w:val="16"/>
                <w:szCs w:val="16"/>
              </w:rPr>
            </w:pPr>
            <w:r w:rsidRPr="00F03E8A">
              <w:rPr>
                <w:rFonts w:cs="Arial"/>
                <w:sz w:val="16"/>
                <w:szCs w:val="16"/>
              </w:rPr>
              <w:t>But de l’activité</w:t>
            </w:r>
          </w:p>
        </w:tc>
        <w:tc>
          <w:tcPr>
            <w:tcW w:w="2183" w:type="dxa"/>
          </w:tcPr>
          <w:p w:rsidR="00FE1BC4" w:rsidRPr="00F03E8A" w:rsidRDefault="00FE1BC4" w:rsidP="002D69F6">
            <w:pPr>
              <w:jc w:val="left"/>
              <w:rPr>
                <w:rFonts w:cs="Arial"/>
                <w:sz w:val="16"/>
                <w:szCs w:val="16"/>
                <w:lang w:val="fr-CH"/>
              </w:rPr>
            </w:pPr>
            <w:r w:rsidRPr="00F03E8A">
              <w:rPr>
                <w:rFonts w:cs="Arial"/>
                <w:sz w:val="16"/>
                <w:szCs w:val="16"/>
                <w:lang w:val="fr-CH"/>
              </w:rPr>
              <w:t>Pays/organisations participants (nombre de participants de chacun d’eux)</w:t>
            </w:r>
          </w:p>
        </w:tc>
        <w:tc>
          <w:tcPr>
            <w:tcW w:w="1730" w:type="dxa"/>
          </w:tcPr>
          <w:p w:rsidR="00FE1BC4" w:rsidRPr="00F03E8A" w:rsidRDefault="00FE1BC4" w:rsidP="002D69F6">
            <w:pPr>
              <w:jc w:val="left"/>
              <w:rPr>
                <w:rFonts w:cs="Arial"/>
                <w:sz w:val="16"/>
                <w:szCs w:val="16"/>
              </w:rPr>
            </w:pPr>
            <w:r w:rsidRPr="00F03E8A">
              <w:rPr>
                <w:rFonts w:cs="Arial"/>
                <w:sz w:val="16"/>
                <w:szCs w:val="16"/>
              </w:rPr>
              <w:t>Remarques</w:t>
            </w:r>
          </w:p>
        </w:tc>
      </w:tr>
      <w:tr w:rsidR="00FE1BC4" w:rsidRPr="00F03E8A" w:rsidTr="000A6155">
        <w:tc>
          <w:tcPr>
            <w:tcW w:w="1129" w:type="dxa"/>
          </w:tcPr>
          <w:p w:rsidR="00FE1BC4" w:rsidRPr="00F03E8A" w:rsidRDefault="00FE1BC4" w:rsidP="002D69F6">
            <w:pPr>
              <w:tabs>
                <w:tab w:val="left" w:pos="169"/>
              </w:tabs>
              <w:rPr>
                <w:rFonts w:cs="Arial"/>
                <w:sz w:val="16"/>
                <w:szCs w:val="16"/>
                <w:lang w:val="fr-CH"/>
              </w:rPr>
            </w:pPr>
            <w:r>
              <w:rPr>
                <w:rFonts w:cs="Arial"/>
                <w:sz w:val="16"/>
                <w:szCs w:val="16"/>
                <w:lang w:val="fr-CH"/>
              </w:rPr>
              <w:t>1</w:t>
            </w:r>
            <w:r w:rsidRPr="00F03E8A">
              <w:rPr>
                <w:rFonts w:cs="Arial"/>
                <w:sz w:val="16"/>
                <w:szCs w:val="16"/>
                <w:lang w:val="fr-CH"/>
              </w:rPr>
              <w:t>.</w:t>
            </w:r>
            <w:r>
              <w:rPr>
                <w:rFonts w:cs="Arial"/>
                <w:sz w:val="16"/>
                <w:szCs w:val="16"/>
                <w:lang w:val="fr-CH"/>
              </w:rPr>
              <w:tab/>
            </w:r>
            <w:r w:rsidRPr="00F03E8A">
              <w:rPr>
                <w:rFonts w:cs="Arial"/>
                <w:sz w:val="16"/>
                <w:szCs w:val="16"/>
                <w:lang w:val="fr-CH"/>
              </w:rPr>
              <w:t>Cours général sur la propriété intellectuelle</w:t>
            </w:r>
          </w:p>
        </w:tc>
        <w:tc>
          <w:tcPr>
            <w:tcW w:w="1276" w:type="dxa"/>
          </w:tcPr>
          <w:p w:rsidR="00FE1BC4" w:rsidRPr="00F03E8A" w:rsidRDefault="00FE1BC4" w:rsidP="002D69F6">
            <w:pPr>
              <w:jc w:val="left"/>
              <w:rPr>
                <w:rFonts w:cs="Arial"/>
                <w:sz w:val="16"/>
                <w:szCs w:val="16"/>
              </w:rPr>
            </w:pPr>
            <w:r w:rsidRPr="00F03E8A">
              <w:rPr>
                <w:rFonts w:cs="Arial"/>
                <w:sz w:val="16"/>
                <w:szCs w:val="16"/>
              </w:rPr>
              <w:t>6</w:t>
            </w:r>
            <w:r>
              <w:rPr>
                <w:rFonts w:cs="Arial"/>
                <w:sz w:val="16"/>
                <w:szCs w:val="16"/>
              </w:rPr>
              <w:t xml:space="preserve"> </w:t>
            </w:r>
            <w:r w:rsidRPr="00F03E8A">
              <w:rPr>
                <w:rFonts w:cs="Arial"/>
                <w:sz w:val="16"/>
                <w:szCs w:val="16"/>
              </w:rPr>
              <w:t>février – 8</w:t>
            </w:r>
            <w:r>
              <w:rPr>
                <w:rFonts w:cs="Arial"/>
                <w:sz w:val="16"/>
                <w:szCs w:val="16"/>
              </w:rPr>
              <w:t> </w:t>
            </w:r>
            <w:r w:rsidRPr="00F03E8A">
              <w:rPr>
                <w:rFonts w:cs="Arial"/>
                <w:sz w:val="16"/>
                <w:szCs w:val="16"/>
              </w:rPr>
              <w:t>avril</w:t>
            </w:r>
            <w:r>
              <w:rPr>
                <w:rFonts w:cs="Arial"/>
                <w:sz w:val="16"/>
                <w:szCs w:val="16"/>
              </w:rPr>
              <w:t xml:space="preserve"> </w:t>
            </w:r>
            <w:r w:rsidRPr="00F03E8A">
              <w:rPr>
                <w:rFonts w:cs="Arial"/>
                <w:sz w:val="16"/>
                <w:szCs w:val="16"/>
              </w:rPr>
              <w:t>2018</w:t>
            </w:r>
          </w:p>
        </w:tc>
        <w:tc>
          <w:tcPr>
            <w:tcW w:w="851" w:type="dxa"/>
          </w:tcPr>
          <w:p w:rsidR="00FE1BC4" w:rsidRPr="00F03E8A" w:rsidRDefault="00FE1BC4" w:rsidP="002D69F6">
            <w:pPr>
              <w:jc w:val="left"/>
              <w:rPr>
                <w:rFonts w:cs="Arial"/>
                <w:sz w:val="16"/>
                <w:szCs w:val="16"/>
              </w:rPr>
            </w:pPr>
            <w:r w:rsidRPr="00F03E8A">
              <w:rPr>
                <w:rFonts w:cs="Arial"/>
                <w:sz w:val="16"/>
                <w:szCs w:val="16"/>
              </w:rPr>
              <w:t>Enseignement à distance</w:t>
            </w:r>
          </w:p>
        </w:tc>
        <w:tc>
          <w:tcPr>
            <w:tcW w:w="1134" w:type="dxa"/>
          </w:tcPr>
          <w:p w:rsidR="00FE1BC4" w:rsidRPr="00F03E8A" w:rsidRDefault="00FE1BC4" w:rsidP="002D69F6">
            <w:pPr>
              <w:jc w:val="left"/>
              <w:rPr>
                <w:rFonts w:cs="Arial"/>
                <w:sz w:val="16"/>
                <w:szCs w:val="16"/>
                <w:lang w:val="fr-CH"/>
              </w:rPr>
            </w:pPr>
            <w:r w:rsidRPr="00F03E8A">
              <w:rPr>
                <w:rFonts w:cs="Arial"/>
                <w:sz w:val="16"/>
                <w:szCs w:val="16"/>
                <w:lang w:val="fr-CH"/>
              </w:rPr>
              <w:t>INPI (Office des brevets et des marques du Brésil)</w:t>
            </w:r>
          </w:p>
          <w:p w:rsidR="00FE1BC4" w:rsidRPr="00F03E8A" w:rsidRDefault="00FE1BC4" w:rsidP="002D69F6">
            <w:pPr>
              <w:jc w:val="left"/>
              <w:rPr>
                <w:rFonts w:cs="Arial"/>
                <w:sz w:val="16"/>
                <w:szCs w:val="16"/>
              </w:rPr>
            </w:pPr>
            <w:r w:rsidRPr="00F03E8A">
              <w:rPr>
                <w:rFonts w:cs="Arial"/>
                <w:sz w:val="16"/>
                <w:szCs w:val="16"/>
              </w:rPr>
              <w:t>OMPI</w:t>
            </w:r>
          </w:p>
        </w:tc>
        <w:tc>
          <w:tcPr>
            <w:tcW w:w="1786"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Cours général sur la propriété intellectuelle avec un chapitre sur la protection des obtentions végétales </w:t>
            </w:r>
          </w:p>
        </w:tc>
        <w:tc>
          <w:tcPr>
            <w:tcW w:w="2183" w:type="dxa"/>
          </w:tcPr>
          <w:p w:rsidR="00FE1BC4" w:rsidRPr="00F03E8A" w:rsidRDefault="00FE1BC4" w:rsidP="002D69F6">
            <w:pPr>
              <w:jc w:val="left"/>
              <w:rPr>
                <w:rFonts w:cs="Arial"/>
                <w:sz w:val="16"/>
                <w:szCs w:val="16"/>
                <w:lang w:val="fr-CH"/>
              </w:rPr>
            </w:pPr>
            <w:r w:rsidRPr="00F03E8A">
              <w:rPr>
                <w:rFonts w:cs="Arial"/>
                <w:sz w:val="16"/>
                <w:szCs w:val="16"/>
                <w:lang w:val="fr-CH"/>
              </w:rPr>
              <w:t>Environ 2000 participants (brésiliens) de domaines divers (étudiants, avocats, mandataires, fonctionnaires, scientifiques, etc.)</w:t>
            </w:r>
          </w:p>
        </w:tc>
        <w:tc>
          <w:tcPr>
            <w:tcW w:w="1730"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Les examinateurs du SNPC (service de protection des obtentions végétales) ont joué le rôle de formateur au cours des débats sur la protection des obtentions végétales </w:t>
            </w:r>
          </w:p>
        </w:tc>
      </w:tr>
      <w:tr w:rsidR="00FE1BC4" w:rsidRPr="00F03E8A" w:rsidTr="000A6155">
        <w:tc>
          <w:tcPr>
            <w:tcW w:w="1129" w:type="dxa"/>
          </w:tcPr>
          <w:p w:rsidR="00FE1BC4" w:rsidRPr="00F03E8A" w:rsidRDefault="00FE1BC4" w:rsidP="002D69F6">
            <w:pPr>
              <w:tabs>
                <w:tab w:val="left" w:pos="169"/>
              </w:tabs>
              <w:jc w:val="left"/>
              <w:rPr>
                <w:rFonts w:cs="Arial"/>
                <w:sz w:val="16"/>
                <w:szCs w:val="16"/>
                <w:lang w:val="fr-CH"/>
              </w:rPr>
            </w:pPr>
            <w:r w:rsidRPr="00F03E8A">
              <w:rPr>
                <w:rFonts w:cs="Arial"/>
                <w:sz w:val="16"/>
                <w:szCs w:val="16"/>
                <w:lang w:val="fr-CH"/>
              </w:rPr>
              <w:t>2.</w:t>
            </w:r>
            <w:r>
              <w:rPr>
                <w:rFonts w:cs="Arial"/>
                <w:sz w:val="16"/>
                <w:szCs w:val="16"/>
                <w:lang w:val="fr-CH"/>
              </w:rPr>
              <w:tab/>
            </w:r>
            <w:r w:rsidRPr="00F03E8A">
              <w:rPr>
                <w:rFonts w:cs="Arial"/>
                <w:sz w:val="16"/>
                <w:szCs w:val="16"/>
                <w:lang w:val="fr-CH"/>
              </w:rPr>
              <w:t>Cours général sur la propriété intellectuelle</w:t>
            </w:r>
          </w:p>
        </w:tc>
        <w:tc>
          <w:tcPr>
            <w:tcW w:w="1276" w:type="dxa"/>
          </w:tcPr>
          <w:p w:rsidR="00FE1BC4" w:rsidRPr="00F03E8A" w:rsidRDefault="00FE1BC4" w:rsidP="002D69F6">
            <w:pPr>
              <w:jc w:val="left"/>
              <w:rPr>
                <w:rFonts w:cs="Arial"/>
                <w:sz w:val="16"/>
                <w:szCs w:val="16"/>
                <w:lang w:val="fr-CH"/>
              </w:rPr>
            </w:pPr>
            <w:r w:rsidRPr="00F03E8A">
              <w:rPr>
                <w:rFonts w:cs="Arial"/>
                <w:sz w:val="16"/>
                <w:szCs w:val="16"/>
                <w:lang w:val="fr-CH"/>
              </w:rPr>
              <w:t>2</w:t>
            </w:r>
            <w:r>
              <w:rPr>
                <w:rFonts w:cs="Arial"/>
                <w:sz w:val="16"/>
                <w:szCs w:val="16"/>
                <w:lang w:val="fr-CH"/>
              </w:rPr>
              <w:t xml:space="preserve"> </w:t>
            </w:r>
            <w:r w:rsidRPr="00F03E8A">
              <w:rPr>
                <w:rFonts w:cs="Arial"/>
                <w:sz w:val="16"/>
                <w:szCs w:val="16"/>
                <w:lang w:val="fr-CH"/>
              </w:rPr>
              <w:t>mai – 29</w:t>
            </w:r>
            <w:r>
              <w:rPr>
                <w:rFonts w:cs="Arial"/>
                <w:sz w:val="16"/>
                <w:szCs w:val="16"/>
                <w:lang w:val="fr-CH"/>
              </w:rPr>
              <w:t> </w:t>
            </w:r>
            <w:r w:rsidRPr="00F03E8A">
              <w:rPr>
                <w:rFonts w:cs="Arial"/>
                <w:sz w:val="16"/>
                <w:szCs w:val="16"/>
                <w:lang w:val="fr-CH"/>
              </w:rPr>
              <w:t>juin</w:t>
            </w:r>
            <w:r>
              <w:rPr>
                <w:rFonts w:cs="Arial"/>
                <w:sz w:val="16"/>
                <w:szCs w:val="16"/>
                <w:lang w:val="fr-CH"/>
              </w:rPr>
              <w:t xml:space="preserve"> </w:t>
            </w:r>
            <w:r w:rsidRPr="00F03E8A">
              <w:rPr>
                <w:rFonts w:cs="Arial"/>
                <w:sz w:val="16"/>
                <w:szCs w:val="16"/>
                <w:lang w:val="fr-CH"/>
              </w:rPr>
              <w:t>2018</w:t>
            </w:r>
          </w:p>
        </w:tc>
        <w:tc>
          <w:tcPr>
            <w:tcW w:w="851" w:type="dxa"/>
          </w:tcPr>
          <w:p w:rsidR="00FE1BC4" w:rsidRPr="00F03E8A" w:rsidRDefault="00FE1BC4" w:rsidP="002D69F6">
            <w:pPr>
              <w:jc w:val="left"/>
              <w:rPr>
                <w:rFonts w:cs="Arial"/>
                <w:sz w:val="16"/>
                <w:szCs w:val="16"/>
                <w:lang w:val="fr-CH"/>
              </w:rPr>
            </w:pPr>
            <w:r w:rsidRPr="00F03E8A">
              <w:rPr>
                <w:rFonts w:cs="Arial"/>
                <w:sz w:val="16"/>
                <w:szCs w:val="16"/>
                <w:lang w:val="fr-CH"/>
              </w:rPr>
              <w:t>Enseignement à distance</w:t>
            </w:r>
          </w:p>
        </w:tc>
        <w:tc>
          <w:tcPr>
            <w:tcW w:w="1134" w:type="dxa"/>
          </w:tcPr>
          <w:p w:rsidR="00FE1BC4" w:rsidRPr="00F03E8A" w:rsidRDefault="00FE1BC4" w:rsidP="002D69F6">
            <w:pPr>
              <w:jc w:val="left"/>
              <w:rPr>
                <w:rFonts w:cs="Arial"/>
                <w:sz w:val="16"/>
                <w:szCs w:val="16"/>
                <w:lang w:val="fr-CH"/>
              </w:rPr>
            </w:pPr>
            <w:r w:rsidRPr="00F03E8A">
              <w:rPr>
                <w:rFonts w:cs="Arial"/>
                <w:sz w:val="16"/>
                <w:szCs w:val="16"/>
                <w:lang w:val="fr-CH"/>
              </w:rPr>
              <w:t>INPI</w:t>
            </w:r>
          </w:p>
          <w:p w:rsidR="00FE1BC4" w:rsidRPr="00F03E8A" w:rsidRDefault="00FE1BC4" w:rsidP="002D69F6">
            <w:pPr>
              <w:jc w:val="left"/>
              <w:rPr>
                <w:rFonts w:cs="Arial"/>
                <w:sz w:val="16"/>
                <w:szCs w:val="16"/>
                <w:lang w:val="fr-CH"/>
              </w:rPr>
            </w:pPr>
            <w:r w:rsidRPr="00F03E8A">
              <w:rPr>
                <w:rFonts w:cs="Arial"/>
                <w:sz w:val="16"/>
                <w:szCs w:val="16"/>
                <w:lang w:val="fr-CH"/>
              </w:rPr>
              <w:t>OMPI</w:t>
            </w:r>
          </w:p>
        </w:tc>
        <w:tc>
          <w:tcPr>
            <w:tcW w:w="1786"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Cours général sur la propriété intellectuelle avec un chapitre sur la protection des obtentions végétales </w:t>
            </w:r>
          </w:p>
        </w:tc>
        <w:tc>
          <w:tcPr>
            <w:tcW w:w="2183" w:type="dxa"/>
          </w:tcPr>
          <w:p w:rsidR="00FE1BC4" w:rsidRPr="00F03E8A" w:rsidRDefault="00FE1BC4" w:rsidP="002D69F6">
            <w:pPr>
              <w:jc w:val="left"/>
              <w:rPr>
                <w:rFonts w:cs="Arial"/>
                <w:sz w:val="16"/>
                <w:szCs w:val="16"/>
                <w:lang w:val="fr-CH"/>
              </w:rPr>
            </w:pPr>
            <w:r w:rsidRPr="00F03E8A">
              <w:rPr>
                <w:rFonts w:cs="Arial"/>
                <w:sz w:val="16"/>
                <w:szCs w:val="16"/>
                <w:lang w:val="fr-CH"/>
              </w:rPr>
              <w:t>Environ 2000 participants (brésiliens) de domaines divers (étudiants, avocats, mandataires, fonctionnaires, scientifiques, etc.)</w:t>
            </w:r>
          </w:p>
        </w:tc>
        <w:tc>
          <w:tcPr>
            <w:tcW w:w="1730"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Les examinateurs du SNPC ont joué le rôle de formateur au cours des débats sur la protection des obtentions végétales </w:t>
            </w:r>
          </w:p>
        </w:tc>
      </w:tr>
      <w:tr w:rsidR="00FE1BC4" w:rsidRPr="00F03E8A" w:rsidTr="000A6155">
        <w:tc>
          <w:tcPr>
            <w:tcW w:w="1129" w:type="dxa"/>
          </w:tcPr>
          <w:p w:rsidR="00FE1BC4" w:rsidRPr="00F03E8A" w:rsidRDefault="00FE1BC4" w:rsidP="002D69F6">
            <w:pPr>
              <w:tabs>
                <w:tab w:val="left" w:pos="169"/>
              </w:tabs>
              <w:jc w:val="left"/>
              <w:rPr>
                <w:rFonts w:cs="Arial"/>
                <w:sz w:val="16"/>
                <w:szCs w:val="16"/>
                <w:lang w:val="fr-CH"/>
              </w:rPr>
            </w:pPr>
            <w:r w:rsidRPr="00F03E8A">
              <w:rPr>
                <w:rFonts w:cs="Arial"/>
                <w:sz w:val="16"/>
                <w:szCs w:val="16"/>
                <w:lang w:val="fr-CH"/>
              </w:rPr>
              <w:t>3.</w:t>
            </w:r>
            <w:r>
              <w:rPr>
                <w:rFonts w:cs="Arial"/>
                <w:sz w:val="16"/>
                <w:szCs w:val="16"/>
                <w:lang w:val="fr-CH"/>
              </w:rPr>
              <w:tab/>
            </w:r>
            <w:r w:rsidRPr="00F03E8A">
              <w:rPr>
                <w:rFonts w:cs="Arial"/>
                <w:sz w:val="16"/>
                <w:szCs w:val="16"/>
                <w:lang w:val="fr-CH"/>
              </w:rPr>
              <w:t>Cours général sur la propriété intellectuelle</w:t>
            </w:r>
          </w:p>
        </w:tc>
        <w:tc>
          <w:tcPr>
            <w:tcW w:w="1276" w:type="dxa"/>
          </w:tcPr>
          <w:p w:rsidR="00FE1BC4" w:rsidRPr="00F03E8A" w:rsidRDefault="00FE1BC4" w:rsidP="002D69F6">
            <w:pPr>
              <w:jc w:val="left"/>
              <w:rPr>
                <w:rFonts w:cs="Arial"/>
                <w:sz w:val="16"/>
                <w:szCs w:val="16"/>
                <w:lang w:val="fr-CH"/>
              </w:rPr>
            </w:pPr>
            <w:r w:rsidRPr="00F03E8A">
              <w:rPr>
                <w:rFonts w:cs="Arial"/>
                <w:sz w:val="16"/>
                <w:szCs w:val="16"/>
                <w:lang w:val="fr-CH"/>
              </w:rPr>
              <w:t>23</w:t>
            </w:r>
            <w:r>
              <w:rPr>
                <w:rFonts w:cs="Arial"/>
                <w:sz w:val="16"/>
                <w:szCs w:val="16"/>
                <w:lang w:val="fr-CH"/>
              </w:rPr>
              <w:t xml:space="preserve"> </w:t>
            </w:r>
            <w:r w:rsidRPr="00F03E8A">
              <w:rPr>
                <w:rFonts w:cs="Arial"/>
                <w:sz w:val="16"/>
                <w:szCs w:val="16"/>
                <w:lang w:val="fr-CH"/>
              </w:rPr>
              <w:t>juillet – 20</w:t>
            </w:r>
            <w:r>
              <w:rPr>
                <w:rFonts w:cs="Arial"/>
                <w:sz w:val="16"/>
                <w:szCs w:val="16"/>
                <w:lang w:val="fr-CH"/>
              </w:rPr>
              <w:t> </w:t>
            </w:r>
            <w:r w:rsidRPr="00F03E8A">
              <w:rPr>
                <w:rFonts w:cs="Arial"/>
                <w:sz w:val="16"/>
                <w:szCs w:val="16"/>
                <w:lang w:val="fr-CH"/>
              </w:rPr>
              <w:t>septembre</w:t>
            </w:r>
            <w:r>
              <w:rPr>
                <w:rFonts w:cs="Arial"/>
                <w:sz w:val="16"/>
                <w:szCs w:val="16"/>
                <w:lang w:val="fr-CH"/>
              </w:rPr>
              <w:t xml:space="preserve"> </w:t>
            </w:r>
            <w:r w:rsidRPr="00F03E8A">
              <w:rPr>
                <w:rFonts w:cs="Arial"/>
                <w:sz w:val="16"/>
                <w:szCs w:val="16"/>
                <w:lang w:val="fr-CH"/>
              </w:rPr>
              <w:t>2018</w:t>
            </w:r>
          </w:p>
        </w:tc>
        <w:tc>
          <w:tcPr>
            <w:tcW w:w="851" w:type="dxa"/>
          </w:tcPr>
          <w:p w:rsidR="00FE1BC4" w:rsidRPr="00F03E8A" w:rsidRDefault="00FE1BC4" w:rsidP="002D69F6">
            <w:pPr>
              <w:jc w:val="left"/>
              <w:rPr>
                <w:rFonts w:cs="Arial"/>
                <w:sz w:val="16"/>
                <w:szCs w:val="16"/>
                <w:lang w:val="fr-CH"/>
              </w:rPr>
            </w:pPr>
            <w:r w:rsidRPr="00F03E8A">
              <w:rPr>
                <w:rFonts w:cs="Arial"/>
                <w:sz w:val="16"/>
                <w:szCs w:val="16"/>
                <w:lang w:val="fr-CH"/>
              </w:rPr>
              <w:t>Enseignement à distance</w:t>
            </w:r>
          </w:p>
        </w:tc>
        <w:tc>
          <w:tcPr>
            <w:tcW w:w="1134" w:type="dxa"/>
          </w:tcPr>
          <w:p w:rsidR="00FE1BC4" w:rsidRPr="00F03E8A" w:rsidRDefault="00FE1BC4" w:rsidP="002D69F6">
            <w:pPr>
              <w:jc w:val="left"/>
              <w:rPr>
                <w:rFonts w:cs="Arial"/>
                <w:sz w:val="16"/>
                <w:szCs w:val="16"/>
                <w:lang w:val="fr-CH"/>
              </w:rPr>
            </w:pPr>
            <w:r w:rsidRPr="00F03E8A">
              <w:rPr>
                <w:rFonts w:cs="Arial"/>
                <w:sz w:val="16"/>
                <w:szCs w:val="16"/>
                <w:lang w:val="fr-CH"/>
              </w:rPr>
              <w:t>INPI</w:t>
            </w:r>
          </w:p>
          <w:p w:rsidR="00FE1BC4" w:rsidRPr="00F03E8A" w:rsidRDefault="00FE1BC4" w:rsidP="002D69F6">
            <w:pPr>
              <w:jc w:val="left"/>
              <w:rPr>
                <w:rFonts w:cs="Arial"/>
                <w:sz w:val="16"/>
                <w:szCs w:val="16"/>
                <w:lang w:val="fr-CH"/>
              </w:rPr>
            </w:pPr>
            <w:r w:rsidRPr="00F03E8A">
              <w:rPr>
                <w:rFonts w:cs="Arial"/>
                <w:sz w:val="16"/>
                <w:szCs w:val="16"/>
                <w:lang w:val="fr-CH"/>
              </w:rPr>
              <w:t>OMPI</w:t>
            </w:r>
          </w:p>
        </w:tc>
        <w:tc>
          <w:tcPr>
            <w:tcW w:w="1786"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Cours général sur la propriété intellectuelle avec un chapitre sur la protection des obtentions végétales </w:t>
            </w:r>
          </w:p>
        </w:tc>
        <w:tc>
          <w:tcPr>
            <w:tcW w:w="2183" w:type="dxa"/>
          </w:tcPr>
          <w:p w:rsidR="00FE1BC4" w:rsidRPr="00F03E8A" w:rsidRDefault="00FE1BC4" w:rsidP="002D69F6">
            <w:pPr>
              <w:jc w:val="left"/>
              <w:rPr>
                <w:rFonts w:cs="Arial"/>
                <w:sz w:val="16"/>
                <w:szCs w:val="16"/>
                <w:lang w:val="fr-CH"/>
              </w:rPr>
            </w:pPr>
            <w:r w:rsidRPr="00F03E8A">
              <w:rPr>
                <w:rFonts w:cs="Arial"/>
                <w:sz w:val="16"/>
                <w:szCs w:val="16"/>
                <w:lang w:val="fr-CH"/>
              </w:rPr>
              <w:t>Environ 2000 participants (brésiliens) de domaines divers (étudiants, avocats, mandataires, fonctionnaires, scientifiques, etc.)</w:t>
            </w:r>
          </w:p>
        </w:tc>
        <w:tc>
          <w:tcPr>
            <w:tcW w:w="1730"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Les examinateurs du SNPC ont joué le rôle de formateur au cours des débats sur la protection des obtentions végétales </w:t>
            </w:r>
          </w:p>
        </w:tc>
      </w:tr>
      <w:tr w:rsidR="00FE1BC4" w:rsidRPr="00F03E8A" w:rsidTr="000A6155">
        <w:tc>
          <w:tcPr>
            <w:tcW w:w="1129" w:type="dxa"/>
          </w:tcPr>
          <w:p w:rsidR="00FE1BC4" w:rsidRPr="00F03E8A" w:rsidRDefault="00FE1BC4" w:rsidP="002D69F6">
            <w:pPr>
              <w:tabs>
                <w:tab w:val="left" w:pos="169"/>
              </w:tabs>
              <w:jc w:val="left"/>
              <w:rPr>
                <w:rFonts w:cs="Arial"/>
                <w:sz w:val="16"/>
                <w:szCs w:val="16"/>
                <w:lang w:val="fr-CH"/>
              </w:rPr>
            </w:pPr>
            <w:r w:rsidRPr="00F03E8A">
              <w:rPr>
                <w:rFonts w:cs="Arial"/>
                <w:sz w:val="16"/>
                <w:szCs w:val="16"/>
                <w:lang w:val="fr-CH"/>
              </w:rPr>
              <w:t>4.</w:t>
            </w:r>
            <w:r>
              <w:rPr>
                <w:rFonts w:cs="Arial"/>
                <w:sz w:val="16"/>
                <w:szCs w:val="16"/>
                <w:lang w:val="fr-CH"/>
              </w:rPr>
              <w:tab/>
            </w:r>
            <w:r w:rsidRPr="00F03E8A">
              <w:rPr>
                <w:rFonts w:cs="Arial"/>
                <w:sz w:val="16"/>
                <w:szCs w:val="16"/>
                <w:lang w:val="fr-CH"/>
              </w:rPr>
              <w:t>Formation au nouveau système de demande de droit d’obtenteur (CultivarWeb)</w:t>
            </w:r>
          </w:p>
        </w:tc>
        <w:tc>
          <w:tcPr>
            <w:tcW w:w="1276" w:type="dxa"/>
          </w:tcPr>
          <w:p w:rsidR="00FE1BC4" w:rsidRPr="00F03E8A" w:rsidRDefault="00FE1BC4" w:rsidP="002D69F6">
            <w:pPr>
              <w:jc w:val="left"/>
              <w:rPr>
                <w:rFonts w:cs="Arial"/>
                <w:sz w:val="16"/>
                <w:szCs w:val="16"/>
              </w:rPr>
            </w:pPr>
            <w:r w:rsidRPr="00F03E8A">
              <w:rPr>
                <w:rFonts w:cs="Arial"/>
                <w:sz w:val="16"/>
                <w:szCs w:val="16"/>
              </w:rPr>
              <w:t>5</w:t>
            </w:r>
            <w:r>
              <w:rPr>
                <w:rFonts w:cs="Arial"/>
                <w:sz w:val="16"/>
                <w:szCs w:val="16"/>
              </w:rPr>
              <w:t xml:space="preserve"> </w:t>
            </w:r>
            <w:r w:rsidRPr="00F03E8A">
              <w:rPr>
                <w:rFonts w:cs="Arial"/>
                <w:sz w:val="16"/>
                <w:szCs w:val="16"/>
              </w:rPr>
              <w:t>septembre</w:t>
            </w:r>
            <w:r>
              <w:rPr>
                <w:rFonts w:cs="Arial"/>
                <w:sz w:val="16"/>
                <w:szCs w:val="16"/>
              </w:rPr>
              <w:t xml:space="preserve"> </w:t>
            </w:r>
            <w:r w:rsidRPr="00F03E8A">
              <w:rPr>
                <w:rFonts w:cs="Arial"/>
                <w:sz w:val="16"/>
                <w:szCs w:val="16"/>
              </w:rPr>
              <w:t>2018</w:t>
            </w:r>
          </w:p>
        </w:tc>
        <w:tc>
          <w:tcPr>
            <w:tcW w:w="851" w:type="dxa"/>
          </w:tcPr>
          <w:p w:rsidR="00FE1BC4" w:rsidRPr="00F03E8A" w:rsidRDefault="00FE1BC4" w:rsidP="002D69F6">
            <w:pPr>
              <w:jc w:val="left"/>
              <w:rPr>
                <w:rFonts w:cs="Arial"/>
                <w:sz w:val="16"/>
                <w:szCs w:val="16"/>
              </w:rPr>
            </w:pPr>
            <w:r w:rsidRPr="00F03E8A">
              <w:rPr>
                <w:rFonts w:cs="Arial"/>
                <w:sz w:val="16"/>
                <w:szCs w:val="16"/>
              </w:rPr>
              <w:t>Brasilia (Brésil)</w:t>
            </w:r>
          </w:p>
        </w:tc>
        <w:tc>
          <w:tcPr>
            <w:tcW w:w="1134" w:type="dxa"/>
          </w:tcPr>
          <w:p w:rsidR="00FE1BC4" w:rsidRPr="00F03E8A" w:rsidRDefault="00FE1BC4" w:rsidP="002D69F6">
            <w:pPr>
              <w:jc w:val="left"/>
              <w:rPr>
                <w:rFonts w:cs="Arial"/>
                <w:sz w:val="16"/>
                <w:szCs w:val="16"/>
              </w:rPr>
            </w:pPr>
            <w:r w:rsidRPr="00F03E8A">
              <w:rPr>
                <w:rFonts w:cs="Arial"/>
                <w:sz w:val="16"/>
                <w:szCs w:val="16"/>
              </w:rPr>
              <w:t>SNPC</w:t>
            </w:r>
          </w:p>
        </w:tc>
        <w:tc>
          <w:tcPr>
            <w:tcW w:w="1786" w:type="dxa"/>
          </w:tcPr>
          <w:p w:rsidR="00FE1BC4" w:rsidRPr="00F03E8A" w:rsidRDefault="00FE1BC4" w:rsidP="002D69F6">
            <w:pPr>
              <w:jc w:val="left"/>
              <w:rPr>
                <w:rFonts w:cs="Arial"/>
                <w:sz w:val="16"/>
                <w:szCs w:val="16"/>
                <w:lang w:val="fr-CH"/>
              </w:rPr>
            </w:pPr>
            <w:r w:rsidRPr="00F03E8A">
              <w:rPr>
                <w:rFonts w:cs="Arial"/>
                <w:sz w:val="16"/>
                <w:szCs w:val="16"/>
                <w:lang w:val="fr-CH"/>
              </w:rPr>
              <w:t>Formation des mandataires avec de nouvelles demandes déposées par l’intermédiaire de la nouvelle version de la plateforme du système de demande.</w:t>
            </w:r>
          </w:p>
        </w:tc>
        <w:tc>
          <w:tcPr>
            <w:tcW w:w="2183" w:type="dxa"/>
          </w:tcPr>
          <w:p w:rsidR="00FE1BC4" w:rsidRPr="00F03E8A" w:rsidRDefault="00FE1BC4" w:rsidP="002D69F6">
            <w:pPr>
              <w:jc w:val="left"/>
              <w:rPr>
                <w:rFonts w:cs="Arial"/>
                <w:sz w:val="16"/>
                <w:szCs w:val="16"/>
              </w:rPr>
            </w:pPr>
            <w:r w:rsidRPr="00F03E8A">
              <w:rPr>
                <w:rFonts w:cs="Arial"/>
                <w:sz w:val="16"/>
                <w:szCs w:val="16"/>
              </w:rPr>
              <w:t>Environ 20 mandataires.</w:t>
            </w:r>
          </w:p>
        </w:tc>
        <w:tc>
          <w:tcPr>
            <w:tcW w:w="1730" w:type="dxa"/>
          </w:tcPr>
          <w:p w:rsidR="00FE1BC4" w:rsidRPr="00F03E8A" w:rsidRDefault="00FE1BC4" w:rsidP="002D69F6">
            <w:pPr>
              <w:jc w:val="left"/>
              <w:rPr>
                <w:rFonts w:cs="Arial"/>
                <w:sz w:val="16"/>
                <w:szCs w:val="16"/>
              </w:rPr>
            </w:pPr>
          </w:p>
        </w:tc>
      </w:tr>
      <w:tr w:rsidR="00FE1BC4" w:rsidRPr="00F03E8A" w:rsidTr="000A6155">
        <w:tc>
          <w:tcPr>
            <w:tcW w:w="1129" w:type="dxa"/>
          </w:tcPr>
          <w:p w:rsidR="00FE1BC4" w:rsidRPr="00F03E8A" w:rsidRDefault="00FE1BC4" w:rsidP="002D69F6">
            <w:pPr>
              <w:tabs>
                <w:tab w:val="left" w:pos="169"/>
              </w:tabs>
              <w:jc w:val="left"/>
              <w:rPr>
                <w:rFonts w:cs="Arial"/>
                <w:sz w:val="16"/>
                <w:szCs w:val="16"/>
                <w:lang w:val="fr-CH"/>
              </w:rPr>
            </w:pPr>
            <w:r w:rsidRPr="00F03E8A">
              <w:rPr>
                <w:rFonts w:cs="Arial"/>
                <w:sz w:val="16"/>
                <w:szCs w:val="16"/>
                <w:lang w:val="fr-CH"/>
              </w:rPr>
              <w:t>5.</w:t>
            </w:r>
            <w:r>
              <w:rPr>
                <w:rFonts w:cs="Arial"/>
                <w:sz w:val="16"/>
                <w:szCs w:val="16"/>
                <w:lang w:val="fr-CH"/>
              </w:rPr>
              <w:tab/>
            </w:r>
            <w:r w:rsidRPr="00F03E8A">
              <w:rPr>
                <w:rFonts w:cs="Arial"/>
                <w:sz w:val="16"/>
                <w:szCs w:val="16"/>
                <w:lang w:val="fr-CH"/>
              </w:rPr>
              <w:t>Cours général sur la propriété intellectuelle</w:t>
            </w:r>
          </w:p>
        </w:tc>
        <w:tc>
          <w:tcPr>
            <w:tcW w:w="1276" w:type="dxa"/>
          </w:tcPr>
          <w:p w:rsidR="00FE1BC4" w:rsidRPr="00F03E8A" w:rsidRDefault="00FE1BC4" w:rsidP="002D69F6">
            <w:pPr>
              <w:jc w:val="left"/>
              <w:rPr>
                <w:rFonts w:cs="Arial"/>
                <w:sz w:val="16"/>
                <w:szCs w:val="16"/>
                <w:lang w:val="fr-CH"/>
              </w:rPr>
            </w:pPr>
            <w:r w:rsidRPr="00F03E8A">
              <w:rPr>
                <w:rFonts w:cs="Arial"/>
                <w:sz w:val="16"/>
                <w:szCs w:val="16"/>
                <w:lang w:val="fr-CH"/>
              </w:rPr>
              <w:t>22</w:t>
            </w:r>
            <w:r>
              <w:rPr>
                <w:rFonts w:cs="Arial"/>
                <w:sz w:val="16"/>
                <w:szCs w:val="16"/>
                <w:lang w:val="fr-CH"/>
              </w:rPr>
              <w:t xml:space="preserve"> </w:t>
            </w:r>
            <w:r w:rsidRPr="00F03E8A">
              <w:rPr>
                <w:rFonts w:cs="Arial"/>
                <w:sz w:val="16"/>
                <w:szCs w:val="16"/>
                <w:lang w:val="fr-CH"/>
              </w:rPr>
              <w:t>octobre – 6</w:t>
            </w:r>
            <w:r>
              <w:rPr>
                <w:rFonts w:cs="Arial"/>
                <w:sz w:val="16"/>
                <w:szCs w:val="16"/>
                <w:lang w:val="fr-CH"/>
              </w:rPr>
              <w:t xml:space="preserve"> </w:t>
            </w:r>
            <w:r w:rsidRPr="00F03E8A">
              <w:rPr>
                <w:rFonts w:cs="Arial"/>
                <w:sz w:val="16"/>
                <w:szCs w:val="16"/>
                <w:lang w:val="fr-CH"/>
              </w:rPr>
              <w:t>décembre</w:t>
            </w:r>
            <w:r>
              <w:rPr>
                <w:rFonts w:cs="Arial"/>
                <w:sz w:val="16"/>
                <w:szCs w:val="16"/>
                <w:lang w:val="fr-CH"/>
              </w:rPr>
              <w:t xml:space="preserve"> </w:t>
            </w:r>
            <w:r w:rsidRPr="00F03E8A">
              <w:rPr>
                <w:rFonts w:cs="Arial"/>
                <w:sz w:val="16"/>
                <w:szCs w:val="16"/>
                <w:lang w:val="fr-CH"/>
              </w:rPr>
              <w:t>2018 (en cours)</w:t>
            </w:r>
          </w:p>
        </w:tc>
        <w:tc>
          <w:tcPr>
            <w:tcW w:w="851" w:type="dxa"/>
          </w:tcPr>
          <w:p w:rsidR="00FE1BC4" w:rsidRPr="00F03E8A" w:rsidRDefault="00FE1BC4" w:rsidP="002D69F6">
            <w:pPr>
              <w:jc w:val="left"/>
              <w:rPr>
                <w:rFonts w:cs="Arial"/>
                <w:sz w:val="16"/>
                <w:szCs w:val="16"/>
                <w:lang w:val="fr-CH"/>
              </w:rPr>
            </w:pPr>
            <w:r w:rsidRPr="00F03E8A">
              <w:rPr>
                <w:rFonts w:cs="Arial"/>
                <w:sz w:val="16"/>
                <w:szCs w:val="16"/>
                <w:lang w:val="fr-CH"/>
              </w:rPr>
              <w:t>Enseignement à distance</w:t>
            </w:r>
          </w:p>
        </w:tc>
        <w:tc>
          <w:tcPr>
            <w:tcW w:w="1134" w:type="dxa"/>
          </w:tcPr>
          <w:p w:rsidR="00FE1BC4" w:rsidRPr="00F03E8A" w:rsidRDefault="00FE1BC4" w:rsidP="002D69F6">
            <w:pPr>
              <w:jc w:val="left"/>
              <w:rPr>
                <w:rFonts w:cs="Arial"/>
                <w:sz w:val="16"/>
                <w:szCs w:val="16"/>
                <w:lang w:val="fr-CH"/>
              </w:rPr>
            </w:pPr>
            <w:r w:rsidRPr="00F03E8A">
              <w:rPr>
                <w:rFonts w:cs="Arial"/>
                <w:sz w:val="16"/>
                <w:szCs w:val="16"/>
                <w:lang w:val="fr-CH"/>
              </w:rPr>
              <w:t>INPI</w:t>
            </w:r>
          </w:p>
          <w:p w:rsidR="00FE1BC4" w:rsidRPr="00F03E8A" w:rsidRDefault="00FE1BC4" w:rsidP="002D69F6">
            <w:pPr>
              <w:jc w:val="left"/>
              <w:rPr>
                <w:rFonts w:cs="Arial"/>
                <w:sz w:val="16"/>
                <w:szCs w:val="16"/>
                <w:lang w:val="fr-CH"/>
              </w:rPr>
            </w:pPr>
            <w:r w:rsidRPr="00F03E8A">
              <w:rPr>
                <w:rFonts w:cs="Arial"/>
                <w:sz w:val="16"/>
                <w:szCs w:val="16"/>
                <w:lang w:val="fr-CH"/>
              </w:rPr>
              <w:t>OMPI</w:t>
            </w:r>
          </w:p>
        </w:tc>
        <w:tc>
          <w:tcPr>
            <w:tcW w:w="1786"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Cours général sur la propriété intellectuelle avec un chapitre sur la protection des obtentions végétales </w:t>
            </w:r>
          </w:p>
        </w:tc>
        <w:tc>
          <w:tcPr>
            <w:tcW w:w="2183" w:type="dxa"/>
          </w:tcPr>
          <w:p w:rsidR="00FE1BC4" w:rsidRPr="00F03E8A" w:rsidRDefault="00FE1BC4" w:rsidP="002D69F6">
            <w:pPr>
              <w:jc w:val="left"/>
              <w:rPr>
                <w:rFonts w:cs="Arial"/>
                <w:sz w:val="16"/>
                <w:szCs w:val="16"/>
                <w:lang w:val="fr-CH"/>
              </w:rPr>
            </w:pPr>
            <w:r w:rsidRPr="00F03E8A">
              <w:rPr>
                <w:rFonts w:cs="Arial"/>
                <w:sz w:val="16"/>
                <w:szCs w:val="16"/>
                <w:lang w:val="fr-CH"/>
              </w:rPr>
              <w:t>Environ 2000 participants (brésiliens) de domaines divers (étudiants, avocats, mandataires, fonctionnaires, scientifiques, etc.)</w:t>
            </w:r>
          </w:p>
        </w:tc>
        <w:tc>
          <w:tcPr>
            <w:tcW w:w="1730" w:type="dxa"/>
          </w:tcPr>
          <w:p w:rsidR="00FE1BC4" w:rsidRPr="00F03E8A" w:rsidRDefault="00FE1BC4" w:rsidP="002D69F6">
            <w:pPr>
              <w:jc w:val="left"/>
              <w:rPr>
                <w:rFonts w:cs="Arial"/>
                <w:sz w:val="16"/>
                <w:szCs w:val="16"/>
                <w:lang w:val="fr-CH"/>
              </w:rPr>
            </w:pPr>
            <w:r w:rsidRPr="00F03E8A">
              <w:rPr>
                <w:rFonts w:cs="Arial"/>
                <w:sz w:val="16"/>
                <w:szCs w:val="16"/>
                <w:lang w:val="fr-CH"/>
              </w:rPr>
              <w:t xml:space="preserve">Les examinateurs du SNPC ont joué le rôle de formateur au cours des débats sur la protection des obtentions végétales </w:t>
            </w:r>
          </w:p>
        </w:tc>
      </w:tr>
      <w:bookmarkEnd w:id="2"/>
    </w:tbl>
    <w:p w:rsidR="00FE1BC4" w:rsidRPr="00F03E8A" w:rsidRDefault="00FE1BC4" w:rsidP="00FE1BC4">
      <w:pPr>
        <w:rPr>
          <w:rFonts w:cs="Arial"/>
          <w:lang w:val="fr-CH"/>
        </w:rPr>
      </w:pPr>
    </w:p>
    <w:p w:rsidR="00FE1BC4" w:rsidRPr="00F03E8A" w:rsidRDefault="00FE1BC4" w:rsidP="00FE1BC4">
      <w:pPr>
        <w:rPr>
          <w:rFonts w:cs="Arial"/>
          <w:lang w:val="fr-CH"/>
        </w:rPr>
      </w:pPr>
    </w:p>
    <w:p w:rsidR="00FE1BC4" w:rsidRPr="00F03E8A" w:rsidRDefault="00FE1BC4" w:rsidP="00FE1BC4">
      <w:pPr>
        <w:rPr>
          <w:rFonts w:cs="Arial"/>
          <w:lang w:val="fr-CH"/>
        </w:rPr>
      </w:pPr>
      <w:r w:rsidRPr="00F03E8A">
        <w:rPr>
          <w:rFonts w:cs="Arial"/>
          <w:lang w:val="fr-CH"/>
        </w:rPr>
        <w:t>II.</w:t>
      </w:r>
      <w:r w:rsidRPr="00F03E8A">
        <w:rPr>
          <w:rFonts w:cs="Arial"/>
          <w:lang w:val="fr-CH"/>
        </w:rPr>
        <w:tab/>
        <w:t>AUTRES ÉLÉMENTS NOUVEAUX PRÉSENTANT UN INTÉRÊT POUR L’UPOV</w:t>
      </w:r>
    </w:p>
    <w:p w:rsidR="00FE1BC4" w:rsidRPr="00F03E8A" w:rsidRDefault="00FE1BC4" w:rsidP="00FE1BC4">
      <w:pPr>
        <w:rPr>
          <w:rFonts w:cs="Arial"/>
          <w:lang w:val="fr-CH"/>
        </w:rPr>
      </w:pPr>
    </w:p>
    <w:p w:rsidR="00FE1BC4" w:rsidRPr="00F03E8A" w:rsidRDefault="00FE1BC4" w:rsidP="00FE1BC4">
      <w:pPr>
        <w:jc w:val="left"/>
        <w:rPr>
          <w:rFonts w:cs="Arial"/>
          <w:lang w:val="fr-CH"/>
        </w:rPr>
      </w:pPr>
      <w:r w:rsidRPr="00F03E8A">
        <w:rPr>
          <w:rFonts w:cs="Arial"/>
          <w:lang w:val="fr-CH"/>
        </w:rPr>
        <w:t>Aucun élément nouveau.</w:t>
      </w:r>
    </w:p>
    <w:p w:rsidR="00FE1BC4" w:rsidRPr="00F03E8A" w:rsidRDefault="00FE1BC4" w:rsidP="00FE1BC4">
      <w:pPr>
        <w:rPr>
          <w:rFonts w:cs="Arial"/>
          <w:lang w:val="fr-CH"/>
        </w:rPr>
      </w:pPr>
    </w:p>
    <w:p w:rsidR="003D0373" w:rsidRDefault="003D0373" w:rsidP="003D0373">
      <w:pPr>
        <w:jc w:val="left"/>
      </w:pPr>
    </w:p>
    <w:p w:rsidR="003D0373" w:rsidRDefault="003D0373" w:rsidP="003D0373">
      <w:pPr>
        <w:jc w:val="left"/>
      </w:pPr>
    </w:p>
    <w:p w:rsidR="003D0373" w:rsidRDefault="003D0373" w:rsidP="003D0373">
      <w:pPr>
        <w:jc w:val="right"/>
      </w:pPr>
      <w:r>
        <w:t>[L’annexe III suit]</w:t>
      </w:r>
    </w:p>
    <w:p w:rsidR="003D0373" w:rsidRDefault="003D0373" w:rsidP="003D0373">
      <w:pPr>
        <w:jc w:val="left"/>
      </w:pPr>
    </w:p>
    <w:p w:rsidR="003D0373" w:rsidRDefault="003D0373" w:rsidP="003D0373">
      <w:pPr>
        <w:jc w:val="left"/>
        <w:sectPr w:rsidR="003D0373" w:rsidSect="00AE79F5">
          <w:headerReference w:type="default" r:id="rId11"/>
          <w:pgSz w:w="11907" w:h="16840" w:code="9"/>
          <w:pgMar w:top="510" w:right="1134" w:bottom="1134" w:left="1134" w:header="510" w:footer="680" w:gutter="0"/>
          <w:pgNumType w:start="1"/>
          <w:cols w:space="720"/>
          <w:titlePg/>
        </w:sectPr>
      </w:pPr>
    </w:p>
    <w:p w:rsidR="003D0373" w:rsidRPr="0075031D" w:rsidRDefault="00D15BB0" w:rsidP="003D0373">
      <w:pPr>
        <w:jc w:val="center"/>
      </w:pPr>
      <w:r>
        <w:lastRenderedPageBreak/>
        <w:t>C/52/15 Add.</w:t>
      </w:r>
    </w:p>
    <w:p w:rsidR="003D0373" w:rsidRPr="0075031D" w:rsidRDefault="003D0373" w:rsidP="003D0373">
      <w:pPr>
        <w:jc w:val="center"/>
      </w:pPr>
    </w:p>
    <w:p w:rsidR="003D0373" w:rsidRPr="0075031D" w:rsidRDefault="003D0373" w:rsidP="003D0373">
      <w:pPr>
        <w:jc w:val="center"/>
      </w:pPr>
      <w:r>
        <w:t>ANNEXE</w:t>
      </w:r>
      <w:r w:rsidRPr="0075031D">
        <w:t xml:space="preserve"> I</w:t>
      </w:r>
      <w:r>
        <w:t>II</w:t>
      </w:r>
    </w:p>
    <w:p w:rsidR="003D0373" w:rsidRPr="0075031D" w:rsidRDefault="003D0373" w:rsidP="003D0373">
      <w:pPr>
        <w:jc w:val="center"/>
      </w:pPr>
    </w:p>
    <w:p w:rsidR="003D0373" w:rsidRDefault="003D0373" w:rsidP="003D0373">
      <w:pPr>
        <w:jc w:val="center"/>
      </w:pPr>
    </w:p>
    <w:p w:rsidR="00565E44" w:rsidRPr="001C0BBC" w:rsidRDefault="00565E44" w:rsidP="00565E44">
      <w:pPr>
        <w:jc w:val="center"/>
        <w:rPr>
          <w:szCs w:val="24"/>
          <w:lang w:val="fr-CH"/>
        </w:rPr>
      </w:pPr>
      <w:r w:rsidRPr="001C0BBC">
        <w:rPr>
          <w:szCs w:val="24"/>
          <w:lang w:val="fr-CH"/>
        </w:rPr>
        <w:t>COLOMBIE</w:t>
      </w:r>
    </w:p>
    <w:p w:rsidR="00565E44" w:rsidRPr="001C0BBC" w:rsidRDefault="00565E44" w:rsidP="00565E44">
      <w:pPr>
        <w:jc w:val="center"/>
        <w:rPr>
          <w:lang w:val="fr-CH"/>
        </w:rPr>
      </w:pPr>
      <w:r w:rsidRPr="001C0BBC">
        <w:rPr>
          <w:lang w:val="fr-CH"/>
        </w:rPr>
        <w:t>PÉRIODE : OCTOBRE 2017 – SEPTEMBRE 2018</w:t>
      </w:r>
    </w:p>
    <w:p w:rsidR="00565E44" w:rsidRPr="001C0BBC" w:rsidRDefault="00565E44" w:rsidP="00565E44">
      <w:pPr>
        <w:rPr>
          <w:lang w:val="fr-CH"/>
        </w:rPr>
      </w:pPr>
    </w:p>
    <w:p w:rsidR="00565E44" w:rsidRPr="001C0BBC" w:rsidRDefault="00565E44" w:rsidP="00565E44">
      <w:pPr>
        <w:rPr>
          <w:rFonts w:cs="Arial"/>
          <w:u w:val="single"/>
          <w:lang w:val="fr-CH"/>
        </w:rPr>
      </w:pPr>
    </w:p>
    <w:p w:rsidR="00565E44" w:rsidRPr="001C0BBC" w:rsidRDefault="00565E44" w:rsidP="00565E44">
      <w:pPr>
        <w:rPr>
          <w:u w:val="single"/>
          <w:lang w:val="fr-CH"/>
        </w:rPr>
      </w:pPr>
      <w:r w:rsidRPr="001C0BBC">
        <w:rPr>
          <w:u w:val="single"/>
          <w:lang w:val="fr-CH"/>
        </w:rPr>
        <w:t>Situation dans le domaine législatif</w:t>
      </w:r>
    </w:p>
    <w:p w:rsidR="00565E44" w:rsidRPr="001C0BBC" w:rsidRDefault="00565E44" w:rsidP="00565E44">
      <w:pPr>
        <w:rPr>
          <w:lang w:val="fr-CH"/>
        </w:rPr>
      </w:pPr>
    </w:p>
    <w:p w:rsidR="00565E44" w:rsidRPr="001C0BBC" w:rsidRDefault="00565E44" w:rsidP="00565E44">
      <w:pPr>
        <w:rPr>
          <w:lang w:val="fr-CH"/>
        </w:rPr>
      </w:pPr>
      <w:r w:rsidRPr="001C0BBC">
        <w:rPr>
          <w:lang w:val="fr-CH"/>
        </w:rPr>
        <w:t>Durant la période examinée, notre législation en matière de droit d’obtenteur n’a subi aucune modification.  Actuellement, la Colombie continue d’appliquer la législation en vigueur pour protéger les droits des obtenteurs de variétés végétales, fondés sur la décision n° 345 de 1993.</w:t>
      </w:r>
    </w:p>
    <w:p w:rsidR="00565E44" w:rsidRPr="001C0BBC" w:rsidRDefault="00565E44" w:rsidP="00565E44">
      <w:pPr>
        <w:rPr>
          <w:lang w:val="fr-CH"/>
        </w:rPr>
      </w:pPr>
    </w:p>
    <w:p w:rsidR="00565E44" w:rsidRPr="001C0BBC" w:rsidRDefault="00565E44" w:rsidP="00565E44">
      <w:pPr>
        <w:rPr>
          <w:lang w:val="fr-CH"/>
        </w:rPr>
      </w:pPr>
      <w:r w:rsidRPr="001C0BBC">
        <w:rPr>
          <w:lang w:val="fr-CH"/>
        </w:rPr>
        <w:t>La législation colombienne comprend également la résolution ICA n° 1893 de 1995, la loi n° 243 de 1995 portant approbation de la Convention internationale pour la protection des obtentions végétales (UPOV) du 2 décembre 1961, révisée à Genève le 10 novembre 1972 et le 23 octobre 1978, le décret n° 2687 de 2002 modifiant l’article 7 du décret n° 533 de 1994, aujourd’hui compilé dans le décret n° 1071 du 26 mai 2015, la loi n° 1032 de 2006 portant modification du Code pénal et la loi n° 1564 de 2012 sur les facultés juridictionnelles attribuées à l’Instituto Colombiano Agropecuario (ICA) en cas d’atteinte au droit d’obtenteur.</w:t>
      </w:r>
    </w:p>
    <w:p w:rsidR="00565E44" w:rsidRPr="001C0BBC" w:rsidRDefault="00565E44" w:rsidP="00565E44">
      <w:pPr>
        <w:rPr>
          <w:lang w:val="fr-CH"/>
        </w:rPr>
      </w:pPr>
    </w:p>
    <w:p w:rsidR="00565E44" w:rsidRPr="001C0BBC" w:rsidRDefault="00565E44" w:rsidP="00565E44">
      <w:pPr>
        <w:rPr>
          <w:lang w:val="fr-CH"/>
        </w:rPr>
      </w:pPr>
      <w:r w:rsidRPr="001C0BBC">
        <w:rPr>
          <w:lang w:val="fr-CH"/>
        </w:rPr>
        <w:t>En Colombie, le droit d’obtenteur s’applique aux variétés de tous les genres et espèces botaniques pour autant que leur culture, possession ou utilisation ne soit pas interdite pour des raisons de protection de la santé humaine, animale ou végétale.  En ce qui concerne les dispositions applicables, il convient de souligner que la Colombie est liée par la Convention UPOV (Acte de 1978) et que son adhésion à l’Acte de 1991 ne modifierait guère son régime de protection des variétés végétales, car dans la pratique, l’intégration des dispositions susmentionnées montre que la Colombie applique les règles figurant dans l’Acte de 1991 puisque le régime juridique qui s’applique est conforme à l’Acte de 1991 de la Convention UPOV.</w:t>
      </w:r>
    </w:p>
    <w:p w:rsidR="00565E44" w:rsidRPr="001C0BBC" w:rsidRDefault="00565E44" w:rsidP="00565E44">
      <w:pPr>
        <w:rPr>
          <w:lang w:val="fr-CH"/>
        </w:rPr>
      </w:pPr>
    </w:p>
    <w:p w:rsidR="00565E44" w:rsidRPr="001C0BBC" w:rsidRDefault="00565E44" w:rsidP="00565E44">
      <w:pPr>
        <w:rPr>
          <w:lang w:val="fr-CH"/>
        </w:rPr>
      </w:pPr>
    </w:p>
    <w:p w:rsidR="00565E44" w:rsidRPr="001C0BBC" w:rsidRDefault="00565E44" w:rsidP="00565E44">
      <w:pPr>
        <w:rPr>
          <w:u w:val="single"/>
          <w:lang w:val="fr-CH"/>
        </w:rPr>
      </w:pPr>
      <w:r w:rsidRPr="001C0BBC">
        <w:rPr>
          <w:u w:val="single"/>
          <w:lang w:val="fr-CH"/>
        </w:rPr>
        <w:t>Situation dans les domaines administratif et technique</w:t>
      </w:r>
    </w:p>
    <w:p w:rsidR="00565E44" w:rsidRPr="001C0BBC" w:rsidRDefault="00565E44" w:rsidP="00565E44">
      <w:pPr>
        <w:rPr>
          <w:lang w:val="fr-CH"/>
        </w:rPr>
      </w:pPr>
    </w:p>
    <w:p w:rsidR="00565E44" w:rsidRPr="001C0BBC" w:rsidRDefault="00565E44" w:rsidP="00565E44">
      <w:pPr>
        <w:rPr>
          <w:lang w:val="fr-CH"/>
        </w:rPr>
      </w:pPr>
      <w:r w:rsidRPr="001C0BBC">
        <w:rPr>
          <w:lang w:val="fr-CH"/>
        </w:rPr>
        <w:t>Comme le montre le graphique n° 1, durant la période comprise entre octobre 2017 et septembre 2018, 138 demandes de différents pays ont été reçues, examinées et traitées.  Les variétés qui ont fait l’objet d’une demande sont le rosier, le chrysanthème, l’airelle, l’œillet, l’alstrœmère et le riz.  Treize examens de la distinction, de l’homogénéité et de la stabilité (DHS) ont été effectués sur le café et le palmier à huile.  Quatre</w:t>
      </w:r>
      <w:r>
        <w:rPr>
          <w:lang w:val="fr-CH"/>
        </w:rPr>
        <w:noBreakHyphen/>
      </w:r>
      <w:r w:rsidRPr="001C0BBC">
        <w:rPr>
          <w:lang w:val="fr-CH"/>
        </w:rPr>
        <w:t>vingt</w:t>
      </w:r>
      <w:r>
        <w:rPr>
          <w:lang w:val="fr-CH"/>
        </w:rPr>
        <w:noBreakHyphen/>
      </w:r>
      <w:r w:rsidRPr="001C0BBC">
        <w:rPr>
          <w:lang w:val="fr-CH"/>
        </w:rPr>
        <w:t>dix</w:t>
      </w:r>
      <w:r>
        <w:rPr>
          <w:lang w:val="fr-CH"/>
        </w:rPr>
        <w:noBreakHyphen/>
      </w:r>
      <w:r w:rsidRPr="001C0BBC">
        <w:rPr>
          <w:lang w:val="fr-CH"/>
        </w:rPr>
        <w:t>sept certificats d’obtenteur ont été délivrés pour différentes nationalités, comme le montre le graphique n° 2.</w:t>
      </w:r>
    </w:p>
    <w:p w:rsidR="00565E44" w:rsidRPr="001C0BBC" w:rsidRDefault="00565E44" w:rsidP="00565E44">
      <w:pPr>
        <w:rPr>
          <w:lang w:val="fr-CH"/>
        </w:rPr>
      </w:pPr>
    </w:p>
    <w:p w:rsidR="00565E44" w:rsidRPr="001C0BBC" w:rsidRDefault="00565E44" w:rsidP="00565E44">
      <w:pPr>
        <w:rPr>
          <w:lang w:val="fr-CH"/>
        </w:rPr>
      </w:pPr>
      <w:r w:rsidRPr="001C0BBC">
        <w:rPr>
          <w:lang w:val="fr-CH"/>
        </w:rPr>
        <w:t>L’ICA a agi en tant qu’autorité nationale compétente en matière de droits d’obtenteurs et en qualité d’expert technique désigné pour l’identification de variétés végétales protégées dans le cadre de diverses procédures judiciaires pour atteinte au droit d’obtenteur.  Le rôle de l’institut en tant qu’expert technique et expert en procédures judiciaires s’est ainsi développé.  En cette dernière qualité, l’institut a permis d’éclaircir divers concepts et a pu apporter son expertise en matière d’atteinte au droit d’obtenteur.  Le volume n° 20 du Bulletin des variétés végétales protégées a été élaboré et publié.</w:t>
      </w:r>
    </w:p>
    <w:p w:rsidR="00565E44" w:rsidRPr="001C0BBC" w:rsidRDefault="00565E44" w:rsidP="00565E44">
      <w:pPr>
        <w:rPr>
          <w:lang w:val="fr-CH"/>
        </w:rPr>
      </w:pPr>
    </w:p>
    <w:p w:rsidR="00565E44" w:rsidRPr="001C0BBC" w:rsidRDefault="00565E44" w:rsidP="00565E44">
      <w:pPr>
        <w:jc w:val="left"/>
        <w:rPr>
          <w:rFonts w:cs="Arial"/>
          <w:sz w:val="18"/>
          <w:szCs w:val="18"/>
          <w:lang w:val="fr-CH"/>
        </w:rPr>
      </w:pPr>
      <w:r w:rsidRPr="001C0BBC">
        <w:rPr>
          <w:rFonts w:cs="Arial"/>
          <w:sz w:val="18"/>
          <w:szCs w:val="18"/>
          <w:lang w:val="fr-CH"/>
        </w:rPr>
        <w:br w:type="page"/>
      </w:r>
    </w:p>
    <w:p w:rsidR="00565E44" w:rsidRPr="001C0BBC" w:rsidRDefault="00565E44" w:rsidP="00565E44">
      <w:pPr>
        <w:rPr>
          <w:sz w:val="18"/>
          <w:lang w:val="fr-CH"/>
        </w:rPr>
      </w:pPr>
      <w:r w:rsidRPr="001C0BBC">
        <w:rPr>
          <w:sz w:val="18"/>
          <w:lang w:val="fr-CH"/>
        </w:rPr>
        <w:lastRenderedPageBreak/>
        <w:t>Graphique n° 1.  Demandes reçues durant la période comprise entre octobre 2017 et septembre 2018, par espèce</w:t>
      </w:r>
    </w:p>
    <w:p w:rsidR="00565E44" w:rsidRPr="001C0BBC" w:rsidRDefault="00565E44" w:rsidP="00565E44">
      <w:pPr>
        <w:rPr>
          <w:lang w:val="fr-CH"/>
        </w:rPr>
      </w:pPr>
    </w:p>
    <w:p w:rsidR="00565E44" w:rsidRPr="001C0BBC" w:rsidRDefault="00565E44" w:rsidP="00565E44">
      <w:pPr>
        <w:rPr>
          <w:lang w:val="fr-CH"/>
        </w:rPr>
      </w:pPr>
      <w:r w:rsidRPr="000403EC">
        <w:rPr>
          <w:noProof/>
          <w:lang w:val="en-US"/>
        </w:rPr>
        <w:drawing>
          <wp:inline distT="0" distB="0" distL="0" distR="0" wp14:anchorId="510458B1" wp14:editId="2ECB64A7">
            <wp:extent cx="5832000" cy="4139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4067" b="32242"/>
                    <a:stretch/>
                  </pic:blipFill>
                  <pic:spPr bwMode="auto">
                    <a:xfrm>
                      <a:off x="0" y="0"/>
                      <a:ext cx="5871888" cy="4167426"/>
                    </a:xfrm>
                    <a:prstGeom prst="rect">
                      <a:avLst/>
                    </a:prstGeom>
                    <a:noFill/>
                    <a:ln>
                      <a:noFill/>
                    </a:ln>
                    <a:extLst>
                      <a:ext uri="{53640926-AAD7-44D8-BBD7-CCE9431645EC}">
                        <a14:shadowObscured xmlns:a14="http://schemas.microsoft.com/office/drawing/2010/main"/>
                      </a:ext>
                    </a:extLst>
                  </pic:spPr>
                </pic:pic>
              </a:graphicData>
            </a:graphic>
          </wp:inline>
        </w:drawing>
      </w:r>
    </w:p>
    <w:p w:rsidR="00565E44" w:rsidRPr="001C0BBC" w:rsidRDefault="00565E44" w:rsidP="00565E44">
      <w:pPr>
        <w:rPr>
          <w:sz w:val="16"/>
          <w:lang w:val="fr-CH"/>
        </w:rPr>
      </w:pPr>
    </w:p>
    <w:p w:rsidR="00565E44" w:rsidRPr="001C0BBC" w:rsidRDefault="00565E44" w:rsidP="00565E44">
      <w:pPr>
        <w:rPr>
          <w:rFonts w:cs="Arial"/>
          <w:sz w:val="18"/>
          <w:szCs w:val="18"/>
          <w:lang w:val="fr-CH"/>
        </w:rPr>
      </w:pPr>
    </w:p>
    <w:p w:rsidR="00565E44" w:rsidRPr="001C0BBC" w:rsidRDefault="00565E44" w:rsidP="00565E44">
      <w:pPr>
        <w:rPr>
          <w:rFonts w:cs="Arial"/>
          <w:sz w:val="18"/>
          <w:szCs w:val="18"/>
          <w:lang w:val="fr-CH"/>
        </w:rPr>
      </w:pPr>
      <w:r w:rsidRPr="001C0BBC">
        <w:rPr>
          <w:rFonts w:cs="Arial"/>
          <w:sz w:val="18"/>
          <w:szCs w:val="18"/>
          <w:lang w:val="fr-CH"/>
        </w:rPr>
        <w:t>Graphique n° 2.  Certificats délivrés durant la période comprise entre octobre 2017 et septembre 2018</w:t>
      </w:r>
    </w:p>
    <w:p w:rsidR="00565E44" w:rsidRPr="001C0BBC" w:rsidRDefault="00565E44" w:rsidP="00565E44">
      <w:pPr>
        <w:rPr>
          <w:rFonts w:cs="Arial"/>
          <w:sz w:val="18"/>
          <w:szCs w:val="18"/>
          <w:lang w:val="fr-CH"/>
        </w:rPr>
      </w:pPr>
    </w:p>
    <w:p w:rsidR="00565E44" w:rsidRPr="001C0BBC" w:rsidRDefault="00565E44" w:rsidP="00565E44">
      <w:pPr>
        <w:rPr>
          <w:sz w:val="16"/>
          <w:lang w:val="fr-CH"/>
        </w:rPr>
      </w:pPr>
      <w:r w:rsidRPr="00FC4DAE">
        <w:rPr>
          <w:noProof/>
          <w:lang w:val="en-US"/>
        </w:rPr>
        <w:drawing>
          <wp:inline distT="0" distB="0" distL="0" distR="0" wp14:anchorId="4BE13927" wp14:editId="1A5A68E2">
            <wp:extent cx="6120765" cy="3640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640077"/>
                    </a:xfrm>
                    <a:prstGeom prst="rect">
                      <a:avLst/>
                    </a:prstGeom>
                    <a:noFill/>
                    <a:ln>
                      <a:noFill/>
                    </a:ln>
                  </pic:spPr>
                </pic:pic>
              </a:graphicData>
            </a:graphic>
          </wp:inline>
        </w:drawing>
      </w:r>
    </w:p>
    <w:p w:rsidR="00565E44" w:rsidRPr="001C0BBC" w:rsidRDefault="00565E44" w:rsidP="00565E44">
      <w:pPr>
        <w:rPr>
          <w:lang w:val="fr-CH"/>
        </w:rPr>
      </w:pPr>
    </w:p>
    <w:p w:rsidR="003D0373" w:rsidRDefault="003D0373" w:rsidP="003D0373">
      <w:pPr>
        <w:jc w:val="left"/>
      </w:pPr>
    </w:p>
    <w:p w:rsidR="003D0373" w:rsidRDefault="003D0373" w:rsidP="00565E44">
      <w:pPr>
        <w:jc w:val="right"/>
      </w:pPr>
      <w:r>
        <w:t>[L’annexe IV suit]</w:t>
      </w:r>
    </w:p>
    <w:p w:rsidR="003D0373" w:rsidRDefault="003D0373" w:rsidP="003D0373">
      <w:pPr>
        <w:jc w:val="left"/>
        <w:sectPr w:rsidR="003D0373" w:rsidSect="00AE79F5">
          <w:headerReference w:type="default" r:id="rId14"/>
          <w:pgSz w:w="11907" w:h="16840" w:code="9"/>
          <w:pgMar w:top="510" w:right="1134" w:bottom="1134" w:left="1134" w:header="510" w:footer="680" w:gutter="0"/>
          <w:pgNumType w:start="1"/>
          <w:cols w:space="720"/>
          <w:titlePg/>
        </w:sectPr>
      </w:pPr>
    </w:p>
    <w:p w:rsidR="003D0373" w:rsidRPr="0075031D" w:rsidRDefault="00D15BB0" w:rsidP="003D0373">
      <w:pPr>
        <w:jc w:val="center"/>
      </w:pPr>
      <w:r>
        <w:lastRenderedPageBreak/>
        <w:t>C/52/15 Add.</w:t>
      </w:r>
    </w:p>
    <w:p w:rsidR="003D0373" w:rsidRPr="0075031D" w:rsidRDefault="003D0373" w:rsidP="003D0373">
      <w:pPr>
        <w:jc w:val="center"/>
      </w:pPr>
    </w:p>
    <w:p w:rsidR="003D0373" w:rsidRPr="0075031D" w:rsidRDefault="003D0373" w:rsidP="003D0373">
      <w:pPr>
        <w:jc w:val="center"/>
      </w:pPr>
      <w:r>
        <w:t>ANNEXE</w:t>
      </w:r>
      <w:r w:rsidRPr="0075031D">
        <w:t xml:space="preserve"> I</w:t>
      </w:r>
      <w:r>
        <w:t>V</w:t>
      </w:r>
    </w:p>
    <w:p w:rsidR="003D0373" w:rsidRPr="0075031D" w:rsidRDefault="003D0373" w:rsidP="003D0373">
      <w:pPr>
        <w:jc w:val="center"/>
      </w:pPr>
    </w:p>
    <w:p w:rsidR="003D0373" w:rsidRDefault="003D0373" w:rsidP="003D0373">
      <w:pPr>
        <w:jc w:val="center"/>
      </w:pPr>
    </w:p>
    <w:p w:rsidR="00843A88" w:rsidRPr="00CB6E2D" w:rsidRDefault="00843A88" w:rsidP="00843A88">
      <w:pPr>
        <w:jc w:val="center"/>
        <w:rPr>
          <w:szCs w:val="24"/>
        </w:rPr>
      </w:pPr>
      <w:r w:rsidRPr="00CB6E2D">
        <w:rPr>
          <w:szCs w:val="24"/>
        </w:rPr>
        <w:t>JAPON</w:t>
      </w:r>
    </w:p>
    <w:p w:rsidR="00843A88" w:rsidRPr="00CB6E2D" w:rsidRDefault="00843A88" w:rsidP="00843A88"/>
    <w:p w:rsidR="00843A88" w:rsidRPr="00CB6E2D" w:rsidRDefault="00843A88" w:rsidP="00843A88">
      <w:pPr>
        <w:jc w:val="left"/>
      </w:pPr>
    </w:p>
    <w:p w:rsidR="00843A88" w:rsidRPr="00B84433" w:rsidRDefault="00843A88" w:rsidP="00843A88">
      <w:pPr>
        <w:rPr>
          <w:caps/>
        </w:rPr>
      </w:pPr>
      <w:r w:rsidRPr="00B84433">
        <w:rPr>
          <w:caps/>
        </w:rPr>
        <w:t>I.</w:t>
      </w:r>
      <w:r w:rsidRPr="00B84433">
        <w:rPr>
          <w:caps/>
        </w:rPr>
        <w:tab/>
        <w:t>PROTECTION DES OBTENTIONS VÉGÉTALES</w:t>
      </w:r>
    </w:p>
    <w:p w:rsidR="00843A88" w:rsidRPr="00CB6E2D" w:rsidRDefault="00843A88" w:rsidP="00843A88"/>
    <w:p w:rsidR="00843A88" w:rsidRPr="00CB6E2D" w:rsidRDefault="00843A88" w:rsidP="00843A88">
      <w:r w:rsidRPr="00CB6E2D">
        <w:t xml:space="preserve">1. </w:t>
      </w:r>
      <w:r w:rsidRPr="00CB6E2D">
        <w:tab/>
      </w:r>
      <w:r w:rsidRPr="00CB6E2D">
        <w:rPr>
          <w:u w:val="single"/>
        </w:rPr>
        <w:t>Situation dans le domaine législatif</w:t>
      </w:r>
    </w:p>
    <w:p w:rsidR="00843A88" w:rsidRPr="00CB6E2D" w:rsidRDefault="00843A88" w:rsidP="00843A88"/>
    <w:p w:rsidR="00843A88" w:rsidRPr="00CB6E2D" w:rsidRDefault="00843A88" w:rsidP="00843A88">
      <w:r w:rsidRPr="00CB6E2D">
        <w:t>1.1</w:t>
      </w:r>
      <w:r w:rsidRPr="00CB6E2D">
        <w:tab/>
        <w:t>Modifications de la loi et des textes d’application</w:t>
      </w:r>
    </w:p>
    <w:p w:rsidR="00843A88" w:rsidRPr="00CB6E2D" w:rsidRDefault="00843A88" w:rsidP="00843A88">
      <w:pPr>
        <w:rPr>
          <w:rFonts w:cs="Arial"/>
        </w:rPr>
      </w:pPr>
    </w:p>
    <w:p w:rsidR="00843A88" w:rsidRPr="00CB6E2D" w:rsidRDefault="00843A88" w:rsidP="00843A88">
      <w:pPr>
        <w:rPr>
          <w:rFonts w:cs="Arial"/>
          <w:lang w:eastAsia="ja-JP"/>
        </w:rPr>
      </w:pPr>
      <w:r w:rsidRPr="00CB6E2D">
        <w:rPr>
          <w:rFonts w:cs="Arial"/>
        </w:rPr>
        <w:t>L’ordonnance d’application de la loi sur la protection des obtentions végétales et des semences (ordonnance n° 83 du Ministère de l’agriculture, de la sylviculture et de la pêche du 3 décembre 1998) a été modifiée et est entrée en vigueur le 2</w:t>
      </w:r>
      <w:r w:rsidRPr="00CB6E2D">
        <w:rPr>
          <w:rFonts w:cs="Arial"/>
          <w:lang w:eastAsia="ja-JP"/>
        </w:rPr>
        <w:t>3</w:t>
      </w:r>
      <w:r w:rsidRPr="00CB6E2D">
        <w:rPr>
          <w:rFonts w:cs="Arial"/>
        </w:rPr>
        <w:t> mars 201</w:t>
      </w:r>
      <w:r w:rsidRPr="00CB6E2D">
        <w:rPr>
          <w:rFonts w:cs="Arial"/>
          <w:lang w:eastAsia="ja-JP"/>
        </w:rPr>
        <w:t>8.  Les modifications ont porté sur la réduction de la liste des genres et espèces de plantes utilisés aux fins de reproduction et de multiplication et disponibles pour la production des semences fermières.</w:t>
      </w:r>
    </w:p>
    <w:p w:rsidR="00843A88" w:rsidRPr="00CB6E2D" w:rsidRDefault="00843A88" w:rsidP="00843A88">
      <w:pPr>
        <w:rPr>
          <w:rFonts w:cs="Arial"/>
          <w:lang w:eastAsia="ja-JP"/>
        </w:rPr>
      </w:pPr>
    </w:p>
    <w:p w:rsidR="00843A88" w:rsidRPr="00CB6E2D" w:rsidRDefault="00843A88" w:rsidP="00843A88">
      <w:pPr>
        <w:rPr>
          <w:rFonts w:cs="Arial"/>
          <w:lang w:eastAsia="ja-JP"/>
        </w:rPr>
      </w:pPr>
    </w:p>
    <w:p w:rsidR="00843A88" w:rsidRPr="00CB6E2D" w:rsidRDefault="00843A88" w:rsidP="00843A88">
      <w:pPr>
        <w:rPr>
          <w:rFonts w:cs="Arial"/>
        </w:rPr>
      </w:pPr>
      <w:r w:rsidRPr="00CB6E2D">
        <w:rPr>
          <w:rFonts w:cs="Arial"/>
        </w:rPr>
        <w:t>2.</w:t>
      </w:r>
      <w:r w:rsidRPr="00CB6E2D">
        <w:rPr>
          <w:rFonts w:cs="Arial"/>
        </w:rPr>
        <w:tab/>
      </w:r>
      <w:r w:rsidRPr="00CB6E2D">
        <w:rPr>
          <w:rFonts w:cs="Arial"/>
          <w:u w:val="single"/>
        </w:rPr>
        <w:t>Coopération en matière d’examen</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En 2017</w:t>
      </w:r>
      <w:r>
        <w:rPr>
          <w:rFonts w:cs="Arial"/>
          <w:lang w:eastAsia="ja-JP"/>
        </w:rPr>
        <w:noBreakHyphen/>
      </w:r>
      <w:r w:rsidRPr="00CB6E2D">
        <w:rPr>
          <w:rFonts w:cs="Arial"/>
          <w:lang w:eastAsia="ja-JP"/>
        </w:rPr>
        <w:t xml:space="preserve">2018, le Japon a conclu des accords de coopération internationale portant sur l’examen des demandes d’enregistrement des droits d’obtenteur avec </w:t>
      </w:r>
      <w:r w:rsidRPr="00CB6E2D">
        <w:t>cinq</w:t>
      </w:r>
      <w:r w:rsidRPr="00CB6E2D">
        <w:rPr>
          <w:rFonts w:cs="Arial"/>
          <w:lang w:eastAsia="ja-JP"/>
        </w:rPr>
        <w:t> États membres, à savoir le Canada, les Pays</w:t>
      </w:r>
      <w:r>
        <w:rPr>
          <w:rFonts w:cs="Arial"/>
          <w:lang w:eastAsia="ja-JP"/>
        </w:rPr>
        <w:noBreakHyphen/>
      </w:r>
      <w:r w:rsidRPr="00CB6E2D">
        <w:rPr>
          <w:rFonts w:cs="Arial"/>
          <w:lang w:eastAsia="ja-JP"/>
        </w:rPr>
        <w:t>Bas, le Pérou, Singapour et la Turquie.  Au 1</w:t>
      </w:r>
      <w:r w:rsidRPr="00CB6E2D">
        <w:rPr>
          <w:rFonts w:cs="Arial"/>
          <w:vertAlign w:val="superscript"/>
          <w:lang w:eastAsia="ja-JP"/>
        </w:rPr>
        <w:t>er</w:t>
      </w:r>
      <w:r w:rsidRPr="00CB6E2D">
        <w:rPr>
          <w:rFonts w:cs="Arial"/>
          <w:lang w:eastAsia="ja-JP"/>
        </w:rPr>
        <w:t> octobre 2018, le nombre total d’accords s’élevait à 15.</w:t>
      </w:r>
    </w:p>
    <w:p w:rsidR="00843A88" w:rsidRPr="00CB6E2D" w:rsidRDefault="00843A88" w:rsidP="00843A88">
      <w:pPr>
        <w:rPr>
          <w:rFonts w:cs="Arial"/>
          <w:lang w:eastAsia="ja-JP"/>
        </w:rPr>
      </w:pPr>
    </w:p>
    <w:p w:rsidR="00843A88" w:rsidRPr="00CB6E2D" w:rsidRDefault="00843A88" w:rsidP="00843A88">
      <w:pPr>
        <w:rPr>
          <w:rFonts w:cs="Arial"/>
          <w:lang w:eastAsia="ja-JP"/>
        </w:rPr>
      </w:pPr>
    </w:p>
    <w:p w:rsidR="00843A88" w:rsidRPr="00CB6E2D" w:rsidRDefault="00843A88" w:rsidP="00843A88">
      <w:pPr>
        <w:rPr>
          <w:rFonts w:cs="Arial"/>
          <w:u w:val="single"/>
        </w:rPr>
      </w:pPr>
      <w:r w:rsidRPr="00CB6E2D">
        <w:rPr>
          <w:rFonts w:cs="Arial"/>
        </w:rPr>
        <w:t>3.</w:t>
      </w:r>
      <w:r w:rsidRPr="00CB6E2D">
        <w:rPr>
          <w:rFonts w:cs="Arial"/>
        </w:rPr>
        <w:tab/>
      </w:r>
      <w:r w:rsidRPr="00CB6E2D">
        <w:rPr>
          <w:rFonts w:cs="Arial"/>
          <w:u w:val="single"/>
        </w:rPr>
        <w:t>Situation dans le domaine administratif</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3.1</w:t>
      </w:r>
      <w:r w:rsidRPr="00CB6E2D">
        <w:rPr>
          <w:rFonts w:cs="Arial"/>
          <w:lang w:eastAsia="ja-JP"/>
        </w:rPr>
        <w:tab/>
        <w:t>Système de dépôt électronique des demandes</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Le 26 mars 2018, le Ministère de l’agriculture, des forêts et de la pêche du Japon (MAFF) a lancé un système de dépôt électronique des demandes afin de simplifier l’utilisation du système national de protection des obtentions végétales pour les demandeurs et les titulaires de droits d’obtenteur.  Ce nouveau système permet aux demandeurs de déposer des formulaires de demande et de payer les taxes de dépôt et d’enregistrement par voie électronique, par l’intermédiaire du site Web.  En ce qui concerne les activités relatives à UPOV PRISMA, le Japon a contribué au lancement de l’interface en japonais.  Le MAFF continue d’échanger des données techniques avec le Bureau de l’OMPI.</w:t>
      </w:r>
    </w:p>
    <w:p w:rsidR="00843A88" w:rsidRPr="00CB6E2D" w:rsidRDefault="00843A88" w:rsidP="00843A88">
      <w:pPr>
        <w:rPr>
          <w:rFonts w:cs="Arial"/>
          <w:lang w:eastAsia="ja-JP"/>
        </w:rPr>
      </w:pPr>
    </w:p>
    <w:p w:rsidR="00843A88" w:rsidRPr="00CB6E2D" w:rsidRDefault="00843A88" w:rsidP="00843A88">
      <w:pPr>
        <w:rPr>
          <w:rFonts w:cs="Arial"/>
          <w:lang w:eastAsia="ja-JP"/>
        </w:rPr>
      </w:pPr>
    </w:p>
    <w:p w:rsidR="00843A88" w:rsidRPr="00CB6E2D" w:rsidRDefault="00843A88" w:rsidP="00843A88">
      <w:pPr>
        <w:rPr>
          <w:rFonts w:cs="Arial"/>
          <w:u w:val="single"/>
          <w:lang w:eastAsia="ja-JP"/>
        </w:rPr>
      </w:pPr>
      <w:r w:rsidRPr="00CB6E2D">
        <w:rPr>
          <w:rFonts w:cs="Arial"/>
          <w:lang w:eastAsia="ja-JP"/>
        </w:rPr>
        <w:t>4.</w:t>
      </w:r>
      <w:r w:rsidRPr="00CB6E2D">
        <w:rPr>
          <w:rFonts w:cs="Arial"/>
          <w:lang w:eastAsia="ja-JP"/>
        </w:rPr>
        <w:tab/>
      </w:r>
      <w:r w:rsidRPr="00CB6E2D">
        <w:rPr>
          <w:rFonts w:cs="Arial"/>
          <w:u w:val="single"/>
          <w:lang w:eastAsia="ja-JP"/>
        </w:rPr>
        <w:t>Situation dans le domaine technique</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De nouveaux principes directeurs d’examen nationaux pour 15 genres et espèces ont été élaborés en 2017.  Cette même année, les principes directeurs d’examen nationaux existants pour quatre genres et espèces ont été révisés pour refléter les principes directeurs d’examen de l’UPOV.</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Naktuinbouw et le Centre national des semences et des jeunes plants (NCSS) ont établi des manuels d’étalonnage pour l’examen DHS.  Ces manuels d’étalonnage, qui contiennent de nombreuses photographies indiquant comment observer et mesurer les caractères des variétés, constituent du matériel de référence facile à comprendre pour les utilisateurs.  Cette activité commune permettra de produire 11 manuels d’étalonnage pour l’anthurium, l’aubergine, le chrysanthème, le gerbera, la tomate, la tulipe, le piment, le rosier, la laitue, l’œillet et la pastèque.</w:t>
      </w:r>
    </w:p>
    <w:p w:rsidR="00843A88" w:rsidRPr="00CB6E2D" w:rsidRDefault="00843A88" w:rsidP="00843A88">
      <w:pPr>
        <w:rPr>
          <w:rFonts w:cs="Arial"/>
          <w:lang w:eastAsia="ja-JP"/>
        </w:rPr>
      </w:pPr>
    </w:p>
    <w:p w:rsidR="00843A88" w:rsidRDefault="00843A88" w:rsidP="00843A88">
      <w:pPr>
        <w:rPr>
          <w:rFonts w:cs="Arial"/>
          <w:lang w:eastAsia="ja-JP"/>
        </w:rPr>
      </w:pPr>
      <w:r w:rsidRPr="00CB6E2D">
        <w:rPr>
          <w:rFonts w:cs="Arial"/>
          <w:lang w:eastAsia="ja-JP"/>
        </w:rPr>
        <w:t>Quatre manuels pour le rosier (type de fleur à couper), l’œillet, la laitue et la pastèque ont été achevés et sont désormais disponibles sur les sites Web du NCSS et de Naktuinbouw :</w:t>
      </w:r>
    </w:p>
    <w:p w:rsidR="00843A88" w:rsidRPr="00CB6E2D" w:rsidRDefault="00843A88" w:rsidP="00843A88">
      <w:pPr>
        <w:rPr>
          <w:rFonts w:cs="Arial"/>
          <w:lang w:eastAsia="ja-JP"/>
        </w:rPr>
      </w:pPr>
      <w:hyperlink r:id="rId15" w:history="1">
        <w:r w:rsidRPr="00E75151">
          <w:rPr>
            <w:rStyle w:val="Hyperlink"/>
            <w:rFonts w:cs="Arial"/>
            <w:lang w:eastAsia="ja-JP"/>
          </w:rPr>
          <w:t>http://www.naro.affrc.go.jp/english/ncss/index.html</w:t>
        </w:r>
      </w:hyperlink>
    </w:p>
    <w:p w:rsidR="00843A88" w:rsidRPr="00CB6E2D" w:rsidRDefault="00843A88" w:rsidP="00843A88">
      <w:pPr>
        <w:rPr>
          <w:rFonts w:cs="Arial"/>
          <w:lang w:eastAsia="ja-JP"/>
        </w:rPr>
      </w:pPr>
    </w:p>
    <w:p w:rsidR="00843A88" w:rsidRPr="00CB6E2D" w:rsidRDefault="00843A88" w:rsidP="00843A88">
      <w:pPr>
        <w:rPr>
          <w:rFonts w:cs="Arial"/>
          <w:lang w:eastAsia="ja-JP"/>
        </w:rPr>
      </w:pPr>
    </w:p>
    <w:p w:rsidR="00843A88" w:rsidRPr="00CB6E2D" w:rsidRDefault="00843A88" w:rsidP="00843A88">
      <w:pPr>
        <w:jc w:val="left"/>
        <w:rPr>
          <w:rFonts w:cs="Arial"/>
          <w:u w:val="single"/>
        </w:rPr>
      </w:pPr>
      <w:r w:rsidRPr="00CB6E2D">
        <w:rPr>
          <w:rFonts w:cs="Arial"/>
        </w:rPr>
        <w:t>5.</w:t>
      </w:r>
      <w:r w:rsidRPr="00CB6E2D">
        <w:rPr>
          <w:rFonts w:cs="Arial"/>
        </w:rPr>
        <w:tab/>
      </w:r>
      <w:r w:rsidRPr="00CB6E2D">
        <w:rPr>
          <w:rFonts w:cs="Arial"/>
          <w:u w:val="single"/>
        </w:rPr>
        <w:t>Activités de promotion de la protection des obtentions végétales</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5.1</w:t>
      </w:r>
      <w:r w:rsidRPr="00CB6E2D">
        <w:rPr>
          <w:rFonts w:cs="Arial"/>
          <w:lang w:eastAsia="ja-JP"/>
        </w:rPr>
        <w:tab/>
        <w:t>Forum sur la protection des obtentions végétales en Asie orientale (Forum EAPVP)</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5.1.1</w:t>
      </w:r>
      <w:r w:rsidRPr="00CB6E2D">
        <w:rPr>
          <w:rFonts w:cs="Arial"/>
          <w:lang w:eastAsia="ja-JP"/>
        </w:rPr>
        <w:tab/>
        <w:t>Adoption du plan stratégique décennal et du règlement intérieur du Forum EAPVP</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 xml:space="preserve">La dixième réunion annuelle du Forum EAPVP s’est tenue à Naypyidaw (Myanmar) le 11 septembre 2017.  L’objet de cette réunion était d’établir un plan stratégique pour le Forum EAPVP pour les 10 années à venir.  </w:t>
      </w:r>
      <w:r w:rsidRPr="00CB6E2D">
        <w:rPr>
          <w:rFonts w:cs="Arial"/>
          <w:lang w:eastAsia="ja-JP"/>
        </w:rPr>
        <w:lastRenderedPageBreak/>
        <w:t>Des discussions ont été entamées sur le site Web au sujet d’un projet de plan stratégique décennal et d’un projet de règlement intérieur.  Le Forum EAPVP a adopté le “plan stratégique décennal du Forum EAPVP (2018</w:t>
      </w:r>
      <w:r>
        <w:rPr>
          <w:rFonts w:cs="Arial"/>
          <w:lang w:eastAsia="ja-JP"/>
        </w:rPr>
        <w:noBreakHyphen/>
      </w:r>
      <w:r w:rsidRPr="00CB6E2D">
        <w:rPr>
          <w:rFonts w:cs="Arial"/>
          <w:lang w:eastAsia="ja-JP"/>
        </w:rPr>
        <w:t>2027)” et le “règlement intérieur du Forum EAPVP” à sa onzième réunion annuelle tenue à Muntinlupa (Philippines) le 1</w:t>
      </w:r>
      <w:r w:rsidRPr="00CB6E2D">
        <w:rPr>
          <w:rFonts w:cs="Arial"/>
          <w:vertAlign w:val="superscript"/>
          <w:lang w:eastAsia="ja-JP"/>
        </w:rPr>
        <w:t>er</w:t>
      </w:r>
      <w:r w:rsidRPr="00CB6E2D">
        <w:rPr>
          <w:rFonts w:cs="Arial"/>
          <w:lang w:eastAsia="ja-JP"/>
        </w:rPr>
        <w:t> août 2018</w:t>
      </w:r>
      <w:r w:rsidRPr="00CB6E2D">
        <w:rPr>
          <w:rStyle w:val="FootnoteReference"/>
          <w:rFonts w:cs="Arial"/>
          <w:lang w:eastAsia="ja-JP"/>
        </w:rPr>
        <w:footnoteReference w:id="2"/>
      </w:r>
      <w:r w:rsidRPr="00CB6E2D">
        <w:rPr>
          <w:rFonts w:cs="Arial"/>
          <w:lang w:eastAsia="ja-JP"/>
        </w:rPr>
        <w:t>.  Les documents adoptés à cette réunion, y compris le rapport de la réunion, sont disponibles sur le site Web officiel du Forum EAPVP à l’adresse </w:t>
      </w:r>
      <w:hyperlink r:id="rId16" w:history="1">
        <w:r w:rsidRPr="00E75151">
          <w:rPr>
            <w:rStyle w:val="Hyperlink"/>
            <w:rFonts w:cs="Arial"/>
            <w:lang w:eastAsia="ja-JP"/>
          </w:rPr>
          <w:t>https://plant-online.org/11th-eapvp-forum-meeting/</w:t>
        </w:r>
      </w:hyperlink>
      <w:r w:rsidRPr="00CB6E2D">
        <w:rPr>
          <w:rFonts w:cs="Arial"/>
          <w:lang w:eastAsia="ja-JP"/>
        </w:rPr>
        <w:t>.  Les activités de coopération dans le cadre du Forum EAPVP seront menées conformément au plan stratégique décennal, afin de les rationaliser.</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Le plan stratégique décennal comprend un “objectif commun” et une “stratégie individuelle de mise œuvre”.</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a)</w:t>
      </w:r>
      <w:r w:rsidRPr="00CB6E2D">
        <w:rPr>
          <w:rFonts w:cs="Arial"/>
          <w:lang w:eastAsia="ja-JP"/>
        </w:rPr>
        <w:tab/>
        <w:t>Objectif commun</w:t>
      </w:r>
    </w:p>
    <w:p w:rsidR="00843A88" w:rsidRPr="00CB6E2D" w:rsidRDefault="00843A88" w:rsidP="00843A88">
      <w:pPr>
        <w:ind w:firstLine="567"/>
        <w:rPr>
          <w:rFonts w:cs="Arial"/>
          <w:lang w:eastAsia="ja-JP"/>
        </w:rPr>
      </w:pPr>
      <w:r w:rsidRPr="00CB6E2D">
        <w:rPr>
          <w:rFonts w:cs="Arial"/>
          <w:lang w:eastAsia="ja-JP"/>
        </w:rPr>
        <w:t>L’objectif à long terme est le suivant :</w:t>
      </w:r>
    </w:p>
    <w:p w:rsidR="00843A88" w:rsidRPr="00CB6E2D" w:rsidRDefault="00843A88" w:rsidP="00843A88">
      <w:pPr>
        <w:ind w:left="567"/>
        <w:rPr>
          <w:rFonts w:cs="Arial"/>
          <w:i/>
          <w:lang w:eastAsia="ja-JP"/>
        </w:rPr>
      </w:pPr>
      <w:r w:rsidRPr="00CB6E2D">
        <w:rPr>
          <w:rFonts w:cs="Arial"/>
          <w:i/>
          <w:lang w:eastAsia="ja-JP"/>
        </w:rPr>
        <w:t>Créer des systèmes efficaces de protection des obtentions végétales qui soient conformes à l’Acte de 1991 de la Convention UPOV au sein des membres du Forum EAPVP afin que tous les membres du Forum EAPVP deviennent membres de l’UPOV, comme préalable à l’élaboration d’un mécanisme efficace de coopération régionale dans le domaine de la protection des obtentions végétales qui favorise la création de nouvelles variétés végétales dans la région de l’Asie orientale et contribue ainsi à la promotion d’une agriculture durable et au renforcement de la sécurité alimentaire.</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b)</w:t>
      </w:r>
      <w:r w:rsidRPr="00CB6E2D">
        <w:rPr>
          <w:rFonts w:cs="Arial"/>
          <w:lang w:eastAsia="ja-JP"/>
        </w:rPr>
        <w:tab/>
        <w:t>Stratégie individuelle de mise en œuvre</w:t>
      </w:r>
    </w:p>
    <w:p w:rsidR="00843A88" w:rsidRPr="00CB6E2D" w:rsidRDefault="00843A88" w:rsidP="00843A88">
      <w:pPr>
        <w:ind w:left="567"/>
        <w:rPr>
          <w:rFonts w:cs="Arial"/>
          <w:i/>
          <w:lang w:eastAsia="ja-JP"/>
        </w:rPr>
      </w:pPr>
      <w:r w:rsidRPr="00CB6E2D">
        <w:rPr>
          <w:rFonts w:cs="Arial"/>
          <w:i/>
          <w:lang w:eastAsia="ja-JP"/>
        </w:rPr>
        <w:t>Un plan stratégique individuel de mise en œuvre est une stratégie à l’échelle nationale élaborée par chacun des membres du Forum EAPVP, qui tient compte à la fois de l’objectif commun et des autres objectifs.  Les membres du Forum EAPVP pourront actualiser périodiquement leur stratégie individuelle de mise en œuvre.  Le cas échéant, ils devront notifier ce fait au Forum EAPVP.</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À sa onzième réunion annuelle, le Forum EAPVP a également adopté un règlement intérieur qui établit les modalités de fonctionnement du Forum EAPVP.  Selon le règlement intérieur adopté, les pays membres du Forum EAPVP doivent prévoir des activités de coopération et les mettre en œuvre sur la base de leur stratégie individuelle de mise en œuvre, tout en définissant un ordre de priorité conformément à l’objectif commun du plan stratégique décennal.</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5.1.2</w:t>
      </w:r>
      <w:r w:rsidRPr="00CB6E2D">
        <w:rPr>
          <w:rFonts w:cs="Arial"/>
          <w:lang w:eastAsia="ja-JP"/>
        </w:rPr>
        <w:tab/>
        <w:t>Adoption de la liste d’activités de coopération</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À sa onzième réunion annuelle, le Forum EAPVP a examiné les activités de coopération du point de vue de leur conformité avec l’objectif commun du plan stratégique décennal et les dispositions du règlement intérieur et a adopté la liste d’activités de coopération ci</w:t>
      </w:r>
      <w:r>
        <w:rPr>
          <w:rFonts w:cs="Arial"/>
          <w:lang w:eastAsia="ja-JP"/>
        </w:rPr>
        <w:noBreakHyphen/>
      </w:r>
      <w:r w:rsidRPr="00CB6E2D">
        <w:rPr>
          <w:rFonts w:cs="Arial"/>
          <w:lang w:eastAsia="ja-JP"/>
        </w:rPr>
        <w:t>après pour 2018 :</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a)</w:t>
      </w:r>
      <w:r w:rsidRPr="00CB6E2D">
        <w:rPr>
          <w:rFonts w:cs="Arial"/>
          <w:lang w:eastAsia="ja-JP"/>
        </w:rPr>
        <w:tab/>
        <w:t>Activités menées à l’échelle nationale pour atteindre l’objectif 1</w:t>
      </w:r>
    </w:p>
    <w:p w:rsidR="00843A88" w:rsidRPr="00CB6E2D" w:rsidRDefault="00843A88" w:rsidP="00843A88">
      <w:pPr>
        <w:rPr>
          <w:rFonts w:cs="Arial"/>
          <w:lang w:eastAsia="ja-JP"/>
        </w:rPr>
      </w:pPr>
    </w:p>
    <w:p w:rsidR="00843A88" w:rsidRPr="00CB6E2D" w:rsidRDefault="00843A88" w:rsidP="00843A88">
      <w:pPr>
        <w:ind w:left="1134" w:hanging="567"/>
        <w:rPr>
          <w:rFonts w:cs="Arial"/>
          <w:lang w:eastAsia="ja-JP"/>
        </w:rPr>
      </w:pPr>
      <w:r w:rsidRPr="00CB6E2D">
        <w:rPr>
          <w:rFonts w:cs="Arial"/>
          <w:lang w:eastAsia="ja-JP"/>
        </w:rPr>
        <w:t>i.</w:t>
      </w:r>
      <w:r w:rsidRPr="00CB6E2D">
        <w:rPr>
          <w:rFonts w:cs="Arial"/>
          <w:lang w:eastAsia="ja-JP"/>
        </w:rPr>
        <w:tab/>
        <w:t>Élaborer des lois et des règles nationales relatives à la protection des obtentions végétales, avec l’assistance du Bureau de l’OMPI :</w:t>
      </w:r>
    </w:p>
    <w:p w:rsidR="00843A88" w:rsidRPr="00CB6E2D" w:rsidRDefault="00843A88" w:rsidP="00843A88">
      <w:pPr>
        <w:ind w:left="1134"/>
        <w:rPr>
          <w:rFonts w:cs="Arial"/>
          <w:i/>
          <w:lang w:eastAsia="ja-JP"/>
        </w:rPr>
      </w:pPr>
      <w:r w:rsidRPr="00CB6E2D">
        <w:rPr>
          <w:rFonts w:cs="Arial"/>
          <w:i/>
          <w:lang w:eastAsia="ja-JP"/>
        </w:rPr>
        <w:t>Consultation juridique sur l’harmonisation de la protection des obtentions végétales 20XX avec la Convention UPOV de 1991 (Malaisie)</w:t>
      </w:r>
    </w:p>
    <w:p w:rsidR="00843A88" w:rsidRPr="00CB6E2D" w:rsidRDefault="00843A88" w:rsidP="00843A88">
      <w:pPr>
        <w:ind w:left="1134" w:hanging="567"/>
        <w:rPr>
          <w:rFonts w:cs="Arial"/>
          <w:lang w:eastAsia="ja-JP"/>
        </w:rPr>
      </w:pPr>
      <w:r w:rsidRPr="00CB6E2D">
        <w:rPr>
          <w:rFonts w:cs="Arial"/>
          <w:lang w:eastAsia="ja-JP"/>
        </w:rPr>
        <w:t>ii.</w:t>
      </w:r>
      <w:r w:rsidRPr="00CB6E2D">
        <w:rPr>
          <w:rFonts w:cs="Arial"/>
          <w:lang w:eastAsia="ja-JP"/>
        </w:rPr>
        <w:tab/>
        <w:t>Établir/renforcer les procédures administratives nationales relatives à la mise en œuvre du système de protection des obtentions végétales, du dépôt de la demande à l’octroi des droits :</w:t>
      </w:r>
    </w:p>
    <w:p w:rsidR="00843A88" w:rsidRPr="00CB6E2D" w:rsidRDefault="00843A88" w:rsidP="00843A88">
      <w:pPr>
        <w:ind w:left="1134"/>
        <w:rPr>
          <w:rFonts w:cs="Arial"/>
          <w:i/>
          <w:lang w:eastAsia="ja-JP"/>
        </w:rPr>
      </w:pPr>
      <w:r w:rsidRPr="00CB6E2D">
        <w:rPr>
          <w:rFonts w:cs="Arial"/>
          <w:i/>
          <w:lang w:eastAsia="ja-JP"/>
        </w:rPr>
        <w:t>Atelier sur l’élaboration d’une base de données pour des variétés de référence de certaines plantes principales (riz, maïs et haricot urd) et l’examen DHS (Myanmar)</w:t>
      </w:r>
    </w:p>
    <w:p w:rsidR="00843A88" w:rsidRPr="00CB6E2D" w:rsidRDefault="00843A88" w:rsidP="00843A88">
      <w:pPr>
        <w:ind w:left="1134" w:hanging="567"/>
        <w:rPr>
          <w:rFonts w:cs="Arial"/>
          <w:lang w:eastAsia="ja-JP"/>
        </w:rPr>
      </w:pPr>
      <w:r w:rsidRPr="00CB6E2D">
        <w:rPr>
          <w:rFonts w:cs="Arial"/>
          <w:lang w:eastAsia="ja-JP"/>
        </w:rPr>
        <w:t>iii.</w:t>
      </w:r>
      <w:r w:rsidRPr="00CB6E2D">
        <w:rPr>
          <w:rFonts w:cs="Arial"/>
          <w:lang w:eastAsia="ja-JP"/>
        </w:rPr>
        <w:tab/>
        <w:t>Renforcement des capacités aux fins de l’examen des demandes :</w:t>
      </w:r>
    </w:p>
    <w:p w:rsidR="00843A88" w:rsidRPr="00CB6E2D" w:rsidRDefault="00843A88" w:rsidP="00843A88">
      <w:pPr>
        <w:ind w:left="1134"/>
        <w:rPr>
          <w:rFonts w:cs="Arial"/>
          <w:i/>
          <w:lang w:eastAsia="ja-JP"/>
        </w:rPr>
      </w:pPr>
      <w:r w:rsidRPr="00CB6E2D">
        <w:rPr>
          <w:rFonts w:cs="Arial"/>
          <w:i/>
          <w:lang w:eastAsia="ja-JP"/>
        </w:rPr>
        <w:t>Suivi du séminaire international sur les avantages découlant de la protection des obtentions végétales en vertu du système de l’UPOV et formation technique sur l’examen DHS et la documentation photographique (Philippines)</w:t>
      </w:r>
    </w:p>
    <w:p w:rsidR="00843A88" w:rsidRPr="00CB6E2D" w:rsidRDefault="00843A88" w:rsidP="00843A88">
      <w:pPr>
        <w:ind w:left="1134" w:hanging="567"/>
        <w:rPr>
          <w:rFonts w:cs="Arial"/>
          <w:lang w:eastAsia="ja-JP"/>
        </w:rPr>
      </w:pPr>
      <w:r w:rsidRPr="00CB6E2D">
        <w:rPr>
          <w:rFonts w:cs="Arial"/>
          <w:lang w:eastAsia="ja-JP"/>
        </w:rPr>
        <w:t>iv.</w:t>
      </w:r>
      <w:r w:rsidRPr="00CB6E2D">
        <w:rPr>
          <w:rFonts w:cs="Arial"/>
          <w:lang w:eastAsia="ja-JP"/>
        </w:rPr>
        <w:tab/>
        <w:t>Sensibilisation au système de l’UPOV à l’intention des fonctionnaires, des décideurs et des parties prenantes concernés (meilleure compréhension du fonctionnement du système de l’UPOV et de ses avantages, etc.) :</w:t>
      </w:r>
    </w:p>
    <w:p w:rsidR="00843A88" w:rsidRPr="00CB6E2D" w:rsidRDefault="00843A88" w:rsidP="00843A88">
      <w:pPr>
        <w:ind w:left="1134"/>
        <w:rPr>
          <w:rFonts w:cs="Arial"/>
          <w:i/>
          <w:lang w:eastAsia="ja-JP"/>
        </w:rPr>
      </w:pPr>
      <w:r w:rsidRPr="00CB6E2D">
        <w:rPr>
          <w:rFonts w:cs="Arial"/>
          <w:i/>
          <w:lang w:eastAsia="ja-JP"/>
        </w:rPr>
        <w:t>Atelier de sensibilisation à la protection des obtentions végétales en vertu de la Convention UPOV (République démocratique populaire lao)</w:t>
      </w:r>
    </w:p>
    <w:p w:rsidR="00843A88" w:rsidRPr="00CB6E2D" w:rsidRDefault="00843A88" w:rsidP="00843A88">
      <w:pPr>
        <w:rPr>
          <w:rFonts w:cs="Arial"/>
          <w:lang w:eastAsia="ja-JP"/>
        </w:rPr>
      </w:pPr>
    </w:p>
    <w:p w:rsidR="00843A88" w:rsidRDefault="00843A88">
      <w:pPr>
        <w:jc w:val="left"/>
        <w:rPr>
          <w:rFonts w:cs="Arial"/>
          <w:lang w:eastAsia="ja-JP"/>
        </w:rPr>
      </w:pPr>
      <w:r>
        <w:rPr>
          <w:rFonts w:cs="Arial"/>
          <w:lang w:eastAsia="ja-JP"/>
        </w:rPr>
        <w:br w:type="page"/>
      </w:r>
    </w:p>
    <w:p w:rsidR="00843A88" w:rsidRPr="00CB6E2D" w:rsidRDefault="00843A88" w:rsidP="00843A88">
      <w:pPr>
        <w:rPr>
          <w:rFonts w:cs="Arial"/>
          <w:lang w:eastAsia="ja-JP"/>
        </w:rPr>
      </w:pPr>
      <w:r w:rsidRPr="00CB6E2D">
        <w:rPr>
          <w:rFonts w:cs="Arial"/>
          <w:lang w:eastAsia="ja-JP"/>
        </w:rPr>
        <w:lastRenderedPageBreak/>
        <w:t>b)</w:t>
      </w:r>
      <w:r w:rsidRPr="00CB6E2D">
        <w:rPr>
          <w:rFonts w:cs="Arial"/>
          <w:lang w:eastAsia="ja-JP"/>
        </w:rPr>
        <w:tab/>
        <w:t>Activités de coopération menées à l’échelle régionale pour atteindre l’objectif 2</w:t>
      </w:r>
    </w:p>
    <w:p w:rsidR="00843A88" w:rsidRPr="00CB6E2D" w:rsidRDefault="00843A88" w:rsidP="00843A88">
      <w:pPr>
        <w:rPr>
          <w:rFonts w:cs="Arial"/>
          <w:lang w:eastAsia="ja-JP"/>
        </w:rPr>
      </w:pPr>
    </w:p>
    <w:p w:rsidR="00843A88" w:rsidRPr="00CB6E2D" w:rsidRDefault="00843A88" w:rsidP="00843A88">
      <w:pPr>
        <w:ind w:left="567"/>
        <w:rPr>
          <w:rFonts w:cs="Arial"/>
          <w:lang w:eastAsia="ja-JP"/>
        </w:rPr>
      </w:pPr>
      <w:r w:rsidRPr="00CB6E2D">
        <w:rPr>
          <w:rFonts w:cs="Arial"/>
          <w:lang w:eastAsia="ja-JP"/>
        </w:rPr>
        <w:t>Projet pilote relatif à l’élaboration d’un mécanisme régional harmonisé de protection des obtentions végétales (proposé par le Japon et le Viet Nam) :</w:t>
      </w:r>
    </w:p>
    <w:p w:rsidR="00843A88" w:rsidRPr="00CB6E2D" w:rsidRDefault="00843A88" w:rsidP="00843A88">
      <w:pPr>
        <w:ind w:left="567"/>
        <w:rPr>
          <w:rFonts w:cs="Arial"/>
          <w:lang w:eastAsia="ja-JP"/>
        </w:rPr>
      </w:pPr>
    </w:p>
    <w:p w:rsidR="00843A88" w:rsidRPr="00CB6E2D" w:rsidRDefault="00843A88" w:rsidP="00843A88">
      <w:pPr>
        <w:ind w:left="567"/>
        <w:rPr>
          <w:rFonts w:cs="Arial"/>
          <w:lang w:eastAsia="ja-JP"/>
        </w:rPr>
      </w:pPr>
      <w:r w:rsidRPr="00CB6E2D">
        <w:rPr>
          <w:rFonts w:cs="Arial"/>
          <w:lang w:eastAsia="ja-JP"/>
        </w:rPr>
        <w:t>La première phase de ce projet (2018</w:t>
      </w:r>
      <w:r>
        <w:rPr>
          <w:rFonts w:cs="Arial"/>
          <w:lang w:eastAsia="ja-JP"/>
        </w:rPr>
        <w:noBreakHyphen/>
      </w:r>
      <w:r w:rsidRPr="00CB6E2D">
        <w:rPr>
          <w:rFonts w:cs="Arial"/>
          <w:lang w:eastAsia="ja-JP"/>
        </w:rPr>
        <w:t>2021) comprend l’élaboration d’une procédure type allant du dépôt de la demande à l’octroi des droits d’obtenteur qui servira de fondement à un mécanisme régional harmonisé conforme à la Convention UPOV.  Actuellement, les pays participant à ce projet sont le Japon et le Viet Nam.  Le Brunéi Darussalam, la Malaisie et le Myanmar figurent sur la liste provisoire des participants.  Le Bureau de l’UPOV et les autres services de protection des obtentions végétales des membres de l’UPOV sont des partenaires.  La liste des pays participants peut être élargie aux autres membres de l’UPOV également membres du Forum EAPVP, selon que de besoin.  La première réunion autour de ce projet pilote, tenue à Hanoi (Viet Nam) le 11 octobre 2018, a été organisée par le Japon et le Viet</w:t>
      </w:r>
      <w:r w:rsidRPr="00CB6E2D">
        <w:t> Nam</w:t>
      </w:r>
      <w:r w:rsidRPr="00CB6E2D">
        <w:rPr>
          <w:rFonts w:cs="Arial"/>
          <w:lang w:eastAsia="ja-JP"/>
        </w:rPr>
        <w:t>.</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5.2</w:t>
      </w:r>
      <w:r w:rsidRPr="00CB6E2D">
        <w:rPr>
          <w:rFonts w:cs="Arial"/>
          <w:lang w:eastAsia="ja-JP"/>
        </w:rPr>
        <w:tab/>
        <w:t>Activités de coopération menées par le Forum EAPVP (septembre 2017 – janvier 2018)</w:t>
      </w:r>
    </w:p>
    <w:p w:rsidR="00843A88" w:rsidRPr="00CB6E2D" w:rsidRDefault="00843A88" w:rsidP="00843A88">
      <w:pPr>
        <w:rPr>
          <w:rFonts w:cs="Arial"/>
          <w:lang w:eastAsia="ja-JP"/>
        </w:rPr>
      </w:pPr>
    </w:p>
    <w:tbl>
      <w:tblPr>
        <w:tblStyle w:val="TableGrid"/>
        <w:tblW w:w="9781" w:type="dxa"/>
        <w:tblInd w:w="-5" w:type="dxa"/>
        <w:tblLayout w:type="fixed"/>
        <w:tblCellMar>
          <w:top w:w="28" w:type="dxa"/>
          <w:left w:w="28" w:type="dxa"/>
          <w:bottom w:w="28" w:type="dxa"/>
          <w:right w:w="28" w:type="dxa"/>
        </w:tblCellMar>
        <w:tblLook w:val="04A0" w:firstRow="1" w:lastRow="0" w:firstColumn="1" w:lastColumn="0" w:noHBand="0" w:noVBand="1"/>
      </w:tblPr>
      <w:tblGrid>
        <w:gridCol w:w="2369"/>
        <w:gridCol w:w="1241"/>
        <w:gridCol w:w="1095"/>
        <w:gridCol w:w="2679"/>
        <w:gridCol w:w="2397"/>
      </w:tblGrid>
      <w:tr w:rsidR="00843A88" w:rsidRPr="00CB6E2D" w:rsidTr="002D69F6">
        <w:tc>
          <w:tcPr>
            <w:tcW w:w="2381" w:type="dxa"/>
          </w:tcPr>
          <w:p w:rsidR="00843A88" w:rsidRPr="00CB6E2D" w:rsidRDefault="00843A88" w:rsidP="002D69F6">
            <w:pPr>
              <w:keepNext/>
              <w:jc w:val="left"/>
              <w:rPr>
                <w:rFonts w:cs="Arial"/>
                <w:sz w:val="18"/>
              </w:rPr>
            </w:pPr>
            <w:r w:rsidRPr="00CB6E2D">
              <w:rPr>
                <w:rFonts w:cs="Arial"/>
                <w:sz w:val="18"/>
              </w:rPr>
              <w:t>Intitulé de l’activité</w:t>
            </w:r>
          </w:p>
        </w:tc>
        <w:tc>
          <w:tcPr>
            <w:tcW w:w="1247" w:type="dxa"/>
          </w:tcPr>
          <w:p w:rsidR="00843A88" w:rsidRPr="00CB6E2D" w:rsidRDefault="00843A88" w:rsidP="002D69F6">
            <w:pPr>
              <w:keepNext/>
              <w:jc w:val="left"/>
              <w:rPr>
                <w:rFonts w:cs="Arial"/>
                <w:sz w:val="18"/>
              </w:rPr>
            </w:pPr>
            <w:r w:rsidRPr="00CB6E2D">
              <w:rPr>
                <w:rFonts w:cs="Arial"/>
                <w:sz w:val="18"/>
              </w:rPr>
              <w:t>Date</w:t>
            </w:r>
          </w:p>
        </w:tc>
        <w:tc>
          <w:tcPr>
            <w:tcW w:w="1101" w:type="dxa"/>
          </w:tcPr>
          <w:p w:rsidR="00843A88" w:rsidRPr="00CB6E2D" w:rsidRDefault="00843A88" w:rsidP="002D69F6">
            <w:pPr>
              <w:keepNext/>
              <w:jc w:val="left"/>
              <w:rPr>
                <w:rFonts w:cs="Arial"/>
                <w:sz w:val="18"/>
                <w:lang w:eastAsia="ja-JP"/>
              </w:rPr>
            </w:pPr>
            <w:r w:rsidRPr="00CB6E2D">
              <w:rPr>
                <w:rFonts w:cs="Arial"/>
                <w:sz w:val="18"/>
                <w:lang w:eastAsia="ja-JP"/>
              </w:rPr>
              <w:t>Lieu</w:t>
            </w:r>
          </w:p>
        </w:tc>
        <w:tc>
          <w:tcPr>
            <w:tcW w:w="2693" w:type="dxa"/>
          </w:tcPr>
          <w:p w:rsidR="00843A88" w:rsidRPr="00CB6E2D" w:rsidRDefault="00843A88" w:rsidP="002D69F6">
            <w:pPr>
              <w:keepNext/>
              <w:jc w:val="left"/>
              <w:rPr>
                <w:rFonts w:cs="Arial"/>
                <w:sz w:val="18"/>
              </w:rPr>
            </w:pPr>
            <w:r w:rsidRPr="00CB6E2D">
              <w:rPr>
                <w:rFonts w:cs="Arial"/>
                <w:sz w:val="18"/>
              </w:rPr>
              <w:t>But de l’activité</w:t>
            </w:r>
          </w:p>
        </w:tc>
        <w:tc>
          <w:tcPr>
            <w:tcW w:w="2410" w:type="dxa"/>
          </w:tcPr>
          <w:p w:rsidR="00843A88" w:rsidRPr="00CB6E2D" w:rsidRDefault="00843A88" w:rsidP="002D69F6">
            <w:pPr>
              <w:keepNext/>
              <w:jc w:val="left"/>
              <w:rPr>
                <w:rFonts w:cs="Arial"/>
                <w:sz w:val="18"/>
              </w:rPr>
            </w:pPr>
            <w:r w:rsidRPr="00CB6E2D">
              <w:rPr>
                <w:rFonts w:cs="Arial"/>
                <w:sz w:val="18"/>
              </w:rPr>
              <w:t>Pays/organisations participants (nombre de participants)</w:t>
            </w:r>
          </w:p>
        </w:tc>
      </w:tr>
      <w:tr w:rsidR="00843A88" w:rsidRPr="00CB6E2D" w:rsidTr="002D69F6">
        <w:tc>
          <w:tcPr>
            <w:tcW w:w="2381" w:type="dxa"/>
          </w:tcPr>
          <w:p w:rsidR="00843A88" w:rsidRPr="00CB6E2D" w:rsidRDefault="00843A88" w:rsidP="002D69F6">
            <w:pPr>
              <w:keepNext/>
              <w:jc w:val="left"/>
              <w:rPr>
                <w:rFonts w:cs="Arial"/>
                <w:sz w:val="18"/>
                <w:lang w:eastAsia="ja-JP"/>
              </w:rPr>
            </w:pPr>
            <w:r w:rsidRPr="00CB6E2D">
              <w:rPr>
                <w:rFonts w:cs="Arial"/>
                <w:sz w:val="18"/>
                <w:lang w:eastAsia="ja-JP"/>
              </w:rPr>
              <w:t xml:space="preserve">1. Séminaire national de sensibilisation au système de protection des obtentions végétales </w:t>
            </w:r>
          </w:p>
        </w:tc>
        <w:tc>
          <w:tcPr>
            <w:tcW w:w="1247" w:type="dxa"/>
          </w:tcPr>
          <w:p w:rsidR="00843A88" w:rsidRPr="00CB6E2D" w:rsidRDefault="00843A88" w:rsidP="002D69F6">
            <w:pPr>
              <w:keepNext/>
              <w:jc w:val="left"/>
              <w:rPr>
                <w:rFonts w:cs="Arial"/>
                <w:sz w:val="18"/>
                <w:lang w:eastAsia="ja-JP"/>
              </w:rPr>
            </w:pPr>
            <w:r w:rsidRPr="00CB6E2D">
              <w:rPr>
                <w:rFonts w:cs="Arial"/>
                <w:sz w:val="18"/>
                <w:lang w:eastAsia="ja-JP"/>
              </w:rPr>
              <w:t>12 septembre 2017</w:t>
            </w:r>
          </w:p>
        </w:tc>
        <w:tc>
          <w:tcPr>
            <w:tcW w:w="1101" w:type="dxa"/>
          </w:tcPr>
          <w:p w:rsidR="00843A88" w:rsidRPr="00CB6E2D" w:rsidRDefault="00843A88" w:rsidP="002D69F6">
            <w:pPr>
              <w:keepNext/>
              <w:jc w:val="left"/>
              <w:rPr>
                <w:rFonts w:cs="Arial"/>
                <w:sz w:val="18"/>
                <w:lang w:eastAsia="ja-JP"/>
              </w:rPr>
            </w:pPr>
            <w:r w:rsidRPr="00CB6E2D">
              <w:rPr>
                <w:rFonts w:cs="Arial"/>
                <w:sz w:val="18"/>
                <w:lang w:eastAsia="ja-JP"/>
              </w:rPr>
              <w:t>Naypyidaw, Myanmar</w:t>
            </w:r>
          </w:p>
        </w:tc>
        <w:tc>
          <w:tcPr>
            <w:tcW w:w="2693" w:type="dxa"/>
          </w:tcPr>
          <w:p w:rsidR="00843A88" w:rsidRPr="00CB6E2D" w:rsidRDefault="00843A88" w:rsidP="002D69F6">
            <w:pPr>
              <w:keepNext/>
              <w:jc w:val="left"/>
              <w:rPr>
                <w:rFonts w:cs="Arial"/>
                <w:sz w:val="18"/>
                <w:lang w:eastAsia="ja-JP"/>
              </w:rPr>
            </w:pPr>
            <w:r w:rsidRPr="00CB6E2D">
              <w:rPr>
                <w:rFonts w:cs="Arial"/>
                <w:sz w:val="18"/>
                <w:lang w:eastAsia="ja-JP"/>
              </w:rPr>
              <w:t>Sensibilisation au système de protection des obtentions végétales conforme à la Convention UPOV</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Myanmar (115), Chine (3), République de Corée (4), Viet Nam (3), Bureau de l’UPOV (2), OCVV (1),</w:t>
            </w:r>
            <w:r>
              <w:rPr>
                <w:rFonts w:cs="Arial"/>
                <w:sz w:val="18"/>
                <w:lang w:eastAsia="ja-JP"/>
              </w:rPr>
              <w:br/>
            </w:r>
            <w:r w:rsidRPr="00CB6E2D">
              <w:rPr>
                <w:rFonts w:cs="Arial"/>
                <w:sz w:val="18"/>
                <w:lang w:eastAsia="ja-JP"/>
              </w:rPr>
              <w:t>GNIS (1), Naktuinbouw (1), Japon (7)</w:t>
            </w:r>
          </w:p>
        </w:tc>
      </w:tr>
      <w:tr w:rsidR="00843A88" w:rsidRPr="00CB6E2D" w:rsidTr="002D69F6">
        <w:trPr>
          <w:trHeight w:val="684"/>
        </w:trPr>
        <w:tc>
          <w:tcPr>
            <w:tcW w:w="2381" w:type="dxa"/>
          </w:tcPr>
          <w:p w:rsidR="00843A88" w:rsidRPr="00CB6E2D" w:rsidRDefault="00843A88" w:rsidP="002D69F6">
            <w:pPr>
              <w:keepNext/>
              <w:jc w:val="left"/>
              <w:rPr>
                <w:rFonts w:cs="Arial"/>
                <w:sz w:val="18"/>
                <w:lang w:eastAsia="ja-JP"/>
              </w:rPr>
            </w:pPr>
            <w:r w:rsidRPr="00CB6E2D">
              <w:rPr>
                <w:rFonts w:cs="Arial"/>
                <w:sz w:val="18"/>
                <w:lang w:eastAsia="ja-JP"/>
              </w:rPr>
              <w:t>2. Orientations en matière d’examen DHS de la tomate</w:t>
            </w:r>
          </w:p>
        </w:tc>
        <w:tc>
          <w:tcPr>
            <w:tcW w:w="1247" w:type="dxa"/>
          </w:tcPr>
          <w:p w:rsidR="00843A88" w:rsidRPr="00CB6E2D" w:rsidRDefault="00843A88" w:rsidP="002D69F6">
            <w:pPr>
              <w:keepNext/>
              <w:jc w:val="left"/>
              <w:rPr>
                <w:rFonts w:cs="Arial"/>
                <w:sz w:val="18"/>
                <w:lang w:eastAsia="ja-JP"/>
              </w:rPr>
            </w:pPr>
            <w:r w:rsidRPr="00CB6E2D">
              <w:rPr>
                <w:rFonts w:cs="Arial"/>
                <w:sz w:val="18"/>
                <w:lang w:eastAsia="ja-JP"/>
              </w:rPr>
              <w:t>16</w:t>
            </w:r>
            <w:r>
              <w:rPr>
                <w:rFonts w:cs="Arial"/>
                <w:sz w:val="18"/>
                <w:lang w:eastAsia="ja-JP"/>
              </w:rPr>
              <w:noBreakHyphen/>
            </w:r>
            <w:r w:rsidRPr="00CB6E2D">
              <w:rPr>
                <w:rFonts w:cs="Arial"/>
                <w:sz w:val="18"/>
                <w:lang w:eastAsia="ja-JP"/>
              </w:rPr>
              <w:t>18 octobre 2017</w:t>
            </w:r>
          </w:p>
        </w:tc>
        <w:tc>
          <w:tcPr>
            <w:tcW w:w="1101" w:type="dxa"/>
          </w:tcPr>
          <w:p w:rsidR="00843A88" w:rsidRPr="00CB6E2D" w:rsidRDefault="00843A88" w:rsidP="002D69F6">
            <w:pPr>
              <w:keepNext/>
              <w:jc w:val="left"/>
              <w:rPr>
                <w:rFonts w:cs="Arial"/>
                <w:sz w:val="18"/>
                <w:lang w:eastAsia="ja-JP"/>
              </w:rPr>
            </w:pPr>
            <w:r w:rsidRPr="00E75151">
              <w:rPr>
                <w:rFonts w:cs="Arial"/>
                <w:spacing w:val="-4"/>
                <w:sz w:val="18"/>
                <w:lang w:eastAsia="ja-JP"/>
              </w:rPr>
              <w:t>Phnom Penh</w:t>
            </w:r>
            <w:r w:rsidRPr="00E75151">
              <w:rPr>
                <w:rFonts w:cs="Arial"/>
                <w:spacing w:val="-4"/>
                <w:sz w:val="14"/>
                <w:lang w:eastAsia="ja-JP"/>
              </w:rPr>
              <w:t>,</w:t>
            </w:r>
            <w:r w:rsidRPr="00E75151">
              <w:rPr>
                <w:rFonts w:cs="Arial"/>
                <w:spacing w:val="-4"/>
                <w:sz w:val="18"/>
                <w:lang w:eastAsia="ja-JP"/>
              </w:rPr>
              <w:t xml:space="preserve"> Cambodge</w:t>
            </w:r>
          </w:p>
        </w:tc>
        <w:tc>
          <w:tcPr>
            <w:tcW w:w="2693" w:type="dxa"/>
          </w:tcPr>
          <w:p w:rsidR="00843A88" w:rsidRPr="00CB6E2D" w:rsidRDefault="00843A88" w:rsidP="002D69F6">
            <w:pPr>
              <w:keepNext/>
              <w:jc w:val="left"/>
              <w:rPr>
                <w:rFonts w:cs="Arial"/>
                <w:sz w:val="18"/>
                <w:lang w:eastAsia="ja-JP"/>
              </w:rPr>
            </w:pPr>
            <w:r w:rsidRPr="00CB6E2D">
              <w:rPr>
                <w:rFonts w:cs="Arial"/>
                <w:sz w:val="18"/>
                <w:lang w:eastAsia="ja-JP"/>
              </w:rPr>
              <w:t>Formation sur l’examen DHS de la tomate</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Cambodge (9), Viet Nam (1), Japon (1)</w:t>
            </w:r>
          </w:p>
        </w:tc>
      </w:tr>
      <w:tr w:rsidR="00843A88" w:rsidRPr="00CB6E2D" w:rsidTr="002D69F6">
        <w:tc>
          <w:tcPr>
            <w:tcW w:w="2381" w:type="dxa"/>
          </w:tcPr>
          <w:p w:rsidR="00843A88" w:rsidRPr="00CB6E2D" w:rsidRDefault="00843A88" w:rsidP="002D69F6">
            <w:pPr>
              <w:keepNext/>
              <w:jc w:val="left"/>
              <w:rPr>
                <w:rFonts w:cs="Arial"/>
                <w:sz w:val="18"/>
                <w:lang w:eastAsia="ja-JP"/>
              </w:rPr>
            </w:pPr>
            <w:r w:rsidRPr="00CB6E2D">
              <w:rPr>
                <w:rFonts w:cs="Arial"/>
                <w:sz w:val="18"/>
                <w:lang w:eastAsia="ja-JP"/>
              </w:rPr>
              <w:t>3. Voyage d’étude de délégués du Myanmar sur le thème de la protection des obtentions végétales</w:t>
            </w:r>
          </w:p>
        </w:tc>
        <w:tc>
          <w:tcPr>
            <w:tcW w:w="1247" w:type="dxa"/>
          </w:tcPr>
          <w:p w:rsidR="00843A88" w:rsidRPr="009A5D5C" w:rsidRDefault="00843A88" w:rsidP="002D69F6">
            <w:pPr>
              <w:keepNext/>
              <w:jc w:val="left"/>
              <w:rPr>
                <w:rFonts w:cs="Arial"/>
                <w:spacing w:val="-2"/>
                <w:sz w:val="18"/>
                <w:lang w:eastAsia="ja-JP"/>
              </w:rPr>
            </w:pPr>
            <w:r w:rsidRPr="009A5D5C">
              <w:rPr>
                <w:rFonts w:cs="Arial"/>
                <w:spacing w:val="-2"/>
                <w:sz w:val="18"/>
                <w:lang w:eastAsia="ja-JP"/>
              </w:rPr>
              <w:t>7</w:t>
            </w:r>
            <w:r w:rsidRPr="009A5D5C">
              <w:rPr>
                <w:rFonts w:cs="Arial"/>
                <w:spacing w:val="-2"/>
                <w:sz w:val="18"/>
                <w:lang w:eastAsia="ja-JP"/>
              </w:rPr>
              <w:noBreakHyphen/>
              <w:t>10 novembre 2017</w:t>
            </w:r>
          </w:p>
        </w:tc>
        <w:tc>
          <w:tcPr>
            <w:tcW w:w="1101" w:type="dxa"/>
          </w:tcPr>
          <w:p w:rsidR="00843A88" w:rsidRPr="00CB6E2D" w:rsidRDefault="00843A88" w:rsidP="002D69F6">
            <w:pPr>
              <w:keepNext/>
              <w:jc w:val="left"/>
              <w:rPr>
                <w:rFonts w:cs="Arial"/>
                <w:sz w:val="18"/>
                <w:lang w:eastAsia="ja-JP"/>
              </w:rPr>
            </w:pPr>
            <w:r w:rsidRPr="00CB6E2D">
              <w:rPr>
                <w:rFonts w:cs="Arial"/>
                <w:sz w:val="18"/>
                <w:lang w:eastAsia="ja-JP"/>
              </w:rPr>
              <w:t>Hanoi, Viet Nam</w:t>
            </w:r>
          </w:p>
        </w:tc>
        <w:tc>
          <w:tcPr>
            <w:tcW w:w="2693" w:type="dxa"/>
          </w:tcPr>
          <w:p w:rsidR="00843A88" w:rsidRPr="00CB6E2D" w:rsidRDefault="00843A88" w:rsidP="002D69F6">
            <w:pPr>
              <w:keepNext/>
              <w:jc w:val="left"/>
              <w:rPr>
                <w:rFonts w:cs="Arial"/>
                <w:sz w:val="18"/>
                <w:lang w:eastAsia="ja-JP"/>
              </w:rPr>
            </w:pPr>
            <w:r w:rsidRPr="00CB6E2D">
              <w:rPr>
                <w:rFonts w:cs="Arial"/>
                <w:sz w:val="18"/>
                <w:lang w:eastAsia="ja-JP"/>
              </w:rPr>
              <w:t>Sensibilisation au système de protection des obtentions végétales conforme à la Convention UPOV</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Myanmar (2), Viet Nam (2)</w:t>
            </w:r>
          </w:p>
        </w:tc>
      </w:tr>
      <w:tr w:rsidR="00843A88" w:rsidRPr="00CB6E2D" w:rsidTr="002D69F6">
        <w:tc>
          <w:tcPr>
            <w:tcW w:w="2381" w:type="dxa"/>
          </w:tcPr>
          <w:p w:rsidR="00843A88" w:rsidRPr="00CB6E2D" w:rsidRDefault="00843A88" w:rsidP="002D69F6">
            <w:pPr>
              <w:keepNext/>
              <w:jc w:val="left"/>
              <w:rPr>
                <w:rFonts w:cs="Arial"/>
                <w:sz w:val="18"/>
              </w:rPr>
            </w:pPr>
            <w:r w:rsidRPr="00CB6E2D">
              <w:rPr>
                <w:rFonts w:cs="Arial"/>
                <w:sz w:val="18"/>
                <w:lang w:eastAsia="ja-JP"/>
              </w:rPr>
              <w:t>4. Protection des obtentions végétales et incidences sur l’environnement socioéconomique</w:t>
            </w:r>
          </w:p>
        </w:tc>
        <w:tc>
          <w:tcPr>
            <w:tcW w:w="1247" w:type="dxa"/>
          </w:tcPr>
          <w:p w:rsidR="00843A88" w:rsidRPr="00CB6E2D" w:rsidRDefault="00843A88" w:rsidP="002D69F6">
            <w:pPr>
              <w:keepNext/>
              <w:jc w:val="left"/>
              <w:rPr>
                <w:rFonts w:cs="Arial"/>
                <w:sz w:val="18"/>
              </w:rPr>
            </w:pPr>
            <w:r w:rsidRPr="00CB6E2D">
              <w:rPr>
                <w:rFonts w:cs="Arial"/>
                <w:sz w:val="18"/>
                <w:lang w:eastAsia="ja-JP"/>
              </w:rPr>
              <w:t>20 novembre 2017</w:t>
            </w:r>
          </w:p>
        </w:tc>
        <w:tc>
          <w:tcPr>
            <w:tcW w:w="1101" w:type="dxa"/>
          </w:tcPr>
          <w:p w:rsidR="00843A88" w:rsidRPr="00EE7568" w:rsidRDefault="00843A88" w:rsidP="002D69F6">
            <w:pPr>
              <w:keepNext/>
              <w:jc w:val="left"/>
              <w:rPr>
                <w:rFonts w:cs="Arial"/>
                <w:spacing w:val="-4"/>
                <w:sz w:val="18"/>
              </w:rPr>
            </w:pPr>
            <w:r w:rsidRPr="00EE7568">
              <w:rPr>
                <w:rFonts w:cs="Arial"/>
                <w:spacing w:val="-4"/>
                <w:sz w:val="18"/>
                <w:lang w:eastAsia="ja-JP"/>
              </w:rPr>
              <w:t>Thái Nguyên, Viet Nam</w:t>
            </w:r>
          </w:p>
        </w:tc>
        <w:tc>
          <w:tcPr>
            <w:tcW w:w="2693" w:type="dxa"/>
          </w:tcPr>
          <w:p w:rsidR="00843A88" w:rsidRPr="00CB6E2D" w:rsidRDefault="00843A88" w:rsidP="002D69F6">
            <w:pPr>
              <w:keepNext/>
              <w:jc w:val="left"/>
              <w:rPr>
                <w:rFonts w:cs="Arial"/>
                <w:sz w:val="18"/>
                <w:lang w:eastAsia="ja-JP"/>
              </w:rPr>
            </w:pPr>
            <w:r w:rsidRPr="00CB6E2D">
              <w:rPr>
                <w:rFonts w:cs="Arial"/>
                <w:sz w:val="18"/>
                <w:lang w:eastAsia="ja-JP"/>
              </w:rPr>
              <w:t>Renforcement des capacités concernant le système national de protection des obtentions végétales conforme à la Convention UPOV</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Viet Nam (149), GNIS (1), Japon (1)</w:t>
            </w:r>
          </w:p>
        </w:tc>
      </w:tr>
      <w:tr w:rsidR="00843A88" w:rsidRPr="00CB6E2D" w:rsidTr="002D69F6">
        <w:tc>
          <w:tcPr>
            <w:tcW w:w="2381" w:type="dxa"/>
          </w:tcPr>
          <w:p w:rsidR="00843A88" w:rsidRPr="00CB6E2D" w:rsidRDefault="00843A88" w:rsidP="002D69F6">
            <w:pPr>
              <w:keepNext/>
              <w:jc w:val="left"/>
              <w:rPr>
                <w:rFonts w:cs="Arial"/>
                <w:sz w:val="18"/>
                <w:lang w:eastAsia="ja-JP"/>
              </w:rPr>
            </w:pPr>
            <w:r w:rsidRPr="00CB6E2D">
              <w:rPr>
                <w:rFonts w:cs="Arial"/>
                <w:sz w:val="18"/>
                <w:lang w:eastAsia="ja-JP"/>
              </w:rPr>
              <w:t xml:space="preserve">5. Séminaire sur la protection des obtentions végétales 2018 </w:t>
            </w:r>
          </w:p>
        </w:tc>
        <w:tc>
          <w:tcPr>
            <w:tcW w:w="1247" w:type="dxa"/>
          </w:tcPr>
          <w:p w:rsidR="00843A88" w:rsidRPr="00CB6E2D" w:rsidRDefault="00843A88" w:rsidP="002D69F6">
            <w:pPr>
              <w:keepNext/>
              <w:jc w:val="left"/>
              <w:rPr>
                <w:rFonts w:cs="Arial"/>
                <w:sz w:val="18"/>
                <w:lang w:eastAsia="ja-JP"/>
              </w:rPr>
            </w:pPr>
            <w:r w:rsidRPr="00CB6E2D">
              <w:rPr>
                <w:rFonts w:cs="Arial"/>
                <w:sz w:val="18"/>
                <w:lang w:eastAsia="ja-JP"/>
              </w:rPr>
              <w:t>8</w:t>
            </w:r>
            <w:r>
              <w:rPr>
                <w:rFonts w:cs="Arial"/>
                <w:sz w:val="18"/>
                <w:lang w:eastAsia="ja-JP"/>
              </w:rPr>
              <w:noBreakHyphen/>
            </w:r>
            <w:r w:rsidRPr="00CB6E2D">
              <w:rPr>
                <w:rFonts w:cs="Arial"/>
                <w:sz w:val="18"/>
                <w:lang w:eastAsia="ja-JP"/>
              </w:rPr>
              <w:t>10</w:t>
            </w:r>
            <w:r>
              <w:rPr>
                <w:rFonts w:cs="Arial"/>
                <w:sz w:val="18"/>
                <w:lang w:eastAsia="ja-JP"/>
              </w:rPr>
              <w:t> janvier</w:t>
            </w:r>
            <w:r>
              <w:rPr>
                <w:rFonts w:cs="Arial"/>
                <w:sz w:val="18"/>
                <w:lang w:eastAsia="ja-JP"/>
              </w:rPr>
              <w:br/>
            </w:r>
            <w:r w:rsidRPr="00CB6E2D">
              <w:rPr>
                <w:rFonts w:cs="Arial"/>
                <w:sz w:val="18"/>
                <w:lang w:eastAsia="ja-JP"/>
              </w:rPr>
              <w:t>2018</w:t>
            </w:r>
          </w:p>
        </w:tc>
        <w:tc>
          <w:tcPr>
            <w:tcW w:w="1101" w:type="dxa"/>
          </w:tcPr>
          <w:p w:rsidR="00843A88" w:rsidRPr="00CB6E2D" w:rsidRDefault="00843A88" w:rsidP="002D69F6">
            <w:pPr>
              <w:keepNext/>
              <w:jc w:val="left"/>
              <w:rPr>
                <w:rFonts w:cs="Arial"/>
                <w:sz w:val="18"/>
                <w:lang w:eastAsia="ja-JP"/>
              </w:rPr>
            </w:pPr>
            <w:r w:rsidRPr="00CB6E2D">
              <w:rPr>
                <w:rFonts w:cs="Arial"/>
                <w:sz w:val="18"/>
              </w:rPr>
              <w:t>Hangzhou</w:t>
            </w:r>
            <w:r w:rsidRPr="00CB6E2D">
              <w:rPr>
                <w:rFonts w:cs="Arial"/>
                <w:sz w:val="18"/>
                <w:lang w:eastAsia="ja-JP"/>
              </w:rPr>
              <w:t>, Chine</w:t>
            </w:r>
          </w:p>
        </w:tc>
        <w:tc>
          <w:tcPr>
            <w:tcW w:w="2693" w:type="dxa"/>
          </w:tcPr>
          <w:p w:rsidR="00843A88" w:rsidRPr="00CB6E2D" w:rsidRDefault="00843A88" w:rsidP="002D69F6">
            <w:pPr>
              <w:keepNext/>
              <w:jc w:val="left"/>
              <w:rPr>
                <w:rFonts w:cs="Arial"/>
                <w:sz w:val="18"/>
              </w:rPr>
            </w:pPr>
            <w:r w:rsidRPr="00CB6E2D">
              <w:rPr>
                <w:rFonts w:cs="Arial"/>
                <w:sz w:val="18"/>
                <w:lang w:eastAsia="ja-JP"/>
              </w:rPr>
              <w:t>Renforcement des capacités concernant le système national de protection des obtentions végétales conforme à la Convention UPOV</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Chine (150), Inde (1), Viet Nam (1), Bureau de l’UPOV (1), USPTO (1) et Japon (3)</w:t>
            </w:r>
          </w:p>
        </w:tc>
      </w:tr>
      <w:tr w:rsidR="00843A88" w:rsidRPr="00CB6E2D" w:rsidTr="002D69F6">
        <w:tc>
          <w:tcPr>
            <w:tcW w:w="2381" w:type="dxa"/>
          </w:tcPr>
          <w:p w:rsidR="00843A88" w:rsidRPr="00CB6E2D" w:rsidRDefault="00843A88" w:rsidP="002D69F6">
            <w:pPr>
              <w:keepNext/>
              <w:jc w:val="left"/>
              <w:rPr>
                <w:rFonts w:cs="Arial"/>
                <w:sz w:val="18"/>
                <w:lang w:eastAsia="ja-JP"/>
              </w:rPr>
            </w:pPr>
            <w:r w:rsidRPr="00CB6E2D">
              <w:rPr>
                <w:rFonts w:cs="Arial"/>
                <w:sz w:val="18"/>
                <w:lang w:eastAsia="ja-JP"/>
              </w:rPr>
              <w:t>6. Cours de formation national sur les principes directeurs d’examen du maïs</w:t>
            </w:r>
          </w:p>
        </w:tc>
        <w:tc>
          <w:tcPr>
            <w:tcW w:w="1247" w:type="dxa"/>
          </w:tcPr>
          <w:p w:rsidR="00843A88" w:rsidRPr="00CB6E2D" w:rsidRDefault="00843A88" w:rsidP="002D69F6">
            <w:pPr>
              <w:keepNext/>
              <w:jc w:val="left"/>
              <w:rPr>
                <w:rFonts w:cs="Arial"/>
                <w:sz w:val="18"/>
                <w:lang w:eastAsia="ja-JP"/>
              </w:rPr>
            </w:pPr>
            <w:r w:rsidRPr="00CB6E2D">
              <w:rPr>
                <w:rFonts w:cs="Arial"/>
                <w:sz w:val="18"/>
                <w:lang w:eastAsia="ja-JP"/>
              </w:rPr>
              <w:t>22</w:t>
            </w:r>
            <w:r>
              <w:rPr>
                <w:rFonts w:cs="Arial"/>
                <w:sz w:val="18"/>
                <w:lang w:eastAsia="ja-JP"/>
              </w:rPr>
              <w:noBreakHyphen/>
            </w:r>
            <w:r w:rsidRPr="00CB6E2D">
              <w:rPr>
                <w:rFonts w:cs="Arial"/>
                <w:sz w:val="18"/>
                <w:lang w:eastAsia="ja-JP"/>
              </w:rPr>
              <w:t>26 janvier 2018</w:t>
            </w:r>
          </w:p>
        </w:tc>
        <w:tc>
          <w:tcPr>
            <w:tcW w:w="1101" w:type="dxa"/>
          </w:tcPr>
          <w:p w:rsidR="00843A88" w:rsidRPr="00CB6E2D" w:rsidRDefault="00843A88" w:rsidP="002D69F6">
            <w:pPr>
              <w:keepNext/>
              <w:jc w:val="left"/>
              <w:rPr>
                <w:rFonts w:cs="Arial"/>
                <w:sz w:val="18"/>
              </w:rPr>
            </w:pPr>
            <w:r w:rsidRPr="00CB6E2D">
              <w:rPr>
                <w:rFonts w:cs="Arial"/>
                <w:sz w:val="18"/>
                <w:lang w:eastAsia="ja-JP"/>
              </w:rPr>
              <w:t>Naypyidaw, Myanmar</w:t>
            </w:r>
          </w:p>
        </w:tc>
        <w:tc>
          <w:tcPr>
            <w:tcW w:w="2693" w:type="dxa"/>
          </w:tcPr>
          <w:p w:rsidR="00843A88" w:rsidRPr="00CB6E2D" w:rsidRDefault="00843A88" w:rsidP="002D69F6">
            <w:pPr>
              <w:keepNext/>
              <w:jc w:val="left"/>
              <w:rPr>
                <w:rFonts w:cs="Arial"/>
                <w:sz w:val="18"/>
              </w:rPr>
            </w:pPr>
            <w:r w:rsidRPr="00CB6E2D">
              <w:rPr>
                <w:rFonts w:cs="Arial"/>
                <w:sz w:val="18"/>
                <w:lang w:eastAsia="ja-JP"/>
              </w:rPr>
              <w:t>Formation sur les principes directeurs d’examen DHS du maïs</w:t>
            </w:r>
          </w:p>
        </w:tc>
        <w:tc>
          <w:tcPr>
            <w:tcW w:w="2410" w:type="dxa"/>
          </w:tcPr>
          <w:p w:rsidR="00843A88" w:rsidRPr="00CB6E2D" w:rsidRDefault="00843A88" w:rsidP="002D69F6">
            <w:pPr>
              <w:keepNext/>
              <w:jc w:val="left"/>
              <w:rPr>
                <w:rFonts w:cs="Arial"/>
                <w:sz w:val="18"/>
                <w:lang w:eastAsia="ja-JP"/>
              </w:rPr>
            </w:pPr>
            <w:r w:rsidRPr="00CB6E2D">
              <w:rPr>
                <w:rFonts w:cs="Arial"/>
                <w:sz w:val="18"/>
                <w:lang w:eastAsia="ja-JP"/>
              </w:rPr>
              <w:t>Myanmar (30), Viet Nam (1), Japon (2)</w:t>
            </w:r>
          </w:p>
        </w:tc>
      </w:tr>
    </w:tbl>
    <w:p w:rsidR="00843A88" w:rsidRPr="00CB6E2D" w:rsidRDefault="00843A88" w:rsidP="00843A88">
      <w:pPr>
        <w:rPr>
          <w:rFonts w:cs="Arial"/>
          <w:lang w:eastAsia="ja-JP"/>
        </w:rPr>
      </w:pP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5.3</w:t>
      </w:r>
      <w:r w:rsidRPr="00CB6E2D">
        <w:rPr>
          <w:rFonts w:cs="Arial"/>
          <w:lang w:eastAsia="ja-JP"/>
        </w:rPr>
        <w:tab/>
        <w:t>Cours de formation international organisé par l’Agence japonaise de coopération internationale (JICA)</w:t>
      </w:r>
    </w:p>
    <w:p w:rsidR="00843A88" w:rsidRPr="00CB6E2D" w:rsidRDefault="00843A88" w:rsidP="00843A88">
      <w:pPr>
        <w:rPr>
          <w:rFonts w:cs="Arial"/>
          <w:lang w:eastAsia="ja-JP"/>
        </w:rPr>
      </w:pPr>
    </w:p>
    <w:p w:rsidR="00843A88" w:rsidRPr="00CB6E2D" w:rsidRDefault="00843A88" w:rsidP="00843A88">
      <w:pPr>
        <w:rPr>
          <w:rFonts w:cs="Arial"/>
          <w:lang w:eastAsia="ja-JP"/>
        </w:rPr>
      </w:pPr>
      <w:r w:rsidRPr="00CB6E2D">
        <w:rPr>
          <w:rFonts w:cs="Arial"/>
          <w:lang w:eastAsia="ja-JP"/>
        </w:rPr>
        <w:t>Un cours de formation international de trois mois intitulé “protéger les obtentions végétales et mettre en œuvre un système de contrôle de la qualité des semences pour assurer la distribution de semences de haute qualité” a été organisé par l’Agence japonaise de coopération internationale en collaboration avec le secrétariat du Bureau de l’UPOV, du 18 juin au 21 septembre 2018, au Japon et au Viet Nam, avec la participation de trois étudiants d’Argentine, du Myanmar et du Viet Nam, à la suite d’un cours de formation semblable organisé en 2016.</w:t>
      </w:r>
    </w:p>
    <w:p w:rsidR="00D15BB0" w:rsidRPr="00843A88" w:rsidRDefault="00D15BB0" w:rsidP="00843A88"/>
    <w:p w:rsidR="003D0373" w:rsidRDefault="003D0373" w:rsidP="003D0373">
      <w:pPr>
        <w:jc w:val="left"/>
      </w:pPr>
    </w:p>
    <w:p w:rsidR="00843A88" w:rsidRDefault="00843A88" w:rsidP="003D0373">
      <w:pPr>
        <w:jc w:val="left"/>
      </w:pPr>
      <w:bookmarkStart w:id="3" w:name="_GoBack"/>
      <w:bookmarkEnd w:id="3"/>
    </w:p>
    <w:p w:rsidR="00050E16" w:rsidRPr="00C5280D" w:rsidRDefault="003D0373" w:rsidP="00D15BB0">
      <w:pPr>
        <w:jc w:val="right"/>
      </w:pPr>
      <w:r>
        <w:t xml:space="preserve">[Fin de l’annexe </w:t>
      </w:r>
      <w:r w:rsidR="00D15BB0">
        <w:t>I</w:t>
      </w:r>
      <w:r>
        <w:t>V et du document]</w:t>
      </w:r>
    </w:p>
    <w:sectPr w:rsidR="00050E16" w:rsidRPr="00C5280D" w:rsidSect="00F92990">
      <w:headerReference w:type="default" r:id="rId1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BE" w:rsidRDefault="00AC3FBE" w:rsidP="006655D3">
      <w:r>
        <w:separator/>
      </w:r>
    </w:p>
    <w:p w:rsidR="00AC3FBE" w:rsidRDefault="00AC3FBE" w:rsidP="006655D3"/>
    <w:p w:rsidR="00AC3FBE" w:rsidRDefault="00AC3FBE" w:rsidP="006655D3"/>
  </w:endnote>
  <w:endnote w:type="continuationSeparator" w:id="0">
    <w:p w:rsidR="00AC3FBE" w:rsidRDefault="00AC3FBE" w:rsidP="006655D3">
      <w:r>
        <w:separator/>
      </w:r>
    </w:p>
    <w:p w:rsidR="00AC3FBE" w:rsidRPr="00294751" w:rsidRDefault="00AC3FBE">
      <w:pPr>
        <w:pStyle w:val="Footer"/>
        <w:spacing w:after="60"/>
        <w:rPr>
          <w:sz w:val="18"/>
          <w:lang w:val="fr-FR"/>
        </w:rPr>
      </w:pPr>
      <w:r w:rsidRPr="00294751">
        <w:rPr>
          <w:sz w:val="18"/>
          <w:lang w:val="fr-FR"/>
        </w:rPr>
        <w:t>[Suite de la note de la page précédente]</w:t>
      </w:r>
    </w:p>
    <w:p w:rsidR="00AC3FBE" w:rsidRPr="00294751" w:rsidRDefault="00AC3FBE" w:rsidP="006655D3"/>
    <w:p w:rsidR="00AC3FBE" w:rsidRPr="00294751" w:rsidRDefault="00AC3FBE" w:rsidP="006655D3"/>
  </w:endnote>
  <w:endnote w:type="continuationNotice" w:id="1">
    <w:p w:rsidR="00AC3FBE" w:rsidRPr="00294751" w:rsidRDefault="00AC3FBE" w:rsidP="006655D3">
      <w:r w:rsidRPr="00294751">
        <w:t>[Suite de la note page suivante]</w:t>
      </w:r>
    </w:p>
    <w:p w:rsidR="00AC3FBE" w:rsidRPr="00294751" w:rsidRDefault="00AC3FBE" w:rsidP="006655D3"/>
    <w:p w:rsidR="00AC3FBE" w:rsidRPr="00294751" w:rsidRDefault="00AC3FB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BE" w:rsidRDefault="00AC3FBE" w:rsidP="006655D3">
      <w:r>
        <w:separator/>
      </w:r>
    </w:p>
  </w:footnote>
  <w:footnote w:type="continuationSeparator" w:id="0">
    <w:p w:rsidR="00AC3FBE" w:rsidRDefault="00AC3FBE" w:rsidP="006655D3">
      <w:r>
        <w:separator/>
      </w:r>
    </w:p>
  </w:footnote>
  <w:footnote w:type="continuationNotice" w:id="1">
    <w:p w:rsidR="00AC3FBE" w:rsidRPr="00AB530F" w:rsidRDefault="00AC3FBE" w:rsidP="00AB530F">
      <w:pPr>
        <w:pStyle w:val="Footer"/>
      </w:pPr>
    </w:p>
  </w:footnote>
  <w:footnote w:id="2">
    <w:p w:rsidR="00843A88" w:rsidRPr="007430B8" w:rsidRDefault="00843A88" w:rsidP="00843A88">
      <w:pPr>
        <w:pStyle w:val="FootnoteText"/>
        <w:rPr>
          <w:lang w:eastAsia="ja-JP"/>
        </w:rPr>
      </w:pPr>
      <w:r w:rsidRPr="007430B8">
        <w:rPr>
          <w:rStyle w:val="FootnoteReference"/>
        </w:rPr>
        <w:footnoteRef/>
      </w:r>
      <w:r w:rsidRPr="007430B8">
        <w:tab/>
        <w:t xml:space="preserve">Ces documents </w:t>
      </w:r>
      <w:r>
        <w:t>ont été adoptés sous réserve d’éventuelles observations supplémentaires que pourraient formuler la Chine et la République de Corée dans un délai de six mois</w:t>
      </w:r>
      <w:r w:rsidRPr="007430B8">
        <w:t xml:space="preserve">. </w:t>
      </w:r>
      <w:r>
        <w:t xml:space="preserve"> Si des modifications étaient proposées, les documents seraient envoyés à tous les membres du Forum EAPVP pour examen.  Les versions révisées de ces documents devront être approuvées par consensus</w:t>
      </w:r>
      <w:r w:rsidRPr="007430B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E7EA6" w:rsidP="00A71548">
    <w:pPr>
      <w:pStyle w:val="Header"/>
      <w:rPr>
        <w:rStyle w:val="PageNumber"/>
        <w:lang w:val="en-US"/>
      </w:rPr>
    </w:pPr>
    <w:r>
      <w:rPr>
        <w:rStyle w:val="PageNumber"/>
        <w:lang w:val="en-US"/>
      </w:rPr>
      <w:t>C/52</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1548">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3A88">
      <w:rPr>
        <w:rStyle w:val="PageNumber"/>
        <w:noProof/>
        <w:lang w:val="en-US"/>
      </w:rPr>
      <w:t>2</w:t>
    </w:r>
    <w:r w:rsidRPr="00C5280D">
      <w:rPr>
        <w:rStyle w:val="PageNumber"/>
        <w:lang w:val="en-US"/>
      </w:rPr>
      <w:fldChar w:fldCharType="end"/>
    </w:r>
  </w:p>
  <w:p w:rsidR="003D0373" w:rsidRPr="00C5280D" w:rsidRDefault="003D037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r w:rsidR="00FE1BC4">
      <w:rPr>
        <w:rStyle w:val="PageNumber"/>
        <w:lang w:val="en-US"/>
      </w:rPr>
      <w:t xml:space="preserve"> Add.</w:t>
    </w:r>
  </w:p>
  <w:p w:rsidR="003D0373" w:rsidRPr="00C5280D" w:rsidRDefault="003D0373"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3A88">
      <w:rPr>
        <w:rStyle w:val="PageNumber"/>
        <w:noProof/>
        <w:lang w:val="en-US"/>
      </w:rPr>
      <w:t>2</w:t>
    </w:r>
    <w:r w:rsidRPr="00C5280D">
      <w:rPr>
        <w:rStyle w:val="PageNumber"/>
        <w:lang w:val="en-US"/>
      </w:rPr>
      <w:fldChar w:fldCharType="end"/>
    </w:r>
  </w:p>
  <w:p w:rsidR="003D0373" w:rsidRPr="00C5280D" w:rsidRDefault="003D0373"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r w:rsidR="00843A88">
      <w:rPr>
        <w:rStyle w:val="PageNumber"/>
        <w:lang w:val="en-US"/>
      </w:rPr>
      <w:t xml:space="preserve"> Add.</w:t>
    </w:r>
  </w:p>
  <w:p w:rsidR="003D0373" w:rsidRPr="00C5280D" w:rsidRDefault="003D0373"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3A88">
      <w:rPr>
        <w:rStyle w:val="PageNumber"/>
        <w:noProof/>
        <w:lang w:val="en-US"/>
      </w:rPr>
      <w:t>2</w:t>
    </w:r>
    <w:r w:rsidRPr="00C5280D">
      <w:rPr>
        <w:rStyle w:val="PageNumber"/>
        <w:lang w:val="en-US"/>
      </w:rPr>
      <w:fldChar w:fldCharType="end"/>
    </w:r>
  </w:p>
  <w:p w:rsidR="003D0373" w:rsidRPr="00C5280D" w:rsidRDefault="003D037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610834" w:rsidP="00EB048E">
    <w:pPr>
      <w:pStyle w:val="Header"/>
      <w:rPr>
        <w:rStyle w:val="PageNumber"/>
        <w:lang w:val="en-US"/>
      </w:rPr>
    </w:pPr>
    <w:r>
      <w:rPr>
        <w:rStyle w:val="PageNumber"/>
        <w:lang w:val="en-US"/>
      </w:rPr>
      <w:t>C/52/15</w:t>
    </w:r>
    <w:r w:rsidR="00843A88">
      <w:rPr>
        <w:rStyle w:val="PageNumber"/>
        <w:lang w:val="en-US"/>
      </w:rPr>
      <w:t xml:space="preserve"> Add.</w:t>
    </w:r>
  </w:p>
  <w:p w:rsidR="00C158C6" w:rsidRPr="00C5280D" w:rsidRDefault="003D0373" w:rsidP="00EB048E">
    <w:pPr>
      <w:pStyle w:val="Header"/>
      <w:rPr>
        <w:lang w:val="en-US"/>
      </w:rPr>
    </w:pPr>
    <w:r>
      <w:rPr>
        <w:lang w:val="en-US"/>
      </w:rPr>
      <w:t>Annexe</w:t>
    </w:r>
    <w:r w:rsidR="00610834">
      <w:rPr>
        <w:lang w:val="en-US"/>
      </w:rPr>
      <w:t xml:space="preserve"> </w:t>
    </w:r>
    <w:r w:rsidR="00843A88">
      <w:rPr>
        <w:lang w:val="en-US"/>
      </w:rPr>
      <w:t>I</w:t>
    </w:r>
    <w:r w:rsidR="00610834">
      <w:rPr>
        <w:lang w:val="en-US"/>
      </w:rPr>
      <w:t xml:space="preserve">V, </w:t>
    </w:r>
    <w:r w:rsidR="00610834" w:rsidRPr="00C5280D">
      <w:rPr>
        <w:lang w:val="en-US"/>
      </w:rPr>
      <w:t xml:space="preserve">page </w:t>
    </w:r>
    <w:r w:rsidR="00610834" w:rsidRPr="00C5280D">
      <w:rPr>
        <w:rStyle w:val="PageNumber"/>
        <w:lang w:val="en-US"/>
      </w:rPr>
      <w:fldChar w:fldCharType="begin"/>
    </w:r>
    <w:r w:rsidR="00610834" w:rsidRPr="00C5280D">
      <w:rPr>
        <w:rStyle w:val="PageNumber"/>
        <w:lang w:val="en-US"/>
      </w:rPr>
      <w:instrText xml:space="preserve"> PAGE </w:instrText>
    </w:r>
    <w:r w:rsidR="00610834" w:rsidRPr="00C5280D">
      <w:rPr>
        <w:rStyle w:val="PageNumber"/>
        <w:lang w:val="en-US"/>
      </w:rPr>
      <w:fldChar w:fldCharType="separate"/>
    </w:r>
    <w:r w:rsidR="00843A88">
      <w:rPr>
        <w:rStyle w:val="PageNumber"/>
        <w:noProof/>
        <w:lang w:val="en-US"/>
      </w:rPr>
      <w:t>3</w:t>
    </w:r>
    <w:r w:rsidR="00610834" w:rsidRPr="00C5280D">
      <w:rPr>
        <w:rStyle w:val="PageNumber"/>
        <w:lang w:val="en-US"/>
      </w:rPr>
      <w:fldChar w:fldCharType="end"/>
    </w:r>
  </w:p>
  <w:p w:rsidR="00C158C6" w:rsidRPr="00C5280D" w:rsidRDefault="00843A8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8A6"/>
    <w:multiLevelType w:val="hybridMultilevel"/>
    <w:tmpl w:val="AF8E5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C45BA"/>
    <w:multiLevelType w:val="multilevel"/>
    <w:tmpl w:val="16E82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3F2D"/>
    <w:multiLevelType w:val="hybridMultilevel"/>
    <w:tmpl w:val="5BD6BA48"/>
    <w:lvl w:ilvl="0" w:tplc="85FA55F8">
      <w:start w:val="1"/>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7" w15:restartNumberingAfterBreak="0">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3CC7474"/>
    <w:multiLevelType w:val="multilevel"/>
    <w:tmpl w:val="2FAAE75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43B1C1C"/>
    <w:multiLevelType w:val="hybridMultilevel"/>
    <w:tmpl w:val="F370C03E"/>
    <w:lvl w:ilvl="0" w:tplc="8E1AE53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D17"/>
    <w:multiLevelType w:val="hybridMultilevel"/>
    <w:tmpl w:val="978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5110B30"/>
    <w:multiLevelType w:val="multilevel"/>
    <w:tmpl w:val="6D167CF0"/>
    <w:lvl w:ilvl="0">
      <w:start w:val="1"/>
      <w:numFmt w:val="decimal"/>
      <w:lvlText w:val="%1"/>
      <w:lvlJc w:val="left"/>
      <w:pPr>
        <w:ind w:left="435" w:hanging="435"/>
      </w:pPr>
      <w:rPr>
        <w:rFonts w:hint="default"/>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46B13"/>
    <w:multiLevelType w:val="hybridMultilevel"/>
    <w:tmpl w:val="86F6F2B0"/>
    <w:lvl w:ilvl="0" w:tplc="B1A20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73B79"/>
    <w:multiLevelType w:val="hybridMultilevel"/>
    <w:tmpl w:val="E168CE62"/>
    <w:lvl w:ilvl="0" w:tplc="343EC008">
      <w:start w:val="4"/>
      <w:numFmt w:val="decimal"/>
      <w:lvlText w:val="%1."/>
      <w:lvlJc w:val="left"/>
      <w:pPr>
        <w:ind w:left="360" w:hanging="360"/>
      </w:pPr>
    </w:lvl>
    <w:lvl w:ilvl="1" w:tplc="27C2C21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85255"/>
    <w:multiLevelType w:val="hybridMultilevel"/>
    <w:tmpl w:val="A2F0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0" w15:restartNumberingAfterBreak="0">
    <w:nsid w:val="56791ECB"/>
    <w:multiLevelType w:val="hybridMultilevel"/>
    <w:tmpl w:val="C44E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EF11C4"/>
    <w:multiLevelType w:val="hybridMultilevel"/>
    <w:tmpl w:val="8E668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7707E"/>
    <w:multiLevelType w:val="multilevel"/>
    <w:tmpl w:val="4F2E1F18"/>
    <w:lvl w:ilvl="0">
      <w:start w:val="1"/>
      <w:numFmt w:val="upperRoman"/>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8"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9" w15:restartNumberingAfterBreak="0">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E10F30"/>
    <w:multiLevelType w:val="hybridMultilevel"/>
    <w:tmpl w:val="9BE2A318"/>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1" w15:restartNumberingAfterBreak="0">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42" w15:restartNumberingAfterBreak="0">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86014"/>
    <w:multiLevelType w:val="hybridMultilevel"/>
    <w:tmpl w:val="2E3E64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23"/>
  </w:num>
  <w:num w:numId="4">
    <w:abstractNumId w:val="12"/>
  </w:num>
  <w:num w:numId="5">
    <w:abstractNumId w:val="38"/>
  </w:num>
  <w:num w:numId="6">
    <w:abstractNumId w:val="33"/>
  </w:num>
  <w:num w:numId="7">
    <w:abstractNumId w:val="6"/>
  </w:num>
  <w:num w:numId="8">
    <w:abstractNumId w:val="17"/>
  </w:num>
  <w:num w:numId="9">
    <w:abstractNumId w:val="28"/>
  </w:num>
  <w:num w:numId="10">
    <w:abstractNumId w:val="18"/>
  </w:num>
  <w:num w:numId="11">
    <w:abstractNumId w:val="19"/>
  </w:num>
  <w:num w:numId="12">
    <w:abstractNumId w:val="42"/>
  </w:num>
  <w:num w:numId="13">
    <w:abstractNumId w:val="3"/>
  </w:num>
  <w:num w:numId="14">
    <w:abstractNumId w:val="21"/>
  </w:num>
  <w:num w:numId="15">
    <w:abstractNumId w:val="2"/>
  </w:num>
  <w:num w:numId="16">
    <w:abstractNumId w:val="11"/>
  </w:num>
  <w:num w:numId="17">
    <w:abstractNumId w:val="8"/>
  </w:num>
  <w:num w:numId="18">
    <w:abstractNumId w:val="39"/>
  </w:num>
  <w:num w:numId="19">
    <w:abstractNumId w:val="26"/>
  </w:num>
  <w:num w:numId="20">
    <w:abstractNumId w:val="7"/>
  </w:num>
  <w:num w:numId="21">
    <w:abstractNumId w:val="41"/>
  </w:num>
  <w:num w:numId="22">
    <w:abstractNumId w:val="32"/>
  </w:num>
  <w:num w:numId="23">
    <w:abstractNumId w:val="24"/>
    <w:lvlOverride w:ilvl="0">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10"/>
  </w:num>
  <w:num w:numId="28">
    <w:abstractNumId w:val="37"/>
  </w:num>
  <w:num w:numId="29">
    <w:abstractNumId w:val="46"/>
  </w:num>
  <w:num w:numId="30">
    <w:abstractNumId w:val="29"/>
  </w:num>
  <w:num w:numId="31">
    <w:abstractNumId w:val="15"/>
  </w:num>
  <w:num w:numId="32">
    <w:abstractNumId w:val="0"/>
  </w:num>
  <w:num w:numId="33">
    <w:abstractNumId w:val="45"/>
  </w:num>
  <w:num w:numId="34">
    <w:abstractNumId w:val="34"/>
  </w:num>
  <w:num w:numId="35">
    <w:abstractNumId w:val="35"/>
  </w:num>
  <w:num w:numId="36">
    <w:abstractNumId w:val="3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
  </w:num>
  <w:num w:numId="42">
    <w:abstractNumId w:val="13"/>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5"/>
  </w:num>
  <w:num w:numId="46">
    <w:abstractNumId w:val="43"/>
  </w:num>
  <w:num w:numId="47">
    <w:abstractNumId w:val="16"/>
  </w:num>
  <w:num w:numId="48">
    <w:abstractNumId w:val="2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BE"/>
    <w:rsid w:val="00010CF3"/>
    <w:rsid w:val="00011E27"/>
    <w:rsid w:val="000148BC"/>
    <w:rsid w:val="00024AB8"/>
    <w:rsid w:val="00030854"/>
    <w:rsid w:val="00036028"/>
    <w:rsid w:val="000443E5"/>
    <w:rsid w:val="00044642"/>
    <w:rsid w:val="000446B9"/>
    <w:rsid w:val="00047E21"/>
    <w:rsid w:val="00050E16"/>
    <w:rsid w:val="00085505"/>
    <w:rsid w:val="00095E74"/>
    <w:rsid w:val="000A615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3075"/>
    <w:rsid w:val="0021332C"/>
    <w:rsid w:val="00213982"/>
    <w:rsid w:val="0024416D"/>
    <w:rsid w:val="00271911"/>
    <w:rsid w:val="002800A0"/>
    <w:rsid w:val="002801B3"/>
    <w:rsid w:val="00281060"/>
    <w:rsid w:val="002940E8"/>
    <w:rsid w:val="00294751"/>
    <w:rsid w:val="002A6E50"/>
    <w:rsid w:val="002B4298"/>
    <w:rsid w:val="002C256A"/>
    <w:rsid w:val="002C73B7"/>
    <w:rsid w:val="00305A7F"/>
    <w:rsid w:val="00313011"/>
    <w:rsid w:val="003152FE"/>
    <w:rsid w:val="00327436"/>
    <w:rsid w:val="00327BBA"/>
    <w:rsid w:val="00337C0A"/>
    <w:rsid w:val="00344BD6"/>
    <w:rsid w:val="0035084F"/>
    <w:rsid w:val="0035528D"/>
    <w:rsid w:val="00361821"/>
    <w:rsid w:val="00361E9E"/>
    <w:rsid w:val="003B37B3"/>
    <w:rsid w:val="003C7FBE"/>
    <w:rsid w:val="003D0373"/>
    <w:rsid w:val="003D227C"/>
    <w:rsid w:val="003D2B4D"/>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65E44"/>
    <w:rsid w:val="00576BE4"/>
    <w:rsid w:val="005A400A"/>
    <w:rsid w:val="005E7EA6"/>
    <w:rsid w:val="005F7B92"/>
    <w:rsid w:val="00610834"/>
    <w:rsid w:val="00612379"/>
    <w:rsid w:val="006153B6"/>
    <w:rsid w:val="0061555F"/>
    <w:rsid w:val="00636CA6"/>
    <w:rsid w:val="00641200"/>
    <w:rsid w:val="00645CA8"/>
    <w:rsid w:val="00650652"/>
    <w:rsid w:val="006655D3"/>
    <w:rsid w:val="00667404"/>
    <w:rsid w:val="00687EB4"/>
    <w:rsid w:val="00695C56"/>
    <w:rsid w:val="006A5CDE"/>
    <w:rsid w:val="006A644A"/>
    <w:rsid w:val="006B17D2"/>
    <w:rsid w:val="006C224E"/>
    <w:rsid w:val="006D780A"/>
    <w:rsid w:val="006E0F7A"/>
    <w:rsid w:val="0071271E"/>
    <w:rsid w:val="00732DEC"/>
    <w:rsid w:val="00735BD5"/>
    <w:rsid w:val="00746608"/>
    <w:rsid w:val="00751613"/>
    <w:rsid w:val="007556F6"/>
    <w:rsid w:val="00760EEF"/>
    <w:rsid w:val="00777EE5"/>
    <w:rsid w:val="00784836"/>
    <w:rsid w:val="0079023E"/>
    <w:rsid w:val="007A2854"/>
    <w:rsid w:val="007C1D92"/>
    <w:rsid w:val="007C4CB9"/>
    <w:rsid w:val="007D0B9D"/>
    <w:rsid w:val="007D19B0"/>
    <w:rsid w:val="007E755F"/>
    <w:rsid w:val="007F498F"/>
    <w:rsid w:val="0080679D"/>
    <w:rsid w:val="008108B0"/>
    <w:rsid w:val="00811B20"/>
    <w:rsid w:val="008211B5"/>
    <w:rsid w:val="0082296E"/>
    <w:rsid w:val="00824099"/>
    <w:rsid w:val="00837C7C"/>
    <w:rsid w:val="00843A88"/>
    <w:rsid w:val="00846D7C"/>
    <w:rsid w:val="00864C55"/>
    <w:rsid w:val="00867AC1"/>
    <w:rsid w:val="00890DF8"/>
    <w:rsid w:val="008A743F"/>
    <w:rsid w:val="008C0970"/>
    <w:rsid w:val="008D0BC5"/>
    <w:rsid w:val="008D2CF7"/>
    <w:rsid w:val="008D7B46"/>
    <w:rsid w:val="008E2846"/>
    <w:rsid w:val="00900C26"/>
    <w:rsid w:val="0090197F"/>
    <w:rsid w:val="00903242"/>
    <w:rsid w:val="00906DDC"/>
    <w:rsid w:val="00934E09"/>
    <w:rsid w:val="00936253"/>
    <w:rsid w:val="00940D46"/>
    <w:rsid w:val="00952DD4"/>
    <w:rsid w:val="00965AE7"/>
    <w:rsid w:val="00970FED"/>
    <w:rsid w:val="00982972"/>
    <w:rsid w:val="00992D82"/>
    <w:rsid w:val="00997029"/>
    <w:rsid w:val="009A7339"/>
    <w:rsid w:val="009B440E"/>
    <w:rsid w:val="009D690D"/>
    <w:rsid w:val="009E65B6"/>
    <w:rsid w:val="00A24C10"/>
    <w:rsid w:val="00A42AC3"/>
    <w:rsid w:val="00A430CF"/>
    <w:rsid w:val="00A54309"/>
    <w:rsid w:val="00A706D3"/>
    <w:rsid w:val="00A71548"/>
    <w:rsid w:val="00A76D4D"/>
    <w:rsid w:val="00A87D5C"/>
    <w:rsid w:val="00A91C49"/>
    <w:rsid w:val="00AB2B93"/>
    <w:rsid w:val="00AB530F"/>
    <w:rsid w:val="00AB5931"/>
    <w:rsid w:val="00AB7E5B"/>
    <w:rsid w:val="00AC2883"/>
    <w:rsid w:val="00AC3FBE"/>
    <w:rsid w:val="00AE0EF1"/>
    <w:rsid w:val="00AE2937"/>
    <w:rsid w:val="00B07301"/>
    <w:rsid w:val="00B11F3E"/>
    <w:rsid w:val="00B224DE"/>
    <w:rsid w:val="00B324D4"/>
    <w:rsid w:val="00B46575"/>
    <w:rsid w:val="00B61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4DB7"/>
    <w:rsid w:val="00D15BB0"/>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27747"/>
    <w:rsid w:val="00E32F7E"/>
    <w:rsid w:val="00E5267B"/>
    <w:rsid w:val="00E63C0E"/>
    <w:rsid w:val="00E72D49"/>
    <w:rsid w:val="00E7593C"/>
    <w:rsid w:val="00E7678A"/>
    <w:rsid w:val="00E935F1"/>
    <w:rsid w:val="00E94A81"/>
    <w:rsid w:val="00EA1FFB"/>
    <w:rsid w:val="00EB048E"/>
    <w:rsid w:val="00EB4E9C"/>
    <w:rsid w:val="00EB5571"/>
    <w:rsid w:val="00EE34DF"/>
    <w:rsid w:val="00EF2F89"/>
    <w:rsid w:val="00F03E98"/>
    <w:rsid w:val="00F1237A"/>
    <w:rsid w:val="00F22CBD"/>
    <w:rsid w:val="00F272F1"/>
    <w:rsid w:val="00F45372"/>
    <w:rsid w:val="00F560F7"/>
    <w:rsid w:val="00F6334D"/>
    <w:rsid w:val="00F92990"/>
    <w:rsid w:val="00FA49AB"/>
    <w:rsid w:val="00FE1BC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F574F"/>
  <w15:docId w15:val="{AC491A75-168B-475D-A967-BADA786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F92990"/>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92990"/>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F92990"/>
    <w:pPr>
      <w:spacing w:before="60"/>
      <w:ind w:left="284" w:hanging="284"/>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73"/>
    <w:pPr>
      <w:ind w:left="1134" w:hanging="567"/>
      <w:jc w:val="left"/>
    </w:pPr>
    <w:rPr>
      <w:szCs w:val="22"/>
      <w:lang w:val="en-US"/>
    </w:rPr>
  </w:style>
  <w:style w:type="character" w:customStyle="1" w:styleId="FootnoteTextChar">
    <w:name w:val="Footnote Text Char"/>
    <w:link w:val="FootnoteText"/>
    <w:rsid w:val="00F92990"/>
    <w:rPr>
      <w:rFonts w:ascii="Arial" w:hAnsi="Arial"/>
      <w:sz w:val="16"/>
      <w:lang w:val="fr-FR"/>
    </w:rPr>
  </w:style>
  <w:style w:type="table" w:styleId="TableGrid">
    <w:name w:val="Table Grid"/>
    <w:basedOn w:val="TableNormal"/>
    <w:rsid w:val="003D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3D0373"/>
    <w:rPr>
      <w:rFonts w:ascii="Arial" w:hAnsi="Arial"/>
      <w:sz w:val="14"/>
    </w:rPr>
  </w:style>
  <w:style w:type="paragraph" w:styleId="BodyTextIndent2">
    <w:name w:val="Body Text Indent 2"/>
    <w:basedOn w:val="Normal"/>
    <w:link w:val="BodyTextIndent2Char"/>
    <w:rsid w:val="003D0373"/>
    <w:pPr>
      <w:spacing w:after="120" w:line="480" w:lineRule="auto"/>
      <w:ind w:left="283"/>
    </w:pPr>
    <w:rPr>
      <w:lang w:val="en-US"/>
    </w:rPr>
  </w:style>
  <w:style w:type="character" w:customStyle="1" w:styleId="BodyTextIndent2Char">
    <w:name w:val="Body Text Indent 2 Char"/>
    <w:basedOn w:val="DefaultParagraphFont"/>
    <w:link w:val="BodyTextIndent2"/>
    <w:rsid w:val="003D0373"/>
    <w:rPr>
      <w:rFonts w:ascii="Arial" w:hAnsi="Arial"/>
    </w:rPr>
  </w:style>
  <w:style w:type="character" w:styleId="Strong">
    <w:name w:val="Strong"/>
    <w:uiPriority w:val="22"/>
    <w:qFormat/>
    <w:rsid w:val="003D0373"/>
    <w:rPr>
      <w:b/>
      <w:bCs/>
    </w:rPr>
  </w:style>
  <w:style w:type="character" w:styleId="Emphasis">
    <w:name w:val="Emphasis"/>
    <w:uiPriority w:val="99"/>
    <w:qFormat/>
    <w:rsid w:val="003D0373"/>
    <w:rPr>
      <w:rFonts w:cs="Times New Roman"/>
      <w:i/>
      <w:iCs/>
    </w:rPr>
  </w:style>
  <w:style w:type="character" w:customStyle="1" w:styleId="Heading7Char">
    <w:name w:val="Heading 7 Char"/>
    <w:basedOn w:val="DefaultParagraphFont"/>
    <w:link w:val="Heading7"/>
    <w:rsid w:val="00F92990"/>
    <w:rPr>
      <w:sz w:val="22"/>
      <w:szCs w:val="22"/>
      <w:u w:val="single"/>
      <w:lang w:val="en-GB"/>
    </w:rPr>
  </w:style>
  <w:style w:type="character" w:customStyle="1" w:styleId="Heading8Char">
    <w:name w:val="Heading 8 Char"/>
    <w:basedOn w:val="DefaultParagraphFont"/>
    <w:link w:val="Heading8"/>
    <w:rsid w:val="00F92990"/>
    <w:rPr>
      <w:rFonts w:ascii="Arial" w:hAnsi="Arial"/>
      <w:u w:val="single"/>
      <w:lang w:val="en-GB" w:eastAsia="pl-PL"/>
    </w:rPr>
  </w:style>
  <w:style w:type="paragraph" w:styleId="ListBullet">
    <w:name w:val="List Bullet"/>
    <w:basedOn w:val="Normal"/>
    <w:rsid w:val="00F92990"/>
    <w:pPr>
      <w:numPr>
        <w:numId w:val="9"/>
      </w:numPr>
      <w:spacing w:after="240"/>
    </w:pPr>
    <w:rPr>
      <w:lang w:val="en-GB"/>
    </w:rPr>
  </w:style>
  <w:style w:type="paragraph" w:customStyle="1" w:styleId="Default">
    <w:name w:val="Default"/>
    <w:rsid w:val="00F92990"/>
    <w:pPr>
      <w:autoSpaceDE w:val="0"/>
      <w:autoSpaceDN w:val="0"/>
      <w:adjustRightInd w:val="0"/>
    </w:pPr>
    <w:rPr>
      <w:rFonts w:ascii="Arial" w:hAnsi="Arial" w:cs="Arial"/>
      <w:color w:val="000000"/>
      <w:sz w:val="24"/>
      <w:szCs w:val="24"/>
    </w:rPr>
  </w:style>
  <w:style w:type="character" w:customStyle="1" w:styleId="StyleDoclangBold">
    <w:name w:val="Style Doc_lang + Bold"/>
    <w:rsid w:val="00F92990"/>
    <w:rPr>
      <w:rFonts w:ascii="Arial" w:hAnsi="Arial"/>
      <w:b/>
      <w:bCs/>
      <w:sz w:val="20"/>
      <w:lang w:val="en-US"/>
    </w:rPr>
  </w:style>
  <w:style w:type="paragraph" w:customStyle="1" w:styleId="StyleDocnumber">
    <w:name w:val="Style Doc_number"/>
    <w:basedOn w:val="Docoriginal"/>
    <w:rsid w:val="00F9299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92990"/>
    <w:pPr>
      <w:spacing w:before="0" w:line="280" w:lineRule="exact"/>
      <w:ind w:left="1361"/>
      <w:contextualSpacing w:val="0"/>
      <w:jc w:val="both"/>
    </w:pPr>
    <w:rPr>
      <w:sz w:val="20"/>
      <w:lang w:val="en-US"/>
    </w:rPr>
  </w:style>
  <w:style w:type="paragraph" w:customStyle="1" w:styleId="StyleDocoriginalNotBold">
    <w:name w:val="Style Doc_original + Not Bold"/>
    <w:basedOn w:val="Docoriginal"/>
    <w:link w:val="StyleDocoriginalNotBoldChar"/>
    <w:autoRedefine/>
    <w:rsid w:val="00F92990"/>
    <w:pPr>
      <w:spacing w:before="0" w:line="280" w:lineRule="exact"/>
      <w:ind w:left="1589"/>
      <w:contextualSpacing w:val="0"/>
    </w:pPr>
    <w:rPr>
      <w:sz w:val="20"/>
      <w:lang w:val="en-US"/>
    </w:rPr>
  </w:style>
  <w:style w:type="character" w:customStyle="1" w:styleId="StyleDocoriginalNotBoldChar">
    <w:name w:val="Style Doc_original + Not Bold Char"/>
    <w:link w:val="StyleDocoriginalNotBold"/>
    <w:rsid w:val="00F92990"/>
    <w:rPr>
      <w:rFonts w:ascii="Arial" w:hAnsi="Arial"/>
      <w:b/>
      <w:bCs/>
      <w:spacing w:val="10"/>
    </w:rPr>
  </w:style>
  <w:style w:type="character" w:customStyle="1" w:styleId="StyleStyleDocoriginalNotBoldNotBoldChar">
    <w:name w:val="Style Style Doc_original + Not Bold + Not Bold Char"/>
    <w:link w:val="StyleStyleDocoriginalNotBoldNotBold"/>
    <w:rsid w:val="00F92990"/>
    <w:rPr>
      <w:rFonts w:ascii="Arial" w:hAnsi="Arial"/>
      <w:b/>
      <w:bCs/>
      <w:spacing w:val="10"/>
    </w:rPr>
  </w:style>
  <w:style w:type="character" w:customStyle="1" w:styleId="StyleDocoriginalNotBold1">
    <w:name w:val="Style Doc_original + Not Bold1"/>
    <w:rsid w:val="00F92990"/>
    <w:rPr>
      <w:rFonts w:ascii="Arial" w:hAnsi="Arial"/>
      <w:b/>
      <w:bCs/>
      <w:spacing w:val="10"/>
      <w:lang w:val="en-US" w:eastAsia="en-US" w:bidi="ar-SA"/>
    </w:rPr>
  </w:style>
  <w:style w:type="character" w:customStyle="1" w:styleId="StyleDocoriginalChar">
    <w:name w:val="Style Doc_original Char"/>
    <w:link w:val="StyleDocoriginal"/>
    <w:rsid w:val="00F92990"/>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F92990"/>
  </w:style>
  <w:style w:type="paragraph" w:styleId="BodyText2">
    <w:name w:val="Body Text 2"/>
    <w:basedOn w:val="Normal"/>
    <w:link w:val="BodyText2Char"/>
    <w:rsid w:val="00F92990"/>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F92990"/>
    <w:rPr>
      <w:sz w:val="28"/>
      <w:lang w:val="pl-PL" w:eastAsia="pl-PL"/>
    </w:rPr>
  </w:style>
  <w:style w:type="paragraph" w:styleId="BodyText3">
    <w:name w:val="Body Text 3"/>
    <w:basedOn w:val="Normal"/>
    <w:link w:val="BodyText3Char"/>
    <w:rsid w:val="00F92990"/>
    <w:pPr>
      <w:spacing w:after="120"/>
    </w:pPr>
    <w:rPr>
      <w:sz w:val="16"/>
      <w:szCs w:val="16"/>
      <w:lang w:val="x-none" w:eastAsia="x-none"/>
    </w:rPr>
  </w:style>
  <w:style w:type="character" w:customStyle="1" w:styleId="BodyText3Char">
    <w:name w:val="Body Text 3 Char"/>
    <w:basedOn w:val="DefaultParagraphFont"/>
    <w:link w:val="BodyText3"/>
    <w:rsid w:val="00F92990"/>
    <w:rPr>
      <w:rFonts w:ascii="Arial" w:hAnsi="Arial"/>
      <w:sz w:val="16"/>
      <w:szCs w:val="16"/>
      <w:lang w:val="x-none" w:eastAsia="x-none"/>
    </w:rPr>
  </w:style>
  <w:style w:type="character" w:customStyle="1" w:styleId="shorttext">
    <w:name w:val="short_text"/>
    <w:basedOn w:val="DefaultParagraphFont"/>
    <w:rsid w:val="00F92990"/>
  </w:style>
  <w:style w:type="paragraph" w:customStyle="1" w:styleId="AddressBlock">
    <w:name w:val="Address Block"/>
    <w:basedOn w:val="Normal"/>
    <w:uiPriority w:val="99"/>
    <w:qFormat/>
    <w:rsid w:val="00F92990"/>
    <w:pPr>
      <w:jc w:val="left"/>
    </w:pPr>
    <w:rPr>
      <w:sz w:val="24"/>
      <w:lang w:val="en-NZ"/>
    </w:rPr>
  </w:style>
  <w:style w:type="paragraph" w:styleId="NormalWeb">
    <w:name w:val="Normal (Web)"/>
    <w:basedOn w:val="Normal"/>
    <w:uiPriority w:val="99"/>
    <w:semiHidden/>
    <w:unhideWhenUsed/>
    <w:rsid w:val="00F92990"/>
    <w:pPr>
      <w:spacing w:before="100" w:beforeAutospacing="1" w:after="100" w:afterAutospacing="1"/>
      <w:jc w:val="left"/>
    </w:pPr>
    <w:rPr>
      <w:rFonts w:ascii="Times New Roman" w:hAnsi="Times New Roman"/>
      <w:sz w:val="24"/>
      <w:szCs w:val="24"/>
      <w:lang w:val="en-US"/>
    </w:rPr>
  </w:style>
  <w:style w:type="paragraph" w:styleId="BodyTextIndent">
    <w:name w:val="Body Text Indent"/>
    <w:basedOn w:val="Normal"/>
    <w:link w:val="BodyTextIndentChar"/>
    <w:uiPriority w:val="99"/>
    <w:rsid w:val="00F92990"/>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F92990"/>
    <w:rPr>
      <w:lang w:val="ru-RU" w:eastAsia="ru-RU"/>
    </w:rPr>
  </w:style>
  <w:style w:type="paragraph" w:styleId="NoSpacing">
    <w:name w:val="No Spacing"/>
    <w:uiPriority w:val="1"/>
    <w:qFormat/>
    <w:rsid w:val="00F92990"/>
    <w:pPr>
      <w:widowControl w:val="0"/>
      <w:autoSpaceDE w:val="0"/>
      <w:autoSpaceDN w:val="0"/>
      <w:adjustRightInd w:val="0"/>
    </w:pPr>
    <w:rPr>
      <w:lang w:val="ru-RU" w:eastAsia="ru-RU"/>
    </w:rPr>
  </w:style>
  <w:style w:type="character" w:styleId="FollowedHyperlink">
    <w:name w:val="FollowedHyperlink"/>
    <w:basedOn w:val="DefaultParagraphFont"/>
    <w:semiHidden/>
    <w:unhideWhenUsed/>
    <w:rsid w:val="00F92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plant-online.org/11th-eapvp-forum-mee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ro.affrc.go.jp/english/ncss/index.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Details/C2018C00361"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c_52_FR.dotx</Template>
  <TotalTime>33</TotalTime>
  <Pages>9</Pages>
  <Words>3130</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C/52/15</vt:lpstr>
    </vt:vector>
  </TitlesOfParts>
  <Company>UPOV</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dc:title>
  <dc:creator>SANCHEZ VIZCAINO GOMEZ Rosa Maria</dc:creator>
  <cp:lastModifiedBy>SANCHEZ VIZCAINO GOMEZ Rosa Maria</cp:lastModifiedBy>
  <cp:revision>7</cp:revision>
  <cp:lastPrinted>2016-11-22T15:41:00Z</cp:lastPrinted>
  <dcterms:created xsi:type="dcterms:W3CDTF">2019-01-09T16:57:00Z</dcterms:created>
  <dcterms:modified xsi:type="dcterms:W3CDTF">2019-01-09T17:31:00Z</dcterms:modified>
</cp:coreProperties>
</file>