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D3D70" w:rsidRPr="004D3D70" w:rsidTr="00ED317C">
        <w:tc>
          <w:tcPr>
            <w:tcW w:w="6522" w:type="dxa"/>
          </w:tcPr>
          <w:p w:rsidR="0090218F" w:rsidRPr="004D3D70" w:rsidRDefault="0090218F" w:rsidP="00ED317C">
            <w:r w:rsidRPr="004D3D70">
              <w:rPr>
                <w:noProof/>
                <w:lang w:val="en-US"/>
              </w:rPr>
              <w:drawing>
                <wp:inline distT="0" distB="0" distL="0" distR="0" wp14:anchorId="05BBFAE6" wp14:editId="1795079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0218F" w:rsidRPr="004D3D70" w:rsidRDefault="0090218F" w:rsidP="00ED317C">
            <w:pPr>
              <w:pStyle w:val="Lettrine"/>
            </w:pPr>
            <w:r w:rsidRPr="004D3D70">
              <w:t>F</w:t>
            </w:r>
          </w:p>
        </w:tc>
      </w:tr>
      <w:tr w:rsidR="004D3D70" w:rsidRPr="0064650C" w:rsidTr="00ED317C">
        <w:trPr>
          <w:trHeight w:val="219"/>
        </w:trPr>
        <w:tc>
          <w:tcPr>
            <w:tcW w:w="6522" w:type="dxa"/>
          </w:tcPr>
          <w:p w:rsidR="0090218F" w:rsidRPr="004D3D70" w:rsidRDefault="0090218F" w:rsidP="00ED317C">
            <w:pPr>
              <w:pStyle w:val="upove"/>
            </w:pPr>
            <w:r w:rsidRPr="004D3D70">
              <w:t>Union internationale pour la protection des obtentions végétales</w:t>
            </w:r>
          </w:p>
        </w:tc>
        <w:tc>
          <w:tcPr>
            <w:tcW w:w="3117" w:type="dxa"/>
          </w:tcPr>
          <w:p w:rsidR="0090218F" w:rsidRPr="004D3D70" w:rsidRDefault="0090218F" w:rsidP="00ED317C"/>
        </w:tc>
      </w:tr>
    </w:tbl>
    <w:p w:rsidR="0090218F" w:rsidRPr="004D3D70" w:rsidRDefault="0090218F" w:rsidP="0090218F"/>
    <w:p w:rsidR="0090218F" w:rsidRPr="004D3D70" w:rsidRDefault="0090218F" w:rsidP="0090218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D3D70" w:rsidRPr="0064650C" w:rsidTr="00ED317C">
        <w:tc>
          <w:tcPr>
            <w:tcW w:w="6512" w:type="dxa"/>
          </w:tcPr>
          <w:p w:rsidR="0090218F" w:rsidRPr="004D215F" w:rsidRDefault="0090218F" w:rsidP="00ED317C">
            <w:pPr>
              <w:pStyle w:val="Sessiontc"/>
              <w:spacing w:line="240" w:lineRule="auto"/>
            </w:pPr>
            <w:r w:rsidRPr="004D215F">
              <w:t>Conseil</w:t>
            </w:r>
          </w:p>
          <w:p w:rsidR="0090218F" w:rsidRPr="004D215F" w:rsidRDefault="0090218F" w:rsidP="00ED317C">
            <w:pPr>
              <w:pStyle w:val="Sessiontcplacedate"/>
              <w:rPr>
                <w:sz w:val="22"/>
              </w:rPr>
            </w:pPr>
            <w:r w:rsidRPr="004D215F">
              <w:t>Cinquante</w:t>
            </w:r>
            <w:r w:rsidR="004D3D70" w:rsidRPr="004D215F">
              <w:t>-</w:t>
            </w:r>
            <w:r w:rsidRPr="004D215F">
              <w:t>deux</w:t>
            </w:r>
            <w:r w:rsidR="004D3D70" w:rsidRPr="004D215F">
              <w:t>ième session</w:t>
            </w:r>
            <w:r w:rsidRPr="004D215F">
              <w:t xml:space="preserve"> ordinaire</w:t>
            </w:r>
            <w:r w:rsidRPr="004D215F">
              <w:br/>
              <w:t xml:space="preserve">Genève, </w:t>
            </w:r>
            <w:r w:rsidR="004D3D70" w:rsidRPr="004D215F">
              <w:t>2 novembre 20</w:t>
            </w:r>
            <w:r w:rsidRPr="004D215F">
              <w:t>18</w:t>
            </w:r>
          </w:p>
        </w:tc>
        <w:tc>
          <w:tcPr>
            <w:tcW w:w="3127" w:type="dxa"/>
          </w:tcPr>
          <w:p w:rsidR="0090218F" w:rsidRPr="004D215F" w:rsidRDefault="0090218F" w:rsidP="00ED317C">
            <w:pPr>
              <w:pStyle w:val="Doccode"/>
              <w:rPr>
                <w:lang w:val="fr-FR"/>
              </w:rPr>
            </w:pPr>
            <w:r w:rsidRPr="004D215F">
              <w:rPr>
                <w:lang w:val="fr-FR"/>
              </w:rPr>
              <w:t>C/52/12</w:t>
            </w:r>
          </w:p>
          <w:p w:rsidR="0090218F" w:rsidRPr="004D215F" w:rsidRDefault="0090218F" w:rsidP="00ED317C">
            <w:pPr>
              <w:pStyle w:val="Docoriginal"/>
            </w:pPr>
            <w:r w:rsidRPr="004D215F">
              <w:t>Original</w:t>
            </w:r>
            <w:r w:rsidR="00AC2A6B" w:rsidRPr="004D215F">
              <w:t> </w:t>
            </w:r>
            <w:r w:rsidRPr="004D215F">
              <w:t>:</w:t>
            </w:r>
            <w:r w:rsidRPr="004D215F">
              <w:rPr>
                <w:b w:val="0"/>
                <w:spacing w:val="0"/>
              </w:rPr>
              <w:t xml:space="preserve"> anglais</w:t>
            </w:r>
          </w:p>
          <w:p w:rsidR="0090218F" w:rsidRPr="004D3D70" w:rsidRDefault="0090218F" w:rsidP="004D215F">
            <w:pPr>
              <w:pStyle w:val="Docoriginal"/>
            </w:pPr>
            <w:r w:rsidRPr="004D215F">
              <w:t>Date</w:t>
            </w:r>
            <w:r w:rsidR="00AC2A6B" w:rsidRPr="004D215F">
              <w:t> </w:t>
            </w:r>
            <w:r w:rsidRPr="004D215F">
              <w:t>:</w:t>
            </w:r>
            <w:r w:rsidRPr="004D215F">
              <w:rPr>
                <w:b w:val="0"/>
                <w:spacing w:val="0"/>
              </w:rPr>
              <w:t xml:space="preserve"> 2</w:t>
            </w:r>
            <w:r w:rsidR="004D215F" w:rsidRPr="004D215F">
              <w:rPr>
                <w:b w:val="0"/>
                <w:spacing w:val="0"/>
              </w:rPr>
              <w:t>9</w:t>
            </w:r>
            <w:r w:rsidR="004D3D70" w:rsidRPr="004D215F">
              <w:rPr>
                <w:b w:val="0"/>
                <w:spacing w:val="0"/>
              </w:rPr>
              <w:t> </w:t>
            </w:r>
            <w:r w:rsidR="0064650C" w:rsidRPr="004D215F">
              <w:rPr>
                <w:b w:val="0"/>
                <w:spacing w:val="0"/>
              </w:rPr>
              <w:t xml:space="preserve">août </w:t>
            </w:r>
            <w:r w:rsidR="004D3D70" w:rsidRPr="004D215F">
              <w:rPr>
                <w:b w:val="0"/>
                <w:spacing w:val="0"/>
              </w:rPr>
              <w:t>20</w:t>
            </w:r>
            <w:r w:rsidRPr="004D215F">
              <w:rPr>
                <w:b w:val="0"/>
                <w:spacing w:val="0"/>
              </w:rPr>
              <w:t>18</w:t>
            </w:r>
          </w:p>
        </w:tc>
      </w:tr>
    </w:tbl>
    <w:p w:rsidR="0090218F" w:rsidRPr="004D3D70" w:rsidRDefault="0090218F" w:rsidP="0090218F">
      <w:pPr>
        <w:pStyle w:val="Titleofdoc0"/>
      </w:pPr>
      <w:bookmarkStart w:id="0" w:name="TitleOfDoc"/>
      <w:bookmarkStart w:id="1" w:name="Prepared"/>
      <w:bookmarkEnd w:id="0"/>
      <w:bookmarkEnd w:id="1"/>
      <w:r w:rsidRPr="004D3D70">
        <w:t xml:space="preserve">États financiers </w:t>
      </w:r>
      <w:r w:rsidR="004D3D70" w:rsidRPr="004D3D70">
        <w:t>pour</w:t>
      </w:r>
      <w:r w:rsidR="004D3D70">
        <w:t> </w:t>
      </w:r>
      <w:r w:rsidR="004D3D70" w:rsidRPr="004D3D70">
        <w:t>2017</w:t>
      </w:r>
    </w:p>
    <w:p w:rsidR="0090218F" w:rsidRPr="004D3D70" w:rsidRDefault="0090218F" w:rsidP="0090218F">
      <w:pPr>
        <w:pStyle w:val="preparedby1"/>
        <w:jc w:val="left"/>
      </w:pPr>
      <w:r w:rsidRPr="004D3D70">
        <w:t>Document établi par le Bureau de l</w:t>
      </w:r>
      <w:r w:rsidR="004D3D70">
        <w:t>’</w:t>
      </w:r>
      <w:r w:rsidRPr="004D3D70">
        <w:t>Union</w:t>
      </w:r>
    </w:p>
    <w:p w:rsidR="0090218F" w:rsidRPr="00537F66" w:rsidRDefault="0090218F" w:rsidP="00537F66">
      <w:pPr>
        <w:pStyle w:val="Disclaimer"/>
        <w:rPr>
          <w:lang w:val="fr-FR"/>
        </w:rPr>
      </w:pPr>
      <w:r w:rsidRPr="00537F66">
        <w:rPr>
          <w:lang w:val="fr-FR"/>
        </w:rPr>
        <w:t>Avertissement</w:t>
      </w:r>
      <w:r w:rsidR="004D3D70" w:rsidRPr="00537F66">
        <w:rPr>
          <w:lang w:val="fr-FR"/>
        </w:rPr>
        <w:t> :</w:t>
      </w:r>
      <w:r w:rsidRPr="00537F66">
        <w:rPr>
          <w:lang w:val="fr-FR"/>
        </w:rPr>
        <w:t xml:space="preserve"> le présent document ne représente pas les principes ou les orientations de l</w:t>
      </w:r>
      <w:r w:rsidR="004D3D70" w:rsidRPr="00537F66">
        <w:rPr>
          <w:lang w:val="fr-FR"/>
        </w:rPr>
        <w:t>’</w:t>
      </w:r>
      <w:r w:rsidRPr="00537F66">
        <w:rPr>
          <w:lang w:val="fr-FR"/>
        </w:rPr>
        <w:t>UPOV</w:t>
      </w:r>
    </w:p>
    <w:p w:rsidR="00905890" w:rsidRPr="004D3D70" w:rsidRDefault="008D5067" w:rsidP="00D70565">
      <w:pPr>
        <w:rPr>
          <w:lang w:val="fr-CH"/>
        </w:rPr>
      </w:pPr>
      <w:r w:rsidRPr="004D3D70">
        <w:rPr>
          <w:lang w:val="fr-CH"/>
        </w:rPr>
        <w:fldChar w:fldCharType="begin"/>
      </w:r>
      <w:r w:rsidRPr="004D3D70">
        <w:rPr>
          <w:lang w:val="fr-CH"/>
        </w:rPr>
        <w:instrText xml:space="preserve"> AUTONUM  </w:instrText>
      </w:r>
      <w:r w:rsidRPr="004D3D70">
        <w:rPr>
          <w:lang w:val="fr-CH"/>
        </w:rPr>
        <w:fldChar w:fldCharType="end"/>
      </w:r>
      <w:r w:rsidRPr="004D3D70">
        <w:rPr>
          <w:lang w:val="fr-CH"/>
        </w:rPr>
        <w:tab/>
      </w:r>
      <w:r w:rsidR="00D70565" w:rsidRPr="004D3D70">
        <w:rPr>
          <w:lang w:val="fr-CH"/>
        </w:rPr>
        <w:t>Les états financiers de l</w:t>
      </w:r>
      <w:r w:rsidR="004D3D70">
        <w:rPr>
          <w:lang w:val="fr-CH"/>
        </w:rPr>
        <w:t>’</w:t>
      </w:r>
      <w:r w:rsidR="00D70565" w:rsidRPr="004D3D70">
        <w:rPr>
          <w:lang w:val="fr-CH"/>
        </w:rPr>
        <w:t>UPOV au 3</w:t>
      </w:r>
      <w:r w:rsidR="004D3D70" w:rsidRPr="004D3D70">
        <w:rPr>
          <w:lang w:val="fr-CH"/>
        </w:rPr>
        <w:t>1</w:t>
      </w:r>
      <w:r w:rsidR="004D3D70">
        <w:rPr>
          <w:lang w:val="fr-CH"/>
        </w:rPr>
        <w:t> </w:t>
      </w:r>
      <w:r w:rsidR="004D3D70" w:rsidRPr="004D3D70">
        <w:rPr>
          <w:lang w:val="fr-CH"/>
        </w:rPr>
        <w:t>décembre</w:t>
      </w:r>
      <w:r w:rsidR="004D3D70">
        <w:rPr>
          <w:lang w:val="fr-CH"/>
        </w:rPr>
        <w:t> </w:t>
      </w:r>
      <w:r w:rsidR="004D3D70" w:rsidRPr="004D3D70">
        <w:rPr>
          <w:lang w:val="fr-CH"/>
        </w:rPr>
        <w:t>20</w:t>
      </w:r>
      <w:r w:rsidR="00D70565" w:rsidRPr="004D3D70">
        <w:rPr>
          <w:lang w:val="fr-CH"/>
        </w:rPr>
        <w:t>17 sont communiqués au Conseil conformément à l</w:t>
      </w:r>
      <w:r w:rsidR="004D3D70">
        <w:rPr>
          <w:lang w:val="fr-CH"/>
        </w:rPr>
        <w:t>’</w:t>
      </w:r>
      <w:r w:rsidR="004D3D70" w:rsidRPr="004D3D70">
        <w:rPr>
          <w:lang w:val="fr-CH"/>
        </w:rPr>
        <w:t>article</w:t>
      </w:r>
      <w:r w:rsidR="004D3D70">
        <w:rPr>
          <w:lang w:val="fr-CH"/>
        </w:rPr>
        <w:t> </w:t>
      </w:r>
      <w:r w:rsidR="004D3D70" w:rsidRPr="004D3D70">
        <w:rPr>
          <w:lang w:val="fr-CH"/>
        </w:rPr>
        <w:t>6</w:t>
      </w:r>
      <w:r w:rsidR="00D70565" w:rsidRPr="004D3D70">
        <w:rPr>
          <w:lang w:val="fr-CH"/>
        </w:rPr>
        <w:t>.5 du Règlement financier et règlement d</w:t>
      </w:r>
      <w:r w:rsidR="004D3D70">
        <w:rPr>
          <w:lang w:val="fr-CH"/>
        </w:rPr>
        <w:t>’</w:t>
      </w:r>
      <w:r w:rsidR="00D70565" w:rsidRPr="004D3D70">
        <w:rPr>
          <w:lang w:val="fr-CH"/>
        </w:rPr>
        <w:t>exécution du Règlement financier de l</w:t>
      </w:r>
      <w:r w:rsidR="004D3D70">
        <w:rPr>
          <w:lang w:val="fr-CH"/>
        </w:rPr>
        <w:t>’</w:t>
      </w:r>
      <w:r w:rsidR="00D70565" w:rsidRPr="004D3D70">
        <w:rPr>
          <w:lang w:val="fr-CH"/>
        </w:rPr>
        <w:t>UPOV (document</w:t>
      </w:r>
      <w:r w:rsidR="00BE23DA">
        <w:rPr>
          <w:lang w:val="fr-CH"/>
        </w:rPr>
        <w:t> </w:t>
      </w:r>
      <w:r w:rsidR="00D70565" w:rsidRPr="004D3D70">
        <w:rPr>
          <w:lang w:val="fr-CH"/>
        </w:rPr>
        <w:t xml:space="preserve">UPOV/INF/4/4), qui prévoit que le Conseil examine et approuve les états financiers.  Les états financiers </w:t>
      </w:r>
      <w:r w:rsidR="004D3D70" w:rsidRPr="004D3D70">
        <w:rPr>
          <w:lang w:val="fr-CH"/>
        </w:rPr>
        <w:t>pour</w:t>
      </w:r>
      <w:r w:rsidR="004D3D70">
        <w:rPr>
          <w:lang w:val="fr-CH"/>
        </w:rPr>
        <w:t> </w:t>
      </w:r>
      <w:r w:rsidR="004D3D70" w:rsidRPr="004D3D70">
        <w:rPr>
          <w:lang w:val="fr-CH"/>
        </w:rPr>
        <w:t>2017</w:t>
      </w:r>
      <w:r w:rsidR="00D70565" w:rsidRPr="004D3D70">
        <w:rPr>
          <w:lang w:val="fr-CH"/>
        </w:rPr>
        <w:t xml:space="preserve"> figurent dans l</w:t>
      </w:r>
      <w:r w:rsidR="004D3D70">
        <w:rPr>
          <w:lang w:val="fr-CH"/>
        </w:rPr>
        <w:t>’</w:t>
      </w:r>
      <w:r w:rsidR="00D70565" w:rsidRPr="004D3D70">
        <w:rPr>
          <w:lang w:val="fr-CH"/>
        </w:rPr>
        <w:t>annexe du présent document.  Le document</w:t>
      </w:r>
      <w:r w:rsidR="00BE23DA">
        <w:rPr>
          <w:lang w:val="fr-CH"/>
        </w:rPr>
        <w:t> </w:t>
      </w:r>
      <w:r w:rsidR="00D70565" w:rsidRPr="004D3D70">
        <w:rPr>
          <w:lang w:val="fr-CH"/>
        </w:rPr>
        <w:t>C/52/13 contient le rapport du vérificateur externe des comptes.</w:t>
      </w:r>
    </w:p>
    <w:p w:rsidR="00905890" w:rsidRPr="004D3D70" w:rsidRDefault="00905890" w:rsidP="008D5067">
      <w:pPr>
        <w:rPr>
          <w:lang w:val="fr-CH"/>
        </w:rPr>
      </w:pPr>
    </w:p>
    <w:p w:rsidR="00905890" w:rsidRPr="004D3D70" w:rsidRDefault="008D5067" w:rsidP="00D70565">
      <w:pPr>
        <w:rPr>
          <w:lang w:val="fr-CH"/>
        </w:rPr>
      </w:pPr>
      <w:r w:rsidRPr="004D3D70">
        <w:rPr>
          <w:lang w:val="fr-CH"/>
        </w:rPr>
        <w:fldChar w:fldCharType="begin"/>
      </w:r>
      <w:r w:rsidRPr="004D3D70">
        <w:rPr>
          <w:lang w:val="fr-CH"/>
        </w:rPr>
        <w:instrText xml:space="preserve"> AUTONUM  </w:instrText>
      </w:r>
      <w:r w:rsidRPr="004D3D70">
        <w:rPr>
          <w:lang w:val="fr-CH"/>
        </w:rPr>
        <w:fldChar w:fldCharType="end"/>
      </w:r>
      <w:r w:rsidRPr="004D3D70">
        <w:rPr>
          <w:lang w:val="fr-CH"/>
        </w:rPr>
        <w:tab/>
      </w:r>
      <w:r w:rsidR="00D70565" w:rsidRPr="004D3D70">
        <w:rPr>
          <w:lang w:val="fr-CH"/>
        </w:rPr>
        <w:t xml:space="preserve">Les états financiers </w:t>
      </w:r>
      <w:r w:rsidR="004D3D70" w:rsidRPr="004D3D70">
        <w:rPr>
          <w:lang w:val="fr-CH"/>
        </w:rPr>
        <w:t>pour</w:t>
      </w:r>
      <w:r w:rsidR="004D3D70">
        <w:rPr>
          <w:lang w:val="fr-CH"/>
        </w:rPr>
        <w:t> </w:t>
      </w:r>
      <w:r w:rsidR="004D3D70" w:rsidRPr="004D3D70">
        <w:rPr>
          <w:lang w:val="fr-CH"/>
        </w:rPr>
        <w:t>2017</w:t>
      </w:r>
      <w:r w:rsidR="00D70565" w:rsidRPr="004D3D70">
        <w:rPr>
          <w:lang w:val="fr-CH"/>
        </w:rPr>
        <w:t xml:space="preserve"> ont été établis conformément aux Normes comptables internationales du secteur public (normes</w:t>
      </w:r>
      <w:r w:rsidR="00AC2A6B">
        <w:rPr>
          <w:lang w:val="fr-CH"/>
        </w:rPr>
        <w:t> </w:t>
      </w:r>
      <w:r w:rsidR="00D70565" w:rsidRPr="004D3D70">
        <w:rPr>
          <w:lang w:val="fr-CH"/>
        </w:rPr>
        <w:t>IPSAS).  À sa quarante</w:t>
      </w:r>
      <w:r w:rsidR="00665FEC">
        <w:rPr>
          <w:lang w:val="fr-CH"/>
        </w:rPr>
        <w:noBreakHyphen/>
      </w:r>
      <w:r w:rsidR="00D70565" w:rsidRPr="004D3D70">
        <w:rPr>
          <w:lang w:val="fr-CH"/>
        </w:rPr>
        <w:t>cinqu</w:t>
      </w:r>
      <w:r w:rsidR="004D3D70">
        <w:rPr>
          <w:lang w:val="fr-CH"/>
        </w:rPr>
        <w:t>ième session</w:t>
      </w:r>
      <w:r w:rsidR="00D70565" w:rsidRPr="004D3D70">
        <w:rPr>
          <w:lang w:val="fr-CH"/>
        </w:rPr>
        <w:t xml:space="preserve"> ordinaire, tenue à Genève le 2</w:t>
      </w:r>
      <w:r w:rsidR="004D3D70" w:rsidRPr="004D3D70">
        <w:rPr>
          <w:lang w:val="fr-CH"/>
        </w:rPr>
        <w:t>0</w:t>
      </w:r>
      <w:r w:rsidR="004D3D70">
        <w:rPr>
          <w:lang w:val="fr-CH"/>
        </w:rPr>
        <w:t> </w:t>
      </w:r>
      <w:r w:rsidR="004D3D70" w:rsidRPr="004D3D70">
        <w:rPr>
          <w:lang w:val="fr-CH"/>
        </w:rPr>
        <w:t>octobre</w:t>
      </w:r>
      <w:r w:rsidR="004D3D70">
        <w:rPr>
          <w:lang w:val="fr-CH"/>
        </w:rPr>
        <w:t> </w:t>
      </w:r>
      <w:r w:rsidR="004D3D70" w:rsidRPr="004D3D70">
        <w:rPr>
          <w:lang w:val="fr-CH"/>
        </w:rPr>
        <w:t>20</w:t>
      </w:r>
      <w:r w:rsidR="00D70565" w:rsidRPr="004D3D70">
        <w:rPr>
          <w:lang w:val="fr-CH"/>
        </w:rPr>
        <w:t>11, le Conseil a approuvé l</w:t>
      </w:r>
      <w:r w:rsidR="004D3D70">
        <w:rPr>
          <w:lang w:val="fr-CH"/>
        </w:rPr>
        <w:t>’</w:t>
      </w:r>
      <w:r w:rsidR="00D70565" w:rsidRPr="004D3D70">
        <w:rPr>
          <w:lang w:val="fr-CH"/>
        </w:rPr>
        <w:t>adoption des normes</w:t>
      </w:r>
      <w:r w:rsidR="00AC2A6B">
        <w:rPr>
          <w:lang w:val="fr-CH"/>
        </w:rPr>
        <w:t> </w:t>
      </w:r>
      <w:r w:rsidR="00D70565" w:rsidRPr="004D3D70">
        <w:rPr>
          <w:lang w:val="fr-CH"/>
        </w:rPr>
        <w:t>IPSAS par l</w:t>
      </w:r>
      <w:r w:rsidR="004D3D70">
        <w:rPr>
          <w:lang w:val="fr-CH"/>
        </w:rPr>
        <w:t>’</w:t>
      </w:r>
      <w:r w:rsidR="00D70565" w:rsidRPr="004D3D70">
        <w:rPr>
          <w:lang w:val="fr-CH"/>
        </w:rPr>
        <w:t>UPOV, dès l</w:t>
      </w:r>
      <w:r w:rsidR="004D3D70">
        <w:rPr>
          <w:lang w:val="fr-CH"/>
        </w:rPr>
        <w:t>’</w:t>
      </w:r>
      <w:r w:rsidR="00D70565" w:rsidRPr="004D3D70">
        <w:rPr>
          <w:lang w:val="fr-CH"/>
        </w:rPr>
        <w:t xml:space="preserve">exercice financier débutant </w:t>
      </w:r>
      <w:r w:rsidR="004D3D70" w:rsidRPr="004D3D70">
        <w:rPr>
          <w:lang w:val="fr-CH"/>
        </w:rPr>
        <w:t>en</w:t>
      </w:r>
      <w:r w:rsidR="004D3D70">
        <w:rPr>
          <w:lang w:val="fr-CH"/>
        </w:rPr>
        <w:t> </w:t>
      </w:r>
      <w:r w:rsidR="004D3D70" w:rsidRPr="004D3D70">
        <w:rPr>
          <w:lang w:val="fr-CH"/>
        </w:rPr>
        <w:t>2012</w:t>
      </w:r>
      <w:r w:rsidR="00D70565" w:rsidRPr="004D3D70">
        <w:rPr>
          <w:lang w:val="fr-CH"/>
        </w:rPr>
        <w:t xml:space="preserve"> (voir le </w:t>
      </w:r>
      <w:r w:rsidR="004D3D70" w:rsidRPr="004D3D70">
        <w:rPr>
          <w:lang w:val="fr-CH"/>
        </w:rPr>
        <w:t>paragraphe</w:t>
      </w:r>
      <w:r w:rsidR="004D3D70">
        <w:rPr>
          <w:lang w:val="fr-CH"/>
        </w:rPr>
        <w:t> </w:t>
      </w:r>
      <w:r w:rsidR="004D3D70" w:rsidRPr="004D3D70">
        <w:rPr>
          <w:lang w:val="fr-CH"/>
        </w:rPr>
        <w:t>9</w:t>
      </w:r>
      <w:r w:rsidR="00D70565" w:rsidRPr="004D3D70">
        <w:rPr>
          <w:lang w:val="fr-CH"/>
        </w:rPr>
        <w:t>.b) du document</w:t>
      </w:r>
      <w:r w:rsidR="00BE23DA">
        <w:rPr>
          <w:lang w:val="fr-CH"/>
        </w:rPr>
        <w:t> </w:t>
      </w:r>
      <w:r w:rsidR="00D70565" w:rsidRPr="004D3D70">
        <w:rPr>
          <w:lang w:val="fr-CH"/>
        </w:rPr>
        <w:t>C/45/18 “Compte rendu”).</w:t>
      </w:r>
      <w:r w:rsidRPr="004D3D70">
        <w:rPr>
          <w:lang w:val="fr-CH"/>
        </w:rPr>
        <w:t xml:space="preserve">  </w:t>
      </w:r>
      <w:r w:rsidR="00D70565" w:rsidRPr="004D3D70">
        <w:rPr>
          <w:lang w:val="fr-CH"/>
        </w:rPr>
        <w:t xml:space="preserve">Les états financiers </w:t>
      </w:r>
      <w:r w:rsidR="004D3D70" w:rsidRPr="004D3D70">
        <w:rPr>
          <w:lang w:val="fr-CH"/>
        </w:rPr>
        <w:t>pour</w:t>
      </w:r>
      <w:r w:rsidR="004D3D70">
        <w:rPr>
          <w:lang w:val="fr-CH"/>
        </w:rPr>
        <w:t> </w:t>
      </w:r>
      <w:r w:rsidR="004D3D70" w:rsidRPr="004D3D70">
        <w:rPr>
          <w:lang w:val="fr-CH"/>
        </w:rPr>
        <w:t>2017</w:t>
      </w:r>
      <w:r w:rsidR="00D70565" w:rsidRPr="004D3D70">
        <w:rPr>
          <w:lang w:val="fr-CH"/>
        </w:rPr>
        <w:t xml:space="preserve"> constituent la sixième série d</w:t>
      </w:r>
      <w:r w:rsidR="004D3D70">
        <w:rPr>
          <w:lang w:val="fr-CH"/>
        </w:rPr>
        <w:t>’</w:t>
      </w:r>
      <w:r w:rsidR="00D70565" w:rsidRPr="004D3D70">
        <w:rPr>
          <w:lang w:val="fr-CH"/>
        </w:rPr>
        <w:t>états financiers établis conformément aux normes</w:t>
      </w:r>
      <w:r w:rsidR="00AC2A6B">
        <w:rPr>
          <w:lang w:val="fr-CH"/>
        </w:rPr>
        <w:t> </w:t>
      </w:r>
      <w:r w:rsidR="00D70565" w:rsidRPr="004D3D70">
        <w:rPr>
          <w:lang w:val="fr-CH"/>
        </w:rPr>
        <w:t>IPSAS.</w:t>
      </w:r>
    </w:p>
    <w:p w:rsidR="00905890" w:rsidRPr="004D3D70" w:rsidRDefault="00905890" w:rsidP="008D5067">
      <w:pPr>
        <w:rPr>
          <w:lang w:val="fr-CH"/>
        </w:rPr>
      </w:pPr>
    </w:p>
    <w:p w:rsidR="00905890" w:rsidRPr="004D3D70" w:rsidRDefault="008D5067" w:rsidP="00D70565">
      <w:pPr>
        <w:pStyle w:val="DecisionParagraphs"/>
        <w:rPr>
          <w:lang w:val="fr-CH"/>
        </w:rPr>
      </w:pPr>
      <w:r w:rsidRPr="004D3D70">
        <w:rPr>
          <w:lang w:val="fr-CH"/>
        </w:rPr>
        <w:fldChar w:fldCharType="begin"/>
      </w:r>
      <w:r w:rsidRPr="004D3D70">
        <w:rPr>
          <w:lang w:val="fr-CH"/>
        </w:rPr>
        <w:instrText xml:space="preserve"> AUTONUM  </w:instrText>
      </w:r>
      <w:r w:rsidRPr="004D3D70">
        <w:rPr>
          <w:lang w:val="fr-CH"/>
        </w:rPr>
        <w:fldChar w:fldCharType="end"/>
      </w:r>
      <w:r w:rsidRPr="004D3D70">
        <w:rPr>
          <w:lang w:val="fr-CH"/>
        </w:rPr>
        <w:tab/>
      </w:r>
      <w:r w:rsidR="00D70565" w:rsidRPr="004D3D70">
        <w:rPr>
          <w:lang w:val="fr-CH"/>
        </w:rPr>
        <w:t xml:space="preserve">Le Conseil est invité à examiner et approuver les états financiers </w:t>
      </w:r>
      <w:r w:rsidR="004D3D70" w:rsidRPr="004D3D70">
        <w:rPr>
          <w:lang w:val="fr-CH"/>
        </w:rPr>
        <w:t>pour</w:t>
      </w:r>
      <w:r w:rsidR="004D3D70">
        <w:rPr>
          <w:lang w:val="fr-CH"/>
        </w:rPr>
        <w:t> </w:t>
      </w:r>
      <w:r w:rsidR="004D3D70" w:rsidRPr="004D3D70">
        <w:rPr>
          <w:lang w:val="fr-CH"/>
        </w:rPr>
        <w:t>2017</w:t>
      </w:r>
      <w:r w:rsidR="00D70565" w:rsidRPr="004D3D70">
        <w:rPr>
          <w:lang w:val="fr-CH"/>
        </w:rPr>
        <w:t>.</w:t>
      </w:r>
    </w:p>
    <w:p w:rsidR="00905890" w:rsidRPr="004D3D70" w:rsidRDefault="00905890" w:rsidP="004B1215">
      <w:pPr>
        <w:rPr>
          <w:lang w:val="fr-CH"/>
        </w:rPr>
      </w:pPr>
    </w:p>
    <w:p w:rsidR="00905890" w:rsidRDefault="00905890" w:rsidP="00050E16">
      <w:pPr>
        <w:rPr>
          <w:lang w:val="fr-CH"/>
        </w:rPr>
      </w:pPr>
      <w:bookmarkStart w:id="2" w:name="_GoBack"/>
      <w:bookmarkEnd w:id="2"/>
    </w:p>
    <w:p w:rsidR="0064650C" w:rsidRPr="004D3D70" w:rsidRDefault="0064650C" w:rsidP="00050E16">
      <w:pPr>
        <w:rPr>
          <w:lang w:val="fr-CH"/>
        </w:rPr>
      </w:pPr>
    </w:p>
    <w:p w:rsidR="00905890" w:rsidRPr="004D3D70" w:rsidRDefault="00D70565" w:rsidP="00D70565">
      <w:pPr>
        <w:jc w:val="right"/>
        <w:rPr>
          <w:lang w:val="fr-CH"/>
        </w:rPr>
      </w:pPr>
      <w:r w:rsidRPr="004D3D70">
        <w:rPr>
          <w:lang w:val="fr-CH"/>
        </w:rPr>
        <w:t>[L</w:t>
      </w:r>
      <w:r w:rsidR="004D3D70">
        <w:rPr>
          <w:lang w:val="fr-CH"/>
        </w:rPr>
        <w:t>’</w:t>
      </w:r>
      <w:r w:rsidRPr="004D3D70">
        <w:rPr>
          <w:lang w:val="fr-CH"/>
        </w:rPr>
        <w:t>annexe suit]</w:t>
      </w:r>
    </w:p>
    <w:p w:rsidR="008D5067" w:rsidRPr="004D3D70" w:rsidRDefault="008D5067">
      <w:pPr>
        <w:jc w:val="left"/>
        <w:rPr>
          <w:lang w:val="fr-CH"/>
        </w:rPr>
        <w:sectPr w:rsidR="008D5067" w:rsidRPr="004D3D70" w:rsidSect="00906DDC">
          <w:headerReference w:type="default" r:id="rId9"/>
          <w:pgSz w:w="11907" w:h="16840" w:code="9"/>
          <w:pgMar w:top="510" w:right="1134" w:bottom="1134" w:left="1134" w:header="510" w:footer="680" w:gutter="0"/>
          <w:cols w:space="720"/>
          <w:titlePg/>
        </w:sectPr>
      </w:pPr>
    </w:p>
    <w:p w:rsidR="00905890" w:rsidRPr="004D3D70" w:rsidRDefault="00D70565" w:rsidP="00D70565">
      <w:pPr>
        <w:jc w:val="center"/>
        <w:rPr>
          <w:b/>
          <w:bCs/>
          <w:snapToGrid w:val="0"/>
          <w:spacing w:val="8"/>
          <w:lang w:val="fr-CH"/>
        </w:rPr>
      </w:pPr>
      <w:r w:rsidRPr="004D3D70">
        <w:rPr>
          <w:b/>
          <w:bCs/>
          <w:snapToGrid w:val="0"/>
          <w:spacing w:val="8"/>
          <w:lang w:val="fr-CH"/>
        </w:rPr>
        <w:lastRenderedPageBreak/>
        <w:t>UNION INTERNATIONALE POUR LA PROTECTION DES OBTENTIONS VÉGÉTALES</w:t>
      </w:r>
    </w:p>
    <w:p w:rsidR="00905890" w:rsidRPr="004D3D70" w:rsidRDefault="00905890" w:rsidP="00A824AF">
      <w:pPr>
        <w:jc w:val="center"/>
        <w:rPr>
          <w:b/>
          <w:bCs/>
          <w:snapToGrid w:val="0"/>
          <w:spacing w:val="8"/>
          <w:lang w:val="fr-CH"/>
        </w:rPr>
      </w:pPr>
    </w:p>
    <w:p w:rsidR="00905890" w:rsidRPr="004D3D70" w:rsidRDefault="00D70565" w:rsidP="00D70565">
      <w:pPr>
        <w:jc w:val="center"/>
        <w:rPr>
          <w:lang w:val="fr-CH"/>
        </w:rPr>
      </w:pPr>
      <w:r w:rsidRPr="004D3D70">
        <w:rPr>
          <w:lang w:val="fr-CH"/>
        </w:rPr>
        <w:t>États financiers pour l</w:t>
      </w:r>
      <w:r w:rsidR="004D3D70">
        <w:rPr>
          <w:lang w:val="fr-CH"/>
        </w:rPr>
        <w:t>’</w:t>
      </w:r>
      <w:r w:rsidRPr="004D3D70">
        <w:rPr>
          <w:lang w:val="fr-CH"/>
        </w:rPr>
        <w:t>année s</w:t>
      </w:r>
      <w:r w:rsidR="004D3D70">
        <w:rPr>
          <w:lang w:val="fr-CH"/>
        </w:rPr>
        <w:t>’</w:t>
      </w:r>
      <w:r w:rsidRPr="004D3D70">
        <w:rPr>
          <w:lang w:val="fr-CH"/>
        </w:rPr>
        <w:t>achevant le 3</w:t>
      </w:r>
      <w:r w:rsidR="004D3D70" w:rsidRPr="004D3D70">
        <w:rPr>
          <w:lang w:val="fr-CH"/>
        </w:rPr>
        <w:t>1</w:t>
      </w:r>
      <w:r w:rsidR="004D3D70">
        <w:rPr>
          <w:lang w:val="fr-CH"/>
        </w:rPr>
        <w:t> </w:t>
      </w:r>
      <w:r w:rsidR="004D3D70" w:rsidRPr="004D3D70">
        <w:rPr>
          <w:lang w:val="fr-CH"/>
        </w:rPr>
        <w:t>décembre</w:t>
      </w:r>
      <w:r w:rsidR="004D3D70">
        <w:rPr>
          <w:lang w:val="fr-CH"/>
        </w:rPr>
        <w:t> </w:t>
      </w:r>
      <w:r w:rsidR="004D3D70" w:rsidRPr="004D3D70">
        <w:rPr>
          <w:lang w:val="fr-CH"/>
        </w:rPr>
        <w:t>20</w:t>
      </w:r>
      <w:r w:rsidRPr="004D3D70">
        <w:rPr>
          <w:lang w:val="fr-CH"/>
        </w:rPr>
        <w:t>17</w:t>
      </w:r>
    </w:p>
    <w:p w:rsidR="00905890" w:rsidRPr="004D3D70" w:rsidRDefault="00905890" w:rsidP="00A824AF">
      <w:pPr>
        <w:jc w:val="center"/>
        <w:rPr>
          <w:lang w:val="fr-CH"/>
        </w:rPr>
      </w:pPr>
    </w:p>
    <w:p w:rsidR="00905890" w:rsidRPr="004D3D70" w:rsidRDefault="00905890" w:rsidP="00A824AF">
      <w:pPr>
        <w:jc w:val="center"/>
        <w:rPr>
          <w:lang w:val="fr-CH"/>
        </w:rPr>
      </w:pPr>
    </w:p>
    <w:p w:rsidR="00905890" w:rsidRPr="004D3D70" w:rsidRDefault="00D70565" w:rsidP="00D70565">
      <w:pPr>
        <w:rPr>
          <w:b/>
          <w:bCs/>
          <w:snapToGrid w:val="0"/>
          <w:u w:val="single"/>
          <w:lang w:val="fr-CH"/>
        </w:rPr>
      </w:pPr>
      <w:r w:rsidRPr="004D3D70">
        <w:rPr>
          <w:bCs/>
          <w:snapToGrid w:val="0"/>
          <w:u w:val="single"/>
          <w:lang w:val="fr-CH"/>
        </w:rPr>
        <w:t>Table des matières</w:t>
      </w:r>
    </w:p>
    <w:p w:rsidR="00905890" w:rsidRPr="004D3D70" w:rsidRDefault="00905890" w:rsidP="00A824AF">
      <w:pPr>
        <w:rPr>
          <w:u w:val="single"/>
          <w:lang w:val="fr-CH"/>
        </w:rPr>
      </w:pPr>
    </w:p>
    <w:p w:rsidR="008442B8" w:rsidRPr="008442B8" w:rsidRDefault="001E7353">
      <w:pPr>
        <w:pStyle w:val="TOC1"/>
        <w:rPr>
          <w:rFonts w:asciiTheme="minorHAnsi" w:eastAsiaTheme="minorEastAsia" w:hAnsiTheme="minorHAnsi" w:cstheme="minorBidi"/>
          <w:caps w:val="0"/>
          <w:sz w:val="22"/>
          <w:szCs w:val="22"/>
          <w:lang w:val="fr-FR"/>
        </w:rPr>
      </w:pPr>
      <w:r w:rsidRPr="004D3D70">
        <w:rPr>
          <w:u w:val="single"/>
          <w:lang w:val="fr-CH"/>
        </w:rPr>
        <w:fldChar w:fldCharType="begin"/>
      </w:r>
      <w:r w:rsidRPr="004D3D70">
        <w:rPr>
          <w:u w:val="single"/>
          <w:lang w:val="fr-CH"/>
        </w:rPr>
        <w:instrText xml:space="preserve"> TOC \o "1-2" \u </w:instrText>
      </w:r>
      <w:r w:rsidRPr="004D3D70">
        <w:rPr>
          <w:u w:val="single"/>
          <w:lang w:val="fr-CH"/>
        </w:rPr>
        <w:fldChar w:fldCharType="separate"/>
      </w:r>
      <w:r w:rsidR="008442B8" w:rsidRPr="00307CC9">
        <w:rPr>
          <w:lang w:val="fr-CH"/>
        </w:rPr>
        <w:t>introduction</w:t>
      </w:r>
      <w:r w:rsidR="008442B8" w:rsidRPr="008442B8">
        <w:rPr>
          <w:lang w:val="fr-FR"/>
        </w:rPr>
        <w:tab/>
      </w:r>
      <w:r w:rsidR="008442B8">
        <w:fldChar w:fldCharType="begin"/>
      </w:r>
      <w:r w:rsidR="008442B8" w:rsidRPr="008442B8">
        <w:rPr>
          <w:lang w:val="fr-FR"/>
        </w:rPr>
        <w:instrText xml:space="preserve"> PAGEREF _Toc523157878 \h </w:instrText>
      </w:r>
      <w:r w:rsidR="008442B8">
        <w:fldChar w:fldCharType="separate"/>
      </w:r>
      <w:r w:rsidR="008442B8" w:rsidRPr="008442B8">
        <w:rPr>
          <w:lang w:val="fr-FR"/>
        </w:rPr>
        <w:t>2</w:t>
      </w:r>
      <w:r w:rsidR="008442B8">
        <w:fldChar w:fldCharType="end"/>
      </w:r>
    </w:p>
    <w:p w:rsidR="008442B8" w:rsidRPr="008442B8" w:rsidRDefault="008442B8">
      <w:pPr>
        <w:pStyle w:val="TOC1"/>
        <w:rPr>
          <w:rFonts w:asciiTheme="minorHAnsi" w:eastAsiaTheme="minorEastAsia" w:hAnsiTheme="minorHAnsi" w:cstheme="minorBidi"/>
          <w:caps w:val="0"/>
          <w:sz w:val="22"/>
          <w:szCs w:val="22"/>
          <w:lang w:val="fr-FR"/>
        </w:rPr>
      </w:pPr>
      <w:r w:rsidRPr="00307CC9">
        <w:rPr>
          <w:lang w:val="fr-CH"/>
        </w:rPr>
        <w:t>Résultats financiers de l’année</w:t>
      </w:r>
      <w:r w:rsidRPr="008442B8">
        <w:rPr>
          <w:lang w:val="fr-FR"/>
        </w:rPr>
        <w:tab/>
      </w:r>
      <w:r>
        <w:fldChar w:fldCharType="begin"/>
      </w:r>
      <w:r w:rsidRPr="008442B8">
        <w:rPr>
          <w:lang w:val="fr-FR"/>
        </w:rPr>
        <w:instrText xml:space="preserve"> PAGEREF _Toc523157879 \h </w:instrText>
      </w:r>
      <w:r>
        <w:fldChar w:fldCharType="separate"/>
      </w:r>
      <w:r w:rsidRPr="008442B8">
        <w:rPr>
          <w:lang w:val="fr-FR"/>
        </w:rPr>
        <w:t>2</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Préparation des états financiers découlant de l’adoption des normes IPSAS</w:t>
      </w:r>
      <w:r w:rsidRPr="008442B8">
        <w:rPr>
          <w:lang w:val="fr-FR"/>
        </w:rPr>
        <w:tab/>
      </w:r>
      <w:r>
        <w:fldChar w:fldCharType="begin"/>
      </w:r>
      <w:r w:rsidRPr="008442B8">
        <w:rPr>
          <w:lang w:val="fr-FR"/>
        </w:rPr>
        <w:instrText xml:space="preserve"> PAGEREF _Toc523157880 \h </w:instrText>
      </w:r>
      <w:r>
        <w:fldChar w:fldCharType="separate"/>
      </w:r>
      <w:r w:rsidRPr="008442B8">
        <w:rPr>
          <w:lang w:val="fr-FR"/>
        </w:rPr>
        <w:t>2</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Performance financière</w:t>
      </w:r>
      <w:r w:rsidRPr="008442B8">
        <w:rPr>
          <w:lang w:val="fr-FR"/>
        </w:rPr>
        <w:tab/>
      </w:r>
      <w:r>
        <w:fldChar w:fldCharType="begin"/>
      </w:r>
      <w:r w:rsidRPr="008442B8">
        <w:rPr>
          <w:lang w:val="fr-FR"/>
        </w:rPr>
        <w:instrText xml:space="preserve"> PAGEREF _Toc523157881 \h </w:instrText>
      </w:r>
      <w:r>
        <w:fldChar w:fldCharType="separate"/>
      </w:r>
      <w:r w:rsidRPr="008442B8">
        <w:rPr>
          <w:lang w:val="fr-FR"/>
        </w:rPr>
        <w:t>3</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Situation financière</w:t>
      </w:r>
      <w:r w:rsidRPr="008442B8">
        <w:rPr>
          <w:lang w:val="fr-FR"/>
        </w:rPr>
        <w:tab/>
      </w:r>
      <w:r>
        <w:fldChar w:fldCharType="begin"/>
      </w:r>
      <w:r w:rsidRPr="008442B8">
        <w:rPr>
          <w:lang w:val="fr-FR"/>
        </w:rPr>
        <w:instrText xml:space="preserve"> PAGEREF _Toc523157882 \h </w:instrText>
      </w:r>
      <w:r>
        <w:fldChar w:fldCharType="separate"/>
      </w:r>
      <w:r w:rsidRPr="008442B8">
        <w:rPr>
          <w:lang w:val="fr-FR"/>
        </w:rPr>
        <w:t>4</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Performance budgétaire</w:t>
      </w:r>
      <w:r w:rsidRPr="008442B8">
        <w:rPr>
          <w:lang w:val="fr-FR"/>
        </w:rPr>
        <w:tab/>
      </w:r>
      <w:r>
        <w:fldChar w:fldCharType="begin"/>
      </w:r>
      <w:r w:rsidRPr="008442B8">
        <w:rPr>
          <w:lang w:val="fr-FR"/>
        </w:rPr>
        <w:instrText xml:space="preserve"> PAGEREF _Toc523157883 \h </w:instrText>
      </w:r>
      <w:r>
        <w:fldChar w:fldCharType="separate"/>
      </w:r>
      <w:r w:rsidRPr="008442B8">
        <w:rPr>
          <w:lang w:val="fr-FR"/>
        </w:rPr>
        <w:t>4</w:t>
      </w:r>
      <w:r>
        <w:fldChar w:fldCharType="end"/>
      </w:r>
    </w:p>
    <w:p w:rsidR="008442B8" w:rsidRPr="008442B8" w:rsidRDefault="008442B8">
      <w:pPr>
        <w:pStyle w:val="TOC1"/>
        <w:rPr>
          <w:rFonts w:asciiTheme="minorHAnsi" w:eastAsiaTheme="minorEastAsia" w:hAnsiTheme="minorHAnsi" w:cstheme="minorBidi"/>
          <w:caps w:val="0"/>
          <w:sz w:val="22"/>
          <w:szCs w:val="22"/>
          <w:lang w:val="fr-FR"/>
        </w:rPr>
      </w:pPr>
      <w:r w:rsidRPr="00307CC9">
        <w:rPr>
          <w:lang w:val="fr-CH"/>
        </w:rPr>
        <w:t>État I – État de la situation financière</w:t>
      </w:r>
      <w:r w:rsidRPr="008442B8">
        <w:rPr>
          <w:lang w:val="fr-FR"/>
        </w:rPr>
        <w:tab/>
      </w:r>
      <w:r>
        <w:fldChar w:fldCharType="begin"/>
      </w:r>
      <w:r w:rsidRPr="008442B8">
        <w:rPr>
          <w:lang w:val="fr-FR"/>
        </w:rPr>
        <w:instrText xml:space="preserve"> PAGEREF _Toc523157884 \h </w:instrText>
      </w:r>
      <w:r>
        <w:fldChar w:fldCharType="separate"/>
      </w:r>
      <w:r w:rsidRPr="008442B8">
        <w:rPr>
          <w:lang w:val="fr-FR"/>
        </w:rPr>
        <w:t>6</w:t>
      </w:r>
      <w:r>
        <w:fldChar w:fldCharType="end"/>
      </w:r>
    </w:p>
    <w:p w:rsidR="008442B8" w:rsidRPr="008442B8" w:rsidRDefault="008442B8">
      <w:pPr>
        <w:pStyle w:val="TOC1"/>
        <w:rPr>
          <w:rFonts w:asciiTheme="minorHAnsi" w:eastAsiaTheme="minorEastAsia" w:hAnsiTheme="minorHAnsi" w:cstheme="minorBidi"/>
          <w:caps w:val="0"/>
          <w:sz w:val="22"/>
          <w:szCs w:val="22"/>
          <w:lang w:val="fr-FR"/>
        </w:rPr>
      </w:pPr>
      <w:r w:rsidRPr="00307CC9">
        <w:rPr>
          <w:lang w:val="fr-CH"/>
        </w:rPr>
        <w:t>État II – État de la performance financière</w:t>
      </w:r>
      <w:r w:rsidRPr="008442B8">
        <w:rPr>
          <w:lang w:val="fr-FR"/>
        </w:rPr>
        <w:tab/>
      </w:r>
      <w:r>
        <w:fldChar w:fldCharType="begin"/>
      </w:r>
      <w:r w:rsidRPr="008442B8">
        <w:rPr>
          <w:lang w:val="fr-FR"/>
        </w:rPr>
        <w:instrText xml:space="preserve"> PAGEREF _Toc523157885 \h </w:instrText>
      </w:r>
      <w:r>
        <w:fldChar w:fldCharType="separate"/>
      </w:r>
      <w:r w:rsidRPr="008442B8">
        <w:rPr>
          <w:lang w:val="fr-FR"/>
        </w:rPr>
        <w:t>7</w:t>
      </w:r>
      <w:r>
        <w:fldChar w:fldCharType="end"/>
      </w:r>
    </w:p>
    <w:p w:rsidR="008442B8" w:rsidRPr="008442B8" w:rsidRDefault="008442B8">
      <w:pPr>
        <w:pStyle w:val="TOC1"/>
        <w:rPr>
          <w:rFonts w:asciiTheme="minorHAnsi" w:eastAsiaTheme="minorEastAsia" w:hAnsiTheme="minorHAnsi" w:cstheme="minorBidi"/>
          <w:caps w:val="0"/>
          <w:sz w:val="22"/>
          <w:szCs w:val="22"/>
          <w:lang w:val="fr-FR"/>
        </w:rPr>
      </w:pPr>
      <w:r w:rsidRPr="00307CC9">
        <w:rPr>
          <w:lang w:val="fr-CH"/>
        </w:rPr>
        <w:t>État III – État des variations des actifs nets</w:t>
      </w:r>
      <w:r w:rsidRPr="008442B8">
        <w:rPr>
          <w:lang w:val="fr-FR"/>
        </w:rPr>
        <w:tab/>
      </w:r>
      <w:r>
        <w:fldChar w:fldCharType="begin"/>
      </w:r>
      <w:r w:rsidRPr="008442B8">
        <w:rPr>
          <w:lang w:val="fr-FR"/>
        </w:rPr>
        <w:instrText xml:space="preserve"> PAGEREF _Toc523157886 \h </w:instrText>
      </w:r>
      <w:r>
        <w:fldChar w:fldCharType="separate"/>
      </w:r>
      <w:r w:rsidRPr="008442B8">
        <w:rPr>
          <w:lang w:val="fr-FR"/>
        </w:rPr>
        <w:t>8</w:t>
      </w:r>
      <w:r>
        <w:fldChar w:fldCharType="end"/>
      </w:r>
    </w:p>
    <w:p w:rsidR="008442B8" w:rsidRPr="008442B8" w:rsidRDefault="008442B8">
      <w:pPr>
        <w:pStyle w:val="TOC1"/>
        <w:rPr>
          <w:rFonts w:asciiTheme="minorHAnsi" w:eastAsiaTheme="minorEastAsia" w:hAnsiTheme="minorHAnsi" w:cstheme="minorBidi"/>
          <w:caps w:val="0"/>
          <w:sz w:val="22"/>
          <w:szCs w:val="22"/>
          <w:lang w:val="fr-FR"/>
        </w:rPr>
      </w:pPr>
      <w:r w:rsidRPr="00307CC9">
        <w:rPr>
          <w:lang w:val="fr-CH"/>
        </w:rPr>
        <w:t>État IV – État des flux de trésorerie</w:t>
      </w:r>
      <w:r w:rsidRPr="008442B8">
        <w:rPr>
          <w:lang w:val="fr-FR"/>
        </w:rPr>
        <w:tab/>
      </w:r>
      <w:r>
        <w:fldChar w:fldCharType="begin"/>
      </w:r>
      <w:r w:rsidRPr="008442B8">
        <w:rPr>
          <w:lang w:val="fr-FR"/>
        </w:rPr>
        <w:instrText xml:space="preserve"> PAGEREF _Toc523157887 \h </w:instrText>
      </w:r>
      <w:r>
        <w:fldChar w:fldCharType="separate"/>
      </w:r>
      <w:r w:rsidRPr="008442B8">
        <w:rPr>
          <w:lang w:val="fr-FR"/>
        </w:rPr>
        <w:t>9</w:t>
      </w:r>
      <w:r>
        <w:fldChar w:fldCharType="end"/>
      </w:r>
    </w:p>
    <w:p w:rsidR="008442B8" w:rsidRPr="008442B8" w:rsidRDefault="008442B8">
      <w:pPr>
        <w:pStyle w:val="TOC1"/>
        <w:rPr>
          <w:rFonts w:asciiTheme="minorHAnsi" w:eastAsiaTheme="minorEastAsia" w:hAnsiTheme="minorHAnsi" w:cstheme="minorBidi"/>
          <w:caps w:val="0"/>
          <w:sz w:val="22"/>
          <w:szCs w:val="22"/>
          <w:lang w:val="fr-FR"/>
        </w:rPr>
      </w:pPr>
      <w:r w:rsidRPr="00307CC9">
        <w:rPr>
          <w:lang w:val="fr-CH"/>
        </w:rPr>
        <w:t>ÉTAT V : ÉTAT DE COMPARAISON DES MONTANTS BUDGÉTAIRES ET DES MONTANTS RÉELS</w:t>
      </w:r>
      <w:r w:rsidRPr="008442B8">
        <w:rPr>
          <w:lang w:val="fr-FR"/>
        </w:rPr>
        <w:tab/>
      </w:r>
      <w:r>
        <w:fldChar w:fldCharType="begin"/>
      </w:r>
      <w:r w:rsidRPr="008442B8">
        <w:rPr>
          <w:lang w:val="fr-FR"/>
        </w:rPr>
        <w:instrText xml:space="preserve"> PAGEREF _Toc523157888 \h </w:instrText>
      </w:r>
      <w:r>
        <w:fldChar w:fldCharType="separate"/>
      </w:r>
      <w:r w:rsidRPr="008442B8">
        <w:rPr>
          <w:lang w:val="fr-FR"/>
        </w:rPr>
        <w:t>10</w:t>
      </w:r>
      <w:r>
        <w:fldChar w:fldCharType="end"/>
      </w:r>
    </w:p>
    <w:p w:rsidR="008442B8" w:rsidRPr="008442B8" w:rsidRDefault="008442B8">
      <w:pPr>
        <w:pStyle w:val="TOC1"/>
        <w:rPr>
          <w:rFonts w:asciiTheme="minorHAnsi" w:eastAsiaTheme="minorEastAsia" w:hAnsiTheme="minorHAnsi" w:cstheme="minorBidi"/>
          <w:caps w:val="0"/>
          <w:sz w:val="22"/>
          <w:szCs w:val="22"/>
          <w:lang w:val="fr-FR"/>
        </w:rPr>
      </w:pPr>
      <w:r w:rsidRPr="00307CC9">
        <w:rPr>
          <w:lang w:val="fr-CH"/>
        </w:rPr>
        <w:t>Notes aux états financiers</w:t>
      </w:r>
      <w:r w:rsidRPr="008442B8">
        <w:rPr>
          <w:lang w:val="fr-FR"/>
        </w:rPr>
        <w:tab/>
      </w:r>
      <w:r>
        <w:fldChar w:fldCharType="begin"/>
      </w:r>
      <w:r w:rsidRPr="008442B8">
        <w:rPr>
          <w:lang w:val="fr-FR"/>
        </w:rPr>
        <w:instrText xml:space="preserve"> PAGEREF _Toc523157889 \h </w:instrText>
      </w:r>
      <w:r>
        <w:fldChar w:fldCharType="separate"/>
      </w:r>
      <w:r w:rsidRPr="008442B8">
        <w:rPr>
          <w:lang w:val="fr-FR"/>
        </w:rPr>
        <w:t>12</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 xml:space="preserve">Note 1 : </w:t>
      </w:r>
      <w:r w:rsidRPr="008442B8">
        <w:rPr>
          <w:rFonts w:asciiTheme="minorHAnsi" w:eastAsiaTheme="minorEastAsia" w:hAnsiTheme="minorHAnsi" w:cstheme="minorBidi"/>
          <w:sz w:val="22"/>
          <w:szCs w:val="22"/>
          <w:lang w:val="fr-FR"/>
        </w:rPr>
        <w:tab/>
      </w:r>
      <w:r w:rsidRPr="00307CC9">
        <w:rPr>
          <w:lang w:val="fr-CH"/>
        </w:rPr>
        <w:t>Objectifs, gouvernance et budget de l’Union</w:t>
      </w:r>
      <w:r w:rsidRPr="008442B8">
        <w:rPr>
          <w:lang w:val="fr-FR"/>
        </w:rPr>
        <w:tab/>
      </w:r>
      <w:r>
        <w:fldChar w:fldCharType="begin"/>
      </w:r>
      <w:r w:rsidRPr="008442B8">
        <w:rPr>
          <w:lang w:val="fr-FR"/>
        </w:rPr>
        <w:instrText xml:space="preserve"> PAGEREF _Toc523157890 \h </w:instrText>
      </w:r>
      <w:r>
        <w:fldChar w:fldCharType="separate"/>
      </w:r>
      <w:r w:rsidRPr="008442B8">
        <w:rPr>
          <w:lang w:val="fr-FR"/>
        </w:rPr>
        <w:t>12</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 xml:space="preserve">Note 2 : </w:t>
      </w:r>
      <w:r w:rsidRPr="008442B8">
        <w:rPr>
          <w:rFonts w:asciiTheme="minorHAnsi" w:eastAsiaTheme="minorEastAsia" w:hAnsiTheme="minorHAnsi" w:cstheme="minorBidi"/>
          <w:sz w:val="22"/>
          <w:szCs w:val="22"/>
          <w:lang w:val="fr-FR"/>
        </w:rPr>
        <w:tab/>
      </w:r>
      <w:r w:rsidRPr="00307CC9">
        <w:rPr>
          <w:lang w:val="fr-CH"/>
        </w:rPr>
        <w:t>Principales méthodes comptables</w:t>
      </w:r>
      <w:r w:rsidRPr="008442B8">
        <w:rPr>
          <w:lang w:val="fr-FR"/>
        </w:rPr>
        <w:tab/>
      </w:r>
      <w:r>
        <w:fldChar w:fldCharType="begin"/>
      </w:r>
      <w:r w:rsidRPr="008442B8">
        <w:rPr>
          <w:lang w:val="fr-FR"/>
        </w:rPr>
        <w:instrText xml:space="preserve"> PAGEREF _Toc523157891 \h </w:instrText>
      </w:r>
      <w:r>
        <w:fldChar w:fldCharType="separate"/>
      </w:r>
      <w:r w:rsidRPr="008442B8">
        <w:rPr>
          <w:lang w:val="fr-FR"/>
        </w:rPr>
        <w:t>13</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 xml:space="preserve">Note 3 : </w:t>
      </w:r>
      <w:r w:rsidRPr="008442B8">
        <w:rPr>
          <w:rFonts w:asciiTheme="minorHAnsi" w:eastAsiaTheme="minorEastAsia" w:hAnsiTheme="minorHAnsi" w:cstheme="minorBidi"/>
          <w:sz w:val="22"/>
          <w:szCs w:val="22"/>
          <w:lang w:val="fr-FR"/>
        </w:rPr>
        <w:tab/>
      </w:r>
      <w:r w:rsidRPr="00307CC9">
        <w:rPr>
          <w:lang w:val="fr-CH"/>
        </w:rPr>
        <w:t>Trésorerie et équivalents de trésorerie</w:t>
      </w:r>
      <w:r w:rsidRPr="008442B8">
        <w:rPr>
          <w:lang w:val="fr-FR"/>
        </w:rPr>
        <w:tab/>
      </w:r>
      <w:r>
        <w:fldChar w:fldCharType="begin"/>
      </w:r>
      <w:r w:rsidRPr="008442B8">
        <w:rPr>
          <w:lang w:val="fr-FR"/>
        </w:rPr>
        <w:instrText xml:space="preserve"> PAGEREF _Toc523157892 \h </w:instrText>
      </w:r>
      <w:r>
        <w:fldChar w:fldCharType="separate"/>
      </w:r>
      <w:r w:rsidRPr="008442B8">
        <w:rPr>
          <w:lang w:val="fr-FR"/>
        </w:rPr>
        <w:t>17</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 xml:space="preserve">Note 4 : </w:t>
      </w:r>
      <w:r w:rsidRPr="008442B8">
        <w:rPr>
          <w:rFonts w:asciiTheme="minorHAnsi" w:eastAsiaTheme="minorEastAsia" w:hAnsiTheme="minorHAnsi" w:cstheme="minorBidi"/>
          <w:sz w:val="22"/>
          <w:szCs w:val="22"/>
          <w:lang w:val="fr-FR"/>
        </w:rPr>
        <w:tab/>
      </w:r>
      <w:r w:rsidRPr="00307CC9">
        <w:rPr>
          <w:lang w:val="fr-CH"/>
        </w:rPr>
        <w:t>Comptes débiteurs</w:t>
      </w:r>
      <w:r w:rsidRPr="008442B8">
        <w:rPr>
          <w:lang w:val="fr-FR"/>
        </w:rPr>
        <w:tab/>
      </w:r>
      <w:r>
        <w:fldChar w:fldCharType="begin"/>
      </w:r>
      <w:r w:rsidRPr="008442B8">
        <w:rPr>
          <w:lang w:val="fr-FR"/>
        </w:rPr>
        <w:instrText xml:space="preserve"> PAGEREF _Toc523157893 \h </w:instrText>
      </w:r>
      <w:r>
        <w:fldChar w:fldCharType="separate"/>
      </w:r>
      <w:r w:rsidRPr="008442B8">
        <w:rPr>
          <w:lang w:val="fr-FR"/>
        </w:rPr>
        <w:t>18</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 xml:space="preserve">Note 5 : </w:t>
      </w:r>
      <w:r w:rsidRPr="008442B8">
        <w:rPr>
          <w:rFonts w:asciiTheme="minorHAnsi" w:eastAsiaTheme="minorEastAsia" w:hAnsiTheme="minorHAnsi" w:cstheme="minorBidi"/>
          <w:sz w:val="22"/>
          <w:szCs w:val="22"/>
          <w:lang w:val="fr-FR"/>
        </w:rPr>
        <w:tab/>
      </w:r>
      <w:r w:rsidRPr="00307CC9">
        <w:rPr>
          <w:lang w:val="fr-CH"/>
        </w:rPr>
        <w:t>Matériel</w:t>
      </w:r>
      <w:r w:rsidRPr="008442B8">
        <w:rPr>
          <w:lang w:val="fr-FR"/>
        </w:rPr>
        <w:tab/>
      </w:r>
      <w:r>
        <w:fldChar w:fldCharType="begin"/>
      </w:r>
      <w:r w:rsidRPr="008442B8">
        <w:rPr>
          <w:lang w:val="fr-FR"/>
        </w:rPr>
        <w:instrText xml:space="preserve"> PAGEREF _Toc523157894 \h </w:instrText>
      </w:r>
      <w:r>
        <w:fldChar w:fldCharType="separate"/>
      </w:r>
      <w:r w:rsidRPr="008442B8">
        <w:rPr>
          <w:lang w:val="fr-FR"/>
        </w:rPr>
        <w:t>19</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 xml:space="preserve">Note 6 : </w:t>
      </w:r>
      <w:r w:rsidRPr="008442B8">
        <w:rPr>
          <w:rFonts w:asciiTheme="minorHAnsi" w:eastAsiaTheme="minorEastAsia" w:hAnsiTheme="minorHAnsi" w:cstheme="minorBidi"/>
          <w:sz w:val="22"/>
          <w:szCs w:val="22"/>
          <w:lang w:val="fr-FR"/>
        </w:rPr>
        <w:tab/>
      </w:r>
      <w:r w:rsidRPr="00307CC9">
        <w:rPr>
          <w:lang w:val="fr-CH"/>
        </w:rPr>
        <w:t>Comptes de créanciers</w:t>
      </w:r>
      <w:r w:rsidRPr="008442B8">
        <w:rPr>
          <w:lang w:val="fr-FR"/>
        </w:rPr>
        <w:tab/>
      </w:r>
      <w:r>
        <w:fldChar w:fldCharType="begin"/>
      </w:r>
      <w:r w:rsidRPr="008442B8">
        <w:rPr>
          <w:lang w:val="fr-FR"/>
        </w:rPr>
        <w:instrText xml:space="preserve"> PAGEREF _Toc523157895 \h </w:instrText>
      </w:r>
      <w:r>
        <w:fldChar w:fldCharType="separate"/>
      </w:r>
      <w:r w:rsidRPr="008442B8">
        <w:rPr>
          <w:lang w:val="fr-FR"/>
        </w:rPr>
        <w:t>19</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 xml:space="preserve">Note 7 : </w:t>
      </w:r>
      <w:r w:rsidRPr="008442B8">
        <w:rPr>
          <w:rFonts w:asciiTheme="minorHAnsi" w:eastAsiaTheme="minorEastAsia" w:hAnsiTheme="minorHAnsi" w:cstheme="minorBidi"/>
          <w:sz w:val="22"/>
          <w:szCs w:val="22"/>
          <w:lang w:val="fr-FR"/>
        </w:rPr>
        <w:tab/>
      </w:r>
      <w:r w:rsidRPr="00307CC9">
        <w:rPr>
          <w:lang w:val="fr-CH"/>
        </w:rPr>
        <w:t>Prestations au personnel</w:t>
      </w:r>
      <w:r w:rsidRPr="008442B8">
        <w:rPr>
          <w:lang w:val="fr-FR"/>
        </w:rPr>
        <w:tab/>
      </w:r>
      <w:r>
        <w:fldChar w:fldCharType="begin"/>
      </w:r>
      <w:r w:rsidRPr="008442B8">
        <w:rPr>
          <w:lang w:val="fr-FR"/>
        </w:rPr>
        <w:instrText xml:space="preserve"> PAGEREF _Toc523157896 \h </w:instrText>
      </w:r>
      <w:r>
        <w:fldChar w:fldCharType="separate"/>
      </w:r>
      <w:r w:rsidRPr="008442B8">
        <w:rPr>
          <w:lang w:val="fr-FR"/>
        </w:rPr>
        <w:t>20</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 xml:space="preserve">Note 8 : </w:t>
      </w:r>
      <w:r w:rsidRPr="008442B8">
        <w:rPr>
          <w:rFonts w:asciiTheme="minorHAnsi" w:eastAsiaTheme="minorEastAsia" w:hAnsiTheme="minorHAnsi" w:cstheme="minorBidi"/>
          <w:sz w:val="22"/>
          <w:szCs w:val="22"/>
          <w:lang w:val="fr-FR"/>
        </w:rPr>
        <w:tab/>
      </w:r>
      <w:r w:rsidRPr="00307CC9">
        <w:rPr>
          <w:lang w:val="fr-CH"/>
        </w:rPr>
        <w:t>Encaissements par anticipation</w:t>
      </w:r>
      <w:r w:rsidRPr="008442B8">
        <w:rPr>
          <w:lang w:val="fr-FR"/>
        </w:rPr>
        <w:tab/>
      </w:r>
      <w:r>
        <w:fldChar w:fldCharType="begin"/>
      </w:r>
      <w:r w:rsidRPr="008442B8">
        <w:rPr>
          <w:lang w:val="fr-FR"/>
        </w:rPr>
        <w:instrText xml:space="preserve"> PAGEREF _Toc523157897 \h </w:instrText>
      </w:r>
      <w:r>
        <w:fldChar w:fldCharType="separate"/>
      </w:r>
      <w:r w:rsidRPr="008442B8">
        <w:rPr>
          <w:lang w:val="fr-FR"/>
        </w:rPr>
        <w:t>25</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 xml:space="preserve">Note 9 : </w:t>
      </w:r>
      <w:r w:rsidRPr="008442B8">
        <w:rPr>
          <w:rFonts w:asciiTheme="minorHAnsi" w:eastAsiaTheme="minorEastAsia" w:hAnsiTheme="minorHAnsi" w:cstheme="minorBidi"/>
          <w:sz w:val="22"/>
          <w:szCs w:val="22"/>
          <w:lang w:val="fr-FR"/>
        </w:rPr>
        <w:tab/>
      </w:r>
      <w:r w:rsidRPr="00307CC9">
        <w:rPr>
          <w:lang w:val="fr-CH"/>
        </w:rPr>
        <w:t>Autres passifs courants</w:t>
      </w:r>
      <w:r w:rsidRPr="008442B8">
        <w:rPr>
          <w:lang w:val="fr-FR"/>
        </w:rPr>
        <w:tab/>
      </w:r>
      <w:r>
        <w:fldChar w:fldCharType="begin"/>
      </w:r>
      <w:r w:rsidRPr="008442B8">
        <w:rPr>
          <w:lang w:val="fr-FR"/>
        </w:rPr>
        <w:instrText xml:space="preserve"> PAGEREF _Toc523157898 \h </w:instrText>
      </w:r>
      <w:r>
        <w:fldChar w:fldCharType="separate"/>
      </w:r>
      <w:r w:rsidRPr="008442B8">
        <w:rPr>
          <w:lang w:val="fr-FR"/>
        </w:rPr>
        <w:t>25</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 xml:space="preserve">Note 10 : </w:t>
      </w:r>
      <w:r w:rsidRPr="008442B8">
        <w:rPr>
          <w:rFonts w:asciiTheme="minorHAnsi" w:eastAsiaTheme="minorEastAsia" w:hAnsiTheme="minorHAnsi" w:cstheme="minorBidi"/>
          <w:sz w:val="22"/>
          <w:szCs w:val="22"/>
          <w:lang w:val="fr-FR"/>
        </w:rPr>
        <w:tab/>
      </w:r>
      <w:r w:rsidRPr="00307CC9">
        <w:rPr>
          <w:lang w:val="fr-CH"/>
        </w:rPr>
        <w:t>Transactions avec une partie liée</w:t>
      </w:r>
      <w:r w:rsidRPr="008442B8">
        <w:rPr>
          <w:lang w:val="fr-FR"/>
        </w:rPr>
        <w:tab/>
      </w:r>
      <w:r>
        <w:fldChar w:fldCharType="begin"/>
      </w:r>
      <w:r w:rsidRPr="008442B8">
        <w:rPr>
          <w:lang w:val="fr-FR"/>
        </w:rPr>
        <w:instrText xml:space="preserve"> PAGEREF _Toc523157899 \h </w:instrText>
      </w:r>
      <w:r>
        <w:fldChar w:fldCharType="separate"/>
      </w:r>
      <w:r w:rsidRPr="008442B8">
        <w:rPr>
          <w:lang w:val="fr-FR"/>
        </w:rPr>
        <w:t>25</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 xml:space="preserve">Note 11 : </w:t>
      </w:r>
      <w:r w:rsidRPr="008442B8">
        <w:rPr>
          <w:rFonts w:asciiTheme="minorHAnsi" w:eastAsiaTheme="minorEastAsia" w:hAnsiTheme="minorHAnsi" w:cstheme="minorBidi"/>
          <w:sz w:val="22"/>
          <w:szCs w:val="22"/>
          <w:lang w:val="fr-FR"/>
        </w:rPr>
        <w:tab/>
      </w:r>
      <w:r w:rsidRPr="00307CC9">
        <w:rPr>
          <w:lang w:val="fr-CH"/>
        </w:rPr>
        <w:t>Actifs nets</w:t>
      </w:r>
      <w:r w:rsidRPr="008442B8">
        <w:rPr>
          <w:lang w:val="fr-FR"/>
        </w:rPr>
        <w:tab/>
      </w:r>
      <w:r>
        <w:fldChar w:fldCharType="begin"/>
      </w:r>
      <w:r w:rsidRPr="008442B8">
        <w:rPr>
          <w:lang w:val="fr-FR"/>
        </w:rPr>
        <w:instrText xml:space="preserve"> PAGEREF _Toc523157900 \h </w:instrText>
      </w:r>
      <w:r>
        <w:fldChar w:fldCharType="separate"/>
      </w:r>
      <w:r w:rsidRPr="008442B8">
        <w:rPr>
          <w:lang w:val="fr-FR"/>
        </w:rPr>
        <w:t>26</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 xml:space="preserve">Note 12 : </w:t>
      </w:r>
      <w:r w:rsidRPr="008442B8">
        <w:rPr>
          <w:rFonts w:asciiTheme="minorHAnsi" w:eastAsiaTheme="minorEastAsia" w:hAnsiTheme="minorHAnsi" w:cstheme="minorBidi"/>
          <w:sz w:val="22"/>
          <w:szCs w:val="22"/>
          <w:lang w:val="fr-FR"/>
        </w:rPr>
        <w:tab/>
      </w:r>
      <w:r w:rsidRPr="00307CC9">
        <w:rPr>
          <w:lang w:val="fr-CH"/>
        </w:rPr>
        <w:t>Rapprochement entre l’état de comparaison budgétaire (état V) et l’état de la performance financière (état II)</w:t>
      </w:r>
      <w:r w:rsidRPr="008442B8">
        <w:rPr>
          <w:lang w:val="fr-FR"/>
        </w:rPr>
        <w:tab/>
      </w:r>
      <w:r>
        <w:fldChar w:fldCharType="begin"/>
      </w:r>
      <w:r w:rsidRPr="008442B8">
        <w:rPr>
          <w:lang w:val="fr-FR"/>
        </w:rPr>
        <w:instrText xml:space="preserve"> PAGEREF _Toc523157901 \h </w:instrText>
      </w:r>
      <w:r>
        <w:fldChar w:fldCharType="separate"/>
      </w:r>
      <w:r w:rsidRPr="008442B8">
        <w:rPr>
          <w:lang w:val="fr-FR"/>
        </w:rPr>
        <w:t>27</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 xml:space="preserve">Note 13 : </w:t>
      </w:r>
      <w:r w:rsidRPr="008442B8">
        <w:rPr>
          <w:rFonts w:asciiTheme="minorHAnsi" w:eastAsiaTheme="minorEastAsia" w:hAnsiTheme="minorHAnsi" w:cstheme="minorBidi"/>
          <w:sz w:val="22"/>
          <w:szCs w:val="22"/>
          <w:lang w:val="fr-FR"/>
        </w:rPr>
        <w:tab/>
      </w:r>
      <w:r w:rsidRPr="00307CC9">
        <w:rPr>
          <w:lang w:val="fr-CH"/>
        </w:rPr>
        <w:t>Recettes</w:t>
      </w:r>
      <w:r w:rsidRPr="008442B8">
        <w:rPr>
          <w:lang w:val="fr-FR"/>
        </w:rPr>
        <w:tab/>
      </w:r>
      <w:r>
        <w:fldChar w:fldCharType="begin"/>
      </w:r>
      <w:r w:rsidRPr="008442B8">
        <w:rPr>
          <w:lang w:val="fr-FR"/>
        </w:rPr>
        <w:instrText xml:space="preserve"> PAGEREF _Toc523157902 \h </w:instrText>
      </w:r>
      <w:r>
        <w:fldChar w:fldCharType="separate"/>
      </w:r>
      <w:r w:rsidRPr="008442B8">
        <w:rPr>
          <w:lang w:val="fr-FR"/>
        </w:rPr>
        <w:t>28</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Note 14 :</w:t>
      </w:r>
      <w:r w:rsidRPr="008442B8">
        <w:rPr>
          <w:rFonts w:asciiTheme="minorHAnsi" w:eastAsiaTheme="minorEastAsia" w:hAnsiTheme="minorHAnsi" w:cstheme="minorBidi"/>
          <w:sz w:val="22"/>
          <w:szCs w:val="22"/>
          <w:lang w:val="fr-FR"/>
        </w:rPr>
        <w:tab/>
      </w:r>
      <w:r w:rsidRPr="00307CC9">
        <w:rPr>
          <w:lang w:val="fr-CH"/>
        </w:rPr>
        <w:t>Dépenses</w:t>
      </w:r>
      <w:r w:rsidRPr="008442B8">
        <w:rPr>
          <w:lang w:val="fr-FR"/>
        </w:rPr>
        <w:tab/>
      </w:r>
      <w:r>
        <w:fldChar w:fldCharType="begin"/>
      </w:r>
      <w:r w:rsidRPr="008442B8">
        <w:rPr>
          <w:lang w:val="fr-FR"/>
        </w:rPr>
        <w:instrText xml:space="preserve"> PAGEREF _Toc523157903 \h </w:instrText>
      </w:r>
      <w:r>
        <w:fldChar w:fldCharType="separate"/>
      </w:r>
      <w:r w:rsidRPr="008442B8">
        <w:rPr>
          <w:lang w:val="fr-FR"/>
        </w:rPr>
        <w:t>29</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Note 15 :</w:t>
      </w:r>
      <w:r w:rsidRPr="008442B8">
        <w:rPr>
          <w:rFonts w:asciiTheme="minorHAnsi" w:eastAsiaTheme="minorEastAsia" w:hAnsiTheme="minorHAnsi" w:cstheme="minorBidi"/>
          <w:sz w:val="22"/>
          <w:szCs w:val="22"/>
          <w:lang w:val="fr-FR"/>
        </w:rPr>
        <w:tab/>
      </w:r>
      <w:r w:rsidRPr="00307CC9">
        <w:rPr>
          <w:lang w:val="fr-CH"/>
        </w:rPr>
        <w:t>Instruments financiers</w:t>
      </w:r>
      <w:r w:rsidRPr="008442B8">
        <w:rPr>
          <w:lang w:val="fr-FR"/>
        </w:rPr>
        <w:tab/>
      </w:r>
      <w:r>
        <w:fldChar w:fldCharType="begin"/>
      </w:r>
      <w:r w:rsidRPr="008442B8">
        <w:rPr>
          <w:lang w:val="fr-FR"/>
        </w:rPr>
        <w:instrText xml:space="preserve"> PAGEREF _Toc523157904 \h </w:instrText>
      </w:r>
      <w:r>
        <w:fldChar w:fldCharType="separate"/>
      </w:r>
      <w:r w:rsidRPr="008442B8">
        <w:rPr>
          <w:lang w:val="fr-FR"/>
        </w:rPr>
        <w:t>29</w:t>
      </w:r>
      <w:r>
        <w:fldChar w:fldCharType="end"/>
      </w:r>
    </w:p>
    <w:p w:rsidR="008442B8" w:rsidRPr="008442B8" w:rsidRDefault="008442B8">
      <w:pPr>
        <w:pStyle w:val="TOC2"/>
        <w:rPr>
          <w:rFonts w:asciiTheme="minorHAnsi" w:eastAsiaTheme="minorEastAsia" w:hAnsiTheme="minorHAnsi" w:cstheme="minorBidi"/>
          <w:sz w:val="22"/>
          <w:szCs w:val="22"/>
          <w:lang w:val="fr-FR"/>
        </w:rPr>
      </w:pPr>
      <w:r w:rsidRPr="00307CC9">
        <w:rPr>
          <w:lang w:val="fr-CH"/>
        </w:rPr>
        <w:t>Note 16 :</w:t>
      </w:r>
      <w:r w:rsidRPr="008442B8">
        <w:rPr>
          <w:rFonts w:asciiTheme="minorHAnsi" w:eastAsiaTheme="minorEastAsia" w:hAnsiTheme="minorHAnsi" w:cstheme="minorBidi"/>
          <w:sz w:val="22"/>
          <w:szCs w:val="22"/>
          <w:lang w:val="fr-FR"/>
        </w:rPr>
        <w:tab/>
      </w:r>
      <w:r w:rsidRPr="00307CC9">
        <w:rPr>
          <w:lang w:val="fr-CH"/>
        </w:rPr>
        <w:t>Événements postérieurs à la date d’établissement des états financiers</w:t>
      </w:r>
      <w:r w:rsidRPr="008442B8">
        <w:rPr>
          <w:lang w:val="fr-FR"/>
        </w:rPr>
        <w:tab/>
      </w:r>
      <w:r>
        <w:fldChar w:fldCharType="begin"/>
      </w:r>
      <w:r w:rsidRPr="008442B8">
        <w:rPr>
          <w:lang w:val="fr-FR"/>
        </w:rPr>
        <w:instrText xml:space="preserve"> PAGEREF _Toc523157905 \h </w:instrText>
      </w:r>
      <w:r>
        <w:fldChar w:fldCharType="separate"/>
      </w:r>
      <w:r w:rsidRPr="008442B8">
        <w:rPr>
          <w:lang w:val="fr-FR"/>
        </w:rPr>
        <w:t>32</w:t>
      </w:r>
      <w:r>
        <w:fldChar w:fldCharType="end"/>
      </w:r>
    </w:p>
    <w:p w:rsidR="008442B8" w:rsidRDefault="008442B8">
      <w:pPr>
        <w:pStyle w:val="TOC2"/>
        <w:rPr>
          <w:rFonts w:asciiTheme="minorHAnsi" w:eastAsiaTheme="minorEastAsia" w:hAnsiTheme="minorHAnsi" w:cstheme="minorBidi"/>
          <w:sz w:val="22"/>
          <w:szCs w:val="22"/>
        </w:rPr>
      </w:pPr>
      <w:r w:rsidRPr="00307CC9">
        <w:rPr>
          <w:lang w:val="fr-CH"/>
        </w:rPr>
        <w:t>Note 17 :</w:t>
      </w:r>
      <w:r>
        <w:rPr>
          <w:rFonts w:asciiTheme="minorHAnsi" w:eastAsiaTheme="minorEastAsia" w:hAnsiTheme="minorHAnsi" w:cstheme="minorBidi"/>
          <w:sz w:val="22"/>
          <w:szCs w:val="22"/>
        </w:rPr>
        <w:tab/>
      </w:r>
      <w:r w:rsidRPr="00307CC9">
        <w:rPr>
          <w:lang w:val="fr-CH"/>
        </w:rPr>
        <w:t>Information sectorielle</w:t>
      </w:r>
      <w:r>
        <w:tab/>
      </w:r>
      <w:r>
        <w:fldChar w:fldCharType="begin"/>
      </w:r>
      <w:r>
        <w:instrText xml:space="preserve"> PAGEREF _Toc523157906 \h </w:instrText>
      </w:r>
      <w:r>
        <w:fldChar w:fldCharType="separate"/>
      </w:r>
      <w:r>
        <w:t>32</w:t>
      </w:r>
      <w:r>
        <w:fldChar w:fldCharType="end"/>
      </w:r>
    </w:p>
    <w:p w:rsidR="00905890" w:rsidRPr="004D3D70" w:rsidRDefault="001E7353" w:rsidP="00A824AF">
      <w:pPr>
        <w:rPr>
          <w:u w:val="single"/>
          <w:lang w:val="fr-CH"/>
        </w:rPr>
      </w:pPr>
      <w:r w:rsidRPr="004D3D70">
        <w:rPr>
          <w:u w:val="single"/>
          <w:lang w:val="fr-CH"/>
        </w:rPr>
        <w:fldChar w:fldCharType="end"/>
      </w:r>
    </w:p>
    <w:p w:rsidR="00905890" w:rsidRPr="004D3D70" w:rsidRDefault="00905890">
      <w:pPr>
        <w:jc w:val="left"/>
        <w:rPr>
          <w:lang w:val="fr-CH"/>
        </w:rPr>
      </w:pPr>
    </w:p>
    <w:p w:rsidR="00EE33B2" w:rsidRPr="004D3D70" w:rsidRDefault="00EE33B2">
      <w:pPr>
        <w:jc w:val="left"/>
        <w:rPr>
          <w:b/>
          <w:caps/>
          <w:lang w:val="fr-CH"/>
        </w:rPr>
      </w:pPr>
      <w:r w:rsidRPr="004D3D70">
        <w:rPr>
          <w:lang w:val="fr-CH"/>
        </w:rPr>
        <w:br w:type="page"/>
      </w:r>
    </w:p>
    <w:p w:rsidR="00905890" w:rsidRPr="004D3D70" w:rsidRDefault="00D70565" w:rsidP="00D70565">
      <w:pPr>
        <w:pStyle w:val="Heading1"/>
        <w:rPr>
          <w:lang w:val="fr-CH"/>
        </w:rPr>
      </w:pPr>
      <w:bookmarkStart w:id="3" w:name="_Toc523157878"/>
      <w:r w:rsidRPr="004D3D70">
        <w:rPr>
          <w:lang w:val="fr-CH"/>
        </w:rPr>
        <w:lastRenderedPageBreak/>
        <w:t>introduction</w:t>
      </w:r>
      <w:bookmarkEnd w:id="3"/>
    </w:p>
    <w:p w:rsidR="00905890" w:rsidRPr="006A3B1C" w:rsidRDefault="00905890" w:rsidP="00D67D80">
      <w:pPr>
        <w:rPr>
          <w:sz w:val="12"/>
          <w:lang w:val="fr-CH"/>
        </w:rPr>
      </w:pPr>
    </w:p>
    <w:p w:rsidR="00905890" w:rsidRPr="004D3D70" w:rsidRDefault="00D70565" w:rsidP="00D70565">
      <w:pPr>
        <w:numPr>
          <w:ilvl w:val="0"/>
          <w:numId w:val="12"/>
        </w:numPr>
        <w:tabs>
          <w:tab w:val="clear" w:pos="1080"/>
        </w:tabs>
        <w:ind w:left="550" w:hanging="550"/>
        <w:rPr>
          <w:lang w:val="fr-CH"/>
        </w:rPr>
      </w:pPr>
      <w:r w:rsidRPr="004D3D70">
        <w:rPr>
          <w:lang w:val="fr-CH"/>
        </w:rPr>
        <w:t>Les états financiers de l</w:t>
      </w:r>
      <w:r w:rsidR="004D3D70">
        <w:rPr>
          <w:lang w:val="fr-CH"/>
        </w:rPr>
        <w:t>’</w:t>
      </w:r>
      <w:r w:rsidRPr="004D3D70">
        <w:rPr>
          <w:lang w:val="fr-CH"/>
        </w:rPr>
        <w:t>Union internationale pour la protection des obtentions végétales (UPOV) pour l</w:t>
      </w:r>
      <w:r w:rsidR="004D3D70">
        <w:rPr>
          <w:lang w:val="fr-CH"/>
        </w:rPr>
        <w:t>’</w:t>
      </w:r>
      <w:r w:rsidRPr="004D3D70">
        <w:rPr>
          <w:lang w:val="fr-CH"/>
        </w:rPr>
        <w:t>année s</w:t>
      </w:r>
      <w:r w:rsidR="004D3D70">
        <w:rPr>
          <w:lang w:val="fr-CH"/>
        </w:rPr>
        <w:t>’</w:t>
      </w:r>
      <w:r w:rsidRPr="004D3D70">
        <w:rPr>
          <w:lang w:val="fr-CH"/>
        </w:rPr>
        <w:t>achevant le 3</w:t>
      </w:r>
      <w:r w:rsidR="004D3D70" w:rsidRPr="004D3D70">
        <w:rPr>
          <w:lang w:val="fr-CH"/>
        </w:rPr>
        <w:t>1</w:t>
      </w:r>
      <w:r w:rsidR="004D3D70">
        <w:rPr>
          <w:lang w:val="fr-CH"/>
        </w:rPr>
        <w:t> </w:t>
      </w:r>
      <w:r w:rsidR="004D3D70" w:rsidRPr="004D3D70">
        <w:rPr>
          <w:lang w:val="fr-CH"/>
        </w:rPr>
        <w:t>décembre</w:t>
      </w:r>
      <w:r w:rsidR="004D3D70">
        <w:rPr>
          <w:lang w:val="fr-CH"/>
        </w:rPr>
        <w:t> </w:t>
      </w:r>
      <w:r w:rsidR="004D3D70" w:rsidRPr="004D3D70">
        <w:rPr>
          <w:lang w:val="fr-CH"/>
        </w:rPr>
        <w:t>20</w:t>
      </w:r>
      <w:r w:rsidRPr="004D3D70">
        <w:rPr>
          <w:lang w:val="fr-CH"/>
        </w:rPr>
        <w:t>17 sont présentés au Conseil de l</w:t>
      </w:r>
      <w:r w:rsidR="004D3D70">
        <w:rPr>
          <w:lang w:val="fr-CH"/>
        </w:rPr>
        <w:t>’</w:t>
      </w:r>
      <w:r w:rsidRPr="004D3D70">
        <w:rPr>
          <w:lang w:val="fr-CH"/>
        </w:rPr>
        <w:t>UPOV conformément à l</w:t>
      </w:r>
      <w:r w:rsidR="004D3D70">
        <w:rPr>
          <w:lang w:val="fr-CH"/>
        </w:rPr>
        <w:t>’</w:t>
      </w:r>
      <w:r w:rsidR="004D3D70" w:rsidRPr="004D3D70">
        <w:rPr>
          <w:lang w:val="fr-CH"/>
        </w:rPr>
        <w:t>article</w:t>
      </w:r>
      <w:r w:rsidR="004D3D70">
        <w:rPr>
          <w:lang w:val="fr-CH"/>
        </w:rPr>
        <w:t> </w:t>
      </w:r>
      <w:r w:rsidR="004D3D70" w:rsidRPr="004D3D70">
        <w:rPr>
          <w:lang w:val="fr-CH"/>
        </w:rPr>
        <w:t>6</w:t>
      </w:r>
      <w:r w:rsidRPr="004D3D70">
        <w:rPr>
          <w:lang w:val="fr-CH"/>
        </w:rPr>
        <w:t>.5 du Règlement financier et règlement d</w:t>
      </w:r>
      <w:r w:rsidR="004D3D70">
        <w:rPr>
          <w:lang w:val="fr-CH"/>
        </w:rPr>
        <w:t>’</w:t>
      </w:r>
      <w:r w:rsidRPr="004D3D70">
        <w:rPr>
          <w:lang w:val="fr-CH"/>
        </w:rPr>
        <w:t>exécution du Règlement financier de l</w:t>
      </w:r>
      <w:r w:rsidR="004D3D70">
        <w:rPr>
          <w:lang w:val="fr-CH"/>
        </w:rPr>
        <w:t>’</w:t>
      </w:r>
      <w:r w:rsidRPr="004D3D70">
        <w:rPr>
          <w:lang w:val="fr-CH"/>
        </w:rPr>
        <w:t>UPOV (document</w:t>
      </w:r>
      <w:r w:rsidR="00BE23DA">
        <w:rPr>
          <w:lang w:val="fr-CH"/>
        </w:rPr>
        <w:t> </w:t>
      </w:r>
      <w:r w:rsidRPr="004D3D70">
        <w:rPr>
          <w:lang w:val="fr-CH"/>
        </w:rPr>
        <w:t>UPOV/INF/4/4).</w:t>
      </w:r>
    </w:p>
    <w:p w:rsidR="00905890" w:rsidRPr="006A3B1C" w:rsidRDefault="00905890" w:rsidP="00A824AF">
      <w:pPr>
        <w:rPr>
          <w:sz w:val="12"/>
          <w:lang w:val="fr-CH"/>
        </w:rPr>
      </w:pPr>
    </w:p>
    <w:p w:rsidR="00905890" w:rsidRPr="004D3D70" w:rsidRDefault="004D3D70" w:rsidP="00D70565">
      <w:pPr>
        <w:spacing w:after="120"/>
        <w:ind w:left="550"/>
        <w:rPr>
          <w:b/>
          <w:lang w:val="fr-CH"/>
        </w:rPr>
      </w:pPr>
      <w:r w:rsidRPr="004D3D70">
        <w:rPr>
          <w:b/>
          <w:lang w:val="fr-CH"/>
        </w:rPr>
        <w:t>Article</w:t>
      </w:r>
      <w:r>
        <w:rPr>
          <w:b/>
          <w:lang w:val="fr-CH"/>
        </w:rPr>
        <w:t> </w:t>
      </w:r>
      <w:r w:rsidRPr="004D3D70">
        <w:rPr>
          <w:b/>
          <w:lang w:val="fr-CH"/>
        </w:rPr>
        <w:t>6</w:t>
      </w:r>
      <w:r w:rsidR="00D70565" w:rsidRPr="004D3D70">
        <w:rPr>
          <w:b/>
          <w:lang w:val="fr-CH"/>
        </w:rPr>
        <w:t>.5</w:t>
      </w:r>
    </w:p>
    <w:p w:rsidR="00905890" w:rsidRPr="004D3D70" w:rsidRDefault="006A3B1C" w:rsidP="00D70565">
      <w:pPr>
        <w:spacing w:after="120"/>
        <w:ind w:left="550"/>
        <w:rPr>
          <w:lang w:val="fr-CH"/>
        </w:rPr>
      </w:pPr>
      <w:r>
        <w:rPr>
          <w:lang w:val="fr-CH"/>
        </w:rPr>
        <w:t>1)</w:t>
      </w:r>
      <w:r>
        <w:rPr>
          <w:lang w:val="fr-CH"/>
        </w:rPr>
        <w:tab/>
      </w:r>
      <w:r w:rsidR="00D70565" w:rsidRPr="004D3D70">
        <w:rPr>
          <w:lang w:val="fr-CH"/>
        </w:rPr>
        <w:t>Le secrétaire général soumet les états financiers annuels pour chaque année civile de l</w:t>
      </w:r>
      <w:r w:rsidR="004D3D70">
        <w:rPr>
          <w:lang w:val="fr-CH"/>
        </w:rPr>
        <w:t>’</w:t>
      </w:r>
      <w:r w:rsidR="00D70565" w:rsidRPr="004D3D70">
        <w:rPr>
          <w:lang w:val="fr-CH"/>
        </w:rPr>
        <w:t>exercice financier au vérificateur externe des comptes au plus tard le 3</w:t>
      </w:r>
      <w:r w:rsidR="004D3D70" w:rsidRPr="004D3D70">
        <w:rPr>
          <w:lang w:val="fr-CH"/>
        </w:rPr>
        <w:t>1</w:t>
      </w:r>
      <w:r w:rsidR="004D3D70">
        <w:rPr>
          <w:lang w:val="fr-CH"/>
        </w:rPr>
        <w:t> </w:t>
      </w:r>
      <w:r w:rsidR="004D3D70" w:rsidRPr="004D3D70">
        <w:rPr>
          <w:lang w:val="fr-CH"/>
        </w:rPr>
        <w:t>mars</w:t>
      </w:r>
      <w:r w:rsidR="00D70565" w:rsidRPr="004D3D70">
        <w:rPr>
          <w:lang w:val="fr-CH"/>
        </w:rPr>
        <w:t xml:space="preserve"> qui suit la fin de l</w:t>
      </w:r>
      <w:r w:rsidR="004D3D70">
        <w:rPr>
          <w:lang w:val="fr-CH"/>
        </w:rPr>
        <w:t>’</w:t>
      </w:r>
      <w:r w:rsidR="00D70565" w:rsidRPr="004D3D70">
        <w:rPr>
          <w:lang w:val="fr-CH"/>
        </w:rPr>
        <w:t>année civile correspondante.</w:t>
      </w:r>
    </w:p>
    <w:p w:rsidR="00905890" w:rsidRPr="004D3D70" w:rsidRDefault="006A3B1C" w:rsidP="00D70565">
      <w:pPr>
        <w:spacing w:after="120"/>
        <w:ind w:left="550"/>
        <w:rPr>
          <w:lang w:val="fr-CH"/>
        </w:rPr>
      </w:pPr>
      <w:r>
        <w:rPr>
          <w:lang w:val="fr-CH"/>
        </w:rPr>
        <w:t>2)</w:t>
      </w:r>
      <w:r>
        <w:rPr>
          <w:lang w:val="fr-CH"/>
        </w:rPr>
        <w:tab/>
      </w:r>
      <w:r w:rsidR="00D70565" w:rsidRPr="004D3D70">
        <w:rPr>
          <w:lang w:val="fr-CH"/>
        </w:rPr>
        <w:t>Dans les huit</w:t>
      </w:r>
      <w:r w:rsidR="00AC2A6B">
        <w:rPr>
          <w:lang w:val="fr-CH"/>
        </w:rPr>
        <w:t> </w:t>
      </w:r>
      <w:r w:rsidR="00D70565" w:rsidRPr="004D3D70">
        <w:rPr>
          <w:lang w:val="fr-CH"/>
        </w:rPr>
        <w:t>mois suivant la fin de chaque année civile, le secrétaire général présente au Conseil les états financiers annuels et le rapport de vérification des comptes du vérificateur externe des comptes.</w:t>
      </w:r>
    </w:p>
    <w:p w:rsidR="00905890" w:rsidRPr="004D3D70" w:rsidRDefault="006A3B1C" w:rsidP="00D70565">
      <w:pPr>
        <w:spacing w:after="120"/>
        <w:ind w:left="550"/>
        <w:rPr>
          <w:lang w:val="fr-CH"/>
        </w:rPr>
      </w:pPr>
      <w:r>
        <w:rPr>
          <w:lang w:val="fr-CH"/>
        </w:rPr>
        <w:t>3)</w:t>
      </w:r>
      <w:r>
        <w:rPr>
          <w:lang w:val="fr-CH"/>
        </w:rPr>
        <w:tab/>
      </w:r>
      <w:r w:rsidR="00D70565" w:rsidRPr="004D3D70">
        <w:rPr>
          <w:lang w:val="fr-CH"/>
        </w:rPr>
        <w:t>Le Conseil examine les états financiers annue</w:t>
      </w:r>
      <w:r w:rsidR="002140E0" w:rsidRPr="004D3D70">
        <w:rPr>
          <w:lang w:val="fr-CH"/>
        </w:rPr>
        <w:t>ls</w:t>
      </w:r>
      <w:r w:rsidR="002140E0">
        <w:rPr>
          <w:lang w:val="fr-CH"/>
        </w:rPr>
        <w:t xml:space="preserve">.  </w:t>
      </w:r>
      <w:r w:rsidR="002140E0" w:rsidRPr="004D3D70">
        <w:rPr>
          <w:lang w:val="fr-CH"/>
        </w:rPr>
        <w:t>Il</w:t>
      </w:r>
      <w:r w:rsidR="00D70565" w:rsidRPr="004D3D70">
        <w:rPr>
          <w:lang w:val="fr-CH"/>
        </w:rPr>
        <w:t xml:space="preserve"> peut identifier des modifications quant à la part de l</w:t>
      </w:r>
      <w:r w:rsidR="004D3D70">
        <w:rPr>
          <w:lang w:val="fr-CH"/>
        </w:rPr>
        <w:t>’</w:t>
      </w:r>
      <w:r w:rsidR="00D70565" w:rsidRPr="004D3D70">
        <w:rPr>
          <w:lang w:val="fr-CH"/>
        </w:rPr>
        <w:t>UPOV dans les dépenses communes, s</w:t>
      </w:r>
      <w:r w:rsidR="004D3D70">
        <w:rPr>
          <w:lang w:val="fr-CH"/>
        </w:rPr>
        <w:t>’</w:t>
      </w:r>
      <w:r w:rsidR="00D70565" w:rsidRPr="004D3D70">
        <w:rPr>
          <w:lang w:val="fr-CH"/>
        </w:rPr>
        <w:t>il trouve que cette part n</w:t>
      </w:r>
      <w:r w:rsidR="004D3D70">
        <w:rPr>
          <w:lang w:val="fr-CH"/>
        </w:rPr>
        <w:t>’</w:t>
      </w:r>
      <w:r w:rsidR="00D70565" w:rsidRPr="004D3D70">
        <w:rPr>
          <w:lang w:val="fr-CH"/>
        </w:rPr>
        <w:t>a pas été correctement évaluée ou arrêtée par le secrétaire génér</w:t>
      </w:r>
      <w:r w:rsidR="002140E0" w:rsidRPr="004D3D70">
        <w:rPr>
          <w:lang w:val="fr-CH"/>
        </w:rPr>
        <w:t>al</w:t>
      </w:r>
      <w:r w:rsidR="002140E0">
        <w:rPr>
          <w:lang w:val="fr-CH"/>
        </w:rPr>
        <w:t xml:space="preserve">.  </w:t>
      </w:r>
      <w:r w:rsidR="002140E0" w:rsidRPr="004D3D70">
        <w:rPr>
          <w:lang w:val="fr-CH"/>
        </w:rPr>
        <w:t>Da</w:t>
      </w:r>
      <w:r w:rsidR="00D70565" w:rsidRPr="004D3D70">
        <w:rPr>
          <w:lang w:val="fr-CH"/>
        </w:rPr>
        <w:t>ns ce cas, après avoir consulté le Comité de coordination de l</w:t>
      </w:r>
      <w:r w:rsidR="004D3D70">
        <w:rPr>
          <w:lang w:val="fr-CH"/>
        </w:rPr>
        <w:t>’</w:t>
      </w:r>
      <w:r w:rsidR="00D70565" w:rsidRPr="004D3D70">
        <w:rPr>
          <w:lang w:val="fr-CH"/>
        </w:rPr>
        <w:t>OMPI, le Conseil fixe le montant de la contribution définitive.</w:t>
      </w:r>
    </w:p>
    <w:p w:rsidR="00905890" w:rsidRPr="004D3D70" w:rsidRDefault="006A3B1C" w:rsidP="00D70565">
      <w:pPr>
        <w:ind w:left="550"/>
        <w:rPr>
          <w:lang w:val="fr-CH"/>
        </w:rPr>
      </w:pPr>
      <w:r>
        <w:rPr>
          <w:lang w:val="fr-CH"/>
        </w:rPr>
        <w:t>4)</w:t>
      </w:r>
      <w:r>
        <w:rPr>
          <w:lang w:val="fr-CH"/>
        </w:rPr>
        <w:tab/>
      </w:r>
      <w:r w:rsidR="00D70565" w:rsidRPr="004D3D70">
        <w:rPr>
          <w:lang w:val="fr-CH"/>
        </w:rPr>
        <w:t>Le Conseil approuve les états financiers annuels, après leur vérification au sens de l</w:t>
      </w:r>
      <w:r w:rsidR="004D3D70">
        <w:rPr>
          <w:lang w:val="fr-CH"/>
        </w:rPr>
        <w:t>’</w:t>
      </w:r>
      <w:r w:rsidR="004D3D70" w:rsidRPr="004D3D70">
        <w:rPr>
          <w:lang w:val="fr-CH"/>
        </w:rPr>
        <w:t>article</w:t>
      </w:r>
      <w:r w:rsidR="004D3D70">
        <w:rPr>
          <w:lang w:val="fr-CH"/>
        </w:rPr>
        <w:t> </w:t>
      </w:r>
      <w:r w:rsidR="004D3D70" w:rsidRPr="004D3D70">
        <w:rPr>
          <w:lang w:val="fr-CH"/>
        </w:rPr>
        <w:t>2</w:t>
      </w:r>
      <w:r w:rsidR="00D70565" w:rsidRPr="004D3D70">
        <w:rPr>
          <w:lang w:val="fr-CH"/>
        </w:rPr>
        <w:t xml:space="preserve">4 de la Convention </w:t>
      </w:r>
      <w:r w:rsidR="004D3D70" w:rsidRPr="004D3D70">
        <w:rPr>
          <w:lang w:val="fr-CH"/>
        </w:rPr>
        <w:t>de</w:t>
      </w:r>
      <w:r w:rsidR="004D3D70">
        <w:rPr>
          <w:lang w:val="fr-CH"/>
        </w:rPr>
        <w:t> </w:t>
      </w:r>
      <w:r w:rsidR="004D3D70" w:rsidRPr="004D3D70">
        <w:rPr>
          <w:lang w:val="fr-CH"/>
        </w:rPr>
        <w:t>1961</w:t>
      </w:r>
      <w:r w:rsidR="00D70565" w:rsidRPr="004D3D70">
        <w:rPr>
          <w:lang w:val="fr-CH"/>
        </w:rPr>
        <w:t>, de l</w:t>
      </w:r>
      <w:r w:rsidR="004D3D70">
        <w:rPr>
          <w:lang w:val="fr-CH"/>
        </w:rPr>
        <w:t>’</w:t>
      </w:r>
      <w:r w:rsidR="004D3D70" w:rsidRPr="004D3D70">
        <w:rPr>
          <w:lang w:val="fr-CH"/>
        </w:rPr>
        <w:t>article</w:t>
      </w:r>
      <w:r w:rsidR="004D3D70">
        <w:rPr>
          <w:lang w:val="fr-CH"/>
        </w:rPr>
        <w:t> </w:t>
      </w:r>
      <w:r w:rsidR="004D3D70" w:rsidRPr="004D3D70">
        <w:rPr>
          <w:lang w:val="fr-CH"/>
        </w:rPr>
        <w:t>2</w:t>
      </w:r>
      <w:r w:rsidR="00D70565" w:rsidRPr="004D3D70">
        <w:rPr>
          <w:lang w:val="fr-CH"/>
        </w:rPr>
        <w:t>5 de l</w:t>
      </w:r>
      <w:r w:rsidR="004D3D70">
        <w:rPr>
          <w:lang w:val="fr-CH"/>
        </w:rPr>
        <w:t>’</w:t>
      </w:r>
      <w:r w:rsidR="00D70565" w:rsidRPr="004D3D70">
        <w:rPr>
          <w:lang w:val="fr-CH"/>
        </w:rPr>
        <w:t xml:space="preserve">Acte </w:t>
      </w:r>
      <w:r w:rsidR="004D3D70" w:rsidRPr="004D3D70">
        <w:rPr>
          <w:lang w:val="fr-CH"/>
        </w:rPr>
        <w:t>de</w:t>
      </w:r>
      <w:r w:rsidR="004D3D70">
        <w:rPr>
          <w:lang w:val="fr-CH"/>
        </w:rPr>
        <w:t> </w:t>
      </w:r>
      <w:r w:rsidR="004D3D70" w:rsidRPr="004D3D70">
        <w:rPr>
          <w:lang w:val="fr-CH"/>
        </w:rPr>
        <w:t>1978</w:t>
      </w:r>
      <w:r w:rsidR="00D70565" w:rsidRPr="004D3D70">
        <w:rPr>
          <w:lang w:val="fr-CH"/>
        </w:rPr>
        <w:t xml:space="preserve"> et de l</w:t>
      </w:r>
      <w:r w:rsidR="004D3D70">
        <w:rPr>
          <w:lang w:val="fr-CH"/>
        </w:rPr>
        <w:t>’</w:t>
      </w:r>
      <w:r w:rsidR="004D3D70" w:rsidRPr="004D3D70">
        <w:rPr>
          <w:lang w:val="fr-CH"/>
        </w:rPr>
        <w:t>article</w:t>
      </w:r>
      <w:r w:rsidR="004D3D70">
        <w:rPr>
          <w:lang w:val="fr-CH"/>
        </w:rPr>
        <w:t> </w:t>
      </w:r>
      <w:r w:rsidR="004D3D70" w:rsidRPr="004D3D70">
        <w:rPr>
          <w:lang w:val="fr-CH"/>
        </w:rPr>
        <w:t>2</w:t>
      </w:r>
      <w:r w:rsidR="00D70565" w:rsidRPr="004D3D70">
        <w:rPr>
          <w:lang w:val="fr-CH"/>
        </w:rPr>
        <w:t>9.6) de l</w:t>
      </w:r>
      <w:r w:rsidR="004D3D70">
        <w:rPr>
          <w:lang w:val="fr-CH"/>
        </w:rPr>
        <w:t>’</w:t>
      </w:r>
      <w:r w:rsidR="00D70565" w:rsidRPr="004D3D70">
        <w:rPr>
          <w:lang w:val="fr-CH"/>
        </w:rPr>
        <w:t xml:space="preserve">Acte </w:t>
      </w:r>
      <w:r w:rsidR="004D3D70" w:rsidRPr="004D3D70">
        <w:rPr>
          <w:lang w:val="fr-CH"/>
        </w:rPr>
        <w:t>de</w:t>
      </w:r>
      <w:r w:rsidR="004D3D70">
        <w:rPr>
          <w:lang w:val="fr-CH"/>
        </w:rPr>
        <w:t> </w:t>
      </w:r>
      <w:r w:rsidR="004D3D70" w:rsidRPr="004D3D70">
        <w:rPr>
          <w:lang w:val="fr-CH"/>
        </w:rPr>
        <w:t>1991</w:t>
      </w:r>
      <w:r w:rsidR="00D70565" w:rsidRPr="004D3D70">
        <w:rPr>
          <w:lang w:val="fr-CH"/>
        </w:rPr>
        <w:t>.</w:t>
      </w:r>
    </w:p>
    <w:p w:rsidR="00905890" w:rsidRPr="006A3B1C" w:rsidRDefault="00905890" w:rsidP="00A824AF">
      <w:pPr>
        <w:rPr>
          <w:sz w:val="12"/>
          <w:lang w:val="fr-CH"/>
        </w:rPr>
      </w:pPr>
    </w:p>
    <w:p w:rsidR="00905890" w:rsidRPr="006A3B1C" w:rsidRDefault="00D70565" w:rsidP="006A3B1C">
      <w:pPr>
        <w:numPr>
          <w:ilvl w:val="0"/>
          <w:numId w:val="12"/>
        </w:numPr>
        <w:tabs>
          <w:tab w:val="clear" w:pos="1080"/>
        </w:tabs>
        <w:ind w:left="550" w:hanging="550"/>
        <w:rPr>
          <w:lang w:val="fr-CH"/>
        </w:rPr>
      </w:pPr>
      <w:r w:rsidRPr="006A3B1C">
        <w:rPr>
          <w:lang w:val="fr-CH"/>
        </w:rPr>
        <w:t xml:space="preserve">Le rapport du vérificateur externe des comptes sur la vérification des états financiers </w:t>
      </w:r>
      <w:r w:rsidR="004D3D70" w:rsidRPr="006A3B1C">
        <w:rPr>
          <w:lang w:val="fr-CH"/>
        </w:rPr>
        <w:t>de 2017</w:t>
      </w:r>
      <w:r w:rsidRPr="006A3B1C">
        <w:rPr>
          <w:lang w:val="fr-CH"/>
        </w:rPr>
        <w:t>, ainsi que son opinion sur les états financiers, est également présenté au Conseil de l</w:t>
      </w:r>
      <w:r w:rsidR="004D3D70" w:rsidRPr="006A3B1C">
        <w:rPr>
          <w:lang w:val="fr-CH"/>
        </w:rPr>
        <w:t>’</w:t>
      </w:r>
      <w:r w:rsidRPr="006A3B1C">
        <w:rPr>
          <w:lang w:val="fr-CH"/>
        </w:rPr>
        <w:t>UPOV conformément aux dispositions de l</w:t>
      </w:r>
      <w:r w:rsidR="004D3D70" w:rsidRPr="006A3B1C">
        <w:rPr>
          <w:lang w:val="fr-CH"/>
        </w:rPr>
        <w:t>’article 6</w:t>
      </w:r>
      <w:r w:rsidRPr="006A3B1C">
        <w:rPr>
          <w:lang w:val="fr-CH"/>
        </w:rPr>
        <w:t>,5 du Règlement financier et de l</w:t>
      </w:r>
      <w:r w:rsidR="004D3D70" w:rsidRPr="006A3B1C">
        <w:rPr>
          <w:lang w:val="fr-CH"/>
        </w:rPr>
        <w:t>’annexe I</w:t>
      </w:r>
      <w:r w:rsidRPr="006A3B1C">
        <w:rPr>
          <w:lang w:val="fr-CH"/>
        </w:rPr>
        <w:t>I du Règlement financier et règlement d</w:t>
      </w:r>
      <w:r w:rsidR="004D3D70" w:rsidRPr="006A3B1C">
        <w:rPr>
          <w:lang w:val="fr-CH"/>
        </w:rPr>
        <w:t>’</w:t>
      </w:r>
      <w:r w:rsidRPr="006A3B1C">
        <w:rPr>
          <w:lang w:val="fr-CH"/>
        </w:rPr>
        <w:t>exécution du Règlement financier de l</w:t>
      </w:r>
      <w:r w:rsidR="004D3D70" w:rsidRPr="006A3B1C">
        <w:rPr>
          <w:lang w:val="fr-CH"/>
        </w:rPr>
        <w:t>’</w:t>
      </w:r>
      <w:r w:rsidRPr="006A3B1C">
        <w:rPr>
          <w:lang w:val="fr-CH"/>
        </w:rPr>
        <w:t>UPOV.</w:t>
      </w:r>
    </w:p>
    <w:p w:rsidR="00905890" w:rsidRPr="006A3B1C" w:rsidRDefault="00905890" w:rsidP="00A824AF">
      <w:pPr>
        <w:ind w:left="720" w:hanging="720"/>
        <w:rPr>
          <w:sz w:val="14"/>
          <w:lang w:val="fr-CH"/>
        </w:rPr>
      </w:pPr>
    </w:p>
    <w:p w:rsidR="004D3D70" w:rsidRPr="006A3B1C" w:rsidRDefault="00D70565" w:rsidP="006A3B1C">
      <w:pPr>
        <w:numPr>
          <w:ilvl w:val="0"/>
          <w:numId w:val="12"/>
        </w:numPr>
        <w:tabs>
          <w:tab w:val="clear" w:pos="1080"/>
        </w:tabs>
        <w:ind w:left="550" w:hanging="550"/>
        <w:rPr>
          <w:lang w:val="fr-CH"/>
        </w:rPr>
      </w:pPr>
      <w:r w:rsidRPr="006A3B1C">
        <w:rPr>
          <w:lang w:val="fr-CH"/>
        </w:rPr>
        <w:t xml:space="preserve">Les états financiers </w:t>
      </w:r>
      <w:r w:rsidR="004D3D70" w:rsidRPr="006A3B1C">
        <w:rPr>
          <w:lang w:val="fr-CH"/>
        </w:rPr>
        <w:t>pour 2017</w:t>
      </w:r>
      <w:r w:rsidRPr="006A3B1C">
        <w:rPr>
          <w:lang w:val="fr-CH"/>
        </w:rPr>
        <w:t xml:space="preserve"> ont été établis conformément aux Normes comptables internationales du secteur public (normes</w:t>
      </w:r>
      <w:r w:rsidR="00AC2A6B" w:rsidRPr="006A3B1C">
        <w:rPr>
          <w:lang w:val="fr-CH"/>
        </w:rPr>
        <w:t> </w:t>
      </w:r>
      <w:r w:rsidRPr="006A3B1C">
        <w:rPr>
          <w:lang w:val="fr-CH"/>
        </w:rPr>
        <w:t>IPSAS).</w:t>
      </w:r>
      <w:r w:rsidR="00A824AF" w:rsidRPr="006A3B1C">
        <w:rPr>
          <w:lang w:val="fr-CH"/>
        </w:rPr>
        <w:t xml:space="preserve">  </w:t>
      </w:r>
      <w:r w:rsidRPr="006A3B1C">
        <w:rPr>
          <w:lang w:val="fr-CH"/>
        </w:rPr>
        <w:t>À sa quarante</w:t>
      </w:r>
      <w:r w:rsidR="00665FEC" w:rsidRPr="006A3B1C">
        <w:rPr>
          <w:lang w:val="fr-CH"/>
        </w:rPr>
        <w:noBreakHyphen/>
      </w:r>
      <w:r w:rsidRPr="006A3B1C">
        <w:rPr>
          <w:lang w:val="fr-CH"/>
        </w:rPr>
        <w:t>cinqu</w:t>
      </w:r>
      <w:r w:rsidR="004D3D70" w:rsidRPr="006A3B1C">
        <w:rPr>
          <w:lang w:val="fr-CH"/>
        </w:rPr>
        <w:t>ième session</w:t>
      </w:r>
      <w:r w:rsidRPr="006A3B1C">
        <w:rPr>
          <w:lang w:val="fr-CH"/>
        </w:rPr>
        <w:t xml:space="preserve"> ordinaire, tenue à Genève le 20 octobre 2011, le Conseil a approuvé l</w:t>
      </w:r>
      <w:r w:rsidR="004D3D70" w:rsidRPr="006A3B1C">
        <w:rPr>
          <w:lang w:val="fr-CH"/>
        </w:rPr>
        <w:t>’</w:t>
      </w:r>
      <w:r w:rsidRPr="006A3B1C">
        <w:rPr>
          <w:lang w:val="fr-CH"/>
        </w:rPr>
        <w:t>adoption par l</w:t>
      </w:r>
      <w:r w:rsidR="004D3D70" w:rsidRPr="006A3B1C">
        <w:rPr>
          <w:lang w:val="fr-CH"/>
        </w:rPr>
        <w:t>’</w:t>
      </w:r>
      <w:r w:rsidRPr="006A3B1C">
        <w:rPr>
          <w:lang w:val="fr-CH"/>
        </w:rPr>
        <w:t>UPOV des normes IPSAS dès l</w:t>
      </w:r>
      <w:r w:rsidR="004D3D70" w:rsidRPr="006A3B1C">
        <w:rPr>
          <w:lang w:val="fr-CH"/>
        </w:rPr>
        <w:t>’</w:t>
      </w:r>
      <w:r w:rsidRPr="006A3B1C">
        <w:rPr>
          <w:lang w:val="fr-CH"/>
        </w:rPr>
        <w:t>exercice financier débutant en 2012 (voir le paragraphe 9.b) du document</w:t>
      </w:r>
      <w:r w:rsidR="00BE23DA" w:rsidRPr="006A3B1C">
        <w:rPr>
          <w:lang w:val="fr-CH"/>
        </w:rPr>
        <w:t> </w:t>
      </w:r>
      <w:r w:rsidRPr="006A3B1C">
        <w:rPr>
          <w:lang w:val="fr-CH"/>
        </w:rPr>
        <w:t xml:space="preserve">C/45/18 “Compte rendu”).  Cette décision a conduit au remplacement des normes comptables du système des </w:t>
      </w:r>
      <w:r w:rsidR="004D3D70" w:rsidRPr="006A3B1C">
        <w:rPr>
          <w:lang w:val="fr-CH"/>
        </w:rPr>
        <w:t>Nations Unies</w:t>
      </w:r>
      <w:r w:rsidRPr="006A3B1C">
        <w:rPr>
          <w:lang w:val="fr-CH"/>
        </w:rPr>
        <w:t xml:space="preserve"> (UNSAS) appliquées auparavant par les normes</w:t>
      </w:r>
      <w:r w:rsidR="00AC2A6B" w:rsidRPr="006A3B1C">
        <w:rPr>
          <w:lang w:val="fr-CH"/>
        </w:rPr>
        <w:t> </w:t>
      </w:r>
      <w:r w:rsidRPr="006A3B1C">
        <w:rPr>
          <w:lang w:val="fr-CH"/>
        </w:rPr>
        <w:t>IPSAS qui sont reconnues au niveau internation</w:t>
      </w:r>
      <w:r w:rsidR="002140E0" w:rsidRPr="006A3B1C">
        <w:rPr>
          <w:lang w:val="fr-CH"/>
        </w:rPr>
        <w:t>al.  Le</w:t>
      </w:r>
      <w:r w:rsidRPr="006A3B1C">
        <w:rPr>
          <w:lang w:val="fr-CH"/>
        </w:rPr>
        <w:t xml:space="preserve">s états financiers </w:t>
      </w:r>
      <w:r w:rsidR="004D3D70" w:rsidRPr="006A3B1C">
        <w:rPr>
          <w:lang w:val="fr-CH"/>
        </w:rPr>
        <w:t>pour 2017</w:t>
      </w:r>
      <w:r w:rsidRPr="006A3B1C">
        <w:rPr>
          <w:lang w:val="fr-CH"/>
        </w:rPr>
        <w:t xml:space="preserve"> constituent la sixième série d</w:t>
      </w:r>
      <w:r w:rsidR="004D3D70" w:rsidRPr="006A3B1C">
        <w:rPr>
          <w:lang w:val="fr-CH"/>
        </w:rPr>
        <w:t>’</w:t>
      </w:r>
      <w:r w:rsidRPr="006A3B1C">
        <w:rPr>
          <w:lang w:val="fr-CH"/>
        </w:rPr>
        <w:t>états financiers de l</w:t>
      </w:r>
      <w:r w:rsidR="004D3D70" w:rsidRPr="006A3B1C">
        <w:rPr>
          <w:lang w:val="fr-CH"/>
        </w:rPr>
        <w:t>’</w:t>
      </w:r>
      <w:r w:rsidRPr="006A3B1C">
        <w:rPr>
          <w:lang w:val="fr-CH"/>
        </w:rPr>
        <w:t>UPOV préparés conformément aux normes</w:t>
      </w:r>
      <w:r w:rsidR="00AC2A6B" w:rsidRPr="006A3B1C">
        <w:rPr>
          <w:lang w:val="fr-CH"/>
        </w:rPr>
        <w:t> </w:t>
      </w:r>
      <w:r w:rsidRPr="006A3B1C">
        <w:rPr>
          <w:lang w:val="fr-CH"/>
        </w:rPr>
        <w:t>IPSAS.</w:t>
      </w:r>
    </w:p>
    <w:p w:rsidR="00905890" w:rsidRPr="004D3D70" w:rsidRDefault="00905890" w:rsidP="00A824AF">
      <w:pPr>
        <w:rPr>
          <w:lang w:val="fr-CH"/>
        </w:rPr>
      </w:pPr>
    </w:p>
    <w:p w:rsidR="00905890" w:rsidRPr="004D3D70" w:rsidRDefault="00D70565" w:rsidP="00D70565">
      <w:pPr>
        <w:pStyle w:val="Heading1"/>
        <w:rPr>
          <w:lang w:val="fr-CH"/>
        </w:rPr>
      </w:pPr>
      <w:bookmarkStart w:id="4" w:name="_Toc523157879"/>
      <w:r w:rsidRPr="004D3D70">
        <w:rPr>
          <w:lang w:val="fr-CH"/>
        </w:rPr>
        <w:t>Résultats financiers de l</w:t>
      </w:r>
      <w:r w:rsidR="004D3D70">
        <w:rPr>
          <w:lang w:val="fr-CH"/>
        </w:rPr>
        <w:t>’</w:t>
      </w:r>
      <w:r w:rsidRPr="004D3D70">
        <w:rPr>
          <w:lang w:val="fr-CH"/>
        </w:rPr>
        <w:t>année</w:t>
      </w:r>
      <w:bookmarkEnd w:id="4"/>
    </w:p>
    <w:p w:rsidR="00905890" w:rsidRPr="006A3B1C" w:rsidRDefault="00905890" w:rsidP="00D67D80">
      <w:pPr>
        <w:rPr>
          <w:sz w:val="14"/>
          <w:lang w:val="fr-CH"/>
        </w:rPr>
      </w:pPr>
    </w:p>
    <w:p w:rsidR="00905890" w:rsidRPr="004D3D70" w:rsidRDefault="00D70565" w:rsidP="00D70565">
      <w:pPr>
        <w:pStyle w:val="Heading2"/>
        <w:rPr>
          <w:lang w:val="fr-CH"/>
        </w:rPr>
      </w:pPr>
      <w:bookmarkStart w:id="5" w:name="_Toc523157880"/>
      <w:r w:rsidRPr="004D3D70">
        <w:rPr>
          <w:lang w:val="fr-CH"/>
        </w:rPr>
        <w:t>Préparation des états financiers découlant de l</w:t>
      </w:r>
      <w:r w:rsidR="004D3D70">
        <w:rPr>
          <w:lang w:val="fr-CH"/>
        </w:rPr>
        <w:t>’</w:t>
      </w:r>
      <w:r w:rsidRPr="004D3D70">
        <w:rPr>
          <w:lang w:val="fr-CH"/>
        </w:rPr>
        <w:t>adoption des normes</w:t>
      </w:r>
      <w:r w:rsidR="00AC2A6B">
        <w:rPr>
          <w:lang w:val="fr-CH"/>
        </w:rPr>
        <w:t> </w:t>
      </w:r>
      <w:r w:rsidRPr="004D3D70">
        <w:rPr>
          <w:lang w:val="fr-CH"/>
        </w:rPr>
        <w:t>IPSAS</w:t>
      </w:r>
      <w:bookmarkEnd w:id="5"/>
    </w:p>
    <w:p w:rsidR="00905890" w:rsidRPr="006A3B1C" w:rsidRDefault="00905890" w:rsidP="00A824AF">
      <w:pPr>
        <w:rPr>
          <w:sz w:val="14"/>
          <w:lang w:val="fr-CH"/>
        </w:rPr>
      </w:pPr>
    </w:p>
    <w:p w:rsidR="00905890" w:rsidRPr="004D3D70" w:rsidRDefault="00D70565" w:rsidP="00D70565">
      <w:pPr>
        <w:numPr>
          <w:ilvl w:val="0"/>
          <w:numId w:val="18"/>
        </w:numPr>
        <w:tabs>
          <w:tab w:val="num" w:pos="550"/>
        </w:tabs>
        <w:autoSpaceDE w:val="0"/>
        <w:autoSpaceDN w:val="0"/>
        <w:adjustRightInd w:val="0"/>
        <w:ind w:left="550" w:hanging="550"/>
        <w:rPr>
          <w:lang w:val="fr-CH"/>
        </w:rPr>
      </w:pPr>
      <w:r w:rsidRPr="004D3D70">
        <w:rPr>
          <w:lang w:val="fr-CH"/>
        </w:rPr>
        <w:t>Les normes</w:t>
      </w:r>
      <w:r w:rsidR="00AC2A6B">
        <w:rPr>
          <w:lang w:val="fr-CH"/>
        </w:rPr>
        <w:t> </w:t>
      </w:r>
      <w:r w:rsidRPr="004D3D70">
        <w:rPr>
          <w:lang w:val="fr-CH"/>
        </w:rPr>
        <w:t>IPSAS requièrent l</w:t>
      </w:r>
      <w:r w:rsidR="004D3D70">
        <w:rPr>
          <w:lang w:val="fr-CH"/>
        </w:rPr>
        <w:t>’</w:t>
      </w:r>
      <w:r w:rsidRPr="004D3D70">
        <w:rPr>
          <w:lang w:val="fr-CH"/>
        </w:rPr>
        <w:t>application de la comptabilité d</w:t>
      </w:r>
      <w:r w:rsidR="004D3D70">
        <w:rPr>
          <w:lang w:val="fr-CH"/>
        </w:rPr>
        <w:t>’</w:t>
      </w:r>
      <w:r w:rsidRPr="004D3D70">
        <w:rPr>
          <w:lang w:val="fr-CH"/>
        </w:rPr>
        <w:t>exercice intégra</w:t>
      </w:r>
      <w:r w:rsidR="002140E0" w:rsidRPr="004D3D70">
        <w:rPr>
          <w:lang w:val="fr-CH"/>
        </w:rPr>
        <w:t>le</w:t>
      </w:r>
      <w:r w:rsidR="002140E0">
        <w:rPr>
          <w:lang w:val="fr-CH"/>
        </w:rPr>
        <w:t xml:space="preserve">.  </w:t>
      </w:r>
      <w:r w:rsidR="002140E0" w:rsidRPr="004D3D70">
        <w:rPr>
          <w:lang w:val="fr-CH"/>
        </w:rPr>
        <w:t>Ce</w:t>
      </w:r>
      <w:r w:rsidRPr="004D3D70">
        <w:rPr>
          <w:lang w:val="fr-CH"/>
        </w:rPr>
        <w:t>tte comptabilité fait intervenir la comptabilisation des transactions et des événements lorsqu</w:t>
      </w:r>
      <w:r w:rsidR="004D3D70">
        <w:rPr>
          <w:lang w:val="fr-CH"/>
        </w:rPr>
        <w:t>’</w:t>
      </w:r>
      <w:r w:rsidRPr="004D3D70">
        <w:rPr>
          <w:lang w:val="fr-CH"/>
        </w:rPr>
        <w:t>ils se produise</w:t>
      </w:r>
      <w:r w:rsidR="002140E0" w:rsidRPr="004D3D70">
        <w:rPr>
          <w:lang w:val="fr-CH"/>
        </w:rPr>
        <w:t>nt</w:t>
      </w:r>
      <w:r w:rsidR="002140E0">
        <w:rPr>
          <w:lang w:val="fr-CH"/>
        </w:rPr>
        <w:t xml:space="preserve">.  </w:t>
      </w:r>
      <w:r w:rsidR="002140E0" w:rsidRPr="004D3D70">
        <w:rPr>
          <w:lang w:val="fr-CH"/>
        </w:rPr>
        <w:t>Ce</w:t>
      </w:r>
      <w:r w:rsidRPr="004D3D70">
        <w:rPr>
          <w:lang w:val="fr-CH"/>
        </w:rPr>
        <w:t>la signifie qu</w:t>
      </w:r>
      <w:r w:rsidR="004D3D70">
        <w:rPr>
          <w:lang w:val="fr-CH"/>
        </w:rPr>
        <w:t>’</w:t>
      </w:r>
      <w:r w:rsidRPr="004D3D70">
        <w:rPr>
          <w:lang w:val="fr-CH"/>
        </w:rPr>
        <w:t>ils sont enregistrés dans les livres comptables et consignés dans les états financiers des périodes financières auxquelles ils se rapportent et non pas uniquement lors de l</w:t>
      </w:r>
      <w:r w:rsidR="004D3D70">
        <w:rPr>
          <w:lang w:val="fr-CH"/>
        </w:rPr>
        <w:t>’</w:t>
      </w:r>
      <w:r w:rsidRPr="004D3D70">
        <w:rPr>
          <w:lang w:val="fr-CH"/>
        </w:rPr>
        <w:t>entrée ou de la sortie de trésorerie ou d</w:t>
      </w:r>
      <w:r w:rsidR="004D3D70">
        <w:rPr>
          <w:lang w:val="fr-CH"/>
        </w:rPr>
        <w:t>’</w:t>
      </w:r>
      <w:r w:rsidRPr="004D3D70">
        <w:rPr>
          <w:lang w:val="fr-CH"/>
        </w:rPr>
        <w:t>équivalents de trésorerie.</w:t>
      </w:r>
    </w:p>
    <w:p w:rsidR="00905890" w:rsidRPr="006A3B1C" w:rsidRDefault="00905890" w:rsidP="00A824AF">
      <w:pPr>
        <w:autoSpaceDE w:val="0"/>
        <w:autoSpaceDN w:val="0"/>
        <w:adjustRightInd w:val="0"/>
        <w:rPr>
          <w:sz w:val="16"/>
          <w:lang w:val="fr-CH"/>
        </w:rPr>
      </w:pPr>
    </w:p>
    <w:p w:rsidR="004D3D70" w:rsidRDefault="00D70565" w:rsidP="00D70565">
      <w:pPr>
        <w:numPr>
          <w:ilvl w:val="0"/>
          <w:numId w:val="18"/>
        </w:numPr>
        <w:tabs>
          <w:tab w:val="num" w:pos="550"/>
        </w:tabs>
        <w:autoSpaceDE w:val="0"/>
        <w:autoSpaceDN w:val="0"/>
        <w:adjustRightInd w:val="0"/>
        <w:ind w:left="550" w:hanging="550"/>
        <w:rPr>
          <w:lang w:val="fr-CH"/>
        </w:rPr>
      </w:pPr>
      <w:r w:rsidRPr="004D3D70">
        <w:rPr>
          <w:lang w:val="fr-CH"/>
        </w:rPr>
        <w:t>Selon les normes IPSAS, les recettes correspondant aux contributions et aux ressources extrabudgétaires (fonds fiduciaires) sont comptabilisées lorsque l</w:t>
      </w:r>
      <w:r w:rsidR="004D3D70">
        <w:rPr>
          <w:lang w:val="fr-CH"/>
        </w:rPr>
        <w:t>’</w:t>
      </w:r>
      <w:r w:rsidRPr="004D3D70">
        <w:rPr>
          <w:lang w:val="fr-CH"/>
        </w:rPr>
        <w:t>UPOV a le droit de recevoir la contributi</w:t>
      </w:r>
      <w:r w:rsidR="002140E0" w:rsidRPr="004D3D70">
        <w:rPr>
          <w:lang w:val="fr-CH"/>
        </w:rPr>
        <w:t>on</w:t>
      </w:r>
      <w:r w:rsidR="002140E0">
        <w:rPr>
          <w:lang w:val="fr-CH"/>
        </w:rPr>
        <w:t xml:space="preserve">.  </w:t>
      </w:r>
      <w:r w:rsidR="002140E0" w:rsidRPr="004D3D70">
        <w:rPr>
          <w:lang w:val="fr-CH"/>
        </w:rPr>
        <w:t>En</w:t>
      </w:r>
      <w:r w:rsidRPr="004D3D70">
        <w:rPr>
          <w:lang w:val="fr-CH"/>
        </w:rPr>
        <w:t xml:space="preserve"> cas d</w:t>
      </w:r>
      <w:r w:rsidR="004D3D70">
        <w:rPr>
          <w:lang w:val="fr-CH"/>
        </w:rPr>
        <w:t>’</w:t>
      </w:r>
      <w:r w:rsidRPr="004D3D70">
        <w:rPr>
          <w:lang w:val="fr-CH"/>
        </w:rPr>
        <w:t>arriérés de contributions, un solde des sommes exigibles est présenté, mais le solde total est réduit afin de tenir compte des montants encore dus sur des périodes antérieur</w:t>
      </w:r>
      <w:r w:rsidR="002140E0" w:rsidRPr="004D3D70">
        <w:rPr>
          <w:lang w:val="fr-CH"/>
        </w:rPr>
        <w:t>es</w:t>
      </w:r>
      <w:r w:rsidR="002140E0">
        <w:rPr>
          <w:lang w:val="fr-CH"/>
        </w:rPr>
        <w:t xml:space="preserve">.  </w:t>
      </w:r>
      <w:r w:rsidR="002140E0" w:rsidRPr="004D3D70">
        <w:rPr>
          <w:lang w:val="fr-CH"/>
        </w:rPr>
        <w:t>Le</w:t>
      </w:r>
      <w:r w:rsidRPr="004D3D70">
        <w:rPr>
          <w:lang w:val="fr-CH"/>
        </w:rPr>
        <w:t>s arrangements relatifs aux ressources extrabudgétaires sont examinés afin de déterminer si l</w:t>
      </w:r>
      <w:r w:rsidR="004D3D70">
        <w:rPr>
          <w:lang w:val="fr-CH"/>
        </w:rPr>
        <w:t>’</w:t>
      </w:r>
      <w:r w:rsidRPr="004D3D70">
        <w:rPr>
          <w:lang w:val="fr-CH"/>
        </w:rPr>
        <w:t>UPOV doit satisfaire à des conditions de rendement et, le cas échéant, les recettes sont comptabilisées uniquement lorsque ces conditions sont remplies.</w:t>
      </w:r>
    </w:p>
    <w:p w:rsidR="00905890" w:rsidRPr="006A3B1C" w:rsidRDefault="00905890" w:rsidP="00A824AF">
      <w:pPr>
        <w:rPr>
          <w:sz w:val="16"/>
          <w:lang w:val="fr-CH"/>
        </w:rPr>
      </w:pPr>
    </w:p>
    <w:p w:rsidR="004D3D70" w:rsidRDefault="00D70565" w:rsidP="00D70565">
      <w:pPr>
        <w:numPr>
          <w:ilvl w:val="0"/>
          <w:numId w:val="18"/>
        </w:numPr>
        <w:tabs>
          <w:tab w:val="num" w:pos="550"/>
        </w:tabs>
        <w:ind w:left="550" w:hanging="550"/>
        <w:rPr>
          <w:lang w:val="fr-CH"/>
        </w:rPr>
      </w:pPr>
      <w:r w:rsidRPr="004D3D70">
        <w:rPr>
          <w:lang w:val="fr-CH"/>
        </w:rPr>
        <w:t>La valeur des futures prestations (par exemple les congés annuels cumulés, les primes de rapatriement et l</w:t>
      </w:r>
      <w:r w:rsidR="004D3D70">
        <w:rPr>
          <w:lang w:val="fr-CH"/>
        </w:rPr>
        <w:t>’</w:t>
      </w:r>
      <w:r w:rsidRPr="004D3D70">
        <w:rPr>
          <w:lang w:val="fr-CH"/>
        </w:rPr>
        <w:t>assurance maladie après la cessation de service (AMCS)) que les fonctionnaires de l</w:t>
      </w:r>
      <w:r w:rsidR="004D3D70">
        <w:rPr>
          <w:lang w:val="fr-CH"/>
        </w:rPr>
        <w:t>’</w:t>
      </w:r>
      <w:r w:rsidRPr="004D3D70">
        <w:rPr>
          <w:lang w:val="fr-CH"/>
        </w:rPr>
        <w:t>UPOV ont gagnées mais qu</w:t>
      </w:r>
      <w:r w:rsidR="004D3D70">
        <w:rPr>
          <w:lang w:val="fr-CH"/>
        </w:rPr>
        <w:t>’</w:t>
      </w:r>
      <w:r w:rsidRPr="004D3D70">
        <w:rPr>
          <w:lang w:val="fr-CH"/>
        </w:rPr>
        <w:t>ils n</w:t>
      </w:r>
      <w:r w:rsidR="004D3D70">
        <w:rPr>
          <w:lang w:val="fr-CH"/>
        </w:rPr>
        <w:t>’</w:t>
      </w:r>
      <w:r w:rsidRPr="004D3D70">
        <w:rPr>
          <w:lang w:val="fr-CH"/>
        </w:rPr>
        <w:t>ont pas encore perçues, est maintenant enregistrée afin de saisir le coût intégral d</w:t>
      </w:r>
      <w:r w:rsidR="004D3D70">
        <w:rPr>
          <w:lang w:val="fr-CH"/>
        </w:rPr>
        <w:t>’</w:t>
      </w:r>
      <w:r w:rsidRPr="004D3D70">
        <w:rPr>
          <w:lang w:val="fr-CH"/>
        </w:rPr>
        <w:t>emploi du personnel.</w:t>
      </w:r>
    </w:p>
    <w:p w:rsidR="00905890" w:rsidRPr="004D3D70" w:rsidRDefault="00905890" w:rsidP="00A824AF">
      <w:pPr>
        <w:rPr>
          <w:lang w:val="fr-CH"/>
        </w:rPr>
      </w:pPr>
    </w:p>
    <w:p w:rsidR="00905890" w:rsidRPr="004D3D70" w:rsidRDefault="00D70565" w:rsidP="00D70565">
      <w:pPr>
        <w:numPr>
          <w:ilvl w:val="0"/>
          <w:numId w:val="18"/>
        </w:numPr>
        <w:tabs>
          <w:tab w:val="num" w:pos="550"/>
        </w:tabs>
        <w:ind w:left="550" w:hanging="550"/>
        <w:rPr>
          <w:lang w:val="fr-CH"/>
        </w:rPr>
      </w:pPr>
      <w:r w:rsidRPr="004D3D70">
        <w:rPr>
          <w:lang w:val="fr-CH"/>
        </w:rPr>
        <w:t>L</w:t>
      </w:r>
      <w:r w:rsidR="004D3D70">
        <w:rPr>
          <w:lang w:val="fr-CH"/>
        </w:rPr>
        <w:t>’</w:t>
      </w:r>
      <w:r w:rsidRPr="004D3D70">
        <w:rPr>
          <w:lang w:val="fr-CH"/>
        </w:rPr>
        <w:t>application des normes</w:t>
      </w:r>
      <w:r w:rsidR="00AC2A6B">
        <w:rPr>
          <w:lang w:val="fr-CH"/>
        </w:rPr>
        <w:t> </w:t>
      </w:r>
      <w:r w:rsidRPr="004D3D70">
        <w:rPr>
          <w:lang w:val="fr-CH"/>
        </w:rPr>
        <w:t>IPSAS n</w:t>
      </w:r>
      <w:r w:rsidR="004D3D70">
        <w:rPr>
          <w:lang w:val="fr-CH"/>
        </w:rPr>
        <w:t>’</w:t>
      </w:r>
      <w:r w:rsidRPr="004D3D70">
        <w:rPr>
          <w:lang w:val="fr-CH"/>
        </w:rPr>
        <w:t>a à l</w:t>
      </w:r>
      <w:r w:rsidR="004D3D70">
        <w:rPr>
          <w:lang w:val="fr-CH"/>
        </w:rPr>
        <w:t>’</w:t>
      </w:r>
      <w:r w:rsidRPr="004D3D70">
        <w:rPr>
          <w:lang w:val="fr-CH"/>
        </w:rPr>
        <w:t>heure actuelle aucune incidence sur l</w:t>
      </w:r>
      <w:r w:rsidR="004D3D70">
        <w:rPr>
          <w:lang w:val="fr-CH"/>
        </w:rPr>
        <w:t>’</w:t>
      </w:r>
      <w:r w:rsidRPr="004D3D70">
        <w:rPr>
          <w:lang w:val="fr-CH"/>
        </w:rPr>
        <w:t>élaboration du programme et budget, qui est toujours présenté sur la base d</w:t>
      </w:r>
      <w:r w:rsidR="004D3D70">
        <w:rPr>
          <w:lang w:val="fr-CH"/>
        </w:rPr>
        <w:t>’</w:t>
      </w:r>
      <w:r w:rsidRPr="004D3D70">
        <w:rPr>
          <w:lang w:val="fr-CH"/>
        </w:rPr>
        <w:t>une comptabilité d</w:t>
      </w:r>
      <w:r w:rsidR="004D3D70">
        <w:rPr>
          <w:lang w:val="fr-CH"/>
        </w:rPr>
        <w:t>’</w:t>
      </w:r>
      <w:r w:rsidRPr="004D3D70">
        <w:rPr>
          <w:lang w:val="fr-CH"/>
        </w:rPr>
        <w:t>exercice modifi</w:t>
      </w:r>
      <w:r w:rsidR="002140E0" w:rsidRPr="004D3D70">
        <w:rPr>
          <w:lang w:val="fr-CH"/>
        </w:rPr>
        <w:t>ée</w:t>
      </w:r>
      <w:r w:rsidR="002140E0">
        <w:rPr>
          <w:lang w:val="fr-CH"/>
        </w:rPr>
        <w:t xml:space="preserve">.  </w:t>
      </w:r>
      <w:r w:rsidR="002140E0" w:rsidRPr="004D3D70">
        <w:rPr>
          <w:lang w:val="fr-CH"/>
        </w:rPr>
        <w:t>Co</w:t>
      </w:r>
      <w:r w:rsidRPr="004D3D70">
        <w:rPr>
          <w:lang w:val="fr-CH"/>
        </w:rPr>
        <w:t>mme cette base est différente de la base d</w:t>
      </w:r>
      <w:r w:rsidR="004D3D70">
        <w:rPr>
          <w:lang w:val="fr-CH"/>
        </w:rPr>
        <w:t>’</w:t>
      </w:r>
      <w:r w:rsidRPr="004D3D70">
        <w:rPr>
          <w:lang w:val="fr-CH"/>
        </w:rPr>
        <w:t>une comptabilité d</w:t>
      </w:r>
      <w:r w:rsidR="004D3D70">
        <w:rPr>
          <w:lang w:val="fr-CH"/>
        </w:rPr>
        <w:t>’</w:t>
      </w:r>
      <w:r w:rsidRPr="004D3D70">
        <w:rPr>
          <w:lang w:val="fr-CH"/>
        </w:rPr>
        <w:t>exercice intégrale appliquée aux états financiers, le rapprochement entre le budget et les états financiers est fourni conformément aux exigences des normes</w:t>
      </w:r>
      <w:r w:rsidR="00AC2A6B">
        <w:rPr>
          <w:lang w:val="fr-CH"/>
        </w:rPr>
        <w:t> </w:t>
      </w:r>
      <w:r w:rsidRPr="004D3D70">
        <w:rPr>
          <w:lang w:val="fr-CH"/>
        </w:rPr>
        <w:t>IPSAS.</w:t>
      </w:r>
    </w:p>
    <w:p w:rsidR="00905890" w:rsidRPr="004D3D70" w:rsidRDefault="00905890" w:rsidP="00A824AF">
      <w:pPr>
        <w:rPr>
          <w:lang w:val="fr-CH"/>
        </w:rPr>
      </w:pPr>
    </w:p>
    <w:p w:rsidR="00905890" w:rsidRPr="004D3D70" w:rsidRDefault="00D70565" w:rsidP="00D70565">
      <w:pPr>
        <w:numPr>
          <w:ilvl w:val="0"/>
          <w:numId w:val="18"/>
        </w:numPr>
        <w:tabs>
          <w:tab w:val="num" w:pos="550"/>
        </w:tabs>
        <w:ind w:left="550" w:hanging="550"/>
        <w:rPr>
          <w:lang w:val="fr-CH"/>
        </w:rPr>
      </w:pPr>
      <w:r w:rsidRPr="004D3D70">
        <w:rPr>
          <w:lang w:val="fr-CH"/>
        </w:rPr>
        <w:lastRenderedPageBreak/>
        <w:t>Les normes</w:t>
      </w:r>
      <w:r w:rsidR="00AC2A6B">
        <w:rPr>
          <w:lang w:val="fr-CH"/>
        </w:rPr>
        <w:t> </w:t>
      </w:r>
      <w:r w:rsidRPr="004D3D70">
        <w:rPr>
          <w:lang w:val="fr-CH"/>
        </w:rPr>
        <w:t>IPSAS imposent d</w:t>
      </w:r>
      <w:r w:rsidR="004D3D70">
        <w:rPr>
          <w:lang w:val="fr-CH"/>
        </w:rPr>
        <w:t>’</w:t>
      </w:r>
      <w:r w:rsidRPr="004D3D70">
        <w:rPr>
          <w:lang w:val="fr-CH"/>
        </w:rPr>
        <w:t>inclure des informations plus détaillées dans les notes des états financiers pour des besoins de transparen</w:t>
      </w:r>
      <w:r w:rsidR="002140E0" w:rsidRPr="004D3D70">
        <w:rPr>
          <w:lang w:val="fr-CH"/>
        </w:rPr>
        <w:t>ce</w:t>
      </w:r>
      <w:r w:rsidR="002140E0">
        <w:rPr>
          <w:lang w:val="fr-CH"/>
        </w:rPr>
        <w:t xml:space="preserve">.  </w:t>
      </w:r>
      <w:r w:rsidR="002140E0" w:rsidRPr="004D3D70">
        <w:rPr>
          <w:lang w:val="fr-CH"/>
        </w:rPr>
        <w:t xml:space="preserve">À </w:t>
      </w:r>
      <w:r w:rsidRPr="004D3D70">
        <w:rPr>
          <w:lang w:val="fr-CH"/>
        </w:rPr>
        <w:t>cette fin, l</w:t>
      </w:r>
      <w:r w:rsidR="004D3D70">
        <w:rPr>
          <w:lang w:val="fr-CH"/>
        </w:rPr>
        <w:t>’</w:t>
      </w:r>
      <w:r w:rsidRPr="004D3D70">
        <w:rPr>
          <w:lang w:val="fr-CH"/>
        </w:rPr>
        <w:t>UPOV fournit des informations relatives à la rémunération de ses principaux dirigeants.</w:t>
      </w:r>
    </w:p>
    <w:p w:rsidR="00EE33B2" w:rsidRPr="004D3D70" w:rsidRDefault="00EE33B2" w:rsidP="00EE33B2">
      <w:pPr>
        <w:rPr>
          <w:lang w:val="fr-CH"/>
        </w:rPr>
      </w:pPr>
    </w:p>
    <w:p w:rsidR="00905890" w:rsidRPr="004D3D70" w:rsidRDefault="00D70565" w:rsidP="00D70565">
      <w:pPr>
        <w:pStyle w:val="Heading2"/>
        <w:rPr>
          <w:lang w:val="fr-CH"/>
        </w:rPr>
      </w:pPr>
      <w:bookmarkStart w:id="6" w:name="_Toc523157881"/>
      <w:r w:rsidRPr="004D3D70">
        <w:rPr>
          <w:lang w:val="fr-CH"/>
        </w:rPr>
        <w:t>Performance financière</w:t>
      </w:r>
      <w:bookmarkEnd w:id="6"/>
    </w:p>
    <w:p w:rsidR="00905890" w:rsidRPr="004D3D70" w:rsidRDefault="00905890" w:rsidP="00A824AF">
      <w:pPr>
        <w:rPr>
          <w:lang w:val="fr-CH"/>
        </w:rPr>
      </w:pPr>
    </w:p>
    <w:p w:rsidR="00905890" w:rsidRPr="004D3D70" w:rsidRDefault="00970B15" w:rsidP="00A824AF">
      <w:pPr>
        <w:numPr>
          <w:ilvl w:val="0"/>
          <w:numId w:val="18"/>
        </w:numPr>
        <w:tabs>
          <w:tab w:val="num" w:pos="550"/>
        </w:tabs>
        <w:ind w:left="550" w:hanging="550"/>
        <w:rPr>
          <w:lang w:val="fr-CH"/>
        </w:rPr>
      </w:pPr>
      <w:r w:rsidRPr="004D3D70">
        <w:rPr>
          <w:lang w:val="fr-CH"/>
        </w:rPr>
        <w:t>Les résultats de l</w:t>
      </w:r>
      <w:r w:rsidR="004D3D70">
        <w:rPr>
          <w:lang w:val="fr-CH"/>
        </w:rPr>
        <w:t>’</w:t>
      </w:r>
      <w:r w:rsidRPr="004D3D70">
        <w:rPr>
          <w:lang w:val="fr-CH"/>
        </w:rPr>
        <w:t>UPOV pour l</w:t>
      </w:r>
      <w:r w:rsidR="004D3D70">
        <w:rPr>
          <w:lang w:val="fr-CH"/>
        </w:rPr>
        <w:t>’</w:t>
      </w:r>
      <w:r w:rsidRPr="004D3D70">
        <w:rPr>
          <w:lang w:val="fr-CH"/>
        </w:rPr>
        <w:t>année ont affiché un déficit de</w:t>
      </w:r>
      <w:r w:rsidR="00A824AF" w:rsidRPr="004D3D70">
        <w:rPr>
          <w:lang w:val="fr-CH"/>
        </w:rPr>
        <w:t xml:space="preserve"> </w:t>
      </w:r>
      <w:r w:rsidRPr="004D3D70">
        <w:rPr>
          <w:lang w:val="fr-CH"/>
        </w:rPr>
        <w:t>290 </w:t>
      </w:r>
      <w:r w:rsidR="005C6677" w:rsidRPr="004D3D70">
        <w:rPr>
          <w:lang w:val="fr-CH"/>
        </w:rPr>
        <w:t>36</w:t>
      </w:r>
      <w:r w:rsidR="004D3D70" w:rsidRPr="004D3D70">
        <w:rPr>
          <w:lang w:val="fr-CH"/>
        </w:rPr>
        <w:t>3</w:t>
      </w:r>
      <w:r w:rsidR="004D3D70">
        <w:rPr>
          <w:lang w:val="fr-CH"/>
        </w:rPr>
        <w:t> </w:t>
      </w:r>
      <w:r w:rsidR="004D3D70" w:rsidRPr="004D3D70">
        <w:rPr>
          <w:lang w:val="fr-CH"/>
        </w:rPr>
        <w:t>franc</w:t>
      </w:r>
      <w:r w:rsidRPr="004D3D70">
        <w:rPr>
          <w:lang w:val="fr-CH"/>
        </w:rPr>
        <w:t xml:space="preserve">s suisses pour un </w:t>
      </w:r>
      <w:r w:rsidR="00A824AF" w:rsidRPr="004D3D70">
        <w:rPr>
          <w:lang w:val="fr-CH"/>
        </w:rPr>
        <w:t xml:space="preserve">total </w:t>
      </w:r>
      <w:r w:rsidRPr="004D3D70">
        <w:rPr>
          <w:lang w:val="fr-CH"/>
        </w:rPr>
        <w:t>des recettes de</w:t>
      </w:r>
      <w:r w:rsidR="00A824AF" w:rsidRPr="004D3D70">
        <w:rPr>
          <w:lang w:val="fr-CH"/>
        </w:rPr>
        <w:t xml:space="preserve"> </w:t>
      </w:r>
      <w:r w:rsidRPr="004D3D70">
        <w:rPr>
          <w:lang w:val="fr-CH"/>
        </w:rPr>
        <w:t>3 644 </w:t>
      </w:r>
      <w:r w:rsidR="005C6677" w:rsidRPr="004D3D70">
        <w:rPr>
          <w:lang w:val="fr-CH"/>
        </w:rPr>
        <w:t>418</w:t>
      </w:r>
      <w:r w:rsidR="00191695" w:rsidRPr="004D3D70">
        <w:rPr>
          <w:lang w:val="fr-CH"/>
        </w:rPr>
        <w:t> </w:t>
      </w:r>
      <w:r w:rsidR="00A824AF" w:rsidRPr="004D3D70">
        <w:rPr>
          <w:lang w:val="fr-CH"/>
        </w:rPr>
        <w:t xml:space="preserve">francs </w:t>
      </w:r>
      <w:r w:rsidRPr="004D3D70">
        <w:rPr>
          <w:lang w:val="fr-CH"/>
        </w:rPr>
        <w:t>suisses et un</w:t>
      </w:r>
      <w:r w:rsidR="00A824AF" w:rsidRPr="004D3D70">
        <w:rPr>
          <w:lang w:val="fr-CH"/>
        </w:rPr>
        <w:t xml:space="preserve"> total </w:t>
      </w:r>
      <w:r w:rsidRPr="004D3D70">
        <w:rPr>
          <w:lang w:val="fr-CH"/>
        </w:rPr>
        <w:t>des dépenses de</w:t>
      </w:r>
      <w:r w:rsidR="00A824AF" w:rsidRPr="004D3D70">
        <w:rPr>
          <w:lang w:val="fr-CH"/>
        </w:rPr>
        <w:t xml:space="preserve"> </w:t>
      </w:r>
      <w:r w:rsidRPr="004D3D70">
        <w:rPr>
          <w:lang w:val="fr-CH"/>
        </w:rPr>
        <w:t>3 934 </w:t>
      </w:r>
      <w:r w:rsidR="005C6677" w:rsidRPr="004D3D70">
        <w:rPr>
          <w:lang w:val="fr-CH"/>
        </w:rPr>
        <w:t>78</w:t>
      </w:r>
      <w:r w:rsidR="004D3D70" w:rsidRPr="004D3D70">
        <w:rPr>
          <w:lang w:val="fr-CH"/>
        </w:rPr>
        <w:t>1</w:t>
      </w:r>
      <w:r w:rsidR="004D3D70">
        <w:rPr>
          <w:lang w:val="fr-CH"/>
        </w:rPr>
        <w:t> </w:t>
      </w:r>
      <w:r w:rsidR="004D3D70" w:rsidRPr="004D3D70">
        <w:rPr>
          <w:lang w:val="fr-CH"/>
        </w:rPr>
        <w:t>franc</w:t>
      </w:r>
      <w:r w:rsidR="00A824AF" w:rsidRPr="004D3D70">
        <w:rPr>
          <w:lang w:val="fr-CH"/>
        </w:rPr>
        <w:t>s</w:t>
      </w:r>
      <w:r w:rsidRPr="004D3D70">
        <w:rPr>
          <w:lang w:val="fr-CH"/>
        </w:rPr>
        <w:t xml:space="preserve"> suiss</w:t>
      </w:r>
      <w:r w:rsidR="002140E0" w:rsidRPr="004D3D70">
        <w:rPr>
          <w:lang w:val="fr-CH"/>
        </w:rPr>
        <w:t>es</w:t>
      </w:r>
      <w:r w:rsidR="002140E0">
        <w:rPr>
          <w:lang w:val="fr-CH"/>
        </w:rPr>
        <w:t xml:space="preserve">.  </w:t>
      </w:r>
      <w:r w:rsidR="002140E0" w:rsidRPr="004D3D70">
        <w:rPr>
          <w:lang w:val="fr-CH"/>
        </w:rPr>
        <w:t>Ce</w:t>
      </w:r>
      <w:r w:rsidRPr="004D3D70">
        <w:rPr>
          <w:lang w:val="fr-CH"/>
        </w:rPr>
        <w:t xml:space="preserve">s résultats peuvent être comparés à ceux </w:t>
      </w:r>
      <w:r w:rsidR="004D3D70" w:rsidRPr="004D3D70">
        <w:rPr>
          <w:lang w:val="fr-CH"/>
        </w:rPr>
        <w:t>de</w:t>
      </w:r>
      <w:r w:rsidR="004D3D70">
        <w:rPr>
          <w:lang w:val="fr-CH"/>
        </w:rPr>
        <w:t> </w:t>
      </w:r>
      <w:r w:rsidR="004D3D70" w:rsidRPr="004D3D70">
        <w:rPr>
          <w:lang w:val="fr-CH"/>
        </w:rPr>
        <w:t>2016</w:t>
      </w:r>
      <w:r w:rsidRPr="004D3D70">
        <w:rPr>
          <w:lang w:val="fr-CH"/>
        </w:rPr>
        <w:t>,</w:t>
      </w:r>
      <w:r w:rsidR="00A824AF" w:rsidRPr="004D3D70">
        <w:rPr>
          <w:lang w:val="fr-CH"/>
        </w:rPr>
        <w:t xml:space="preserve"> a</w:t>
      </w:r>
      <w:r w:rsidRPr="004D3D70">
        <w:rPr>
          <w:lang w:val="fr-CH"/>
        </w:rPr>
        <w:t>vec un excédent retraité de</w:t>
      </w:r>
      <w:r w:rsidR="00A824AF" w:rsidRPr="004D3D70">
        <w:rPr>
          <w:lang w:val="fr-CH"/>
        </w:rPr>
        <w:t xml:space="preserve"> </w:t>
      </w:r>
      <w:r w:rsidRPr="004D3D70">
        <w:rPr>
          <w:lang w:val="fr-CH"/>
        </w:rPr>
        <w:t>93 </w:t>
      </w:r>
      <w:r w:rsidR="005C6677" w:rsidRPr="004D3D70">
        <w:rPr>
          <w:lang w:val="fr-CH"/>
        </w:rPr>
        <w:t>57</w:t>
      </w:r>
      <w:r w:rsidR="004D3D70" w:rsidRPr="004D3D70">
        <w:rPr>
          <w:lang w:val="fr-CH"/>
        </w:rPr>
        <w:t>6</w:t>
      </w:r>
      <w:r w:rsidR="004D3D70">
        <w:rPr>
          <w:lang w:val="fr-CH"/>
        </w:rPr>
        <w:t> </w:t>
      </w:r>
      <w:r w:rsidR="004D3D70" w:rsidRPr="004D3D70">
        <w:rPr>
          <w:lang w:val="fr-CH"/>
        </w:rPr>
        <w:t>franc</w:t>
      </w:r>
      <w:r w:rsidR="005C6677" w:rsidRPr="004D3D70">
        <w:rPr>
          <w:lang w:val="fr-CH"/>
        </w:rPr>
        <w:t xml:space="preserve">s </w:t>
      </w:r>
      <w:r w:rsidR="004916E0" w:rsidRPr="004D3D70">
        <w:rPr>
          <w:lang w:val="fr-CH"/>
        </w:rPr>
        <w:t xml:space="preserve">suisses, </w:t>
      </w:r>
      <w:r w:rsidRPr="004D3D70">
        <w:rPr>
          <w:lang w:val="fr-CH"/>
        </w:rPr>
        <w:t>un total des recettes de</w:t>
      </w:r>
      <w:r w:rsidR="00A824AF" w:rsidRPr="004D3D70">
        <w:rPr>
          <w:lang w:val="fr-CH"/>
        </w:rPr>
        <w:t xml:space="preserve"> </w:t>
      </w:r>
      <w:r w:rsidRPr="004D3D70">
        <w:rPr>
          <w:lang w:val="fr-CH"/>
        </w:rPr>
        <w:t>3 </w:t>
      </w:r>
      <w:r w:rsidR="004916E0" w:rsidRPr="004D3D70">
        <w:rPr>
          <w:lang w:val="fr-CH"/>
        </w:rPr>
        <w:t>746 </w:t>
      </w:r>
      <w:r w:rsidR="005C6677" w:rsidRPr="004D3D70">
        <w:rPr>
          <w:lang w:val="fr-CH"/>
        </w:rPr>
        <w:t>32</w:t>
      </w:r>
      <w:r w:rsidR="004D3D70" w:rsidRPr="004D3D70">
        <w:rPr>
          <w:lang w:val="fr-CH"/>
        </w:rPr>
        <w:t>0</w:t>
      </w:r>
      <w:r w:rsidR="004D3D70">
        <w:rPr>
          <w:lang w:val="fr-CH"/>
        </w:rPr>
        <w:t> </w:t>
      </w:r>
      <w:r w:rsidR="004D3D70" w:rsidRPr="004D3D70">
        <w:rPr>
          <w:lang w:val="fr-CH"/>
        </w:rPr>
        <w:t>franc</w:t>
      </w:r>
      <w:r w:rsidR="00A824AF" w:rsidRPr="004D3D70">
        <w:rPr>
          <w:lang w:val="fr-CH"/>
        </w:rPr>
        <w:t xml:space="preserve">s </w:t>
      </w:r>
      <w:r w:rsidRPr="004D3D70">
        <w:rPr>
          <w:lang w:val="fr-CH"/>
        </w:rPr>
        <w:t>suisses et un</w:t>
      </w:r>
      <w:r w:rsidR="00A824AF" w:rsidRPr="004D3D70">
        <w:rPr>
          <w:lang w:val="fr-CH"/>
        </w:rPr>
        <w:t xml:space="preserve"> total </w:t>
      </w:r>
      <w:r w:rsidR="004916E0" w:rsidRPr="004D3D70">
        <w:rPr>
          <w:lang w:val="fr-CH"/>
        </w:rPr>
        <w:t>des dépenses retraitées de</w:t>
      </w:r>
      <w:r w:rsidR="00A824AF" w:rsidRPr="004D3D70">
        <w:rPr>
          <w:lang w:val="fr-CH"/>
        </w:rPr>
        <w:t xml:space="preserve"> </w:t>
      </w:r>
      <w:r w:rsidR="005C6677" w:rsidRPr="004D3D70">
        <w:rPr>
          <w:lang w:val="fr-CH"/>
        </w:rPr>
        <w:t>3</w:t>
      </w:r>
      <w:r w:rsidR="004916E0" w:rsidRPr="004D3D70">
        <w:rPr>
          <w:lang w:val="fr-CH"/>
        </w:rPr>
        <w:t> </w:t>
      </w:r>
      <w:r w:rsidR="005C6677" w:rsidRPr="004D3D70">
        <w:rPr>
          <w:lang w:val="fr-CH"/>
        </w:rPr>
        <w:t>652</w:t>
      </w:r>
      <w:r w:rsidR="004916E0" w:rsidRPr="004D3D70">
        <w:rPr>
          <w:lang w:val="fr-CH"/>
        </w:rPr>
        <w:t> </w:t>
      </w:r>
      <w:r w:rsidR="005C6677" w:rsidRPr="004D3D70">
        <w:rPr>
          <w:lang w:val="fr-CH"/>
        </w:rPr>
        <w:t>74</w:t>
      </w:r>
      <w:r w:rsidR="004D3D70" w:rsidRPr="004D3D70">
        <w:rPr>
          <w:lang w:val="fr-CH"/>
        </w:rPr>
        <w:t>4</w:t>
      </w:r>
      <w:r w:rsidR="004D3D70">
        <w:rPr>
          <w:lang w:val="fr-CH"/>
        </w:rPr>
        <w:t> </w:t>
      </w:r>
      <w:r w:rsidR="004D3D70" w:rsidRPr="004D3D70">
        <w:rPr>
          <w:lang w:val="fr-CH"/>
        </w:rPr>
        <w:t>franc</w:t>
      </w:r>
      <w:r w:rsidR="00A824AF" w:rsidRPr="004D3D70">
        <w:rPr>
          <w:lang w:val="fr-CH"/>
        </w:rPr>
        <w:t>s</w:t>
      </w:r>
      <w:r w:rsidR="004916E0" w:rsidRPr="004D3D70">
        <w:rPr>
          <w:lang w:val="fr-CH"/>
        </w:rPr>
        <w:t xml:space="preserve"> suisses</w:t>
      </w:r>
      <w:r w:rsidR="00A824AF" w:rsidRPr="004D3D70">
        <w:rPr>
          <w:lang w:val="fr-CH"/>
        </w:rPr>
        <w:t>.</w:t>
      </w:r>
    </w:p>
    <w:p w:rsidR="00905890" w:rsidRPr="004D3D70" w:rsidRDefault="00905890" w:rsidP="005C6677">
      <w:pPr>
        <w:ind w:left="550"/>
        <w:rPr>
          <w:lang w:val="fr-CH"/>
        </w:rPr>
      </w:pPr>
    </w:p>
    <w:p w:rsidR="00905890" w:rsidRPr="004D3D70" w:rsidRDefault="004916E0" w:rsidP="000B509E">
      <w:pPr>
        <w:numPr>
          <w:ilvl w:val="0"/>
          <w:numId w:val="18"/>
        </w:numPr>
        <w:rPr>
          <w:lang w:val="fr-CH"/>
        </w:rPr>
      </w:pPr>
      <w:r w:rsidRPr="004D3D70">
        <w:rPr>
          <w:lang w:val="fr-CH"/>
        </w:rPr>
        <w:t>La ré</w:t>
      </w:r>
      <w:r w:rsidR="005C6677" w:rsidRPr="004D3D70">
        <w:rPr>
          <w:lang w:val="fr-CH"/>
        </w:rPr>
        <w:t xml:space="preserve">vision </w:t>
      </w:r>
      <w:r w:rsidRPr="004D3D70">
        <w:rPr>
          <w:lang w:val="fr-CH"/>
        </w:rPr>
        <w:t xml:space="preserve">des chiffres </w:t>
      </w:r>
      <w:r w:rsidR="004D3D70" w:rsidRPr="004D3D70">
        <w:rPr>
          <w:lang w:val="fr-CH"/>
        </w:rPr>
        <w:t>de</w:t>
      </w:r>
      <w:r w:rsidR="004D3D70">
        <w:rPr>
          <w:lang w:val="fr-CH"/>
        </w:rPr>
        <w:t> </w:t>
      </w:r>
      <w:r w:rsidR="004D3D70" w:rsidRPr="004D3D70">
        <w:rPr>
          <w:lang w:val="fr-CH"/>
        </w:rPr>
        <w:t>2016</w:t>
      </w:r>
      <w:r w:rsidR="0087237B" w:rsidRPr="004D3D70">
        <w:rPr>
          <w:lang w:val="fr-CH"/>
        </w:rPr>
        <w:t xml:space="preserve"> est due à</w:t>
      </w:r>
      <w:r w:rsidRPr="004D3D70">
        <w:rPr>
          <w:lang w:val="fr-CH"/>
        </w:rPr>
        <w:t xml:space="preserve"> la</w:t>
      </w:r>
      <w:r w:rsidR="006A5974" w:rsidRPr="004D3D70">
        <w:rPr>
          <w:lang w:val="fr-CH"/>
        </w:rPr>
        <w:t xml:space="preserve"> </w:t>
      </w:r>
      <w:r w:rsidRPr="004D3D70">
        <w:rPr>
          <w:lang w:val="fr-CH"/>
        </w:rPr>
        <w:t>mise en œuvre de la norme</w:t>
      </w:r>
      <w:r w:rsidR="00AC2A6B">
        <w:rPr>
          <w:lang w:val="fr-CH"/>
        </w:rPr>
        <w:t> </w:t>
      </w:r>
      <w:r w:rsidR="006A5974" w:rsidRPr="004D3D70">
        <w:rPr>
          <w:lang w:val="fr-CH"/>
        </w:rPr>
        <w:t>IPSAS</w:t>
      </w:r>
      <w:r w:rsidR="00BE23DA">
        <w:rPr>
          <w:lang w:val="fr-CH"/>
        </w:rPr>
        <w:t> </w:t>
      </w:r>
      <w:r w:rsidR="006A5974" w:rsidRPr="004D3D70">
        <w:rPr>
          <w:lang w:val="fr-CH"/>
        </w:rPr>
        <w:t xml:space="preserve">39 </w:t>
      </w:r>
      <w:r w:rsidRPr="004D3D70">
        <w:rPr>
          <w:lang w:val="fr-CH"/>
        </w:rPr>
        <w:t>portant sur les prestations au personnel</w:t>
      </w:r>
      <w:r w:rsidR="0087237B" w:rsidRPr="004D3D70">
        <w:rPr>
          <w:lang w:val="fr-CH"/>
        </w:rPr>
        <w:t xml:space="preserve"> </w:t>
      </w:r>
      <w:r w:rsidR="004D3D70" w:rsidRPr="004D3D70">
        <w:rPr>
          <w:lang w:val="fr-CH"/>
        </w:rPr>
        <w:t>en</w:t>
      </w:r>
      <w:r w:rsidR="004D3D70">
        <w:rPr>
          <w:lang w:val="fr-CH"/>
        </w:rPr>
        <w:t> </w:t>
      </w:r>
      <w:r w:rsidR="004D3D70" w:rsidRPr="004D3D70">
        <w:rPr>
          <w:lang w:val="fr-CH"/>
        </w:rPr>
        <w:t>2017</w:t>
      </w:r>
      <w:r w:rsidR="006A5974" w:rsidRPr="004D3D70">
        <w:rPr>
          <w:lang w:val="fr-CH"/>
        </w:rPr>
        <w:t xml:space="preserve">. </w:t>
      </w:r>
      <w:r w:rsidRPr="004D3D70">
        <w:rPr>
          <w:lang w:val="fr-CH"/>
        </w:rPr>
        <w:t xml:space="preserve"> </w:t>
      </w:r>
      <w:r w:rsidR="00326708" w:rsidRPr="004D3D70">
        <w:rPr>
          <w:lang w:val="fr-CH"/>
        </w:rPr>
        <w:t>Ce changement de méthode comptable a eu pour effet que l</w:t>
      </w:r>
      <w:r w:rsidR="004D3D70">
        <w:rPr>
          <w:lang w:val="fr-CH"/>
        </w:rPr>
        <w:t>’</w:t>
      </w:r>
      <w:r w:rsidR="00326708" w:rsidRPr="004D3D70">
        <w:rPr>
          <w:lang w:val="fr-CH"/>
        </w:rPr>
        <w:t>excédent pour l</w:t>
      </w:r>
      <w:r w:rsidR="004D3D70">
        <w:rPr>
          <w:lang w:val="fr-CH"/>
        </w:rPr>
        <w:t>’</w:t>
      </w:r>
      <w:r w:rsidR="00326708" w:rsidRPr="004D3D70">
        <w:rPr>
          <w:lang w:val="fr-CH"/>
        </w:rPr>
        <w:t>année antérieure</w:t>
      </w:r>
      <w:r w:rsidR="006054D7" w:rsidRPr="004D3D70">
        <w:rPr>
          <w:lang w:val="fr-CH"/>
        </w:rPr>
        <w:t>,</w:t>
      </w:r>
      <w:r w:rsidR="00326708" w:rsidRPr="004D3D70">
        <w:rPr>
          <w:lang w:val="fr-CH"/>
        </w:rPr>
        <w:t xml:space="preserve"> </w:t>
      </w:r>
      <w:r w:rsidR="006A5974" w:rsidRPr="004D3D70">
        <w:rPr>
          <w:lang w:val="fr-CH"/>
        </w:rPr>
        <w:t>2016</w:t>
      </w:r>
      <w:r w:rsidR="006054D7" w:rsidRPr="004D3D70">
        <w:rPr>
          <w:lang w:val="fr-CH"/>
        </w:rPr>
        <w:t>,</w:t>
      </w:r>
      <w:r w:rsidR="006A5974" w:rsidRPr="004D3D70">
        <w:rPr>
          <w:lang w:val="fr-CH"/>
        </w:rPr>
        <w:t xml:space="preserve"> a</w:t>
      </w:r>
      <w:r w:rsidR="00326708" w:rsidRPr="004D3D70">
        <w:rPr>
          <w:lang w:val="fr-CH"/>
        </w:rPr>
        <w:t xml:space="preserve"> été retraité </w:t>
      </w:r>
      <w:r w:rsidR="002E49B2" w:rsidRPr="004D3D70">
        <w:rPr>
          <w:lang w:val="fr-CH"/>
        </w:rPr>
        <w:t>de manière rétrospe</w:t>
      </w:r>
      <w:r w:rsidR="00176630" w:rsidRPr="004D3D70">
        <w:rPr>
          <w:lang w:val="fr-CH"/>
        </w:rPr>
        <w:t>ctive à 93 </w:t>
      </w:r>
      <w:r w:rsidR="006A5974" w:rsidRPr="004D3D70">
        <w:rPr>
          <w:lang w:val="fr-CH"/>
        </w:rPr>
        <w:t>57</w:t>
      </w:r>
      <w:r w:rsidR="004D3D70" w:rsidRPr="004D3D70">
        <w:rPr>
          <w:lang w:val="fr-CH"/>
        </w:rPr>
        <w:t>6</w:t>
      </w:r>
      <w:r w:rsidR="004D3D70">
        <w:rPr>
          <w:lang w:val="fr-CH"/>
        </w:rPr>
        <w:t> </w:t>
      </w:r>
      <w:r w:rsidR="004D3D70" w:rsidRPr="004D3D70">
        <w:rPr>
          <w:lang w:val="fr-CH"/>
        </w:rPr>
        <w:t>franc</w:t>
      </w:r>
      <w:r w:rsidR="006A5974" w:rsidRPr="004D3D70">
        <w:rPr>
          <w:lang w:val="fr-CH"/>
        </w:rPr>
        <w:t xml:space="preserve">s </w:t>
      </w:r>
      <w:r w:rsidR="00176630" w:rsidRPr="004D3D70">
        <w:rPr>
          <w:lang w:val="fr-CH"/>
        </w:rPr>
        <w:t>suisses (</w:t>
      </w:r>
      <w:r w:rsidR="002F24E1" w:rsidRPr="004D3D70">
        <w:rPr>
          <w:lang w:val="fr-CH"/>
        </w:rPr>
        <w:t xml:space="preserve">contre </w:t>
      </w:r>
      <w:r w:rsidR="00176630" w:rsidRPr="004D3D70">
        <w:rPr>
          <w:lang w:val="fr-CH"/>
        </w:rPr>
        <w:t>71 </w:t>
      </w:r>
      <w:r w:rsidR="006A5974" w:rsidRPr="004D3D70">
        <w:rPr>
          <w:lang w:val="fr-CH"/>
        </w:rPr>
        <w:t>69</w:t>
      </w:r>
      <w:r w:rsidR="004D3D70" w:rsidRPr="004D3D70">
        <w:rPr>
          <w:lang w:val="fr-CH"/>
        </w:rPr>
        <w:t>9</w:t>
      </w:r>
      <w:r w:rsidR="004D3D70">
        <w:rPr>
          <w:lang w:val="fr-CH"/>
        </w:rPr>
        <w:t> </w:t>
      </w:r>
      <w:r w:rsidR="004D3D70" w:rsidRPr="004D3D70">
        <w:rPr>
          <w:lang w:val="fr-CH"/>
        </w:rPr>
        <w:t>franc</w:t>
      </w:r>
      <w:r w:rsidR="006A5974" w:rsidRPr="004D3D70">
        <w:rPr>
          <w:lang w:val="fr-CH"/>
        </w:rPr>
        <w:t>s</w:t>
      </w:r>
      <w:r w:rsidR="00176630" w:rsidRPr="004D3D70">
        <w:rPr>
          <w:lang w:val="fr-CH"/>
        </w:rPr>
        <w:t xml:space="preserve"> suisses précédemme</w:t>
      </w:r>
      <w:r w:rsidR="002140E0" w:rsidRPr="004D3D70">
        <w:rPr>
          <w:lang w:val="fr-CH"/>
        </w:rPr>
        <w:t>nt)</w:t>
      </w:r>
      <w:r w:rsidR="002140E0">
        <w:rPr>
          <w:lang w:val="fr-CH"/>
        </w:rPr>
        <w:t xml:space="preserve">.  </w:t>
      </w:r>
      <w:r w:rsidR="002140E0" w:rsidRPr="004D3D70">
        <w:rPr>
          <w:lang w:val="fr-CH"/>
        </w:rPr>
        <w:t>Pl</w:t>
      </w:r>
      <w:r w:rsidR="00176630" w:rsidRPr="004D3D70">
        <w:rPr>
          <w:lang w:val="fr-CH"/>
        </w:rPr>
        <w:t>us particulièrement, l</w:t>
      </w:r>
      <w:r w:rsidR="004D3D70">
        <w:rPr>
          <w:lang w:val="fr-CH"/>
        </w:rPr>
        <w:t>’</w:t>
      </w:r>
      <w:r w:rsidR="00176630" w:rsidRPr="004D3D70">
        <w:rPr>
          <w:lang w:val="fr-CH"/>
        </w:rPr>
        <w:t>actif net de l</w:t>
      </w:r>
      <w:r w:rsidR="004D3D70">
        <w:rPr>
          <w:lang w:val="fr-CH"/>
        </w:rPr>
        <w:t>’</w:t>
      </w:r>
      <w:r w:rsidR="002F24E1" w:rsidRPr="004D3D70">
        <w:rPr>
          <w:lang w:val="fr-CH"/>
        </w:rPr>
        <w:t>UPOV</w:t>
      </w:r>
      <w:r w:rsidR="00176630" w:rsidRPr="004D3D70">
        <w:rPr>
          <w:lang w:val="fr-CH"/>
        </w:rPr>
        <w:t xml:space="preserve"> au 31 décembre </w:t>
      </w:r>
      <w:r w:rsidR="006A5974" w:rsidRPr="004D3D70">
        <w:rPr>
          <w:lang w:val="fr-CH"/>
        </w:rPr>
        <w:t>2016</w:t>
      </w:r>
      <w:r w:rsidR="00176630" w:rsidRPr="004D3D70">
        <w:rPr>
          <w:lang w:val="fr-CH"/>
        </w:rPr>
        <w:t xml:space="preserve"> a également été retraité à</w:t>
      </w:r>
      <w:r w:rsidR="006A5974" w:rsidRPr="004D3D70">
        <w:rPr>
          <w:lang w:val="fr-CH"/>
        </w:rPr>
        <w:t xml:space="preserve"> </w:t>
      </w:r>
      <w:r w:rsidR="00176630" w:rsidRPr="004D3D70">
        <w:rPr>
          <w:lang w:val="fr-CH"/>
        </w:rPr>
        <w:t>745 </w:t>
      </w:r>
      <w:r w:rsidR="006A5974" w:rsidRPr="004D3D70">
        <w:rPr>
          <w:lang w:val="fr-CH"/>
        </w:rPr>
        <w:t>77</w:t>
      </w:r>
      <w:r w:rsidR="004D3D70" w:rsidRPr="004D3D70">
        <w:rPr>
          <w:lang w:val="fr-CH"/>
        </w:rPr>
        <w:t>5</w:t>
      </w:r>
      <w:r w:rsidR="004D3D70">
        <w:rPr>
          <w:lang w:val="fr-CH"/>
        </w:rPr>
        <w:t> </w:t>
      </w:r>
      <w:r w:rsidR="004D3D70" w:rsidRPr="004D3D70">
        <w:rPr>
          <w:lang w:val="fr-CH"/>
        </w:rPr>
        <w:t>franc</w:t>
      </w:r>
      <w:r w:rsidR="006A5974" w:rsidRPr="004D3D70">
        <w:rPr>
          <w:lang w:val="fr-CH"/>
        </w:rPr>
        <w:t xml:space="preserve">s </w:t>
      </w:r>
      <w:r w:rsidR="00176630" w:rsidRPr="004D3D70">
        <w:rPr>
          <w:lang w:val="fr-CH"/>
        </w:rPr>
        <w:t>suisses (</w:t>
      </w:r>
      <w:r w:rsidR="002F24E1" w:rsidRPr="004D3D70">
        <w:rPr>
          <w:lang w:val="fr-CH"/>
        </w:rPr>
        <w:t xml:space="preserve">contre </w:t>
      </w:r>
      <w:r w:rsidR="006A5974" w:rsidRPr="004D3D70">
        <w:rPr>
          <w:lang w:val="fr-CH"/>
        </w:rPr>
        <w:t>1</w:t>
      </w:r>
      <w:r w:rsidR="00176630" w:rsidRPr="004D3D70">
        <w:rPr>
          <w:lang w:val="fr-CH"/>
        </w:rPr>
        <w:t> </w:t>
      </w:r>
      <w:r w:rsidR="006A5974" w:rsidRPr="004D3D70">
        <w:rPr>
          <w:lang w:val="fr-CH"/>
        </w:rPr>
        <w:t>738</w:t>
      </w:r>
      <w:r w:rsidR="00176630" w:rsidRPr="004D3D70">
        <w:rPr>
          <w:lang w:val="fr-CH"/>
        </w:rPr>
        <w:t> </w:t>
      </w:r>
      <w:r w:rsidR="006A5974" w:rsidRPr="004D3D70">
        <w:rPr>
          <w:lang w:val="fr-CH"/>
        </w:rPr>
        <w:t>86</w:t>
      </w:r>
      <w:r w:rsidR="004D3D70" w:rsidRPr="004D3D70">
        <w:rPr>
          <w:lang w:val="fr-CH"/>
        </w:rPr>
        <w:t>7</w:t>
      </w:r>
      <w:r w:rsidR="004D3D70">
        <w:rPr>
          <w:lang w:val="fr-CH"/>
        </w:rPr>
        <w:t> </w:t>
      </w:r>
      <w:r w:rsidR="004D3D70" w:rsidRPr="004D3D70">
        <w:rPr>
          <w:lang w:val="fr-CH"/>
        </w:rPr>
        <w:t>franc</w:t>
      </w:r>
      <w:r w:rsidR="006A5974" w:rsidRPr="004D3D70">
        <w:rPr>
          <w:lang w:val="fr-CH"/>
        </w:rPr>
        <w:t>s</w:t>
      </w:r>
      <w:r w:rsidR="00176630" w:rsidRPr="004D3D70">
        <w:rPr>
          <w:lang w:val="fr-CH"/>
        </w:rPr>
        <w:t xml:space="preserve"> suisses précédemme</w:t>
      </w:r>
      <w:r w:rsidR="002140E0" w:rsidRPr="004D3D70">
        <w:rPr>
          <w:lang w:val="fr-CH"/>
        </w:rPr>
        <w:t>nt)</w:t>
      </w:r>
      <w:r w:rsidR="002140E0">
        <w:rPr>
          <w:lang w:val="fr-CH"/>
        </w:rPr>
        <w:t xml:space="preserve">.  </w:t>
      </w:r>
      <w:r w:rsidR="002140E0" w:rsidRPr="004D3D70">
        <w:rPr>
          <w:lang w:val="fr-CH"/>
        </w:rPr>
        <w:t>Ce</w:t>
      </w:r>
      <w:r w:rsidR="00176630" w:rsidRPr="004D3D70">
        <w:rPr>
          <w:lang w:val="fr-CH"/>
        </w:rPr>
        <w:t>tte diminution</w:t>
      </w:r>
      <w:r w:rsidR="006A5974" w:rsidRPr="004D3D70">
        <w:rPr>
          <w:lang w:val="fr-CH"/>
        </w:rPr>
        <w:t xml:space="preserve"> important</w:t>
      </w:r>
      <w:r w:rsidR="00176630" w:rsidRPr="004D3D70">
        <w:rPr>
          <w:lang w:val="fr-CH"/>
        </w:rPr>
        <w:t>e de l</w:t>
      </w:r>
      <w:r w:rsidR="004D3D70">
        <w:rPr>
          <w:lang w:val="fr-CH"/>
        </w:rPr>
        <w:t>’</w:t>
      </w:r>
      <w:r w:rsidR="00176630" w:rsidRPr="004D3D70">
        <w:rPr>
          <w:lang w:val="fr-CH"/>
        </w:rPr>
        <w:t xml:space="preserve">actif </w:t>
      </w:r>
      <w:r w:rsidR="000B509E" w:rsidRPr="004D3D70">
        <w:rPr>
          <w:lang w:val="fr-CH"/>
        </w:rPr>
        <w:t xml:space="preserve">net, </w:t>
      </w:r>
      <w:r w:rsidR="00AB494B" w:rsidRPr="004D3D70">
        <w:rPr>
          <w:lang w:val="fr-CH"/>
        </w:rPr>
        <w:t>expliquée</w:t>
      </w:r>
      <w:r w:rsidR="000B509E" w:rsidRPr="004D3D70">
        <w:rPr>
          <w:lang w:val="fr-CH"/>
        </w:rPr>
        <w:t xml:space="preserve"> en détail ultérieurement</w:t>
      </w:r>
      <w:r w:rsidR="006A5974" w:rsidRPr="004D3D70">
        <w:rPr>
          <w:lang w:val="fr-CH"/>
        </w:rPr>
        <w:t xml:space="preserve">, </w:t>
      </w:r>
      <w:r w:rsidR="000B509E" w:rsidRPr="004D3D70">
        <w:rPr>
          <w:lang w:val="fr-CH"/>
        </w:rPr>
        <w:t>e</w:t>
      </w:r>
      <w:r w:rsidR="006A5974" w:rsidRPr="004D3D70">
        <w:rPr>
          <w:lang w:val="fr-CH"/>
        </w:rPr>
        <w:t>s</w:t>
      </w:r>
      <w:r w:rsidR="000B509E" w:rsidRPr="004D3D70">
        <w:rPr>
          <w:lang w:val="fr-CH"/>
        </w:rPr>
        <w:t>t principalement due à un changement de traitement comptable</w:t>
      </w:r>
      <w:r w:rsidR="006A5974" w:rsidRPr="004D3D70">
        <w:rPr>
          <w:lang w:val="fr-CH"/>
        </w:rPr>
        <w:t xml:space="preserve"> </w:t>
      </w:r>
      <w:r w:rsidR="000B509E" w:rsidRPr="004D3D70">
        <w:rPr>
          <w:lang w:val="fr-CH"/>
        </w:rPr>
        <w:t xml:space="preserve">des </w:t>
      </w:r>
      <w:r w:rsidR="00DA2969" w:rsidRPr="004D3D70">
        <w:rPr>
          <w:lang w:val="fr-CH"/>
        </w:rPr>
        <w:t>obligation</w:t>
      </w:r>
      <w:r w:rsidR="000B509E" w:rsidRPr="004D3D70">
        <w:rPr>
          <w:lang w:val="fr-CH"/>
        </w:rPr>
        <w:t>s au titre de l</w:t>
      </w:r>
      <w:r w:rsidR="004D3D70">
        <w:rPr>
          <w:lang w:val="fr-CH"/>
        </w:rPr>
        <w:t>’</w:t>
      </w:r>
      <w:r w:rsidR="000B509E" w:rsidRPr="004D3D70">
        <w:rPr>
          <w:lang w:val="fr-CH"/>
        </w:rPr>
        <w:t>assurance maladie après la cessation de service (AMCS) de l</w:t>
      </w:r>
      <w:r w:rsidR="004D3D70">
        <w:rPr>
          <w:lang w:val="fr-CH"/>
        </w:rPr>
        <w:t>’</w:t>
      </w:r>
      <w:r w:rsidR="000B509E" w:rsidRPr="004D3D70">
        <w:rPr>
          <w:lang w:val="fr-CH"/>
        </w:rPr>
        <w:t>UPOV,</w:t>
      </w:r>
      <w:r w:rsidR="006A5974" w:rsidRPr="004D3D70">
        <w:rPr>
          <w:lang w:val="fr-CH"/>
        </w:rPr>
        <w:t xml:space="preserve"> </w:t>
      </w:r>
      <w:r w:rsidR="002F24E1" w:rsidRPr="004D3D70">
        <w:rPr>
          <w:lang w:val="fr-CH"/>
        </w:rPr>
        <w:t>qui nécessit</w:t>
      </w:r>
      <w:r w:rsidR="002724D2" w:rsidRPr="004D3D70">
        <w:rPr>
          <w:lang w:val="fr-CH"/>
        </w:rPr>
        <w:t xml:space="preserve">ait </w:t>
      </w:r>
      <w:r w:rsidR="002F24E1" w:rsidRPr="004D3D70">
        <w:rPr>
          <w:lang w:val="fr-CH"/>
        </w:rPr>
        <w:t>de comptabiliser</w:t>
      </w:r>
      <w:r w:rsidR="002724D2" w:rsidRPr="004D3D70">
        <w:rPr>
          <w:lang w:val="fr-CH"/>
        </w:rPr>
        <w:t xml:space="preserve"> </w:t>
      </w:r>
      <w:r w:rsidR="002F24E1" w:rsidRPr="004D3D70">
        <w:rPr>
          <w:lang w:val="fr-CH"/>
        </w:rPr>
        <w:t>l</w:t>
      </w:r>
      <w:r w:rsidR="002724D2" w:rsidRPr="004D3D70">
        <w:rPr>
          <w:lang w:val="fr-CH"/>
        </w:rPr>
        <w:t>es pertes actuarielles précédemment non comptabilisées dans l</w:t>
      </w:r>
      <w:r w:rsidR="004D3D70">
        <w:rPr>
          <w:lang w:val="fr-CH"/>
        </w:rPr>
        <w:t>’</w:t>
      </w:r>
      <w:r w:rsidR="002724D2" w:rsidRPr="004D3D70">
        <w:rPr>
          <w:lang w:val="fr-CH"/>
        </w:rPr>
        <w:t>état de la situation financière</w:t>
      </w:r>
      <w:r w:rsidR="006A5974" w:rsidRPr="004D3D70">
        <w:rPr>
          <w:lang w:val="fr-CH"/>
        </w:rPr>
        <w:t>.</w:t>
      </w:r>
    </w:p>
    <w:p w:rsidR="00905890" w:rsidRPr="004D3D70" w:rsidRDefault="00905890" w:rsidP="00A824AF">
      <w:pPr>
        <w:ind w:left="550"/>
        <w:rPr>
          <w:lang w:val="fr-CH"/>
        </w:rPr>
      </w:pPr>
    </w:p>
    <w:p w:rsidR="00905890" w:rsidRPr="004D3D70" w:rsidRDefault="00D70565" w:rsidP="00D70565">
      <w:pPr>
        <w:numPr>
          <w:ilvl w:val="0"/>
          <w:numId w:val="18"/>
        </w:numPr>
        <w:tabs>
          <w:tab w:val="num" w:pos="550"/>
        </w:tabs>
        <w:ind w:left="550" w:hanging="550"/>
        <w:rPr>
          <w:lang w:val="fr-CH"/>
        </w:rPr>
      </w:pPr>
      <w:r w:rsidRPr="004D3D70">
        <w:rPr>
          <w:lang w:val="fr-CH"/>
        </w:rPr>
        <w:t>Les états financiers fournissent le détail de la performance financière par secteur dans les informations sectorielles, comme le montre le récapitulatif ci</w:t>
      </w:r>
      <w:r w:rsidR="00665FEC">
        <w:rPr>
          <w:lang w:val="fr-CH"/>
        </w:rPr>
        <w:noBreakHyphen/>
      </w:r>
      <w:r w:rsidRPr="004D3D70">
        <w:rPr>
          <w:lang w:val="fr-CH"/>
        </w:rPr>
        <w:t>dessous</w:t>
      </w:r>
      <w:r w:rsidR="004D3D70">
        <w:rPr>
          <w:lang w:val="fr-CH"/>
        </w:rPr>
        <w:t> :</w:t>
      </w:r>
    </w:p>
    <w:p w:rsidR="00905890" w:rsidRPr="004D3D70" w:rsidRDefault="00905890" w:rsidP="00A824AF">
      <w:pPr>
        <w:rPr>
          <w:b/>
          <w:i/>
          <w:lang w:val="fr-CH"/>
        </w:rPr>
      </w:pPr>
    </w:p>
    <w:p w:rsidR="00905890" w:rsidRPr="004D3D70" w:rsidRDefault="00D70565" w:rsidP="00D70565">
      <w:pPr>
        <w:autoSpaceDE w:val="0"/>
        <w:autoSpaceDN w:val="0"/>
        <w:adjustRightInd w:val="0"/>
        <w:rPr>
          <w:b/>
          <w:i/>
          <w:lang w:val="fr-CH"/>
        </w:rPr>
      </w:pPr>
      <w:r w:rsidRPr="004D3D70">
        <w:rPr>
          <w:b/>
          <w:i/>
          <w:lang w:val="fr-CH"/>
        </w:rPr>
        <w:t>Tableau</w:t>
      </w:r>
      <w:r w:rsidR="00AC2A6B">
        <w:rPr>
          <w:b/>
          <w:i/>
          <w:lang w:val="fr-CH"/>
        </w:rPr>
        <w:t> </w:t>
      </w:r>
      <w:r w:rsidRPr="004D3D70">
        <w:rPr>
          <w:b/>
          <w:i/>
          <w:lang w:val="fr-CH"/>
        </w:rPr>
        <w:t>1.  Récapitulatif de la performance financière par secteur</w:t>
      </w:r>
    </w:p>
    <w:p w:rsidR="00905890" w:rsidRPr="004D3D70" w:rsidRDefault="00905890" w:rsidP="00A824AF">
      <w:pPr>
        <w:autoSpaceDE w:val="0"/>
        <w:autoSpaceDN w:val="0"/>
        <w:adjustRightInd w:val="0"/>
        <w:rPr>
          <w:b/>
          <w:i/>
          <w:szCs w:val="22"/>
          <w:lang w:val="fr-CH"/>
        </w:rPr>
      </w:pPr>
    </w:p>
    <w:p w:rsidR="00905890" w:rsidRPr="004D3D70" w:rsidRDefault="00FF696C" w:rsidP="00A824AF">
      <w:pPr>
        <w:autoSpaceDE w:val="0"/>
        <w:autoSpaceDN w:val="0"/>
        <w:adjustRightInd w:val="0"/>
        <w:jc w:val="center"/>
        <w:rPr>
          <w:rFonts w:ascii="Times New Roman" w:hAnsi="Times New Roman"/>
          <w:lang w:val="fr-CH"/>
        </w:rPr>
      </w:pPr>
      <w:r w:rsidRPr="00FF696C">
        <w:rPr>
          <w:noProof/>
          <w:lang w:val="en-US"/>
        </w:rPr>
        <w:drawing>
          <wp:inline distT="0" distB="0" distL="0" distR="0" wp14:anchorId="2C53AAAE" wp14:editId="20C797F9">
            <wp:extent cx="6120765" cy="1439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1439885"/>
                    </a:xfrm>
                    <a:prstGeom prst="rect">
                      <a:avLst/>
                    </a:prstGeom>
                    <a:noFill/>
                    <a:ln>
                      <a:noFill/>
                    </a:ln>
                  </pic:spPr>
                </pic:pic>
              </a:graphicData>
            </a:graphic>
          </wp:inline>
        </w:drawing>
      </w:r>
      <w:r w:rsidR="00A824AF" w:rsidRPr="004D3D70">
        <w:rPr>
          <w:noProof/>
          <w:lang w:val="fr-CH"/>
        </w:rPr>
        <w:fldChar w:fldCharType="begin"/>
      </w:r>
      <w:r w:rsidR="00A824AF" w:rsidRPr="004D3D70">
        <w:rPr>
          <w:noProof/>
          <w:lang w:val="fr-CH"/>
        </w:rPr>
        <w:instrText xml:space="preserve"> LINK Excel.Sheet.12 "\\\\wipogvafs01\\FIN\\ORGBFFI\\SHARED\\IPSAS\\13. UPOV YEAR END FILES\\2013\\01. LEAD DOCUMENTS\\01. UPOV TABLES FOR FINANCIAL STATEMENTS 2013.xlsx" "Intro Table 1!R3C3:R25C12" \a \f 4 \h  \* MERGEFORMAT </w:instrText>
      </w:r>
      <w:r w:rsidR="00A824AF" w:rsidRPr="004D3D70">
        <w:rPr>
          <w:noProof/>
          <w:lang w:val="fr-CH"/>
        </w:rPr>
        <w:fldChar w:fldCharType="separate"/>
      </w:r>
    </w:p>
    <w:p w:rsidR="00905890" w:rsidRDefault="00A824AF" w:rsidP="00A824AF">
      <w:pPr>
        <w:autoSpaceDE w:val="0"/>
        <w:autoSpaceDN w:val="0"/>
        <w:adjustRightInd w:val="0"/>
        <w:rPr>
          <w:noProof/>
          <w:lang w:val="fr-CH"/>
        </w:rPr>
      </w:pPr>
      <w:r w:rsidRPr="004D3D70">
        <w:rPr>
          <w:noProof/>
          <w:lang w:val="fr-CH"/>
        </w:rPr>
        <w:fldChar w:fldCharType="end"/>
      </w:r>
    </w:p>
    <w:p w:rsidR="000A441A" w:rsidRPr="004D3D70" w:rsidRDefault="000A441A" w:rsidP="00A824AF">
      <w:pPr>
        <w:autoSpaceDE w:val="0"/>
        <w:autoSpaceDN w:val="0"/>
        <w:adjustRightInd w:val="0"/>
        <w:rPr>
          <w:lang w:val="fr-CH"/>
        </w:rPr>
      </w:pPr>
    </w:p>
    <w:p w:rsidR="00905890" w:rsidRPr="004D3D70" w:rsidRDefault="00D70565" w:rsidP="00D70565">
      <w:pPr>
        <w:pStyle w:val="ListParagraph"/>
        <w:numPr>
          <w:ilvl w:val="0"/>
          <w:numId w:val="18"/>
        </w:numPr>
        <w:jc w:val="both"/>
        <w:rPr>
          <w:sz w:val="20"/>
          <w:lang w:val="fr-CH"/>
        </w:rPr>
      </w:pPr>
      <w:r w:rsidRPr="004D3D70">
        <w:rPr>
          <w:sz w:val="20"/>
          <w:lang w:val="fr-CH"/>
        </w:rPr>
        <w:t>Les activités de l</w:t>
      </w:r>
      <w:r w:rsidR="004D3D70">
        <w:rPr>
          <w:sz w:val="20"/>
          <w:lang w:val="fr-CH"/>
        </w:rPr>
        <w:t>’</w:t>
      </w:r>
      <w:r w:rsidRPr="004D3D70">
        <w:rPr>
          <w:sz w:val="20"/>
          <w:lang w:val="fr-CH"/>
        </w:rPr>
        <w:t>UPOV sont financées principalement par deux</w:t>
      </w:r>
      <w:r w:rsidR="00AC2A6B">
        <w:rPr>
          <w:sz w:val="20"/>
          <w:lang w:val="fr-CH"/>
        </w:rPr>
        <w:t> </w:t>
      </w:r>
      <w:r w:rsidRPr="004D3D70">
        <w:rPr>
          <w:sz w:val="20"/>
          <w:lang w:val="fr-CH"/>
        </w:rPr>
        <w:t>sources</w:t>
      </w:r>
      <w:r w:rsidR="004D3D70">
        <w:rPr>
          <w:sz w:val="20"/>
          <w:lang w:val="fr-CH"/>
        </w:rPr>
        <w:t> :</w:t>
      </w:r>
      <w:r w:rsidRPr="004D3D70">
        <w:rPr>
          <w:sz w:val="20"/>
          <w:lang w:val="fr-CH"/>
        </w:rPr>
        <w:t xml:space="preserve"> les contributions et les ressources extrabudgétaires (fonds fiduciair</w:t>
      </w:r>
      <w:r w:rsidR="002140E0" w:rsidRPr="004D3D70">
        <w:rPr>
          <w:sz w:val="20"/>
          <w:lang w:val="fr-CH"/>
        </w:rPr>
        <w:t>es)</w:t>
      </w:r>
      <w:r w:rsidR="002140E0">
        <w:rPr>
          <w:sz w:val="20"/>
          <w:lang w:val="fr-CH"/>
        </w:rPr>
        <w:t xml:space="preserve">.  </w:t>
      </w:r>
      <w:r w:rsidR="002140E0" w:rsidRPr="004D3D70">
        <w:rPr>
          <w:sz w:val="20"/>
          <w:lang w:val="fr-CH"/>
        </w:rPr>
        <w:t>Le</w:t>
      </w:r>
      <w:r w:rsidRPr="004D3D70">
        <w:rPr>
          <w:sz w:val="20"/>
          <w:lang w:val="fr-CH"/>
        </w:rPr>
        <w:t>s contributions de 3</w:t>
      </w:r>
      <w:r w:rsidR="00AC2A6B">
        <w:rPr>
          <w:sz w:val="20"/>
          <w:lang w:val="fr-CH"/>
        </w:rPr>
        <w:t> </w:t>
      </w:r>
      <w:r w:rsidRPr="004D3D70">
        <w:rPr>
          <w:sz w:val="20"/>
          <w:lang w:val="fr-CH"/>
        </w:rPr>
        <w:t>365</w:t>
      </w:r>
      <w:r w:rsidR="00AC2A6B">
        <w:rPr>
          <w:sz w:val="20"/>
          <w:lang w:val="fr-CH"/>
        </w:rPr>
        <w:t> </w:t>
      </w:r>
      <w:r w:rsidRPr="004D3D70">
        <w:rPr>
          <w:sz w:val="20"/>
          <w:lang w:val="fr-CH"/>
        </w:rPr>
        <w:t>96</w:t>
      </w:r>
      <w:r w:rsidR="004D3D70" w:rsidRPr="004D3D70">
        <w:rPr>
          <w:sz w:val="20"/>
          <w:lang w:val="fr-CH"/>
        </w:rPr>
        <w:t>2</w:t>
      </w:r>
      <w:r w:rsidR="00F23E33">
        <w:rPr>
          <w:sz w:val="20"/>
          <w:lang w:val="fr-CH"/>
        </w:rPr>
        <w:t xml:space="preserve"> </w:t>
      </w:r>
      <w:r w:rsidR="004D3D70" w:rsidRPr="004D3D70">
        <w:rPr>
          <w:sz w:val="20"/>
          <w:lang w:val="fr-CH"/>
        </w:rPr>
        <w:t>franc</w:t>
      </w:r>
      <w:r w:rsidRPr="004D3D70">
        <w:rPr>
          <w:sz w:val="20"/>
          <w:lang w:val="fr-CH"/>
        </w:rPr>
        <w:t>s suisses représentent approximativement 92,4% du total des recettes de l</w:t>
      </w:r>
      <w:r w:rsidR="004D3D70">
        <w:rPr>
          <w:sz w:val="20"/>
          <w:lang w:val="fr-CH"/>
        </w:rPr>
        <w:t>’</w:t>
      </w:r>
      <w:r w:rsidRPr="004D3D70">
        <w:rPr>
          <w:sz w:val="20"/>
          <w:lang w:val="fr-CH"/>
        </w:rPr>
        <w:t xml:space="preserve">UPOV </w:t>
      </w:r>
      <w:r w:rsidR="004D3D70" w:rsidRPr="004D3D70">
        <w:rPr>
          <w:sz w:val="20"/>
          <w:lang w:val="fr-CH"/>
        </w:rPr>
        <w:t>en</w:t>
      </w:r>
      <w:r w:rsidR="004D3D70">
        <w:rPr>
          <w:sz w:val="20"/>
          <w:lang w:val="fr-CH"/>
        </w:rPr>
        <w:t> </w:t>
      </w:r>
      <w:r w:rsidR="004D3D70" w:rsidRPr="004D3D70">
        <w:rPr>
          <w:sz w:val="20"/>
          <w:lang w:val="fr-CH"/>
        </w:rPr>
        <w:t>2017</w:t>
      </w:r>
      <w:r w:rsidRPr="004D3D70">
        <w:rPr>
          <w:sz w:val="20"/>
          <w:lang w:val="fr-CH"/>
        </w:rPr>
        <w:t>.</w:t>
      </w:r>
      <w:r w:rsidR="00AC2A6B">
        <w:rPr>
          <w:sz w:val="20"/>
          <w:lang w:val="fr-CH"/>
        </w:rPr>
        <w:t xml:space="preserve"> </w:t>
      </w:r>
      <w:r w:rsidR="00A824AF" w:rsidRPr="004D3D70">
        <w:rPr>
          <w:sz w:val="20"/>
          <w:lang w:val="fr-CH"/>
        </w:rPr>
        <w:t xml:space="preserve"> </w:t>
      </w:r>
      <w:r w:rsidRPr="004D3D70">
        <w:rPr>
          <w:sz w:val="20"/>
          <w:lang w:val="fr-CH"/>
        </w:rPr>
        <w:t>Les recettes comptabilisées provenant des contributions extrabudgétaires (fonds fiduciaires) se sont élevées à 257</w:t>
      </w:r>
      <w:r w:rsidR="00AC2A6B">
        <w:rPr>
          <w:sz w:val="20"/>
          <w:lang w:val="fr-CH"/>
        </w:rPr>
        <w:t> </w:t>
      </w:r>
      <w:r w:rsidRPr="004D3D70">
        <w:rPr>
          <w:sz w:val="20"/>
          <w:lang w:val="fr-CH"/>
        </w:rPr>
        <w:t>52</w:t>
      </w:r>
      <w:r w:rsidR="004D3D70" w:rsidRPr="004D3D70">
        <w:rPr>
          <w:sz w:val="20"/>
          <w:lang w:val="fr-CH"/>
        </w:rPr>
        <w:t>4</w:t>
      </w:r>
      <w:r w:rsidR="004D3D70">
        <w:rPr>
          <w:sz w:val="20"/>
          <w:lang w:val="fr-CH"/>
        </w:rPr>
        <w:t> </w:t>
      </w:r>
      <w:r w:rsidR="004D3D70" w:rsidRPr="004D3D70">
        <w:rPr>
          <w:sz w:val="20"/>
          <w:lang w:val="fr-CH"/>
        </w:rPr>
        <w:t>franc</w:t>
      </w:r>
      <w:r w:rsidRPr="004D3D70">
        <w:rPr>
          <w:sz w:val="20"/>
          <w:lang w:val="fr-CH"/>
        </w:rPr>
        <w:t>s suisses pour l</w:t>
      </w:r>
      <w:r w:rsidR="004D3D70">
        <w:rPr>
          <w:sz w:val="20"/>
          <w:lang w:val="fr-CH"/>
        </w:rPr>
        <w:t>’</w:t>
      </w:r>
      <w:r w:rsidRPr="004D3D70">
        <w:rPr>
          <w:sz w:val="20"/>
          <w:lang w:val="fr-CH"/>
        </w:rPr>
        <w:t>année, soit 7,1% du total des recettes.</w:t>
      </w:r>
      <w:r w:rsidR="00A824AF" w:rsidRPr="004D3D70">
        <w:rPr>
          <w:sz w:val="20"/>
          <w:lang w:val="fr-CH"/>
        </w:rPr>
        <w:t xml:space="preserve"> </w:t>
      </w:r>
      <w:r w:rsidR="00AC2A6B">
        <w:rPr>
          <w:sz w:val="20"/>
          <w:lang w:val="fr-CH"/>
        </w:rPr>
        <w:t xml:space="preserve"> </w:t>
      </w:r>
      <w:r w:rsidRPr="004D3D70">
        <w:rPr>
          <w:sz w:val="20"/>
          <w:lang w:val="fr-CH"/>
        </w:rPr>
        <w:t>L</w:t>
      </w:r>
      <w:r w:rsidR="004D3D70">
        <w:rPr>
          <w:sz w:val="20"/>
          <w:lang w:val="fr-CH"/>
        </w:rPr>
        <w:t>’</w:t>
      </w:r>
      <w:r w:rsidRPr="004D3D70">
        <w:rPr>
          <w:sz w:val="20"/>
          <w:lang w:val="fr-CH"/>
        </w:rPr>
        <w:t>UPOV présente également des soldes à hauteur de 260</w:t>
      </w:r>
      <w:r w:rsidR="00AC2A6B">
        <w:rPr>
          <w:sz w:val="20"/>
          <w:lang w:val="fr-CH"/>
        </w:rPr>
        <w:t> </w:t>
      </w:r>
      <w:r w:rsidRPr="004D3D70">
        <w:rPr>
          <w:sz w:val="20"/>
          <w:lang w:val="fr-CH"/>
        </w:rPr>
        <w:t>06</w:t>
      </w:r>
      <w:r w:rsidR="004D3D70" w:rsidRPr="004D3D70">
        <w:rPr>
          <w:sz w:val="20"/>
          <w:lang w:val="fr-CH"/>
        </w:rPr>
        <w:t>3</w:t>
      </w:r>
      <w:r w:rsidR="004D3D70">
        <w:rPr>
          <w:sz w:val="20"/>
          <w:lang w:val="fr-CH"/>
        </w:rPr>
        <w:t> </w:t>
      </w:r>
      <w:r w:rsidR="004D3D70" w:rsidRPr="004D3D70">
        <w:rPr>
          <w:sz w:val="20"/>
          <w:lang w:val="fr-CH"/>
        </w:rPr>
        <w:t>franc</w:t>
      </w:r>
      <w:r w:rsidRPr="004D3D70">
        <w:rPr>
          <w:sz w:val="20"/>
          <w:lang w:val="fr-CH"/>
        </w:rPr>
        <w:t>s suisses provenant des contributions reçues d</w:t>
      </w:r>
      <w:r w:rsidR="004D3D70">
        <w:rPr>
          <w:sz w:val="20"/>
          <w:lang w:val="fr-CH"/>
        </w:rPr>
        <w:t>’</w:t>
      </w:r>
      <w:r w:rsidRPr="004D3D70">
        <w:rPr>
          <w:sz w:val="20"/>
          <w:lang w:val="fr-CH"/>
        </w:rPr>
        <w:t>avan</w:t>
      </w:r>
      <w:r w:rsidR="002140E0" w:rsidRPr="004D3D70">
        <w:rPr>
          <w:sz w:val="20"/>
          <w:lang w:val="fr-CH"/>
        </w:rPr>
        <w:t>ce</w:t>
      </w:r>
      <w:r w:rsidR="002140E0">
        <w:rPr>
          <w:sz w:val="20"/>
          <w:lang w:val="fr-CH"/>
        </w:rPr>
        <w:t xml:space="preserve">.  </w:t>
      </w:r>
      <w:r w:rsidR="002140E0" w:rsidRPr="004D3D70">
        <w:rPr>
          <w:sz w:val="20"/>
          <w:lang w:val="fr-CH"/>
        </w:rPr>
        <w:t>Ce</w:t>
      </w:r>
      <w:r w:rsidRPr="004D3D70">
        <w:rPr>
          <w:sz w:val="20"/>
          <w:lang w:val="fr-CH"/>
        </w:rPr>
        <w:t>s soldes apparaissent actuellement en tant que passifs, mais devraient être comptabilisés comme des produits pour l</w:t>
      </w:r>
      <w:r w:rsidR="004D3D70">
        <w:rPr>
          <w:sz w:val="20"/>
          <w:lang w:val="fr-CH"/>
        </w:rPr>
        <w:t>’</w:t>
      </w:r>
      <w:r w:rsidRPr="004D3D70">
        <w:rPr>
          <w:sz w:val="20"/>
          <w:lang w:val="fr-CH"/>
        </w:rPr>
        <w:t>année à laquelle ils se rapportent.</w:t>
      </w:r>
    </w:p>
    <w:p w:rsidR="00905890" w:rsidRPr="004D3D70" w:rsidRDefault="00905890" w:rsidP="00EB0BB6">
      <w:pPr>
        <w:rPr>
          <w:lang w:val="fr-CH"/>
        </w:rPr>
      </w:pPr>
    </w:p>
    <w:p w:rsidR="004D3D70" w:rsidRDefault="00922959" w:rsidP="00922959">
      <w:pPr>
        <w:pStyle w:val="ListParagraph"/>
        <w:numPr>
          <w:ilvl w:val="0"/>
          <w:numId w:val="18"/>
        </w:numPr>
        <w:jc w:val="both"/>
        <w:rPr>
          <w:sz w:val="20"/>
          <w:lang w:val="fr-CH"/>
        </w:rPr>
      </w:pPr>
      <w:r w:rsidRPr="004D3D70">
        <w:rPr>
          <w:sz w:val="20"/>
          <w:lang w:val="fr-CH"/>
        </w:rPr>
        <w:t xml:space="preserve">Au cours </w:t>
      </w:r>
      <w:r w:rsidR="004D3D70" w:rsidRPr="004D3D70">
        <w:rPr>
          <w:sz w:val="20"/>
          <w:lang w:val="fr-CH"/>
        </w:rPr>
        <w:t>de</w:t>
      </w:r>
      <w:r w:rsidR="004D3D70">
        <w:rPr>
          <w:sz w:val="20"/>
          <w:lang w:val="fr-CH"/>
        </w:rPr>
        <w:t> </w:t>
      </w:r>
      <w:r w:rsidR="004D3D70" w:rsidRPr="004D3D70">
        <w:rPr>
          <w:sz w:val="20"/>
          <w:lang w:val="fr-CH"/>
        </w:rPr>
        <w:t>2017</w:t>
      </w:r>
      <w:r w:rsidR="00B74ECE" w:rsidRPr="004D3D70">
        <w:rPr>
          <w:sz w:val="20"/>
          <w:lang w:val="fr-CH"/>
        </w:rPr>
        <w:t xml:space="preserve">, </w:t>
      </w:r>
      <w:r w:rsidRPr="004D3D70">
        <w:rPr>
          <w:sz w:val="20"/>
          <w:lang w:val="fr-CH"/>
        </w:rPr>
        <w:t>l</w:t>
      </w:r>
      <w:r w:rsidR="004D3D70">
        <w:rPr>
          <w:sz w:val="20"/>
          <w:lang w:val="fr-CH"/>
        </w:rPr>
        <w:t>’</w:t>
      </w:r>
      <w:r w:rsidR="00B74ECE" w:rsidRPr="004D3D70">
        <w:rPr>
          <w:sz w:val="20"/>
          <w:lang w:val="fr-CH"/>
        </w:rPr>
        <w:t xml:space="preserve">UPOV </w:t>
      </w:r>
      <w:r w:rsidRPr="004D3D70">
        <w:rPr>
          <w:sz w:val="20"/>
          <w:lang w:val="fr-CH"/>
        </w:rPr>
        <w:t>a lancé</w:t>
      </w:r>
      <w:r w:rsidRPr="004D3D70">
        <w:rPr>
          <w:lang w:val="fr-CH"/>
        </w:rPr>
        <w:t xml:space="preserve"> l</w:t>
      </w:r>
      <w:r w:rsidR="004D3D70">
        <w:rPr>
          <w:lang w:val="fr-CH"/>
        </w:rPr>
        <w:t>’</w:t>
      </w:r>
      <w:r w:rsidRPr="004D3D70">
        <w:rPr>
          <w:lang w:val="fr-CH"/>
        </w:rPr>
        <w:t xml:space="preserve">outil </w:t>
      </w:r>
      <w:r w:rsidRPr="004D3D70">
        <w:rPr>
          <w:sz w:val="20"/>
          <w:lang w:val="fr-CH"/>
        </w:rPr>
        <w:t>de demande de droit d</w:t>
      </w:r>
      <w:r w:rsidR="004D3D70">
        <w:rPr>
          <w:sz w:val="20"/>
          <w:lang w:val="fr-CH"/>
        </w:rPr>
        <w:t>’</w:t>
      </w:r>
      <w:r w:rsidRPr="004D3D70">
        <w:rPr>
          <w:sz w:val="20"/>
          <w:lang w:val="fr-CH"/>
        </w:rPr>
        <w:t>obtenteur UPOV PRISMA</w:t>
      </w:r>
      <w:r w:rsidR="00C01207" w:rsidRPr="004D3D70">
        <w:rPr>
          <w:sz w:val="20"/>
          <w:lang w:val="fr-CH"/>
        </w:rPr>
        <w:t xml:space="preserve">. </w:t>
      </w:r>
      <w:r w:rsidRPr="004D3D70">
        <w:rPr>
          <w:sz w:val="20"/>
          <w:lang w:val="fr-CH"/>
        </w:rPr>
        <w:t xml:space="preserve"> Cet outil de demande en ligne permet aux demandeurs d</w:t>
      </w:r>
      <w:r w:rsidR="004D3D70">
        <w:rPr>
          <w:sz w:val="20"/>
          <w:lang w:val="fr-CH"/>
        </w:rPr>
        <w:t>’</w:t>
      </w:r>
      <w:r w:rsidRPr="004D3D70">
        <w:rPr>
          <w:sz w:val="20"/>
          <w:lang w:val="fr-CH"/>
        </w:rPr>
        <w:t>envoyer les données relatives aux demandes aux services de protection des obtentions végé</w:t>
      </w:r>
      <w:r w:rsidR="00C01207" w:rsidRPr="004D3D70">
        <w:rPr>
          <w:sz w:val="20"/>
          <w:lang w:val="fr-CH"/>
        </w:rPr>
        <w:t>t</w:t>
      </w:r>
      <w:r w:rsidRPr="004D3D70">
        <w:rPr>
          <w:sz w:val="20"/>
          <w:lang w:val="fr-CH"/>
        </w:rPr>
        <w:t>ales participants</w:t>
      </w:r>
      <w:r w:rsidR="000140AA" w:rsidRPr="004D3D70">
        <w:rPr>
          <w:sz w:val="20"/>
          <w:lang w:val="fr-CH"/>
        </w:rPr>
        <w:t xml:space="preserve"> du monde enti</w:t>
      </w:r>
      <w:r w:rsidR="002140E0" w:rsidRPr="004D3D70">
        <w:rPr>
          <w:sz w:val="20"/>
          <w:lang w:val="fr-CH"/>
        </w:rPr>
        <w:t>er</w:t>
      </w:r>
      <w:r w:rsidR="002140E0">
        <w:rPr>
          <w:sz w:val="20"/>
          <w:lang w:val="fr-CH"/>
        </w:rPr>
        <w:t xml:space="preserve">.  </w:t>
      </w:r>
      <w:r w:rsidR="002140E0" w:rsidRPr="004D3D70">
        <w:rPr>
          <w:sz w:val="20"/>
          <w:lang w:val="fr-CH"/>
        </w:rPr>
        <w:t>Le</w:t>
      </w:r>
      <w:r w:rsidR="000140AA" w:rsidRPr="004D3D70">
        <w:rPr>
          <w:sz w:val="20"/>
          <w:lang w:val="fr-CH"/>
        </w:rPr>
        <w:t>s recettes d</w:t>
      </w:r>
      <w:r w:rsidR="004D3D70">
        <w:rPr>
          <w:sz w:val="20"/>
          <w:lang w:val="fr-CH"/>
        </w:rPr>
        <w:t>’</w:t>
      </w:r>
      <w:r w:rsidR="00ED50AC" w:rsidRPr="004D3D70">
        <w:rPr>
          <w:sz w:val="20"/>
          <w:lang w:val="fr-CH"/>
        </w:rPr>
        <w:t>UPOV PRISMA</w:t>
      </w:r>
      <w:r w:rsidR="000140AA" w:rsidRPr="004D3D70">
        <w:rPr>
          <w:sz w:val="20"/>
          <w:lang w:val="fr-CH"/>
        </w:rPr>
        <w:t xml:space="preserve"> </w:t>
      </w:r>
      <w:r w:rsidR="004D3D70" w:rsidRPr="004D3D70">
        <w:rPr>
          <w:sz w:val="20"/>
          <w:lang w:val="fr-CH"/>
        </w:rPr>
        <w:t>pour</w:t>
      </w:r>
      <w:r w:rsidR="004D3D70">
        <w:rPr>
          <w:sz w:val="20"/>
          <w:lang w:val="fr-CH"/>
        </w:rPr>
        <w:t> </w:t>
      </w:r>
      <w:r w:rsidR="004D3D70" w:rsidRPr="004D3D70">
        <w:rPr>
          <w:sz w:val="20"/>
          <w:lang w:val="fr-CH"/>
        </w:rPr>
        <w:t>2017</w:t>
      </w:r>
      <w:r w:rsidR="00ED50AC" w:rsidRPr="004D3D70">
        <w:rPr>
          <w:sz w:val="20"/>
          <w:lang w:val="fr-CH"/>
        </w:rPr>
        <w:t xml:space="preserve"> </w:t>
      </w:r>
      <w:r w:rsidR="000140AA" w:rsidRPr="004D3D70">
        <w:rPr>
          <w:sz w:val="20"/>
          <w:lang w:val="fr-CH"/>
        </w:rPr>
        <w:t xml:space="preserve">se sont élevées à </w:t>
      </w:r>
      <w:r w:rsidR="00AC2A6B" w:rsidRPr="004D3D70">
        <w:rPr>
          <w:sz w:val="20"/>
          <w:lang w:val="fr-CH"/>
        </w:rPr>
        <w:t>1841</w:t>
      </w:r>
      <w:r w:rsidR="004D3D70">
        <w:rPr>
          <w:sz w:val="20"/>
          <w:lang w:val="fr-CH"/>
        </w:rPr>
        <w:t> </w:t>
      </w:r>
      <w:r w:rsidR="004D3D70" w:rsidRPr="004D3D70">
        <w:rPr>
          <w:sz w:val="20"/>
          <w:lang w:val="fr-CH"/>
        </w:rPr>
        <w:t>franc</w:t>
      </w:r>
      <w:r w:rsidR="00ED50AC" w:rsidRPr="004D3D70">
        <w:rPr>
          <w:sz w:val="20"/>
          <w:lang w:val="fr-CH"/>
        </w:rPr>
        <w:t>s</w:t>
      </w:r>
      <w:r w:rsidR="000140AA" w:rsidRPr="004D3D70">
        <w:rPr>
          <w:sz w:val="20"/>
          <w:lang w:val="fr-CH"/>
        </w:rPr>
        <w:t xml:space="preserve"> suisses au total</w:t>
      </w:r>
      <w:r w:rsidR="00ED50AC" w:rsidRPr="004D3D70">
        <w:rPr>
          <w:sz w:val="20"/>
          <w:lang w:val="fr-CH"/>
        </w:rPr>
        <w:t>.</w:t>
      </w:r>
    </w:p>
    <w:p w:rsidR="00905890" w:rsidRPr="004D3D70" w:rsidRDefault="00905890" w:rsidP="00A824AF">
      <w:pPr>
        <w:rPr>
          <w:lang w:val="fr-CH"/>
        </w:rPr>
      </w:pPr>
    </w:p>
    <w:p w:rsidR="00905890" w:rsidRPr="004D3D70" w:rsidRDefault="00D70565" w:rsidP="0096619C">
      <w:pPr>
        <w:numPr>
          <w:ilvl w:val="0"/>
          <w:numId w:val="18"/>
        </w:numPr>
        <w:rPr>
          <w:lang w:val="fr-CH"/>
        </w:rPr>
      </w:pPr>
      <w:r w:rsidRPr="004D3D70">
        <w:rPr>
          <w:lang w:val="fr-CH"/>
        </w:rPr>
        <w:t>Les dépenses de personnel s</w:t>
      </w:r>
      <w:r w:rsidR="004D3D70">
        <w:rPr>
          <w:lang w:val="fr-CH"/>
        </w:rPr>
        <w:t>’</w:t>
      </w:r>
      <w:r w:rsidRPr="004D3D70">
        <w:rPr>
          <w:lang w:val="fr-CH"/>
        </w:rPr>
        <w:t>élèvent à 2</w:t>
      </w:r>
      <w:r w:rsidR="00AC2A6B">
        <w:rPr>
          <w:lang w:val="fr-CH"/>
        </w:rPr>
        <w:t> </w:t>
      </w:r>
      <w:r w:rsidRPr="004D3D70">
        <w:rPr>
          <w:lang w:val="fr-CH"/>
        </w:rPr>
        <w:t>262</w:t>
      </w:r>
      <w:r w:rsidR="00AC2A6B">
        <w:rPr>
          <w:lang w:val="fr-CH"/>
        </w:rPr>
        <w:t> </w:t>
      </w:r>
      <w:r w:rsidRPr="004D3D70">
        <w:rPr>
          <w:lang w:val="fr-CH"/>
        </w:rPr>
        <w:t>00</w:t>
      </w:r>
      <w:r w:rsidR="004D3D70" w:rsidRPr="004D3D70">
        <w:rPr>
          <w:lang w:val="fr-CH"/>
        </w:rPr>
        <w:t>6</w:t>
      </w:r>
      <w:r w:rsidR="004D3D70">
        <w:rPr>
          <w:lang w:val="fr-CH"/>
        </w:rPr>
        <w:t> </w:t>
      </w:r>
      <w:r w:rsidR="004D3D70" w:rsidRPr="004D3D70">
        <w:rPr>
          <w:lang w:val="fr-CH"/>
        </w:rPr>
        <w:t>franc</w:t>
      </w:r>
      <w:r w:rsidRPr="004D3D70">
        <w:rPr>
          <w:lang w:val="fr-CH"/>
        </w:rPr>
        <w:t>s suisses et représentent 57,5% des 3</w:t>
      </w:r>
      <w:r w:rsidR="00AC2A6B">
        <w:rPr>
          <w:lang w:val="fr-CH"/>
        </w:rPr>
        <w:t> </w:t>
      </w:r>
      <w:r w:rsidRPr="004D3D70">
        <w:rPr>
          <w:lang w:val="fr-CH"/>
        </w:rPr>
        <w:t>934</w:t>
      </w:r>
      <w:r w:rsidR="00AC2A6B">
        <w:rPr>
          <w:lang w:val="fr-CH"/>
        </w:rPr>
        <w:t> </w:t>
      </w:r>
      <w:r w:rsidRPr="004D3D70">
        <w:rPr>
          <w:lang w:val="fr-CH"/>
        </w:rPr>
        <w:t>78</w:t>
      </w:r>
      <w:r w:rsidR="004D3D70" w:rsidRPr="004D3D70">
        <w:rPr>
          <w:lang w:val="fr-CH"/>
        </w:rPr>
        <w:t>1</w:t>
      </w:r>
      <w:r w:rsidR="004D3D70">
        <w:rPr>
          <w:lang w:val="fr-CH"/>
        </w:rPr>
        <w:t> </w:t>
      </w:r>
      <w:r w:rsidR="004D3D70" w:rsidRPr="004D3D70">
        <w:rPr>
          <w:lang w:val="fr-CH"/>
        </w:rPr>
        <w:t>franc</w:t>
      </w:r>
      <w:r w:rsidRPr="004D3D70">
        <w:rPr>
          <w:lang w:val="fr-CH"/>
        </w:rPr>
        <w:t>s suisses du total des dépenses pour l</w:t>
      </w:r>
      <w:r w:rsidR="004D3D70">
        <w:rPr>
          <w:lang w:val="fr-CH"/>
        </w:rPr>
        <w:t>’</w:t>
      </w:r>
      <w:r w:rsidRPr="004D3D70">
        <w:rPr>
          <w:lang w:val="fr-CH"/>
        </w:rPr>
        <w:t>année</w:t>
      </w:r>
      <w:r w:rsidR="00BE23DA">
        <w:rPr>
          <w:lang w:val="fr-CH"/>
        </w:rPr>
        <w:t> </w:t>
      </w:r>
      <w:r w:rsidRPr="004D3D70">
        <w:rPr>
          <w:lang w:val="fr-CH"/>
        </w:rPr>
        <w:t>2017.</w:t>
      </w:r>
      <w:r w:rsidR="00AC2A6B">
        <w:rPr>
          <w:lang w:val="fr-CH"/>
        </w:rPr>
        <w:t xml:space="preserve"> </w:t>
      </w:r>
      <w:r w:rsidR="00A824AF" w:rsidRPr="004D3D70">
        <w:rPr>
          <w:lang w:val="fr-CH"/>
        </w:rPr>
        <w:t xml:space="preserve"> </w:t>
      </w:r>
      <w:r w:rsidRPr="004D3D70">
        <w:rPr>
          <w:lang w:val="fr-CH"/>
        </w:rPr>
        <w:t>Comme cela a déjà été souligné, la comptabilité d</w:t>
      </w:r>
      <w:r w:rsidR="004D3D70">
        <w:rPr>
          <w:lang w:val="fr-CH"/>
        </w:rPr>
        <w:t>’</w:t>
      </w:r>
      <w:r w:rsidRPr="004D3D70">
        <w:rPr>
          <w:lang w:val="fr-CH"/>
        </w:rPr>
        <w:t>exercice, en ce qui concerne les avantages postérieurs à l</w:t>
      </w:r>
      <w:r w:rsidR="004D3D70">
        <w:rPr>
          <w:lang w:val="fr-CH"/>
        </w:rPr>
        <w:t>’</w:t>
      </w:r>
      <w:r w:rsidRPr="004D3D70">
        <w:rPr>
          <w:lang w:val="fr-CH"/>
        </w:rPr>
        <w:t>emploi et autres prestations dues au personnel à long terme, impose que le coût de ces régimes soit comptabilisé à mesure que les avantages sont acquis par le personnel, et non selon la méthode des décaissements effecti</w:t>
      </w:r>
      <w:r w:rsidR="002140E0" w:rsidRPr="004D3D70">
        <w:rPr>
          <w:lang w:val="fr-CH"/>
        </w:rPr>
        <w:t>fs</w:t>
      </w:r>
      <w:r w:rsidR="002140E0">
        <w:rPr>
          <w:lang w:val="fr-CH"/>
        </w:rPr>
        <w:t xml:space="preserve">.  </w:t>
      </w:r>
      <w:r w:rsidR="002140E0" w:rsidRPr="004D3D70">
        <w:rPr>
          <w:lang w:val="fr-CH"/>
        </w:rPr>
        <w:t>Le</w:t>
      </w:r>
      <w:r w:rsidR="0096619C" w:rsidRPr="004D3D70">
        <w:rPr>
          <w:lang w:val="fr-CH"/>
        </w:rPr>
        <w:t xml:space="preserve"> coût total des intérêts et des services pour l</w:t>
      </w:r>
      <w:r w:rsidR="004D3D70">
        <w:rPr>
          <w:lang w:val="fr-CH"/>
        </w:rPr>
        <w:t>’</w:t>
      </w:r>
      <w:r w:rsidR="0096619C" w:rsidRPr="004D3D70">
        <w:rPr>
          <w:lang w:val="fr-CH"/>
        </w:rPr>
        <w:t>année au</w:t>
      </w:r>
      <w:r w:rsidR="00BA6758" w:rsidRPr="004D3D70">
        <w:rPr>
          <w:lang w:val="fr-CH"/>
        </w:rPr>
        <w:t xml:space="preserve"> titre de l</w:t>
      </w:r>
      <w:r w:rsidR="004D3D70">
        <w:rPr>
          <w:lang w:val="fr-CH"/>
        </w:rPr>
        <w:t>’</w:t>
      </w:r>
      <w:r w:rsidR="002F24E1" w:rsidRPr="004D3D70">
        <w:rPr>
          <w:lang w:val="fr-CH"/>
        </w:rPr>
        <w:t>AMCS</w:t>
      </w:r>
      <w:r w:rsidR="0096619C" w:rsidRPr="004D3D70">
        <w:rPr>
          <w:lang w:val="fr-CH"/>
        </w:rPr>
        <w:t xml:space="preserve">, des primes de rapatriement et des </w:t>
      </w:r>
      <w:r w:rsidR="002F24E1" w:rsidRPr="004D3D70">
        <w:rPr>
          <w:lang w:val="fr-CH"/>
        </w:rPr>
        <w:t>jours de congé annuel</w:t>
      </w:r>
      <w:r w:rsidR="0096619C" w:rsidRPr="004D3D70">
        <w:rPr>
          <w:lang w:val="fr-CH"/>
        </w:rPr>
        <w:t xml:space="preserve"> </w:t>
      </w:r>
      <w:r w:rsidR="00E74517" w:rsidRPr="004D3D70">
        <w:rPr>
          <w:lang w:val="fr-CH"/>
        </w:rPr>
        <w:t>ac</w:t>
      </w:r>
      <w:r w:rsidR="0096619C" w:rsidRPr="004D3D70">
        <w:rPr>
          <w:lang w:val="fr-CH"/>
        </w:rPr>
        <w:t xml:space="preserve">cumulés à </w:t>
      </w:r>
      <w:r w:rsidR="00D760AE" w:rsidRPr="004D3D70">
        <w:rPr>
          <w:lang w:val="fr-CH"/>
        </w:rPr>
        <w:t>long</w:t>
      </w:r>
      <w:r w:rsidR="0096619C" w:rsidRPr="004D3D70">
        <w:rPr>
          <w:lang w:val="fr-CH"/>
        </w:rPr>
        <w:t xml:space="preserve"> </w:t>
      </w:r>
      <w:r w:rsidR="00D760AE" w:rsidRPr="004D3D70">
        <w:rPr>
          <w:lang w:val="fr-CH"/>
        </w:rPr>
        <w:t>term</w:t>
      </w:r>
      <w:r w:rsidR="0096619C" w:rsidRPr="004D3D70">
        <w:rPr>
          <w:lang w:val="fr-CH"/>
        </w:rPr>
        <w:t>e</w:t>
      </w:r>
      <w:r w:rsidR="00D760AE" w:rsidRPr="004D3D70">
        <w:rPr>
          <w:lang w:val="fr-CH"/>
        </w:rPr>
        <w:t xml:space="preserve"> </w:t>
      </w:r>
      <w:r w:rsidR="00A824AF" w:rsidRPr="004D3D70">
        <w:rPr>
          <w:lang w:val="fr-CH"/>
        </w:rPr>
        <w:t>s</w:t>
      </w:r>
      <w:r w:rsidR="004D3D70">
        <w:rPr>
          <w:lang w:val="fr-CH"/>
        </w:rPr>
        <w:t>’</w:t>
      </w:r>
      <w:r w:rsidR="0096619C" w:rsidRPr="004D3D70">
        <w:rPr>
          <w:lang w:val="fr-CH"/>
        </w:rPr>
        <w:t>élève à</w:t>
      </w:r>
      <w:r w:rsidR="00A824AF" w:rsidRPr="004D3D70">
        <w:rPr>
          <w:lang w:val="fr-CH"/>
        </w:rPr>
        <w:t xml:space="preserve"> </w:t>
      </w:r>
      <w:r w:rsidR="0096619C" w:rsidRPr="004D3D70">
        <w:rPr>
          <w:lang w:val="fr-CH"/>
        </w:rPr>
        <w:t>211 </w:t>
      </w:r>
      <w:r w:rsidR="00F376DF" w:rsidRPr="004D3D70">
        <w:rPr>
          <w:lang w:val="fr-CH"/>
        </w:rPr>
        <w:t>934</w:t>
      </w:r>
      <w:r w:rsidR="0096619C" w:rsidRPr="004D3D70">
        <w:rPr>
          <w:lang w:val="fr-CH"/>
        </w:rPr>
        <w:t> </w:t>
      </w:r>
      <w:r w:rsidR="00A824AF" w:rsidRPr="004D3D70">
        <w:rPr>
          <w:lang w:val="fr-CH"/>
        </w:rPr>
        <w:t>francs</w:t>
      </w:r>
      <w:r w:rsidR="0096619C" w:rsidRPr="004D3D70">
        <w:rPr>
          <w:lang w:val="fr-CH"/>
        </w:rPr>
        <w:t xml:space="preserve"> suiss</w:t>
      </w:r>
      <w:r w:rsidR="002140E0" w:rsidRPr="004D3D70">
        <w:rPr>
          <w:lang w:val="fr-CH"/>
        </w:rPr>
        <w:t>es</w:t>
      </w:r>
      <w:r w:rsidR="002140E0">
        <w:rPr>
          <w:lang w:val="fr-CH"/>
        </w:rPr>
        <w:t xml:space="preserve">.  </w:t>
      </w:r>
      <w:r w:rsidR="002140E0" w:rsidRPr="004D3D70">
        <w:rPr>
          <w:lang w:val="fr-CH"/>
        </w:rPr>
        <w:t>Ce</w:t>
      </w:r>
      <w:r w:rsidRPr="004D3D70">
        <w:rPr>
          <w:lang w:val="fr-CH"/>
        </w:rPr>
        <w:t>tte méthode permet à l</w:t>
      </w:r>
      <w:r w:rsidR="004D3D70">
        <w:rPr>
          <w:lang w:val="fr-CH"/>
        </w:rPr>
        <w:t>’</w:t>
      </w:r>
      <w:r w:rsidRPr="004D3D70">
        <w:rPr>
          <w:lang w:val="fr-CH"/>
        </w:rPr>
        <w:t>UPOV de mieux rendre compte du coût réel de l</w:t>
      </w:r>
      <w:r w:rsidR="004D3D70">
        <w:rPr>
          <w:lang w:val="fr-CH"/>
        </w:rPr>
        <w:t>’</w:t>
      </w:r>
      <w:r w:rsidRPr="004D3D70">
        <w:rPr>
          <w:lang w:val="fr-CH"/>
        </w:rPr>
        <w:t>emploi de son personnel sur une base annuelle.</w:t>
      </w:r>
    </w:p>
    <w:p w:rsidR="00905890" w:rsidRPr="004D3D70" w:rsidRDefault="00905890" w:rsidP="00CC0DE7">
      <w:pPr>
        <w:rPr>
          <w:lang w:val="fr-CH"/>
        </w:rPr>
      </w:pPr>
    </w:p>
    <w:p w:rsidR="00905890" w:rsidRPr="004D3D70" w:rsidRDefault="00D70565" w:rsidP="00D70565">
      <w:pPr>
        <w:pStyle w:val="Heading2"/>
        <w:rPr>
          <w:lang w:val="fr-CH"/>
        </w:rPr>
      </w:pPr>
      <w:bookmarkStart w:id="7" w:name="_Toc523157882"/>
      <w:r w:rsidRPr="004D3D70">
        <w:rPr>
          <w:lang w:val="fr-CH"/>
        </w:rPr>
        <w:lastRenderedPageBreak/>
        <w:t>Situation financière</w:t>
      </w:r>
      <w:bookmarkEnd w:id="7"/>
    </w:p>
    <w:p w:rsidR="00905890" w:rsidRPr="000A441A" w:rsidRDefault="00905890" w:rsidP="00EE33B2">
      <w:pPr>
        <w:keepNext/>
        <w:rPr>
          <w:sz w:val="12"/>
          <w:lang w:val="fr-CH"/>
        </w:rPr>
      </w:pPr>
    </w:p>
    <w:p w:rsidR="00905890" w:rsidRPr="004D3D70" w:rsidRDefault="0096619C" w:rsidP="00D70565">
      <w:pPr>
        <w:numPr>
          <w:ilvl w:val="0"/>
          <w:numId w:val="18"/>
        </w:numPr>
        <w:rPr>
          <w:lang w:val="fr-CH"/>
        </w:rPr>
      </w:pPr>
      <w:r w:rsidRPr="004D3D70">
        <w:rPr>
          <w:lang w:val="fr-CH"/>
        </w:rPr>
        <w:t>L</w:t>
      </w:r>
      <w:r w:rsidR="004D3D70">
        <w:rPr>
          <w:lang w:val="fr-CH"/>
        </w:rPr>
        <w:t>’</w:t>
      </w:r>
      <w:r w:rsidR="00A824AF" w:rsidRPr="004D3D70">
        <w:rPr>
          <w:lang w:val="fr-CH"/>
        </w:rPr>
        <w:t xml:space="preserve">UPOV </w:t>
      </w:r>
      <w:r w:rsidRPr="004D3D70">
        <w:rPr>
          <w:lang w:val="fr-CH"/>
        </w:rPr>
        <w:t>enregistre un actif</w:t>
      </w:r>
      <w:r w:rsidR="00A824AF" w:rsidRPr="004D3D70">
        <w:rPr>
          <w:lang w:val="fr-CH"/>
        </w:rPr>
        <w:t xml:space="preserve"> net </w:t>
      </w:r>
      <w:r w:rsidRPr="004D3D70">
        <w:rPr>
          <w:lang w:val="fr-CH"/>
        </w:rPr>
        <w:t>de</w:t>
      </w:r>
      <w:r w:rsidR="00A824AF" w:rsidRPr="004D3D70">
        <w:rPr>
          <w:lang w:val="fr-CH"/>
        </w:rPr>
        <w:t xml:space="preserve"> </w:t>
      </w:r>
      <w:r w:rsidR="00CC0DE7" w:rsidRPr="004D3D70">
        <w:rPr>
          <w:lang w:val="fr-CH"/>
        </w:rPr>
        <w:t>629</w:t>
      </w:r>
      <w:r w:rsidRPr="004D3D70">
        <w:rPr>
          <w:lang w:val="fr-CH"/>
        </w:rPr>
        <w:t> </w:t>
      </w:r>
      <w:r w:rsidR="00CC0DE7" w:rsidRPr="004D3D70">
        <w:rPr>
          <w:lang w:val="fr-CH"/>
        </w:rPr>
        <w:t>83</w:t>
      </w:r>
      <w:r w:rsidR="004D3D70" w:rsidRPr="004D3D70">
        <w:rPr>
          <w:lang w:val="fr-CH"/>
        </w:rPr>
        <w:t>0</w:t>
      </w:r>
      <w:r w:rsidR="004D3D70">
        <w:rPr>
          <w:lang w:val="fr-CH"/>
        </w:rPr>
        <w:t> </w:t>
      </w:r>
      <w:r w:rsidR="004D3D70" w:rsidRPr="004D3D70">
        <w:rPr>
          <w:lang w:val="fr-CH"/>
        </w:rPr>
        <w:t>franc</w:t>
      </w:r>
      <w:r w:rsidR="00A824AF" w:rsidRPr="004D3D70">
        <w:rPr>
          <w:lang w:val="fr-CH"/>
        </w:rPr>
        <w:t xml:space="preserve">s </w:t>
      </w:r>
      <w:r w:rsidRPr="004D3D70">
        <w:rPr>
          <w:lang w:val="fr-CH"/>
        </w:rPr>
        <w:t>suisses au</w:t>
      </w:r>
      <w:r w:rsidR="00A824AF" w:rsidRPr="004D3D70">
        <w:rPr>
          <w:lang w:val="fr-CH"/>
        </w:rPr>
        <w:t xml:space="preserve"> </w:t>
      </w:r>
      <w:r w:rsidRPr="004D3D70">
        <w:rPr>
          <w:lang w:val="fr-CH"/>
        </w:rPr>
        <w:t>31 décembre </w:t>
      </w:r>
      <w:r w:rsidR="00CC0DE7" w:rsidRPr="004D3D70">
        <w:rPr>
          <w:lang w:val="fr-CH"/>
        </w:rPr>
        <w:t>2017</w:t>
      </w:r>
      <w:r w:rsidR="00A824AF" w:rsidRPr="004D3D70">
        <w:rPr>
          <w:lang w:val="fr-CH"/>
        </w:rPr>
        <w:t xml:space="preserve">, </w:t>
      </w:r>
      <w:r w:rsidRPr="004D3D70">
        <w:rPr>
          <w:lang w:val="fr-CH"/>
        </w:rPr>
        <w:t>contre un montant retraité de</w:t>
      </w:r>
      <w:r w:rsidR="006B602F" w:rsidRPr="004D3D70">
        <w:rPr>
          <w:lang w:val="fr-CH"/>
        </w:rPr>
        <w:t xml:space="preserve"> </w:t>
      </w:r>
      <w:r w:rsidRPr="004D3D70">
        <w:rPr>
          <w:lang w:val="fr-CH"/>
        </w:rPr>
        <w:t>745 </w:t>
      </w:r>
      <w:r w:rsidR="00666306" w:rsidRPr="004D3D70">
        <w:rPr>
          <w:lang w:val="fr-CH"/>
        </w:rPr>
        <w:t>77</w:t>
      </w:r>
      <w:r w:rsidR="004D3D70" w:rsidRPr="004D3D70">
        <w:rPr>
          <w:lang w:val="fr-CH"/>
        </w:rPr>
        <w:t>5</w:t>
      </w:r>
      <w:r w:rsidR="004D3D70">
        <w:rPr>
          <w:lang w:val="fr-CH"/>
        </w:rPr>
        <w:t> </w:t>
      </w:r>
      <w:r w:rsidR="004D3D70" w:rsidRPr="004D3D70">
        <w:rPr>
          <w:lang w:val="fr-CH"/>
        </w:rPr>
        <w:t>franc</w:t>
      </w:r>
      <w:r w:rsidR="00666306" w:rsidRPr="004D3D70">
        <w:rPr>
          <w:lang w:val="fr-CH"/>
        </w:rPr>
        <w:t xml:space="preserve">s </w:t>
      </w:r>
      <w:r w:rsidRPr="004D3D70">
        <w:rPr>
          <w:lang w:val="fr-CH"/>
        </w:rPr>
        <w:t xml:space="preserve">suisses à la fin </w:t>
      </w:r>
      <w:r w:rsidR="004D3D70" w:rsidRPr="004D3D70">
        <w:rPr>
          <w:lang w:val="fr-CH"/>
        </w:rPr>
        <w:t>de</w:t>
      </w:r>
      <w:r w:rsidR="004D3D70">
        <w:rPr>
          <w:lang w:val="fr-CH"/>
        </w:rPr>
        <w:t> </w:t>
      </w:r>
      <w:r w:rsidR="004D3D70" w:rsidRPr="004D3D70">
        <w:rPr>
          <w:lang w:val="fr-CH"/>
        </w:rPr>
        <w:t>2016</w:t>
      </w:r>
      <w:r w:rsidR="00A824AF" w:rsidRPr="004D3D70">
        <w:rPr>
          <w:lang w:val="fr-CH"/>
        </w:rPr>
        <w:t>.</w:t>
      </w:r>
      <w:r w:rsidRPr="004D3D70">
        <w:rPr>
          <w:lang w:val="fr-CH"/>
        </w:rPr>
        <w:t xml:space="preserve"> </w:t>
      </w:r>
      <w:r w:rsidR="00A824AF" w:rsidRPr="004D3D70">
        <w:rPr>
          <w:lang w:val="fr-CH"/>
        </w:rPr>
        <w:t xml:space="preserve"> </w:t>
      </w:r>
      <w:r w:rsidR="00D70565" w:rsidRPr="004D3D70">
        <w:rPr>
          <w:lang w:val="fr-CH"/>
        </w:rPr>
        <w:t>La situation financière de l</w:t>
      </w:r>
      <w:r w:rsidR="004D3D70">
        <w:rPr>
          <w:lang w:val="fr-CH"/>
        </w:rPr>
        <w:t>’</w:t>
      </w:r>
      <w:r w:rsidR="00D70565" w:rsidRPr="004D3D70">
        <w:rPr>
          <w:lang w:val="fr-CH"/>
        </w:rPr>
        <w:t>UPOV par secteur peut être récapitulée comme suit</w:t>
      </w:r>
      <w:r w:rsidR="004D3D70">
        <w:rPr>
          <w:lang w:val="fr-CH"/>
        </w:rPr>
        <w:t> :</w:t>
      </w:r>
    </w:p>
    <w:p w:rsidR="00905890" w:rsidRPr="006A3B1C" w:rsidRDefault="00905890" w:rsidP="00A824AF">
      <w:pPr>
        <w:autoSpaceDE w:val="0"/>
        <w:autoSpaceDN w:val="0"/>
        <w:adjustRightInd w:val="0"/>
        <w:rPr>
          <w:b/>
          <w:i/>
          <w:sz w:val="16"/>
          <w:lang w:val="fr-CH"/>
        </w:rPr>
      </w:pPr>
    </w:p>
    <w:p w:rsidR="00905890" w:rsidRPr="004D3D70" w:rsidRDefault="00D70565" w:rsidP="00D70565">
      <w:pPr>
        <w:autoSpaceDE w:val="0"/>
        <w:autoSpaceDN w:val="0"/>
        <w:adjustRightInd w:val="0"/>
        <w:rPr>
          <w:b/>
          <w:i/>
          <w:lang w:val="fr-CH"/>
        </w:rPr>
      </w:pPr>
      <w:r w:rsidRPr="004D3D70">
        <w:rPr>
          <w:b/>
          <w:i/>
          <w:lang w:val="fr-CH"/>
        </w:rPr>
        <w:t>Tableau</w:t>
      </w:r>
      <w:r w:rsidR="00AC2A6B">
        <w:rPr>
          <w:b/>
          <w:i/>
          <w:lang w:val="fr-CH"/>
        </w:rPr>
        <w:t> </w:t>
      </w:r>
      <w:r w:rsidRPr="004D3D70">
        <w:rPr>
          <w:b/>
          <w:i/>
          <w:lang w:val="fr-CH"/>
        </w:rPr>
        <w:t>2.  Récapitulatif de la situation financière par secteur</w:t>
      </w:r>
    </w:p>
    <w:p w:rsidR="00905890" w:rsidRPr="006A3B1C" w:rsidRDefault="00905890" w:rsidP="00A824AF">
      <w:pPr>
        <w:autoSpaceDE w:val="0"/>
        <w:autoSpaceDN w:val="0"/>
        <w:adjustRightInd w:val="0"/>
        <w:rPr>
          <w:b/>
          <w:i/>
          <w:sz w:val="16"/>
          <w:lang w:val="fr-CH"/>
        </w:rPr>
      </w:pPr>
    </w:p>
    <w:p w:rsidR="00905890" w:rsidRPr="004D3D70" w:rsidRDefault="00FF696C" w:rsidP="00E56CBA">
      <w:pPr>
        <w:autoSpaceDE w:val="0"/>
        <w:autoSpaceDN w:val="0"/>
        <w:adjustRightInd w:val="0"/>
        <w:jc w:val="center"/>
        <w:rPr>
          <w:b/>
          <w:i/>
          <w:lang w:val="fr-CH"/>
        </w:rPr>
      </w:pPr>
      <w:r w:rsidRPr="00FF696C">
        <w:rPr>
          <w:noProof/>
          <w:lang w:val="en-US"/>
        </w:rPr>
        <w:drawing>
          <wp:inline distT="0" distB="0" distL="0" distR="0" wp14:anchorId="305A9A74" wp14:editId="1EE41F85">
            <wp:extent cx="6120765" cy="13601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360170"/>
                    </a:xfrm>
                    <a:prstGeom prst="rect">
                      <a:avLst/>
                    </a:prstGeom>
                    <a:noFill/>
                    <a:ln>
                      <a:noFill/>
                    </a:ln>
                  </pic:spPr>
                </pic:pic>
              </a:graphicData>
            </a:graphic>
          </wp:inline>
        </w:drawing>
      </w:r>
    </w:p>
    <w:p w:rsidR="00905890" w:rsidRDefault="00905890" w:rsidP="00A824AF">
      <w:pPr>
        <w:rPr>
          <w:sz w:val="16"/>
          <w:lang w:val="fr-CH"/>
        </w:rPr>
      </w:pPr>
    </w:p>
    <w:p w:rsidR="000A441A" w:rsidRPr="006A3B1C" w:rsidRDefault="000A441A" w:rsidP="00A824AF">
      <w:pPr>
        <w:rPr>
          <w:sz w:val="16"/>
          <w:lang w:val="fr-CH"/>
        </w:rPr>
      </w:pPr>
    </w:p>
    <w:p w:rsidR="00905890" w:rsidRPr="004D3D70" w:rsidRDefault="00D70565" w:rsidP="00D70565">
      <w:pPr>
        <w:numPr>
          <w:ilvl w:val="0"/>
          <w:numId w:val="18"/>
        </w:numPr>
        <w:rPr>
          <w:lang w:val="fr-CH"/>
        </w:rPr>
      </w:pPr>
      <w:r w:rsidRPr="004D3D70">
        <w:rPr>
          <w:lang w:val="fr-CH"/>
        </w:rPr>
        <w:t>Le fonds de roulement net (actifs courants moins passifs courants) de l</w:t>
      </w:r>
      <w:r w:rsidR="004D3D70">
        <w:rPr>
          <w:lang w:val="fr-CH"/>
        </w:rPr>
        <w:t>’</w:t>
      </w:r>
      <w:r w:rsidRPr="004D3D70">
        <w:rPr>
          <w:lang w:val="fr-CH"/>
        </w:rPr>
        <w:t>UPOV s</w:t>
      </w:r>
      <w:r w:rsidR="004D3D70">
        <w:rPr>
          <w:lang w:val="fr-CH"/>
        </w:rPr>
        <w:t>’</w:t>
      </w:r>
      <w:r w:rsidRPr="004D3D70">
        <w:rPr>
          <w:lang w:val="fr-CH"/>
        </w:rPr>
        <w:t>élève à 2</w:t>
      </w:r>
      <w:r w:rsidR="00AC2A6B">
        <w:rPr>
          <w:lang w:val="fr-CH"/>
        </w:rPr>
        <w:t> </w:t>
      </w:r>
      <w:r w:rsidRPr="004D3D70">
        <w:rPr>
          <w:lang w:val="fr-CH"/>
        </w:rPr>
        <w:t>885</w:t>
      </w:r>
      <w:r w:rsidR="00AC2A6B">
        <w:rPr>
          <w:lang w:val="fr-CH"/>
        </w:rPr>
        <w:t> </w:t>
      </w:r>
      <w:r w:rsidRPr="004D3D70">
        <w:rPr>
          <w:lang w:val="fr-CH"/>
        </w:rPr>
        <w:t>77</w:t>
      </w:r>
      <w:r w:rsidR="004D3D70" w:rsidRPr="004D3D70">
        <w:rPr>
          <w:lang w:val="fr-CH"/>
        </w:rPr>
        <w:t>5</w:t>
      </w:r>
      <w:r w:rsidR="004D3D70">
        <w:rPr>
          <w:lang w:val="fr-CH"/>
        </w:rPr>
        <w:t> </w:t>
      </w:r>
      <w:r w:rsidR="004D3D70" w:rsidRPr="004D3D70">
        <w:rPr>
          <w:lang w:val="fr-CH"/>
        </w:rPr>
        <w:t>franc</w:t>
      </w:r>
      <w:r w:rsidR="00874BE8">
        <w:rPr>
          <w:lang w:val="fr-CH"/>
        </w:rPr>
        <w:t>s </w:t>
      </w:r>
      <w:r w:rsidRPr="004D3D70">
        <w:rPr>
          <w:lang w:val="fr-CH"/>
        </w:rPr>
        <w:t>suisses au 3</w:t>
      </w:r>
      <w:r w:rsidR="004D3D70" w:rsidRPr="004D3D70">
        <w:rPr>
          <w:lang w:val="fr-CH"/>
        </w:rPr>
        <w:t>1</w:t>
      </w:r>
      <w:r w:rsidR="004D3D70">
        <w:rPr>
          <w:lang w:val="fr-CH"/>
        </w:rPr>
        <w:t> </w:t>
      </w:r>
      <w:r w:rsidR="004D3D70" w:rsidRPr="004D3D70">
        <w:rPr>
          <w:lang w:val="fr-CH"/>
        </w:rPr>
        <w:t>décembre</w:t>
      </w:r>
      <w:r w:rsidR="004D3D70">
        <w:rPr>
          <w:lang w:val="fr-CH"/>
        </w:rPr>
        <w:t> </w:t>
      </w:r>
      <w:r w:rsidR="004D3D70" w:rsidRPr="004D3D70">
        <w:rPr>
          <w:lang w:val="fr-CH"/>
        </w:rPr>
        <w:t>20</w:t>
      </w:r>
      <w:r w:rsidRPr="004D3D70">
        <w:rPr>
          <w:lang w:val="fr-CH"/>
        </w:rPr>
        <w:t>17 (2</w:t>
      </w:r>
      <w:r w:rsidR="00AC2A6B">
        <w:rPr>
          <w:lang w:val="fr-CH"/>
        </w:rPr>
        <w:t> </w:t>
      </w:r>
      <w:r w:rsidRPr="004D3D70">
        <w:rPr>
          <w:lang w:val="fr-CH"/>
        </w:rPr>
        <w:t>995</w:t>
      </w:r>
      <w:r w:rsidR="00AC2A6B">
        <w:rPr>
          <w:lang w:val="fr-CH"/>
        </w:rPr>
        <w:t> </w:t>
      </w:r>
      <w:r w:rsidRPr="004D3D70">
        <w:rPr>
          <w:lang w:val="fr-CH"/>
        </w:rPr>
        <w:t>22</w:t>
      </w:r>
      <w:r w:rsidR="004D3D70" w:rsidRPr="004D3D70">
        <w:rPr>
          <w:lang w:val="fr-CH"/>
        </w:rPr>
        <w:t>2</w:t>
      </w:r>
      <w:r w:rsidR="004D3D70">
        <w:rPr>
          <w:lang w:val="fr-CH"/>
        </w:rPr>
        <w:t> </w:t>
      </w:r>
      <w:r w:rsidR="004D3D70" w:rsidRPr="004D3D70">
        <w:rPr>
          <w:lang w:val="fr-CH"/>
        </w:rPr>
        <w:t>franc</w:t>
      </w:r>
      <w:r w:rsidRPr="004D3D70">
        <w:rPr>
          <w:lang w:val="fr-CH"/>
        </w:rPr>
        <w:t>s suisses au 3</w:t>
      </w:r>
      <w:r w:rsidR="004D3D70" w:rsidRPr="004D3D70">
        <w:rPr>
          <w:lang w:val="fr-CH"/>
        </w:rPr>
        <w:t>1</w:t>
      </w:r>
      <w:r w:rsidR="004D3D70">
        <w:rPr>
          <w:lang w:val="fr-CH"/>
        </w:rPr>
        <w:t> </w:t>
      </w:r>
      <w:r w:rsidR="004D3D70" w:rsidRPr="004D3D70">
        <w:rPr>
          <w:lang w:val="fr-CH"/>
        </w:rPr>
        <w:t>décembre</w:t>
      </w:r>
      <w:r w:rsidR="004D3D70">
        <w:rPr>
          <w:lang w:val="fr-CH"/>
        </w:rPr>
        <w:t> </w:t>
      </w:r>
      <w:r w:rsidR="004D3D70" w:rsidRPr="004D3D70">
        <w:rPr>
          <w:lang w:val="fr-CH"/>
        </w:rPr>
        <w:t>20</w:t>
      </w:r>
      <w:r w:rsidRPr="004D3D70">
        <w:rPr>
          <w:lang w:val="fr-CH"/>
        </w:rPr>
        <w:t>16).</w:t>
      </w:r>
      <w:r w:rsidR="00A824AF" w:rsidRPr="004D3D70">
        <w:rPr>
          <w:lang w:val="fr-CH"/>
        </w:rPr>
        <w:t xml:space="preserve"> </w:t>
      </w:r>
      <w:r w:rsidR="00AC2A6B">
        <w:rPr>
          <w:lang w:val="fr-CH"/>
        </w:rPr>
        <w:t xml:space="preserve"> </w:t>
      </w:r>
      <w:r w:rsidRPr="004D3D70">
        <w:rPr>
          <w:lang w:val="fr-CH"/>
        </w:rPr>
        <w:t>Les soldes de trésorerie et des équivalents de trésorerie ont enregistré une baisse, passant de 5</w:t>
      </w:r>
      <w:r w:rsidR="00AC2A6B">
        <w:rPr>
          <w:lang w:val="fr-CH"/>
        </w:rPr>
        <w:t> </w:t>
      </w:r>
      <w:r w:rsidRPr="004D3D70">
        <w:rPr>
          <w:lang w:val="fr-CH"/>
        </w:rPr>
        <w:t>275</w:t>
      </w:r>
      <w:r w:rsidR="00AC2A6B">
        <w:rPr>
          <w:lang w:val="fr-CH"/>
        </w:rPr>
        <w:t> </w:t>
      </w:r>
      <w:r w:rsidRPr="004D3D70">
        <w:rPr>
          <w:lang w:val="fr-CH"/>
        </w:rPr>
        <w:t>49</w:t>
      </w:r>
      <w:r w:rsidR="004D3D70" w:rsidRPr="004D3D70">
        <w:rPr>
          <w:lang w:val="fr-CH"/>
        </w:rPr>
        <w:t>6</w:t>
      </w:r>
      <w:r w:rsidR="004D3D70">
        <w:rPr>
          <w:lang w:val="fr-CH"/>
        </w:rPr>
        <w:t> </w:t>
      </w:r>
      <w:r w:rsidR="004D3D70" w:rsidRPr="004D3D70">
        <w:rPr>
          <w:lang w:val="fr-CH"/>
        </w:rPr>
        <w:t>franc</w:t>
      </w:r>
      <w:r w:rsidRPr="004D3D70">
        <w:rPr>
          <w:lang w:val="fr-CH"/>
        </w:rPr>
        <w:t>s suisses au 3</w:t>
      </w:r>
      <w:r w:rsidR="004D3D70" w:rsidRPr="004D3D70">
        <w:rPr>
          <w:lang w:val="fr-CH"/>
        </w:rPr>
        <w:t>1</w:t>
      </w:r>
      <w:r w:rsidR="004D3D70">
        <w:rPr>
          <w:lang w:val="fr-CH"/>
        </w:rPr>
        <w:t> </w:t>
      </w:r>
      <w:r w:rsidR="004D3D70" w:rsidRPr="004D3D70">
        <w:rPr>
          <w:lang w:val="fr-CH"/>
        </w:rPr>
        <w:t>décembre</w:t>
      </w:r>
      <w:r w:rsidR="004D3D70">
        <w:rPr>
          <w:lang w:val="fr-CH"/>
        </w:rPr>
        <w:t> </w:t>
      </w:r>
      <w:r w:rsidR="004D3D70" w:rsidRPr="004D3D70">
        <w:rPr>
          <w:lang w:val="fr-CH"/>
        </w:rPr>
        <w:t>20</w:t>
      </w:r>
      <w:r w:rsidRPr="004D3D70">
        <w:rPr>
          <w:lang w:val="fr-CH"/>
        </w:rPr>
        <w:t>16 à 4</w:t>
      </w:r>
      <w:r w:rsidR="00AC2A6B">
        <w:rPr>
          <w:lang w:val="fr-CH"/>
        </w:rPr>
        <w:t> </w:t>
      </w:r>
      <w:r w:rsidRPr="004D3D70">
        <w:rPr>
          <w:lang w:val="fr-CH"/>
        </w:rPr>
        <w:t>115</w:t>
      </w:r>
      <w:r w:rsidR="00AC2A6B">
        <w:rPr>
          <w:lang w:val="fr-CH"/>
        </w:rPr>
        <w:t> </w:t>
      </w:r>
      <w:r w:rsidRPr="004D3D70">
        <w:rPr>
          <w:lang w:val="fr-CH"/>
        </w:rPr>
        <w:t>18</w:t>
      </w:r>
      <w:r w:rsidR="004D3D70" w:rsidRPr="004D3D70">
        <w:rPr>
          <w:lang w:val="fr-CH"/>
        </w:rPr>
        <w:t>6</w:t>
      </w:r>
      <w:r w:rsidR="004D3D70">
        <w:rPr>
          <w:lang w:val="fr-CH"/>
        </w:rPr>
        <w:t> </w:t>
      </w:r>
      <w:r w:rsidR="004D3D70" w:rsidRPr="004D3D70">
        <w:rPr>
          <w:lang w:val="fr-CH"/>
        </w:rPr>
        <w:t>franc</w:t>
      </w:r>
      <w:r w:rsidRPr="004D3D70">
        <w:rPr>
          <w:lang w:val="fr-CH"/>
        </w:rPr>
        <w:t>s suisses au 3</w:t>
      </w:r>
      <w:r w:rsidR="004D3D70" w:rsidRPr="004D3D70">
        <w:rPr>
          <w:lang w:val="fr-CH"/>
        </w:rPr>
        <w:t>1</w:t>
      </w:r>
      <w:r w:rsidR="004D3D70">
        <w:rPr>
          <w:lang w:val="fr-CH"/>
        </w:rPr>
        <w:t> </w:t>
      </w:r>
      <w:r w:rsidR="004D3D70" w:rsidRPr="004D3D70">
        <w:rPr>
          <w:lang w:val="fr-CH"/>
        </w:rPr>
        <w:t>décembre</w:t>
      </w:r>
      <w:r w:rsidR="004D3D70">
        <w:rPr>
          <w:lang w:val="fr-CH"/>
        </w:rPr>
        <w:t> </w:t>
      </w:r>
      <w:r w:rsidR="004D3D70" w:rsidRPr="004D3D70">
        <w:rPr>
          <w:lang w:val="fr-CH"/>
        </w:rPr>
        <w:t>20</w:t>
      </w:r>
      <w:r w:rsidRPr="004D3D70">
        <w:rPr>
          <w:lang w:val="fr-CH"/>
        </w:rPr>
        <w:t>17.</w:t>
      </w:r>
    </w:p>
    <w:p w:rsidR="00905890" w:rsidRPr="006A3B1C" w:rsidRDefault="00905890" w:rsidP="00A824AF">
      <w:pPr>
        <w:ind w:left="550"/>
        <w:rPr>
          <w:sz w:val="14"/>
          <w:lang w:val="fr-CH"/>
        </w:rPr>
      </w:pPr>
    </w:p>
    <w:p w:rsidR="00905890" w:rsidRPr="004D3D70" w:rsidRDefault="004159C8" w:rsidP="00CF4805">
      <w:pPr>
        <w:numPr>
          <w:ilvl w:val="0"/>
          <w:numId w:val="18"/>
        </w:numPr>
        <w:rPr>
          <w:lang w:val="fr-CH"/>
        </w:rPr>
      </w:pPr>
      <w:r w:rsidRPr="004D3D70">
        <w:rPr>
          <w:lang w:val="fr-CH"/>
        </w:rPr>
        <w:t>Le montant total des sommes à recevoir au</w:t>
      </w:r>
      <w:r w:rsidR="00290F9D" w:rsidRPr="004D3D70">
        <w:rPr>
          <w:lang w:val="fr-CH"/>
        </w:rPr>
        <w:t xml:space="preserve"> 31</w:t>
      </w:r>
      <w:r w:rsidRPr="004D3D70">
        <w:rPr>
          <w:lang w:val="fr-CH"/>
        </w:rPr>
        <w:t> décembre </w:t>
      </w:r>
      <w:r w:rsidR="00290F9D" w:rsidRPr="004D3D70">
        <w:rPr>
          <w:lang w:val="fr-CH"/>
        </w:rPr>
        <w:t>2017</w:t>
      </w:r>
      <w:r w:rsidRPr="004D3D70">
        <w:rPr>
          <w:lang w:val="fr-CH"/>
        </w:rPr>
        <w:t xml:space="preserve"> s</w:t>
      </w:r>
      <w:r w:rsidR="004D3D70">
        <w:rPr>
          <w:lang w:val="fr-CH"/>
        </w:rPr>
        <w:t>’</w:t>
      </w:r>
      <w:r w:rsidRPr="004D3D70">
        <w:rPr>
          <w:lang w:val="fr-CH"/>
        </w:rPr>
        <w:t>élevait à</w:t>
      </w:r>
      <w:r w:rsidR="00CF4805" w:rsidRPr="004D3D70">
        <w:rPr>
          <w:lang w:val="fr-CH"/>
        </w:rPr>
        <w:t xml:space="preserve"> 86</w:t>
      </w:r>
      <w:r w:rsidRPr="004D3D70">
        <w:rPr>
          <w:lang w:val="fr-CH"/>
        </w:rPr>
        <w:t> </w:t>
      </w:r>
      <w:r w:rsidR="00CF4805" w:rsidRPr="004D3D70">
        <w:rPr>
          <w:lang w:val="fr-CH"/>
        </w:rPr>
        <w:t>19</w:t>
      </w:r>
      <w:r w:rsidR="004D3D70" w:rsidRPr="004D3D70">
        <w:rPr>
          <w:lang w:val="fr-CH"/>
        </w:rPr>
        <w:t>6</w:t>
      </w:r>
      <w:r w:rsidR="004D3D70">
        <w:rPr>
          <w:lang w:val="fr-CH"/>
        </w:rPr>
        <w:t> </w:t>
      </w:r>
      <w:r w:rsidR="004D3D70" w:rsidRPr="004D3D70">
        <w:rPr>
          <w:lang w:val="fr-CH"/>
        </w:rPr>
        <w:t>franc</w:t>
      </w:r>
      <w:r w:rsidR="00A824AF" w:rsidRPr="004D3D70">
        <w:rPr>
          <w:lang w:val="fr-CH"/>
        </w:rPr>
        <w:t>s</w:t>
      </w:r>
      <w:r w:rsidRPr="004D3D70">
        <w:rPr>
          <w:lang w:val="fr-CH"/>
        </w:rPr>
        <w:t> suisses</w:t>
      </w:r>
      <w:r w:rsidR="00A824AF" w:rsidRPr="004D3D70">
        <w:rPr>
          <w:lang w:val="fr-CH"/>
        </w:rPr>
        <w:t xml:space="preserve">, </w:t>
      </w:r>
      <w:r w:rsidRPr="004D3D70">
        <w:rPr>
          <w:lang w:val="fr-CH"/>
        </w:rPr>
        <w:t>contre</w:t>
      </w:r>
      <w:r w:rsidR="00A824AF" w:rsidRPr="004D3D70">
        <w:rPr>
          <w:lang w:val="fr-CH"/>
        </w:rPr>
        <w:t xml:space="preserve"> </w:t>
      </w:r>
      <w:r w:rsidRPr="004D3D70">
        <w:rPr>
          <w:lang w:val="fr-CH"/>
        </w:rPr>
        <w:t>130 </w:t>
      </w:r>
      <w:r w:rsidR="00CF4805" w:rsidRPr="004D3D70">
        <w:rPr>
          <w:lang w:val="fr-CH"/>
        </w:rPr>
        <w:t>31</w:t>
      </w:r>
      <w:r w:rsidR="004D3D70" w:rsidRPr="004D3D70">
        <w:rPr>
          <w:lang w:val="fr-CH"/>
        </w:rPr>
        <w:t>7</w:t>
      </w:r>
      <w:r w:rsidR="004D3D70">
        <w:rPr>
          <w:lang w:val="fr-CH"/>
        </w:rPr>
        <w:t> </w:t>
      </w:r>
      <w:r w:rsidR="004D3D70" w:rsidRPr="004D3D70">
        <w:rPr>
          <w:lang w:val="fr-CH"/>
        </w:rPr>
        <w:t>franc</w:t>
      </w:r>
      <w:r w:rsidR="00666306" w:rsidRPr="004D3D70">
        <w:rPr>
          <w:lang w:val="fr-CH"/>
        </w:rPr>
        <w:t>s</w:t>
      </w:r>
      <w:r w:rsidR="00CF4805" w:rsidRPr="004D3D70">
        <w:rPr>
          <w:lang w:val="fr-CH"/>
        </w:rPr>
        <w:t xml:space="preserve"> </w:t>
      </w:r>
      <w:r w:rsidRPr="004D3D70">
        <w:rPr>
          <w:lang w:val="fr-CH"/>
        </w:rPr>
        <w:t xml:space="preserve">suisses au </w:t>
      </w:r>
      <w:r w:rsidR="00CF4805" w:rsidRPr="004D3D70">
        <w:rPr>
          <w:lang w:val="fr-CH"/>
        </w:rPr>
        <w:t>31</w:t>
      </w:r>
      <w:r w:rsidRPr="004D3D70">
        <w:rPr>
          <w:lang w:val="fr-CH"/>
        </w:rPr>
        <w:t> décembre </w:t>
      </w:r>
      <w:r w:rsidR="00CF4805" w:rsidRPr="004D3D70">
        <w:rPr>
          <w:lang w:val="fr-CH"/>
        </w:rPr>
        <w:t>2016</w:t>
      </w:r>
      <w:r w:rsidR="00A824AF" w:rsidRPr="004D3D70">
        <w:rPr>
          <w:lang w:val="fr-CH"/>
        </w:rPr>
        <w:t xml:space="preserve">. </w:t>
      </w:r>
      <w:r w:rsidRPr="004D3D70">
        <w:rPr>
          <w:lang w:val="fr-CH"/>
        </w:rPr>
        <w:t xml:space="preserve"> Le solde du montant total à recevoir à la fin </w:t>
      </w:r>
      <w:r w:rsidR="004D3D70" w:rsidRPr="004D3D70">
        <w:rPr>
          <w:lang w:val="fr-CH"/>
        </w:rPr>
        <w:t>de</w:t>
      </w:r>
      <w:r w:rsidR="004D3D70">
        <w:rPr>
          <w:lang w:val="fr-CH"/>
        </w:rPr>
        <w:t> </w:t>
      </w:r>
      <w:r w:rsidR="004D3D70" w:rsidRPr="004D3D70">
        <w:rPr>
          <w:lang w:val="fr-CH"/>
        </w:rPr>
        <w:t>2017</w:t>
      </w:r>
      <w:r w:rsidR="00A824AF" w:rsidRPr="004D3D70">
        <w:rPr>
          <w:lang w:val="fr-CH"/>
        </w:rPr>
        <w:t xml:space="preserve"> </w:t>
      </w:r>
      <w:r w:rsidRPr="004D3D70">
        <w:rPr>
          <w:lang w:val="fr-CH"/>
        </w:rPr>
        <w:t>comprend des</w:t>
      </w:r>
      <w:r w:rsidR="00A824AF" w:rsidRPr="004D3D70">
        <w:rPr>
          <w:lang w:val="fr-CH"/>
        </w:rPr>
        <w:t xml:space="preserve"> contri</w:t>
      </w:r>
      <w:r w:rsidR="00CF4805" w:rsidRPr="004D3D70">
        <w:rPr>
          <w:lang w:val="fr-CH"/>
        </w:rPr>
        <w:t xml:space="preserve">butions </w:t>
      </w:r>
      <w:r w:rsidRPr="004D3D70">
        <w:rPr>
          <w:lang w:val="fr-CH"/>
        </w:rPr>
        <w:t>à hauteur de 68 </w:t>
      </w:r>
      <w:r w:rsidR="00CF4805" w:rsidRPr="004D3D70">
        <w:rPr>
          <w:lang w:val="fr-CH"/>
        </w:rPr>
        <w:t>86</w:t>
      </w:r>
      <w:r w:rsidR="004D3D70" w:rsidRPr="004D3D70">
        <w:rPr>
          <w:lang w:val="fr-CH"/>
        </w:rPr>
        <w:t>6</w:t>
      </w:r>
      <w:r w:rsidR="004D3D70">
        <w:rPr>
          <w:lang w:val="fr-CH"/>
        </w:rPr>
        <w:t> </w:t>
      </w:r>
      <w:r w:rsidR="004D3D70" w:rsidRPr="004D3D70">
        <w:rPr>
          <w:lang w:val="fr-CH"/>
        </w:rPr>
        <w:t>franc</w:t>
      </w:r>
      <w:r w:rsidR="00CF4805" w:rsidRPr="004D3D70">
        <w:rPr>
          <w:lang w:val="fr-CH"/>
        </w:rPr>
        <w:t>s</w:t>
      </w:r>
      <w:r w:rsidRPr="004D3D70">
        <w:rPr>
          <w:lang w:val="fr-CH"/>
        </w:rPr>
        <w:t> suisses et des avances sur des allocations d</w:t>
      </w:r>
      <w:r w:rsidR="004D3D70">
        <w:rPr>
          <w:lang w:val="fr-CH"/>
        </w:rPr>
        <w:t>’</w:t>
      </w:r>
      <w:r w:rsidRPr="004D3D70">
        <w:rPr>
          <w:lang w:val="fr-CH"/>
        </w:rPr>
        <w:t>étude d</w:t>
      </w:r>
      <w:r w:rsidR="004D3D70">
        <w:rPr>
          <w:lang w:val="fr-CH"/>
        </w:rPr>
        <w:t>’</w:t>
      </w:r>
      <w:r w:rsidRPr="004D3D70">
        <w:rPr>
          <w:lang w:val="fr-CH"/>
        </w:rPr>
        <w:t>un montant de 17 </w:t>
      </w:r>
      <w:r w:rsidR="00CF4805" w:rsidRPr="004D3D70">
        <w:rPr>
          <w:lang w:val="fr-CH"/>
        </w:rPr>
        <w:t>330</w:t>
      </w:r>
      <w:r w:rsidRPr="004D3D70">
        <w:rPr>
          <w:lang w:val="fr-CH"/>
        </w:rPr>
        <w:t> </w:t>
      </w:r>
      <w:r w:rsidR="00A824AF" w:rsidRPr="004D3D70">
        <w:rPr>
          <w:lang w:val="fr-CH"/>
        </w:rPr>
        <w:t>francs</w:t>
      </w:r>
      <w:r w:rsidRPr="004D3D70">
        <w:rPr>
          <w:lang w:val="fr-CH"/>
        </w:rPr>
        <w:t> suisses</w:t>
      </w:r>
      <w:r w:rsidR="00A824AF" w:rsidRPr="004D3D70">
        <w:rPr>
          <w:lang w:val="fr-CH"/>
        </w:rPr>
        <w:t>.</w:t>
      </w:r>
    </w:p>
    <w:p w:rsidR="00905890" w:rsidRPr="006A3B1C" w:rsidRDefault="00905890" w:rsidP="00191695">
      <w:pPr>
        <w:ind w:left="567"/>
        <w:rPr>
          <w:sz w:val="14"/>
          <w:lang w:val="fr-CH"/>
        </w:rPr>
      </w:pPr>
    </w:p>
    <w:p w:rsidR="00905890" w:rsidRPr="006A3B1C" w:rsidRDefault="004159C8" w:rsidP="00DA2969">
      <w:pPr>
        <w:pStyle w:val="ListParagraph"/>
        <w:numPr>
          <w:ilvl w:val="0"/>
          <w:numId w:val="18"/>
        </w:numPr>
        <w:jc w:val="both"/>
        <w:rPr>
          <w:rFonts w:cs="Times New Roman"/>
          <w:spacing w:val="-2"/>
          <w:sz w:val="20"/>
          <w:lang w:val="fr-CH"/>
        </w:rPr>
      </w:pPr>
      <w:r w:rsidRPr="006A3B1C">
        <w:rPr>
          <w:spacing w:val="-2"/>
          <w:sz w:val="20"/>
          <w:lang w:val="fr-CH"/>
        </w:rPr>
        <w:t>Le passif total afférent aux prestations au personnel s</w:t>
      </w:r>
      <w:r w:rsidR="004D3D70" w:rsidRPr="006A3B1C">
        <w:rPr>
          <w:spacing w:val="-2"/>
          <w:sz w:val="20"/>
          <w:lang w:val="fr-CH"/>
        </w:rPr>
        <w:t>’</w:t>
      </w:r>
      <w:r w:rsidRPr="006A3B1C">
        <w:rPr>
          <w:spacing w:val="-2"/>
          <w:sz w:val="20"/>
          <w:lang w:val="fr-CH"/>
        </w:rPr>
        <w:t xml:space="preserve">élève à </w:t>
      </w:r>
      <w:r w:rsidR="00CF4805" w:rsidRPr="006A3B1C">
        <w:rPr>
          <w:spacing w:val="-2"/>
          <w:sz w:val="20"/>
          <w:lang w:val="fr-CH"/>
        </w:rPr>
        <w:t>2</w:t>
      </w:r>
      <w:r w:rsidRPr="006A3B1C">
        <w:rPr>
          <w:spacing w:val="-2"/>
          <w:sz w:val="20"/>
          <w:lang w:val="fr-CH"/>
        </w:rPr>
        <w:t> 456 </w:t>
      </w:r>
      <w:r w:rsidR="00201EB6" w:rsidRPr="006A3B1C">
        <w:rPr>
          <w:spacing w:val="-2"/>
          <w:sz w:val="20"/>
          <w:lang w:val="fr-CH"/>
        </w:rPr>
        <w:t>705</w:t>
      </w:r>
      <w:r w:rsidRPr="006A3B1C">
        <w:rPr>
          <w:spacing w:val="-2"/>
          <w:sz w:val="20"/>
          <w:lang w:val="fr-CH"/>
        </w:rPr>
        <w:t> </w:t>
      </w:r>
      <w:r w:rsidR="00874BE8">
        <w:rPr>
          <w:spacing w:val="-2"/>
          <w:sz w:val="20"/>
          <w:lang w:val="fr-CH"/>
        </w:rPr>
        <w:t>francs </w:t>
      </w:r>
      <w:r w:rsidRPr="006A3B1C">
        <w:rPr>
          <w:spacing w:val="-2"/>
          <w:sz w:val="20"/>
          <w:lang w:val="fr-CH"/>
        </w:rPr>
        <w:t>suisses au</w:t>
      </w:r>
      <w:r w:rsidR="00874BE8">
        <w:rPr>
          <w:spacing w:val="-2"/>
          <w:sz w:val="20"/>
          <w:lang w:val="fr-CH"/>
        </w:rPr>
        <w:t xml:space="preserve"> </w:t>
      </w:r>
      <w:r w:rsidR="00A824AF" w:rsidRPr="006A3B1C">
        <w:rPr>
          <w:spacing w:val="-2"/>
          <w:sz w:val="20"/>
          <w:lang w:val="fr-CH"/>
        </w:rPr>
        <w:t>3</w:t>
      </w:r>
      <w:r w:rsidRPr="006A3B1C">
        <w:rPr>
          <w:spacing w:val="-2"/>
          <w:sz w:val="20"/>
          <w:lang w:val="fr-CH"/>
        </w:rPr>
        <w:t>1 décembre </w:t>
      </w:r>
      <w:r w:rsidR="00201EB6" w:rsidRPr="006A3B1C">
        <w:rPr>
          <w:spacing w:val="-2"/>
          <w:sz w:val="20"/>
          <w:lang w:val="fr-CH"/>
        </w:rPr>
        <w:t>2017</w:t>
      </w:r>
      <w:r w:rsidR="00A824AF" w:rsidRPr="006A3B1C">
        <w:rPr>
          <w:spacing w:val="-2"/>
          <w:sz w:val="20"/>
          <w:lang w:val="fr-CH"/>
        </w:rPr>
        <w:t>, co</w:t>
      </w:r>
      <w:r w:rsidRPr="006A3B1C">
        <w:rPr>
          <w:spacing w:val="-2"/>
          <w:sz w:val="20"/>
          <w:lang w:val="fr-CH"/>
        </w:rPr>
        <w:t>ntre</w:t>
      </w:r>
      <w:r w:rsidR="00A824AF" w:rsidRPr="006A3B1C">
        <w:rPr>
          <w:spacing w:val="-2"/>
          <w:sz w:val="20"/>
          <w:lang w:val="fr-CH"/>
        </w:rPr>
        <w:t xml:space="preserve"> </w:t>
      </w:r>
      <w:r w:rsidRPr="006A3B1C">
        <w:rPr>
          <w:spacing w:val="-2"/>
          <w:sz w:val="20"/>
          <w:lang w:val="fr-CH"/>
        </w:rPr>
        <w:t>2 479 </w:t>
      </w:r>
      <w:r w:rsidR="00201EB6" w:rsidRPr="006A3B1C">
        <w:rPr>
          <w:spacing w:val="-2"/>
          <w:sz w:val="20"/>
          <w:lang w:val="fr-CH"/>
        </w:rPr>
        <w:t>59</w:t>
      </w:r>
      <w:r w:rsidR="004D3D70" w:rsidRPr="006A3B1C">
        <w:rPr>
          <w:spacing w:val="-2"/>
          <w:sz w:val="20"/>
          <w:lang w:val="fr-CH"/>
        </w:rPr>
        <w:t>5 franc</w:t>
      </w:r>
      <w:r w:rsidR="00A824AF" w:rsidRPr="006A3B1C">
        <w:rPr>
          <w:spacing w:val="-2"/>
          <w:sz w:val="20"/>
          <w:lang w:val="fr-CH"/>
        </w:rPr>
        <w:t xml:space="preserve">s </w:t>
      </w:r>
      <w:r w:rsidRPr="006A3B1C">
        <w:rPr>
          <w:spacing w:val="-2"/>
          <w:sz w:val="20"/>
          <w:lang w:val="fr-CH"/>
        </w:rPr>
        <w:t>suisses au 31 décembre </w:t>
      </w:r>
      <w:r w:rsidR="00201EB6" w:rsidRPr="006A3B1C">
        <w:rPr>
          <w:spacing w:val="-2"/>
          <w:sz w:val="20"/>
          <w:lang w:val="fr-CH"/>
        </w:rPr>
        <w:t>2016</w:t>
      </w:r>
      <w:r w:rsidR="00700927" w:rsidRPr="006A3B1C">
        <w:rPr>
          <w:spacing w:val="-2"/>
          <w:sz w:val="20"/>
          <w:lang w:val="fr-CH"/>
        </w:rPr>
        <w:t>,</w:t>
      </w:r>
      <w:r w:rsidR="00201EB6" w:rsidRPr="006A3B1C">
        <w:rPr>
          <w:spacing w:val="-2"/>
          <w:sz w:val="20"/>
          <w:lang w:val="fr-CH"/>
        </w:rPr>
        <w:t xml:space="preserve"> </w:t>
      </w:r>
      <w:r w:rsidRPr="006A3B1C">
        <w:rPr>
          <w:spacing w:val="-2"/>
          <w:sz w:val="20"/>
          <w:lang w:val="fr-CH"/>
        </w:rPr>
        <w:t>après retraitement</w:t>
      </w:r>
      <w:r w:rsidR="00201EB6" w:rsidRPr="006A3B1C">
        <w:rPr>
          <w:spacing w:val="-2"/>
          <w:sz w:val="20"/>
          <w:lang w:val="fr-CH"/>
        </w:rPr>
        <w:t xml:space="preserve"> (</w:t>
      </w:r>
      <w:r w:rsidR="002F24E1" w:rsidRPr="006A3B1C">
        <w:rPr>
          <w:spacing w:val="-2"/>
          <w:sz w:val="20"/>
          <w:lang w:val="fr-CH"/>
        </w:rPr>
        <w:t xml:space="preserve">contre </w:t>
      </w:r>
      <w:r w:rsidRPr="006A3B1C">
        <w:rPr>
          <w:spacing w:val="-2"/>
          <w:sz w:val="20"/>
          <w:lang w:val="fr-CH"/>
        </w:rPr>
        <w:t>1 </w:t>
      </w:r>
      <w:r w:rsidR="00201EB6" w:rsidRPr="006A3B1C">
        <w:rPr>
          <w:spacing w:val="-2"/>
          <w:sz w:val="20"/>
          <w:lang w:val="fr-CH"/>
        </w:rPr>
        <w:t>486</w:t>
      </w:r>
      <w:r w:rsidRPr="006A3B1C">
        <w:rPr>
          <w:spacing w:val="-2"/>
          <w:sz w:val="20"/>
          <w:lang w:val="fr-CH"/>
        </w:rPr>
        <w:t> </w:t>
      </w:r>
      <w:r w:rsidR="00201EB6" w:rsidRPr="006A3B1C">
        <w:rPr>
          <w:spacing w:val="-2"/>
          <w:sz w:val="20"/>
          <w:lang w:val="fr-CH"/>
        </w:rPr>
        <w:t>50</w:t>
      </w:r>
      <w:r w:rsidR="004D3D70" w:rsidRPr="006A3B1C">
        <w:rPr>
          <w:spacing w:val="-2"/>
          <w:sz w:val="20"/>
          <w:lang w:val="fr-CH"/>
        </w:rPr>
        <w:t>3 franc</w:t>
      </w:r>
      <w:r w:rsidR="00201EB6" w:rsidRPr="006A3B1C">
        <w:rPr>
          <w:spacing w:val="-2"/>
          <w:sz w:val="20"/>
          <w:lang w:val="fr-CH"/>
        </w:rPr>
        <w:t>s</w:t>
      </w:r>
      <w:r w:rsidRPr="006A3B1C">
        <w:rPr>
          <w:spacing w:val="-2"/>
          <w:sz w:val="20"/>
          <w:lang w:val="fr-CH"/>
        </w:rPr>
        <w:t xml:space="preserve"> suisses précédemme</w:t>
      </w:r>
      <w:r w:rsidR="002140E0" w:rsidRPr="006A3B1C">
        <w:rPr>
          <w:spacing w:val="-2"/>
          <w:sz w:val="20"/>
          <w:lang w:val="fr-CH"/>
        </w:rPr>
        <w:t>nt).  Le</w:t>
      </w:r>
      <w:r w:rsidR="006054D7" w:rsidRPr="006A3B1C">
        <w:rPr>
          <w:spacing w:val="-2"/>
          <w:sz w:val="20"/>
          <w:lang w:val="fr-CH"/>
        </w:rPr>
        <w:t>s obligations</w:t>
      </w:r>
      <w:r w:rsidRPr="006A3B1C">
        <w:rPr>
          <w:spacing w:val="-2"/>
          <w:sz w:val="20"/>
          <w:lang w:val="fr-CH"/>
        </w:rPr>
        <w:t xml:space="preserve"> </w:t>
      </w:r>
      <w:r w:rsidR="002F24E1" w:rsidRPr="006A3B1C">
        <w:rPr>
          <w:spacing w:val="-2"/>
          <w:sz w:val="20"/>
          <w:lang w:val="fr-CH"/>
        </w:rPr>
        <w:t>au titre de l</w:t>
      </w:r>
      <w:r w:rsidR="004D3D70" w:rsidRPr="006A3B1C">
        <w:rPr>
          <w:spacing w:val="-2"/>
          <w:sz w:val="20"/>
          <w:lang w:val="fr-CH"/>
        </w:rPr>
        <w:t>’</w:t>
      </w:r>
      <w:r w:rsidR="002F24E1" w:rsidRPr="006A3B1C">
        <w:rPr>
          <w:spacing w:val="-2"/>
          <w:sz w:val="20"/>
          <w:lang w:val="fr-CH"/>
        </w:rPr>
        <w:t>AMCS</w:t>
      </w:r>
      <w:r w:rsidRPr="006A3B1C">
        <w:rPr>
          <w:spacing w:val="-2"/>
          <w:sz w:val="20"/>
          <w:lang w:val="fr-CH"/>
        </w:rPr>
        <w:t>,</w:t>
      </w:r>
      <w:r w:rsidR="00DA2969" w:rsidRPr="006A3B1C">
        <w:rPr>
          <w:spacing w:val="-2"/>
          <w:sz w:val="20"/>
          <w:lang w:val="fr-CH"/>
        </w:rPr>
        <w:t xml:space="preserve"> </w:t>
      </w:r>
      <w:r w:rsidR="002F24E1" w:rsidRPr="006A3B1C">
        <w:rPr>
          <w:spacing w:val="-2"/>
          <w:sz w:val="20"/>
          <w:lang w:val="fr-CH"/>
        </w:rPr>
        <w:t>des</w:t>
      </w:r>
      <w:r w:rsidR="00DA2969" w:rsidRPr="006A3B1C">
        <w:rPr>
          <w:spacing w:val="-2"/>
          <w:sz w:val="20"/>
          <w:lang w:val="fr-CH"/>
        </w:rPr>
        <w:t xml:space="preserve"> primes de rapatriement </w:t>
      </w:r>
      <w:r w:rsidR="00400A95" w:rsidRPr="006A3B1C">
        <w:rPr>
          <w:spacing w:val="-2"/>
          <w:sz w:val="20"/>
          <w:lang w:val="fr-CH"/>
        </w:rPr>
        <w:t>et des</w:t>
      </w:r>
      <w:r w:rsidR="00DA2969" w:rsidRPr="006A3B1C">
        <w:rPr>
          <w:spacing w:val="-2"/>
          <w:sz w:val="20"/>
          <w:lang w:val="fr-CH"/>
        </w:rPr>
        <w:t xml:space="preserve"> </w:t>
      </w:r>
      <w:r w:rsidR="002F24E1" w:rsidRPr="006A3B1C">
        <w:rPr>
          <w:spacing w:val="-2"/>
          <w:sz w:val="20"/>
          <w:lang w:val="fr-CH"/>
        </w:rPr>
        <w:t>jours de congé annuel</w:t>
      </w:r>
      <w:r w:rsidR="00DA2969" w:rsidRPr="006A3B1C">
        <w:rPr>
          <w:spacing w:val="-2"/>
          <w:sz w:val="20"/>
          <w:lang w:val="fr-CH"/>
        </w:rPr>
        <w:t xml:space="preserve"> </w:t>
      </w:r>
      <w:r w:rsidR="00E74517" w:rsidRPr="006A3B1C">
        <w:rPr>
          <w:spacing w:val="-2"/>
          <w:sz w:val="20"/>
          <w:lang w:val="fr-CH"/>
        </w:rPr>
        <w:t>ac</w:t>
      </w:r>
      <w:r w:rsidR="00DA2969" w:rsidRPr="006A3B1C">
        <w:rPr>
          <w:spacing w:val="-2"/>
          <w:sz w:val="20"/>
          <w:lang w:val="fr-CH"/>
        </w:rPr>
        <w:t>cumulés à long terme</w:t>
      </w:r>
      <w:r w:rsidR="00400A95" w:rsidRPr="006A3B1C">
        <w:rPr>
          <w:spacing w:val="-2"/>
          <w:sz w:val="20"/>
          <w:lang w:val="fr-CH"/>
        </w:rPr>
        <w:t xml:space="preserve"> ont fait l</w:t>
      </w:r>
      <w:r w:rsidR="004D3D70" w:rsidRPr="006A3B1C">
        <w:rPr>
          <w:spacing w:val="-2"/>
          <w:sz w:val="20"/>
          <w:lang w:val="fr-CH"/>
        </w:rPr>
        <w:t>’</w:t>
      </w:r>
      <w:r w:rsidR="00400A95" w:rsidRPr="006A3B1C">
        <w:rPr>
          <w:spacing w:val="-2"/>
          <w:sz w:val="20"/>
          <w:lang w:val="fr-CH"/>
        </w:rPr>
        <w:t>objet d</w:t>
      </w:r>
      <w:r w:rsidR="004D3D70" w:rsidRPr="006A3B1C">
        <w:rPr>
          <w:spacing w:val="-2"/>
          <w:sz w:val="20"/>
          <w:lang w:val="fr-CH"/>
        </w:rPr>
        <w:t>’</w:t>
      </w:r>
      <w:r w:rsidRPr="006A3B1C">
        <w:rPr>
          <w:spacing w:val="-2"/>
          <w:sz w:val="20"/>
          <w:lang w:val="fr-CH"/>
        </w:rPr>
        <w:t>évaluations actuariell</w:t>
      </w:r>
      <w:r w:rsidR="002140E0" w:rsidRPr="006A3B1C">
        <w:rPr>
          <w:spacing w:val="-2"/>
          <w:sz w:val="20"/>
          <w:lang w:val="fr-CH"/>
        </w:rPr>
        <w:t>es.  Le</w:t>
      </w:r>
      <w:r w:rsidR="00D70565" w:rsidRPr="006A3B1C">
        <w:rPr>
          <w:spacing w:val="-2"/>
          <w:sz w:val="20"/>
          <w:lang w:val="fr-CH"/>
        </w:rPr>
        <w:t xml:space="preserve"> principal passif, qui concerne le financement de l</w:t>
      </w:r>
      <w:r w:rsidR="004D3D70" w:rsidRPr="006A3B1C">
        <w:rPr>
          <w:spacing w:val="-2"/>
          <w:sz w:val="20"/>
          <w:lang w:val="fr-CH"/>
        </w:rPr>
        <w:t>’</w:t>
      </w:r>
      <w:r w:rsidR="00D70565" w:rsidRPr="006A3B1C">
        <w:rPr>
          <w:spacing w:val="-2"/>
          <w:sz w:val="20"/>
          <w:lang w:val="fr-CH"/>
        </w:rPr>
        <w:t>AMCS, s</w:t>
      </w:r>
      <w:r w:rsidR="004D3D70" w:rsidRPr="006A3B1C">
        <w:rPr>
          <w:spacing w:val="-2"/>
          <w:sz w:val="20"/>
          <w:lang w:val="fr-CH"/>
        </w:rPr>
        <w:t>’</w:t>
      </w:r>
      <w:r w:rsidR="00D70565" w:rsidRPr="006A3B1C">
        <w:rPr>
          <w:spacing w:val="-2"/>
          <w:sz w:val="20"/>
          <w:lang w:val="fr-CH"/>
        </w:rPr>
        <w:t>élève à 2</w:t>
      </w:r>
      <w:r w:rsidR="00AC2A6B" w:rsidRPr="006A3B1C">
        <w:rPr>
          <w:spacing w:val="-2"/>
          <w:sz w:val="20"/>
          <w:lang w:val="fr-CH"/>
        </w:rPr>
        <w:t> </w:t>
      </w:r>
      <w:r w:rsidR="00D70565" w:rsidRPr="006A3B1C">
        <w:rPr>
          <w:spacing w:val="-2"/>
          <w:sz w:val="20"/>
          <w:lang w:val="fr-CH"/>
        </w:rPr>
        <w:t>209</w:t>
      </w:r>
      <w:r w:rsidR="00AC2A6B" w:rsidRPr="006A3B1C">
        <w:rPr>
          <w:spacing w:val="-2"/>
          <w:sz w:val="20"/>
          <w:lang w:val="fr-CH"/>
        </w:rPr>
        <w:t> </w:t>
      </w:r>
      <w:r w:rsidR="00D70565" w:rsidRPr="006A3B1C">
        <w:rPr>
          <w:spacing w:val="-2"/>
          <w:sz w:val="20"/>
          <w:lang w:val="fr-CH"/>
        </w:rPr>
        <w:t>46</w:t>
      </w:r>
      <w:r w:rsidR="004D3D70" w:rsidRPr="006A3B1C">
        <w:rPr>
          <w:spacing w:val="-2"/>
          <w:sz w:val="20"/>
          <w:lang w:val="fr-CH"/>
        </w:rPr>
        <w:t>1 franc</w:t>
      </w:r>
      <w:r w:rsidR="00D70565" w:rsidRPr="006A3B1C">
        <w:rPr>
          <w:spacing w:val="-2"/>
          <w:sz w:val="20"/>
          <w:lang w:val="fr-CH"/>
        </w:rPr>
        <w:t>s suisses au 3</w:t>
      </w:r>
      <w:r w:rsidR="004D3D70" w:rsidRPr="006A3B1C">
        <w:rPr>
          <w:spacing w:val="-2"/>
          <w:sz w:val="20"/>
          <w:lang w:val="fr-CH"/>
        </w:rPr>
        <w:t>1 décembre 20</w:t>
      </w:r>
      <w:r w:rsidR="00D70565" w:rsidRPr="006A3B1C">
        <w:rPr>
          <w:spacing w:val="-2"/>
          <w:sz w:val="20"/>
          <w:lang w:val="fr-CH"/>
        </w:rPr>
        <w:t>17.</w:t>
      </w:r>
      <w:r w:rsidR="00760F1C" w:rsidRPr="006A3B1C">
        <w:rPr>
          <w:spacing w:val="-2"/>
          <w:sz w:val="20"/>
          <w:lang w:val="fr-CH"/>
        </w:rPr>
        <w:t xml:space="preserve"> </w:t>
      </w:r>
      <w:r w:rsidR="00DA2969" w:rsidRPr="006A3B1C">
        <w:rPr>
          <w:spacing w:val="-2"/>
          <w:sz w:val="20"/>
          <w:lang w:val="fr-CH"/>
        </w:rPr>
        <w:t xml:space="preserve"> Ce montant indique une diminution</w:t>
      </w:r>
      <w:r w:rsidR="00760F1C" w:rsidRPr="006A3B1C">
        <w:rPr>
          <w:spacing w:val="-2"/>
          <w:sz w:val="20"/>
          <w:lang w:val="fr-CH"/>
        </w:rPr>
        <w:t xml:space="preserve"> de</w:t>
      </w:r>
      <w:r w:rsidR="00A824AF" w:rsidRPr="006A3B1C">
        <w:rPr>
          <w:spacing w:val="-2"/>
          <w:sz w:val="20"/>
          <w:lang w:val="fr-CH"/>
        </w:rPr>
        <w:t xml:space="preserve"> </w:t>
      </w:r>
      <w:r w:rsidR="00DA2969" w:rsidRPr="006A3B1C">
        <w:rPr>
          <w:spacing w:val="-2"/>
          <w:sz w:val="20"/>
          <w:lang w:val="fr-CH"/>
        </w:rPr>
        <w:t>24 832 </w:t>
      </w:r>
      <w:r w:rsidR="00A824AF" w:rsidRPr="006A3B1C">
        <w:rPr>
          <w:spacing w:val="-2"/>
          <w:sz w:val="20"/>
          <w:lang w:val="fr-CH"/>
        </w:rPr>
        <w:t xml:space="preserve">francs </w:t>
      </w:r>
      <w:r w:rsidR="00DA2969" w:rsidRPr="006A3B1C">
        <w:rPr>
          <w:spacing w:val="-2"/>
          <w:sz w:val="20"/>
          <w:lang w:val="fr-CH"/>
        </w:rPr>
        <w:t>suisses par rapport au solde de 2 234 </w:t>
      </w:r>
      <w:r w:rsidR="00760F1C" w:rsidRPr="006A3B1C">
        <w:rPr>
          <w:spacing w:val="-2"/>
          <w:sz w:val="20"/>
          <w:lang w:val="fr-CH"/>
        </w:rPr>
        <w:t>293</w:t>
      </w:r>
      <w:r w:rsidR="00DA2969" w:rsidRPr="006A3B1C">
        <w:rPr>
          <w:spacing w:val="-2"/>
          <w:sz w:val="20"/>
          <w:lang w:val="fr-CH"/>
        </w:rPr>
        <w:t> </w:t>
      </w:r>
      <w:r w:rsidR="00874BE8">
        <w:rPr>
          <w:spacing w:val="-2"/>
          <w:sz w:val="20"/>
          <w:lang w:val="fr-CH"/>
        </w:rPr>
        <w:t>francs </w:t>
      </w:r>
      <w:r w:rsidR="00DA2969" w:rsidRPr="006A3B1C">
        <w:rPr>
          <w:spacing w:val="-2"/>
          <w:sz w:val="20"/>
          <w:lang w:val="fr-CH"/>
        </w:rPr>
        <w:t>suisses arrêté au 31 décembre </w:t>
      </w:r>
      <w:r w:rsidR="00760F1C" w:rsidRPr="006A3B1C">
        <w:rPr>
          <w:spacing w:val="-2"/>
          <w:sz w:val="20"/>
          <w:lang w:val="fr-CH"/>
        </w:rPr>
        <w:t>2016</w:t>
      </w:r>
      <w:r w:rsidR="00700927" w:rsidRPr="006A3B1C">
        <w:rPr>
          <w:spacing w:val="-2"/>
          <w:sz w:val="20"/>
          <w:lang w:val="fr-CH"/>
        </w:rPr>
        <w:t>,</w:t>
      </w:r>
      <w:r w:rsidR="00DA2969" w:rsidRPr="006A3B1C">
        <w:rPr>
          <w:spacing w:val="-2"/>
          <w:sz w:val="20"/>
          <w:lang w:val="fr-CH"/>
        </w:rPr>
        <w:t xml:space="preserve"> après retraitement</w:t>
      </w:r>
      <w:r w:rsidR="00760F1C" w:rsidRPr="006A3B1C">
        <w:rPr>
          <w:spacing w:val="-2"/>
          <w:sz w:val="20"/>
          <w:lang w:val="fr-CH"/>
        </w:rPr>
        <w:t xml:space="preserve"> </w:t>
      </w:r>
      <w:r w:rsidR="00DA2969" w:rsidRPr="006A3B1C">
        <w:rPr>
          <w:spacing w:val="-2"/>
          <w:sz w:val="20"/>
          <w:lang w:val="fr-CH"/>
        </w:rPr>
        <w:t>(</w:t>
      </w:r>
      <w:r w:rsidR="00400A95" w:rsidRPr="006A3B1C">
        <w:rPr>
          <w:spacing w:val="-2"/>
          <w:sz w:val="20"/>
          <w:lang w:val="fr-CH"/>
        </w:rPr>
        <w:t xml:space="preserve">contre </w:t>
      </w:r>
      <w:r w:rsidR="00DA2969" w:rsidRPr="006A3B1C">
        <w:rPr>
          <w:spacing w:val="-2"/>
          <w:sz w:val="20"/>
          <w:lang w:val="fr-CH"/>
        </w:rPr>
        <w:t>1 183 </w:t>
      </w:r>
      <w:r w:rsidR="00760F1C" w:rsidRPr="006A3B1C">
        <w:rPr>
          <w:spacing w:val="-2"/>
          <w:sz w:val="20"/>
          <w:lang w:val="fr-CH"/>
        </w:rPr>
        <w:t>628</w:t>
      </w:r>
      <w:r w:rsidR="00DA2969" w:rsidRPr="006A3B1C">
        <w:rPr>
          <w:spacing w:val="-2"/>
          <w:sz w:val="20"/>
          <w:lang w:val="fr-CH"/>
        </w:rPr>
        <w:t> </w:t>
      </w:r>
      <w:r w:rsidR="00760F1C" w:rsidRPr="006A3B1C">
        <w:rPr>
          <w:spacing w:val="-2"/>
          <w:sz w:val="20"/>
          <w:lang w:val="fr-CH"/>
        </w:rPr>
        <w:t>francs</w:t>
      </w:r>
      <w:r w:rsidR="00DA2969" w:rsidRPr="006A3B1C">
        <w:rPr>
          <w:spacing w:val="-2"/>
          <w:sz w:val="20"/>
          <w:lang w:val="fr-CH"/>
        </w:rPr>
        <w:t xml:space="preserve"> suisses précédemment</w:t>
      </w:r>
      <w:r w:rsidR="00760F1C" w:rsidRPr="006A3B1C">
        <w:rPr>
          <w:spacing w:val="-2"/>
          <w:sz w:val="20"/>
          <w:lang w:val="fr-CH"/>
        </w:rPr>
        <w:t xml:space="preserve">). </w:t>
      </w:r>
      <w:r w:rsidR="00DA2969" w:rsidRPr="006A3B1C">
        <w:rPr>
          <w:spacing w:val="-2"/>
          <w:sz w:val="20"/>
          <w:lang w:val="fr-CH"/>
        </w:rPr>
        <w:t xml:space="preserve"> L</w:t>
      </w:r>
      <w:r w:rsidR="004D3D70" w:rsidRPr="006A3B1C">
        <w:rPr>
          <w:spacing w:val="-2"/>
          <w:sz w:val="20"/>
          <w:lang w:val="fr-CH"/>
        </w:rPr>
        <w:t>’</w:t>
      </w:r>
      <w:r w:rsidR="00760F1C" w:rsidRPr="006A3B1C">
        <w:rPr>
          <w:rFonts w:cs="Times New Roman"/>
          <w:spacing w:val="-2"/>
          <w:sz w:val="20"/>
          <w:lang w:val="fr-CH"/>
        </w:rPr>
        <w:t xml:space="preserve">adoption </w:t>
      </w:r>
      <w:r w:rsidR="00DA2969" w:rsidRPr="006A3B1C">
        <w:rPr>
          <w:rFonts w:cs="Times New Roman"/>
          <w:spacing w:val="-2"/>
          <w:sz w:val="20"/>
          <w:lang w:val="fr-CH"/>
        </w:rPr>
        <w:t>de la norme</w:t>
      </w:r>
      <w:r w:rsidR="00AC2A6B" w:rsidRPr="006A3B1C">
        <w:rPr>
          <w:rFonts w:cs="Times New Roman"/>
          <w:spacing w:val="-2"/>
          <w:sz w:val="20"/>
          <w:lang w:val="fr-CH"/>
        </w:rPr>
        <w:t> </w:t>
      </w:r>
      <w:r w:rsidR="00760F1C" w:rsidRPr="006A3B1C">
        <w:rPr>
          <w:rFonts w:cs="Times New Roman"/>
          <w:spacing w:val="-2"/>
          <w:sz w:val="20"/>
          <w:lang w:val="fr-CH"/>
        </w:rPr>
        <w:t>IPSAS</w:t>
      </w:r>
      <w:r w:rsidR="00BE23DA" w:rsidRPr="006A3B1C">
        <w:rPr>
          <w:rFonts w:cs="Times New Roman"/>
          <w:spacing w:val="-2"/>
          <w:sz w:val="20"/>
          <w:lang w:val="fr-CH"/>
        </w:rPr>
        <w:t> </w:t>
      </w:r>
      <w:r w:rsidR="00760F1C" w:rsidRPr="006A3B1C">
        <w:rPr>
          <w:rFonts w:cs="Times New Roman"/>
          <w:spacing w:val="-2"/>
          <w:sz w:val="20"/>
          <w:lang w:val="fr-CH"/>
        </w:rPr>
        <w:t xml:space="preserve">39 </w:t>
      </w:r>
      <w:r w:rsidR="00DA2969" w:rsidRPr="006A3B1C">
        <w:rPr>
          <w:rFonts w:cs="Times New Roman"/>
          <w:spacing w:val="-2"/>
          <w:sz w:val="20"/>
          <w:lang w:val="fr-CH"/>
        </w:rPr>
        <w:t>portant</w:t>
      </w:r>
      <w:r w:rsidR="00DA2969" w:rsidRPr="006A3B1C">
        <w:rPr>
          <w:rFonts w:cs="Times New Roman"/>
          <w:i/>
          <w:spacing w:val="-2"/>
          <w:sz w:val="20"/>
          <w:lang w:val="fr-CH"/>
        </w:rPr>
        <w:t xml:space="preserve"> </w:t>
      </w:r>
      <w:r w:rsidR="00DA2969" w:rsidRPr="006A3B1C">
        <w:rPr>
          <w:rFonts w:cs="Times New Roman"/>
          <w:spacing w:val="-2"/>
          <w:sz w:val="20"/>
          <w:lang w:val="fr-CH"/>
        </w:rPr>
        <w:t xml:space="preserve">sur les prestations au personnel </w:t>
      </w:r>
      <w:r w:rsidR="00760F1C" w:rsidRPr="006A3B1C">
        <w:rPr>
          <w:rFonts w:cs="Times New Roman"/>
          <w:spacing w:val="-2"/>
          <w:sz w:val="20"/>
          <w:lang w:val="fr-CH"/>
        </w:rPr>
        <w:t>a</w:t>
      </w:r>
      <w:r w:rsidR="001A584A" w:rsidRPr="006A3B1C">
        <w:rPr>
          <w:rFonts w:cs="Times New Roman"/>
          <w:spacing w:val="-2"/>
          <w:sz w:val="20"/>
          <w:lang w:val="fr-CH"/>
        </w:rPr>
        <w:t xml:space="preserve"> entra</w:t>
      </w:r>
      <w:r w:rsidR="00DB1F08" w:rsidRPr="006A3B1C">
        <w:rPr>
          <w:rFonts w:cs="Times New Roman"/>
          <w:spacing w:val="-2"/>
          <w:sz w:val="20"/>
          <w:lang w:val="fr-CH"/>
        </w:rPr>
        <w:t>î</w:t>
      </w:r>
      <w:r w:rsidR="001A584A" w:rsidRPr="006A3B1C">
        <w:rPr>
          <w:rFonts w:cs="Times New Roman"/>
          <w:spacing w:val="-2"/>
          <w:sz w:val="20"/>
          <w:lang w:val="fr-CH"/>
        </w:rPr>
        <w:t xml:space="preserve">né une diminution </w:t>
      </w:r>
      <w:r w:rsidR="006054D7" w:rsidRPr="006A3B1C">
        <w:rPr>
          <w:rFonts w:cs="Times New Roman"/>
          <w:spacing w:val="-2"/>
          <w:sz w:val="20"/>
          <w:lang w:val="fr-CH"/>
        </w:rPr>
        <w:t>de l</w:t>
      </w:r>
      <w:r w:rsidR="004D3D70" w:rsidRPr="006A3B1C">
        <w:rPr>
          <w:rFonts w:cs="Times New Roman"/>
          <w:spacing w:val="-2"/>
          <w:sz w:val="20"/>
          <w:lang w:val="fr-CH"/>
        </w:rPr>
        <w:t>’</w:t>
      </w:r>
      <w:r w:rsidR="006054D7" w:rsidRPr="006A3B1C">
        <w:rPr>
          <w:rFonts w:cs="Times New Roman"/>
          <w:spacing w:val="-2"/>
          <w:sz w:val="20"/>
          <w:lang w:val="fr-CH"/>
        </w:rPr>
        <w:t>obligation</w:t>
      </w:r>
      <w:r w:rsidR="001A584A" w:rsidRPr="006A3B1C">
        <w:rPr>
          <w:rFonts w:cs="Times New Roman"/>
          <w:spacing w:val="-2"/>
          <w:sz w:val="20"/>
          <w:lang w:val="fr-CH"/>
        </w:rPr>
        <w:t xml:space="preserve"> relati</w:t>
      </w:r>
      <w:r w:rsidR="006054D7" w:rsidRPr="006A3B1C">
        <w:rPr>
          <w:rFonts w:cs="Times New Roman"/>
          <w:spacing w:val="-2"/>
          <w:sz w:val="20"/>
          <w:lang w:val="fr-CH"/>
        </w:rPr>
        <w:t>ve</w:t>
      </w:r>
      <w:r w:rsidR="001A584A" w:rsidRPr="006A3B1C">
        <w:rPr>
          <w:rFonts w:cs="Times New Roman"/>
          <w:spacing w:val="-2"/>
          <w:sz w:val="20"/>
          <w:lang w:val="fr-CH"/>
        </w:rPr>
        <w:t xml:space="preserve"> à</w:t>
      </w:r>
      <w:r w:rsidR="00DA2969" w:rsidRPr="006A3B1C">
        <w:rPr>
          <w:rFonts w:cs="Times New Roman"/>
          <w:spacing w:val="-2"/>
          <w:sz w:val="20"/>
          <w:lang w:val="fr-CH"/>
        </w:rPr>
        <w:t xml:space="preserve"> l</w:t>
      </w:r>
      <w:r w:rsidR="004D3D70" w:rsidRPr="006A3B1C">
        <w:rPr>
          <w:rFonts w:cs="Times New Roman"/>
          <w:spacing w:val="-2"/>
          <w:sz w:val="20"/>
          <w:lang w:val="fr-CH"/>
        </w:rPr>
        <w:t>’</w:t>
      </w:r>
      <w:r w:rsidR="00DA2969" w:rsidRPr="006A3B1C">
        <w:rPr>
          <w:rFonts w:cs="Times New Roman"/>
          <w:spacing w:val="-2"/>
          <w:sz w:val="20"/>
          <w:lang w:val="fr-CH"/>
        </w:rPr>
        <w:t>AMCS de 1 050 665 </w:t>
      </w:r>
      <w:r w:rsidR="00760F1C" w:rsidRPr="006A3B1C">
        <w:rPr>
          <w:rFonts w:cs="Times New Roman"/>
          <w:spacing w:val="-2"/>
          <w:sz w:val="20"/>
          <w:lang w:val="fr-CH"/>
        </w:rPr>
        <w:t xml:space="preserve">francs </w:t>
      </w:r>
      <w:r w:rsidR="00DA2969" w:rsidRPr="006A3B1C">
        <w:rPr>
          <w:rFonts w:cs="Times New Roman"/>
          <w:spacing w:val="-2"/>
          <w:sz w:val="20"/>
          <w:lang w:val="fr-CH"/>
        </w:rPr>
        <w:t>suisses ainsi qu</w:t>
      </w:r>
      <w:r w:rsidR="004D3D70" w:rsidRPr="006A3B1C">
        <w:rPr>
          <w:rFonts w:cs="Times New Roman"/>
          <w:spacing w:val="-2"/>
          <w:sz w:val="20"/>
          <w:lang w:val="fr-CH"/>
        </w:rPr>
        <w:t>’</w:t>
      </w:r>
      <w:r w:rsidR="00DA2969" w:rsidRPr="006A3B1C">
        <w:rPr>
          <w:rFonts w:cs="Times New Roman"/>
          <w:spacing w:val="-2"/>
          <w:sz w:val="20"/>
          <w:lang w:val="fr-CH"/>
        </w:rPr>
        <w:t>une diminution</w:t>
      </w:r>
      <w:r w:rsidR="006054D7" w:rsidRPr="006A3B1C">
        <w:rPr>
          <w:rFonts w:cs="Times New Roman"/>
          <w:spacing w:val="-2"/>
          <w:sz w:val="20"/>
          <w:lang w:val="fr-CH"/>
        </w:rPr>
        <w:t xml:space="preserve"> de l</w:t>
      </w:r>
      <w:r w:rsidR="004D3D70" w:rsidRPr="006A3B1C">
        <w:rPr>
          <w:rFonts w:cs="Times New Roman"/>
          <w:spacing w:val="-2"/>
          <w:sz w:val="20"/>
          <w:lang w:val="fr-CH"/>
        </w:rPr>
        <w:t>’</w:t>
      </w:r>
      <w:r w:rsidR="006054D7" w:rsidRPr="006A3B1C">
        <w:rPr>
          <w:rFonts w:cs="Times New Roman"/>
          <w:spacing w:val="-2"/>
          <w:sz w:val="20"/>
          <w:lang w:val="fr-CH"/>
        </w:rPr>
        <w:t xml:space="preserve">obligation </w:t>
      </w:r>
      <w:r w:rsidR="001A584A" w:rsidRPr="006A3B1C">
        <w:rPr>
          <w:rFonts w:cs="Times New Roman"/>
          <w:spacing w:val="-2"/>
          <w:sz w:val="20"/>
          <w:lang w:val="fr-CH"/>
        </w:rPr>
        <w:t>relati</w:t>
      </w:r>
      <w:r w:rsidR="006054D7" w:rsidRPr="006A3B1C">
        <w:rPr>
          <w:rFonts w:cs="Times New Roman"/>
          <w:spacing w:val="-2"/>
          <w:sz w:val="20"/>
          <w:lang w:val="fr-CH"/>
        </w:rPr>
        <w:t>ve</w:t>
      </w:r>
      <w:r w:rsidR="001A584A" w:rsidRPr="006A3B1C">
        <w:rPr>
          <w:rFonts w:cs="Times New Roman"/>
          <w:spacing w:val="-2"/>
          <w:sz w:val="20"/>
          <w:lang w:val="fr-CH"/>
        </w:rPr>
        <w:t xml:space="preserve"> aux</w:t>
      </w:r>
      <w:r w:rsidR="00DA2969" w:rsidRPr="006A3B1C">
        <w:rPr>
          <w:rFonts w:cs="Times New Roman"/>
          <w:spacing w:val="-2"/>
          <w:sz w:val="20"/>
          <w:lang w:val="fr-CH"/>
        </w:rPr>
        <w:t xml:space="preserve"> congés annuels </w:t>
      </w:r>
      <w:r w:rsidR="00E74517" w:rsidRPr="006A3B1C">
        <w:rPr>
          <w:rFonts w:cs="Times New Roman"/>
          <w:spacing w:val="-2"/>
          <w:sz w:val="20"/>
          <w:lang w:val="fr-CH"/>
        </w:rPr>
        <w:t>ac</w:t>
      </w:r>
      <w:r w:rsidR="00DA2969" w:rsidRPr="006A3B1C">
        <w:rPr>
          <w:rFonts w:cs="Times New Roman"/>
          <w:spacing w:val="-2"/>
          <w:sz w:val="20"/>
          <w:lang w:val="fr-CH"/>
        </w:rPr>
        <w:t>cumulés</w:t>
      </w:r>
      <w:r w:rsidR="00760F1C" w:rsidRPr="006A3B1C">
        <w:rPr>
          <w:rFonts w:cs="Times New Roman"/>
          <w:spacing w:val="-2"/>
          <w:sz w:val="20"/>
          <w:lang w:val="fr-CH"/>
        </w:rPr>
        <w:t xml:space="preserve"> </w:t>
      </w:r>
      <w:r w:rsidR="00DA2969" w:rsidRPr="006A3B1C">
        <w:rPr>
          <w:rFonts w:cs="Times New Roman"/>
          <w:spacing w:val="-2"/>
          <w:sz w:val="20"/>
          <w:lang w:val="fr-CH"/>
        </w:rPr>
        <w:t>de 57 573 </w:t>
      </w:r>
      <w:r w:rsidR="00760F1C" w:rsidRPr="006A3B1C">
        <w:rPr>
          <w:rFonts w:cs="Times New Roman"/>
          <w:spacing w:val="-2"/>
          <w:sz w:val="20"/>
          <w:lang w:val="fr-CH"/>
        </w:rPr>
        <w:t xml:space="preserve">francs </w:t>
      </w:r>
      <w:r w:rsidR="00DA2969" w:rsidRPr="006A3B1C">
        <w:rPr>
          <w:rFonts w:cs="Times New Roman"/>
          <w:spacing w:val="-2"/>
          <w:sz w:val="20"/>
          <w:lang w:val="fr-CH"/>
        </w:rPr>
        <w:t>suisses au 31 décembre </w:t>
      </w:r>
      <w:r w:rsidR="00760F1C" w:rsidRPr="006A3B1C">
        <w:rPr>
          <w:rFonts w:cs="Times New Roman"/>
          <w:spacing w:val="-2"/>
          <w:sz w:val="20"/>
          <w:lang w:val="fr-CH"/>
        </w:rPr>
        <w:t>2016.</w:t>
      </w:r>
    </w:p>
    <w:p w:rsidR="00905890" w:rsidRPr="006A3B1C" w:rsidRDefault="00905890" w:rsidP="00A824AF">
      <w:pPr>
        <w:pStyle w:val="ListParagraph"/>
        <w:rPr>
          <w:spacing w:val="-2"/>
          <w:sz w:val="14"/>
          <w:lang w:val="fr-CH"/>
        </w:rPr>
      </w:pPr>
    </w:p>
    <w:p w:rsidR="00905890" w:rsidRPr="006A3B1C" w:rsidRDefault="004D3D70" w:rsidP="00D70565">
      <w:pPr>
        <w:numPr>
          <w:ilvl w:val="0"/>
          <w:numId w:val="18"/>
        </w:numPr>
        <w:rPr>
          <w:spacing w:val="-2"/>
          <w:lang w:val="fr-CH"/>
        </w:rPr>
      </w:pPr>
      <w:r w:rsidRPr="006A3B1C">
        <w:rPr>
          <w:spacing w:val="-2"/>
          <w:lang w:val="fr-CH"/>
        </w:rPr>
        <w:t>En 2015</w:t>
      </w:r>
      <w:r w:rsidR="00D70565" w:rsidRPr="006A3B1C">
        <w:rPr>
          <w:spacing w:val="-2"/>
          <w:lang w:val="fr-CH"/>
        </w:rPr>
        <w:t>, un montant de 183</w:t>
      </w:r>
      <w:r w:rsidR="00AC2A6B" w:rsidRPr="006A3B1C">
        <w:rPr>
          <w:spacing w:val="-2"/>
          <w:lang w:val="fr-CH"/>
        </w:rPr>
        <w:t> </w:t>
      </w:r>
      <w:r w:rsidR="00D70565" w:rsidRPr="006A3B1C">
        <w:rPr>
          <w:spacing w:val="-2"/>
          <w:lang w:val="fr-CH"/>
        </w:rPr>
        <w:t>82</w:t>
      </w:r>
      <w:r w:rsidRPr="006A3B1C">
        <w:rPr>
          <w:spacing w:val="-2"/>
          <w:lang w:val="fr-CH"/>
        </w:rPr>
        <w:t>4 franc</w:t>
      </w:r>
      <w:r w:rsidR="00D70565" w:rsidRPr="006A3B1C">
        <w:rPr>
          <w:spacing w:val="-2"/>
          <w:lang w:val="fr-CH"/>
        </w:rPr>
        <w:t>s suisses représentant le montant du fonds de réserve dépassant 15% des recettes totales pour l</w:t>
      </w:r>
      <w:r w:rsidRPr="006A3B1C">
        <w:rPr>
          <w:spacing w:val="-2"/>
          <w:lang w:val="fr-CH"/>
        </w:rPr>
        <w:t>’</w:t>
      </w:r>
      <w:r w:rsidR="00D70565" w:rsidRPr="006A3B1C">
        <w:rPr>
          <w:spacing w:val="-2"/>
          <w:lang w:val="fr-CH"/>
        </w:rPr>
        <w:t xml:space="preserve">exercice </w:t>
      </w:r>
      <w:r w:rsidRPr="006A3B1C">
        <w:rPr>
          <w:spacing w:val="-2"/>
          <w:lang w:val="fr-CH"/>
        </w:rPr>
        <w:t>biennal 2012</w:t>
      </w:r>
      <w:r w:rsidR="00665FEC" w:rsidRPr="006A3B1C">
        <w:rPr>
          <w:spacing w:val="-2"/>
          <w:lang w:val="fr-CH"/>
        </w:rPr>
        <w:noBreakHyphen/>
      </w:r>
      <w:r w:rsidR="00D70565" w:rsidRPr="006A3B1C">
        <w:rPr>
          <w:spacing w:val="-2"/>
          <w:lang w:val="fr-CH"/>
        </w:rPr>
        <w:t>2013 a été transféré sur un Fonds spécial pour des projets afin de mener à bien certains projets particulie</w:t>
      </w:r>
      <w:r w:rsidR="002140E0" w:rsidRPr="006A3B1C">
        <w:rPr>
          <w:spacing w:val="-2"/>
          <w:lang w:val="fr-CH"/>
        </w:rPr>
        <w:t>rs.  Su</w:t>
      </w:r>
      <w:r w:rsidR="008B4258" w:rsidRPr="006A3B1C">
        <w:rPr>
          <w:spacing w:val="-2"/>
          <w:lang w:val="fr-CH"/>
        </w:rPr>
        <w:t>r les 13 </w:t>
      </w:r>
      <w:r w:rsidR="00760F1C" w:rsidRPr="006A3B1C">
        <w:rPr>
          <w:spacing w:val="-2"/>
          <w:lang w:val="fr-CH"/>
        </w:rPr>
        <w:t>95</w:t>
      </w:r>
      <w:r w:rsidRPr="006A3B1C">
        <w:rPr>
          <w:spacing w:val="-2"/>
          <w:lang w:val="fr-CH"/>
        </w:rPr>
        <w:t>7 franc</w:t>
      </w:r>
      <w:r w:rsidR="006C4AAB" w:rsidRPr="006A3B1C">
        <w:rPr>
          <w:spacing w:val="-2"/>
          <w:lang w:val="fr-CH"/>
        </w:rPr>
        <w:t xml:space="preserve">s </w:t>
      </w:r>
      <w:r w:rsidR="008B4258" w:rsidRPr="006A3B1C">
        <w:rPr>
          <w:spacing w:val="-2"/>
          <w:lang w:val="fr-CH"/>
        </w:rPr>
        <w:t>suisses du solde à la fin de l</w:t>
      </w:r>
      <w:r w:rsidRPr="006A3B1C">
        <w:rPr>
          <w:spacing w:val="-2"/>
          <w:lang w:val="fr-CH"/>
        </w:rPr>
        <w:t>’</w:t>
      </w:r>
      <w:r w:rsidR="008B4258" w:rsidRPr="006A3B1C">
        <w:rPr>
          <w:spacing w:val="-2"/>
          <w:lang w:val="fr-CH"/>
        </w:rPr>
        <w:t>année</w:t>
      </w:r>
      <w:r w:rsidR="00BE23DA" w:rsidRPr="006A3B1C">
        <w:rPr>
          <w:spacing w:val="-2"/>
          <w:lang w:val="fr-CH"/>
        </w:rPr>
        <w:t> </w:t>
      </w:r>
      <w:r w:rsidR="006C4AAB" w:rsidRPr="006A3B1C">
        <w:rPr>
          <w:spacing w:val="-2"/>
          <w:lang w:val="fr-CH"/>
        </w:rPr>
        <w:t>2016</w:t>
      </w:r>
      <w:r w:rsidR="00A824AF" w:rsidRPr="006A3B1C">
        <w:rPr>
          <w:spacing w:val="-2"/>
          <w:lang w:val="fr-CH"/>
        </w:rPr>
        <w:t>,</w:t>
      </w:r>
      <w:r w:rsidR="006C4AAB" w:rsidRPr="006A3B1C">
        <w:rPr>
          <w:spacing w:val="-2"/>
          <w:lang w:val="fr-CH"/>
        </w:rPr>
        <w:t xml:space="preserve"> </w:t>
      </w:r>
      <w:r w:rsidR="008B4258" w:rsidRPr="006A3B1C">
        <w:rPr>
          <w:spacing w:val="-2"/>
          <w:lang w:val="fr-CH"/>
        </w:rPr>
        <w:t>aucune dépense n</w:t>
      </w:r>
      <w:r w:rsidRPr="006A3B1C">
        <w:rPr>
          <w:spacing w:val="-2"/>
          <w:lang w:val="fr-CH"/>
        </w:rPr>
        <w:t>’</w:t>
      </w:r>
      <w:r w:rsidR="008B4258" w:rsidRPr="006A3B1C">
        <w:rPr>
          <w:spacing w:val="-2"/>
          <w:lang w:val="fr-CH"/>
        </w:rPr>
        <w:t xml:space="preserve">a été engagée </w:t>
      </w:r>
      <w:r w:rsidRPr="006A3B1C">
        <w:rPr>
          <w:spacing w:val="-2"/>
          <w:lang w:val="fr-CH"/>
        </w:rPr>
        <w:t>en 2017</w:t>
      </w:r>
      <w:r w:rsidR="006C4AAB" w:rsidRPr="006A3B1C">
        <w:rPr>
          <w:spacing w:val="-2"/>
          <w:lang w:val="fr-CH"/>
        </w:rPr>
        <w:t>.</w:t>
      </w:r>
      <w:r w:rsidR="008B4258" w:rsidRPr="006A3B1C">
        <w:rPr>
          <w:spacing w:val="-2"/>
          <w:lang w:val="fr-CH"/>
        </w:rPr>
        <w:t xml:space="preserve"> </w:t>
      </w:r>
      <w:r w:rsidR="006C4AAB" w:rsidRPr="006A3B1C">
        <w:rPr>
          <w:spacing w:val="-2"/>
          <w:lang w:val="fr-CH"/>
        </w:rPr>
        <w:t xml:space="preserve"> </w:t>
      </w:r>
      <w:r w:rsidR="00D70565" w:rsidRPr="006A3B1C">
        <w:rPr>
          <w:spacing w:val="-2"/>
          <w:lang w:val="fr-CH"/>
        </w:rPr>
        <w:t>Au 3</w:t>
      </w:r>
      <w:r w:rsidRPr="006A3B1C">
        <w:rPr>
          <w:spacing w:val="-2"/>
          <w:lang w:val="fr-CH"/>
        </w:rPr>
        <w:t>1 décembre 20</w:t>
      </w:r>
      <w:r w:rsidR="00D70565" w:rsidRPr="006A3B1C">
        <w:rPr>
          <w:spacing w:val="-2"/>
          <w:lang w:val="fr-CH"/>
        </w:rPr>
        <w:t>17, le solde du Fonds spécial pour des projets, qui s</w:t>
      </w:r>
      <w:r w:rsidRPr="006A3B1C">
        <w:rPr>
          <w:spacing w:val="-2"/>
          <w:lang w:val="fr-CH"/>
        </w:rPr>
        <w:t>’</w:t>
      </w:r>
      <w:r w:rsidR="00D70565" w:rsidRPr="006A3B1C">
        <w:rPr>
          <w:spacing w:val="-2"/>
          <w:lang w:val="fr-CH"/>
        </w:rPr>
        <w:t>élève à 13</w:t>
      </w:r>
      <w:r w:rsidR="00AC2A6B" w:rsidRPr="006A3B1C">
        <w:rPr>
          <w:spacing w:val="-2"/>
          <w:lang w:val="fr-CH"/>
        </w:rPr>
        <w:t> </w:t>
      </w:r>
      <w:r w:rsidR="00D70565" w:rsidRPr="006A3B1C">
        <w:rPr>
          <w:spacing w:val="-2"/>
          <w:lang w:val="fr-CH"/>
        </w:rPr>
        <w:t>95</w:t>
      </w:r>
      <w:r w:rsidRPr="006A3B1C">
        <w:rPr>
          <w:spacing w:val="-2"/>
          <w:lang w:val="fr-CH"/>
        </w:rPr>
        <w:t>7 franc</w:t>
      </w:r>
      <w:r w:rsidR="00D70565" w:rsidRPr="006A3B1C">
        <w:rPr>
          <w:spacing w:val="-2"/>
          <w:lang w:val="fr-CH"/>
        </w:rPr>
        <w:t>s suisses, fait partie de l</w:t>
      </w:r>
      <w:r w:rsidRPr="006A3B1C">
        <w:rPr>
          <w:spacing w:val="-2"/>
          <w:lang w:val="fr-CH"/>
        </w:rPr>
        <w:t>’</w:t>
      </w:r>
      <w:r w:rsidR="00D70565" w:rsidRPr="006A3B1C">
        <w:rPr>
          <w:spacing w:val="-2"/>
          <w:lang w:val="fr-CH"/>
        </w:rPr>
        <w:t>actif net de l</w:t>
      </w:r>
      <w:r w:rsidRPr="006A3B1C">
        <w:rPr>
          <w:spacing w:val="-2"/>
          <w:lang w:val="fr-CH"/>
        </w:rPr>
        <w:t>’</w:t>
      </w:r>
      <w:r w:rsidR="00D70565" w:rsidRPr="006A3B1C">
        <w:rPr>
          <w:spacing w:val="-2"/>
          <w:lang w:val="fr-CH"/>
        </w:rPr>
        <w:t>UPOV.</w:t>
      </w:r>
    </w:p>
    <w:p w:rsidR="00905890" w:rsidRPr="004D3D70" w:rsidRDefault="00905890" w:rsidP="00A824AF">
      <w:pPr>
        <w:rPr>
          <w:lang w:val="fr-CH"/>
        </w:rPr>
      </w:pPr>
    </w:p>
    <w:p w:rsidR="00905890" w:rsidRPr="004D3D70" w:rsidRDefault="00D70565" w:rsidP="00D70565">
      <w:pPr>
        <w:pStyle w:val="Heading2"/>
        <w:rPr>
          <w:lang w:val="fr-CH"/>
        </w:rPr>
      </w:pPr>
      <w:bookmarkStart w:id="8" w:name="_Toc523157883"/>
      <w:r w:rsidRPr="004D3D70">
        <w:rPr>
          <w:lang w:val="fr-CH"/>
        </w:rPr>
        <w:t>Performance budgétaire</w:t>
      </w:r>
      <w:bookmarkEnd w:id="8"/>
    </w:p>
    <w:p w:rsidR="00905890" w:rsidRPr="006A3B1C" w:rsidRDefault="00905890" w:rsidP="00A824AF">
      <w:pPr>
        <w:rPr>
          <w:sz w:val="14"/>
          <w:lang w:val="fr-CH"/>
        </w:rPr>
      </w:pPr>
    </w:p>
    <w:p w:rsidR="00905890" w:rsidRPr="004D3D70" w:rsidRDefault="00D70565" w:rsidP="00D70565">
      <w:pPr>
        <w:numPr>
          <w:ilvl w:val="0"/>
          <w:numId w:val="18"/>
        </w:numPr>
        <w:rPr>
          <w:lang w:val="fr-CH"/>
        </w:rPr>
      </w:pPr>
      <w:r w:rsidRPr="004D3D70">
        <w:rPr>
          <w:lang w:val="fr-CH"/>
        </w:rPr>
        <w:t>Le budget de l</w:t>
      </w:r>
      <w:r w:rsidR="004D3D70">
        <w:rPr>
          <w:lang w:val="fr-CH"/>
        </w:rPr>
        <w:t>’</w:t>
      </w:r>
      <w:r w:rsidRPr="004D3D70">
        <w:rPr>
          <w:lang w:val="fr-CH"/>
        </w:rPr>
        <w:t>UPOV continue d</w:t>
      </w:r>
      <w:r w:rsidR="004D3D70">
        <w:rPr>
          <w:lang w:val="fr-CH"/>
        </w:rPr>
        <w:t>’</w:t>
      </w:r>
      <w:r w:rsidRPr="004D3D70">
        <w:rPr>
          <w:lang w:val="fr-CH"/>
        </w:rPr>
        <w:t>être établi selon une méthode de comptabilité modifiée et est présenté dans les états financiers sous l</w:t>
      </w:r>
      <w:r w:rsidR="004D3D70">
        <w:rPr>
          <w:lang w:val="fr-CH"/>
        </w:rPr>
        <w:t>’</w:t>
      </w:r>
      <w:r w:rsidRPr="004D3D70">
        <w:rPr>
          <w:lang w:val="fr-CH"/>
        </w:rPr>
        <w:t>État V, État de comparaison des montants budgétaires et des montants rée</w:t>
      </w:r>
      <w:r w:rsidR="002140E0" w:rsidRPr="004D3D70">
        <w:rPr>
          <w:lang w:val="fr-CH"/>
        </w:rPr>
        <w:t>ls</w:t>
      </w:r>
      <w:r w:rsidR="002140E0">
        <w:rPr>
          <w:lang w:val="fr-CH"/>
        </w:rPr>
        <w:t xml:space="preserve">.  </w:t>
      </w:r>
      <w:r w:rsidR="002140E0" w:rsidRPr="004D3D70">
        <w:rPr>
          <w:lang w:val="fr-CH"/>
        </w:rPr>
        <w:t>Af</w:t>
      </w:r>
      <w:r w:rsidRPr="004D3D70">
        <w:rPr>
          <w:lang w:val="fr-CH"/>
        </w:rPr>
        <w:t>in de faciliter la comparaison entre le budget et les états financiers établis selon les normes</w:t>
      </w:r>
      <w:r w:rsidR="00AC2A6B">
        <w:rPr>
          <w:lang w:val="fr-CH"/>
        </w:rPr>
        <w:t> </w:t>
      </w:r>
      <w:r w:rsidRPr="004D3D70">
        <w:rPr>
          <w:lang w:val="fr-CH"/>
        </w:rPr>
        <w:t>IPSAS, des rapprochements entre le budget et l</w:t>
      </w:r>
      <w:r w:rsidR="004D3D70">
        <w:rPr>
          <w:lang w:val="fr-CH"/>
        </w:rPr>
        <w:t>’</w:t>
      </w:r>
      <w:r w:rsidRPr="004D3D70">
        <w:rPr>
          <w:lang w:val="fr-CH"/>
        </w:rPr>
        <w:t>état de la performance financière figurent dans les notes complémentaires relatives aux états financiers.</w:t>
      </w:r>
    </w:p>
    <w:p w:rsidR="00905890" w:rsidRPr="006A3B1C" w:rsidRDefault="00905890" w:rsidP="00372D31">
      <w:pPr>
        <w:rPr>
          <w:sz w:val="14"/>
          <w:lang w:val="fr-CH"/>
        </w:rPr>
      </w:pPr>
    </w:p>
    <w:p w:rsidR="00905890" w:rsidRPr="004D3D70" w:rsidRDefault="00D70565" w:rsidP="001842BE">
      <w:pPr>
        <w:numPr>
          <w:ilvl w:val="0"/>
          <w:numId w:val="18"/>
        </w:numPr>
        <w:rPr>
          <w:u w:val="single"/>
          <w:lang w:val="fr-CH"/>
        </w:rPr>
      </w:pPr>
      <w:r w:rsidRPr="004D3D70">
        <w:rPr>
          <w:lang w:val="fr-CH"/>
        </w:rPr>
        <w:t>Le budget pour l</w:t>
      </w:r>
      <w:r w:rsidR="004D3D70">
        <w:rPr>
          <w:lang w:val="fr-CH"/>
        </w:rPr>
        <w:t>’</w:t>
      </w:r>
      <w:r w:rsidRPr="004D3D70">
        <w:rPr>
          <w:lang w:val="fr-CH"/>
        </w:rPr>
        <w:t>année</w:t>
      </w:r>
      <w:r w:rsidR="00BE23DA">
        <w:rPr>
          <w:lang w:val="fr-CH"/>
        </w:rPr>
        <w:t> </w:t>
      </w:r>
      <w:r w:rsidRPr="004D3D70">
        <w:rPr>
          <w:lang w:val="fr-CH"/>
        </w:rPr>
        <w:t>2017 indiquait des recettes et des dépenses à hauteur de 3</w:t>
      </w:r>
      <w:r w:rsidR="00AC2A6B">
        <w:rPr>
          <w:lang w:val="fr-CH"/>
        </w:rPr>
        <w:t> </w:t>
      </w:r>
      <w:r w:rsidRPr="004D3D70">
        <w:rPr>
          <w:lang w:val="fr-CH"/>
        </w:rPr>
        <w:t>411</w:t>
      </w:r>
      <w:r w:rsidR="00AC2A6B">
        <w:rPr>
          <w:lang w:val="fr-CH"/>
        </w:rPr>
        <w:t> </w:t>
      </w:r>
      <w:r w:rsidRPr="004D3D70">
        <w:rPr>
          <w:lang w:val="fr-CH"/>
        </w:rPr>
        <w:t>50</w:t>
      </w:r>
      <w:r w:rsidR="004D3D70" w:rsidRPr="004D3D70">
        <w:rPr>
          <w:lang w:val="fr-CH"/>
        </w:rPr>
        <w:t>0</w:t>
      </w:r>
      <w:r w:rsidR="004D3D70">
        <w:rPr>
          <w:lang w:val="fr-CH"/>
        </w:rPr>
        <w:t> </w:t>
      </w:r>
      <w:r w:rsidR="004D3D70" w:rsidRPr="004D3D70">
        <w:rPr>
          <w:lang w:val="fr-CH"/>
        </w:rPr>
        <w:t>franc</w:t>
      </w:r>
      <w:r w:rsidRPr="004D3D70">
        <w:rPr>
          <w:lang w:val="fr-CH"/>
        </w:rPr>
        <w:t>s suiss</w:t>
      </w:r>
      <w:r w:rsidR="002140E0" w:rsidRPr="004D3D70">
        <w:rPr>
          <w:lang w:val="fr-CH"/>
        </w:rPr>
        <w:t>es</w:t>
      </w:r>
      <w:r w:rsidR="002140E0">
        <w:rPr>
          <w:lang w:val="fr-CH"/>
        </w:rPr>
        <w:t xml:space="preserve">.  </w:t>
      </w:r>
      <w:r w:rsidR="002140E0" w:rsidRPr="004D3D70">
        <w:rPr>
          <w:lang w:val="fr-CH"/>
        </w:rPr>
        <w:t>Ce</w:t>
      </w:r>
      <w:r w:rsidRPr="004D3D70">
        <w:rPr>
          <w:lang w:val="fr-CH"/>
        </w:rPr>
        <w:t xml:space="preserve"> chiffre est à comparer aux recettes et aux dépenses effectives sur une base comparable (avant fonds fiduciaires et ajustements IPSAS) de 3</w:t>
      </w:r>
      <w:r w:rsidR="00AC2A6B">
        <w:rPr>
          <w:lang w:val="fr-CH"/>
        </w:rPr>
        <w:t> </w:t>
      </w:r>
      <w:r w:rsidRPr="004D3D70">
        <w:rPr>
          <w:lang w:val="fr-CH"/>
        </w:rPr>
        <w:t>419</w:t>
      </w:r>
      <w:r w:rsidR="00AC2A6B">
        <w:rPr>
          <w:lang w:val="fr-CH"/>
        </w:rPr>
        <w:t> </w:t>
      </w:r>
      <w:r w:rsidRPr="004D3D70">
        <w:rPr>
          <w:lang w:val="fr-CH"/>
        </w:rPr>
        <w:t>77</w:t>
      </w:r>
      <w:r w:rsidR="004D3D70" w:rsidRPr="004D3D70">
        <w:rPr>
          <w:lang w:val="fr-CH"/>
        </w:rPr>
        <w:t>8</w:t>
      </w:r>
      <w:r w:rsidR="004D3D70">
        <w:rPr>
          <w:lang w:val="fr-CH"/>
        </w:rPr>
        <w:t> </w:t>
      </w:r>
      <w:r w:rsidR="004D3D70" w:rsidRPr="004D3D70">
        <w:rPr>
          <w:lang w:val="fr-CH"/>
        </w:rPr>
        <w:t>franc</w:t>
      </w:r>
      <w:r w:rsidRPr="004D3D70">
        <w:rPr>
          <w:lang w:val="fr-CH"/>
        </w:rPr>
        <w:t>s suisses et 3</w:t>
      </w:r>
      <w:r w:rsidR="00AC2A6B">
        <w:rPr>
          <w:lang w:val="fr-CH"/>
        </w:rPr>
        <w:t> </w:t>
      </w:r>
      <w:r w:rsidRPr="004D3D70">
        <w:rPr>
          <w:lang w:val="fr-CH"/>
        </w:rPr>
        <w:t>585</w:t>
      </w:r>
      <w:r w:rsidR="00AC2A6B">
        <w:rPr>
          <w:lang w:val="fr-CH"/>
        </w:rPr>
        <w:t> </w:t>
      </w:r>
      <w:r w:rsidRPr="004D3D70">
        <w:rPr>
          <w:lang w:val="fr-CH"/>
        </w:rPr>
        <w:t>67</w:t>
      </w:r>
      <w:r w:rsidR="004D3D70" w:rsidRPr="004D3D70">
        <w:rPr>
          <w:lang w:val="fr-CH"/>
        </w:rPr>
        <w:t>8</w:t>
      </w:r>
      <w:r w:rsidR="004D3D70">
        <w:rPr>
          <w:lang w:val="fr-CH"/>
        </w:rPr>
        <w:t> </w:t>
      </w:r>
      <w:r w:rsidR="004D3D70" w:rsidRPr="004D3D70">
        <w:rPr>
          <w:lang w:val="fr-CH"/>
        </w:rPr>
        <w:t>franc</w:t>
      </w:r>
      <w:r w:rsidRPr="004D3D70">
        <w:rPr>
          <w:lang w:val="fr-CH"/>
        </w:rPr>
        <w:t>s suisses, respectiveme</w:t>
      </w:r>
      <w:r w:rsidR="002140E0" w:rsidRPr="004D3D70">
        <w:rPr>
          <w:lang w:val="fr-CH"/>
        </w:rPr>
        <w:t>nt</w:t>
      </w:r>
      <w:r w:rsidR="002140E0">
        <w:rPr>
          <w:lang w:val="fr-CH"/>
        </w:rPr>
        <w:t xml:space="preserve">.  </w:t>
      </w:r>
      <w:r w:rsidR="002140E0" w:rsidRPr="004D3D70">
        <w:rPr>
          <w:lang w:val="fr-CH"/>
        </w:rPr>
        <w:t>Le</w:t>
      </w:r>
      <w:r w:rsidRPr="004D3D70">
        <w:rPr>
          <w:lang w:val="fr-CH"/>
        </w:rPr>
        <w:t xml:space="preserve"> budget pour l</w:t>
      </w:r>
      <w:r w:rsidR="004D3D70">
        <w:rPr>
          <w:lang w:val="fr-CH"/>
        </w:rPr>
        <w:t>’</w:t>
      </w:r>
      <w:r w:rsidRPr="004D3D70">
        <w:rPr>
          <w:lang w:val="fr-CH"/>
        </w:rPr>
        <w:t xml:space="preserve">exercice </w:t>
      </w:r>
      <w:r w:rsidR="004D3D70" w:rsidRPr="004D3D70">
        <w:rPr>
          <w:lang w:val="fr-CH"/>
        </w:rPr>
        <w:t>biennal</w:t>
      </w:r>
      <w:r w:rsidR="00874BE8">
        <w:rPr>
          <w:lang w:val="fr-CH"/>
        </w:rPr>
        <w:t xml:space="preserve"> </w:t>
      </w:r>
      <w:r w:rsidR="004D3D70" w:rsidRPr="004D3D70">
        <w:rPr>
          <w:lang w:val="fr-CH"/>
        </w:rPr>
        <w:t>2016</w:t>
      </w:r>
      <w:r w:rsidR="00665FEC">
        <w:rPr>
          <w:lang w:val="fr-CH"/>
        </w:rPr>
        <w:noBreakHyphen/>
      </w:r>
      <w:r w:rsidRPr="004D3D70">
        <w:rPr>
          <w:lang w:val="fr-CH"/>
        </w:rPr>
        <w:t>2017 indiquait des recettes et des dépenses de 6</w:t>
      </w:r>
      <w:r w:rsidR="00AC2A6B">
        <w:rPr>
          <w:lang w:val="fr-CH"/>
        </w:rPr>
        <w:t> </w:t>
      </w:r>
      <w:r w:rsidRPr="004D3D70">
        <w:rPr>
          <w:lang w:val="fr-CH"/>
        </w:rPr>
        <w:t>823</w:t>
      </w:r>
      <w:r w:rsidR="00AC2A6B">
        <w:rPr>
          <w:lang w:val="fr-CH"/>
        </w:rPr>
        <w:t> </w:t>
      </w:r>
      <w:r w:rsidRPr="004D3D70">
        <w:rPr>
          <w:lang w:val="fr-CH"/>
        </w:rPr>
        <w:t>00</w:t>
      </w:r>
      <w:r w:rsidR="004D3D70" w:rsidRPr="004D3D70">
        <w:rPr>
          <w:lang w:val="fr-CH"/>
        </w:rPr>
        <w:t>0</w:t>
      </w:r>
      <w:r w:rsidR="004D3D70">
        <w:rPr>
          <w:lang w:val="fr-CH"/>
        </w:rPr>
        <w:t> </w:t>
      </w:r>
      <w:r w:rsidR="004D3D70" w:rsidRPr="004D3D70">
        <w:rPr>
          <w:lang w:val="fr-CH"/>
        </w:rPr>
        <w:t>franc</w:t>
      </w:r>
      <w:r w:rsidRPr="004D3D70">
        <w:rPr>
          <w:lang w:val="fr-CH"/>
        </w:rPr>
        <w:t>s suiss</w:t>
      </w:r>
      <w:r w:rsidR="002140E0" w:rsidRPr="004D3D70">
        <w:rPr>
          <w:lang w:val="fr-CH"/>
        </w:rPr>
        <w:t>es</w:t>
      </w:r>
      <w:r w:rsidR="002140E0">
        <w:rPr>
          <w:lang w:val="fr-CH"/>
        </w:rPr>
        <w:t xml:space="preserve">.  </w:t>
      </w:r>
      <w:r w:rsidR="002140E0" w:rsidRPr="004D3D70">
        <w:rPr>
          <w:lang w:val="fr-CH"/>
        </w:rPr>
        <w:t>Ce</w:t>
      </w:r>
      <w:r w:rsidRPr="004D3D70">
        <w:rPr>
          <w:lang w:val="fr-CH"/>
        </w:rPr>
        <w:t xml:space="preserve"> chiffre est à comparer aux recettes et aux dépenses effectives sur une base comparable de 6</w:t>
      </w:r>
      <w:r w:rsidR="00AC2A6B">
        <w:rPr>
          <w:lang w:val="fr-CH"/>
        </w:rPr>
        <w:t> </w:t>
      </w:r>
      <w:r w:rsidRPr="004D3D70">
        <w:rPr>
          <w:lang w:val="fr-CH"/>
        </w:rPr>
        <w:t>850</w:t>
      </w:r>
      <w:r w:rsidR="00AC2A6B">
        <w:rPr>
          <w:lang w:val="fr-CH"/>
        </w:rPr>
        <w:t> </w:t>
      </w:r>
      <w:r w:rsidRPr="004D3D70">
        <w:rPr>
          <w:lang w:val="fr-CH"/>
        </w:rPr>
        <w:t>70</w:t>
      </w:r>
      <w:r w:rsidR="004D3D70" w:rsidRPr="004D3D70">
        <w:rPr>
          <w:lang w:val="fr-CH"/>
        </w:rPr>
        <w:t>6</w:t>
      </w:r>
      <w:r w:rsidR="004D3D70">
        <w:rPr>
          <w:lang w:val="fr-CH"/>
        </w:rPr>
        <w:t> </w:t>
      </w:r>
      <w:r w:rsidR="004D3D70" w:rsidRPr="004D3D70">
        <w:rPr>
          <w:lang w:val="fr-CH"/>
        </w:rPr>
        <w:t>franc</w:t>
      </w:r>
      <w:r w:rsidR="00874BE8">
        <w:rPr>
          <w:lang w:val="fr-CH"/>
        </w:rPr>
        <w:t>s </w:t>
      </w:r>
      <w:r w:rsidRPr="004D3D70">
        <w:rPr>
          <w:lang w:val="fr-CH"/>
        </w:rPr>
        <w:t>suisses et 6</w:t>
      </w:r>
      <w:r w:rsidR="00AC2A6B">
        <w:rPr>
          <w:lang w:val="fr-CH"/>
        </w:rPr>
        <w:t> </w:t>
      </w:r>
      <w:r w:rsidRPr="004D3D70">
        <w:rPr>
          <w:lang w:val="fr-CH"/>
        </w:rPr>
        <w:t>824</w:t>
      </w:r>
      <w:r w:rsidR="00AC2A6B">
        <w:rPr>
          <w:lang w:val="fr-CH"/>
        </w:rPr>
        <w:t> </w:t>
      </w:r>
      <w:r w:rsidRPr="004D3D70">
        <w:rPr>
          <w:lang w:val="fr-CH"/>
        </w:rPr>
        <w:t>54</w:t>
      </w:r>
      <w:r w:rsidR="004D3D70" w:rsidRPr="004D3D70">
        <w:rPr>
          <w:lang w:val="fr-CH"/>
        </w:rPr>
        <w:t>4</w:t>
      </w:r>
      <w:r w:rsidR="004D3D70">
        <w:rPr>
          <w:lang w:val="fr-CH"/>
        </w:rPr>
        <w:t> </w:t>
      </w:r>
      <w:r w:rsidR="004D3D70" w:rsidRPr="004D3D70">
        <w:rPr>
          <w:lang w:val="fr-CH"/>
        </w:rPr>
        <w:t>franc</w:t>
      </w:r>
      <w:r w:rsidR="00874BE8">
        <w:rPr>
          <w:lang w:val="fr-CH"/>
        </w:rPr>
        <w:t>s </w:t>
      </w:r>
      <w:r w:rsidRPr="004D3D70">
        <w:rPr>
          <w:lang w:val="fr-CH"/>
        </w:rPr>
        <w:t>suisses, respectiveme</w:t>
      </w:r>
      <w:r w:rsidR="002140E0" w:rsidRPr="004D3D70">
        <w:rPr>
          <w:lang w:val="fr-CH"/>
        </w:rPr>
        <w:t>nt</w:t>
      </w:r>
      <w:r w:rsidR="002140E0">
        <w:rPr>
          <w:lang w:val="fr-CH"/>
        </w:rPr>
        <w:t xml:space="preserve">.  </w:t>
      </w:r>
      <w:r w:rsidR="002140E0" w:rsidRPr="004D3D70">
        <w:rPr>
          <w:lang w:val="fr-CH"/>
        </w:rPr>
        <w:t>L</w:t>
      </w:r>
      <w:r w:rsidR="002140E0">
        <w:rPr>
          <w:lang w:val="fr-CH"/>
        </w:rPr>
        <w:t>’</w:t>
      </w:r>
      <w:r w:rsidR="002140E0" w:rsidRPr="004D3D70">
        <w:rPr>
          <w:lang w:val="fr-CH"/>
        </w:rPr>
        <w:t>e</w:t>
      </w:r>
      <w:r w:rsidR="001842BE" w:rsidRPr="004D3D70">
        <w:rPr>
          <w:lang w:val="fr-CH"/>
        </w:rPr>
        <w:t>xcédent effectif pour l</w:t>
      </w:r>
      <w:r w:rsidR="004D3D70">
        <w:rPr>
          <w:lang w:val="fr-CH"/>
        </w:rPr>
        <w:t>’</w:t>
      </w:r>
      <w:r w:rsidR="001842BE" w:rsidRPr="004D3D70">
        <w:rPr>
          <w:lang w:val="fr-CH"/>
        </w:rPr>
        <w:t xml:space="preserve">exercice </w:t>
      </w:r>
      <w:r w:rsidR="004D3D70" w:rsidRPr="004D3D70">
        <w:rPr>
          <w:lang w:val="fr-CH"/>
        </w:rPr>
        <w:t>biennal</w:t>
      </w:r>
      <w:r w:rsidR="00874BE8">
        <w:rPr>
          <w:lang w:val="fr-CH"/>
        </w:rPr>
        <w:t xml:space="preserve"> </w:t>
      </w:r>
      <w:r w:rsidR="004D3D70" w:rsidRPr="004D3D70">
        <w:rPr>
          <w:lang w:val="fr-CH"/>
        </w:rPr>
        <w:t>2016</w:t>
      </w:r>
      <w:r w:rsidR="00665FEC">
        <w:rPr>
          <w:lang w:val="fr-CH"/>
        </w:rPr>
        <w:noBreakHyphen/>
      </w:r>
      <w:r w:rsidR="001842BE" w:rsidRPr="004D3D70">
        <w:rPr>
          <w:lang w:val="fr-CH"/>
        </w:rPr>
        <w:t>2017 sur une base comparable équivaut à 26 16</w:t>
      </w:r>
      <w:r w:rsidR="004D3D70" w:rsidRPr="004D3D70">
        <w:rPr>
          <w:lang w:val="fr-CH"/>
        </w:rPr>
        <w:t>2</w:t>
      </w:r>
      <w:r w:rsidR="004D3D70">
        <w:rPr>
          <w:lang w:val="fr-CH"/>
        </w:rPr>
        <w:t> </w:t>
      </w:r>
      <w:r w:rsidR="004D3D70" w:rsidRPr="004D3D70">
        <w:rPr>
          <w:lang w:val="fr-CH"/>
        </w:rPr>
        <w:t>franc</w:t>
      </w:r>
      <w:r w:rsidR="00874BE8">
        <w:rPr>
          <w:lang w:val="fr-CH"/>
        </w:rPr>
        <w:t>s </w:t>
      </w:r>
      <w:r w:rsidR="001842BE" w:rsidRPr="004D3D70">
        <w:rPr>
          <w:lang w:val="fr-CH"/>
        </w:rPr>
        <w:t>suisses (excédent de 192</w:t>
      </w:r>
      <w:r w:rsidR="00AC2A6B">
        <w:rPr>
          <w:lang w:val="fr-CH"/>
        </w:rPr>
        <w:t> </w:t>
      </w:r>
      <w:r w:rsidR="001842BE" w:rsidRPr="004D3D70">
        <w:rPr>
          <w:lang w:val="fr-CH"/>
        </w:rPr>
        <w:t>06</w:t>
      </w:r>
      <w:r w:rsidR="004D3D70" w:rsidRPr="004D3D70">
        <w:rPr>
          <w:lang w:val="fr-CH"/>
        </w:rPr>
        <w:t>2</w:t>
      </w:r>
      <w:r w:rsidR="004D3D70">
        <w:rPr>
          <w:lang w:val="fr-CH"/>
        </w:rPr>
        <w:t> </w:t>
      </w:r>
      <w:r w:rsidR="004D3D70" w:rsidRPr="004D3D70">
        <w:rPr>
          <w:lang w:val="fr-CH"/>
        </w:rPr>
        <w:t>franc</w:t>
      </w:r>
      <w:r w:rsidR="00874BE8">
        <w:rPr>
          <w:lang w:val="fr-CH"/>
        </w:rPr>
        <w:t>s </w:t>
      </w:r>
      <w:r w:rsidR="001842BE" w:rsidRPr="004D3D70">
        <w:rPr>
          <w:lang w:val="fr-CH"/>
        </w:rPr>
        <w:t xml:space="preserve">suisses </w:t>
      </w:r>
      <w:r w:rsidR="004D3D70" w:rsidRPr="004D3D70">
        <w:rPr>
          <w:lang w:val="fr-CH"/>
        </w:rPr>
        <w:t>en</w:t>
      </w:r>
      <w:r w:rsidR="00874BE8">
        <w:rPr>
          <w:lang w:val="fr-CH"/>
        </w:rPr>
        <w:t xml:space="preserve"> </w:t>
      </w:r>
      <w:r w:rsidR="004D3D70" w:rsidRPr="004D3D70">
        <w:rPr>
          <w:lang w:val="fr-CH"/>
        </w:rPr>
        <w:t>2016</w:t>
      </w:r>
      <w:r w:rsidR="001842BE" w:rsidRPr="004D3D70">
        <w:rPr>
          <w:lang w:val="fr-CH"/>
        </w:rPr>
        <w:t xml:space="preserve"> et déficit de 165</w:t>
      </w:r>
      <w:r w:rsidR="00AC2A6B">
        <w:rPr>
          <w:lang w:val="fr-CH"/>
        </w:rPr>
        <w:t> </w:t>
      </w:r>
      <w:r w:rsidR="001842BE" w:rsidRPr="004D3D70">
        <w:rPr>
          <w:lang w:val="fr-CH"/>
        </w:rPr>
        <w:t>90</w:t>
      </w:r>
      <w:r w:rsidR="004D3D70" w:rsidRPr="004D3D70">
        <w:rPr>
          <w:lang w:val="fr-CH"/>
        </w:rPr>
        <w:t>0</w:t>
      </w:r>
      <w:r w:rsidR="004D3D70">
        <w:rPr>
          <w:lang w:val="fr-CH"/>
        </w:rPr>
        <w:t> </w:t>
      </w:r>
      <w:r w:rsidR="004D3D70" w:rsidRPr="004D3D70">
        <w:rPr>
          <w:lang w:val="fr-CH"/>
        </w:rPr>
        <w:t>franc</w:t>
      </w:r>
      <w:r w:rsidR="001842BE" w:rsidRPr="004D3D70">
        <w:rPr>
          <w:lang w:val="fr-CH"/>
        </w:rPr>
        <w:t xml:space="preserve">s suisses </w:t>
      </w:r>
      <w:r w:rsidR="004D3D70" w:rsidRPr="004D3D70">
        <w:rPr>
          <w:lang w:val="fr-CH"/>
        </w:rPr>
        <w:t>en</w:t>
      </w:r>
      <w:r w:rsidR="004D3D70">
        <w:rPr>
          <w:lang w:val="fr-CH"/>
        </w:rPr>
        <w:t> </w:t>
      </w:r>
      <w:r w:rsidR="004D3D70" w:rsidRPr="004D3D70">
        <w:rPr>
          <w:lang w:val="fr-CH"/>
        </w:rPr>
        <w:t>2017</w:t>
      </w:r>
      <w:r w:rsidR="001842BE" w:rsidRPr="004D3D70">
        <w:rPr>
          <w:lang w:val="fr-CH"/>
        </w:rPr>
        <w:t>).</w:t>
      </w:r>
      <w:r w:rsidR="00372D31" w:rsidRPr="004D3D70">
        <w:rPr>
          <w:lang w:val="fr-CH"/>
        </w:rPr>
        <w:t xml:space="preserve"> </w:t>
      </w:r>
      <w:r w:rsidR="003C5ED9" w:rsidRPr="004D3D70">
        <w:rPr>
          <w:lang w:val="fr-CH"/>
        </w:rPr>
        <w:t xml:space="preserve"> L</w:t>
      </w:r>
      <w:r w:rsidR="00372D31" w:rsidRPr="004D3D70">
        <w:rPr>
          <w:lang w:val="fr-CH"/>
        </w:rPr>
        <w:t>e</w:t>
      </w:r>
      <w:r w:rsidR="003C5ED9" w:rsidRPr="004D3D70">
        <w:rPr>
          <w:lang w:val="fr-CH"/>
        </w:rPr>
        <w:t>s</w:t>
      </w:r>
      <w:r w:rsidR="00372D31" w:rsidRPr="004D3D70">
        <w:rPr>
          <w:lang w:val="fr-CH"/>
        </w:rPr>
        <w:t xml:space="preserve"> principal</w:t>
      </w:r>
      <w:r w:rsidR="003C5ED9" w:rsidRPr="004D3D70">
        <w:rPr>
          <w:lang w:val="fr-CH"/>
        </w:rPr>
        <w:t>es</w:t>
      </w:r>
      <w:r w:rsidR="00372D31" w:rsidRPr="004D3D70">
        <w:rPr>
          <w:lang w:val="fr-CH"/>
        </w:rPr>
        <w:t xml:space="preserve"> variations </w:t>
      </w:r>
      <w:r w:rsidR="003C5ED9" w:rsidRPr="004D3D70">
        <w:rPr>
          <w:lang w:val="fr-CH"/>
        </w:rPr>
        <w:t xml:space="preserve">entre les budgets </w:t>
      </w:r>
      <w:r w:rsidR="004D3D70" w:rsidRPr="004D3D70">
        <w:rPr>
          <w:lang w:val="fr-CH"/>
        </w:rPr>
        <w:t>de</w:t>
      </w:r>
      <w:r w:rsidR="004D3D70">
        <w:rPr>
          <w:lang w:val="fr-CH"/>
        </w:rPr>
        <w:t> </w:t>
      </w:r>
      <w:r w:rsidR="004D3D70" w:rsidRPr="004D3D70">
        <w:rPr>
          <w:lang w:val="fr-CH"/>
        </w:rPr>
        <w:t>2017</w:t>
      </w:r>
      <w:r w:rsidR="00372D31" w:rsidRPr="004D3D70">
        <w:rPr>
          <w:lang w:val="fr-CH"/>
        </w:rPr>
        <w:t xml:space="preserve"> </w:t>
      </w:r>
      <w:r w:rsidR="003C5ED9" w:rsidRPr="004D3D70">
        <w:rPr>
          <w:lang w:val="fr-CH"/>
        </w:rPr>
        <w:t>et de l</w:t>
      </w:r>
      <w:r w:rsidR="004D3D70">
        <w:rPr>
          <w:lang w:val="fr-CH"/>
        </w:rPr>
        <w:t>’</w:t>
      </w:r>
      <w:r w:rsidR="003C5ED9" w:rsidRPr="004D3D70">
        <w:rPr>
          <w:lang w:val="fr-CH"/>
        </w:rPr>
        <w:t xml:space="preserve">exercice </w:t>
      </w:r>
      <w:r w:rsidR="004D3D70" w:rsidRPr="004D3D70">
        <w:rPr>
          <w:lang w:val="fr-CH"/>
        </w:rPr>
        <w:t>biennal</w:t>
      </w:r>
      <w:r w:rsidR="00874BE8">
        <w:rPr>
          <w:lang w:val="fr-CH"/>
        </w:rPr>
        <w:t xml:space="preserve"> </w:t>
      </w:r>
      <w:r w:rsidR="004D3D70" w:rsidRPr="004D3D70">
        <w:rPr>
          <w:lang w:val="fr-CH"/>
        </w:rPr>
        <w:t>2016</w:t>
      </w:r>
      <w:r w:rsidR="00665FEC">
        <w:rPr>
          <w:lang w:val="fr-CH"/>
        </w:rPr>
        <w:noBreakHyphen/>
      </w:r>
      <w:r w:rsidR="00372D31" w:rsidRPr="004D3D70">
        <w:rPr>
          <w:lang w:val="fr-CH"/>
        </w:rPr>
        <w:t xml:space="preserve">2017 </w:t>
      </w:r>
      <w:r w:rsidR="003C5ED9" w:rsidRPr="004D3D70">
        <w:rPr>
          <w:lang w:val="fr-CH"/>
        </w:rPr>
        <w:t xml:space="preserve">et les chiffres effectifs sur une base </w:t>
      </w:r>
      <w:r w:rsidR="00372D31" w:rsidRPr="004D3D70">
        <w:rPr>
          <w:lang w:val="fr-CH"/>
        </w:rPr>
        <w:t>comparable</w:t>
      </w:r>
      <w:r w:rsidR="003C5ED9" w:rsidRPr="004D3D70">
        <w:rPr>
          <w:lang w:val="fr-CH"/>
        </w:rPr>
        <w:t xml:space="preserve"> sont expliquées dans les paragraphes ci</w:t>
      </w:r>
      <w:r w:rsidR="00665FEC">
        <w:rPr>
          <w:lang w:val="fr-CH"/>
        </w:rPr>
        <w:noBreakHyphen/>
      </w:r>
      <w:r w:rsidR="003C5ED9" w:rsidRPr="004D3D70">
        <w:rPr>
          <w:lang w:val="fr-CH"/>
        </w:rPr>
        <w:t>après</w:t>
      </w:r>
      <w:r w:rsidR="00372D31" w:rsidRPr="004D3D70">
        <w:rPr>
          <w:lang w:val="fr-CH"/>
        </w:rPr>
        <w:t>.</w:t>
      </w:r>
    </w:p>
    <w:p w:rsidR="00905890" w:rsidRPr="006A3B1C" w:rsidRDefault="00905890" w:rsidP="00372D31">
      <w:pPr>
        <w:rPr>
          <w:sz w:val="14"/>
          <w:lang w:val="fr-CH"/>
        </w:rPr>
      </w:pPr>
    </w:p>
    <w:p w:rsidR="004D3D70" w:rsidRDefault="00372D31" w:rsidP="00372D31">
      <w:pPr>
        <w:numPr>
          <w:ilvl w:val="0"/>
          <w:numId w:val="18"/>
        </w:numPr>
        <w:rPr>
          <w:lang w:val="fr-CH"/>
        </w:rPr>
      </w:pPr>
      <w:r w:rsidRPr="004D3D70">
        <w:rPr>
          <w:lang w:val="fr-CH"/>
        </w:rPr>
        <w:t>Contributions</w:t>
      </w:r>
      <w:r w:rsidR="004D3D70">
        <w:rPr>
          <w:lang w:val="fr-CH"/>
        </w:rPr>
        <w:t> :</w:t>
      </w:r>
      <w:r w:rsidRPr="004D3D70">
        <w:rPr>
          <w:lang w:val="fr-CH"/>
        </w:rPr>
        <w:t xml:space="preserve"> </w:t>
      </w:r>
      <w:r w:rsidR="004D3D70" w:rsidRPr="004D3D70">
        <w:rPr>
          <w:lang w:val="fr-CH"/>
        </w:rPr>
        <w:t>en</w:t>
      </w:r>
      <w:r w:rsidR="004D3D70">
        <w:rPr>
          <w:lang w:val="fr-CH"/>
        </w:rPr>
        <w:t> </w:t>
      </w:r>
      <w:r w:rsidR="004D3D70" w:rsidRPr="004D3D70">
        <w:rPr>
          <w:lang w:val="fr-CH"/>
        </w:rPr>
        <w:t>2017</w:t>
      </w:r>
      <w:r w:rsidRPr="004D3D70">
        <w:rPr>
          <w:lang w:val="fr-CH"/>
        </w:rPr>
        <w:t xml:space="preserve">, </w:t>
      </w:r>
      <w:r w:rsidR="009E12E7" w:rsidRPr="004D3D70">
        <w:rPr>
          <w:lang w:val="fr-CH"/>
        </w:rPr>
        <w:t xml:space="preserve">les </w:t>
      </w:r>
      <w:r w:rsidR="00685181" w:rsidRPr="004D3D70">
        <w:rPr>
          <w:lang w:val="fr-CH"/>
        </w:rPr>
        <w:t>recettes effectives provenant des</w:t>
      </w:r>
      <w:r w:rsidRPr="004D3D70">
        <w:rPr>
          <w:lang w:val="fr-CH"/>
        </w:rPr>
        <w:t xml:space="preserve"> contributions</w:t>
      </w:r>
      <w:r w:rsidR="00685181" w:rsidRPr="004D3D70">
        <w:rPr>
          <w:lang w:val="fr-CH"/>
        </w:rPr>
        <w:t xml:space="preserve"> réelles ont été</w:t>
      </w:r>
      <w:r w:rsidRPr="004D3D70">
        <w:rPr>
          <w:lang w:val="fr-CH"/>
        </w:rPr>
        <w:t xml:space="preserve"> </w:t>
      </w:r>
      <w:r w:rsidR="00685181" w:rsidRPr="004D3D70">
        <w:rPr>
          <w:lang w:val="fr-CH"/>
        </w:rPr>
        <w:t>de</w:t>
      </w:r>
      <w:r w:rsidR="009E12E7" w:rsidRPr="004D3D70">
        <w:rPr>
          <w:lang w:val="fr-CH"/>
        </w:rPr>
        <w:t xml:space="preserve"> 3 365 </w:t>
      </w:r>
      <w:r w:rsidR="00DB1F08" w:rsidRPr="004D3D70">
        <w:rPr>
          <w:lang w:val="fr-CH"/>
        </w:rPr>
        <w:t>962 </w:t>
      </w:r>
      <w:r w:rsidRPr="004D3D70">
        <w:rPr>
          <w:lang w:val="fr-CH"/>
        </w:rPr>
        <w:t xml:space="preserve">francs </w:t>
      </w:r>
      <w:r w:rsidR="009E12E7" w:rsidRPr="004D3D70">
        <w:rPr>
          <w:lang w:val="fr-CH"/>
        </w:rPr>
        <w:t>suisses</w:t>
      </w:r>
      <w:r w:rsidR="00685181" w:rsidRPr="004D3D70">
        <w:rPr>
          <w:lang w:val="fr-CH"/>
        </w:rPr>
        <w:t>,</w:t>
      </w:r>
      <w:r w:rsidR="00400A95" w:rsidRPr="004D3D70">
        <w:rPr>
          <w:lang w:val="fr-CH"/>
        </w:rPr>
        <w:t xml:space="preserve"> un montant</w:t>
      </w:r>
      <w:r w:rsidR="00685181" w:rsidRPr="004D3D70">
        <w:rPr>
          <w:lang w:val="fr-CH"/>
        </w:rPr>
        <w:t xml:space="preserve"> légèrement plus élevé que </w:t>
      </w:r>
      <w:r w:rsidR="00400A95" w:rsidRPr="004D3D70">
        <w:rPr>
          <w:lang w:val="fr-CH"/>
        </w:rPr>
        <w:t xml:space="preserve">prévu </w:t>
      </w:r>
      <w:r w:rsidR="00685181" w:rsidRPr="004D3D70">
        <w:rPr>
          <w:lang w:val="fr-CH"/>
        </w:rPr>
        <w:t>(+0,</w:t>
      </w:r>
      <w:r w:rsidRPr="004D3D70">
        <w:rPr>
          <w:lang w:val="fr-CH"/>
        </w:rPr>
        <w:t>3%)</w:t>
      </w:r>
      <w:r w:rsidR="00DA4420" w:rsidRPr="004D3D70">
        <w:rPr>
          <w:lang w:val="fr-CH"/>
        </w:rPr>
        <w:t xml:space="preserve"> </w:t>
      </w:r>
      <w:r w:rsidR="00400A95" w:rsidRPr="004D3D70">
        <w:rPr>
          <w:lang w:val="fr-CH"/>
        </w:rPr>
        <w:t>qui</w:t>
      </w:r>
      <w:r w:rsidR="00DA4420" w:rsidRPr="004D3D70">
        <w:rPr>
          <w:lang w:val="fr-CH"/>
        </w:rPr>
        <w:t xml:space="preserve"> </w:t>
      </w:r>
      <w:r w:rsidRPr="004D3D70">
        <w:rPr>
          <w:lang w:val="fr-CH"/>
        </w:rPr>
        <w:t>c</w:t>
      </w:r>
      <w:r w:rsidR="00DA4420" w:rsidRPr="004D3D70">
        <w:rPr>
          <w:lang w:val="fr-CH"/>
        </w:rPr>
        <w:t>orrespond à 0,</w:t>
      </w:r>
      <w:r w:rsidR="00DB1F08" w:rsidRPr="004D3D70">
        <w:rPr>
          <w:lang w:val="fr-CH"/>
        </w:rPr>
        <w:t>2 </w:t>
      </w:r>
      <w:r w:rsidR="00DA4420" w:rsidRPr="004D3D70">
        <w:rPr>
          <w:lang w:val="fr-CH"/>
        </w:rPr>
        <w:t xml:space="preserve">unité de </w:t>
      </w:r>
      <w:r w:rsidRPr="004D3D70">
        <w:rPr>
          <w:lang w:val="fr-CH"/>
        </w:rPr>
        <w:t>contribution</w:t>
      </w:r>
      <w:r w:rsidR="00DA4420" w:rsidRPr="004D3D70">
        <w:rPr>
          <w:lang w:val="fr-CH"/>
        </w:rPr>
        <w:t xml:space="preserve"> supplémentai</w:t>
      </w:r>
      <w:r w:rsidR="002140E0" w:rsidRPr="004D3D70">
        <w:rPr>
          <w:lang w:val="fr-CH"/>
        </w:rPr>
        <w:t>re</w:t>
      </w:r>
      <w:r w:rsidR="002140E0">
        <w:rPr>
          <w:lang w:val="fr-CH"/>
        </w:rPr>
        <w:t xml:space="preserve">.  </w:t>
      </w:r>
      <w:r w:rsidR="002140E0" w:rsidRPr="004D3D70">
        <w:rPr>
          <w:lang w:val="fr-CH"/>
        </w:rPr>
        <w:t>Au</w:t>
      </w:r>
      <w:r w:rsidR="00C53781" w:rsidRPr="004D3D70">
        <w:rPr>
          <w:lang w:val="fr-CH"/>
        </w:rPr>
        <w:t xml:space="preserve"> cours de l</w:t>
      </w:r>
      <w:r w:rsidR="004D3D70">
        <w:rPr>
          <w:lang w:val="fr-CH"/>
        </w:rPr>
        <w:t>’</w:t>
      </w:r>
      <w:r w:rsidR="00C53781" w:rsidRPr="004D3D70">
        <w:rPr>
          <w:lang w:val="fr-CH"/>
        </w:rPr>
        <w:t xml:space="preserve">exercice </w:t>
      </w:r>
      <w:r w:rsidR="004D3D70" w:rsidRPr="004D3D70">
        <w:rPr>
          <w:lang w:val="fr-CH"/>
        </w:rPr>
        <w:t>biennal</w:t>
      </w:r>
      <w:r w:rsidR="004D3D70">
        <w:rPr>
          <w:lang w:val="fr-CH"/>
        </w:rPr>
        <w:t> </w:t>
      </w:r>
      <w:r w:rsidR="004D3D70" w:rsidRPr="004D3D70">
        <w:rPr>
          <w:lang w:val="fr-CH"/>
        </w:rPr>
        <w:t>2016</w:t>
      </w:r>
      <w:r w:rsidR="00665FEC">
        <w:rPr>
          <w:lang w:val="fr-CH"/>
        </w:rPr>
        <w:noBreakHyphen/>
      </w:r>
      <w:r w:rsidRPr="004D3D70">
        <w:rPr>
          <w:lang w:val="fr-CH"/>
        </w:rPr>
        <w:t xml:space="preserve">2017, </w:t>
      </w:r>
      <w:r w:rsidR="00C53781" w:rsidRPr="004D3D70">
        <w:rPr>
          <w:lang w:val="fr-CH"/>
        </w:rPr>
        <w:t>les recettes</w:t>
      </w:r>
      <w:r w:rsidRPr="004D3D70">
        <w:rPr>
          <w:lang w:val="fr-CH"/>
        </w:rPr>
        <w:t xml:space="preserve"> (</w:t>
      </w:r>
      <w:r w:rsidR="00C53781" w:rsidRPr="004D3D70">
        <w:rPr>
          <w:lang w:val="fr-CH"/>
        </w:rPr>
        <w:t>6 850 </w:t>
      </w:r>
      <w:r w:rsidRPr="004D3D70">
        <w:rPr>
          <w:lang w:val="fr-CH"/>
        </w:rPr>
        <w:t>706</w:t>
      </w:r>
      <w:r w:rsidR="00C53781" w:rsidRPr="004D3D70">
        <w:rPr>
          <w:lang w:val="fr-CH"/>
        </w:rPr>
        <w:t> </w:t>
      </w:r>
      <w:r w:rsidRPr="004D3D70">
        <w:rPr>
          <w:lang w:val="fr-CH"/>
        </w:rPr>
        <w:t>francs</w:t>
      </w:r>
      <w:r w:rsidR="00C53781" w:rsidRPr="004D3D70">
        <w:rPr>
          <w:lang w:val="fr-CH"/>
        </w:rPr>
        <w:t xml:space="preserve"> suisses</w:t>
      </w:r>
      <w:r w:rsidRPr="004D3D70">
        <w:rPr>
          <w:lang w:val="fr-CH"/>
        </w:rPr>
        <w:t xml:space="preserve">) </w:t>
      </w:r>
      <w:r w:rsidR="00C53781" w:rsidRPr="004D3D70">
        <w:rPr>
          <w:lang w:val="fr-CH"/>
        </w:rPr>
        <w:t xml:space="preserve">ont été légèrement plus </w:t>
      </w:r>
      <w:r w:rsidR="00400A95" w:rsidRPr="004D3D70">
        <w:rPr>
          <w:lang w:val="fr-CH"/>
        </w:rPr>
        <w:t xml:space="preserve">élevées </w:t>
      </w:r>
      <w:r w:rsidR="00C53781" w:rsidRPr="004D3D70">
        <w:rPr>
          <w:lang w:val="fr-CH"/>
        </w:rPr>
        <w:t>(+0,</w:t>
      </w:r>
      <w:r w:rsidRPr="004D3D70">
        <w:rPr>
          <w:lang w:val="fr-CH"/>
        </w:rPr>
        <w:t xml:space="preserve">4%) </w:t>
      </w:r>
      <w:r w:rsidR="00DB1F08" w:rsidRPr="004D3D70">
        <w:rPr>
          <w:lang w:val="fr-CH"/>
        </w:rPr>
        <w:t>que prévu</w:t>
      </w:r>
      <w:r w:rsidR="00400A95" w:rsidRPr="004D3D70">
        <w:rPr>
          <w:lang w:val="fr-CH"/>
        </w:rPr>
        <w:t xml:space="preserve"> (</w:t>
      </w:r>
      <w:r w:rsidRPr="004D3D70">
        <w:rPr>
          <w:lang w:val="fr-CH"/>
        </w:rPr>
        <w:t>6</w:t>
      </w:r>
      <w:r w:rsidR="00C53781" w:rsidRPr="004D3D70">
        <w:rPr>
          <w:lang w:val="fr-CH"/>
        </w:rPr>
        <w:t> </w:t>
      </w:r>
      <w:r w:rsidRPr="004D3D70">
        <w:rPr>
          <w:lang w:val="fr-CH"/>
        </w:rPr>
        <w:t>823</w:t>
      </w:r>
      <w:r w:rsidR="00C53781" w:rsidRPr="004D3D70">
        <w:rPr>
          <w:lang w:val="fr-CH"/>
        </w:rPr>
        <w:t> 000 </w:t>
      </w:r>
      <w:r w:rsidRPr="004D3D70">
        <w:rPr>
          <w:lang w:val="fr-CH"/>
        </w:rPr>
        <w:t>francs</w:t>
      </w:r>
      <w:r w:rsidR="00C53781" w:rsidRPr="004D3D70">
        <w:rPr>
          <w:lang w:val="fr-CH"/>
        </w:rPr>
        <w:t xml:space="preserve"> suiss</w:t>
      </w:r>
      <w:r w:rsidR="002140E0" w:rsidRPr="004D3D70">
        <w:rPr>
          <w:lang w:val="fr-CH"/>
        </w:rPr>
        <w:t>es)</w:t>
      </w:r>
      <w:r w:rsidR="002140E0">
        <w:rPr>
          <w:lang w:val="fr-CH"/>
        </w:rPr>
        <w:t xml:space="preserve">.  </w:t>
      </w:r>
      <w:r w:rsidR="002140E0" w:rsidRPr="004D3D70">
        <w:rPr>
          <w:lang w:val="fr-CH"/>
        </w:rPr>
        <w:t>De</w:t>
      </w:r>
      <w:r w:rsidR="009863BA" w:rsidRPr="004D3D70">
        <w:rPr>
          <w:lang w:val="fr-CH"/>
        </w:rPr>
        <w:t xml:space="preserve">s recettes plus élevées que prévu provenant des contributions </w:t>
      </w:r>
      <w:r w:rsidRPr="004D3D70">
        <w:rPr>
          <w:lang w:val="fr-CH"/>
        </w:rPr>
        <w:t>(</w:t>
      </w:r>
      <w:r w:rsidR="009863BA" w:rsidRPr="004D3D70">
        <w:rPr>
          <w:lang w:val="fr-CH"/>
        </w:rPr>
        <w:t>6 731 </w:t>
      </w:r>
      <w:r w:rsidRPr="004D3D70">
        <w:rPr>
          <w:lang w:val="fr-CH"/>
        </w:rPr>
        <w:t>924</w:t>
      </w:r>
      <w:r w:rsidR="009863BA" w:rsidRPr="004D3D70">
        <w:rPr>
          <w:lang w:val="fr-CH"/>
        </w:rPr>
        <w:t> </w:t>
      </w:r>
      <w:r w:rsidRPr="004D3D70">
        <w:rPr>
          <w:lang w:val="fr-CH"/>
        </w:rPr>
        <w:t xml:space="preserve">francs </w:t>
      </w:r>
      <w:r w:rsidR="00DB1F08" w:rsidRPr="004D3D70">
        <w:rPr>
          <w:lang w:val="fr-CH"/>
        </w:rPr>
        <w:t>suisses contre</w:t>
      </w:r>
      <w:r w:rsidR="009863BA" w:rsidRPr="004D3D70">
        <w:rPr>
          <w:lang w:val="fr-CH"/>
        </w:rPr>
        <w:t xml:space="preserve"> 6 </w:t>
      </w:r>
      <w:r w:rsidRPr="004D3D70">
        <w:rPr>
          <w:lang w:val="fr-CH"/>
        </w:rPr>
        <w:t>710</w:t>
      </w:r>
      <w:r w:rsidR="009863BA" w:rsidRPr="004D3D70">
        <w:rPr>
          <w:lang w:val="fr-CH"/>
        </w:rPr>
        <w:t> 000 </w:t>
      </w:r>
      <w:r w:rsidRPr="004D3D70">
        <w:rPr>
          <w:lang w:val="fr-CH"/>
        </w:rPr>
        <w:t>francs</w:t>
      </w:r>
      <w:r w:rsidR="009863BA" w:rsidRPr="004D3D70">
        <w:rPr>
          <w:lang w:val="fr-CH"/>
        </w:rPr>
        <w:t xml:space="preserve"> suisses</w:t>
      </w:r>
      <w:r w:rsidRPr="004D3D70">
        <w:rPr>
          <w:lang w:val="fr-CH"/>
        </w:rPr>
        <w:t xml:space="preserve">), </w:t>
      </w:r>
      <w:r w:rsidR="00AB494B" w:rsidRPr="004D3D70">
        <w:rPr>
          <w:lang w:val="fr-CH"/>
        </w:rPr>
        <w:t xml:space="preserve">des frais administratifs </w:t>
      </w:r>
      <w:r w:rsidR="00400A95" w:rsidRPr="004D3D70">
        <w:rPr>
          <w:lang w:val="fr-CH"/>
        </w:rPr>
        <w:t>au titre des</w:t>
      </w:r>
      <w:r w:rsidR="00AB494B" w:rsidRPr="004D3D70">
        <w:rPr>
          <w:lang w:val="fr-CH"/>
        </w:rPr>
        <w:t xml:space="preserve"> fonds fiduciaires (75 </w:t>
      </w:r>
      <w:r w:rsidRPr="004D3D70">
        <w:rPr>
          <w:lang w:val="fr-CH"/>
        </w:rPr>
        <w:t>361</w:t>
      </w:r>
      <w:r w:rsidR="00AB494B" w:rsidRPr="004D3D70">
        <w:rPr>
          <w:lang w:val="fr-CH"/>
        </w:rPr>
        <w:t> </w:t>
      </w:r>
      <w:r w:rsidRPr="004D3D70">
        <w:rPr>
          <w:lang w:val="fr-CH"/>
        </w:rPr>
        <w:t xml:space="preserve">francs </w:t>
      </w:r>
      <w:r w:rsidR="00AB494B" w:rsidRPr="004D3D70">
        <w:rPr>
          <w:lang w:val="fr-CH"/>
        </w:rPr>
        <w:t>suisses</w:t>
      </w:r>
      <w:r w:rsidR="00DB1F08" w:rsidRPr="004D3D70">
        <w:rPr>
          <w:lang w:val="fr-CH"/>
        </w:rPr>
        <w:t xml:space="preserve"> contre</w:t>
      </w:r>
      <w:r w:rsidRPr="004D3D70">
        <w:rPr>
          <w:lang w:val="fr-CH"/>
        </w:rPr>
        <w:t xml:space="preserve"> 57</w:t>
      </w:r>
      <w:r w:rsidR="00AB494B" w:rsidRPr="004D3D70">
        <w:rPr>
          <w:lang w:val="fr-CH"/>
        </w:rPr>
        <w:t> 000 </w:t>
      </w:r>
      <w:r w:rsidRPr="004D3D70">
        <w:rPr>
          <w:lang w:val="fr-CH"/>
        </w:rPr>
        <w:t>francs</w:t>
      </w:r>
      <w:r w:rsidR="00AB494B" w:rsidRPr="004D3D70">
        <w:rPr>
          <w:lang w:val="fr-CH"/>
        </w:rPr>
        <w:t xml:space="preserve"> suisses</w:t>
      </w:r>
      <w:r w:rsidRPr="004D3D70">
        <w:rPr>
          <w:lang w:val="fr-CH"/>
        </w:rPr>
        <w:t xml:space="preserve">) </w:t>
      </w:r>
      <w:r w:rsidR="00AB494B" w:rsidRPr="004D3D70">
        <w:rPr>
          <w:lang w:val="fr-CH"/>
        </w:rPr>
        <w:t>et une note de cré</w:t>
      </w:r>
      <w:r w:rsidRPr="004D3D70">
        <w:rPr>
          <w:lang w:val="fr-CH"/>
        </w:rPr>
        <w:t xml:space="preserve">dit </w:t>
      </w:r>
      <w:r w:rsidR="009C4720" w:rsidRPr="004D3D70">
        <w:rPr>
          <w:lang w:val="fr-CH"/>
        </w:rPr>
        <w:t xml:space="preserve">concernant un surcoût de personnel intérimaire </w:t>
      </w:r>
      <w:r w:rsidR="004D3D70" w:rsidRPr="004D3D70">
        <w:rPr>
          <w:lang w:val="fr-CH"/>
        </w:rPr>
        <w:t>en</w:t>
      </w:r>
      <w:r w:rsidR="004D3D70">
        <w:rPr>
          <w:lang w:val="fr-CH"/>
        </w:rPr>
        <w:t> </w:t>
      </w:r>
      <w:r w:rsidR="004D3D70" w:rsidRPr="004D3D70">
        <w:rPr>
          <w:lang w:val="fr-CH"/>
        </w:rPr>
        <w:t>2016</w:t>
      </w:r>
      <w:r w:rsidRPr="004D3D70">
        <w:rPr>
          <w:lang w:val="fr-CH"/>
        </w:rPr>
        <w:t xml:space="preserve"> (10</w:t>
      </w:r>
      <w:r w:rsidR="009C4720" w:rsidRPr="004D3D70">
        <w:rPr>
          <w:lang w:val="fr-CH"/>
        </w:rPr>
        <w:t> 773 </w:t>
      </w:r>
      <w:r w:rsidRPr="004D3D70">
        <w:rPr>
          <w:lang w:val="fr-CH"/>
        </w:rPr>
        <w:t>francs</w:t>
      </w:r>
      <w:r w:rsidR="009C4720" w:rsidRPr="004D3D70">
        <w:rPr>
          <w:lang w:val="fr-CH"/>
        </w:rPr>
        <w:t xml:space="preserve"> suisses</w:t>
      </w:r>
      <w:r w:rsidRPr="004D3D70">
        <w:rPr>
          <w:lang w:val="fr-CH"/>
        </w:rPr>
        <w:t xml:space="preserve">) </w:t>
      </w:r>
      <w:r w:rsidR="009C4720" w:rsidRPr="004D3D70">
        <w:rPr>
          <w:lang w:val="fr-CH"/>
        </w:rPr>
        <w:t>ont largement compensé</w:t>
      </w:r>
      <w:r w:rsidRPr="004D3D70">
        <w:rPr>
          <w:lang w:val="fr-CH"/>
        </w:rPr>
        <w:t xml:space="preserve"> </w:t>
      </w:r>
      <w:r w:rsidR="009C4720" w:rsidRPr="004D3D70">
        <w:rPr>
          <w:lang w:val="fr-CH"/>
        </w:rPr>
        <w:t xml:space="preserve">les recettes </w:t>
      </w:r>
      <w:r w:rsidR="00400A95" w:rsidRPr="004D3D70">
        <w:rPr>
          <w:lang w:val="fr-CH"/>
        </w:rPr>
        <w:t xml:space="preserve">provenant </w:t>
      </w:r>
      <w:r w:rsidR="00F93B62" w:rsidRPr="004D3D70">
        <w:rPr>
          <w:lang w:val="fr-CH"/>
        </w:rPr>
        <w:t>des taxes relatives a</w:t>
      </w:r>
      <w:r w:rsidR="009C4720" w:rsidRPr="004D3D70">
        <w:rPr>
          <w:lang w:val="fr-CH"/>
        </w:rPr>
        <w:t>u formulaire de demande électronique</w:t>
      </w:r>
      <w:r w:rsidR="00F93B62" w:rsidRPr="004D3D70">
        <w:rPr>
          <w:lang w:val="fr-CH"/>
        </w:rPr>
        <w:t xml:space="preserve">, qui ont été inférieures aux recettes prévues </w:t>
      </w:r>
      <w:r w:rsidRPr="004D3D70">
        <w:rPr>
          <w:lang w:val="fr-CH"/>
        </w:rPr>
        <w:t>(</w:t>
      </w:r>
      <w:r w:rsidR="00F93B62" w:rsidRPr="004D3D70">
        <w:rPr>
          <w:lang w:val="fr-CH"/>
        </w:rPr>
        <w:t>1 841 </w:t>
      </w:r>
      <w:r w:rsidRPr="004D3D70">
        <w:rPr>
          <w:lang w:val="fr-CH"/>
        </w:rPr>
        <w:t xml:space="preserve">francs </w:t>
      </w:r>
      <w:r w:rsidR="00F93B62" w:rsidRPr="004D3D70">
        <w:rPr>
          <w:lang w:val="fr-CH"/>
        </w:rPr>
        <w:t xml:space="preserve">suisses </w:t>
      </w:r>
      <w:r w:rsidR="00DB1F08" w:rsidRPr="004D3D70">
        <w:rPr>
          <w:lang w:val="fr-CH"/>
        </w:rPr>
        <w:t xml:space="preserve">contre </w:t>
      </w:r>
      <w:r w:rsidR="00F93B62" w:rsidRPr="004D3D70">
        <w:rPr>
          <w:lang w:val="fr-CH"/>
        </w:rPr>
        <w:t>25 </w:t>
      </w:r>
      <w:r w:rsidRPr="004D3D70">
        <w:rPr>
          <w:lang w:val="fr-CH"/>
        </w:rPr>
        <w:t>00</w:t>
      </w:r>
      <w:r w:rsidR="004D3D70" w:rsidRPr="004D3D70">
        <w:rPr>
          <w:lang w:val="fr-CH"/>
        </w:rPr>
        <w:t>0</w:t>
      </w:r>
      <w:r w:rsidR="004D3D70">
        <w:rPr>
          <w:lang w:val="fr-CH"/>
        </w:rPr>
        <w:t> </w:t>
      </w:r>
      <w:r w:rsidR="004D3D70" w:rsidRPr="004D3D70">
        <w:rPr>
          <w:lang w:val="fr-CH"/>
        </w:rPr>
        <w:t>franc</w:t>
      </w:r>
      <w:r w:rsidRPr="004D3D70">
        <w:rPr>
          <w:lang w:val="fr-CH"/>
        </w:rPr>
        <w:t>s</w:t>
      </w:r>
      <w:r w:rsidR="00F93B62" w:rsidRPr="004D3D70">
        <w:rPr>
          <w:lang w:val="fr-CH"/>
        </w:rPr>
        <w:t xml:space="preserve"> suisses</w:t>
      </w:r>
      <w:r w:rsidRPr="004D3D70">
        <w:rPr>
          <w:lang w:val="fr-CH"/>
        </w:rPr>
        <w:t>).</w:t>
      </w:r>
    </w:p>
    <w:p w:rsidR="00905890" w:rsidRPr="006A3B1C" w:rsidRDefault="00905890" w:rsidP="00372D31">
      <w:pPr>
        <w:rPr>
          <w:sz w:val="14"/>
          <w:lang w:val="fr-CH"/>
        </w:rPr>
      </w:pPr>
    </w:p>
    <w:p w:rsidR="004D3D70" w:rsidRDefault="00ED5F41" w:rsidP="00372D31">
      <w:pPr>
        <w:numPr>
          <w:ilvl w:val="0"/>
          <w:numId w:val="18"/>
        </w:numPr>
        <w:rPr>
          <w:lang w:val="fr-CH"/>
        </w:rPr>
      </w:pPr>
      <w:r w:rsidRPr="004D3D70">
        <w:rPr>
          <w:lang w:val="fr-CH"/>
        </w:rPr>
        <w:t>R</w:t>
      </w:r>
      <w:r w:rsidR="00372D31" w:rsidRPr="004D3D70">
        <w:rPr>
          <w:lang w:val="fr-CH"/>
        </w:rPr>
        <w:t>e</w:t>
      </w:r>
      <w:r w:rsidRPr="004D3D70">
        <w:rPr>
          <w:lang w:val="fr-CH"/>
        </w:rPr>
        <w:t>s</w:t>
      </w:r>
      <w:r w:rsidR="00372D31" w:rsidRPr="004D3D70">
        <w:rPr>
          <w:lang w:val="fr-CH"/>
        </w:rPr>
        <w:t>sources</w:t>
      </w:r>
      <w:r w:rsidRPr="004D3D70">
        <w:rPr>
          <w:lang w:val="fr-CH"/>
        </w:rPr>
        <w:t xml:space="preserve"> en personnel</w:t>
      </w:r>
      <w:r w:rsidR="004D3D70">
        <w:rPr>
          <w:lang w:val="fr-CH"/>
        </w:rPr>
        <w:t> :</w:t>
      </w:r>
      <w:r w:rsidR="00372D31" w:rsidRPr="004D3D70">
        <w:rPr>
          <w:lang w:val="fr-CH"/>
        </w:rPr>
        <w:t xml:space="preserve"> </w:t>
      </w:r>
      <w:r w:rsidRPr="004D3D70">
        <w:rPr>
          <w:lang w:val="fr-CH"/>
        </w:rPr>
        <w:t xml:space="preserve">les dépenses effectives totales </w:t>
      </w:r>
      <w:r w:rsidR="004D3D70" w:rsidRPr="004D3D70">
        <w:rPr>
          <w:lang w:val="fr-CH"/>
        </w:rPr>
        <w:t>pour</w:t>
      </w:r>
      <w:r w:rsidR="004D3D70">
        <w:rPr>
          <w:lang w:val="fr-CH"/>
        </w:rPr>
        <w:t> </w:t>
      </w:r>
      <w:r w:rsidR="004D3D70" w:rsidRPr="004D3D70">
        <w:rPr>
          <w:lang w:val="fr-CH"/>
        </w:rPr>
        <w:t>2017</w:t>
      </w:r>
      <w:r w:rsidRPr="004D3D70">
        <w:rPr>
          <w:lang w:val="fr-CH"/>
        </w:rPr>
        <w:t>, qui s</w:t>
      </w:r>
      <w:r w:rsidR="004D3D70">
        <w:rPr>
          <w:lang w:val="fr-CH"/>
        </w:rPr>
        <w:t>’</w:t>
      </w:r>
      <w:r w:rsidRPr="004D3D70">
        <w:rPr>
          <w:lang w:val="fr-CH"/>
        </w:rPr>
        <w:t>élèvent à</w:t>
      </w:r>
      <w:r w:rsidR="00372D31" w:rsidRPr="004D3D70">
        <w:rPr>
          <w:lang w:val="fr-CH"/>
        </w:rPr>
        <w:t xml:space="preserve"> </w:t>
      </w:r>
      <w:r w:rsidRPr="004D3D70">
        <w:rPr>
          <w:lang w:val="fr-CH"/>
        </w:rPr>
        <w:t>2 141 073 </w:t>
      </w:r>
      <w:r w:rsidR="00372D31" w:rsidRPr="004D3D70">
        <w:rPr>
          <w:lang w:val="fr-CH"/>
        </w:rPr>
        <w:t xml:space="preserve">francs </w:t>
      </w:r>
      <w:r w:rsidRPr="004D3D70">
        <w:rPr>
          <w:lang w:val="fr-CH"/>
        </w:rPr>
        <w:t>suisses</w:t>
      </w:r>
      <w:r w:rsidR="006A0E93" w:rsidRPr="004D3D70">
        <w:rPr>
          <w:lang w:val="fr-CH"/>
        </w:rPr>
        <w:t>,</w:t>
      </w:r>
      <w:r w:rsidRPr="004D3D70">
        <w:rPr>
          <w:lang w:val="fr-CH"/>
        </w:rPr>
        <w:t xml:space="preserve"> ont été légèrement inférieures (</w:t>
      </w:r>
      <w:r w:rsidR="00665FEC">
        <w:rPr>
          <w:lang w:val="fr-CH"/>
        </w:rPr>
        <w:noBreakHyphen/>
      </w:r>
      <w:r w:rsidRPr="004D3D70">
        <w:rPr>
          <w:lang w:val="fr-CH"/>
        </w:rPr>
        <w:t>1,</w:t>
      </w:r>
      <w:r w:rsidR="00372D31" w:rsidRPr="004D3D70">
        <w:rPr>
          <w:lang w:val="fr-CH"/>
        </w:rPr>
        <w:t xml:space="preserve">7%) </w:t>
      </w:r>
      <w:r w:rsidRPr="004D3D70">
        <w:rPr>
          <w:lang w:val="fr-CH"/>
        </w:rPr>
        <w:t>au montant prévu de 2 177 </w:t>
      </w:r>
      <w:r w:rsidR="00372D31" w:rsidRPr="004D3D70">
        <w:rPr>
          <w:lang w:val="fr-CH"/>
        </w:rPr>
        <w:t>00</w:t>
      </w:r>
      <w:r w:rsidR="004D3D70" w:rsidRPr="004D3D70">
        <w:rPr>
          <w:lang w:val="fr-CH"/>
        </w:rPr>
        <w:t>0</w:t>
      </w:r>
      <w:r w:rsidR="004D3D70">
        <w:rPr>
          <w:lang w:val="fr-CH"/>
        </w:rPr>
        <w:t> </w:t>
      </w:r>
      <w:r w:rsidR="004D3D70" w:rsidRPr="004D3D70">
        <w:rPr>
          <w:lang w:val="fr-CH"/>
        </w:rPr>
        <w:t>franc</w:t>
      </w:r>
      <w:r w:rsidR="00372D31" w:rsidRPr="004D3D70">
        <w:rPr>
          <w:lang w:val="fr-CH"/>
        </w:rPr>
        <w:t>s</w:t>
      </w:r>
      <w:r w:rsidR="006A0E93" w:rsidRPr="004D3D70">
        <w:rPr>
          <w:lang w:val="fr-CH"/>
        </w:rPr>
        <w:t xml:space="preserve"> suiss</w:t>
      </w:r>
      <w:r w:rsidR="002140E0" w:rsidRPr="004D3D70">
        <w:rPr>
          <w:lang w:val="fr-CH"/>
        </w:rPr>
        <w:t>es</w:t>
      </w:r>
      <w:r w:rsidR="002140E0">
        <w:rPr>
          <w:lang w:val="fr-CH"/>
        </w:rPr>
        <w:t xml:space="preserve">.  </w:t>
      </w:r>
      <w:r w:rsidR="002140E0" w:rsidRPr="004D3D70">
        <w:rPr>
          <w:lang w:val="fr-CH"/>
        </w:rPr>
        <w:t>Le</w:t>
      </w:r>
      <w:r w:rsidRPr="004D3D70">
        <w:rPr>
          <w:lang w:val="fr-CH"/>
        </w:rPr>
        <w:t>s</w:t>
      </w:r>
      <w:r w:rsidR="006A3B1C">
        <w:rPr>
          <w:lang w:val="fr-CH"/>
        </w:rPr>
        <w:t> </w:t>
      </w:r>
      <w:r w:rsidRPr="004D3D70">
        <w:rPr>
          <w:lang w:val="fr-CH"/>
        </w:rPr>
        <w:t>dépenses liées à des postes ont été inférieures aux prévisions, principalement en raison d</w:t>
      </w:r>
      <w:r w:rsidR="004D3D70">
        <w:rPr>
          <w:lang w:val="fr-CH"/>
        </w:rPr>
        <w:t>’</w:t>
      </w:r>
      <w:r w:rsidRPr="004D3D70">
        <w:rPr>
          <w:lang w:val="fr-CH"/>
        </w:rPr>
        <w:t>un poste de la catégorie des administrateurs</w:t>
      </w:r>
      <w:r w:rsidR="00372D31" w:rsidRPr="004D3D70">
        <w:rPr>
          <w:lang w:val="fr-CH"/>
        </w:rPr>
        <w:t xml:space="preserve"> </w:t>
      </w:r>
      <w:r w:rsidR="006A0E93" w:rsidRPr="004D3D70">
        <w:rPr>
          <w:lang w:val="fr-CH"/>
        </w:rPr>
        <w:t>qui a été couvert</w:t>
      </w:r>
      <w:r w:rsidR="002A62B0" w:rsidRPr="004D3D70">
        <w:rPr>
          <w:lang w:val="fr-CH"/>
        </w:rPr>
        <w:t xml:space="preserve"> par </w:t>
      </w:r>
      <w:r w:rsidR="006A0E93" w:rsidRPr="004D3D70">
        <w:rPr>
          <w:lang w:val="fr-CH"/>
        </w:rPr>
        <w:t xml:space="preserve">un agent </w:t>
      </w:r>
      <w:r w:rsidR="002A62B0" w:rsidRPr="004D3D70">
        <w:rPr>
          <w:lang w:val="fr-CH"/>
        </w:rPr>
        <w:t>temporaire pendant une partie de l</w:t>
      </w:r>
      <w:r w:rsidR="004D3D70">
        <w:rPr>
          <w:lang w:val="fr-CH"/>
        </w:rPr>
        <w:t>’</w:t>
      </w:r>
      <w:r w:rsidR="002A62B0" w:rsidRPr="004D3D70">
        <w:rPr>
          <w:lang w:val="fr-CH"/>
        </w:rPr>
        <w:t>année</w:t>
      </w:r>
      <w:r w:rsidR="00372D31" w:rsidRPr="004D3D70">
        <w:rPr>
          <w:lang w:val="fr-CH"/>
        </w:rPr>
        <w:t xml:space="preserve"> </w:t>
      </w:r>
      <w:r w:rsidR="002A62B0" w:rsidRPr="004D3D70">
        <w:rPr>
          <w:lang w:val="fr-CH"/>
        </w:rPr>
        <w:t>ainsi qu</w:t>
      </w:r>
      <w:r w:rsidR="004D3D70">
        <w:rPr>
          <w:lang w:val="fr-CH"/>
        </w:rPr>
        <w:t>’</w:t>
      </w:r>
      <w:r w:rsidR="002A62B0" w:rsidRPr="004D3D70">
        <w:rPr>
          <w:lang w:val="fr-CH"/>
        </w:rPr>
        <w:t>en raison d</w:t>
      </w:r>
      <w:r w:rsidR="004D3D70">
        <w:rPr>
          <w:lang w:val="fr-CH"/>
        </w:rPr>
        <w:t>’</w:t>
      </w:r>
      <w:r w:rsidR="002A62B0" w:rsidRPr="004D3D70">
        <w:rPr>
          <w:lang w:val="fr-CH"/>
        </w:rPr>
        <w:t>un fonctionnaire de la catégorie des services généraux qui a travaillé à temps partiel</w:t>
      </w:r>
      <w:r w:rsidR="00372D31" w:rsidRPr="004D3D70">
        <w:rPr>
          <w:lang w:val="fr-CH"/>
        </w:rPr>
        <w:t>.</w:t>
      </w:r>
    </w:p>
    <w:p w:rsidR="00905890" w:rsidRPr="006A3B1C" w:rsidRDefault="00905890" w:rsidP="00372D31">
      <w:pPr>
        <w:rPr>
          <w:sz w:val="14"/>
          <w:lang w:val="fr-CH"/>
        </w:rPr>
      </w:pPr>
    </w:p>
    <w:p w:rsidR="00905890" w:rsidRPr="004D3D70" w:rsidRDefault="00D171D5" w:rsidP="00372D31">
      <w:pPr>
        <w:numPr>
          <w:ilvl w:val="0"/>
          <w:numId w:val="18"/>
        </w:numPr>
        <w:rPr>
          <w:lang w:val="fr-CH"/>
        </w:rPr>
      </w:pPr>
      <w:r w:rsidRPr="004D3D70">
        <w:rPr>
          <w:lang w:val="fr-CH"/>
        </w:rPr>
        <w:t>Stages</w:t>
      </w:r>
      <w:r w:rsidR="004D3D70">
        <w:rPr>
          <w:lang w:val="fr-CH"/>
        </w:rPr>
        <w:t> :</w:t>
      </w:r>
      <w:r w:rsidRPr="004D3D70">
        <w:rPr>
          <w:lang w:val="fr-CH"/>
        </w:rPr>
        <w:t xml:space="preserve"> au cours de l</w:t>
      </w:r>
      <w:r w:rsidR="004D3D70">
        <w:rPr>
          <w:lang w:val="fr-CH"/>
        </w:rPr>
        <w:t>’</w:t>
      </w:r>
      <w:r w:rsidRPr="004D3D70">
        <w:rPr>
          <w:lang w:val="fr-CH"/>
        </w:rPr>
        <w:t xml:space="preserve">exercice </w:t>
      </w:r>
      <w:r w:rsidR="004D3D70" w:rsidRPr="004D3D70">
        <w:rPr>
          <w:lang w:val="fr-CH"/>
        </w:rPr>
        <w:t>biennal</w:t>
      </w:r>
      <w:r w:rsidR="004D3D70">
        <w:rPr>
          <w:lang w:val="fr-CH"/>
        </w:rPr>
        <w:t> </w:t>
      </w:r>
      <w:r w:rsidR="004D3D70" w:rsidRPr="004D3D70">
        <w:rPr>
          <w:lang w:val="fr-CH"/>
        </w:rPr>
        <w:t>2016</w:t>
      </w:r>
      <w:r w:rsidR="00665FEC">
        <w:rPr>
          <w:lang w:val="fr-CH"/>
        </w:rPr>
        <w:noBreakHyphen/>
      </w:r>
      <w:r w:rsidR="00372D31" w:rsidRPr="004D3D70">
        <w:rPr>
          <w:lang w:val="fr-CH"/>
        </w:rPr>
        <w:t xml:space="preserve">2017, </w:t>
      </w:r>
      <w:r w:rsidRPr="004D3D70">
        <w:rPr>
          <w:lang w:val="fr-CH"/>
        </w:rPr>
        <w:t>les dépenses pour les stages</w:t>
      </w:r>
      <w:r w:rsidR="00372D31" w:rsidRPr="004D3D70">
        <w:rPr>
          <w:lang w:val="fr-CH"/>
        </w:rPr>
        <w:t xml:space="preserve"> (</w:t>
      </w:r>
      <w:r w:rsidRPr="004D3D70">
        <w:rPr>
          <w:lang w:val="fr-CH"/>
        </w:rPr>
        <w:t>12 </w:t>
      </w:r>
      <w:r w:rsidR="00372D31" w:rsidRPr="004D3D70">
        <w:rPr>
          <w:lang w:val="fr-CH"/>
        </w:rPr>
        <w:t>34</w:t>
      </w:r>
      <w:r w:rsidR="004D3D70" w:rsidRPr="004D3D70">
        <w:rPr>
          <w:lang w:val="fr-CH"/>
        </w:rPr>
        <w:t>3</w:t>
      </w:r>
      <w:r w:rsidR="004D3D70">
        <w:rPr>
          <w:lang w:val="fr-CH"/>
        </w:rPr>
        <w:t> </w:t>
      </w:r>
      <w:r w:rsidR="004D3D70" w:rsidRPr="004D3D70">
        <w:rPr>
          <w:lang w:val="fr-CH"/>
        </w:rPr>
        <w:t>franc</w:t>
      </w:r>
      <w:r w:rsidR="00372D31" w:rsidRPr="004D3D70">
        <w:rPr>
          <w:lang w:val="fr-CH"/>
        </w:rPr>
        <w:t>s</w:t>
      </w:r>
      <w:r w:rsidRPr="004D3D70">
        <w:rPr>
          <w:lang w:val="fr-CH"/>
        </w:rPr>
        <w:t xml:space="preserve"> suisses</w:t>
      </w:r>
      <w:r w:rsidR="00372D31" w:rsidRPr="004D3D70">
        <w:rPr>
          <w:lang w:val="fr-CH"/>
        </w:rPr>
        <w:t xml:space="preserve">) </w:t>
      </w:r>
      <w:r w:rsidRPr="004D3D70">
        <w:rPr>
          <w:lang w:val="fr-CH"/>
        </w:rPr>
        <w:t xml:space="preserve">ont été </w:t>
      </w:r>
      <w:r w:rsidR="00545D12" w:rsidRPr="004D3D70">
        <w:rPr>
          <w:lang w:val="fr-CH"/>
        </w:rPr>
        <w:t>nett</w:t>
      </w:r>
      <w:r w:rsidRPr="004D3D70">
        <w:rPr>
          <w:lang w:val="fr-CH"/>
        </w:rPr>
        <w:t xml:space="preserve">ement inférieures </w:t>
      </w:r>
      <w:r w:rsidR="00545D12" w:rsidRPr="004D3D70">
        <w:rPr>
          <w:lang w:val="fr-CH"/>
        </w:rPr>
        <w:t>aux prévisions</w:t>
      </w:r>
      <w:r w:rsidR="00372D31" w:rsidRPr="004D3D70">
        <w:rPr>
          <w:lang w:val="fr-CH"/>
        </w:rPr>
        <w:t xml:space="preserve"> (</w:t>
      </w:r>
      <w:r w:rsidRPr="004D3D70">
        <w:rPr>
          <w:lang w:val="fr-CH"/>
        </w:rPr>
        <w:t>38 </w:t>
      </w:r>
      <w:r w:rsidR="00372D31" w:rsidRPr="004D3D70">
        <w:rPr>
          <w:lang w:val="fr-CH"/>
        </w:rPr>
        <w:t>00</w:t>
      </w:r>
      <w:r w:rsidR="004D3D70" w:rsidRPr="004D3D70">
        <w:rPr>
          <w:lang w:val="fr-CH"/>
        </w:rPr>
        <w:t>0</w:t>
      </w:r>
      <w:r w:rsidR="004D3D70">
        <w:rPr>
          <w:lang w:val="fr-CH"/>
        </w:rPr>
        <w:t> </w:t>
      </w:r>
      <w:r w:rsidR="004D3D70" w:rsidRPr="004D3D70">
        <w:rPr>
          <w:lang w:val="fr-CH"/>
        </w:rPr>
        <w:t>franc</w:t>
      </w:r>
      <w:r w:rsidR="00372D31" w:rsidRPr="004D3D70">
        <w:rPr>
          <w:lang w:val="fr-CH"/>
        </w:rPr>
        <w:t>s</w:t>
      </w:r>
      <w:r w:rsidRPr="004D3D70">
        <w:rPr>
          <w:lang w:val="fr-CH"/>
        </w:rPr>
        <w:t xml:space="preserve"> suisses</w:t>
      </w:r>
      <w:r w:rsidR="00372D31" w:rsidRPr="004D3D70">
        <w:rPr>
          <w:lang w:val="fr-CH"/>
        </w:rPr>
        <w:t xml:space="preserve">) </w:t>
      </w:r>
      <w:r w:rsidR="00576575" w:rsidRPr="004D3D70">
        <w:rPr>
          <w:lang w:val="fr-CH"/>
        </w:rPr>
        <w:t>et les économies réalisées ont été utilisées</w:t>
      </w:r>
      <w:r w:rsidR="00B27D4B" w:rsidRPr="004D3D70">
        <w:rPr>
          <w:lang w:val="fr-CH"/>
        </w:rPr>
        <w:t xml:space="preserve"> pour financ</w:t>
      </w:r>
      <w:r w:rsidR="00576575" w:rsidRPr="004D3D70">
        <w:rPr>
          <w:lang w:val="fr-CH"/>
        </w:rPr>
        <w:t>er</w:t>
      </w:r>
      <w:r w:rsidR="00372D31" w:rsidRPr="004D3D70">
        <w:rPr>
          <w:lang w:val="fr-CH"/>
        </w:rPr>
        <w:t xml:space="preserve"> </w:t>
      </w:r>
      <w:r w:rsidR="00576575" w:rsidRPr="004D3D70">
        <w:rPr>
          <w:lang w:val="fr-CH"/>
        </w:rPr>
        <w:t>du personnel intérimaire supplémentaire</w:t>
      </w:r>
      <w:r w:rsidR="00372D31" w:rsidRPr="004D3D70">
        <w:rPr>
          <w:lang w:val="fr-CH"/>
        </w:rPr>
        <w:t>.</w:t>
      </w:r>
    </w:p>
    <w:p w:rsidR="00905890" w:rsidRPr="006A3B1C" w:rsidRDefault="00905890" w:rsidP="00372D31">
      <w:pPr>
        <w:rPr>
          <w:sz w:val="14"/>
          <w:lang w:val="fr-CH"/>
        </w:rPr>
      </w:pPr>
    </w:p>
    <w:p w:rsidR="00905890" w:rsidRPr="004D3D70" w:rsidRDefault="0024774F" w:rsidP="00372D31">
      <w:pPr>
        <w:pStyle w:val="ListParagraph"/>
        <w:numPr>
          <w:ilvl w:val="0"/>
          <w:numId w:val="18"/>
        </w:numPr>
        <w:jc w:val="both"/>
        <w:rPr>
          <w:sz w:val="20"/>
          <w:lang w:val="fr-CH"/>
        </w:rPr>
      </w:pPr>
      <w:r w:rsidRPr="004D3D70">
        <w:rPr>
          <w:sz w:val="20"/>
          <w:lang w:val="fr-CH"/>
        </w:rPr>
        <w:t>Voyages et bourses</w:t>
      </w:r>
      <w:r w:rsidR="004D3D70">
        <w:rPr>
          <w:sz w:val="20"/>
          <w:lang w:val="fr-CH"/>
        </w:rPr>
        <w:t> :</w:t>
      </w:r>
      <w:r w:rsidR="00372D31" w:rsidRPr="004D3D70">
        <w:rPr>
          <w:sz w:val="20"/>
          <w:lang w:val="fr-CH"/>
        </w:rPr>
        <w:t xml:space="preserve"> </w:t>
      </w:r>
      <w:r w:rsidRPr="004D3D70">
        <w:rPr>
          <w:sz w:val="20"/>
          <w:lang w:val="fr-CH"/>
        </w:rPr>
        <w:t>les dépenses effectives de</w:t>
      </w:r>
      <w:r w:rsidR="00372D31" w:rsidRPr="004D3D70">
        <w:rPr>
          <w:sz w:val="20"/>
          <w:lang w:val="fr-CH"/>
        </w:rPr>
        <w:t xml:space="preserve"> </w:t>
      </w:r>
      <w:r w:rsidRPr="004D3D70">
        <w:rPr>
          <w:sz w:val="20"/>
          <w:lang w:val="fr-CH"/>
        </w:rPr>
        <w:t>310 </w:t>
      </w:r>
      <w:r w:rsidR="00372D31" w:rsidRPr="004D3D70">
        <w:rPr>
          <w:sz w:val="20"/>
          <w:lang w:val="fr-CH"/>
        </w:rPr>
        <w:t>453</w:t>
      </w:r>
      <w:r w:rsidRPr="004D3D70">
        <w:rPr>
          <w:sz w:val="20"/>
          <w:lang w:val="fr-CH"/>
        </w:rPr>
        <w:t> </w:t>
      </w:r>
      <w:r w:rsidR="005B522F" w:rsidRPr="004D3D70">
        <w:rPr>
          <w:sz w:val="20"/>
          <w:lang w:val="fr-CH"/>
        </w:rPr>
        <w:t xml:space="preserve">francs </w:t>
      </w:r>
      <w:r w:rsidRPr="004D3D70">
        <w:rPr>
          <w:sz w:val="20"/>
          <w:lang w:val="fr-CH"/>
        </w:rPr>
        <w:t>suisses ont été plus élevées</w:t>
      </w:r>
      <w:r w:rsidR="00874BE8">
        <w:rPr>
          <w:sz w:val="20"/>
          <w:lang w:val="fr-CH"/>
        </w:rPr>
        <w:t xml:space="preserve"> </w:t>
      </w:r>
      <w:r w:rsidR="005B522F" w:rsidRPr="004D3D70">
        <w:rPr>
          <w:sz w:val="20"/>
          <w:lang w:val="fr-CH"/>
        </w:rPr>
        <w:t>(+38</w:t>
      </w:r>
      <w:r w:rsidRPr="004D3D70">
        <w:rPr>
          <w:sz w:val="20"/>
          <w:lang w:val="fr-CH"/>
        </w:rPr>
        <w:t>,</w:t>
      </w:r>
      <w:r w:rsidR="00C277F2" w:rsidRPr="004D3D70">
        <w:rPr>
          <w:sz w:val="20"/>
          <w:lang w:val="fr-CH"/>
        </w:rPr>
        <w:t>0</w:t>
      </w:r>
      <w:r w:rsidR="00372D31" w:rsidRPr="004D3D70">
        <w:rPr>
          <w:sz w:val="20"/>
          <w:lang w:val="fr-CH"/>
        </w:rPr>
        <w:t xml:space="preserve">%) </w:t>
      </w:r>
      <w:r w:rsidRPr="004D3D70">
        <w:rPr>
          <w:sz w:val="20"/>
          <w:lang w:val="fr-CH"/>
        </w:rPr>
        <w:t>que le montant prévu</w:t>
      </w:r>
      <w:r w:rsidR="00372D31" w:rsidRPr="004D3D70">
        <w:rPr>
          <w:sz w:val="20"/>
          <w:lang w:val="fr-CH"/>
        </w:rPr>
        <w:t xml:space="preserve"> </w:t>
      </w:r>
      <w:r w:rsidRPr="004D3D70">
        <w:rPr>
          <w:sz w:val="20"/>
          <w:lang w:val="fr-CH"/>
        </w:rPr>
        <w:t>de 225 </w:t>
      </w:r>
      <w:r w:rsidR="00372D31" w:rsidRPr="004D3D70">
        <w:rPr>
          <w:sz w:val="20"/>
          <w:lang w:val="fr-CH"/>
        </w:rPr>
        <w:t>000</w:t>
      </w:r>
      <w:r w:rsidRPr="004D3D70">
        <w:rPr>
          <w:sz w:val="20"/>
          <w:lang w:val="fr-CH"/>
        </w:rPr>
        <w:t> </w:t>
      </w:r>
      <w:r w:rsidR="00372D31" w:rsidRPr="004D3D70">
        <w:rPr>
          <w:sz w:val="20"/>
          <w:lang w:val="fr-CH"/>
        </w:rPr>
        <w:t>francs</w:t>
      </w:r>
      <w:r w:rsidRPr="004D3D70">
        <w:rPr>
          <w:sz w:val="20"/>
          <w:lang w:val="fr-CH"/>
        </w:rPr>
        <w:t xml:space="preserve"> suisses </w:t>
      </w:r>
      <w:r w:rsidR="004D3D70" w:rsidRPr="004D3D70">
        <w:rPr>
          <w:sz w:val="20"/>
          <w:lang w:val="fr-CH"/>
        </w:rPr>
        <w:t>pour</w:t>
      </w:r>
      <w:r w:rsidR="004D3D70">
        <w:rPr>
          <w:sz w:val="20"/>
          <w:lang w:val="fr-CH"/>
        </w:rPr>
        <w:t> </w:t>
      </w:r>
      <w:r w:rsidR="004D3D70" w:rsidRPr="004D3D70">
        <w:rPr>
          <w:sz w:val="20"/>
          <w:lang w:val="fr-CH"/>
        </w:rPr>
        <w:t>2017</w:t>
      </w:r>
      <w:r w:rsidR="00372D31" w:rsidRPr="004D3D70">
        <w:rPr>
          <w:sz w:val="20"/>
          <w:lang w:val="fr-CH"/>
        </w:rPr>
        <w:t xml:space="preserve">. </w:t>
      </w:r>
      <w:r w:rsidRPr="004D3D70">
        <w:rPr>
          <w:sz w:val="20"/>
          <w:lang w:val="fr-CH"/>
        </w:rPr>
        <w:t xml:space="preserve"> Cette </w:t>
      </w:r>
      <w:r w:rsidR="00907F97" w:rsidRPr="004D3D70">
        <w:rPr>
          <w:sz w:val="20"/>
          <w:lang w:val="fr-CH"/>
        </w:rPr>
        <w:t>hausse</w:t>
      </w:r>
      <w:r w:rsidRPr="004D3D70">
        <w:rPr>
          <w:sz w:val="20"/>
          <w:lang w:val="fr-CH"/>
        </w:rPr>
        <w:t xml:space="preserve"> des dépenses</w:t>
      </w:r>
      <w:r w:rsidR="00372D31" w:rsidRPr="004D3D70">
        <w:rPr>
          <w:sz w:val="20"/>
          <w:lang w:val="fr-CH"/>
        </w:rPr>
        <w:t xml:space="preserve"> a</w:t>
      </w:r>
      <w:r w:rsidR="00A938BC" w:rsidRPr="004D3D70">
        <w:rPr>
          <w:sz w:val="20"/>
          <w:lang w:val="fr-CH"/>
        </w:rPr>
        <w:t xml:space="preserve"> été légèrement compensé</w:t>
      </w:r>
      <w:r w:rsidR="00907F97" w:rsidRPr="004D3D70">
        <w:rPr>
          <w:sz w:val="20"/>
          <w:lang w:val="fr-CH"/>
        </w:rPr>
        <w:t>e</w:t>
      </w:r>
      <w:r w:rsidR="00A938BC" w:rsidRPr="004D3D70">
        <w:rPr>
          <w:sz w:val="20"/>
          <w:lang w:val="fr-CH"/>
        </w:rPr>
        <w:t xml:space="preserve"> par des dépenses inférieures </w:t>
      </w:r>
      <w:r w:rsidR="00907F97" w:rsidRPr="004D3D70">
        <w:rPr>
          <w:sz w:val="20"/>
          <w:lang w:val="fr-CH"/>
        </w:rPr>
        <w:t>à celles</w:t>
      </w:r>
      <w:r w:rsidR="00A938BC" w:rsidRPr="004D3D70">
        <w:rPr>
          <w:sz w:val="20"/>
          <w:lang w:val="fr-CH"/>
        </w:rPr>
        <w:t xml:space="preserve"> prévues </w:t>
      </w:r>
      <w:r w:rsidR="004D3D70" w:rsidRPr="004D3D70">
        <w:rPr>
          <w:sz w:val="20"/>
          <w:lang w:val="fr-CH"/>
        </w:rPr>
        <w:t>en</w:t>
      </w:r>
      <w:r w:rsidR="004D3D70">
        <w:rPr>
          <w:sz w:val="20"/>
          <w:lang w:val="fr-CH"/>
        </w:rPr>
        <w:t> </w:t>
      </w:r>
      <w:r w:rsidR="004D3D70" w:rsidRPr="004D3D70">
        <w:rPr>
          <w:sz w:val="20"/>
          <w:lang w:val="fr-CH"/>
        </w:rPr>
        <w:t>2016</w:t>
      </w:r>
      <w:r w:rsidR="00372D31" w:rsidRPr="004D3D70">
        <w:rPr>
          <w:sz w:val="20"/>
          <w:lang w:val="fr-CH"/>
        </w:rPr>
        <w:t xml:space="preserve">, </w:t>
      </w:r>
      <w:r w:rsidR="00A938BC" w:rsidRPr="004D3D70">
        <w:rPr>
          <w:sz w:val="20"/>
          <w:lang w:val="fr-CH"/>
        </w:rPr>
        <w:t>de sorte que l</w:t>
      </w:r>
      <w:r w:rsidR="004D3D70">
        <w:rPr>
          <w:sz w:val="20"/>
          <w:lang w:val="fr-CH"/>
        </w:rPr>
        <w:t>’</w:t>
      </w:r>
      <w:r w:rsidR="00A938BC" w:rsidRPr="004D3D70">
        <w:rPr>
          <w:sz w:val="20"/>
          <w:lang w:val="fr-CH"/>
        </w:rPr>
        <w:t>ensemble des dépenses</w:t>
      </w:r>
      <w:r w:rsidR="00372D31" w:rsidRPr="004D3D70">
        <w:rPr>
          <w:sz w:val="20"/>
          <w:lang w:val="fr-CH"/>
        </w:rPr>
        <w:t xml:space="preserve"> </w:t>
      </w:r>
      <w:r w:rsidR="00A938BC" w:rsidRPr="004D3D70">
        <w:rPr>
          <w:sz w:val="20"/>
          <w:lang w:val="fr-CH"/>
        </w:rPr>
        <w:t>pour l</w:t>
      </w:r>
      <w:r w:rsidR="004D3D70">
        <w:rPr>
          <w:sz w:val="20"/>
          <w:lang w:val="fr-CH"/>
        </w:rPr>
        <w:t>’</w:t>
      </w:r>
      <w:r w:rsidR="00A938BC" w:rsidRPr="004D3D70">
        <w:rPr>
          <w:sz w:val="20"/>
          <w:lang w:val="fr-CH"/>
        </w:rPr>
        <w:t xml:space="preserve">exercice </w:t>
      </w:r>
      <w:r w:rsidR="004D3D70" w:rsidRPr="004D3D70">
        <w:rPr>
          <w:sz w:val="20"/>
          <w:lang w:val="fr-CH"/>
        </w:rPr>
        <w:t>biennal</w:t>
      </w:r>
      <w:r w:rsidR="004D3D70">
        <w:rPr>
          <w:sz w:val="20"/>
          <w:lang w:val="fr-CH"/>
        </w:rPr>
        <w:t> </w:t>
      </w:r>
      <w:r w:rsidR="004D3D70" w:rsidRPr="004D3D70">
        <w:rPr>
          <w:sz w:val="20"/>
          <w:lang w:val="fr-CH"/>
        </w:rPr>
        <w:t>2016</w:t>
      </w:r>
      <w:r w:rsidR="00665FEC">
        <w:rPr>
          <w:sz w:val="20"/>
          <w:lang w:val="fr-CH"/>
        </w:rPr>
        <w:noBreakHyphen/>
      </w:r>
      <w:r w:rsidR="00372D31" w:rsidRPr="004D3D70">
        <w:rPr>
          <w:sz w:val="20"/>
          <w:lang w:val="fr-CH"/>
        </w:rPr>
        <w:t xml:space="preserve">2017 </w:t>
      </w:r>
      <w:r w:rsidR="00A938BC" w:rsidRPr="004D3D70">
        <w:rPr>
          <w:sz w:val="20"/>
          <w:lang w:val="fr-CH"/>
        </w:rPr>
        <w:t>a été légèrement plus élevé que prévu (9,</w:t>
      </w:r>
      <w:r w:rsidR="00F36DBC" w:rsidRPr="004D3D70">
        <w:rPr>
          <w:sz w:val="20"/>
          <w:lang w:val="fr-CH"/>
        </w:rPr>
        <w:t>2</w:t>
      </w:r>
      <w:r w:rsidR="00372D31" w:rsidRPr="004D3D70">
        <w:rPr>
          <w:sz w:val="20"/>
          <w:lang w:val="fr-CH"/>
        </w:rPr>
        <w:t xml:space="preserve">%).  </w:t>
      </w:r>
      <w:r w:rsidR="00545D12" w:rsidRPr="004D3D70">
        <w:rPr>
          <w:sz w:val="20"/>
          <w:lang w:val="fr-CH"/>
        </w:rPr>
        <w:t xml:space="preserve">Cette </w:t>
      </w:r>
      <w:r w:rsidR="00907F97" w:rsidRPr="004D3D70">
        <w:rPr>
          <w:sz w:val="20"/>
          <w:lang w:val="fr-CH"/>
        </w:rPr>
        <w:t>augmentation de</w:t>
      </w:r>
      <w:r w:rsidR="00545D12" w:rsidRPr="004D3D70">
        <w:rPr>
          <w:sz w:val="20"/>
          <w:lang w:val="fr-CH"/>
        </w:rPr>
        <w:t>s</w:t>
      </w:r>
      <w:r w:rsidR="00907F97" w:rsidRPr="004D3D70">
        <w:rPr>
          <w:sz w:val="20"/>
          <w:lang w:val="fr-CH"/>
        </w:rPr>
        <w:t xml:space="preserve"> dépenses</w:t>
      </w:r>
      <w:r w:rsidR="00545D12" w:rsidRPr="004D3D70">
        <w:rPr>
          <w:sz w:val="20"/>
          <w:lang w:val="fr-CH"/>
        </w:rPr>
        <w:t xml:space="preserve"> est</w:t>
      </w:r>
      <w:r w:rsidR="00907F97" w:rsidRPr="004D3D70">
        <w:rPr>
          <w:sz w:val="20"/>
          <w:lang w:val="fr-CH"/>
        </w:rPr>
        <w:t xml:space="preserve"> en partie </w:t>
      </w:r>
      <w:r w:rsidR="00545D12" w:rsidRPr="004D3D70">
        <w:rPr>
          <w:sz w:val="20"/>
          <w:lang w:val="fr-CH"/>
        </w:rPr>
        <w:t xml:space="preserve">due aux </w:t>
      </w:r>
      <w:r w:rsidR="00907F97" w:rsidRPr="004D3D70">
        <w:rPr>
          <w:sz w:val="20"/>
          <w:lang w:val="fr-CH"/>
        </w:rPr>
        <w:t xml:space="preserve">recettes </w:t>
      </w:r>
      <w:r w:rsidR="00B27D4B" w:rsidRPr="004D3D70">
        <w:rPr>
          <w:sz w:val="20"/>
          <w:lang w:val="fr-CH"/>
        </w:rPr>
        <w:t>provenant d</w:t>
      </w:r>
      <w:r w:rsidR="00907F97" w:rsidRPr="004D3D70">
        <w:rPr>
          <w:sz w:val="20"/>
          <w:lang w:val="fr-CH"/>
        </w:rPr>
        <w:t>es fonds fiduciaires</w:t>
      </w:r>
      <w:r w:rsidR="00545D12" w:rsidRPr="004D3D70">
        <w:rPr>
          <w:sz w:val="20"/>
          <w:lang w:val="fr-CH"/>
        </w:rPr>
        <w:t xml:space="preserve"> qui ont été</w:t>
      </w:r>
      <w:r w:rsidR="00B27D4B" w:rsidRPr="004D3D70">
        <w:rPr>
          <w:sz w:val="20"/>
          <w:lang w:val="fr-CH"/>
        </w:rPr>
        <w:t xml:space="preserve"> plus élevées que prévu</w:t>
      </w:r>
      <w:r w:rsidR="00545D12" w:rsidRPr="004D3D70">
        <w:rPr>
          <w:sz w:val="20"/>
          <w:lang w:val="fr-CH"/>
        </w:rPr>
        <w:t>, entraînant ainsi</w:t>
      </w:r>
      <w:r w:rsidR="00907F97" w:rsidRPr="004D3D70">
        <w:rPr>
          <w:sz w:val="20"/>
          <w:lang w:val="fr-CH"/>
        </w:rPr>
        <w:t xml:space="preserve"> </w:t>
      </w:r>
      <w:r w:rsidR="00CB52E9" w:rsidRPr="004D3D70">
        <w:rPr>
          <w:sz w:val="20"/>
          <w:lang w:val="fr-CH"/>
        </w:rPr>
        <w:t xml:space="preserve">une hausse des </w:t>
      </w:r>
      <w:r w:rsidR="00907F97" w:rsidRPr="004D3D70">
        <w:rPr>
          <w:sz w:val="20"/>
          <w:lang w:val="fr-CH"/>
        </w:rPr>
        <w:t>activités</w:t>
      </w:r>
      <w:r w:rsidR="00372D31" w:rsidRPr="004D3D70">
        <w:rPr>
          <w:sz w:val="20"/>
          <w:lang w:val="fr-CH"/>
        </w:rPr>
        <w:t xml:space="preserve"> </w:t>
      </w:r>
      <w:r w:rsidR="00907F97" w:rsidRPr="004D3D70">
        <w:rPr>
          <w:sz w:val="20"/>
          <w:lang w:val="fr-CH"/>
        </w:rPr>
        <w:t xml:space="preserve">nécessitant </w:t>
      </w:r>
      <w:r w:rsidR="003F12F9" w:rsidRPr="004D3D70">
        <w:rPr>
          <w:sz w:val="20"/>
          <w:lang w:val="fr-CH"/>
        </w:rPr>
        <w:t>q</w:t>
      </w:r>
      <w:r w:rsidR="00CB52E9" w:rsidRPr="004D3D70">
        <w:rPr>
          <w:sz w:val="20"/>
          <w:lang w:val="fr-CH"/>
        </w:rPr>
        <w:t>u</w:t>
      </w:r>
      <w:r w:rsidR="003F12F9" w:rsidRPr="004D3D70">
        <w:rPr>
          <w:sz w:val="20"/>
          <w:lang w:val="fr-CH"/>
        </w:rPr>
        <w:t>e le</w:t>
      </w:r>
      <w:r w:rsidR="00CB52E9" w:rsidRPr="004D3D70">
        <w:rPr>
          <w:sz w:val="20"/>
          <w:lang w:val="fr-CH"/>
        </w:rPr>
        <w:t xml:space="preserve"> personnel de l</w:t>
      </w:r>
      <w:r w:rsidR="004D3D70">
        <w:rPr>
          <w:sz w:val="20"/>
          <w:lang w:val="fr-CH"/>
        </w:rPr>
        <w:t>’</w:t>
      </w:r>
      <w:r w:rsidR="00372D31" w:rsidRPr="004D3D70">
        <w:rPr>
          <w:sz w:val="20"/>
          <w:lang w:val="fr-CH"/>
        </w:rPr>
        <w:t xml:space="preserve">UPOV </w:t>
      </w:r>
      <w:r w:rsidR="003F12F9" w:rsidRPr="004D3D70">
        <w:rPr>
          <w:sz w:val="20"/>
          <w:lang w:val="fr-CH"/>
        </w:rPr>
        <w:t>voyage</w:t>
      </w:r>
      <w:r w:rsidR="00CB52E9" w:rsidRPr="004D3D70">
        <w:rPr>
          <w:sz w:val="20"/>
          <w:lang w:val="fr-CH"/>
        </w:rPr>
        <w:t xml:space="preserve"> davantage</w:t>
      </w:r>
      <w:r w:rsidR="00372D31" w:rsidRPr="004D3D70">
        <w:rPr>
          <w:sz w:val="20"/>
          <w:lang w:val="fr-CH"/>
        </w:rPr>
        <w:t>.</w:t>
      </w:r>
    </w:p>
    <w:p w:rsidR="00905890" w:rsidRPr="006A3B1C" w:rsidRDefault="00905890" w:rsidP="00372D31">
      <w:pPr>
        <w:rPr>
          <w:sz w:val="14"/>
          <w:lang w:val="fr-CH"/>
        </w:rPr>
      </w:pPr>
    </w:p>
    <w:p w:rsidR="004D3D70" w:rsidRDefault="002A4C52" w:rsidP="00372D31">
      <w:pPr>
        <w:numPr>
          <w:ilvl w:val="0"/>
          <w:numId w:val="18"/>
        </w:numPr>
        <w:rPr>
          <w:lang w:val="fr-CH"/>
        </w:rPr>
      </w:pPr>
      <w:r w:rsidRPr="004D3D70">
        <w:rPr>
          <w:lang w:val="fr-CH"/>
        </w:rPr>
        <w:t>Services contractuels</w:t>
      </w:r>
      <w:r w:rsidR="004D3D70">
        <w:rPr>
          <w:lang w:val="fr-CH"/>
        </w:rPr>
        <w:t> :</w:t>
      </w:r>
      <w:r w:rsidR="00372D31" w:rsidRPr="004D3D70">
        <w:rPr>
          <w:lang w:val="fr-CH"/>
        </w:rPr>
        <w:t xml:space="preserve"> </w:t>
      </w:r>
      <w:r w:rsidRPr="004D3D70">
        <w:rPr>
          <w:lang w:val="fr-CH"/>
        </w:rPr>
        <w:t>les dépenses effectives pour les</w:t>
      </w:r>
      <w:r w:rsidR="00372D31" w:rsidRPr="004D3D70">
        <w:rPr>
          <w:lang w:val="fr-CH"/>
        </w:rPr>
        <w:t xml:space="preserve"> services </w:t>
      </w:r>
      <w:r w:rsidRPr="004D3D70">
        <w:rPr>
          <w:lang w:val="fr-CH"/>
        </w:rPr>
        <w:t xml:space="preserve">contractuels </w:t>
      </w:r>
      <w:r w:rsidR="00372D31" w:rsidRPr="004D3D70">
        <w:rPr>
          <w:lang w:val="fr-CH"/>
        </w:rPr>
        <w:t>o</w:t>
      </w:r>
      <w:r w:rsidRPr="004D3D70">
        <w:rPr>
          <w:lang w:val="fr-CH"/>
        </w:rPr>
        <w:t>nt été de</w:t>
      </w:r>
      <w:r w:rsidR="00372D31" w:rsidRPr="004D3D70">
        <w:rPr>
          <w:lang w:val="fr-CH"/>
        </w:rPr>
        <w:t xml:space="preserve"> </w:t>
      </w:r>
      <w:r w:rsidRPr="004D3D70">
        <w:rPr>
          <w:lang w:val="fr-CH"/>
        </w:rPr>
        <w:t>501 </w:t>
      </w:r>
      <w:r w:rsidR="00372D31" w:rsidRPr="004D3D70">
        <w:rPr>
          <w:lang w:val="fr-CH"/>
        </w:rPr>
        <w:t>970</w:t>
      </w:r>
      <w:r w:rsidRPr="004D3D70">
        <w:rPr>
          <w:lang w:val="fr-CH"/>
        </w:rPr>
        <w:t> </w:t>
      </w:r>
      <w:r w:rsidR="00372D31" w:rsidRPr="004D3D70">
        <w:rPr>
          <w:lang w:val="fr-CH"/>
        </w:rPr>
        <w:t xml:space="preserve">francs </w:t>
      </w:r>
      <w:r w:rsidRPr="004D3D70">
        <w:rPr>
          <w:lang w:val="fr-CH"/>
        </w:rPr>
        <w:t xml:space="preserve">suisses </w:t>
      </w:r>
      <w:r w:rsidR="004D3D70" w:rsidRPr="004D3D70">
        <w:rPr>
          <w:lang w:val="fr-CH"/>
        </w:rPr>
        <w:t>en</w:t>
      </w:r>
      <w:r w:rsidR="004D3D70">
        <w:rPr>
          <w:lang w:val="fr-CH"/>
        </w:rPr>
        <w:t> </w:t>
      </w:r>
      <w:r w:rsidR="004D3D70" w:rsidRPr="004D3D70">
        <w:rPr>
          <w:lang w:val="fr-CH"/>
        </w:rPr>
        <w:t>2017</w:t>
      </w:r>
      <w:r w:rsidRPr="004D3D70">
        <w:rPr>
          <w:lang w:val="fr-CH"/>
        </w:rPr>
        <w:t>,</w:t>
      </w:r>
      <w:r w:rsidR="003F12F9" w:rsidRPr="004D3D70">
        <w:rPr>
          <w:lang w:val="fr-CH"/>
        </w:rPr>
        <w:t xml:space="preserve"> montant sensiblement plus élevé</w:t>
      </w:r>
      <w:r w:rsidRPr="004D3D70">
        <w:rPr>
          <w:lang w:val="fr-CH"/>
        </w:rPr>
        <w:t xml:space="preserve"> (+45,</w:t>
      </w:r>
      <w:r w:rsidR="00372D31" w:rsidRPr="004D3D70">
        <w:rPr>
          <w:lang w:val="fr-CH"/>
        </w:rPr>
        <w:t xml:space="preserve">1%) </w:t>
      </w:r>
      <w:r w:rsidRPr="004D3D70">
        <w:rPr>
          <w:lang w:val="fr-CH"/>
        </w:rPr>
        <w:t>que le montant prévu de</w:t>
      </w:r>
      <w:r w:rsidR="00372D31" w:rsidRPr="004D3D70">
        <w:rPr>
          <w:lang w:val="fr-CH"/>
        </w:rPr>
        <w:t xml:space="preserve"> 346</w:t>
      </w:r>
      <w:r w:rsidRPr="004D3D70">
        <w:rPr>
          <w:lang w:val="fr-CH"/>
        </w:rPr>
        <w:t> 000 </w:t>
      </w:r>
      <w:r w:rsidR="00372D31" w:rsidRPr="004D3D70">
        <w:rPr>
          <w:lang w:val="fr-CH"/>
        </w:rPr>
        <w:t>francs</w:t>
      </w:r>
      <w:r w:rsidRPr="004D3D70">
        <w:rPr>
          <w:lang w:val="fr-CH"/>
        </w:rPr>
        <w:t xml:space="preserve"> suiss</w:t>
      </w:r>
      <w:r w:rsidR="002140E0" w:rsidRPr="004D3D70">
        <w:rPr>
          <w:lang w:val="fr-CH"/>
        </w:rPr>
        <w:t>es</w:t>
      </w:r>
      <w:r w:rsidR="002140E0">
        <w:rPr>
          <w:lang w:val="fr-CH"/>
        </w:rPr>
        <w:t xml:space="preserve">.  </w:t>
      </w:r>
      <w:r w:rsidR="002140E0" w:rsidRPr="004D3D70">
        <w:rPr>
          <w:lang w:val="fr-CH"/>
        </w:rPr>
        <w:t>Au</w:t>
      </w:r>
      <w:r w:rsidRPr="004D3D70">
        <w:rPr>
          <w:lang w:val="fr-CH"/>
        </w:rPr>
        <w:t xml:space="preserve"> cours de l</w:t>
      </w:r>
      <w:r w:rsidR="004D3D70">
        <w:rPr>
          <w:lang w:val="fr-CH"/>
        </w:rPr>
        <w:t>’</w:t>
      </w:r>
      <w:r w:rsidRPr="004D3D70">
        <w:rPr>
          <w:lang w:val="fr-CH"/>
        </w:rPr>
        <w:t xml:space="preserve">exercice </w:t>
      </w:r>
      <w:r w:rsidR="004D3D70" w:rsidRPr="004D3D70">
        <w:rPr>
          <w:lang w:val="fr-CH"/>
        </w:rPr>
        <w:t>biennal</w:t>
      </w:r>
      <w:r w:rsidR="004D3D70">
        <w:rPr>
          <w:lang w:val="fr-CH"/>
        </w:rPr>
        <w:t> </w:t>
      </w:r>
      <w:r w:rsidR="004D3D70" w:rsidRPr="004D3D70">
        <w:rPr>
          <w:lang w:val="fr-CH"/>
        </w:rPr>
        <w:t>2016</w:t>
      </w:r>
      <w:r w:rsidR="00665FEC">
        <w:rPr>
          <w:lang w:val="fr-CH"/>
        </w:rPr>
        <w:noBreakHyphen/>
      </w:r>
      <w:r w:rsidR="00372D31" w:rsidRPr="004D3D70">
        <w:rPr>
          <w:lang w:val="fr-CH"/>
        </w:rPr>
        <w:t xml:space="preserve">2017, </w:t>
      </w:r>
      <w:r w:rsidRPr="004D3D70">
        <w:rPr>
          <w:lang w:val="fr-CH"/>
        </w:rPr>
        <w:t>les dépenses effectives pour les</w:t>
      </w:r>
      <w:r w:rsidR="00372D31" w:rsidRPr="004D3D70">
        <w:rPr>
          <w:lang w:val="fr-CH"/>
        </w:rPr>
        <w:t xml:space="preserve"> services </w:t>
      </w:r>
      <w:r w:rsidRPr="004D3D70">
        <w:rPr>
          <w:lang w:val="fr-CH"/>
        </w:rPr>
        <w:t>contractuels ont été de</w:t>
      </w:r>
      <w:r w:rsidR="00372D31" w:rsidRPr="004D3D70">
        <w:rPr>
          <w:lang w:val="fr-CH"/>
        </w:rPr>
        <w:t xml:space="preserve"> </w:t>
      </w:r>
      <w:r w:rsidRPr="004D3D70">
        <w:rPr>
          <w:lang w:val="fr-CH"/>
        </w:rPr>
        <w:t>834 714 </w:t>
      </w:r>
      <w:r w:rsidR="00372D31" w:rsidRPr="004D3D70">
        <w:rPr>
          <w:lang w:val="fr-CH"/>
        </w:rPr>
        <w:t xml:space="preserve">francs </w:t>
      </w:r>
      <w:r w:rsidRPr="004D3D70">
        <w:rPr>
          <w:lang w:val="fr-CH"/>
        </w:rPr>
        <w:t>suisses, contre</w:t>
      </w:r>
      <w:r w:rsidR="00906ACE" w:rsidRPr="004D3D70">
        <w:rPr>
          <w:lang w:val="fr-CH"/>
        </w:rPr>
        <w:t xml:space="preserve"> un montant prévu de</w:t>
      </w:r>
      <w:r w:rsidRPr="004D3D70">
        <w:rPr>
          <w:lang w:val="fr-CH"/>
        </w:rPr>
        <w:t xml:space="preserve"> 692 000 </w:t>
      </w:r>
      <w:r w:rsidR="00372D31" w:rsidRPr="004D3D70">
        <w:rPr>
          <w:lang w:val="fr-CH"/>
        </w:rPr>
        <w:t xml:space="preserve">francs </w:t>
      </w:r>
      <w:r w:rsidRPr="004D3D70">
        <w:rPr>
          <w:lang w:val="fr-CH"/>
        </w:rPr>
        <w:t>suisses (+20,</w:t>
      </w:r>
      <w:r w:rsidR="00F36DBC" w:rsidRPr="004D3D70">
        <w:rPr>
          <w:lang w:val="fr-CH"/>
        </w:rPr>
        <w:t>6</w:t>
      </w:r>
      <w:r w:rsidR="00372D31" w:rsidRPr="004D3D70">
        <w:rPr>
          <w:lang w:val="fr-CH"/>
        </w:rPr>
        <w:t xml:space="preserve">%).  </w:t>
      </w:r>
      <w:r w:rsidRPr="004D3D70">
        <w:rPr>
          <w:lang w:val="fr-CH"/>
        </w:rPr>
        <w:t xml:space="preserve">Les dépenses supplémentaires </w:t>
      </w:r>
      <w:r w:rsidR="001357AF" w:rsidRPr="004D3D70">
        <w:rPr>
          <w:lang w:val="fr-CH"/>
        </w:rPr>
        <w:t>concernaient les</w:t>
      </w:r>
      <w:r w:rsidRPr="004D3D70">
        <w:rPr>
          <w:lang w:val="fr-CH"/>
        </w:rPr>
        <w:t xml:space="preserve"> coûts de personnel intérimaire</w:t>
      </w:r>
      <w:r w:rsidR="00372D31" w:rsidRPr="004D3D70">
        <w:rPr>
          <w:lang w:val="fr-CH"/>
        </w:rPr>
        <w:t xml:space="preserve">, </w:t>
      </w:r>
      <w:r w:rsidR="001357AF" w:rsidRPr="004D3D70">
        <w:rPr>
          <w:lang w:val="fr-CH"/>
        </w:rPr>
        <w:t>qui se sont élevés à</w:t>
      </w:r>
      <w:r w:rsidR="00372D31" w:rsidRPr="004D3D70">
        <w:rPr>
          <w:lang w:val="fr-CH"/>
        </w:rPr>
        <w:t xml:space="preserve"> </w:t>
      </w:r>
      <w:r w:rsidR="001357AF" w:rsidRPr="004D3D70">
        <w:rPr>
          <w:lang w:val="fr-CH"/>
        </w:rPr>
        <w:t>273 412 </w:t>
      </w:r>
      <w:r w:rsidR="00372D31" w:rsidRPr="004D3D70">
        <w:rPr>
          <w:lang w:val="fr-CH"/>
        </w:rPr>
        <w:t xml:space="preserve">francs </w:t>
      </w:r>
      <w:r w:rsidR="001357AF" w:rsidRPr="004D3D70">
        <w:rPr>
          <w:lang w:val="fr-CH"/>
        </w:rPr>
        <w:t>suisses au total pour l</w:t>
      </w:r>
      <w:r w:rsidR="004D3D70">
        <w:rPr>
          <w:lang w:val="fr-CH"/>
        </w:rPr>
        <w:t>’</w:t>
      </w:r>
      <w:r w:rsidR="001357AF" w:rsidRPr="004D3D70">
        <w:rPr>
          <w:lang w:val="fr-CH"/>
        </w:rPr>
        <w:t xml:space="preserve">exercice </w:t>
      </w:r>
      <w:r w:rsidR="004D3D70" w:rsidRPr="004D3D70">
        <w:rPr>
          <w:lang w:val="fr-CH"/>
        </w:rPr>
        <w:t>biennal</w:t>
      </w:r>
      <w:r w:rsidR="004D3D70">
        <w:rPr>
          <w:lang w:val="fr-CH"/>
        </w:rPr>
        <w:t> </w:t>
      </w:r>
      <w:r w:rsidR="004D3D70" w:rsidRPr="004D3D70">
        <w:rPr>
          <w:lang w:val="fr-CH"/>
        </w:rPr>
        <w:t>2016</w:t>
      </w:r>
      <w:r w:rsidR="00665FEC">
        <w:rPr>
          <w:lang w:val="fr-CH"/>
        </w:rPr>
        <w:noBreakHyphen/>
      </w:r>
      <w:r w:rsidR="00372D31" w:rsidRPr="004D3D70">
        <w:rPr>
          <w:lang w:val="fr-CH"/>
        </w:rPr>
        <w:t xml:space="preserve">2017.  </w:t>
      </w:r>
      <w:r w:rsidR="001357AF" w:rsidRPr="004D3D70">
        <w:rPr>
          <w:lang w:val="fr-CH"/>
        </w:rPr>
        <w:t>Une p</w:t>
      </w:r>
      <w:r w:rsidR="00372D31" w:rsidRPr="004D3D70">
        <w:rPr>
          <w:lang w:val="fr-CH"/>
        </w:rPr>
        <w:t>art</w:t>
      </w:r>
      <w:r w:rsidR="001357AF" w:rsidRPr="004D3D70">
        <w:rPr>
          <w:lang w:val="fr-CH"/>
        </w:rPr>
        <w:t>ie</w:t>
      </w:r>
      <w:r w:rsidR="00372D31" w:rsidRPr="004D3D70">
        <w:rPr>
          <w:lang w:val="fr-CH"/>
        </w:rPr>
        <w:t xml:space="preserve"> </w:t>
      </w:r>
      <w:r w:rsidR="001357AF" w:rsidRPr="004D3D70">
        <w:rPr>
          <w:lang w:val="fr-CH"/>
        </w:rPr>
        <w:t>des dépenses supplémentaires consacrées au personnel intérimaire a servi à couvrir le poste du fonctionnaire</w:t>
      </w:r>
      <w:r w:rsidR="00372D31" w:rsidRPr="004D3D70">
        <w:rPr>
          <w:lang w:val="fr-CH"/>
        </w:rPr>
        <w:t xml:space="preserve"> </w:t>
      </w:r>
      <w:r w:rsidR="001357AF" w:rsidRPr="004D3D70">
        <w:rPr>
          <w:lang w:val="fr-CH"/>
        </w:rPr>
        <w:t>de la catégorie des services généraux qui a travaillé à temps parti</w:t>
      </w:r>
      <w:r w:rsidR="002140E0" w:rsidRPr="004D3D70">
        <w:rPr>
          <w:lang w:val="fr-CH"/>
        </w:rPr>
        <w:t>el</w:t>
      </w:r>
      <w:r w:rsidR="002140E0">
        <w:rPr>
          <w:lang w:val="fr-CH"/>
        </w:rPr>
        <w:t xml:space="preserve">.  </w:t>
      </w:r>
      <w:r w:rsidR="002140E0" w:rsidRPr="004D3D70">
        <w:rPr>
          <w:lang w:val="fr-CH"/>
        </w:rPr>
        <w:t>Du</w:t>
      </w:r>
      <w:r w:rsidR="001357AF" w:rsidRPr="004D3D70">
        <w:rPr>
          <w:lang w:val="fr-CH"/>
        </w:rPr>
        <w:t xml:space="preserve"> temps de personnel intérimaire a égalemen</w:t>
      </w:r>
      <w:r w:rsidR="00443655" w:rsidRPr="004D3D70">
        <w:rPr>
          <w:lang w:val="fr-CH"/>
        </w:rPr>
        <w:t>t</w:t>
      </w:r>
      <w:r w:rsidR="001357AF" w:rsidRPr="004D3D70">
        <w:rPr>
          <w:lang w:val="fr-CH"/>
        </w:rPr>
        <w:t xml:space="preserve"> </w:t>
      </w:r>
      <w:r w:rsidR="00906ACE" w:rsidRPr="004D3D70">
        <w:rPr>
          <w:lang w:val="fr-CH"/>
        </w:rPr>
        <w:t xml:space="preserve">été </w:t>
      </w:r>
      <w:r w:rsidR="00443655" w:rsidRPr="004D3D70">
        <w:rPr>
          <w:lang w:val="fr-CH"/>
        </w:rPr>
        <w:t>utilisé</w:t>
      </w:r>
      <w:r w:rsidR="00372D31" w:rsidRPr="004D3D70">
        <w:rPr>
          <w:lang w:val="fr-CH"/>
        </w:rPr>
        <w:t xml:space="preserve"> </w:t>
      </w:r>
      <w:r w:rsidR="00443655" w:rsidRPr="004D3D70">
        <w:rPr>
          <w:lang w:val="fr-CH"/>
        </w:rPr>
        <w:t>pour certains travaux administratifs en rapport avec de nouvelles procédures de gestion des voyages (voir aussi</w:t>
      </w:r>
      <w:r w:rsidR="00372D31" w:rsidRPr="004D3D70">
        <w:rPr>
          <w:lang w:val="fr-CH"/>
        </w:rPr>
        <w:t xml:space="preserve"> “</w:t>
      </w:r>
      <w:r w:rsidR="00443655" w:rsidRPr="004D3D70">
        <w:rPr>
          <w:lang w:val="fr-CH"/>
        </w:rPr>
        <w:t>Dépenses de fonctionnement</w:t>
      </w:r>
      <w:r w:rsidR="00372D31" w:rsidRPr="004D3D70">
        <w:rPr>
          <w:lang w:val="fr-CH"/>
        </w:rPr>
        <w:t>”).</w:t>
      </w:r>
      <w:r w:rsidR="00F36DBC" w:rsidRPr="004D3D70">
        <w:rPr>
          <w:lang w:val="fr-CH"/>
        </w:rPr>
        <w:t xml:space="preserve"> </w:t>
      </w:r>
      <w:r w:rsidR="007A2FEA" w:rsidRPr="004D3D70">
        <w:rPr>
          <w:lang w:val="fr-CH"/>
        </w:rPr>
        <w:t xml:space="preserve"> </w:t>
      </w:r>
      <w:r w:rsidR="00443655" w:rsidRPr="004D3D70">
        <w:rPr>
          <w:lang w:val="fr-CH"/>
        </w:rPr>
        <w:t>Les coûts de développement informatique du formulaire de demande électronique</w:t>
      </w:r>
      <w:r w:rsidR="00372D31" w:rsidRPr="004D3D70">
        <w:rPr>
          <w:lang w:val="fr-CH"/>
        </w:rPr>
        <w:t xml:space="preserve"> (263</w:t>
      </w:r>
      <w:r w:rsidR="00443655" w:rsidRPr="004D3D70">
        <w:rPr>
          <w:lang w:val="fr-CH"/>
        </w:rPr>
        <w:t> 431 </w:t>
      </w:r>
      <w:r w:rsidR="00372D31" w:rsidRPr="004D3D70">
        <w:rPr>
          <w:lang w:val="fr-CH"/>
        </w:rPr>
        <w:t>francs</w:t>
      </w:r>
      <w:r w:rsidR="00443655" w:rsidRPr="004D3D70">
        <w:rPr>
          <w:lang w:val="fr-CH"/>
        </w:rPr>
        <w:t xml:space="preserve"> suisses</w:t>
      </w:r>
      <w:r w:rsidR="00372D31" w:rsidRPr="004D3D70">
        <w:rPr>
          <w:lang w:val="fr-CH"/>
        </w:rPr>
        <w:t xml:space="preserve">) </w:t>
      </w:r>
      <w:r w:rsidR="00443655" w:rsidRPr="004D3D70">
        <w:rPr>
          <w:lang w:val="fr-CH"/>
        </w:rPr>
        <w:t>et du modèle de principes directeurs</w:t>
      </w:r>
      <w:r w:rsidR="00372D31" w:rsidRPr="004D3D70">
        <w:rPr>
          <w:lang w:val="fr-CH"/>
        </w:rPr>
        <w:t xml:space="preserve"> (</w:t>
      </w:r>
      <w:r w:rsidR="00443655" w:rsidRPr="004D3D70">
        <w:rPr>
          <w:lang w:val="fr-CH"/>
        </w:rPr>
        <w:t>53 267 </w:t>
      </w:r>
      <w:r w:rsidR="00372D31" w:rsidRPr="004D3D70">
        <w:rPr>
          <w:lang w:val="fr-CH"/>
        </w:rPr>
        <w:t>francs</w:t>
      </w:r>
      <w:r w:rsidR="00443655" w:rsidRPr="004D3D70">
        <w:rPr>
          <w:lang w:val="fr-CH"/>
        </w:rPr>
        <w:t xml:space="preserve"> suisses</w:t>
      </w:r>
      <w:r w:rsidR="00372D31" w:rsidRPr="004D3D70">
        <w:rPr>
          <w:lang w:val="fr-CH"/>
        </w:rPr>
        <w:t xml:space="preserve">) </w:t>
      </w:r>
      <w:r w:rsidR="007A2FEA" w:rsidRPr="004D3D70">
        <w:rPr>
          <w:lang w:val="fr-CH"/>
        </w:rPr>
        <w:t>ont globalement été conformes au budget prévu</w:t>
      </w:r>
      <w:r w:rsidR="00372D31" w:rsidRPr="004D3D70">
        <w:rPr>
          <w:lang w:val="fr-CH"/>
        </w:rPr>
        <w:t xml:space="preserve">.  </w:t>
      </w:r>
      <w:r w:rsidR="00164DC3" w:rsidRPr="004D3D70">
        <w:rPr>
          <w:lang w:val="fr-CH"/>
        </w:rPr>
        <w:t>D</w:t>
      </w:r>
      <w:r w:rsidR="004D3D70">
        <w:rPr>
          <w:lang w:val="fr-CH"/>
        </w:rPr>
        <w:t>’</w:t>
      </w:r>
      <w:r w:rsidR="00164DC3" w:rsidRPr="004D3D70">
        <w:rPr>
          <w:lang w:val="fr-CH"/>
        </w:rPr>
        <w:t>autres éléments des services contractuels comprenaient</w:t>
      </w:r>
      <w:r w:rsidR="00372D31" w:rsidRPr="004D3D70">
        <w:rPr>
          <w:lang w:val="fr-CH"/>
        </w:rPr>
        <w:t xml:space="preserve"> certain</w:t>
      </w:r>
      <w:r w:rsidR="00164DC3" w:rsidRPr="004D3D70">
        <w:rPr>
          <w:lang w:val="fr-CH"/>
        </w:rPr>
        <w:t>es dépenses relatives à la production vidé</w:t>
      </w:r>
      <w:r w:rsidR="00372D31" w:rsidRPr="004D3D70">
        <w:rPr>
          <w:lang w:val="fr-CH"/>
        </w:rPr>
        <w:t>o (</w:t>
      </w:r>
      <w:r w:rsidR="00164DC3" w:rsidRPr="004D3D70">
        <w:rPr>
          <w:lang w:val="fr-CH"/>
        </w:rPr>
        <w:t>24 </w:t>
      </w:r>
      <w:r w:rsidR="00372D31" w:rsidRPr="004D3D70">
        <w:rPr>
          <w:lang w:val="fr-CH"/>
        </w:rPr>
        <w:t>743</w:t>
      </w:r>
      <w:r w:rsidR="00164DC3" w:rsidRPr="004D3D70">
        <w:rPr>
          <w:lang w:val="fr-CH"/>
        </w:rPr>
        <w:t> </w:t>
      </w:r>
      <w:r w:rsidR="00372D31" w:rsidRPr="004D3D70">
        <w:rPr>
          <w:lang w:val="fr-CH"/>
        </w:rPr>
        <w:t>francs</w:t>
      </w:r>
      <w:r w:rsidR="00164DC3" w:rsidRPr="004D3D70">
        <w:rPr>
          <w:lang w:val="fr-CH"/>
        </w:rPr>
        <w:t xml:space="preserve"> suisses</w:t>
      </w:r>
      <w:r w:rsidR="00372D31" w:rsidRPr="004D3D70">
        <w:rPr>
          <w:lang w:val="fr-CH"/>
        </w:rPr>
        <w:t xml:space="preserve">) </w:t>
      </w:r>
      <w:r w:rsidR="00164DC3" w:rsidRPr="004D3D70">
        <w:rPr>
          <w:lang w:val="fr-CH"/>
        </w:rPr>
        <w:t>et à la formation du personnel</w:t>
      </w:r>
      <w:r w:rsidR="00372D31" w:rsidRPr="004D3D70">
        <w:rPr>
          <w:lang w:val="fr-CH"/>
        </w:rPr>
        <w:t xml:space="preserve"> (</w:t>
      </w:r>
      <w:r w:rsidR="00164DC3" w:rsidRPr="004D3D70">
        <w:rPr>
          <w:lang w:val="fr-CH"/>
        </w:rPr>
        <w:t>10 </w:t>
      </w:r>
      <w:r w:rsidR="00372D31" w:rsidRPr="004D3D70">
        <w:rPr>
          <w:lang w:val="fr-CH"/>
        </w:rPr>
        <w:t>169</w:t>
      </w:r>
      <w:r w:rsidR="00164DC3" w:rsidRPr="004D3D70">
        <w:rPr>
          <w:lang w:val="fr-CH"/>
        </w:rPr>
        <w:t> </w:t>
      </w:r>
      <w:r w:rsidR="00372D31" w:rsidRPr="004D3D70">
        <w:rPr>
          <w:lang w:val="fr-CH"/>
        </w:rPr>
        <w:t>francs</w:t>
      </w:r>
      <w:r w:rsidR="00164DC3" w:rsidRPr="004D3D70">
        <w:rPr>
          <w:lang w:val="fr-CH"/>
        </w:rPr>
        <w:t xml:space="preserve"> suiss</w:t>
      </w:r>
      <w:r w:rsidR="002140E0" w:rsidRPr="004D3D70">
        <w:rPr>
          <w:lang w:val="fr-CH"/>
        </w:rPr>
        <w:t>es)</w:t>
      </w:r>
      <w:r w:rsidR="002140E0">
        <w:rPr>
          <w:lang w:val="fr-CH"/>
        </w:rPr>
        <w:t xml:space="preserve">.  </w:t>
      </w:r>
      <w:r w:rsidR="002140E0" w:rsidRPr="004D3D70">
        <w:rPr>
          <w:lang w:val="fr-CH"/>
        </w:rPr>
        <w:t>Le</w:t>
      </w:r>
      <w:r w:rsidR="00164DC3" w:rsidRPr="004D3D70">
        <w:rPr>
          <w:lang w:val="fr-CH"/>
        </w:rPr>
        <w:t>s services contractuels de personnes se sont élevés à 25 193 </w:t>
      </w:r>
      <w:r w:rsidR="00372D31" w:rsidRPr="004D3D70">
        <w:rPr>
          <w:lang w:val="fr-CH"/>
        </w:rPr>
        <w:t xml:space="preserve">francs </w:t>
      </w:r>
      <w:r w:rsidR="00906ACE" w:rsidRPr="004D3D70">
        <w:rPr>
          <w:lang w:val="fr-CH"/>
        </w:rPr>
        <w:t xml:space="preserve">suisses, montant qui a été nettement inférieur à celui </w:t>
      </w:r>
      <w:r w:rsidR="00164DC3" w:rsidRPr="004D3D70">
        <w:rPr>
          <w:lang w:val="fr-CH"/>
        </w:rPr>
        <w:t>prévu</w:t>
      </w:r>
      <w:r w:rsidR="00372D31" w:rsidRPr="004D3D70">
        <w:rPr>
          <w:lang w:val="fr-CH"/>
        </w:rPr>
        <w:t xml:space="preserve"> (70</w:t>
      </w:r>
      <w:r w:rsidR="00164DC3" w:rsidRPr="004D3D70">
        <w:rPr>
          <w:lang w:val="fr-CH"/>
        </w:rPr>
        <w:t> </w:t>
      </w:r>
      <w:r w:rsidR="00372D31" w:rsidRPr="004D3D70">
        <w:rPr>
          <w:lang w:val="fr-CH"/>
        </w:rPr>
        <w:t>000</w:t>
      </w:r>
      <w:r w:rsidR="00164DC3" w:rsidRPr="004D3D70">
        <w:rPr>
          <w:lang w:val="fr-CH"/>
        </w:rPr>
        <w:t> </w:t>
      </w:r>
      <w:r w:rsidR="00372D31" w:rsidRPr="004D3D70">
        <w:rPr>
          <w:lang w:val="fr-CH"/>
        </w:rPr>
        <w:t>francs</w:t>
      </w:r>
      <w:r w:rsidR="00164DC3" w:rsidRPr="004D3D70">
        <w:rPr>
          <w:lang w:val="fr-CH"/>
        </w:rPr>
        <w:t xml:space="preserve"> suisses</w:t>
      </w:r>
      <w:r w:rsidR="00372D31" w:rsidRPr="004D3D70">
        <w:rPr>
          <w:lang w:val="fr-CH"/>
        </w:rPr>
        <w:t>)</w:t>
      </w:r>
      <w:r w:rsidR="00164DC3" w:rsidRPr="004D3D70">
        <w:rPr>
          <w:lang w:val="fr-CH"/>
        </w:rPr>
        <w:t xml:space="preserve">, principalement en raison </w:t>
      </w:r>
      <w:r w:rsidR="00A16F5E" w:rsidRPr="004D3D70">
        <w:rPr>
          <w:lang w:val="fr-CH"/>
        </w:rPr>
        <w:t>du fait que le travail administratif nécessaire pour les cours d</w:t>
      </w:r>
      <w:r w:rsidR="004D3D70">
        <w:rPr>
          <w:lang w:val="fr-CH"/>
        </w:rPr>
        <w:t>’</w:t>
      </w:r>
      <w:r w:rsidR="00A16F5E" w:rsidRPr="004D3D70">
        <w:rPr>
          <w:lang w:val="fr-CH"/>
        </w:rPr>
        <w:t>enseignement à distance n</w:t>
      </w:r>
      <w:r w:rsidR="004D3D70">
        <w:rPr>
          <w:lang w:val="fr-CH"/>
        </w:rPr>
        <w:t>’</w:t>
      </w:r>
      <w:r w:rsidR="00A16F5E" w:rsidRPr="004D3D70">
        <w:rPr>
          <w:lang w:val="fr-CH"/>
        </w:rPr>
        <w:t>a pas été externalisé</w:t>
      </w:r>
      <w:r w:rsidR="00372D31" w:rsidRPr="004D3D70">
        <w:rPr>
          <w:lang w:val="fr-CH"/>
        </w:rPr>
        <w:t>.</w:t>
      </w:r>
    </w:p>
    <w:p w:rsidR="00905890" w:rsidRPr="006A3B1C" w:rsidRDefault="00905890" w:rsidP="00372D31">
      <w:pPr>
        <w:rPr>
          <w:sz w:val="14"/>
          <w:lang w:val="fr-CH"/>
        </w:rPr>
      </w:pPr>
    </w:p>
    <w:p w:rsidR="00905890" w:rsidRPr="004D3D70" w:rsidRDefault="00443655" w:rsidP="00372D31">
      <w:pPr>
        <w:numPr>
          <w:ilvl w:val="0"/>
          <w:numId w:val="18"/>
        </w:numPr>
        <w:rPr>
          <w:lang w:val="fr-CH"/>
        </w:rPr>
      </w:pPr>
      <w:r w:rsidRPr="004D3D70">
        <w:rPr>
          <w:lang w:val="fr-CH"/>
        </w:rPr>
        <w:t>Dépenses de fonctionnement</w:t>
      </w:r>
      <w:r w:rsidR="004D3D70">
        <w:rPr>
          <w:lang w:val="fr-CH"/>
        </w:rPr>
        <w:t> :</w:t>
      </w:r>
      <w:r w:rsidR="00372D31" w:rsidRPr="004D3D70">
        <w:rPr>
          <w:lang w:val="fr-CH"/>
        </w:rPr>
        <w:t xml:space="preserve"> </w:t>
      </w:r>
      <w:r w:rsidR="005F4D78" w:rsidRPr="004D3D70">
        <w:rPr>
          <w:lang w:val="fr-CH"/>
        </w:rPr>
        <w:t>les dépenses effectives, qui se sont élevées à 618 867 </w:t>
      </w:r>
      <w:r w:rsidR="00372D31" w:rsidRPr="004D3D70">
        <w:rPr>
          <w:lang w:val="fr-CH"/>
        </w:rPr>
        <w:t xml:space="preserve">francs </w:t>
      </w:r>
      <w:r w:rsidR="005F4D78" w:rsidRPr="004D3D70">
        <w:rPr>
          <w:lang w:val="fr-CH"/>
        </w:rPr>
        <w:t xml:space="preserve">suisses </w:t>
      </w:r>
      <w:r w:rsidR="004D3D70" w:rsidRPr="004D3D70">
        <w:rPr>
          <w:lang w:val="fr-CH"/>
        </w:rPr>
        <w:t>en</w:t>
      </w:r>
      <w:r w:rsidR="004D3D70">
        <w:rPr>
          <w:lang w:val="fr-CH"/>
        </w:rPr>
        <w:t> </w:t>
      </w:r>
      <w:r w:rsidR="004D3D70" w:rsidRPr="004D3D70">
        <w:rPr>
          <w:lang w:val="fr-CH"/>
        </w:rPr>
        <w:t>2017</w:t>
      </w:r>
      <w:r w:rsidR="005F4D78" w:rsidRPr="004D3D70">
        <w:rPr>
          <w:lang w:val="fr-CH"/>
        </w:rPr>
        <w:t>, sont légèrement inférieures au montant prévu de</w:t>
      </w:r>
      <w:r w:rsidR="00372D31" w:rsidRPr="004D3D70">
        <w:rPr>
          <w:lang w:val="fr-CH"/>
        </w:rPr>
        <w:t xml:space="preserve"> 635</w:t>
      </w:r>
      <w:r w:rsidR="005F4D78" w:rsidRPr="004D3D70">
        <w:rPr>
          <w:lang w:val="fr-CH"/>
        </w:rPr>
        <w:t> 000 </w:t>
      </w:r>
      <w:r w:rsidR="00372D31" w:rsidRPr="004D3D70">
        <w:rPr>
          <w:lang w:val="fr-CH"/>
        </w:rPr>
        <w:t xml:space="preserve">francs </w:t>
      </w:r>
      <w:r w:rsidR="005F4D78" w:rsidRPr="004D3D70">
        <w:rPr>
          <w:lang w:val="fr-CH"/>
        </w:rPr>
        <w:t>suisses (</w:t>
      </w:r>
      <w:r w:rsidR="004D3D70">
        <w:rPr>
          <w:lang w:val="fr-CH"/>
        </w:rPr>
        <w:t>-</w:t>
      </w:r>
      <w:r w:rsidR="005F4D78" w:rsidRPr="004D3D70">
        <w:rPr>
          <w:lang w:val="fr-CH"/>
        </w:rPr>
        <w:t>2,</w:t>
      </w:r>
      <w:r w:rsidR="00372D31" w:rsidRPr="004D3D70">
        <w:rPr>
          <w:lang w:val="fr-CH"/>
        </w:rPr>
        <w:t>5%).</w:t>
      </w:r>
      <w:r w:rsidR="00666306" w:rsidRPr="004D3D70">
        <w:rPr>
          <w:lang w:val="fr-CH"/>
        </w:rPr>
        <w:t xml:space="preserve">  </w:t>
      </w:r>
      <w:r w:rsidR="00306365" w:rsidRPr="004D3D70">
        <w:rPr>
          <w:lang w:val="fr-CH"/>
        </w:rPr>
        <w:t>Cette diminution a été</w:t>
      </w:r>
      <w:r w:rsidR="005F4D78" w:rsidRPr="004D3D70">
        <w:rPr>
          <w:lang w:val="fr-CH"/>
        </w:rPr>
        <w:t xml:space="preserve"> </w:t>
      </w:r>
      <w:r w:rsidR="009E1439" w:rsidRPr="004D3D70">
        <w:rPr>
          <w:lang w:val="fr-CH"/>
        </w:rPr>
        <w:t>constante</w:t>
      </w:r>
      <w:r w:rsidR="005F4D78" w:rsidRPr="004D3D70">
        <w:rPr>
          <w:lang w:val="fr-CH"/>
        </w:rPr>
        <w:t xml:space="preserve"> au cours de l</w:t>
      </w:r>
      <w:r w:rsidR="004D3D70">
        <w:rPr>
          <w:lang w:val="fr-CH"/>
        </w:rPr>
        <w:t>’</w:t>
      </w:r>
      <w:r w:rsidR="005F4D78" w:rsidRPr="004D3D70">
        <w:rPr>
          <w:lang w:val="fr-CH"/>
        </w:rPr>
        <w:t xml:space="preserve">exercice </w:t>
      </w:r>
      <w:r w:rsidR="004D3D70" w:rsidRPr="004D3D70">
        <w:rPr>
          <w:lang w:val="fr-CH"/>
        </w:rPr>
        <w:t>biennal</w:t>
      </w:r>
      <w:r w:rsidR="004D3D70">
        <w:rPr>
          <w:lang w:val="fr-CH"/>
        </w:rPr>
        <w:t> </w:t>
      </w:r>
      <w:r w:rsidR="004D3D70" w:rsidRPr="004D3D70">
        <w:rPr>
          <w:lang w:val="fr-CH"/>
        </w:rPr>
        <w:t>2016</w:t>
      </w:r>
      <w:r w:rsidR="00665FEC">
        <w:rPr>
          <w:lang w:val="fr-CH"/>
        </w:rPr>
        <w:noBreakHyphen/>
      </w:r>
      <w:r w:rsidR="00372D31" w:rsidRPr="004D3D70">
        <w:rPr>
          <w:lang w:val="fr-CH"/>
        </w:rPr>
        <w:t>2017</w:t>
      </w:r>
      <w:r w:rsidR="005F4D78" w:rsidRPr="004D3D70">
        <w:rPr>
          <w:lang w:val="fr-CH"/>
        </w:rPr>
        <w:t xml:space="preserve"> (</w:t>
      </w:r>
      <w:r w:rsidR="004D3D70">
        <w:rPr>
          <w:lang w:val="fr-CH"/>
        </w:rPr>
        <w:t>-</w:t>
      </w:r>
      <w:r w:rsidR="005F4D78" w:rsidRPr="004D3D70">
        <w:rPr>
          <w:lang w:val="fr-CH"/>
        </w:rPr>
        <w:t>2,</w:t>
      </w:r>
      <w:r w:rsidR="00372D31" w:rsidRPr="004D3D70">
        <w:rPr>
          <w:lang w:val="fr-CH"/>
        </w:rPr>
        <w:t xml:space="preserve">4%).  </w:t>
      </w:r>
      <w:r w:rsidR="004B160D" w:rsidRPr="004D3D70">
        <w:rPr>
          <w:lang w:val="fr-CH"/>
        </w:rPr>
        <w:t>Les coûts de fonctionnement</w:t>
      </w:r>
      <w:r w:rsidR="00372D31" w:rsidRPr="004D3D70">
        <w:rPr>
          <w:lang w:val="fr-CH"/>
        </w:rPr>
        <w:t xml:space="preserve"> concern</w:t>
      </w:r>
      <w:r w:rsidR="004B160D" w:rsidRPr="004D3D70">
        <w:rPr>
          <w:lang w:val="fr-CH"/>
        </w:rPr>
        <w:t>ent les</w:t>
      </w:r>
      <w:r w:rsidR="00372D31" w:rsidRPr="004D3D70">
        <w:rPr>
          <w:lang w:val="fr-CH"/>
        </w:rPr>
        <w:t xml:space="preserve"> </w:t>
      </w:r>
      <w:r w:rsidR="004B160D" w:rsidRPr="004D3D70">
        <w:rPr>
          <w:lang w:val="fr-CH"/>
        </w:rPr>
        <w:t xml:space="preserve">paiements afférents aux services fournis par </w:t>
      </w:r>
      <w:r w:rsidR="00DF4418" w:rsidRPr="004D3D70">
        <w:rPr>
          <w:lang w:val="fr-CH"/>
        </w:rPr>
        <w:t>l</w:t>
      </w:r>
      <w:r w:rsidR="004D3D70">
        <w:rPr>
          <w:lang w:val="fr-CH"/>
        </w:rPr>
        <w:t>’</w:t>
      </w:r>
      <w:r w:rsidR="00372D31" w:rsidRPr="004D3D70">
        <w:rPr>
          <w:lang w:val="fr-CH"/>
        </w:rPr>
        <w:t>O</w:t>
      </w:r>
      <w:r w:rsidR="00DF4418" w:rsidRPr="004D3D70">
        <w:rPr>
          <w:lang w:val="fr-CH"/>
        </w:rPr>
        <w:t>MPI</w:t>
      </w:r>
      <w:r w:rsidR="004B160D" w:rsidRPr="004D3D70">
        <w:rPr>
          <w:lang w:val="fr-CH"/>
        </w:rPr>
        <w:t xml:space="preserve"> à</w:t>
      </w:r>
      <w:r w:rsidR="00372D31" w:rsidRPr="004D3D70">
        <w:rPr>
          <w:lang w:val="fr-CH"/>
        </w:rPr>
        <w:t xml:space="preserve"> </w:t>
      </w:r>
      <w:r w:rsidR="004B160D" w:rsidRPr="004D3D70">
        <w:rPr>
          <w:lang w:val="fr-CH"/>
        </w:rPr>
        <w:t>l</w:t>
      </w:r>
      <w:r w:rsidR="004D3D70">
        <w:rPr>
          <w:lang w:val="fr-CH"/>
        </w:rPr>
        <w:t>’</w:t>
      </w:r>
      <w:r w:rsidR="004B160D" w:rsidRPr="004D3D70">
        <w:rPr>
          <w:lang w:val="fr-CH"/>
        </w:rPr>
        <w:t>UPOV dans le cadre de</w:t>
      </w:r>
      <w:r w:rsidR="00372D31" w:rsidRPr="004D3D70">
        <w:rPr>
          <w:lang w:val="fr-CH"/>
        </w:rPr>
        <w:t xml:space="preserve"> </w:t>
      </w:r>
      <w:r w:rsidR="004B160D" w:rsidRPr="004D3D70">
        <w:rPr>
          <w:lang w:val="fr-CH"/>
        </w:rPr>
        <w:t>l</w:t>
      </w:r>
      <w:r w:rsidR="004D3D70">
        <w:rPr>
          <w:lang w:val="fr-CH"/>
        </w:rPr>
        <w:t>’</w:t>
      </w:r>
      <w:r w:rsidR="00372D31" w:rsidRPr="004D3D70">
        <w:rPr>
          <w:rFonts w:cs="Arial"/>
          <w:lang w:val="fr-CH"/>
        </w:rPr>
        <w:t>“</w:t>
      </w:r>
      <w:r w:rsidR="004B160D" w:rsidRPr="004D3D70">
        <w:rPr>
          <w:rFonts w:cs="Arial"/>
          <w:lang w:val="fr-CH"/>
        </w:rPr>
        <w:t xml:space="preserve">Accord entre </w:t>
      </w:r>
      <w:r w:rsidR="004B160D" w:rsidRPr="004D3D70">
        <w:rPr>
          <w:lang w:val="fr-CH"/>
        </w:rPr>
        <w:t>l</w:t>
      </w:r>
      <w:r w:rsidR="004D3D70">
        <w:rPr>
          <w:lang w:val="fr-CH"/>
        </w:rPr>
        <w:t>’</w:t>
      </w:r>
      <w:r w:rsidR="004B160D" w:rsidRPr="004D3D70">
        <w:rPr>
          <w:lang w:val="fr-CH"/>
        </w:rPr>
        <w:t>Organisation Mondiale de la Propriété Intellectuelle</w:t>
      </w:r>
      <w:r w:rsidR="004B160D" w:rsidRPr="004D3D70">
        <w:rPr>
          <w:rFonts w:cs="Arial"/>
          <w:lang w:val="fr-CH"/>
        </w:rPr>
        <w:t xml:space="preserve"> et l</w:t>
      </w:r>
      <w:r w:rsidR="004D3D70">
        <w:rPr>
          <w:rFonts w:cs="Arial"/>
          <w:lang w:val="fr-CH"/>
        </w:rPr>
        <w:t>’</w:t>
      </w:r>
      <w:r w:rsidR="004B160D" w:rsidRPr="004D3D70">
        <w:rPr>
          <w:rFonts w:cs="Arial"/>
          <w:lang w:val="fr-CH"/>
        </w:rPr>
        <w:t>Union i</w:t>
      </w:r>
      <w:r w:rsidR="00372D31" w:rsidRPr="004D3D70">
        <w:rPr>
          <w:rFonts w:cs="Arial"/>
          <w:lang w:val="fr-CH"/>
        </w:rPr>
        <w:t>nternational</w:t>
      </w:r>
      <w:r w:rsidR="004B160D" w:rsidRPr="004D3D70">
        <w:rPr>
          <w:rFonts w:cs="Arial"/>
          <w:lang w:val="fr-CH"/>
        </w:rPr>
        <w:t>e pour la p</w:t>
      </w:r>
      <w:r w:rsidR="00372D31" w:rsidRPr="004D3D70">
        <w:rPr>
          <w:rFonts w:cs="Arial"/>
          <w:lang w:val="fr-CH"/>
        </w:rPr>
        <w:t xml:space="preserve">rotection </w:t>
      </w:r>
      <w:r w:rsidR="004B160D" w:rsidRPr="004D3D70">
        <w:rPr>
          <w:rFonts w:cs="Arial"/>
          <w:lang w:val="fr-CH"/>
        </w:rPr>
        <w:t>des obtentions végétales</w:t>
      </w:r>
      <w:r w:rsidR="00372D31" w:rsidRPr="004D3D70">
        <w:rPr>
          <w:rFonts w:cs="Arial"/>
          <w:lang w:val="fr-CH"/>
        </w:rPr>
        <w:t>”</w:t>
      </w:r>
      <w:r w:rsidR="00372D31" w:rsidRPr="004D3D70">
        <w:rPr>
          <w:lang w:val="fr-CH"/>
        </w:rPr>
        <w:t xml:space="preserve"> (document</w:t>
      </w:r>
      <w:r w:rsidR="00BE23DA">
        <w:rPr>
          <w:lang w:val="fr-CH"/>
        </w:rPr>
        <w:t> </w:t>
      </w:r>
      <w:r w:rsidR="0073309D" w:rsidRPr="004D3D70">
        <w:rPr>
          <w:rFonts w:cs="Arial"/>
          <w:lang w:val="fr-CH"/>
        </w:rPr>
        <w:t xml:space="preserve">UPOV/INF/8). </w:t>
      </w:r>
      <w:r w:rsidR="004B160D" w:rsidRPr="004D3D70">
        <w:rPr>
          <w:rFonts w:cs="Arial"/>
          <w:lang w:val="fr-CH"/>
        </w:rPr>
        <w:t xml:space="preserve"> </w:t>
      </w:r>
      <w:r w:rsidR="006E2539" w:rsidRPr="004D3D70">
        <w:rPr>
          <w:rFonts w:cs="Arial"/>
          <w:lang w:val="fr-CH"/>
        </w:rPr>
        <w:t>La maîtrise de ces coûts</w:t>
      </w:r>
      <w:r w:rsidR="00372D31" w:rsidRPr="004D3D70">
        <w:rPr>
          <w:rFonts w:cs="Arial"/>
          <w:lang w:val="fr-CH"/>
        </w:rPr>
        <w:t xml:space="preserve"> </w:t>
      </w:r>
      <w:r w:rsidR="008B2F25" w:rsidRPr="004D3D70">
        <w:rPr>
          <w:rFonts w:cs="Arial"/>
          <w:lang w:val="fr-CH"/>
        </w:rPr>
        <w:t>est due aux économies réalisées sur des services de l</w:t>
      </w:r>
      <w:r w:rsidR="004D3D70">
        <w:rPr>
          <w:rFonts w:cs="Arial"/>
          <w:lang w:val="fr-CH"/>
        </w:rPr>
        <w:t>’</w:t>
      </w:r>
      <w:r w:rsidR="008B2F25" w:rsidRPr="004D3D70">
        <w:rPr>
          <w:rFonts w:cs="Arial"/>
          <w:lang w:val="fr-CH"/>
        </w:rPr>
        <w:t>OMPI ainsi qu</w:t>
      </w:r>
      <w:r w:rsidR="004D3D70">
        <w:rPr>
          <w:rFonts w:cs="Arial"/>
          <w:lang w:val="fr-CH"/>
        </w:rPr>
        <w:t>’</w:t>
      </w:r>
      <w:r w:rsidR="008B2F25" w:rsidRPr="004D3D70">
        <w:rPr>
          <w:rFonts w:cs="Arial"/>
          <w:lang w:val="fr-CH"/>
        </w:rPr>
        <w:t>à</w:t>
      </w:r>
      <w:r w:rsidR="00372D31" w:rsidRPr="004D3D70">
        <w:rPr>
          <w:rFonts w:cs="Arial"/>
          <w:lang w:val="fr-CH"/>
        </w:rPr>
        <w:t xml:space="preserve"> certain</w:t>
      </w:r>
      <w:r w:rsidR="008B2F25" w:rsidRPr="004D3D70">
        <w:rPr>
          <w:rFonts w:cs="Arial"/>
          <w:lang w:val="fr-CH"/>
        </w:rPr>
        <w:t>s changements concernant des</w:t>
      </w:r>
      <w:r w:rsidR="00372D31" w:rsidRPr="004D3D70">
        <w:rPr>
          <w:rFonts w:cs="Arial"/>
          <w:lang w:val="fr-CH"/>
        </w:rPr>
        <w:t xml:space="preserve"> services </w:t>
      </w:r>
      <w:r w:rsidR="008B2F25" w:rsidRPr="004D3D70">
        <w:rPr>
          <w:rFonts w:cs="Arial"/>
          <w:lang w:val="fr-CH"/>
        </w:rPr>
        <w:t>fournis à l</w:t>
      </w:r>
      <w:r w:rsidR="004D3D70">
        <w:rPr>
          <w:rFonts w:cs="Arial"/>
          <w:lang w:val="fr-CH"/>
        </w:rPr>
        <w:t>’</w:t>
      </w:r>
      <w:r w:rsidR="00372D31" w:rsidRPr="004D3D70">
        <w:rPr>
          <w:rFonts w:cs="Arial"/>
          <w:lang w:val="fr-CH"/>
        </w:rPr>
        <w:t xml:space="preserve">UPOV.  </w:t>
      </w:r>
      <w:r w:rsidR="008B2F25" w:rsidRPr="004D3D70">
        <w:rPr>
          <w:rFonts w:cs="Arial"/>
          <w:lang w:val="fr-CH"/>
        </w:rPr>
        <w:t>Par exe</w:t>
      </w:r>
      <w:r w:rsidR="00372D31" w:rsidRPr="004D3D70">
        <w:rPr>
          <w:rFonts w:cs="Arial"/>
          <w:lang w:val="fr-CH"/>
        </w:rPr>
        <w:t>mple, certain</w:t>
      </w:r>
      <w:r w:rsidR="008B2F25" w:rsidRPr="004D3D70">
        <w:rPr>
          <w:rFonts w:cs="Arial"/>
          <w:lang w:val="fr-CH"/>
        </w:rPr>
        <w:t>s services d</w:t>
      </w:r>
      <w:r w:rsidR="004D3D70">
        <w:rPr>
          <w:rFonts w:cs="Arial"/>
          <w:lang w:val="fr-CH"/>
        </w:rPr>
        <w:t>’</w:t>
      </w:r>
      <w:r w:rsidR="008B2F25" w:rsidRPr="004D3D70">
        <w:rPr>
          <w:rFonts w:cs="Arial"/>
          <w:lang w:val="fr-CH"/>
        </w:rPr>
        <w:t>appui informatique précédemment fournis par l</w:t>
      </w:r>
      <w:r w:rsidR="004D3D70">
        <w:rPr>
          <w:rFonts w:cs="Arial"/>
          <w:lang w:val="fr-CH"/>
        </w:rPr>
        <w:t>’</w:t>
      </w:r>
      <w:r w:rsidR="008B2F25" w:rsidRPr="004D3D70">
        <w:rPr>
          <w:rFonts w:cs="Arial"/>
          <w:lang w:val="fr-CH"/>
        </w:rPr>
        <w:t>OMPI à</w:t>
      </w:r>
      <w:r w:rsidR="00372D31" w:rsidRPr="004D3D70">
        <w:rPr>
          <w:rFonts w:cs="Arial"/>
          <w:lang w:val="fr-CH"/>
        </w:rPr>
        <w:t xml:space="preserve"> </w:t>
      </w:r>
      <w:r w:rsidR="008B2F25" w:rsidRPr="004D3D70">
        <w:rPr>
          <w:rFonts w:cs="Arial"/>
          <w:lang w:val="fr-CH"/>
        </w:rPr>
        <w:t>l</w:t>
      </w:r>
      <w:r w:rsidR="004D3D70">
        <w:rPr>
          <w:rFonts w:cs="Arial"/>
          <w:lang w:val="fr-CH"/>
        </w:rPr>
        <w:t>’</w:t>
      </w:r>
      <w:r w:rsidR="00372D31" w:rsidRPr="004D3D70">
        <w:rPr>
          <w:rFonts w:cs="Arial"/>
          <w:lang w:val="fr-CH"/>
        </w:rPr>
        <w:t xml:space="preserve">UPOV </w:t>
      </w:r>
      <w:r w:rsidR="008B2F25" w:rsidRPr="004D3D70">
        <w:rPr>
          <w:rFonts w:cs="Arial"/>
          <w:lang w:val="fr-CH"/>
        </w:rPr>
        <w:t>ne sont plus fournis et l</w:t>
      </w:r>
      <w:r w:rsidR="004D3D70">
        <w:rPr>
          <w:rFonts w:cs="Arial"/>
          <w:lang w:val="fr-CH"/>
        </w:rPr>
        <w:t>’</w:t>
      </w:r>
      <w:r w:rsidR="008B2F25" w:rsidRPr="004D3D70">
        <w:rPr>
          <w:rFonts w:cs="Arial"/>
          <w:lang w:val="fr-CH"/>
        </w:rPr>
        <w:t>outil de réservation de voyages en ligne a permis de transférer</w:t>
      </w:r>
      <w:r w:rsidR="00372D31" w:rsidRPr="004D3D70">
        <w:rPr>
          <w:rFonts w:cs="Arial"/>
          <w:lang w:val="fr-CH"/>
        </w:rPr>
        <w:t xml:space="preserve"> certain</w:t>
      </w:r>
      <w:r w:rsidR="008B2F25" w:rsidRPr="004D3D70">
        <w:rPr>
          <w:rFonts w:cs="Arial"/>
          <w:lang w:val="fr-CH"/>
        </w:rPr>
        <w:t>s éléments de gestion</w:t>
      </w:r>
      <w:r w:rsidR="00372D31" w:rsidRPr="004D3D70">
        <w:rPr>
          <w:rFonts w:cs="Arial"/>
          <w:lang w:val="fr-CH"/>
        </w:rPr>
        <w:t xml:space="preserve"> administrative </w:t>
      </w:r>
      <w:r w:rsidR="00081593" w:rsidRPr="004D3D70">
        <w:rPr>
          <w:rFonts w:cs="Arial"/>
          <w:lang w:val="fr-CH"/>
        </w:rPr>
        <w:t>pris en charge par</w:t>
      </w:r>
      <w:r w:rsidR="008B2F25" w:rsidRPr="004D3D70">
        <w:rPr>
          <w:rFonts w:cs="Arial"/>
          <w:lang w:val="fr-CH"/>
        </w:rPr>
        <w:t xml:space="preserve"> l</w:t>
      </w:r>
      <w:r w:rsidR="004D3D70">
        <w:rPr>
          <w:rFonts w:cs="Arial"/>
          <w:lang w:val="fr-CH"/>
        </w:rPr>
        <w:t>’</w:t>
      </w:r>
      <w:r w:rsidR="008B2F25" w:rsidRPr="004D3D70">
        <w:rPr>
          <w:rFonts w:cs="Arial"/>
          <w:lang w:val="fr-CH"/>
        </w:rPr>
        <w:t>OMPI au personnel de l</w:t>
      </w:r>
      <w:r w:rsidR="004D3D70">
        <w:rPr>
          <w:rFonts w:cs="Arial"/>
          <w:lang w:val="fr-CH"/>
        </w:rPr>
        <w:t>’</w:t>
      </w:r>
      <w:r w:rsidR="00372D31" w:rsidRPr="004D3D70">
        <w:rPr>
          <w:rFonts w:cs="Arial"/>
          <w:lang w:val="fr-CH"/>
        </w:rPr>
        <w:t>UPOV.</w:t>
      </w:r>
    </w:p>
    <w:p w:rsidR="00905890" w:rsidRPr="006A3B1C" w:rsidRDefault="00905890" w:rsidP="00372D31">
      <w:pPr>
        <w:pStyle w:val="ListParagraph"/>
        <w:rPr>
          <w:sz w:val="14"/>
          <w:lang w:val="fr-CH"/>
        </w:rPr>
      </w:pPr>
    </w:p>
    <w:p w:rsidR="004D3D70" w:rsidRDefault="001842BE" w:rsidP="001842BE">
      <w:pPr>
        <w:numPr>
          <w:ilvl w:val="0"/>
          <w:numId w:val="18"/>
        </w:numPr>
        <w:rPr>
          <w:lang w:val="fr-CH"/>
        </w:rPr>
      </w:pPr>
      <w:r w:rsidRPr="004D3D70">
        <w:rPr>
          <w:lang w:val="fr-CH"/>
        </w:rPr>
        <w:t>Autres dépenses</w:t>
      </w:r>
      <w:r w:rsidR="004D3D70">
        <w:rPr>
          <w:lang w:val="fr-CH"/>
        </w:rPr>
        <w:t> :</w:t>
      </w:r>
      <w:r w:rsidRPr="004D3D70">
        <w:rPr>
          <w:lang w:val="fr-CH"/>
        </w:rPr>
        <w:t xml:space="preserve"> </w:t>
      </w:r>
      <w:r w:rsidR="004D3D70" w:rsidRPr="004D3D70">
        <w:rPr>
          <w:lang w:val="fr-CH"/>
        </w:rPr>
        <w:t>en</w:t>
      </w:r>
      <w:r w:rsidR="004D3D70">
        <w:rPr>
          <w:lang w:val="fr-CH"/>
        </w:rPr>
        <w:t> </w:t>
      </w:r>
      <w:r w:rsidR="004D3D70" w:rsidRPr="004D3D70">
        <w:rPr>
          <w:lang w:val="fr-CH"/>
        </w:rPr>
        <w:t>2017</w:t>
      </w:r>
      <w:r w:rsidRPr="004D3D70">
        <w:rPr>
          <w:lang w:val="fr-CH"/>
        </w:rPr>
        <w:t>, les autres dépenses relatives aux fournitures, au mobilier et au matériel ne se sont élevées qu</w:t>
      </w:r>
      <w:r w:rsidR="004D3D70">
        <w:rPr>
          <w:lang w:val="fr-CH"/>
        </w:rPr>
        <w:t>’</w:t>
      </w:r>
      <w:r w:rsidRPr="004D3D70">
        <w:rPr>
          <w:lang w:val="fr-CH"/>
        </w:rPr>
        <w:t>à 97</w:t>
      </w:r>
      <w:r w:rsidR="004D3D70" w:rsidRPr="004D3D70">
        <w:rPr>
          <w:lang w:val="fr-CH"/>
        </w:rPr>
        <w:t>2</w:t>
      </w:r>
      <w:r w:rsidR="004D3D70">
        <w:rPr>
          <w:lang w:val="fr-CH"/>
        </w:rPr>
        <w:t> </w:t>
      </w:r>
      <w:r w:rsidR="004D3D70" w:rsidRPr="004D3D70">
        <w:rPr>
          <w:lang w:val="fr-CH"/>
        </w:rPr>
        <w:t>franc</w:t>
      </w:r>
      <w:r w:rsidRPr="004D3D70">
        <w:rPr>
          <w:lang w:val="fr-CH"/>
        </w:rPr>
        <w:t>s suisses, par rapport au montant prévu de 10</w:t>
      </w:r>
      <w:r w:rsidR="00AC2A6B">
        <w:rPr>
          <w:lang w:val="fr-CH"/>
        </w:rPr>
        <w:t> </w:t>
      </w:r>
      <w:r w:rsidRPr="004D3D70">
        <w:rPr>
          <w:lang w:val="fr-CH"/>
        </w:rPr>
        <w:t>00</w:t>
      </w:r>
      <w:r w:rsidR="004D3D70" w:rsidRPr="004D3D70">
        <w:rPr>
          <w:lang w:val="fr-CH"/>
        </w:rPr>
        <w:t>0</w:t>
      </w:r>
      <w:r w:rsidR="004D3D70">
        <w:rPr>
          <w:lang w:val="fr-CH"/>
        </w:rPr>
        <w:t> </w:t>
      </w:r>
      <w:r w:rsidR="004D3D70" w:rsidRPr="004D3D70">
        <w:rPr>
          <w:lang w:val="fr-CH"/>
        </w:rPr>
        <w:t>franc</w:t>
      </w:r>
      <w:r w:rsidRPr="004D3D70">
        <w:rPr>
          <w:lang w:val="fr-CH"/>
        </w:rPr>
        <w:t>s suisses.</w:t>
      </w:r>
    </w:p>
    <w:p w:rsidR="00905890" w:rsidRPr="004D3D70" w:rsidRDefault="00905890" w:rsidP="00372D31">
      <w:pPr>
        <w:jc w:val="left"/>
        <w:rPr>
          <w:lang w:val="fr-CH"/>
        </w:rPr>
      </w:pPr>
    </w:p>
    <w:p w:rsidR="00905890" w:rsidRPr="004D3D70" w:rsidRDefault="00A824AF" w:rsidP="001842BE">
      <w:pPr>
        <w:pStyle w:val="Heading1"/>
        <w:jc w:val="center"/>
        <w:rPr>
          <w:lang w:val="fr-CH"/>
        </w:rPr>
      </w:pPr>
      <w:r w:rsidRPr="004D3D70">
        <w:rPr>
          <w:lang w:val="fr-CH"/>
        </w:rPr>
        <w:br w:type="page"/>
      </w:r>
      <w:bookmarkStart w:id="9" w:name="_Toc523157884"/>
      <w:r w:rsidR="001842BE" w:rsidRPr="004D3D70">
        <w:rPr>
          <w:lang w:val="fr-CH"/>
        </w:rPr>
        <w:lastRenderedPageBreak/>
        <w:t>État I – État de la situation financière</w:t>
      </w:r>
      <w:bookmarkEnd w:id="9"/>
    </w:p>
    <w:p w:rsidR="00905890" w:rsidRPr="004D3D70" w:rsidRDefault="001842BE" w:rsidP="001842BE">
      <w:pPr>
        <w:jc w:val="center"/>
        <w:rPr>
          <w:b/>
          <w:lang w:val="fr-CH"/>
        </w:rPr>
      </w:pPr>
      <w:r w:rsidRPr="004D3D70">
        <w:rPr>
          <w:b/>
          <w:lang w:val="fr-CH"/>
        </w:rPr>
        <w:t>au 31 décembre 2017</w:t>
      </w:r>
    </w:p>
    <w:p w:rsidR="00905890" w:rsidRPr="004D3D70" w:rsidRDefault="001842BE" w:rsidP="001842BE">
      <w:pPr>
        <w:jc w:val="center"/>
        <w:rPr>
          <w:i/>
          <w:lang w:val="fr-CH"/>
        </w:rPr>
      </w:pPr>
      <w:r w:rsidRPr="004D3D70">
        <w:rPr>
          <w:i/>
          <w:lang w:val="fr-CH"/>
        </w:rPr>
        <w:t>(en francs suisses)</w:t>
      </w:r>
    </w:p>
    <w:p w:rsidR="00905890" w:rsidRPr="004D3D70" w:rsidRDefault="00905890" w:rsidP="00017573">
      <w:pPr>
        <w:rPr>
          <w:lang w:val="fr-CH"/>
        </w:rPr>
      </w:pPr>
    </w:p>
    <w:p w:rsidR="00905890" w:rsidRPr="004D3D70" w:rsidRDefault="00905890" w:rsidP="00017573">
      <w:pPr>
        <w:rPr>
          <w:lang w:val="fr-CH"/>
        </w:rPr>
      </w:pPr>
    </w:p>
    <w:p w:rsidR="00017573" w:rsidRPr="004D3D70" w:rsidRDefault="00017573" w:rsidP="00017573">
      <w:pPr>
        <w:rPr>
          <w:lang w:val="fr-CH"/>
        </w:rPr>
      </w:pPr>
    </w:p>
    <w:p w:rsidR="00905890" w:rsidRPr="004D3D70" w:rsidRDefault="00E56CBA" w:rsidP="00E56CBA">
      <w:pPr>
        <w:jc w:val="center"/>
        <w:rPr>
          <w:rFonts w:ascii="Times New Roman" w:hAnsi="Times New Roman"/>
          <w:b/>
          <w:bCs/>
          <w:caps/>
          <w:lang w:val="fr-CH"/>
        </w:rPr>
      </w:pPr>
      <w:r w:rsidRPr="00E56CBA">
        <w:rPr>
          <w:noProof/>
          <w:lang w:val="en-US"/>
        </w:rPr>
        <w:drawing>
          <wp:inline distT="0" distB="0" distL="0" distR="0" wp14:anchorId="793A1EA6" wp14:editId="45B6D0EC">
            <wp:extent cx="6120765" cy="4950705"/>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4950705"/>
                    </a:xfrm>
                    <a:prstGeom prst="rect">
                      <a:avLst/>
                    </a:prstGeom>
                    <a:noFill/>
                    <a:ln>
                      <a:noFill/>
                    </a:ln>
                  </pic:spPr>
                </pic:pic>
              </a:graphicData>
            </a:graphic>
          </wp:inline>
        </w:drawing>
      </w:r>
    </w:p>
    <w:p w:rsidR="00905890" w:rsidRPr="004D3D70" w:rsidRDefault="00A824AF" w:rsidP="001842BE">
      <w:pPr>
        <w:pStyle w:val="Heading1"/>
        <w:jc w:val="center"/>
        <w:rPr>
          <w:lang w:val="fr-CH"/>
        </w:rPr>
      </w:pPr>
      <w:r w:rsidRPr="004D3D70">
        <w:rPr>
          <w:lang w:val="fr-CH"/>
        </w:rPr>
        <w:br w:type="page"/>
      </w:r>
      <w:bookmarkStart w:id="10" w:name="_Toc523157885"/>
      <w:r w:rsidR="001842BE" w:rsidRPr="004D3D70">
        <w:rPr>
          <w:lang w:val="fr-CH"/>
        </w:rPr>
        <w:lastRenderedPageBreak/>
        <w:t>État</w:t>
      </w:r>
      <w:r w:rsidR="00BE23DA">
        <w:rPr>
          <w:lang w:val="fr-CH"/>
        </w:rPr>
        <w:t> </w:t>
      </w:r>
      <w:r w:rsidR="001842BE" w:rsidRPr="004D3D70">
        <w:rPr>
          <w:lang w:val="fr-CH"/>
        </w:rPr>
        <w:t>II – État de la performance financière</w:t>
      </w:r>
      <w:bookmarkEnd w:id="10"/>
    </w:p>
    <w:p w:rsidR="00905890" w:rsidRPr="004D3D70" w:rsidRDefault="001842BE" w:rsidP="001842BE">
      <w:pPr>
        <w:jc w:val="center"/>
        <w:rPr>
          <w:b/>
          <w:lang w:val="fr-CH"/>
        </w:rPr>
      </w:pPr>
      <w:r w:rsidRPr="004D3D70">
        <w:rPr>
          <w:b/>
          <w:lang w:val="fr-CH"/>
        </w:rPr>
        <w:t>pour l</w:t>
      </w:r>
      <w:r w:rsidR="004D3D70">
        <w:rPr>
          <w:b/>
          <w:lang w:val="fr-CH"/>
        </w:rPr>
        <w:t>’</w:t>
      </w:r>
      <w:r w:rsidRPr="004D3D70">
        <w:rPr>
          <w:b/>
          <w:lang w:val="fr-CH"/>
        </w:rPr>
        <w:t>année s</w:t>
      </w:r>
      <w:r w:rsidR="004D3D70">
        <w:rPr>
          <w:b/>
          <w:lang w:val="fr-CH"/>
        </w:rPr>
        <w:t>’</w:t>
      </w:r>
      <w:r w:rsidRPr="004D3D70">
        <w:rPr>
          <w:b/>
          <w:lang w:val="fr-CH"/>
        </w:rPr>
        <w:t>achevant le 31 décembre 2017</w:t>
      </w:r>
    </w:p>
    <w:p w:rsidR="00905890" w:rsidRPr="004D3D70" w:rsidRDefault="001842BE" w:rsidP="001842BE">
      <w:pPr>
        <w:jc w:val="center"/>
        <w:rPr>
          <w:i/>
          <w:lang w:val="fr-CH"/>
        </w:rPr>
      </w:pPr>
      <w:r w:rsidRPr="004D3D70">
        <w:rPr>
          <w:i/>
          <w:lang w:val="fr-CH"/>
        </w:rPr>
        <w:t>(en francs suisses)</w:t>
      </w:r>
    </w:p>
    <w:p w:rsidR="00905890" w:rsidRPr="004D3D70" w:rsidRDefault="00905890" w:rsidP="00017573">
      <w:pPr>
        <w:rPr>
          <w:lang w:val="fr-CH"/>
        </w:rPr>
      </w:pPr>
    </w:p>
    <w:p w:rsidR="00905890" w:rsidRPr="004D3D70" w:rsidRDefault="00A824AF" w:rsidP="00017573">
      <w:pPr>
        <w:rPr>
          <w:rFonts w:ascii="Times New Roman" w:hAnsi="Times New Roman"/>
          <w:b/>
          <w:bCs/>
          <w:caps/>
          <w:lang w:val="fr-CH"/>
        </w:rPr>
      </w:pPr>
      <w:r w:rsidRPr="004D3D70">
        <w:rPr>
          <w:noProof/>
          <w:lang w:val="fr-CH"/>
        </w:rPr>
        <w:fldChar w:fldCharType="begin"/>
      </w:r>
      <w:r w:rsidRPr="004D3D70">
        <w:rPr>
          <w:noProof/>
          <w:lang w:val="fr-CH"/>
        </w:rPr>
        <w:instrText xml:space="preserve"> LINK Excel.Sheet.12 "\\\\wipogvafs01\\FIN\\ORGBFFI\\SHARED\\IPSAS\\13. UPOV YEAR END FILES\\2013\\01. LEAD DOCUMENTS\\01. UPOV TABLES FOR FINANCIAL STATEMENTS 2013.xlsx" "Statement II!R10C3:R30C6" \a \f 4 \h  \* MERGEFORMAT </w:instrText>
      </w:r>
      <w:r w:rsidRPr="004D3D70">
        <w:rPr>
          <w:noProof/>
          <w:lang w:val="fr-CH"/>
        </w:rPr>
        <w:fldChar w:fldCharType="separate"/>
      </w:r>
    </w:p>
    <w:p w:rsidR="004D3D70" w:rsidRDefault="00A824AF" w:rsidP="00017573">
      <w:pPr>
        <w:rPr>
          <w:rFonts w:ascii="Times New Roman" w:hAnsi="Times New Roman"/>
          <w:b/>
          <w:bCs/>
          <w:caps/>
          <w:lang w:val="fr-CH"/>
        </w:rPr>
      </w:pPr>
      <w:r w:rsidRPr="004D3D70">
        <w:rPr>
          <w:noProof/>
          <w:lang w:val="fr-CH"/>
        </w:rPr>
        <w:fldChar w:fldCharType="begin"/>
      </w:r>
      <w:r w:rsidRPr="004D3D70">
        <w:rPr>
          <w:noProof/>
          <w:lang w:val="fr-CH"/>
        </w:rPr>
        <w:instrText xml:space="preserve"> LINK Excel.Sheet.12 "\\\\wipogvafs01\\FIN\\ORGBFFI\\SHARED\\IPSAS\\13. UPOV YEAR END FILES\\2013\\01. LEAD DOCUMENTS\\01. UPOV TABLES FOR FINANCIAL STATEMENTS 2013.xlsx" "Statement II!R10C3:R30C7" \a \f 4 \h  \* MERGEFORMAT </w:instrText>
      </w:r>
      <w:r w:rsidRPr="004D3D70">
        <w:rPr>
          <w:noProof/>
          <w:lang w:val="fr-CH"/>
        </w:rPr>
        <w:fldChar w:fldCharType="separate"/>
      </w:r>
    </w:p>
    <w:p w:rsidR="00905890" w:rsidRPr="004D3D70" w:rsidRDefault="00A824AF" w:rsidP="00E56CBA">
      <w:pPr>
        <w:jc w:val="center"/>
        <w:rPr>
          <w:noProof/>
          <w:lang w:val="fr-CH"/>
        </w:rPr>
      </w:pPr>
      <w:r w:rsidRPr="004D3D70">
        <w:rPr>
          <w:noProof/>
          <w:lang w:val="fr-CH"/>
        </w:rPr>
        <w:fldChar w:fldCharType="end"/>
      </w:r>
      <w:r w:rsidRPr="004D3D70">
        <w:rPr>
          <w:noProof/>
          <w:lang w:val="fr-CH"/>
        </w:rPr>
        <w:fldChar w:fldCharType="end"/>
      </w:r>
      <w:r w:rsidR="00666306" w:rsidRPr="004D3D70">
        <w:rPr>
          <w:noProof/>
          <w:lang w:val="fr-CH"/>
        </w:rPr>
        <w:t xml:space="preserve"> </w:t>
      </w:r>
      <w:r w:rsidR="00E56CBA" w:rsidRPr="00E56CBA">
        <w:rPr>
          <w:noProof/>
          <w:lang w:val="en-US"/>
        </w:rPr>
        <w:drawing>
          <wp:inline distT="0" distB="0" distL="0" distR="0">
            <wp:extent cx="5829300" cy="3638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3638550"/>
                    </a:xfrm>
                    <a:prstGeom prst="rect">
                      <a:avLst/>
                    </a:prstGeom>
                    <a:noFill/>
                    <a:ln>
                      <a:noFill/>
                    </a:ln>
                  </pic:spPr>
                </pic:pic>
              </a:graphicData>
            </a:graphic>
          </wp:inline>
        </w:drawing>
      </w:r>
    </w:p>
    <w:p w:rsidR="00905890" w:rsidRPr="004D3D70" w:rsidRDefault="00A824AF" w:rsidP="001842BE">
      <w:pPr>
        <w:pStyle w:val="Heading1"/>
        <w:jc w:val="center"/>
        <w:rPr>
          <w:lang w:val="fr-CH"/>
        </w:rPr>
      </w:pPr>
      <w:r w:rsidRPr="004D3D70">
        <w:rPr>
          <w:lang w:val="fr-CH"/>
        </w:rPr>
        <w:br w:type="page"/>
      </w:r>
      <w:bookmarkStart w:id="11" w:name="_Toc523157886"/>
      <w:r w:rsidR="001842BE" w:rsidRPr="004D3D70">
        <w:rPr>
          <w:lang w:val="fr-CH"/>
        </w:rPr>
        <w:lastRenderedPageBreak/>
        <w:t>État</w:t>
      </w:r>
      <w:r w:rsidR="00BE23DA">
        <w:rPr>
          <w:lang w:val="fr-CH"/>
        </w:rPr>
        <w:t> </w:t>
      </w:r>
      <w:r w:rsidR="001842BE" w:rsidRPr="004D3D70">
        <w:rPr>
          <w:lang w:val="fr-CH"/>
        </w:rPr>
        <w:t>III – État des variations des actifs nets</w:t>
      </w:r>
      <w:bookmarkEnd w:id="11"/>
    </w:p>
    <w:p w:rsidR="00905890" w:rsidRPr="004D3D70" w:rsidRDefault="001842BE" w:rsidP="001842BE">
      <w:pPr>
        <w:jc w:val="center"/>
        <w:rPr>
          <w:b/>
          <w:lang w:val="fr-CH"/>
        </w:rPr>
      </w:pPr>
      <w:r w:rsidRPr="004D3D70">
        <w:rPr>
          <w:b/>
          <w:lang w:val="fr-CH"/>
        </w:rPr>
        <w:t>pour l</w:t>
      </w:r>
      <w:r w:rsidR="004D3D70">
        <w:rPr>
          <w:b/>
          <w:lang w:val="fr-CH"/>
        </w:rPr>
        <w:t>’</w:t>
      </w:r>
      <w:r w:rsidRPr="004D3D70">
        <w:rPr>
          <w:b/>
          <w:lang w:val="fr-CH"/>
        </w:rPr>
        <w:t>année s</w:t>
      </w:r>
      <w:r w:rsidR="004D3D70">
        <w:rPr>
          <w:b/>
          <w:lang w:val="fr-CH"/>
        </w:rPr>
        <w:t>’</w:t>
      </w:r>
      <w:r w:rsidRPr="004D3D70">
        <w:rPr>
          <w:b/>
          <w:lang w:val="fr-CH"/>
        </w:rPr>
        <w:t>achevant le 31 décembre 2017</w:t>
      </w:r>
    </w:p>
    <w:p w:rsidR="00905890" w:rsidRPr="004D3D70" w:rsidRDefault="001842BE" w:rsidP="001842BE">
      <w:pPr>
        <w:jc w:val="center"/>
        <w:rPr>
          <w:i/>
          <w:lang w:val="fr-CH"/>
        </w:rPr>
      </w:pPr>
      <w:r w:rsidRPr="004D3D70">
        <w:rPr>
          <w:i/>
          <w:lang w:val="fr-CH"/>
        </w:rPr>
        <w:t>(en francs suisses)</w:t>
      </w:r>
    </w:p>
    <w:p w:rsidR="00905890" w:rsidRPr="004D3D70" w:rsidRDefault="00905890" w:rsidP="00706113">
      <w:pPr>
        <w:rPr>
          <w:lang w:val="fr-CH"/>
        </w:rPr>
      </w:pPr>
    </w:p>
    <w:p w:rsidR="00905890" w:rsidRPr="004D3D70" w:rsidRDefault="0086127B" w:rsidP="00706113">
      <w:pPr>
        <w:rPr>
          <w:lang w:val="fr-CH"/>
        </w:rPr>
      </w:pPr>
      <w:r w:rsidRPr="004D3D70">
        <w:rPr>
          <w:lang w:val="fr-CH"/>
        </w:rPr>
        <w:br/>
      </w:r>
    </w:p>
    <w:p w:rsidR="00905890" w:rsidRPr="004D3D70" w:rsidRDefault="00E56CBA" w:rsidP="00A824AF">
      <w:pPr>
        <w:jc w:val="center"/>
        <w:rPr>
          <w:b/>
          <w:bCs/>
          <w:caps/>
          <w:noProof/>
          <w:lang w:val="fr-CH"/>
        </w:rPr>
      </w:pPr>
      <w:r w:rsidRPr="00E56CBA">
        <w:rPr>
          <w:noProof/>
          <w:lang w:val="en-US"/>
        </w:rPr>
        <w:drawing>
          <wp:inline distT="0" distB="0" distL="0" distR="0" wp14:anchorId="27B92B23" wp14:editId="05B899E3">
            <wp:extent cx="6120765" cy="31270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127016"/>
                    </a:xfrm>
                    <a:prstGeom prst="rect">
                      <a:avLst/>
                    </a:prstGeom>
                    <a:noFill/>
                    <a:ln>
                      <a:noFill/>
                    </a:ln>
                  </pic:spPr>
                </pic:pic>
              </a:graphicData>
            </a:graphic>
          </wp:inline>
        </w:drawing>
      </w:r>
    </w:p>
    <w:p w:rsidR="00905890" w:rsidRPr="004D3D70" w:rsidRDefault="00A824AF" w:rsidP="00A824AF">
      <w:pPr>
        <w:jc w:val="center"/>
        <w:rPr>
          <w:lang w:val="fr-CH"/>
        </w:rPr>
      </w:pPr>
      <w:r w:rsidRPr="004D3D70">
        <w:rPr>
          <w:b/>
          <w:lang w:val="fr-CH"/>
        </w:rPr>
        <w:br w:type="page"/>
      </w:r>
    </w:p>
    <w:p w:rsidR="00905890" w:rsidRPr="000B12F1" w:rsidRDefault="001842BE" w:rsidP="000B12F1">
      <w:pPr>
        <w:pStyle w:val="Heading1"/>
        <w:jc w:val="center"/>
        <w:rPr>
          <w:sz w:val="22"/>
          <w:lang w:val="fr-CH"/>
        </w:rPr>
      </w:pPr>
      <w:bookmarkStart w:id="12" w:name="_Toc523157887"/>
      <w:r w:rsidRPr="000B12F1">
        <w:rPr>
          <w:sz w:val="22"/>
          <w:lang w:val="fr-CH"/>
        </w:rPr>
        <w:lastRenderedPageBreak/>
        <w:t>État</w:t>
      </w:r>
      <w:r w:rsidR="00BE23DA" w:rsidRPr="000B12F1">
        <w:rPr>
          <w:sz w:val="22"/>
          <w:lang w:val="fr-CH"/>
        </w:rPr>
        <w:t> </w:t>
      </w:r>
      <w:r w:rsidRPr="000B12F1">
        <w:rPr>
          <w:sz w:val="22"/>
          <w:lang w:val="fr-CH"/>
        </w:rPr>
        <w:t>IV – État des flux de trésorerie</w:t>
      </w:r>
      <w:bookmarkEnd w:id="12"/>
    </w:p>
    <w:p w:rsidR="00905890" w:rsidRPr="000B12F1" w:rsidRDefault="001842BE" w:rsidP="000B12F1">
      <w:pPr>
        <w:jc w:val="center"/>
        <w:rPr>
          <w:b/>
          <w:sz w:val="22"/>
          <w:lang w:val="fr-CH"/>
        </w:rPr>
      </w:pPr>
      <w:r w:rsidRPr="000B12F1">
        <w:rPr>
          <w:b/>
          <w:sz w:val="22"/>
          <w:lang w:val="fr-CH"/>
        </w:rPr>
        <w:t>pour l</w:t>
      </w:r>
      <w:r w:rsidR="004D3D70" w:rsidRPr="000B12F1">
        <w:rPr>
          <w:b/>
          <w:sz w:val="22"/>
          <w:lang w:val="fr-CH"/>
        </w:rPr>
        <w:t>’</w:t>
      </w:r>
      <w:r w:rsidRPr="000B12F1">
        <w:rPr>
          <w:b/>
          <w:sz w:val="22"/>
          <w:lang w:val="fr-CH"/>
        </w:rPr>
        <w:t>année s</w:t>
      </w:r>
      <w:r w:rsidR="004D3D70" w:rsidRPr="000B12F1">
        <w:rPr>
          <w:b/>
          <w:sz w:val="22"/>
          <w:lang w:val="fr-CH"/>
        </w:rPr>
        <w:t>’</w:t>
      </w:r>
      <w:r w:rsidRPr="000B12F1">
        <w:rPr>
          <w:b/>
          <w:sz w:val="22"/>
          <w:lang w:val="fr-CH"/>
        </w:rPr>
        <w:t>achevant le 3</w:t>
      </w:r>
      <w:r w:rsidR="004D3D70" w:rsidRPr="000B12F1">
        <w:rPr>
          <w:b/>
          <w:sz w:val="22"/>
          <w:lang w:val="fr-CH"/>
        </w:rPr>
        <w:t>1 décembre 20</w:t>
      </w:r>
      <w:r w:rsidRPr="000B12F1">
        <w:rPr>
          <w:b/>
          <w:sz w:val="22"/>
          <w:lang w:val="fr-CH"/>
        </w:rPr>
        <w:t>17</w:t>
      </w:r>
    </w:p>
    <w:p w:rsidR="00905890" w:rsidRPr="000B12F1" w:rsidRDefault="001842BE" w:rsidP="000B12F1">
      <w:pPr>
        <w:jc w:val="center"/>
        <w:rPr>
          <w:i/>
          <w:sz w:val="22"/>
          <w:lang w:val="fr-CH"/>
        </w:rPr>
      </w:pPr>
      <w:r w:rsidRPr="000B12F1">
        <w:rPr>
          <w:i/>
          <w:sz w:val="22"/>
          <w:lang w:val="fr-CH"/>
        </w:rPr>
        <w:t>(en francs suisses)</w:t>
      </w:r>
    </w:p>
    <w:p w:rsidR="00905890" w:rsidRPr="000B12F1" w:rsidRDefault="00905890" w:rsidP="000B12F1">
      <w:pPr>
        <w:jc w:val="center"/>
        <w:rPr>
          <w:b/>
          <w:sz w:val="22"/>
          <w:lang w:val="fr-CH"/>
        </w:rPr>
      </w:pPr>
    </w:p>
    <w:p w:rsidR="00905890" w:rsidRPr="000B12F1" w:rsidRDefault="00905890" w:rsidP="000B12F1">
      <w:pPr>
        <w:jc w:val="center"/>
        <w:rPr>
          <w:b/>
          <w:sz w:val="22"/>
          <w:lang w:val="fr-CH"/>
        </w:rPr>
      </w:pPr>
    </w:p>
    <w:p w:rsidR="00905890" w:rsidRPr="000B12F1" w:rsidRDefault="00905890" w:rsidP="000B12F1">
      <w:pPr>
        <w:jc w:val="center"/>
        <w:rPr>
          <w:b/>
          <w:sz w:val="22"/>
          <w:lang w:val="fr-CH"/>
        </w:rPr>
      </w:pPr>
    </w:p>
    <w:p w:rsidR="004D3D70" w:rsidRDefault="002D65EE" w:rsidP="00A824AF">
      <w:pPr>
        <w:jc w:val="center"/>
        <w:rPr>
          <w:b/>
          <w:lang w:val="fr-CH"/>
        </w:rPr>
      </w:pPr>
      <w:r w:rsidRPr="002D65EE">
        <w:rPr>
          <w:noProof/>
          <w:lang w:val="en-US"/>
        </w:rPr>
        <w:drawing>
          <wp:inline distT="0" distB="0" distL="0" distR="0" wp14:anchorId="1D7D3BF2" wp14:editId="68717BD1">
            <wp:extent cx="6120765" cy="370079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700796"/>
                    </a:xfrm>
                    <a:prstGeom prst="rect">
                      <a:avLst/>
                    </a:prstGeom>
                    <a:noFill/>
                    <a:ln>
                      <a:noFill/>
                    </a:ln>
                  </pic:spPr>
                </pic:pic>
              </a:graphicData>
            </a:graphic>
          </wp:inline>
        </w:drawing>
      </w:r>
    </w:p>
    <w:p w:rsidR="00905890" w:rsidRPr="004D3D70" w:rsidRDefault="00A824AF" w:rsidP="001842BE">
      <w:pPr>
        <w:pStyle w:val="Heading1"/>
        <w:jc w:val="center"/>
        <w:rPr>
          <w:lang w:val="fr-CH"/>
        </w:rPr>
      </w:pPr>
      <w:r w:rsidRPr="004D3D70">
        <w:rPr>
          <w:lang w:val="fr-CH"/>
        </w:rPr>
        <w:br w:type="page"/>
      </w:r>
      <w:bookmarkStart w:id="13" w:name="_Toc523157888"/>
      <w:bookmarkStart w:id="14" w:name="_Toc336009927"/>
      <w:r w:rsidR="001842BE" w:rsidRPr="004D3D70">
        <w:rPr>
          <w:lang w:val="fr-CH"/>
        </w:rPr>
        <w:lastRenderedPageBreak/>
        <w:t>ÉTAT V</w:t>
      </w:r>
      <w:r w:rsidR="004D3D70">
        <w:rPr>
          <w:b w:val="0"/>
          <w:lang w:val="fr-CH"/>
        </w:rPr>
        <w:t> :</w:t>
      </w:r>
      <w:r w:rsidR="001842BE" w:rsidRPr="004D3D70">
        <w:rPr>
          <w:lang w:val="fr-CH"/>
        </w:rPr>
        <w:t xml:space="preserve"> ÉTAT DE COMPARAISON DES MONTANTS BUDGÉTAIRES ET DES MONTANTS RÉELS</w:t>
      </w:r>
      <w:bookmarkEnd w:id="13"/>
    </w:p>
    <w:p w:rsidR="00905890" w:rsidRPr="004D3D70" w:rsidRDefault="001842BE" w:rsidP="001842BE">
      <w:pPr>
        <w:jc w:val="center"/>
        <w:rPr>
          <w:b/>
          <w:lang w:val="fr-CH"/>
        </w:rPr>
      </w:pPr>
      <w:r w:rsidRPr="004D3D70">
        <w:rPr>
          <w:b/>
          <w:lang w:val="fr-CH"/>
        </w:rPr>
        <w:t>pour l</w:t>
      </w:r>
      <w:r w:rsidR="004D3D70">
        <w:rPr>
          <w:b/>
          <w:lang w:val="fr-CH"/>
        </w:rPr>
        <w:t>’</w:t>
      </w:r>
      <w:r w:rsidRPr="004D3D70">
        <w:rPr>
          <w:b/>
          <w:lang w:val="fr-CH"/>
        </w:rPr>
        <w:t>année s</w:t>
      </w:r>
      <w:r w:rsidR="004D3D70">
        <w:rPr>
          <w:b/>
          <w:lang w:val="fr-CH"/>
        </w:rPr>
        <w:t>’</w:t>
      </w:r>
      <w:r w:rsidRPr="004D3D70">
        <w:rPr>
          <w:b/>
          <w:lang w:val="fr-CH"/>
        </w:rPr>
        <w:t>achevant le 3</w:t>
      </w:r>
      <w:r w:rsidR="004D3D70" w:rsidRPr="004D3D70">
        <w:rPr>
          <w:b/>
          <w:lang w:val="fr-CH"/>
        </w:rPr>
        <w:t>1</w:t>
      </w:r>
      <w:r w:rsidR="004D3D70">
        <w:rPr>
          <w:b/>
          <w:lang w:val="fr-CH"/>
        </w:rPr>
        <w:t> </w:t>
      </w:r>
      <w:r w:rsidR="004D3D70" w:rsidRPr="004D3D70">
        <w:rPr>
          <w:b/>
          <w:lang w:val="fr-CH"/>
        </w:rPr>
        <w:t>décembre</w:t>
      </w:r>
      <w:r w:rsidR="004D3D70">
        <w:rPr>
          <w:b/>
          <w:lang w:val="fr-CH"/>
        </w:rPr>
        <w:t> </w:t>
      </w:r>
      <w:r w:rsidR="004D3D70" w:rsidRPr="004D3D70">
        <w:rPr>
          <w:b/>
          <w:lang w:val="fr-CH"/>
        </w:rPr>
        <w:t>20</w:t>
      </w:r>
      <w:r w:rsidRPr="004D3D70">
        <w:rPr>
          <w:b/>
          <w:lang w:val="fr-CH"/>
        </w:rPr>
        <w:t>17</w:t>
      </w:r>
    </w:p>
    <w:p w:rsidR="00905890" w:rsidRPr="004D3D70" w:rsidRDefault="001842BE" w:rsidP="001842BE">
      <w:pPr>
        <w:jc w:val="center"/>
        <w:rPr>
          <w:i/>
          <w:lang w:val="fr-CH"/>
        </w:rPr>
      </w:pPr>
      <w:r w:rsidRPr="004D3D70">
        <w:rPr>
          <w:i/>
          <w:lang w:val="fr-CH"/>
        </w:rPr>
        <w:t>(en milliers de francs suisses)</w:t>
      </w:r>
    </w:p>
    <w:p w:rsidR="00905890" w:rsidRPr="004D3D70" w:rsidRDefault="00905890" w:rsidP="00A824AF">
      <w:pPr>
        <w:jc w:val="center"/>
        <w:rPr>
          <w:i/>
          <w:lang w:val="fr-CH"/>
        </w:rPr>
      </w:pPr>
    </w:p>
    <w:p w:rsidR="00905890" w:rsidRPr="004D3D70" w:rsidRDefault="00905890" w:rsidP="00A824AF">
      <w:pPr>
        <w:jc w:val="center"/>
        <w:rPr>
          <w:i/>
          <w:lang w:val="fr-CH"/>
        </w:rPr>
      </w:pPr>
    </w:p>
    <w:p w:rsidR="00905890" w:rsidRPr="004D3D70" w:rsidRDefault="00905890" w:rsidP="00A824AF">
      <w:pPr>
        <w:jc w:val="center"/>
        <w:rPr>
          <w:i/>
          <w:lang w:val="fr-CH"/>
        </w:rPr>
      </w:pPr>
    </w:p>
    <w:p w:rsidR="00905890" w:rsidRPr="004D3D70" w:rsidRDefault="002D65EE" w:rsidP="00A824AF">
      <w:pPr>
        <w:jc w:val="center"/>
        <w:rPr>
          <w:noProof/>
          <w:lang w:val="fr-CH" w:eastAsia="en-GB"/>
        </w:rPr>
      </w:pPr>
      <w:r w:rsidRPr="002D65EE">
        <w:rPr>
          <w:noProof/>
          <w:lang w:val="en-US"/>
        </w:rPr>
        <w:drawing>
          <wp:inline distT="0" distB="0" distL="0" distR="0" wp14:anchorId="622E8DF0" wp14:editId="2F081950">
            <wp:extent cx="5880100" cy="5194300"/>
            <wp:effectExtent l="0" t="0" r="635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0" cy="5194300"/>
                    </a:xfrm>
                    <a:prstGeom prst="rect">
                      <a:avLst/>
                    </a:prstGeom>
                    <a:noFill/>
                    <a:ln>
                      <a:noFill/>
                    </a:ln>
                  </pic:spPr>
                </pic:pic>
              </a:graphicData>
            </a:graphic>
          </wp:inline>
        </w:drawing>
      </w:r>
    </w:p>
    <w:p w:rsidR="00905890" w:rsidRPr="004D3D70" w:rsidRDefault="00905890" w:rsidP="00A824AF">
      <w:pPr>
        <w:jc w:val="center"/>
        <w:rPr>
          <w:noProof/>
          <w:lang w:val="fr-CH" w:eastAsia="en-GB"/>
        </w:rPr>
      </w:pPr>
    </w:p>
    <w:p w:rsidR="00905890" w:rsidRPr="004D3D70" w:rsidRDefault="00905890" w:rsidP="00A824AF">
      <w:pPr>
        <w:rPr>
          <w:lang w:val="fr-CH"/>
        </w:rPr>
      </w:pPr>
    </w:p>
    <w:p w:rsidR="00905890" w:rsidRPr="004D3D70" w:rsidRDefault="00905890" w:rsidP="00A824AF">
      <w:pPr>
        <w:rPr>
          <w:lang w:val="fr-CH"/>
        </w:rPr>
      </w:pPr>
    </w:p>
    <w:p w:rsidR="00905890" w:rsidRPr="004D3D70" w:rsidRDefault="008B2D1D" w:rsidP="00706113">
      <w:pPr>
        <w:numPr>
          <w:ilvl w:val="0"/>
          <w:numId w:val="23"/>
        </w:numPr>
        <w:tabs>
          <w:tab w:val="clear" w:pos="720"/>
          <w:tab w:val="num" w:pos="709"/>
        </w:tabs>
        <w:ind w:left="851" w:hanging="491"/>
        <w:jc w:val="left"/>
        <w:rPr>
          <w:sz w:val="18"/>
          <w:szCs w:val="18"/>
          <w:lang w:val="fr-CH"/>
        </w:rPr>
      </w:pPr>
      <w:r w:rsidRPr="004D3D70">
        <w:rPr>
          <w:sz w:val="18"/>
          <w:szCs w:val="18"/>
          <w:lang w:val="fr-CH"/>
        </w:rPr>
        <w:t>– Représente la seconde année du budget approuvé</w:t>
      </w:r>
      <w:r w:rsidR="00A824AF" w:rsidRPr="004D3D70">
        <w:rPr>
          <w:sz w:val="18"/>
          <w:szCs w:val="18"/>
          <w:lang w:val="fr-CH"/>
        </w:rPr>
        <w:t xml:space="preserve"> </w:t>
      </w:r>
      <w:r w:rsidRPr="004D3D70">
        <w:rPr>
          <w:sz w:val="18"/>
          <w:szCs w:val="18"/>
          <w:lang w:val="fr-CH"/>
        </w:rPr>
        <w:t>pour l</w:t>
      </w:r>
      <w:r w:rsidR="004D3D70">
        <w:rPr>
          <w:sz w:val="18"/>
          <w:szCs w:val="18"/>
          <w:lang w:val="fr-CH"/>
        </w:rPr>
        <w:t>’</w:t>
      </w:r>
      <w:r w:rsidRPr="004D3D70">
        <w:rPr>
          <w:sz w:val="18"/>
          <w:szCs w:val="18"/>
          <w:lang w:val="fr-CH"/>
        </w:rPr>
        <w:t xml:space="preserve">exercice </w:t>
      </w:r>
      <w:r w:rsidR="004D3D70" w:rsidRPr="004D3D70">
        <w:rPr>
          <w:sz w:val="18"/>
          <w:szCs w:val="18"/>
          <w:lang w:val="fr-CH"/>
        </w:rPr>
        <w:t>biennal</w:t>
      </w:r>
      <w:r w:rsidR="004D3D70">
        <w:rPr>
          <w:sz w:val="18"/>
          <w:szCs w:val="18"/>
          <w:lang w:val="fr-CH"/>
        </w:rPr>
        <w:t> </w:t>
      </w:r>
      <w:r w:rsidR="004D3D70" w:rsidRPr="004D3D70">
        <w:rPr>
          <w:sz w:val="18"/>
          <w:szCs w:val="18"/>
          <w:lang w:val="fr-CH"/>
        </w:rPr>
        <w:t>2016</w:t>
      </w:r>
      <w:r w:rsidR="00665FEC">
        <w:rPr>
          <w:sz w:val="18"/>
          <w:szCs w:val="18"/>
          <w:lang w:val="fr-CH"/>
        </w:rPr>
        <w:noBreakHyphen/>
      </w:r>
      <w:r w:rsidR="00A824AF" w:rsidRPr="004D3D70">
        <w:rPr>
          <w:sz w:val="18"/>
          <w:szCs w:val="18"/>
          <w:lang w:val="fr-CH"/>
        </w:rPr>
        <w:t>2017;</w:t>
      </w:r>
    </w:p>
    <w:p w:rsidR="00017573" w:rsidRPr="004D3D70" w:rsidRDefault="00017573" w:rsidP="00896186">
      <w:pPr>
        <w:numPr>
          <w:ilvl w:val="0"/>
          <w:numId w:val="23"/>
        </w:numPr>
        <w:tabs>
          <w:tab w:val="clear" w:pos="720"/>
        </w:tabs>
        <w:ind w:left="709" w:hanging="349"/>
        <w:jc w:val="left"/>
        <w:rPr>
          <w:sz w:val="18"/>
          <w:szCs w:val="18"/>
          <w:lang w:val="fr-CH"/>
        </w:rPr>
      </w:pPr>
      <w:r w:rsidRPr="004D3D70">
        <w:rPr>
          <w:sz w:val="18"/>
          <w:szCs w:val="18"/>
          <w:lang w:val="fr-CH"/>
        </w:rPr>
        <w:t>– Représente l</w:t>
      </w:r>
      <w:r w:rsidR="004D3D70">
        <w:rPr>
          <w:sz w:val="18"/>
          <w:szCs w:val="18"/>
          <w:lang w:val="fr-CH"/>
        </w:rPr>
        <w:t>’</w:t>
      </w:r>
      <w:r w:rsidRPr="004D3D70">
        <w:rPr>
          <w:sz w:val="18"/>
          <w:szCs w:val="18"/>
          <w:lang w:val="fr-CH"/>
        </w:rPr>
        <w:t>écart entre le budget final (révisé) et les recettes et dépenses effectives sur une base</w:t>
      </w:r>
      <w:r w:rsidR="00896186">
        <w:rPr>
          <w:sz w:val="18"/>
          <w:szCs w:val="18"/>
          <w:lang w:val="fr-CH"/>
        </w:rPr>
        <w:br/>
        <w:t xml:space="preserve">   </w:t>
      </w:r>
      <w:r w:rsidRPr="004D3D70">
        <w:rPr>
          <w:sz w:val="18"/>
          <w:szCs w:val="18"/>
          <w:lang w:val="fr-CH"/>
        </w:rPr>
        <w:t>comparable (avant ajustements IPSAS).</w:t>
      </w:r>
    </w:p>
    <w:p w:rsidR="00017573" w:rsidRPr="004D3D70" w:rsidRDefault="00017573" w:rsidP="00017573">
      <w:pPr>
        <w:numPr>
          <w:ilvl w:val="0"/>
          <w:numId w:val="23"/>
        </w:numPr>
        <w:jc w:val="left"/>
        <w:rPr>
          <w:sz w:val="18"/>
          <w:szCs w:val="18"/>
          <w:lang w:val="fr-CH"/>
        </w:rPr>
      </w:pPr>
      <w:r w:rsidRPr="004D3D70">
        <w:rPr>
          <w:sz w:val="18"/>
          <w:szCs w:val="18"/>
          <w:lang w:val="fr-CH"/>
        </w:rPr>
        <w:t>– Les ajustements IPSAS apportés à l</w:t>
      </w:r>
      <w:r w:rsidR="004D3D70">
        <w:rPr>
          <w:sz w:val="18"/>
          <w:szCs w:val="18"/>
          <w:lang w:val="fr-CH"/>
        </w:rPr>
        <w:t>’</w:t>
      </w:r>
      <w:r w:rsidRPr="004D3D70">
        <w:rPr>
          <w:sz w:val="18"/>
          <w:szCs w:val="18"/>
          <w:lang w:val="fr-CH"/>
        </w:rPr>
        <w:t>excédent sont détaillés dans la note</w:t>
      </w:r>
      <w:r w:rsidR="00BE23DA">
        <w:rPr>
          <w:sz w:val="18"/>
          <w:szCs w:val="18"/>
          <w:lang w:val="fr-CH"/>
        </w:rPr>
        <w:t> </w:t>
      </w:r>
      <w:r w:rsidRPr="004D3D70">
        <w:rPr>
          <w:sz w:val="18"/>
          <w:szCs w:val="18"/>
          <w:lang w:val="fr-CH"/>
        </w:rPr>
        <w:t>12 des présents états financiers.</w:t>
      </w:r>
    </w:p>
    <w:p w:rsidR="00905890" w:rsidRPr="004D3D70" w:rsidRDefault="00905890" w:rsidP="00F67FE4">
      <w:pPr>
        <w:jc w:val="left"/>
        <w:rPr>
          <w:sz w:val="18"/>
          <w:szCs w:val="18"/>
          <w:lang w:val="fr-CH"/>
        </w:rPr>
      </w:pPr>
    </w:p>
    <w:bookmarkEnd w:id="14"/>
    <w:p w:rsidR="00905890" w:rsidRPr="004D3D70" w:rsidRDefault="00277C5E">
      <w:pPr>
        <w:jc w:val="left"/>
        <w:rPr>
          <w:lang w:val="fr-CH"/>
        </w:rPr>
      </w:pPr>
      <w:r w:rsidRPr="004D3D70">
        <w:rPr>
          <w:lang w:val="fr-CH"/>
        </w:rPr>
        <w:br w:type="page"/>
      </w:r>
    </w:p>
    <w:p w:rsidR="00EE33B2" w:rsidRPr="0064650C" w:rsidRDefault="00EE33B2" w:rsidP="0064650C">
      <w:pPr>
        <w:jc w:val="center"/>
        <w:rPr>
          <w:b/>
          <w:lang w:val="fr-CH"/>
        </w:rPr>
      </w:pPr>
      <w:r w:rsidRPr="0064650C">
        <w:rPr>
          <w:b/>
          <w:lang w:val="fr-CH"/>
        </w:rPr>
        <w:lastRenderedPageBreak/>
        <w:t>ÉTAT V</w:t>
      </w:r>
      <w:r w:rsidR="004D3D70" w:rsidRPr="0064650C">
        <w:rPr>
          <w:b/>
          <w:lang w:val="fr-CH"/>
        </w:rPr>
        <w:t> :</w:t>
      </w:r>
      <w:r w:rsidRPr="0064650C">
        <w:rPr>
          <w:b/>
          <w:lang w:val="fr-CH"/>
        </w:rPr>
        <w:t xml:space="preserve"> ÉTAT DE COMPARAISON DES MONTANTS BUDGÉTAIRES ET DES MONTANTS RÉELS</w:t>
      </w:r>
    </w:p>
    <w:p w:rsidR="00EE33B2" w:rsidRPr="0064650C" w:rsidRDefault="00EE33B2" w:rsidP="0064650C">
      <w:pPr>
        <w:jc w:val="center"/>
        <w:rPr>
          <w:b/>
          <w:lang w:val="fr-CH"/>
        </w:rPr>
      </w:pPr>
      <w:r w:rsidRPr="0064650C">
        <w:rPr>
          <w:b/>
          <w:lang w:val="fr-CH"/>
        </w:rPr>
        <w:t>pour l</w:t>
      </w:r>
      <w:r w:rsidR="004D3D70" w:rsidRPr="0064650C">
        <w:rPr>
          <w:b/>
          <w:lang w:val="fr-CH"/>
        </w:rPr>
        <w:t>’</w:t>
      </w:r>
      <w:r w:rsidRPr="0064650C">
        <w:rPr>
          <w:b/>
          <w:lang w:val="fr-CH"/>
        </w:rPr>
        <w:t>exercice biennal s</w:t>
      </w:r>
      <w:r w:rsidR="004D3D70" w:rsidRPr="0064650C">
        <w:rPr>
          <w:b/>
          <w:lang w:val="fr-CH"/>
        </w:rPr>
        <w:t>’</w:t>
      </w:r>
      <w:r w:rsidRPr="0064650C">
        <w:rPr>
          <w:b/>
          <w:lang w:val="fr-CH"/>
        </w:rPr>
        <w:t>achevant le 3</w:t>
      </w:r>
      <w:r w:rsidR="004D3D70" w:rsidRPr="0064650C">
        <w:rPr>
          <w:b/>
          <w:lang w:val="fr-CH"/>
        </w:rPr>
        <w:t>1 décembre 20</w:t>
      </w:r>
      <w:r w:rsidRPr="0064650C">
        <w:rPr>
          <w:b/>
          <w:lang w:val="fr-CH"/>
        </w:rPr>
        <w:t>17</w:t>
      </w:r>
    </w:p>
    <w:p w:rsidR="00EE33B2" w:rsidRPr="004D3D70" w:rsidRDefault="00EE33B2" w:rsidP="00EE33B2">
      <w:pPr>
        <w:jc w:val="center"/>
        <w:rPr>
          <w:i/>
          <w:lang w:val="fr-CH"/>
        </w:rPr>
      </w:pPr>
      <w:r w:rsidRPr="004D3D70">
        <w:rPr>
          <w:i/>
          <w:lang w:val="fr-CH"/>
        </w:rPr>
        <w:t>(en milliers de francs suisses)</w:t>
      </w:r>
    </w:p>
    <w:p w:rsidR="00905890" w:rsidRPr="004D3D70" w:rsidRDefault="00905890" w:rsidP="00F67FE4">
      <w:pPr>
        <w:jc w:val="center"/>
        <w:rPr>
          <w:noProof/>
          <w:lang w:val="fr-CH" w:eastAsia="en-GB"/>
        </w:rPr>
      </w:pPr>
    </w:p>
    <w:p w:rsidR="00905890" w:rsidRPr="004D3D70" w:rsidRDefault="00905890" w:rsidP="00F67FE4">
      <w:pPr>
        <w:jc w:val="center"/>
        <w:rPr>
          <w:noProof/>
          <w:lang w:val="fr-CH" w:eastAsia="en-GB"/>
        </w:rPr>
      </w:pPr>
    </w:p>
    <w:p w:rsidR="00905890" w:rsidRPr="004D3D70" w:rsidRDefault="00905890" w:rsidP="00F67FE4">
      <w:pPr>
        <w:jc w:val="center"/>
        <w:rPr>
          <w:noProof/>
          <w:lang w:val="fr-CH" w:eastAsia="en-GB"/>
        </w:rPr>
      </w:pPr>
    </w:p>
    <w:p w:rsidR="00905890" w:rsidRPr="004D3D70" w:rsidRDefault="007C4D44" w:rsidP="00F67FE4">
      <w:pPr>
        <w:jc w:val="center"/>
        <w:rPr>
          <w:b/>
          <w:lang w:val="fr-CH"/>
        </w:rPr>
      </w:pPr>
      <w:r w:rsidRPr="007C4D44">
        <w:rPr>
          <w:noProof/>
          <w:lang w:val="en-US"/>
        </w:rPr>
        <w:drawing>
          <wp:inline distT="0" distB="0" distL="0" distR="0" wp14:anchorId="2EDBC914" wp14:editId="40BDDEEE">
            <wp:extent cx="6120765" cy="4881819"/>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4881819"/>
                    </a:xfrm>
                    <a:prstGeom prst="rect">
                      <a:avLst/>
                    </a:prstGeom>
                    <a:noFill/>
                    <a:ln>
                      <a:noFill/>
                    </a:ln>
                  </pic:spPr>
                </pic:pic>
              </a:graphicData>
            </a:graphic>
          </wp:inline>
        </w:drawing>
      </w:r>
    </w:p>
    <w:p w:rsidR="00905890" w:rsidRPr="004D3D70" w:rsidRDefault="00E64A54" w:rsidP="00F67FE4">
      <w:pPr>
        <w:rPr>
          <w:lang w:val="fr-CH"/>
        </w:rPr>
      </w:pPr>
      <w:r w:rsidRPr="004D3D70">
        <w:rPr>
          <w:lang w:val="fr-CH"/>
        </w:rPr>
        <w:br/>
      </w:r>
    </w:p>
    <w:p w:rsidR="00905890" w:rsidRPr="004D3D70" w:rsidRDefault="00905890" w:rsidP="00F67FE4">
      <w:pPr>
        <w:rPr>
          <w:lang w:val="fr-CH"/>
        </w:rPr>
      </w:pPr>
    </w:p>
    <w:p w:rsidR="00905890" w:rsidRPr="004D3D70" w:rsidRDefault="00F67FE4" w:rsidP="001842BE">
      <w:pPr>
        <w:numPr>
          <w:ilvl w:val="0"/>
          <w:numId w:val="29"/>
        </w:numPr>
        <w:jc w:val="left"/>
        <w:rPr>
          <w:sz w:val="18"/>
          <w:szCs w:val="18"/>
          <w:lang w:val="fr-CH"/>
        </w:rPr>
      </w:pPr>
      <w:r w:rsidRPr="004D3D70">
        <w:rPr>
          <w:sz w:val="18"/>
          <w:szCs w:val="18"/>
          <w:lang w:val="fr-CH"/>
        </w:rPr>
        <w:t xml:space="preserve">– </w:t>
      </w:r>
      <w:r w:rsidR="001842BE" w:rsidRPr="004D3D70">
        <w:rPr>
          <w:sz w:val="18"/>
          <w:szCs w:val="18"/>
          <w:lang w:val="fr-CH"/>
        </w:rPr>
        <w:t>représente le budget approuvé pour l</w:t>
      </w:r>
      <w:r w:rsidR="004D3D70">
        <w:rPr>
          <w:sz w:val="18"/>
          <w:szCs w:val="18"/>
          <w:lang w:val="fr-CH"/>
        </w:rPr>
        <w:t>’</w:t>
      </w:r>
      <w:r w:rsidR="001842BE" w:rsidRPr="004D3D70">
        <w:rPr>
          <w:sz w:val="18"/>
          <w:szCs w:val="18"/>
          <w:lang w:val="fr-CH"/>
        </w:rPr>
        <w:t xml:space="preserve">exercice </w:t>
      </w:r>
      <w:r w:rsidR="004D3D70" w:rsidRPr="004D3D70">
        <w:rPr>
          <w:sz w:val="18"/>
          <w:szCs w:val="18"/>
          <w:lang w:val="fr-CH"/>
        </w:rPr>
        <w:t>biennal</w:t>
      </w:r>
      <w:r w:rsidR="004D3D70">
        <w:rPr>
          <w:sz w:val="18"/>
          <w:szCs w:val="18"/>
          <w:lang w:val="fr-CH"/>
        </w:rPr>
        <w:t> </w:t>
      </w:r>
      <w:r w:rsidR="004D3D70" w:rsidRPr="004D3D70">
        <w:rPr>
          <w:sz w:val="18"/>
          <w:szCs w:val="18"/>
          <w:lang w:val="fr-CH"/>
        </w:rPr>
        <w:t>2016</w:t>
      </w:r>
      <w:r w:rsidR="00665FEC">
        <w:rPr>
          <w:sz w:val="18"/>
          <w:szCs w:val="18"/>
          <w:lang w:val="fr-CH"/>
        </w:rPr>
        <w:noBreakHyphen/>
      </w:r>
      <w:r w:rsidR="001842BE" w:rsidRPr="004D3D70">
        <w:rPr>
          <w:sz w:val="18"/>
          <w:szCs w:val="18"/>
          <w:lang w:val="fr-CH"/>
        </w:rPr>
        <w:t>2017;</w:t>
      </w:r>
    </w:p>
    <w:p w:rsidR="00905890" w:rsidRPr="004D3D70" w:rsidRDefault="00017573" w:rsidP="001842BE">
      <w:pPr>
        <w:numPr>
          <w:ilvl w:val="0"/>
          <w:numId w:val="29"/>
        </w:numPr>
        <w:ind w:left="851" w:hanging="491"/>
        <w:jc w:val="left"/>
        <w:rPr>
          <w:sz w:val="18"/>
          <w:szCs w:val="18"/>
          <w:lang w:val="fr-CH"/>
        </w:rPr>
      </w:pPr>
      <w:r w:rsidRPr="004D3D70">
        <w:rPr>
          <w:sz w:val="18"/>
          <w:szCs w:val="18"/>
          <w:lang w:val="fr-CH"/>
        </w:rPr>
        <w:t xml:space="preserve">– </w:t>
      </w:r>
      <w:r w:rsidR="001842BE" w:rsidRPr="004D3D70">
        <w:rPr>
          <w:sz w:val="18"/>
          <w:szCs w:val="18"/>
          <w:lang w:val="fr-CH"/>
        </w:rPr>
        <w:t>Représente l</w:t>
      </w:r>
      <w:r w:rsidR="004D3D70">
        <w:rPr>
          <w:sz w:val="18"/>
          <w:szCs w:val="18"/>
          <w:lang w:val="fr-CH"/>
        </w:rPr>
        <w:t>’</w:t>
      </w:r>
      <w:r w:rsidR="001842BE" w:rsidRPr="004D3D70">
        <w:rPr>
          <w:sz w:val="18"/>
          <w:szCs w:val="18"/>
          <w:lang w:val="fr-CH"/>
        </w:rPr>
        <w:t>écart entre le budget final (révisé) et les recettes et dépenses effectives sur une base comparable (avant ajustements IPSAS).</w:t>
      </w:r>
    </w:p>
    <w:p w:rsidR="00905890" w:rsidRPr="004D3D70" w:rsidRDefault="00017573" w:rsidP="001842BE">
      <w:pPr>
        <w:numPr>
          <w:ilvl w:val="0"/>
          <w:numId w:val="29"/>
        </w:numPr>
        <w:ind w:left="851" w:hanging="491"/>
        <w:jc w:val="left"/>
        <w:rPr>
          <w:sz w:val="18"/>
          <w:szCs w:val="18"/>
          <w:lang w:val="fr-CH"/>
        </w:rPr>
      </w:pPr>
      <w:r w:rsidRPr="004D3D70">
        <w:rPr>
          <w:sz w:val="18"/>
          <w:szCs w:val="18"/>
          <w:lang w:val="fr-CH"/>
        </w:rPr>
        <w:t xml:space="preserve">– </w:t>
      </w:r>
      <w:r w:rsidR="001842BE" w:rsidRPr="004D3D70">
        <w:rPr>
          <w:sz w:val="18"/>
          <w:szCs w:val="18"/>
          <w:lang w:val="fr-CH"/>
        </w:rPr>
        <w:t>Les ajustements IPSAS apportés à l</w:t>
      </w:r>
      <w:r w:rsidR="004D3D70">
        <w:rPr>
          <w:sz w:val="18"/>
          <w:szCs w:val="18"/>
          <w:lang w:val="fr-CH"/>
        </w:rPr>
        <w:t>’</w:t>
      </w:r>
      <w:r w:rsidR="001842BE" w:rsidRPr="004D3D70">
        <w:rPr>
          <w:sz w:val="18"/>
          <w:szCs w:val="18"/>
          <w:lang w:val="fr-CH"/>
        </w:rPr>
        <w:t>excédent sont détaillés dans la note</w:t>
      </w:r>
      <w:r w:rsidR="00BE23DA">
        <w:rPr>
          <w:sz w:val="18"/>
          <w:szCs w:val="18"/>
          <w:lang w:val="fr-CH"/>
        </w:rPr>
        <w:t> </w:t>
      </w:r>
      <w:r w:rsidR="001842BE" w:rsidRPr="004D3D70">
        <w:rPr>
          <w:sz w:val="18"/>
          <w:szCs w:val="18"/>
          <w:lang w:val="fr-CH"/>
        </w:rPr>
        <w:t>12 des présents états financiers.</w:t>
      </w:r>
    </w:p>
    <w:p w:rsidR="00905890" w:rsidRPr="004D3D70" w:rsidRDefault="00905890" w:rsidP="00F67FE4">
      <w:pPr>
        <w:rPr>
          <w:rFonts w:ascii="Arial Bold" w:hAnsi="Arial Bold"/>
          <w:b/>
          <w:bCs/>
          <w:caps/>
          <w:lang w:val="fr-CH"/>
        </w:rPr>
      </w:pPr>
    </w:p>
    <w:p w:rsidR="00905890" w:rsidRPr="004D3D70" w:rsidRDefault="00905890" w:rsidP="00F67FE4">
      <w:pPr>
        <w:rPr>
          <w:sz w:val="18"/>
          <w:szCs w:val="18"/>
          <w:lang w:val="fr-CH"/>
        </w:rPr>
      </w:pPr>
    </w:p>
    <w:p w:rsidR="00905890" w:rsidRPr="004D3D70" w:rsidRDefault="00F67FE4" w:rsidP="00F67FE4">
      <w:pPr>
        <w:rPr>
          <w:rFonts w:ascii="Arial Bold" w:hAnsi="Arial Bold"/>
          <w:b/>
          <w:bCs/>
          <w:caps/>
          <w:lang w:val="fr-CH"/>
        </w:rPr>
      </w:pPr>
      <w:r w:rsidRPr="004D3D70">
        <w:rPr>
          <w:lang w:val="fr-CH"/>
        </w:rPr>
        <w:br w:type="page"/>
      </w:r>
    </w:p>
    <w:p w:rsidR="00905890" w:rsidRPr="004D3D70" w:rsidRDefault="001842BE" w:rsidP="001842BE">
      <w:pPr>
        <w:pStyle w:val="Heading1"/>
        <w:jc w:val="center"/>
        <w:rPr>
          <w:lang w:val="fr-CH"/>
        </w:rPr>
      </w:pPr>
      <w:bookmarkStart w:id="15" w:name="_Toc523157889"/>
      <w:r w:rsidRPr="004D3D70">
        <w:rPr>
          <w:lang w:val="fr-CH"/>
        </w:rPr>
        <w:lastRenderedPageBreak/>
        <w:t>Notes aux états financiers</w:t>
      </w:r>
      <w:bookmarkEnd w:id="15"/>
    </w:p>
    <w:p w:rsidR="00905890" w:rsidRPr="004D3D70" w:rsidRDefault="00905890" w:rsidP="00B61C54">
      <w:pPr>
        <w:rPr>
          <w:lang w:val="fr-CH"/>
        </w:rPr>
      </w:pPr>
    </w:p>
    <w:p w:rsidR="00905890" w:rsidRPr="004D3D70" w:rsidRDefault="001842BE" w:rsidP="001842BE">
      <w:pPr>
        <w:pStyle w:val="Heading2Notes"/>
        <w:rPr>
          <w:lang w:val="fr-CH"/>
        </w:rPr>
      </w:pPr>
      <w:bookmarkStart w:id="16" w:name="_Toc523157890"/>
      <w:r w:rsidRPr="004D3D70">
        <w:rPr>
          <w:lang w:val="fr-CH"/>
        </w:rPr>
        <w:t>Note</w:t>
      </w:r>
      <w:r w:rsidR="00BE23DA">
        <w:rPr>
          <w:lang w:val="fr-CH"/>
        </w:rPr>
        <w:t> </w:t>
      </w:r>
      <w:r w:rsidRPr="004D3D70">
        <w:rPr>
          <w:lang w:val="fr-CH"/>
        </w:rPr>
        <w:t>1</w:t>
      </w:r>
      <w:r w:rsidR="004D3D70">
        <w:rPr>
          <w:lang w:val="fr-CH"/>
        </w:rPr>
        <w:t> :</w:t>
      </w:r>
      <w:r w:rsidRPr="004D3D70">
        <w:rPr>
          <w:lang w:val="fr-CH"/>
        </w:rPr>
        <w:t xml:space="preserve"> </w:t>
      </w:r>
      <w:r w:rsidRPr="004D3D70">
        <w:rPr>
          <w:lang w:val="fr-CH"/>
        </w:rPr>
        <w:tab/>
        <w:t>Objectifs, gouvernance et budget de l</w:t>
      </w:r>
      <w:r w:rsidR="004D3D70">
        <w:rPr>
          <w:lang w:val="fr-CH"/>
        </w:rPr>
        <w:t>’</w:t>
      </w:r>
      <w:r w:rsidRPr="004D3D70">
        <w:rPr>
          <w:lang w:val="fr-CH"/>
        </w:rPr>
        <w:t>Union</w:t>
      </w:r>
      <w:bookmarkEnd w:id="16"/>
    </w:p>
    <w:p w:rsidR="00905890" w:rsidRPr="004D3D70" w:rsidRDefault="00905890" w:rsidP="00B61C54">
      <w:pPr>
        <w:rPr>
          <w:lang w:val="fr-CH"/>
        </w:rPr>
      </w:pPr>
    </w:p>
    <w:p w:rsidR="00905890" w:rsidRPr="004D3D70" w:rsidRDefault="001842BE" w:rsidP="001842BE">
      <w:pPr>
        <w:rPr>
          <w:lang w:val="fr-CH"/>
        </w:rPr>
      </w:pPr>
      <w:r w:rsidRPr="004D3D70">
        <w:rPr>
          <w:lang w:val="fr-CH"/>
        </w:rPr>
        <w:t>L</w:t>
      </w:r>
      <w:r w:rsidR="004D3D70">
        <w:rPr>
          <w:lang w:val="fr-CH"/>
        </w:rPr>
        <w:t>’</w:t>
      </w:r>
      <w:r w:rsidRPr="004D3D70">
        <w:rPr>
          <w:lang w:val="fr-CH"/>
        </w:rPr>
        <w:t>Union internationale pour la protection des obtentions végétales (UPOV) est une organisation intergouvernementale ayant son siège à Genève.  L</w:t>
      </w:r>
      <w:r w:rsidR="004D3D70">
        <w:rPr>
          <w:lang w:val="fr-CH"/>
        </w:rPr>
        <w:t>’</w:t>
      </w:r>
      <w:r w:rsidRPr="004D3D70">
        <w:rPr>
          <w:lang w:val="fr-CH"/>
        </w:rPr>
        <w:t>UPOV a pour mission de mettre en place et promouvoir un système efficace de protection des variétés végétales afin d</w:t>
      </w:r>
      <w:r w:rsidR="004D3D70">
        <w:rPr>
          <w:lang w:val="fr-CH"/>
        </w:rPr>
        <w:t>’</w:t>
      </w:r>
      <w:r w:rsidRPr="004D3D70">
        <w:rPr>
          <w:lang w:val="fr-CH"/>
        </w:rPr>
        <w:t>encourager l</w:t>
      </w:r>
      <w:r w:rsidR="004D3D70">
        <w:rPr>
          <w:lang w:val="fr-CH"/>
        </w:rPr>
        <w:t>’</w:t>
      </w:r>
      <w:r w:rsidRPr="004D3D70">
        <w:rPr>
          <w:lang w:val="fr-CH"/>
        </w:rPr>
        <w:t>obtention de variétés dans l</w:t>
      </w:r>
      <w:r w:rsidR="004D3D70">
        <w:rPr>
          <w:lang w:val="fr-CH"/>
        </w:rPr>
        <w:t>’</w:t>
      </w:r>
      <w:r w:rsidRPr="004D3D70">
        <w:rPr>
          <w:lang w:val="fr-CH"/>
        </w:rPr>
        <w:t>intérêt de tous.</w:t>
      </w:r>
    </w:p>
    <w:p w:rsidR="00905890" w:rsidRPr="004D3D70" w:rsidRDefault="00905890" w:rsidP="00A824AF">
      <w:pPr>
        <w:rPr>
          <w:lang w:val="fr-CH"/>
        </w:rPr>
      </w:pPr>
    </w:p>
    <w:p w:rsidR="00905890" w:rsidRPr="004D3D70" w:rsidRDefault="001842BE" w:rsidP="001842BE">
      <w:pPr>
        <w:rPr>
          <w:lang w:val="fr-CH"/>
        </w:rPr>
      </w:pPr>
      <w:r w:rsidRPr="004D3D70">
        <w:rPr>
          <w:lang w:val="fr-CH"/>
        </w:rPr>
        <w:t>L</w:t>
      </w:r>
      <w:r w:rsidR="004D3D70">
        <w:rPr>
          <w:lang w:val="fr-CH"/>
        </w:rPr>
        <w:t>’</w:t>
      </w:r>
      <w:r w:rsidRPr="004D3D70">
        <w:rPr>
          <w:lang w:val="fr-CH"/>
        </w:rPr>
        <w:t>UPOV a été instituée par la Convention internationale pour la protection des obtentions végétales (ci</w:t>
      </w:r>
      <w:r w:rsidR="00665FEC">
        <w:rPr>
          <w:lang w:val="fr-CH"/>
        </w:rPr>
        <w:noBreakHyphen/>
      </w:r>
      <w:r w:rsidRPr="004D3D70">
        <w:rPr>
          <w:lang w:val="fr-CH"/>
        </w:rPr>
        <w:t>après dénommée “</w:t>
      </w:r>
      <w:r w:rsidR="004D3D70">
        <w:rPr>
          <w:i/>
          <w:lang w:val="fr-CH"/>
        </w:rPr>
        <w:t>Convention UPOV</w:t>
      </w:r>
      <w:r w:rsidRPr="004D3D70">
        <w:rPr>
          <w:lang w:val="fr-CH"/>
        </w:rPr>
        <w:t xml:space="preserve">”), qui a été signée à Paris </w:t>
      </w:r>
      <w:r w:rsidR="004D3D70" w:rsidRPr="004D3D70">
        <w:rPr>
          <w:lang w:val="fr-CH"/>
        </w:rPr>
        <w:t>en</w:t>
      </w:r>
      <w:r w:rsidR="004D3D70">
        <w:rPr>
          <w:lang w:val="fr-CH"/>
        </w:rPr>
        <w:t> </w:t>
      </w:r>
      <w:r w:rsidR="004D3D70" w:rsidRPr="004D3D70">
        <w:rPr>
          <w:lang w:val="fr-CH"/>
        </w:rPr>
        <w:t>1961</w:t>
      </w:r>
      <w:r w:rsidRPr="004D3D70">
        <w:rPr>
          <w:lang w:val="fr-CH"/>
        </w:rPr>
        <w:t xml:space="preserve">.  La Convention est entrée en vigueur </w:t>
      </w:r>
      <w:r w:rsidR="004D3D70" w:rsidRPr="004D3D70">
        <w:rPr>
          <w:lang w:val="fr-CH"/>
        </w:rPr>
        <w:t>en</w:t>
      </w:r>
      <w:r w:rsidR="004D3D70">
        <w:rPr>
          <w:lang w:val="fr-CH"/>
        </w:rPr>
        <w:t> </w:t>
      </w:r>
      <w:r w:rsidR="004D3D70" w:rsidRPr="004D3D70">
        <w:rPr>
          <w:lang w:val="fr-CH"/>
        </w:rPr>
        <w:t>1968</w:t>
      </w:r>
      <w:r w:rsidRPr="004D3D70">
        <w:rPr>
          <w:lang w:val="fr-CH"/>
        </w:rPr>
        <w:t xml:space="preserve">.  Elle a été révisée à Genève </w:t>
      </w:r>
      <w:r w:rsidR="004D3D70" w:rsidRPr="004D3D70">
        <w:rPr>
          <w:lang w:val="fr-CH"/>
        </w:rPr>
        <w:t>en</w:t>
      </w:r>
      <w:r w:rsidR="004D3D70">
        <w:rPr>
          <w:lang w:val="fr-CH"/>
        </w:rPr>
        <w:t> </w:t>
      </w:r>
      <w:r w:rsidR="004D3D70" w:rsidRPr="004D3D70">
        <w:rPr>
          <w:lang w:val="fr-CH"/>
        </w:rPr>
        <w:t>1972</w:t>
      </w:r>
      <w:r w:rsidRPr="004D3D70">
        <w:rPr>
          <w:lang w:val="fr-CH"/>
        </w:rPr>
        <w:t>, 1978 et 1991.  L</w:t>
      </w:r>
      <w:r w:rsidR="004D3D70">
        <w:rPr>
          <w:lang w:val="fr-CH"/>
        </w:rPr>
        <w:t>’</w:t>
      </w:r>
      <w:r w:rsidRPr="004D3D70">
        <w:rPr>
          <w:lang w:val="fr-CH"/>
        </w:rPr>
        <w:t xml:space="preserve">Acte </w:t>
      </w:r>
      <w:r w:rsidR="004D3D70" w:rsidRPr="004D3D70">
        <w:rPr>
          <w:lang w:val="fr-CH"/>
        </w:rPr>
        <w:t>de</w:t>
      </w:r>
      <w:r w:rsidR="004D3D70">
        <w:rPr>
          <w:lang w:val="fr-CH"/>
        </w:rPr>
        <w:t> </w:t>
      </w:r>
      <w:r w:rsidR="004D3D70" w:rsidRPr="004D3D70">
        <w:rPr>
          <w:lang w:val="fr-CH"/>
        </w:rPr>
        <w:t>1991</w:t>
      </w:r>
      <w:r w:rsidRPr="004D3D70">
        <w:rPr>
          <w:lang w:val="fr-CH"/>
        </w:rPr>
        <w:t xml:space="preserve"> est entré en vigueur le 2</w:t>
      </w:r>
      <w:r w:rsidR="004D3D70" w:rsidRPr="004D3D70">
        <w:rPr>
          <w:lang w:val="fr-CH"/>
        </w:rPr>
        <w:t>4</w:t>
      </w:r>
      <w:r w:rsidR="004D3D70">
        <w:rPr>
          <w:lang w:val="fr-CH"/>
        </w:rPr>
        <w:t> </w:t>
      </w:r>
      <w:r w:rsidR="004D3D70" w:rsidRPr="004D3D70">
        <w:rPr>
          <w:lang w:val="fr-CH"/>
        </w:rPr>
        <w:t>avril</w:t>
      </w:r>
      <w:r w:rsidR="004D3D70">
        <w:rPr>
          <w:lang w:val="fr-CH"/>
        </w:rPr>
        <w:t> </w:t>
      </w:r>
      <w:r w:rsidR="004D3D70" w:rsidRPr="004D3D70">
        <w:rPr>
          <w:lang w:val="fr-CH"/>
        </w:rPr>
        <w:t>19</w:t>
      </w:r>
      <w:r w:rsidRPr="004D3D70">
        <w:rPr>
          <w:lang w:val="fr-CH"/>
        </w:rPr>
        <w:t xml:space="preserve">98.  Conformément à la </w:t>
      </w:r>
      <w:r w:rsidR="004D3D70">
        <w:rPr>
          <w:lang w:val="fr-CH"/>
        </w:rPr>
        <w:t>Convention UPOV</w:t>
      </w:r>
      <w:r w:rsidRPr="004D3D70">
        <w:rPr>
          <w:lang w:val="fr-CH"/>
        </w:rPr>
        <w:t>, l</w:t>
      </w:r>
      <w:r w:rsidR="004D3D70">
        <w:rPr>
          <w:lang w:val="fr-CH"/>
        </w:rPr>
        <w:t>’</w:t>
      </w:r>
      <w:r w:rsidRPr="004D3D70">
        <w:rPr>
          <w:lang w:val="fr-CH"/>
        </w:rPr>
        <w:t>Union a pour principaux objectifs</w:t>
      </w:r>
      <w:r w:rsidR="004D3D70">
        <w:rPr>
          <w:lang w:val="fr-CH"/>
        </w:rPr>
        <w:t> :</w:t>
      </w:r>
    </w:p>
    <w:p w:rsidR="00905890" w:rsidRPr="004D3D70" w:rsidRDefault="00905890" w:rsidP="00A824AF">
      <w:pPr>
        <w:rPr>
          <w:lang w:val="fr-CH"/>
        </w:rPr>
      </w:pPr>
    </w:p>
    <w:p w:rsidR="00905890" w:rsidRPr="004D3D70" w:rsidRDefault="001842BE" w:rsidP="001842BE">
      <w:pPr>
        <w:numPr>
          <w:ilvl w:val="0"/>
          <w:numId w:val="16"/>
        </w:numPr>
        <w:ind w:right="713"/>
        <w:rPr>
          <w:lang w:val="fr-CH"/>
        </w:rPr>
      </w:pPr>
      <w:r w:rsidRPr="004D3D70">
        <w:rPr>
          <w:lang w:val="fr-CH"/>
        </w:rPr>
        <w:t>de mettre en place et de perfectionner la base administrative et technique d</w:t>
      </w:r>
      <w:r w:rsidR="004D3D70">
        <w:rPr>
          <w:lang w:val="fr-CH"/>
        </w:rPr>
        <w:t>’</w:t>
      </w:r>
      <w:r w:rsidRPr="004D3D70">
        <w:rPr>
          <w:lang w:val="fr-CH"/>
        </w:rPr>
        <w:t>une coopération internationale en matière de protection des obtentions végétales;</w:t>
      </w:r>
    </w:p>
    <w:p w:rsidR="00905890" w:rsidRPr="004D3D70" w:rsidRDefault="00905890" w:rsidP="00A824AF">
      <w:pPr>
        <w:ind w:right="713"/>
        <w:rPr>
          <w:lang w:val="fr-CH"/>
        </w:rPr>
      </w:pPr>
    </w:p>
    <w:p w:rsidR="00905890" w:rsidRPr="004D3D70" w:rsidRDefault="001842BE" w:rsidP="001842BE">
      <w:pPr>
        <w:numPr>
          <w:ilvl w:val="0"/>
          <w:numId w:val="16"/>
        </w:numPr>
        <w:ind w:right="713"/>
        <w:rPr>
          <w:lang w:val="fr-CH"/>
        </w:rPr>
      </w:pPr>
      <w:r w:rsidRPr="004D3D70">
        <w:rPr>
          <w:lang w:val="fr-CH"/>
        </w:rPr>
        <w:t>d</w:t>
      </w:r>
      <w:r w:rsidR="004D3D70">
        <w:rPr>
          <w:lang w:val="fr-CH"/>
        </w:rPr>
        <w:t>’</w:t>
      </w:r>
      <w:r w:rsidRPr="004D3D70">
        <w:rPr>
          <w:lang w:val="fr-CH"/>
        </w:rPr>
        <w:t>aider les États et les organisations à établir des lois et mettre en œuvre un système efficace de protection des variétés végétales;  et</w:t>
      </w:r>
    </w:p>
    <w:p w:rsidR="00905890" w:rsidRPr="004D3D70" w:rsidRDefault="00905890" w:rsidP="00A824AF">
      <w:pPr>
        <w:ind w:right="713"/>
        <w:rPr>
          <w:lang w:val="fr-CH"/>
        </w:rPr>
      </w:pPr>
    </w:p>
    <w:p w:rsidR="00905890" w:rsidRPr="004D3D70" w:rsidRDefault="001842BE" w:rsidP="001842BE">
      <w:pPr>
        <w:numPr>
          <w:ilvl w:val="0"/>
          <w:numId w:val="16"/>
        </w:numPr>
        <w:ind w:right="713"/>
        <w:rPr>
          <w:lang w:val="fr-CH"/>
        </w:rPr>
      </w:pPr>
      <w:r w:rsidRPr="004D3D70">
        <w:rPr>
          <w:lang w:val="fr-CH"/>
        </w:rPr>
        <w:t xml:space="preserve">de renforcer la sensibilité et la compréhension du public </w:t>
      </w:r>
      <w:r w:rsidR="004D3D70">
        <w:rPr>
          <w:lang w:val="fr-CH"/>
        </w:rPr>
        <w:t>à l’égard</w:t>
      </w:r>
      <w:r w:rsidRPr="004D3D70">
        <w:rPr>
          <w:lang w:val="fr-CH"/>
        </w:rPr>
        <w:t xml:space="preserve"> du système UPOV de protection des variétés végétales.</w:t>
      </w:r>
    </w:p>
    <w:p w:rsidR="00905890" w:rsidRPr="004D3D70" w:rsidRDefault="00905890" w:rsidP="00A824AF">
      <w:pPr>
        <w:rPr>
          <w:lang w:val="fr-CH"/>
        </w:rPr>
      </w:pPr>
    </w:p>
    <w:p w:rsidR="00905890" w:rsidRPr="004D3D70" w:rsidRDefault="001842BE" w:rsidP="001842BE">
      <w:pPr>
        <w:rPr>
          <w:lang w:val="fr-CH"/>
        </w:rPr>
      </w:pPr>
      <w:r w:rsidRPr="004D3D70">
        <w:rPr>
          <w:lang w:val="fr-CH"/>
        </w:rPr>
        <w:t>Conformément à l</w:t>
      </w:r>
      <w:r w:rsidR="004D3D70">
        <w:rPr>
          <w:lang w:val="fr-CH"/>
        </w:rPr>
        <w:t>’</w:t>
      </w:r>
      <w:r w:rsidR="004D3D70" w:rsidRPr="004D3D70">
        <w:rPr>
          <w:lang w:val="fr-CH"/>
        </w:rPr>
        <w:t>article</w:t>
      </w:r>
      <w:r w:rsidR="004D3D70">
        <w:rPr>
          <w:lang w:val="fr-CH"/>
        </w:rPr>
        <w:t> </w:t>
      </w:r>
      <w:r w:rsidR="004D3D70" w:rsidRPr="004D3D70">
        <w:rPr>
          <w:lang w:val="fr-CH"/>
        </w:rPr>
        <w:t>2</w:t>
      </w:r>
      <w:r w:rsidRPr="004D3D70">
        <w:rPr>
          <w:lang w:val="fr-CH"/>
        </w:rPr>
        <w:t>5 de l</w:t>
      </w:r>
      <w:r w:rsidR="004D3D70">
        <w:rPr>
          <w:lang w:val="fr-CH"/>
        </w:rPr>
        <w:t>’</w:t>
      </w:r>
      <w:r w:rsidRPr="004D3D70">
        <w:rPr>
          <w:lang w:val="fr-CH"/>
        </w:rPr>
        <w:t xml:space="preserve">Acte </w:t>
      </w:r>
      <w:r w:rsidR="004D3D70" w:rsidRPr="004D3D70">
        <w:rPr>
          <w:lang w:val="fr-CH"/>
        </w:rPr>
        <w:t>de</w:t>
      </w:r>
      <w:r w:rsidR="004D3D70">
        <w:rPr>
          <w:lang w:val="fr-CH"/>
        </w:rPr>
        <w:t> </w:t>
      </w:r>
      <w:r w:rsidR="004D3D70" w:rsidRPr="004D3D70">
        <w:rPr>
          <w:lang w:val="fr-CH"/>
        </w:rPr>
        <w:t>1991</w:t>
      </w:r>
      <w:r w:rsidRPr="004D3D70">
        <w:rPr>
          <w:lang w:val="fr-CH"/>
        </w:rPr>
        <w:t xml:space="preserve"> et à l</w:t>
      </w:r>
      <w:r w:rsidR="004D3D70">
        <w:rPr>
          <w:lang w:val="fr-CH"/>
        </w:rPr>
        <w:t>’</w:t>
      </w:r>
      <w:r w:rsidR="004D3D70" w:rsidRPr="004D3D70">
        <w:rPr>
          <w:lang w:val="fr-CH"/>
        </w:rPr>
        <w:t>article</w:t>
      </w:r>
      <w:r w:rsidR="004D3D70">
        <w:rPr>
          <w:lang w:val="fr-CH"/>
        </w:rPr>
        <w:t> </w:t>
      </w:r>
      <w:r w:rsidR="004D3D70" w:rsidRPr="004D3D70">
        <w:rPr>
          <w:lang w:val="fr-CH"/>
        </w:rPr>
        <w:t>1</w:t>
      </w:r>
      <w:r w:rsidRPr="004D3D70">
        <w:rPr>
          <w:lang w:val="fr-CH"/>
        </w:rPr>
        <w:t>5 de l</w:t>
      </w:r>
      <w:r w:rsidR="004D3D70">
        <w:rPr>
          <w:lang w:val="fr-CH"/>
        </w:rPr>
        <w:t>’</w:t>
      </w:r>
      <w:r w:rsidRPr="004D3D70">
        <w:rPr>
          <w:lang w:val="fr-CH"/>
        </w:rPr>
        <w:t xml:space="preserve">Acte </w:t>
      </w:r>
      <w:r w:rsidR="004D3D70" w:rsidRPr="004D3D70">
        <w:rPr>
          <w:lang w:val="fr-CH"/>
        </w:rPr>
        <w:t>de</w:t>
      </w:r>
      <w:r w:rsidR="004D3D70">
        <w:rPr>
          <w:lang w:val="fr-CH"/>
        </w:rPr>
        <w:t> </w:t>
      </w:r>
      <w:r w:rsidR="004D3D70" w:rsidRPr="004D3D70">
        <w:rPr>
          <w:lang w:val="fr-CH"/>
        </w:rPr>
        <w:t>1978</w:t>
      </w:r>
      <w:r w:rsidRPr="004D3D70">
        <w:rPr>
          <w:lang w:val="fr-CH"/>
        </w:rPr>
        <w:t>, le Conseil et le Bureau de l</w:t>
      </w:r>
      <w:r w:rsidR="004D3D70">
        <w:rPr>
          <w:lang w:val="fr-CH"/>
        </w:rPr>
        <w:t>’</w:t>
      </w:r>
      <w:r w:rsidRPr="004D3D70">
        <w:rPr>
          <w:lang w:val="fr-CH"/>
        </w:rPr>
        <w:t>Union sont les organes permanents de l</w:t>
      </w:r>
      <w:r w:rsidR="004D3D70">
        <w:rPr>
          <w:lang w:val="fr-CH"/>
        </w:rPr>
        <w:t>’</w:t>
      </w:r>
      <w:r w:rsidRPr="004D3D70">
        <w:rPr>
          <w:lang w:val="fr-CH"/>
        </w:rPr>
        <w:t>UPOV.</w:t>
      </w:r>
    </w:p>
    <w:p w:rsidR="00905890" w:rsidRPr="004D3D70" w:rsidRDefault="00905890" w:rsidP="00A824AF">
      <w:pPr>
        <w:rPr>
          <w:lang w:val="fr-CH"/>
        </w:rPr>
      </w:pPr>
    </w:p>
    <w:p w:rsidR="004D3D70" w:rsidRDefault="001842BE" w:rsidP="001842BE">
      <w:pPr>
        <w:rPr>
          <w:lang w:val="fr-CH"/>
        </w:rPr>
      </w:pPr>
      <w:r w:rsidRPr="004D3D70">
        <w:rPr>
          <w:lang w:val="fr-CH"/>
        </w:rPr>
        <w:t>Le Conseil est l</w:t>
      </w:r>
      <w:r w:rsidR="004D3D70">
        <w:rPr>
          <w:lang w:val="fr-CH"/>
        </w:rPr>
        <w:t>’</w:t>
      </w:r>
      <w:r w:rsidRPr="004D3D70">
        <w:rPr>
          <w:lang w:val="fr-CH"/>
        </w:rPr>
        <w:t>organe directeur de l</w:t>
      </w:r>
      <w:r w:rsidR="004D3D70">
        <w:rPr>
          <w:lang w:val="fr-CH"/>
        </w:rPr>
        <w:t>’</w:t>
      </w:r>
      <w:r w:rsidRPr="004D3D70">
        <w:rPr>
          <w:lang w:val="fr-CH"/>
        </w:rPr>
        <w:t>UPOV et est composé des représentants des membres de l</w:t>
      </w:r>
      <w:r w:rsidR="004D3D70">
        <w:rPr>
          <w:lang w:val="fr-CH"/>
        </w:rPr>
        <w:t>’</w:t>
      </w:r>
      <w:r w:rsidRPr="004D3D70">
        <w:rPr>
          <w:lang w:val="fr-CH"/>
        </w:rPr>
        <w:t>Uni</w:t>
      </w:r>
      <w:r w:rsidR="002140E0" w:rsidRPr="004D3D70">
        <w:rPr>
          <w:lang w:val="fr-CH"/>
        </w:rPr>
        <w:t>on</w:t>
      </w:r>
      <w:r w:rsidR="002140E0">
        <w:rPr>
          <w:lang w:val="fr-CH"/>
        </w:rPr>
        <w:t xml:space="preserve">.  </w:t>
      </w:r>
      <w:r w:rsidR="002140E0" w:rsidRPr="004D3D70">
        <w:rPr>
          <w:lang w:val="fr-CH"/>
        </w:rPr>
        <w:t>Le</w:t>
      </w:r>
      <w:r w:rsidR="006753D4">
        <w:rPr>
          <w:lang w:val="fr-CH"/>
        </w:rPr>
        <w:t> </w:t>
      </w:r>
      <w:r w:rsidR="003007EE" w:rsidRPr="004D3D70">
        <w:rPr>
          <w:lang w:val="fr-CH"/>
        </w:rPr>
        <w:t>Conseil a pour mission de sauvegarder les intérêts et de favoriser le développement de l</w:t>
      </w:r>
      <w:r w:rsidR="004D3D70">
        <w:rPr>
          <w:lang w:val="fr-CH"/>
        </w:rPr>
        <w:t>’</w:t>
      </w:r>
      <w:r w:rsidR="003007EE" w:rsidRPr="004D3D70">
        <w:rPr>
          <w:lang w:val="fr-CH"/>
        </w:rPr>
        <w:t>UPOV, d</w:t>
      </w:r>
      <w:r w:rsidR="004D3D70">
        <w:rPr>
          <w:lang w:val="fr-CH"/>
        </w:rPr>
        <w:t>’</w:t>
      </w:r>
      <w:r w:rsidR="003007EE" w:rsidRPr="004D3D70">
        <w:rPr>
          <w:lang w:val="fr-CH"/>
        </w:rPr>
        <w:t>adopter son programme de travail et son budget et de prendre toutes les décisions nécessaires au bon fonctionnement de l</w:t>
      </w:r>
      <w:r w:rsidR="004D3D70">
        <w:rPr>
          <w:lang w:val="fr-CH"/>
        </w:rPr>
        <w:t>’</w:t>
      </w:r>
      <w:r w:rsidR="003007EE" w:rsidRPr="004D3D70">
        <w:rPr>
          <w:lang w:val="fr-CH"/>
        </w:rPr>
        <w:t>UPOV</w:t>
      </w:r>
      <w:r w:rsidR="00A824AF" w:rsidRPr="004D3D70">
        <w:rPr>
          <w:lang w:val="fr-CH"/>
        </w:rPr>
        <w:t>.</w:t>
      </w:r>
      <w:r w:rsidR="003007EE" w:rsidRPr="004D3D70">
        <w:rPr>
          <w:lang w:val="fr-CH"/>
        </w:rPr>
        <w:t xml:space="preserve"> </w:t>
      </w:r>
      <w:r w:rsidR="00A824AF" w:rsidRPr="004D3D70">
        <w:rPr>
          <w:lang w:val="fr-CH"/>
        </w:rPr>
        <w:t xml:space="preserve"> </w:t>
      </w:r>
      <w:r w:rsidR="003007EE" w:rsidRPr="004D3D70">
        <w:rPr>
          <w:lang w:val="fr-CH"/>
        </w:rPr>
        <w:t>Il se réunit en session ordinaire une fois par an;  il peut aussi être convoqué en session extraordinai</w:t>
      </w:r>
      <w:r w:rsidR="002140E0" w:rsidRPr="004D3D70">
        <w:rPr>
          <w:lang w:val="fr-CH"/>
        </w:rPr>
        <w:t>re</w:t>
      </w:r>
      <w:r w:rsidR="002140E0">
        <w:rPr>
          <w:lang w:val="fr-CH"/>
        </w:rPr>
        <w:t xml:space="preserve">.  </w:t>
      </w:r>
      <w:r w:rsidR="002140E0" w:rsidRPr="004D3D70">
        <w:rPr>
          <w:lang w:val="fr-CH"/>
        </w:rPr>
        <w:t>Le</w:t>
      </w:r>
      <w:r w:rsidRPr="004D3D70">
        <w:rPr>
          <w:lang w:val="fr-CH"/>
        </w:rPr>
        <w:t xml:space="preserve"> Conseil a créé plusieurs organes qui se réunissent une ou deux</w:t>
      </w:r>
      <w:r w:rsidR="00AC2A6B">
        <w:rPr>
          <w:lang w:val="fr-CH"/>
        </w:rPr>
        <w:t> </w:t>
      </w:r>
      <w:r w:rsidRPr="004D3D70">
        <w:rPr>
          <w:lang w:val="fr-CH"/>
        </w:rPr>
        <w:t>fois par an.</w:t>
      </w:r>
    </w:p>
    <w:p w:rsidR="00905890" w:rsidRPr="004D3D70" w:rsidRDefault="00905890" w:rsidP="00A824AF">
      <w:pPr>
        <w:rPr>
          <w:lang w:val="fr-CH"/>
        </w:rPr>
      </w:pPr>
    </w:p>
    <w:p w:rsidR="00905890" w:rsidRPr="004D3D70" w:rsidRDefault="001842BE" w:rsidP="001842BE">
      <w:pPr>
        <w:rPr>
          <w:lang w:val="fr-CH"/>
        </w:rPr>
      </w:pPr>
      <w:r w:rsidRPr="004D3D70">
        <w:rPr>
          <w:lang w:val="fr-CH"/>
        </w:rPr>
        <w:t>Le Bureau de l</w:t>
      </w:r>
      <w:r w:rsidR="004D3D70">
        <w:rPr>
          <w:lang w:val="fr-CH"/>
        </w:rPr>
        <w:t>’</w:t>
      </w:r>
      <w:r w:rsidRPr="004D3D70">
        <w:rPr>
          <w:lang w:val="fr-CH"/>
        </w:rPr>
        <w:t>Union assure le secrétariat de l</w:t>
      </w:r>
      <w:r w:rsidR="004D3D70">
        <w:rPr>
          <w:lang w:val="fr-CH"/>
        </w:rPr>
        <w:t>’</w:t>
      </w:r>
      <w:r w:rsidRPr="004D3D70">
        <w:rPr>
          <w:lang w:val="fr-CH"/>
        </w:rPr>
        <w:t>UPOV et est dirigé par le secrétaire génér</w:t>
      </w:r>
      <w:r w:rsidR="002140E0" w:rsidRPr="004D3D70">
        <w:rPr>
          <w:lang w:val="fr-CH"/>
        </w:rPr>
        <w:t>al</w:t>
      </w:r>
      <w:r w:rsidR="002140E0">
        <w:rPr>
          <w:lang w:val="fr-CH"/>
        </w:rPr>
        <w:t xml:space="preserve">.  </w:t>
      </w:r>
      <w:r w:rsidR="002140E0" w:rsidRPr="004D3D70">
        <w:rPr>
          <w:lang w:val="fr-CH"/>
        </w:rPr>
        <w:t>Le</w:t>
      </w:r>
      <w:r w:rsidR="003007EE" w:rsidRPr="004D3D70">
        <w:rPr>
          <w:lang w:val="fr-CH"/>
        </w:rPr>
        <w:t>s fonctionnaires du Bureau de l</w:t>
      </w:r>
      <w:r w:rsidR="004D3D70">
        <w:rPr>
          <w:lang w:val="fr-CH"/>
        </w:rPr>
        <w:t>’</w:t>
      </w:r>
      <w:r w:rsidR="003007EE" w:rsidRPr="004D3D70">
        <w:rPr>
          <w:lang w:val="fr-CH"/>
        </w:rPr>
        <w:t>UPOV, en dehors du Secrétaire général adjoint, sont placés sous la direction du Secrétaire général adjoint de l</w:t>
      </w:r>
      <w:r w:rsidR="004D3D70">
        <w:rPr>
          <w:lang w:val="fr-CH"/>
        </w:rPr>
        <w:t>’</w:t>
      </w:r>
      <w:r w:rsidR="003007EE" w:rsidRPr="004D3D70">
        <w:rPr>
          <w:lang w:val="fr-CH"/>
        </w:rPr>
        <w:t>UPOV</w:t>
      </w:r>
      <w:r w:rsidR="00A824AF" w:rsidRPr="004D3D70">
        <w:rPr>
          <w:lang w:val="fr-CH"/>
        </w:rPr>
        <w:t xml:space="preserve">. </w:t>
      </w:r>
      <w:r w:rsidR="003007EE" w:rsidRPr="004D3D70">
        <w:rPr>
          <w:lang w:val="fr-CH"/>
        </w:rPr>
        <w:t xml:space="preserve"> En 1982, un accord de coopération (l</w:t>
      </w:r>
      <w:r w:rsidR="004D3D70">
        <w:rPr>
          <w:lang w:val="fr-CH"/>
        </w:rPr>
        <w:t>’</w:t>
      </w:r>
      <w:r w:rsidR="003007EE" w:rsidRPr="004D3D70">
        <w:rPr>
          <w:lang w:val="fr-CH"/>
        </w:rPr>
        <w:t>Accord OMPI/UPOV) a été signé entre l</w:t>
      </w:r>
      <w:r w:rsidR="004D3D70">
        <w:rPr>
          <w:lang w:val="fr-CH"/>
        </w:rPr>
        <w:t>’</w:t>
      </w:r>
      <w:r w:rsidR="003007EE" w:rsidRPr="004D3D70">
        <w:rPr>
          <w:lang w:val="fr-CH"/>
        </w:rPr>
        <w:t>UPOV et l</w:t>
      </w:r>
      <w:r w:rsidR="004D3D70">
        <w:rPr>
          <w:lang w:val="fr-CH"/>
        </w:rPr>
        <w:t>’</w:t>
      </w:r>
      <w:r w:rsidR="003007EE" w:rsidRPr="004D3D70">
        <w:rPr>
          <w:lang w:val="fr-CH"/>
        </w:rPr>
        <w:t xml:space="preserve">Organisation Mondiale de la Propriété Intellectuelle (OMPI), une institution spécialisée des </w:t>
      </w:r>
      <w:r w:rsidR="004D3D70">
        <w:rPr>
          <w:lang w:val="fr-CH"/>
        </w:rPr>
        <w:t>Nations Uni</w:t>
      </w:r>
      <w:r w:rsidR="002140E0">
        <w:rPr>
          <w:lang w:val="fr-CH"/>
        </w:rPr>
        <w:t xml:space="preserve">es.  </w:t>
      </w:r>
      <w:r w:rsidR="002140E0" w:rsidRPr="004D3D70">
        <w:rPr>
          <w:lang w:val="fr-CH"/>
        </w:rPr>
        <w:t>Co</w:t>
      </w:r>
      <w:r w:rsidR="003007EE" w:rsidRPr="004D3D70">
        <w:rPr>
          <w:lang w:val="fr-CH"/>
        </w:rPr>
        <w:t>nformément à cet accord, le Conseil de l</w:t>
      </w:r>
      <w:r w:rsidR="004D3D70">
        <w:rPr>
          <w:lang w:val="fr-CH"/>
        </w:rPr>
        <w:t>’</w:t>
      </w:r>
      <w:r w:rsidR="003007EE" w:rsidRPr="004D3D70">
        <w:rPr>
          <w:lang w:val="fr-CH"/>
        </w:rPr>
        <w:t>UPOV nomme comme Secrétaire général de l</w:t>
      </w:r>
      <w:r w:rsidR="004D3D70">
        <w:rPr>
          <w:lang w:val="fr-CH"/>
        </w:rPr>
        <w:t>’</w:t>
      </w:r>
      <w:r w:rsidR="003007EE" w:rsidRPr="004D3D70">
        <w:rPr>
          <w:lang w:val="fr-CH"/>
        </w:rPr>
        <w:t>UPOV le Directeur général de l</w:t>
      </w:r>
      <w:r w:rsidR="004D3D70">
        <w:rPr>
          <w:lang w:val="fr-CH"/>
        </w:rPr>
        <w:t>’</w:t>
      </w:r>
      <w:r w:rsidR="003007EE" w:rsidRPr="004D3D70">
        <w:rPr>
          <w:lang w:val="fr-CH"/>
        </w:rPr>
        <w:t>OMPI</w:t>
      </w:r>
      <w:r w:rsidR="00A824AF" w:rsidRPr="004D3D70">
        <w:rPr>
          <w:lang w:val="fr-CH"/>
        </w:rPr>
        <w:t xml:space="preserve">. </w:t>
      </w:r>
      <w:r w:rsidR="003007EE" w:rsidRPr="004D3D70">
        <w:rPr>
          <w:lang w:val="fr-CH"/>
        </w:rPr>
        <w:t xml:space="preserve"> Le Secrétaire général adjoint est chargé de la réalisation des résultats escomptés tels qu</w:t>
      </w:r>
      <w:r w:rsidR="004D3D70">
        <w:rPr>
          <w:lang w:val="fr-CH"/>
        </w:rPr>
        <w:t>’</w:t>
      </w:r>
      <w:r w:rsidR="003007EE" w:rsidRPr="004D3D70">
        <w:rPr>
          <w:lang w:val="fr-CH"/>
        </w:rPr>
        <w:t>ils sont indiqués dans le programme et budget approu</w:t>
      </w:r>
      <w:r w:rsidR="002140E0" w:rsidRPr="004D3D70">
        <w:rPr>
          <w:lang w:val="fr-CH"/>
        </w:rPr>
        <w:t>vé</w:t>
      </w:r>
      <w:r w:rsidR="002140E0">
        <w:rPr>
          <w:lang w:val="fr-CH"/>
        </w:rPr>
        <w:t xml:space="preserve">.  </w:t>
      </w:r>
      <w:r w:rsidR="002140E0" w:rsidRPr="004D3D70">
        <w:rPr>
          <w:lang w:val="fr-CH"/>
        </w:rPr>
        <w:t>Se</w:t>
      </w:r>
      <w:r w:rsidRPr="004D3D70">
        <w:rPr>
          <w:lang w:val="fr-CH"/>
        </w:rPr>
        <w:t>lon l</w:t>
      </w:r>
      <w:r w:rsidR="004D3D70">
        <w:rPr>
          <w:lang w:val="fr-CH"/>
        </w:rPr>
        <w:t>’</w:t>
      </w:r>
      <w:r w:rsidRPr="004D3D70">
        <w:rPr>
          <w:lang w:val="fr-CH"/>
        </w:rPr>
        <w:t>accord, l</w:t>
      </w:r>
      <w:r w:rsidR="004D3D70">
        <w:rPr>
          <w:lang w:val="fr-CH"/>
        </w:rPr>
        <w:t>’</w:t>
      </w:r>
      <w:r w:rsidRPr="004D3D70">
        <w:rPr>
          <w:lang w:val="fr-CH"/>
        </w:rPr>
        <w:t>OMPI satisfait les besoins de l</w:t>
      </w:r>
      <w:r w:rsidR="004D3D70">
        <w:rPr>
          <w:lang w:val="fr-CH"/>
        </w:rPr>
        <w:t>’</w:t>
      </w:r>
      <w:r w:rsidRPr="004D3D70">
        <w:rPr>
          <w:lang w:val="fr-CH"/>
        </w:rPr>
        <w:t>UPOV en ce qui concerne l</w:t>
      </w:r>
      <w:r w:rsidR="004D3D70">
        <w:rPr>
          <w:lang w:val="fr-CH"/>
        </w:rPr>
        <w:t>’</w:t>
      </w:r>
      <w:r w:rsidRPr="004D3D70">
        <w:rPr>
          <w:lang w:val="fr-CH"/>
        </w:rPr>
        <w:t>espace, le personnel, les finances, les achats et d</w:t>
      </w:r>
      <w:r w:rsidR="004D3D70">
        <w:rPr>
          <w:lang w:val="fr-CH"/>
        </w:rPr>
        <w:t>’</w:t>
      </w:r>
      <w:r w:rsidRPr="004D3D70">
        <w:rPr>
          <w:lang w:val="fr-CH"/>
        </w:rPr>
        <w:t>autres tâches administratives.  L</w:t>
      </w:r>
      <w:r w:rsidR="004D3D70">
        <w:rPr>
          <w:lang w:val="fr-CH"/>
        </w:rPr>
        <w:t>’</w:t>
      </w:r>
      <w:r w:rsidRPr="004D3D70">
        <w:rPr>
          <w:lang w:val="fr-CH"/>
        </w:rPr>
        <w:t>UPOV indemnise l</w:t>
      </w:r>
      <w:r w:rsidR="004D3D70">
        <w:rPr>
          <w:lang w:val="fr-CH"/>
        </w:rPr>
        <w:t>’</w:t>
      </w:r>
      <w:r w:rsidRPr="004D3D70">
        <w:rPr>
          <w:lang w:val="fr-CH"/>
        </w:rPr>
        <w:t>OMPI pour tout service fourni à l</w:t>
      </w:r>
      <w:r w:rsidR="004D3D70">
        <w:rPr>
          <w:lang w:val="fr-CH"/>
        </w:rPr>
        <w:t>’</w:t>
      </w:r>
      <w:r w:rsidRPr="004D3D70">
        <w:rPr>
          <w:lang w:val="fr-CH"/>
        </w:rPr>
        <w:t>UPOV et pour toute dépense engagée pour son compte.</w:t>
      </w:r>
    </w:p>
    <w:p w:rsidR="00905890" w:rsidRPr="004D3D70" w:rsidRDefault="00905890" w:rsidP="00A824AF">
      <w:pPr>
        <w:rPr>
          <w:lang w:val="fr-CH"/>
        </w:rPr>
      </w:pPr>
    </w:p>
    <w:p w:rsidR="004D3D70" w:rsidRDefault="001842BE" w:rsidP="001842BE">
      <w:pPr>
        <w:rPr>
          <w:lang w:val="fr-CH"/>
        </w:rPr>
      </w:pPr>
      <w:r w:rsidRPr="004D3D70">
        <w:rPr>
          <w:lang w:val="fr-CH"/>
        </w:rPr>
        <w:t>L</w:t>
      </w:r>
      <w:r w:rsidR="004D3D70">
        <w:rPr>
          <w:lang w:val="fr-CH"/>
        </w:rPr>
        <w:t>’</w:t>
      </w:r>
      <w:r w:rsidRPr="004D3D70">
        <w:rPr>
          <w:lang w:val="fr-CH"/>
        </w:rPr>
        <w:t>UPOV est financée par les contributions et les ressources extrabudgétaires (fonds fiduciaires) des membres de l</w:t>
      </w:r>
      <w:r w:rsidR="004D3D70">
        <w:rPr>
          <w:lang w:val="fr-CH"/>
        </w:rPr>
        <w:t>’</w:t>
      </w:r>
      <w:r w:rsidRPr="004D3D70">
        <w:rPr>
          <w:lang w:val="fr-CH"/>
        </w:rPr>
        <w:t>Union.  L</w:t>
      </w:r>
      <w:r w:rsidR="004D3D70">
        <w:rPr>
          <w:lang w:val="fr-CH"/>
        </w:rPr>
        <w:t>’</w:t>
      </w:r>
      <w:r w:rsidRPr="004D3D70">
        <w:rPr>
          <w:lang w:val="fr-CH"/>
        </w:rPr>
        <w:t>UPOV exerce ses activités dans le cadre d</w:t>
      </w:r>
      <w:r w:rsidR="004D3D70">
        <w:rPr>
          <w:lang w:val="fr-CH"/>
        </w:rPr>
        <w:t>’</w:t>
      </w:r>
      <w:r w:rsidRPr="004D3D70">
        <w:rPr>
          <w:lang w:val="fr-CH"/>
        </w:rPr>
        <w:t>un programme et budget bienn</w:t>
      </w:r>
      <w:r w:rsidR="002140E0" w:rsidRPr="004D3D70">
        <w:rPr>
          <w:lang w:val="fr-CH"/>
        </w:rPr>
        <w:t>al</w:t>
      </w:r>
      <w:r w:rsidR="002140E0">
        <w:rPr>
          <w:lang w:val="fr-CH"/>
        </w:rPr>
        <w:t xml:space="preserve">.  </w:t>
      </w:r>
      <w:r w:rsidR="002140E0" w:rsidRPr="004D3D70">
        <w:rPr>
          <w:lang w:val="fr-CH"/>
        </w:rPr>
        <w:t>Le</w:t>
      </w:r>
      <w:r w:rsidRPr="004D3D70">
        <w:rPr>
          <w:lang w:val="fr-CH"/>
        </w:rPr>
        <w:t xml:space="preserve"> programme et budget proposé contient les estimations des recettes et des dépenses de l</w:t>
      </w:r>
      <w:r w:rsidR="004D3D70">
        <w:rPr>
          <w:lang w:val="fr-CH"/>
        </w:rPr>
        <w:t>’</w:t>
      </w:r>
      <w:r w:rsidRPr="004D3D70">
        <w:rPr>
          <w:lang w:val="fr-CH"/>
        </w:rPr>
        <w:t>exercice financier auquel il se rappor</w:t>
      </w:r>
      <w:r w:rsidR="002140E0" w:rsidRPr="004D3D70">
        <w:rPr>
          <w:lang w:val="fr-CH"/>
        </w:rPr>
        <w:t>te</w:t>
      </w:r>
      <w:r w:rsidR="002140E0">
        <w:rPr>
          <w:lang w:val="fr-CH"/>
        </w:rPr>
        <w:t xml:space="preserve">.  </w:t>
      </w:r>
      <w:r w:rsidR="002140E0" w:rsidRPr="004D3D70">
        <w:rPr>
          <w:lang w:val="fr-CH"/>
        </w:rPr>
        <w:t>Il</w:t>
      </w:r>
      <w:r w:rsidRPr="004D3D70">
        <w:rPr>
          <w:lang w:val="fr-CH"/>
        </w:rPr>
        <w:t xml:space="preserve"> est soumis par le secrétaire général au Comité consultatif pour discussion, observations et recommandations, ainsi que pour d</w:t>
      </w:r>
      <w:r w:rsidR="004D3D70">
        <w:rPr>
          <w:lang w:val="fr-CH"/>
        </w:rPr>
        <w:t>’</w:t>
      </w:r>
      <w:r w:rsidRPr="004D3D70">
        <w:rPr>
          <w:lang w:val="fr-CH"/>
        </w:rPr>
        <w:t>éventuelles modificatio</w:t>
      </w:r>
      <w:r w:rsidR="002140E0" w:rsidRPr="004D3D70">
        <w:rPr>
          <w:lang w:val="fr-CH"/>
        </w:rPr>
        <w:t>ns</w:t>
      </w:r>
      <w:r w:rsidR="002140E0">
        <w:rPr>
          <w:lang w:val="fr-CH"/>
        </w:rPr>
        <w:t xml:space="preserve">.  </w:t>
      </w:r>
      <w:r w:rsidR="002140E0" w:rsidRPr="004D3D70">
        <w:rPr>
          <w:lang w:val="fr-CH"/>
        </w:rPr>
        <w:t>Le</w:t>
      </w:r>
      <w:r w:rsidRPr="004D3D70">
        <w:rPr>
          <w:lang w:val="fr-CH"/>
        </w:rPr>
        <w:t xml:space="preserve"> Conseil adopte le programme et budget après examen du programme et budget proposé et des recommandations du Comité consultatif.</w:t>
      </w:r>
    </w:p>
    <w:p w:rsidR="00905890" w:rsidRPr="004D3D70" w:rsidRDefault="00905890" w:rsidP="00A824AF">
      <w:pPr>
        <w:rPr>
          <w:lang w:val="fr-CH"/>
        </w:rPr>
      </w:pPr>
    </w:p>
    <w:p w:rsidR="00905890" w:rsidRPr="004D3D70" w:rsidRDefault="00A824AF" w:rsidP="00A824AF">
      <w:pPr>
        <w:rPr>
          <w:b/>
          <w:bCs/>
          <w:caps/>
          <w:lang w:val="fr-CH"/>
        </w:rPr>
      </w:pPr>
      <w:r w:rsidRPr="004D3D70">
        <w:rPr>
          <w:b/>
          <w:bCs/>
          <w:caps/>
          <w:lang w:val="fr-CH"/>
        </w:rPr>
        <w:br w:type="page"/>
      </w:r>
    </w:p>
    <w:p w:rsidR="00905890" w:rsidRPr="004D3D70" w:rsidRDefault="00293ABC" w:rsidP="00293ABC">
      <w:pPr>
        <w:pStyle w:val="Heading2Notes"/>
        <w:rPr>
          <w:lang w:val="fr-CH"/>
        </w:rPr>
      </w:pPr>
      <w:bookmarkStart w:id="17" w:name="_Toc523157891"/>
      <w:r w:rsidRPr="004D3D70">
        <w:rPr>
          <w:lang w:val="fr-CH"/>
        </w:rPr>
        <w:lastRenderedPageBreak/>
        <w:t>Note</w:t>
      </w:r>
      <w:r>
        <w:rPr>
          <w:lang w:val="fr-CH"/>
        </w:rPr>
        <w:t> </w:t>
      </w:r>
      <w:r w:rsidR="001842BE" w:rsidRPr="004D3D70">
        <w:rPr>
          <w:lang w:val="fr-CH"/>
        </w:rPr>
        <w:t>2</w:t>
      </w:r>
      <w:r w:rsidR="004D3D70">
        <w:rPr>
          <w:lang w:val="fr-CH"/>
        </w:rPr>
        <w:t> :</w:t>
      </w:r>
      <w:r w:rsidR="001842BE" w:rsidRPr="004D3D70">
        <w:rPr>
          <w:lang w:val="fr-CH"/>
        </w:rPr>
        <w:t xml:space="preserve"> </w:t>
      </w:r>
      <w:r w:rsidR="00AC2193">
        <w:rPr>
          <w:lang w:val="fr-CH"/>
        </w:rPr>
        <w:tab/>
      </w:r>
      <w:r w:rsidRPr="004D3D70">
        <w:rPr>
          <w:lang w:val="fr-CH"/>
        </w:rPr>
        <w:t>Principales méthodes comptables</w:t>
      </w:r>
      <w:bookmarkEnd w:id="17"/>
    </w:p>
    <w:p w:rsidR="00905890" w:rsidRPr="004D3D70" w:rsidRDefault="00905890" w:rsidP="00A824AF">
      <w:pPr>
        <w:rPr>
          <w:b/>
          <w:lang w:val="fr-CH"/>
        </w:rPr>
      </w:pPr>
    </w:p>
    <w:p w:rsidR="00905890" w:rsidRPr="004D3D70" w:rsidRDefault="001842BE" w:rsidP="001842BE">
      <w:pPr>
        <w:rPr>
          <w:b/>
          <w:lang w:val="fr-CH"/>
        </w:rPr>
      </w:pPr>
      <w:r w:rsidRPr="004D3D70">
        <w:rPr>
          <w:b/>
          <w:lang w:val="fr-CH"/>
        </w:rPr>
        <w:t>Convention utilisée pour la préparation</w:t>
      </w:r>
    </w:p>
    <w:p w:rsidR="00905890" w:rsidRPr="004D3D70" w:rsidRDefault="00905890" w:rsidP="00A824AF">
      <w:pPr>
        <w:rPr>
          <w:b/>
          <w:lang w:val="fr-CH"/>
        </w:rPr>
      </w:pPr>
    </w:p>
    <w:p w:rsidR="004D3D70" w:rsidRDefault="001842BE" w:rsidP="001842BE">
      <w:pPr>
        <w:pStyle w:val="Style3"/>
        <w:spacing w:after="0"/>
        <w:rPr>
          <w:rFonts w:cs="Arial"/>
          <w:sz w:val="20"/>
          <w:lang w:val="fr-CH"/>
        </w:rPr>
      </w:pPr>
      <w:r w:rsidRPr="004D3D70">
        <w:rPr>
          <w:rFonts w:cs="Arial"/>
          <w:sz w:val="20"/>
          <w:lang w:val="fr-CH"/>
        </w:rPr>
        <w:t>Ces états financiers ont été établis conformément aux Normes comptables internationales du secteur public (normes</w:t>
      </w:r>
      <w:r w:rsidR="00AC2A6B">
        <w:rPr>
          <w:rFonts w:cs="Arial"/>
          <w:sz w:val="20"/>
          <w:lang w:val="fr-CH"/>
        </w:rPr>
        <w:t> </w:t>
      </w:r>
      <w:r w:rsidRPr="004D3D70">
        <w:rPr>
          <w:rFonts w:cs="Arial"/>
          <w:sz w:val="20"/>
          <w:lang w:val="fr-CH"/>
        </w:rPr>
        <w:t>IPSAS).</w:t>
      </w:r>
      <w:r w:rsidR="00A824AF" w:rsidRPr="004D3D70">
        <w:rPr>
          <w:rFonts w:cs="Arial"/>
          <w:sz w:val="20"/>
          <w:lang w:val="fr-CH"/>
        </w:rPr>
        <w:t xml:space="preserve"> </w:t>
      </w:r>
      <w:r w:rsidR="00277E5F" w:rsidRPr="004D3D70">
        <w:rPr>
          <w:rFonts w:cs="Arial"/>
          <w:sz w:val="20"/>
          <w:lang w:val="fr-CH"/>
        </w:rPr>
        <w:t xml:space="preserve"> Les états financiers sont </w:t>
      </w:r>
      <w:r w:rsidR="00954987" w:rsidRPr="004D3D70">
        <w:rPr>
          <w:rFonts w:cs="Arial"/>
          <w:sz w:val="20"/>
          <w:lang w:val="fr-CH"/>
        </w:rPr>
        <w:t>établis</w:t>
      </w:r>
      <w:r w:rsidR="00277E5F" w:rsidRPr="004D3D70">
        <w:rPr>
          <w:rFonts w:cs="Arial"/>
          <w:sz w:val="20"/>
          <w:lang w:val="fr-CH"/>
        </w:rPr>
        <w:t xml:space="preserve"> en francs suisses, qui sont la devise fonctionnelle de référence de l</w:t>
      </w:r>
      <w:r w:rsidR="004D3D70">
        <w:rPr>
          <w:rFonts w:cs="Arial"/>
          <w:sz w:val="20"/>
          <w:lang w:val="fr-CH"/>
        </w:rPr>
        <w:t>’</w:t>
      </w:r>
      <w:r w:rsidR="00277E5F" w:rsidRPr="004D3D70">
        <w:rPr>
          <w:rFonts w:cs="Arial"/>
          <w:sz w:val="20"/>
          <w:lang w:val="fr-CH"/>
        </w:rPr>
        <w:t>UPOV</w:t>
      </w:r>
      <w:r w:rsidR="00A824AF" w:rsidRPr="004D3D70">
        <w:rPr>
          <w:rFonts w:cs="Arial"/>
          <w:sz w:val="20"/>
          <w:lang w:val="fr-CH"/>
        </w:rPr>
        <w:t xml:space="preserve">. </w:t>
      </w:r>
      <w:r w:rsidR="00277E5F" w:rsidRPr="004D3D70">
        <w:rPr>
          <w:rFonts w:cs="Arial"/>
          <w:sz w:val="20"/>
          <w:lang w:val="fr-CH"/>
        </w:rPr>
        <w:t xml:space="preserve"> Les politiques comptables ont été appliquées de façon permanente à tous les exercices </w:t>
      </w:r>
      <w:r w:rsidR="00954987" w:rsidRPr="004D3D70">
        <w:rPr>
          <w:rFonts w:cs="Arial"/>
          <w:sz w:val="20"/>
          <w:lang w:val="fr-CH"/>
        </w:rPr>
        <w:t>établi</w:t>
      </w:r>
      <w:r w:rsidR="00277E5F" w:rsidRPr="004D3D70">
        <w:rPr>
          <w:rFonts w:cs="Arial"/>
          <w:sz w:val="20"/>
          <w:lang w:val="fr-CH"/>
        </w:rPr>
        <w:t>s</w:t>
      </w:r>
      <w:r w:rsidR="00A824AF" w:rsidRPr="004D3D70">
        <w:rPr>
          <w:rFonts w:cs="Arial"/>
          <w:sz w:val="20"/>
          <w:lang w:val="fr-CH"/>
        </w:rPr>
        <w:t>.</w:t>
      </w:r>
    </w:p>
    <w:p w:rsidR="00905890" w:rsidRPr="004D3D70" w:rsidRDefault="00905890" w:rsidP="00A824AF">
      <w:pPr>
        <w:pStyle w:val="Style3"/>
        <w:spacing w:after="0"/>
        <w:rPr>
          <w:rFonts w:cs="Arial"/>
          <w:sz w:val="20"/>
          <w:lang w:val="fr-CH"/>
        </w:rPr>
      </w:pPr>
    </w:p>
    <w:p w:rsidR="004D3D70" w:rsidRDefault="001842BE" w:rsidP="001842BE">
      <w:pPr>
        <w:pStyle w:val="Style3"/>
        <w:spacing w:after="0"/>
        <w:rPr>
          <w:rFonts w:cs="Arial"/>
          <w:sz w:val="20"/>
          <w:lang w:val="fr-CH"/>
        </w:rPr>
      </w:pPr>
      <w:r w:rsidRPr="004D3D70">
        <w:rPr>
          <w:rFonts w:cs="Arial"/>
          <w:sz w:val="20"/>
          <w:lang w:val="fr-CH"/>
        </w:rPr>
        <w:t>Les états financiers ont été établis sur la base du coût historique sauf indication contrai</w:t>
      </w:r>
      <w:r w:rsidR="002140E0" w:rsidRPr="004D3D70">
        <w:rPr>
          <w:rFonts w:cs="Arial"/>
          <w:sz w:val="20"/>
          <w:lang w:val="fr-CH"/>
        </w:rPr>
        <w:t>re</w:t>
      </w:r>
      <w:r w:rsidR="002140E0">
        <w:rPr>
          <w:rFonts w:cs="Arial"/>
          <w:sz w:val="20"/>
          <w:lang w:val="fr-CH"/>
        </w:rPr>
        <w:t xml:space="preserve">.  </w:t>
      </w:r>
      <w:r w:rsidR="002140E0" w:rsidRPr="004D3D70">
        <w:rPr>
          <w:rFonts w:cs="Arial"/>
          <w:sz w:val="20"/>
          <w:lang w:val="fr-CH"/>
        </w:rPr>
        <w:t>L</w:t>
      </w:r>
      <w:r w:rsidR="002140E0">
        <w:rPr>
          <w:rFonts w:cs="Arial"/>
          <w:sz w:val="20"/>
          <w:lang w:val="fr-CH"/>
        </w:rPr>
        <w:t>’</w:t>
      </w:r>
      <w:r w:rsidR="002140E0" w:rsidRPr="004D3D70">
        <w:rPr>
          <w:rFonts w:cs="Arial"/>
          <w:sz w:val="20"/>
          <w:lang w:val="fr-CH"/>
        </w:rPr>
        <w:t>é</w:t>
      </w:r>
      <w:r w:rsidRPr="004D3D70">
        <w:rPr>
          <w:rFonts w:cs="Arial"/>
          <w:sz w:val="20"/>
          <w:lang w:val="fr-CH"/>
        </w:rPr>
        <w:t>tat des flux de trésorerie est établi à l</w:t>
      </w:r>
      <w:r w:rsidR="004D3D70">
        <w:rPr>
          <w:rFonts w:cs="Arial"/>
          <w:sz w:val="20"/>
          <w:lang w:val="fr-CH"/>
        </w:rPr>
        <w:t>’</w:t>
      </w:r>
      <w:r w:rsidRPr="004D3D70">
        <w:rPr>
          <w:rFonts w:cs="Arial"/>
          <w:sz w:val="20"/>
          <w:lang w:val="fr-CH"/>
        </w:rPr>
        <w:t>aide de la méthode indirec</w:t>
      </w:r>
      <w:r w:rsidR="002140E0" w:rsidRPr="004D3D70">
        <w:rPr>
          <w:rFonts w:cs="Arial"/>
          <w:sz w:val="20"/>
          <w:lang w:val="fr-CH"/>
        </w:rPr>
        <w:t>te</w:t>
      </w:r>
      <w:r w:rsidR="002140E0">
        <w:rPr>
          <w:rFonts w:cs="Arial"/>
          <w:sz w:val="20"/>
          <w:lang w:val="fr-CH"/>
        </w:rPr>
        <w:t xml:space="preserve">.  </w:t>
      </w:r>
      <w:r w:rsidR="002140E0" w:rsidRPr="004D3D70">
        <w:rPr>
          <w:rFonts w:cs="Arial"/>
          <w:sz w:val="20"/>
          <w:lang w:val="fr-CH"/>
        </w:rPr>
        <w:t>Le</w:t>
      </w:r>
      <w:r w:rsidRPr="004D3D70">
        <w:rPr>
          <w:rFonts w:cs="Arial"/>
          <w:sz w:val="20"/>
          <w:lang w:val="fr-CH"/>
        </w:rPr>
        <w:t>s états financiers ont été élaborés selon une méthode progressive modifiée et selon le principe de la continuité d</w:t>
      </w:r>
      <w:r w:rsidR="004D3D70">
        <w:rPr>
          <w:rFonts w:cs="Arial"/>
          <w:sz w:val="20"/>
          <w:lang w:val="fr-CH"/>
        </w:rPr>
        <w:t>’</w:t>
      </w:r>
      <w:r w:rsidRPr="004D3D70">
        <w:rPr>
          <w:rFonts w:cs="Arial"/>
          <w:sz w:val="20"/>
          <w:lang w:val="fr-CH"/>
        </w:rPr>
        <w:t>activité.</w:t>
      </w:r>
    </w:p>
    <w:p w:rsidR="00905890" w:rsidRPr="004D3D70" w:rsidRDefault="00277E5F" w:rsidP="005C79AA">
      <w:pPr>
        <w:spacing w:before="200" w:line="276" w:lineRule="auto"/>
        <w:rPr>
          <w:rFonts w:cs="Arial"/>
          <w:lang w:val="fr-CH" w:eastAsia="en-GB"/>
        </w:rPr>
      </w:pPr>
      <w:r w:rsidRPr="004D3D70">
        <w:rPr>
          <w:rFonts w:cs="Arial"/>
          <w:lang w:val="fr-CH" w:eastAsia="en-GB"/>
        </w:rPr>
        <w:t>La norme</w:t>
      </w:r>
      <w:r w:rsidR="00AC2A6B">
        <w:rPr>
          <w:rFonts w:cs="Arial"/>
          <w:lang w:val="fr-CH" w:eastAsia="en-GB"/>
        </w:rPr>
        <w:t> </w:t>
      </w:r>
      <w:r w:rsidRPr="004D3D70">
        <w:rPr>
          <w:rFonts w:cs="Arial"/>
          <w:lang w:val="fr-CH" w:eastAsia="en-GB"/>
        </w:rPr>
        <w:t>IPSAS</w:t>
      </w:r>
      <w:r w:rsidR="00BE23DA">
        <w:rPr>
          <w:rFonts w:cs="Arial"/>
          <w:lang w:val="fr-CH" w:eastAsia="en-GB"/>
        </w:rPr>
        <w:t> </w:t>
      </w:r>
      <w:r w:rsidRPr="004D3D70">
        <w:rPr>
          <w:rFonts w:cs="Arial"/>
          <w:lang w:val="fr-CH" w:eastAsia="en-GB"/>
        </w:rPr>
        <w:t xml:space="preserve">39 portant sur les prestations au personnel </w:t>
      </w:r>
      <w:r w:rsidR="005C79AA" w:rsidRPr="004D3D70">
        <w:rPr>
          <w:rFonts w:cs="Arial"/>
          <w:lang w:val="fr-CH" w:eastAsia="en-GB"/>
        </w:rPr>
        <w:t>a</w:t>
      </w:r>
      <w:r w:rsidRPr="004D3D70">
        <w:rPr>
          <w:rFonts w:cs="Arial"/>
          <w:lang w:val="fr-CH" w:eastAsia="en-GB"/>
        </w:rPr>
        <w:t xml:space="preserve"> été</w:t>
      </w:r>
      <w:r w:rsidR="005C79AA" w:rsidRPr="004D3D70">
        <w:rPr>
          <w:rFonts w:cs="Arial"/>
          <w:lang w:val="fr-CH" w:eastAsia="en-GB"/>
        </w:rPr>
        <w:t xml:space="preserve"> appli</w:t>
      </w:r>
      <w:r w:rsidRPr="004D3D70">
        <w:rPr>
          <w:rFonts w:cs="Arial"/>
          <w:lang w:val="fr-CH" w:eastAsia="en-GB"/>
        </w:rPr>
        <w:t>qué</w:t>
      </w:r>
      <w:r w:rsidR="005C79AA" w:rsidRPr="004D3D70">
        <w:rPr>
          <w:rFonts w:cs="Arial"/>
          <w:lang w:val="fr-CH" w:eastAsia="en-GB"/>
        </w:rPr>
        <w:t xml:space="preserve">e </w:t>
      </w:r>
      <w:r w:rsidR="004D3D70" w:rsidRPr="004D3D70">
        <w:rPr>
          <w:rFonts w:cs="Arial"/>
          <w:lang w:val="fr-CH" w:eastAsia="en-GB"/>
        </w:rPr>
        <w:t>en</w:t>
      </w:r>
      <w:r w:rsidR="004D3D70">
        <w:rPr>
          <w:rFonts w:cs="Arial"/>
          <w:lang w:val="fr-CH" w:eastAsia="en-GB"/>
        </w:rPr>
        <w:t> </w:t>
      </w:r>
      <w:r w:rsidR="004D3D70" w:rsidRPr="004D3D70">
        <w:rPr>
          <w:rFonts w:cs="Arial"/>
          <w:lang w:val="fr-CH" w:eastAsia="en-GB"/>
        </w:rPr>
        <w:t>2017</w:t>
      </w:r>
      <w:r w:rsidR="005C79AA" w:rsidRPr="004D3D70">
        <w:rPr>
          <w:rFonts w:cs="Arial"/>
          <w:lang w:val="fr-CH" w:eastAsia="en-GB"/>
        </w:rPr>
        <w:t xml:space="preserve">, </w:t>
      </w:r>
      <w:r w:rsidRPr="004D3D70">
        <w:rPr>
          <w:rFonts w:cs="Arial"/>
          <w:lang w:val="fr-CH" w:eastAsia="en-GB"/>
        </w:rPr>
        <w:t>soit avant sa date de mise en œuvre requise</w:t>
      </w:r>
      <w:r w:rsidR="002E49B2" w:rsidRPr="004D3D70">
        <w:rPr>
          <w:rFonts w:cs="Arial"/>
          <w:lang w:val="fr-CH" w:eastAsia="en-GB"/>
        </w:rPr>
        <w:t xml:space="preserve"> du</w:t>
      </w:r>
      <w:r w:rsidR="004D3D70">
        <w:rPr>
          <w:rFonts w:cs="Arial"/>
          <w:lang w:val="fr-CH" w:eastAsia="en-GB"/>
        </w:rPr>
        <w:t xml:space="preserve"> 1</w:t>
      </w:r>
      <w:r w:rsidR="004D3D70" w:rsidRPr="004D3D70">
        <w:rPr>
          <w:rFonts w:cs="Arial"/>
          <w:vertAlign w:val="superscript"/>
          <w:lang w:val="fr-CH" w:eastAsia="en-GB"/>
        </w:rPr>
        <w:t>er</w:t>
      </w:r>
      <w:r w:rsidR="004D3D70">
        <w:rPr>
          <w:rFonts w:cs="Arial"/>
          <w:lang w:val="fr-CH" w:eastAsia="en-GB"/>
        </w:rPr>
        <w:t> </w:t>
      </w:r>
      <w:r w:rsidR="002E49B2" w:rsidRPr="004D3D70">
        <w:rPr>
          <w:rFonts w:cs="Arial"/>
          <w:lang w:val="fr-CH" w:eastAsia="en-GB"/>
        </w:rPr>
        <w:t>janvier </w:t>
      </w:r>
      <w:r w:rsidR="005C79AA" w:rsidRPr="004D3D70">
        <w:rPr>
          <w:rFonts w:cs="Arial"/>
          <w:lang w:val="fr-CH" w:eastAsia="en-GB"/>
        </w:rPr>
        <w:t xml:space="preserve">2018. </w:t>
      </w:r>
      <w:r w:rsidR="00DF4418" w:rsidRPr="004D3D70">
        <w:rPr>
          <w:rFonts w:cs="Arial"/>
          <w:lang w:val="fr-CH" w:eastAsia="en-GB"/>
        </w:rPr>
        <w:t xml:space="preserve"> L</w:t>
      </w:r>
      <w:r w:rsidR="004D3D70">
        <w:rPr>
          <w:rFonts w:cs="Arial"/>
          <w:lang w:val="fr-CH" w:eastAsia="en-GB"/>
        </w:rPr>
        <w:t>’</w:t>
      </w:r>
      <w:r w:rsidR="00DF4418" w:rsidRPr="004D3D70">
        <w:rPr>
          <w:rFonts w:cs="Arial"/>
          <w:lang w:val="fr-CH" w:eastAsia="en-GB"/>
        </w:rPr>
        <w:t>effet</w:t>
      </w:r>
      <w:r w:rsidRPr="004D3D70">
        <w:rPr>
          <w:rFonts w:cs="Arial"/>
          <w:lang w:val="fr-CH" w:eastAsia="en-GB"/>
        </w:rPr>
        <w:t xml:space="preserve"> de la modification qui en a découlé a été comptabilisé de manière rétrospective, ce qui a exigé le retraitement des chiffres comparatifs </w:t>
      </w:r>
      <w:r w:rsidR="004D3D70" w:rsidRPr="004D3D70">
        <w:rPr>
          <w:rFonts w:cs="Arial"/>
          <w:lang w:val="fr-CH" w:eastAsia="en-GB"/>
        </w:rPr>
        <w:t>pour</w:t>
      </w:r>
      <w:r w:rsidR="004D3D70">
        <w:rPr>
          <w:rFonts w:cs="Arial"/>
          <w:lang w:val="fr-CH" w:eastAsia="en-GB"/>
        </w:rPr>
        <w:t> </w:t>
      </w:r>
      <w:r w:rsidR="004D3D70" w:rsidRPr="004D3D70">
        <w:rPr>
          <w:rFonts w:cs="Arial"/>
          <w:lang w:val="fr-CH" w:eastAsia="en-GB"/>
        </w:rPr>
        <w:t>2016</w:t>
      </w:r>
      <w:r w:rsidR="005C79AA" w:rsidRPr="004D3D70">
        <w:rPr>
          <w:rFonts w:cs="Arial"/>
          <w:lang w:val="fr-CH" w:eastAsia="en-GB"/>
        </w:rPr>
        <w:t>.</w:t>
      </w:r>
    </w:p>
    <w:p w:rsidR="00905890" w:rsidRPr="004D3D70" w:rsidRDefault="00905890" w:rsidP="00A824AF">
      <w:pPr>
        <w:rPr>
          <w:b/>
          <w:lang w:val="fr-CH"/>
        </w:rPr>
      </w:pPr>
    </w:p>
    <w:p w:rsidR="00905890" w:rsidRPr="004D3D70" w:rsidRDefault="001842BE" w:rsidP="001842BE">
      <w:pPr>
        <w:rPr>
          <w:b/>
          <w:lang w:val="fr-CH"/>
        </w:rPr>
      </w:pPr>
      <w:r w:rsidRPr="004D3D70">
        <w:rPr>
          <w:b/>
          <w:lang w:val="fr-CH"/>
        </w:rPr>
        <w:t>Monnaie étrangère</w:t>
      </w:r>
    </w:p>
    <w:p w:rsidR="00905890" w:rsidRPr="004D3D70" w:rsidRDefault="00905890" w:rsidP="00A824AF">
      <w:pPr>
        <w:rPr>
          <w:b/>
          <w:lang w:val="fr-CH"/>
        </w:rPr>
      </w:pPr>
    </w:p>
    <w:p w:rsidR="00905890" w:rsidRPr="004D3D70" w:rsidRDefault="001842BE" w:rsidP="001842BE">
      <w:pPr>
        <w:pStyle w:val="Style3"/>
        <w:spacing w:after="0"/>
        <w:rPr>
          <w:rFonts w:cs="Arial"/>
          <w:sz w:val="20"/>
          <w:lang w:val="fr-CH"/>
        </w:rPr>
      </w:pPr>
      <w:r w:rsidRPr="004D3D70">
        <w:rPr>
          <w:rFonts w:cs="Arial"/>
          <w:sz w:val="20"/>
          <w:lang w:val="fr-CH"/>
        </w:rPr>
        <w:t>La monnaie fonctionnelle de l</w:t>
      </w:r>
      <w:r w:rsidR="004D3D70">
        <w:rPr>
          <w:rFonts w:cs="Arial"/>
          <w:sz w:val="20"/>
          <w:lang w:val="fr-CH"/>
        </w:rPr>
        <w:t>’</w:t>
      </w:r>
      <w:r w:rsidRPr="004D3D70">
        <w:rPr>
          <w:rFonts w:cs="Arial"/>
          <w:sz w:val="20"/>
          <w:lang w:val="fr-CH"/>
        </w:rPr>
        <w:t>UPOV est le franc suisse et les états financiers sont présentés dans cette monnaie.  Toutes les opérations faites dans d</w:t>
      </w:r>
      <w:r w:rsidR="004D3D70">
        <w:rPr>
          <w:rFonts w:cs="Arial"/>
          <w:sz w:val="20"/>
          <w:lang w:val="fr-CH"/>
        </w:rPr>
        <w:t>’</w:t>
      </w:r>
      <w:r w:rsidRPr="004D3D70">
        <w:rPr>
          <w:rFonts w:cs="Arial"/>
          <w:sz w:val="20"/>
          <w:lang w:val="fr-CH"/>
        </w:rPr>
        <w:t>autres monnaies sont converties en francs suisses selon le taux de change opérationnel de l</w:t>
      </w:r>
      <w:r w:rsidR="004D3D70">
        <w:rPr>
          <w:rFonts w:cs="Arial"/>
          <w:sz w:val="20"/>
          <w:lang w:val="fr-CH"/>
        </w:rPr>
        <w:t>’</w:t>
      </w:r>
      <w:r w:rsidRPr="004D3D70">
        <w:rPr>
          <w:rFonts w:cs="Arial"/>
          <w:sz w:val="20"/>
          <w:lang w:val="fr-CH"/>
        </w:rPr>
        <w:t xml:space="preserve">Organisation des </w:t>
      </w:r>
      <w:r w:rsidR="004D3D70">
        <w:rPr>
          <w:rFonts w:cs="Arial"/>
          <w:sz w:val="20"/>
          <w:lang w:val="fr-CH"/>
        </w:rPr>
        <w:t>Nations Unies</w:t>
      </w:r>
      <w:r w:rsidRPr="004D3D70">
        <w:rPr>
          <w:rFonts w:cs="Arial"/>
          <w:sz w:val="20"/>
          <w:lang w:val="fr-CH"/>
        </w:rPr>
        <w:t xml:space="preserve"> en vigueur à la date des opérations.  Les profits comme les pertes, réalisés ou non, qui résultent de la liquidation de ces opérations et de la reconversion, à la date d</w:t>
      </w:r>
      <w:r w:rsidR="004D3D70">
        <w:rPr>
          <w:rFonts w:cs="Arial"/>
          <w:sz w:val="20"/>
          <w:lang w:val="fr-CH"/>
        </w:rPr>
        <w:t>’</w:t>
      </w:r>
      <w:r w:rsidRPr="004D3D70">
        <w:rPr>
          <w:rFonts w:cs="Arial"/>
          <w:sz w:val="20"/>
          <w:lang w:val="fr-CH"/>
        </w:rPr>
        <w:t>établissement des états financiers, des actifs et des passifs libellés dans d</w:t>
      </w:r>
      <w:r w:rsidR="004D3D70">
        <w:rPr>
          <w:rFonts w:cs="Arial"/>
          <w:sz w:val="20"/>
          <w:lang w:val="fr-CH"/>
        </w:rPr>
        <w:t>’</w:t>
      </w:r>
      <w:r w:rsidRPr="004D3D70">
        <w:rPr>
          <w:rFonts w:cs="Arial"/>
          <w:sz w:val="20"/>
          <w:lang w:val="fr-CH"/>
        </w:rPr>
        <w:t>autres monnaies que la monnaie fonctionnelle de l</w:t>
      </w:r>
      <w:r w:rsidR="004D3D70">
        <w:rPr>
          <w:rFonts w:cs="Arial"/>
          <w:sz w:val="20"/>
          <w:lang w:val="fr-CH"/>
        </w:rPr>
        <w:t>’</w:t>
      </w:r>
      <w:r w:rsidRPr="004D3D70">
        <w:rPr>
          <w:rFonts w:cs="Arial"/>
          <w:sz w:val="20"/>
          <w:lang w:val="fr-CH"/>
        </w:rPr>
        <w:t>UPOV, sont comptabilisés dans l</w:t>
      </w:r>
      <w:r w:rsidR="004D3D70">
        <w:rPr>
          <w:rFonts w:cs="Arial"/>
          <w:sz w:val="20"/>
          <w:lang w:val="fr-CH"/>
        </w:rPr>
        <w:t>’</w:t>
      </w:r>
      <w:r w:rsidRPr="004D3D70">
        <w:rPr>
          <w:rFonts w:cs="Arial"/>
          <w:sz w:val="20"/>
          <w:lang w:val="fr-CH"/>
        </w:rPr>
        <w:t>état de la performance financière.</w:t>
      </w:r>
    </w:p>
    <w:p w:rsidR="00905890" w:rsidRPr="004D3D70" w:rsidRDefault="00905890" w:rsidP="00A824AF">
      <w:pPr>
        <w:pStyle w:val="Style3"/>
        <w:spacing w:after="0"/>
        <w:rPr>
          <w:rFonts w:cs="Arial"/>
          <w:sz w:val="20"/>
          <w:lang w:val="fr-CH"/>
        </w:rPr>
      </w:pPr>
    </w:p>
    <w:p w:rsidR="00905890" w:rsidRPr="004D3D70" w:rsidRDefault="001842BE" w:rsidP="001842BE">
      <w:pPr>
        <w:pStyle w:val="Style3"/>
        <w:spacing w:after="0"/>
        <w:rPr>
          <w:rFonts w:cs="Arial"/>
          <w:b/>
          <w:sz w:val="20"/>
          <w:lang w:val="fr-CH"/>
        </w:rPr>
      </w:pPr>
      <w:r w:rsidRPr="004D3D70">
        <w:rPr>
          <w:rFonts w:cs="Arial"/>
          <w:b/>
          <w:sz w:val="20"/>
          <w:lang w:val="fr-CH"/>
        </w:rPr>
        <w:t>Information sectorielle</w:t>
      </w:r>
    </w:p>
    <w:p w:rsidR="00905890" w:rsidRPr="004D3D70" w:rsidRDefault="00905890" w:rsidP="00A824AF">
      <w:pPr>
        <w:rPr>
          <w:b/>
          <w:lang w:val="fr-CH"/>
        </w:rPr>
      </w:pPr>
    </w:p>
    <w:p w:rsidR="00905890" w:rsidRPr="004D3D70" w:rsidRDefault="001842BE" w:rsidP="001842BE">
      <w:pPr>
        <w:rPr>
          <w:rStyle w:val="SubtleEmphasis"/>
          <w:lang w:val="fr-CH"/>
        </w:rPr>
      </w:pPr>
      <w:r w:rsidRPr="004D3D70">
        <w:rPr>
          <w:lang w:val="fr-CH"/>
        </w:rPr>
        <w:t>Un secteur est une activité distincte ou un groupe d</w:t>
      </w:r>
      <w:r w:rsidR="004D3D70">
        <w:rPr>
          <w:lang w:val="fr-CH"/>
        </w:rPr>
        <w:t>’</w:t>
      </w:r>
      <w:r w:rsidRPr="004D3D70">
        <w:rPr>
          <w:lang w:val="fr-CH"/>
        </w:rPr>
        <w:t>activités pour laquelle/lesquelles il est approprié de publier des informations financières séparé</w:t>
      </w:r>
      <w:r w:rsidR="002140E0" w:rsidRPr="004D3D70">
        <w:rPr>
          <w:lang w:val="fr-CH"/>
        </w:rPr>
        <w:t>es</w:t>
      </w:r>
      <w:r w:rsidR="002140E0">
        <w:rPr>
          <w:lang w:val="fr-CH"/>
        </w:rPr>
        <w:t xml:space="preserve">.  </w:t>
      </w:r>
      <w:r w:rsidR="002140E0" w:rsidRPr="004D3D70">
        <w:rPr>
          <w:lang w:val="fr-CH"/>
        </w:rPr>
        <w:t xml:space="preserve">À </w:t>
      </w:r>
      <w:r w:rsidR="009C3F5F" w:rsidRPr="004D3D70">
        <w:rPr>
          <w:lang w:val="fr-CH"/>
        </w:rPr>
        <w:t>l</w:t>
      </w:r>
      <w:r w:rsidR="004D3D70">
        <w:rPr>
          <w:lang w:val="fr-CH"/>
        </w:rPr>
        <w:t>’</w:t>
      </w:r>
      <w:r w:rsidR="002F4974" w:rsidRPr="004D3D70">
        <w:rPr>
          <w:lang w:val="fr-CH"/>
        </w:rPr>
        <w:t>UPOV, l</w:t>
      </w:r>
      <w:r w:rsidR="004D3D70">
        <w:rPr>
          <w:lang w:val="fr-CH"/>
        </w:rPr>
        <w:t>’</w:t>
      </w:r>
      <w:r w:rsidR="002F4974" w:rsidRPr="004D3D70">
        <w:rPr>
          <w:lang w:val="fr-CH"/>
        </w:rPr>
        <w:t>information sectorielle est fondée sur les principales activités et sources de financement de l</w:t>
      </w:r>
      <w:r w:rsidR="004D3D70">
        <w:rPr>
          <w:lang w:val="fr-CH"/>
        </w:rPr>
        <w:t>’</w:t>
      </w:r>
      <w:r w:rsidR="002F4974" w:rsidRPr="004D3D70">
        <w:rPr>
          <w:lang w:val="fr-CH"/>
        </w:rPr>
        <w:t>UPOV</w:t>
      </w:r>
      <w:r w:rsidR="00A824AF" w:rsidRPr="004D3D70">
        <w:rPr>
          <w:lang w:val="fr-CH"/>
        </w:rPr>
        <w:t xml:space="preserve">. </w:t>
      </w:r>
      <w:r w:rsidR="002F4974" w:rsidRPr="004D3D70">
        <w:rPr>
          <w:lang w:val="fr-CH"/>
        </w:rPr>
        <w:t xml:space="preserve"> De ce fait, l</w:t>
      </w:r>
      <w:r w:rsidR="004D3D70">
        <w:rPr>
          <w:lang w:val="fr-CH"/>
        </w:rPr>
        <w:t>’</w:t>
      </w:r>
      <w:r w:rsidR="002F4974" w:rsidRPr="004D3D70">
        <w:rPr>
          <w:lang w:val="fr-CH"/>
        </w:rPr>
        <w:t>UPOV publie des informations financières distinctes pour trois secteurs</w:t>
      </w:r>
      <w:r w:rsidR="004D3D70">
        <w:rPr>
          <w:lang w:val="fr-CH"/>
        </w:rPr>
        <w:t> :</w:t>
      </w:r>
      <w:r w:rsidR="00A824AF" w:rsidRPr="004D3D70">
        <w:rPr>
          <w:lang w:val="fr-CH"/>
        </w:rPr>
        <w:t xml:space="preserve"> </w:t>
      </w:r>
      <w:r w:rsidR="002F4974" w:rsidRPr="004D3D70">
        <w:rPr>
          <w:lang w:val="fr-CH"/>
        </w:rPr>
        <w:t>1) le programme et budget ordinaire;  2) les fonds fiduciaires;  et 3)</w:t>
      </w:r>
      <w:r w:rsidR="006753D4">
        <w:rPr>
          <w:lang w:val="fr-CH"/>
        </w:rPr>
        <w:t> </w:t>
      </w:r>
      <w:r w:rsidR="002F4974" w:rsidRPr="004D3D70">
        <w:rPr>
          <w:lang w:val="fr-CH"/>
        </w:rPr>
        <w:t>le Fonds spécial pour des projets</w:t>
      </w:r>
      <w:r w:rsidR="00A824AF" w:rsidRPr="004D3D70">
        <w:rPr>
          <w:lang w:val="fr-CH"/>
        </w:rPr>
        <w:t>.</w:t>
      </w:r>
    </w:p>
    <w:p w:rsidR="00905890" w:rsidRPr="004D3D70" w:rsidRDefault="00905890" w:rsidP="00A824AF">
      <w:pPr>
        <w:rPr>
          <w:b/>
          <w:lang w:val="fr-CH"/>
        </w:rPr>
      </w:pPr>
    </w:p>
    <w:p w:rsidR="00905890" w:rsidRPr="004D3D70" w:rsidRDefault="001842BE" w:rsidP="001842BE">
      <w:pPr>
        <w:rPr>
          <w:b/>
          <w:lang w:val="fr-CH"/>
        </w:rPr>
      </w:pPr>
      <w:r w:rsidRPr="004D3D70">
        <w:rPr>
          <w:b/>
          <w:lang w:val="fr-CH"/>
        </w:rPr>
        <w:t>Trésorerie et équivalents de trésorerie</w:t>
      </w:r>
    </w:p>
    <w:p w:rsidR="00905890" w:rsidRPr="004D3D70" w:rsidRDefault="00905890" w:rsidP="00A824AF">
      <w:pPr>
        <w:rPr>
          <w:lang w:val="fr-CH"/>
        </w:rPr>
      </w:pPr>
    </w:p>
    <w:p w:rsidR="00905890" w:rsidRPr="004D3D70" w:rsidRDefault="001842BE" w:rsidP="001842BE">
      <w:pPr>
        <w:rPr>
          <w:lang w:val="fr-CH"/>
        </w:rPr>
      </w:pPr>
      <w:r w:rsidRPr="004D3D70">
        <w:rPr>
          <w:lang w:val="fr-CH"/>
        </w:rPr>
        <w:t>La trésorerie et les équivalents de trésorerie incluent les fonds en caisse, les dépôts sur des comptes bancaires courants, les dépôts détenus jusqu</w:t>
      </w:r>
      <w:r w:rsidR="004D3D70">
        <w:rPr>
          <w:lang w:val="fr-CH"/>
        </w:rPr>
        <w:t>’</w:t>
      </w:r>
      <w:r w:rsidRPr="004D3D70">
        <w:rPr>
          <w:lang w:val="fr-CH"/>
        </w:rPr>
        <w:t>à 90</w:t>
      </w:r>
      <w:r w:rsidR="00BE23DA">
        <w:rPr>
          <w:lang w:val="fr-CH"/>
        </w:rPr>
        <w:t> </w:t>
      </w:r>
      <w:r w:rsidRPr="004D3D70">
        <w:rPr>
          <w:lang w:val="fr-CH"/>
        </w:rPr>
        <w:t>jours et d</w:t>
      </w:r>
      <w:r w:rsidR="004D3D70">
        <w:rPr>
          <w:lang w:val="fr-CH"/>
        </w:rPr>
        <w:t>’</w:t>
      </w:r>
      <w:r w:rsidRPr="004D3D70">
        <w:rPr>
          <w:lang w:val="fr-CH"/>
        </w:rPr>
        <w:t>autres placements à court terme très liquides qui sont facilement convertibles en espèces et soumis à un risque négligeable de changement de valeur.</w:t>
      </w:r>
    </w:p>
    <w:p w:rsidR="00905890" w:rsidRPr="004D3D70" w:rsidRDefault="00905890" w:rsidP="00A824AF">
      <w:pPr>
        <w:rPr>
          <w:lang w:val="fr-CH"/>
        </w:rPr>
      </w:pPr>
    </w:p>
    <w:p w:rsidR="00905890" w:rsidRPr="004D3D70" w:rsidRDefault="001842BE" w:rsidP="001842BE">
      <w:pPr>
        <w:rPr>
          <w:b/>
          <w:lang w:val="fr-CH"/>
        </w:rPr>
      </w:pPr>
      <w:r w:rsidRPr="004D3D70">
        <w:rPr>
          <w:b/>
          <w:lang w:val="fr-CH"/>
        </w:rPr>
        <w:t>Créances</w:t>
      </w:r>
    </w:p>
    <w:p w:rsidR="00905890" w:rsidRPr="004D3D70" w:rsidRDefault="00905890" w:rsidP="00A824AF">
      <w:pPr>
        <w:rPr>
          <w:b/>
          <w:lang w:val="fr-CH"/>
        </w:rPr>
      </w:pPr>
    </w:p>
    <w:p w:rsidR="00905890" w:rsidRPr="004D3D70" w:rsidRDefault="001842BE" w:rsidP="001842BE">
      <w:pPr>
        <w:pStyle w:val="Style3"/>
        <w:spacing w:after="0"/>
        <w:rPr>
          <w:sz w:val="20"/>
          <w:lang w:val="fr-CH"/>
        </w:rPr>
      </w:pPr>
      <w:r w:rsidRPr="004D3D70">
        <w:rPr>
          <w:sz w:val="20"/>
          <w:lang w:val="fr-CH"/>
        </w:rPr>
        <w:t>Les contributions sont comptabilisées dans les produits au début de l</w:t>
      </w:r>
      <w:r w:rsidR="004D3D70">
        <w:rPr>
          <w:sz w:val="20"/>
          <w:lang w:val="fr-CH"/>
        </w:rPr>
        <w:t>’</w:t>
      </w:r>
      <w:r w:rsidRPr="004D3D70">
        <w:rPr>
          <w:sz w:val="20"/>
          <w:lang w:val="fr-CH"/>
        </w:rPr>
        <w:t>année financiè</w:t>
      </w:r>
      <w:r w:rsidR="002140E0" w:rsidRPr="004D3D70">
        <w:rPr>
          <w:sz w:val="20"/>
          <w:lang w:val="fr-CH"/>
        </w:rPr>
        <w:t>re</w:t>
      </w:r>
      <w:r w:rsidR="002140E0">
        <w:rPr>
          <w:sz w:val="20"/>
          <w:lang w:val="fr-CH"/>
        </w:rPr>
        <w:t xml:space="preserve">.  </w:t>
      </w:r>
      <w:r w:rsidR="002140E0" w:rsidRPr="004D3D70">
        <w:rPr>
          <w:sz w:val="20"/>
          <w:lang w:val="fr-CH"/>
        </w:rPr>
        <w:t>Un</w:t>
      </w:r>
      <w:r w:rsidRPr="004D3D70">
        <w:rPr>
          <w:sz w:val="20"/>
          <w:lang w:val="fr-CH"/>
        </w:rPr>
        <w:t>e indemnité pour pertes est comptabilisée, égale aux arriérés de contributions pour les années antérieures au dernier exercice biennal.</w:t>
      </w:r>
    </w:p>
    <w:p w:rsidR="00905890" w:rsidRPr="004D3D70" w:rsidRDefault="00905890" w:rsidP="00A824AF">
      <w:pPr>
        <w:rPr>
          <w:lang w:val="fr-CH"/>
        </w:rPr>
      </w:pPr>
    </w:p>
    <w:p w:rsidR="00905890" w:rsidRPr="004D3D70" w:rsidRDefault="001842BE" w:rsidP="001842BE">
      <w:pPr>
        <w:rPr>
          <w:b/>
          <w:lang w:val="fr-CH"/>
        </w:rPr>
      </w:pPr>
      <w:r w:rsidRPr="004D3D70">
        <w:rPr>
          <w:b/>
          <w:lang w:val="fr-CH"/>
        </w:rPr>
        <w:t>Équipement</w:t>
      </w:r>
    </w:p>
    <w:p w:rsidR="00905890" w:rsidRPr="004D3D70" w:rsidRDefault="00905890" w:rsidP="00A824AF">
      <w:pPr>
        <w:rPr>
          <w:b/>
          <w:lang w:val="fr-CH"/>
        </w:rPr>
      </w:pPr>
    </w:p>
    <w:p w:rsidR="00905890" w:rsidRPr="004D3D70" w:rsidRDefault="001842BE" w:rsidP="001842BE">
      <w:pPr>
        <w:pStyle w:val="Style3"/>
        <w:spacing w:after="0"/>
        <w:rPr>
          <w:rFonts w:cs="Arial"/>
          <w:sz w:val="20"/>
          <w:lang w:val="fr-CH"/>
        </w:rPr>
      </w:pPr>
      <w:r w:rsidRPr="004D3D70">
        <w:rPr>
          <w:sz w:val="20"/>
          <w:lang w:val="fr-CH"/>
        </w:rPr>
        <w:t>L</w:t>
      </w:r>
      <w:r w:rsidR="004D3D70">
        <w:rPr>
          <w:sz w:val="20"/>
          <w:lang w:val="fr-CH"/>
        </w:rPr>
        <w:t>’</w:t>
      </w:r>
      <w:r w:rsidRPr="004D3D70">
        <w:rPr>
          <w:sz w:val="20"/>
          <w:lang w:val="fr-CH"/>
        </w:rPr>
        <w:t>équipement est évalué à la valeur d</w:t>
      </w:r>
      <w:r w:rsidR="004D3D70">
        <w:rPr>
          <w:sz w:val="20"/>
          <w:lang w:val="fr-CH"/>
        </w:rPr>
        <w:t>’</w:t>
      </w:r>
      <w:r w:rsidRPr="004D3D70">
        <w:rPr>
          <w:sz w:val="20"/>
          <w:lang w:val="fr-CH"/>
        </w:rPr>
        <w:t>achat diminuée de l</w:t>
      </w:r>
      <w:r w:rsidR="004D3D70">
        <w:rPr>
          <w:sz w:val="20"/>
          <w:lang w:val="fr-CH"/>
        </w:rPr>
        <w:t>’</w:t>
      </w:r>
      <w:r w:rsidRPr="004D3D70">
        <w:rPr>
          <w:sz w:val="20"/>
          <w:lang w:val="fr-CH"/>
        </w:rPr>
        <w:t>amortissement et de la dépréciation cumul</w:t>
      </w:r>
      <w:r w:rsidR="002140E0" w:rsidRPr="004D3D70">
        <w:rPr>
          <w:sz w:val="20"/>
          <w:lang w:val="fr-CH"/>
        </w:rPr>
        <w:t>és</w:t>
      </w:r>
      <w:r w:rsidR="002140E0">
        <w:rPr>
          <w:sz w:val="20"/>
          <w:lang w:val="fr-CH"/>
        </w:rPr>
        <w:t xml:space="preserve">.  </w:t>
      </w:r>
      <w:r w:rsidR="002140E0" w:rsidRPr="004D3D70">
        <w:rPr>
          <w:sz w:val="20"/>
          <w:lang w:val="fr-CH"/>
        </w:rPr>
        <w:t>L</w:t>
      </w:r>
      <w:r w:rsidR="002140E0">
        <w:rPr>
          <w:sz w:val="20"/>
          <w:lang w:val="fr-CH"/>
        </w:rPr>
        <w:t>’</w:t>
      </w:r>
      <w:r w:rsidR="002140E0" w:rsidRPr="004D3D70">
        <w:rPr>
          <w:sz w:val="20"/>
          <w:lang w:val="fr-CH"/>
        </w:rPr>
        <w:t>é</w:t>
      </w:r>
      <w:r w:rsidRPr="004D3D70">
        <w:rPr>
          <w:sz w:val="20"/>
          <w:lang w:val="fr-CH"/>
        </w:rPr>
        <w:t>quipement est comptabilisé en tant qu</w:t>
      </w:r>
      <w:r w:rsidR="004D3D70">
        <w:rPr>
          <w:sz w:val="20"/>
          <w:lang w:val="fr-CH"/>
        </w:rPr>
        <w:t>’</w:t>
      </w:r>
      <w:r w:rsidRPr="004D3D70">
        <w:rPr>
          <w:sz w:val="20"/>
          <w:lang w:val="fr-CH"/>
        </w:rPr>
        <w:t>immobilisation si son coût unitaire est supérieur ou égal à 500</w:t>
      </w:r>
      <w:r w:rsidR="004D3D70" w:rsidRPr="004D3D70">
        <w:rPr>
          <w:sz w:val="20"/>
          <w:lang w:val="fr-CH"/>
        </w:rPr>
        <w:t>0</w:t>
      </w:r>
      <w:r w:rsidR="004D3D70">
        <w:rPr>
          <w:sz w:val="20"/>
          <w:lang w:val="fr-CH"/>
        </w:rPr>
        <w:t> </w:t>
      </w:r>
      <w:r w:rsidR="004D3D70" w:rsidRPr="004D3D70">
        <w:rPr>
          <w:sz w:val="20"/>
          <w:lang w:val="fr-CH"/>
        </w:rPr>
        <w:t>franc</w:t>
      </w:r>
      <w:r w:rsidRPr="004D3D70">
        <w:rPr>
          <w:sz w:val="20"/>
          <w:lang w:val="fr-CH"/>
        </w:rPr>
        <w:t>s suiss</w:t>
      </w:r>
      <w:r w:rsidR="002140E0" w:rsidRPr="004D3D70">
        <w:rPr>
          <w:sz w:val="20"/>
          <w:lang w:val="fr-CH"/>
        </w:rPr>
        <w:t>es</w:t>
      </w:r>
      <w:r w:rsidR="002140E0">
        <w:rPr>
          <w:sz w:val="20"/>
          <w:lang w:val="fr-CH"/>
        </w:rPr>
        <w:t xml:space="preserve">.  </w:t>
      </w:r>
      <w:r w:rsidR="002140E0" w:rsidRPr="004D3D70">
        <w:rPr>
          <w:sz w:val="20"/>
          <w:lang w:val="fr-CH"/>
        </w:rPr>
        <w:t>L</w:t>
      </w:r>
      <w:r w:rsidR="002140E0">
        <w:rPr>
          <w:sz w:val="20"/>
          <w:lang w:val="fr-CH"/>
        </w:rPr>
        <w:t>’</w:t>
      </w:r>
      <w:r w:rsidR="002140E0" w:rsidRPr="004D3D70">
        <w:rPr>
          <w:sz w:val="20"/>
          <w:lang w:val="fr-CH"/>
        </w:rPr>
        <w:t>a</w:t>
      </w:r>
      <w:r w:rsidRPr="004D3D70">
        <w:rPr>
          <w:sz w:val="20"/>
          <w:lang w:val="fr-CH"/>
        </w:rPr>
        <w:t>mortissement est déduit de manière à amortir la totalité du coût de l</w:t>
      </w:r>
      <w:r w:rsidR="004D3D70">
        <w:rPr>
          <w:sz w:val="20"/>
          <w:lang w:val="fr-CH"/>
        </w:rPr>
        <w:t>’</w:t>
      </w:r>
      <w:r w:rsidRPr="004D3D70">
        <w:rPr>
          <w:sz w:val="20"/>
          <w:lang w:val="fr-CH"/>
        </w:rPr>
        <w:t>équipement sur sa durée d</w:t>
      </w:r>
      <w:r w:rsidR="004D3D70">
        <w:rPr>
          <w:sz w:val="20"/>
          <w:lang w:val="fr-CH"/>
        </w:rPr>
        <w:t>’</w:t>
      </w:r>
      <w:r w:rsidRPr="004D3D70">
        <w:rPr>
          <w:sz w:val="20"/>
          <w:lang w:val="fr-CH"/>
        </w:rPr>
        <w:t>utilité estimée selon la méthode linéaire sur la base suivante</w:t>
      </w:r>
      <w:r w:rsidR="004D3D70">
        <w:rPr>
          <w:sz w:val="20"/>
          <w:lang w:val="fr-CH"/>
        </w:rPr>
        <w:t> :</w:t>
      </w:r>
    </w:p>
    <w:p w:rsidR="00A824AF" w:rsidRPr="004D3D70" w:rsidRDefault="00A824AF" w:rsidP="00A824AF">
      <w:pPr>
        <w:pStyle w:val="Style3"/>
        <w:spacing w:after="0"/>
        <w:rPr>
          <w:rFonts w:cs="Arial"/>
          <w:sz w:val="20"/>
          <w:lang w:val="fr-CH"/>
        </w:rPr>
      </w:pPr>
    </w:p>
    <w:tbl>
      <w:tblPr>
        <w:tblW w:w="6826" w:type="dxa"/>
        <w:tblInd w:w="328" w:type="dxa"/>
        <w:tblLook w:val="0000" w:firstRow="0" w:lastRow="0" w:firstColumn="0" w:lastColumn="0" w:noHBand="0" w:noVBand="0"/>
      </w:tblPr>
      <w:tblGrid>
        <w:gridCol w:w="4296"/>
        <w:gridCol w:w="2530"/>
      </w:tblGrid>
      <w:tr w:rsidR="004D3D70" w:rsidRPr="004D3D70" w:rsidTr="00B902CB">
        <w:trPr>
          <w:trHeight w:val="345"/>
        </w:trPr>
        <w:tc>
          <w:tcPr>
            <w:tcW w:w="4296" w:type="dxa"/>
            <w:tcBorders>
              <w:top w:val="single" w:sz="4" w:space="0" w:color="auto"/>
              <w:left w:val="nil"/>
              <w:bottom w:val="single" w:sz="4" w:space="0" w:color="auto"/>
              <w:right w:val="nil"/>
            </w:tcBorders>
            <w:shd w:val="clear" w:color="auto" w:fill="F2F2F2" w:themeFill="background1" w:themeFillShade="F2"/>
            <w:noWrap/>
            <w:vAlign w:val="center"/>
          </w:tcPr>
          <w:p w:rsidR="00A824AF" w:rsidRPr="004D3D70" w:rsidRDefault="001842BE" w:rsidP="001842BE">
            <w:pPr>
              <w:jc w:val="center"/>
              <w:rPr>
                <w:b/>
                <w:lang w:val="fr-CH"/>
              </w:rPr>
            </w:pPr>
            <w:r w:rsidRPr="004D3D70">
              <w:rPr>
                <w:b/>
                <w:lang w:val="fr-CH"/>
              </w:rPr>
              <w:t>Catégorie</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A824AF" w:rsidRPr="004D3D70" w:rsidRDefault="001842BE" w:rsidP="001842BE">
            <w:pPr>
              <w:jc w:val="center"/>
              <w:rPr>
                <w:b/>
                <w:lang w:val="fr-CH"/>
              </w:rPr>
            </w:pPr>
            <w:r w:rsidRPr="004D3D70">
              <w:rPr>
                <w:b/>
                <w:lang w:val="fr-CH"/>
              </w:rPr>
              <w:t>Durée d</w:t>
            </w:r>
            <w:r w:rsidR="004D3D70">
              <w:rPr>
                <w:b/>
                <w:lang w:val="fr-CH"/>
              </w:rPr>
              <w:t>’</w:t>
            </w:r>
            <w:r w:rsidRPr="004D3D70">
              <w:rPr>
                <w:b/>
                <w:lang w:val="fr-CH"/>
              </w:rPr>
              <w:t>utilité estimée</w:t>
            </w:r>
          </w:p>
        </w:tc>
      </w:tr>
      <w:tr w:rsidR="004D3D70" w:rsidRPr="004D3D70" w:rsidTr="00B902CB">
        <w:trPr>
          <w:trHeight w:val="285"/>
        </w:trPr>
        <w:tc>
          <w:tcPr>
            <w:tcW w:w="4296" w:type="dxa"/>
            <w:tcBorders>
              <w:top w:val="nil"/>
              <w:left w:val="nil"/>
              <w:bottom w:val="nil"/>
              <w:right w:val="nil"/>
            </w:tcBorders>
            <w:shd w:val="clear" w:color="auto" w:fill="auto"/>
            <w:noWrap/>
            <w:vAlign w:val="center"/>
          </w:tcPr>
          <w:p w:rsidR="00A824AF" w:rsidRPr="004D3D70" w:rsidRDefault="001842BE" w:rsidP="00896186">
            <w:pPr>
              <w:jc w:val="left"/>
              <w:rPr>
                <w:lang w:val="fr-CH"/>
              </w:rPr>
            </w:pPr>
            <w:r w:rsidRPr="004D3D70">
              <w:rPr>
                <w:lang w:val="fr-CH"/>
              </w:rPr>
              <w:t>Communications et équipement informatique</w:t>
            </w:r>
          </w:p>
        </w:tc>
        <w:tc>
          <w:tcPr>
            <w:tcW w:w="2530" w:type="dxa"/>
            <w:tcBorders>
              <w:top w:val="nil"/>
              <w:left w:val="nil"/>
              <w:bottom w:val="nil"/>
              <w:right w:val="nil"/>
            </w:tcBorders>
            <w:shd w:val="clear" w:color="auto" w:fill="auto"/>
            <w:vAlign w:val="center"/>
          </w:tcPr>
          <w:p w:rsidR="00A824AF" w:rsidRPr="004D3D70" w:rsidRDefault="001842BE" w:rsidP="001842BE">
            <w:pPr>
              <w:jc w:val="center"/>
              <w:rPr>
                <w:lang w:val="fr-CH"/>
              </w:rPr>
            </w:pPr>
            <w:r w:rsidRPr="004D3D70">
              <w:rPr>
                <w:lang w:val="fr-CH"/>
              </w:rPr>
              <w:t>5 ans</w:t>
            </w:r>
          </w:p>
        </w:tc>
      </w:tr>
      <w:tr w:rsidR="00A824AF" w:rsidRPr="004D3D70" w:rsidTr="00B902CB">
        <w:trPr>
          <w:trHeight w:val="285"/>
        </w:trPr>
        <w:tc>
          <w:tcPr>
            <w:tcW w:w="4296" w:type="dxa"/>
            <w:tcBorders>
              <w:top w:val="nil"/>
              <w:left w:val="nil"/>
              <w:bottom w:val="nil"/>
              <w:right w:val="nil"/>
            </w:tcBorders>
            <w:shd w:val="clear" w:color="auto" w:fill="auto"/>
            <w:noWrap/>
            <w:vAlign w:val="center"/>
          </w:tcPr>
          <w:p w:rsidR="00A824AF" w:rsidRPr="004D3D70" w:rsidRDefault="001842BE" w:rsidP="001842BE">
            <w:pPr>
              <w:rPr>
                <w:lang w:val="fr-CH"/>
              </w:rPr>
            </w:pPr>
            <w:r w:rsidRPr="004D3D70">
              <w:rPr>
                <w:lang w:val="fr-CH"/>
              </w:rPr>
              <w:t>Meubles et mobilier</w:t>
            </w:r>
          </w:p>
        </w:tc>
        <w:tc>
          <w:tcPr>
            <w:tcW w:w="2530" w:type="dxa"/>
            <w:tcBorders>
              <w:top w:val="nil"/>
              <w:left w:val="nil"/>
              <w:bottom w:val="nil"/>
              <w:right w:val="nil"/>
            </w:tcBorders>
            <w:shd w:val="clear" w:color="auto" w:fill="auto"/>
            <w:vAlign w:val="center"/>
          </w:tcPr>
          <w:p w:rsidR="00A824AF" w:rsidRPr="004D3D70" w:rsidRDefault="001842BE" w:rsidP="001842BE">
            <w:pPr>
              <w:jc w:val="center"/>
              <w:rPr>
                <w:lang w:val="fr-CH"/>
              </w:rPr>
            </w:pPr>
            <w:r w:rsidRPr="004D3D70">
              <w:rPr>
                <w:lang w:val="fr-CH"/>
              </w:rPr>
              <w:t>10 ans</w:t>
            </w:r>
          </w:p>
        </w:tc>
      </w:tr>
    </w:tbl>
    <w:p w:rsidR="00905890" w:rsidRDefault="00905890" w:rsidP="00A824AF">
      <w:pPr>
        <w:pStyle w:val="Style3"/>
        <w:spacing w:after="0"/>
        <w:rPr>
          <w:rFonts w:cs="Arial"/>
          <w:sz w:val="20"/>
          <w:lang w:val="fr-CH"/>
        </w:rPr>
      </w:pPr>
    </w:p>
    <w:p w:rsidR="00905890" w:rsidRPr="004D3D70" w:rsidRDefault="001842BE" w:rsidP="001842BE">
      <w:pPr>
        <w:pStyle w:val="Style3"/>
        <w:spacing w:after="0"/>
        <w:rPr>
          <w:rFonts w:cs="Arial"/>
          <w:sz w:val="20"/>
          <w:lang w:val="fr-CH"/>
        </w:rPr>
      </w:pPr>
      <w:r w:rsidRPr="004D3D70">
        <w:rPr>
          <w:rFonts w:cs="Arial"/>
          <w:sz w:val="20"/>
          <w:lang w:val="fr-CH"/>
        </w:rPr>
        <w:t>Les valeurs comptables de l</w:t>
      </w:r>
      <w:r w:rsidR="004D3D70">
        <w:rPr>
          <w:rFonts w:cs="Arial"/>
          <w:sz w:val="20"/>
          <w:lang w:val="fr-CH"/>
        </w:rPr>
        <w:t>’</w:t>
      </w:r>
      <w:r w:rsidRPr="004D3D70">
        <w:rPr>
          <w:rFonts w:cs="Arial"/>
          <w:sz w:val="20"/>
          <w:lang w:val="fr-CH"/>
        </w:rPr>
        <w:t>équipement sont examinées pour toute dépréciation résultant d</w:t>
      </w:r>
      <w:r w:rsidR="004D3D70">
        <w:rPr>
          <w:rFonts w:cs="Arial"/>
          <w:sz w:val="20"/>
          <w:lang w:val="fr-CH"/>
        </w:rPr>
        <w:t>’</w:t>
      </w:r>
      <w:r w:rsidRPr="004D3D70">
        <w:rPr>
          <w:rFonts w:cs="Arial"/>
          <w:sz w:val="20"/>
          <w:lang w:val="fr-CH"/>
        </w:rPr>
        <w:t>événements ou de changements indiquant que la valeur comptable de l</w:t>
      </w:r>
      <w:r w:rsidR="004D3D70">
        <w:rPr>
          <w:rFonts w:cs="Arial"/>
          <w:sz w:val="20"/>
          <w:lang w:val="fr-CH"/>
        </w:rPr>
        <w:t>’</w:t>
      </w:r>
      <w:r w:rsidRPr="004D3D70">
        <w:rPr>
          <w:rFonts w:cs="Arial"/>
          <w:sz w:val="20"/>
          <w:lang w:val="fr-CH"/>
        </w:rPr>
        <w:t>actif n</w:t>
      </w:r>
      <w:r w:rsidR="004D3D70">
        <w:rPr>
          <w:rFonts w:cs="Arial"/>
          <w:sz w:val="20"/>
          <w:lang w:val="fr-CH"/>
        </w:rPr>
        <w:t>’</w:t>
      </w:r>
      <w:r w:rsidRPr="004D3D70">
        <w:rPr>
          <w:rFonts w:cs="Arial"/>
          <w:sz w:val="20"/>
          <w:lang w:val="fr-CH"/>
        </w:rPr>
        <w:t>est pas recouvrab</w:t>
      </w:r>
      <w:r w:rsidR="002140E0" w:rsidRPr="004D3D70">
        <w:rPr>
          <w:rFonts w:cs="Arial"/>
          <w:sz w:val="20"/>
          <w:lang w:val="fr-CH"/>
        </w:rPr>
        <w:t>le</w:t>
      </w:r>
      <w:r w:rsidR="002140E0">
        <w:rPr>
          <w:rFonts w:cs="Arial"/>
          <w:sz w:val="20"/>
          <w:lang w:val="fr-CH"/>
        </w:rPr>
        <w:t xml:space="preserve">.  </w:t>
      </w:r>
      <w:r w:rsidR="002140E0" w:rsidRPr="004D3D70">
        <w:rPr>
          <w:rFonts w:cs="Arial"/>
          <w:sz w:val="20"/>
          <w:lang w:val="fr-CH"/>
        </w:rPr>
        <w:t>Si</w:t>
      </w:r>
      <w:r w:rsidRPr="004D3D70">
        <w:rPr>
          <w:rFonts w:cs="Arial"/>
          <w:sz w:val="20"/>
          <w:lang w:val="fr-CH"/>
        </w:rPr>
        <w:t xml:space="preserve"> tel est le cas, la valeur recouvrable de l</w:t>
      </w:r>
      <w:r w:rsidR="004D3D70">
        <w:rPr>
          <w:rFonts w:cs="Arial"/>
          <w:sz w:val="20"/>
          <w:lang w:val="fr-CH"/>
        </w:rPr>
        <w:t>’</w:t>
      </w:r>
      <w:r w:rsidRPr="004D3D70">
        <w:rPr>
          <w:rFonts w:cs="Arial"/>
          <w:sz w:val="20"/>
          <w:lang w:val="fr-CH"/>
        </w:rPr>
        <w:t>actif est estimée afin de déterminer, le cas échéant, la dépréciati</w:t>
      </w:r>
      <w:r w:rsidR="002140E0" w:rsidRPr="004D3D70">
        <w:rPr>
          <w:rFonts w:cs="Arial"/>
          <w:sz w:val="20"/>
          <w:lang w:val="fr-CH"/>
        </w:rPr>
        <w:t>on</w:t>
      </w:r>
      <w:r w:rsidR="002140E0">
        <w:rPr>
          <w:rFonts w:cs="Arial"/>
          <w:sz w:val="20"/>
          <w:lang w:val="fr-CH"/>
        </w:rPr>
        <w:t xml:space="preserve">.  </w:t>
      </w:r>
      <w:r w:rsidR="002140E0" w:rsidRPr="004D3D70">
        <w:rPr>
          <w:rFonts w:cs="Arial"/>
          <w:sz w:val="20"/>
          <w:lang w:val="fr-CH"/>
        </w:rPr>
        <w:t>To</w:t>
      </w:r>
      <w:r w:rsidRPr="004D3D70">
        <w:rPr>
          <w:rFonts w:cs="Arial"/>
          <w:sz w:val="20"/>
          <w:lang w:val="fr-CH"/>
        </w:rPr>
        <w:t>ute dépréciation figure dans l</w:t>
      </w:r>
      <w:r w:rsidR="004D3D70">
        <w:rPr>
          <w:rFonts w:cs="Arial"/>
          <w:sz w:val="20"/>
          <w:lang w:val="fr-CH"/>
        </w:rPr>
        <w:t>’</w:t>
      </w:r>
      <w:r w:rsidRPr="004D3D70">
        <w:rPr>
          <w:rFonts w:cs="Arial"/>
          <w:sz w:val="20"/>
          <w:lang w:val="fr-CH"/>
        </w:rPr>
        <w:t>état de la performance financière.</w:t>
      </w:r>
    </w:p>
    <w:p w:rsidR="00905890" w:rsidRPr="004D3D70" w:rsidRDefault="001842BE" w:rsidP="001842BE">
      <w:pPr>
        <w:pStyle w:val="Style3"/>
        <w:spacing w:after="0"/>
        <w:rPr>
          <w:rFonts w:cs="Arial"/>
          <w:b/>
          <w:sz w:val="20"/>
          <w:lang w:val="fr-CH"/>
        </w:rPr>
      </w:pPr>
      <w:r w:rsidRPr="004D3D70">
        <w:rPr>
          <w:rFonts w:cs="Arial"/>
          <w:b/>
          <w:sz w:val="20"/>
          <w:lang w:val="fr-CH"/>
        </w:rPr>
        <w:lastRenderedPageBreak/>
        <w:t>Immobilisations incorporelles</w:t>
      </w:r>
    </w:p>
    <w:p w:rsidR="00905890" w:rsidRPr="004D3D70" w:rsidRDefault="00905890" w:rsidP="00A824AF">
      <w:pPr>
        <w:pStyle w:val="Style3"/>
        <w:spacing w:after="0"/>
        <w:rPr>
          <w:rFonts w:cs="Arial"/>
          <w:b/>
          <w:sz w:val="20"/>
          <w:lang w:val="fr-CH"/>
        </w:rPr>
      </w:pPr>
    </w:p>
    <w:p w:rsidR="004D3D70" w:rsidRDefault="001842BE" w:rsidP="001842BE">
      <w:pPr>
        <w:pStyle w:val="Style3"/>
        <w:spacing w:after="0"/>
        <w:rPr>
          <w:rFonts w:cs="Arial"/>
          <w:sz w:val="20"/>
          <w:lang w:val="fr-CH"/>
        </w:rPr>
      </w:pPr>
      <w:r w:rsidRPr="004D3D70">
        <w:rPr>
          <w:rFonts w:cs="Arial"/>
          <w:sz w:val="20"/>
          <w:lang w:val="fr-CH"/>
        </w:rPr>
        <w:t>Les immobilisations incorporelles sont comptabilisées selon leur coût, minoré de l</w:t>
      </w:r>
      <w:r w:rsidR="004D3D70">
        <w:rPr>
          <w:rFonts w:cs="Arial"/>
          <w:sz w:val="20"/>
          <w:lang w:val="fr-CH"/>
        </w:rPr>
        <w:t>’</w:t>
      </w:r>
      <w:r w:rsidRPr="004D3D70">
        <w:rPr>
          <w:rFonts w:cs="Arial"/>
          <w:sz w:val="20"/>
          <w:lang w:val="fr-CH"/>
        </w:rPr>
        <w:t>amortissement cumulé et des pertes de valeur cumulées.</w:t>
      </w:r>
    </w:p>
    <w:p w:rsidR="00B902CB" w:rsidRDefault="00B902CB" w:rsidP="001842BE">
      <w:pPr>
        <w:pStyle w:val="Style3"/>
        <w:spacing w:after="0"/>
        <w:rPr>
          <w:rFonts w:cs="Arial"/>
          <w:sz w:val="20"/>
          <w:lang w:val="fr-CH"/>
        </w:rPr>
      </w:pPr>
    </w:p>
    <w:p w:rsidR="00905890" w:rsidRPr="004D3D70" w:rsidRDefault="001842BE" w:rsidP="001842BE">
      <w:pPr>
        <w:rPr>
          <w:i/>
          <w:lang w:val="fr-CH"/>
        </w:rPr>
      </w:pPr>
      <w:r w:rsidRPr="004D3D70">
        <w:rPr>
          <w:lang w:val="fr-CH"/>
        </w:rPr>
        <w:t>Les licences de logiciels informatiques acquises sont comptabilisées sur la base des coûts encourus pour acquérir lesdits logiciels et les utilis</w:t>
      </w:r>
      <w:r w:rsidR="002140E0" w:rsidRPr="004D3D70">
        <w:rPr>
          <w:lang w:val="fr-CH"/>
        </w:rPr>
        <w:t>er</w:t>
      </w:r>
      <w:r w:rsidR="002140E0">
        <w:rPr>
          <w:lang w:val="fr-CH"/>
        </w:rPr>
        <w:t xml:space="preserve">.  </w:t>
      </w:r>
      <w:r w:rsidR="002140E0" w:rsidRPr="004D3D70">
        <w:rPr>
          <w:lang w:val="fr-CH"/>
        </w:rPr>
        <w:t>Le</w:t>
      </w:r>
      <w:r w:rsidRPr="004D3D70">
        <w:rPr>
          <w:lang w:val="fr-CH"/>
        </w:rPr>
        <w:t>s coûts directement liés au développement de logiciels destinés à être utilisés par l</w:t>
      </w:r>
      <w:r w:rsidR="004D3D70">
        <w:rPr>
          <w:lang w:val="fr-CH"/>
        </w:rPr>
        <w:t>’</w:t>
      </w:r>
      <w:r w:rsidRPr="004D3D70">
        <w:rPr>
          <w:lang w:val="fr-CH"/>
        </w:rPr>
        <w:t>UPOV sont comptabilisés en tant qu</w:t>
      </w:r>
      <w:r w:rsidR="004D3D70">
        <w:rPr>
          <w:lang w:val="fr-CH"/>
        </w:rPr>
        <w:t>’</w:t>
      </w:r>
      <w:r w:rsidRPr="004D3D70">
        <w:rPr>
          <w:lang w:val="fr-CH"/>
        </w:rPr>
        <w:t>immobilisations incorporelles.  Les coûts directs incluent les coûts du personnel chargé du développement des logicie</w:t>
      </w:r>
      <w:r w:rsidR="002140E0" w:rsidRPr="004D3D70">
        <w:rPr>
          <w:lang w:val="fr-CH"/>
        </w:rPr>
        <w:t>ls</w:t>
      </w:r>
      <w:r w:rsidR="002140E0">
        <w:rPr>
          <w:lang w:val="fr-CH"/>
        </w:rPr>
        <w:t xml:space="preserve">.  </w:t>
      </w:r>
      <w:r w:rsidR="002140E0" w:rsidRPr="004D3D70">
        <w:rPr>
          <w:lang w:val="fr-CH"/>
        </w:rPr>
        <w:t>Au</w:t>
      </w:r>
      <w:r w:rsidRPr="004D3D70">
        <w:rPr>
          <w:lang w:val="fr-CH"/>
        </w:rPr>
        <w:t xml:space="preserve"> 3</w:t>
      </w:r>
      <w:r w:rsidR="004D3D70" w:rsidRPr="004D3D70">
        <w:rPr>
          <w:lang w:val="fr-CH"/>
        </w:rPr>
        <w:t>1</w:t>
      </w:r>
      <w:r w:rsidR="004D3D70">
        <w:rPr>
          <w:lang w:val="fr-CH"/>
        </w:rPr>
        <w:t> </w:t>
      </w:r>
      <w:r w:rsidR="004D3D70" w:rsidRPr="00B902CB">
        <w:rPr>
          <w:lang w:val="fr-CH"/>
        </w:rPr>
        <w:t>décembre</w:t>
      </w:r>
      <w:r w:rsidR="004D3D70">
        <w:rPr>
          <w:i/>
          <w:lang w:val="fr-CH"/>
        </w:rPr>
        <w:t> </w:t>
      </w:r>
      <w:r w:rsidR="004D3D70" w:rsidRPr="004D3D70">
        <w:rPr>
          <w:lang w:val="fr-CH"/>
        </w:rPr>
        <w:t>20</w:t>
      </w:r>
      <w:r w:rsidRPr="004D3D70">
        <w:rPr>
          <w:lang w:val="fr-CH"/>
        </w:rPr>
        <w:t>17, aucun coût n</w:t>
      </w:r>
      <w:r w:rsidR="004D3D70">
        <w:rPr>
          <w:lang w:val="fr-CH"/>
        </w:rPr>
        <w:t>’</w:t>
      </w:r>
      <w:r w:rsidRPr="004D3D70">
        <w:rPr>
          <w:lang w:val="fr-CH"/>
        </w:rPr>
        <w:t>a été comptabilisé comme immobilisation incorporelle.</w:t>
      </w:r>
    </w:p>
    <w:p w:rsidR="00905890" w:rsidRPr="004D3D70" w:rsidRDefault="00905890" w:rsidP="00A824AF">
      <w:pPr>
        <w:rPr>
          <w:i/>
          <w:lang w:val="fr-CH"/>
        </w:rPr>
      </w:pPr>
    </w:p>
    <w:p w:rsidR="00905890" w:rsidRPr="004D3D70" w:rsidRDefault="001842BE" w:rsidP="001842BE">
      <w:pPr>
        <w:rPr>
          <w:lang w:val="fr-CH"/>
        </w:rPr>
      </w:pPr>
      <w:r w:rsidRPr="004D3D70">
        <w:rPr>
          <w:lang w:val="fr-CH"/>
        </w:rPr>
        <w:t>L</w:t>
      </w:r>
      <w:r w:rsidR="004D3D70">
        <w:rPr>
          <w:lang w:val="fr-CH"/>
        </w:rPr>
        <w:t>’</w:t>
      </w:r>
      <w:r w:rsidRPr="004D3D70">
        <w:rPr>
          <w:lang w:val="fr-CH"/>
        </w:rPr>
        <w:t>amortissement est fourni sur une base linéaire de tous les actifs incorporels de durée déterminée, à des taux qui amortiront le coût ou la valeur des actifs durant leurs durées d</w:t>
      </w:r>
      <w:r w:rsidR="004D3D70">
        <w:rPr>
          <w:lang w:val="fr-CH"/>
        </w:rPr>
        <w:t>’</w:t>
      </w:r>
      <w:r w:rsidRPr="004D3D70">
        <w:rPr>
          <w:lang w:val="fr-CH"/>
        </w:rPr>
        <w:t>utilité.  Les durées d</w:t>
      </w:r>
      <w:r w:rsidR="004D3D70">
        <w:rPr>
          <w:lang w:val="fr-CH"/>
        </w:rPr>
        <w:t>’</w:t>
      </w:r>
      <w:r w:rsidRPr="004D3D70">
        <w:rPr>
          <w:lang w:val="fr-CH"/>
        </w:rPr>
        <w:t>utilité des principales catégories d</w:t>
      </w:r>
      <w:r w:rsidR="004D3D70">
        <w:rPr>
          <w:lang w:val="fr-CH"/>
        </w:rPr>
        <w:t>’</w:t>
      </w:r>
      <w:r w:rsidRPr="004D3D70">
        <w:rPr>
          <w:lang w:val="fr-CH"/>
        </w:rPr>
        <w:t>actifs incorporels ont été estimées comme suit</w:t>
      </w:r>
      <w:r w:rsidR="004D3D70">
        <w:rPr>
          <w:lang w:val="fr-CH"/>
        </w:rPr>
        <w:t> :</w:t>
      </w:r>
    </w:p>
    <w:p w:rsidR="00A824AF" w:rsidRPr="004D3D70" w:rsidRDefault="00A824AF" w:rsidP="00A824AF">
      <w:pPr>
        <w:pStyle w:val="Style3"/>
        <w:spacing w:after="0"/>
        <w:rPr>
          <w:rFonts w:cs="Arial"/>
          <w:sz w:val="20"/>
          <w:lang w:val="fr-CH"/>
        </w:rPr>
      </w:pPr>
    </w:p>
    <w:tbl>
      <w:tblPr>
        <w:tblW w:w="6443" w:type="dxa"/>
        <w:tblInd w:w="328" w:type="dxa"/>
        <w:tblLook w:val="0000" w:firstRow="0" w:lastRow="0" w:firstColumn="0" w:lastColumn="0" w:noHBand="0" w:noVBand="0"/>
      </w:tblPr>
      <w:tblGrid>
        <w:gridCol w:w="3080"/>
        <w:gridCol w:w="3363"/>
      </w:tblGrid>
      <w:tr w:rsidR="004D3D70" w:rsidRPr="004D3D70" w:rsidTr="00781869">
        <w:trPr>
          <w:trHeight w:val="345"/>
        </w:trPr>
        <w:tc>
          <w:tcPr>
            <w:tcW w:w="3080" w:type="dxa"/>
            <w:tcBorders>
              <w:top w:val="single" w:sz="4" w:space="0" w:color="auto"/>
              <w:left w:val="nil"/>
              <w:bottom w:val="single" w:sz="4" w:space="0" w:color="auto"/>
              <w:right w:val="nil"/>
            </w:tcBorders>
            <w:shd w:val="clear" w:color="auto" w:fill="F2F2F2" w:themeFill="background1" w:themeFillShade="F2"/>
            <w:noWrap/>
            <w:vAlign w:val="center"/>
          </w:tcPr>
          <w:p w:rsidR="00A824AF" w:rsidRPr="004D3D70" w:rsidRDefault="001842BE" w:rsidP="001842BE">
            <w:pPr>
              <w:jc w:val="center"/>
              <w:rPr>
                <w:b/>
                <w:lang w:val="fr-CH"/>
              </w:rPr>
            </w:pPr>
            <w:r w:rsidRPr="004D3D70">
              <w:rPr>
                <w:b/>
                <w:lang w:val="fr-CH"/>
              </w:rPr>
              <w:t>Catégorie</w:t>
            </w:r>
          </w:p>
        </w:tc>
        <w:tc>
          <w:tcPr>
            <w:tcW w:w="3363" w:type="dxa"/>
            <w:tcBorders>
              <w:top w:val="single" w:sz="4" w:space="0" w:color="auto"/>
              <w:left w:val="nil"/>
              <w:bottom w:val="single" w:sz="4" w:space="0" w:color="auto"/>
              <w:right w:val="nil"/>
            </w:tcBorders>
            <w:shd w:val="clear" w:color="auto" w:fill="F2F2F2" w:themeFill="background1" w:themeFillShade="F2"/>
            <w:vAlign w:val="center"/>
          </w:tcPr>
          <w:p w:rsidR="00A824AF" w:rsidRPr="004D3D70" w:rsidRDefault="001842BE" w:rsidP="001842BE">
            <w:pPr>
              <w:jc w:val="center"/>
              <w:rPr>
                <w:b/>
                <w:lang w:val="fr-CH"/>
              </w:rPr>
            </w:pPr>
            <w:r w:rsidRPr="004D3D70">
              <w:rPr>
                <w:b/>
                <w:lang w:val="fr-CH"/>
              </w:rPr>
              <w:t>Durée d</w:t>
            </w:r>
            <w:r w:rsidR="004D3D70">
              <w:rPr>
                <w:b/>
                <w:lang w:val="fr-CH"/>
              </w:rPr>
              <w:t>’</w:t>
            </w:r>
            <w:r w:rsidRPr="004D3D70">
              <w:rPr>
                <w:b/>
                <w:lang w:val="fr-CH"/>
              </w:rPr>
              <w:t>utilité estimée</w:t>
            </w:r>
          </w:p>
        </w:tc>
      </w:tr>
      <w:tr w:rsidR="004D3D70" w:rsidRPr="004D3D70" w:rsidTr="00781869">
        <w:trPr>
          <w:trHeight w:val="285"/>
        </w:trPr>
        <w:tc>
          <w:tcPr>
            <w:tcW w:w="3080" w:type="dxa"/>
            <w:tcBorders>
              <w:top w:val="nil"/>
              <w:left w:val="nil"/>
              <w:bottom w:val="nil"/>
              <w:right w:val="nil"/>
            </w:tcBorders>
            <w:shd w:val="clear" w:color="auto" w:fill="auto"/>
            <w:noWrap/>
            <w:vAlign w:val="center"/>
          </w:tcPr>
          <w:p w:rsidR="00A824AF" w:rsidRPr="004D3D70" w:rsidRDefault="001842BE" w:rsidP="001842BE">
            <w:pPr>
              <w:rPr>
                <w:lang w:val="fr-CH"/>
              </w:rPr>
            </w:pPr>
            <w:r w:rsidRPr="004D3D70">
              <w:rPr>
                <w:lang w:val="fr-CH"/>
              </w:rPr>
              <w:t>Logiciels acquis à l</w:t>
            </w:r>
            <w:r w:rsidR="004D3D70">
              <w:rPr>
                <w:lang w:val="fr-CH"/>
              </w:rPr>
              <w:t>’</w:t>
            </w:r>
            <w:r w:rsidRPr="004D3D70">
              <w:rPr>
                <w:lang w:val="fr-CH"/>
              </w:rPr>
              <w:t>extérieur</w:t>
            </w:r>
          </w:p>
        </w:tc>
        <w:tc>
          <w:tcPr>
            <w:tcW w:w="3363" w:type="dxa"/>
            <w:tcBorders>
              <w:top w:val="nil"/>
              <w:left w:val="nil"/>
              <w:bottom w:val="nil"/>
              <w:right w:val="nil"/>
            </w:tcBorders>
            <w:shd w:val="clear" w:color="auto" w:fill="auto"/>
            <w:vAlign w:val="center"/>
          </w:tcPr>
          <w:p w:rsidR="00A824AF" w:rsidRPr="004D3D70" w:rsidRDefault="001842BE" w:rsidP="001842BE">
            <w:pPr>
              <w:jc w:val="center"/>
              <w:rPr>
                <w:lang w:val="fr-CH"/>
              </w:rPr>
            </w:pPr>
            <w:r w:rsidRPr="004D3D70">
              <w:rPr>
                <w:lang w:val="fr-CH"/>
              </w:rPr>
              <w:t>5 ans</w:t>
            </w:r>
          </w:p>
        </w:tc>
      </w:tr>
      <w:tr w:rsidR="004D3D70" w:rsidRPr="004D3D70" w:rsidTr="00781869">
        <w:trPr>
          <w:trHeight w:val="285"/>
        </w:trPr>
        <w:tc>
          <w:tcPr>
            <w:tcW w:w="3080" w:type="dxa"/>
            <w:tcBorders>
              <w:top w:val="nil"/>
              <w:left w:val="nil"/>
              <w:bottom w:val="nil"/>
              <w:right w:val="nil"/>
            </w:tcBorders>
            <w:shd w:val="clear" w:color="auto" w:fill="auto"/>
            <w:noWrap/>
            <w:vAlign w:val="center"/>
          </w:tcPr>
          <w:p w:rsidR="00A824AF" w:rsidRPr="004D3D70" w:rsidRDefault="001842BE" w:rsidP="001842BE">
            <w:pPr>
              <w:rPr>
                <w:lang w:val="fr-CH"/>
              </w:rPr>
            </w:pPr>
            <w:r w:rsidRPr="004D3D70">
              <w:rPr>
                <w:lang w:val="fr-CH"/>
              </w:rPr>
              <w:t>Logiciels mis au point en interne</w:t>
            </w:r>
          </w:p>
        </w:tc>
        <w:tc>
          <w:tcPr>
            <w:tcW w:w="3363" w:type="dxa"/>
            <w:tcBorders>
              <w:top w:val="nil"/>
              <w:left w:val="nil"/>
              <w:bottom w:val="nil"/>
              <w:right w:val="nil"/>
            </w:tcBorders>
            <w:shd w:val="clear" w:color="auto" w:fill="auto"/>
            <w:vAlign w:val="center"/>
          </w:tcPr>
          <w:p w:rsidR="00A824AF" w:rsidRPr="004D3D70" w:rsidRDefault="001842BE" w:rsidP="001842BE">
            <w:pPr>
              <w:jc w:val="center"/>
              <w:rPr>
                <w:lang w:val="fr-CH"/>
              </w:rPr>
            </w:pPr>
            <w:r w:rsidRPr="004D3D70">
              <w:rPr>
                <w:lang w:val="fr-CH"/>
              </w:rPr>
              <w:t>5 ans</w:t>
            </w:r>
          </w:p>
        </w:tc>
      </w:tr>
      <w:tr w:rsidR="00A824AF" w:rsidRPr="0064650C" w:rsidTr="00781869">
        <w:trPr>
          <w:trHeight w:val="285"/>
        </w:trPr>
        <w:tc>
          <w:tcPr>
            <w:tcW w:w="3080" w:type="dxa"/>
            <w:tcBorders>
              <w:top w:val="nil"/>
              <w:left w:val="nil"/>
              <w:bottom w:val="nil"/>
              <w:right w:val="nil"/>
            </w:tcBorders>
            <w:shd w:val="clear" w:color="auto" w:fill="auto"/>
            <w:noWrap/>
            <w:vAlign w:val="center"/>
          </w:tcPr>
          <w:p w:rsidR="00A824AF" w:rsidRPr="004D3D70" w:rsidRDefault="001842BE" w:rsidP="001842BE">
            <w:pPr>
              <w:rPr>
                <w:lang w:val="fr-CH"/>
              </w:rPr>
            </w:pPr>
            <w:r w:rsidRPr="004D3D70">
              <w:rPr>
                <w:lang w:val="fr-CH"/>
              </w:rPr>
              <w:t>Licences et droits</w:t>
            </w:r>
          </w:p>
        </w:tc>
        <w:tc>
          <w:tcPr>
            <w:tcW w:w="3363" w:type="dxa"/>
            <w:tcBorders>
              <w:top w:val="nil"/>
              <w:left w:val="nil"/>
              <w:bottom w:val="nil"/>
              <w:right w:val="nil"/>
            </w:tcBorders>
            <w:shd w:val="clear" w:color="auto" w:fill="auto"/>
            <w:vAlign w:val="center"/>
          </w:tcPr>
          <w:p w:rsidR="00A824AF" w:rsidRPr="004D3D70" w:rsidRDefault="001842BE" w:rsidP="001842BE">
            <w:pPr>
              <w:jc w:val="center"/>
              <w:rPr>
                <w:lang w:val="fr-CH"/>
              </w:rPr>
            </w:pPr>
            <w:r w:rsidRPr="004D3D70">
              <w:rPr>
                <w:lang w:val="fr-CH"/>
              </w:rPr>
              <w:t>Période de la licence/du droit</w:t>
            </w:r>
          </w:p>
        </w:tc>
      </w:tr>
    </w:tbl>
    <w:p w:rsidR="00905890" w:rsidRPr="004D3D70" w:rsidRDefault="00905890" w:rsidP="00A824AF">
      <w:pPr>
        <w:pStyle w:val="Style3"/>
        <w:spacing w:after="0"/>
        <w:rPr>
          <w:rFonts w:cs="Arial"/>
          <w:sz w:val="20"/>
          <w:lang w:val="fr-CH"/>
        </w:rPr>
      </w:pPr>
    </w:p>
    <w:p w:rsidR="00905890" w:rsidRPr="004D3D70" w:rsidRDefault="001842BE" w:rsidP="001842BE">
      <w:pPr>
        <w:pStyle w:val="Style3Bold"/>
        <w:spacing w:after="0"/>
        <w:rPr>
          <w:rFonts w:cs="Arial"/>
          <w:sz w:val="20"/>
          <w:lang w:val="fr-CH"/>
        </w:rPr>
      </w:pPr>
      <w:r w:rsidRPr="004D3D70">
        <w:rPr>
          <w:rFonts w:cs="Arial"/>
          <w:sz w:val="20"/>
          <w:lang w:val="fr-CH"/>
        </w:rPr>
        <w:t>Prestations au personnel</w:t>
      </w:r>
    </w:p>
    <w:p w:rsidR="00905890" w:rsidRPr="004D3D70" w:rsidRDefault="00905890" w:rsidP="00A824AF">
      <w:pPr>
        <w:pStyle w:val="Style3"/>
        <w:spacing w:after="0"/>
        <w:rPr>
          <w:rFonts w:cs="Arial"/>
          <w:sz w:val="20"/>
          <w:lang w:val="fr-CH"/>
        </w:rPr>
      </w:pPr>
    </w:p>
    <w:p w:rsidR="00905890" w:rsidRPr="004D3D70" w:rsidRDefault="00333157" w:rsidP="00D760AE">
      <w:pPr>
        <w:rPr>
          <w:lang w:val="fr-CH"/>
        </w:rPr>
      </w:pPr>
      <w:r w:rsidRPr="004D3D70">
        <w:rPr>
          <w:lang w:val="fr-CH"/>
        </w:rPr>
        <w:t>Des provisions sont constituées pour l</w:t>
      </w:r>
      <w:r w:rsidR="004D3D70">
        <w:rPr>
          <w:lang w:val="fr-CH"/>
        </w:rPr>
        <w:t>’</w:t>
      </w:r>
      <w:r w:rsidRPr="004D3D70">
        <w:rPr>
          <w:lang w:val="fr-CH"/>
        </w:rPr>
        <w:t>assurance maladie après la cessation de service</w:t>
      </w:r>
      <w:r w:rsidR="00081593" w:rsidRPr="004D3D70">
        <w:rPr>
          <w:lang w:val="fr-CH"/>
        </w:rPr>
        <w:t xml:space="preserve"> (AMCS)</w:t>
      </w:r>
      <w:r w:rsidRPr="004D3D70">
        <w:rPr>
          <w:lang w:val="fr-CH"/>
        </w:rPr>
        <w:t>, les primes de rapatriement et les voyages, ainsi que les</w:t>
      </w:r>
      <w:r w:rsidR="00081593" w:rsidRPr="004D3D70">
        <w:rPr>
          <w:lang w:val="fr-CH"/>
        </w:rPr>
        <w:t xml:space="preserve"> jours de congé annuel</w:t>
      </w:r>
      <w:r w:rsidRPr="004D3D70">
        <w:rPr>
          <w:lang w:val="fr-CH"/>
        </w:rPr>
        <w:t xml:space="preserve"> </w:t>
      </w:r>
      <w:r w:rsidR="00E74517" w:rsidRPr="004D3D70">
        <w:rPr>
          <w:lang w:val="fr-CH"/>
        </w:rPr>
        <w:t>ac</w:t>
      </w:r>
      <w:r w:rsidRPr="004D3D70">
        <w:rPr>
          <w:lang w:val="fr-CH"/>
        </w:rPr>
        <w:t xml:space="preserve">cumulés à long </w:t>
      </w:r>
      <w:r w:rsidR="00D760AE" w:rsidRPr="004D3D70">
        <w:rPr>
          <w:lang w:val="fr-CH"/>
        </w:rPr>
        <w:t>term</w:t>
      </w:r>
      <w:r w:rsidRPr="004D3D70">
        <w:rPr>
          <w:lang w:val="fr-CH"/>
        </w:rPr>
        <w:t>e, définies par un actuaire indépendant sur une base annuelle selon la méthode des unités de crédit projeté</w:t>
      </w:r>
      <w:r w:rsidR="002140E0" w:rsidRPr="004D3D70">
        <w:rPr>
          <w:lang w:val="fr-CH"/>
        </w:rPr>
        <w:t>es</w:t>
      </w:r>
      <w:r w:rsidR="002140E0">
        <w:rPr>
          <w:lang w:val="fr-CH"/>
        </w:rPr>
        <w:t xml:space="preserve">.  </w:t>
      </w:r>
      <w:r w:rsidR="002140E0" w:rsidRPr="004D3D70">
        <w:rPr>
          <w:lang w:val="fr-CH"/>
        </w:rPr>
        <w:t>En</w:t>
      </w:r>
      <w:r w:rsidRPr="004D3D70">
        <w:rPr>
          <w:lang w:val="fr-CH"/>
        </w:rPr>
        <w:t xml:space="preserve"> ce qui concerne </w:t>
      </w:r>
      <w:r w:rsidR="00092C13" w:rsidRPr="004D3D70">
        <w:rPr>
          <w:lang w:val="fr-CH"/>
        </w:rPr>
        <w:t>l</w:t>
      </w:r>
      <w:r w:rsidR="004D3D70">
        <w:rPr>
          <w:lang w:val="fr-CH"/>
        </w:rPr>
        <w:t>’</w:t>
      </w:r>
      <w:r w:rsidR="00092C13" w:rsidRPr="004D3D70">
        <w:rPr>
          <w:lang w:val="fr-CH"/>
        </w:rPr>
        <w:t xml:space="preserve">obligation au titre de </w:t>
      </w:r>
      <w:r w:rsidR="00081593" w:rsidRPr="004D3D70">
        <w:rPr>
          <w:lang w:val="fr-CH"/>
        </w:rPr>
        <w:t>l</w:t>
      </w:r>
      <w:r w:rsidR="004D3D70">
        <w:rPr>
          <w:lang w:val="fr-CH"/>
        </w:rPr>
        <w:t>’</w:t>
      </w:r>
      <w:r w:rsidR="00081593" w:rsidRPr="004D3D70">
        <w:rPr>
          <w:lang w:val="fr-CH"/>
        </w:rPr>
        <w:t>AMCS</w:t>
      </w:r>
      <w:r w:rsidRPr="004D3D70">
        <w:rPr>
          <w:lang w:val="fr-CH"/>
        </w:rPr>
        <w:t xml:space="preserve">, les gains et pertes actuariels sont comptabilisés dans les actifs </w:t>
      </w:r>
      <w:r w:rsidR="00D760AE" w:rsidRPr="004D3D70">
        <w:rPr>
          <w:lang w:val="fr-CH"/>
        </w:rPr>
        <w:t>ne</w:t>
      </w:r>
      <w:r w:rsidR="002140E0" w:rsidRPr="004D3D70">
        <w:rPr>
          <w:lang w:val="fr-CH"/>
        </w:rPr>
        <w:t>ts</w:t>
      </w:r>
      <w:r w:rsidR="002140E0">
        <w:rPr>
          <w:lang w:val="fr-CH"/>
        </w:rPr>
        <w:t xml:space="preserve">.  </w:t>
      </w:r>
      <w:r w:rsidR="002140E0" w:rsidRPr="004D3D70">
        <w:rPr>
          <w:lang w:val="fr-CH"/>
        </w:rPr>
        <w:t>En</w:t>
      </w:r>
      <w:r w:rsidRPr="004D3D70">
        <w:rPr>
          <w:lang w:val="fr-CH"/>
        </w:rPr>
        <w:t xml:space="preserve"> outre, des provisions sont constituées pour les</w:t>
      </w:r>
      <w:r w:rsidR="00081593" w:rsidRPr="004D3D70">
        <w:rPr>
          <w:lang w:val="fr-CH"/>
        </w:rPr>
        <w:t xml:space="preserve"> jours de congé annuel</w:t>
      </w:r>
      <w:r w:rsidRPr="004D3D70">
        <w:rPr>
          <w:lang w:val="fr-CH"/>
        </w:rPr>
        <w:t xml:space="preserve"> </w:t>
      </w:r>
      <w:r w:rsidR="00E74517" w:rsidRPr="004D3D70">
        <w:rPr>
          <w:lang w:val="fr-CH"/>
        </w:rPr>
        <w:t>ac</w:t>
      </w:r>
      <w:r w:rsidRPr="004D3D70">
        <w:rPr>
          <w:lang w:val="fr-CH"/>
        </w:rPr>
        <w:t xml:space="preserve">cumulés </w:t>
      </w:r>
      <w:r w:rsidR="00720487" w:rsidRPr="004D3D70">
        <w:rPr>
          <w:lang w:val="fr-CH"/>
        </w:rPr>
        <w:t>à court terme</w:t>
      </w:r>
      <w:r w:rsidR="00D760AE" w:rsidRPr="004D3D70">
        <w:rPr>
          <w:lang w:val="fr-CH"/>
        </w:rPr>
        <w:t xml:space="preserve">, </w:t>
      </w:r>
      <w:r w:rsidR="00720487" w:rsidRPr="004D3D70">
        <w:rPr>
          <w:lang w:val="fr-CH"/>
        </w:rPr>
        <w:t>les congés dans les foyers différés, les heures supplémentaires réalisées, mais non payées</w:t>
      </w:r>
      <w:r w:rsidR="00D760AE" w:rsidRPr="004D3D70">
        <w:rPr>
          <w:lang w:val="fr-CH"/>
        </w:rPr>
        <w:t xml:space="preserve">, </w:t>
      </w:r>
      <w:r w:rsidR="00720487" w:rsidRPr="004D3D70">
        <w:rPr>
          <w:lang w:val="fr-CH"/>
        </w:rPr>
        <w:t>les prestations versées pour la cessation de service et pour les allocations d</w:t>
      </w:r>
      <w:r w:rsidR="004D3D70">
        <w:rPr>
          <w:lang w:val="fr-CH"/>
        </w:rPr>
        <w:t>’</w:t>
      </w:r>
      <w:r w:rsidR="00720487" w:rsidRPr="004D3D70">
        <w:rPr>
          <w:lang w:val="fr-CH"/>
        </w:rPr>
        <w:t>étude payables à la date d</w:t>
      </w:r>
      <w:r w:rsidR="004D3D70">
        <w:rPr>
          <w:lang w:val="fr-CH"/>
        </w:rPr>
        <w:t>’</w:t>
      </w:r>
      <w:r w:rsidR="00720487" w:rsidRPr="004D3D70">
        <w:rPr>
          <w:lang w:val="fr-CH"/>
        </w:rPr>
        <w:t>établissement des états financiers qui n</w:t>
      </w:r>
      <w:r w:rsidR="004D3D70">
        <w:rPr>
          <w:lang w:val="fr-CH"/>
        </w:rPr>
        <w:t>’</w:t>
      </w:r>
      <w:r w:rsidR="00720487" w:rsidRPr="004D3D70">
        <w:rPr>
          <w:lang w:val="fr-CH"/>
        </w:rPr>
        <w:t>ont pas été comptabilisées dans les dépenses courantes</w:t>
      </w:r>
      <w:r w:rsidR="00D760AE" w:rsidRPr="004D3D70">
        <w:rPr>
          <w:lang w:val="fr-CH"/>
        </w:rPr>
        <w:t>.</w:t>
      </w:r>
    </w:p>
    <w:p w:rsidR="00905890" w:rsidRPr="004D3D70" w:rsidRDefault="00905890" w:rsidP="00D760AE">
      <w:pPr>
        <w:rPr>
          <w:lang w:val="fr-CH"/>
        </w:rPr>
      </w:pPr>
    </w:p>
    <w:p w:rsidR="00905890" w:rsidRPr="004D3D70" w:rsidRDefault="001842BE" w:rsidP="001842BE">
      <w:pPr>
        <w:rPr>
          <w:lang w:val="fr-CH"/>
        </w:rPr>
      </w:pPr>
      <w:r w:rsidRPr="004D3D70">
        <w:rPr>
          <w:lang w:val="fr-CH"/>
        </w:rPr>
        <w:t>En application de l</w:t>
      </w:r>
      <w:r w:rsidR="004D3D70">
        <w:rPr>
          <w:lang w:val="fr-CH"/>
        </w:rPr>
        <w:t>’</w:t>
      </w:r>
      <w:r w:rsidRPr="004D3D70">
        <w:rPr>
          <w:lang w:val="fr-CH"/>
        </w:rPr>
        <w:t>Accord OMPI/UPOV du 2</w:t>
      </w:r>
      <w:r w:rsidR="004D3D70" w:rsidRPr="004D3D70">
        <w:rPr>
          <w:lang w:val="fr-CH"/>
        </w:rPr>
        <w:t>6</w:t>
      </w:r>
      <w:r w:rsidR="004D3D70">
        <w:rPr>
          <w:lang w:val="fr-CH"/>
        </w:rPr>
        <w:t> </w:t>
      </w:r>
      <w:r w:rsidR="004D3D70" w:rsidRPr="004D3D70">
        <w:rPr>
          <w:lang w:val="fr-CH"/>
        </w:rPr>
        <w:t>novembre</w:t>
      </w:r>
      <w:r w:rsidR="004D3D70">
        <w:rPr>
          <w:lang w:val="fr-CH"/>
        </w:rPr>
        <w:t> </w:t>
      </w:r>
      <w:r w:rsidR="004D3D70" w:rsidRPr="004D3D70">
        <w:rPr>
          <w:lang w:val="fr-CH"/>
        </w:rPr>
        <w:t>19</w:t>
      </w:r>
      <w:r w:rsidRPr="004D3D70">
        <w:rPr>
          <w:lang w:val="fr-CH"/>
        </w:rPr>
        <w:t>82, les fonctionnaires de l</w:t>
      </w:r>
      <w:r w:rsidR="004D3D70">
        <w:rPr>
          <w:lang w:val="fr-CH"/>
        </w:rPr>
        <w:t>’</w:t>
      </w:r>
      <w:r w:rsidRPr="004D3D70">
        <w:rPr>
          <w:lang w:val="fr-CH"/>
        </w:rPr>
        <w:t xml:space="preserve">UPOV participent à la Caisse commune des pensions du personnel des </w:t>
      </w:r>
      <w:r w:rsidR="004D3D70">
        <w:rPr>
          <w:lang w:val="fr-CH"/>
        </w:rPr>
        <w:t>Nations Unies</w:t>
      </w:r>
      <w:r w:rsidRPr="004D3D70">
        <w:rPr>
          <w:lang w:val="fr-CH"/>
        </w:rPr>
        <w:t xml:space="preserve"> (CCPPNU ou Caisse), créée par l</w:t>
      </w:r>
      <w:r w:rsidR="004D3D70">
        <w:rPr>
          <w:lang w:val="fr-CH"/>
        </w:rPr>
        <w:t>’</w:t>
      </w:r>
      <w:r w:rsidRPr="004D3D70">
        <w:rPr>
          <w:lang w:val="fr-CH"/>
        </w:rPr>
        <w:t xml:space="preserve">Assemblée générale des </w:t>
      </w:r>
      <w:r w:rsidR="004D3D70">
        <w:rPr>
          <w:lang w:val="fr-CH"/>
        </w:rPr>
        <w:t>Nations Unies</w:t>
      </w:r>
      <w:r w:rsidRPr="004D3D70">
        <w:rPr>
          <w:lang w:val="fr-CH"/>
        </w:rPr>
        <w:t xml:space="preserve"> pour assurer des prestations de retraite, de décès ou d</w:t>
      </w:r>
      <w:r w:rsidR="004D3D70">
        <w:rPr>
          <w:lang w:val="fr-CH"/>
        </w:rPr>
        <w:t>’</w:t>
      </w:r>
      <w:r w:rsidRPr="004D3D70">
        <w:rPr>
          <w:lang w:val="fr-CH"/>
        </w:rPr>
        <w:t>invalidité et des prestations connexes au personn</w:t>
      </w:r>
      <w:r w:rsidR="002140E0" w:rsidRPr="004D3D70">
        <w:rPr>
          <w:lang w:val="fr-CH"/>
        </w:rPr>
        <w:t>el</w:t>
      </w:r>
      <w:r w:rsidR="002140E0">
        <w:rPr>
          <w:lang w:val="fr-CH"/>
        </w:rPr>
        <w:t xml:space="preserve">.  </w:t>
      </w:r>
      <w:r w:rsidR="002140E0" w:rsidRPr="004D3D70">
        <w:rPr>
          <w:lang w:val="fr-CH"/>
        </w:rPr>
        <w:t>La</w:t>
      </w:r>
      <w:r w:rsidRPr="004D3D70">
        <w:rPr>
          <w:lang w:val="fr-CH"/>
        </w:rPr>
        <w:t xml:space="preserve"> Caisse est une caisse à capitalisation finançant des prestations définies;  elle est financée par de nombreux employeu</w:t>
      </w:r>
      <w:r w:rsidR="002140E0" w:rsidRPr="004D3D70">
        <w:rPr>
          <w:lang w:val="fr-CH"/>
        </w:rPr>
        <w:t>rs</w:t>
      </w:r>
      <w:r w:rsidR="002140E0">
        <w:rPr>
          <w:lang w:val="fr-CH"/>
        </w:rPr>
        <w:t xml:space="preserve">.  </w:t>
      </w:r>
      <w:r w:rsidR="002140E0" w:rsidRPr="004D3D70">
        <w:rPr>
          <w:lang w:val="fr-CH"/>
        </w:rPr>
        <w:t>Co</w:t>
      </w:r>
      <w:r w:rsidRPr="004D3D70">
        <w:rPr>
          <w:lang w:val="fr-CH"/>
        </w:rPr>
        <w:t>mme le précise l</w:t>
      </w:r>
      <w:r w:rsidR="004D3D70">
        <w:rPr>
          <w:lang w:val="fr-CH"/>
        </w:rPr>
        <w:t>’</w:t>
      </w:r>
      <w:r w:rsidR="004D3D70" w:rsidRPr="004D3D70">
        <w:rPr>
          <w:lang w:val="fr-CH"/>
        </w:rPr>
        <w:t>article</w:t>
      </w:r>
      <w:r w:rsidR="004D3D70">
        <w:rPr>
          <w:lang w:val="fr-CH"/>
        </w:rPr>
        <w:t> </w:t>
      </w:r>
      <w:r w:rsidR="004D3D70" w:rsidRPr="004D3D70">
        <w:rPr>
          <w:lang w:val="fr-CH"/>
        </w:rPr>
        <w:t>3</w:t>
      </w:r>
      <w:r w:rsidRPr="004D3D70">
        <w:rPr>
          <w:lang w:val="fr-CH"/>
        </w:rPr>
        <w:t>.b) du règlement de la Caisse, peuvent s</w:t>
      </w:r>
      <w:r w:rsidR="004D3D70">
        <w:rPr>
          <w:lang w:val="fr-CH"/>
        </w:rPr>
        <w:t>’</w:t>
      </w:r>
      <w:r w:rsidRPr="004D3D70">
        <w:rPr>
          <w:lang w:val="fr-CH"/>
        </w:rPr>
        <w:t>affilier à la Caisse les institutions spécialisées ainsi que toute autre organisation intergouvernementale internationale qui applique le régime commun de traitements, indemnités et autres conditions d</w:t>
      </w:r>
      <w:r w:rsidR="004D3D70">
        <w:rPr>
          <w:lang w:val="fr-CH"/>
        </w:rPr>
        <w:t>’</w:t>
      </w:r>
      <w:r w:rsidRPr="004D3D70">
        <w:rPr>
          <w:lang w:val="fr-CH"/>
        </w:rPr>
        <w:t>emploi de l</w:t>
      </w:r>
      <w:r w:rsidR="004D3D70">
        <w:rPr>
          <w:lang w:val="fr-CH"/>
        </w:rPr>
        <w:t>’</w:t>
      </w:r>
      <w:r w:rsidRPr="004D3D70">
        <w:rPr>
          <w:lang w:val="fr-CH"/>
        </w:rPr>
        <w:t xml:space="preserve">Organisation des </w:t>
      </w:r>
      <w:r w:rsidR="004D3D70">
        <w:rPr>
          <w:lang w:val="fr-CH"/>
        </w:rPr>
        <w:t>Nations Unies</w:t>
      </w:r>
      <w:r w:rsidRPr="004D3D70">
        <w:rPr>
          <w:lang w:val="fr-CH"/>
        </w:rPr>
        <w:t xml:space="preserve"> et des institutions spécialisées.</w:t>
      </w:r>
    </w:p>
    <w:p w:rsidR="00905890" w:rsidRPr="004D3D70" w:rsidRDefault="00905890" w:rsidP="00D760AE">
      <w:pPr>
        <w:rPr>
          <w:lang w:val="fr-CH"/>
        </w:rPr>
      </w:pPr>
    </w:p>
    <w:p w:rsidR="00905890" w:rsidRPr="004D3D70" w:rsidRDefault="001842BE" w:rsidP="001842BE">
      <w:pPr>
        <w:rPr>
          <w:lang w:val="fr-CH"/>
        </w:rPr>
      </w:pPr>
      <w:r w:rsidRPr="004D3D70">
        <w:rPr>
          <w:lang w:val="fr-CH"/>
        </w:rPr>
        <w:t>La Caisse expose les organisations participantes à des risques actuariels liés aux fonctionnaires retraités et en poste d</w:t>
      </w:r>
      <w:r w:rsidR="004D3D70">
        <w:rPr>
          <w:lang w:val="fr-CH"/>
        </w:rPr>
        <w:t>’</w:t>
      </w:r>
      <w:r w:rsidRPr="004D3D70">
        <w:rPr>
          <w:lang w:val="fr-CH"/>
        </w:rPr>
        <w:t>autres organisations qui y participent, d</w:t>
      </w:r>
      <w:r w:rsidR="004D3D70">
        <w:rPr>
          <w:lang w:val="fr-CH"/>
        </w:rPr>
        <w:t>’</w:t>
      </w:r>
      <w:r w:rsidRPr="004D3D70">
        <w:rPr>
          <w:lang w:val="fr-CH"/>
        </w:rPr>
        <w:t>où l</w:t>
      </w:r>
      <w:r w:rsidR="004D3D70">
        <w:rPr>
          <w:lang w:val="fr-CH"/>
        </w:rPr>
        <w:t>’</w:t>
      </w:r>
      <w:r w:rsidRPr="004D3D70">
        <w:rPr>
          <w:lang w:val="fr-CH"/>
        </w:rPr>
        <w:t>absence de base cohérente et fiable pour répartir l</w:t>
      </w:r>
      <w:r w:rsidR="004D3D70">
        <w:rPr>
          <w:lang w:val="fr-CH"/>
        </w:rPr>
        <w:t>’</w:t>
      </w:r>
      <w:r w:rsidRPr="004D3D70">
        <w:rPr>
          <w:lang w:val="fr-CH"/>
        </w:rPr>
        <w:t>obligation, les actifs et les coûts de la Caisse entre les différentes organisations participantes.  L</w:t>
      </w:r>
      <w:r w:rsidR="004D3D70">
        <w:rPr>
          <w:lang w:val="fr-CH"/>
        </w:rPr>
        <w:t>’</w:t>
      </w:r>
      <w:r w:rsidRPr="004D3D70">
        <w:rPr>
          <w:lang w:val="fr-CH"/>
        </w:rPr>
        <w:t>UPOV et la Caisse, tout comme d</w:t>
      </w:r>
      <w:r w:rsidR="004D3D70">
        <w:rPr>
          <w:lang w:val="fr-CH"/>
        </w:rPr>
        <w:t>’</w:t>
      </w:r>
      <w:r w:rsidRPr="004D3D70">
        <w:rPr>
          <w:lang w:val="fr-CH"/>
        </w:rPr>
        <w:t>autres organisations affiliées, ne sont pas en mesure de déterminer la quote</w:t>
      </w:r>
      <w:r w:rsidR="00665FEC">
        <w:rPr>
          <w:lang w:val="fr-CH"/>
        </w:rPr>
        <w:noBreakHyphen/>
      </w:r>
      <w:r w:rsidRPr="004D3D70">
        <w:rPr>
          <w:lang w:val="fr-CH"/>
        </w:rPr>
        <w:t>part de l</w:t>
      </w:r>
      <w:r w:rsidR="004D3D70">
        <w:rPr>
          <w:lang w:val="fr-CH"/>
        </w:rPr>
        <w:t>’</w:t>
      </w:r>
      <w:r w:rsidRPr="004D3D70">
        <w:rPr>
          <w:lang w:val="fr-CH"/>
        </w:rPr>
        <w:t>UPOV en ce qui concerne les obligations relatives à des prestations définies, les actifs et les coûts relatifs à des prestations définies, de manière suffisamment fiable à des fins comptables.</w:t>
      </w:r>
      <w:r w:rsidR="00D760AE" w:rsidRPr="004D3D70">
        <w:rPr>
          <w:lang w:val="fr-CH"/>
        </w:rPr>
        <w:t xml:space="preserve"> </w:t>
      </w:r>
      <w:r w:rsidR="00AC2A6B">
        <w:rPr>
          <w:lang w:val="fr-CH"/>
        </w:rPr>
        <w:t xml:space="preserve"> </w:t>
      </w:r>
      <w:r w:rsidRPr="004D3D70">
        <w:rPr>
          <w:lang w:val="fr-CH"/>
        </w:rPr>
        <w:t>L</w:t>
      </w:r>
      <w:r w:rsidR="004D3D70">
        <w:rPr>
          <w:lang w:val="fr-CH"/>
        </w:rPr>
        <w:t>’</w:t>
      </w:r>
      <w:r w:rsidRPr="004D3D70">
        <w:rPr>
          <w:lang w:val="fr-CH"/>
        </w:rPr>
        <w:t>UPOV l</w:t>
      </w:r>
      <w:r w:rsidR="004D3D70">
        <w:rPr>
          <w:lang w:val="fr-CH"/>
        </w:rPr>
        <w:t>’</w:t>
      </w:r>
      <w:r w:rsidRPr="004D3D70">
        <w:rPr>
          <w:lang w:val="fr-CH"/>
        </w:rPr>
        <w:t>a donc comptabilisée comme s</w:t>
      </w:r>
      <w:r w:rsidR="004D3D70">
        <w:rPr>
          <w:lang w:val="fr-CH"/>
        </w:rPr>
        <w:t>’</w:t>
      </w:r>
      <w:r w:rsidRPr="004D3D70">
        <w:rPr>
          <w:lang w:val="fr-CH"/>
        </w:rPr>
        <w:t>il s</w:t>
      </w:r>
      <w:r w:rsidR="004D3D70">
        <w:rPr>
          <w:lang w:val="fr-CH"/>
        </w:rPr>
        <w:t>’</w:t>
      </w:r>
      <w:r w:rsidRPr="004D3D70">
        <w:rPr>
          <w:lang w:val="fr-CH"/>
        </w:rPr>
        <w:t>agissait d</w:t>
      </w:r>
      <w:r w:rsidR="004D3D70">
        <w:rPr>
          <w:lang w:val="fr-CH"/>
        </w:rPr>
        <w:t>’</w:t>
      </w:r>
      <w:r w:rsidRPr="004D3D70">
        <w:rPr>
          <w:lang w:val="fr-CH"/>
        </w:rPr>
        <w:t>un régime à contributions déterminées sur la base de la norme IPSAS 39.  Les contributions de l</w:t>
      </w:r>
      <w:r w:rsidR="004D3D70">
        <w:rPr>
          <w:lang w:val="fr-CH"/>
        </w:rPr>
        <w:t>’</w:t>
      </w:r>
      <w:r w:rsidRPr="004D3D70">
        <w:rPr>
          <w:lang w:val="fr-CH"/>
        </w:rPr>
        <w:t>UPOV à la Caisse durant la période financière sont comptabilisées comme dépenses dans l</w:t>
      </w:r>
      <w:r w:rsidR="004D3D70">
        <w:rPr>
          <w:lang w:val="fr-CH"/>
        </w:rPr>
        <w:t>’</w:t>
      </w:r>
      <w:r w:rsidRPr="004D3D70">
        <w:rPr>
          <w:lang w:val="fr-CH"/>
        </w:rPr>
        <w:t>état de la performance financière.</w:t>
      </w:r>
    </w:p>
    <w:p w:rsidR="00905890" w:rsidRPr="004D3D70" w:rsidRDefault="00905890" w:rsidP="00A824AF">
      <w:pPr>
        <w:rPr>
          <w:lang w:val="fr-CH"/>
        </w:rPr>
      </w:pPr>
    </w:p>
    <w:p w:rsidR="00905890" w:rsidRPr="004D3D70" w:rsidRDefault="001842BE" w:rsidP="001842BE">
      <w:pPr>
        <w:pStyle w:val="Style3"/>
        <w:spacing w:after="0"/>
        <w:rPr>
          <w:rFonts w:cs="Arial"/>
          <w:b/>
          <w:sz w:val="20"/>
          <w:lang w:val="fr-CH"/>
        </w:rPr>
      </w:pPr>
      <w:r w:rsidRPr="004D3D70">
        <w:rPr>
          <w:rFonts w:cs="Arial"/>
          <w:b/>
          <w:sz w:val="20"/>
          <w:lang w:val="fr-CH"/>
        </w:rPr>
        <w:t>Provisions</w:t>
      </w:r>
    </w:p>
    <w:p w:rsidR="00905890" w:rsidRPr="004D3D70" w:rsidRDefault="00905890" w:rsidP="00A824AF">
      <w:pPr>
        <w:rPr>
          <w:lang w:val="fr-CH"/>
        </w:rPr>
      </w:pPr>
    </w:p>
    <w:p w:rsidR="004D3D70" w:rsidRDefault="001842BE" w:rsidP="001842BE">
      <w:pPr>
        <w:pStyle w:val="Style3"/>
        <w:spacing w:after="0"/>
        <w:rPr>
          <w:rFonts w:cs="Arial"/>
          <w:sz w:val="20"/>
          <w:lang w:val="fr-CH"/>
        </w:rPr>
      </w:pPr>
      <w:r w:rsidRPr="004D3D70">
        <w:rPr>
          <w:rFonts w:cs="Arial"/>
          <w:sz w:val="20"/>
          <w:lang w:val="fr-CH"/>
        </w:rPr>
        <w:t>Des provisions sont comptabilisées lorsqu</w:t>
      </w:r>
      <w:r w:rsidR="004D3D70">
        <w:rPr>
          <w:rFonts w:cs="Arial"/>
          <w:sz w:val="20"/>
          <w:lang w:val="fr-CH"/>
        </w:rPr>
        <w:t>’</w:t>
      </w:r>
      <w:r w:rsidRPr="004D3D70">
        <w:rPr>
          <w:rFonts w:cs="Arial"/>
          <w:sz w:val="20"/>
          <w:lang w:val="fr-CH"/>
        </w:rPr>
        <w:t>il existe une obligation juridique ou implicite née d</w:t>
      </w:r>
      <w:r w:rsidR="004D3D70">
        <w:rPr>
          <w:rFonts w:cs="Arial"/>
          <w:sz w:val="20"/>
          <w:lang w:val="fr-CH"/>
        </w:rPr>
        <w:t>’</w:t>
      </w:r>
      <w:r w:rsidRPr="004D3D70">
        <w:rPr>
          <w:rFonts w:cs="Arial"/>
          <w:sz w:val="20"/>
          <w:lang w:val="fr-CH"/>
        </w:rPr>
        <w:t>un événement passé, qu</w:t>
      </w:r>
      <w:r w:rsidR="004D3D70">
        <w:rPr>
          <w:rFonts w:cs="Arial"/>
          <w:sz w:val="20"/>
          <w:lang w:val="fr-CH"/>
        </w:rPr>
        <w:t>’</w:t>
      </w:r>
      <w:r w:rsidRPr="004D3D70">
        <w:rPr>
          <w:rFonts w:cs="Arial"/>
          <w:sz w:val="20"/>
          <w:lang w:val="fr-CH"/>
        </w:rPr>
        <w:t>il est probable qu</w:t>
      </w:r>
      <w:r w:rsidR="004D3D70">
        <w:rPr>
          <w:rFonts w:cs="Arial"/>
          <w:sz w:val="20"/>
          <w:lang w:val="fr-CH"/>
        </w:rPr>
        <w:t>’</w:t>
      </w:r>
      <w:r w:rsidRPr="004D3D70">
        <w:rPr>
          <w:rFonts w:cs="Arial"/>
          <w:sz w:val="20"/>
          <w:lang w:val="fr-CH"/>
        </w:rPr>
        <w:t>une dépense sera nécessaire pour régler l</w:t>
      </w:r>
      <w:r w:rsidR="004D3D70">
        <w:rPr>
          <w:rFonts w:cs="Arial"/>
          <w:sz w:val="20"/>
          <w:lang w:val="fr-CH"/>
        </w:rPr>
        <w:t>’</w:t>
      </w:r>
      <w:r w:rsidRPr="004D3D70">
        <w:rPr>
          <w:rFonts w:cs="Arial"/>
          <w:sz w:val="20"/>
          <w:lang w:val="fr-CH"/>
        </w:rPr>
        <w:t>obligation et que le montant de l</w:t>
      </w:r>
      <w:r w:rsidR="004D3D70">
        <w:rPr>
          <w:rFonts w:cs="Arial"/>
          <w:sz w:val="20"/>
          <w:lang w:val="fr-CH"/>
        </w:rPr>
        <w:t>’</w:t>
      </w:r>
      <w:r w:rsidRPr="004D3D70">
        <w:rPr>
          <w:rFonts w:cs="Arial"/>
          <w:sz w:val="20"/>
          <w:lang w:val="fr-CH"/>
        </w:rPr>
        <w:t>obligation peut être estimé de manière fiable.</w:t>
      </w:r>
    </w:p>
    <w:p w:rsidR="00905890" w:rsidRDefault="00905890" w:rsidP="00A824AF">
      <w:pPr>
        <w:rPr>
          <w:b/>
          <w:lang w:val="fr-CH"/>
        </w:rPr>
      </w:pPr>
    </w:p>
    <w:p w:rsidR="00905890" w:rsidRPr="004D3D70" w:rsidRDefault="001842BE" w:rsidP="001842BE">
      <w:pPr>
        <w:pStyle w:val="Style3Bold"/>
        <w:spacing w:after="0"/>
        <w:rPr>
          <w:rFonts w:cs="Arial"/>
          <w:sz w:val="20"/>
          <w:lang w:val="fr-CH"/>
        </w:rPr>
      </w:pPr>
      <w:r w:rsidRPr="004D3D70">
        <w:rPr>
          <w:rFonts w:cs="Arial"/>
          <w:sz w:val="20"/>
          <w:lang w:val="fr-CH"/>
        </w:rPr>
        <w:t>Comptabilisation des produits</w:t>
      </w:r>
    </w:p>
    <w:p w:rsidR="00905890" w:rsidRPr="004D3D70" w:rsidRDefault="00905890" w:rsidP="00A824AF">
      <w:pPr>
        <w:rPr>
          <w:lang w:val="fr-CH"/>
        </w:rPr>
      </w:pPr>
    </w:p>
    <w:p w:rsidR="00905890" w:rsidRPr="004D3D70" w:rsidRDefault="001842BE" w:rsidP="001842BE">
      <w:pPr>
        <w:pStyle w:val="Style3"/>
        <w:spacing w:after="0"/>
        <w:rPr>
          <w:rFonts w:cs="Arial"/>
          <w:sz w:val="20"/>
          <w:lang w:val="fr-CH"/>
        </w:rPr>
      </w:pPr>
      <w:r w:rsidRPr="004D3D70">
        <w:rPr>
          <w:rFonts w:cs="Arial"/>
          <w:sz w:val="20"/>
          <w:lang w:val="fr-CH"/>
        </w:rPr>
        <w:t>Les produits d</w:t>
      </w:r>
      <w:r w:rsidR="004D3D70">
        <w:rPr>
          <w:rFonts w:cs="Arial"/>
          <w:sz w:val="20"/>
          <w:lang w:val="fr-CH"/>
        </w:rPr>
        <w:t>’</w:t>
      </w:r>
      <w:r w:rsidRPr="004D3D70">
        <w:rPr>
          <w:rFonts w:cs="Arial"/>
          <w:sz w:val="20"/>
          <w:lang w:val="fr-CH"/>
        </w:rPr>
        <w:t>opérations sans contrepartie directe tels que les ressources extrabudgétaires (fonds</w:t>
      </w:r>
      <w:r w:rsidR="00781869">
        <w:rPr>
          <w:rFonts w:cs="Arial"/>
          <w:sz w:val="20"/>
          <w:lang w:val="fr-CH"/>
        </w:rPr>
        <w:t> </w:t>
      </w:r>
      <w:r w:rsidRPr="004D3D70">
        <w:rPr>
          <w:rFonts w:cs="Arial"/>
          <w:sz w:val="20"/>
          <w:lang w:val="fr-CH"/>
        </w:rPr>
        <w:t>fiduciaires) fondés sur des accords ayant force exécutoire sont comptabilisés comme produits au moment où l</w:t>
      </w:r>
      <w:r w:rsidR="004D3D70">
        <w:rPr>
          <w:rFonts w:cs="Arial"/>
          <w:sz w:val="20"/>
          <w:lang w:val="fr-CH"/>
        </w:rPr>
        <w:t>’</w:t>
      </w:r>
      <w:r w:rsidRPr="004D3D70">
        <w:rPr>
          <w:rFonts w:cs="Arial"/>
          <w:sz w:val="20"/>
          <w:lang w:val="fr-CH"/>
        </w:rPr>
        <w:t>accord devient contraignant, à moins que l</w:t>
      </w:r>
      <w:r w:rsidR="004D3D70">
        <w:rPr>
          <w:rFonts w:cs="Arial"/>
          <w:sz w:val="20"/>
          <w:lang w:val="fr-CH"/>
        </w:rPr>
        <w:t>’</w:t>
      </w:r>
      <w:r w:rsidRPr="004D3D70">
        <w:rPr>
          <w:rFonts w:cs="Arial"/>
          <w:sz w:val="20"/>
          <w:lang w:val="fr-CH"/>
        </w:rPr>
        <w:t>accord ne prévoie des conditions relatives à des résultats spécifiques ou au remboursement de soldes non dépens</w:t>
      </w:r>
      <w:r w:rsidR="002140E0" w:rsidRPr="004D3D70">
        <w:rPr>
          <w:rFonts w:cs="Arial"/>
          <w:sz w:val="20"/>
          <w:lang w:val="fr-CH"/>
        </w:rPr>
        <w:t>és</w:t>
      </w:r>
      <w:r w:rsidR="002140E0">
        <w:rPr>
          <w:rFonts w:cs="Arial"/>
          <w:sz w:val="20"/>
          <w:lang w:val="fr-CH"/>
        </w:rPr>
        <w:t xml:space="preserve">.  </w:t>
      </w:r>
      <w:r w:rsidR="002140E0" w:rsidRPr="004D3D70">
        <w:rPr>
          <w:rFonts w:cs="Arial"/>
          <w:sz w:val="20"/>
          <w:lang w:val="fr-CH"/>
        </w:rPr>
        <w:t>Ce</w:t>
      </w:r>
      <w:r w:rsidRPr="004D3D70">
        <w:rPr>
          <w:rFonts w:cs="Arial"/>
          <w:sz w:val="20"/>
          <w:lang w:val="fr-CH"/>
        </w:rPr>
        <w:t xml:space="preserve">s accords exigent la </w:t>
      </w:r>
      <w:r w:rsidRPr="004D3D70">
        <w:rPr>
          <w:rFonts w:cs="Arial"/>
          <w:sz w:val="20"/>
          <w:lang w:val="fr-CH"/>
        </w:rPr>
        <w:lastRenderedPageBreak/>
        <w:t>reconnaissance initiale d</w:t>
      </w:r>
      <w:r w:rsidR="004D3D70">
        <w:rPr>
          <w:rFonts w:cs="Arial"/>
          <w:sz w:val="20"/>
          <w:lang w:val="fr-CH"/>
        </w:rPr>
        <w:t>’</w:t>
      </w:r>
      <w:r w:rsidRPr="004D3D70">
        <w:rPr>
          <w:rFonts w:cs="Arial"/>
          <w:sz w:val="20"/>
          <w:lang w:val="fr-CH"/>
        </w:rPr>
        <w:t>une obligation de différer la comptabilisation des produits, les produits étant ensuite comptabilisés au fur et à mesure que l</w:t>
      </w:r>
      <w:r w:rsidR="004D3D70">
        <w:rPr>
          <w:rFonts w:cs="Arial"/>
          <w:sz w:val="20"/>
          <w:lang w:val="fr-CH"/>
        </w:rPr>
        <w:t>’</w:t>
      </w:r>
      <w:r w:rsidRPr="004D3D70">
        <w:rPr>
          <w:rFonts w:cs="Arial"/>
          <w:sz w:val="20"/>
          <w:lang w:val="fr-CH"/>
        </w:rPr>
        <w:t>obligation prévue par l</w:t>
      </w:r>
      <w:r w:rsidR="004D3D70">
        <w:rPr>
          <w:rFonts w:cs="Arial"/>
          <w:sz w:val="20"/>
          <w:lang w:val="fr-CH"/>
        </w:rPr>
        <w:t>’</w:t>
      </w:r>
      <w:r w:rsidRPr="004D3D70">
        <w:rPr>
          <w:rFonts w:cs="Arial"/>
          <w:sz w:val="20"/>
          <w:lang w:val="fr-CH"/>
        </w:rPr>
        <w:t>accord est remplie.</w:t>
      </w:r>
    </w:p>
    <w:p w:rsidR="00905890" w:rsidRPr="004D3D70" w:rsidRDefault="00905890" w:rsidP="00A824AF">
      <w:pPr>
        <w:pStyle w:val="Style3"/>
        <w:spacing w:after="0"/>
        <w:rPr>
          <w:rFonts w:cs="Arial"/>
          <w:sz w:val="20"/>
          <w:lang w:val="fr-CH"/>
        </w:rPr>
      </w:pPr>
    </w:p>
    <w:p w:rsidR="00905890" w:rsidRPr="004D3D70" w:rsidRDefault="001842BE" w:rsidP="001842BE">
      <w:pPr>
        <w:pStyle w:val="Style3Bold"/>
        <w:spacing w:after="0"/>
        <w:rPr>
          <w:rFonts w:cs="Arial"/>
          <w:b w:val="0"/>
          <w:sz w:val="20"/>
          <w:lang w:val="fr-CH"/>
        </w:rPr>
      </w:pPr>
      <w:r w:rsidRPr="004D3D70">
        <w:rPr>
          <w:rFonts w:cs="Arial"/>
          <w:b w:val="0"/>
          <w:sz w:val="20"/>
          <w:lang w:val="fr-CH"/>
        </w:rPr>
        <w:t>Les contributions sont comptabilisées comme produits au début de chaque année de l</w:t>
      </w:r>
      <w:r w:rsidR="004D3D70">
        <w:rPr>
          <w:rFonts w:cs="Arial"/>
          <w:b w:val="0"/>
          <w:sz w:val="20"/>
          <w:lang w:val="fr-CH"/>
        </w:rPr>
        <w:t>’</w:t>
      </w:r>
      <w:r w:rsidRPr="004D3D70">
        <w:rPr>
          <w:rFonts w:cs="Arial"/>
          <w:b w:val="0"/>
          <w:sz w:val="20"/>
          <w:lang w:val="fr-CH"/>
        </w:rPr>
        <w:t>exercice budgétaire sur laquelle porte la contribution.</w:t>
      </w:r>
    </w:p>
    <w:p w:rsidR="00905890" w:rsidRPr="004D3D70" w:rsidRDefault="00905890" w:rsidP="00A824AF">
      <w:pPr>
        <w:pStyle w:val="Style3Bold"/>
        <w:spacing w:after="0"/>
        <w:rPr>
          <w:rFonts w:cs="Arial"/>
          <w:b w:val="0"/>
          <w:sz w:val="20"/>
          <w:lang w:val="fr-CH"/>
        </w:rPr>
      </w:pPr>
    </w:p>
    <w:p w:rsidR="00905890" w:rsidRPr="004D3D70" w:rsidRDefault="001842BE" w:rsidP="001842BE">
      <w:pPr>
        <w:pStyle w:val="Style3Bold"/>
        <w:spacing w:after="0"/>
        <w:rPr>
          <w:rFonts w:cs="Arial"/>
          <w:b w:val="0"/>
          <w:sz w:val="20"/>
          <w:lang w:val="fr-CH"/>
        </w:rPr>
      </w:pPr>
      <w:r w:rsidRPr="004D3D70">
        <w:rPr>
          <w:rFonts w:cs="Arial"/>
          <w:b w:val="0"/>
          <w:sz w:val="20"/>
          <w:lang w:val="fr-CH"/>
        </w:rPr>
        <w:t>Les contributions de services en nature ne sont pas comptabilisées dans les états financiers.</w:t>
      </w:r>
    </w:p>
    <w:p w:rsidR="00905890" w:rsidRPr="004D3D70" w:rsidRDefault="00905890" w:rsidP="00A824AF">
      <w:pPr>
        <w:pStyle w:val="Style3Bold"/>
        <w:spacing w:after="0"/>
        <w:rPr>
          <w:rFonts w:cs="Arial"/>
          <w:sz w:val="20"/>
          <w:lang w:val="fr-CH"/>
        </w:rPr>
      </w:pPr>
    </w:p>
    <w:p w:rsidR="00905890" w:rsidRPr="004D3D70" w:rsidRDefault="001842BE" w:rsidP="001842BE">
      <w:pPr>
        <w:pStyle w:val="Style3Bold"/>
        <w:spacing w:after="0"/>
        <w:rPr>
          <w:rFonts w:cs="Arial"/>
          <w:sz w:val="20"/>
          <w:lang w:val="fr-CH"/>
        </w:rPr>
      </w:pPr>
      <w:r w:rsidRPr="004D3D70">
        <w:rPr>
          <w:rFonts w:cs="Arial"/>
          <w:sz w:val="20"/>
          <w:lang w:val="fr-CH"/>
        </w:rPr>
        <w:t>Comptabilisation en charges</w:t>
      </w:r>
    </w:p>
    <w:p w:rsidR="00905890" w:rsidRPr="004D3D70" w:rsidRDefault="00905890" w:rsidP="00A824AF">
      <w:pPr>
        <w:pStyle w:val="Style3"/>
        <w:spacing w:after="0"/>
        <w:rPr>
          <w:rFonts w:cs="Arial"/>
          <w:sz w:val="20"/>
          <w:lang w:val="fr-CH"/>
        </w:rPr>
      </w:pPr>
    </w:p>
    <w:p w:rsidR="00905890" w:rsidRPr="004D3D70" w:rsidRDefault="001842BE" w:rsidP="001842BE">
      <w:pPr>
        <w:pStyle w:val="Style3"/>
        <w:spacing w:after="0"/>
        <w:rPr>
          <w:rFonts w:cs="Arial"/>
          <w:sz w:val="20"/>
          <w:lang w:val="fr-CH"/>
        </w:rPr>
      </w:pPr>
      <w:r w:rsidRPr="004D3D70">
        <w:rPr>
          <w:rFonts w:cs="Arial"/>
          <w:sz w:val="20"/>
          <w:lang w:val="fr-CH"/>
        </w:rPr>
        <w:t>Les charges sont comptabilisées lorsque les marchandises sont livrées et les services fournis.</w:t>
      </w:r>
    </w:p>
    <w:p w:rsidR="00905890" w:rsidRPr="004D3D70" w:rsidRDefault="00905890" w:rsidP="00A824AF">
      <w:pPr>
        <w:pStyle w:val="Style3"/>
        <w:spacing w:after="0"/>
        <w:rPr>
          <w:rFonts w:cs="Arial"/>
          <w:sz w:val="20"/>
          <w:lang w:val="fr-CH"/>
        </w:rPr>
      </w:pPr>
    </w:p>
    <w:p w:rsidR="00905890" w:rsidRPr="004D3D70" w:rsidRDefault="001842BE" w:rsidP="001842BE">
      <w:pPr>
        <w:pStyle w:val="Style3Bold"/>
        <w:spacing w:after="0"/>
        <w:rPr>
          <w:rFonts w:cs="Arial"/>
          <w:sz w:val="20"/>
          <w:lang w:val="fr-CH"/>
        </w:rPr>
      </w:pPr>
      <w:r w:rsidRPr="004D3D70">
        <w:rPr>
          <w:rFonts w:cs="Arial"/>
          <w:sz w:val="20"/>
          <w:lang w:val="fr-CH"/>
        </w:rPr>
        <w:t>Instruments financiers</w:t>
      </w:r>
    </w:p>
    <w:p w:rsidR="00905890" w:rsidRPr="004D3D70" w:rsidRDefault="00905890" w:rsidP="00A824AF">
      <w:pPr>
        <w:pStyle w:val="Style3"/>
        <w:spacing w:after="0"/>
        <w:rPr>
          <w:rFonts w:cs="Arial"/>
          <w:sz w:val="20"/>
          <w:lang w:val="fr-CH"/>
        </w:rPr>
      </w:pPr>
    </w:p>
    <w:p w:rsidR="00905890" w:rsidRPr="004D3D70" w:rsidRDefault="001842BE" w:rsidP="001842BE">
      <w:pPr>
        <w:pStyle w:val="Style3"/>
        <w:spacing w:after="0"/>
        <w:rPr>
          <w:rFonts w:cs="Arial"/>
          <w:b/>
          <w:i/>
          <w:sz w:val="20"/>
          <w:lang w:val="fr-CH"/>
        </w:rPr>
      </w:pPr>
      <w:r w:rsidRPr="004D3D70">
        <w:rPr>
          <w:rFonts w:cs="Arial"/>
          <w:b/>
          <w:i/>
          <w:sz w:val="20"/>
          <w:lang w:val="fr-CH"/>
        </w:rPr>
        <w:t>Actifs financiers</w:t>
      </w:r>
    </w:p>
    <w:p w:rsidR="00905890" w:rsidRPr="004D3D70" w:rsidRDefault="00905890" w:rsidP="00A824AF">
      <w:pPr>
        <w:autoSpaceDE w:val="0"/>
        <w:autoSpaceDN w:val="0"/>
        <w:adjustRightInd w:val="0"/>
        <w:rPr>
          <w:bCs/>
          <w:lang w:val="fr-CH"/>
        </w:rPr>
      </w:pPr>
    </w:p>
    <w:p w:rsidR="004D3D70" w:rsidRDefault="001842BE" w:rsidP="001842BE">
      <w:pPr>
        <w:autoSpaceDE w:val="0"/>
        <w:autoSpaceDN w:val="0"/>
        <w:adjustRightInd w:val="0"/>
        <w:rPr>
          <w:bCs/>
          <w:lang w:val="fr-CH"/>
        </w:rPr>
      </w:pPr>
      <w:r w:rsidRPr="004D3D70">
        <w:rPr>
          <w:bCs/>
          <w:lang w:val="fr-CH"/>
        </w:rPr>
        <w:t>Comptabilisation et évaluation initiales</w:t>
      </w:r>
      <w:r w:rsidR="004D3D70">
        <w:rPr>
          <w:bCs/>
          <w:lang w:val="fr-CH"/>
        </w:rPr>
        <w:t> :</w:t>
      </w:r>
    </w:p>
    <w:p w:rsidR="00905890" w:rsidRPr="004D3D70" w:rsidRDefault="001842BE" w:rsidP="001842BE">
      <w:pPr>
        <w:autoSpaceDE w:val="0"/>
        <w:autoSpaceDN w:val="0"/>
        <w:adjustRightInd w:val="0"/>
        <w:rPr>
          <w:lang w:val="fr-CH"/>
        </w:rPr>
      </w:pPr>
      <w:r w:rsidRPr="004D3D70">
        <w:rPr>
          <w:lang w:val="fr-CH"/>
        </w:rPr>
        <w:t>Les actifs financiers qui relèvent de la norme</w:t>
      </w:r>
      <w:r w:rsidR="00A07A72">
        <w:rPr>
          <w:lang w:val="fr-CH"/>
        </w:rPr>
        <w:t xml:space="preserve"> </w:t>
      </w:r>
      <w:r w:rsidRPr="004D3D70">
        <w:rPr>
          <w:lang w:val="fr-CH"/>
        </w:rPr>
        <w:t>I</w:t>
      </w:r>
      <w:r w:rsidR="00A07A72">
        <w:rPr>
          <w:lang w:val="fr-CH"/>
        </w:rPr>
        <w:t>PSAS </w:t>
      </w:r>
      <w:r w:rsidRPr="004D3D70">
        <w:rPr>
          <w:lang w:val="fr-CH"/>
        </w:rPr>
        <w:t>29</w:t>
      </w:r>
      <w:r w:rsidR="00A07A72">
        <w:rPr>
          <w:lang w:val="fr-CH"/>
        </w:rPr>
        <w:t xml:space="preserve"> </w:t>
      </w:r>
      <w:r w:rsidRPr="004D3D70">
        <w:rPr>
          <w:i/>
          <w:lang w:val="fr-CH"/>
        </w:rPr>
        <w:t>Instruments financiers</w:t>
      </w:r>
      <w:r w:rsidR="004D3D70">
        <w:rPr>
          <w:lang w:val="fr-CH"/>
        </w:rPr>
        <w:t> :</w:t>
      </w:r>
      <w:r w:rsidRPr="004D3D70">
        <w:rPr>
          <w:i/>
          <w:lang w:val="fr-CH"/>
        </w:rPr>
        <w:t xml:space="preserve"> comptabilisation et évaluation </w:t>
      </w:r>
      <w:r w:rsidRPr="004D3D70">
        <w:rPr>
          <w:lang w:val="fr-CH"/>
        </w:rPr>
        <w:t>sont classés comme des actifs financiers à juste valeur par le biais de l</w:t>
      </w:r>
      <w:r w:rsidR="004D3D70">
        <w:rPr>
          <w:lang w:val="fr-CH"/>
        </w:rPr>
        <w:t>’</w:t>
      </w:r>
      <w:r w:rsidRPr="004D3D70">
        <w:rPr>
          <w:lang w:val="fr-CH"/>
        </w:rPr>
        <w:t>excédent ou du déficit, des prêts et comptes créanciers, des investissements détenus jusqu</w:t>
      </w:r>
      <w:r w:rsidR="004D3D70">
        <w:rPr>
          <w:lang w:val="fr-CH"/>
        </w:rPr>
        <w:t>’</w:t>
      </w:r>
      <w:r w:rsidRPr="004D3D70">
        <w:rPr>
          <w:lang w:val="fr-CH"/>
        </w:rPr>
        <w:t>à leur échéance finale ou des actifs financiers disponibles à la vente, selon le cas.  L</w:t>
      </w:r>
      <w:r w:rsidR="004D3D70">
        <w:rPr>
          <w:lang w:val="fr-CH"/>
        </w:rPr>
        <w:t>’</w:t>
      </w:r>
      <w:r w:rsidRPr="004D3D70">
        <w:rPr>
          <w:lang w:val="fr-CH"/>
        </w:rPr>
        <w:t>UPOV détermine la classification de ses actifs financiers à leur comptabilisation initia</w:t>
      </w:r>
      <w:r w:rsidR="002140E0" w:rsidRPr="004D3D70">
        <w:rPr>
          <w:lang w:val="fr-CH"/>
        </w:rPr>
        <w:t>le</w:t>
      </w:r>
      <w:r w:rsidR="002140E0">
        <w:rPr>
          <w:lang w:val="fr-CH"/>
        </w:rPr>
        <w:t xml:space="preserve">.  </w:t>
      </w:r>
      <w:r w:rsidR="002140E0" w:rsidRPr="004D3D70">
        <w:rPr>
          <w:lang w:val="fr-CH"/>
        </w:rPr>
        <w:t>Le</w:t>
      </w:r>
      <w:r w:rsidRPr="004D3D70">
        <w:rPr>
          <w:lang w:val="fr-CH"/>
        </w:rPr>
        <w:t>s actifs financiers de l</w:t>
      </w:r>
      <w:r w:rsidR="004D3D70">
        <w:rPr>
          <w:lang w:val="fr-CH"/>
        </w:rPr>
        <w:t>’</w:t>
      </w:r>
      <w:r w:rsidRPr="004D3D70">
        <w:rPr>
          <w:lang w:val="fr-CH"/>
        </w:rPr>
        <w:t>UPOV comprennent les liquidités, les dépôts à court terme et les comptes créanciers.</w:t>
      </w:r>
    </w:p>
    <w:p w:rsidR="00905890" w:rsidRPr="004D3D70" w:rsidRDefault="00905890" w:rsidP="00A824AF">
      <w:pPr>
        <w:autoSpaceDE w:val="0"/>
        <w:autoSpaceDN w:val="0"/>
        <w:adjustRightInd w:val="0"/>
        <w:rPr>
          <w:lang w:val="fr-CH"/>
        </w:rPr>
      </w:pPr>
    </w:p>
    <w:p w:rsidR="00905890" w:rsidRPr="004D3D70" w:rsidRDefault="001842BE" w:rsidP="001842BE">
      <w:pPr>
        <w:autoSpaceDE w:val="0"/>
        <w:autoSpaceDN w:val="0"/>
        <w:adjustRightInd w:val="0"/>
        <w:rPr>
          <w:i/>
          <w:iCs/>
          <w:lang w:val="fr-CH"/>
        </w:rPr>
      </w:pPr>
      <w:r w:rsidRPr="004D3D70">
        <w:rPr>
          <w:iCs/>
          <w:lang w:val="fr-CH"/>
        </w:rPr>
        <w:t>Évaluation ultérieure</w:t>
      </w:r>
      <w:r w:rsidR="004D3D70">
        <w:rPr>
          <w:iCs/>
          <w:lang w:val="fr-CH"/>
        </w:rPr>
        <w:t> :</w:t>
      </w:r>
    </w:p>
    <w:p w:rsidR="00905890" w:rsidRPr="004D3D70" w:rsidRDefault="001842BE" w:rsidP="001842BE">
      <w:pPr>
        <w:autoSpaceDE w:val="0"/>
        <w:autoSpaceDN w:val="0"/>
        <w:adjustRightInd w:val="0"/>
        <w:rPr>
          <w:lang w:val="fr-CH"/>
        </w:rPr>
      </w:pPr>
      <w:r w:rsidRPr="004D3D70">
        <w:rPr>
          <w:lang w:val="fr-CH"/>
        </w:rPr>
        <w:t>L</w:t>
      </w:r>
      <w:r w:rsidR="004D3D70">
        <w:rPr>
          <w:lang w:val="fr-CH"/>
        </w:rPr>
        <w:t>’</w:t>
      </w:r>
      <w:r w:rsidRPr="004D3D70">
        <w:rPr>
          <w:lang w:val="fr-CH"/>
        </w:rPr>
        <w:t>évaluation ultérieure des actifs financiers est fonction de leur classification.</w:t>
      </w:r>
    </w:p>
    <w:p w:rsidR="00905890" w:rsidRPr="004D3D70" w:rsidRDefault="00905890" w:rsidP="00A824AF">
      <w:pPr>
        <w:autoSpaceDE w:val="0"/>
        <w:autoSpaceDN w:val="0"/>
        <w:adjustRightInd w:val="0"/>
        <w:rPr>
          <w:bCs/>
          <w:i/>
          <w:lang w:val="fr-CH"/>
        </w:rPr>
      </w:pPr>
    </w:p>
    <w:p w:rsidR="00905890" w:rsidRPr="004D3D70" w:rsidRDefault="001842BE" w:rsidP="001842BE">
      <w:pPr>
        <w:autoSpaceDE w:val="0"/>
        <w:autoSpaceDN w:val="0"/>
        <w:adjustRightInd w:val="0"/>
        <w:rPr>
          <w:bCs/>
          <w:i/>
          <w:lang w:val="fr-CH"/>
        </w:rPr>
      </w:pPr>
      <w:r w:rsidRPr="004D3D70">
        <w:rPr>
          <w:bCs/>
          <w:i/>
          <w:lang w:val="fr-CH"/>
        </w:rPr>
        <w:t>Actifs financiers à la juste valeur par le biais d</w:t>
      </w:r>
      <w:r w:rsidR="004D3D70">
        <w:rPr>
          <w:bCs/>
          <w:i/>
          <w:lang w:val="fr-CH"/>
        </w:rPr>
        <w:t>’</w:t>
      </w:r>
      <w:r w:rsidRPr="004D3D70">
        <w:rPr>
          <w:bCs/>
          <w:i/>
          <w:lang w:val="fr-CH"/>
        </w:rPr>
        <w:t>un excédent ou d</w:t>
      </w:r>
      <w:r w:rsidR="004D3D70">
        <w:rPr>
          <w:bCs/>
          <w:i/>
          <w:lang w:val="fr-CH"/>
        </w:rPr>
        <w:t>’</w:t>
      </w:r>
      <w:r w:rsidRPr="004D3D70">
        <w:rPr>
          <w:bCs/>
          <w:i/>
          <w:lang w:val="fr-CH"/>
        </w:rPr>
        <w:t>un déficit</w:t>
      </w:r>
    </w:p>
    <w:p w:rsidR="00905890" w:rsidRPr="004D3D70" w:rsidRDefault="001842BE" w:rsidP="001842BE">
      <w:pPr>
        <w:autoSpaceDE w:val="0"/>
        <w:autoSpaceDN w:val="0"/>
        <w:adjustRightInd w:val="0"/>
        <w:rPr>
          <w:lang w:val="fr-CH"/>
        </w:rPr>
      </w:pPr>
      <w:r w:rsidRPr="004D3D70">
        <w:rPr>
          <w:lang w:val="fr-CH"/>
        </w:rPr>
        <w:t>Les actifs financiers à juste valeur par le biais de l</w:t>
      </w:r>
      <w:r w:rsidR="004D3D70">
        <w:rPr>
          <w:lang w:val="fr-CH"/>
        </w:rPr>
        <w:t>’</w:t>
      </w:r>
      <w:r w:rsidRPr="004D3D70">
        <w:rPr>
          <w:lang w:val="fr-CH"/>
        </w:rPr>
        <w:t>excédent ou du déficit comprennent les actifs financiers détenus à des fins de transaction et les actifs financiers classés lors de la comptabilisation initiale à leur juste valeur par le biais de l</w:t>
      </w:r>
      <w:r w:rsidR="004D3D70">
        <w:rPr>
          <w:lang w:val="fr-CH"/>
        </w:rPr>
        <w:t>’</w:t>
      </w:r>
      <w:r w:rsidRPr="004D3D70">
        <w:rPr>
          <w:lang w:val="fr-CH"/>
        </w:rPr>
        <w:t>excédent ou du défic</w:t>
      </w:r>
      <w:r w:rsidR="002140E0" w:rsidRPr="004D3D70">
        <w:rPr>
          <w:lang w:val="fr-CH"/>
        </w:rPr>
        <w:t>it</w:t>
      </w:r>
      <w:r w:rsidR="002140E0">
        <w:rPr>
          <w:lang w:val="fr-CH"/>
        </w:rPr>
        <w:t xml:space="preserve">.  </w:t>
      </w:r>
      <w:r w:rsidR="002140E0" w:rsidRPr="004D3D70">
        <w:rPr>
          <w:lang w:val="fr-CH"/>
        </w:rPr>
        <w:t>Le</w:t>
      </w:r>
      <w:r w:rsidRPr="004D3D70">
        <w:rPr>
          <w:lang w:val="fr-CH"/>
        </w:rPr>
        <w:t>s actifs financiers sont classés comme détenus à des fins de transaction s</w:t>
      </w:r>
      <w:r w:rsidR="004D3D70">
        <w:rPr>
          <w:lang w:val="fr-CH"/>
        </w:rPr>
        <w:t>’</w:t>
      </w:r>
      <w:r w:rsidRPr="004D3D70">
        <w:rPr>
          <w:lang w:val="fr-CH"/>
        </w:rPr>
        <w:t>ils sont acquis à des fins de vente ou de rachat dans le court ter</w:t>
      </w:r>
      <w:r w:rsidR="002140E0" w:rsidRPr="004D3D70">
        <w:rPr>
          <w:lang w:val="fr-CH"/>
        </w:rPr>
        <w:t>me</w:t>
      </w:r>
      <w:r w:rsidR="002140E0">
        <w:rPr>
          <w:lang w:val="fr-CH"/>
        </w:rPr>
        <w:t xml:space="preserve">.  </w:t>
      </w:r>
      <w:r w:rsidR="002140E0" w:rsidRPr="004D3D70">
        <w:rPr>
          <w:lang w:val="fr-CH"/>
        </w:rPr>
        <w:t>Le</w:t>
      </w:r>
      <w:r w:rsidRPr="004D3D70">
        <w:rPr>
          <w:lang w:val="fr-CH"/>
        </w:rPr>
        <w:t>s actifs financiers à juste valeur par le biais de l</w:t>
      </w:r>
      <w:r w:rsidR="004D3D70">
        <w:rPr>
          <w:lang w:val="fr-CH"/>
        </w:rPr>
        <w:t>’</w:t>
      </w:r>
      <w:r w:rsidRPr="004D3D70">
        <w:rPr>
          <w:lang w:val="fr-CH"/>
        </w:rPr>
        <w:t>excédent ou du déficit sont comptabilisés dans l</w:t>
      </w:r>
      <w:r w:rsidR="004D3D70">
        <w:rPr>
          <w:lang w:val="fr-CH"/>
        </w:rPr>
        <w:t>’</w:t>
      </w:r>
      <w:r w:rsidRPr="004D3D70">
        <w:rPr>
          <w:lang w:val="fr-CH"/>
        </w:rPr>
        <w:t>état de la situation financière à juste valeur, les variations de la juste valeur étant comptabilisé</w:t>
      </w:r>
      <w:r w:rsidR="002140E0">
        <w:rPr>
          <w:lang w:val="fr-CH"/>
        </w:rPr>
        <w:t>es</w:t>
      </w:r>
      <w:r w:rsidRPr="004D3D70">
        <w:rPr>
          <w:lang w:val="fr-CH"/>
        </w:rPr>
        <w:t xml:space="preserve"> dans l</w:t>
      </w:r>
      <w:r w:rsidR="004D3D70">
        <w:rPr>
          <w:lang w:val="fr-CH"/>
        </w:rPr>
        <w:t>’</w:t>
      </w:r>
      <w:r w:rsidRPr="004D3D70">
        <w:rPr>
          <w:lang w:val="fr-CH"/>
        </w:rPr>
        <w:t>excédent ou le déficit.</w:t>
      </w:r>
    </w:p>
    <w:p w:rsidR="00905890" w:rsidRPr="004D3D70" w:rsidRDefault="00905890" w:rsidP="00A824AF">
      <w:pPr>
        <w:autoSpaceDE w:val="0"/>
        <w:autoSpaceDN w:val="0"/>
        <w:adjustRightInd w:val="0"/>
        <w:rPr>
          <w:i/>
          <w:iCs/>
          <w:lang w:val="fr-CH"/>
        </w:rPr>
      </w:pPr>
    </w:p>
    <w:p w:rsidR="00905890" w:rsidRPr="004D3D70" w:rsidRDefault="001842BE" w:rsidP="001842BE">
      <w:pPr>
        <w:autoSpaceDE w:val="0"/>
        <w:autoSpaceDN w:val="0"/>
        <w:adjustRightInd w:val="0"/>
        <w:rPr>
          <w:bCs/>
          <w:i/>
          <w:lang w:val="fr-CH"/>
        </w:rPr>
      </w:pPr>
      <w:r w:rsidRPr="004D3D70">
        <w:rPr>
          <w:bCs/>
          <w:i/>
          <w:lang w:val="fr-CH"/>
        </w:rPr>
        <w:t>Prêts et emprunts</w:t>
      </w:r>
    </w:p>
    <w:p w:rsidR="004D3D70" w:rsidRDefault="001842BE" w:rsidP="001842BE">
      <w:pPr>
        <w:autoSpaceDE w:val="0"/>
        <w:autoSpaceDN w:val="0"/>
        <w:adjustRightInd w:val="0"/>
        <w:rPr>
          <w:lang w:val="fr-CH"/>
        </w:rPr>
      </w:pPr>
      <w:r w:rsidRPr="004D3D70">
        <w:rPr>
          <w:lang w:val="fr-CH"/>
        </w:rPr>
        <w:t>Les prêts et comptes créanciers sont des actifs financiers non dérivés assortis de paiements fixés ou à déterminer qui ne sont pas cotés sur un marché act</w:t>
      </w:r>
      <w:r w:rsidR="002140E0" w:rsidRPr="004D3D70">
        <w:rPr>
          <w:lang w:val="fr-CH"/>
        </w:rPr>
        <w:t>if</w:t>
      </w:r>
      <w:r w:rsidR="002140E0">
        <w:rPr>
          <w:lang w:val="fr-CH"/>
        </w:rPr>
        <w:t xml:space="preserve">.  </w:t>
      </w:r>
      <w:r w:rsidR="002140E0" w:rsidRPr="004D3D70">
        <w:rPr>
          <w:lang w:val="fr-CH"/>
        </w:rPr>
        <w:t>Ap</w:t>
      </w:r>
      <w:r w:rsidRPr="004D3D70">
        <w:rPr>
          <w:lang w:val="fr-CH"/>
        </w:rPr>
        <w:t>rès une évaluation initiale, ces actifs financiers sont ultérieurement évalués au coût amorti à l</w:t>
      </w:r>
      <w:r w:rsidR="004D3D70">
        <w:rPr>
          <w:lang w:val="fr-CH"/>
        </w:rPr>
        <w:t>’</w:t>
      </w:r>
      <w:r w:rsidRPr="004D3D70">
        <w:rPr>
          <w:lang w:val="fr-CH"/>
        </w:rPr>
        <w:t>aide de la méthode de l</w:t>
      </w:r>
      <w:r w:rsidR="004D3D70">
        <w:rPr>
          <w:lang w:val="fr-CH"/>
        </w:rPr>
        <w:t>’</w:t>
      </w:r>
      <w:r w:rsidRPr="004D3D70">
        <w:rPr>
          <w:lang w:val="fr-CH"/>
        </w:rPr>
        <w:t>intérêt effectif, moins la dépréciati</w:t>
      </w:r>
      <w:r w:rsidR="002140E0" w:rsidRPr="004D3D70">
        <w:rPr>
          <w:lang w:val="fr-CH"/>
        </w:rPr>
        <w:t>on</w:t>
      </w:r>
      <w:r w:rsidR="002140E0">
        <w:rPr>
          <w:lang w:val="fr-CH"/>
        </w:rPr>
        <w:t xml:space="preserve">.  </w:t>
      </w:r>
      <w:r w:rsidR="002140E0" w:rsidRPr="004D3D70">
        <w:rPr>
          <w:lang w:val="fr-CH"/>
        </w:rPr>
        <w:t>Le</w:t>
      </w:r>
      <w:r w:rsidR="006753D4">
        <w:rPr>
          <w:lang w:val="fr-CH"/>
        </w:rPr>
        <w:t> </w:t>
      </w:r>
      <w:r w:rsidRPr="004D3D70">
        <w:rPr>
          <w:lang w:val="fr-CH"/>
        </w:rPr>
        <w:t>coût amorti est calculé en tenant compte de toute décote ou prime d</w:t>
      </w:r>
      <w:r w:rsidR="004D3D70">
        <w:rPr>
          <w:lang w:val="fr-CH"/>
        </w:rPr>
        <w:t>’</w:t>
      </w:r>
      <w:r w:rsidRPr="004D3D70">
        <w:rPr>
          <w:lang w:val="fr-CH"/>
        </w:rPr>
        <w:t>acquisition ainsi que des taxes ou coûts qui font partie intégrante du taux d</w:t>
      </w:r>
      <w:r w:rsidR="004D3D70">
        <w:rPr>
          <w:lang w:val="fr-CH"/>
        </w:rPr>
        <w:t>’</w:t>
      </w:r>
      <w:r w:rsidRPr="004D3D70">
        <w:rPr>
          <w:lang w:val="fr-CH"/>
        </w:rPr>
        <w:t>intérêt en vigue</w:t>
      </w:r>
      <w:r w:rsidR="002140E0" w:rsidRPr="004D3D70">
        <w:rPr>
          <w:lang w:val="fr-CH"/>
        </w:rPr>
        <w:t>ur</w:t>
      </w:r>
      <w:r w:rsidR="002140E0">
        <w:rPr>
          <w:lang w:val="fr-CH"/>
        </w:rPr>
        <w:t xml:space="preserve">.  </w:t>
      </w:r>
      <w:r w:rsidR="002140E0" w:rsidRPr="004D3D70">
        <w:rPr>
          <w:lang w:val="fr-CH"/>
        </w:rPr>
        <w:t>Le</w:t>
      </w:r>
      <w:r w:rsidRPr="004D3D70">
        <w:rPr>
          <w:lang w:val="fr-CH"/>
        </w:rPr>
        <w:t>s pertes provenant de la dépréciation sont comptabilisées dans l</w:t>
      </w:r>
      <w:r w:rsidR="004D3D70">
        <w:rPr>
          <w:lang w:val="fr-CH"/>
        </w:rPr>
        <w:t>’</w:t>
      </w:r>
      <w:r w:rsidRPr="004D3D70">
        <w:rPr>
          <w:lang w:val="fr-CH"/>
        </w:rPr>
        <w:t>excédent ou le déficit.</w:t>
      </w:r>
    </w:p>
    <w:p w:rsidR="00905890" w:rsidRPr="004D3D70" w:rsidRDefault="00905890" w:rsidP="00A824AF">
      <w:pPr>
        <w:rPr>
          <w:bCs/>
          <w:lang w:val="fr-CH"/>
        </w:rPr>
      </w:pPr>
    </w:p>
    <w:p w:rsidR="00905890" w:rsidRPr="004D3D70" w:rsidRDefault="001842BE" w:rsidP="001842BE">
      <w:pPr>
        <w:autoSpaceDE w:val="0"/>
        <w:autoSpaceDN w:val="0"/>
        <w:adjustRightInd w:val="0"/>
        <w:rPr>
          <w:bCs/>
          <w:i/>
          <w:lang w:val="fr-CH"/>
        </w:rPr>
      </w:pPr>
      <w:r w:rsidRPr="004D3D70">
        <w:rPr>
          <w:bCs/>
          <w:i/>
          <w:lang w:val="fr-CH"/>
        </w:rPr>
        <w:t>Décomptabilisation</w:t>
      </w:r>
      <w:r w:rsidR="004D3D70">
        <w:rPr>
          <w:bCs/>
          <w:i/>
          <w:lang w:val="fr-CH"/>
        </w:rPr>
        <w:t> :</w:t>
      </w:r>
    </w:p>
    <w:p w:rsidR="00905890" w:rsidRPr="004D3D70" w:rsidRDefault="001842BE" w:rsidP="001842BE">
      <w:pPr>
        <w:autoSpaceDE w:val="0"/>
        <w:autoSpaceDN w:val="0"/>
        <w:adjustRightInd w:val="0"/>
        <w:rPr>
          <w:lang w:val="fr-CH"/>
        </w:rPr>
      </w:pPr>
      <w:r w:rsidRPr="004D3D70">
        <w:rPr>
          <w:lang w:val="fr-CH"/>
        </w:rPr>
        <w:t>L</w:t>
      </w:r>
      <w:r w:rsidR="004D3D70">
        <w:rPr>
          <w:lang w:val="fr-CH"/>
        </w:rPr>
        <w:t>’</w:t>
      </w:r>
      <w:r w:rsidRPr="004D3D70">
        <w:rPr>
          <w:lang w:val="fr-CH"/>
        </w:rPr>
        <w:t>UPOV décomptabilise un actif financier ou, selon le cas, une partie d</w:t>
      </w:r>
      <w:r w:rsidR="004D3D70">
        <w:rPr>
          <w:lang w:val="fr-CH"/>
        </w:rPr>
        <w:t>’</w:t>
      </w:r>
      <w:r w:rsidRPr="004D3D70">
        <w:rPr>
          <w:lang w:val="fr-CH"/>
        </w:rPr>
        <w:t>un actif financier ou d</w:t>
      </w:r>
      <w:r w:rsidR="004D3D70">
        <w:rPr>
          <w:lang w:val="fr-CH"/>
        </w:rPr>
        <w:t>’</w:t>
      </w:r>
      <w:r w:rsidRPr="004D3D70">
        <w:rPr>
          <w:lang w:val="fr-CH"/>
        </w:rPr>
        <w:t>un groupe d</w:t>
      </w:r>
      <w:r w:rsidR="004D3D70">
        <w:rPr>
          <w:lang w:val="fr-CH"/>
        </w:rPr>
        <w:t>’</w:t>
      </w:r>
      <w:r w:rsidRPr="004D3D70">
        <w:rPr>
          <w:lang w:val="fr-CH"/>
        </w:rPr>
        <w:t>actifs financiers similaires lorsque les droits de recevoir des liquidités de l</w:t>
      </w:r>
      <w:r w:rsidR="004D3D70">
        <w:rPr>
          <w:lang w:val="fr-CH"/>
        </w:rPr>
        <w:t>’</w:t>
      </w:r>
      <w:r w:rsidRPr="004D3D70">
        <w:rPr>
          <w:lang w:val="fr-CH"/>
        </w:rPr>
        <w:t>actif ont expiré ou sont levés.</w:t>
      </w:r>
    </w:p>
    <w:p w:rsidR="00905890" w:rsidRPr="004D3D70" w:rsidRDefault="00905890" w:rsidP="00A824AF">
      <w:pPr>
        <w:autoSpaceDE w:val="0"/>
        <w:autoSpaceDN w:val="0"/>
        <w:adjustRightInd w:val="0"/>
        <w:rPr>
          <w:lang w:val="fr-CH"/>
        </w:rPr>
      </w:pPr>
    </w:p>
    <w:p w:rsidR="00905890" w:rsidRPr="004D3D70" w:rsidRDefault="001842BE" w:rsidP="001842BE">
      <w:pPr>
        <w:rPr>
          <w:bCs/>
          <w:lang w:val="fr-CH"/>
        </w:rPr>
      </w:pPr>
      <w:r w:rsidRPr="004D3D70">
        <w:rPr>
          <w:bCs/>
          <w:lang w:val="fr-CH"/>
        </w:rPr>
        <w:t>Dépréciation d</w:t>
      </w:r>
      <w:r w:rsidR="004D3D70">
        <w:rPr>
          <w:bCs/>
          <w:lang w:val="fr-CH"/>
        </w:rPr>
        <w:t>’</w:t>
      </w:r>
      <w:r w:rsidRPr="004D3D70">
        <w:rPr>
          <w:bCs/>
          <w:lang w:val="fr-CH"/>
        </w:rPr>
        <w:t>actifs financiers</w:t>
      </w:r>
      <w:r w:rsidR="004D3D70">
        <w:rPr>
          <w:bCs/>
          <w:lang w:val="fr-CH"/>
        </w:rPr>
        <w:t> :</w:t>
      </w:r>
    </w:p>
    <w:p w:rsidR="004D3D70" w:rsidRDefault="001842BE" w:rsidP="001842BE">
      <w:pPr>
        <w:autoSpaceDE w:val="0"/>
        <w:autoSpaceDN w:val="0"/>
        <w:adjustRightInd w:val="0"/>
        <w:rPr>
          <w:lang w:val="fr-CH"/>
        </w:rPr>
      </w:pPr>
      <w:r w:rsidRPr="004D3D70">
        <w:rPr>
          <w:lang w:val="fr-CH"/>
        </w:rPr>
        <w:t>L</w:t>
      </w:r>
      <w:r w:rsidR="004D3D70">
        <w:rPr>
          <w:lang w:val="fr-CH"/>
        </w:rPr>
        <w:t>’</w:t>
      </w:r>
      <w:r w:rsidRPr="004D3D70">
        <w:rPr>
          <w:lang w:val="fr-CH"/>
        </w:rPr>
        <w:t>UPOV vérifie à chaque date de clôture s</w:t>
      </w:r>
      <w:r w:rsidR="004D3D70">
        <w:rPr>
          <w:lang w:val="fr-CH"/>
        </w:rPr>
        <w:t>’</w:t>
      </w:r>
      <w:r w:rsidRPr="004D3D70">
        <w:rPr>
          <w:lang w:val="fr-CH"/>
        </w:rPr>
        <w:t>il existe des indications objectives à l</w:t>
      </w:r>
      <w:r w:rsidR="004D3D70">
        <w:rPr>
          <w:lang w:val="fr-CH"/>
        </w:rPr>
        <w:t>’</w:t>
      </w:r>
      <w:r w:rsidRPr="004D3D70">
        <w:rPr>
          <w:lang w:val="fr-CH"/>
        </w:rPr>
        <w:t>effet qu</w:t>
      </w:r>
      <w:r w:rsidR="004D3D70">
        <w:rPr>
          <w:lang w:val="fr-CH"/>
        </w:rPr>
        <w:t>’</w:t>
      </w:r>
      <w:r w:rsidRPr="004D3D70">
        <w:rPr>
          <w:lang w:val="fr-CH"/>
        </w:rPr>
        <w:t>un actif financier ou qu</w:t>
      </w:r>
      <w:r w:rsidR="004D3D70">
        <w:rPr>
          <w:lang w:val="fr-CH"/>
        </w:rPr>
        <w:t>’</w:t>
      </w:r>
      <w:r w:rsidRPr="004D3D70">
        <w:rPr>
          <w:lang w:val="fr-CH"/>
        </w:rPr>
        <w:t>un groupe d</w:t>
      </w:r>
      <w:r w:rsidR="004D3D70">
        <w:rPr>
          <w:lang w:val="fr-CH"/>
        </w:rPr>
        <w:t>’</w:t>
      </w:r>
      <w:r w:rsidRPr="004D3D70">
        <w:rPr>
          <w:lang w:val="fr-CH"/>
        </w:rPr>
        <w:t>actifs financiers est dépréc</w:t>
      </w:r>
      <w:r w:rsidR="002140E0" w:rsidRPr="004D3D70">
        <w:rPr>
          <w:lang w:val="fr-CH"/>
        </w:rPr>
        <w:t>ié</w:t>
      </w:r>
      <w:r w:rsidR="002140E0">
        <w:rPr>
          <w:lang w:val="fr-CH"/>
        </w:rPr>
        <w:t xml:space="preserve">.  </w:t>
      </w:r>
      <w:r w:rsidR="002140E0" w:rsidRPr="004D3D70">
        <w:rPr>
          <w:lang w:val="fr-CH"/>
        </w:rPr>
        <w:t>Un</w:t>
      </w:r>
      <w:r w:rsidRPr="004D3D70">
        <w:rPr>
          <w:lang w:val="fr-CH"/>
        </w:rPr>
        <w:t xml:space="preserve"> actif financier ou un groupe d</w:t>
      </w:r>
      <w:r w:rsidR="004D3D70">
        <w:rPr>
          <w:lang w:val="fr-CH"/>
        </w:rPr>
        <w:t>’</w:t>
      </w:r>
      <w:r w:rsidRPr="004D3D70">
        <w:rPr>
          <w:lang w:val="fr-CH"/>
        </w:rPr>
        <w:t>actifs financiers est considéré comme déprécié si et uniquement s</w:t>
      </w:r>
      <w:r w:rsidR="004D3D70">
        <w:rPr>
          <w:lang w:val="fr-CH"/>
        </w:rPr>
        <w:t>’</w:t>
      </w:r>
      <w:r w:rsidRPr="004D3D70">
        <w:rPr>
          <w:lang w:val="fr-CH"/>
        </w:rPr>
        <w:t>il y a des indications objectives de dépréciation comme suite à un ou plusieurs événements qui se sont produits après la comptabilisation initiale de l</w:t>
      </w:r>
      <w:r w:rsidR="004D3D70">
        <w:rPr>
          <w:lang w:val="fr-CH"/>
        </w:rPr>
        <w:t>’</w:t>
      </w:r>
      <w:r w:rsidRPr="004D3D70">
        <w:rPr>
          <w:lang w:val="fr-CH"/>
        </w:rPr>
        <w:t>actif (un “événement de perte” encouru) et si cet événement a un impact sur les futurs flux de trésorerie estimés de l</w:t>
      </w:r>
      <w:r w:rsidR="004D3D70">
        <w:rPr>
          <w:lang w:val="fr-CH"/>
        </w:rPr>
        <w:t>’</w:t>
      </w:r>
      <w:r w:rsidRPr="004D3D70">
        <w:rPr>
          <w:lang w:val="fr-CH"/>
        </w:rPr>
        <w:t>actif financier ou du groupe d</w:t>
      </w:r>
      <w:r w:rsidR="004D3D70">
        <w:rPr>
          <w:lang w:val="fr-CH"/>
        </w:rPr>
        <w:t>’</w:t>
      </w:r>
      <w:r w:rsidRPr="004D3D70">
        <w:rPr>
          <w:lang w:val="fr-CH"/>
        </w:rPr>
        <w:t>actifs financiers qui peut être estimé de manière fiable.</w:t>
      </w:r>
    </w:p>
    <w:p w:rsidR="00905890" w:rsidRDefault="00905890" w:rsidP="00A824AF">
      <w:pPr>
        <w:autoSpaceDE w:val="0"/>
        <w:autoSpaceDN w:val="0"/>
        <w:adjustRightInd w:val="0"/>
        <w:rPr>
          <w:b/>
          <w:bCs/>
          <w:lang w:val="fr-CH"/>
        </w:rPr>
      </w:pPr>
    </w:p>
    <w:p w:rsidR="00905890" w:rsidRPr="004D3D70" w:rsidRDefault="001842BE" w:rsidP="001842BE">
      <w:pPr>
        <w:autoSpaceDE w:val="0"/>
        <w:autoSpaceDN w:val="0"/>
        <w:adjustRightInd w:val="0"/>
        <w:rPr>
          <w:b/>
          <w:bCs/>
          <w:i/>
          <w:lang w:val="fr-CH"/>
        </w:rPr>
      </w:pPr>
      <w:r w:rsidRPr="004D3D70">
        <w:rPr>
          <w:b/>
          <w:bCs/>
          <w:i/>
          <w:lang w:val="fr-CH"/>
        </w:rPr>
        <w:t>Passifs financiers</w:t>
      </w:r>
    </w:p>
    <w:p w:rsidR="00905890" w:rsidRPr="004D3D70" w:rsidRDefault="00905890" w:rsidP="00A824AF">
      <w:pPr>
        <w:autoSpaceDE w:val="0"/>
        <w:autoSpaceDN w:val="0"/>
        <w:adjustRightInd w:val="0"/>
        <w:rPr>
          <w:b/>
          <w:bCs/>
          <w:lang w:val="fr-CH"/>
        </w:rPr>
      </w:pPr>
    </w:p>
    <w:p w:rsidR="00905890" w:rsidRPr="004D3D70" w:rsidRDefault="001842BE" w:rsidP="001842BE">
      <w:pPr>
        <w:autoSpaceDE w:val="0"/>
        <w:autoSpaceDN w:val="0"/>
        <w:adjustRightInd w:val="0"/>
        <w:rPr>
          <w:bCs/>
          <w:lang w:val="fr-CH"/>
        </w:rPr>
      </w:pPr>
      <w:r w:rsidRPr="004D3D70">
        <w:rPr>
          <w:bCs/>
          <w:lang w:val="fr-CH"/>
        </w:rPr>
        <w:t>Comptabilisation et évaluation initiales</w:t>
      </w:r>
      <w:r w:rsidR="004D3D70">
        <w:rPr>
          <w:bCs/>
          <w:lang w:val="fr-CH"/>
        </w:rPr>
        <w:t> :</w:t>
      </w:r>
    </w:p>
    <w:p w:rsidR="00905890" w:rsidRPr="004D3D70" w:rsidRDefault="001842BE" w:rsidP="001842BE">
      <w:pPr>
        <w:autoSpaceDE w:val="0"/>
        <w:autoSpaceDN w:val="0"/>
        <w:adjustRightInd w:val="0"/>
        <w:rPr>
          <w:lang w:val="fr-CH"/>
        </w:rPr>
      </w:pPr>
      <w:r w:rsidRPr="004D3D70">
        <w:rPr>
          <w:lang w:val="fr-CH"/>
        </w:rPr>
        <w:t>Les passifs financiers qui relèvent de la norme</w:t>
      </w:r>
      <w:r w:rsidR="00AC2A6B">
        <w:rPr>
          <w:lang w:val="fr-CH"/>
        </w:rPr>
        <w:t> </w:t>
      </w:r>
      <w:r w:rsidRPr="004D3D70">
        <w:rPr>
          <w:lang w:val="fr-CH"/>
        </w:rPr>
        <w:t>IPSAS</w:t>
      </w:r>
      <w:r w:rsidR="00BE23DA">
        <w:rPr>
          <w:lang w:val="fr-CH"/>
        </w:rPr>
        <w:t> </w:t>
      </w:r>
      <w:r w:rsidRPr="004D3D70">
        <w:rPr>
          <w:lang w:val="fr-CH"/>
        </w:rPr>
        <w:t>29 sont classés comme des passifs financiers à juste valeur par le biais d</w:t>
      </w:r>
      <w:r w:rsidR="004D3D70">
        <w:rPr>
          <w:lang w:val="fr-CH"/>
        </w:rPr>
        <w:t>’</w:t>
      </w:r>
      <w:r w:rsidRPr="004D3D70">
        <w:rPr>
          <w:lang w:val="fr-CH"/>
        </w:rPr>
        <w:t>un excédent ou d</w:t>
      </w:r>
      <w:r w:rsidR="004D3D70">
        <w:rPr>
          <w:lang w:val="fr-CH"/>
        </w:rPr>
        <w:t>’</w:t>
      </w:r>
      <w:r w:rsidRPr="004D3D70">
        <w:rPr>
          <w:lang w:val="fr-CH"/>
        </w:rPr>
        <w:t>un déficit ou de prêts et d</w:t>
      </w:r>
      <w:r w:rsidR="004D3D70">
        <w:rPr>
          <w:lang w:val="fr-CH"/>
        </w:rPr>
        <w:t>’</w:t>
      </w:r>
      <w:r w:rsidRPr="004D3D70">
        <w:rPr>
          <w:lang w:val="fr-CH"/>
        </w:rPr>
        <w:t>emprunts, selon le cas.  L</w:t>
      </w:r>
      <w:r w:rsidR="004D3D70">
        <w:rPr>
          <w:lang w:val="fr-CH"/>
        </w:rPr>
        <w:t>’</w:t>
      </w:r>
      <w:r w:rsidRPr="004D3D70">
        <w:rPr>
          <w:lang w:val="fr-CH"/>
        </w:rPr>
        <w:t>UPOV détermine la classification de ses passifs financiers à la comptabilisation initia</w:t>
      </w:r>
      <w:r w:rsidR="002140E0" w:rsidRPr="004D3D70">
        <w:rPr>
          <w:lang w:val="fr-CH"/>
        </w:rPr>
        <w:t>le</w:t>
      </w:r>
      <w:r w:rsidR="002140E0">
        <w:rPr>
          <w:lang w:val="fr-CH"/>
        </w:rPr>
        <w:t xml:space="preserve">.  </w:t>
      </w:r>
      <w:r w:rsidR="002140E0" w:rsidRPr="004D3D70">
        <w:rPr>
          <w:lang w:val="fr-CH"/>
        </w:rPr>
        <w:t>To</w:t>
      </w:r>
      <w:r w:rsidRPr="004D3D70">
        <w:rPr>
          <w:lang w:val="fr-CH"/>
        </w:rPr>
        <w:t xml:space="preserve">us les passifs financiers sont comptabilisés initialement à leur juste valeur et, dans le cas des prêts et des emprunts, aux coûts de </w:t>
      </w:r>
      <w:r w:rsidRPr="004D3D70">
        <w:rPr>
          <w:lang w:val="fr-CH"/>
        </w:rPr>
        <w:lastRenderedPageBreak/>
        <w:t>transaction directement imputabl</w:t>
      </w:r>
      <w:r w:rsidR="002140E0" w:rsidRPr="004D3D70">
        <w:rPr>
          <w:lang w:val="fr-CH"/>
        </w:rPr>
        <w:t>es</w:t>
      </w:r>
      <w:r w:rsidR="002140E0">
        <w:rPr>
          <w:lang w:val="fr-CH"/>
        </w:rPr>
        <w:t xml:space="preserve">.  </w:t>
      </w:r>
      <w:r w:rsidR="002140E0" w:rsidRPr="004D3D70">
        <w:rPr>
          <w:lang w:val="fr-CH"/>
        </w:rPr>
        <w:t>Le</w:t>
      </w:r>
      <w:r w:rsidRPr="004D3D70">
        <w:rPr>
          <w:lang w:val="fr-CH"/>
        </w:rPr>
        <w:t>s passifs financiers de l</w:t>
      </w:r>
      <w:r w:rsidR="004D3D70">
        <w:rPr>
          <w:lang w:val="fr-CH"/>
        </w:rPr>
        <w:t>’</w:t>
      </w:r>
      <w:r w:rsidRPr="004D3D70">
        <w:rPr>
          <w:lang w:val="fr-CH"/>
        </w:rPr>
        <w:t>UPOV comprennent les dettes commerciales et autres créances.</w:t>
      </w:r>
    </w:p>
    <w:p w:rsidR="00905890" w:rsidRPr="004D3D70" w:rsidRDefault="00905890" w:rsidP="00A824AF">
      <w:pPr>
        <w:autoSpaceDE w:val="0"/>
        <w:autoSpaceDN w:val="0"/>
        <w:adjustRightInd w:val="0"/>
        <w:rPr>
          <w:b/>
          <w:bCs/>
          <w:lang w:val="fr-CH"/>
        </w:rPr>
      </w:pPr>
    </w:p>
    <w:p w:rsidR="00905890" w:rsidRPr="004D3D70" w:rsidRDefault="001842BE" w:rsidP="001842BE">
      <w:pPr>
        <w:autoSpaceDE w:val="0"/>
        <w:autoSpaceDN w:val="0"/>
        <w:adjustRightInd w:val="0"/>
        <w:rPr>
          <w:bCs/>
          <w:i/>
          <w:lang w:val="fr-CH"/>
        </w:rPr>
      </w:pPr>
      <w:r w:rsidRPr="004D3D70">
        <w:rPr>
          <w:bCs/>
          <w:i/>
          <w:lang w:val="fr-CH"/>
        </w:rPr>
        <w:t>Évaluation ultérieure</w:t>
      </w:r>
      <w:r w:rsidR="004D3D70">
        <w:rPr>
          <w:bCs/>
          <w:i/>
          <w:lang w:val="fr-CH"/>
        </w:rPr>
        <w:t> :</w:t>
      </w:r>
    </w:p>
    <w:p w:rsidR="00905890" w:rsidRPr="004D3D70" w:rsidRDefault="001842BE" w:rsidP="001842BE">
      <w:pPr>
        <w:autoSpaceDE w:val="0"/>
        <w:autoSpaceDN w:val="0"/>
        <w:adjustRightInd w:val="0"/>
        <w:rPr>
          <w:lang w:val="fr-CH"/>
        </w:rPr>
      </w:pPr>
      <w:r w:rsidRPr="004D3D70">
        <w:rPr>
          <w:lang w:val="fr-CH"/>
        </w:rPr>
        <w:t>L</w:t>
      </w:r>
      <w:r w:rsidR="004D3D70">
        <w:rPr>
          <w:lang w:val="fr-CH"/>
        </w:rPr>
        <w:t>’</w:t>
      </w:r>
      <w:r w:rsidRPr="004D3D70">
        <w:rPr>
          <w:lang w:val="fr-CH"/>
        </w:rPr>
        <w:t>évaluation ultérieure des passifs financiers est fonction de leur classification.</w:t>
      </w:r>
    </w:p>
    <w:p w:rsidR="00905890" w:rsidRPr="004D3D70" w:rsidRDefault="00905890" w:rsidP="00A824AF">
      <w:pPr>
        <w:autoSpaceDE w:val="0"/>
        <w:autoSpaceDN w:val="0"/>
        <w:adjustRightInd w:val="0"/>
        <w:rPr>
          <w:b/>
          <w:bCs/>
          <w:lang w:val="fr-CH"/>
        </w:rPr>
      </w:pPr>
    </w:p>
    <w:p w:rsidR="00905890" w:rsidRPr="004D3D70" w:rsidRDefault="001842BE" w:rsidP="001842BE">
      <w:pPr>
        <w:autoSpaceDE w:val="0"/>
        <w:autoSpaceDN w:val="0"/>
        <w:adjustRightInd w:val="0"/>
        <w:rPr>
          <w:bCs/>
          <w:i/>
          <w:lang w:val="fr-CH"/>
        </w:rPr>
      </w:pPr>
      <w:r w:rsidRPr="004D3D70">
        <w:rPr>
          <w:bCs/>
          <w:i/>
          <w:lang w:val="fr-CH"/>
        </w:rPr>
        <w:t>Passifs financiers à leur juste valeur</w:t>
      </w:r>
      <w:r w:rsidRPr="004D3D70">
        <w:rPr>
          <w:bCs/>
          <w:lang w:val="fr-CH"/>
        </w:rPr>
        <w:t xml:space="preserve"> </w:t>
      </w:r>
      <w:r w:rsidRPr="004D3D70">
        <w:rPr>
          <w:bCs/>
          <w:i/>
          <w:lang w:val="fr-CH"/>
        </w:rPr>
        <w:t>par le biais de l</w:t>
      </w:r>
      <w:r w:rsidR="004D3D70">
        <w:rPr>
          <w:bCs/>
          <w:i/>
          <w:lang w:val="fr-CH"/>
        </w:rPr>
        <w:t>’</w:t>
      </w:r>
      <w:r w:rsidRPr="004D3D70">
        <w:rPr>
          <w:bCs/>
          <w:i/>
          <w:lang w:val="fr-CH"/>
        </w:rPr>
        <w:t>excédent ou du déficit</w:t>
      </w:r>
    </w:p>
    <w:p w:rsidR="00905890" w:rsidRPr="004D3D70" w:rsidRDefault="001842BE" w:rsidP="001842BE">
      <w:pPr>
        <w:autoSpaceDE w:val="0"/>
        <w:autoSpaceDN w:val="0"/>
        <w:adjustRightInd w:val="0"/>
        <w:rPr>
          <w:lang w:val="fr-CH"/>
        </w:rPr>
      </w:pPr>
      <w:r w:rsidRPr="004D3D70">
        <w:rPr>
          <w:lang w:val="fr-CH"/>
        </w:rPr>
        <w:t>Les passifs financiers à leur juste valeur par le biais de l</w:t>
      </w:r>
      <w:r w:rsidR="004D3D70">
        <w:rPr>
          <w:lang w:val="fr-CH"/>
        </w:rPr>
        <w:t>’</w:t>
      </w:r>
      <w:r w:rsidRPr="004D3D70">
        <w:rPr>
          <w:lang w:val="fr-CH"/>
        </w:rPr>
        <w:t>excédent ou du</w:t>
      </w:r>
      <w:r w:rsidRPr="004D3D70">
        <w:rPr>
          <w:i/>
          <w:lang w:val="fr-CH"/>
        </w:rPr>
        <w:t xml:space="preserve"> déficit </w:t>
      </w:r>
      <w:r w:rsidRPr="004D3D70">
        <w:rPr>
          <w:lang w:val="fr-CH"/>
        </w:rPr>
        <w:t>comprennent les passifs financiers détenus à des fins de transaction et les passifs financiers classés lors de la comptabilisation initiale comme étant à juste valeur par le biais de l</w:t>
      </w:r>
      <w:r w:rsidR="004D3D70">
        <w:rPr>
          <w:lang w:val="fr-CH"/>
        </w:rPr>
        <w:t>’</w:t>
      </w:r>
      <w:r w:rsidRPr="004D3D70">
        <w:rPr>
          <w:lang w:val="fr-CH"/>
        </w:rPr>
        <w:t>excédent ou du défic</w:t>
      </w:r>
      <w:r w:rsidR="002140E0" w:rsidRPr="004D3D70">
        <w:rPr>
          <w:lang w:val="fr-CH"/>
        </w:rPr>
        <w:t>it</w:t>
      </w:r>
      <w:r w:rsidR="002140E0">
        <w:rPr>
          <w:lang w:val="fr-CH"/>
        </w:rPr>
        <w:t xml:space="preserve">.  </w:t>
      </w:r>
      <w:r w:rsidR="002140E0" w:rsidRPr="004D3D70">
        <w:rPr>
          <w:lang w:val="fr-CH"/>
        </w:rPr>
        <w:t>Le</w:t>
      </w:r>
      <w:r w:rsidRPr="004D3D70">
        <w:rPr>
          <w:lang w:val="fr-CH"/>
        </w:rPr>
        <w:t>s passifs financiers sont classés comme étant détenus à des fins de transaction s</w:t>
      </w:r>
      <w:r w:rsidR="004D3D70">
        <w:rPr>
          <w:lang w:val="fr-CH"/>
        </w:rPr>
        <w:t>’</w:t>
      </w:r>
      <w:r w:rsidRPr="004D3D70">
        <w:rPr>
          <w:lang w:val="fr-CH"/>
        </w:rPr>
        <w:t>ils sont acquis pour être vendus dans le court ter</w:t>
      </w:r>
      <w:r w:rsidR="002140E0" w:rsidRPr="004D3D70">
        <w:rPr>
          <w:lang w:val="fr-CH"/>
        </w:rPr>
        <w:t>me</w:t>
      </w:r>
      <w:r w:rsidR="002140E0">
        <w:rPr>
          <w:lang w:val="fr-CH"/>
        </w:rPr>
        <w:t xml:space="preserve">.  </w:t>
      </w:r>
      <w:r w:rsidR="002140E0" w:rsidRPr="004D3D70">
        <w:rPr>
          <w:lang w:val="fr-CH"/>
        </w:rPr>
        <w:t>Le</w:t>
      </w:r>
      <w:r w:rsidRPr="004D3D70">
        <w:rPr>
          <w:lang w:val="fr-CH"/>
        </w:rPr>
        <w:t>s gains ou pertes au titre de passifs détenus à des fins de transaction sont comptabilisés dans l</w:t>
      </w:r>
      <w:r w:rsidR="004D3D70">
        <w:rPr>
          <w:lang w:val="fr-CH"/>
        </w:rPr>
        <w:t>’</w:t>
      </w:r>
      <w:r w:rsidRPr="004D3D70">
        <w:rPr>
          <w:lang w:val="fr-CH"/>
        </w:rPr>
        <w:t>excédent ou le déficit.</w:t>
      </w:r>
    </w:p>
    <w:p w:rsidR="00905890" w:rsidRPr="004D3D70" w:rsidRDefault="00905890" w:rsidP="00A824AF">
      <w:pPr>
        <w:autoSpaceDE w:val="0"/>
        <w:autoSpaceDN w:val="0"/>
        <w:adjustRightInd w:val="0"/>
        <w:rPr>
          <w:bCs/>
          <w:i/>
          <w:lang w:val="fr-CH"/>
        </w:rPr>
      </w:pPr>
    </w:p>
    <w:p w:rsidR="00905890" w:rsidRPr="004D3D70" w:rsidRDefault="00092C13" w:rsidP="00A824AF">
      <w:pPr>
        <w:autoSpaceDE w:val="0"/>
        <w:autoSpaceDN w:val="0"/>
        <w:adjustRightInd w:val="0"/>
        <w:rPr>
          <w:bCs/>
          <w:i/>
          <w:lang w:val="fr-CH"/>
        </w:rPr>
      </w:pPr>
      <w:r w:rsidRPr="004D3D70">
        <w:rPr>
          <w:bCs/>
          <w:i/>
          <w:lang w:val="fr-CH"/>
        </w:rPr>
        <w:t>Prêts et emprunts</w:t>
      </w:r>
    </w:p>
    <w:p w:rsidR="00905890" w:rsidRPr="004D3D70" w:rsidRDefault="001842BE" w:rsidP="001842BE">
      <w:pPr>
        <w:autoSpaceDE w:val="0"/>
        <w:autoSpaceDN w:val="0"/>
        <w:adjustRightInd w:val="0"/>
        <w:rPr>
          <w:lang w:val="fr-CH"/>
        </w:rPr>
      </w:pPr>
      <w:r w:rsidRPr="004D3D70">
        <w:rPr>
          <w:lang w:val="fr-CH"/>
        </w:rPr>
        <w:t>Après une comptabilisation initiale, les prêts et les emprunts sont ultérieurement évalués au coût amorti à l</w:t>
      </w:r>
      <w:r w:rsidR="004D3D70">
        <w:rPr>
          <w:lang w:val="fr-CH"/>
        </w:rPr>
        <w:t>’</w:t>
      </w:r>
      <w:r w:rsidRPr="004D3D70">
        <w:rPr>
          <w:lang w:val="fr-CH"/>
        </w:rPr>
        <w:t>aide de la méthode de l</w:t>
      </w:r>
      <w:r w:rsidR="004D3D70">
        <w:rPr>
          <w:lang w:val="fr-CH"/>
        </w:rPr>
        <w:t>’</w:t>
      </w:r>
      <w:r w:rsidRPr="004D3D70">
        <w:rPr>
          <w:lang w:val="fr-CH"/>
        </w:rPr>
        <w:t>intérêt effect</w:t>
      </w:r>
      <w:r w:rsidR="002140E0" w:rsidRPr="004D3D70">
        <w:rPr>
          <w:lang w:val="fr-CH"/>
        </w:rPr>
        <w:t>if</w:t>
      </w:r>
      <w:r w:rsidR="002140E0">
        <w:rPr>
          <w:lang w:val="fr-CH"/>
        </w:rPr>
        <w:t xml:space="preserve">.  </w:t>
      </w:r>
      <w:r w:rsidR="002140E0" w:rsidRPr="004D3D70">
        <w:rPr>
          <w:lang w:val="fr-CH"/>
        </w:rPr>
        <w:t>Le</w:t>
      </w:r>
      <w:r w:rsidRPr="004D3D70">
        <w:rPr>
          <w:lang w:val="fr-CH"/>
        </w:rPr>
        <w:t>s gains et les pertes sont comptabilisés dans l</w:t>
      </w:r>
      <w:r w:rsidR="004D3D70">
        <w:rPr>
          <w:lang w:val="fr-CH"/>
        </w:rPr>
        <w:t>’</w:t>
      </w:r>
      <w:r w:rsidRPr="004D3D70">
        <w:rPr>
          <w:lang w:val="fr-CH"/>
        </w:rPr>
        <w:t>excédent ou le déficit lorsque les passifs sont décomptabilisés ainsi qu</w:t>
      </w:r>
      <w:r w:rsidR="004D3D70">
        <w:rPr>
          <w:lang w:val="fr-CH"/>
        </w:rPr>
        <w:t>’</w:t>
      </w:r>
      <w:r w:rsidRPr="004D3D70">
        <w:rPr>
          <w:lang w:val="fr-CH"/>
        </w:rPr>
        <w:t>au moyen de la procédure d</w:t>
      </w:r>
      <w:r w:rsidR="004D3D70">
        <w:rPr>
          <w:lang w:val="fr-CH"/>
        </w:rPr>
        <w:t>’</w:t>
      </w:r>
      <w:r w:rsidRPr="004D3D70">
        <w:rPr>
          <w:lang w:val="fr-CH"/>
        </w:rPr>
        <w:t>amortissement de la méthode de l</w:t>
      </w:r>
      <w:r w:rsidR="004D3D70">
        <w:rPr>
          <w:lang w:val="fr-CH"/>
        </w:rPr>
        <w:t>’</w:t>
      </w:r>
      <w:r w:rsidRPr="004D3D70">
        <w:rPr>
          <w:lang w:val="fr-CH"/>
        </w:rPr>
        <w:t>intérêt effect</w:t>
      </w:r>
      <w:r w:rsidR="002140E0" w:rsidRPr="004D3D70">
        <w:rPr>
          <w:lang w:val="fr-CH"/>
        </w:rPr>
        <w:t>if</w:t>
      </w:r>
      <w:r w:rsidR="002140E0">
        <w:rPr>
          <w:lang w:val="fr-CH"/>
        </w:rPr>
        <w:t xml:space="preserve">.  </w:t>
      </w:r>
      <w:r w:rsidR="002140E0" w:rsidRPr="004D3D70">
        <w:rPr>
          <w:lang w:val="fr-CH"/>
        </w:rPr>
        <w:t>Le</w:t>
      </w:r>
      <w:r w:rsidRPr="004D3D70">
        <w:rPr>
          <w:lang w:val="fr-CH"/>
        </w:rPr>
        <w:t xml:space="preserve"> coût amorti est calculé en tenant compte de toute décote ou prime d</w:t>
      </w:r>
      <w:r w:rsidR="004D3D70">
        <w:rPr>
          <w:lang w:val="fr-CH"/>
        </w:rPr>
        <w:t>’</w:t>
      </w:r>
      <w:r w:rsidRPr="004D3D70">
        <w:rPr>
          <w:lang w:val="fr-CH"/>
        </w:rPr>
        <w:t>acquisition ainsi que des taxes et coûts qui font partie intégrante du taux d</w:t>
      </w:r>
      <w:r w:rsidR="004D3D70">
        <w:rPr>
          <w:lang w:val="fr-CH"/>
        </w:rPr>
        <w:t>’</w:t>
      </w:r>
      <w:r w:rsidRPr="004D3D70">
        <w:rPr>
          <w:lang w:val="fr-CH"/>
        </w:rPr>
        <w:t>intérêt effectif.</w:t>
      </w:r>
    </w:p>
    <w:p w:rsidR="00905890" w:rsidRPr="004D3D70" w:rsidRDefault="00905890" w:rsidP="00A824AF">
      <w:pPr>
        <w:autoSpaceDE w:val="0"/>
        <w:autoSpaceDN w:val="0"/>
        <w:adjustRightInd w:val="0"/>
        <w:rPr>
          <w:b/>
          <w:bCs/>
          <w:lang w:val="fr-CH"/>
        </w:rPr>
      </w:pPr>
    </w:p>
    <w:p w:rsidR="00905890" w:rsidRPr="004D3D70" w:rsidRDefault="001842BE" w:rsidP="001842BE">
      <w:pPr>
        <w:autoSpaceDE w:val="0"/>
        <w:autoSpaceDN w:val="0"/>
        <w:adjustRightInd w:val="0"/>
        <w:rPr>
          <w:bCs/>
          <w:lang w:val="fr-CH"/>
        </w:rPr>
      </w:pPr>
      <w:r w:rsidRPr="004D3D70">
        <w:rPr>
          <w:bCs/>
          <w:lang w:val="fr-CH"/>
        </w:rPr>
        <w:t>Décomptabilisation</w:t>
      </w:r>
      <w:r w:rsidR="004D3D70">
        <w:rPr>
          <w:bCs/>
          <w:lang w:val="fr-CH"/>
        </w:rPr>
        <w:t> :</w:t>
      </w:r>
    </w:p>
    <w:p w:rsidR="00905890" w:rsidRPr="004D3D70" w:rsidRDefault="001842BE" w:rsidP="001842BE">
      <w:pPr>
        <w:pStyle w:val="Style3"/>
        <w:spacing w:after="0"/>
        <w:rPr>
          <w:rFonts w:cs="Arial"/>
          <w:sz w:val="20"/>
          <w:lang w:val="fr-CH"/>
        </w:rPr>
      </w:pPr>
      <w:r w:rsidRPr="004D3D70">
        <w:rPr>
          <w:rFonts w:cs="Arial"/>
          <w:sz w:val="20"/>
          <w:lang w:val="fr-CH"/>
        </w:rPr>
        <w:t>Un passif financier est décomptabilisé lorsque l</w:t>
      </w:r>
      <w:r w:rsidR="004D3D70">
        <w:rPr>
          <w:rFonts w:cs="Arial"/>
          <w:sz w:val="20"/>
          <w:lang w:val="fr-CH"/>
        </w:rPr>
        <w:t>’</w:t>
      </w:r>
      <w:r w:rsidRPr="004D3D70">
        <w:rPr>
          <w:rFonts w:cs="Arial"/>
          <w:sz w:val="20"/>
          <w:lang w:val="fr-CH"/>
        </w:rPr>
        <w:t>obligation qui en relève a été payée ou annulée ou lorsqu</w:t>
      </w:r>
      <w:r w:rsidR="004D3D70">
        <w:rPr>
          <w:rFonts w:cs="Arial"/>
          <w:sz w:val="20"/>
          <w:lang w:val="fr-CH"/>
        </w:rPr>
        <w:t>’</w:t>
      </w:r>
      <w:r w:rsidRPr="004D3D70">
        <w:rPr>
          <w:rFonts w:cs="Arial"/>
          <w:sz w:val="20"/>
          <w:lang w:val="fr-CH"/>
        </w:rPr>
        <w:t>elle expi</w:t>
      </w:r>
      <w:r w:rsidR="002140E0" w:rsidRPr="004D3D70">
        <w:rPr>
          <w:rFonts w:cs="Arial"/>
          <w:sz w:val="20"/>
          <w:lang w:val="fr-CH"/>
        </w:rPr>
        <w:t>re</w:t>
      </w:r>
      <w:r w:rsidR="002140E0">
        <w:rPr>
          <w:rFonts w:cs="Arial"/>
          <w:sz w:val="20"/>
          <w:lang w:val="fr-CH"/>
        </w:rPr>
        <w:t xml:space="preserve">.  </w:t>
      </w:r>
      <w:r w:rsidR="002140E0" w:rsidRPr="004D3D70">
        <w:rPr>
          <w:rFonts w:cs="Arial"/>
          <w:sz w:val="20"/>
          <w:lang w:val="fr-CH"/>
        </w:rPr>
        <w:t>Lo</w:t>
      </w:r>
      <w:r w:rsidRPr="004D3D70">
        <w:rPr>
          <w:rFonts w:cs="Arial"/>
          <w:sz w:val="20"/>
          <w:lang w:val="fr-CH"/>
        </w:rPr>
        <w:t>rsqu</w:t>
      </w:r>
      <w:r w:rsidR="004D3D70">
        <w:rPr>
          <w:rFonts w:cs="Arial"/>
          <w:sz w:val="20"/>
          <w:lang w:val="fr-CH"/>
        </w:rPr>
        <w:t>’</w:t>
      </w:r>
      <w:r w:rsidRPr="004D3D70">
        <w:rPr>
          <w:rFonts w:cs="Arial"/>
          <w:sz w:val="20"/>
          <w:lang w:val="fr-CH"/>
        </w:rPr>
        <w:t>un passif financier existant est remplacé par un autre du même prêteur dans des conditions très différentes, ou lorsque les conditions d</w:t>
      </w:r>
      <w:r w:rsidR="004D3D70">
        <w:rPr>
          <w:rFonts w:cs="Arial"/>
          <w:sz w:val="20"/>
          <w:lang w:val="fr-CH"/>
        </w:rPr>
        <w:t>’</w:t>
      </w:r>
      <w:r w:rsidRPr="004D3D70">
        <w:rPr>
          <w:rFonts w:cs="Arial"/>
          <w:sz w:val="20"/>
          <w:lang w:val="fr-CH"/>
        </w:rPr>
        <w:t>un passif existant sont considérablement modifiées, un tel échange ou une telle modification est traité comme une décomptabilisation du passif originel et la comptabilisation d</w:t>
      </w:r>
      <w:r w:rsidR="004D3D70">
        <w:rPr>
          <w:rFonts w:cs="Arial"/>
          <w:sz w:val="20"/>
          <w:lang w:val="fr-CH"/>
        </w:rPr>
        <w:t>’</w:t>
      </w:r>
      <w:r w:rsidRPr="004D3D70">
        <w:rPr>
          <w:rFonts w:cs="Arial"/>
          <w:sz w:val="20"/>
          <w:lang w:val="fr-CH"/>
        </w:rPr>
        <w:t>un nouveau passif et la différence des valeurs comptables respectives est comptabilisée dans l</w:t>
      </w:r>
      <w:r w:rsidR="004D3D70">
        <w:rPr>
          <w:rFonts w:cs="Arial"/>
          <w:sz w:val="20"/>
          <w:lang w:val="fr-CH"/>
        </w:rPr>
        <w:t>’</w:t>
      </w:r>
      <w:r w:rsidRPr="004D3D70">
        <w:rPr>
          <w:rFonts w:cs="Arial"/>
          <w:sz w:val="20"/>
          <w:lang w:val="fr-CH"/>
        </w:rPr>
        <w:t>excédent ou le déficit.</w:t>
      </w:r>
    </w:p>
    <w:p w:rsidR="00905890" w:rsidRPr="004D3D70" w:rsidRDefault="00905890" w:rsidP="00A824AF">
      <w:pPr>
        <w:pStyle w:val="Style3"/>
        <w:spacing w:after="0"/>
        <w:rPr>
          <w:rFonts w:cs="Arial"/>
          <w:sz w:val="20"/>
          <w:lang w:val="fr-CH"/>
        </w:rPr>
      </w:pPr>
    </w:p>
    <w:p w:rsidR="00905890" w:rsidRPr="004D3D70" w:rsidRDefault="001842BE" w:rsidP="001842BE">
      <w:pPr>
        <w:pStyle w:val="Style3"/>
        <w:spacing w:after="0"/>
        <w:rPr>
          <w:rFonts w:cs="Arial"/>
          <w:b/>
          <w:sz w:val="20"/>
          <w:lang w:val="fr-CH"/>
        </w:rPr>
      </w:pPr>
      <w:r w:rsidRPr="004D3D70">
        <w:rPr>
          <w:rFonts w:cs="Arial"/>
          <w:b/>
          <w:sz w:val="20"/>
          <w:lang w:val="fr-CH"/>
        </w:rPr>
        <w:t>Utilisation d</w:t>
      </w:r>
      <w:r w:rsidR="004D3D70">
        <w:rPr>
          <w:rFonts w:cs="Arial"/>
          <w:b/>
          <w:sz w:val="20"/>
          <w:lang w:val="fr-CH"/>
        </w:rPr>
        <w:t>’</w:t>
      </w:r>
      <w:r w:rsidRPr="004D3D70">
        <w:rPr>
          <w:rFonts w:cs="Arial"/>
          <w:b/>
          <w:sz w:val="20"/>
          <w:lang w:val="fr-CH"/>
        </w:rPr>
        <w:t>estimations</w:t>
      </w:r>
    </w:p>
    <w:p w:rsidR="00905890" w:rsidRPr="004D3D70" w:rsidRDefault="00905890" w:rsidP="00A824AF">
      <w:pPr>
        <w:rPr>
          <w:lang w:val="fr-CH"/>
        </w:rPr>
      </w:pPr>
    </w:p>
    <w:p w:rsidR="00905890" w:rsidRPr="004D3D70" w:rsidRDefault="001842BE" w:rsidP="001842BE">
      <w:pPr>
        <w:pStyle w:val="Style3"/>
        <w:spacing w:after="0"/>
        <w:rPr>
          <w:rFonts w:cs="Arial"/>
          <w:sz w:val="20"/>
          <w:lang w:val="fr-CH"/>
        </w:rPr>
      </w:pPr>
      <w:r w:rsidRPr="004D3D70">
        <w:rPr>
          <w:rFonts w:cs="Arial"/>
          <w:sz w:val="20"/>
          <w:lang w:val="fr-CH"/>
        </w:rPr>
        <w:t>Les états financiers incluent nécessairement des montants fondés sur des estimations et des hypothèses établies par la directi</w:t>
      </w:r>
      <w:r w:rsidR="002140E0" w:rsidRPr="004D3D70">
        <w:rPr>
          <w:rFonts w:cs="Arial"/>
          <w:sz w:val="20"/>
          <w:lang w:val="fr-CH"/>
        </w:rPr>
        <w:t>on</w:t>
      </w:r>
      <w:r w:rsidR="002140E0">
        <w:rPr>
          <w:rFonts w:cs="Arial"/>
          <w:sz w:val="20"/>
          <w:lang w:val="fr-CH"/>
        </w:rPr>
        <w:t xml:space="preserve">.  </w:t>
      </w:r>
      <w:r w:rsidR="002140E0" w:rsidRPr="004D3D70">
        <w:rPr>
          <w:rFonts w:cs="Arial"/>
          <w:sz w:val="20"/>
          <w:lang w:val="fr-CH"/>
        </w:rPr>
        <w:t>Le</w:t>
      </w:r>
      <w:r w:rsidRPr="004D3D70">
        <w:rPr>
          <w:rFonts w:cs="Arial"/>
          <w:sz w:val="20"/>
          <w:lang w:val="fr-CH"/>
        </w:rPr>
        <w:t>s estimations prennent en considération, mais pas uniquement, l</w:t>
      </w:r>
      <w:r w:rsidR="004D3D70">
        <w:rPr>
          <w:rFonts w:cs="Arial"/>
          <w:sz w:val="20"/>
          <w:lang w:val="fr-CH"/>
        </w:rPr>
        <w:t>’</w:t>
      </w:r>
      <w:r w:rsidRPr="004D3D70">
        <w:rPr>
          <w:rFonts w:cs="Arial"/>
          <w:sz w:val="20"/>
          <w:lang w:val="fr-CH"/>
        </w:rPr>
        <w:t>AMCS et la prime de rapatriement et voyages (dont la valeur est calculée par un actuaire indépendant), les autres engagements liés aux prestations dues au personnel, le risque financier portant sur des comptes de débiteurs, les charges à payer et le degré de dépréciation des immobilisations.  Les résultats réels peuvent s</w:t>
      </w:r>
      <w:r w:rsidR="004D3D70">
        <w:rPr>
          <w:rFonts w:cs="Arial"/>
          <w:sz w:val="20"/>
          <w:lang w:val="fr-CH"/>
        </w:rPr>
        <w:t>’</w:t>
      </w:r>
      <w:r w:rsidRPr="004D3D70">
        <w:rPr>
          <w:rFonts w:cs="Arial"/>
          <w:sz w:val="20"/>
          <w:lang w:val="fr-CH"/>
        </w:rPr>
        <w:t>écarter de ces estimatio</w:t>
      </w:r>
      <w:r w:rsidR="002140E0" w:rsidRPr="004D3D70">
        <w:rPr>
          <w:rFonts w:cs="Arial"/>
          <w:sz w:val="20"/>
          <w:lang w:val="fr-CH"/>
        </w:rPr>
        <w:t>ns</w:t>
      </w:r>
      <w:r w:rsidR="002140E0">
        <w:rPr>
          <w:rFonts w:cs="Arial"/>
          <w:sz w:val="20"/>
          <w:lang w:val="fr-CH"/>
        </w:rPr>
        <w:t xml:space="preserve">.  </w:t>
      </w:r>
      <w:r w:rsidR="002140E0" w:rsidRPr="004D3D70">
        <w:rPr>
          <w:rFonts w:cs="Arial"/>
          <w:sz w:val="20"/>
          <w:lang w:val="fr-CH"/>
        </w:rPr>
        <w:t>L</w:t>
      </w:r>
      <w:r w:rsidR="002140E0">
        <w:rPr>
          <w:rFonts w:cs="Arial"/>
          <w:sz w:val="20"/>
          <w:lang w:val="fr-CH"/>
        </w:rPr>
        <w:t>’</w:t>
      </w:r>
      <w:r w:rsidR="002140E0" w:rsidRPr="004D3D70">
        <w:rPr>
          <w:rFonts w:cs="Arial"/>
          <w:sz w:val="20"/>
          <w:lang w:val="fr-CH"/>
        </w:rPr>
        <w:t>é</w:t>
      </w:r>
      <w:r w:rsidRPr="004D3D70">
        <w:rPr>
          <w:rFonts w:cs="Arial"/>
          <w:sz w:val="20"/>
          <w:lang w:val="fr-CH"/>
        </w:rPr>
        <w:t>volution des estimations est répercutée au cours de l</w:t>
      </w:r>
      <w:r w:rsidR="004D3D70">
        <w:rPr>
          <w:rFonts w:cs="Arial"/>
          <w:sz w:val="20"/>
          <w:lang w:val="fr-CH"/>
        </w:rPr>
        <w:t>’</w:t>
      </w:r>
      <w:r w:rsidRPr="004D3D70">
        <w:rPr>
          <w:rFonts w:cs="Arial"/>
          <w:sz w:val="20"/>
          <w:lang w:val="fr-CH"/>
        </w:rPr>
        <w:t>exercice concerné.</w:t>
      </w:r>
    </w:p>
    <w:p w:rsidR="00905890" w:rsidRPr="004D3D70" w:rsidRDefault="00905890" w:rsidP="00A824AF">
      <w:pPr>
        <w:pStyle w:val="Style3"/>
        <w:spacing w:after="0"/>
        <w:rPr>
          <w:rFonts w:cs="Arial"/>
          <w:sz w:val="20"/>
          <w:lang w:val="fr-CH"/>
        </w:rPr>
      </w:pPr>
    </w:p>
    <w:p w:rsidR="00905890" w:rsidRPr="004D3D70" w:rsidRDefault="00874A60" w:rsidP="00A824AF">
      <w:pPr>
        <w:pStyle w:val="Style3"/>
        <w:spacing w:after="0"/>
        <w:rPr>
          <w:rFonts w:cs="Arial"/>
          <w:b/>
          <w:sz w:val="20"/>
          <w:lang w:val="fr-CH"/>
        </w:rPr>
      </w:pPr>
      <w:r w:rsidRPr="004D3D70">
        <w:rPr>
          <w:rFonts w:cs="Arial"/>
          <w:b/>
          <w:sz w:val="20"/>
          <w:lang w:val="fr-CH"/>
        </w:rPr>
        <w:t>Change</w:t>
      </w:r>
      <w:r w:rsidR="00255401" w:rsidRPr="004D3D70">
        <w:rPr>
          <w:rFonts w:cs="Arial"/>
          <w:b/>
          <w:sz w:val="20"/>
          <w:lang w:val="fr-CH"/>
        </w:rPr>
        <w:t>ment de la méthode comptable</w:t>
      </w:r>
    </w:p>
    <w:p w:rsidR="00905890" w:rsidRPr="004D3D70" w:rsidRDefault="00905890" w:rsidP="00A824AF">
      <w:pPr>
        <w:pStyle w:val="Style3"/>
        <w:spacing w:after="0"/>
        <w:rPr>
          <w:rFonts w:cs="Arial"/>
          <w:sz w:val="20"/>
          <w:lang w:val="fr-CH"/>
        </w:rPr>
      </w:pPr>
    </w:p>
    <w:p w:rsidR="00905890" w:rsidRPr="004D3D70" w:rsidRDefault="00AD39A6" w:rsidP="00874A60">
      <w:pPr>
        <w:pStyle w:val="Style3"/>
        <w:rPr>
          <w:rFonts w:cs="Arial"/>
          <w:sz w:val="20"/>
          <w:lang w:val="fr-CH"/>
        </w:rPr>
      </w:pPr>
      <w:r w:rsidRPr="004D3D70">
        <w:rPr>
          <w:rFonts w:cs="Arial"/>
          <w:sz w:val="20"/>
          <w:lang w:val="fr-CH"/>
        </w:rPr>
        <w:t>L</w:t>
      </w:r>
      <w:r w:rsidR="004D3D70">
        <w:rPr>
          <w:rFonts w:cs="Arial"/>
          <w:sz w:val="20"/>
          <w:lang w:val="fr-CH"/>
        </w:rPr>
        <w:t>’</w:t>
      </w:r>
      <w:r w:rsidRPr="004D3D70">
        <w:rPr>
          <w:rFonts w:cs="Arial"/>
          <w:sz w:val="20"/>
          <w:lang w:val="fr-CH"/>
        </w:rPr>
        <w:t>UPOV a changé de méthode comptable, en vigueur depuis le</w:t>
      </w:r>
      <w:r w:rsidR="004D3D70">
        <w:rPr>
          <w:rFonts w:cs="Arial"/>
          <w:sz w:val="20"/>
          <w:lang w:val="fr-CH"/>
        </w:rPr>
        <w:t xml:space="preserve"> 1</w:t>
      </w:r>
      <w:r w:rsidR="004D3D70" w:rsidRPr="004D3D70">
        <w:rPr>
          <w:rFonts w:cs="Arial"/>
          <w:sz w:val="20"/>
          <w:vertAlign w:val="superscript"/>
          <w:lang w:val="fr-CH"/>
        </w:rPr>
        <w:t>er</w:t>
      </w:r>
      <w:r w:rsidR="004D3D70">
        <w:rPr>
          <w:rFonts w:cs="Arial"/>
          <w:sz w:val="20"/>
          <w:lang w:val="fr-CH"/>
        </w:rPr>
        <w:t> </w:t>
      </w:r>
      <w:r w:rsidRPr="004D3D70">
        <w:rPr>
          <w:rFonts w:cs="Arial"/>
          <w:sz w:val="20"/>
          <w:lang w:val="fr-CH"/>
        </w:rPr>
        <w:t>janvier 2017, afin de comptabiliser les prestations au personnel</w:t>
      </w:r>
      <w:r w:rsidR="00874A60" w:rsidRPr="004D3D70">
        <w:rPr>
          <w:rFonts w:cs="Arial"/>
          <w:sz w:val="20"/>
          <w:lang w:val="fr-CH"/>
        </w:rPr>
        <w:t xml:space="preserve"> </w:t>
      </w:r>
      <w:r w:rsidRPr="004D3D70">
        <w:rPr>
          <w:rFonts w:cs="Arial"/>
          <w:sz w:val="20"/>
          <w:lang w:val="fr-CH"/>
        </w:rPr>
        <w:t>conformément à la norme</w:t>
      </w:r>
      <w:r w:rsidR="00AC2A6B">
        <w:rPr>
          <w:rFonts w:cs="Arial"/>
          <w:sz w:val="20"/>
          <w:lang w:val="fr-CH"/>
        </w:rPr>
        <w:t> </w:t>
      </w:r>
      <w:r w:rsidR="00874A60" w:rsidRPr="004D3D70">
        <w:rPr>
          <w:rFonts w:cs="Arial"/>
          <w:sz w:val="20"/>
          <w:lang w:val="fr-CH"/>
        </w:rPr>
        <w:t>IPSAS</w:t>
      </w:r>
      <w:r w:rsidR="00BE23DA">
        <w:rPr>
          <w:rFonts w:cs="Arial"/>
          <w:sz w:val="20"/>
          <w:lang w:val="fr-CH"/>
        </w:rPr>
        <w:t> </w:t>
      </w:r>
      <w:r w:rsidR="00874A60" w:rsidRPr="004D3D70">
        <w:rPr>
          <w:rFonts w:cs="Arial"/>
          <w:sz w:val="20"/>
          <w:lang w:val="fr-CH"/>
        </w:rPr>
        <w:t xml:space="preserve">39. </w:t>
      </w:r>
      <w:r w:rsidRPr="004D3D70">
        <w:rPr>
          <w:rFonts w:cs="Arial"/>
          <w:sz w:val="20"/>
          <w:lang w:val="fr-CH"/>
        </w:rPr>
        <w:t xml:space="preserve"> Dès lors</w:t>
      </w:r>
      <w:r w:rsidR="00874A60" w:rsidRPr="004D3D70">
        <w:rPr>
          <w:rFonts w:cs="Arial"/>
          <w:sz w:val="20"/>
          <w:lang w:val="fr-CH"/>
        </w:rPr>
        <w:t xml:space="preserve">, </w:t>
      </w:r>
      <w:r w:rsidRPr="004D3D70">
        <w:rPr>
          <w:rFonts w:cs="Arial"/>
          <w:sz w:val="20"/>
          <w:lang w:val="fr-CH"/>
        </w:rPr>
        <w:t>les gains et pertes actuariels</w:t>
      </w:r>
      <w:r w:rsidR="00874A60" w:rsidRPr="004D3D70">
        <w:rPr>
          <w:rFonts w:cs="Arial"/>
          <w:sz w:val="20"/>
          <w:lang w:val="fr-CH"/>
        </w:rPr>
        <w:t xml:space="preserve"> </w:t>
      </w:r>
      <w:r w:rsidR="00092C13" w:rsidRPr="004D3D70">
        <w:rPr>
          <w:rFonts w:cs="Arial"/>
          <w:sz w:val="20"/>
          <w:lang w:val="fr-CH"/>
        </w:rPr>
        <w:t>pour l</w:t>
      </w:r>
      <w:r w:rsidR="004D3D70">
        <w:rPr>
          <w:rFonts w:cs="Arial"/>
          <w:sz w:val="20"/>
          <w:lang w:val="fr-CH"/>
        </w:rPr>
        <w:t>’</w:t>
      </w:r>
      <w:r w:rsidR="00092C13" w:rsidRPr="004D3D70">
        <w:rPr>
          <w:rFonts w:cs="Arial"/>
          <w:sz w:val="20"/>
          <w:lang w:val="fr-CH"/>
        </w:rPr>
        <w:t>AMCS</w:t>
      </w:r>
      <w:r w:rsidR="00874A60" w:rsidRPr="004D3D70">
        <w:rPr>
          <w:rFonts w:cs="Arial"/>
          <w:sz w:val="20"/>
          <w:lang w:val="fr-CH"/>
        </w:rPr>
        <w:t xml:space="preserve">, </w:t>
      </w:r>
      <w:r w:rsidRPr="004D3D70">
        <w:rPr>
          <w:rFonts w:cs="Arial"/>
          <w:sz w:val="20"/>
          <w:lang w:val="fr-CH"/>
        </w:rPr>
        <w:t>qui n</w:t>
      </w:r>
      <w:r w:rsidR="004D3D70">
        <w:rPr>
          <w:rFonts w:cs="Arial"/>
          <w:sz w:val="20"/>
          <w:lang w:val="fr-CH"/>
        </w:rPr>
        <w:t>’</w:t>
      </w:r>
      <w:r w:rsidRPr="004D3D70">
        <w:rPr>
          <w:rFonts w:cs="Arial"/>
          <w:sz w:val="20"/>
          <w:lang w:val="fr-CH"/>
        </w:rPr>
        <w:t>étaient pas comptabilisés auparavant, sont co</w:t>
      </w:r>
      <w:r w:rsidR="00DF4418" w:rsidRPr="004D3D70">
        <w:rPr>
          <w:rFonts w:cs="Arial"/>
          <w:sz w:val="20"/>
          <w:lang w:val="fr-CH"/>
        </w:rPr>
        <w:t xml:space="preserve">mptabilisés directement dans les </w:t>
      </w:r>
      <w:r w:rsidR="00092C13" w:rsidRPr="004D3D70">
        <w:rPr>
          <w:rFonts w:cs="Arial"/>
          <w:sz w:val="20"/>
          <w:lang w:val="fr-CH"/>
        </w:rPr>
        <w:t>actif</w:t>
      </w:r>
      <w:r w:rsidR="00DF4418" w:rsidRPr="004D3D70">
        <w:rPr>
          <w:rFonts w:cs="Arial"/>
          <w:sz w:val="20"/>
          <w:lang w:val="fr-CH"/>
        </w:rPr>
        <w:t>s</w:t>
      </w:r>
      <w:r w:rsidR="00092C13" w:rsidRPr="004D3D70">
        <w:rPr>
          <w:rFonts w:cs="Arial"/>
          <w:sz w:val="20"/>
          <w:lang w:val="fr-CH"/>
        </w:rPr>
        <w:t xml:space="preserve"> ne</w:t>
      </w:r>
      <w:r w:rsidR="002140E0" w:rsidRPr="004D3D70">
        <w:rPr>
          <w:rFonts w:cs="Arial"/>
          <w:sz w:val="20"/>
          <w:lang w:val="fr-CH"/>
        </w:rPr>
        <w:t>ts</w:t>
      </w:r>
      <w:r w:rsidR="002140E0">
        <w:rPr>
          <w:rFonts w:cs="Arial"/>
          <w:sz w:val="20"/>
          <w:lang w:val="fr-CH"/>
        </w:rPr>
        <w:t xml:space="preserve">.  </w:t>
      </w:r>
      <w:r w:rsidR="002140E0" w:rsidRPr="004D3D70">
        <w:rPr>
          <w:rFonts w:cs="Arial"/>
          <w:sz w:val="20"/>
          <w:lang w:val="fr-CH"/>
        </w:rPr>
        <w:t>Le</w:t>
      </w:r>
      <w:r w:rsidRPr="004D3D70">
        <w:rPr>
          <w:rFonts w:cs="Arial"/>
          <w:sz w:val="20"/>
          <w:lang w:val="fr-CH"/>
        </w:rPr>
        <w:t xml:space="preserve">s </w:t>
      </w:r>
      <w:r w:rsidR="001007C3" w:rsidRPr="004D3D70">
        <w:rPr>
          <w:rFonts w:cs="Arial"/>
          <w:sz w:val="20"/>
          <w:lang w:val="fr-CH"/>
        </w:rPr>
        <w:t>jours de congé</w:t>
      </w:r>
      <w:r w:rsidR="00874A60" w:rsidRPr="004D3D70">
        <w:rPr>
          <w:rFonts w:cs="Arial"/>
          <w:sz w:val="20"/>
          <w:lang w:val="fr-CH"/>
        </w:rPr>
        <w:t xml:space="preserve"> </w:t>
      </w:r>
      <w:r w:rsidRPr="004D3D70">
        <w:rPr>
          <w:rFonts w:cs="Arial"/>
          <w:sz w:val="20"/>
          <w:lang w:val="fr-CH"/>
        </w:rPr>
        <w:t>annue</w:t>
      </w:r>
      <w:r w:rsidR="00874A60" w:rsidRPr="004D3D70">
        <w:rPr>
          <w:rFonts w:cs="Arial"/>
          <w:sz w:val="20"/>
          <w:lang w:val="fr-CH"/>
        </w:rPr>
        <w:t>l</w:t>
      </w:r>
      <w:r w:rsidRPr="004D3D70">
        <w:rPr>
          <w:rFonts w:cs="Arial"/>
          <w:sz w:val="20"/>
          <w:lang w:val="fr-CH"/>
        </w:rPr>
        <w:t xml:space="preserve"> </w:t>
      </w:r>
      <w:r w:rsidR="00E74517" w:rsidRPr="004D3D70">
        <w:rPr>
          <w:rFonts w:cs="Arial"/>
          <w:sz w:val="20"/>
          <w:lang w:val="fr-CH"/>
        </w:rPr>
        <w:t>ac</w:t>
      </w:r>
      <w:r w:rsidRPr="004D3D70">
        <w:rPr>
          <w:rFonts w:cs="Arial"/>
          <w:sz w:val="20"/>
          <w:lang w:val="fr-CH"/>
        </w:rPr>
        <w:t>cumulés</w:t>
      </w:r>
      <w:r w:rsidR="00874A60" w:rsidRPr="004D3D70">
        <w:rPr>
          <w:rFonts w:cs="Arial"/>
          <w:sz w:val="20"/>
          <w:lang w:val="fr-CH"/>
        </w:rPr>
        <w:t xml:space="preserve"> </w:t>
      </w:r>
      <w:r w:rsidRPr="004D3D70">
        <w:rPr>
          <w:rFonts w:cs="Arial"/>
          <w:sz w:val="20"/>
          <w:lang w:val="fr-CH"/>
        </w:rPr>
        <w:t xml:space="preserve">des </w:t>
      </w:r>
      <w:r w:rsidR="00914FB6" w:rsidRPr="004D3D70">
        <w:rPr>
          <w:rFonts w:cs="Arial"/>
          <w:sz w:val="20"/>
          <w:lang w:val="fr-CH"/>
        </w:rPr>
        <w:t xml:space="preserve">fonctionnaires titulaires </w:t>
      </w:r>
      <w:r w:rsidR="001007C3" w:rsidRPr="004D3D70">
        <w:rPr>
          <w:rFonts w:cs="Arial"/>
          <w:sz w:val="20"/>
          <w:lang w:val="fr-CH"/>
        </w:rPr>
        <w:t>d</w:t>
      </w:r>
      <w:r w:rsidR="004D3D70">
        <w:rPr>
          <w:rFonts w:cs="Arial"/>
          <w:sz w:val="20"/>
          <w:lang w:val="fr-CH"/>
        </w:rPr>
        <w:t>’</w:t>
      </w:r>
      <w:r w:rsidR="001007C3" w:rsidRPr="004D3D70">
        <w:rPr>
          <w:rFonts w:cs="Arial"/>
          <w:sz w:val="20"/>
          <w:lang w:val="fr-CH"/>
        </w:rPr>
        <w:t>un engagement de durée déterminée, d</w:t>
      </w:r>
      <w:r w:rsidR="004D3D70">
        <w:rPr>
          <w:rFonts w:cs="Arial"/>
          <w:sz w:val="20"/>
          <w:lang w:val="fr-CH"/>
        </w:rPr>
        <w:t>’</w:t>
      </w:r>
      <w:r w:rsidR="001007C3" w:rsidRPr="004D3D70">
        <w:rPr>
          <w:rFonts w:cs="Arial"/>
          <w:sz w:val="20"/>
          <w:lang w:val="fr-CH"/>
        </w:rPr>
        <w:t>un engagement continu ou d</w:t>
      </w:r>
      <w:r w:rsidR="004D3D70">
        <w:rPr>
          <w:rFonts w:cs="Arial"/>
          <w:sz w:val="20"/>
          <w:lang w:val="fr-CH"/>
        </w:rPr>
        <w:t>’</w:t>
      </w:r>
      <w:r w:rsidR="001007C3" w:rsidRPr="004D3D70">
        <w:rPr>
          <w:rFonts w:cs="Arial"/>
          <w:sz w:val="20"/>
          <w:lang w:val="fr-CH"/>
        </w:rPr>
        <w:t xml:space="preserve">un engagement permanent </w:t>
      </w:r>
      <w:r w:rsidR="00914FB6" w:rsidRPr="004D3D70">
        <w:rPr>
          <w:rFonts w:cs="Arial"/>
          <w:sz w:val="20"/>
          <w:lang w:val="fr-CH"/>
        </w:rPr>
        <w:t xml:space="preserve">ont été reclassés pour passer </w:t>
      </w:r>
      <w:r w:rsidR="00DF4418" w:rsidRPr="004D3D70">
        <w:rPr>
          <w:rFonts w:cs="Arial"/>
          <w:sz w:val="20"/>
          <w:lang w:val="fr-CH"/>
        </w:rPr>
        <w:t xml:space="preserve">de la catégorie </w:t>
      </w:r>
      <w:r w:rsidR="00914FB6" w:rsidRPr="004D3D70">
        <w:rPr>
          <w:rFonts w:cs="Arial"/>
          <w:sz w:val="20"/>
          <w:lang w:val="fr-CH"/>
        </w:rPr>
        <w:t xml:space="preserve">des prestations à court terme dues </w:t>
      </w:r>
      <w:r w:rsidR="00DF4418" w:rsidRPr="004D3D70">
        <w:rPr>
          <w:rFonts w:cs="Arial"/>
          <w:sz w:val="20"/>
          <w:lang w:val="fr-CH"/>
        </w:rPr>
        <w:t>au personnel à celle des</w:t>
      </w:r>
      <w:r w:rsidR="00914FB6" w:rsidRPr="004D3D70">
        <w:rPr>
          <w:rFonts w:cs="Arial"/>
          <w:sz w:val="20"/>
          <w:lang w:val="fr-CH"/>
        </w:rPr>
        <w:t xml:space="preserve"> autres prestations à long terme dues au personnel</w:t>
      </w:r>
      <w:r w:rsidR="00874A60" w:rsidRPr="004D3D70">
        <w:rPr>
          <w:rFonts w:cs="Arial"/>
          <w:sz w:val="20"/>
          <w:lang w:val="fr-CH"/>
        </w:rPr>
        <w:t xml:space="preserve">, </w:t>
      </w:r>
      <w:r w:rsidR="00092C13" w:rsidRPr="004D3D70">
        <w:rPr>
          <w:rFonts w:cs="Arial"/>
          <w:sz w:val="20"/>
          <w:lang w:val="fr-CH"/>
        </w:rPr>
        <w:t>ce qui a nécessité</w:t>
      </w:r>
      <w:r w:rsidR="00914FB6" w:rsidRPr="004D3D70">
        <w:rPr>
          <w:rFonts w:cs="Arial"/>
          <w:sz w:val="20"/>
          <w:lang w:val="fr-CH"/>
        </w:rPr>
        <w:t xml:space="preserve"> </w:t>
      </w:r>
      <w:r w:rsidR="00092C13" w:rsidRPr="004D3D70">
        <w:rPr>
          <w:rFonts w:cs="Arial"/>
          <w:sz w:val="20"/>
          <w:lang w:val="fr-CH"/>
        </w:rPr>
        <w:t>la réévaluation de</w:t>
      </w:r>
      <w:r w:rsidR="00914FB6" w:rsidRPr="004D3D70">
        <w:rPr>
          <w:rFonts w:cs="Arial"/>
          <w:sz w:val="20"/>
          <w:lang w:val="fr-CH"/>
        </w:rPr>
        <w:t xml:space="preserve"> </w:t>
      </w:r>
      <w:r w:rsidR="001379CC" w:rsidRPr="004D3D70">
        <w:rPr>
          <w:rFonts w:cs="Arial"/>
          <w:sz w:val="20"/>
          <w:lang w:val="fr-CH"/>
        </w:rPr>
        <w:t>la provision par un actuaire indépendant</w:t>
      </w:r>
      <w:r w:rsidR="00874A60" w:rsidRPr="004D3D70">
        <w:rPr>
          <w:rFonts w:cs="Arial"/>
          <w:sz w:val="20"/>
          <w:lang w:val="fr-CH"/>
        </w:rPr>
        <w:t xml:space="preserve"> </w:t>
      </w:r>
      <w:r w:rsidR="001379CC" w:rsidRPr="004D3D70">
        <w:rPr>
          <w:rFonts w:cs="Arial"/>
          <w:sz w:val="20"/>
          <w:lang w:val="fr-CH"/>
        </w:rPr>
        <w:t>selon la méthode des unités de crédit projeté</w:t>
      </w:r>
      <w:r w:rsidR="002140E0" w:rsidRPr="004D3D70">
        <w:rPr>
          <w:rFonts w:cs="Arial"/>
          <w:sz w:val="20"/>
          <w:lang w:val="fr-CH"/>
        </w:rPr>
        <w:t>es</w:t>
      </w:r>
      <w:r w:rsidR="002140E0">
        <w:rPr>
          <w:rFonts w:cs="Arial"/>
          <w:sz w:val="20"/>
          <w:lang w:val="fr-CH"/>
        </w:rPr>
        <w:t xml:space="preserve">.  </w:t>
      </w:r>
      <w:r w:rsidR="002140E0" w:rsidRPr="004D3D70">
        <w:rPr>
          <w:rFonts w:cs="Arial"/>
          <w:sz w:val="20"/>
          <w:lang w:val="fr-CH"/>
        </w:rPr>
        <w:t>L</w:t>
      </w:r>
      <w:r w:rsidR="002140E0">
        <w:rPr>
          <w:rFonts w:cs="Arial"/>
          <w:sz w:val="20"/>
          <w:lang w:val="fr-CH"/>
        </w:rPr>
        <w:t>’</w:t>
      </w:r>
      <w:r w:rsidR="002140E0" w:rsidRPr="004D3D70">
        <w:rPr>
          <w:rFonts w:cs="Arial"/>
          <w:sz w:val="20"/>
          <w:lang w:val="fr-CH"/>
        </w:rPr>
        <w:t>e</w:t>
      </w:r>
      <w:r w:rsidR="001379CC" w:rsidRPr="004D3D70">
        <w:rPr>
          <w:rFonts w:cs="Arial"/>
          <w:sz w:val="20"/>
          <w:lang w:val="fr-CH"/>
        </w:rPr>
        <w:t>ffet de cette modification a été comptabilisé de manière rétrospective, ce qui a exigé l</w:t>
      </w:r>
      <w:r w:rsidR="004D3D70">
        <w:rPr>
          <w:rFonts w:cs="Arial"/>
          <w:sz w:val="20"/>
          <w:lang w:val="fr-CH"/>
        </w:rPr>
        <w:t>’</w:t>
      </w:r>
      <w:r w:rsidR="001379CC" w:rsidRPr="004D3D70">
        <w:rPr>
          <w:rFonts w:cs="Arial"/>
          <w:sz w:val="20"/>
          <w:lang w:val="fr-CH"/>
        </w:rPr>
        <w:t>a</w:t>
      </w:r>
      <w:r w:rsidR="00874A60" w:rsidRPr="004D3D70">
        <w:rPr>
          <w:rFonts w:cs="Arial"/>
          <w:sz w:val="20"/>
          <w:lang w:val="fr-CH"/>
        </w:rPr>
        <w:t>just</w:t>
      </w:r>
      <w:r w:rsidR="001379CC" w:rsidRPr="004D3D70">
        <w:rPr>
          <w:rFonts w:cs="Arial"/>
          <w:sz w:val="20"/>
          <w:lang w:val="fr-CH"/>
        </w:rPr>
        <w:t>e</w:t>
      </w:r>
      <w:r w:rsidR="00874A60" w:rsidRPr="004D3D70">
        <w:rPr>
          <w:rFonts w:cs="Arial"/>
          <w:sz w:val="20"/>
          <w:lang w:val="fr-CH"/>
        </w:rPr>
        <w:t xml:space="preserve">ment </w:t>
      </w:r>
      <w:r w:rsidR="001379CC" w:rsidRPr="004D3D70">
        <w:rPr>
          <w:rFonts w:cs="Arial"/>
          <w:sz w:val="20"/>
          <w:lang w:val="fr-CH"/>
        </w:rPr>
        <w:t>des soldes des années précédentes</w:t>
      </w:r>
      <w:r w:rsidR="00874A60" w:rsidRPr="004D3D70">
        <w:rPr>
          <w:rFonts w:cs="Arial"/>
          <w:sz w:val="20"/>
          <w:lang w:val="fr-CH"/>
        </w:rPr>
        <w:t xml:space="preserve"> </w:t>
      </w:r>
      <w:r w:rsidR="001379CC" w:rsidRPr="004D3D70">
        <w:rPr>
          <w:rFonts w:cs="Arial"/>
          <w:sz w:val="20"/>
          <w:lang w:val="fr-CH"/>
        </w:rPr>
        <w:t>ainsi que le retrai</w:t>
      </w:r>
      <w:r w:rsidR="00092C13" w:rsidRPr="004D3D70">
        <w:rPr>
          <w:rFonts w:cs="Arial"/>
          <w:sz w:val="20"/>
          <w:lang w:val="fr-CH"/>
        </w:rPr>
        <w:t xml:space="preserve">tement des chiffres comparatifs </w:t>
      </w:r>
      <w:r w:rsidR="004D3D70" w:rsidRPr="004D3D70">
        <w:rPr>
          <w:rFonts w:cs="Arial"/>
          <w:sz w:val="20"/>
          <w:lang w:val="fr-CH"/>
        </w:rPr>
        <w:t>de</w:t>
      </w:r>
      <w:r w:rsidR="004D3D70">
        <w:rPr>
          <w:rFonts w:cs="Arial"/>
          <w:sz w:val="20"/>
          <w:lang w:val="fr-CH"/>
        </w:rPr>
        <w:t> </w:t>
      </w:r>
      <w:r w:rsidR="004D3D70" w:rsidRPr="004D3D70">
        <w:rPr>
          <w:rFonts w:cs="Arial"/>
          <w:sz w:val="20"/>
          <w:lang w:val="fr-CH"/>
        </w:rPr>
        <w:t>2016</w:t>
      </w:r>
      <w:r w:rsidR="00874A60" w:rsidRPr="004D3D70">
        <w:rPr>
          <w:rFonts w:cs="Arial"/>
          <w:sz w:val="20"/>
          <w:lang w:val="fr-CH"/>
        </w:rPr>
        <w:t xml:space="preserve">. </w:t>
      </w:r>
      <w:r w:rsidR="001379CC" w:rsidRPr="004D3D70">
        <w:rPr>
          <w:rFonts w:cs="Arial"/>
          <w:sz w:val="20"/>
          <w:lang w:val="fr-CH"/>
        </w:rPr>
        <w:t xml:space="preserve"> L</w:t>
      </w:r>
      <w:r w:rsidR="004D3D70">
        <w:rPr>
          <w:rFonts w:cs="Arial"/>
          <w:sz w:val="20"/>
          <w:lang w:val="fr-CH"/>
        </w:rPr>
        <w:t>’</w:t>
      </w:r>
      <w:r w:rsidR="001379CC" w:rsidRPr="004D3D70">
        <w:rPr>
          <w:rFonts w:cs="Arial"/>
          <w:sz w:val="20"/>
          <w:lang w:val="fr-CH"/>
        </w:rPr>
        <w:t>a</w:t>
      </w:r>
      <w:r w:rsidR="00874A60" w:rsidRPr="004D3D70">
        <w:rPr>
          <w:rFonts w:cs="Arial"/>
          <w:sz w:val="20"/>
          <w:lang w:val="fr-CH"/>
        </w:rPr>
        <w:t>just</w:t>
      </w:r>
      <w:r w:rsidR="001379CC" w:rsidRPr="004D3D70">
        <w:rPr>
          <w:rFonts w:cs="Arial"/>
          <w:sz w:val="20"/>
          <w:lang w:val="fr-CH"/>
        </w:rPr>
        <w:t>e</w:t>
      </w:r>
      <w:r w:rsidR="00874A60" w:rsidRPr="004D3D70">
        <w:rPr>
          <w:rFonts w:cs="Arial"/>
          <w:sz w:val="20"/>
          <w:lang w:val="fr-CH"/>
        </w:rPr>
        <w:t xml:space="preserve">ment </w:t>
      </w:r>
      <w:r w:rsidR="005576FF" w:rsidRPr="004D3D70">
        <w:rPr>
          <w:rFonts w:cs="Arial"/>
          <w:sz w:val="20"/>
          <w:lang w:val="fr-CH"/>
        </w:rPr>
        <w:t>relatif</w:t>
      </w:r>
      <w:r w:rsidR="001379CC" w:rsidRPr="004D3D70">
        <w:rPr>
          <w:rFonts w:cs="Arial"/>
          <w:sz w:val="20"/>
          <w:lang w:val="fr-CH"/>
        </w:rPr>
        <w:t xml:space="preserve"> aux périodes qui ont précédé</w:t>
      </w:r>
      <w:r w:rsidR="005576FF" w:rsidRPr="004D3D70">
        <w:rPr>
          <w:rFonts w:cs="Arial"/>
          <w:sz w:val="20"/>
          <w:lang w:val="fr-CH"/>
        </w:rPr>
        <w:t xml:space="preserve"> les périodes </w:t>
      </w:r>
      <w:r w:rsidR="00954987" w:rsidRPr="004D3D70">
        <w:rPr>
          <w:rFonts w:cs="Arial"/>
          <w:sz w:val="20"/>
          <w:lang w:val="fr-CH"/>
        </w:rPr>
        <w:t>d</w:t>
      </w:r>
      <w:r w:rsidR="004D3D70">
        <w:rPr>
          <w:rFonts w:cs="Arial"/>
          <w:sz w:val="20"/>
          <w:lang w:val="fr-CH"/>
        </w:rPr>
        <w:t>’</w:t>
      </w:r>
      <w:r w:rsidR="00954987" w:rsidRPr="004D3D70">
        <w:rPr>
          <w:rFonts w:cs="Arial"/>
          <w:sz w:val="20"/>
          <w:lang w:val="fr-CH"/>
        </w:rPr>
        <w:t>établissement des états financiers</w:t>
      </w:r>
      <w:r w:rsidR="005576FF" w:rsidRPr="004D3D70">
        <w:rPr>
          <w:rFonts w:cs="Arial"/>
          <w:sz w:val="20"/>
          <w:lang w:val="fr-CH"/>
        </w:rPr>
        <w:t xml:space="preserve"> (avant</w:t>
      </w:r>
      <w:r w:rsidR="00A07A72">
        <w:rPr>
          <w:rFonts w:cs="Arial"/>
          <w:sz w:val="20"/>
          <w:lang w:val="fr-CH"/>
        </w:rPr>
        <w:t> </w:t>
      </w:r>
      <w:r w:rsidR="00874A60" w:rsidRPr="004D3D70">
        <w:rPr>
          <w:rFonts w:cs="Arial"/>
          <w:sz w:val="20"/>
          <w:lang w:val="fr-CH"/>
        </w:rPr>
        <w:t xml:space="preserve">2016) </w:t>
      </w:r>
      <w:r w:rsidR="002A480F" w:rsidRPr="004D3D70">
        <w:rPr>
          <w:rFonts w:cs="Arial"/>
          <w:sz w:val="20"/>
          <w:lang w:val="fr-CH"/>
        </w:rPr>
        <w:t>a en</w:t>
      </w:r>
      <w:r w:rsidR="00092C13" w:rsidRPr="004D3D70">
        <w:rPr>
          <w:rFonts w:cs="Arial"/>
          <w:sz w:val="20"/>
          <w:lang w:val="fr-CH"/>
        </w:rPr>
        <w:t>traîné une diminution de l</w:t>
      </w:r>
      <w:r w:rsidR="004D3D70">
        <w:rPr>
          <w:rFonts w:cs="Arial"/>
          <w:sz w:val="20"/>
          <w:lang w:val="fr-CH"/>
        </w:rPr>
        <w:t>’</w:t>
      </w:r>
      <w:r w:rsidR="00092C13" w:rsidRPr="004D3D70">
        <w:rPr>
          <w:rFonts w:cs="Arial"/>
          <w:sz w:val="20"/>
          <w:lang w:val="fr-CH"/>
        </w:rPr>
        <w:t>actif net</w:t>
      </w:r>
      <w:r w:rsidR="002A480F" w:rsidRPr="004D3D70">
        <w:rPr>
          <w:rFonts w:cs="Arial"/>
          <w:sz w:val="20"/>
          <w:lang w:val="fr-CH"/>
        </w:rPr>
        <w:t xml:space="preserve"> de</w:t>
      </w:r>
      <w:r w:rsidR="00B74ECE" w:rsidRPr="004D3D70">
        <w:rPr>
          <w:rFonts w:cs="Arial"/>
          <w:sz w:val="20"/>
          <w:lang w:val="fr-CH"/>
        </w:rPr>
        <w:t xml:space="preserve"> </w:t>
      </w:r>
      <w:r w:rsidR="000639BC" w:rsidRPr="004D3D70">
        <w:rPr>
          <w:rFonts w:cs="Arial"/>
          <w:sz w:val="20"/>
          <w:lang w:val="fr-CH"/>
        </w:rPr>
        <w:t>448</w:t>
      </w:r>
      <w:r w:rsidR="002A480F" w:rsidRPr="004D3D70">
        <w:rPr>
          <w:rFonts w:cs="Arial"/>
          <w:sz w:val="20"/>
          <w:lang w:val="fr-CH"/>
        </w:rPr>
        <w:t> </w:t>
      </w:r>
      <w:r w:rsidR="000639BC" w:rsidRPr="004D3D70">
        <w:rPr>
          <w:rFonts w:cs="Arial"/>
          <w:sz w:val="20"/>
          <w:lang w:val="fr-CH"/>
        </w:rPr>
        <w:t>381</w:t>
      </w:r>
      <w:r w:rsidR="002A480F" w:rsidRPr="004D3D70">
        <w:rPr>
          <w:rFonts w:cs="Arial"/>
          <w:sz w:val="20"/>
          <w:lang w:val="fr-CH"/>
        </w:rPr>
        <w:t> </w:t>
      </w:r>
      <w:r w:rsidR="00874A60" w:rsidRPr="004D3D70">
        <w:rPr>
          <w:rFonts w:cs="Arial"/>
          <w:sz w:val="20"/>
          <w:lang w:val="fr-CH"/>
        </w:rPr>
        <w:t>francs</w:t>
      </w:r>
      <w:r w:rsidR="002A480F" w:rsidRPr="004D3D70">
        <w:rPr>
          <w:rFonts w:cs="Arial"/>
          <w:sz w:val="20"/>
          <w:lang w:val="fr-CH"/>
        </w:rPr>
        <w:t xml:space="preserve"> suiss</w:t>
      </w:r>
      <w:r w:rsidR="002140E0" w:rsidRPr="004D3D70">
        <w:rPr>
          <w:rFonts w:cs="Arial"/>
          <w:sz w:val="20"/>
          <w:lang w:val="fr-CH"/>
        </w:rPr>
        <w:t>es</w:t>
      </w:r>
      <w:r w:rsidR="002140E0">
        <w:rPr>
          <w:rFonts w:cs="Arial"/>
          <w:sz w:val="20"/>
          <w:lang w:val="fr-CH"/>
        </w:rPr>
        <w:t xml:space="preserve">.  </w:t>
      </w:r>
      <w:r w:rsidR="002140E0" w:rsidRPr="004D3D70">
        <w:rPr>
          <w:rFonts w:cs="Arial"/>
          <w:sz w:val="20"/>
          <w:lang w:val="fr-CH"/>
        </w:rPr>
        <w:t>Le</w:t>
      </w:r>
      <w:r w:rsidR="002A480F" w:rsidRPr="004D3D70">
        <w:rPr>
          <w:rFonts w:cs="Arial"/>
          <w:sz w:val="20"/>
          <w:lang w:val="fr-CH"/>
        </w:rPr>
        <w:t xml:space="preserve"> re</w:t>
      </w:r>
      <w:r w:rsidR="00874A60" w:rsidRPr="004D3D70">
        <w:rPr>
          <w:rFonts w:cs="Arial"/>
          <w:sz w:val="20"/>
          <w:lang w:val="fr-CH"/>
        </w:rPr>
        <w:t>t</w:t>
      </w:r>
      <w:r w:rsidR="002A480F" w:rsidRPr="004D3D70">
        <w:rPr>
          <w:rFonts w:cs="Arial"/>
          <w:sz w:val="20"/>
          <w:lang w:val="fr-CH"/>
        </w:rPr>
        <w:t>r</w:t>
      </w:r>
      <w:r w:rsidR="00874A60" w:rsidRPr="004D3D70">
        <w:rPr>
          <w:rFonts w:cs="Arial"/>
          <w:sz w:val="20"/>
          <w:lang w:val="fr-CH"/>
        </w:rPr>
        <w:t>a</w:t>
      </w:r>
      <w:r w:rsidR="002A480F" w:rsidRPr="004D3D70">
        <w:rPr>
          <w:rFonts w:cs="Arial"/>
          <w:sz w:val="20"/>
          <w:lang w:val="fr-CH"/>
        </w:rPr>
        <w:t>i</w:t>
      </w:r>
      <w:r w:rsidR="00874A60" w:rsidRPr="004D3D70">
        <w:rPr>
          <w:rFonts w:cs="Arial"/>
          <w:sz w:val="20"/>
          <w:lang w:val="fr-CH"/>
        </w:rPr>
        <w:t xml:space="preserve">tement </w:t>
      </w:r>
      <w:r w:rsidR="002A480F" w:rsidRPr="004D3D70">
        <w:rPr>
          <w:rFonts w:cs="Arial"/>
          <w:sz w:val="20"/>
          <w:lang w:val="fr-CH"/>
        </w:rPr>
        <w:t xml:space="preserve">des chiffres comparatifs </w:t>
      </w:r>
      <w:r w:rsidR="004D3D70" w:rsidRPr="004D3D70">
        <w:rPr>
          <w:rFonts w:cs="Arial"/>
          <w:sz w:val="20"/>
          <w:lang w:val="fr-CH"/>
        </w:rPr>
        <w:t>de</w:t>
      </w:r>
      <w:r w:rsidR="004D3D70">
        <w:rPr>
          <w:rFonts w:cs="Arial"/>
          <w:sz w:val="20"/>
          <w:lang w:val="fr-CH"/>
        </w:rPr>
        <w:t> </w:t>
      </w:r>
      <w:r w:rsidR="004D3D70" w:rsidRPr="004D3D70">
        <w:rPr>
          <w:rFonts w:cs="Arial"/>
          <w:sz w:val="20"/>
          <w:lang w:val="fr-CH"/>
        </w:rPr>
        <w:t>2016</w:t>
      </w:r>
      <w:r w:rsidR="00874A60" w:rsidRPr="004D3D70">
        <w:rPr>
          <w:rFonts w:cs="Arial"/>
          <w:sz w:val="20"/>
          <w:lang w:val="fr-CH"/>
        </w:rPr>
        <w:t xml:space="preserve"> </w:t>
      </w:r>
      <w:r w:rsidR="002A480F" w:rsidRPr="004D3D70">
        <w:rPr>
          <w:rFonts w:cs="Arial"/>
          <w:sz w:val="20"/>
          <w:lang w:val="fr-CH"/>
        </w:rPr>
        <w:t>est présenté en détail</w:t>
      </w:r>
      <w:r w:rsidR="00092C13" w:rsidRPr="004D3D70">
        <w:rPr>
          <w:rFonts w:cs="Arial"/>
          <w:sz w:val="20"/>
          <w:lang w:val="fr-CH"/>
        </w:rPr>
        <w:t xml:space="preserve"> ci</w:t>
      </w:r>
      <w:r w:rsidR="00665FEC">
        <w:rPr>
          <w:rFonts w:cs="Arial"/>
          <w:sz w:val="20"/>
          <w:lang w:val="fr-CH"/>
        </w:rPr>
        <w:noBreakHyphen/>
      </w:r>
      <w:r w:rsidR="00092C13" w:rsidRPr="004D3D70">
        <w:rPr>
          <w:rFonts w:cs="Arial"/>
          <w:sz w:val="20"/>
          <w:lang w:val="fr-CH"/>
        </w:rPr>
        <w:t>dessous</w:t>
      </w:r>
      <w:r w:rsidR="004D3D70">
        <w:rPr>
          <w:rFonts w:cs="Arial"/>
          <w:sz w:val="20"/>
          <w:lang w:val="fr-CH"/>
        </w:rPr>
        <w:t> :</w:t>
      </w:r>
    </w:p>
    <w:p w:rsidR="00905890" w:rsidRPr="004D3D70" w:rsidRDefault="00905890" w:rsidP="00A824AF">
      <w:pPr>
        <w:pStyle w:val="Style3"/>
        <w:spacing w:after="0"/>
        <w:rPr>
          <w:rFonts w:cs="Arial"/>
          <w:sz w:val="20"/>
          <w:lang w:val="fr-CH"/>
        </w:rPr>
      </w:pPr>
    </w:p>
    <w:p w:rsidR="00905890" w:rsidRDefault="007C4D44" w:rsidP="00422DA6">
      <w:pPr>
        <w:pStyle w:val="Style3"/>
        <w:spacing w:after="0"/>
        <w:jc w:val="center"/>
        <w:rPr>
          <w:rFonts w:cs="Arial"/>
          <w:sz w:val="20"/>
          <w:lang w:val="fr-CH"/>
        </w:rPr>
      </w:pPr>
      <w:r w:rsidRPr="007C4D44">
        <w:rPr>
          <w:noProof/>
          <w:lang w:val="en-US"/>
        </w:rPr>
        <w:lastRenderedPageBreak/>
        <w:drawing>
          <wp:inline distT="0" distB="0" distL="0" distR="0" wp14:anchorId="3A7F0FA9" wp14:editId="3788A721">
            <wp:extent cx="6120765" cy="3649289"/>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3649289"/>
                    </a:xfrm>
                    <a:prstGeom prst="rect">
                      <a:avLst/>
                    </a:prstGeom>
                    <a:noFill/>
                    <a:ln>
                      <a:noFill/>
                    </a:ln>
                  </pic:spPr>
                </pic:pic>
              </a:graphicData>
            </a:graphic>
          </wp:inline>
        </w:drawing>
      </w:r>
    </w:p>
    <w:p w:rsidR="007C4D44" w:rsidRPr="004D3D70" w:rsidRDefault="007C4D44" w:rsidP="00422DA6">
      <w:pPr>
        <w:pStyle w:val="Style3"/>
        <w:spacing w:after="0"/>
        <w:jc w:val="center"/>
        <w:rPr>
          <w:rFonts w:cs="Arial"/>
          <w:sz w:val="20"/>
          <w:lang w:val="fr-CH"/>
        </w:rPr>
      </w:pPr>
    </w:p>
    <w:p w:rsidR="005D3F23" w:rsidRDefault="005D3F23" w:rsidP="001842BE">
      <w:pPr>
        <w:pStyle w:val="Heading2Notes"/>
        <w:rPr>
          <w:lang w:val="fr-CH"/>
        </w:rPr>
      </w:pPr>
    </w:p>
    <w:p w:rsidR="005D3F23" w:rsidRDefault="005D3F23" w:rsidP="001842BE">
      <w:pPr>
        <w:pStyle w:val="Heading2Notes"/>
        <w:rPr>
          <w:lang w:val="fr-CH"/>
        </w:rPr>
      </w:pPr>
    </w:p>
    <w:p w:rsidR="00905890" w:rsidRPr="004D3D70" w:rsidRDefault="001842BE" w:rsidP="001842BE">
      <w:pPr>
        <w:pStyle w:val="Heading2Notes"/>
        <w:rPr>
          <w:lang w:val="fr-CH"/>
        </w:rPr>
      </w:pPr>
      <w:bookmarkStart w:id="18" w:name="_Toc523157892"/>
      <w:r w:rsidRPr="004D3D70">
        <w:rPr>
          <w:lang w:val="fr-CH"/>
        </w:rPr>
        <w:t>Note</w:t>
      </w:r>
      <w:r w:rsidR="00BE23DA">
        <w:rPr>
          <w:lang w:val="fr-CH"/>
        </w:rPr>
        <w:t> </w:t>
      </w:r>
      <w:r w:rsidRPr="004D3D70">
        <w:rPr>
          <w:lang w:val="fr-CH"/>
        </w:rPr>
        <w:t>3</w:t>
      </w:r>
      <w:r w:rsidR="004D3D70">
        <w:rPr>
          <w:lang w:val="fr-CH"/>
        </w:rPr>
        <w:t> :</w:t>
      </w:r>
      <w:r w:rsidRPr="004D3D70">
        <w:rPr>
          <w:lang w:val="fr-CH"/>
        </w:rPr>
        <w:t xml:space="preserve"> </w:t>
      </w:r>
      <w:r w:rsidR="00AC2193">
        <w:rPr>
          <w:lang w:val="fr-CH"/>
        </w:rPr>
        <w:tab/>
      </w:r>
      <w:r w:rsidRPr="004D3D70">
        <w:rPr>
          <w:lang w:val="fr-CH"/>
        </w:rPr>
        <w:t>Trésorerie et équivalents de trésorerie</w:t>
      </w:r>
      <w:bookmarkEnd w:id="18"/>
    </w:p>
    <w:p w:rsidR="00905890" w:rsidRPr="004D3D70" w:rsidRDefault="00905890" w:rsidP="002D58CC">
      <w:pPr>
        <w:rPr>
          <w:lang w:val="fr-CH"/>
        </w:rPr>
      </w:pPr>
    </w:p>
    <w:p w:rsidR="00905890" w:rsidRPr="004D3D70" w:rsidRDefault="007C4D44" w:rsidP="002D58CC">
      <w:pPr>
        <w:pStyle w:val="Style3"/>
        <w:spacing w:after="0"/>
        <w:jc w:val="center"/>
        <w:rPr>
          <w:noProof/>
          <w:lang w:val="fr-CH"/>
        </w:rPr>
      </w:pPr>
      <w:r w:rsidRPr="007C4D44">
        <w:rPr>
          <w:noProof/>
          <w:lang w:val="en-US"/>
        </w:rPr>
        <w:drawing>
          <wp:inline distT="0" distB="0" distL="0" distR="0">
            <wp:extent cx="6051550" cy="3562350"/>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1550" cy="3562350"/>
                    </a:xfrm>
                    <a:prstGeom prst="rect">
                      <a:avLst/>
                    </a:prstGeom>
                    <a:noFill/>
                    <a:ln>
                      <a:noFill/>
                    </a:ln>
                  </pic:spPr>
                </pic:pic>
              </a:graphicData>
            </a:graphic>
          </wp:inline>
        </w:drawing>
      </w:r>
    </w:p>
    <w:p w:rsidR="00905890" w:rsidRPr="004D3D70" w:rsidRDefault="00905890" w:rsidP="00A824AF">
      <w:pPr>
        <w:pStyle w:val="Style3"/>
        <w:spacing w:after="0"/>
        <w:rPr>
          <w:rFonts w:cs="Arial"/>
          <w:sz w:val="20"/>
          <w:lang w:val="fr-CH"/>
        </w:rPr>
      </w:pPr>
    </w:p>
    <w:p w:rsidR="00905890" w:rsidRPr="004D3D70" w:rsidRDefault="00905890" w:rsidP="00A824AF">
      <w:pPr>
        <w:pStyle w:val="Style3"/>
        <w:spacing w:after="0"/>
        <w:rPr>
          <w:rFonts w:cs="Arial"/>
          <w:sz w:val="20"/>
          <w:lang w:val="fr-CH"/>
        </w:rPr>
      </w:pPr>
    </w:p>
    <w:p w:rsidR="00905890" w:rsidRPr="004D3D70" w:rsidRDefault="001842BE" w:rsidP="001842BE">
      <w:pPr>
        <w:pStyle w:val="Style3"/>
        <w:spacing w:after="0"/>
        <w:rPr>
          <w:rFonts w:cs="Arial"/>
          <w:sz w:val="20"/>
          <w:lang w:val="fr-CH"/>
        </w:rPr>
      </w:pPr>
      <w:r w:rsidRPr="004D3D70">
        <w:rPr>
          <w:rFonts w:cs="Arial"/>
          <w:sz w:val="20"/>
          <w:lang w:val="fr-CH"/>
        </w:rPr>
        <w:t>Les avoirs sont généralement placés sur des comptes bancaires à accès immédi</w:t>
      </w:r>
      <w:r w:rsidR="002140E0" w:rsidRPr="004D3D70">
        <w:rPr>
          <w:rFonts w:cs="Arial"/>
          <w:sz w:val="20"/>
          <w:lang w:val="fr-CH"/>
        </w:rPr>
        <w:t>at</w:t>
      </w:r>
      <w:r w:rsidR="002140E0">
        <w:rPr>
          <w:rFonts w:cs="Arial"/>
          <w:sz w:val="20"/>
          <w:lang w:val="fr-CH"/>
        </w:rPr>
        <w:t xml:space="preserve">.  </w:t>
      </w:r>
      <w:r w:rsidR="002140E0" w:rsidRPr="004D3D70">
        <w:rPr>
          <w:rFonts w:cs="Arial"/>
          <w:sz w:val="20"/>
          <w:lang w:val="fr-CH"/>
        </w:rPr>
        <w:t>Su</w:t>
      </w:r>
      <w:r w:rsidR="00EC4DE1" w:rsidRPr="004D3D70">
        <w:rPr>
          <w:rFonts w:cs="Arial"/>
          <w:sz w:val="20"/>
          <w:lang w:val="fr-CH"/>
        </w:rPr>
        <w:t>ite à</w:t>
      </w:r>
      <w:r w:rsidR="00EF6D94" w:rsidRPr="004D3D70">
        <w:rPr>
          <w:rFonts w:cs="Arial"/>
          <w:sz w:val="20"/>
          <w:lang w:val="fr-CH"/>
        </w:rPr>
        <w:t xml:space="preserve"> la mise en œuvre des nouvelles dispositions</w:t>
      </w:r>
      <w:r w:rsidR="00EC4DE1" w:rsidRPr="004D3D70">
        <w:rPr>
          <w:rFonts w:cs="Arial"/>
          <w:sz w:val="20"/>
          <w:lang w:val="fr-CH"/>
        </w:rPr>
        <w:t xml:space="preserve"> de</w:t>
      </w:r>
      <w:r w:rsidR="00EF6D94" w:rsidRPr="004D3D70">
        <w:rPr>
          <w:rFonts w:cs="Arial"/>
          <w:sz w:val="20"/>
          <w:lang w:val="fr-CH"/>
        </w:rPr>
        <w:t xml:space="preserve"> l</w:t>
      </w:r>
      <w:r w:rsidR="004D3D70">
        <w:rPr>
          <w:rFonts w:cs="Arial"/>
          <w:sz w:val="20"/>
          <w:lang w:val="fr-CH"/>
        </w:rPr>
        <w:t>’</w:t>
      </w:r>
      <w:r w:rsidR="00EC4DE1" w:rsidRPr="004D3D70">
        <w:rPr>
          <w:rFonts w:cs="Arial"/>
          <w:sz w:val="20"/>
          <w:lang w:val="fr-CH"/>
        </w:rPr>
        <w:t>AFF (</w:t>
      </w:r>
      <w:r w:rsidR="00EF6D94" w:rsidRPr="004D3D70">
        <w:rPr>
          <w:rFonts w:cs="Arial"/>
          <w:sz w:val="20"/>
          <w:lang w:val="fr-CH"/>
        </w:rPr>
        <w:t>Admini</w:t>
      </w:r>
      <w:r w:rsidR="00EC4DE1" w:rsidRPr="004D3D70">
        <w:rPr>
          <w:rFonts w:cs="Arial"/>
          <w:sz w:val="20"/>
          <w:lang w:val="fr-CH"/>
        </w:rPr>
        <w:t xml:space="preserve">stration fédérale des finances) relatives à </w:t>
      </w:r>
      <w:r w:rsidR="00EF6D94" w:rsidRPr="004D3D70">
        <w:rPr>
          <w:rFonts w:cs="Arial"/>
          <w:sz w:val="20"/>
          <w:lang w:val="fr-CH"/>
        </w:rPr>
        <w:t>l</w:t>
      </w:r>
      <w:r w:rsidR="004D3D70">
        <w:rPr>
          <w:rFonts w:cs="Arial"/>
          <w:sz w:val="20"/>
          <w:lang w:val="fr-CH"/>
        </w:rPr>
        <w:t>’</w:t>
      </w:r>
      <w:r w:rsidR="00EF6D94" w:rsidRPr="004D3D70">
        <w:rPr>
          <w:rFonts w:cs="Arial"/>
          <w:sz w:val="20"/>
          <w:lang w:val="fr-CH"/>
        </w:rPr>
        <w:t xml:space="preserve">ouverture et </w:t>
      </w:r>
      <w:r w:rsidR="00EC4DE1" w:rsidRPr="004D3D70">
        <w:rPr>
          <w:rFonts w:cs="Arial"/>
          <w:sz w:val="20"/>
          <w:lang w:val="fr-CH"/>
        </w:rPr>
        <w:t>à la tenue de</w:t>
      </w:r>
      <w:r w:rsidR="00EF6D94" w:rsidRPr="004D3D70">
        <w:rPr>
          <w:rFonts w:cs="Arial"/>
          <w:sz w:val="20"/>
          <w:lang w:val="fr-CH"/>
        </w:rPr>
        <w:t xml:space="preserve"> comptes de dépôt,</w:t>
      </w:r>
      <w:r w:rsidR="0029592D" w:rsidRPr="004D3D70">
        <w:rPr>
          <w:rFonts w:cs="Arial"/>
          <w:sz w:val="20"/>
          <w:lang w:val="fr-CH"/>
        </w:rPr>
        <w:t xml:space="preserve"> dès le</w:t>
      </w:r>
      <w:r w:rsidR="00EC4DE1" w:rsidRPr="004D3D70">
        <w:rPr>
          <w:rFonts w:cs="Arial"/>
          <w:sz w:val="20"/>
          <w:lang w:val="fr-CH"/>
        </w:rPr>
        <w:t xml:space="preserve"> 15 décembre 2017,</w:t>
      </w:r>
      <w:r w:rsidR="00A824AF" w:rsidRPr="004D3D70">
        <w:rPr>
          <w:rFonts w:cs="Arial"/>
          <w:sz w:val="20"/>
          <w:lang w:val="fr-CH"/>
        </w:rPr>
        <w:t xml:space="preserve"> </w:t>
      </w:r>
      <w:r w:rsidR="000C656D" w:rsidRPr="004D3D70">
        <w:rPr>
          <w:rFonts w:cs="Arial"/>
          <w:sz w:val="20"/>
          <w:lang w:val="fr-CH"/>
        </w:rPr>
        <w:t>l</w:t>
      </w:r>
      <w:r w:rsidR="004D3D70">
        <w:rPr>
          <w:rFonts w:cs="Arial"/>
          <w:sz w:val="20"/>
          <w:lang w:val="fr-CH"/>
        </w:rPr>
        <w:t>’</w:t>
      </w:r>
      <w:r w:rsidR="00A824AF" w:rsidRPr="004D3D70">
        <w:rPr>
          <w:rFonts w:cs="Arial"/>
          <w:sz w:val="20"/>
          <w:lang w:val="fr-CH"/>
        </w:rPr>
        <w:t>UPOV</w:t>
      </w:r>
      <w:r w:rsidR="000C656D" w:rsidRPr="004D3D70">
        <w:rPr>
          <w:rFonts w:cs="Arial"/>
          <w:sz w:val="20"/>
          <w:lang w:val="fr-CH"/>
        </w:rPr>
        <w:t xml:space="preserve"> ne </w:t>
      </w:r>
      <w:r w:rsidR="00706BAA" w:rsidRPr="004D3D70">
        <w:rPr>
          <w:rFonts w:cs="Arial"/>
          <w:sz w:val="20"/>
          <w:lang w:val="fr-CH"/>
        </w:rPr>
        <w:t>pouvait plus détenir de dépôts auprès de</w:t>
      </w:r>
      <w:r w:rsidR="000C656D" w:rsidRPr="004D3D70">
        <w:rPr>
          <w:rFonts w:cs="Arial"/>
          <w:sz w:val="20"/>
          <w:lang w:val="fr-CH"/>
        </w:rPr>
        <w:t xml:space="preserve"> l</w:t>
      </w:r>
      <w:r w:rsidR="004D3D70">
        <w:rPr>
          <w:rFonts w:cs="Arial"/>
          <w:sz w:val="20"/>
          <w:lang w:val="fr-CH"/>
        </w:rPr>
        <w:t>’</w:t>
      </w:r>
      <w:r w:rsidR="000C656D" w:rsidRPr="004D3D70">
        <w:rPr>
          <w:rFonts w:cs="Arial"/>
          <w:sz w:val="20"/>
          <w:lang w:val="fr-CH"/>
        </w:rPr>
        <w:t>AFF</w:t>
      </w:r>
      <w:r w:rsidR="00BE3138" w:rsidRPr="004D3D70">
        <w:rPr>
          <w:rFonts w:cs="Arial"/>
          <w:sz w:val="20"/>
          <w:lang w:val="fr-CH"/>
        </w:rPr>
        <w:t xml:space="preserve">. </w:t>
      </w:r>
      <w:r w:rsidR="000C656D" w:rsidRPr="004D3D70">
        <w:rPr>
          <w:rFonts w:cs="Arial"/>
          <w:sz w:val="20"/>
          <w:lang w:val="fr-CH"/>
        </w:rPr>
        <w:t xml:space="preserve"> Au cours de l</w:t>
      </w:r>
      <w:r w:rsidR="004D3D70">
        <w:rPr>
          <w:rFonts w:cs="Arial"/>
          <w:sz w:val="20"/>
          <w:lang w:val="fr-CH"/>
        </w:rPr>
        <w:t>’</w:t>
      </w:r>
      <w:r w:rsidR="000C656D" w:rsidRPr="004D3D70">
        <w:rPr>
          <w:rFonts w:cs="Arial"/>
          <w:sz w:val="20"/>
          <w:lang w:val="fr-CH"/>
        </w:rPr>
        <w:t>année</w:t>
      </w:r>
      <w:r w:rsidR="00BE23DA">
        <w:rPr>
          <w:rFonts w:cs="Arial"/>
          <w:sz w:val="20"/>
          <w:lang w:val="fr-CH"/>
        </w:rPr>
        <w:t> </w:t>
      </w:r>
      <w:r w:rsidR="00BF793F" w:rsidRPr="004D3D70">
        <w:rPr>
          <w:rFonts w:cs="Arial"/>
          <w:sz w:val="20"/>
          <w:lang w:val="fr-CH"/>
        </w:rPr>
        <w:t>2017</w:t>
      </w:r>
      <w:r w:rsidR="000C656D" w:rsidRPr="004D3D70">
        <w:rPr>
          <w:rFonts w:cs="Arial"/>
          <w:sz w:val="20"/>
          <w:lang w:val="fr-CH"/>
        </w:rPr>
        <w:t>, les fonds</w:t>
      </w:r>
      <w:r w:rsidR="00BF793F" w:rsidRPr="004D3D70">
        <w:rPr>
          <w:rFonts w:cs="Arial"/>
          <w:sz w:val="20"/>
          <w:lang w:val="fr-CH"/>
        </w:rPr>
        <w:t xml:space="preserve"> </w:t>
      </w:r>
      <w:r w:rsidR="000C656D" w:rsidRPr="004D3D70">
        <w:rPr>
          <w:rFonts w:cs="Arial"/>
          <w:sz w:val="20"/>
          <w:lang w:val="fr-CH"/>
        </w:rPr>
        <w:t>placés auprès de l</w:t>
      </w:r>
      <w:r w:rsidR="004D3D70">
        <w:rPr>
          <w:rFonts w:cs="Arial"/>
          <w:sz w:val="20"/>
          <w:lang w:val="fr-CH"/>
        </w:rPr>
        <w:t>’</w:t>
      </w:r>
      <w:r w:rsidR="00BF793F" w:rsidRPr="004D3D70">
        <w:rPr>
          <w:rFonts w:cs="Arial"/>
          <w:sz w:val="20"/>
          <w:lang w:val="fr-CH"/>
        </w:rPr>
        <w:t xml:space="preserve">AFF </w:t>
      </w:r>
      <w:r w:rsidR="00706BAA" w:rsidRPr="004D3D70">
        <w:rPr>
          <w:rFonts w:cs="Arial"/>
          <w:sz w:val="20"/>
          <w:lang w:val="fr-CH"/>
        </w:rPr>
        <w:t>ont été transférés sur</w:t>
      </w:r>
      <w:r w:rsidR="000C656D" w:rsidRPr="004D3D70">
        <w:rPr>
          <w:rFonts w:cs="Arial"/>
          <w:sz w:val="20"/>
          <w:lang w:val="fr-CH"/>
        </w:rPr>
        <w:t xml:space="preserve"> des comptes de dépôts que</w:t>
      </w:r>
      <w:r w:rsidR="00461D4B" w:rsidRPr="004D3D70">
        <w:rPr>
          <w:rFonts w:cs="Arial"/>
          <w:sz w:val="20"/>
          <w:lang w:val="fr-CH"/>
        </w:rPr>
        <w:t xml:space="preserve"> </w:t>
      </w:r>
      <w:r w:rsidR="000C656D" w:rsidRPr="004D3D70">
        <w:rPr>
          <w:rFonts w:cs="Arial"/>
          <w:sz w:val="20"/>
          <w:lang w:val="fr-CH"/>
        </w:rPr>
        <w:t>l</w:t>
      </w:r>
      <w:r w:rsidR="004D3D70">
        <w:rPr>
          <w:rFonts w:cs="Arial"/>
          <w:sz w:val="20"/>
          <w:lang w:val="fr-CH"/>
        </w:rPr>
        <w:t>’</w:t>
      </w:r>
      <w:r w:rsidR="00461D4B" w:rsidRPr="004D3D70">
        <w:rPr>
          <w:rFonts w:cs="Arial"/>
          <w:sz w:val="20"/>
          <w:lang w:val="fr-CH"/>
        </w:rPr>
        <w:t xml:space="preserve">UPOV </w:t>
      </w:r>
      <w:r w:rsidR="000C656D" w:rsidRPr="004D3D70">
        <w:rPr>
          <w:rFonts w:cs="Arial"/>
          <w:sz w:val="20"/>
          <w:lang w:val="fr-CH"/>
        </w:rPr>
        <w:t>détient auprès d</w:t>
      </w:r>
      <w:r w:rsidR="004D3D70">
        <w:rPr>
          <w:rFonts w:cs="Arial"/>
          <w:sz w:val="20"/>
          <w:lang w:val="fr-CH"/>
        </w:rPr>
        <w:t>’</w:t>
      </w:r>
      <w:r w:rsidR="000C656D" w:rsidRPr="004D3D70">
        <w:rPr>
          <w:rFonts w:cs="Arial"/>
          <w:sz w:val="20"/>
          <w:lang w:val="fr-CH"/>
        </w:rPr>
        <w:t>autres établissements bancaires</w:t>
      </w:r>
      <w:r w:rsidR="00BF793F" w:rsidRPr="004D3D70">
        <w:rPr>
          <w:rFonts w:cs="Arial"/>
          <w:sz w:val="20"/>
          <w:lang w:val="fr-CH"/>
        </w:rPr>
        <w:t>.</w:t>
      </w:r>
    </w:p>
    <w:p w:rsidR="00905890" w:rsidRPr="004D3D70" w:rsidRDefault="00905890" w:rsidP="00A824AF">
      <w:pPr>
        <w:pStyle w:val="Style3"/>
        <w:spacing w:after="0"/>
        <w:rPr>
          <w:rFonts w:cs="Arial"/>
          <w:sz w:val="20"/>
          <w:lang w:val="fr-CH"/>
        </w:rPr>
      </w:pPr>
    </w:p>
    <w:p w:rsidR="004D3D70" w:rsidRDefault="000C656D" w:rsidP="00A824AF">
      <w:pPr>
        <w:pStyle w:val="Style3"/>
        <w:spacing w:after="0"/>
        <w:rPr>
          <w:sz w:val="20"/>
          <w:lang w:val="fr-CH"/>
        </w:rPr>
      </w:pPr>
      <w:r w:rsidRPr="004D3D70">
        <w:rPr>
          <w:sz w:val="20"/>
          <w:lang w:val="fr-CH"/>
        </w:rPr>
        <w:lastRenderedPageBreak/>
        <w:t>Les soldes de fonds de roulement sont considérés comme étant soumis à restrictions, bien que les intérêts perçus sur les soldes de fonds de roulement soient ajoutés aux fonds propres de l</w:t>
      </w:r>
      <w:r w:rsidR="004D3D70">
        <w:rPr>
          <w:sz w:val="20"/>
          <w:lang w:val="fr-CH"/>
        </w:rPr>
        <w:t>’</w:t>
      </w:r>
      <w:r w:rsidRPr="004D3D70">
        <w:rPr>
          <w:sz w:val="20"/>
          <w:lang w:val="fr-CH"/>
        </w:rPr>
        <w:t>UPOV.  Les fonds fiduciaires détenus pour le compte de donateurs de ressources extrabudgétaires (fonds fiduciaires) sont déposés dans la monnaie dans laquelle les dépenses seront comptabilisées, sur la base d</w:t>
      </w:r>
      <w:r w:rsidR="004D3D70">
        <w:rPr>
          <w:sz w:val="20"/>
          <w:lang w:val="fr-CH"/>
        </w:rPr>
        <w:t>’</w:t>
      </w:r>
      <w:r w:rsidRPr="004D3D70">
        <w:rPr>
          <w:sz w:val="20"/>
          <w:lang w:val="fr-CH"/>
        </w:rPr>
        <w:t>accords conclus avec les donateurs</w:t>
      </w:r>
      <w:r w:rsidR="00A824AF" w:rsidRPr="004D3D70">
        <w:rPr>
          <w:sz w:val="20"/>
          <w:lang w:val="fr-CH"/>
        </w:rPr>
        <w:t>.</w:t>
      </w:r>
    </w:p>
    <w:p w:rsidR="00905890" w:rsidRPr="004D3D70" w:rsidRDefault="00905890" w:rsidP="00A824AF">
      <w:pPr>
        <w:pStyle w:val="Style3"/>
        <w:spacing w:after="0"/>
        <w:rPr>
          <w:sz w:val="20"/>
          <w:lang w:val="fr-CH"/>
        </w:rPr>
      </w:pPr>
    </w:p>
    <w:p w:rsidR="00905890" w:rsidRPr="004D3D70" w:rsidRDefault="001842BE" w:rsidP="001842BE">
      <w:pPr>
        <w:pStyle w:val="Style3"/>
        <w:spacing w:after="0"/>
        <w:rPr>
          <w:sz w:val="20"/>
          <w:lang w:val="fr-CH"/>
        </w:rPr>
      </w:pPr>
      <w:r w:rsidRPr="004D3D70">
        <w:rPr>
          <w:sz w:val="20"/>
          <w:lang w:val="fr-CH"/>
        </w:rPr>
        <w:t>À sa trente</w:t>
      </w:r>
      <w:r w:rsidR="00665FEC">
        <w:rPr>
          <w:sz w:val="20"/>
          <w:lang w:val="fr-CH"/>
        </w:rPr>
        <w:noBreakHyphen/>
      </w:r>
      <w:r w:rsidRPr="004D3D70">
        <w:rPr>
          <w:sz w:val="20"/>
          <w:lang w:val="fr-CH"/>
        </w:rPr>
        <w:t>trois</w:t>
      </w:r>
      <w:r w:rsidR="004D3D70">
        <w:rPr>
          <w:sz w:val="20"/>
          <w:lang w:val="fr-CH"/>
        </w:rPr>
        <w:t>ième session</w:t>
      </w:r>
      <w:r w:rsidRPr="004D3D70">
        <w:rPr>
          <w:sz w:val="20"/>
          <w:lang w:val="fr-CH"/>
        </w:rPr>
        <w:t xml:space="preserve"> extraordinaire le 1</w:t>
      </w:r>
      <w:r w:rsidR="004D3D70" w:rsidRPr="004D3D70">
        <w:rPr>
          <w:sz w:val="20"/>
          <w:lang w:val="fr-CH"/>
        </w:rPr>
        <w:t>7</w:t>
      </w:r>
      <w:r w:rsidR="004D3D70">
        <w:rPr>
          <w:sz w:val="20"/>
          <w:lang w:val="fr-CH"/>
        </w:rPr>
        <w:t> </w:t>
      </w:r>
      <w:r w:rsidR="004D3D70" w:rsidRPr="004D3D70">
        <w:rPr>
          <w:sz w:val="20"/>
          <w:lang w:val="fr-CH"/>
        </w:rPr>
        <w:t>mars</w:t>
      </w:r>
      <w:r w:rsidR="004D3D70">
        <w:rPr>
          <w:sz w:val="20"/>
          <w:lang w:val="fr-CH"/>
        </w:rPr>
        <w:t> </w:t>
      </w:r>
      <w:r w:rsidR="004D3D70" w:rsidRPr="004D3D70">
        <w:rPr>
          <w:sz w:val="20"/>
          <w:lang w:val="fr-CH"/>
        </w:rPr>
        <w:t>20</w:t>
      </w:r>
      <w:r w:rsidRPr="004D3D70">
        <w:rPr>
          <w:sz w:val="20"/>
          <w:lang w:val="fr-CH"/>
        </w:rPr>
        <w:t>16, le Conseil de l</w:t>
      </w:r>
      <w:r w:rsidR="004D3D70">
        <w:rPr>
          <w:sz w:val="20"/>
          <w:lang w:val="fr-CH"/>
        </w:rPr>
        <w:t>’</w:t>
      </w:r>
      <w:r w:rsidRPr="004D3D70">
        <w:rPr>
          <w:sz w:val="20"/>
          <w:lang w:val="fr-CH"/>
        </w:rPr>
        <w:t>UPOV a décidé de placer sur un compte distinct les fonds alloués au financement futur des obligations de l</w:t>
      </w:r>
      <w:r w:rsidR="004D3D70">
        <w:rPr>
          <w:sz w:val="20"/>
          <w:lang w:val="fr-CH"/>
        </w:rPr>
        <w:t>’</w:t>
      </w:r>
      <w:r w:rsidRPr="004D3D70">
        <w:rPr>
          <w:sz w:val="20"/>
          <w:lang w:val="fr-CH"/>
        </w:rPr>
        <w:t>UPOV au titre de l</w:t>
      </w:r>
      <w:r w:rsidR="004D3D70">
        <w:rPr>
          <w:sz w:val="20"/>
          <w:lang w:val="fr-CH"/>
        </w:rPr>
        <w:t>’</w:t>
      </w:r>
      <w:r w:rsidRPr="004D3D70">
        <w:rPr>
          <w:sz w:val="20"/>
          <w:lang w:val="fr-CH"/>
        </w:rPr>
        <w:t>AMCS.</w:t>
      </w:r>
      <w:r w:rsidR="00A824AF" w:rsidRPr="004D3D70">
        <w:rPr>
          <w:sz w:val="20"/>
          <w:lang w:val="fr-CH"/>
        </w:rPr>
        <w:t xml:space="preserve"> </w:t>
      </w:r>
      <w:r w:rsidR="000C656D" w:rsidRPr="004D3D70">
        <w:rPr>
          <w:sz w:val="20"/>
          <w:lang w:val="fr-CH"/>
        </w:rPr>
        <w:t xml:space="preserve"> </w:t>
      </w:r>
      <w:r w:rsidR="0072487A" w:rsidRPr="004D3D70">
        <w:rPr>
          <w:sz w:val="20"/>
          <w:lang w:val="fr-CH"/>
        </w:rPr>
        <w:t>A</w:t>
      </w:r>
      <w:r w:rsidR="000C656D" w:rsidRPr="004D3D70">
        <w:rPr>
          <w:sz w:val="20"/>
          <w:lang w:val="fr-CH"/>
        </w:rPr>
        <w:t xml:space="preserve">u </w:t>
      </w:r>
      <w:r w:rsidR="0072487A" w:rsidRPr="004D3D70">
        <w:rPr>
          <w:sz w:val="20"/>
          <w:lang w:val="fr-CH"/>
        </w:rPr>
        <w:t>31</w:t>
      </w:r>
      <w:r w:rsidR="000C656D" w:rsidRPr="004D3D70">
        <w:rPr>
          <w:sz w:val="20"/>
          <w:lang w:val="fr-CH"/>
        </w:rPr>
        <w:t> décembre </w:t>
      </w:r>
      <w:r w:rsidR="0072487A" w:rsidRPr="004D3D70">
        <w:rPr>
          <w:sz w:val="20"/>
          <w:lang w:val="fr-CH"/>
        </w:rPr>
        <w:t>2017</w:t>
      </w:r>
      <w:r w:rsidR="00A824AF" w:rsidRPr="004D3D70">
        <w:rPr>
          <w:sz w:val="20"/>
          <w:lang w:val="fr-CH"/>
        </w:rPr>
        <w:t xml:space="preserve">, </w:t>
      </w:r>
      <w:r w:rsidR="000C656D" w:rsidRPr="004D3D70">
        <w:rPr>
          <w:sz w:val="20"/>
          <w:lang w:val="fr-CH"/>
        </w:rPr>
        <w:t>le solde</w:t>
      </w:r>
      <w:r w:rsidR="00A824AF" w:rsidRPr="004D3D70">
        <w:rPr>
          <w:sz w:val="20"/>
          <w:lang w:val="fr-CH"/>
        </w:rPr>
        <w:t xml:space="preserve"> total </w:t>
      </w:r>
      <w:r w:rsidR="000C656D" w:rsidRPr="004D3D70">
        <w:rPr>
          <w:sz w:val="20"/>
          <w:lang w:val="fr-CH"/>
        </w:rPr>
        <w:t>de ces fo</w:t>
      </w:r>
      <w:r w:rsidR="00A824AF" w:rsidRPr="004D3D70">
        <w:rPr>
          <w:sz w:val="20"/>
          <w:lang w:val="fr-CH"/>
        </w:rPr>
        <w:t xml:space="preserve">nds </w:t>
      </w:r>
      <w:r w:rsidR="000C656D" w:rsidRPr="004D3D70">
        <w:rPr>
          <w:sz w:val="20"/>
          <w:lang w:val="fr-CH"/>
        </w:rPr>
        <w:t>s</w:t>
      </w:r>
      <w:r w:rsidR="004D3D70">
        <w:rPr>
          <w:sz w:val="20"/>
          <w:lang w:val="fr-CH"/>
        </w:rPr>
        <w:t>’</w:t>
      </w:r>
      <w:r w:rsidR="000C656D" w:rsidRPr="004D3D70">
        <w:rPr>
          <w:sz w:val="20"/>
          <w:lang w:val="fr-CH"/>
        </w:rPr>
        <w:t>élevait à</w:t>
      </w:r>
      <w:r w:rsidR="00A824AF" w:rsidRPr="004D3D70">
        <w:rPr>
          <w:sz w:val="20"/>
          <w:lang w:val="fr-CH"/>
        </w:rPr>
        <w:t xml:space="preserve"> </w:t>
      </w:r>
      <w:r w:rsidR="000C656D" w:rsidRPr="004D3D70">
        <w:rPr>
          <w:sz w:val="20"/>
          <w:lang w:val="fr-CH"/>
        </w:rPr>
        <w:t>709 176 </w:t>
      </w:r>
      <w:r w:rsidR="00A824AF" w:rsidRPr="004D3D70">
        <w:rPr>
          <w:sz w:val="20"/>
          <w:lang w:val="fr-CH"/>
        </w:rPr>
        <w:t>francs</w:t>
      </w:r>
      <w:r w:rsidR="0072487A" w:rsidRPr="004D3D70">
        <w:rPr>
          <w:sz w:val="20"/>
          <w:lang w:val="fr-CH"/>
        </w:rPr>
        <w:t xml:space="preserve"> </w:t>
      </w:r>
      <w:r w:rsidR="000C656D" w:rsidRPr="004D3D70">
        <w:rPr>
          <w:sz w:val="20"/>
          <w:lang w:val="fr-CH"/>
        </w:rPr>
        <w:t>suisses (</w:t>
      </w:r>
      <w:r w:rsidR="00706BAA" w:rsidRPr="004D3D70">
        <w:rPr>
          <w:sz w:val="20"/>
          <w:lang w:val="fr-CH"/>
        </w:rPr>
        <w:t xml:space="preserve">contre </w:t>
      </w:r>
      <w:r w:rsidR="000C656D" w:rsidRPr="004D3D70">
        <w:rPr>
          <w:sz w:val="20"/>
          <w:lang w:val="fr-CH"/>
        </w:rPr>
        <w:t>677 </w:t>
      </w:r>
      <w:r w:rsidR="0072487A" w:rsidRPr="004D3D70">
        <w:rPr>
          <w:sz w:val="20"/>
          <w:lang w:val="fr-CH"/>
        </w:rPr>
        <w:t>8</w:t>
      </w:r>
      <w:r w:rsidR="000C656D" w:rsidRPr="004D3D70">
        <w:rPr>
          <w:sz w:val="20"/>
          <w:lang w:val="fr-CH"/>
        </w:rPr>
        <w:t>79 </w:t>
      </w:r>
      <w:r w:rsidR="0072487A" w:rsidRPr="004D3D70">
        <w:rPr>
          <w:sz w:val="20"/>
          <w:lang w:val="fr-CH"/>
        </w:rPr>
        <w:t xml:space="preserve">francs </w:t>
      </w:r>
      <w:r w:rsidR="000C656D" w:rsidRPr="004D3D70">
        <w:rPr>
          <w:sz w:val="20"/>
          <w:lang w:val="fr-CH"/>
        </w:rPr>
        <w:t>suisses au 31 décembre </w:t>
      </w:r>
      <w:r w:rsidR="0072487A" w:rsidRPr="004D3D70">
        <w:rPr>
          <w:sz w:val="20"/>
          <w:lang w:val="fr-CH"/>
        </w:rPr>
        <w:t>2016).</w:t>
      </w:r>
      <w:r w:rsidR="000C656D" w:rsidRPr="004D3D70">
        <w:rPr>
          <w:sz w:val="20"/>
          <w:lang w:val="fr-CH"/>
        </w:rPr>
        <w:t xml:space="preserve"> </w:t>
      </w:r>
      <w:r w:rsidR="00A824AF" w:rsidRPr="004D3D70">
        <w:rPr>
          <w:sz w:val="20"/>
          <w:lang w:val="fr-CH"/>
        </w:rPr>
        <w:t xml:space="preserve"> </w:t>
      </w:r>
      <w:r w:rsidRPr="004D3D70">
        <w:rPr>
          <w:sz w:val="20"/>
          <w:lang w:val="fr-CH"/>
        </w:rPr>
        <w:t>L</w:t>
      </w:r>
      <w:r w:rsidR="004D3D70">
        <w:rPr>
          <w:sz w:val="20"/>
          <w:lang w:val="fr-CH"/>
        </w:rPr>
        <w:t>’</w:t>
      </w:r>
      <w:r w:rsidRPr="004D3D70">
        <w:rPr>
          <w:sz w:val="20"/>
          <w:lang w:val="fr-CH"/>
        </w:rPr>
        <w:t>UPOV gère les fonds au titre de l</w:t>
      </w:r>
      <w:r w:rsidR="004D3D70">
        <w:rPr>
          <w:sz w:val="20"/>
          <w:lang w:val="fr-CH"/>
        </w:rPr>
        <w:t>’</w:t>
      </w:r>
      <w:r w:rsidRPr="004D3D70">
        <w:rPr>
          <w:sz w:val="20"/>
          <w:lang w:val="fr-CH"/>
        </w:rPr>
        <w:t>AMCS conformément à la politique de l</w:t>
      </w:r>
      <w:r w:rsidR="004D3D70">
        <w:rPr>
          <w:sz w:val="20"/>
          <w:lang w:val="fr-CH"/>
        </w:rPr>
        <w:t>’</w:t>
      </w:r>
      <w:r w:rsidRPr="004D3D70">
        <w:rPr>
          <w:sz w:val="20"/>
          <w:lang w:val="fr-CH"/>
        </w:rPr>
        <w:t>OMPI en matière de placements, selon laquelle ils relèvent de la trésorerie stratégique.</w:t>
      </w:r>
    </w:p>
    <w:p w:rsidR="00905890" w:rsidRPr="004D3D70" w:rsidRDefault="00905890" w:rsidP="00A824AF">
      <w:pPr>
        <w:pStyle w:val="Style3"/>
        <w:spacing w:after="0"/>
        <w:rPr>
          <w:sz w:val="20"/>
          <w:lang w:val="fr-CH"/>
        </w:rPr>
      </w:pPr>
    </w:p>
    <w:p w:rsidR="005D3F23" w:rsidRPr="004D3D70" w:rsidRDefault="005D3F23" w:rsidP="00A824AF">
      <w:pPr>
        <w:pStyle w:val="Style3"/>
        <w:spacing w:after="0"/>
        <w:rPr>
          <w:sz w:val="20"/>
          <w:lang w:val="fr-CH"/>
        </w:rPr>
      </w:pPr>
    </w:p>
    <w:p w:rsidR="00905890" w:rsidRPr="004D3D70" w:rsidRDefault="001842BE" w:rsidP="001842BE">
      <w:pPr>
        <w:pStyle w:val="Heading2Notes"/>
        <w:rPr>
          <w:lang w:val="fr-CH"/>
        </w:rPr>
      </w:pPr>
      <w:bookmarkStart w:id="19" w:name="_Toc523157893"/>
      <w:r w:rsidRPr="004D3D70">
        <w:rPr>
          <w:lang w:val="fr-CH"/>
        </w:rPr>
        <w:t>Note</w:t>
      </w:r>
      <w:r w:rsidR="00BE23DA">
        <w:rPr>
          <w:lang w:val="fr-CH"/>
        </w:rPr>
        <w:t> </w:t>
      </w:r>
      <w:r w:rsidRPr="004D3D70">
        <w:rPr>
          <w:lang w:val="fr-CH"/>
        </w:rPr>
        <w:t>4</w:t>
      </w:r>
      <w:r w:rsidR="004D3D70">
        <w:rPr>
          <w:lang w:val="fr-CH"/>
        </w:rPr>
        <w:t> :</w:t>
      </w:r>
      <w:r w:rsidRPr="004D3D70">
        <w:rPr>
          <w:lang w:val="fr-CH"/>
        </w:rPr>
        <w:t xml:space="preserve"> </w:t>
      </w:r>
      <w:r w:rsidR="00AC2193">
        <w:rPr>
          <w:lang w:val="fr-CH"/>
        </w:rPr>
        <w:tab/>
      </w:r>
      <w:r w:rsidRPr="004D3D70">
        <w:rPr>
          <w:lang w:val="fr-CH"/>
        </w:rPr>
        <w:t>Comptes débiteurs</w:t>
      </w:r>
      <w:bookmarkEnd w:id="19"/>
    </w:p>
    <w:p w:rsidR="00905890" w:rsidRPr="004D3D70" w:rsidRDefault="00905890" w:rsidP="002D58CC">
      <w:pPr>
        <w:rPr>
          <w:lang w:val="fr-CH"/>
        </w:rPr>
      </w:pPr>
    </w:p>
    <w:p w:rsidR="00905890" w:rsidRPr="004D3D70" w:rsidRDefault="007C4D44" w:rsidP="002D58CC">
      <w:pPr>
        <w:jc w:val="center"/>
        <w:rPr>
          <w:noProof/>
          <w:lang w:val="fr-CH"/>
        </w:rPr>
      </w:pPr>
      <w:r w:rsidRPr="007C4D44">
        <w:rPr>
          <w:noProof/>
          <w:lang w:val="en-US"/>
        </w:rPr>
        <w:drawing>
          <wp:inline distT="0" distB="0" distL="0" distR="0">
            <wp:extent cx="6051550" cy="2489200"/>
            <wp:effectExtent l="0" t="0" r="635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1550" cy="2489200"/>
                    </a:xfrm>
                    <a:prstGeom prst="rect">
                      <a:avLst/>
                    </a:prstGeom>
                    <a:noFill/>
                    <a:ln>
                      <a:noFill/>
                    </a:ln>
                  </pic:spPr>
                </pic:pic>
              </a:graphicData>
            </a:graphic>
          </wp:inline>
        </w:drawing>
      </w:r>
    </w:p>
    <w:p w:rsidR="00905890" w:rsidRDefault="00905890" w:rsidP="00A824AF">
      <w:pPr>
        <w:rPr>
          <w:noProof/>
          <w:lang w:val="fr-CH"/>
        </w:rPr>
      </w:pPr>
    </w:p>
    <w:p w:rsidR="0076212D" w:rsidRDefault="0076212D" w:rsidP="001842BE">
      <w:pPr>
        <w:rPr>
          <w:lang w:val="fr-CH"/>
        </w:rPr>
      </w:pPr>
    </w:p>
    <w:p w:rsidR="004D3D70" w:rsidRDefault="001842BE" w:rsidP="001842BE">
      <w:pPr>
        <w:rPr>
          <w:lang w:val="fr-CH"/>
        </w:rPr>
      </w:pPr>
      <w:r w:rsidRPr="004D3D70">
        <w:rPr>
          <w:lang w:val="fr-CH"/>
        </w:rPr>
        <w:t>Les contributions sont les recettes non perçues dans le cadre du système de contribution de l</w:t>
      </w:r>
      <w:r w:rsidR="004D3D70">
        <w:rPr>
          <w:lang w:val="fr-CH"/>
        </w:rPr>
        <w:t>’</w:t>
      </w:r>
      <w:r w:rsidRPr="004D3D70">
        <w:rPr>
          <w:lang w:val="fr-CH"/>
        </w:rPr>
        <w:t>UPOV.  Le montant de la contribution annuelle de chaque membre de l</w:t>
      </w:r>
      <w:r w:rsidR="004D3D70">
        <w:rPr>
          <w:lang w:val="fr-CH"/>
        </w:rPr>
        <w:t>’</w:t>
      </w:r>
      <w:r w:rsidRPr="004D3D70">
        <w:rPr>
          <w:lang w:val="fr-CH"/>
        </w:rPr>
        <w:t>Union est calculé selon le nombre d</w:t>
      </w:r>
      <w:r w:rsidR="004D3D70">
        <w:rPr>
          <w:lang w:val="fr-CH"/>
        </w:rPr>
        <w:t>’</w:t>
      </w:r>
      <w:r w:rsidRPr="004D3D70">
        <w:rPr>
          <w:lang w:val="fr-CH"/>
        </w:rPr>
        <w:t>unités de contributions qui lui est appliqué (</w:t>
      </w:r>
      <w:r w:rsidR="004D3D70" w:rsidRPr="004D3D70">
        <w:rPr>
          <w:lang w:val="fr-CH"/>
        </w:rPr>
        <w:t>article</w:t>
      </w:r>
      <w:r w:rsidR="004D3D70">
        <w:rPr>
          <w:lang w:val="fr-CH"/>
        </w:rPr>
        <w:t> </w:t>
      </w:r>
      <w:r w:rsidR="004D3D70" w:rsidRPr="004D3D70">
        <w:rPr>
          <w:lang w:val="fr-CH"/>
        </w:rPr>
        <w:t>I</w:t>
      </w:r>
      <w:r w:rsidRPr="004D3D70">
        <w:rPr>
          <w:lang w:val="fr-CH"/>
        </w:rPr>
        <w:t>I de l</w:t>
      </w:r>
      <w:r w:rsidR="004D3D70">
        <w:rPr>
          <w:lang w:val="fr-CH"/>
        </w:rPr>
        <w:t>’</w:t>
      </w:r>
      <w:r w:rsidRPr="004D3D70">
        <w:rPr>
          <w:lang w:val="fr-CH"/>
        </w:rPr>
        <w:t xml:space="preserve">Acte </w:t>
      </w:r>
      <w:r w:rsidR="004D3D70" w:rsidRPr="004D3D70">
        <w:rPr>
          <w:lang w:val="fr-CH"/>
        </w:rPr>
        <w:t>de</w:t>
      </w:r>
      <w:r w:rsidR="004D3D70">
        <w:rPr>
          <w:lang w:val="fr-CH"/>
        </w:rPr>
        <w:t> </w:t>
      </w:r>
      <w:r w:rsidR="004D3D70" w:rsidRPr="004D3D70">
        <w:rPr>
          <w:lang w:val="fr-CH"/>
        </w:rPr>
        <w:t>1972</w:t>
      </w:r>
      <w:r w:rsidRPr="004D3D70">
        <w:rPr>
          <w:lang w:val="fr-CH"/>
        </w:rPr>
        <w:t xml:space="preserve">, </w:t>
      </w:r>
      <w:r w:rsidR="004D3D70" w:rsidRPr="004D3D70">
        <w:rPr>
          <w:lang w:val="fr-CH"/>
        </w:rPr>
        <w:t>article</w:t>
      </w:r>
      <w:r w:rsidR="004D3D70">
        <w:rPr>
          <w:lang w:val="fr-CH"/>
        </w:rPr>
        <w:t> </w:t>
      </w:r>
      <w:r w:rsidR="004D3D70" w:rsidRPr="004D3D70">
        <w:rPr>
          <w:lang w:val="fr-CH"/>
        </w:rPr>
        <w:t>2</w:t>
      </w:r>
      <w:r w:rsidRPr="004D3D70">
        <w:rPr>
          <w:lang w:val="fr-CH"/>
        </w:rPr>
        <w:t>6 de l</w:t>
      </w:r>
      <w:r w:rsidR="004D3D70">
        <w:rPr>
          <w:lang w:val="fr-CH"/>
        </w:rPr>
        <w:t>’</w:t>
      </w:r>
      <w:r w:rsidRPr="004D3D70">
        <w:rPr>
          <w:lang w:val="fr-CH"/>
        </w:rPr>
        <w:t xml:space="preserve">Acte </w:t>
      </w:r>
      <w:r w:rsidR="004D3D70" w:rsidRPr="004D3D70">
        <w:rPr>
          <w:lang w:val="fr-CH"/>
        </w:rPr>
        <w:t>de</w:t>
      </w:r>
      <w:r w:rsidR="004D3D70">
        <w:rPr>
          <w:lang w:val="fr-CH"/>
        </w:rPr>
        <w:t> </w:t>
      </w:r>
      <w:r w:rsidR="004D3D70" w:rsidRPr="004D3D70">
        <w:rPr>
          <w:lang w:val="fr-CH"/>
        </w:rPr>
        <w:t>1978</w:t>
      </w:r>
      <w:r w:rsidRPr="004D3D70">
        <w:rPr>
          <w:lang w:val="fr-CH"/>
        </w:rPr>
        <w:t xml:space="preserve"> et </w:t>
      </w:r>
      <w:r w:rsidR="004D3D70" w:rsidRPr="004D3D70">
        <w:rPr>
          <w:lang w:val="fr-CH"/>
        </w:rPr>
        <w:t>article</w:t>
      </w:r>
      <w:r w:rsidR="004D3D70">
        <w:rPr>
          <w:lang w:val="fr-CH"/>
        </w:rPr>
        <w:t> </w:t>
      </w:r>
      <w:r w:rsidR="004D3D70" w:rsidRPr="004D3D70">
        <w:rPr>
          <w:lang w:val="fr-CH"/>
        </w:rPr>
        <w:t>2</w:t>
      </w:r>
      <w:r w:rsidRPr="004D3D70">
        <w:rPr>
          <w:lang w:val="fr-CH"/>
        </w:rPr>
        <w:t>9 de l</w:t>
      </w:r>
      <w:r w:rsidR="004D3D70">
        <w:rPr>
          <w:lang w:val="fr-CH"/>
        </w:rPr>
        <w:t>’</w:t>
      </w:r>
      <w:r w:rsidRPr="004D3D70">
        <w:rPr>
          <w:lang w:val="fr-CH"/>
        </w:rPr>
        <w:t xml:space="preserve">Acte </w:t>
      </w:r>
      <w:r w:rsidR="004D3D70" w:rsidRPr="004D3D70">
        <w:rPr>
          <w:lang w:val="fr-CH"/>
        </w:rPr>
        <w:t>de</w:t>
      </w:r>
      <w:r w:rsidR="004D3D70">
        <w:rPr>
          <w:lang w:val="fr-CH"/>
        </w:rPr>
        <w:t> </w:t>
      </w:r>
      <w:r w:rsidR="004D3D70" w:rsidRPr="004D3D70">
        <w:rPr>
          <w:lang w:val="fr-CH"/>
        </w:rPr>
        <w:t>1991</w:t>
      </w:r>
      <w:r w:rsidRPr="004D3D70">
        <w:rPr>
          <w:lang w:val="fr-CH"/>
        </w:rPr>
        <w:t xml:space="preserve"> de la Conventi</w:t>
      </w:r>
      <w:r w:rsidR="002140E0" w:rsidRPr="004D3D70">
        <w:rPr>
          <w:lang w:val="fr-CH"/>
        </w:rPr>
        <w:t>on)</w:t>
      </w:r>
      <w:r w:rsidR="002140E0">
        <w:rPr>
          <w:lang w:val="fr-CH"/>
        </w:rPr>
        <w:t xml:space="preserve">.  </w:t>
      </w:r>
      <w:r w:rsidR="002140E0" w:rsidRPr="004D3D70">
        <w:rPr>
          <w:lang w:val="fr-CH"/>
        </w:rPr>
        <w:t>Le</w:t>
      </w:r>
      <w:r w:rsidRPr="004D3D70">
        <w:rPr>
          <w:lang w:val="fr-CH"/>
        </w:rPr>
        <w:t xml:space="preserve"> cas échéant, une provision est constituée pour compenser la valeur des comptes provenant des contributio</w:t>
      </w:r>
      <w:r w:rsidR="002140E0" w:rsidRPr="004D3D70">
        <w:rPr>
          <w:lang w:val="fr-CH"/>
        </w:rPr>
        <w:t>ns</w:t>
      </w:r>
      <w:r w:rsidR="002140E0">
        <w:rPr>
          <w:lang w:val="fr-CH"/>
        </w:rPr>
        <w:t xml:space="preserve">.  </w:t>
      </w:r>
      <w:r w:rsidR="002140E0" w:rsidRPr="004D3D70">
        <w:rPr>
          <w:lang w:val="fr-CH"/>
        </w:rPr>
        <w:t>Ce</w:t>
      </w:r>
      <w:r w:rsidRPr="004D3D70">
        <w:rPr>
          <w:lang w:val="fr-CH"/>
        </w:rPr>
        <w:t>tte provision couvre les montants dus pour les périodes antérieures à l</w:t>
      </w:r>
      <w:r w:rsidR="004D3D70">
        <w:rPr>
          <w:lang w:val="fr-CH"/>
        </w:rPr>
        <w:t>’</w:t>
      </w:r>
      <w:r w:rsidRPr="004D3D70">
        <w:rPr>
          <w:lang w:val="fr-CH"/>
        </w:rPr>
        <w:t>exercice biennal précédent.</w:t>
      </w:r>
    </w:p>
    <w:p w:rsidR="00905890" w:rsidRPr="004D3D70" w:rsidRDefault="00905890" w:rsidP="00A824AF">
      <w:pPr>
        <w:rPr>
          <w:lang w:val="fr-CH"/>
        </w:rPr>
      </w:pPr>
    </w:p>
    <w:p w:rsidR="00905890" w:rsidRPr="004D3D70" w:rsidRDefault="0003572B" w:rsidP="001842BE">
      <w:pPr>
        <w:rPr>
          <w:lang w:val="fr-CH"/>
        </w:rPr>
      </w:pPr>
      <w:r w:rsidRPr="004D3D70">
        <w:rPr>
          <w:lang w:val="fr-CH"/>
        </w:rPr>
        <w:t>Les fonctionnaires recrutés sur le plan i</w:t>
      </w:r>
      <w:r w:rsidR="001544B5" w:rsidRPr="004D3D70">
        <w:rPr>
          <w:lang w:val="fr-CH"/>
        </w:rPr>
        <w:t xml:space="preserve">nternational, </w:t>
      </w:r>
      <w:r w:rsidRPr="004D3D70">
        <w:rPr>
          <w:lang w:val="fr-CH"/>
        </w:rPr>
        <w:t>autres que ceux qui vivent dans leur pays d</w:t>
      </w:r>
      <w:r w:rsidR="004D3D70">
        <w:rPr>
          <w:lang w:val="fr-CH"/>
        </w:rPr>
        <w:t>’</w:t>
      </w:r>
      <w:r w:rsidRPr="004D3D70">
        <w:rPr>
          <w:lang w:val="fr-CH"/>
        </w:rPr>
        <w:t>origine</w:t>
      </w:r>
      <w:r w:rsidR="001544B5" w:rsidRPr="004D3D70">
        <w:rPr>
          <w:lang w:val="fr-CH"/>
        </w:rPr>
        <w:t xml:space="preserve">, </w:t>
      </w:r>
      <w:r w:rsidRPr="004D3D70">
        <w:rPr>
          <w:lang w:val="fr-CH"/>
        </w:rPr>
        <w:t xml:space="preserve">remplissent les conditions requises pour recevoir une indemnité </w:t>
      </w:r>
      <w:r w:rsidR="00D005AD" w:rsidRPr="004D3D70">
        <w:rPr>
          <w:lang w:val="fr-CH"/>
        </w:rPr>
        <w:t>pour</w:t>
      </w:r>
      <w:r w:rsidRPr="004D3D70">
        <w:rPr>
          <w:lang w:val="fr-CH"/>
        </w:rPr>
        <w:t xml:space="preserve"> frais </w:t>
      </w:r>
      <w:r w:rsidR="00D005AD" w:rsidRPr="004D3D70">
        <w:rPr>
          <w:lang w:val="fr-CH"/>
        </w:rPr>
        <w:t>d</w:t>
      </w:r>
      <w:r w:rsidR="004D3D70">
        <w:rPr>
          <w:lang w:val="fr-CH"/>
        </w:rPr>
        <w:t>’</w:t>
      </w:r>
      <w:r w:rsidR="00D005AD" w:rsidRPr="004D3D70">
        <w:rPr>
          <w:lang w:val="fr-CH"/>
        </w:rPr>
        <w:t>études couvrant les frais de scolarité</w:t>
      </w:r>
      <w:r w:rsidR="001544B5" w:rsidRPr="004D3D70">
        <w:rPr>
          <w:lang w:val="fr-CH"/>
        </w:rPr>
        <w:t xml:space="preserve"> </w:t>
      </w:r>
      <w:r w:rsidRPr="004D3D70">
        <w:rPr>
          <w:lang w:val="fr-CH"/>
        </w:rPr>
        <w:t>des enfants à charge jusqu</w:t>
      </w:r>
      <w:r w:rsidR="004D3D70">
        <w:rPr>
          <w:lang w:val="fr-CH"/>
        </w:rPr>
        <w:t>’</w:t>
      </w:r>
      <w:r w:rsidRPr="004D3D70">
        <w:rPr>
          <w:lang w:val="fr-CH"/>
        </w:rPr>
        <w:t>à la quatrième année</w:t>
      </w:r>
      <w:r w:rsidR="00D005AD" w:rsidRPr="004D3D70">
        <w:rPr>
          <w:lang w:val="fr-CH"/>
        </w:rPr>
        <w:t xml:space="preserve"> d</w:t>
      </w:r>
      <w:r w:rsidR="004D3D70">
        <w:rPr>
          <w:lang w:val="fr-CH"/>
        </w:rPr>
        <w:t>’</w:t>
      </w:r>
      <w:r w:rsidR="00D005AD" w:rsidRPr="004D3D70">
        <w:rPr>
          <w:lang w:val="fr-CH"/>
        </w:rPr>
        <w:t>études</w:t>
      </w:r>
      <w:r w:rsidR="00706BAA" w:rsidRPr="004D3D70">
        <w:rPr>
          <w:lang w:val="fr-CH"/>
        </w:rPr>
        <w:t xml:space="preserve"> </w:t>
      </w:r>
      <w:r w:rsidR="00D005AD" w:rsidRPr="004D3D70">
        <w:rPr>
          <w:lang w:val="fr-CH"/>
        </w:rPr>
        <w:t>post</w:t>
      </w:r>
      <w:r w:rsidR="002140E0">
        <w:rPr>
          <w:lang w:val="fr-CH"/>
        </w:rPr>
        <w:t>secondaires</w:t>
      </w:r>
      <w:r w:rsidRPr="004D3D70">
        <w:rPr>
          <w:lang w:val="fr-CH"/>
        </w:rPr>
        <w:t>, mais pas au</w:t>
      </w:r>
      <w:r w:rsidR="00665FEC">
        <w:rPr>
          <w:lang w:val="fr-CH"/>
        </w:rPr>
        <w:noBreakHyphen/>
      </w:r>
      <w:r w:rsidRPr="004D3D70">
        <w:rPr>
          <w:lang w:val="fr-CH"/>
        </w:rPr>
        <w:t>delà de la fin de l</w:t>
      </w:r>
      <w:r w:rsidR="004D3D70">
        <w:rPr>
          <w:lang w:val="fr-CH"/>
        </w:rPr>
        <w:t>’</w:t>
      </w:r>
      <w:r w:rsidRPr="004D3D70">
        <w:rPr>
          <w:lang w:val="fr-CH"/>
        </w:rPr>
        <w:t>année scolaire au cours de laquelle l</w:t>
      </w:r>
      <w:r w:rsidR="004D3D70">
        <w:rPr>
          <w:lang w:val="fr-CH"/>
        </w:rPr>
        <w:t>’</w:t>
      </w:r>
      <w:r w:rsidRPr="004D3D70">
        <w:rPr>
          <w:lang w:val="fr-CH"/>
        </w:rPr>
        <w:t>enfant atteint l</w:t>
      </w:r>
      <w:r w:rsidR="004D3D70">
        <w:rPr>
          <w:lang w:val="fr-CH"/>
        </w:rPr>
        <w:t>’</w:t>
      </w:r>
      <w:r w:rsidRPr="004D3D70">
        <w:rPr>
          <w:lang w:val="fr-CH"/>
        </w:rPr>
        <w:t>âge de 25</w:t>
      </w:r>
      <w:r w:rsidR="00BE23DA">
        <w:rPr>
          <w:lang w:val="fr-CH"/>
        </w:rPr>
        <w:t> </w:t>
      </w:r>
      <w:r w:rsidRPr="004D3D70">
        <w:rPr>
          <w:lang w:val="fr-CH"/>
        </w:rPr>
        <w:t>a</w:t>
      </w:r>
      <w:r w:rsidR="002140E0" w:rsidRPr="004D3D70">
        <w:rPr>
          <w:lang w:val="fr-CH"/>
        </w:rPr>
        <w:t>ns</w:t>
      </w:r>
      <w:r w:rsidR="002140E0">
        <w:rPr>
          <w:lang w:val="fr-CH"/>
        </w:rPr>
        <w:t xml:space="preserve">.  </w:t>
      </w:r>
      <w:r w:rsidR="002140E0" w:rsidRPr="004D3D70">
        <w:rPr>
          <w:lang w:val="fr-CH"/>
        </w:rPr>
        <w:t>Po</w:t>
      </w:r>
      <w:r w:rsidRPr="004D3D70">
        <w:rPr>
          <w:lang w:val="fr-CH"/>
        </w:rPr>
        <w:t>ur l</w:t>
      </w:r>
      <w:r w:rsidR="004D3D70">
        <w:rPr>
          <w:lang w:val="fr-CH"/>
        </w:rPr>
        <w:t>’</w:t>
      </w:r>
      <w:r w:rsidRPr="004D3D70">
        <w:rPr>
          <w:lang w:val="fr-CH"/>
        </w:rPr>
        <w:t>année scolaire</w:t>
      </w:r>
      <w:r w:rsidR="00BE23DA">
        <w:rPr>
          <w:lang w:val="fr-CH"/>
        </w:rPr>
        <w:t> </w:t>
      </w:r>
      <w:r w:rsidR="001544B5" w:rsidRPr="004D3D70">
        <w:rPr>
          <w:lang w:val="fr-CH"/>
        </w:rPr>
        <w:t>2017</w:t>
      </w:r>
      <w:r w:rsidR="00665FEC">
        <w:rPr>
          <w:lang w:val="fr-CH"/>
        </w:rPr>
        <w:noBreakHyphen/>
      </w:r>
      <w:r w:rsidR="001544B5" w:rsidRPr="004D3D70">
        <w:rPr>
          <w:lang w:val="fr-CH"/>
        </w:rPr>
        <w:t xml:space="preserve">2018, </w:t>
      </w:r>
      <w:r w:rsidR="00913B55" w:rsidRPr="004D3D70">
        <w:rPr>
          <w:lang w:val="fr-CH"/>
        </w:rPr>
        <w:t>le remboursement est effectué selon un barème dégressif universel</w:t>
      </w:r>
      <w:r w:rsidR="001544B5" w:rsidRPr="004D3D70">
        <w:rPr>
          <w:lang w:val="fr-CH"/>
        </w:rPr>
        <w:t xml:space="preserve">, </w:t>
      </w:r>
      <w:r w:rsidR="00913B55" w:rsidRPr="004D3D70">
        <w:rPr>
          <w:lang w:val="fr-CH"/>
        </w:rPr>
        <w:t>avec des taux de remboursement dégressifs et un montant maximal de remboursement fi</w:t>
      </w:r>
      <w:r w:rsidR="002140E0" w:rsidRPr="004D3D70">
        <w:rPr>
          <w:lang w:val="fr-CH"/>
        </w:rPr>
        <w:t>xe</w:t>
      </w:r>
      <w:r w:rsidR="002140E0">
        <w:rPr>
          <w:lang w:val="fr-CH"/>
        </w:rPr>
        <w:t xml:space="preserve">.  </w:t>
      </w:r>
      <w:r w:rsidR="002140E0" w:rsidRPr="004D3D70">
        <w:rPr>
          <w:lang w:val="fr-CH"/>
        </w:rPr>
        <w:t>Un</w:t>
      </w:r>
      <w:r w:rsidR="001842BE" w:rsidRPr="004D3D70">
        <w:rPr>
          <w:lang w:val="fr-CH"/>
        </w:rPr>
        <w:t>e avance égale au montant estimé de l</w:t>
      </w:r>
      <w:r w:rsidR="004D3D70">
        <w:rPr>
          <w:lang w:val="fr-CH"/>
        </w:rPr>
        <w:t>’</w:t>
      </w:r>
      <w:r w:rsidR="001842BE" w:rsidRPr="004D3D70">
        <w:rPr>
          <w:lang w:val="fr-CH"/>
        </w:rPr>
        <w:t>indemnité pour frais d</w:t>
      </w:r>
      <w:r w:rsidR="004D3D70">
        <w:rPr>
          <w:lang w:val="fr-CH"/>
        </w:rPr>
        <w:t>’</w:t>
      </w:r>
      <w:r w:rsidR="001842BE" w:rsidRPr="004D3D70">
        <w:rPr>
          <w:lang w:val="fr-CH"/>
        </w:rPr>
        <w:t>études peut être accordée dès le début de chaque année scolai</w:t>
      </w:r>
      <w:r w:rsidR="002140E0" w:rsidRPr="004D3D70">
        <w:rPr>
          <w:lang w:val="fr-CH"/>
        </w:rPr>
        <w:t>re</w:t>
      </w:r>
      <w:r w:rsidR="002140E0">
        <w:rPr>
          <w:lang w:val="fr-CH"/>
        </w:rPr>
        <w:t xml:space="preserve">.  </w:t>
      </w:r>
      <w:r w:rsidR="002140E0" w:rsidRPr="004D3D70">
        <w:rPr>
          <w:lang w:val="fr-CH"/>
        </w:rPr>
        <w:t>Le</w:t>
      </w:r>
      <w:r w:rsidR="001842BE" w:rsidRPr="004D3D70">
        <w:rPr>
          <w:lang w:val="fr-CH"/>
        </w:rPr>
        <w:t>s avances au personnel pour frais d</w:t>
      </w:r>
      <w:r w:rsidR="004D3D70">
        <w:rPr>
          <w:lang w:val="fr-CH"/>
        </w:rPr>
        <w:t>’</w:t>
      </w:r>
      <w:r w:rsidR="001842BE" w:rsidRPr="004D3D70">
        <w:rPr>
          <w:lang w:val="fr-CH"/>
        </w:rPr>
        <w:t>études représentent le total des frais pour l</w:t>
      </w:r>
      <w:r w:rsidR="004D3D70">
        <w:rPr>
          <w:lang w:val="fr-CH"/>
        </w:rPr>
        <w:t>’</w:t>
      </w:r>
      <w:r w:rsidR="001842BE" w:rsidRPr="004D3D70">
        <w:rPr>
          <w:lang w:val="fr-CH"/>
        </w:rPr>
        <w:t>année scolaire</w:t>
      </w:r>
      <w:r w:rsidR="00BE23DA">
        <w:rPr>
          <w:lang w:val="fr-CH"/>
        </w:rPr>
        <w:t> </w:t>
      </w:r>
      <w:r w:rsidR="001842BE" w:rsidRPr="004D3D70">
        <w:rPr>
          <w:lang w:val="fr-CH"/>
        </w:rPr>
        <w:t>2017</w:t>
      </w:r>
      <w:r w:rsidR="00665FEC">
        <w:rPr>
          <w:lang w:val="fr-CH"/>
        </w:rPr>
        <w:noBreakHyphen/>
      </w:r>
      <w:r w:rsidR="001842BE" w:rsidRPr="004D3D70">
        <w:rPr>
          <w:lang w:val="fr-CH"/>
        </w:rPr>
        <w:t>2018.</w:t>
      </w:r>
    </w:p>
    <w:p w:rsidR="00905890" w:rsidRPr="004D3D70" w:rsidRDefault="00905890" w:rsidP="00A824AF">
      <w:pPr>
        <w:rPr>
          <w:lang w:val="fr-CH"/>
        </w:rPr>
      </w:pPr>
    </w:p>
    <w:p w:rsidR="00905890" w:rsidRPr="004D3D70" w:rsidRDefault="00905890" w:rsidP="00A824AF">
      <w:pPr>
        <w:rPr>
          <w:lang w:val="fr-CH"/>
        </w:rPr>
      </w:pPr>
    </w:p>
    <w:p w:rsidR="00905890" w:rsidRPr="004D3D70" w:rsidRDefault="00905890" w:rsidP="00A824AF">
      <w:pPr>
        <w:rPr>
          <w:lang w:val="fr-CH"/>
        </w:rPr>
      </w:pPr>
    </w:p>
    <w:p w:rsidR="00905890" w:rsidRPr="004D3D70" w:rsidRDefault="00905890" w:rsidP="00A824AF">
      <w:pPr>
        <w:rPr>
          <w:lang w:val="fr-CH"/>
        </w:rPr>
      </w:pPr>
    </w:p>
    <w:p w:rsidR="00905890" w:rsidRPr="004D3D70" w:rsidRDefault="00905890" w:rsidP="00A824AF">
      <w:pPr>
        <w:rPr>
          <w:lang w:val="fr-CH"/>
        </w:rPr>
      </w:pPr>
    </w:p>
    <w:p w:rsidR="00905890" w:rsidRPr="004D3D70" w:rsidRDefault="00905890" w:rsidP="00A824AF">
      <w:pPr>
        <w:rPr>
          <w:lang w:val="fr-CH"/>
        </w:rPr>
      </w:pPr>
    </w:p>
    <w:p w:rsidR="00905890" w:rsidRPr="004D3D70" w:rsidRDefault="00905890" w:rsidP="00A824AF">
      <w:pPr>
        <w:rPr>
          <w:lang w:val="fr-CH"/>
        </w:rPr>
      </w:pPr>
    </w:p>
    <w:p w:rsidR="00905890" w:rsidRPr="004D3D70" w:rsidRDefault="00905890" w:rsidP="00A824AF">
      <w:pPr>
        <w:rPr>
          <w:lang w:val="fr-CH"/>
        </w:rPr>
      </w:pPr>
    </w:p>
    <w:p w:rsidR="0076212D" w:rsidRDefault="0076212D">
      <w:pPr>
        <w:jc w:val="left"/>
        <w:rPr>
          <w:rFonts w:ascii="Arial Bold" w:hAnsi="Arial Bold"/>
          <w:b/>
          <w:caps/>
          <w:lang w:val="fr-CH"/>
        </w:rPr>
      </w:pPr>
      <w:r>
        <w:rPr>
          <w:lang w:val="fr-CH"/>
        </w:rPr>
        <w:br w:type="page"/>
      </w:r>
    </w:p>
    <w:p w:rsidR="00905890" w:rsidRPr="004D3D70" w:rsidRDefault="001842BE" w:rsidP="001842BE">
      <w:pPr>
        <w:pStyle w:val="Heading2Notes"/>
        <w:rPr>
          <w:lang w:val="fr-CH"/>
        </w:rPr>
      </w:pPr>
      <w:bookmarkStart w:id="20" w:name="_Toc523157894"/>
      <w:r w:rsidRPr="004D3D70">
        <w:rPr>
          <w:lang w:val="fr-CH"/>
        </w:rPr>
        <w:lastRenderedPageBreak/>
        <w:t>Note</w:t>
      </w:r>
      <w:r w:rsidR="00BE23DA">
        <w:rPr>
          <w:lang w:val="fr-CH"/>
        </w:rPr>
        <w:t> </w:t>
      </w:r>
      <w:r w:rsidRPr="004D3D70">
        <w:rPr>
          <w:lang w:val="fr-CH"/>
        </w:rPr>
        <w:t>5</w:t>
      </w:r>
      <w:r w:rsidR="004D3D70">
        <w:rPr>
          <w:lang w:val="fr-CH"/>
        </w:rPr>
        <w:t> :</w:t>
      </w:r>
      <w:r w:rsidRPr="004D3D70">
        <w:rPr>
          <w:lang w:val="fr-CH"/>
        </w:rPr>
        <w:t xml:space="preserve"> </w:t>
      </w:r>
      <w:r w:rsidRPr="004D3D70">
        <w:rPr>
          <w:lang w:val="fr-CH"/>
        </w:rPr>
        <w:tab/>
        <w:t>Matériel</w:t>
      </w:r>
      <w:bookmarkEnd w:id="20"/>
    </w:p>
    <w:p w:rsidR="00905890" w:rsidRPr="004D3D70" w:rsidRDefault="00905890" w:rsidP="0020503E">
      <w:pPr>
        <w:rPr>
          <w:lang w:val="fr-CH"/>
        </w:rPr>
      </w:pPr>
    </w:p>
    <w:p w:rsidR="00905890" w:rsidRPr="004D3D70" w:rsidRDefault="001842BE" w:rsidP="001842BE">
      <w:pPr>
        <w:rPr>
          <w:lang w:val="fr-CH"/>
        </w:rPr>
      </w:pPr>
      <w:r w:rsidRPr="004D3D70">
        <w:rPr>
          <w:lang w:val="fr-CH"/>
        </w:rPr>
        <w:t>Tout le matériel répertorié dans les stocks est évalué au coût diminué de l</w:t>
      </w:r>
      <w:r w:rsidR="004D3D70">
        <w:rPr>
          <w:lang w:val="fr-CH"/>
        </w:rPr>
        <w:t>’</w:t>
      </w:r>
      <w:r w:rsidRPr="004D3D70">
        <w:rPr>
          <w:lang w:val="fr-CH"/>
        </w:rPr>
        <w:t>amortissement des coûts sur une base linéai</w:t>
      </w:r>
      <w:r w:rsidR="002140E0" w:rsidRPr="004D3D70">
        <w:rPr>
          <w:lang w:val="fr-CH"/>
        </w:rPr>
        <w:t>re</w:t>
      </w:r>
      <w:r w:rsidR="002140E0">
        <w:rPr>
          <w:lang w:val="fr-CH"/>
        </w:rPr>
        <w:t xml:space="preserve">.  </w:t>
      </w:r>
      <w:r w:rsidR="002140E0" w:rsidRPr="004D3D70">
        <w:rPr>
          <w:lang w:val="fr-CH"/>
        </w:rPr>
        <w:t>Me</w:t>
      </w:r>
      <w:r w:rsidRPr="004D3D70">
        <w:rPr>
          <w:lang w:val="fr-CH"/>
        </w:rPr>
        <w:t>ubles et mobilier sont amortis sur une durée d</w:t>
      </w:r>
      <w:r w:rsidR="004D3D70">
        <w:rPr>
          <w:lang w:val="fr-CH"/>
        </w:rPr>
        <w:t>’</w:t>
      </w:r>
      <w:r w:rsidRPr="004D3D70">
        <w:rPr>
          <w:lang w:val="fr-CH"/>
        </w:rPr>
        <w:t>utilité de 10</w:t>
      </w:r>
      <w:r w:rsidR="00BE23DA">
        <w:rPr>
          <w:lang w:val="fr-CH"/>
        </w:rPr>
        <w:t> </w:t>
      </w:r>
      <w:r w:rsidRPr="004D3D70">
        <w:rPr>
          <w:lang w:val="fr-CH"/>
        </w:rPr>
        <w:t>ans.  Tous les autres équipements sont amortis sur une durée d</w:t>
      </w:r>
      <w:r w:rsidR="004D3D70">
        <w:rPr>
          <w:lang w:val="fr-CH"/>
        </w:rPr>
        <w:t>’</w:t>
      </w:r>
      <w:r w:rsidRPr="004D3D70">
        <w:rPr>
          <w:lang w:val="fr-CH"/>
        </w:rPr>
        <w:t>utilité de cinq</w:t>
      </w:r>
      <w:r w:rsidR="00AC2A6B">
        <w:rPr>
          <w:lang w:val="fr-CH"/>
        </w:rPr>
        <w:t> </w:t>
      </w:r>
      <w:r w:rsidRPr="004D3D70">
        <w:rPr>
          <w:lang w:val="fr-CH"/>
        </w:rPr>
        <w:t>ans.</w:t>
      </w:r>
    </w:p>
    <w:p w:rsidR="00905890" w:rsidRPr="004D3D70" w:rsidRDefault="00905890" w:rsidP="00A824AF">
      <w:pPr>
        <w:rPr>
          <w:lang w:val="fr-CH"/>
        </w:rPr>
      </w:pPr>
    </w:p>
    <w:p w:rsidR="00905890" w:rsidRPr="004D3D70" w:rsidRDefault="00905890" w:rsidP="00A824AF">
      <w:pPr>
        <w:jc w:val="center"/>
        <w:rPr>
          <w:noProof/>
          <w:lang w:val="fr-CH"/>
        </w:rPr>
      </w:pPr>
    </w:p>
    <w:p w:rsidR="00905890" w:rsidRPr="004D3D70" w:rsidRDefault="007C4D44" w:rsidP="00A824AF">
      <w:pPr>
        <w:jc w:val="center"/>
        <w:rPr>
          <w:noProof/>
          <w:lang w:val="fr-CH"/>
        </w:rPr>
      </w:pPr>
      <w:r w:rsidRPr="007C4D44">
        <w:rPr>
          <w:noProof/>
          <w:lang w:val="en-US"/>
        </w:rPr>
        <w:drawing>
          <wp:inline distT="0" distB="0" distL="0" distR="0">
            <wp:extent cx="5886450" cy="31432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86450" cy="3143250"/>
                    </a:xfrm>
                    <a:prstGeom prst="rect">
                      <a:avLst/>
                    </a:prstGeom>
                    <a:noFill/>
                    <a:ln>
                      <a:noFill/>
                    </a:ln>
                  </pic:spPr>
                </pic:pic>
              </a:graphicData>
            </a:graphic>
          </wp:inline>
        </w:drawing>
      </w:r>
    </w:p>
    <w:p w:rsidR="00905890" w:rsidRPr="004D3D70" w:rsidRDefault="007C4D44" w:rsidP="00A824AF">
      <w:pPr>
        <w:jc w:val="center"/>
        <w:rPr>
          <w:lang w:val="fr-CH"/>
        </w:rPr>
      </w:pPr>
      <w:r w:rsidRPr="007C4D44">
        <w:rPr>
          <w:noProof/>
          <w:lang w:val="en-US"/>
        </w:rPr>
        <w:drawing>
          <wp:inline distT="0" distB="0" distL="0" distR="0">
            <wp:extent cx="5695950" cy="31432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5950" cy="3143250"/>
                    </a:xfrm>
                    <a:prstGeom prst="rect">
                      <a:avLst/>
                    </a:prstGeom>
                    <a:noFill/>
                    <a:ln>
                      <a:noFill/>
                    </a:ln>
                  </pic:spPr>
                </pic:pic>
              </a:graphicData>
            </a:graphic>
          </wp:inline>
        </w:drawing>
      </w:r>
    </w:p>
    <w:p w:rsidR="00905890" w:rsidRPr="004D3D70" w:rsidRDefault="00905890" w:rsidP="0020503E">
      <w:pPr>
        <w:rPr>
          <w:lang w:val="fr-CH"/>
        </w:rPr>
      </w:pPr>
    </w:p>
    <w:p w:rsidR="00905890" w:rsidRPr="004D3D70" w:rsidRDefault="00905890" w:rsidP="0020503E">
      <w:pPr>
        <w:rPr>
          <w:lang w:val="fr-CH"/>
        </w:rPr>
      </w:pPr>
    </w:p>
    <w:p w:rsidR="00905890" w:rsidRPr="004D3D70" w:rsidRDefault="001842BE" w:rsidP="001842BE">
      <w:pPr>
        <w:pStyle w:val="Heading2Notes"/>
        <w:rPr>
          <w:lang w:val="fr-CH"/>
        </w:rPr>
      </w:pPr>
      <w:bookmarkStart w:id="21" w:name="_Toc523157895"/>
      <w:r w:rsidRPr="004D3D70">
        <w:rPr>
          <w:lang w:val="fr-CH"/>
        </w:rPr>
        <w:t>Note</w:t>
      </w:r>
      <w:r w:rsidR="00BE23DA">
        <w:rPr>
          <w:lang w:val="fr-CH"/>
        </w:rPr>
        <w:t> </w:t>
      </w:r>
      <w:r w:rsidRPr="004D3D70">
        <w:rPr>
          <w:lang w:val="fr-CH"/>
        </w:rPr>
        <w:t>6</w:t>
      </w:r>
      <w:r w:rsidR="004D3D70">
        <w:rPr>
          <w:lang w:val="fr-CH"/>
        </w:rPr>
        <w:t> :</w:t>
      </w:r>
      <w:r w:rsidRPr="004D3D70">
        <w:rPr>
          <w:lang w:val="fr-CH"/>
        </w:rPr>
        <w:t xml:space="preserve"> </w:t>
      </w:r>
      <w:r w:rsidRPr="004D3D70">
        <w:rPr>
          <w:lang w:val="fr-CH"/>
        </w:rPr>
        <w:tab/>
        <w:t>Comptes de créanciers</w:t>
      </w:r>
      <w:bookmarkEnd w:id="21"/>
    </w:p>
    <w:p w:rsidR="00905890" w:rsidRPr="004D3D70" w:rsidRDefault="00905890" w:rsidP="0020503E">
      <w:pPr>
        <w:rPr>
          <w:lang w:val="fr-CH"/>
        </w:rPr>
      </w:pPr>
    </w:p>
    <w:p w:rsidR="00905890" w:rsidRPr="004D3D70" w:rsidRDefault="00B079ED" w:rsidP="0020503E">
      <w:pPr>
        <w:jc w:val="center"/>
        <w:rPr>
          <w:lang w:val="fr-CH"/>
        </w:rPr>
      </w:pPr>
      <w:r w:rsidRPr="00B079ED">
        <w:rPr>
          <w:noProof/>
          <w:lang w:val="en-US"/>
        </w:rPr>
        <w:drawing>
          <wp:inline distT="0" distB="0" distL="0" distR="0">
            <wp:extent cx="5745480" cy="10179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5480" cy="1017905"/>
                    </a:xfrm>
                    <a:prstGeom prst="rect">
                      <a:avLst/>
                    </a:prstGeom>
                    <a:noFill/>
                    <a:ln>
                      <a:noFill/>
                    </a:ln>
                  </pic:spPr>
                </pic:pic>
              </a:graphicData>
            </a:graphic>
          </wp:inline>
        </w:drawing>
      </w:r>
    </w:p>
    <w:p w:rsidR="00905890" w:rsidRPr="004D3D70" w:rsidRDefault="001842BE" w:rsidP="001842BE">
      <w:pPr>
        <w:pStyle w:val="Heading2Notes"/>
        <w:rPr>
          <w:lang w:val="fr-CH"/>
        </w:rPr>
      </w:pPr>
      <w:bookmarkStart w:id="22" w:name="_Toc523157896"/>
      <w:r w:rsidRPr="004D3D70">
        <w:rPr>
          <w:lang w:val="fr-CH"/>
        </w:rPr>
        <w:lastRenderedPageBreak/>
        <w:t>Note</w:t>
      </w:r>
      <w:r w:rsidR="00BE23DA">
        <w:rPr>
          <w:lang w:val="fr-CH"/>
        </w:rPr>
        <w:t> </w:t>
      </w:r>
      <w:r w:rsidRPr="004D3D70">
        <w:rPr>
          <w:lang w:val="fr-CH"/>
        </w:rPr>
        <w:t>7</w:t>
      </w:r>
      <w:r w:rsidR="004D3D70">
        <w:rPr>
          <w:lang w:val="fr-CH"/>
        </w:rPr>
        <w:t> :</w:t>
      </w:r>
      <w:r w:rsidRPr="004D3D70">
        <w:rPr>
          <w:lang w:val="fr-CH"/>
        </w:rPr>
        <w:t xml:space="preserve"> </w:t>
      </w:r>
      <w:r w:rsidR="00AC2193">
        <w:rPr>
          <w:lang w:val="fr-CH"/>
        </w:rPr>
        <w:tab/>
      </w:r>
      <w:r w:rsidRPr="004D3D70">
        <w:rPr>
          <w:lang w:val="fr-CH"/>
        </w:rPr>
        <w:t>Prestations au personnel</w:t>
      </w:r>
      <w:bookmarkEnd w:id="22"/>
    </w:p>
    <w:p w:rsidR="00905890" w:rsidRPr="004D3D70" w:rsidRDefault="00905890" w:rsidP="0020503E">
      <w:pPr>
        <w:keepNext/>
        <w:rPr>
          <w:lang w:val="fr-CH"/>
        </w:rPr>
      </w:pPr>
    </w:p>
    <w:p w:rsidR="00905890" w:rsidRPr="004D3D70" w:rsidRDefault="007000D3" w:rsidP="00A824AF">
      <w:pPr>
        <w:pStyle w:val="Style3"/>
        <w:spacing w:after="0"/>
        <w:jc w:val="center"/>
        <w:rPr>
          <w:rFonts w:cs="Arial"/>
          <w:sz w:val="20"/>
          <w:lang w:val="fr-CH"/>
        </w:rPr>
      </w:pPr>
      <w:r w:rsidRPr="007000D3">
        <w:rPr>
          <w:noProof/>
          <w:lang w:val="en-US"/>
        </w:rPr>
        <w:drawing>
          <wp:inline distT="0" distB="0" distL="0" distR="0">
            <wp:extent cx="5745480" cy="38735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5480" cy="3873500"/>
                    </a:xfrm>
                    <a:prstGeom prst="rect">
                      <a:avLst/>
                    </a:prstGeom>
                    <a:noFill/>
                    <a:ln>
                      <a:noFill/>
                    </a:ln>
                  </pic:spPr>
                </pic:pic>
              </a:graphicData>
            </a:graphic>
          </wp:inline>
        </w:drawing>
      </w:r>
    </w:p>
    <w:p w:rsidR="00905890" w:rsidRDefault="00905890" w:rsidP="00A824AF">
      <w:pPr>
        <w:pStyle w:val="Style3"/>
        <w:spacing w:after="0"/>
        <w:rPr>
          <w:rFonts w:cs="Arial"/>
          <w:sz w:val="20"/>
          <w:lang w:val="fr-CH"/>
        </w:rPr>
      </w:pPr>
    </w:p>
    <w:p w:rsidR="00B079ED" w:rsidRPr="004D3D70" w:rsidRDefault="00B079ED" w:rsidP="00A824AF">
      <w:pPr>
        <w:pStyle w:val="Style3"/>
        <w:spacing w:after="0"/>
        <w:rPr>
          <w:rFonts w:cs="Arial"/>
          <w:sz w:val="20"/>
          <w:lang w:val="fr-CH"/>
        </w:rPr>
      </w:pPr>
    </w:p>
    <w:p w:rsidR="00905890" w:rsidRPr="004D3D70" w:rsidRDefault="00340C01" w:rsidP="00A824AF">
      <w:pPr>
        <w:pStyle w:val="Style3"/>
        <w:spacing w:after="0"/>
        <w:rPr>
          <w:rFonts w:cs="Arial"/>
          <w:sz w:val="20"/>
          <w:lang w:val="fr-CH"/>
        </w:rPr>
      </w:pPr>
      <w:r w:rsidRPr="004D3D70">
        <w:rPr>
          <w:rFonts w:cs="Arial"/>
          <w:sz w:val="20"/>
          <w:lang w:val="fr-CH"/>
        </w:rPr>
        <w:t>P</w:t>
      </w:r>
      <w:r w:rsidR="00602462" w:rsidRPr="004D3D70">
        <w:rPr>
          <w:rFonts w:cs="Arial"/>
          <w:sz w:val="20"/>
          <w:lang w:val="fr-CH"/>
        </w:rPr>
        <w:t>r</w:t>
      </w:r>
      <w:r w:rsidRPr="004D3D70">
        <w:rPr>
          <w:rFonts w:cs="Arial"/>
          <w:sz w:val="20"/>
          <w:lang w:val="fr-CH"/>
        </w:rPr>
        <w:t>estations au personnel en vertu des normes</w:t>
      </w:r>
      <w:r w:rsidR="00AC2A6B">
        <w:rPr>
          <w:rFonts w:cs="Arial"/>
          <w:sz w:val="20"/>
          <w:lang w:val="fr-CH"/>
        </w:rPr>
        <w:t> </w:t>
      </w:r>
      <w:r w:rsidR="00602462" w:rsidRPr="004D3D70">
        <w:rPr>
          <w:rFonts w:cs="Arial"/>
          <w:sz w:val="20"/>
          <w:lang w:val="fr-CH"/>
        </w:rPr>
        <w:t>IPSAS</w:t>
      </w:r>
      <w:r w:rsidR="00AD14C8" w:rsidRPr="004D3D70">
        <w:rPr>
          <w:rFonts w:cs="Arial"/>
          <w:sz w:val="20"/>
          <w:lang w:val="fr-CH"/>
        </w:rPr>
        <w:t>.</w:t>
      </w:r>
    </w:p>
    <w:p w:rsidR="00905890" w:rsidRPr="004D3D70" w:rsidRDefault="00905890" w:rsidP="00A824AF">
      <w:pPr>
        <w:pStyle w:val="Style3"/>
        <w:spacing w:after="0"/>
        <w:rPr>
          <w:rFonts w:cs="Arial"/>
          <w:i/>
          <w:sz w:val="20"/>
          <w:lang w:val="fr-CH"/>
        </w:rPr>
      </w:pPr>
    </w:p>
    <w:p w:rsidR="00905890" w:rsidRPr="004D3D70" w:rsidRDefault="00340C01" w:rsidP="003631E5">
      <w:pPr>
        <w:pStyle w:val="Style3"/>
        <w:rPr>
          <w:rFonts w:cs="Arial"/>
          <w:sz w:val="20"/>
          <w:lang w:val="fr-CH"/>
        </w:rPr>
      </w:pPr>
      <w:r w:rsidRPr="004D3D70">
        <w:rPr>
          <w:rFonts w:cs="Arial"/>
          <w:i/>
          <w:sz w:val="20"/>
          <w:lang w:val="fr-CH"/>
        </w:rPr>
        <w:t>Les prestations</w:t>
      </w:r>
      <w:r w:rsidR="00515DAA" w:rsidRPr="004D3D70">
        <w:rPr>
          <w:rFonts w:cs="Arial"/>
          <w:i/>
          <w:sz w:val="20"/>
          <w:lang w:val="fr-CH"/>
        </w:rPr>
        <w:t xml:space="preserve"> à court terme dues au personnel</w:t>
      </w:r>
      <w:r w:rsidRPr="004D3D70">
        <w:rPr>
          <w:rFonts w:cs="Arial"/>
          <w:sz w:val="20"/>
          <w:lang w:val="fr-CH"/>
        </w:rPr>
        <w:t xml:space="preserve"> inclu</w:t>
      </w:r>
      <w:r w:rsidR="003631E5" w:rsidRPr="004D3D70">
        <w:rPr>
          <w:rFonts w:cs="Arial"/>
          <w:sz w:val="20"/>
          <w:lang w:val="fr-CH"/>
        </w:rPr>
        <w:t>e</w:t>
      </w:r>
      <w:r w:rsidRPr="004D3D70">
        <w:rPr>
          <w:rFonts w:cs="Arial"/>
          <w:sz w:val="20"/>
          <w:lang w:val="fr-CH"/>
        </w:rPr>
        <w:t>nt le traitement, les allocations et indemnités, les primes d</w:t>
      </w:r>
      <w:r w:rsidR="004D3D70">
        <w:rPr>
          <w:rFonts w:cs="Arial"/>
          <w:sz w:val="20"/>
          <w:lang w:val="fr-CH"/>
        </w:rPr>
        <w:t>’</w:t>
      </w:r>
      <w:r w:rsidRPr="004D3D70">
        <w:rPr>
          <w:rFonts w:cs="Arial"/>
          <w:sz w:val="20"/>
          <w:lang w:val="fr-CH"/>
        </w:rPr>
        <w:t>affectation</w:t>
      </w:r>
      <w:r w:rsidR="003631E5" w:rsidRPr="004D3D70">
        <w:rPr>
          <w:rFonts w:cs="Arial"/>
          <w:sz w:val="20"/>
          <w:lang w:val="fr-CH"/>
        </w:rPr>
        <w:t xml:space="preserve"> </w:t>
      </w:r>
      <w:r w:rsidRPr="004D3D70">
        <w:rPr>
          <w:rFonts w:cs="Arial"/>
          <w:sz w:val="20"/>
          <w:lang w:val="fr-CH"/>
        </w:rPr>
        <w:t>et les indemnités pour frais d</w:t>
      </w:r>
      <w:r w:rsidR="004D3D70">
        <w:rPr>
          <w:rFonts w:cs="Arial"/>
          <w:sz w:val="20"/>
          <w:lang w:val="fr-CH"/>
        </w:rPr>
        <w:t>’</w:t>
      </w:r>
      <w:r w:rsidRPr="004D3D70">
        <w:rPr>
          <w:rFonts w:cs="Arial"/>
          <w:sz w:val="20"/>
          <w:lang w:val="fr-CH"/>
        </w:rPr>
        <w:t>études pour les enfants à charge</w:t>
      </w:r>
      <w:r w:rsidR="003631E5" w:rsidRPr="004D3D70">
        <w:rPr>
          <w:rFonts w:cs="Arial"/>
          <w:sz w:val="20"/>
          <w:lang w:val="fr-CH"/>
        </w:rPr>
        <w:t>,</w:t>
      </w:r>
      <w:r w:rsidRPr="004D3D70">
        <w:rPr>
          <w:rFonts w:cs="Arial"/>
          <w:sz w:val="20"/>
          <w:lang w:val="fr-CH"/>
        </w:rPr>
        <w:t xml:space="preserve"> les jours de congé annuel, l</w:t>
      </w:r>
      <w:r w:rsidR="004D3D70">
        <w:rPr>
          <w:rFonts w:cs="Arial"/>
          <w:sz w:val="20"/>
          <w:lang w:val="fr-CH"/>
        </w:rPr>
        <w:t>’</w:t>
      </w:r>
      <w:r w:rsidRPr="004D3D70">
        <w:rPr>
          <w:rFonts w:cs="Arial"/>
          <w:sz w:val="20"/>
          <w:lang w:val="fr-CH"/>
        </w:rPr>
        <w:t>assurance accident et l</w:t>
      </w:r>
      <w:r w:rsidR="004D3D70">
        <w:rPr>
          <w:rFonts w:cs="Arial"/>
          <w:sz w:val="20"/>
          <w:lang w:val="fr-CH"/>
        </w:rPr>
        <w:t>’</w:t>
      </w:r>
      <w:r w:rsidRPr="004D3D70">
        <w:rPr>
          <w:rFonts w:cs="Arial"/>
          <w:sz w:val="20"/>
          <w:lang w:val="fr-CH"/>
        </w:rPr>
        <w:t>assurance vie</w:t>
      </w:r>
      <w:r w:rsidR="003631E5" w:rsidRPr="004D3D70">
        <w:rPr>
          <w:rFonts w:cs="Arial"/>
          <w:sz w:val="20"/>
          <w:lang w:val="fr-CH"/>
        </w:rPr>
        <w:t xml:space="preserve">, </w:t>
      </w:r>
      <w:r w:rsidR="00CE6B16" w:rsidRPr="004D3D70">
        <w:rPr>
          <w:rFonts w:cs="Arial"/>
          <w:sz w:val="20"/>
          <w:lang w:val="fr-CH"/>
        </w:rPr>
        <w:t>lorsqu</w:t>
      </w:r>
      <w:r w:rsidR="004D3D70">
        <w:rPr>
          <w:rFonts w:cs="Arial"/>
          <w:sz w:val="20"/>
          <w:lang w:val="fr-CH"/>
        </w:rPr>
        <w:t>’</w:t>
      </w:r>
      <w:r w:rsidRPr="004D3D70">
        <w:rPr>
          <w:rFonts w:cs="Arial"/>
          <w:sz w:val="20"/>
          <w:lang w:val="fr-CH"/>
        </w:rPr>
        <w:t>il est prévu que ces prestations seront réglées</w:t>
      </w:r>
      <w:r w:rsidR="00CE6B16" w:rsidRPr="004D3D70">
        <w:rPr>
          <w:rFonts w:cs="Arial"/>
          <w:sz w:val="20"/>
          <w:lang w:val="fr-CH"/>
        </w:rPr>
        <w:t xml:space="preserve"> dans les </w:t>
      </w:r>
      <w:r w:rsidR="00AC2A6B">
        <w:rPr>
          <w:rFonts w:cs="Arial"/>
          <w:sz w:val="20"/>
          <w:lang w:val="fr-CH"/>
        </w:rPr>
        <w:t>12 </w:t>
      </w:r>
      <w:r w:rsidR="00CE6B16" w:rsidRPr="004D3D70">
        <w:rPr>
          <w:rFonts w:cs="Arial"/>
          <w:sz w:val="20"/>
          <w:lang w:val="fr-CH"/>
        </w:rPr>
        <w:t>mois</w:t>
      </w:r>
      <w:r w:rsidR="003631E5" w:rsidRPr="004D3D70">
        <w:rPr>
          <w:rFonts w:cs="Arial"/>
          <w:sz w:val="20"/>
          <w:lang w:val="fr-CH"/>
        </w:rPr>
        <w:t>;</w:t>
      </w:r>
    </w:p>
    <w:p w:rsidR="00905890" w:rsidRPr="004D3D70" w:rsidRDefault="003631E5" w:rsidP="003631E5">
      <w:pPr>
        <w:pStyle w:val="Style3"/>
        <w:rPr>
          <w:rFonts w:cs="Arial"/>
          <w:sz w:val="20"/>
          <w:lang w:val="fr-CH"/>
        </w:rPr>
      </w:pPr>
      <w:r w:rsidRPr="004D3D70">
        <w:rPr>
          <w:rFonts w:cs="Arial"/>
          <w:i/>
          <w:sz w:val="20"/>
          <w:lang w:val="fr-CH"/>
        </w:rPr>
        <w:t>L</w:t>
      </w:r>
      <w:r w:rsidR="00CE6B16" w:rsidRPr="004D3D70">
        <w:rPr>
          <w:rFonts w:cs="Arial"/>
          <w:i/>
          <w:sz w:val="20"/>
          <w:lang w:val="fr-CH"/>
        </w:rPr>
        <w:t>es prestations à l</w:t>
      </w:r>
      <w:r w:rsidRPr="004D3D70">
        <w:rPr>
          <w:rFonts w:cs="Arial"/>
          <w:i/>
          <w:sz w:val="20"/>
          <w:lang w:val="fr-CH"/>
        </w:rPr>
        <w:t>ong</w:t>
      </w:r>
      <w:r w:rsidR="00CE6B16" w:rsidRPr="004D3D70">
        <w:rPr>
          <w:rFonts w:cs="Arial"/>
          <w:i/>
          <w:sz w:val="20"/>
          <w:lang w:val="fr-CH"/>
        </w:rPr>
        <w:t xml:space="preserve"> </w:t>
      </w:r>
      <w:r w:rsidRPr="004D3D70">
        <w:rPr>
          <w:rFonts w:cs="Arial"/>
          <w:i/>
          <w:sz w:val="20"/>
          <w:lang w:val="fr-CH"/>
        </w:rPr>
        <w:t>term</w:t>
      </w:r>
      <w:r w:rsidR="00CE6B16" w:rsidRPr="004D3D70">
        <w:rPr>
          <w:rFonts w:cs="Arial"/>
          <w:i/>
          <w:sz w:val="20"/>
          <w:lang w:val="fr-CH"/>
        </w:rPr>
        <w:t>e dues au personnel</w:t>
      </w:r>
      <w:r w:rsidR="00CE6B16" w:rsidRPr="004D3D70">
        <w:rPr>
          <w:rFonts w:cs="Arial"/>
          <w:sz w:val="20"/>
          <w:lang w:val="fr-CH"/>
        </w:rPr>
        <w:t xml:space="preserve"> (ou prestations au personnel après la cessation de service</w:t>
      </w:r>
      <w:r w:rsidRPr="004D3D70">
        <w:rPr>
          <w:rFonts w:cs="Arial"/>
          <w:sz w:val="20"/>
          <w:lang w:val="fr-CH"/>
        </w:rPr>
        <w:t xml:space="preserve">) </w:t>
      </w:r>
      <w:r w:rsidR="00CE6B16" w:rsidRPr="004D3D70">
        <w:rPr>
          <w:rFonts w:cs="Arial"/>
          <w:sz w:val="20"/>
          <w:lang w:val="fr-CH"/>
        </w:rPr>
        <w:t>incluent les prestations post</w:t>
      </w:r>
      <w:r w:rsidR="00665FEC">
        <w:rPr>
          <w:rFonts w:cs="Arial"/>
          <w:sz w:val="20"/>
          <w:lang w:val="fr-CH"/>
        </w:rPr>
        <w:noBreakHyphen/>
      </w:r>
      <w:r w:rsidR="00CE6B16" w:rsidRPr="004D3D70">
        <w:rPr>
          <w:rFonts w:cs="Arial"/>
          <w:sz w:val="20"/>
          <w:lang w:val="fr-CH"/>
        </w:rPr>
        <w:t>emploi</w:t>
      </w:r>
      <w:r w:rsidR="00515DAA" w:rsidRPr="004D3D70">
        <w:rPr>
          <w:rFonts w:cs="Arial"/>
          <w:sz w:val="20"/>
          <w:lang w:val="fr-CH"/>
        </w:rPr>
        <w:t>,</w:t>
      </w:r>
      <w:r w:rsidR="00CE6B16" w:rsidRPr="004D3D70">
        <w:rPr>
          <w:rFonts w:cs="Arial"/>
          <w:sz w:val="20"/>
          <w:lang w:val="fr-CH"/>
        </w:rPr>
        <w:t xml:space="preserve"> telles que l</w:t>
      </w:r>
      <w:r w:rsidR="004D3D70">
        <w:rPr>
          <w:rFonts w:cs="Arial"/>
          <w:sz w:val="20"/>
          <w:lang w:val="fr-CH"/>
        </w:rPr>
        <w:t>’</w:t>
      </w:r>
      <w:r w:rsidR="00CE6B16" w:rsidRPr="004D3D70">
        <w:rPr>
          <w:rFonts w:cs="Arial"/>
          <w:sz w:val="20"/>
          <w:lang w:val="fr-CH"/>
        </w:rPr>
        <w:t>AMCS</w:t>
      </w:r>
      <w:r w:rsidRPr="004D3D70">
        <w:rPr>
          <w:rFonts w:cs="Arial"/>
          <w:sz w:val="20"/>
          <w:lang w:val="fr-CH"/>
        </w:rPr>
        <w:t xml:space="preserve">, </w:t>
      </w:r>
      <w:r w:rsidR="00CE6B16" w:rsidRPr="004D3D70">
        <w:rPr>
          <w:rFonts w:cs="Arial"/>
          <w:sz w:val="20"/>
          <w:lang w:val="fr-CH"/>
        </w:rPr>
        <w:t>et d</w:t>
      </w:r>
      <w:r w:rsidR="004D3D70">
        <w:rPr>
          <w:rFonts w:cs="Arial"/>
          <w:sz w:val="20"/>
          <w:lang w:val="fr-CH"/>
        </w:rPr>
        <w:t>’</w:t>
      </w:r>
      <w:r w:rsidR="00CE6B16" w:rsidRPr="004D3D70">
        <w:rPr>
          <w:rFonts w:cs="Arial"/>
          <w:sz w:val="20"/>
          <w:lang w:val="fr-CH"/>
        </w:rPr>
        <w:t>autres prestations à long terme dues au personnel</w:t>
      </w:r>
      <w:r w:rsidR="0029592D" w:rsidRPr="004D3D70">
        <w:rPr>
          <w:rFonts w:cs="Arial"/>
          <w:sz w:val="20"/>
          <w:lang w:val="fr-CH"/>
        </w:rPr>
        <w:t>,</w:t>
      </w:r>
      <w:r w:rsidR="00CE6B16" w:rsidRPr="004D3D70">
        <w:rPr>
          <w:rFonts w:cs="Arial"/>
          <w:sz w:val="20"/>
          <w:lang w:val="fr-CH"/>
        </w:rPr>
        <w:t xml:space="preserve"> telles que les prestations versées pour la cessation de service, </w:t>
      </w:r>
      <w:r w:rsidR="004D3D70">
        <w:rPr>
          <w:rFonts w:cs="Arial"/>
          <w:sz w:val="20"/>
          <w:lang w:val="fr-CH"/>
        </w:rPr>
        <w:t>à savoir</w:t>
      </w:r>
      <w:r w:rsidR="00CE6B16" w:rsidRPr="004D3D70">
        <w:rPr>
          <w:rFonts w:cs="Arial"/>
          <w:sz w:val="20"/>
          <w:lang w:val="fr-CH"/>
        </w:rPr>
        <w:t xml:space="preserve"> la prime de rapatriement, les frais de voyag</w:t>
      </w:r>
      <w:r w:rsidR="00AD14C8" w:rsidRPr="004D3D70">
        <w:rPr>
          <w:rFonts w:cs="Arial"/>
          <w:sz w:val="20"/>
          <w:lang w:val="fr-CH"/>
        </w:rPr>
        <w:t>e aux fins du rapatriement et l</w:t>
      </w:r>
      <w:r w:rsidR="004D3D70">
        <w:rPr>
          <w:rFonts w:cs="Arial"/>
          <w:sz w:val="20"/>
          <w:lang w:val="fr-CH"/>
        </w:rPr>
        <w:t>’</w:t>
      </w:r>
      <w:r w:rsidR="00CE6B16" w:rsidRPr="004D3D70">
        <w:rPr>
          <w:rFonts w:cs="Arial"/>
          <w:sz w:val="20"/>
          <w:lang w:val="fr-CH"/>
        </w:rPr>
        <w:t>envoi des effets personnels</w:t>
      </w:r>
      <w:r w:rsidRPr="004D3D70">
        <w:rPr>
          <w:rFonts w:cs="Arial"/>
          <w:sz w:val="20"/>
          <w:lang w:val="fr-CH"/>
        </w:rPr>
        <w:t xml:space="preserve">, </w:t>
      </w:r>
      <w:r w:rsidR="00CE6B16" w:rsidRPr="004D3D70">
        <w:rPr>
          <w:rFonts w:cs="Arial"/>
          <w:sz w:val="20"/>
          <w:lang w:val="fr-CH"/>
        </w:rPr>
        <w:t xml:space="preserve">ainsi que les jours de congé annuel </w:t>
      </w:r>
      <w:r w:rsidR="00E74517" w:rsidRPr="004D3D70">
        <w:rPr>
          <w:rFonts w:cs="Arial"/>
          <w:sz w:val="20"/>
          <w:lang w:val="fr-CH"/>
        </w:rPr>
        <w:t>ac</w:t>
      </w:r>
      <w:r w:rsidR="00CE6B16" w:rsidRPr="004D3D70">
        <w:rPr>
          <w:rFonts w:cs="Arial"/>
          <w:sz w:val="20"/>
          <w:lang w:val="fr-CH"/>
        </w:rPr>
        <w:t>cumulés à long terme</w:t>
      </w:r>
      <w:r w:rsidRPr="004D3D70">
        <w:rPr>
          <w:rFonts w:cs="Arial"/>
          <w:sz w:val="20"/>
          <w:lang w:val="fr-CH"/>
        </w:rPr>
        <w:t xml:space="preserve">; </w:t>
      </w:r>
      <w:r w:rsidR="00CE6B16" w:rsidRPr="004D3D70">
        <w:rPr>
          <w:rFonts w:cs="Arial"/>
          <w:sz w:val="20"/>
          <w:lang w:val="fr-CH"/>
        </w:rPr>
        <w:t xml:space="preserve"> et</w:t>
      </w:r>
    </w:p>
    <w:p w:rsidR="00905890" w:rsidRPr="004D3D70" w:rsidRDefault="001007C3" w:rsidP="003631E5">
      <w:pPr>
        <w:pStyle w:val="Style3"/>
        <w:spacing w:after="0"/>
        <w:rPr>
          <w:rFonts w:cs="Arial"/>
          <w:sz w:val="20"/>
          <w:lang w:val="fr-CH"/>
        </w:rPr>
      </w:pPr>
      <w:r w:rsidRPr="004D3D70">
        <w:rPr>
          <w:rFonts w:cs="Arial"/>
          <w:i/>
          <w:sz w:val="20"/>
          <w:lang w:val="fr-CH"/>
        </w:rPr>
        <w:t>Les prestations versées pour cessation de service</w:t>
      </w:r>
      <w:r w:rsidR="003631E5" w:rsidRPr="004D3D70">
        <w:rPr>
          <w:rFonts w:cs="Arial"/>
          <w:sz w:val="20"/>
          <w:lang w:val="fr-CH"/>
        </w:rPr>
        <w:t xml:space="preserve"> incl</w:t>
      </w:r>
      <w:r w:rsidRPr="004D3D70">
        <w:rPr>
          <w:rFonts w:cs="Arial"/>
          <w:sz w:val="20"/>
          <w:lang w:val="fr-CH"/>
        </w:rPr>
        <w:t>u</w:t>
      </w:r>
      <w:r w:rsidR="003631E5" w:rsidRPr="004D3D70">
        <w:rPr>
          <w:rFonts w:cs="Arial"/>
          <w:sz w:val="20"/>
          <w:lang w:val="fr-CH"/>
        </w:rPr>
        <w:t>e</w:t>
      </w:r>
      <w:r w:rsidRPr="004D3D70">
        <w:rPr>
          <w:rFonts w:cs="Arial"/>
          <w:sz w:val="20"/>
          <w:lang w:val="fr-CH"/>
        </w:rPr>
        <w:t>nt</w:t>
      </w:r>
      <w:r w:rsidR="003631E5" w:rsidRPr="004D3D70">
        <w:rPr>
          <w:rFonts w:cs="Arial"/>
          <w:sz w:val="20"/>
          <w:lang w:val="fr-CH"/>
        </w:rPr>
        <w:t xml:space="preserve"> </w:t>
      </w:r>
      <w:r w:rsidRPr="004D3D70">
        <w:rPr>
          <w:rFonts w:cs="Arial"/>
          <w:sz w:val="20"/>
          <w:lang w:val="fr-CH"/>
        </w:rPr>
        <w:t>u</w:t>
      </w:r>
      <w:r w:rsidR="003631E5" w:rsidRPr="004D3D70">
        <w:rPr>
          <w:rFonts w:cs="Arial"/>
          <w:sz w:val="20"/>
          <w:lang w:val="fr-CH"/>
        </w:rPr>
        <w:t>n</w:t>
      </w:r>
      <w:r w:rsidRPr="004D3D70">
        <w:rPr>
          <w:rFonts w:cs="Arial"/>
          <w:sz w:val="20"/>
          <w:lang w:val="fr-CH"/>
        </w:rPr>
        <w:t>e indemnité due aux fonctionnaires titulaires d</w:t>
      </w:r>
      <w:r w:rsidR="004D3D70">
        <w:rPr>
          <w:rFonts w:cs="Arial"/>
          <w:sz w:val="20"/>
          <w:lang w:val="fr-CH"/>
        </w:rPr>
        <w:t>’</w:t>
      </w:r>
      <w:r w:rsidRPr="004D3D70">
        <w:rPr>
          <w:rFonts w:cs="Arial"/>
          <w:sz w:val="20"/>
          <w:lang w:val="fr-CH"/>
        </w:rPr>
        <w:t>un engagement permanent, d</w:t>
      </w:r>
      <w:r w:rsidR="004D3D70">
        <w:rPr>
          <w:rFonts w:cs="Arial"/>
          <w:sz w:val="20"/>
          <w:lang w:val="fr-CH"/>
        </w:rPr>
        <w:t>’</w:t>
      </w:r>
      <w:r w:rsidRPr="004D3D70">
        <w:rPr>
          <w:rFonts w:cs="Arial"/>
          <w:sz w:val="20"/>
          <w:lang w:val="fr-CH"/>
        </w:rPr>
        <w:t>un engagement continu ou d</w:t>
      </w:r>
      <w:r w:rsidR="004D3D70">
        <w:rPr>
          <w:rFonts w:cs="Arial"/>
          <w:sz w:val="20"/>
          <w:lang w:val="fr-CH"/>
        </w:rPr>
        <w:t>’</w:t>
      </w:r>
      <w:r w:rsidRPr="004D3D70">
        <w:rPr>
          <w:rFonts w:cs="Arial"/>
          <w:sz w:val="20"/>
          <w:lang w:val="fr-CH"/>
        </w:rPr>
        <w:t>un engagement de durée déterminée lorsque l</w:t>
      </w:r>
      <w:r w:rsidR="004D3D70">
        <w:rPr>
          <w:rFonts w:cs="Arial"/>
          <w:sz w:val="20"/>
          <w:lang w:val="fr-CH"/>
        </w:rPr>
        <w:t>’</w:t>
      </w:r>
      <w:r w:rsidRPr="004D3D70">
        <w:rPr>
          <w:rFonts w:cs="Arial"/>
          <w:sz w:val="20"/>
          <w:lang w:val="fr-CH"/>
        </w:rPr>
        <w:t>Organisation met un terme à leur nomination avant la fin de leur contrat</w:t>
      </w:r>
      <w:r w:rsidR="003631E5" w:rsidRPr="004D3D70">
        <w:rPr>
          <w:rFonts w:cs="Arial"/>
          <w:sz w:val="20"/>
          <w:lang w:val="fr-CH"/>
        </w:rPr>
        <w:t>.</w:t>
      </w:r>
    </w:p>
    <w:p w:rsidR="00905890" w:rsidRPr="004D3D70" w:rsidRDefault="00905890" w:rsidP="00A824AF">
      <w:pPr>
        <w:pStyle w:val="Style3"/>
        <w:spacing w:after="0"/>
        <w:rPr>
          <w:rFonts w:cs="Arial"/>
          <w:sz w:val="20"/>
          <w:lang w:val="fr-CH"/>
        </w:rPr>
      </w:pPr>
    </w:p>
    <w:p w:rsidR="00905890" w:rsidRPr="004D3D70" w:rsidRDefault="001842BE" w:rsidP="001842BE">
      <w:pPr>
        <w:pStyle w:val="Style3"/>
        <w:spacing w:after="0"/>
        <w:rPr>
          <w:rFonts w:cs="Arial"/>
          <w:b/>
          <w:sz w:val="20"/>
          <w:lang w:val="fr-CH"/>
        </w:rPr>
      </w:pPr>
      <w:r w:rsidRPr="004D3D70">
        <w:rPr>
          <w:rFonts w:cs="Arial"/>
          <w:b/>
          <w:sz w:val="20"/>
          <w:lang w:val="fr-CH"/>
        </w:rPr>
        <w:t>Prestations au personnel à court terme</w:t>
      </w:r>
    </w:p>
    <w:p w:rsidR="00905890" w:rsidRPr="004D3D70" w:rsidRDefault="00905890" w:rsidP="00A824AF">
      <w:pPr>
        <w:pStyle w:val="Style3"/>
        <w:spacing w:after="0"/>
        <w:rPr>
          <w:rFonts w:cs="Arial"/>
          <w:sz w:val="20"/>
          <w:lang w:val="fr-CH"/>
        </w:rPr>
      </w:pPr>
    </w:p>
    <w:p w:rsidR="00905890" w:rsidRPr="004D3D70" w:rsidRDefault="001842BE" w:rsidP="001842BE">
      <w:pPr>
        <w:pStyle w:val="Style3"/>
        <w:spacing w:after="0"/>
        <w:rPr>
          <w:rFonts w:cs="Arial"/>
          <w:sz w:val="20"/>
          <w:lang w:val="fr-CH"/>
        </w:rPr>
      </w:pPr>
      <w:r w:rsidRPr="004D3D70">
        <w:rPr>
          <w:rFonts w:cs="Arial"/>
          <w:sz w:val="20"/>
          <w:lang w:val="fr-CH"/>
        </w:rPr>
        <w:t>L</w:t>
      </w:r>
      <w:r w:rsidR="004D3D70">
        <w:rPr>
          <w:rFonts w:cs="Arial"/>
          <w:sz w:val="20"/>
          <w:lang w:val="fr-CH"/>
        </w:rPr>
        <w:t>’</w:t>
      </w:r>
      <w:r w:rsidRPr="004D3D70">
        <w:rPr>
          <w:rFonts w:cs="Arial"/>
          <w:sz w:val="20"/>
          <w:lang w:val="fr-CH"/>
        </w:rPr>
        <w:t>UPOV a également des passifs comptabilisés pour les prestations à court terme suivantes, dont la valeur est basée sur le montant à payer à chaque fonctionnaire à la date d</w:t>
      </w:r>
      <w:r w:rsidR="004D3D70">
        <w:rPr>
          <w:rFonts w:cs="Arial"/>
          <w:sz w:val="20"/>
          <w:lang w:val="fr-CH"/>
        </w:rPr>
        <w:t>’</w:t>
      </w:r>
      <w:r w:rsidRPr="004D3D70">
        <w:rPr>
          <w:rFonts w:cs="Arial"/>
          <w:sz w:val="20"/>
          <w:lang w:val="fr-CH"/>
        </w:rPr>
        <w:t>établissement des états financiers.</w:t>
      </w:r>
    </w:p>
    <w:p w:rsidR="00905890" w:rsidRPr="004D3D70" w:rsidRDefault="00905890" w:rsidP="000C17BD">
      <w:pPr>
        <w:pStyle w:val="Style3"/>
        <w:spacing w:after="0"/>
        <w:rPr>
          <w:rFonts w:cs="Arial"/>
          <w:sz w:val="20"/>
          <w:lang w:val="fr-CH"/>
        </w:rPr>
      </w:pPr>
    </w:p>
    <w:p w:rsidR="00905890" w:rsidRPr="004D3D70" w:rsidRDefault="001007C3" w:rsidP="007000D3">
      <w:pPr>
        <w:pStyle w:val="Style3"/>
        <w:spacing w:after="0"/>
        <w:rPr>
          <w:rFonts w:cs="Arial"/>
          <w:sz w:val="20"/>
          <w:lang w:val="fr-CH"/>
        </w:rPr>
      </w:pPr>
      <w:r w:rsidRPr="004D3D70">
        <w:rPr>
          <w:rFonts w:cs="Arial"/>
          <w:i/>
          <w:sz w:val="20"/>
          <w:lang w:val="fr-CH"/>
        </w:rPr>
        <w:t>Congé annuel</w:t>
      </w:r>
      <w:r w:rsidR="000C17BD" w:rsidRPr="004D3D70">
        <w:rPr>
          <w:rFonts w:cs="Arial"/>
          <w:i/>
          <w:sz w:val="20"/>
          <w:lang w:val="fr-CH"/>
        </w:rPr>
        <w:t xml:space="preserve"> (</w:t>
      </w:r>
      <w:r w:rsidR="00712196" w:rsidRPr="004D3D70">
        <w:rPr>
          <w:rFonts w:cs="Arial"/>
          <w:i/>
          <w:sz w:val="20"/>
          <w:lang w:val="fr-CH"/>
        </w:rPr>
        <w:t>agents</w:t>
      </w:r>
      <w:r w:rsidRPr="004D3D70">
        <w:rPr>
          <w:rFonts w:cs="Arial"/>
          <w:i/>
          <w:sz w:val="20"/>
          <w:lang w:val="fr-CH"/>
        </w:rPr>
        <w:t xml:space="preserve"> temporaire</w:t>
      </w:r>
      <w:r w:rsidR="00712196" w:rsidRPr="004D3D70">
        <w:rPr>
          <w:rFonts w:cs="Arial"/>
          <w:i/>
          <w:sz w:val="20"/>
          <w:lang w:val="fr-CH"/>
        </w:rPr>
        <w:t>s</w:t>
      </w:r>
      <w:r w:rsidR="000C17BD" w:rsidRPr="004D3D70">
        <w:rPr>
          <w:rFonts w:cs="Arial"/>
          <w:i/>
          <w:sz w:val="20"/>
          <w:lang w:val="fr-CH"/>
        </w:rPr>
        <w:t>)</w:t>
      </w:r>
      <w:r w:rsidR="004D3D70">
        <w:rPr>
          <w:rFonts w:cs="Arial"/>
          <w:i/>
          <w:sz w:val="20"/>
          <w:lang w:val="fr-CH"/>
        </w:rPr>
        <w:t> :</w:t>
      </w:r>
      <w:r w:rsidR="000C17BD" w:rsidRPr="004D3D70">
        <w:rPr>
          <w:rFonts w:cs="Arial"/>
          <w:sz w:val="20"/>
          <w:lang w:val="fr-CH"/>
        </w:rPr>
        <w:t xml:space="preserve"> </w:t>
      </w:r>
      <w:r w:rsidR="00E74517" w:rsidRPr="004D3D70">
        <w:rPr>
          <w:rFonts w:cs="Arial"/>
          <w:sz w:val="20"/>
          <w:lang w:val="fr-CH"/>
        </w:rPr>
        <w:t>les jours de congé annuel font partie de la catégorie des prestations</w:t>
      </w:r>
      <w:r w:rsidR="006A6A30" w:rsidRPr="004D3D70">
        <w:rPr>
          <w:rFonts w:cs="Arial"/>
          <w:sz w:val="20"/>
          <w:lang w:val="fr-CH"/>
        </w:rPr>
        <w:t xml:space="preserve"> à court terme dues</w:t>
      </w:r>
      <w:r w:rsidR="000C17BD" w:rsidRPr="004D3D70">
        <w:rPr>
          <w:rFonts w:cs="Arial"/>
          <w:sz w:val="20"/>
          <w:lang w:val="fr-CH"/>
        </w:rPr>
        <w:t xml:space="preserve"> </w:t>
      </w:r>
      <w:r w:rsidR="00E74517" w:rsidRPr="004D3D70">
        <w:rPr>
          <w:rFonts w:cs="Arial"/>
          <w:sz w:val="20"/>
          <w:lang w:val="fr-CH"/>
        </w:rPr>
        <w:t>au</w:t>
      </w:r>
      <w:r w:rsidR="00AD14C8" w:rsidRPr="004D3D70">
        <w:rPr>
          <w:rFonts w:cs="Arial"/>
          <w:sz w:val="20"/>
          <w:lang w:val="fr-CH"/>
        </w:rPr>
        <w:t>x membres du</w:t>
      </w:r>
      <w:r w:rsidR="00E74517" w:rsidRPr="004D3D70">
        <w:rPr>
          <w:rFonts w:cs="Arial"/>
          <w:sz w:val="20"/>
          <w:lang w:val="fr-CH"/>
        </w:rPr>
        <w:t xml:space="preserve"> personnel </w:t>
      </w:r>
      <w:r w:rsidR="006A6A30" w:rsidRPr="004D3D70">
        <w:rPr>
          <w:rFonts w:cs="Arial"/>
          <w:sz w:val="20"/>
          <w:lang w:val="fr-CH"/>
        </w:rPr>
        <w:t>titulaire</w:t>
      </w:r>
      <w:r w:rsidR="00AD14C8" w:rsidRPr="004D3D70">
        <w:rPr>
          <w:rFonts w:cs="Arial"/>
          <w:sz w:val="20"/>
          <w:lang w:val="fr-CH"/>
        </w:rPr>
        <w:t>s</w:t>
      </w:r>
      <w:r w:rsidR="006A6A30" w:rsidRPr="004D3D70">
        <w:rPr>
          <w:rFonts w:cs="Arial"/>
          <w:sz w:val="20"/>
          <w:lang w:val="fr-CH"/>
        </w:rPr>
        <w:t xml:space="preserve"> d</w:t>
      </w:r>
      <w:r w:rsidR="004D3D70">
        <w:rPr>
          <w:rFonts w:cs="Arial"/>
          <w:sz w:val="20"/>
          <w:lang w:val="fr-CH"/>
        </w:rPr>
        <w:t>’</w:t>
      </w:r>
      <w:r w:rsidR="006A6A30" w:rsidRPr="004D3D70">
        <w:rPr>
          <w:rFonts w:cs="Arial"/>
          <w:sz w:val="20"/>
          <w:lang w:val="fr-CH"/>
        </w:rPr>
        <w:t>un engagement</w:t>
      </w:r>
      <w:r w:rsidR="000C17BD" w:rsidRPr="004D3D70">
        <w:rPr>
          <w:rFonts w:cs="Arial"/>
          <w:sz w:val="20"/>
          <w:lang w:val="fr-CH"/>
        </w:rPr>
        <w:t xml:space="preserve"> </w:t>
      </w:r>
      <w:r w:rsidR="00E74517" w:rsidRPr="004D3D70">
        <w:rPr>
          <w:rFonts w:cs="Arial"/>
          <w:sz w:val="20"/>
          <w:lang w:val="fr-CH"/>
        </w:rPr>
        <w:t>temporai</w:t>
      </w:r>
      <w:r w:rsidR="002140E0" w:rsidRPr="004D3D70">
        <w:rPr>
          <w:rFonts w:cs="Arial"/>
          <w:sz w:val="20"/>
          <w:lang w:val="fr-CH"/>
        </w:rPr>
        <w:t>re</w:t>
      </w:r>
      <w:r w:rsidR="002140E0">
        <w:rPr>
          <w:rFonts w:cs="Arial"/>
          <w:sz w:val="20"/>
          <w:lang w:val="fr-CH"/>
        </w:rPr>
        <w:t xml:space="preserve">.  </w:t>
      </w:r>
      <w:r w:rsidR="002140E0" w:rsidRPr="004D3D70">
        <w:rPr>
          <w:rFonts w:cs="Arial"/>
          <w:sz w:val="20"/>
          <w:lang w:val="fr-CH"/>
        </w:rPr>
        <w:t>Le</w:t>
      </w:r>
      <w:r w:rsidR="00712196" w:rsidRPr="004D3D70">
        <w:rPr>
          <w:rFonts w:cs="Arial"/>
          <w:sz w:val="20"/>
          <w:lang w:val="fr-CH"/>
        </w:rPr>
        <w:t xml:space="preserve">s agents </w:t>
      </w:r>
      <w:r w:rsidR="00E74517" w:rsidRPr="004D3D70">
        <w:rPr>
          <w:rFonts w:cs="Arial"/>
          <w:sz w:val="20"/>
          <w:lang w:val="fr-CH"/>
        </w:rPr>
        <w:t>temporaires peuvent accumuler jusqu</w:t>
      </w:r>
      <w:r w:rsidR="004D3D70">
        <w:rPr>
          <w:rFonts w:cs="Arial"/>
          <w:sz w:val="20"/>
          <w:lang w:val="fr-CH"/>
        </w:rPr>
        <w:t>’</w:t>
      </w:r>
      <w:r w:rsidR="00E74517" w:rsidRPr="004D3D70">
        <w:rPr>
          <w:rFonts w:cs="Arial"/>
          <w:sz w:val="20"/>
          <w:lang w:val="fr-CH"/>
        </w:rPr>
        <w:t>à</w:t>
      </w:r>
      <w:r w:rsidR="000C17BD" w:rsidRPr="004D3D70">
        <w:rPr>
          <w:rFonts w:cs="Arial"/>
          <w:sz w:val="20"/>
          <w:lang w:val="fr-CH"/>
        </w:rPr>
        <w:t xml:space="preserve"> 15</w:t>
      </w:r>
      <w:r w:rsidR="00BE23DA">
        <w:rPr>
          <w:rFonts w:cs="Arial"/>
          <w:sz w:val="20"/>
          <w:lang w:val="fr-CH"/>
        </w:rPr>
        <w:t> </w:t>
      </w:r>
      <w:r w:rsidR="00E74517" w:rsidRPr="004D3D70">
        <w:rPr>
          <w:rFonts w:cs="Arial"/>
          <w:sz w:val="20"/>
          <w:lang w:val="fr-CH"/>
        </w:rPr>
        <w:t>jours de congé annuel pendant une année donnée</w:t>
      </w:r>
      <w:r w:rsidR="00190E25" w:rsidRPr="004D3D70">
        <w:rPr>
          <w:rFonts w:cs="Arial"/>
          <w:sz w:val="20"/>
          <w:lang w:val="fr-CH"/>
        </w:rPr>
        <w:t xml:space="preserve"> et une somme en compensation des jours de congé accumulés jusqu</w:t>
      </w:r>
      <w:r w:rsidR="004D3D70">
        <w:rPr>
          <w:rFonts w:cs="Arial"/>
          <w:sz w:val="20"/>
          <w:lang w:val="fr-CH"/>
        </w:rPr>
        <w:t>’</w:t>
      </w:r>
      <w:r w:rsidR="00190E25" w:rsidRPr="004D3D70">
        <w:rPr>
          <w:rFonts w:cs="Arial"/>
          <w:sz w:val="20"/>
          <w:lang w:val="fr-CH"/>
        </w:rPr>
        <w:t>à concurrence de 15</w:t>
      </w:r>
      <w:r w:rsidR="00BE23DA">
        <w:rPr>
          <w:rFonts w:cs="Arial"/>
          <w:sz w:val="20"/>
          <w:lang w:val="fr-CH"/>
        </w:rPr>
        <w:t> </w:t>
      </w:r>
      <w:r w:rsidR="00190E25" w:rsidRPr="004D3D70">
        <w:rPr>
          <w:rFonts w:cs="Arial"/>
          <w:sz w:val="20"/>
          <w:lang w:val="fr-CH"/>
        </w:rPr>
        <w:t>jours peut être versée à la fin de l</w:t>
      </w:r>
      <w:r w:rsidR="004D3D70">
        <w:rPr>
          <w:rFonts w:cs="Arial"/>
          <w:sz w:val="20"/>
          <w:lang w:val="fr-CH"/>
        </w:rPr>
        <w:t>’</w:t>
      </w:r>
      <w:r w:rsidR="00190E25" w:rsidRPr="004D3D70">
        <w:rPr>
          <w:rFonts w:cs="Arial"/>
          <w:sz w:val="20"/>
          <w:lang w:val="fr-CH"/>
        </w:rPr>
        <w:t>engageme</w:t>
      </w:r>
      <w:r w:rsidR="002140E0" w:rsidRPr="004D3D70">
        <w:rPr>
          <w:rFonts w:cs="Arial"/>
          <w:sz w:val="20"/>
          <w:lang w:val="fr-CH"/>
        </w:rPr>
        <w:t>nt</w:t>
      </w:r>
      <w:r w:rsidR="002140E0">
        <w:rPr>
          <w:rFonts w:cs="Arial"/>
          <w:sz w:val="20"/>
          <w:lang w:val="fr-CH"/>
        </w:rPr>
        <w:t xml:space="preserve">.  </w:t>
      </w:r>
      <w:r w:rsidR="002140E0" w:rsidRPr="004D3D70">
        <w:rPr>
          <w:rFonts w:cs="Arial"/>
          <w:sz w:val="20"/>
          <w:lang w:val="fr-CH"/>
        </w:rPr>
        <w:t>Le</w:t>
      </w:r>
      <w:r w:rsidR="00190E25" w:rsidRPr="004D3D70">
        <w:rPr>
          <w:rFonts w:cs="Arial"/>
          <w:sz w:val="20"/>
          <w:lang w:val="fr-CH"/>
        </w:rPr>
        <w:t xml:space="preserve"> solde total de la dette à la date d</w:t>
      </w:r>
      <w:r w:rsidR="004D3D70">
        <w:rPr>
          <w:rFonts w:cs="Arial"/>
          <w:sz w:val="20"/>
          <w:lang w:val="fr-CH"/>
        </w:rPr>
        <w:t>’</w:t>
      </w:r>
      <w:r w:rsidR="00190E25" w:rsidRPr="004D3D70">
        <w:rPr>
          <w:rFonts w:cs="Arial"/>
          <w:sz w:val="20"/>
          <w:lang w:val="fr-CH"/>
        </w:rPr>
        <w:t>établissement des états financiers est de</w:t>
      </w:r>
      <w:r w:rsidR="000C17BD" w:rsidRPr="004D3D70">
        <w:rPr>
          <w:rFonts w:cs="Arial"/>
          <w:sz w:val="20"/>
          <w:lang w:val="fr-CH"/>
        </w:rPr>
        <w:t xml:space="preserve"> </w:t>
      </w:r>
      <w:r w:rsidR="00AC2A6B" w:rsidRPr="004D3D70">
        <w:rPr>
          <w:rFonts w:cs="Arial"/>
          <w:sz w:val="20"/>
          <w:lang w:val="fr-CH"/>
        </w:rPr>
        <w:t>5581</w:t>
      </w:r>
      <w:r w:rsidR="004D3D70">
        <w:rPr>
          <w:rFonts w:cs="Arial"/>
          <w:sz w:val="20"/>
          <w:lang w:val="fr-CH"/>
        </w:rPr>
        <w:t> </w:t>
      </w:r>
      <w:r w:rsidR="004D3D70" w:rsidRPr="004D3D70">
        <w:rPr>
          <w:rFonts w:cs="Arial"/>
          <w:sz w:val="20"/>
          <w:lang w:val="fr-CH"/>
        </w:rPr>
        <w:t>franc</w:t>
      </w:r>
      <w:r w:rsidR="000C17BD" w:rsidRPr="004D3D70">
        <w:rPr>
          <w:rFonts w:cs="Arial"/>
          <w:sz w:val="20"/>
          <w:lang w:val="fr-CH"/>
        </w:rPr>
        <w:t xml:space="preserve">s </w:t>
      </w:r>
      <w:r w:rsidR="00190E25" w:rsidRPr="004D3D70">
        <w:rPr>
          <w:rFonts w:cs="Arial"/>
          <w:sz w:val="20"/>
          <w:lang w:val="fr-CH"/>
        </w:rPr>
        <w:t xml:space="preserve">suisses </w:t>
      </w:r>
      <w:r w:rsidR="000C17BD" w:rsidRPr="004D3D70">
        <w:rPr>
          <w:rFonts w:cs="Arial"/>
          <w:sz w:val="20"/>
          <w:lang w:val="fr-CH"/>
        </w:rPr>
        <w:t>(</w:t>
      </w:r>
      <w:r w:rsidR="00190E25" w:rsidRPr="004D3D70">
        <w:rPr>
          <w:rFonts w:cs="Arial"/>
          <w:sz w:val="20"/>
          <w:lang w:val="fr-CH"/>
        </w:rPr>
        <w:t xml:space="preserve">contre </w:t>
      </w:r>
      <w:r w:rsidR="000C17BD" w:rsidRPr="004D3D70">
        <w:rPr>
          <w:rFonts w:cs="Arial"/>
          <w:sz w:val="20"/>
          <w:lang w:val="fr-CH"/>
        </w:rPr>
        <w:t>884</w:t>
      </w:r>
      <w:r w:rsidR="00190E25" w:rsidRPr="004D3D70">
        <w:rPr>
          <w:rFonts w:cs="Arial"/>
          <w:sz w:val="20"/>
          <w:lang w:val="fr-CH"/>
        </w:rPr>
        <w:t> </w:t>
      </w:r>
      <w:r w:rsidR="000C17BD" w:rsidRPr="004D3D70">
        <w:rPr>
          <w:rFonts w:cs="Arial"/>
          <w:sz w:val="20"/>
          <w:lang w:val="fr-CH"/>
        </w:rPr>
        <w:t xml:space="preserve">francs </w:t>
      </w:r>
      <w:r w:rsidR="00190E25" w:rsidRPr="004D3D70">
        <w:rPr>
          <w:rFonts w:cs="Arial"/>
          <w:sz w:val="20"/>
          <w:lang w:val="fr-CH"/>
        </w:rPr>
        <w:t>suisses au 31 décembre </w:t>
      </w:r>
      <w:r w:rsidR="000C17BD" w:rsidRPr="004D3D70">
        <w:rPr>
          <w:rFonts w:cs="Arial"/>
          <w:sz w:val="20"/>
          <w:lang w:val="fr-CH"/>
        </w:rPr>
        <w:t>2016).</w:t>
      </w:r>
    </w:p>
    <w:p w:rsidR="00905890" w:rsidRPr="004D3D70" w:rsidRDefault="00905890" w:rsidP="000C17BD">
      <w:pPr>
        <w:pStyle w:val="Style3"/>
        <w:spacing w:after="0"/>
        <w:rPr>
          <w:rFonts w:cs="Arial"/>
          <w:sz w:val="20"/>
          <w:lang w:val="fr-CH"/>
        </w:rPr>
      </w:pPr>
    </w:p>
    <w:p w:rsidR="00905890" w:rsidRPr="004D3D70" w:rsidRDefault="001842BE" w:rsidP="001842BE">
      <w:pPr>
        <w:pStyle w:val="Style3"/>
        <w:spacing w:after="0"/>
        <w:rPr>
          <w:rFonts w:cs="Arial"/>
          <w:sz w:val="20"/>
          <w:lang w:val="fr-CH"/>
        </w:rPr>
      </w:pPr>
      <w:r w:rsidRPr="004D3D70">
        <w:rPr>
          <w:rFonts w:cs="Arial"/>
          <w:i/>
          <w:sz w:val="20"/>
          <w:lang w:val="fr-CH"/>
        </w:rPr>
        <w:t>Congé dans les foyers</w:t>
      </w:r>
      <w:r w:rsidR="004D3D70">
        <w:rPr>
          <w:rFonts w:cs="Arial"/>
          <w:i/>
          <w:sz w:val="20"/>
          <w:lang w:val="fr-CH"/>
        </w:rPr>
        <w:t> :</w:t>
      </w:r>
      <w:r w:rsidRPr="004D3D70">
        <w:rPr>
          <w:rFonts w:cs="Arial"/>
          <w:sz w:val="20"/>
          <w:lang w:val="fr-CH"/>
        </w:rPr>
        <w:t xml:space="preserve"> certains fonctionnaires recrutés sur le plan international ont droit, une fois tous les deux</w:t>
      </w:r>
      <w:r w:rsidR="00AC2A6B">
        <w:rPr>
          <w:rFonts w:cs="Arial"/>
          <w:sz w:val="20"/>
          <w:lang w:val="fr-CH"/>
        </w:rPr>
        <w:t> </w:t>
      </w:r>
      <w:r w:rsidRPr="004D3D70">
        <w:rPr>
          <w:rFonts w:cs="Arial"/>
          <w:sz w:val="20"/>
          <w:lang w:val="fr-CH"/>
        </w:rPr>
        <w:t>ans, à un congé dans les foyers, pour eux et pour les personnes à leur charge, dans le pays dans lequel ils ont leur foy</w:t>
      </w:r>
      <w:r w:rsidR="002140E0" w:rsidRPr="004D3D70">
        <w:rPr>
          <w:rFonts w:cs="Arial"/>
          <w:sz w:val="20"/>
          <w:lang w:val="fr-CH"/>
        </w:rPr>
        <w:t>er</w:t>
      </w:r>
      <w:r w:rsidR="002140E0">
        <w:rPr>
          <w:rFonts w:cs="Arial"/>
          <w:sz w:val="20"/>
          <w:lang w:val="fr-CH"/>
        </w:rPr>
        <w:t xml:space="preserve">.  </w:t>
      </w:r>
      <w:r w:rsidR="002140E0" w:rsidRPr="004D3D70">
        <w:rPr>
          <w:rFonts w:cs="Arial"/>
          <w:sz w:val="20"/>
          <w:lang w:val="fr-CH"/>
        </w:rPr>
        <w:t>Au</w:t>
      </w:r>
      <w:r w:rsidR="00B01D85" w:rsidRPr="004D3D70">
        <w:rPr>
          <w:rFonts w:cs="Arial"/>
          <w:sz w:val="20"/>
          <w:lang w:val="fr-CH"/>
        </w:rPr>
        <w:t>cune dette n</w:t>
      </w:r>
      <w:r w:rsidR="004D3D70">
        <w:rPr>
          <w:rFonts w:cs="Arial"/>
          <w:sz w:val="20"/>
          <w:lang w:val="fr-CH"/>
        </w:rPr>
        <w:t>’</w:t>
      </w:r>
      <w:r w:rsidR="00A24D55" w:rsidRPr="004D3D70">
        <w:rPr>
          <w:rFonts w:cs="Arial"/>
          <w:sz w:val="20"/>
          <w:lang w:val="fr-CH"/>
        </w:rPr>
        <w:t>est</w:t>
      </w:r>
      <w:r w:rsidR="00B01D85" w:rsidRPr="004D3D70">
        <w:rPr>
          <w:rFonts w:cs="Arial"/>
          <w:sz w:val="20"/>
          <w:lang w:val="fr-CH"/>
        </w:rPr>
        <w:t xml:space="preserve"> à solder à la date d</w:t>
      </w:r>
      <w:r w:rsidR="004D3D70">
        <w:rPr>
          <w:rFonts w:cs="Arial"/>
          <w:sz w:val="20"/>
          <w:lang w:val="fr-CH"/>
        </w:rPr>
        <w:t>’</w:t>
      </w:r>
      <w:r w:rsidR="00A24D55" w:rsidRPr="004D3D70">
        <w:rPr>
          <w:rFonts w:cs="Arial"/>
          <w:sz w:val="20"/>
          <w:lang w:val="fr-CH"/>
        </w:rPr>
        <w:t xml:space="preserve">établissement des états financiers </w:t>
      </w:r>
      <w:r w:rsidR="00B01D85" w:rsidRPr="004D3D70">
        <w:rPr>
          <w:rFonts w:cs="Arial"/>
          <w:sz w:val="20"/>
          <w:lang w:val="fr-CH"/>
        </w:rPr>
        <w:t xml:space="preserve">ou </w:t>
      </w:r>
      <w:r w:rsidR="00AD14C8" w:rsidRPr="004D3D70">
        <w:rPr>
          <w:rFonts w:cs="Arial"/>
          <w:sz w:val="20"/>
          <w:lang w:val="fr-CH"/>
        </w:rPr>
        <w:t>à</w:t>
      </w:r>
      <w:r w:rsidR="00B01D85" w:rsidRPr="004D3D70">
        <w:rPr>
          <w:rFonts w:cs="Arial"/>
          <w:sz w:val="20"/>
          <w:lang w:val="fr-CH"/>
        </w:rPr>
        <w:t xml:space="preserve"> la date du 31 décembre </w:t>
      </w:r>
      <w:r w:rsidR="008B3846" w:rsidRPr="004D3D70">
        <w:rPr>
          <w:rFonts w:cs="Arial"/>
          <w:sz w:val="20"/>
          <w:lang w:val="fr-CH"/>
        </w:rPr>
        <w:t>2016.</w:t>
      </w:r>
    </w:p>
    <w:p w:rsidR="00905890" w:rsidRPr="004D3D70" w:rsidRDefault="00905890" w:rsidP="00A824AF">
      <w:pPr>
        <w:pStyle w:val="Style3"/>
        <w:spacing w:after="0"/>
        <w:rPr>
          <w:rFonts w:cs="Arial"/>
          <w:sz w:val="20"/>
          <w:lang w:val="fr-CH"/>
        </w:rPr>
      </w:pPr>
    </w:p>
    <w:p w:rsidR="00905890" w:rsidRPr="004D3D70" w:rsidRDefault="00B01D85" w:rsidP="001842BE">
      <w:pPr>
        <w:pStyle w:val="Style3"/>
        <w:spacing w:after="0"/>
        <w:rPr>
          <w:sz w:val="20"/>
          <w:lang w:val="fr-CH"/>
        </w:rPr>
      </w:pPr>
      <w:r w:rsidRPr="004D3D70">
        <w:rPr>
          <w:rFonts w:cs="Arial"/>
          <w:i/>
          <w:sz w:val="20"/>
          <w:lang w:val="fr-CH"/>
        </w:rPr>
        <w:lastRenderedPageBreak/>
        <w:t>Heures supplémentaires et heures de crédit</w:t>
      </w:r>
      <w:r w:rsidR="004D3D70">
        <w:rPr>
          <w:rFonts w:cs="Arial"/>
          <w:i/>
          <w:sz w:val="20"/>
          <w:lang w:val="fr-CH"/>
        </w:rPr>
        <w:t> :</w:t>
      </w:r>
      <w:r w:rsidR="00A824AF" w:rsidRPr="004D3D70">
        <w:rPr>
          <w:rFonts w:cs="Arial"/>
          <w:sz w:val="20"/>
          <w:lang w:val="fr-CH"/>
        </w:rPr>
        <w:t xml:space="preserve"> certain</w:t>
      </w:r>
      <w:r w:rsidRPr="004D3D70">
        <w:rPr>
          <w:rFonts w:cs="Arial"/>
          <w:sz w:val="20"/>
          <w:lang w:val="fr-CH"/>
        </w:rPr>
        <w:t>s fonctionnaires ont droit</w:t>
      </w:r>
      <w:r w:rsidR="00A824AF" w:rsidRPr="004D3D70">
        <w:rPr>
          <w:rFonts w:cs="Arial"/>
          <w:sz w:val="20"/>
          <w:lang w:val="fr-CH"/>
        </w:rPr>
        <w:t xml:space="preserve"> </w:t>
      </w:r>
      <w:r w:rsidRPr="004D3D70">
        <w:rPr>
          <w:rFonts w:cs="Arial"/>
          <w:sz w:val="20"/>
          <w:lang w:val="fr-CH"/>
        </w:rPr>
        <w:t>à une compensation en espèces pour les heures supplémentaires accumulées au terme d</w:t>
      </w:r>
      <w:r w:rsidR="004D3D70">
        <w:rPr>
          <w:rFonts w:cs="Arial"/>
          <w:sz w:val="20"/>
          <w:lang w:val="fr-CH"/>
        </w:rPr>
        <w:t>’</w:t>
      </w:r>
      <w:r w:rsidRPr="004D3D70">
        <w:rPr>
          <w:rFonts w:cs="Arial"/>
          <w:sz w:val="20"/>
          <w:lang w:val="fr-CH"/>
        </w:rPr>
        <w:t>un délai prévu dans le Statut et Règlement du personn</w:t>
      </w:r>
      <w:r w:rsidR="002140E0" w:rsidRPr="004D3D70">
        <w:rPr>
          <w:rFonts w:cs="Arial"/>
          <w:sz w:val="20"/>
          <w:lang w:val="fr-CH"/>
        </w:rPr>
        <w:t>el</w:t>
      </w:r>
      <w:r w:rsidR="002140E0">
        <w:rPr>
          <w:rFonts w:cs="Arial"/>
          <w:sz w:val="20"/>
          <w:lang w:val="fr-CH"/>
        </w:rPr>
        <w:t xml:space="preserve">.  </w:t>
      </w:r>
      <w:r w:rsidR="002140E0" w:rsidRPr="004D3D70">
        <w:rPr>
          <w:rFonts w:cs="Arial"/>
          <w:sz w:val="20"/>
          <w:lang w:val="fr-CH"/>
        </w:rPr>
        <w:t>Le</w:t>
      </w:r>
      <w:r w:rsidR="001842BE" w:rsidRPr="004D3D70">
        <w:rPr>
          <w:rFonts w:cs="Arial"/>
          <w:sz w:val="20"/>
          <w:lang w:val="fr-CH"/>
        </w:rPr>
        <w:t>s fonctionnaires suivant le système d</w:t>
      </w:r>
      <w:r w:rsidR="004D3D70">
        <w:rPr>
          <w:rFonts w:cs="Arial"/>
          <w:sz w:val="20"/>
          <w:lang w:val="fr-CH"/>
        </w:rPr>
        <w:t>’</w:t>
      </w:r>
      <w:r w:rsidR="001842BE" w:rsidRPr="004D3D70">
        <w:rPr>
          <w:rFonts w:cs="Arial"/>
          <w:sz w:val="20"/>
          <w:lang w:val="fr-CH"/>
        </w:rPr>
        <w:t>horaire de travail variable peuvent accumuler des heures de crédit pour le temps de travail effectué au</w:t>
      </w:r>
      <w:r w:rsidR="00665FEC">
        <w:rPr>
          <w:rFonts w:cs="Arial"/>
          <w:sz w:val="20"/>
          <w:lang w:val="fr-CH"/>
        </w:rPr>
        <w:noBreakHyphen/>
      </w:r>
      <w:r w:rsidR="001842BE" w:rsidRPr="004D3D70">
        <w:rPr>
          <w:rFonts w:cs="Arial"/>
          <w:sz w:val="20"/>
          <w:lang w:val="fr-CH"/>
        </w:rPr>
        <w:t>delà de 40</w:t>
      </w:r>
      <w:r w:rsidR="00BE23DA">
        <w:rPr>
          <w:rFonts w:cs="Arial"/>
          <w:sz w:val="20"/>
          <w:lang w:val="fr-CH"/>
        </w:rPr>
        <w:t> </w:t>
      </w:r>
      <w:r w:rsidR="001842BE" w:rsidRPr="004D3D70">
        <w:rPr>
          <w:rFonts w:cs="Arial"/>
          <w:sz w:val="20"/>
          <w:lang w:val="fr-CH"/>
        </w:rPr>
        <w:t>heures par semai</w:t>
      </w:r>
      <w:r w:rsidR="002140E0" w:rsidRPr="004D3D70">
        <w:rPr>
          <w:rFonts w:cs="Arial"/>
          <w:sz w:val="20"/>
          <w:lang w:val="fr-CH"/>
        </w:rPr>
        <w:t>ne</w:t>
      </w:r>
      <w:r w:rsidR="002140E0">
        <w:rPr>
          <w:rFonts w:cs="Arial"/>
          <w:sz w:val="20"/>
          <w:lang w:val="fr-CH"/>
        </w:rPr>
        <w:t xml:space="preserve">.  </w:t>
      </w:r>
      <w:r w:rsidR="002140E0" w:rsidRPr="004D3D70">
        <w:rPr>
          <w:rFonts w:cs="Arial"/>
          <w:sz w:val="20"/>
          <w:lang w:val="fr-CH"/>
        </w:rPr>
        <w:t>Le</w:t>
      </w:r>
      <w:r w:rsidR="001842BE" w:rsidRPr="004D3D70">
        <w:rPr>
          <w:rFonts w:cs="Arial"/>
          <w:sz w:val="20"/>
          <w:lang w:val="fr-CH"/>
        </w:rPr>
        <w:t>s fonctionnaires qui ont à leur crédit un nombre d</w:t>
      </w:r>
      <w:r w:rsidR="004D3D70">
        <w:rPr>
          <w:rFonts w:cs="Arial"/>
          <w:sz w:val="20"/>
          <w:lang w:val="fr-CH"/>
        </w:rPr>
        <w:t>’</w:t>
      </w:r>
      <w:r w:rsidR="001842BE" w:rsidRPr="004D3D70">
        <w:rPr>
          <w:rFonts w:cs="Arial"/>
          <w:sz w:val="20"/>
          <w:lang w:val="fr-CH"/>
        </w:rPr>
        <w:t>heures suffisant (jusqu</w:t>
      </w:r>
      <w:r w:rsidR="004D3D70">
        <w:rPr>
          <w:rFonts w:cs="Arial"/>
          <w:sz w:val="20"/>
          <w:lang w:val="fr-CH"/>
        </w:rPr>
        <w:t>’</w:t>
      </w:r>
      <w:r w:rsidR="001842BE" w:rsidRPr="004D3D70">
        <w:rPr>
          <w:rFonts w:cs="Arial"/>
          <w:sz w:val="20"/>
          <w:lang w:val="fr-CH"/>
        </w:rPr>
        <w:t>à 16</w:t>
      </w:r>
      <w:r w:rsidR="00BE23DA">
        <w:rPr>
          <w:rFonts w:cs="Arial"/>
          <w:sz w:val="20"/>
          <w:lang w:val="fr-CH"/>
        </w:rPr>
        <w:t> </w:t>
      </w:r>
      <w:r w:rsidR="001842BE" w:rsidRPr="004D3D70">
        <w:rPr>
          <w:rFonts w:cs="Arial"/>
          <w:sz w:val="20"/>
          <w:lang w:val="fr-CH"/>
        </w:rPr>
        <w:t>heures) peuvent demander un congé de créd</w:t>
      </w:r>
      <w:r w:rsidR="002140E0" w:rsidRPr="004D3D70">
        <w:rPr>
          <w:rFonts w:cs="Arial"/>
          <w:sz w:val="20"/>
          <w:lang w:val="fr-CH"/>
        </w:rPr>
        <w:t>it</w:t>
      </w:r>
      <w:r w:rsidR="002140E0">
        <w:rPr>
          <w:rFonts w:cs="Arial"/>
          <w:sz w:val="20"/>
          <w:lang w:val="fr-CH"/>
        </w:rPr>
        <w:t xml:space="preserve">.  </w:t>
      </w:r>
      <w:r w:rsidR="002140E0" w:rsidRPr="004D3D70">
        <w:rPr>
          <w:sz w:val="20"/>
          <w:lang w:val="fr-CH"/>
        </w:rPr>
        <w:t>La</w:t>
      </w:r>
      <w:r w:rsidR="001842BE" w:rsidRPr="004D3D70">
        <w:rPr>
          <w:sz w:val="20"/>
          <w:lang w:val="fr-CH"/>
        </w:rPr>
        <w:t xml:space="preserve"> provision totale pour les heures supplémentaires et les heures de crédit à la date de présentation des états financiers est </w:t>
      </w:r>
      <w:r w:rsidR="004D3D70" w:rsidRPr="004D3D70">
        <w:rPr>
          <w:sz w:val="20"/>
          <w:lang w:val="fr-CH"/>
        </w:rPr>
        <w:t>de</w:t>
      </w:r>
      <w:r w:rsidR="007000D3">
        <w:rPr>
          <w:sz w:val="20"/>
          <w:lang w:val="fr-CH"/>
        </w:rPr>
        <w:t xml:space="preserve"> </w:t>
      </w:r>
      <w:r w:rsidR="004D3D70" w:rsidRPr="004D3D70">
        <w:rPr>
          <w:sz w:val="20"/>
          <w:lang w:val="fr-CH"/>
        </w:rPr>
        <w:t>9584</w:t>
      </w:r>
      <w:r w:rsidR="007000D3">
        <w:rPr>
          <w:sz w:val="20"/>
          <w:lang w:val="fr-CH"/>
        </w:rPr>
        <w:t xml:space="preserve"> </w:t>
      </w:r>
      <w:r w:rsidR="004D3D70" w:rsidRPr="004D3D70">
        <w:rPr>
          <w:sz w:val="20"/>
          <w:lang w:val="fr-CH"/>
        </w:rPr>
        <w:t>franc</w:t>
      </w:r>
      <w:r w:rsidR="007000D3">
        <w:rPr>
          <w:sz w:val="20"/>
          <w:lang w:val="fr-CH"/>
        </w:rPr>
        <w:t xml:space="preserve">s </w:t>
      </w:r>
      <w:r w:rsidR="001842BE" w:rsidRPr="004D3D70">
        <w:rPr>
          <w:sz w:val="20"/>
          <w:lang w:val="fr-CH"/>
        </w:rPr>
        <w:t>suisses (contre 965</w:t>
      </w:r>
      <w:r w:rsidR="004D3D70" w:rsidRPr="004D3D70">
        <w:rPr>
          <w:sz w:val="20"/>
          <w:lang w:val="fr-CH"/>
        </w:rPr>
        <w:t>2</w:t>
      </w:r>
      <w:r w:rsidR="007000D3">
        <w:rPr>
          <w:sz w:val="20"/>
          <w:lang w:val="fr-CH"/>
        </w:rPr>
        <w:t xml:space="preserve"> </w:t>
      </w:r>
      <w:r w:rsidR="004D3D70" w:rsidRPr="004D3D70">
        <w:rPr>
          <w:sz w:val="20"/>
          <w:lang w:val="fr-CH"/>
        </w:rPr>
        <w:t>franc</w:t>
      </w:r>
      <w:r w:rsidR="007000D3">
        <w:rPr>
          <w:sz w:val="20"/>
          <w:lang w:val="fr-CH"/>
        </w:rPr>
        <w:t xml:space="preserve">s </w:t>
      </w:r>
      <w:r w:rsidR="001842BE" w:rsidRPr="004D3D70">
        <w:rPr>
          <w:sz w:val="20"/>
          <w:lang w:val="fr-CH"/>
        </w:rPr>
        <w:t>suisses au 3</w:t>
      </w:r>
      <w:r w:rsidR="004D3D70" w:rsidRPr="004D3D70">
        <w:rPr>
          <w:sz w:val="20"/>
          <w:lang w:val="fr-CH"/>
        </w:rPr>
        <w:t>1</w:t>
      </w:r>
      <w:r w:rsidR="004D3D70">
        <w:rPr>
          <w:sz w:val="20"/>
          <w:lang w:val="fr-CH"/>
        </w:rPr>
        <w:t> </w:t>
      </w:r>
      <w:r w:rsidR="004D3D70" w:rsidRPr="004D3D70">
        <w:rPr>
          <w:sz w:val="20"/>
          <w:lang w:val="fr-CH"/>
        </w:rPr>
        <w:t>décembre</w:t>
      </w:r>
      <w:r w:rsidR="004D3D70">
        <w:rPr>
          <w:sz w:val="20"/>
          <w:lang w:val="fr-CH"/>
        </w:rPr>
        <w:t> </w:t>
      </w:r>
      <w:r w:rsidR="004D3D70" w:rsidRPr="004D3D70">
        <w:rPr>
          <w:sz w:val="20"/>
          <w:lang w:val="fr-CH"/>
        </w:rPr>
        <w:t>20</w:t>
      </w:r>
      <w:r w:rsidR="001842BE" w:rsidRPr="004D3D70">
        <w:rPr>
          <w:sz w:val="20"/>
          <w:lang w:val="fr-CH"/>
        </w:rPr>
        <w:t>16).</w:t>
      </w:r>
    </w:p>
    <w:p w:rsidR="00905890" w:rsidRPr="004D3D70" w:rsidRDefault="00905890" w:rsidP="007D1ECB">
      <w:pPr>
        <w:rPr>
          <w:lang w:val="fr-CH"/>
        </w:rPr>
      </w:pPr>
    </w:p>
    <w:p w:rsidR="00905890" w:rsidRPr="004D3D70" w:rsidRDefault="00E03BAD" w:rsidP="00A824AF">
      <w:pPr>
        <w:pStyle w:val="Style3"/>
        <w:spacing w:after="0"/>
        <w:rPr>
          <w:rFonts w:cs="Arial"/>
          <w:sz w:val="20"/>
          <w:lang w:val="fr-CH"/>
        </w:rPr>
      </w:pPr>
      <w:r w:rsidRPr="004D3D70">
        <w:rPr>
          <w:rFonts w:cs="Arial"/>
          <w:i/>
          <w:sz w:val="20"/>
          <w:lang w:val="fr-CH"/>
        </w:rPr>
        <w:t>Allocations d</w:t>
      </w:r>
      <w:r w:rsidR="004D3D70">
        <w:rPr>
          <w:rFonts w:cs="Arial"/>
          <w:i/>
          <w:sz w:val="20"/>
          <w:lang w:val="fr-CH"/>
        </w:rPr>
        <w:t>’</w:t>
      </w:r>
      <w:r w:rsidRPr="004D3D70">
        <w:rPr>
          <w:rFonts w:cs="Arial"/>
          <w:i/>
          <w:sz w:val="20"/>
          <w:lang w:val="fr-CH"/>
        </w:rPr>
        <w:t>études</w:t>
      </w:r>
      <w:r w:rsidR="004D3D70">
        <w:rPr>
          <w:rFonts w:cs="Arial"/>
          <w:i/>
          <w:sz w:val="20"/>
          <w:lang w:val="fr-CH"/>
        </w:rPr>
        <w:t> :</w:t>
      </w:r>
      <w:r w:rsidR="00A824AF" w:rsidRPr="004D3D70">
        <w:rPr>
          <w:rFonts w:cs="Arial"/>
          <w:sz w:val="20"/>
          <w:lang w:val="fr-CH"/>
        </w:rPr>
        <w:t xml:space="preserve"> </w:t>
      </w:r>
      <w:r w:rsidRPr="004D3D70">
        <w:rPr>
          <w:rFonts w:cs="Arial"/>
          <w:sz w:val="20"/>
          <w:lang w:val="fr-CH"/>
        </w:rPr>
        <w:t>certains fonctionnaires recrutés sur le plan international, autres que ceux qui vivent dans leur pays d</w:t>
      </w:r>
      <w:r w:rsidR="004D3D70">
        <w:rPr>
          <w:rFonts w:cs="Arial"/>
          <w:sz w:val="20"/>
          <w:lang w:val="fr-CH"/>
        </w:rPr>
        <w:t>’</w:t>
      </w:r>
      <w:r w:rsidRPr="004D3D70">
        <w:rPr>
          <w:rFonts w:cs="Arial"/>
          <w:sz w:val="20"/>
          <w:lang w:val="fr-CH"/>
        </w:rPr>
        <w:t>origine, remplissent les conditions requises pour recevoir une indemnité pour frais d</w:t>
      </w:r>
      <w:r w:rsidR="004D3D70">
        <w:rPr>
          <w:rFonts w:cs="Arial"/>
          <w:sz w:val="20"/>
          <w:lang w:val="fr-CH"/>
        </w:rPr>
        <w:t>’</w:t>
      </w:r>
      <w:r w:rsidRPr="004D3D70">
        <w:rPr>
          <w:rFonts w:cs="Arial"/>
          <w:sz w:val="20"/>
          <w:lang w:val="fr-CH"/>
        </w:rPr>
        <w:t>études couvrant 75% des frais de scolarité des enfants à charge jusqu</w:t>
      </w:r>
      <w:r w:rsidR="004D3D70">
        <w:rPr>
          <w:rFonts w:cs="Arial"/>
          <w:sz w:val="20"/>
          <w:lang w:val="fr-CH"/>
        </w:rPr>
        <w:t>’</w:t>
      </w:r>
      <w:r w:rsidRPr="004D3D70">
        <w:rPr>
          <w:rFonts w:cs="Arial"/>
          <w:sz w:val="20"/>
          <w:lang w:val="fr-CH"/>
        </w:rPr>
        <w:t>à la quatrième année d</w:t>
      </w:r>
      <w:r w:rsidR="004D3D70">
        <w:rPr>
          <w:rFonts w:cs="Arial"/>
          <w:sz w:val="20"/>
          <w:lang w:val="fr-CH"/>
        </w:rPr>
        <w:t>’</w:t>
      </w:r>
      <w:r w:rsidRPr="004D3D70">
        <w:rPr>
          <w:rFonts w:cs="Arial"/>
          <w:sz w:val="20"/>
          <w:lang w:val="fr-CH"/>
        </w:rPr>
        <w:t>études postsecondaires, mais pas au</w:t>
      </w:r>
      <w:r w:rsidR="00665FEC">
        <w:rPr>
          <w:rFonts w:cs="Arial"/>
          <w:sz w:val="20"/>
          <w:lang w:val="fr-CH"/>
        </w:rPr>
        <w:noBreakHyphen/>
      </w:r>
      <w:r w:rsidRPr="004D3D70">
        <w:rPr>
          <w:rFonts w:cs="Arial"/>
          <w:sz w:val="20"/>
          <w:lang w:val="fr-CH"/>
        </w:rPr>
        <w:t>delà de la fin de l</w:t>
      </w:r>
      <w:r w:rsidR="004D3D70">
        <w:rPr>
          <w:rFonts w:cs="Arial"/>
          <w:sz w:val="20"/>
          <w:lang w:val="fr-CH"/>
        </w:rPr>
        <w:t>’</w:t>
      </w:r>
      <w:r w:rsidRPr="004D3D70">
        <w:rPr>
          <w:rFonts w:cs="Arial"/>
          <w:sz w:val="20"/>
          <w:lang w:val="fr-CH"/>
        </w:rPr>
        <w:t>année scolaire au cours de laquelle l</w:t>
      </w:r>
      <w:r w:rsidR="004D3D70">
        <w:rPr>
          <w:rFonts w:cs="Arial"/>
          <w:sz w:val="20"/>
          <w:lang w:val="fr-CH"/>
        </w:rPr>
        <w:t>’</w:t>
      </w:r>
      <w:r w:rsidRPr="004D3D70">
        <w:rPr>
          <w:rFonts w:cs="Arial"/>
          <w:sz w:val="20"/>
          <w:lang w:val="fr-CH"/>
        </w:rPr>
        <w:t>enfant atteint l</w:t>
      </w:r>
      <w:r w:rsidR="004D3D70">
        <w:rPr>
          <w:rFonts w:cs="Arial"/>
          <w:sz w:val="20"/>
          <w:lang w:val="fr-CH"/>
        </w:rPr>
        <w:t>’</w:t>
      </w:r>
      <w:r w:rsidRPr="004D3D70">
        <w:rPr>
          <w:rFonts w:cs="Arial"/>
          <w:sz w:val="20"/>
          <w:lang w:val="fr-CH"/>
        </w:rPr>
        <w:t>âge de 25 a</w:t>
      </w:r>
      <w:r w:rsidR="002140E0" w:rsidRPr="004D3D70">
        <w:rPr>
          <w:rFonts w:cs="Arial"/>
          <w:sz w:val="20"/>
          <w:lang w:val="fr-CH"/>
        </w:rPr>
        <w:t>ns</w:t>
      </w:r>
      <w:r w:rsidR="002140E0">
        <w:rPr>
          <w:rFonts w:cs="Arial"/>
          <w:sz w:val="20"/>
          <w:lang w:val="fr-CH"/>
        </w:rPr>
        <w:t xml:space="preserve">.  </w:t>
      </w:r>
      <w:r w:rsidR="002140E0" w:rsidRPr="004D3D70">
        <w:rPr>
          <w:rFonts w:cs="Arial"/>
          <w:sz w:val="20"/>
          <w:lang w:val="fr-CH"/>
        </w:rPr>
        <w:t>La</w:t>
      </w:r>
      <w:r w:rsidRPr="004D3D70">
        <w:rPr>
          <w:rFonts w:cs="Arial"/>
          <w:sz w:val="20"/>
          <w:lang w:val="fr-CH"/>
        </w:rPr>
        <w:t xml:space="preserve"> provision pour frais d</w:t>
      </w:r>
      <w:r w:rsidR="004D3D70">
        <w:rPr>
          <w:rFonts w:cs="Arial"/>
          <w:sz w:val="20"/>
          <w:lang w:val="fr-CH"/>
        </w:rPr>
        <w:t>’</w:t>
      </w:r>
      <w:r w:rsidRPr="004D3D70">
        <w:rPr>
          <w:rFonts w:cs="Arial"/>
          <w:sz w:val="20"/>
          <w:lang w:val="fr-CH"/>
        </w:rPr>
        <w:t>études est liée au nombre de mois qui se sont écoulés entre le début de l</w:t>
      </w:r>
      <w:r w:rsidR="004D3D70">
        <w:rPr>
          <w:rFonts w:cs="Arial"/>
          <w:sz w:val="20"/>
          <w:lang w:val="fr-CH"/>
        </w:rPr>
        <w:t>’</w:t>
      </w:r>
      <w:r w:rsidRPr="004D3D70">
        <w:rPr>
          <w:rFonts w:cs="Arial"/>
          <w:sz w:val="20"/>
          <w:lang w:val="fr-CH"/>
        </w:rPr>
        <w:t>année scolaire/universitaire et le 31 décembre </w:t>
      </w:r>
      <w:r w:rsidR="00D25DC7" w:rsidRPr="004D3D70">
        <w:rPr>
          <w:rFonts w:cs="Arial"/>
          <w:sz w:val="20"/>
          <w:lang w:val="fr-CH"/>
        </w:rPr>
        <w:t>2017</w:t>
      </w:r>
      <w:r w:rsidRPr="004D3D70">
        <w:rPr>
          <w:rFonts w:cs="Arial"/>
          <w:sz w:val="20"/>
          <w:lang w:val="fr-CH"/>
        </w:rPr>
        <w:t xml:space="preserve"> pour lesquels les indemnités sont du</w:t>
      </w:r>
      <w:r w:rsidR="002140E0" w:rsidRPr="004D3D70">
        <w:rPr>
          <w:rFonts w:cs="Arial"/>
          <w:sz w:val="20"/>
          <w:lang w:val="fr-CH"/>
        </w:rPr>
        <w:t>es</w:t>
      </w:r>
      <w:r w:rsidR="002140E0">
        <w:rPr>
          <w:rFonts w:cs="Arial"/>
          <w:sz w:val="20"/>
          <w:lang w:val="fr-CH"/>
        </w:rPr>
        <w:t xml:space="preserve">.  </w:t>
      </w:r>
      <w:r w:rsidR="002140E0" w:rsidRPr="004D3D70">
        <w:rPr>
          <w:rFonts w:cs="Arial"/>
          <w:sz w:val="20"/>
          <w:lang w:val="fr-CH"/>
        </w:rPr>
        <w:t>La</w:t>
      </w:r>
      <w:r w:rsidR="00D005AD" w:rsidRPr="004D3D70">
        <w:rPr>
          <w:rFonts w:cs="Arial"/>
          <w:sz w:val="20"/>
          <w:lang w:val="fr-CH"/>
        </w:rPr>
        <w:t xml:space="preserve"> provision totale à la date d</w:t>
      </w:r>
      <w:r w:rsidR="004D3D70">
        <w:rPr>
          <w:rFonts w:cs="Arial"/>
          <w:sz w:val="20"/>
          <w:lang w:val="fr-CH"/>
        </w:rPr>
        <w:t>’</w:t>
      </w:r>
      <w:r w:rsidR="00D005AD" w:rsidRPr="004D3D70">
        <w:rPr>
          <w:rFonts w:cs="Arial"/>
          <w:sz w:val="20"/>
          <w:lang w:val="fr-CH"/>
        </w:rPr>
        <w:t xml:space="preserve">établissement </w:t>
      </w:r>
      <w:r w:rsidRPr="004D3D70">
        <w:rPr>
          <w:rFonts w:cs="Arial"/>
          <w:sz w:val="20"/>
          <w:lang w:val="fr-CH"/>
        </w:rPr>
        <w:t xml:space="preserve">des états financiers est de </w:t>
      </w:r>
      <w:r w:rsidR="00AC2A6B" w:rsidRPr="004D3D70">
        <w:rPr>
          <w:rFonts w:cs="Arial"/>
          <w:sz w:val="20"/>
          <w:lang w:val="fr-CH"/>
        </w:rPr>
        <w:t>6933</w:t>
      </w:r>
      <w:r w:rsidRPr="004D3D70">
        <w:rPr>
          <w:rFonts w:cs="Arial"/>
          <w:sz w:val="20"/>
          <w:lang w:val="fr-CH"/>
        </w:rPr>
        <w:t> </w:t>
      </w:r>
      <w:r w:rsidR="00D25DC7" w:rsidRPr="004D3D70">
        <w:rPr>
          <w:rFonts w:cs="Arial"/>
          <w:sz w:val="20"/>
          <w:lang w:val="fr-CH"/>
        </w:rPr>
        <w:t xml:space="preserve">francs </w:t>
      </w:r>
      <w:r w:rsidRPr="004D3D70">
        <w:rPr>
          <w:rFonts w:cs="Arial"/>
          <w:sz w:val="20"/>
          <w:lang w:val="fr-CH"/>
        </w:rPr>
        <w:t xml:space="preserve">suisses </w:t>
      </w:r>
      <w:r w:rsidR="00D25DC7" w:rsidRPr="004D3D70">
        <w:rPr>
          <w:rFonts w:cs="Arial"/>
          <w:sz w:val="20"/>
          <w:lang w:val="fr-CH"/>
        </w:rPr>
        <w:t>(</w:t>
      </w:r>
      <w:r w:rsidRPr="004D3D70">
        <w:rPr>
          <w:rFonts w:cs="Arial"/>
          <w:sz w:val="20"/>
          <w:lang w:val="fr-CH"/>
        </w:rPr>
        <w:t xml:space="preserve">contre </w:t>
      </w:r>
      <w:r w:rsidR="00AC2A6B" w:rsidRPr="004D3D70">
        <w:rPr>
          <w:rFonts w:cs="Arial"/>
          <w:sz w:val="20"/>
          <w:lang w:val="fr-CH"/>
        </w:rPr>
        <w:t>7634</w:t>
      </w:r>
      <w:r w:rsidRPr="004D3D70">
        <w:rPr>
          <w:rFonts w:cs="Arial"/>
          <w:sz w:val="20"/>
          <w:lang w:val="fr-CH"/>
        </w:rPr>
        <w:t> </w:t>
      </w:r>
      <w:r w:rsidR="00D25DC7" w:rsidRPr="004D3D70">
        <w:rPr>
          <w:rFonts w:cs="Arial"/>
          <w:sz w:val="20"/>
          <w:lang w:val="fr-CH"/>
        </w:rPr>
        <w:t xml:space="preserve">francs </w:t>
      </w:r>
      <w:r w:rsidRPr="004D3D70">
        <w:rPr>
          <w:rFonts w:cs="Arial"/>
          <w:sz w:val="20"/>
          <w:lang w:val="fr-CH"/>
        </w:rPr>
        <w:t>suisses au</w:t>
      </w:r>
      <w:r w:rsidR="00D25DC7" w:rsidRPr="004D3D70">
        <w:rPr>
          <w:rFonts w:cs="Arial"/>
          <w:sz w:val="20"/>
          <w:lang w:val="fr-CH"/>
        </w:rPr>
        <w:t xml:space="preserve"> 31</w:t>
      </w:r>
      <w:r w:rsidRPr="004D3D70">
        <w:rPr>
          <w:rFonts w:cs="Arial"/>
          <w:sz w:val="20"/>
          <w:lang w:val="fr-CH"/>
        </w:rPr>
        <w:t> décembre </w:t>
      </w:r>
      <w:r w:rsidR="00D25DC7" w:rsidRPr="004D3D70">
        <w:rPr>
          <w:rFonts w:cs="Arial"/>
          <w:sz w:val="20"/>
          <w:lang w:val="fr-CH"/>
        </w:rPr>
        <w:t>2016</w:t>
      </w:r>
      <w:r w:rsidR="00A824AF" w:rsidRPr="004D3D70">
        <w:rPr>
          <w:rFonts w:cs="Arial"/>
          <w:sz w:val="20"/>
          <w:lang w:val="fr-CH"/>
        </w:rPr>
        <w:t>).</w:t>
      </w:r>
    </w:p>
    <w:p w:rsidR="00905890" w:rsidRPr="004D3D70" w:rsidRDefault="00905890" w:rsidP="00A824AF">
      <w:pPr>
        <w:pStyle w:val="Style3"/>
        <w:spacing w:after="0"/>
        <w:rPr>
          <w:rFonts w:cs="Arial"/>
          <w:sz w:val="20"/>
          <w:lang w:val="fr-CH"/>
        </w:rPr>
      </w:pPr>
    </w:p>
    <w:p w:rsidR="004D3D70" w:rsidRDefault="001842BE" w:rsidP="001842BE">
      <w:pPr>
        <w:pStyle w:val="Style3"/>
        <w:spacing w:after="0"/>
        <w:rPr>
          <w:rFonts w:cs="Arial"/>
          <w:b/>
          <w:sz w:val="20"/>
          <w:lang w:val="fr-CH"/>
        </w:rPr>
      </w:pPr>
      <w:r w:rsidRPr="004D3D70">
        <w:rPr>
          <w:rFonts w:cs="Arial"/>
          <w:b/>
          <w:sz w:val="20"/>
          <w:lang w:val="fr-CH"/>
        </w:rPr>
        <w:t>Prestations à long terme dues au personnel</w:t>
      </w:r>
    </w:p>
    <w:p w:rsidR="00905890" w:rsidRPr="004D3D70" w:rsidRDefault="00905890" w:rsidP="00A824AF">
      <w:pPr>
        <w:pStyle w:val="Style3"/>
        <w:spacing w:after="0"/>
        <w:rPr>
          <w:rFonts w:cs="Arial"/>
          <w:b/>
          <w:sz w:val="20"/>
          <w:lang w:val="fr-CH"/>
        </w:rPr>
      </w:pPr>
    </w:p>
    <w:p w:rsidR="00905890" w:rsidRPr="004D3D70" w:rsidRDefault="006A6A30" w:rsidP="00A824AF">
      <w:pPr>
        <w:pStyle w:val="Style3"/>
        <w:spacing w:after="0"/>
        <w:rPr>
          <w:rFonts w:cs="Arial"/>
          <w:sz w:val="20"/>
          <w:lang w:val="fr-CH"/>
        </w:rPr>
      </w:pPr>
      <w:r w:rsidRPr="004D3D70">
        <w:rPr>
          <w:rFonts w:cs="Arial"/>
          <w:i/>
          <w:sz w:val="20"/>
          <w:lang w:val="fr-CH"/>
        </w:rPr>
        <w:t>Congé annuel</w:t>
      </w:r>
      <w:r w:rsidR="000E1BD8" w:rsidRPr="004D3D70">
        <w:rPr>
          <w:rFonts w:cs="Arial"/>
          <w:i/>
          <w:sz w:val="20"/>
          <w:lang w:val="fr-CH"/>
        </w:rPr>
        <w:t xml:space="preserve"> (post</w:t>
      </w:r>
      <w:r w:rsidRPr="004D3D70">
        <w:rPr>
          <w:rFonts w:cs="Arial"/>
          <w:i/>
          <w:sz w:val="20"/>
          <w:lang w:val="fr-CH"/>
        </w:rPr>
        <w:t>e</w:t>
      </w:r>
      <w:r w:rsidR="000E1BD8" w:rsidRPr="004D3D70">
        <w:rPr>
          <w:rFonts w:cs="Arial"/>
          <w:i/>
          <w:sz w:val="20"/>
          <w:lang w:val="fr-CH"/>
        </w:rPr>
        <w:t>s)</w:t>
      </w:r>
      <w:r w:rsidR="004D3D70">
        <w:rPr>
          <w:rFonts w:cs="Arial"/>
          <w:i/>
          <w:sz w:val="20"/>
          <w:lang w:val="fr-CH"/>
        </w:rPr>
        <w:t> :</w:t>
      </w:r>
      <w:r w:rsidR="000E1BD8" w:rsidRPr="004D3D70">
        <w:rPr>
          <w:rFonts w:cs="Arial"/>
          <w:sz w:val="20"/>
          <w:lang w:val="fr-CH"/>
        </w:rPr>
        <w:t xml:space="preserve"> </w:t>
      </w:r>
      <w:r w:rsidRPr="004D3D70">
        <w:rPr>
          <w:rFonts w:cs="Arial"/>
          <w:sz w:val="20"/>
          <w:lang w:val="fr-CH"/>
        </w:rPr>
        <w:t xml:space="preserve">les jours de congé annuel font partie de la catégorie des prestations à long </w:t>
      </w:r>
      <w:r w:rsidR="000E1BD8" w:rsidRPr="004D3D70">
        <w:rPr>
          <w:rFonts w:cs="Arial"/>
          <w:sz w:val="20"/>
          <w:lang w:val="fr-CH"/>
        </w:rPr>
        <w:t>term</w:t>
      </w:r>
      <w:r w:rsidRPr="004D3D70">
        <w:rPr>
          <w:rFonts w:cs="Arial"/>
          <w:sz w:val="20"/>
          <w:lang w:val="fr-CH"/>
        </w:rPr>
        <w:t>e</w:t>
      </w:r>
      <w:r w:rsidR="000E1BD8" w:rsidRPr="004D3D70">
        <w:rPr>
          <w:rFonts w:cs="Arial"/>
          <w:sz w:val="20"/>
          <w:lang w:val="fr-CH"/>
        </w:rPr>
        <w:t xml:space="preserve"> </w:t>
      </w:r>
      <w:r w:rsidRPr="004D3D70">
        <w:rPr>
          <w:rFonts w:cs="Arial"/>
          <w:sz w:val="20"/>
          <w:lang w:val="fr-CH"/>
        </w:rPr>
        <w:t>dues aux</w:t>
      </w:r>
      <w:r w:rsidR="000E1BD8" w:rsidRPr="004D3D70">
        <w:rPr>
          <w:rFonts w:cs="Arial"/>
          <w:sz w:val="20"/>
          <w:lang w:val="fr-CH"/>
        </w:rPr>
        <w:t xml:space="preserve"> </w:t>
      </w:r>
      <w:r w:rsidRPr="004D3D70">
        <w:rPr>
          <w:rFonts w:cs="Arial"/>
          <w:sz w:val="20"/>
          <w:lang w:val="fr-CH"/>
        </w:rPr>
        <w:t>fonctionnaires titulaires d</w:t>
      </w:r>
      <w:r w:rsidR="004D3D70">
        <w:rPr>
          <w:rFonts w:cs="Arial"/>
          <w:sz w:val="20"/>
          <w:lang w:val="fr-CH"/>
        </w:rPr>
        <w:t>’</w:t>
      </w:r>
      <w:r w:rsidRPr="004D3D70">
        <w:rPr>
          <w:rFonts w:cs="Arial"/>
          <w:sz w:val="20"/>
          <w:lang w:val="fr-CH"/>
        </w:rPr>
        <w:t>un engagement permanent, d</w:t>
      </w:r>
      <w:r w:rsidR="004D3D70">
        <w:rPr>
          <w:rFonts w:cs="Arial"/>
          <w:sz w:val="20"/>
          <w:lang w:val="fr-CH"/>
        </w:rPr>
        <w:t>’</w:t>
      </w:r>
      <w:r w:rsidRPr="004D3D70">
        <w:rPr>
          <w:rFonts w:cs="Arial"/>
          <w:sz w:val="20"/>
          <w:lang w:val="fr-CH"/>
        </w:rPr>
        <w:t>un engagement continu ou d</w:t>
      </w:r>
      <w:r w:rsidR="004D3D70">
        <w:rPr>
          <w:rFonts w:cs="Arial"/>
          <w:sz w:val="20"/>
          <w:lang w:val="fr-CH"/>
        </w:rPr>
        <w:t>’</w:t>
      </w:r>
      <w:r w:rsidRPr="004D3D70">
        <w:rPr>
          <w:rFonts w:cs="Arial"/>
          <w:sz w:val="20"/>
          <w:lang w:val="fr-CH"/>
        </w:rPr>
        <w:t>un engagement de durée déterminée, et cette prestation e</w:t>
      </w:r>
      <w:r w:rsidR="000E1BD8" w:rsidRPr="004D3D70">
        <w:rPr>
          <w:rFonts w:cs="Arial"/>
          <w:sz w:val="20"/>
          <w:lang w:val="fr-CH"/>
        </w:rPr>
        <w:t>s</w:t>
      </w:r>
      <w:r w:rsidRPr="004D3D70">
        <w:rPr>
          <w:rFonts w:cs="Arial"/>
          <w:sz w:val="20"/>
          <w:lang w:val="fr-CH"/>
        </w:rPr>
        <w:t>t calculée par un actuaire exter</w:t>
      </w:r>
      <w:r w:rsidR="002140E0" w:rsidRPr="004D3D70">
        <w:rPr>
          <w:rFonts w:cs="Arial"/>
          <w:sz w:val="20"/>
          <w:lang w:val="fr-CH"/>
        </w:rPr>
        <w:t>ne</w:t>
      </w:r>
      <w:r w:rsidR="002140E0">
        <w:rPr>
          <w:rFonts w:cs="Arial"/>
          <w:sz w:val="20"/>
          <w:lang w:val="fr-CH"/>
        </w:rPr>
        <w:t xml:space="preserve">.  </w:t>
      </w:r>
      <w:r w:rsidR="002140E0" w:rsidRPr="004D3D70">
        <w:rPr>
          <w:rFonts w:cs="Arial"/>
          <w:sz w:val="20"/>
          <w:lang w:val="fr-CH"/>
        </w:rPr>
        <w:t>Le</w:t>
      </w:r>
      <w:r w:rsidRPr="004D3D70">
        <w:rPr>
          <w:rFonts w:cs="Arial"/>
          <w:sz w:val="20"/>
          <w:lang w:val="fr-CH"/>
        </w:rPr>
        <w:t>s fonctionnaires en poste peuvent accumuler jusqu</w:t>
      </w:r>
      <w:r w:rsidR="004D3D70">
        <w:rPr>
          <w:rFonts w:cs="Arial"/>
          <w:sz w:val="20"/>
          <w:lang w:val="fr-CH"/>
        </w:rPr>
        <w:t>’</w:t>
      </w:r>
      <w:r w:rsidRPr="004D3D70">
        <w:rPr>
          <w:rFonts w:cs="Arial"/>
          <w:sz w:val="20"/>
          <w:lang w:val="fr-CH"/>
        </w:rPr>
        <w:t>à</w:t>
      </w:r>
      <w:r w:rsidR="000E1BD8" w:rsidRPr="004D3D70">
        <w:rPr>
          <w:rFonts w:cs="Arial"/>
          <w:sz w:val="20"/>
          <w:lang w:val="fr-CH"/>
        </w:rPr>
        <w:t xml:space="preserve"> 15</w:t>
      </w:r>
      <w:r w:rsidR="00BE23DA">
        <w:rPr>
          <w:rFonts w:cs="Arial"/>
          <w:sz w:val="20"/>
          <w:lang w:val="fr-CH"/>
        </w:rPr>
        <w:t> </w:t>
      </w:r>
      <w:r w:rsidRPr="004D3D70">
        <w:rPr>
          <w:rFonts w:cs="Arial"/>
          <w:sz w:val="20"/>
          <w:lang w:val="fr-CH"/>
        </w:rPr>
        <w:t>jours de congé annuel pendant une année donnée et un</w:t>
      </w:r>
      <w:r w:rsidR="000E1BD8" w:rsidRPr="004D3D70">
        <w:rPr>
          <w:rFonts w:cs="Arial"/>
          <w:sz w:val="20"/>
          <w:lang w:val="fr-CH"/>
        </w:rPr>
        <w:t xml:space="preserve"> total </w:t>
      </w:r>
      <w:r w:rsidRPr="004D3D70">
        <w:rPr>
          <w:rFonts w:cs="Arial"/>
          <w:sz w:val="20"/>
          <w:lang w:val="fr-CH"/>
        </w:rPr>
        <w:t>cumulé de</w:t>
      </w:r>
      <w:r w:rsidR="000E1BD8" w:rsidRPr="004D3D70">
        <w:rPr>
          <w:rFonts w:cs="Arial"/>
          <w:sz w:val="20"/>
          <w:lang w:val="fr-CH"/>
        </w:rPr>
        <w:t xml:space="preserve"> 60</w:t>
      </w:r>
      <w:r w:rsidRPr="004D3D70">
        <w:rPr>
          <w:rFonts w:cs="Arial"/>
          <w:sz w:val="20"/>
          <w:lang w:val="fr-CH"/>
        </w:rPr>
        <w:t> jou</w:t>
      </w:r>
      <w:r w:rsidR="002140E0" w:rsidRPr="004D3D70">
        <w:rPr>
          <w:rFonts w:cs="Arial"/>
          <w:sz w:val="20"/>
          <w:lang w:val="fr-CH"/>
        </w:rPr>
        <w:t>rs</w:t>
      </w:r>
      <w:r w:rsidR="002140E0">
        <w:rPr>
          <w:rFonts w:cs="Arial"/>
          <w:sz w:val="20"/>
          <w:lang w:val="fr-CH"/>
        </w:rPr>
        <w:t xml:space="preserve">.  </w:t>
      </w:r>
      <w:r w:rsidR="002140E0" w:rsidRPr="004D3D70">
        <w:rPr>
          <w:rFonts w:cs="Arial"/>
          <w:sz w:val="20"/>
          <w:lang w:val="fr-CH"/>
        </w:rPr>
        <w:t>To</w:t>
      </w:r>
      <w:r w:rsidRPr="004D3D70">
        <w:rPr>
          <w:rFonts w:cs="Arial"/>
          <w:sz w:val="20"/>
          <w:lang w:val="fr-CH"/>
        </w:rPr>
        <w:t>utefois, les fonctionnaires qui avaient accumulé plus de</w:t>
      </w:r>
      <w:r w:rsidR="000E1BD8" w:rsidRPr="004D3D70">
        <w:rPr>
          <w:rFonts w:cs="Arial"/>
          <w:sz w:val="20"/>
          <w:lang w:val="fr-CH"/>
        </w:rPr>
        <w:t xml:space="preserve"> 60</w:t>
      </w:r>
      <w:r w:rsidR="00BE23DA">
        <w:rPr>
          <w:rFonts w:cs="Arial"/>
          <w:sz w:val="20"/>
          <w:lang w:val="fr-CH"/>
        </w:rPr>
        <w:t> </w:t>
      </w:r>
      <w:r w:rsidRPr="004D3D70">
        <w:rPr>
          <w:rFonts w:cs="Arial"/>
          <w:sz w:val="20"/>
          <w:lang w:val="fr-CH"/>
        </w:rPr>
        <w:t>jours avant le</w:t>
      </w:r>
      <w:r w:rsidR="004D3D70">
        <w:rPr>
          <w:rFonts w:cs="Arial"/>
          <w:sz w:val="20"/>
          <w:lang w:val="fr-CH"/>
        </w:rPr>
        <w:t xml:space="preserve"> 1</w:t>
      </w:r>
      <w:r w:rsidR="004D3D70" w:rsidRPr="004D3D70">
        <w:rPr>
          <w:rFonts w:cs="Arial"/>
          <w:sz w:val="20"/>
          <w:vertAlign w:val="superscript"/>
          <w:lang w:val="fr-CH"/>
        </w:rPr>
        <w:t>er</w:t>
      </w:r>
      <w:r w:rsidR="004D3D70">
        <w:rPr>
          <w:rFonts w:cs="Arial"/>
          <w:sz w:val="20"/>
          <w:lang w:val="fr-CH"/>
        </w:rPr>
        <w:t> </w:t>
      </w:r>
      <w:r w:rsidRPr="004D3D70">
        <w:rPr>
          <w:rFonts w:cs="Arial"/>
          <w:sz w:val="20"/>
          <w:lang w:val="fr-CH"/>
        </w:rPr>
        <w:t>janvier 2013 avaient le droit de les conserver jusqu</w:t>
      </w:r>
      <w:r w:rsidR="004D3D70">
        <w:rPr>
          <w:rFonts w:cs="Arial"/>
          <w:sz w:val="20"/>
          <w:lang w:val="fr-CH"/>
        </w:rPr>
        <w:t>’</w:t>
      </w:r>
      <w:r w:rsidRPr="004D3D70">
        <w:rPr>
          <w:rFonts w:cs="Arial"/>
          <w:sz w:val="20"/>
          <w:lang w:val="fr-CH"/>
        </w:rPr>
        <w:t>au</w:t>
      </w:r>
      <w:r w:rsidR="000E1BD8" w:rsidRPr="004D3D70">
        <w:rPr>
          <w:rFonts w:cs="Arial"/>
          <w:sz w:val="20"/>
          <w:lang w:val="fr-CH"/>
        </w:rPr>
        <w:t xml:space="preserve"> 31</w:t>
      </w:r>
      <w:r w:rsidRPr="004D3D70">
        <w:rPr>
          <w:rFonts w:cs="Arial"/>
          <w:sz w:val="20"/>
          <w:lang w:val="fr-CH"/>
        </w:rPr>
        <w:t> décembre </w:t>
      </w:r>
      <w:r w:rsidR="000E1BD8" w:rsidRPr="004D3D70">
        <w:rPr>
          <w:rFonts w:cs="Arial"/>
          <w:sz w:val="20"/>
          <w:lang w:val="fr-CH"/>
        </w:rPr>
        <w:t xml:space="preserve">2017. </w:t>
      </w:r>
      <w:r w:rsidRPr="004D3D70">
        <w:rPr>
          <w:rFonts w:cs="Arial"/>
          <w:sz w:val="20"/>
          <w:lang w:val="fr-CH"/>
        </w:rPr>
        <w:t xml:space="preserve"> </w:t>
      </w:r>
      <w:r w:rsidR="00AD2E29" w:rsidRPr="004D3D70">
        <w:rPr>
          <w:rFonts w:cs="Arial"/>
          <w:sz w:val="20"/>
          <w:lang w:val="fr-CH"/>
        </w:rPr>
        <w:t>Au moment de la cessation de service</w:t>
      </w:r>
      <w:r w:rsidR="000E1BD8" w:rsidRPr="004D3D70">
        <w:rPr>
          <w:rFonts w:cs="Arial"/>
          <w:sz w:val="20"/>
          <w:lang w:val="fr-CH"/>
        </w:rPr>
        <w:t xml:space="preserve">, </w:t>
      </w:r>
      <w:r w:rsidR="00AD2E29" w:rsidRPr="004D3D70">
        <w:rPr>
          <w:rFonts w:cs="Arial"/>
          <w:sz w:val="20"/>
          <w:lang w:val="fr-CH"/>
        </w:rPr>
        <w:t xml:space="preserve">le fonctionnaire en poste qui a accumulé des jours de congé annuel peut recevoir un paiement pour les jours de congé annuel accumulés </w:t>
      </w:r>
      <w:r w:rsidR="0029592D" w:rsidRPr="004D3D70">
        <w:rPr>
          <w:rFonts w:cs="Arial"/>
          <w:sz w:val="20"/>
          <w:lang w:val="fr-CH"/>
        </w:rPr>
        <w:t>au lieu</w:t>
      </w:r>
      <w:r w:rsidR="00AD2E29" w:rsidRPr="004D3D70">
        <w:rPr>
          <w:rFonts w:cs="Arial"/>
          <w:sz w:val="20"/>
          <w:lang w:val="fr-CH"/>
        </w:rPr>
        <w:t xml:space="preserve"> d</w:t>
      </w:r>
      <w:r w:rsidR="004D3D70">
        <w:rPr>
          <w:rFonts w:cs="Arial"/>
          <w:sz w:val="20"/>
          <w:lang w:val="fr-CH"/>
        </w:rPr>
        <w:t>’</w:t>
      </w:r>
      <w:r w:rsidR="00AD2E29" w:rsidRPr="004D3D70">
        <w:rPr>
          <w:rFonts w:cs="Arial"/>
          <w:sz w:val="20"/>
          <w:lang w:val="fr-CH"/>
        </w:rPr>
        <w:t>un montant équivalent à son traiteme</w:t>
      </w:r>
      <w:r w:rsidR="002140E0" w:rsidRPr="004D3D70">
        <w:rPr>
          <w:rFonts w:cs="Arial"/>
          <w:sz w:val="20"/>
          <w:lang w:val="fr-CH"/>
        </w:rPr>
        <w:t>nt</w:t>
      </w:r>
      <w:r w:rsidR="002140E0">
        <w:rPr>
          <w:rFonts w:cs="Arial"/>
          <w:sz w:val="20"/>
          <w:lang w:val="fr-CH"/>
        </w:rPr>
        <w:t xml:space="preserve">.  </w:t>
      </w:r>
      <w:r w:rsidR="002140E0" w:rsidRPr="004D3D70">
        <w:rPr>
          <w:rFonts w:cs="Arial"/>
          <w:sz w:val="20"/>
          <w:lang w:val="fr-CH"/>
        </w:rPr>
        <w:t>Un</w:t>
      </w:r>
      <w:r w:rsidR="00AD2E29" w:rsidRPr="004D3D70">
        <w:rPr>
          <w:rFonts w:cs="Arial"/>
          <w:sz w:val="20"/>
          <w:lang w:val="fr-CH"/>
        </w:rPr>
        <w:t xml:space="preserve"> fonctionnaire peut, dans des circonstances exceptionnelles, obtenir une avance de congé annuel d</w:t>
      </w:r>
      <w:r w:rsidR="004D3D70">
        <w:rPr>
          <w:rFonts w:cs="Arial"/>
          <w:sz w:val="20"/>
          <w:lang w:val="fr-CH"/>
        </w:rPr>
        <w:t>’</w:t>
      </w:r>
      <w:r w:rsidR="00AD2E29" w:rsidRPr="004D3D70">
        <w:rPr>
          <w:rFonts w:cs="Arial"/>
          <w:sz w:val="20"/>
          <w:lang w:val="fr-CH"/>
        </w:rPr>
        <w:t xml:space="preserve">une durée maximum de </w:t>
      </w:r>
      <w:r w:rsidR="000E1BD8" w:rsidRPr="004D3D70">
        <w:rPr>
          <w:rFonts w:cs="Arial"/>
          <w:sz w:val="20"/>
          <w:lang w:val="fr-CH"/>
        </w:rPr>
        <w:t>10</w:t>
      </w:r>
      <w:r w:rsidR="00BE23DA">
        <w:rPr>
          <w:rFonts w:cs="Arial"/>
          <w:sz w:val="20"/>
          <w:lang w:val="fr-CH"/>
        </w:rPr>
        <w:t> </w:t>
      </w:r>
      <w:r w:rsidR="00AD2E29" w:rsidRPr="004D3D70">
        <w:rPr>
          <w:rFonts w:cs="Arial"/>
          <w:sz w:val="20"/>
          <w:lang w:val="fr-CH"/>
        </w:rPr>
        <w:t>jours ouvrabl</w:t>
      </w:r>
      <w:r w:rsidR="002140E0" w:rsidRPr="004D3D70">
        <w:rPr>
          <w:rFonts w:cs="Arial"/>
          <w:sz w:val="20"/>
          <w:lang w:val="fr-CH"/>
        </w:rPr>
        <w:t>es</w:t>
      </w:r>
      <w:r w:rsidR="002140E0">
        <w:rPr>
          <w:rFonts w:cs="Arial"/>
          <w:sz w:val="20"/>
          <w:lang w:val="fr-CH"/>
        </w:rPr>
        <w:t xml:space="preserve">.  </w:t>
      </w:r>
      <w:r w:rsidR="002140E0" w:rsidRPr="004D3D70">
        <w:rPr>
          <w:rFonts w:cs="Arial"/>
          <w:sz w:val="20"/>
          <w:lang w:val="fr-CH"/>
        </w:rPr>
        <w:t>Ce</w:t>
      </w:r>
      <w:r w:rsidR="00AD2E29" w:rsidRPr="004D3D70">
        <w:rPr>
          <w:rFonts w:cs="Arial"/>
          <w:sz w:val="20"/>
          <w:lang w:val="fr-CH"/>
        </w:rPr>
        <w:t xml:space="preserve">s fonctionnaires sont inclus dans le calcul du solde global des congés </w:t>
      </w:r>
      <w:r w:rsidR="009E1439" w:rsidRPr="004D3D70">
        <w:rPr>
          <w:rFonts w:cs="Arial"/>
          <w:sz w:val="20"/>
          <w:lang w:val="fr-CH"/>
        </w:rPr>
        <w:t>annue</w:t>
      </w:r>
      <w:r w:rsidR="002140E0" w:rsidRPr="004D3D70">
        <w:rPr>
          <w:rFonts w:cs="Arial"/>
          <w:sz w:val="20"/>
          <w:lang w:val="fr-CH"/>
        </w:rPr>
        <w:t>ls</w:t>
      </w:r>
      <w:r w:rsidR="002140E0">
        <w:rPr>
          <w:rFonts w:cs="Arial"/>
          <w:sz w:val="20"/>
          <w:lang w:val="fr-CH"/>
        </w:rPr>
        <w:t xml:space="preserve">.  </w:t>
      </w:r>
      <w:r w:rsidR="002140E0" w:rsidRPr="004D3D70">
        <w:rPr>
          <w:rFonts w:cs="Arial"/>
          <w:sz w:val="20"/>
          <w:lang w:val="fr-CH"/>
        </w:rPr>
        <w:t>Le</w:t>
      </w:r>
      <w:r w:rsidR="00AD2E29" w:rsidRPr="004D3D70">
        <w:rPr>
          <w:rFonts w:cs="Arial"/>
          <w:sz w:val="20"/>
          <w:lang w:val="fr-CH"/>
        </w:rPr>
        <w:t xml:space="preserve"> solde</w:t>
      </w:r>
      <w:r w:rsidR="000E1BD8" w:rsidRPr="004D3D70">
        <w:rPr>
          <w:rFonts w:cs="Arial"/>
          <w:sz w:val="20"/>
          <w:lang w:val="fr-CH"/>
        </w:rPr>
        <w:t xml:space="preserve"> total </w:t>
      </w:r>
      <w:r w:rsidR="00AD2E29" w:rsidRPr="004D3D70">
        <w:rPr>
          <w:rFonts w:cs="Arial"/>
          <w:sz w:val="20"/>
          <w:lang w:val="fr-CH"/>
        </w:rPr>
        <w:t>de la dette à la date d</w:t>
      </w:r>
      <w:r w:rsidR="004D3D70">
        <w:rPr>
          <w:rFonts w:cs="Arial"/>
          <w:sz w:val="20"/>
          <w:lang w:val="fr-CH"/>
        </w:rPr>
        <w:t>’</w:t>
      </w:r>
      <w:r w:rsidR="00AD2E29" w:rsidRPr="004D3D70">
        <w:rPr>
          <w:rFonts w:cs="Arial"/>
          <w:sz w:val="20"/>
          <w:lang w:val="fr-CH"/>
        </w:rPr>
        <w:t>établissement des états financiers est de 61 975 </w:t>
      </w:r>
      <w:r w:rsidR="00A06DBF" w:rsidRPr="004D3D70">
        <w:rPr>
          <w:rFonts w:cs="Arial"/>
          <w:sz w:val="20"/>
          <w:lang w:val="fr-CH"/>
        </w:rPr>
        <w:t xml:space="preserve">francs </w:t>
      </w:r>
      <w:r w:rsidR="00AD2E29" w:rsidRPr="004D3D70">
        <w:rPr>
          <w:rFonts w:cs="Arial"/>
          <w:sz w:val="20"/>
          <w:lang w:val="fr-CH"/>
        </w:rPr>
        <w:t xml:space="preserve">suisses </w:t>
      </w:r>
      <w:r w:rsidR="00954987" w:rsidRPr="004D3D70">
        <w:rPr>
          <w:rFonts w:cs="Arial"/>
          <w:sz w:val="20"/>
          <w:lang w:val="fr-CH"/>
        </w:rPr>
        <w:t>(retraité à 66 836 </w:t>
      </w:r>
      <w:r w:rsidR="000E1BD8" w:rsidRPr="004D3D70">
        <w:rPr>
          <w:rFonts w:cs="Arial"/>
          <w:sz w:val="20"/>
          <w:lang w:val="fr-CH"/>
        </w:rPr>
        <w:t xml:space="preserve">francs </w:t>
      </w:r>
      <w:r w:rsidR="00954987" w:rsidRPr="004D3D70">
        <w:rPr>
          <w:rFonts w:cs="Arial"/>
          <w:sz w:val="20"/>
          <w:lang w:val="fr-CH"/>
        </w:rPr>
        <w:t>suisses au 31 décembre </w:t>
      </w:r>
      <w:r w:rsidR="000E1BD8" w:rsidRPr="004D3D70">
        <w:rPr>
          <w:rFonts w:cs="Arial"/>
          <w:sz w:val="20"/>
          <w:lang w:val="fr-CH"/>
        </w:rPr>
        <w:t>2016)</w:t>
      </w:r>
      <w:r w:rsidR="00637A28" w:rsidRPr="004D3D70">
        <w:rPr>
          <w:rFonts w:cs="Arial"/>
          <w:sz w:val="20"/>
          <w:lang w:val="fr-CH"/>
        </w:rPr>
        <w:t>.</w:t>
      </w:r>
    </w:p>
    <w:p w:rsidR="00905890" w:rsidRPr="004D3D70" w:rsidRDefault="00905890" w:rsidP="00A824AF">
      <w:pPr>
        <w:pStyle w:val="Style3"/>
        <w:spacing w:after="0"/>
        <w:rPr>
          <w:rFonts w:cs="Arial"/>
          <w:sz w:val="20"/>
          <w:lang w:val="fr-CH"/>
        </w:rPr>
      </w:pPr>
    </w:p>
    <w:p w:rsidR="00905890" w:rsidRPr="004D3D70" w:rsidRDefault="001842BE" w:rsidP="001842BE">
      <w:pPr>
        <w:pStyle w:val="Style3"/>
        <w:spacing w:after="0"/>
        <w:rPr>
          <w:rFonts w:cs="Arial"/>
          <w:sz w:val="20"/>
          <w:lang w:val="fr-CH"/>
        </w:rPr>
      </w:pPr>
      <w:r w:rsidRPr="004D3D70">
        <w:rPr>
          <w:rFonts w:cs="Arial"/>
          <w:i/>
          <w:sz w:val="20"/>
          <w:lang w:val="fr-CH"/>
        </w:rPr>
        <w:t>Prime de rapatriement et voyages</w:t>
      </w:r>
      <w:r w:rsidR="004D3D70">
        <w:rPr>
          <w:rFonts w:cs="Arial"/>
          <w:sz w:val="20"/>
          <w:lang w:val="fr-CH"/>
        </w:rPr>
        <w:t> :</w:t>
      </w:r>
      <w:r w:rsidRPr="004D3D70">
        <w:rPr>
          <w:rFonts w:cs="Arial"/>
          <w:sz w:val="20"/>
          <w:lang w:val="fr-CH"/>
        </w:rPr>
        <w:t xml:space="preserve"> l</w:t>
      </w:r>
      <w:r w:rsidR="004D3D70">
        <w:rPr>
          <w:rFonts w:cs="Arial"/>
          <w:sz w:val="20"/>
          <w:lang w:val="fr-CH"/>
        </w:rPr>
        <w:t>’</w:t>
      </w:r>
      <w:r w:rsidRPr="004D3D70">
        <w:rPr>
          <w:rFonts w:cs="Arial"/>
          <w:sz w:val="20"/>
          <w:lang w:val="fr-CH"/>
        </w:rPr>
        <w:t>UPOV a l</w:t>
      </w:r>
      <w:r w:rsidR="004D3D70">
        <w:rPr>
          <w:rFonts w:cs="Arial"/>
          <w:sz w:val="20"/>
          <w:lang w:val="fr-CH"/>
        </w:rPr>
        <w:t>’</w:t>
      </w:r>
      <w:r w:rsidRPr="004D3D70">
        <w:rPr>
          <w:rFonts w:cs="Arial"/>
          <w:sz w:val="20"/>
          <w:lang w:val="fr-CH"/>
        </w:rPr>
        <w:t>obligation contractuelle d</w:t>
      </w:r>
      <w:r w:rsidR="004D3D70">
        <w:rPr>
          <w:rFonts w:cs="Arial"/>
          <w:sz w:val="20"/>
          <w:lang w:val="fr-CH"/>
        </w:rPr>
        <w:t>’</w:t>
      </w:r>
      <w:r w:rsidRPr="004D3D70">
        <w:rPr>
          <w:rFonts w:cs="Arial"/>
          <w:sz w:val="20"/>
          <w:lang w:val="fr-CH"/>
        </w:rPr>
        <w:t>accorder des prestations telles que les primes de rapatriement et les voyages à certains fonctionnaires recrutés sur le plan international au moment de leur cessation de service.  À la date d</w:t>
      </w:r>
      <w:r w:rsidR="004D3D70">
        <w:rPr>
          <w:rFonts w:cs="Arial"/>
          <w:sz w:val="20"/>
          <w:lang w:val="fr-CH"/>
        </w:rPr>
        <w:t>’</w:t>
      </w:r>
      <w:r w:rsidRPr="004D3D70">
        <w:rPr>
          <w:rFonts w:cs="Arial"/>
          <w:sz w:val="20"/>
          <w:lang w:val="fr-CH"/>
        </w:rPr>
        <w:t>établissement des états financiers, l</w:t>
      </w:r>
      <w:r w:rsidR="004D3D70">
        <w:rPr>
          <w:rFonts w:cs="Arial"/>
          <w:sz w:val="20"/>
          <w:lang w:val="fr-CH"/>
        </w:rPr>
        <w:t>’</w:t>
      </w:r>
      <w:r w:rsidRPr="004D3D70">
        <w:rPr>
          <w:rFonts w:cs="Arial"/>
          <w:sz w:val="20"/>
          <w:lang w:val="fr-CH"/>
        </w:rPr>
        <w:t>obligation a été estimée comme suit, sur la base d</w:t>
      </w:r>
      <w:r w:rsidR="004D3D70">
        <w:rPr>
          <w:rFonts w:cs="Arial"/>
          <w:sz w:val="20"/>
          <w:lang w:val="fr-CH"/>
        </w:rPr>
        <w:t>’</w:t>
      </w:r>
      <w:r w:rsidRPr="004D3D70">
        <w:rPr>
          <w:rFonts w:cs="Arial"/>
          <w:sz w:val="20"/>
          <w:lang w:val="fr-CH"/>
        </w:rPr>
        <w:t xml:space="preserve">une évaluation actuarielle effectuée en </w:t>
      </w:r>
      <w:r w:rsidR="004D3D70" w:rsidRPr="004D3D70">
        <w:rPr>
          <w:rFonts w:cs="Arial"/>
          <w:sz w:val="20"/>
          <w:lang w:val="fr-CH"/>
        </w:rPr>
        <w:t>décembre</w:t>
      </w:r>
      <w:r w:rsidR="004D3D70">
        <w:rPr>
          <w:rFonts w:cs="Arial"/>
          <w:sz w:val="20"/>
          <w:lang w:val="fr-CH"/>
        </w:rPr>
        <w:t> </w:t>
      </w:r>
      <w:r w:rsidR="004D3D70" w:rsidRPr="004D3D70">
        <w:rPr>
          <w:rFonts w:cs="Arial"/>
          <w:sz w:val="20"/>
          <w:lang w:val="fr-CH"/>
        </w:rPr>
        <w:t>20</w:t>
      </w:r>
      <w:r w:rsidRPr="004D3D70">
        <w:rPr>
          <w:rFonts w:cs="Arial"/>
          <w:sz w:val="20"/>
          <w:lang w:val="fr-CH"/>
        </w:rPr>
        <w:t>17 par un actuaire indépendant</w:t>
      </w:r>
      <w:r w:rsidR="004D3D70">
        <w:rPr>
          <w:rFonts w:cs="Arial"/>
          <w:sz w:val="20"/>
          <w:lang w:val="fr-CH"/>
        </w:rPr>
        <w:t> :</w:t>
      </w:r>
    </w:p>
    <w:p w:rsidR="00905890" w:rsidRPr="004D3D70" w:rsidRDefault="00A824AF" w:rsidP="00A824AF">
      <w:pPr>
        <w:pStyle w:val="Style3"/>
        <w:spacing w:after="0"/>
        <w:rPr>
          <w:rFonts w:cs="Arial"/>
          <w:sz w:val="20"/>
          <w:lang w:val="fr-CH"/>
        </w:rPr>
      </w:pPr>
      <w:r w:rsidRPr="004D3D70">
        <w:rPr>
          <w:rFonts w:cs="Arial"/>
          <w:noProof/>
          <w:sz w:val="20"/>
          <w:lang w:val="fr-CH"/>
        </w:rPr>
        <w:fldChar w:fldCharType="begin"/>
      </w:r>
      <w:r w:rsidRPr="004D3D70">
        <w:rPr>
          <w:rFonts w:cs="Arial"/>
          <w:noProof/>
          <w:sz w:val="20"/>
          <w:lang w:val="fr-CH"/>
        </w:rPr>
        <w:instrText xml:space="preserve"> LINK Excel.Sheet.12 "\\\\wipogvafs01\\FIN\\ORGBFFI\\SHARED\\IPSAS\\13. UPOV YEAR END FILES\\2013\\01. LEAD DOCUMENTS\\01. UPOV TABLES FOR FINANCIAL STATEMENTS 2013.xlsx" "Note 7 Repat Grant!Print_Area" \a \f 4 \h  \* MERGEFORMAT </w:instrText>
      </w:r>
      <w:r w:rsidRPr="004D3D70">
        <w:rPr>
          <w:rFonts w:cs="Arial"/>
          <w:noProof/>
          <w:sz w:val="20"/>
          <w:lang w:val="fr-CH"/>
        </w:rPr>
        <w:fldChar w:fldCharType="separate"/>
      </w:r>
      <w:bookmarkStart w:id="23" w:name="RANGE!B3:E6"/>
      <w:bookmarkEnd w:id="23"/>
    </w:p>
    <w:p w:rsidR="00905890" w:rsidRPr="004D3D70" w:rsidRDefault="00A824AF" w:rsidP="007D1ECB">
      <w:pPr>
        <w:pStyle w:val="Style3"/>
        <w:spacing w:after="0"/>
        <w:jc w:val="center"/>
        <w:rPr>
          <w:rFonts w:cs="Arial"/>
          <w:sz w:val="20"/>
          <w:lang w:val="fr-CH"/>
        </w:rPr>
      </w:pPr>
      <w:r w:rsidRPr="004D3D70">
        <w:rPr>
          <w:rFonts w:cs="Arial"/>
          <w:noProof/>
          <w:sz w:val="20"/>
          <w:lang w:val="fr-CH"/>
        </w:rPr>
        <w:fldChar w:fldCharType="end"/>
      </w:r>
      <w:r w:rsidR="00ED317C" w:rsidRPr="00ED317C">
        <w:rPr>
          <w:noProof/>
          <w:lang w:val="en-US"/>
        </w:rPr>
        <w:drawing>
          <wp:inline distT="0" distB="0" distL="0" distR="0">
            <wp:extent cx="5734050" cy="12573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0" cy="1257300"/>
                    </a:xfrm>
                    <a:prstGeom prst="rect">
                      <a:avLst/>
                    </a:prstGeom>
                    <a:noFill/>
                    <a:ln>
                      <a:noFill/>
                    </a:ln>
                  </pic:spPr>
                </pic:pic>
              </a:graphicData>
            </a:graphic>
          </wp:inline>
        </w:drawing>
      </w:r>
    </w:p>
    <w:p w:rsidR="00905890" w:rsidRPr="004D3D70" w:rsidRDefault="00905890" w:rsidP="007D1ECB">
      <w:pPr>
        <w:rPr>
          <w:lang w:val="fr-CH"/>
        </w:rPr>
      </w:pPr>
    </w:p>
    <w:p w:rsidR="00905890" w:rsidRPr="004D3D70" w:rsidRDefault="001842BE" w:rsidP="001842BE">
      <w:pPr>
        <w:rPr>
          <w:lang w:val="fr-CH"/>
        </w:rPr>
      </w:pPr>
      <w:r w:rsidRPr="004D3D70">
        <w:rPr>
          <w:i/>
          <w:lang w:val="fr-CH"/>
        </w:rPr>
        <w:t>Assurance maladie après la cessation de service</w:t>
      </w:r>
      <w:r w:rsidR="004D3D70">
        <w:rPr>
          <w:i/>
          <w:lang w:val="fr-CH"/>
        </w:rPr>
        <w:t> :</w:t>
      </w:r>
      <w:r w:rsidRPr="004D3D70">
        <w:rPr>
          <w:lang w:val="fr-CH"/>
        </w:rPr>
        <w:t xml:space="preserve"> l</w:t>
      </w:r>
      <w:r w:rsidR="004D3D70">
        <w:rPr>
          <w:lang w:val="fr-CH"/>
        </w:rPr>
        <w:t>’</w:t>
      </w:r>
      <w:r w:rsidRPr="004D3D70">
        <w:rPr>
          <w:lang w:val="fr-CH"/>
        </w:rPr>
        <w:t>UPOV a aussi l</w:t>
      </w:r>
      <w:r w:rsidR="004D3D70">
        <w:rPr>
          <w:lang w:val="fr-CH"/>
        </w:rPr>
        <w:t>’</w:t>
      </w:r>
      <w:r w:rsidRPr="004D3D70">
        <w:rPr>
          <w:lang w:val="fr-CH"/>
        </w:rPr>
        <w:t>obligation contractuelle de fournir à son personnel des prestations médicales après la cessation de service sous la forme de primes d</w:t>
      </w:r>
      <w:r w:rsidR="004D3D70">
        <w:rPr>
          <w:lang w:val="fr-CH"/>
        </w:rPr>
        <w:t>’</w:t>
      </w:r>
      <w:r w:rsidRPr="004D3D70">
        <w:rPr>
          <w:lang w:val="fr-CH"/>
        </w:rPr>
        <w:t>assurance pour le régime d</w:t>
      </w:r>
      <w:r w:rsidR="004D3D70">
        <w:rPr>
          <w:lang w:val="fr-CH"/>
        </w:rPr>
        <w:t>’</w:t>
      </w:r>
      <w:r w:rsidRPr="004D3D70">
        <w:rPr>
          <w:lang w:val="fr-CH"/>
        </w:rPr>
        <w:t>assurance maladie collecti</w:t>
      </w:r>
      <w:r w:rsidR="002140E0" w:rsidRPr="004D3D70">
        <w:rPr>
          <w:lang w:val="fr-CH"/>
        </w:rPr>
        <w:t>ve</w:t>
      </w:r>
      <w:r w:rsidR="002140E0">
        <w:rPr>
          <w:lang w:val="fr-CH"/>
        </w:rPr>
        <w:t xml:space="preserve">.  </w:t>
      </w:r>
      <w:r w:rsidR="002140E0" w:rsidRPr="004D3D70">
        <w:rPr>
          <w:lang w:val="fr-CH"/>
        </w:rPr>
        <w:t>Le</w:t>
      </w:r>
      <w:r w:rsidR="00291BC4" w:rsidRPr="004D3D70">
        <w:rPr>
          <w:lang w:val="fr-CH"/>
        </w:rPr>
        <w:t>s fonctionnaires (ainsi que leurs conjoints, leurs enfants et leurs survivants) peuvent, au moment de la retraite, souscrire à l</w:t>
      </w:r>
      <w:r w:rsidR="004D3D70">
        <w:rPr>
          <w:lang w:val="fr-CH"/>
        </w:rPr>
        <w:t>’</w:t>
      </w:r>
      <w:r w:rsidR="00291BC4" w:rsidRPr="004D3D70">
        <w:rPr>
          <w:lang w:val="fr-CH"/>
        </w:rPr>
        <w:t>AMCS s</w:t>
      </w:r>
      <w:r w:rsidR="004D3D70">
        <w:rPr>
          <w:lang w:val="fr-CH"/>
        </w:rPr>
        <w:t>’</w:t>
      </w:r>
      <w:r w:rsidR="00291BC4" w:rsidRPr="004D3D70">
        <w:rPr>
          <w:lang w:val="fr-CH"/>
        </w:rPr>
        <w:t>ils continuent de payer leur prime après la cessation de servi</w:t>
      </w:r>
      <w:r w:rsidR="002140E0" w:rsidRPr="004D3D70">
        <w:rPr>
          <w:lang w:val="fr-CH"/>
        </w:rPr>
        <w:t>ce</w:t>
      </w:r>
      <w:r w:rsidR="002140E0">
        <w:rPr>
          <w:lang w:val="fr-CH"/>
        </w:rPr>
        <w:t xml:space="preserve">.  </w:t>
      </w:r>
      <w:r w:rsidR="002140E0" w:rsidRPr="004D3D70">
        <w:rPr>
          <w:lang w:val="fr-CH"/>
        </w:rPr>
        <w:t>Se</w:t>
      </w:r>
      <w:r w:rsidR="00291BC4" w:rsidRPr="004D3D70">
        <w:rPr>
          <w:lang w:val="fr-CH"/>
        </w:rPr>
        <w:t>lon le Statut et Règlement du personnel de l</w:t>
      </w:r>
      <w:r w:rsidR="004D3D70">
        <w:rPr>
          <w:lang w:val="fr-CH"/>
        </w:rPr>
        <w:t>’</w:t>
      </w:r>
      <w:r w:rsidR="00291BC4" w:rsidRPr="004D3D70">
        <w:rPr>
          <w:lang w:val="fr-CH"/>
        </w:rPr>
        <w:t>OMPI, l</w:t>
      </w:r>
      <w:r w:rsidR="004D3D70">
        <w:rPr>
          <w:lang w:val="fr-CH"/>
        </w:rPr>
        <w:t>’</w:t>
      </w:r>
      <w:r w:rsidR="00291BC4" w:rsidRPr="004D3D70">
        <w:rPr>
          <w:lang w:val="fr-CH"/>
        </w:rPr>
        <w:t>UPOV prend en charge 65% de la prime mensuelle d</w:t>
      </w:r>
      <w:r w:rsidR="004D3D70">
        <w:rPr>
          <w:lang w:val="fr-CH"/>
        </w:rPr>
        <w:t>’</w:t>
      </w:r>
      <w:r w:rsidR="00291BC4" w:rsidRPr="004D3D70">
        <w:rPr>
          <w:lang w:val="fr-CH"/>
        </w:rPr>
        <w:t>assurance malad</w:t>
      </w:r>
      <w:r w:rsidR="002140E0" w:rsidRPr="004D3D70">
        <w:rPr>
          <w:lang w:val="fr-CH"/>
        </w:rPr>
        <w:t>ie</w:t>
      </w:r>
      <w:r w:rsidR="002140E0">
        <w:rPr>
          <w:lang w:val="fr-CH"/>
        </w:rPr>
        <w:t xml:space="preserve">.  </w:t>
      </w:r>
      <w:r w:rsidR="002140E0" w:rsidRPr="004D3D70">
        <w:rPr>
          <w:lang w:val="fr-CH"/>
        </w:rPr>
        <w:t>De</w:t>
      </w:r>
      <w:r w:rsidR="00291BC4" w:rsidRPr="004D3D70">
        <w:rPr>
          <w:lang w:val="fr-CH"/>
        </w:rPr>
        <w:t>puis le</w:t>
      </w:r>
      <w:r w:rsidR="004D3D70">
        <w:rPr>
          <w:lang w:val="fr-CH"/>
        </w:rPr>
        <w:t xml:space="preserve"> 1</w:t>
      </w:r>
      <w:r w:rsidR="004D3D70" w:rsidRPr="004D3D70">
        <w:rPr>
          <w:vertAlign w:val="superscript"/>
          <w:lang w:val="fr-CH"/>
        </w:rPr>
        <w:t>er</w:t>
      </w:r>
      <w:r w:rsidR="004D3D70">
        <w:rPr>
          <w:lang w:val="fr-CH"/>
        </w:rPr>
        <w:t> </w:t>
      </w:r>
      <w:r w:rsidR="00291BC4" w:rsidRPr="004D3D70">
        <w:rPr>
          <w:lang w:val="fr-CH"/>
        </w:rPr>
        <w:t>janvier </w:t>
      </w:r>
      <w:r w:rsidR="006A3293" w:rsidRPr="004D3D70">
        <w:rPr>
          <w:lang w:val="fr-CH"/>
        </w:rPr>
        <w:t>2017</w:t>
      </w:r>
      <w:r w:rsidR="003804A8" w:rsidRPr="004D3D70">
        <w:rPr>
          <w:lang w:val="fr-CH"/>
        </w:rPr>
        <w:t xml:space="preserve">, </w:t>
      </w:r>
      <w:r w:rsidR="00291BC4" w:rsidRPr="004D3D70">
        <w:rPr>
          <w:lang w:val="fr-CH"/>
        </w:rPr>
        <w:t>la prime mensuelle d</w:t>
      </w:r>
      <w:r w:rsidR="004D3D70">
        <w:rPr>
          <w:lang w:val="fr-CH"/>
        </w:rPr>
        <w:t>’</w:t>
      </w:r>
      <w:r w:rsidR="00291BC4" w:rsidRPr="004D3D70">
        <w:rPr>
          <w:lang w:val="fr-CH"/>
        </w:rPr>
        <w:t>assurance maladie s</w:t>
      </w:r>
      <w:r w:rsidR="004D3D70">
        <w:rPr>
          <w:lang w:val="fr-CH"/>
        </w:rPr>
        <w:t>’</w:t>
      </w:r>
      <w:r w:rsidR="00291BC4" w:rsidRPr="004D3D70">
        <w:rPr>
          <w:lang w:val="fr-CH"/>
        </w:rPr>
        <w:t>élève à 596 </w:t>
      </w:r>
      <w:r w:rsidR="003804A8" w:rsidRPr="004D3D70">
        <w:rPr>
          <w:lang w:val="fr-CH"/>
        </w:rPr>
        <w:t xml:space="preserve">francs </w:t>
      </w:r>
      <w:r w:rsidR="00291BC4" w:rsidRPr="004D3D70">
        <w:rPr>
          <w:lang w:val="fr-CH"/>
        </w:rPr>
        <w:t>suisses pour les</w:t>
      </w:r>
      <w:r w:rsidR="003804A8" w:rsidRPr="004D3D70">
        <w:rPr>
          <w:lang w:val="fr-CH"/>
        </w:rPr>
        <w:t xml:space="preserve"> adult</w:t>
      </w:r>
      <w:r w:rsidR="00291BC4" w:rsidRPr="004D3D70">
        <w:rPr>
          <w:lang w:val="fr-CH"/>
        </w:rPr>
        <w:t>e</w:t>
      </w:r>
      <w:r w:rsidR="003804A8" w:rsidRPr="004D3D70">
        <w:rPr>
          <w:lang w:val="fr-CH"/>
        </w:rPr>
        <w:t xml:space="preserve">s </w:t>
      </w:r>
      <w:r w:rsidR="009E1439" w:rsidRPr="004D3D70">
        <w:rPr>
          <w:lang w:val="fr-CH"/>
        </w:rPr>
        <w:t>et à</w:t>
      </w:r>
      <w:r w:rsidR="00291BC4" w:rsidRPr="004D3D70">
        <w:rPr>
          <w:lang w:val="fr-CH"/>
        </w:rPr>
        <w:t xml:space="preserve"> 265 </w:t>
      </w:r>
      <w:r w:rsidR="003804A8" w:rsidRPr="004D3D70">
        <w:rPr>
          <w:lang w:val="fr-CH"/>
        </w:rPr>
        <w:t xml:space="preserve">francs </w:t>
      </w:r>
      <w:r w:rsidR="00291BC4" w:rsidRPr="004D3D70">
        <w:rPr>
          <w:lang w:val="fr-CH"/>
        </w:rPr>
        <w:t>suisses pour les enfan</w:t>
      </w:r>
      <w:r w:rsidR="002140E0" w:rsidRPr="004D3D70">
        <w:rPr>
          <w:lang w:val="fr-CH"/>
        </w:rPr>
        <w:t>ts</w:t>
      </w:r>
      <w:r w:rsidR="002140E0">
        <w:rPr>
          <w:lang w:val="fr-CH"/>
        </w:rPr>
        <w:t xml:space="preserve">.  </w:t>
      </w:r>
      <w:r w:rsidR="002140E0" w:rsidRPr="004D3D70">
        <w:rPr>
          <w:lang w:val="fr-CH"/>
        </w:rPr>
        <w:t>La</w:t>
      </w:r>
      <w:r w:rsidR="00291BC4" w:rsidRPr="004D3D70">
        <w:rPr>
          <w:lang w:val="fr-CH"/>
        </w:rPr>
        <w:t xml:space="preserve"> valeur actuelle des obligations relatives à des prestations définies en matière d</w:t>
      </w:r>
      <w:r w:rsidR="004D3D70">
        <w:rPr>
          <w:lang w:val="fr-CH"/>
        </w:rPr>
        <w:t>’</w:t>
      </w:r>
      <w:r w:rsidR="00291BC4" w:rsidRPr="004D3D70">
        <w:rPr>
          <w:lang w:val="fr-CH"/>
        </w:rPr>
        <w:t>assurance maladie après la cessation de service est calculée selon la méthode des unités de crédit projetées et par soustraction des futures sorties de trésorerie estimées en appliquant un taux d</w:t>
      </w:r>
      <w:r w:rsidR="004D3D70">
        <w:rPr>
          <w:lang w:val="fr-CH"/>
        </w:rPr>
        <w:t>’</w:t>
      </w:r>
      <w:r w:rsidR="00291BC4" w:rsidRPr="004D3D70">
        <w:rPr>
          <w:lang w:val="fr-CH"/>
        </w:rPr>
        <w:t>actualisation fondé sur des obligations de sociétés de haut rang libellées en francs suiss</w:t>
      </w:r>
      <w:r w:rsidR="002140E0" w:rsidRPr="004D3D70">
        <w:rPr>
          <w:lang w:val="fr-CH"/>
        </w:rPr>
        <w:t>es</w:t>
      </w:r>
      <w:r w:rsidR="002140E0">
        <w:rPr>
          <w:lang w:val="fr-CH"/>
        </w:rPr>
        <w:t xml:space="preserve">.  </w:t>
      </w:r>
      <w:r w:rsidR="002140E0" w:rsidRPr="004D3D70">
        <w:rPr>
          <w:lang w:val="fr-CH"/>
        </w:rPr>
        <w:t>En</w:t>
      </w:r>
      <w:r w:rsidRPr="004D3D70">
        <w:rPr>
          <w:lang w:val="fr-CH"/>
        </w:rPr>
        <w:t xml:space="preserve"> vertu des normes</w:t>
      </w:r>
      <w:r w:rsidR="00AC2A6B">
        <w:rPr>
          <w:lang w:val="fr-CH"/>
        </w:rPr>
        <w:t> </w:t>
      </w:r>
      <w:r w:rsidRPr="004D3D70">
        <w:rPr>
          <w:lang w:val="fr-CH"/>
        </w:rPr>
        <w:t>IPSAS, les obligations au titre de l</w:t>
      </w:r>
      <w:r w:rsidR="004D3D70">
        <w:rPr>
          <w:lang w:val="fr-CH"/>
        </w:rPr>
        <w:t>’</w:t>
      </w:r>
      <w:r w:rsidRPr="004D3D70">
        <w:rPr>
          <w:lang w:val="fr-CH"/>
        </w:rPr>
        <w:t>AMCS de l</w:t>
      </w:r>
      <w:r w:rsidR="004D3D70">
        <w:rPr>
          <w:lang w:val="fr-CH"/>
        </w:rPr>
        <w:t>’</w:t>
      </w:r>
      <w:r w:rsidRPr="004D3D70">
        <w:rPr>
          <w:lang w:val="fr-CH"/>
        </w:rPr>
        <w:t>UPOV sont considérées comme non financées, car aucun actif du régime n</w:t>
      </w:r>
      <w:r w:rsidR="004D3D70">
        <w:rPr>
          <w:lang w:val="fr-CH"/>
        </w:rPr>
        <w:t>’</w:t>
      </w:r>
      <w:r w:rsidRPr="004D3D70">
        <w:rPr>
          <w:lang w:val="fr-CH"/>
        </w:rPr>
        <w:t>est détenu par un fonds ou une entité juridiquement distincts, et par conséquent, aucun actif du régime n</w:t>
      </w:r>
      <w:r w:rsidR="004D3D70">
        <w:rPr>
          <w:lang w:val="fr-CH"/>
        </w:rPr>
        <w:t>’</w:t>
      </w:r>
      <w:r w:rsidRPr="004D3D70">
        <w:rPr>
          <w:lang w:val="fr-CH"/>
        </w:rPr>
        <w:t>est déduit du passif tel que comptabilisé dans l</w:t>
      </w:r>
      <w:r w:rsidR="004D3D70">
        <w:rPr>
          <w:lang w:val="fr-CH"/>
        </w:rPr>
        <w:t>’</w:t>
      </w:r>
      <w:r w:rsidRPr="004D3D70">
        <w:rPr>
          <w:lang w:val="fr-CH"/>
        </w:rPr>
        <w:t>état de la situation financiè</w:t>
      </w:r>
      <w:r w:rsidR="002140E0" w:rsidRPr="004D3D70">
        <w:rPr>
          <w:lang w:val="fr-CH"/>
        </w:rPr>
        <w:t>re</w:t>
      </w:r>
      <w:r w:rsidR="002140E0">
        <w:rPr>
          <w:lang w:val="fr-CH"/>
        </w:rPr>
        <w:t xml:space="preserve">.  </w:t>
      </w:r>
      <w:r w:rsidR="002140E0" w:rsidRPr="004D3D70">
        <w:rPr>
          <w:lang w:val="fr-CH"/>
        </w:rPr>
        <w:t>Il</w:t>
      </w:r>
      <w:r w:rsidRPr="004D3D70">
        <w:rPr>
          <w:lang w:val="fr-CH"/>
        </w:rPr>
        <w:t xml:space="preserve"> convient toutefois de noter que l</w:t>
      </w:r>
      <w:r w:rsidR="004D3D70">
        <w:rPr>
          <w:lang w:val="fr-CH"/>
        </w:rPr>
        <w:t>’</w:t>
      </w:r>
      <w:r w:rsidRPr="004D3D70">
        <w:rPr>
          <w:lang w:val="fr-CH"/>
        </w:rPr>
        <w:t xml:space="preserve">UPOV détient sur un compte bancaire distinct des fonds alloués au financement futur de ses engagements au titre de </w:t>
      </w:r>
      <w:r w:rsidRPr="004D3D70">
        <w:rPr>
          <w:lang w:val="fr-CH"/>
        </w:rPr>
        <w:lastRenderedPageBreak/>
        <w:t>l</w:t>
      </w:r>
      <w:r w:rsidR="004D3D70">
        <w:rPr>
          <w:lang w:val="fr-CH"/>
        </w:rPr>
        <w:t>’</w:t>
      </w:r>
      <w:r w:rsidRPr="004D3D70">
        <w:rPr>
          <w:lang w:val="fr-CH"/>
        </w:rPr>
        <w:t>AMCS (voir la note n°</w:t>
      </w:r>
      <w:r w:rsidR="00AC2A6B">
        <w:rPr>
          <w:lang w:val="fr-CH"/>
        </w:rPr>
        <w:t> </w:t>
      </w:r>
      <w:r w:rsidRPr="004D3D70">
        <w:rPr>
          <w:lang w:val="fr-CH"/>
        </w:rPr>
        <w:t>3).</w:t>
      </w:r>
      <w:r w:rsidR="00712196" w:rsidRPr="004D3D70">
        <w:rPr>
          <w:lang w:val="fr-CH"/>
        </w:rPr>
        <w:t xml:space="preserve">  À la date d</w:t>
      </w:r>
      <w:r w:rsidR="004D3D70">
        <w:rPr>
          <w:lang w:val="fr-CH"/>
        </w:rPr>
        <w:t>’</w:t>
      </w:r>
      <w:r w:rsidR="00712196" w:rsidRPr="004D3D70">
        <w:rPr>
          <w:lang w:val="fr-CH"/>
        </w:rPr>
        <w:t>établissement des états financiers</w:t>
      </w:r>
      <w:r w:rsidR="003804A8" w:rsidRPr="004D3D70">
        <w:rPr>
          <w:lang w:val="fr-CH"/>
        </w:rPr>
        <w:t xml:space="preserve">, </w:t>
      </w:r>
      <w:r w:rsidR="009E1439" w:rsidRPr="004D3D70">
        <w:rPr>
          <w:lang w:val="fr-CH"/>
        </w:rPr>
        <w:t xml:space="preserve">les </w:t>
      </w:r>
      <w:r w:rsidR="00712196" w:rsidRPr="004D3D70">
        <w:rPr>
          <w:lang w:val="fr-CH"/>
        </w:rPr>
        <w:t>obligation</w:t>
      </w:r>
      <w:r w:rsidR="009E1439" w:rsidRPr="004D3D70">
        <w:rPr>
          <w:lang w:val="fr-CH"/>
        </w:rPr>
        <w:t>s</w:t>
      </w:r>
      <w:r w:rsidR="00712196" w:rsidRPr="004D3D70">
        <w:rPr>
          <w:lang w:val="fr-CH"/>
        </w:rPr>
        <w:t xml:space="preserve"> de l</w:t>
      </w:r>
      <w:r w:rsidR="004D3D70">
        <w:rPr>
          <w:lang w:val="fr-CH"/>
        </w:rPr>
        <w:t>’</w:t>
      </w:r>
      <w:r w:rsidR="00712196" w:rsidRPr="004D3D70">
        <w:rPr>
          <w:lang w:val="fr-CH"/>
        </w:rPr>
        <w:t>UPOV</w:t>
      </w:r>
      <w:r w:rsidR="009E1439" w:rsidRPr="004D3D70">
        <w:rPr>
          <w:lang w:val="fr-CH"/>
        </w:rPr>
        <w:t xml:space="preserve"> au titre de l</w:t>
      </w:r>
      <w:r w:rsidR="004D3D70">
        <w:rPr>
          <w:lang w:val="fr-CH"/>
        </w:rPr>
        <w:t>’</w:t>
      </w:r>
      <w:r w:rsidR="009E1439" w:rsidRPr="004D3D70">
        <w:rPr>
          <w:lang w:val="fr-CH"/>
        </w:rPr>
        <w:t>AMCS ont</w:t>
      </w:r>
      <w:r w:rsidR="00712196" w:rsidRPr="004D3D70">
        <w:rPr>
          <w:lang w:val="fr-CH"/>
        </w:rPr>
        <w:t xml:space="preserve"> été estimée</w:t>
      </w:r>
      <w:r w:rsidR="009E1439" w:rsidRPr="004D3D70">
        <w:rPr>
          <w:lang w:val="fr-CH"/>
        </w:rPr>
        <w:t>s</w:t>
      </w:r>
      <w:r w:rsidR="00712196" w:rsidRPr="004D3D70">
        <w:rPr>
          <w:lang w:val="fr-CH"/>
        </w:rPr>
        <w:t xml:space="preserve"> comme suit, sur la base d</w:t>
      </w:r>
      <w:r w:rsidR="004D3D70">
        <w:rPr>
          <w:lang w:val="fr-CH"/>
        </w:rPr>
        <w:t>’</w:t>
      </w:r>
      <w:r w:rsidR="00712196" w:rsidRPr="004D3D70">
        <w:rPr>
          <w:lang w:val="fr-CH"/>
        </w:rPr>
        <w:t>une évaluation actuarielle effectuée en décembre 2017 par un bureau indépendant</w:t>
      </w:r>
      <w:r w:rsidR="004D3D70">
        <w:rPr>
          <w:lang w:val="fr-CH"/>
        </w:rPr>
        <w:t> :</w:t>
      </w:r>
    </w:p>
    <w:p w:rsidR="00905890" w:rsidRPr="004D3D70" w:rsidRDefault="00905890" w:rsidP="007D1ECB">
      <w:pPr>
        <w:rPr>
          <w:lang w:val="fr-CH"/>
        </w:rPr>
      </w:pPr>
    </w:p>
    <w:p w:rsidR="00905890" w:rsidRPr="004D3D70" w:rsidRDefault="00ED317C" w:rsidP="00A824AF">
      <w:pPr>
        <w:pStyle w:val="Style3"/>
        <w:spacing w:after="0"/>
        <w:jc w:val="center"/>
        <w:rPr>
          <w:rFonts w:cs="Arial"/>
          <w:sz w:val="20"/>
          <w:lang w:val="fr-CH"/>
        </w:rPr>
      </w:pPr>
      <w:r w:rsidRPr="00ED317C">
        <w:rPr>
          <w:noProof/>
          <w:lang w:val="en-US"/>
        </w:rPr>
        <w:drawing>
          <wp:inline distT="0" distB="0" distL="0" distR="0">
            <wp:extent cx="5734050" cy="14605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4050" cy="1460500"/>
                    </a:xfrm>
                    <a:prstGeom prst="rect">
                      <a:avLst/>
                    </a:prstGeom>
                    <a:noFill/>
                    <a:ln>
                      <a:noFill/>
                    </a:ln>
                  </pic:spPr>
                </pic:pic>
              </a:graphicData>
            </a:graphic>
          </wp:inline>
        </w:drawing>
      </w:r>
    </w:p>
    <w:p w:rsidR="00905890" w:rsidRDefault="00905890" w:rsidP="00A824AF">
      <w:pPr>
        <w:rPr>
          <w:lang w:val="fr-CH"/>
        </w:rPr>
      </w:pPr>
    </w:p>
    <w:p w:rsidR="005D3F23" w:rsidRPr="004D3D70" w:rsidRDefault="005D3F23" w:rsidP="00A824AF">
      <w:pPr>
        <w:rPr>
          <w:lang w:val="fr-CH"/>
        </w:rPr>
      </w:pPr>
    </w:p>
    <w:p w:rsidR="00905890" w:rsidRPr="004D3D70" w:rsidRDefault="0043308C" w:rsidP="0043308C">
      <w:pPr>
        <w:rPr>
          <w:lang w:val="fr-CH"/>
        </w:rPr>
      </w:pPr>
      <w:r w:rsidRPr="004D3D70">
        <w:rPr>
          <w:lang w:val="fr-CH"/>
        </w:rPr>
        <w:t>Le tableau ci</w:t>
      </w:r>
      <w:r w:rsidR="00665FEC">
        <w:rPr>
          <w:lang w:val="fr-CH"/>
        </w:rPr>
        <w:noBreakHyphen/>
      </w:r>
      <w:r w:rsidRPr="004D3D70">
        <w:rPr>
          <w:lang w:val="fr-CH"/>
        </w:rPr>
        <w:t>dessous détaille les dépenses au titre de l</w:t>
      </w:r>
      <w:r w:rsidR="004D3D70">
        <w:rPr>
          <w:lang w:val="fr-CH"/>
        </w:rPr>
        <w:t>’</w:t>
      </w:r>
      <w:r w:rsidRPr="004D3D70">
        <w:rPr>
          <w:lang w:val="fr-CH"/>
        </w:rPr>
        <w:t>assurance maladie après la cessation de service comptabilisées dans l</w:t>
      </w:r>
      <w:r w:rsidR="004D3D70">
        <w:rPr>
          <w:lang w:val="fr-CH"/>
        </w:rPr>
        <w:t>’</w:t>
      </w:r>
      <w:r w:rsidRPr="004D3D70">
        <w:rPr>
          <w:lang w:val="fr-CH"/>
        </w:rPr>
        <w:t>état de la performance financière</w:t>
      </w:r>
      <w:r w:rsidR="004D3D70">
        <w:rPr>
          <w:lang w:val="fr-CH"/>
        </w:rPr>
        <w:t> :</w:t>
      </w:r>
    </w:p>
    <w:p w:rsidR="00905890" w:rsidRPr="004D3D70" w:rsidRDefault="00905890" w:rsidP="00A824AF">
      <w:pPr>
        <w:rPr>
          <w:lang w:val="fr-CH"/>
        </w:rPr>
      </w:pPr>
    </w:p>
    <w:p w:rsidR="00905890" w:rsidRPr="004D3D70" w:rsidRDefault="00ED317C" w:rsidP="007D1ECB">
      <w:pPr>
        <w:jc w:val="center"/>
        <w:rPr>
          <w:lang w:val="fr-CH"/>
        </w:rPr>
      </w:pPr>
      <w:r w:rsidRPr="00ED317C">
        <w:rPr>
          <w:noProof/>
          <w:lang w:val="en-US"/>
        </w:rPr>
        <w:drawing>
          <wp:inline distT="0" distB="0" distL="0" distR="0">
            <wp:extent cx="5734050" cy="146050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0" cy="1460500"/>
                    </a:xfrm>
                    <a:prstGeom prst="rect">
                      <a:avLst/>
                    </a:prstGeom>
                    <a:noFill/>
                    <a:ln>
                      <a:noFill/>
                    </a:ln>
                  </pic:spPr>
                </pic:pic>
              </a:graphicData>
            </a:graphic>
          </wp:inline>
        </w:drawing>
      </w:r>
    </w:p>
    <w:p w:rsidR="00905890" w:rsidRDefault="00905890" w:rsidP="007D1ECB">
      <w:pPr>
        <w:rPr>
          <w:lang w:val="fr-CH"/>
        </w:rPr>
      </w:pPr>
    </w:p>
    <w:p w:rsidR="00905890" w:rsidRPr="004D3D70" w:rsidRDefault="00633543" w:rsidP="0080359D">
      <w:pPr>
        <w:rPr>
          <w:lang w:val="fr-CH"/>
        </w:rPr>
      </w:pPr>
      <w:r w:rsidRPr="004D3D70">
        <w:rPr>
          <w:lang w:val="fr-CH"/>
        </w:rPr>
        <w:t>Avant la mise en œuvre de la norme</w:t>
      </w:r>
      <w:r w:rsidR="00AC2A6B">
        <w:rPr>
          <w:lang w:val="fr-CH"/>
        </w:rPr>
        <w:t> </w:t>
      </w:r>
      <w:r w:rsidR="00E32F5D" w:rsidRPr="004D3D70">
        <w:rPr>
          <w:lang w:val="fr-CH"/>
        </w:rPr>
        <w:t>IPSAS</w:t>
      </w:r>
      <w:r w:rsidR="00BE23DA">
        <w:rPr>
          <w:lang w:val="fr-CH"/>
        </w:rPr>
        <w:t> </w:t>
      </w:r>
      <w:r w:rsidR="00E32F5D" w:rsidRPr="004D3D70">
        <w:rPr>
          <w:lang w:val="fr-CH"/>
        </w:rPr>
        <w:t xml:space="preserve">39, </w:t>
      </w:r>
      <w:r w:rsidRPr="004D3D70">
        <w:rPr>
          <w:lang w:val="fr-CH"/>
        </w:rPr>
        <w:t>l</w:t>
      </w:r>
      <w:r w:rsidR="004D3D70">
        <w:rPr>
          <w:lang w:val="fr-CH"/>
        </w:rPr>
        <w:t>’</w:t>
      </w:r>
      <w:r w:rsidR="00E32F5D" w:rsidRPr="004D3D70">
        <w:rPr>
          <w:lang w:val="fr-CH"/>
        </w:rPr>
        <w:t>UPOV</w:t>
      </w:r>
      <w:r w:rsidR="00A3594F" w:rsidRPr="004D3D70">
        <w:rPr>
          <w:lang w:val="fr-CH"/>
        </w:rPr>
        <w:t xml:space="preserve"> </w:t>
      </w:r>
      <w:r w:rsidRPr="004D3D70">
        <w:rPr>
          <w:lang w:val="fr-CH"/>
        </w:rPr>
        <w:t>appliquait la méthode du</w:t>
      </w:r>
      <w:r w:rsidR="00A3594F" w:rsidRPr="004D3D70">
        <w:rPr>
          <w:lang w:val="fr-CH"/>
        </w:rPr>
        <w:t xml:space="preserve"> corridor </w:t>
      </w:r>
      <w:r w:rsidRPr="004D3D70">
        <w:rPr>
          <w:lang w:val="fr-CH"/>
        </w:rPr>
        <w:t>pour la comptabilisation des gains et pertes actuariels</w:t>
      </w:r>
      <w:r w:rsidR="0080359D" w:rsidRPr="004D3D70">
        <w:rPr>
          <w:lang w:val="fr-CH"/>
        </w:rPr>
        <w:t xml:space="preserve"> </w:t>
      </w:r>
      <w:r w:rsidRPr="004D3D70">
        <w:rPr>
          <w:lang w:val="fr-CH"/>
        </w:rPr>
        <w:t>au titre de l</w:t>
      </w:r>
      <w:r w:rsidR="004D3D70">
        <w:rPr>
          <w:lang w:val="fr-CH"/>
        </w:rPr>
        <w:t>’</w:t>
      </w:r>
      <w:r w:rsidRPr="004D3D70">
        <w:rPr>
          <w:lang w:val="fr-CH"/>
        </w:rPr>
        <w:t>AMCS</w:t>
      </w:r>
      <w:r w:rsidR="0080359D" w:rsidRPr="004D3D70">
        <w:rPr>
          <w:lang w:val="fr-CH"/>
        </w:rPr>
        <w:t xml:space="preserve">. </w:t>
      </w:r>
      <w:r w:rsidR="00E977CB" w:rsidRPr="004D3D70">
        <w:rPr>
          <w:lang w:val="fr-CH"/>
        </w:rPr>
        <w:t xml:space="preserve"> E</w:t>
      </w:r>
      <w:r w:rsidRPr="004D3D70">
        <w:rPr>
          <w:lang w:val="fr-CH"/>
        </w:rPr>
        <w:t>n</w:t>
      </w:r>
      <w:r w:rsidR="00E977CB" w:rsidRPr="004D3D70">
        <w:rPr>
          <w:lang w:val="fr-CH"/>
        </w:rPr>
        <w:t xml:space="preserve"> vertu de</w:t>
      </w:r>
      <w:r w:rsidRPr="004D3D70">
        <w:rPr>
          <w:lang w:val="fr-CH"/>
        </w:rPr>
        <w:t xml:space="preserve"> cette méthode comptable</w:t>
      </w:r>
      <w:r w:rsidR="0080359D" w:rsidRPr="004D3D70">
        <w:rPr>
          <w:lang w:val="fr-CH"/>
        </w:rPr>
        <w:t xml:space="preserve">, </w:t>
      </w:r>
      <w:r w:rsidRPr="004D3D70">
        <w:rPr>
          <w:lang w:val="fr-CH"/>
        </w:rPr>
        <w:t xml:space="preserve">une partie des gains </w:t>
      </w:r>
      <w:r w:rsidR="009E1439" w:rsidRPr="004D3D70">
        <w:rPr>
          <w:lang w:val="fr-CH"/>
        </w:rPr>
        <w:t>et pertes actuariels nets était</w:t>
      </w:r>
      <w:r w:rsidRPr="004D3D70">
        <w:rPr>
          <w:lang w:val="fr-CH"/>
        </w:rPr>
        <w:t xml:space="preserve"> com</w:t>
      </w:r>
      <w:r w:rsidR="009E1439" w:rsidRPr="004D3D70">
        <w:rPr>
          <w:lang w:val="fr-CH"/>
        </w:rPr>
        <w:t>ptabilisée</w:t>
      </w:r>
      <w:r w:rsidRPr="004D3D70">
        <w:rPr>
          <w:lang w:val="fr-CH"/>
        </w:rPr>
        <w:t xml:space="preserve"> si les gains et pertes nets cumulés non comptabilisés à la fin de la période de clôture précédente dépassaient 10% de la valeur actuelle de l</w:t>
      </w:r>
      <w:r w:rsidR="004D3D70">
        <w:rPr>
          <w:lang w:val="fr-CH"/>
        </w:rPr>
        <w:t>’</w:t>
      </w:r>
      <w:r w:rsidRPr="004D3D70">
        <w:rPr>
          <w:lang w:val="fr-CH"/>
        </w:rPr>
        <w:t>obligation au titre des prestations définie à cette date</w:t>
      </w:r>
      <w:r w:rsidR="0080359D" w:rsidRPr="004D3D70">
        <w:rPr>
          <w:lang w:val="fr-CH"/>
        </w:rPr>
        <w:t>.</w:t>
      </w:r>
      <w:r w:rsidR="00AC2A6B">
        <w:rPr>
          <w:lang w:val="fr-CH"/>
        </w:rPr>
        <w:t xml:space="preserve"> </w:t>
      </w:r>
      <w:r w:rsidR="009E1439" w:rsidRPr="004D3D70">
        <w:rPr>
          <w:lang w:val="fr-CH"/>
        </w:rPr>
        <w:t xml:space="preserve"> Depuis </w:t>
      </w:r>
      <w:r w:rsidRPr="004D3D70">
        <w:rPr>
          <w:lang w:val="fr-CH"/>
        </w:rPr>
        <w:t>la mise en œuvre de la norme</w:t>
      </w:r>
      <w:r w:rsidR="00AC2A6B">
        <w:rPr>
          <w:lang w:val="fr-CH"/>
        </w:rPr>
        <w:t> </w:t>
      </w:r>
      <w:r w:rsidR="0080359D" w:rsidRPr="004D3D70">
        <w:rPr>
          <w:lang w:val="fr-CH"/>
        </w:rPr>
        <w:t>IPSAS</w:t>
      </w:r>
      <w:r w:rsidR="00BE23DA">
        <w:rPr>
          <w:lang w:val="fr-CH"/>
        </w:rPr>
        <w:t> </w:t>
      </w:r>
      <w:r w:rsidR="0080359D" w:rsidRPr="004D3D70">
        <w:rPr>
          <w:lang w:val="fr-CH"/>
        </w:rPr>
        <w:t xml:space="preserve">39 </w:t>
      </w:r>
      <w:r w:rsidR="004D3D70" w:rsidRPr="004D3D70">
        <w:rPr>
          <w:lang w:val="fr-CH"/>
        </w:rPr>
        <w:t>en</w:t>
      </w:r>
      <w:r w:rsidR="004D3D70">
        <w:rPr>
          <w:lang w:val="fr-CH"/>
        </w:rPr>
        <w:t> </w:t>
      </w:r>
      <w:r w:rsidR="004D3D70" w:rsidRPr="004D3D70">
        <w:rPr>
          <w:lang w:val="fr-CH"/>
        </w:rPr>
        <w:t>2017</w:t>
      </w:r>
      <w:r w:rsidR="0080359D" w:rsidRPr="004D3D70">
        <w:rPr>
          <w:lang w:val="fr-CH"/>
        </w:rPr>
        <w:t xml:space="preserve">, </w:t>
      </w:r>
      <w:r w:rsidRPr="004D3D70">
        <w:rPr>
          <w:lang w:val="fr-CH"/>
        </w:rPr>
        <w:t>les gains et pertes actuarie</w:t>
      </w:r>
      <w:r w:rsidR="0080359D" w:rsidRPr="004D3D70">
        <w:rPr>
          <w:lang w:val="fr-CH"/>
        </w:rPr>
        <w:t>l</w:t>
      </w:r>
      <w:r w:rsidRPr="004D3D70">
        <w:rPr>
          <w:lang w:val="fr-CH"/>
        </w:rPr>
        <w:t>s au titre de l</w:t>
      </w:r>
      <w:r w:rsidR="004D3D70">
        <w:rPr>
          <w:lang w:val="fr-CH"/>
        </w:rPr>
        <w:t>’</w:t>
      </w:r>
      <w:r w:rsidRPr="004D3D70">
        <w:rPr>
          <w:lang w:val="fr-CH"/>
        </w:rPr>
        <w:t xml:space="preserve">AMCS sont comptabilisés directement </w:t>
      </w:r>
      <w:r w:rsidR="009A65B0" w:rsidRPr="004D3D70">
        <w:rPr>
          <w:lang w:val="fr-CH"/>
        </w:rPr>
        <w:t>dans l</w:t>
      </w:r>
      <w:r w:rsidR="00B90144" w:rsidRPr="004D3D70">
        <w:rPr>
          <w:lang w:val="fr-CH"/>
        </w:rPr>
        <w:t xml:space="preserve">es </w:t>
      </w:r>
      <w:r w:rsidR="009E1439" w:rsidRPr="004D3D70">
        <w:rPr>
          <w:lang w:val="fr-CH"/>
        </w:rPr>
        <w:t>actif</w:t>
      </w:r>
      <w:r w:rsidR="00B90144" w:rsidRPr="004D3D70">
        <w:rPr>
          <w:lang w:val="fr-CH"/>
        </w:rPr>
        <w:t>s</w:t>
      </w:r>
      <w:r w:rsidR="009E1439" w:rsidRPr="004D3D70">
        <w:rPr>
          <w:lang w:val="fr-CH"/>
        </w:rPr>
        <w:t xml:space="preserve"> ne</w:t>
      </w:r>
      <w:r w:rsidR="002140E0" w:rsidRPr="004D3D70">
        <w:rPr>
          <w:lang w:val="fr-CH"/>
        </w:rPr>
        <w:t>ts</w:t>
      </w:r>
      <w:r w:rsidR="002140E0">
        <w:rPr>
          <w:lang w:val="fr-CH"/>
        </w:rPr>
        <w:t xml:space="preserve">.  </w:t>
      </w:r>
      <w:r w:rsidR="002140E0" w:rsidRPr="004D3D70">
        <w:rPr>
          <w:lang w:val="fr-CH"/>
        </w:rPr>
        <w:t>Le</w:t>
      </w:r>
      <w:r w:rsidRPr="004D3D70">
        <w:rPr>
          <w:lang w:val="fr-CH"/>
        </w:rPr>
        <w:t xml:space="preserve"> </w:t>
      </w:r>
      <w:r w:rsidR="0080359D" w:rsidRPr="004D3D70">
        <w:rPr>
          <w:lang w:val="fr-CH"/>
        </w:rPr>
        <w:t>table</w:t>
      </w:r>
      <w:r w:rsidRPr="004D3D70">
        <w:rPr>
          <w:lang w:val="fr-CH"/>
        </w:rPr>
        <w:t>au ci</w:t>
      </w:r>
      <w:r w:rsidR="00665FEC">
        <w:rPr>
          <w:lang w:val="fr-CH"/>
        </w:rPr>
        <w:noBreakHyphen/>
      </w:r>
      <w:r w:rsidR="00EC7D0B" w:rsidRPr="004D3D70">
        <w:rPr>
          <w:lang w:val="fr-CH"/>
        </w:rPr>
        <w:t>dessous</w:t>
      </w:r>
      <w:r w:rsidRPr="004D3D70">
        <w:rPr>
          <w:lang w:val="fr-CH"/>
        </w:rPr>
        <w:t xml:space="preserve"> détail</w:t>
      </w:r>
      <w:r w:rsidR="00EC7D0B" w:rsidRPr="004D3D70">
        <w:rPr>
          <w:lang w:val="fr-CH"/>
        </w:rPr>
        <w:t>le</w:t>
      </w:r>
      <w:r w:rsidRPr="004D3D70">
        <w:rPr>
          <w:lang w:val="fr-CH"/>
        </w:rPr>
        <w:t xml:space="preserve"> </w:t>
      </w:r>
      <w:r w:rsidR="00EC7D0B" w:rsidRPr="004D3D70">
        <w:rPr>
          <w:lang w:val="fr-CH"/>
        </w:rPr>
        <w:t>l</w:t>
      </w:r>
      <w:r w:rsidR="004D3D70">
        <w:rPr>
          <w:lang w:val="fr-CH"/>
        </w:rPr>
        <w:t>’</w:t>
      </w:r>
      <w:r w:rsidR="00EC7D0B" w:rsidRPr="004D3D70">
        <w:rPr>
          <w:lang w:val="fr-CH"/>
        </w:rPr>
        <w:t>évolution de l</w:t>
      </w:r>
      <w:r w:rsidR="004D3D70">
        <w:rPr>
          <w:lang w:val="fr-CH"/>
        </w:rPr>
        <w:t>’</w:t>
      </w:r>
      <w:r w:rsidR="00EC7D0B" w:rsidRPr="004D3D70">
        <w:rPr>
          <w:lang w:val="fr-CH"/>
        </w:rPr>
        <w:t>obligation au titre des prestations définies dans le cadre de l</w:t>
      </w:r>
      <w:r w:rsidR="004D3D70">
        <w:rPr>
          <w:lang w:val="fr-CH"/>
        </w:rPr>
        <w:t>’</w:t>
      </w:r>
      <w:r w:rsidR="00EC7D0B" w:rsidRPr="004D3D70">
        <w:rPr>
          <w:lang w:val="fr-CH"/>
        </w:rPr>
        <w:t>AMCS</w:t>
      </w:r>
      <w:r w:rsidR="0080359D" w:rsidRPr="004D3D70">
        <w:rPr>
          <w:lang w:val="fr-CH"/>
        </w:rPr>
        <w:t xml:space="preserve">, </w:t>
      </w:r>
      <w:r w:rsidR="004D3D70">
        <w:rPr>
          <w:lang w:val="fr-CH"/>
        </w:rPr>
        <w:t>y compris</w:t>
      </w:r>
      <w:r w:rsidR="00EC7D0B" w:rsidRPr="004D3D70">
        <w:rPr>
          <w:lang w:val="fr-CH"/>
        </w:rPr>
        <w:t xml:space="preserve"> l</w:t>
      </w:r>
      <w:r w:rsidR="004D3D70">
        <w:rPr>
          <w:lang w:val="fr-CH"/>
        </w:rPr>
        <w:t>’</w:t>
      </w:r>
      <w:r w:rsidR="00EC7D0B" w:rsidRPr="004D3D70">
        <w:rPr>
          <w:lang w:val="fr-CH"/>
        </w:rPr>
        <w:t>impact des gains/(perte</w:t>
      </w:r>
      <w:r w:rsidR="0080359D" w:rsidRPr="004D3D70">
        <w:rPr>
          <w:lang w:val="fr-CH"/>
        </w:rPr>
        <w:t>s)</w:t>
      </w:r>
      <w:r w:rsidR="00EC7D0B" w:rsidRPr="004D3D70">
        <w:rPr>
          <w:lang w:val="fr-CH"/>
        </w:rPr>
        <w:t xml:space="preserve"> actuariels</w:t>
      </w:r>
      <w:r w:rsidR="004D3D70">
        <w:rPr>
          <w:lang w:val="fr-CH"/>
        </w:rPr>
        <w:t> :</w:t>
      </w:r>
    </w:p>
    <w:p w:rsidR="005D3F23" w:rsidRPr="004D3D70" w:rsidRDefault="005D3F23" w:rsidP="0080359D">
      <w:pPr>
        <w:rPr>
          <w:lang w:val="fr-CH"/>
        </w:rPr>
      </w:pPr>
    </w:p>
    <w:p w:rsidR="00905890" w:rsidRPr="004D3D70" w:rsidRDefault="00ED317C" w:rsidP="00B72E13">
      <w:pPr>
        <w:jc w:val="center"/>
        <w:rPr>
          <w:lang w:val="fr-CH"/>
        </w:rPr>
      </w:pPr>
      <w:r w:rsidRPr="00ED317C">
        <w:rPr>
          <w:noProof/>
          <w:lang w:val="en-US"/>
        </w:rPr>
        <w:drawing>
          <wp:inline distT="0" distB="0" distL="0" distR="0">
            <wp:extent cx="5734050" cy="19621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4050" cy="1962150"/>
                    </a:xfrm>
                    <a:prstGeom prst="rect">
                      <a:avLst/>
                    </a:prstGeom>
                    <a:noFill/>
                    <a:ln>
                      <a:noFill/>
                    </a:ln>
                  </pic:spPr>
                </pic:pic>
              </a:graphicData>
            </a:graphic>
          </wp:inline>
        </w:drawing>
      </w:r>
    </w:p>
    <w:p w:rsidR="00905890" w:rsidRDefault="00905890" w:rsidP="00B72E13">
      <w:pPr>
        <w:rPr>
          <w:lang w:val="fr-CH"/>
        </w:rPr>
      </w:pPr>
    </w:p>
    <w:p w:rsidR="00293253" w:rsidRDefault="00293253" w:rsidP="0043308C">
      <w:pPr>
        <w:rPr>
          <w:lang w:val="fr-CH"/>
        </w:rPr>
      </w:pPr>
    </w:p>
    <w:p w:rsidR="00905890" w:rsidRPr="004D3D70" w:rsidRDefault="00EC7D0B" w:rsidP="0043308C">
      <w:pPr>
        <w:rPr>
          <w:lang w:val="fr-CH"/>
        </w:rPr>
      </w:pPr>
      <w:r w:rsidRPr="004D3D70">
        <w:rPr>
          <w:lang w:val="fr-CH"/>
        </w:rPr>
        <w:t>Les cotisations versées par</w:t>
      </w:r>
      <w:r w:rsidR="005C4970" w:rsidRPr="004D3D70">
        <w:rPr>
          <w:lang w:val="fr-CH"/>
        </w:rPr>
        <w:t xml:space="preserve"> </w:t>
      </w:r>
      <w:r w:rsidRPr="004D3D70">
        <w:rPr>
          <w:lang w:val="fr-CH"/>
        </w:rPr>
        <w:t>l</w:t>
      </w:r>
      <w:r w:rsidR="004D3D70">
        <w:rPr>
          <w:lang w:val="fr-CH"/>
        </w:rPr>
        <w:t>’</w:t>
      </w:r>
      <w:r w:rsidRPr="004D3D70">
        <w:rPr>
          <w:lang w:val="fr-CH"/>
        </w:rPr>
        <w:t>UPOV au titre de l</w:t>
      </w:r>
      <w:r w:rsidR="004D3D70">
        <w:rPr>
          <w:lang w:val="fr-CH"/>
        </w:rPr>
        <w:t>’</w:t>
      </w:r>
      <w:r w:rsidRPr="004D3D70">
        <w:rPr>
          <w:lang w:val="fr-CH"/>
        </w:rPr>
        <w:t>AMCS s</w:t>
      </w:r>
      <w:r w:rsidR="004D3D70">
        <w:rPr>
          <w:lang w:val="fr-CH"/>
        </w:rPr>
        <w:t>’</w:t>
      </w:r>
      <w:r w:rsidRPr="004D3D70">
        <w:rPr>
          <w:lang w:val="fr-CH"/>
        </w:rPr>
        <w:t>élevaient à</w:t>
      </w:r>
      <w:r w:rsidR="005C4970" w:rsidRPr="004D3D70">
        <w:rPr>
          <w:lang w:val="fr-CH"/>
        </w:rPr>
        <w:t xml:space="preserve"> 37</w:t>
      </w:r>
      <w:r w:rsidRPr="004D3D70">
        <w:rPr>
          <w:lang w:val="fr-CH"/>
        </w:rPr>
        <w:t> 191 </w:t>
      </w:r>
      <w:r w:rsidR="005C4970" w:rsidRPr="004D3D70">
        <w:rPr>
          <w:lang w:val="fr-CH"/>
        </w:rPr>
        <w:t xml:space="preserve">francs </w:t>
      </w:r>
      <w:r w:rsidRPr="004D3D70">
        <w:rPr>
          <w:lang w:val="fr-CH"/>
        </w:rPr>
        <w:t xml:space="preserve">suisses </w:t>
      </w:r>
      <w:r w:rsidR="004D3D70" w:rsidRPr="004D3D70">
        <w:rPr>
          <w:lang w:val="fr-CH"/>
        </w:rPr>
        <w:t>en</w:t>
      </w:r>
      <w:r w:rsidR="004D3D70">
        <w:rPr>
          <w:lang w:val="fr-CH"/>
        </w:rPr>
        <w:t> </w:t>
      </w:r>
      <w:r w:rsidR="004D3D70" w:rsidRPr="004D3D70">
        <w:rPr>
          <w:lang w:val="fr-CH"/>
        </w:rPr>
        <w:t>2017</w:t>
      </w:r>
      <w:r w:rsidRPr="004D3D70">
        <w:rPr>
          <w:lang w:val="fr-CH"/>
        </w:rPr>
        <w:t xml:space="preserve"> (contre 34 445 </w:t>
      </w:r>
      <w:r w:rsidR="005C4970" w:rsidRPr="004D3D70">
        <w:rPr>
          <w:lang w:val="fr-CH"/>
        </w:rPr>
        <w:t xml:space="preserve">francs </w:t>
      </w:r>
      <w:r w:rsidRPr="004D3D70">
        <w:rPr>
          <w:lang w:val="fr-CH"/>
        </w:rPr>
        <w:t xml:space="preserve">suisses </w:t>
      </w:r>
      <w:r w:rsidR="004D3D70" w:rsidRPr="004D3D70">
        <w:rPr>
          <w:lang w:val="fr-CH"/>
        </w:rPr>
        <w:t>en</w:t>
      </w:r>
      <w:r w:rsidR="004D3D70">
        <w:rPr>
          <w:lang w:val="fr-CH"/>
        </w:rPr>
        <w:t> </w:t>
      </w:r>
      <w:r w:rsidR="004D3D70" w:rsidRPr="004D3D70">
        <w:rPr>
          <w:lang w:val="fr-CH"/>
        </w:rPr>
        <w:t>2016</w:t>
      </w:r>
      <w:r w:rsidR="00A824AF" w:rsidRPr="004D3D70">
        <w:rPr>
          <w:lang w:val="fr-CH"/>
        </w:rPr>
        <w:t>).</w:t>
      </w:r>
      <w:r w:rsidRPr="004D3D70">
        <w:rPr>
          <w:lang w:val="fr-CH"/>
        </w:rPr>
        <w:t xml:space="preserve"> </w:t>
      </w:r>
      <w:r w:rsidR="00A824AF" w:rsidRPr="004D3D70">
        <w:rPr>
          <w:lang w:val="fr-CH"/>
        </w:rPr>
        <w:t xml:space="preserve"> </w:t>
      </w:r>
      <w:r w:rsidR="004D3D70" w:rsidRPr="004D3D70">
        <w:rPr>
          <w:lang w:val="fr-CH"/>
        </w:rPr>
        <w:t>En</w:t>
      </w:r>
      <w:r w:rsidR="004D3D70">
        <w:rPr>
          <w:lang w:val="fr-CH"/>
        </w:rPr>
        <w:t> </w:t>
      </w:r>
      <w:r w:rsidR="004D3D70" w:rsidRPr="004D3D70">
        <w:rPr>
          <w:lang w:val="fr-CH"/>
        </w:rPr>
        <w:t>2018</w:t>
      </w:r>
      <w:r w:rsidR="0043308C" w:rsidRPr="004D3D70">
        <w:rPr>
          <w:lang w:val="fr-CH"/>
        </w:rPr>
        <w:t>, les cotisations prévues au titre de l</w:t>
      </w:r>
      <w:r w:rsidR="004D3D70">
        <w:rPr>
          <w:lang w:val="fr-CH"/>
        </w:rPr>
        <w:t>’</w:t>
      </w:r>
      <w:r w:rsidR="0043308C" w:rsidRPr="004D3D70">
        <w:rPr>
          <w:lang w:val="fr-CH"/>
        </w:rPr>
        <w:t>assurance maladie après la cessation de service devraient représenter 37</w:t>
      </w:r>
      <w:r w:rsidR="00AC2A6B">
        <w:rPr>
          <w:lang w:val="fr-CH"/>
        </w:rPr>
        <w:t> </w:t>
      </w:r>
      <w:r w:rsidR="0043308C" w:rsidRPr="004D3D70">
        <w:rPr>
          <w:lang w:val="fr-CH"/>
        </w:rPr>
        <w:t>64</w:t>
      </w:r>
      <w:r w:rsidR="004D3D70" w:rsidRPr="004D3D70">
        <w:rPr>
          <w:lang w:val="fr-CH"/>
        </w:rPr>
        <w:t>7</w:t>
      </w:r>
      <w:r w:rsidR="004D3D70">
        <w:rPr>
          <w:lang w:val="fr-CH"/>
        </w:rPr>
        <w:t> </w:t>
      </w:r>
      <w:r w:rsidR="004D3D70" w:rsidRPr="004D3D70">
        <w:rPr>
          <w:lang w:val="fr-CH"/>
        </w:rPr>
        <w:t>franc</w:t>
      </w:r>
      <w:r w:rsidR="0043308C" w:rsidRPr="004D3D70">
        <w:rPr>
          <w:lang w:val="fr-CH"/>
        </w:rPr>
        <w:t>s suiss</w:t>
      </w:r>
      <w:r w:rsidR="002140E0" w:rsidRPr="004D3D70">
        <w:rPr>
          <w:lang w:val="fr-CH"/>
        </w:rPr>
        <w:t>es</w:t>
      </w:r>
      <w:r w:rsidR="002140E0">
        <w:rPr>
          <w:lang w:val="fr-CH"/>
        </w:rPr>
        <w:t xml:space="preserve">.  </w:t>
      </w:r>
      <w:r w:rsidR="002140E0" w:rsidRPr="004D3D70">
        <w:rPr>
          <w:lang w:val="fr-CH"/>
        </w:rPr>
        <w:t>La</w:t>
      </w:r>
      <w:r w:rsidRPr="004D3D70">
        <w:rPr>
          <w:lang w:val="fr-CH"/>
        </w:rPr>
        <w:t xml:space="preserve"> durée de la moyenne pondérée</w:t>
      </w:r>
      <w:r w:rsidR="00EE6702" w:rsidRPr="004D3D70">
        <w:rPr>
          <w:lang w:val="fr-CH"/>
        </w:rPr>
        <w:t xml:space="preserve"> des obligations rela</w:t>
      </w:r>
      <w:r w:rsidR="00B90144" w:rsidRPr="004D3D70">
        <w:rPr>
          <w:lang w:val="fr-CH"/>
        </w:rPr>
        <w:t>tives à des prestations définies au 31 décembre 2017</w:t>
      </w:r>
      <w:r w:rsidR="00EE6702" w:rsidRPr="004D3D70">
        <w:rPr>
          <w:lang w:val="fr-CH"/>
        </w:rPr>
        <w:t xml:space="preserve"> était de 22,</w:t>
      </w:r>
      <w:r w:rsidR="008F5E17" w:rsidRPr="004D3D70">
        <w:rPr>
          <w:lang w:val="fr-CH"/>
        </w:rPr>
        <w:t>1</w:t>
      </w:r>
      <w:r w:rsidR="00BE23DA">
        <w:rPr>
          <w:lang w:val="fr-CH"/>
        </w:rPr>
        <w:t> </w:t>
      </w:r>
      <w:r w:rsidR="00EE6702" w:rsidRPr="004D3D70">
        <w:rPr>
          <w:lang w:val="fr-CH"/>
        </w:rPr>
        <w:t>a</w:t>
      </w:r>
      <w:r w:rsidR="002140E0" w:rsidRPr="004D3D70">
        <w:rPr>
          <w:lang w:val="fr-CH"/>
        </w:rPr>
        <w:t>ns</w:t>
      </w:r>
      <w:r w:rsidR="002140E0">
        <w:rPr>
          <w:lang w:val="fr-CH"/>
        </w:rPr>
        <w:t xml:space="preserve">.  </w:t>
      </w:r>
      <w:r w:rsidR="002140E0" w:rsidRPr="004D3D70">
        <w:rPr>
          <w:lang w:val="fr-CH"/>
        </w:rPr>
        <w:t>Le</w:t>
      </w:r>
      <w:r w:rsidR="0043308C" w:rsidRPr="004D3D70">
        <w:rPr>
          <w:lang w:val="fr-CH"/>
        </w:rPr>
        <w:t xml:space="preserve"> tableau ci</w:t>
      </w:r>
      <w:r w:rsidR="00665FEC">
        <w:rPr>
          <w:lang w:val="fr-CH"/>
        </w:rPr>
        <w:noBreakHyphen/>
      </w:r>
      <w:r w:rsidR="0043308C" w:rsidRPr="004D3D70">
        <w:rPr>
          <w:lang w:val="fr-CH"/>
        </w:rPr>
        <w:t>dessous détaille la valeur actuelle de l</w:t>
      </w:r>
      <w:r w:rsidR="004D3D70">
        <w:rPr>
          <w:lang w:val="fr-CH"/>
        </w:rPr>
        <w:t>’</w:t>
      </w:r>
      <w:r w:rsidR="0043308C" w:rsidRPr="004D3D70">
        <w:rPr>
          <w:lang w:val="fr-CH"/>
        </w:rPr>
        <w:t>obligation au titre des prestations définies et des ajustements liés à l</w:t>
      </w:r>
      <w:r w:rsidR="004D3D70">
        <w:rPr>
          <w:lang w:val="fr-CH"/>
        </w:rPr>
        <w:t>’</w:t>
      </w:r>
      <w:r w:rsidR="0043308C" w:rsidRPr="004D3D70">
        <w:rPr>
          <w:lang w:val="fr-CH"/>
        </w:rPr>
        <w:t>expérience concernant l</w:t>
      </w:r>
      <w:r w:rsidR="004D3D70">
        <w:rPr>
          <w:lang w:val="fr-CH"/>
        </w:rPr>
        <w:t>’</w:t>
      </w:r>
      <w:r w:rsidR="0043308C" w:rsidRPr="004D3D70">
        <w:rPr>
          <w:lang w:val="fr-CH"/>
        </w:rPr>
        <w:t>obligation au titre de l</w:t>
      </w:r>
      <w:r w:rsidR="004D3D70">
        <w:rPr>
          <w:lang w:val="fr-CH"/>
        </w:rPr>
        <w:t>’</w:t>
      </w:r>
      <w:r w:rsidR="0043308C" w:rsidRPr="004D3D70">
        <w:rPr>
          <w:lang w:val="fr-CH"/>
        </w:rPr>
        <w:t xml:space="preserve">assurance maladie après la cessation de service </w:t>
      </w:r>
      <w:r w:rsidR="004D3D70" w:rsidRPr="004D3D70">
        <w:rPr>
          <w:lang w:val="fr-CH"/>
        </w:rPr>
        <w:t>pour</w:t>
      </w:r>
      <w:r w:rsidR="004D3D70">
        <w:rPr>
          <w:lang w:val="fr-CH"/>
        </w:rPr>
        <w:t> </w:t>
      </w:r>
      <w:r w:rsidR="004D3D70" w:rsidRPr="004D3D70">
        <w:rPr>
          <w:lang w:val="fr-CH"/>
        </w:rPr>
        <w:t>2017</w:t>
      </w:r>
      <w:r w:rsidR="0043308C" w:rsidRPr="004D3D70">
        <w:rPr>
          <w:lang w:val="fr-CH"/>
        </w:rPr>
        <w:t xml:space="preserve"> et les quatre</w:t>
      </w:r>
      <w:r w:rsidR="00AC2A6B">
        <w:rPr>
          <w:lang w:val="fr-CH"/>
        </w:rPr>
        <w:t> </w:t>
      </w:r>
      <w:r w:rsidR="0043308C" w:rsidRPr="004D3D70">
        <w:rPr>
          <w:lang w:val="fr-CH"/>
        </w:rPr>
        <w:t>années précédentes</w:t>
      </w:r>
      <w:r w:rsidR="004D3D70">
        <w:rPr>
          <w:lang w:val="fr-CH"/>
        </w:rPr>
        <w:t> :</w:t>
      </w:r>
    </w:p>
    <w:p w:rsidR="00905890" w:rsidRPr="004D3D70" w:rsidRDefault="00905890" w:rsidP="00A824AF">
      <w:pPr>
        <w:rPr>
          <w:noProof/>
          <w:lang w:val="fr-CH"/>
        </w:rPr>
      </w:pPr>
    </w:p>
    <w:p w:rsidR="00905890" w:rsidRPr="004D3D70" w:rsidRDefault="00293253" w:rsidP="00A824AF">
      <w:pPr>
        <w:jc w:val="center"/>
        <w:rPr>
          <w:noProof/>
          <w:lang w:val="fr-CH"/>
        </w:rPr>
      </w:pPr>
      <w:r w:rsidRPr="00293253">
        <w:rPr>
          <w:noProof/>
          <w:lang w:val="en-US"/>
        </w:rPr>
        <w:lastRenderedPageBreak/>
        <w:drawing>
          <wp:inline distT="0" distB="0" distL="0" distR="0">
            <wp:extent cx="6120765" cy="11267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1126723"/>
                    </a:xfrm>
                    <a:prstGeom prst="rect">
                      <a:avLst/>
                    </a:prstGeom>
                    <a:noFill/>
                    <a:ln>
                      <a:noFill/>
                    </a:ln>
                  </pic:spPr>
                </pic:pic>
              </a:graphicData>
            </a:graphic>
          </wp:inline>
        </w:drawing>
      </w:r>
    </w:p>
    <w:p w:rsidR="00905890" w:rsidRPr="004D3D70" w:rsidRDefault="00905890" w:rsidP="00A824AF">
      <w:pPr>
        <w:rPr>
          <w:noProof/>
          <w:lang w:val="fr-CH"/>
        </w:rPr>
      </w:pPr>
    </w:p>
    <w:p w:rsidR="00905890" w:rsidRDefault="0043308C" w:rsidP="0043308C">
      <w:pPr>
        <w:rPr>
          <w:noProof/>
          <w:lang w:val="fr-CH"/>
        </w:rPr>
      </w:pPr>
      <w:r w:rsidRPr="004D3D70">
        <w:rPr>
          <w:noProof/>
          <w:lang w:val="fr-CH"/>
        </w:rPr>
        <w:t>Les principales hypothèses utilisées pour déterminer l</w:t>
      </w:r>
      <w:r w:rsidR="004D3D70">
        <w:rPr>
          <w:noProof/>
          <w:lang w:val="fr-CH"/>
        </w:rPr>
        <w:t>’</w:t>
      </w:r>
      <w:r w:rsidRPr="004D3D70">
        <w:rPr>
          <w:noProof/>
          <w:lang w:val="fr-CH"/>
        </w:rPr>
        <w:t>obligation relative à l</w:t>
      </w:r>
      <w:r w:rsidR="004D3D70">
        <w:rPr>
          <w:noProof/>
          <w:lang w:val="fr-CH"/>
        </w:rPr>
        <w:t>’</w:t>
      </w:r>
      <w:r w:rsidRPr="004D3D70">
        <w:rPr>
          <w:noProof/>
          <w:lang w:val="fr-CH"/>
        </w:rPr>
        <w:t>assurance maladie après la cessation de service et l</w:t>
      </w:r>
      <w:r w:rsidR="004D3D70">
        <w:rPr>
          <w:noProof/>
          <w:lang w:val="fr-CH"/>
        </w:rPr>
        <w:t>’</w:t>
      </w:r>
      <w:r w:rsidRPr="004D3D70">
        <w:rPr>
          <w:noProof/>
          <w:lang w:val="fr-CH"/>
        </w:rPr>
        <w:t>obligation au titre des prestations définies étaient les suivantes</w:t>
      </w:r>
      <w:r w:rsidR="004D3D70">
        <w:rPr>
          <w:noProof/>
          <w:lang w:val="fr-CH"/>
        </w:rPr>
        <w:t> :</w:t>
      </w:r>
    </w:p>
    <w:p w:rsidR="00293253" w:rsidRPr="004D3D70" w:rsidRDefault="00293253" w:rsidP="0043308C">
      <w:pPr>
        <w:rPr>
          <w:noProof/>
          <w:lang w:val="fr-CH"/>
        </w:rPr>
      </w:pPr>
    </w:p>
    <w:p w:rsidR="00905890" w:rsidRPr="004D3D70" w:rsidRDefault="00ED317C" w:rsidP="00A824AF">
      <w:pPr>
        <w:jc w:val="center"/>
        <w:rPr>
          <w:noProof/>
          <w:lang w:val="fr-CH"/>
        </w:rPr>
      </w:pPr>
      <w:r w:rsidRPr="00ED317C">
        <w:rPr>
          <w:noProof/>
          <w:lang w:val="en-US"/>
        </w:rPr>
        <w:drawing>
          <wp:inline distT="0" distB="0" distL="0" distR="0">
            <wp:extent cx="5734050" cy="18034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4050" cy="1803400"/>
                    </a:xfrm>
                    <a:prstGeom prst="rect">
                      <a:avLst/>
                    </a:prstGeom>
                    <a:noFill/>
                    <a:ln>
                      <a:noFill/>
                    </a:ln>
                  </pic:spPr>
                </pic:pic>
              </a:graphicData>
            </a:graphic>
          </wp:inline>
        </w:drawing>
      </w:r>
    </w:p>
    <w:p w:rsidR="00905890" w:rsidRPr="004D3D70" w:rsidRDefault="00905890" w:rsidP="00A824AF">
      <w:pPr>
        <w:rPr>
          <w:lang w:val="fr-CH"/>
        </w:rPr>
      </w:pPr>
    </w:p>
    <w:p w:rsidR="004D3D70" w:rsidRDefault="00EE6702" w:rsidP="008858F3">
      <w:pPr>
        <w:rPr>
          <w:rFonts w:cs="Arial"/>
          <w:lang w:val="fr-CH"/>
        </w:rPr>
      </w:pPr>
      <w:r w:rsidRPr="004D3D70">
        <w:rPr>
          <w:rFonts w:cs="Arial"/>
          <w:lang w:val="fr-CH"/>
        </w:rPr>
        <w:t>Les hypothèses a</w:t>
      </w:r>
      <w:r w:rsidR="008858F3" w:rsidRPr="004D3D70">
        <w:rPr>
          <w:rFonts w:cs="Arial"/>
          <w:lang w:val="fr-CH"/>
        </w:rPr>
        <w:t>ctuari</w:t>
      </w:r>
      <w:r w:rsidRPr="004D3D70">
        <w:rPr>
          <w:rFonts w:cs="Arial"/>
          <w:lang w:val="fr-CH"/>
        </w:rPr>
        <w:t>e</w:t>
      </w:r>
      <w:r w:rsidR="008858F3" w:rsidRPr="004D3D70">
        <w:rPr>
          <w:rFonts w:cs="Arial"/>
          <w:lang w:val="fr-CH"/>
        </w:rPr>
        <w:t>l</w:t>
      </w:r>
      <w:r w:rsidRPr="004D3D70">
        <w:rPr>
          <w:rFonts w:cs="Arial"/>
          <w:lang w:val="fr-CH"/>
        </w:rPr>
        <w:t>les</w:t>
      </w:r>
      <w:r w:rsidR="008858F3" w:rsidRPr="004D3D70">
        <w:rPr>
          <w:rFonts w:cs="Arial"/>
          <w:lang w:val="fr-CH"/>
        </w:rPr>
        <w:t xml:space="preserve"> </w:t>
      </w:r>
      <w:r w:rsidRPr="004D3D70">
        <w:rPr>
          <w:rFonts w:cs="Arial"/>
          <w:lang w:val="fr-CH"/>
        </w:rPr>
        <w:t xml:space="preserve">ont </w:t>
      </w:r>
      <w:r w:rsidR="000C2967" w:rsidRPr="004D3D70">
        <w:rPr>
          <w:rFonts w:cs="Arial"/>
          <w:lang w:val="fr-CH"/>
        </w:rPr>
        <w:t xml:space="preserve">une incidence significative </w:t>
      </w:r>
      <w:r w:rsidRPr="004D3D70">
        <w:rPr>
          <w:rFonts w:cs="Arial"/>
          <w:lang w:val="fr-CH"/>
        </w:rPr>
        <w:t xml:space="preserve">sur </w:t>
      </w:r>
      <w:r w:rsidR="000C2967" w:rsidRPr="004D3D70">
        <w:rPr>
          <w:rFonts w:cs="Arial"/>
          <w:lang w:val="fr-CH"/>
        </w:rPr>
        <w:t xml:space="preserve">les </w:t>
      </w:r>
      <w:r w:rsidRPr="004D3D70">
        <w:rPr>
          <w:rFonts w:cs="Arial"/>
          <w:lang w:val="fr-CH"/>
        </w:rPr>
        <w:t>montant</w:t>
      </w:r>
      <w:r w:rsidR="000C2967" w:rsidRPr="004D3D70">
        <w:rPr>
          <w:rFonts w:cs="Arial"/>
          <w:lang w:val="fr-CH"/>
        </w:rPr>
        <w:t>s calculés pour</w:t>
      </w:r>
      <w:r w:rsidRPr="004D3D70">
        <w:rPr>
          <w:rFonts w:cs="Arial"/>
          <w:lang w:val="fr-CH"/>
        </w:rPr>
        <w:t xml:space="preserve"> l</w:t>
      </w:r>
      <w:r w:rsidR="004D3D70">
        <w:rPr>
          <w:rFonts w:cs="Arial"/>
          <w:lang w:val="fr-CH"/>
        </w:rPr>
        <w:t>’</w:t>
      </w:r>
      <w:r w:rsidRPr="004D3D70">
        <w:rPr>
          <w:rFonts w:cs="Arial"/>
          <w:lang w:val="fr-CH"/>
        </w:rPr>
        <w:t xml:space="preserve">obligation </w:t>
      </w:r>
      <w:r w:rsidR="000C2967" w:rsidRPr="004D3D70">
        <w:rPr>
          <w:rFonts w:cs="Arial"/>
          <w:lang w:val="fr-CH"/>
        </w:rPr>
        <w:t>au titre de</w:t>
      </w:r>
      <w:r w:rsidRPr="004D3D70">
        <w:rPr>
          <w:rFonts w:cs="Arial"/>
          <w:lang w:val="fr-CH"/>
        </w:rPr>
        <w:t xml:space="preserve"> l</w:t>
      </w:r>
      <w:r w:rsidR="004D3D70">
        <w:rPr>
          <w:rFonts w:cs="Arial"/>
          <w:lang w:val="fr-CH"/>
        </w:rPr>
        <w:t>’</w:t>
      </w:r>
      <w:r w:rsidRPr="004D3D70">
        <w:rPr>
          <w:rFonts w:cs="Arial"/>
          <w:lang w:val="fr-CH"/>
        </w:rPr>
        <w:t>AMCS</w:t>
      </w:r>
      <w:r w:rsidR="008858F3" w:rsidRPr="004D3D70">
        <w:rPr>
          <w:rFonts w:cs="Arial"/>
          <w:lang w:val="fr-CH"/>
        </w:rPr>
        <w:t xml:space="preserve">. </w:t>
      </w:r>
      <w:r w:rsidRPr="004D3D70">
        <w:rPr>
          <w:rFonts w:cs="Arial"/>
          <w:lang w:val="fr-CH"/>
        </w:rPr>
        <w:t xml:space="preserve"> </w:t>
      </w:r>
      <w:r w:rsidR="000C2967" w:rsidRPr="004D3D70">
        <w:rPr>
          <w:rFonts w:cs="Arial"/>
          <w:lang w:val="fr-CH"/>
        </w:rPr>
        <w:t>L</w:t>
      </w:r>
      <w:r w:rsidR="004D3D70">
        <w:rPr>
          <w:rFonts w:cs="Arial"/>
          <w:lang w:val="fr-CH"/>
        </w:rPr>
        <w:t>’</w:t>
      </w:r>
      <w:r w:rsidR="000C2967" w:rsidRPr="004D3D70">
        <w:rPr>
          <w:rFonts w:cs="Arial"/>
          <w:lang w:val="fr-CH"/>
        </w:rPr>
        <w:t>analyse de sensibilité ci</w:t>
      </w:r>
      <w:r w:rsidR="00665FEC">
        <w:rPr>
          <w:rFonts w:cs="Arial"/>
          <w:lang w:val="fr-CH"/>
        </w:rPr>
        <w:noBreakHyphen/>
      </w:r>
      <w:r w:rsidR="000C2967" w:rsidRPr="004D3D70">
        <w:rPr>
          <w:rFonts w:cs="Arial"/>
          <w:lang w:val="fr-CH"/>
        </w:rPr>
        <w:t>après</w:t>
      </w:r>
      <w:r w:rsidR="008858F3" w:rsidRPr="004D3D70">
        <w:rPr>
          <w:rFonts w:cs="Arial"/>
          <w:lang w:val="fr-CH"/>
        </w:rPr>
        <w:t xml:space="preserve"> </w:t>
      </w:r>
      <w:r w:rsidR="000C2967" w:rsidRPr="004D3D70">
        <w:rPr>
          <w:rFonts w:cs="Arial"/>
          <w:lang w:val="fr-CH"/>
        </w:rPr>
        <w:t xml:space="preserve">montre comment le montant </w:t>
      </w:r>
      <w:r w:rsidR="00E977CB" w:rsidRPr="004D3D70">
        <w:rPr>
          <w:rFonts w:cs="Arial"/>
          <w:lang w:val="fr-CH"/>
        </w:rPr>
        <w:t>de</w:t>
      </w:r>
      <w:r w:rsidR="000C2967" w:rsidRPr="004D3D70">
        <w:rPr>
          <w:rFonts w:cs="Arial"/>
          <w:lang w:val="fr-CH"/>
        </w:rPr>
        <w:t xml:space="preserve"> </w:t>
      </w:r>
      <w:r w:rsidR="00E977CB" w:rsidRPr="004D3D70">
        <w:rPr>
          <w:rFonts w:cs="Arial"/>
          <w:lang w:val="fr-CH"/>
        </w:rPr>
        <w:t>l</w:t>
      </w:r>
      <w:r w:rsidR="004D3D70">
        <w:rPr>
          <w:rFonts w:cs="Arial"/>
          <w:lang w:val="fr-CH"/>
        </w:rPr>
        <w:t>’</w:t>
      </w:r>
      <w:r w:rsidR="000C2967" w:rsidRPr="004D3D70">
        <w:rPr>
          <w:rFonts w:cs="Arial"/>
          <w:lang w:val="fr-CH"/>
        </w:rPr>
        <w:t>obligation</w:t>
      </w:r>
      <w:r w:rsidR="00E977CB" w:rsidRPr="004D3D70">
        <w:rPr>
          <w:rFonts w:cs="Arial"/>
          <w:lang w:val="fr-CH"/>
        </w:rPr>
        <w:t xml:space="preserve"> au titre des prestations définie</w:t>
      </w:r>
      <w:r w:rsidR="000C2967" w:rsidRPr="004D3D70">
        <w:rPr>
          <w:rFonts w:cs="Arial"/>
          <w:lang w:val="fr-CH"/>
        </w:rPr>
        <w:t xml:space="preserve"> aurait évolué en fonction des différentes hypothèses actuarielles</w:t>
      </w:r>
      <w:r w:rsidR="004D3D70">
        <w:rPr>
          <w:rFonts w:cs="Arial"/>
          <w:lang w:val="fr-CH"/>
        </w:rPr>
        <w:t> :</w:t>
      </w:r>
    </w:p>
    <w:p w:rsidR="00905890" w:rsidRPr="004D3D70" w:rsidRDefault="00905890" w:rsidP="008858F3">
      <w:pPr>
        <w:rPr>
          <w:rFonts w:cs="Arial"/>
          <w:lang w:val="fr-CH"/>
        </w:rPr>
      </w:pPr>
    </w:p>
    <w:p w:rsidR="00905890" w:rsidRDefault="0058534C" w:rsidP="00A824AF">
      <w:pPr>
        <w:pStyle w:val="Style3"/>
        <w:spacing w:after="0"/>
        <w:rPr>
          <w:rFonts w:cs="Arial"/>
          <w:sz w:val="20"/>
          <w:lang w:val="fr-CH"/>
        </w:rPr>
      </w:pPr>
      <w:r w:rsidRPr="0058534C">
        <w:rPr>
          <w:noProof/>
          <w:lang w:val="en-US"/>
        </w:rPr>
        <w:drawing>
          <wp:inline distT="0" distB="0" distL="0" distR="0">
            <wp:extent cx="6120765" cy="17068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706856"/>
                    </a:xfrm>
                    <a:prstGeom prst="rect">
                      <a:avLst/>
                    </a:prstGeom>
                    <a:noFill/>
                    <a:ln>
                      <a:noFill/>
                    </a:ln>
                  </pic:spPr>
                </pic:pic>
              </a:graphicData>
            </a:graphic>
          </wp:inline>
        </w:drawing>
      </w:r>
    </w:p>
    <w:p w:rsidR="0058534C" w:rsidRDefault="0058534C" w:rsidP="00A824AF">
      <w:pPr>
        <w:pStyle w:val="Style3"/>
        <w:spacing w:after="0"/>
        <w:rPr>
          <w:rFonts w:cs="Arial"/>
          <w:sz w:val="20"/>
          <w:lang w:val="fr-CH"/>
        </w:rPr>
      </w:pPr>
    </w:p>
    <w:p w:rsidR="0058534C" w:rsidRPr="004D3D70" w:rsidRDefault="0058534C" w:rsidP="00A824AF">
      <w:pPr>
        <w:pStyle w:val="Style3"/>
        <w:spacing w:after="0"/>
        <w:rPr>
          <w:rFonts w:cs="Arial"/>
          <w:sz w:val="20"/>
          <w:lang w:val="fr-CH"/>
        </w:rPr>
      </w:pPr>
      <w:r w:rsidRPr="0058534C">
        <w:rPr>
          <w:noProof/>
          <w:lang w:val="en-US"/>
        </w:rPr>
        <w:drawing>
          <wp:inline distT="0" distB="0" distL="0" distR="0">
            <wp:extent cx="6120765" cy="14115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411509"/>
                    </a:xfrm>
                    <a:prstGeom prst="rect">
                      <a:avLst/>
                    </a:prstGeom>
                    <a:noFill/>
                    <a:ln>
                      <a:noFill/>
                    </a:ln>
                  </pic:spPr>
                </pic:pic>
              </a:graphicData>
            </a:graphic>
          </wp:inline>
        </w:drawing>
      </w:r>
    </w:p>
    <w:p w:rsidR="00905890" w:rsidRDefault="00905890" w:rsidP="00A824AF">
      <w:pPr>
        <w:pStyle w:val="Style3"/>
        <w:spacing w:after="0"/>
        <w:rPr>
          <w:rFonts w:cs="Arial"/>
          <w:sz w:val="20"/>
          <w:lang w:val="fr-CH"/>
        </w:rPr>
      </w:pPr>
    </w:p>
    <w:p w:rsidR="009F6825" w:rsidRPr="004D3D70" w:rsidRDefault="009F6825" w:rsidP="00A824AF">
      <w:pPr>
        <w:pStyle w:val="Style3"/>
        <w:spacing w:after="0"/>
        <w:rPr>
          <w:rFonts w:cs="Arial"/>
          <w:sz w:val="20"/>
          <w:lang w:val="fr-CH"/>
        </w:rPr>
      </w:pPr>
    </w:p>
    <w:p w:rsidR="00905890" w:rsidRPr="004D3D70" w:rsidRDefault="0043308C" w:rsidP="0043308C">
      <w:pPr>
        <w:pStyle w:val="Style3"/>
        <w:spacing w:after="0"/>
        <w:rPr>
          <w:rFonts w:cs="Arial"/>
          <w:b/>
          <w:sz w:val="20"/>
          <w:lang w:val="fr-CH"/>
        </w:rPr>
      </w:pPr>
      <w:r w:rsidRPr="004D3D70">
        <w:rPr>
          <w:rFonts w:cs="Arial"/>
          <w:b/>
          <w:sz w:val="20"/>
          <w:lang w:val="fr-CH"/>
        </w:rPr>
        <w:t xml:space="preserve">Caisse commune des pensions du personnel des </w:t>
      </w:r>
      <w:r w:rsidR="004D3D70">
        <w:rPr>
          <w:rFonts w:cs="Arial"/>
          <w:b/>
          <w:sz w:val="20"/>
          <w:lang w:val="fr-CH"/>
        </w:rPr>
        <w:t>Nations Unies</w:t>
      </w:r>
    </w:p>
    <w:p w:rsidR="00905890" w:rsidRPr="004D3D70" w:rsidRDefault="00905890" w:rsidP="00A824AF">
      <w:pPr>
        <w:pStyle w:val="Style3"/>
        <w:spacing w:after="0"/>
        <w:rPr>
          <w:rFonts w:cs="Arial"/>
          <w:sz w:val="20"/>
          <w:lang w:val="fr-CH"/>
        </w:rPr>
      </w:pPr>
    </w:p>
    <w:p w:rsidR="00905890" w:rsidRPr="004D3D70" w:rsidRDefault="0043308C" w:rsidP="0043308C">
      <w:pPr>
        <w:rPr>
          <w:rFonts w:cs="Arial"/>
          <w:lang w:val="fr-CH"/>
        </w:rPr>
      </w:pPr>
      <w:r w:rsidRPr="004D3D70">
        <w:rPr>
          <w:rFonts w:cs="Arial"/>
          <w:lang w:val="fr-CH"/>
        </w:rPr>
        <w:t xml:space="preserve">Conformément au règlement de la Caisse commune des pensions du personnel des </w:t>
      </w:r>
      <w:r w:rsidR="004D3D70">
        <w:rPr>
          <w:rFonts w:cs="Arial"/>
          <w:lang w:val="fr-CH"/>
        </w:rPr>
        <w:t>Nations Unies</w:t>
      </w:r>
      <w:r w:rsidRPr="004D3D70">
        <w:rPr>
          <w:rFonts w:cs="Arial"/>
          <w:lang w:val="fr-CH"/>
        </w:rPr>
        <w:t xml:space="preserve">, le </w:t>
      </w:r>
      <w:r w:rsidR="00AC2A6B">
        <w:rPr>
          <w:rFonts w:cs="Arial"/>
          <w:lang w:val="fr-CH"/>
        </w:rPr>
        <w:t>comité</w:t>
      </w:r>
      <w:r w:rsidRPr="004D3D70">
        <w:rPr>
          <w:rFonts w:cs="Arial"/>
          <w:lang w:val="fr-CH"/>
        </w:rPr>
        <w:t xml:space="preserve"> mixte de ladite Caisse devra faire établir une évaluation actuarielle de la Caisse par un actuaire indépendant au moins une fois tous les trois</w:t>
      </w:r>
      <w:r w:rsidR="00AC2A6B">
        <w:rPr>
          <w:rFonts w:cs="Arial"/>
          <w:lang w:val="fr-CH"/>
        </w:rPr>
        <w:t> </w:t>
      </w:r>
      <w:r w:rsidRPr="004D3D70">
        <w:rPr>
          <w:rFonts w:cs="Arial"/>
          <w:lang w:val="fr-CH"/>
        </w:rPr>
        <w:t>a</w:t>
      </w:r>
      <w:r w:rsidR="002140E0" w:rsidRPr="004D3D70">
        <w:rPr>
          <w:rFonts w:cs="Arial"/>
          <w:lang w:val="fr-CH"/>
        </w:rPr>
        <w:t>ns</w:t>
      </w:r>
      <w:r w:rsidR="002140E0">
        <w:rPr>
          <w:rFonts w:cs="Arial"/>
          <w:lang w:val="fr-CH"/>
        </w:rPr>
        <w:t xml:space="preserve">.  </w:t>
      </w:r>
      <w:r w:rsidR="002140E0" w:rsidRPr="004D3D70">
        <w:rPr>
          <w:rFonts w:cs="Arial"/>
          <w:lang w:val="fr-CH"/>
        </w:rPr>
        <w:t>Da</w:t>
      </w:r>
      <w:r w:rsidRPr="004D3D70">
        <w:rPr>
          <w:rFonts w:cs="Arial"/>
          <w:lang w:val="fr-CH"/>
        </w:rPr>
        <w:t xml:space="preserve">ns la pratique, à ce jour, le </w:t>
      </w:r>
      <w:r w:rsidR="00AC2A6B">
        <w:rPr>
          <w:rFonts w:cs="Arial"/>
          <w:lang w:val="fr-CH"/>
        </w:rPr>
        <w:t>comité</w:t>
      </w:r>
      <w:r w:rsidRPr="004D3D70">
        <w:rPr>
          <w:rFonts w:cs="Arial"/>
          <w:lang w:val="fr-CH"/>
        </w:rPr>
        <w:t xml:space="preserve"> mix</w:t>
      </w:r>
      <w:r w:rsidR="002140E0">
        <w:rPr>
          <w:rFonts w:cs="Arial"/>
          <w:lang w:val="fr-CH"/>
        </w:rPr>
        <w:t>t</w:t>
      </w:r>
      <w:r w:rsidRPr="004D3D70">
        <w:rPr>
          <w:rFonts w:cs="Arial"/>
          <w:lang w:val="fr-CH"/>
        </w:rPr>
        <w:t>e a effectué cette évaluation actuarielle tous les deux</w:t>
      </w:r>
      <w:r w:rsidR="00AC2A6B">
        <w:rPr>
          <w:rFonts w:cs="Arial"/>
          <w:lang w:val="fr-CH"/>
        </w:rPr>
        <w:t> </w:t>
      </w:r>
      <w:r w:rsidRPr="004D3D70">
        <w:rPr>
          <w:rFonts w:cs="Arial"/>
          <w:lang w:val="fr-CH"/>
        </w:rPr>
        <w:t>ans, à l</w:t>
      </w:r>
      <w:r w:rsidR="004D3D70">
        <w:rPr>
          <w:rFonts w:cs="Arial"/>
          <w:lang w:val="fr-CH"/>
        </w:rPr>
        <w:t>’</w:t>
      </w:r>
      <w:r w:rsidRPr="004D3D70">
        <w:rPr>
          <w:rFonts w:cs="Arial"/>
          <w:lang w:val="fr-CH"/>
        </w:rPr>
        <w:t>aide de la méthode des agrégats avec entran</w:t>
      </w:r>
      <w:r w:rsidR="002140E0" w:rsidRPr="004D3D70">
        <w:rPr>
          <w:rFonts w:cs="Arial"/>
          <w:lang w:val="fr-CH"/>
        </w:rPr>
        <w:t>ts</w:t>
      </w:r>
      <w:r w:rsidR="002140E0">
        <w:rPr>
          <w:rFonts w:cs="Arial"/>
          <w:lang w:val="fr-CH"/>
        </w:rPr>
        <w:t xml:space="preserve">.  </w:t>
      </w:r>
      <w:r w:rsidR="002140E0" w:rsidRPr="004D3D70">
        <w:rPr>
          <w:rFonts w:cs="Arial"/>
          <w:lang w:val="fr-CH"/>
        </w:rPr>
        <w:t>Ce</w:t>
      </w:r>
      <w:r w:rsidRPr="004D3D70">
        <w:rPr>
          <w:rFonts w:cs="Arial"/>
          <w:lang w:val="fr-CH"/>
        </w:rPr>
        <w:t>tte évaluation actuarielle a pour objectif premier de déterminer si les avoirs actuels et futurs estimés de la Caisse des pensions seront suffisants pour honorer son passif.</w:t>
      </w:r>
    </w:p>
    <w:p w:rsidR="00905890" w:rsidRPr="004D3D70" w:rsidRDefault="00905890" w:rsidP="005E3B7B">
      <w:pPr>
        <w:rPr>
          <w:rFonts w:cs="Arial"/>
          <w:lang w:val="fr-CH"/>
        </w:rPr>
      </w:pPr>
    </w:p>
    <w:p w:rsidR="004D3D70" w:rsidRDefault="0043308C" w:rsidP="0043308C">
      <w:pPr>
        <w:rPr>
          <w:rFonts w:cs="Arial"/>
          <w:lang w:val="fr-CH"/>
        </w:rPr>
      </w:pPr>
      <w:r w:rsidRPr="004D3D70">
        <w:rPr>
          <w:rFonts w:cs="Arial"/>
          <w:lang w:val="fr-CH"/>
        </w:rPr>
        <w:lastRenderedPageBreak/>
        <w:t>Sur le plan financier, l</w:t>
      </w:r>
      <w:r w:rsidR="004D3D70">
        <w:rPr>
          <w:rFonts w:cs="Arial"/>
          <w:lang w:val="fr-CH"/>
        </w:rPr>
        <w:t>’</w:t>
      </w:r>
      <w:r w:rsidRPr="004D3D70">
        <w:rPr>
          <w:rFonts w:cs="Arial"/>
          <w:lang w:val="fr-CH"/>
        </w:rPr>
        <w:t>UPOV est tenue de verser à la Caisse des pensions, sa cotisation obligatoire au taux fixé par l</w:t>
      </w:r>
      <w:r w:rsidR="004D3D70">
        <w:rPr>
          <w:rFonts w:cs="Arial"/>
          <w:lang w:val="fr-CH"/>
        </w:rPr>
        <w:t>’</w:t>
      </w:r>
      <w:r w:rsidRPr="004D3D70">
        <w:rPr>
          <w:rFonts w:cs="Arial"/>
          <w:lang w:val="fr-CH"/>
        </w:rPr>
        <w:t>Assemblée générale des Nations</w:t>
      </w:r>
      <w:r w:rsidR="00AC2A6B">
        <w:rPr>
          <w:rFonts w:cs="Arial"/>
          <w:lang w:val="fr-CH"/>
        </w:rPr>
        <w:t> Unies</w:t>
      </w:r>
      <w:r w:rsidRPr="004D3D70">
        <w:rPr>
          <w:rFonts w:cs="Arial"/>
          <w:lang w:val="fr-CH"/>
        </w:rPr>
        <w:t xml:space="preserve"> (actuellement de 7,9% pour les participants et 15,8% pour les organisations membres) plus la part de tous les paiements actuariels dus à titre compensatoire en vertu de l</w:t>
      </w:r>
      <w:r w:rsidR="004D3D70">
        <w:rPr>
          <w:rFonts w:cs="Arial"/>
          <w:lang w:val="fr-CH"/>
        </w:rPr>
        <w:t>’</w:t>
      </w:r>
      <w:r w:rsidR="004D3D70" w:rsidRPr="004D3D70">
        <w:rPr>
          <w:rFonts w:cs="Arial"/>
          <w:lang w:val="fr-CH"/>
        </w:rPr>
        <w:t>article</w:t>
      </w:r>
      <w:r w:rsidR="004D3D70">
        <w:rPr>
          <w:rFonts w:cs="Arial"/>
          <w:lang w:val="fr-CH"/>
        </w:rPr>
        <w:t> </w:t>
      </w:r>
      <w:r w:rsidR="004D3D70" w:rsidRPr="004D3D70">
        <w:rPr>
          <w:rFonts w:cs="Arial"/>
          <w:lang w:val="fr-CH"/>
        </w:rPr>
        <w:t>2</w:t>
      </w:r>
      <w:r w:rsidRPr="004D3D70">
        <w:rPr>
          <w:rFonts w:cs="Arial"/>
          <w:lang w:val="fr-CH"/>
        </w:rPr>
        <w:t>6 des statuts de la Caisse des pensio</w:t>
      </w:r>
      <w:r w:rsidR="002140E0" w:rsidRPr="004D3D70">
        <w:rPr>
          <w:rFonts w:cs="Arial"/>
          <w:lang w:val="fr-CH"/>
        </w:rPr>
        <w:t>ns</w:t>
      </w:r>
      <w:r w:rsidR="002140E0">
        <w:rPr>
          <w:rFonts w:cs="Arial"/>
          <w:lang w:val="fr-CH"/>
        </w:rPr>
        <w:t xml:space="preserve">.  </w:t>
      </w:r>
      <w:r w:rsidR="002140E0" w:rsidRPr="004D3D70">
        <w:rPr>
          <w:rFonts w:cs="Arial"/>
          <w:lang w:val="fr-CH"/>
        </w:rPr>
        <w:t>Le</w:t>
      </w:r>
      <w:r w:rsidRPr="004D3D70">
        <w:rPr>
          <w:rFonts w:cs="Arial"/>
          <w:lang w:val="fr-CH"/>
        </w:rPr>
        <w:t>s sommes nécessaires pour combler le déficit ne sont dues que dès lors que l</w:t>
      </w:r>
      <w:r w:rsidR="004D3D70">
        <w:rPr>
          <w:rFonts w:cs="Arial"/>
          <w:lang w:val="fr-CH"/>
        </w:rPr>
        <w:t>’</w:t>
      </w:r>
      <w:r w:rsidRPr="004D3D70">
        <w:rPr>
          <w:rFonts w:cs="Arial"/>
          <w:lang w:val="fr-CH"/>
        </w:rPr>
        <w:t xml:space="preserve">Assemblée générale des </w:t>
      </w:r>
      <w:r w:rsidR="004D3D70">
        <w:rPr>
          <w:rFonts w:cs="Arial"/>
          <w:lang w:val="fr-CH"/>
        </w:rPr>
        <w:t>Nations Unies</w:t>
      </w:r>
      <w:r w:rsidRPr="004D3D70">
        <w:rPr>
          <w:rFonts w:cs="Arial"/>
          <w:lang w:val="fr-CH"/>
        </w:rPr>
        <w:t xml:space="preserve"> a invoqué la disposition de l</w:t>
      </w:r>
      <w:r w:rsidR="004D3D70">
        <w:rPr>
          <w:rFonts w:cs="Arial"/>
          <w:lang w:val="fr-CH"/>
        </w:rPr>
        <w:t>’</w:t>
      </w:r>
      <w:r w:rsidR="004D3D70" w:rsidRPr="004D3D70">
        <w:rPr>
          <w:rFonts w:cs="Arial"/>
          <w:lang w:val="fr-CH"/>
        </w:rPr>
        <w:t>article</w:t>
      </w:r>
      <w:r w:rsidR="004D3D70">
        <w:rPr>
          <w:rFonts w:cs="Arial"/>
          <w:lang w:val="fr-CH"/>
        </w:rPr>
        <w:t> </w:t>
      </w:r>
      <w:r w:rsidR="004D3D70" w:rsidRPr="004D3D70">
        <w:rPr>
          <w:rFonts w:cs="Arial"/>
          <w:lang w:val="fr-CH"/>
        </w:rPr>
        <w:t>2</w:t>
      </w:r>
      <w:r w:rsidRPr="004D3D70">
        <w:rPr>
          <w:rFonts w:cs="Arial"/>
          <w:lang w:val="fr-CH"/>
        </w:rPr>
        <w:t>6 après avoir constaté qu</w:t>
      </w:r>
      <w:r w:rsidR="004D3D70">
        <w:rPr>
          <w:rFonts w:cs="Arial"/>
          <w:lang w:val="fr-CH"/>
        </w:rPr>
        <w:t>’</w:t>
      </w:r>
      <w:r w:rsidRPr="004D3D70">
        <w:rPr>
          <w:rFonts w:cs="Arial"/>
          <w:lang w:val="fr-CH"/>
        </w:rPr>
        <w:t>une évaluation actuarielle justifie – au moment de l</w:t>
      </w:r>
      <w:r w:rsidR="004D3D70">
        <w:rPr>
          <w:rFonts w:cs="Arial"/>
          <w:lang w:val="fr-CH"/>
        </w:rPr>
        <w:t>’</w:t>
      </w:r>
      <w:r w:rsidRPr="004D3D70">
        <w:rPr>
          <w:rFonts w:cs="Arial"/>
          <w:lang w:val="fr-CH"/>
        </w:rPr>
        <w:t>évaluation – que le déficit soit comb</w:t>
      </w:r>
      <w:r w:rsidR="002140E0" w:rsidRPr="004D3D70">
        <w:rPr>
          <w:rFonts w:cs="Arial"/>
          <w:lang w:val="fr-CH"/>
        </w:rPr>
        <w:t>lé</w:t>
      </w:r>
      <w:r w:rsidR="002140E0">
        <w:rPr>
          <w:rFonts w:cs="Arial"/>
          <w:lang w:val="fr-CH"/>
        </w:rPr>
        <w:t xml:space="preserve">.  </w:t>
      </w:r>
      <w:r w:rsidR="002140E0" w:rsidRPr="004D3D70">
        <w:rPr>
          <w:rFonts w:cs="Arial"/>
          <w:lang w:val="fr-CH"/>
        </w:rPr>
        <w:t>Ch</w:t>
      </w:r>
      <w:r w:rsidRPr="004D3D70">
        <w:rPr>
          <w:rFonts w:cs="Arial"/>
          <w:lang w:val="fr-CH"/>
        </w:rPr>
        <w:t>aque organisation affiliée contribue au comblement du déficit au prorata des cotisations totales qu</w:t>
      </w:r>
      <w:r w:rsidR="004D3D70">
        <w:rPr>
          <w:rFonts w:cs="Arial"/>
          <w:lang w:val="fr-CH"/>
        </w:rPr>
        <w:t>’</w:t>
      </w:r>
      <w:r w:rsidRPr="004D3D70">
        <w:rPr>
          <w:rFonts w:cs="Arial"/>
          <w:lang w:val="fr-CH"/>
        </w:rPr>
        <w:t>elle a versées pendant les trois</w:t>
      </w:r>
      <w:r w:rsidR="00AC2A6B">
        <w:rPr>
          <w:rFonts w:cs="Arial"/>
          <w:lang w:val="fr-CH"/>
        </w:rPr>
        <w:t> </w:t>
      </w:r>
      <w:r w:rsidRPr="004D3D70">
        <w:rPr>
          <w:rFonts w:cs="Arial"/>
          <w:lang w:val="fr-CH"/>
        </w:rPr>
        <w:t>années précédant l</w:t>
      </w:r>
      <w:r w:rsidR="004D3D70">
        <w:rPr>
          <w:rFonts w:cs="Arial"/>
          <w:lang w:val="fr-CH"/>
        </w:rPr>
        <w:t>’</w:t>
      </w:r>
      <w:r w:rsidRPr="004D3D70">
        <w:rPr>
          <w:rFonts w:cs="Arial"/>
          <w:lang w:val="fr-CH"/>
        </w:rPr>
        <w:t>évaluation actuarielle.</w:t>
      </w:r>
    </w:p>
    <w:p w:rsidR="00905890" w:rsidRPr="004D3D70" w:rsidRDefault="00905890" w:rsidP="005E3B7B">
      <w:pPr>
        <w:rPr>
          <w:rFonts w:cs="Arial"/>
          <w:lang w:val="fr-CH"/>
        </w:rPr>
      </w:pPr>
    </w:p>
    <w:p w:rsidR="00905890" w:rsidRPr="004D3D70" w:rsidRDefault="004D3D70" w:rsidP="005E3B7B">
      <w:pPr>
        <w:rPr>
          <w:rFonts w:cs="Arial"/>
          <w:lang w:val="fr-CH"/>
        </w:rPr>
      </w:pPr>
      <w:r w:rsidRPr="004D3D70">
        <w:rPr>
          <w:rFonts w:cs="Arial"/>
          <w:lang w:val="fr-CH"/>
        </w:rPr>
        <w:t>En</w:t>
      </w:r>
      <w:r>
        <w:rPr>
          <w:rFonts w:cs="Arial"/>
          <w:lang w:val="fr-CH"/>
        </w:rPr>
        <w:t> </w:t>
      </w:r>
      <w:r w:rsidRPr="004D3D70">
        <w:rPr>
          <w:rFonts w:cs="Arial"/>
          <w:lang w:val="fr-CH"/>
        </w:rPr>
        <w:t>2017</w:t>
      </w:r>
      <w:r w:rsidR="005E3B7B" w:rsidRPr="004D3D70">
        <w:rPr>
          <w:rFonts w:cs="Arial"/>
          <w:lang w:val="fr-CH"/>
        </w:rPr>
        <w:t xml:space="preserve">, </w:t>
      </w:r>
      <w:r w:rsidR="003C1178" w:rsidRPr="004D3D70">
        <w:rPr>
          <w:rFonts w:cs="Arial"/>
          <w:lang w:val="fr-CH"/>
        </w:rPr>
        <w:t>la Caisse des pensions a découvert des anomalies dans les données du recensement utilisées dans l</w:t>
      </w:r>
      <w:r>
        <w:rPr>
          <w:rFonts w:cs="Arial"/>
          <w:lang w:val="fr-CH"/>
        </w:rPr>
        <w:t>’</w:t>
      </w:r>
      <w:r w:rsidR="003C1178" w:rsidRPr="004D3D70">
        <w:rPr>
          <w:rFonts w:cs="Arial"/>
          <w:lang w:val="fr-CH"/>
        </w:rPr>
        <w:t>évaluation actuarielle effectuée au 31 décembre </w:t>
      </w:r>
      <w:r w:rsidR="005E3B7B" w:rsidRPr="004D3D70">
        <w:rPr>
          <w:rFonts w:cs="Arial"/>
          <w:lang w:val="fr-CH"/>
        </w:rPr>
        <w:t xml:space="preserve">2015. </w:t>
      </w:r>
      <w:r w:rsidR="003C1178" w:rsidRPr="004D3D70">
        <w:rPr>
          <w:rFonts w:cs="Arial"/>
          <w:lang w:val="fr-CH"/>
        </w:rPr>
        <w:t xml:space="preserve"> C</w:t>
      </w:r>
      <w:r>
        <w:rPr>
          <w:rFonts w:cs="Arial"/>
          <w:lang w:val="fr-CH"/>
        </w:rPr>
        <w:t>’</w:t>
      </w:r>
      <w:r w:rsidR="003C1178" w:rsidRPr="004D3D70">
        <w:rPr>
          <w:rFonts w:cs="Arial"/>
          <w:lang w:val="fr-CH"/>
        </w:rPr>
        <w:t>est pourquoi</w:t>
      </w:r>
      <w:r w:rsidR="005E3B7B" w:rsidRPr="004D3D70">
        <w:rPr>
          <w:rFonts w:cs="Arial"/>
          <w:lang w:val="fr-CH"/>
        </w:rPr>
        <w:t xml:space="preserve">, </w:t>
      </w:r>
      <w:r w:rsidR="002E4B02" w:rsidRPr="004D3D70">
        <w:rPr>
          <w:rFonts w:cs="Arial"/>
          <w:lang w:val="fr-CH"/>
        </w:rPr>
        <w:t>en tant qu</w:t>
      </w:r>
      <w:r>
        <w:rPr>
          <w:rFonts w:cs="Arial"/>
          <w:lang w:val="fr-CH"/>
        </w:rPr>
        <w:t>’</w:t>
      </w:r>
      <w:r w:rsidR="002E4B02" w:rsidRPr="004D3D70">
        <w:rPr>
          <w:rFonts w:cs="Arial"/>
          <w:lang w:val="fr-CH"/>
        </w:rPr>
        <w:t xml:space="preserve">exception à la période biennale normale, </w:t>
      </w:r>
      <w:r w:rsidR="00E977CB" w:rsidRPr="004D3D70">
        <w:rPr>
          <w:rFonts w:cs="Arial"/>
          <w:lang w:val="fr-CH"/>
        </w:rPr>
        <w:t>l</w:t>
      </w:r>
      <w:r w:rsidR="002E4B02" w:rsidRPr="004D3D70">
        <w:rPr>
          <w:rFonts w:cs="Arial"/>
          <w:lang w:val="fr-CH"/>
        </w:rPr>
        <w:t>es données sur la</w:t>
      </w:r>
      <w:r w:rsidR="005E3B7B" w:rsidRPr="004D3D70">
        <w:rPr>
          <w:rFonts w:cs="Arial"/>
          <w:lang w:val="fr-CH"/>
        </w:rPr>
        <w:t xml:space="preserve"> participati</w:t>
      </w:r>
      <w:r w:rsidR="00637A28" w:rsidRPr="004D3D70">
        <w:rPr>
          <w:rFonts w:cs="Arial"/>
          <w:lang w:val="fr-CH"/>
        </w:rPr>
        <w:t xml:space="preserve">on </w:t>
      </w:r>
      <w:r w:rsidR="00AD4718" w:rsidRPr="004D3D70">
        <w:rPr>
          <w:rFonts w:cs="Arial"/>
          <w:lang w:val="fr-CH"/>
        </w:rPr>
        <w:t>d</w:t>
      </w:r>
      <w:r w:rsidR="002E4B02" w:rsidRPr="004D3D70">
        <w:rPr>
          <w:rFonts w:cs="Arial"/>
          <w:lang w:val="fr-CH"/>
        </w:rPr>
        <w:t>u</w:t>
      </w:r>
      <w:r w:rsidR="00637A28" w:rsidRPr="004D3D70">
        <w:rPr>
          <w:rFonts w:cs="Arial"/>
          <w:lang w:val="fr-CH"/>
        </w:rPr>
        <w:t xml:space="preserve"> 31</w:t>
      </w:r>
      <w:r w:rsidR="002E4B02" w:rsidRPr="004D3D70">
        <w:rPr>
          <w:rFonts w:cs="Arial"/>
          <w:lang w:val="fr-CH"/>
        </w:rPr>
        <w:t> décembre </w:t>
      </w:r>
      <w:r w:rsidR="00637A28" w:rsidRPr="004D3D70">
        <w:rPr>
          <w:rFonts w:cs="Arial"/>
          <w:lang w:val="fr-CH"/>
        </w:rPr>
        <w:t xml:space="preserve">2013 </w:t>
      </w:r>
      <w:r w:rsidR="00E977CB" w:rsidRPr="004D3D70">
        <w:rPr>
          <w:rFonts w:cs="Arial"/>
          <w:lang w:val="fr-CH"/>
        </w:rPr>
        <w:t>ont été reportées au</w:t>
      </w:r>
      <w:r w:rsidR="00637A28" w:rsidRPr="004D3D70">
        <w:rPr>
          <w:rFonts w:cs="Arial"/>
          <w:lang w:val="fr-CH"/>
        </w:rPr>
        <w:t xml:space="preserve"> 31</w:t>
      </w:r>
      <w:r w:rsidR="002E4B02" w:rsidRPr="004D3D70">
        <w:rPr>
          <w:rFonts w:cs="Arial"/>
          <w:lang w:val="fr-CH"/>
        </w:rPr>
        <w:t> décembre </w:t>
      </w:r>
      <w:r w:rsidR="00637A28" w:rsidRPr="004D3D70">
        <w:rPr>
          <w:rFonts w:cs="Arial"/>
          <w:lang w:val="fr-CH"/>
        </w:rPr>
        <w:t>2016</w:t>
      </w:r>
      <w:r w:rsidR="005E3B7B" w:rsidRPr="004D3D70">
        <w:rPr>
          <w:rFonts w:cs="Arial"/>
          <w:lang w:val="fr-CH"/>
        </w:rPr>
        <w:t xml:space="preserve"> </w:t>
      </w:r>
      <w:r w:rsidR="00E977CB" w:rsidRPr="004D3D70">
        <w:rPr>
          <w:rFonts w:cs="Arial"/>
          <w:lang w:val="fr-CH"/>
        </w:rPr>
        <w:t>par</w:t>
      </w:r>
      <w:r w:rsidR="00AD4718" w:rsidRPr="004D3D70">
        <w:rPr>
          <w:rFonts w:cs="Arial"/>
          <w:lang w:val="fr-CH"/>
        </w:rPr>
        <w:t xml:space="preserve"> la Caisse pour l</w:t>
      </w:r>
      <w:r>
        <w:rPr>
          <w:rFonts w:cs="Arial"/>
          <w:lang w:val="fr-CH"/>
        </w:rPr>
        <w:t>’</w:t>
      </w:r>
      <w:r w:rsidR="00AD4718" w:rsidRPr="004D3D70">
        <w:rPr>
          <w:rFonts w:cs="Arial"/>
          <w:lang w:val="fr-CH"/>
        </w:rPr>
        <w:t xml:space="preserve">établissement de ses états financiers </w:t>
      </w:r>
      <w:r w:rsidRPr="004D3D70">
        <w:rPr>
          <w:rFonts w:cs="Arial"/>
          <w:lang w:val="fr-CH"/>
        </w:rPr>
        <w:t>de</w:t>
      </w:r>
      <w:r>
        <w:rPr>
          <w:rFonts w:cs="Arial"/>
          <w:lang w:val="fr-CH"/>
        </w:rPr>
        <w:t> </w:t>
      </w:r>
      <w:r w:rsidRPr="004D3D70">
        <w:rPr>
          <w:rFonts w:cs="Arial"/>
          <w:lang w:val="fr-CH"/>
        </w:rPr>
        <w:t>2016</w:t>
      </w:r>
      <w:r w:rsidR="005E3B7B" w:rsidRPr="004D3D70">
        <w:rPr>
          <w:rFonts w:cs="Arial"/>
          <w:lang w:val="fr-CH"/>
        </w:rPr>
        <w:t xml:space="preserve">. </w:t>
      </w:r>
      <w:r w:rsidR="00AD4718" w:rsidRPr="004D3D70">
        <w:rPr>
          <w:rFonts w:cs="Arial"/>
          <w:lang w:val="fr-CH"/>
        </w:rPr>
        <w:t xml:space="preserve"> Une évaluation actuarielle au 31 décembre </w:t>
      </w:r>
      <w:r w:rsidR="005E3B7B" w:rsidRPr="004D3D70">
        <w:rPr>
          <w:rFonts w:cs="Arial"/>
          <w:lang w:val="fr-CH"/>
        </w:rPr>
        <w:t xml:space="preserve">2017 </w:t>
      </w:r>
      <w:r w:rsidR="00AD4718" w:rsidRPr="004D3D70">
        <w:rPr>
          <w:rFonts w:cs="Arial"/>
          <w:lang w:val="fr-CH"/>
        </w:rPr>
        <w:t>e</w:t>
      </w:r>
      <w:r w:rsidR="005E3B7B" w:rsidRPr="004D3D70">
        <w:rPr>
          <w:rFonts w:cs="Arial"/>
          <w:lang w:val="fr-CH"/>
        </w:rPr>
        <w:t>s</w:t>
      </w:r>
      <w:r w:rsidR="00AD4718" w:rsidRPr="004D3D70">
        <w:rPr>
          <w:rFonts w:cs="Arial"/>
          <w:lang w:val="fr-CH"/>
        </w:rPr>
        <w:t>t actuellement en cours</w:t>
      </w:r>
      <w:r w:rsidR="005E3B7B" w:rsidRPr="004D3D70">
        <w:rPr>
          <w:rFonts w:cs="Arial"/>
          <w:lang w:val="fr-CH"/>
        </w:rPr>
        <w:t>.</w:t>
      </w:r>
    </w:p>
    <w:p w:rsidR="00905890" w:rsidRPr="004D3D70" w:rsidRDefault="00905890" w:rsidP="005E3B7B">
      <w:pPr>
        <w:rPr>
          <w:rFonts w:cs="Arial"/>
          <w:lang w:val="fr-CH"/>
        </w:rPr>
      </w:pPr>
    </w:p>
    <w:p w:rsidR="00905890" w:rsidRPr="004D3D70" w:rsidRDefault="00AD4718" w:rsidP="0043308C">
      <w:pPr>
        <w:rPr>
          <w:rFonts w:cs="Arial"/>
          <w:lang w:val="fr-CH"/>
        </w:rPr>
      </w:pPr>
      <w:r w:rsidRPr="004D3D70">
        <w:rPr>
          <w:rFonts w:cs="Arial"/>
          <w:lang w:val="fr-CH"/>
        </w:rPr>
        <w:t>Le report des données sur la</w:t>
      </w:r>
      <w:r w:rsidR="005E3B7B" w:rsidRPr="004D3D70">
        <w:rPr>
          <w:rFonts w:cs="Arial"/>
          <w:lang w:val="fr-CH"/>
        </w:rPr>
        <w:t xml:space="preserve"> participati</w:t>
      </w:r>
      <w:r w:rsidR="00637A28" w:rsidRPr="004D3D70">
        <w:rPr>
          <w:rFonts w:cs="Arial"/>
          <w:lang w:val="fr-CH"/>
        </w:rPr>
        <w:t xml:space="preserve">on </w:t>
      </w:r>
      <w:r w:rsidRPr="004D3D70">
        <w:rPr>
          <w:rFonts w:cs="Arial"/>
          <w:lang w:val="fr-CH"/>
        </w:rPr>
        <w:t>du 31 décembre </w:t>
      </w:r>
      <w:r w:rsidR="00637A28" w:rsidRPr="004D3D70">
        <w:rPr>
          <w:rFonts w:cs="Arial"/>
          <w:lang w:val="fr-CH"/>
        </w:rPr>
        <w:t xml:space="preserve">2013 </w:t>
      </w:r>
      <w:r w:rsidRPr="004D3D70">
        <w:rPr>
          <w:rFonts w:cs="Arial"/>
          <w:lang w:val="fr-CH"/>
        </w:rPr>
        <w:t>au 31 décembre </w:t>
      </w:r>
      <w:r w:rsidR="00637A28" w:rsidRPr="004D3D70">
        <w:rPr>
          <w:rFonts w:cs="Arial"/>
          <w:lang w:val="fr-CH"/>
        </w:rPr>
        <w:t>2016</w:t>
      </w:r>
      <w:r w:rsidR="005E3B7B" w:rsidRPr="004D3D70">
        <w:rPr>
          <w:rFonts w:cs="Arial"/>
          <w:lang w:val="fr-CH"/>
        </w:rPr>
        <w:t xml:space="preserve"> </w:t>
      </w:r>
      <w:r w:rsidRPr="004D3D70">
        <w:rPr>
          <w:rFonts w:cs="Arial"/>
          <w:lang w:val="fr-CH"/>
        </w:rPr>
        <w:t>a entraîné un ratio de capitalisation des actifs actuariels de 150,1% (</w:t>
      </w:r>
      <w:r w:rsidR="00A77C26" w:rsidRPr="004D3D70">
        <w:rPr>
          <w:rFonts w:cs="Arial"/>
          <w:lang w:val="fr-CH"/>
        </w:rPr>
        <w:t xml:space="preserve">contre </w:t>
      </w:r>
      <w:r w:rsidRPr="004D3D70">
        <w:rPr>
          <w:rFonts w:cs="Arial"/>
          <w:lang w:val="fr-CH"/>
        </w:rPr>
        <w:t xml:space="preserve">127,5% </w:t>
      </w:r>
      <w:r w:rsidR="00A77C26" w:rsidRPr="004D3D70">
        <w:rPr>
          <w:rFonts w:cs="Arial"/>
          <w:lang w:val="fr-CH"/>
        </w:rPr>
        <w:t>lors de</w:t>
      </w:r>
      <w:r w:rsidRPr="004D3D70">
        <w:rPr>
          <w:rFonts w:cs="Arial"/>
          <w:lang w:val="fr-CH"/>
        </w:rPr>
        <w:t xml:space="preserve"> l</w:t>
      </w:r>
      <w:r w:rsidR="004D3D70">
        <w:rPr>
          <w:rFonts w:cs="Arial"/>
          <w:lang w:val="fr-CH"/>
        </w:rPr>
        <w:t>’</w:t>
      </w:r>
      <w:r w:rsidRPr="004D3D70">
        <w:rPr>
          <w:rFonts w:cs="Arial"/>
          <w:lang w:val="fr-CH"/>
        </w:rPr>
        <w:t xml:space="preserve">évaluation </w:t>
      </w:r>
      <w:r w:rsidR="004D3D70" w:rsidRPr="004D3D70">
        <w:rPr>
          <w:rFonts w:cs="Arial"/>
          <w:lang w:val="fr-CH"/>
        </w:rPr>
        <w:t>de</w:t>
      </w:r>
      <w:r w:rsidR="004D3D70">
        <w:rPr>
          <w:rFonts w:cs="Arial"/>
          <w:lang w:val="fr-CH"/>
        </w:rPr>
        <w:t> </w:t>
      </w:r>
      <w:r w:rsidR="004D3D70" w:rsidRPr="004D3D70">
        <w:rPr>
          <w:rFonts w:cs="Arial"/>
          <w:lang w:val="fr-CH"/>
        </w:rPr>
        <w:t>2013</w:t>
      </w:r>
      <w:r w:rsidRPr="004D3D70">
        <w:rPr>
          <w:rFonts w:cs="Arial"/>
          <w:lang w:val="fr-CH"/>
        </w:rPr>
        <w:t>) par rapport aux passifs actuariels,</w:t>
      </w:r>
      <w:r w:rsidR="005E3B7B" w:rsidRPr="004D3D70">
        <w:rPr>
          <w:rFonts w:cs="Arial"/>
          <w:lang w:val="fr-CH"/>
        </w:rPr>
        <w:t xml:space="preserve"> </w:t>
      </w:r>
      <w:r w:rsidRPr="004D3D70">
        <w:rPr>
          <w:rFonts w:cs="Arial"/>
          <w:lang w:val="fr-CH"/>
        </w:rPr>
        <w:t>en supposant qu</w:t>
      </w:r>
      <w:r w:rsidR="004D3D70">
        <w:rPr>
          <w:rFonts w:cs="Arial"/>
          <w:lang w:val="fr-CH"/>
        </w:rPr>
        <w:t>’</w:t>
      </w:r>
      <w:r w:rsidR="009C43C6" w:rsidRPr="004D3D70">
        <w:rPr>
          <w:rFonts w:cs="Arial"/>
          <w:lang w:val="fr-CH"/>
        </w:rPr>
        <w:t>il n</w:t>
      </w:r>
      <w:r w:rsidR="004D3D70">
        <w:rPr>
          <w:rFonts w:cs="Arial"/>
          <w:lang w:val="fr-CH"/>
        </w:rPr>
        <w:t>’</w:t>
      </w:r>
      <w:r w:rsidRPr="004D3D70">
        <w:rPr>
          <w:rFonts w:cs="Arial"/>
          <w:lang w:val="fr-CH"/>
        </w:rPr>
        <w:t>y ait pas d</w:t>
      </w:r>
      <w:r w:rsidR="004D3D70">
        <w:rPr>
          <w:rFonts w:cs="Arial"/>
          <w:lang w:val="fr-CH"/>
        </w:rPr>
        <w:t>’</w:t>
      </w:r>
      <w:r w:rsidRPr="004D3D70">
        <w:rPr>
          <w:rFonts w:cs="Arial"/>
          <w:lang w:val="fr-CH"/>
        </w:rPr>
        <w:t>ajustement des pensions à l</w:t>
      </w:r>
      <w:r w:rsidR="004D3D70">
        <w:rPr>
          <w:rFonts w:cs="Arial"/>
          <w:lang w:val="fr-CH"/>
        </w:rPr>
        <w:t>’</w:t>
      </w:r>
      <w:r w:rsidRPr="004D3D70">
        <w:rPr>
          <w:rFonts w:cs="Arial"/>
          <w:lang w:val="fr-CH"/>
        </w:rPr>
        <w:t>aven</w:t>
      </w:r>
      <w:r w:rsidR="002140E0" w:rsidRPr="004D3D70">
        <w:rPr>
          <w:rFonts w:cs="Arial"/>
          <w:lang w:val="fr-CH"/>
        </w:rPr>
        <w:t>ir</w:t>
      </w:r>
      <w:r w:rsidR="002140E0">
        <w:rPr>
          <w:rFonts w:cs="Arial"/>
          <w:lang w:val="fr-CH"/>
        </w:rPr>
        <w:t xml:space="preserve">.  </w:t>
      </w:r>
      <w:r w:rsidR="002140E0" w:rsidRPr="004D3D70">
        <w:rPr>
          <w:rFonts w:cs="Arial"/>
          <w:lang w:val="fr-CH"/>
        </w:rPr>
        <w:t>Co</w:t>
      </w:r>
      <w:r w:rsidR="0043308C" w:rsidRPr="004D3D70">
        <w:rPr>
          <w:rFonts w:cs="Arial"/>
          <w:lang w:val="fr-CH"/>
        </w:rPr>
        <w:t>mpte tenu du système actuel d</w:t>
      </w:r>
      <w:r w:rsidR="004D3D70">
        <w:rPr>
          <w:rFonts w:cs="Arial"/>
          <w:lang w:val="fr-CH"/>
        </w:rPr>
        <w:t>’</w:t>
      </w:r>
      <w:r w:rsidR="0043308C" w:rsidRPr="004D3D70">
        <w:rPr>
          <w:rFonts w:cs="Arial"/>
          <w:lang w:val="fr-CH"/>
        </w:rPr>
        <w:t>ajustement des pensions, le ratio de capitalisation était de 101,4% (contre 91,2% lors de l</w:t>
      </w:r>
      <w:r w:rsidR="004D3D70">
        <w:rPr>
          <w:rFonts w:cs="Arial"/>
          <w:lang w:val="fr-CH"/>
        </w:rPr>
        <w:t>’</w:t>
      </w:r>
      <w:r w:rsidR="0043308C" w:rsidRPr="004D3D70">
        <w:rPr>
          <w:rFonts w:cs="Arial"/>
          <w:lang w:val="fr-CH"/>
        </w:rPr>
        <w:t xml:space="preserve">évaluation </w:t>
      </w:r>
      <w:r w:rsidR="004D3D70" w:rsidRPr="004D3D70">
        <w:rPr>
          <w:rFonts w:cs="Arial"/>
          <w:lang w:val="fr-CH"/>
        </w:rPr>
        <w:t>de</w:t>
      </w:r>
      <w:r w:rsidR="004D3D70">
        <w:rPr>
          <w:rFonts w:cs="Arial"/>
          <w:lang w:val="fr-CH"/>
        </w:rPr>
        <w:t> </w:t>
      </w:r>
      <w:r w:rsidR="004D3D70" w:rsidRPr="004D3D70">
        <w:rPr>
          <w:rFonts w:cs="Arial"/>
          <w:lang w:val="fr-CH"/>
        </w:rPr>
        <w:t>2013</w:t>
      </w:r>
      <w:r w:rsidR="0043308C" w:rsidRPr="004D3D70">
        <w:rPr>
          <w:rFonts w:cs="Arial"/>
          <w:lang w:val="fr-CH"/>
        </w:rPr>
        <w:t>).</w:t>
      </w:r>
    </w:p>
    <w:p w:rsidR="004D3D70" w:rsidRDefault="004D3D70" w:rsidP="005E3B7B">
      <w:pPr>
        <w:rPr>
          <w:rFonts w:cs="Arial"/>
          <w:lang w:val="fr-CH"/>
        </w:rPr>
      </w:pPr>
    </w:p>
    <w:p w:rsidR="00905890" w:rsidRPr="004D3D70" w:rsidRDefault="0043308C" w:rsidP="0043308C">
      <w:pPr>
        <w:rPr>
          <w:rFonts w:cs="Arial"/>
          <w:lang w:val="fr-CH"/>
        </w:rPr>
      </w:pPr>
      <w:r w:rsidRPr="004D3D70">
        <w:rPr>
          <w:rFonts w:cs="Arial"/>
          <w:lang w:val="fr-CH"/>
        </w:rPr>
        <w:t>Suite à son évaluation actuarielle de la caisse de pensions, l</w:t>
      </w:r>
      <w:r w:rsidR="004D3D70">
        <w:rPr>
          <w:rFonts w:cs="Arial"/>
          <w:lang w:val="fr-CH"/>
        </w:rPr>
        <w:t>’</w:t>
      </w:r>
      <w:r w:rsidRPr="004D3D70">
        <w:rPr>
          <w:rFonts w:cs="Arial"/>
          <w:lang w:val="fr-CH"/>
        </w:rPr>
        <w:t>actuaire indépendant a conclu qu</w:t>
      </w:r>
      <w:r w:rsidR="004D3D70">
        <w:rPr>
          <w:rFonts w:cs="Arial"/>
          <w:lang w:val="fr-CH"/>
        </w:rPr>
        <w:t>’</w:t>
      </w:r>
      <w:r w:rsidRPr="004D3D70">
        <w:rPr>
          <w:rFonts w:cs="Arial"/>
          <w:lang w:val="fr-CH"/>
        </w:rPr>
        <w:t>au 3</w:t>
      </w:r>
      <w:r w:rsidR="004D3D70" w:rsidRPr="004D3D70">
        <w:rPr>
          <w:rFonts w:cs="Arial"/>
          <w:lang w:val="fr-CH"/>
        </w:rPr>
        <w:t>1</w:t>
      </w:r>
      <w:r w:rsidR="004D3D70">
        <w:rPr>
          <w:rFonts w:cs="Arial"/>
          <w:lang w:val="fr-CH"/>
        </w:rPr>
        <w:t> </w:t>
      </w:r>
      <w:r w:rsidR="004D3D70" w:rsidRPr="004D3D70">
        <w:rPr>
          <w:rFonts w:cs="Arial"/>
          <w:lang w:val="fr-CH"/>
        </w:rPr>
        <w:t>décembre</w:t>
      </w:r>
      <w:r w:rsidR="004D3D70">
        <w:rPr>
          <w:rFonts w:cs="Arial"/>
          <w:lang w:val="fr-CH"/>
        </w:rPr>
        <w:t> </w:t>
      </w:r>
      <w:r w:rsidR="004D3D70" w:rsidRPr="004D3D70">
        <w:rPr>
          <w:rFonts w:cs="Arial"/>
          <w:lang w:val="fr-CH"/>
        </w:rPr>
        <w:t>20</w:t>
      </w:r>
      <w:r w:rsidRPr="004D3D70">
        <w:rPr>
          <w:rFonts w:cs="Arial"/>
          <w:lang w:val="fr-CH"/>
        </w:rPr>
        <w:t>16, il n</w:t>
      </w:r>
      <w:r w:rsidR="004D3D70">
        <w:rPr>
          <w:rFonts w:cs="Arial"/>
          <w:lang w:val="fr-CH"/>
        </w:rPr>
        <w:t>’</w:t>
      </w:r>
      <w:r w:rsidRPr="004D3D70">
        <w:rPr>
          <w:rFonts w:cs="Arial"/>
          <w:lang w:val="fr-CH"/>
        </w:rPr>
        <w:t>était pas nécessaire de procéder à un paiement à titre compensatoire en vertu de l</w:t>
      </w:r>
      <w:r w:rsidR="004D3D70">
        <w:rPr>
          <w:rFonts w:cs="Arial"/>
          <w:lang w:val="fr-CH"/>
        </w:rPr>
        <w:t>’</w:t>
      </w:r>
      <w:r w:rsidR="004D3D70" w:rsidRPr="004D3D70">
        <w:rPr>
          <w:rFonts w:cs="Arial"/>
          <w:lang w:val="fr-CH"/>
        </w:rPr>
        <w:t>article</w:t>
      </w:r>
      <w:r w:rsidR="004D3D70">
        <w:rPr>
          <w:rFonts w:cs="Arial"/>
          <w:lang w:val="fr-CH"/>
        </w:rPr>
        <w:t> </w:t>
      </w:r>
      <w:r w:rsidR="004D3D70" w:rsidRPr="004D3D70">
        <w:rPr>
          <w:rFonts w:cs="Arial"/>
          <w:lang w:val="fr-CH"/>
        </w:rPr>
        <w:t>2</w:t>
      </w:r>
      <w:r w:rsidRPr="004D3D70">
        <w:rPr>
          <w:rFonts w:cs="Arial"/>
          <w:lang w:val="fr-CH"/>
        </w:rPr>
        <w:t>6 des statuts de la Caisse de pensio</w:t>
      </w:r>
      <w:r w:rsidR="002140E0" w:rsidRPr="004D3D70">
        <w:rPr>
          <w:rFonts w:cs="Arial"/>
          <w:lang w:val="fr-CH"/>
        </w:rPr>
        <w:t>ns</w:t>
      </w:r>
      <w:r w:rsidR="002140E0">
        <w:rPr>
          <w:rFonts w:cs="Arial"/>
          <w:lang w:val="fr-CH"/>
        </w:rPr>
        <w:t xml:space="preserve">.  </w:t>
      </w:r>
      <w:r w:rsidR="002140E0" w:rsidRPr="004D3D70">
        <w:rPr>
          <w:rFonts w:cs="Arial"/>
          <w:lang w:val="fr-CH"/>
        </w:rPr>
        <w:t>En</w:t>
      </w:r>
      <w:r w:rsidRPr="004D3D70">
        <w:rPr>
          <w:rFonts w:cs="Arial"/>
          <w:lang w:val="fr-CH"/>
        </w:rPr>
        <w:t xml:space="preserve"> effet, la valeur actuarielle de l</w:t>
      </w:r>
      <w:r w:rsidR="004D3D70">
        <w:rPr>
          <w:rFonts w:cs="Arial"/>
          <w:lang w:val="fr-CH"/>
        </w:rPr>
        <w:t>’</w:t>
      </w:r>
      <w:r w:rsidRPr="004D3D70">
        <w:rPr>
          <w:rFonts w:cs="Arial"/>
          <w:lang w:val="fr-CH"/>
        </w:rPr>
        <w:t>actif était supérieure à la valeur actuarielle des charges à payer par ladite cais</w:t>
      </w:r>
      <w:r w:rsidR="002140E0" w:rsidRPr="004D3D70">
        <w:rPr>
          <w:rFonts w:cs="Arial"/>
          <w:lang w:val="fr-CH"/>
        </w:rPr>
        <w:t>se</w:t>
      </w:r>
      <w:r w:rsidR="002140E0">
        <w:rPr>
          <w:rFonts w:cs="Arial"/>
          <w:lang w:val="fr-CH"/>
        </w:rPr>
        <w:t xml:space="preserve">.  </w:t>
      </w:r>
      <w:r w:rsidR="002140E0" w:rsidRPr="004D3D70">
        <w:rPr>
          <w:rFonts w:cs="Arial"/>
          <w:lang w:val="fr-CH"/>
        </w:rPr>
        <w:t>En</w:t>
      </w:r>
      <w:r w:rsidRPr="004D3D70">
        <w:rPr>
          <w:rFonts w:cs="Arial"/>
          <w:lang w:val="fr-CH"/>
        </w:rPr>
        <w:t xml:space="preserve"> outre, à la date de cette évaluation, la valeur commerciale des actifs était également supérieure à la valeur actuarielle de toutes les charges à pay</w:t>
      </w:r>
      <w:r w:rsidR="002140E0" w:rsidRPr="004D3D70">
        <w:rPr>
          <w:rFonts w:cs="Arial"/>
          <w:lang w:val="fr-CH"/>
        </w:rPr>
        <w:t>er</w:t>
      </w:r>
      <w:r w:rsidR="002140E0">
        <w:rPr>
          <w:rFonts w:cs="Arial"/>
          <w:lang w:val="fr-CH"/>
        </w:rPr>
        <w:t xml:space="preserve">.  </w:t>
      </w:r>
      <w:r w:rsidR="002140E0" w:rsidRPr="004D3D70">
        <w:rPr>
          <w:rFonts w:cs="Arial"/>
          <w:lang w:val="fr-CH"/>
        </w:rPr>
        <w:t>À</w:t>
      </w:r>
      <w:r w:rsidR="000A441A">
        <w:rPr>
          <w:rFonts w:cs="Arial"/>
          <w:lang w:val="fr-CH"/>
        </w:rPr>
        <w:t> </w:t>
      </w:r>
      <w:r w:rsidRPr="004D3D70">
        <w:rPr>
          <w:rFonts w:cs="Arial"/>
          <w:lang w:val="fr-CH"/>
        </w:rPr>
        <w:t>la</w:t>
      </w:r>
      <w:r w:rsidR="000A441A">
        <w:rPr>
          <w:rFonts w:cs="Arial"/>
          <w:lang w:val="fr-CH"/>
        </w:rPr>
        <w:t> </w:t>
      </w:r>
      <w:r w:rsidRPr="004D3D70">
        <w:rPr>
          <w:rFonts w:cs="Arial"/>
          <w:lang w:val="fr-CH"/>
        </w:rPr>
        <w:t>date d</w:t>
      </w:r>
      <w:r w:rsidR="004D3D70">
        <w:rPr>
          <w:rFonts w:cs="Arial"/>
          <w:lang w:val="fr-CH"/>
        </w:rPr>
        <w:t>’</w:t>
      </w:r>
      <w:r w:rsidRPr="004D3D70">
        <w:rPr>
          <w:rFonts w:cs="Arial"/>
          <w:lang w:val="fr-CH"/>
        </w:rPr>
        <w:t>établissement du présent rapport, l</w:t>
      </w:r>
      <w:r w:rsidR="004D3D70">
        <w:rPr>
          <w:rFonts w:cs="Arial"/>
          <w:lang w:val="fr-CH"/>
        </w:rPr>
        <w:t>’</w:t>
      </w:r>
      <w:r w:rsidRPr="004D3D70">
        <w:rPr>
          <w:rFonts w:cs="Arial"/>
          <w:lang w:val="fr-CH"/>
        </w:rPr>
        <w:t>Assemblée générale de l</w:t>
      </w:r>
      <w:r w:rsidR="004D3D70">
        <w:rPr>
          <w:rFonts w:cs="Arial"/>
          <w:lang w:val="fr-CH"/>
        </w:rPr>
        <w:t>’</w:t>
      </w:r>
      <w:r w:rsidRPr="004D3D70">
        <w:rPr>
          <w:rFonts w:cs="Arial"/>
          <w:lang w:val="fr-CH"/>
        </w:rPr>
        <w:t xml:space="preserve">Organisation des </w:t>
      </w:r>
      <w:r w:rsidR="004D3D70">
        <w:rPr>
          <w:rFonts w:cs="Arial"/>
          <w:lang w:val="fr-CH"/>
        </w:rPr>
        <w:t>Nations Unies</w:t>
      </w:r>
      <w:r w:rsidRPr="004D3D70">
        <w:rPr>
          <w:rFonts w:cs="Arial"/>
          <w:lang w:val="fr-CH"/>
        </w:rPr>
        <w:t xml:space="preserve"> n</w:t>
      </w:r>
      <w:r w:rsidR="004D3D70">
        <w:rPr>
          <w:rFonts w:cs="Arial"/>
          <w:lang w:val="fr-CH"/>
        </w:rPr>
        <w:t>’</w:t>
      </w:r>
      <w:r w:rsidRPr="004D3D70">
        <w:rPr>
          <w:rFonts w:cs="Arial"/>
          <w:lang w:val="fr-CH"/>
        </w:rPr>
        <w:t>a pas invoqué la disposition de l</w:t>
      </w:r>
      <w:r w:rsidR="004D3D70">
        <w:rPr>
          <w:rFonts w:cs="Arial"/>
          <w:lang w:val="fr-CH"/>
        </w:rPr>
        <w:t>’</w:t>
      </w:r>
      <w:r w:rsidR="004D3D70" w:rsidRPr="004D3D70">
        <w:rPr>
          <w:rFonts w:cs="Arial"/>
          <w:lang w:val="fr-CH"/>
        </w:rPr>
        <w:t>article</w:t>
      </w:r>
      <w:r w:rsidR="004D3D70">
        <w:rPr>
          <w:rFonts w:cs="Arial"/>
          <w:lang w:val="fr-CH"/>
        </w:rPr>
        <w:t> </w:t>
      </w:r>
      <w:r w:rsidR="004D3D70" w:rsidRPr="004D3D70">
        <w:rPr>
          <w:rFonts w:cs="Arial"/>
          <w:lang w:val="fr-CH"/>
        </w:rPr>
        <w:t>2</w:t>
      </w:r>
      <w:r w:rsidRPr="004D3D70">
        <w:rPr>
          <w:rFonts w:cs="Arial"/>
          <w:lang w:val="fr-CH"/>
        </w:rPr>
        <w:t>6.</w:t>
      </w:r>
    </w:p>
    <w:p w:rsidR="00905890" w:rsidRPr="004D3D70" w:rsidRDefault="00905890" w:rsidP="005E3B7B">
      <w:pPr>
        <w:rPr>
          <w:rFonts w:cs="Arial"/>
          <w:lang w:val="fr-CH"/>
        </w:rPr>
      </w:pPr>
    </w:p>
    <w:p w:rsidR="00905890" w:rsidRPr="004D3D70" w:rsidRDefault="00172433" w:rsidP="005E3B7B">
      <w:pPr>
        <w:rPr>
          <w:rFonts w:cs="Arial"/>
          <w:lang w:val="fr-CH"/>
        </w:rPr>
      </w:pPr>
      <w:r w:rsidRPr="004D3D70">
        <w:rPr>
          <w:rFonts w:cs="Arial"/>
          <w:lang w:val="fr-CH"/>
        </w:rPr>
        <w:t>Si l</w:t>
      </w:r>
      <w:r w:rsidR="004D3D70">
        <w:rPr>
          <w:rFonts w:cs="Arial"/>
          <w:lang w:val="fr-CH"/>
        </w:rPr>
        <w:t>’</w:t>
      </w:r>
      <w:r w:rsidR="004D3D70" w:rsidRPr="004D3D70">
        <w:rPr>
          <w:rFonts w:cs="Arial"/>
          <w:lang w:val="fr-CH"/>
        </w:rPr>
        <w:t>article</w:t>
      </w:r>
      <w:r w:rsidR="004D3D70">
        <w:rPr>
          <w:rFonts w:cs="Arial"/>
          <w:lang w:val="fr-CH"/>
        </w:rPr>
        <w:t> </w:t>
      </w:r>
      <w:r w:rsidR="004D3D70" w:rsidRPr="004D3D70">
        <w:rPr>
          <w:rFonts w:cs="Arial"/>
          <w:lang w:val="fr-CH"/>
        </w:rPr>
        <w:t>2</w:t>
      </w:r>
      <w:r w:rsidR="008005FC" w:rsidRPr="004D3D70">
        <w:rPr>
          <w:rFonts w:cs="Arial"/>
          <w:lang w:val="fr-CH"/>
        </w:rPr>
        <w:t xml:space="preserve">6 </w:t>
      </w:r>
      <w:r w:rsidRPr="004D3D70">
        <w:rPr>
          <w:rFonts w:cs="Arial"/>
          <w:lang w:val="fr-CH"/>
        </w:rPr>
        <w:t>devait être invoqué en raison d</w:t>
      </w:r>
      <w:r w:rsidR="004D3D70">
        <w:rPr>
          <w:rFonts w:cs="Arial"/>
          <w:lang w:val="fr-CH"/>
        </w:rPr>
        <w:t>’</w:t>
      </w:r>
      <w:r w:rsidRPr="004D3D70">
        <w:rPr>
          <w:rFonts w:cs="Arial"/>
          <w:lang w:val="fr-CH"/>
        </w:rPr>
        <w:t>un déficit</w:t>
      </w:r>
      <w:r w:rsidR="008005FC" w:rsidRPr="004D3D70">
        <w:rPr>
          <w:rFonts w:cs="Arial"/>
          <w:lang w:val="fr-CH"/>
        </w:rPr>
        <w:t xml:space="preserve"> actuari</w:t>
      </w:r>
      <w:r w:rsidRPr="004D3D70">
        <w:rPr>
          <w:rFonts w:cs="Arial"/>
          <w:lang w:val="fr-CH"/>
        </w:rPr>
        <w:t>e</w:t>
      </w:r>
      <w:r w:rsidR="008005FC" w:rsidRPr="004D3D70">
        <w:rPr>
          <w:rFonts w:cs="Arial"/>
          <w:lang w:val="fr-CH"/>
        </w:rPr>
        <w:t xml:space="preserve">l, </w:t>
      </w:r>
      <w:r w:rsidR="002B1CF5" w:rsidRPr="004D3D70">
        <w:rPr>
          <w:rFonts w:cs="Arial"/>
          <w:lang w:val="fr-CH"/>
        </w:rPr>
        <w:t xml:space="preserve">que ce soit </w:t>
      </w:r>
      <w:r w:rsidR="00DE0C0D" w:rsidRPr="004D3D70">
        <w:rPr>
          <w:rFonts w:cs="Arial"/>
          <w:lang w:val="fr-CH"/>
        </w:rPr>
        <w:t xml:space="preserve">durant le </w:t>
      </w:r>
      <w:r w:rsidR="00440E38" w:rsidRPr="004D3D70">
        <w:rPr>
          <w:rFonts w:cs="Arial"/>
          <w:lang w:val="fr-CH"/>
        </w:rPr>
        <w:t xml:space="preserve">fonctionnement </w:t>
      </w:r>
      <w:r w:rsidR="00DE0C0D" w:rsidRPr="004D3D70">
        <w:rPr>
          <w:rFonts w:cs="Arial"/>
          <w:lang w:val="fr-CH"/>
        </w:rPr>
        <w:t xml:space="preserve">en cours </w:t>
      </w:r>
      <w:r w:rsidR="002B1CF5" w:rsidRPr="004D3D70">
        <w:rPr>
          <w:rFonts w:cs="Arial"/>
          <w:lang w:val="fr-CH"/>
        </w:rPr>
        <w:t xml:space="preserve">de la Caisse commune des pensions du personnel des </w:t>
      </w:r>
      <w:r w:rsidR="004D3D70">
        <w:rPr>
          <w:rFonts w:cs="Arial"/>
          <w:lang w:val="fr-CH"/>
        </w:rPr>
        <w:t>Nations Unies</w:t>
      </w:r>
      <w:r w:rsidR="008005FC" w:rsidRPr="004D3D70">
        <w:rPr>
          <w:rFonts w:cs="Arial"/>
          <w:lang w:val="fr-CH"/>
        </w:rPr>
        <w:t xml:space="preserve"> </w:t>
      </w:r>
      <w:r w:rsidR="00DE0C0D" w:rsidRPr="004D3D70">
        <w:rPr>
          <w:rFonts w:cs="Arial"/>
          <w:lang w:val="fr-CH"/>
        </w:rPr>
        <w:t xml:space="preserve">ou en raison de </w:t>
      </w:r>
      <w:r w:rsidR="00440E38" w:rsidRPr="004D3D70">
        <w:rPr>
          <w:rFonts w:cs="Arial"/>
          <w:lang w:val="fr-CH"/>
        </w:rPr>
        <w:t>la cessation de l</w:t>
      </w:r>
      <w:r w:rsidR="004D3D70">
        <w:rPr>
          <w:rFonts w:cs="Arial"/>
          <w:lang w:val="fr-CH"/>
        </w:rPr>
        <w:t>’</w:t>
      </w:r>
      <w:r w:rsidR="00440E38" w:rsidRPr="004D3D70">
        <w:rPr>
          <w:rFonts w:cs="Arial"/>
          <w:lang w:val="fr-CH"/>
        </w:rPr>
        <w:t>affiliation à ladite Caisse</w:t>
      </w:r>
      <w:r w:rsidR="008005FC" w:rsidRPr="004D3D70">
        <w:rPr>
          <w:rFonts w:cs="Arial"/>
          <w:lang w:val="fr-CH"/>
        </w:rPr>
        <w:t xml:space="preserve">, </w:t>
      </w:r>
      <w:r w:rsidR="00DE0C0D" w:rsidRPr="004D3D70">
        <w:rPr>
          <w:rFonts w:cs="Arial"/>
          <w:lang w:val="fr-CH"/>
        </w:rPr>
        <w:t xml:space="preserve">les paiements </w:t>
      </w:r>
      <w:r w:rsidR="0071627F" w:rsidRPr="004D3D70">
        <w:rPr>
          <w:rFonts w:cs="Arial"/>
          <w:lang w:val="fr-CH"/>
        </w:rPr>
        <w:t xml:space="preserve">dus </w:t>
      </w:r>
      <w:r w:rsidR="00DE0C0D" w:rsidRPr="004D3D70">
        <w:rPr>
          <w:rFonts w:cs="Arial"/>
          <w:lang w:val="fr-CH"/>
        </w:rPr>
        <w:t xml:space="preserve">à titre compensatoire de la part de </w:t>
      </w:r>
      <w:r w:rsidR="009C43C6" w:rsidRPr="004D3D70">
        <w:rPr>
          <w:rFonts w:cs="Arial"/>
          <w:lang w:val="fr-CH"/>
        </w:rPr>
        <w:t xml:space="preserve">chaque </w:t>
      </w:r>
      <w:r w:rsidR="00DE0C0D" w:rsidRPr="004D3D70">
        <w:rPr>
          <w:rFonts w:cs="Arial"/>
          <w:lang w:val="fr-CH"/>
        </w:rPr>
        <w:t xml:space="preserve">organisation membre </w:t>
      </w:r>
      <w:r w:rsidR="0071627F" w:rsidRPr="004D3D70">
        <w:rPr>
          <w:rFonts w:cs="Arial"/>
          <w:lang w:val="fr-CH"/>
        </w:rPr>
        <w:t xml:space="preserve">seraient calculés </w:t>
      </w:r>
      <w:r w:rsidR="0033304D" w:rsidRPr="004D3D70">
        <w:rPr>
          <w:rFonts w:cs="Arial"/>
          <w:lang w:val="fr-CH"/>
        </w:rPr>
        <w:t>au prorata</w:t>
      </w:r>
      <w:r w:rsidR="0071627F" w:rsidRPr="004D3D70">
        <w:rPr>
          <w:rFonts w:cs="Arial"/>
          <w:lang w:val="fr-CH"/>
        </w:rPr>
        <w:t xml:space="preserve"> des cotisations </w:t>
      </w:r>
      <w:r w:rsidR="00440E38" w:rsidRPr="004D3D70">
        <w:rPr>
          <w:rFonts w:cs="Arial"/>
          <w:lang w:val="fr-CH"/>
        </w:rPr>
        <w:t>qu</w:t>
      </w:r>
      <w:r w:rsidR="00CE1CA0" w:rsidRPr="004D3D70">
        <w:rPr>
          <w:rFonts w:cs="Arial"/>
          <w:lang w:val="fr-CH"/>
        </w:rPr>
        <w:t>e</w:t>
      </w:r>
      <w:r w:rsidR="0033304D" w:rsidRPr="004D3D70">
        <w:rPr>
          <w:rFonts w:cs="Arial"/>
          <w:lang w:val="fr-CH"/>
        </w:rPr>
        <w:t xml:space="preserve"> </w:t>
      </w:r>
      <w:r w:rsidR="0071627F" w:rsidRPr="004D3D70">
        <w:rPr>
          <w:rFonts w:cs="Arial"/>
          <w:lang w:val="fr-CH"/>
        </w:rPr>
        <w:t>l</w:t>
      </w:r>
      <w:r w:rsidR="004D3D70">
        <w:rPr>
          <w:rFonts w:cs="Arial"/>
          <w:lang w:val="fr-CH"/>
        </w:rPr>
        <w:t>’</w:t>
      </w:r>
      <w:r w:rsidR="0071627F" w:rsidRPr="004D3D70">
        <w:rPr>
          <w:rFonts w:cs="Arial"/>
          <w:lang w:val="fr-CH"/>
        </w:rPr>
        <w:t xml:space="preserve">organisation membre </w:t>
      </w:r>
      <w:r w:rsidR="00440E38" w:rsidRPr="004D3D70">
        <w:rPr>
          <w:rFonts w:cs="Arial"/>
          <w:lang w:val="fr-CH"/>
        </w:rPr>
        <w:t xml:space="preserve">a </w:t>
      </w:r>
      <w:r w:rsidR="00CE1CA0" w:rsidRPr="004D3D70">
        <w:rPr>
          <w:rFonts w:cs="Arial"/>
          <w:lang w:val="fr-CH"/>
        </w:rPr>
        <w:t xml:space="preserve">versées </w:t>
      </w:r>
      <w:r w:rsidR="0033304D" w:rsidRPr="004D3D70">
        <w:rPr>
          <w:rFonts w:cs="Arial"/>
          <w:lang w:val="fr-CH"/>
        </w:rPr>
        <w:t>aux cotisations totales de la Caisse des pensions pendant les trois</w:t>
      </w:r>
      <w:r w:rsidR="00AC2A6B">
        <w:rPr>
          <w:rFonts w:cs="Arial"/>
          <w:lang w:val="fr-CH"/>
        </w:rPr>
        <w:t> </w:t>
      </w:r>
      <w:r w:rsidR="0033304D" w:rsidRPr="004D3D70">
        <w:rPr>
          <w:rFonts w:cs="Arial"/>
          <w:lang w:val="fr-CH"/>
        </w:rPr>
        <w:t>années précédant l</w:t>
      </w:r>
      <w:r w:rsidR="004D3D70">
        <w:rPr>
          <w:rFonts w:cs="Arial"/>
          <w:lang w:val="fr-CH"/>
        </w:rPr>
        <w:t>’</w:t>
      </w:r>
      <w:r w:rsidR="0033304D" w:rsidRPr="004D3D70">
        <w:rPr>
          <w:rFonts w:cs="Arial"/>
          <w:lang w:val="fr-CH"/>
        </w:rPr>
        <w:t>évaluation actuariel</w:t>
      </w:r>
      <w:r w:rsidR="002140E0" w:rsidRPr="004D3D70">
        <w:rPr>
          <w:rFonts w:cs="Arial"/>
          <w:lang w:val="fr-CH"/>
        </w:rPr>
        <w:t>le</w:t>
      </w:r>
      <w:r w:rsidR="002140E0">
        <w:rPr>
          <w:rFonts w:cs="Arial"/>
          <w:lang w:val="fr-CH"/>
        </w:rPr>
        <w:t xml:space="preserve">.  </w:t>
      </w:r>
      <w:r w:rsidR="002140E0" w:rsidRPr="004D3D70">
        <w:rPr>
          <w:rFonts w:cs="Arial"/>
          <w:lang w:val="fr-CH"/>
        </w:rPr>
        <w:t>Le</w:t>
      </w:r>
      <w:r w:rsidR="00CE1CA0" w:rsidRPr="004D3D70">
        <w:rPr>
          <w:rFonts w:cs="Arial"/>
          <w:lang w:val="fr-CH"/>
        </w:rPr>
        <w:t>s cotisations totales versées à la Caisse au cours des trois</w:t>
      </w:r>
      <w:r w:rsidR="00AC2A6B">
        <w:rPr>
          <w:rFonts w:cs="Arial"/>
          <w:lang w:val="fr-CH"/>
        </w:rPr>
        <w:t> </w:t>
      </w:r>
      <w:r w:rsidR="00CE1CA0" w:rsidRPr="004D3D70">
        <w:rPr>
          <w:rFonts w:cs="Arial"/>
          <w:lang w:val="fr-CH"/>
        </w:rPr>
        <w:t>années précédentes</w:t>
      </w:r>
      <w:r w:rsidR="008005FC" w:rsidRPr="004D3D70">
        <w:rPr>
          <w:rFonts w:cs="Arial"/>
          <w:lang w:val="fr-CH"/>
        </w:rPr>
        <w:t xml:space="preserve"> (2014, 2015 </w:t>
      </w:r>
      <w:r w:rsidR="00CE1CA0" w:rsidRPr="004D3D70">
        <w:rPr>
          <w:rFonts w:cs="Arial"/>
          <w:lang w:val="fr-CH"/>
        </w:rPr>
        <w:t>et</w:t>
      </w:r>
      <w:r w:rsidR="008005FC" w:rsidRPr="004D3D70">
        <w:rPr>
          <w:rFonts w:cs="Arial"/>
          <w:lang w:val="fr-CH"/>
        </w:rPr>
        <w:t xml:space="preserve"> 2016) </w:t>
      </w:r>
      <w:r w:rsidR="00CE1CA0" w:rsidRPr="004D3D70">
        <w:rPr>
          <w:rFonts w:cs="Arial"/>
          <w:lang w:val="fr-CH"/>
        </w:rPr>
        <w:t>s</w:t>
      </w:r>
      <w:r w:rsidR="004D3D70">
        <w:rPr>
          <w:rFonts w:cs="Arial"/>
          <w:lang w:val="fr-CH"/>
        </w:rPr>
        <w:t>’</w:t>
      </w:r>
      <w:r w:rsidR="00CE1CA0" w:rsidRPr="004D3D70">
        <w:rPr>
          <w:rFonts w:cs="Arial"/>
          <w:lang w:val="fr-CH"/>
        </w:rPr>
        <w:t xml:space="preserve">élevaient à </w:t>
      </w:r>
      <w:r w:rsidR="00AC2A6B" w:rsidRPr="004D3D70">
        <w:rPr>
          <w:rFonts w:cs="Arial"/>
          <w:lang w:val="fr-CH"/>
        </w:rPr>
        <w:t>6751</w:t>
      </w:r>
      <w:r w:rsidR="00CE1CA0" w:rsidRPr="004D3D70">
        <w:rPr>
          <w:rFonts w:cs="Arial"/>
          <w:lang w:val="fr-CH"/>
        </w:rPr>
        <w:t>,</w:t>
      </w:r>
      <w:r w:rsidR="004D3D70" w:rsidRPr="004D3D70">
        <w:rPr>
          <w:rFonts w:cs="Arial"/>
          <w:lang w:val="fr-CH"/>
        </w:rPr>
        <w:t>0</w:t>
      </w:r>
      <w:r w:rsidR="004D3D70">
        <w:rPr>
          <w:rFonts w:cs="Arial"/>
          <w:lang w:val="fr-CH"/>
        </w:rPr>
        <w:t> </w:t>
      </w:r>
      <w:r w:rsidR="004D3D70" w:rsidRPr="004D3D70">
        <w:rPr>
          <w:rFonts w:cs="Arial"/>
          <w:lang w:val="fr-CH"/>
        </w:rPr>
        <w:t>million</w:t>
      </w:r>
      <w:r w:rsidR="00CE1CA0" w:rsidRPr="004D3D70">
        <w:rPr>
          <w:rFonts w:cs="Arial"/>
          <w:lang w:val="fr-CH"/>
        </w:rPr>
        <w:t>s de</w:t>
      </w:r>
      <w:r w:rsidR="00583AD7" w:rsidRPr="004D3D70">
        <w:rPr>
          <w:rFonts w:cs="Arial"/>
          <w:lang w:val="fr-CH"/>
        </w:rPr>
        <w:t xml:space="preserve"> dollars</w:t>
      </w:r>
      <w:r w:rsidR="00CE1CA0" w:rsidRPr="004D3D70">
        <w:rPr>
          <w:rFonts w:cs="Arial"/>
          <w:lang w:val="fr-CH"/>
        </w:rPr>
        <w:t xml:space="preserve"> des États</w:t>
      </w:r>
      <w:r w:rsidR="00665FEC">
        <w:rPr>
          <w:rFonts w:cs="Arial"/>
          <w:lang w:val="fr-CH"/>
        </w:rPr>
        <w:noBreakHyphen/>
      </w:r>
      <w:r w:rsidR="00CE1CA0" w:rsidRPr="004D3D70">
        <w:rPr>
          <w:rFonts w:cs="Arial"/>
          <w:lang w:val="fr-CH"/>
        </w:rPr>
        <w:t>Unis</w:t>
      </w:r>
      <w:r w:rsidR="00AC2A6B">
        <w:rPr>
          <w:rFonts w:cs="Arial"/>
          <w:lang w:val="fr-CH"/>
        </w:rPr>
        <w:t xml:space="preserve"> d’Amérique</w:t>
      </w:r>
      <w:r w:rsidR="00CE1CA0" w:rsidRPr="004D3D70">
        <w:rPr>
          <w:rFonts w:cs="Arial"/>
          <w:lang w:val="fr-CH"/>
        </w:rPr>
        <w:t xml:space="preserve"> et les cotisations de l</w:t>
      </w:r>
      <w:r w:rsidR="004D3D70">
        <w:rPr>
          <w:rFonts w:cs="Arial"/>
          <w:lang w:val="fr-CH"/>
        </w:rPr>
        <w:t>’</w:t>
      </w:r>
      <w:r w:rsidR="00CE1CA0" w:rsidRPr="004D3D70">
        <w:rPr>
          <w:rFonts w:cs="Arial"/>
          <w:lang w:val="fr-CH"/>
        </w:rPr>
        <w:t>UPOV ont représenté 0,</w:t>
      </w:r>
      <w:r w:rsidR="00583AD7" w:rsidRPr="004D3D70">
        <w:rPr>
          <w:rFonts w:cs="Arial"/>
          <w:lang w:val="fr-CH"/>
        </w:rPr>
        <w:t>018</w:t>
      </w:r>
      <w:r w:rsidR="00CE1CA0" w:rsidRPr="004D3D70">
        <w:rPr>
          <w:rFonts w:cs="Arial"/>
          <w:lang w:val="fr-CH"/>
        </w:rPr>
        <w:t>%</w:t>
      </w:r>
      <w:r w:rsidR="009C43C6" w:rsidRPr="004D3D70">
        <w:rPr>
          <w:rFonts w:cs="Arial"/>
          <w:lang w:val="fr-CH"/>
        </w:rPr>
        <w:t xml:space="preserve"> de ces cotisations (</w:t>
      </w:r>
      <w:r w:rsidR="004D3D70">
        <w:rPr>
          <w:rFonts w:cs="Arial"/>
          <w:lang w:val="fr-CH"/>
        </w:rPr>
        <w:t>y compris</w:t>
      </w:r>
      <w:r w:rsidR="009C43C6" w:rsidRPr="004D3D70">
        <w:rPr>
          <w:rFonts w:cs="Arial"/>
          <w:lang w:val="fr-CH"/>
        </w:rPr>
        <w:t xml:space="preserve"> d</w:t>
      </w:r>
      <w:r w:rsidR="00CE1CA0" w:rsidRPr="004D3D70">
        <w:rPr>
          <w:rFonts w:cs="Arial"/>
          <w:lang w:val="fr-CH"/>
        </w:rPr>
        <w:t>es</w:t>
      </w:r>
      <w:r w:rsidR="00203C5B" w:rsidRPr="004D3D70">
        <w:rPr>
          <w:rFonts w:cs="Arial"/>
          <w:lang w:val="fr-CH"/>
        </w:rPr>
        <w:t xml:space="preserve"> cotisations des</w:t>
      </w:r>
      <w:r w:rsidR="008005FC" w:rsidRPr="004D3D70">
        <w:rPr>
          <w:rFonts w:cs="Arial"/>
          <w:lang w:val="fr-CH"/>
        </w:rPr>
        <w:t xml:space="preserve"> participants </w:t>
      </w:r>
      <w:r w:rsidR="00203C5B" w:rsidRPr="004D3D70">
        <w:rPr>
          <w:rFonts w:cs="Arial"/>
          <w:lang w:val="fr-CH"/>
        </w:rPr>
        <w:t>et de l</w:t>
      </w:r>
      <w:r w:rsidR="004D3D70">
        <w:rPr>
          <w:rFonts w:cs="Arial"/>
          <w:lang w:val="fr-CH"/>
        </w:rPr>
        <w:t>’</w:t>
      </w:r>
      <w:r w:rsidR="009C43C6" w:rsidRPr="004D3D70">
        <w:rPr>
          <w:rFonts w:cs="Arial"/>
          <w:lang w:val="fr-CH"/>
        </w:rPr>
        <w:t>UPOV</w:t>
      </w:r>
      <w:r w:rsidR="008005FC" w:rsidRPr="004D3D70">
        <w:rPr>
          <w:rFonts w:cs="Arial"/>
          <w:lang w:val="fr-CH"/>
        </w:rPr>
        <w:t>).</w:t>
      </w:r>
    </w:p>
    <w:p w:rsidR="00905890" w:rsidRPr="004D3D70" w:rsidRDefault="00905890" w:rsidP="005E3B7B">
      <w:pPr>
        <w:rPr>
          <w:rFonts w:cs="Arial"/>
          <w:lang w:val="fr-CH"/>
        </w:rPr>
      </w:pPr>
    </w:p>
    <w:p w:rsidR="00905890" w:rsidRPr="004D3D70" w:rsidRDefault="004D3D70" w:rsidP="00A824AF">
      <w:pPr>
        <w:rPr>
          <w:rFonts w:cs="Arial"/>
          <w:lang w:val="fr-CH"/>
        </w:rPr>
      </w:pPr>
      <w:r w:rsidRPr="004D3D70">
        <w:rPr>
          <w:rFonts w:cs="Arial"/>
          <w:spacing w:val="-2"/>
          <w:lang w:val="fr-CH"/>
        </w:rPr>
        <w:t>En</w:t>
      </w:r>
      <w:r>
        <w:rPr>
          <w:rFonts w:cs="Arial"/>
          <w:spacing w:val="-2"/>
          <w:lang w:val="fr-CH"/>
        </w:rPr>
        <w:t> </w:t>
      </w:r>
      <w:r w:rsidRPr="004D3D70">
        <w:rPr>
          <w:rFonts w:cs="Arial"/>
          <w:spacing w:val="-2"/>
          <w:lang w:val="fr-CH"/>
        </w:rPr>
        <w:t>2017</w:t>
      </w:r>
      <w:r w:rsidR="00A824AF" w:rsidRPr="004D3D70">
        <w:rPr>
          <w:rFonts w:cs="Arial"/>
          <w:spacing w:val="-2"/>
          <w:lang w:val="fr-CH"/>
        </w:rPr>
        <w:t>,</w:t>
      </w:r>
      <w:r w:rsidR="00203C5B" w:rsidRPr="004D3D70">
        <w:rPr>
          <w:rFonts w:cs="Arial"/>
          <w:spacing w:val="-2"/>
          <w:lang w:val="fr-CH"/>
        </w:rPr>
        <w:t xml:space="preserve"> le montant</w:t>
      </w:r>
      <w:r w:rsidR="00A824AF" w:rsidRPr="004D3D70">
        <w:rPr>
          <w:rFonts w:cs="Arial"/>
          <w:spacing w:val="-2"/>
          <w:lang w:val="fr-CH"/>
        </w:rPr>
        <w:t xml:space="preserve"> </w:t>
      </w:r>
      <w:r w:rsidR="00203C5B" w:rsidRPr="004D3D70">
        <w:rPr>
          <w:rFonts w:cs="Arial"/>
          <w:spacing w:val="-2"/>
          <w:lang w:val="fr-CH"/>
        </w:rPr>
        <w:t>des cotisations de l</w:t>
      </w:r>
      <w:r>
        <w:rPr>
          <w:rFonts w:cs="Arial"/>
          <w:spacing w:val="-2"/>
          <w:lang w:val="fr-CH"/>
        </w:rPr>
        <w:t>’</w:t>
      </w:r>
      <w:r w:rsidR="00203C5B" w:rsidRPr="004D3D70">
        <w:rPr>
          <w:rFonts w:cs="Arial"/>
          <w:spacing w:val="-2"/>
          <w:lang w:val="fr-CH"/>
        </w:rPr>
        <w:t xml:space="preserve">UPOV versées à la Caisse commune des pensions du personnel des </w:t>
      </w:r>
      <w:r>
        <w:rPr>
          <w:rFonts w:cs="Arial"/>
          <w:spacing w:val="-2"/>
          <w:lang w:val="fr-CH"/>
        </w:rPr>
        <w:t>Nations Unies</w:t>
      </w:r>
      <w:r w:rsidR="00203C5B" w:rsidRPr="004D3D70">
        <w:rPr>
          <w:rFonts w:cs="Arial"/>
          <w:spacing w:val="-2"/>
          <w:lang w:val="fr-CH"/>
        </w:rPr>
        <w:t xml:space="preserve"> était de 268 883 </w:t>
      </w:r>
      <w:r w:rsidR="004F17C2" w:rsidRPr="004D3D70">
        <w:rPr>
          <w:rFonts w:cs="Arial"/>
          <w:spacing w:val="-2"/>
          <w:lang w:val="fr-CH"/>
        </w:rPr>
        <w:t xml:space="preserve">francs </w:t>
      </w:r>
      <w:r w:rsidR="00203C5B" w:rsidRPr="004D3D70">
        <w:rPr>
          <w:rFonts w:cs="Arial"/>
          <w:spacing w:val="-2"/>
          <w:lang w:val="fr-CH"/>
        </w:rPr>
        <w:t xml:space="preserve">suisses </w:t>
      </w:r>
      <w:r w:rsidR="004F17C2" w:rsidRPr="004D3D70">
        <w:rPr>
          <w:rFonts w:cs="Arial"/>
          <w:spacing w:val="-2"/>
          <w:lang w:val="fr-CH"/>
        </w:rPr>
        <w:t>(</w:t>
      </w:r>
      <w:r w:rsidR="00203C5B" w:rsidRPr="004D3D70">
        <w:rPr>
          <w:rFonts w:cs="Arial"/>
          <w:spacing w:val="-2"/>
          <w:lang w:val="fr-CH"/>
        </w:rPr>
        <w:t>contre</w:t>
      </w:r>
      <w:r w:rsidR="00A824AF" w:rsidRPr="004D3D70">
        <w:rPr>
          <w:rFonts w:cs="Arial"/>
          <w:spacing w:val="-2"/>
          <w:lang w:val="fr-CH"/>
        </w:rPr>
        <w:t xml:space="preserve"> </w:t>
      </w:r>
      <w:r w:rsidR="00203C5B" w:rsidRPr="004D3D70">
        <w:rPr>
          <w:rFonts w:cs="Arial"/>
          <w:spacing w:val="-2"/>
          <w:lang w:val="fr-CH"/>
        </w:rPr>
        <w:t>271 524 </w:t>
      </w:r>
      <w:r w:rsidR="00A824AF" w:rsidRPr="004D3D70">
        <w:rPr>
          <w:rFonts w:cs="Arial"/>
          <w:lang w:val="fr-CH"/>
        </w:rPr>
        <w:t>francs</w:t>
      </w:r>
      <w:r w:rsidR="00203C5B" w:rsidRPr="004D3D70">
        <w:rPr>
          <w:rFonts w:cs="Arial"/>
          <w:lang w:val="fr-CH"/>
        </w:rPr>
        <w:t xml:space="preserve"> suisses </w:t>
      </w:r>
      <w:r w:rsidRPr="004D3D70">
        <w:rPr>
          <w:rFonts w:cs="Arial"/>
          <w:lang w:val="fr-CH"/>
        </w:rPr>
        <w:t>en</w:t>
      </w:r>
      <w:r>
        <w:rPr>
          <w:rFonts w:cs="Arial"/>
          <w:lang w:val="fr-CH"/>
        </w:rPr>
        <w:t> </w:t>
      </w:r>
      <w:r w:rsidRPr="004D3D70">
        <w:rPr>
          <w:rFonts w:cs="Arial"/>
          <w:lang w:val="fr-CH"/>
        </w:rPr>
        <w:t>2016</w:t>
      </w:r>
      <w:r w:rsidR="00A824AF" w:rsidRPr="004D3D70">
        <w:rPr>
          <w:rFonts w:cs="Arial"/>
          <w:lang w:val="fr-CH"/>
        </w:rPr>
        <w:t>).</w:t>
      </w:r>
      <w:r w:rsidR="00203C5B" w:rsidRPr="004D3D70">
        <w:rPr>
          <w:rFonts w:cs="Arial"/>
          <w:lang w:val="fr-CH"/>
        </w:rPr>
        <w:t xml:space="preserve"> </w:t>
      </w:r>
      <w:r w:rsidR="00A824AF" w:rsidRPr="004D3D70">
        <w:rPr>
          <w:rFonts w:cs="Arial"/>
          <w:lang w:val="fr-CH"/>
        </w:rPr>
        <w:t xml:space="preserve"> </w:t>
      </w:r>
      <w:r w:rsidR="00203C5B" w:rsidRPr="004D3D70">
        <w:rPr>
          <w:rFonts w:cs="Arial"/>
          <w:lang w:val="fr-CH"/>
        </w:rPr>
        <w:t>Le montant des cotisations</w:t>
      </w:r>
      <w:r w:rsidR="004F17C2" w:rsidRPr="004D3D70">
        <w:rPr>
          <w:rFonts w:cs="Arial"/>
          <w:lang w:val="fr-CH"/>
        </w:rPr>
        <w:t xml:space="preserve"> </w:t>
      </w:r>
      <w:r w:rsidR="00203C5B" w:rsidRPr="004D3D70">
        <w:rPr>
          <w:rFonts w:cs="Arial"/>
          <w:lang w:val="fr-CH"/>
        </w:rPr>
        <w:t>atten</w:t>
      </w:r>
      <w:r w:rsidR="004F17C2" w:rsidRPr="004D3D70">
        <w:rPr>
          <w:rFonts w:cs="Arial"/>
          <w:lang w:val="fr-CH"/>
        </w:rPr>
        <w:t>due</w:t>
      </w:r>
      <w:r w:rsidR="00203C5B" w:rsidRPr="004D3D70">
        <w:rPr>
          <w:rFonts w:cs="Arial"/>
          <w:lang w:val="fr-CH"/>
        </w:rPr>
        <w:t xml:space="preserve">s </w:t>
      </w:r>
      <w:r w:rsidRPr="004D3D70">
        <w:rPr>
          <w:rFonts w:cs="Arial"/>
          <w:lang w:val="fr-CH"/>
        </w:rPr>
        <w:t>en</w:t>
      </w:r>
      <w:r>
        <w:rPr>
          <w:rFonts w:cs="Arial"/>
          <w:lang w:val="fr-CH"/>
        </w:rPr>
        <w:t> </w:t>
      </w:r>
      <w:r w:rsidRPr="004D3D70">
        <w:rPr>
          <w:rFonts w:cs="Arial"/>
          <w:lang w:val="fr-CH"/>
        </w:rPr>
        <w:t>2018</w:t>
      </w:r>
      <w:r w:rsidR="00203C5B" w:rsidRPr="004D3D70">
        <w:rPr>
          <w:rFonts w:cs="Arial"/>
          <w:lang w:val="fr-CH"/>
        </w:rPr>
        <w:t xml:space="preserve"> s</w:t>
      </w:r>
      <w:r>
        <w:rPr>
          <w:rFonts w:cs="Arial"/>
          <w:lang w:val="fr-CH"/>
        </w:rPr>
        <w:t>’</w:t>
      </w:r>
      <w:r w:rsidR="00203C5B" w:rsidRPr="004D3D70">
        <w:rPr>
          <w:rFonts w:cs="Arial"/>
          <w:lang w:val="fr-CH"/>
        </w:rPr>
        <w:t>élève à 270 </w:t>
      </w:r>
      <w:r w:rsidR="004F17C2" w:rsidRPr="004D3D70">
        <w:rPr>
          <w:rFonts w:cs="Arial"/>
          <w:lang w:val="fr-CH"/>
        </w:rPr>
        <w:t>275</w:t>
      </w:r>
      <w:r w:rsidR="00203C5B" w:rsidRPr="004D3D70">
        <w:rPr>
          <w:rFonts w:cs="Arial"/>
          <w:lang w:val="fr-CH"/>
        </w:rPr>
        <w:t> </w:t>
      </w:r>
      <w:r w:rsidR="00A824AF" w:rsidRPr="004D3D70">
        <w:rPr>
          <w:rFonts w:cs="Arial"/>
          <w:lang w:val="fr-CH"/>
        </w:rPr>
        <w:t>francs</w:t>
      </w:r>
      <w:r w:rsidR="00203C5B" w:rsidRPr="004D3D70">
        <w:rPr>
          <w:rFonts w:cs="Arial"/>
          <w:lang w:val="fr-CH"/>
        </w:rPr>
        <w:t xml:space="preserve"> suisses</w:t>
      </w:r>
      <w:r w:rsidR="00A824AF" w:rsidRPr="004D3D70">
        <w:rPr>
          <w:rFonts w:cs="Arial"/>
          <w:lang w:val="fr-CH"/>
        </w:rPr>
        <w:t>.</w:t>
      </w:r>
    </w:p>
    <w:p w:rsidR="00905890" w:rsidRPr="004D3D70" w:rsidRDefault="00905890" w:rsidP="00A824AF">
      <w:pPr>
        <w:rPr>
          <w:rFonts w:cs="Arial"/>
          <w:lang w:val="fr-CH"/>
        </w:rPr>
      </w:pPr>
    </w:p>
    <w:p w:rsidR="00905890" w:rsidRPr="004D3D70" w:rsidRDefault="000250FF" w:rsidP="00A824AF">
      <w:pPr>
        <w:rPr>
          <w:rFonts w:cs="Arial"/>
          <w:lang w:val="fr-CH"/>
        </w:rPr>
      </w:pPr>
      <w:r w:rsidRPr="004D3D70">
        <w:rPr>
          <w:rFonts w:cs="Arial"/>
          <w:lang w:val="fr-CH"/>
        </w:rPr>
        <w:t>Il peut être mis fin à l</w:t>
      </w:r>
      <w:r w:rsidR="004D3D70">
        <w:rPr>
          <w:rFonts w:cs="Arial"/>
          <w:lang w:val="fr-CH"/>
        </w:rPr>
        <w:t>’</w:t>
      </w:r>
      <w:r w:rsidRPr="004D3D70">
        <w:rPr>
          <w:rFonts w:cs="Arial"/>
          <w:lang w:val="fr-CH"/>
        </w:rPr>
        <w:t>affiliation d</w:t>
      </w:r>
      <w:r w:rsidR="004D3D70">
        <w:rPr>
          <w:rFonts w:cs="Arial"/>
          <w:lang w:val="fr-CH"/>
        </w:rPr>
        <w:t>’</w:t>
      </w:r>
      <w:r w:rsidRPr="004D3D70">
        <w:rPr>
          <w:rFonts w:cs="Arial"/>
          <w:lang w:val="fr-CH"/>
        </w:rPr>
        <w:t>une organisation</w:t>
      </w:r>
      <w:r w:rsidR="00B1134D" w:rsidRPr="004D3D70">
        <w:rPr>
          <w:rFonts w:cs="Arial"/>
          <w:lang w:val="fr-CH"/>
        </w:rPr>
        <w:t xml:space="preserve"> par</w:t>
      </w:r>
      <w:r w:rsidRPr="004D3D70">
        <w:rPr>
          <w:rFonts w:cs="Arial"/>
          <w:lang w:val="fr-CH"/>
        </w:rPr>
        <w:t xml:space="preserve"> décision de l</w:t>
      </w:r>
      <w:r w:rsidR="004D3D70">
        <w:rPr>
          <w:rFonts w:cs="Arial"/>
          <w:lang w:val="fr-CH"/>
        </w:rPr>
        <w:t>’</w:t>
      </w:r>
      <w:r w:rsidRPr="004D3D70">
        <w:rPr>
          <w:rFonts w:cs="Arial"/>
          <w:lang w:val="fr-CH"/>
        </w:rPr>
        <w:t xml:space="preserve">Assemblée générale des </w:t>
      </w:r>
      <w:r w:rsidR="004D3D70">
        <w:rPr>
          <w:rFonts w:cs="Arial"/>
          <w:lang w:val="fr-CH"/>
        </w:rPr>
        <w:t>Nations Unies</w:t>
      </w:r>
      <w:r w:rsidR="00583AD7" w:rsidRPr="004D3D70">
        <w:rPr>
          <w:rFonts w:cs="Arial"/>
          <w:lang w:val="fr-CH"/>
        </w:rPr>
        <w:t xml:space="preserve">, </w:t>
      </w:r>
      <w:r w:rsidR="00B1134D" w:rsidRPr="004D3D70">
        <w:rPr>
          <w:rFonts w:cs="Arial"/>
          <w:lang w:val="fr-CH"/>
        </w:rPr>
        <w:t>prise sur</w:t>
      </w:r>
      <w:r w:rsidRPr="004D3D70">
        <w:rPr>
          <w:rFonts w:cs="Arial"/>
          <w:lang w:val="fr-CH"/>
        </w:rPr>
        <w:t xml:space="preserve"> recommandation </w:t>
      </w:r>
      <w:r w:rsidR="00B1134D" w:rsidRPr="004D3D70">
        <w:rPr>
          <w:rFonts w:cs="Arial"/>
          <w:lang w:val="fr-CH"/>
        </w:rPr>
        <w:t xml:space="preserve">en ce sens </w:t>
      </w:r>
      <w:r w:rsidRPr="004D3D70">
        <w:rPr>
          <w:rFonts w:cs="Arial"/>
          <w:lang w:val="fr-CH"/>
        </w:rPr>
        <w:t xml:space="preserve">du </w:t>
      </w:r>
      <w:r w:rsidR="00AC2A6B">
        <w:rPr>
          <w:rFonts w:cs="Arial"/>
          <w:lang w:val="fr-CH"/>
        </w:rPr>
        <w:t>comité</w:t>
      </w:r>
      <w:r w:rsidRPr="004D3D70">
        <w:rPr>
          <w:rFonts w:cs="Arial"/>
          <w:lang w:val="fr-CH"/>
        </w:rPr>
        <w:t xml:space="preserve"> mix</w:t>
      </w:r>
      <w:r w:rsidR="002140E0" w:rsidRPr="004D3D70">
        <w:rPr>
          <w:rFonts w:cs="Arial"/>
          <w:lang w:val="fr-CH"/>
        </w:rPr>
        <w:t>te</w:t>
      </w:r>
      <w:r w:rsidR="002140E0">
        <w:rPr>
          <w:rFonts w:cs="Arial"/>
          <w:lang w:val="fr-CH"/>
        </w:rPr>
        <w:t xml:space="preserve">.  </w:t>
      </w:r>
      <w:r w:rsidR="002140E0" w:rsidRPr="004D3D70">
        <w:rPr>
          <w:rFonts w:cs="Arial"/>
          <w:lang w:val="fr-CH"/>
        </w:rPr>
        <w:t>Un</w:t>
      </w:r>
      <w:r w:rsidR="00B1134D" w:rsidRPr="004D3D70">
        <w:rPr>
          <w:rFonts w:cs="Arial"/>
          <w:lang w:val="fr-CH"/>
        </w:rPr>
        <w:t>e part proportionnelle des avoirs</w:t>
      </w:r>
      <w:r w:rsidRPr="004D3D70">
        <w:rPr>
          <w:rFonts w:cs="Arial"/>
          <w:lang w:val="fr-CH"/>
        </w:rPr>
        <w:t xml:space="preserve"> de la Caisse à la date </w:t>
      </w:r>
      <w:r w:rsidR="00B1134D" w:rsidRPr="004D3D70">
        <w:rPr>
          <w:rFonts w:cs="Arial"/>
          <w:lang w:val="fr-CH"/>
        </w:rPr>
        <w:t>où l</w:t>
      </w:r>
      <w:r w:rsidR="004D3D70">
        <w:rPr>
          <w:rFonts w:cs="Arial"/>
          <w:lang w:val="fr-CH"/>
        </w:rPr>
        <w:t>’</w:t>
      </w:r>
      <w:r w:rsidR="00B1134D" w:rsidRPr="004D3D70">
        <w:rPr>
          <w:rFonts w:cs="Arial"/>
          <w:lang w:val="fr-CH"/>
        </w:rPr>
        <w:t>affiliation prend fin est versée à ladite organisation pour être utilisée au bénéfice exclusif de ses fonctionnaires qui étaient</w:t>
      </w:r>
      <w:r w:rsidR="00583AD7" w:rsidRPr="004D3D70">
        <w:rPr>
          <w:rFonts w:cs="Arial"/>
          <w:lang w:val="fr-CH"/>
        </w:rPr>
        <w:t xml:space="preserve"> participants </w:t>
      </w:r>
      <w:r w:rsidR="00B1134D" w:rsidRPr="004D3D70">
        <w:rPr>
          <w:rFonts w:cs="Arial"/>
          <w:lang w:val="fr-CH"/>
        </w:rPr>
        <w:t>à la Caisse</w:t>
      </w:r>
      <w:r w:rsidR="00583AD7" w:rsidRPr="004D3D70">
        <w:rPr>
          <w:rFonts w:cs="Arial"/>
          <w:lang w:val="fr-CH"/>
        </w:rPr>
        <w:t xml:space="preserve">, </w:t>
      </w:r>
      <w:r w:rsidR="00B1134D" w:rsidRPr="004D3D70">
        <w:rPr>
          <w:rFonts w:cs="Arial"/>
          <w:lang w:val="fr-CH"/>
        </w:rPr>
        <w:t>selon des modalités arrêtées d</w:t>
      </w:r>
      <w:r w:rsidR="004D3D70">
        <w:rPr>
          <w:rFonts w:cs="Arial"/>
          <w:lang w:val="fr-CH"/>
        </w:rPr>
        <w:t>’</w:t>
      </w:r>
      <w:r w:rsidR="00B1134D" w:rsidRPr="004D3D70">
        <w:rPr>
          <w:rFonts w:cs="Arial"/>
          <w:lang w:val="fr-CH"/>
        </w:rPr>
        <w:t>un commun accord entre l</w:t>
      </w:r>
      <w:r w:rsidR="004D3D70">
        <w:rPr>
          <w:rFonts w:cs="Arial"/>
          <w:lang w:val="fr-CH"/>
        </w:rPr>
        <w:t>’</w:t>
      </w:r>
      <w:r w:rsidR="00583AD7" w:rsidRPr="004D3D70">
        <w:rPr>
          <w:rFonts w:cs="Arial"/>
          <w:lang w:val="fr-CH"/>
        </w:rPr>
        <w:t>organi</w:t>
      </w:r>
      <w:r w:rsidR="00B1134D" w:rsidRPr="004D3D70">
        <w:rPr>
          <w:rFonts w:cs="Arial"/>
          <w:lang w:val="fr-CH"/>
        </w:rPr>
        <w:t>s</w:t>
      </w:r>
      <w:r w:rsidR="00583AD7" w:rsidRPr="004D3D70">
        <w:rPr>
          <w:rFonts w:cs="Arial"/>
          <w:lang w:val="fr-CH"/>
        </w:rPr>
        <w:t xml:space="preserve">ation </w:t>
      </w:r>
      <w:r w:rsidR="00B1134D" w:rsidRPr="004D3D70">
        <w:rPr>
          <w:rFonts w:cs="Arial"/>
          <w:lang w:val="fr-CH"/>
        </w:rPr>
        <w:t>et la Cais</w:t>
      </w:r>
      <w:r w:rsidR="002140E0" w:rsidRPr="004D3D70">
        <w:rPr>
          <w:rFonts w:cs="Arial"/>
          <w:lang w:val="fr-CH"/>
        </w:rPr>
        <w:t>se</w:t>
      </w:r>
      <w:r w:rsidR="002140E0">
        <w:rPr>
          <w:rFonts w:cs="Arial"/>
          <w:lang w:val="fr-CH"/>
        </w:rPr>
        <w:t xml:space="preserve">.  </w:t>
      </w:r>
      <w:r w:rsidR="002140E0" w:rsidRPr="004D3D70">
        <w:rPr>
          <w:rFonts w:cs="Arial"/>
          <w:lang w:val="fr-CH"/>
        </w:rPr>
        <w:t>Le</w:t>
      </w:r>
      <w:r w:rsidR="00B1134D" w:rsidRPr="004D3D70">
        <w:rPr>
          <w:rFonts w:cs="Arial"/>
          <w:lang w:val="fr-CH"/>
        </w:rPr>
        <w:t xml:space="preserve"> mo</w:t>
      </w:r>
      <w:r w:rsidR="00583AD7" w:rsidRPr="004D3D70">
        <w:rPr>
          <w:rFonts w:cs="Arial"/>
          <w:lang w:val="fr-CH"/>
        </w:rPr>
        <w:t>nt</w:t>
      </w:r>
      <w:r w:rsidR="00B1134D" w:rsidRPr="004D3D70">
        <w:rPr>
          <w:rFonts w:cs="Arial"/>
          <w:lang w:val="fr-CH"/>
        </w:rPr>
        <w:t xml:space="preserve">ant de cette part proportionnelle est fixé par le </w:t>
      </w:r>
      <w:r w:rsidR="00AC2A6B">
        <w:rPr>
          <w:rFonts w:cs="Arial"/>
          <w:lang w:val="fr-CH"/>
        </w:rPr>
        <w:t>comité</w:t>
      </w:r>
      <w:r w:rsidR="00B1134D" w:rsidRPr="004D3D70">
        <w:rPr>
          <w:rFonts w:cs="Arial"/>
          <w:lang w:val="fr-CH"/>
        </w:rPr>
        <w:t xml:space="preserve"> mixte sur la base d</w:t>
      </w:r>
      <w:r w:rsidR="004D3D70">
        <w:rPr>
          <w:rFonts w:cs="Arial"/>
          <w:lang w:val="fr-CH"/>
        </w:rPr>
        <w:t>’</w:t>
      </w:r>
      <w:r w:rsidR="00B1134D" w:rsidRPr="004D3D70">
        <w:rPr>
          <w:rFonts w:cs="Arial"/>
          <w:lang w:val="fr-CH"/>
        </w:rPr>
        <w:t>une évaluation actuarielle des avoirs et des engagements de la Caisse à la date où l</w:t>
      </w:r>
      <w:r w:rsidR="004D3D70">
        <w:rPr>
          <w:rFonts w:cs="Arial"/>
          <w:lang w:val="fr-CH"/>
        </w:rPr>
        <w:t>’</w:t>
      </w:r>
      <w:r w:rsidR="00B1134D" w:rsidRPr="004D3D70">
        <w:rPr>
          <w:rFonts w:cs="Arial"/>
          <w:lang w:val="fr-CH"/>
        </w:rPr>
        <w:t>affiliation prend fin</w:t>
      </w:r>
      <w:r w:rsidR="00583AD7" w:rsidRPr="004D3D70">
        <w:rPr>
          <w:rFonts w:cs="Arial"/>
          <w:lang w:val="fr-CH"/>
        </w:rPr>
        <w:t xml:space="preserve">; </w:t>
      </w:r>
      <w:r w:rsidR="00B1134D" w:rsidRPr="004D3D70">
        <w:rPr>
          <w:rFonts w:cs="Arial"/>
          <w:lang w:val="fr-CH"/>
        </w:rPr>
        <w:t xml:space="preserve"> le montant ne comprend aucune fraction de l</w:t>
      </w:r>
      <w:r w:rsidR="004D3D70">
        <w:rPr>
          <w:rFonts w:cs="Arial"/>
          <w:lang w:val="fr-CH"/>
        </w:rPr>
        <w:t>’</w:t>
      </w:r>
      <w:r w:rsidR="00B1134D" w:rsidRPr="004D3D70">
        <w:rPr>
          <w:rFonts w:cs="Arial"/>
          <w:lang w:val="fr-CH"/>
        </w:rPr>
        <w:t>excédent des avoirs sur les engagements</w:t>
      </w:r>
      <w:r w:rsidR="00583AD7" w:rsidRPr="004D3D70">
        <w:rPr>
          <w:rFonts w:cs="Arial"/>
          <w:lang w:val="fr-CH"/>
        </w:rPr>
        <w:t>.</w:t>
      </w:r>
    </w:p>
    <w:p w:rsidR="00905890" w:rsidRPr="004D3D70" w:rsidRDefault="00905890" w:rsidP="00A824AF">
      <w:pPr>
        <w:rPr>
          <w:rFonts w:cs="Arial"/>
          <w:lang w:val="fr-CH"/>
        </w:rPr>
      </w:pPr>
    </w:p>
    <w:p w:rsidR="00905890" w:rsidRPr="004D3D70" w:rsidRDefault="0043308C" w:rsidP="0043308C">
      <w:pPr>
        <w:rPr>
          <w:rFonts w:cs="Arial"/>
          <w:lang w:val="fr-CH"/>
        </w:rPr>
      </w:pPr>
      <w:r w:rsidRPr="004D3D70">
        <w:rPr>
          <w:rFonts w:cs="Arial"/>
          <w:lang w:val="fr-CH"/>
        </w:rPr>
        <w:t xml:space="preserve">Le </w:t>
      </w:r>
      <w:r w:rsidR="00AC2A6B">
        <w:rPr>
          <w:rFonts w:cs="Arial"/>
          <w:lang w:val="fr-CH"/>
        </w:rPr>
        <w:t>comité</w:t>
      </w:r>
      <w:r w:rsidRPr="004D3D70">
        <w:rPr>
          <w:rFonts w:cs="Arial"/>
          <w:lang w:val="fr-CH"/>
        </w:rPr>
        <w:t xml:space="preserve"> des commissaires aux comptes de l</w:t>
      </w:r>
      <w:r w:rsidR="004D3D70">
        <w:rPr>
          <w:rFonts w:cs="Arial"/>
          <w:lang w:val="fr-CH"/>
        </w:rPr>
        <w:t>’</w:t>
      </w:r>
      <w:r w:rsidRPr="004D3D70">
        <w:rPr>
          <w:rFonts w:cs="Arial"/>
          <w:lang w:val="fr-CH"/>
        </w:rPr>
        <w:t xml:space="preserve">ONU procède à une vérification annuelle de la Caisse des pensions et présente chaque année un rapport au </w:t>
      </w:r>
      <w:r w:rsidR="00AC2A6B">
        <w:rPr>
          <w:rFonts w:cs="Arial"/>
          <w:lang w:val="fr-CH"/>
        </w:rPr>
        <w:t>comité</w:t>
      </w:r>
      <w:r w:rsidRPr="004D3D70">
        <w:rPr>
          <w:rFonts w:cs="Arial"/>
          <w:lang w:val="fr-CH"/>
        </w:rPr>
        <w:t xml:space="preserve"> mix</w:t>
      </w:r>
      <w:r w:rsidR="002140E0" w:rsidRPr="004D3D70">
        <w:rPr>
          <w:rFonts w:cs="Arial"/>
          <w:lang w:val="fr-CH"/>
        </w:rPr>
        <w:t>te</w:t>
      </w:r>
      <w:r w:rsidR="002140E0">
        <w:rPr>
          <w:rFonts w:cs="Arial"/>
          <w:lang w:val="fr-CH"/>
        </w:rPr>
        <w:t xml:space="preserve">.  </w:t>
      </w:r>
      <w:r w:rsidR="002140E0" w:rsidRPr="004D3D70">
        <w:rPr>
          <w:rFonts w:cs="Arial"/>
          <w:lang w:val="fr-CH"/>
        </w:rPr>
        <w:t>La</w:t>
      </w:r>
      <w:r w:rsidRPr="004D3D70">
        <w:rPr>
          <w:rFonts w:cs="Arial"/>
          <w:lang w:val="fr-CH"/>
        </w:rPr>
        <w:t xml:space="preserve"> Caisse des pensions publie des rapports trimestriels sur ses placements qui peuvent être consultés en ligne à l</w:t>
      </w:r>
      <w:r w:rsidR="004D3D70">
        <w:rPr>
          <w:rFonts w:cs="Arial"/>
          <w:lang w:val="fr-CH"/>
        </w:rPr>
        <w:t>’</w:t>
      </w:r>
      <w:r w:rsidRPr="004D3D70">
        <w:rPr>
          <w:rFonts w:cs="Arial"/>
          <w:lang w:val="fr-CH"/>
        </w:rPr>
        <w:t xml:space="preserve">adresse </w:t>
      </w:r>
      <w:hyperlink r:id="rId33" w:history="1">
        <w:r w:rsidR="009F6825" w:rsidRPr="002E52B5">
          <w:rPr>
            <w:rStyle w:val="Hyperlink"/>
            <w:rFonts w:cs="Arial"/>
            <w:lang w:val="fr-CH"/>
          </w:rPr>
          <w:t>www.unjspf.org</w:t>
        </w:r>
      </w:hyperlink>
      <w:r w:rsidRPr="004D3D70">
        <w:rPr>
          <w:rFonts w:cs="Arial"/>
          <w:lang w:val="fr-CH"/>
        </w:rPr>
        <w:t>.</w:t>
      </w:r>
    </w:p>
    <w:p w:rsidR="009F6825" w:rsidRDefault="009F6825">
      <w:pPr>
        <w:jc w:val="left"/>
        <w:rPr>
          <w:rFonts w:ascii="Arial Bold" w:hAnsi="Arial Bold"/>
          <w:b/>
          <w:caps/>
          <w:noProof/>
          <w:lang w:val="fr-CH"/>
        </w:rPr>
      </w:pPr>
      <w:r>
        <w:rPr>
          <w:noProof/>
          <w:lang w:val="fr-CH"/>
        </w:rPr>
        <w:br w:type="page"/>
      </w:r>
    </w:p>
    <w:p w:rsidR="00905890" w:rsidRPr="004D3D70" w:rsidRDefault="0043308C" w:rsidP="0043308C">
      <w:pPr>
        <w:pStyle w:val="Heading2Notes"/>
        <w:rPr>
          <w:noProof/>
          <w:lang w:val="fr-CH"/>
        </w:rPr>
      </w:pPr>
      <w:bookmarkStart w:id="24" w:name="_Toc523157897"/>
      <w:r w:rsidRPr="004D3D70">
        <w:rPr>
          <w:noProof/>
          <w:lang w:val="fr-CH"/>
        </w:rPr>
        <w:lastRenderedPageBreak/>
        <w:t>Note</w:t>
      </w:r>
      <w:r w:rsidR="00BE23DA">
        <w:rPr>
          <w:noProof/>
          <w:lang w:val="fr-CH"/>
        </w:rPr>
        <w:t> </w:t>
      </w:r>
      <w:r w:rsidRPr="004D3D70">
        <w:rPr>
          <w:noProof/>
          <w:lang w:val="fr-CH"/>
        </w:rPr>
        <w:t>8</w:t>
      </w:r>
      <w:r w:rsidR="004D3D70">
        <w:rPr>
          <w:noProof/>
          <w:lang w:val="fr-CH"/>
        </w:rPr>
        <w:t> :</w:t>
      </w:r>
      <w:r w:rsidRPr="004D3D70">
        <w:rPr>
          <w:noProof/>
          <w:lang w:val="fr-CH"/>
        </w:rPr>
        <w:t xml:space="preserve"> </w:t>
      </w:r>
      <w:r w:rsidR="00AC2193">
        <w:rPr>
          <w:noProof/>
          <w:lang w:val="fr-CH"/>
        </w:rPr>
        <w:tab/>
      </w:r>
      <w:r w:rsidRPr="004D3D70">
        <w:rPr>
          <w:noProof/>
          <w:lang w:val="fr-CH"/>
        </w:rPr>
        <w:t>Encaissements par anticipation</w:t>
      </w:r>
      <w:bookmarkEnd w:id="24"/>
    </w:p>
    <w:p w:rsidR="00905890" w:rsidRPr="00214705" w:rsidRDefault="00905890" w:rsidP="00A824AF">
      <w:pPr>
        <w:rPr>
          <w:noProof/>
          <w:sz w:val="14"/>
          <w:lang w:val="fr-CH"/>
        </w:rPr>
      </w:pPr>
    </w:p>
    <w:p w:rsidR="00905890" w:rsidRPr="004D3D70" w:rsidRDefault="00A835D9" w:rsidP="004A5EBA">
      <w:pPr>
        <w:jc w:val="center"/>
        <w:rPr>
          <w:noProof/>
          <w:lang w:val="fr-CH"/>
        </w:rPr>
      </w:pPr>
      <w:r w:rsidRPr="00A835D9">
        <w:rPr>
          <w:noProof/>
          <w:lang w:val="en-US"/>
        </w:rPr>
        <w:drawing>
          <wp:inline distT="0" distB="0" distL="0" distR="0">
            <wp:extent cx="6051550" cy="1238250"/>
            <wp:effectExtent l="0" t="0" r="635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51550" cy="1238250"/>
                    </a:xfrm>
                    <a:prstGeom prst="rect">
                      <a:avLst/>
                    </a:prstGeom>
                    <a:noFill/>
                    <a:ln>
                      <a:noFill/>
                    </a:ln>
                  </pic:spPr>
                </pic:pic>
              </a:graphicData>
            </a:graphic>
          </wp:inline>
        </w:drawing>
      </w:r>
    </w:p>
    <w:p w:rsidR="009F6825" w:rsidRPr="009F6825" w:rsidRDefault="009F6825" w:rsidP="009F6825"/>
    <w:p w:rsidR="00905890" w:rsidRPr="004D3D70" w:rsidRDefault="0043308C" w:rsidP="0043308C">
      <w:pPr>
        <w:pStyle w:val="Style3"/>
        <w:spacing w:after="0"/>
        <w:rPr>
          <w:rFonts w:cs="Arial"/>
          <w:sz w:val="20"/>
          <w:lang w:val="fr-CH"/>
        </w:rPr>
      </w:pPr>
      <w:r w:rsidRPr="004D3D70">
        <w:rPr>
          <w:rFonts w:cs="Arial"/>
          <w:sz w:val="20"/>
          <w:lang w:val="fr-CH"/>
        </w:rPr>
        <w:t>Les contributions reçues d</w:t>
      </w:r>
      <w:r w:rsidR="004D3D70">
        <w:rPr>
          <w:rFonts w:cs="Arial"/>
          <w:sz w:val="20"/>
          <w:lang w:val="fr-CH"/>
        </w:rPr>
        <w:t>’</w:t>
      </w:r>
      <w:r w:rsidRPr="004D3D70">
        <w:rPr>
          <w:rFonts w:cs="Arial"/>
          <w:sz w:val="20"/>
          <w:lang w:val="fr-CH"/>
        </w:rPr>
        <w:t>avance sont comptabilisées comme passif d</w:t>
      </w:r>
      <w:r w:rsidR="004D3D70">
        <w:rPr>
          <w:rFonts w:cs="Arial"/>
          <w:sz w:val="20"/>
          <w:lang w:val="fr-CH"/>
        </w:rPr>
        <w:t>’</w:t>
      </w:r>
      <w:r w:rsidRPr="004D3D70">
        <w:rPr>
          <w:rFonts w:cs="Arial"/>
          <w:sz w:val="20"/>
          <w:lang w:val="fr-CH"/>
        </w:rPr>
        <w:t>encaissement par anticipation et comme produits au cours de l</w:t>
      </w:r>
      <w:r w:rsidR="004D3D70">
        <w:rPr>
          <w:rFonts w:cs="Arial"/>
          <w:sz w:val="20"/>
          <w:lang w:val="fr-CH"/>
        </w:rPr>
        <w:t>’</w:t>
      </w:r>
      <w:r w:rsidRPr="004D3D70">
        <w:rPr>
          <w:rFonts w:cs="Arial"/>
          <w:sz w:val="20"/>
          <w:lang w:val="fr-CH"/>
        </w:rPr>
        <w:t>année à laquelle elles se rapporte</w:t>
      </w:r>
      <w:r w:rsidR="002140E0" w:rsidRPr="004D3D70">
        <w:rPr>
          <w:rFonts w:cs="Arial"/>
          <w:sz w:val="20"/>
          <w:lang w:val="fr-CH"/>
        </w:rPr>
        <w:t>nt</w:t>
      </w:r>
      <w:r w:rsidR="002140E0">
        <w:rPr>
          <w:rFonts w:cs="Arial"/>
          <w:sz w:val="20"/>
          <w:lang w:val="fr-CH"/>
        </w:rPr>
        <w:t xml:space="preserve">.  </w:t>
      </w:r>
      <w:r w:rsidR="002140E0" w:rsidRPr="004D3D70">
        <w:rPr>
          <w:rFonts w:cs="Arial"/>
          <w:sz w:val="20"/>
          <w:lang w:val="fr-CH"/>
        </w:rPr>
        <w:t>Le</w:t>
      </w:r>
      <w:r w:rsidRPr="004D3D70">
        <w:rPr>
          <w:rFonts w:cs="Arial"/>
          <w:sz w:val="20"/>
          <w:lang w:val="fr-CH"/>
        </w:rPr>
        <w:t>s ressources extrabudgétaires versées par les donateurs aux fonds fiduciaires assortis de conditions exigeant de l</w:t>
      </w:r>
      <w:r w:rsidR="004D3D70">
        <w:rPr>
          <w:rFonts w:cs="Arial"/>
          <w:sz w:val="20"/>
          <w:lang w:val="fr-CH"/>
        </w:rPr>
        <w:t>’</w:t>
      </w:r>
      <w:r w:rsidRPr="004D3D70">
        <w:rPr>
          <w:rFonts w:cs="Arial"/>
          <w:sz w:val="20"/>
          <w:lang w:val="fr-CH"/>
        </w:rPr>
        <w:t>UPOV de fournir des services aux prestataires ou à d</w:t>
      </w:r>
      <w:r w:rsidR="004D3D70">
        <w:rPr>
          <w:rFonts w:cs="Arial"/>
          <w:sz w:val="20"/>
          <w:lang w:val="fr-CH"/>
        </w:rPr>
        <w:t>’</w:t>
      </w:r>
      <w:r w:rsidRPr="004D3D70">
        <w:rPr>
          <w:rFonts w:cs="Arial"/>
          <w:sz w:val="20"/>
          <w:lang w:val="fr-CH"/>
        </w:rPr>
        <w:t>autres tiers sont comptabilisées en tant que recettes différées jusqu</w:t>
      </w:r>
      <w:r w:rsidR="004D3D70">
        <w:rPr>
          <w:rFonts w:cs="Arial"/>
          <w:sz w:val="20"/>
          <w:lang w:val="fr-CH"/>
        </w:rPr>
        <w:t>’</w:t>
      </w:r>
      <w:r w:rsidRPr="004D3D70">
        <w:rPr>
          <w:rFonts w:cs="Arial"/>
          <w:sz w:val="20"/>
          <w:lang w:val="fr-CH"/>
        </w:rPr>
        <w:t>à ce que les services visés par les ressources extrabudgétaires (fonds fiduciaires) soient fournis, après quoi les recettes sont comptabilisées.</w:t>
      </w:r>
    </w:p>
    <w:p w:rsidR="00905890" w:rsidRPr="009F6825" w:rsidRDefault="00905890" w:rsidP="009F6825"/>
    <w:p w:rsidR="00905890" w:rsidRPr="009F6825" w:rsidRDefault="00905890" w:rsidP="009F6825"/>
    <w:p w:rsidR="00905890" w:rsidRPr="004D3D70" w:rsidRDefault="0043308C" w:rsidP="0043308C">
      <w:pPr>
        <w:pStyle w:val="Heading2Notes"/>
        <w:rPr>
          <w:lang w:val="fr-CH"/>
        </w:rPr>
      </w:pPr>
      <w:bookmarkStart w:id="25" w:name="_Toc523157898"/>
      <w:r w:rsidRPr="004D3D70">
        <w:rPr>
          <w:lang w:val="fr-CH"/>
        </w:rPr>
        <w:t>Note</w:t>
      </w:r>
      <w:r w:rsidR="00BE23DA">
        <w:rPr>
          <w:lang w:val="fr-CH"/>
        </w:rPr>
        <w:t> </w:t>
      </w:r>
      <w:r w:rsidRPr="004D3D70">
        <w:rPr>
          <w:lang w:val="fr-CH"/>
        </w:rPr>
        <w:t>9</w:t>
      </w:r>
      <w:r w:rsidR="004D3D70">
        <w:rPr>
          <w:lang w:val="fr-CH"/>
        </w:rPr>
        <w:t> :</w:t>
      </w:r>
      <w:r w:rsidRPr="004D3D70">
        <w:rPr>
          <w:lang w:val="fr-CH"/>
        </w:rPr>
        <w:t xml:space="preserve"> </w:t>
      </w:r>
      <w:r w:rsidR="00AC2193">
        <w:rPr>
          <w:lang w:val="fr-CH"/>
        </w:rPr>
        <w:tab/>
      </w:r>
      <w:r w:rsidRPr="004D3D70">
        <w:rPr>
          <w:lang w:val="fr-CH"/>
        </w:rPr>
        <w:t>Autres passifs courants</w:t>
      </w:r>
      <w:bookmarkEnd w:id="25"/>
    </w:p>
    <w:p w:rsidR="00905890" w:rsidRPr="004D3D70" w:rsidRDefault="00905890" w:rsidP="004A5EBA">
      <w:pPr>
        <w:rPr>
          <w:lang w:val="fr-CH"/>
        </w:rPr>
      </w:pPr>
    </w:p>
    <w:p w:rsidR="00905890" w:rsidRPr="004D3D70" w:rsidRDefault="00A835D9" w:rsidP="004A5EBA">
      <w:pPr>
        <w:jc w:val="center"/>
        <w:rPr>
          <w:lang w:val="fr-CH"/>
        </w:rPr>
      </w:pPr>
      <w:r w:rsidRPr="00A835D9">
        <w:rPr>
          <w:noProof/>
          <w:lang w:val="en-US"/>
        </w:rPr>
        <w:drawing>
          <wp:inline distT="0" distB="0" distL="0" distR="0">
            <wp:extent cx="6051550" cy="1022350"/>
            <wp:effectExtent l="0" t="0" r="635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51550" cy="1022350"/>
                    </a:xfrm>
                    <a:prstGeom prst="rect">
                      <a:avLst/>
                    </a:prstGeom>
                    <a:noFill/>
                    <a:ln>
                      <a:noFill/>
                    </a:ln>
                  </pic:spPr>
                </pic:pic>
              </a:graphicData>
            </a:graphic>
          </wp:inline>
        </w:drawing>
      </w:r>
    </w:p>
    <w:p w:rsidR="00905890" w:rsidRPr="009F6825" w:rsidRDefault="00905890" w:rsidP="009F6825"/>
    <w:p w:rsidR="00905890" w:rsidRDefault="0043308C" w:rsidP="0043308C">
      <w:pPr>
        <w:rPr>
          <w:lang w:val="fr-CH"/>
        </w:rPr>
      </w:pPr>
      <w:r w:rsidRPr="004D3D70">
        <w:rPr>
          <w:lang w:val="fr-CH"/>
        </w:rPr>
        <w:t>Les autres passifs courants sont les montants dus à l</w:t>
      </w:r>
      <w:r w:rsidR="004D3D70">
        <w:rPr>
          <w:lang w:val="fr-CH"/>
        </w:rPr>
        <w:t>’</w:t>
      </w:r>
      <w:r w:rsidRPr="004D3D70">
        <w:rPr>
          <w:lang w:val="fr-CH"/>
        </w:rPr>
        <w:t>OMPI, correspondant aux services fournis dans le cadre de l</w:t>
      </w:r>
      <w:r w:rsidR="004D3D70">
        <w:rPr>
          <w:lang w:val="fr-CH"/>
        </w:rPr>
        <w:t>’</w:t>
      </w:r>
      <w:r w:rsidRPr="004D3D70">
        <w:rPr>
          <w:lang w:val="fr-CH"/>
        </w:rPr>
        <w:t>Accord OMPI/UPOV.</w:t>
      </w:r>
    </w:p>
    <w:p w:rsidR="000A441A" w:rsidRDefault="000A441A" w:rsidP="0043308C">
      <w:pPr>
        <w:rPr>
          <w:lang w:val="fr-CH"/>
        </w:rPr>
      </w:pPr>
    </w:p>
    <w:p w:rsidR="000A441A" w:rsidRPr="004D3D70" w:rsidRDefault="000A441A" w:rsidP="0043308C">
      <w:pPr>
        <w:rPr>
          <w:lang w:val="fr-CH"/>
        </w:rPr>
      </w:pPr>
    </w:p>
    <w:p w:rsidR="00905890" w:rsidRPr="004D3D70" w:rsidRDefault="0043308C" w:rsidP="0043308C">
      <w:pPr>
        <w:pStyle w:val="Heading2Notes"/>
        <w:rPr>
          <w:lang w:val="fr-CH"/>
        </w:rPr>
      </w:pPr>
      <w:bookmarkStart w:id="26" w:name="_Toc523157899"/>
      <w:r w:rsidRPr="004D3D70">
        <w:rPr>
          <w:lang w:val="fr-CH"/>
        </w:rPr>
        <w:t>Note</w:t>
      </w:r>
      <w:r w:rsidR="00BE23DA">
        <w:rPr>
          <w:lang w:val="fr-CH"/>
        </w:rPr>
        <w:t> </w:t>
      </w:r>
      <w:r w:rsidRPr="004D3D70">
        <w:rPr>
          <w:lang w:val="fr-CH"/>
        </w:rPr>
        <w:t>10</w:t>
      </w:r>
      <w:r w:rsidR="004D3D70">
        <w:rPr>
          <w:lang w:val="fr-CH"/>
        </w:rPr>
        <w:t> :</w:t>
      </w:r>
      <w:r w:rsidRPr="004D3D70">
        <w:rPr>
          <w:lang w:val="fr-CH"/>
        </w:rPr>
        <w:t xml:space="preserve"> </w:t>
      </w:r>
      <w:r w:rsidR="00AC2193">
        <w:rPr>
          <w:lang w:val="fr-CH"/>
        </w:rPr>
        <w:tab/>
      </w:r>
      <w:r w:rsidRPr="004D3D70">
        <w:rPr>
          <w:lang w:val="fr-CH"/>
        </w:rPr>
        <w:t>Transactions avec une partie liée</w:t>
      </w:r>
      <w:bookmarkEnd w:id="26"/>
    </w:p>
    <w:p w:rsidR="00905890" w:rsidRPr="009F6825" w:rsidRDefault="00905890" w:rsidP="009F6825"/>
    <w:p w:rsidR="004D3D70" w:rsidRPr="009F6825" w:rsidRDefault="0043308C" w:rsidP="009F6825">
      <w:r w:rsidRPr="009F6825">
        <w:t>Le Conseil de l</w:t>
      </w:r>
      <w:r w:rsidR="004D3D70" w:rsidRPr="009F6825">
        <w:t>’</w:t>
      </w:r>
      <w:r w:rsidRPr="009F6825">
        <w:t>UPOV est composé des représentants des membres de l</w:t>
      </w:r>
      <w:r w:rsidR="004D3D70" w:rsidRPr="009F6825">
        <w:t>’</w:t>
      </w:r>
      <w:r w:rsidRPr="009F6825">
        <w:t>Uni</w:t>
      </w:r>
      <w:r w:rsidR="002140E0" w:rsidRPr="009F6825">
        <w:t>on.  Il</w:t>
      </w:r>
      <w:r w:rsidRPr="009F6825">
        <w:t>s ne reçoivent aucune rémunération de l</w:t>
      </w:r>
      <w:r w:rsidR="004D3D70" w:rsidRPr="009F6825">
        <w:t>’</w:t>
      </w:r>
      <w:r w:rsidRPr="009F6825">
        <w:t>UPOV.</w:t>
      </w:r>
    </w:p>
    <w:p w:rsidR="00905890" w:rsidRPr="009F6825" w:rsidRDefault="00905890" w:rsidP="009F6825"/>
    <w:p w:rsidR="004D3D70" w:rsidRPr="009F6825" w:rsidRDefault="0043308C" w:rsidP="009F6825">
      <w:r w:rsidRPr="009F6825">
        <w:t>L</w:t>
      </w:r>
      <w:r w:rsidR="004D3D70" w:rsidRPr="009F6825">
        <w:t>’</w:t>
      </w:r>
      <w:r w:rsidRPr="009F6825">
        <w:t>UPOV ne détient aucune participation dans des associations ou des coentreprises et n</w:t>
      </w:r>
      <w:r w:rsidR="004D3D70" w:rsidRPr="009F6825">
        <w:t>’</w:t>
      </w:r>
      <w:r w:rsidRPr="009F6825">
        <w:t>a aucune entité contrôl</w:t>
      </w:r>
      <w:r w:rsidR="002140E0" w:rsidRPr="009F6825">
        <w:t>ée.  En</w:t>
      </w:r>
      <w:r w:rsidR="00A73F0F" w:rsidRPr="009F6825">
        <w:t> 1982, un accord de coopération (l</w:t>
      </w:r>
      <w:r w:rsidR="004D3D70" w:rsidRPr="009F6825">
        <w:t>’</w:t>
      </w:r>
      <w:r w:rsidR="00A73F0F" w:rsidRPr="009F6825">
        <w:t>Accord OMPI/UPOV) a été signé entre l</w:t>
      </w:r>
      <w:r w:rsidR="004D3D70" w:rsidRPr="009F6825">
        <w:t>’</w:t>
      </w:r>
      <w:r w:rsidR="00A73F0F" w:rsidRPr="009F6825">
        <w:t>UPOV et l</w:t>
      </w:r>
      <w:r w:rsidR="004D3D70" w:rsidRPr="009F6825">
        <w:t>’</w:t>
      </w:r>
      <w:r w:rsidR="00A73F0F" w:rsidRPr="009F6825">
        <w:t>OMPI</w:t>
      </w:r>
      <w:r w:rsidR="00A824AF" w:rsidRPr="009F6825">
        <w:t xml:space="preserve">.  </w:t>
      </w:r>
      <w:r w:rsidR="00A73F0F" w:rsidRPr="009F6825">
        <w:t>Conformément à cet accord, le Conseil de l</w:t>
      </w:r>
      <w:r w:rsidR="004D3D70" w:rsidRPr="009F6825">
        <w:t>’</w:t>
      </w:r>
      <w:r w:rsidR="00A73F0F" w:rsidRPr="009F6825">
        <w:t xml:space="preserve">UPOV nomme comme </w:t>
      </w:r>
      <w:r w:rsidR="00B90144" w:rsidRPr="009F6825">
        <w:t>S</w:t>
      </w:r>
      <w:r w:rsidR="00A73F0F" w:rsidRPr="009F6825">
        <w:t>ecrétaire général de l</w:t>
      </w:r>
      <w:r w:rsidR="004D3D70" w:rsidRPr="009F6825">
        <w:t>’</w:t>
      </w:r>
      <w:r w:rsidR="00A73F0F" w:rsidRPr="009F6825">
        <w:t>UPOV le Directeur général de l</w:t>
      </w:r>
      <w:r w:rsidR="004D3D70" w:rsidRPr="009F6825">
        <w:t>’</w:t>
      </w:r>
      <w:r w:rsidR="00A73F0F" w:rsidRPr="009F6825">
        <w:t>OMPI</w:t>
      </w:r>
      <w:r w:rsidR="00A824AF" w:rsidRPr="009F6825">
        <w:t xml:space="preserve">. </w:t>
      </w:r>
      <w:r w:rsidR="00A73F0F" w:rsidRPr="009F6825">
        <w:t xml:space="preserve"> Selon cet accord, l</w:t>
      </w:r>
      <w:r w:rsidR="004D3D70" w:rsidRPr="009F6825">
        <w:t>’</w:t>
      </w:r>
      <w:r w:rsidR="00A73F0F" w:rsidRPr="009F6825">
        <w:t>OMPI satisfait les besoins de l</w:t>
      </w:r>
      <w:r w:rsidR="004D3D70" w:rsidRPr="009F6825">
        <w:t>’</w:t>
      </w:r>
      <w:r w:rsidR="00A73F0F" w:rsidRPr="009F6825">
        <w:t>UPOV en ce qui concerne l</w:t>
      </w:r>
      <w:r w:rsidR="004D3D70" w:rsidRPr="009F6825">
        <w:t>’</w:t>
      </w:r>
      <w:r w:rsidR="00A73F0F" w:rsidRPr="009F6825">
        <w:t>espace, le personnel, les finances, les achats et d</w:t>
      </w:r>
      <w:r w:rsidR="004D3D70" w:rsidRPr="009F6825">
        <w:t>’</w:t>
      </w:r>
      <w:r w:rsidR="00A73F0F" w:rsidRPr="009F6825">
        <w:t>autres tâches administratives</w:t>
      </w:r>
      <w:r w:rsidR="00A824AF" w:rsidRPr="009F6825">
        <w:t xml:space="preserve">.  </w:t>
      </w:r>
      <w:r w:rsidR="00A73F0F" w:rsidRPr="009F6825">
        <w:t>L</w:t>
      </w:r>
      <w:r w:rsidR="004D3D70" w:rsidRPr="009F6825">
        <w:t>’</w:t>
      </w:r>
      <w:r w:rsidR="00A73F0F" w:rsidRPr="009F6825">
        <w:t>UPOV indemnise l</w:t>
      </w:r>
      <w:r w:rsidR="004D3D70" w:rsidRPr="009F6825">
        <w:t>’</w:t>
      </w:r>
      <w:r w:rsidR="00A73F0F" w:rsidRPr="009F6825">
        <w:t>OMPI pour tout service fourni à l</w:t>
      </w:r>
      <w:r w:rsidR="004D3D70" w:rsidRPr="009F6825">
        <w:t>’</w:t>
      </w:r>
      <w:r w:rsidR="00A73F0F" w:rsidRPr="009F6825">
        <w:t>UPOV et pour toute dépense engagée pour son comp</w:t>
      </w:r>
      <w:r w:rsidR="002140E0" w:rsidRPr="009F6825">
        <w:t>te.  Co</w:t>
      </w:r>
      <w:r w:rsidR="00A73F0F" w:rsidRPr="009F6825">
        <w:t>nformément à cet accord, le Bureau de l</w:t>
      </w:r>
      <w:r w:rsidR="004D3D70" w:rsidRPr="009F6825">
        <w:t>’</w:t>
      </w:r>
      <w:r w:rsidR="00A73F0F" w:rsidRPr="009F6825">
        <w:t>Union exerce ses fonctions de façon entièrement indépendante de l</w:t>
      </w:r>
      <w:r w:rsidR="004D3D70" w:rsidRPr="009F6825">
        <w:t>’</w:t>
      </w:r>
      <w:r w:rsidR="00A73F0F" w:rsidRPr="009F6825">
        <w:t>OMPI</w:t>
      </w:r>
      <w:r w:rsidR="00A824AF" w:rsidRPr="009F6825">
        <w:t>.</w:t>
      </w:r>
    </w:p>
    <w:p w:rsidR="00905890" w:rsidRPr="009F6825" w:rsidRDefault="00905890" w:rsidP="009F6825"/>
    <w:p w:rsidR="004D3D70" w:rsidRPr="009F6825" w:rsidRDefault="0043308C" w:rsidP="009F6825">
      <w:r w:rsidRPr="009F6825">
        <w:t>Les principaux dirigeants sont le Secrétaire général, le Secrétaire général adjoint et les administrateurs en post</w:t>
      </w:r>
      <w:r w:rsidR="002140E0" w:rsidRPr="009F6825">
        <w:t>es.  Le</w:t>
      </w:r>
      <w:r w:rsidR="00A73F0F" w:rsidRPr="009F6825">
        <w:t xml:space="preserve"> Directeur général actuel de l</w:t>
      </w:r>
      <w:r w:rsidR="004D3D70" w:rsidRPr="009F6825">
        <w:t>’</w:t>
      </w:r>
      <w:r w:rsidR="00A73F0F" w:rsidRPr="009F6825">
        <w:t>OMPI a refusé de percevoir tout traitement ou i</w:t>
      </w:r>
      <w:r w:rsidR="00B90144" w:rsidRPr="009F6825">
        <w:t>ndemnité pour ses fonctions de S</w:t>
      </w:r>
      <w:r w:rsidR="00A73F0F" w:rsidRPr="009F6825">
        <w:t>ecrétaire général de l</w:t>
      </w:r>
      <w:r w:rsidR="004D3D70" w:rsidRPr="009F6825">
        <w:t>’</w:t>
      </w:r>
      <w:r w:rsidR="00A73F0F" w:rsidRPr="009F6825">
        <w:t>UPOV</w:t>
      </w:r>
      <w:r w:rsidR="00A824AF" w:rsidRPr="009F6825">
        <w:t xml:space="preserve">. </w:t>
      </w:r>
      <w:r w:rsidR="00A73F0F" w:rsidRPr="009F6825">
        <w:t xml:space="preserve"> Les autres principaux dirigeants sont rémunérés par l</w:t>
      </w:r>
      <w:r w:rsidR="004D3D70" w:rsidRPr="009F6825">
        <w:t>’</w:t>
      </w:r>
      <w:r w:rsidR="00A73F0F" w:rsidRPr="009F6825">
        <w:t>UPOV</w:t>
      </w:r>
      <w:r w:rsidR="00A824AF" w:rsidRPr="009F6825">
        <w:t xml:space="preserve">. </w:t>
      </w:r>
      <w:r w:rsidR="00A73F0F" w:rsidRPr="009F6825">
        <w:t xml:space="preserve"> La rémunération globale versée aux principaux dirigeants comprend les </w:t>
      </w:r>
      <w:r w:rsidR="004C5B1F" w:rsidRPr="009F6825">
        <w:t>salaires</w:t>
      </w:r>
      <w:r w:rsidR="00A73F0F" w:rsidRPr="009F6825">
        <w:t>, les indemnités, les voyages officiels et d</w:t>
      </w:r>
      <w:r w:rsidR="004D3D70" w:rsidRPr="009F6825">
        <w:t>’</w:t>
      </w:r>
      <w:r w:rsidR="00A73F0F" w:rsidRPr="009F6825">
        <w:t>autres prestations versées en conformité avec le Statut et Règlement du personn</w:t>
      </w:r>
      <w:r w:rsidR="002140E0" w:rsidRPr="009F6825">
        <w:t>el.  Le</w:t>
      </w:r>
      <w:r w:rsidRPr="009F6825">
        <w:t xml:space="preserve">s principaux dirigeants participent à la Caisse commune des pensions du personnel des </w:t>
      </w:r>
      <w:r w:rsidR="004D3D70" w:rsidRPr="009F6825">
        <w:t>Nations Unies</w:t>
      </w:r>
      <w:r w:rsidRPr="009F6825">
        <w:t xml:space="preserve"> à laquelle le personnel et l</w:t>
      </w:r>
      <w:r w:rsidR="004D3D70" w:rsidRPr="009F6825">
        <w:t>’</w:t>
      </w:r>
      <w:r w:rsidRPr="009F6825">
        <w:t>UPOV contribuent et peuvent également participer au régime d</w:t>
      </w:r>
      <w:r w:rsidR="004D3D70" w:rsidRPr="009F6825">
        <w:t>’</w:t>
      </w:r>
      <w:r w:rsidRPr="009F6825">
        <w:t>assurance maladie collective.</w:t>
      </w:r>
    </w:p>
    <w:p w:rsidR="00905890" w:rsidRPr="009F6825" w:rsidRDefault="00905890" w:rsidP="009F6825"/>
    <w:p w:rsidR="00905890" w:rsidRPr="009F6825" w:rsidRDefault="0043308C" w:rsidP="009F6825">
      <w:r w:rsidRPr="009F6825">
        <w:t>L</w:t>
      </w:r>
      <w:r w:rsidR="004D3D70" w:rsidRPr="009F6825">
        <w:t>’</w:t>
      </w:r>
      <w:r w:rsidRPr="009F6825">
        <w:t>enveloppe de rémunération des principaux dirigeants est indiquée ci</w:t>
      </w:r>
      <w:r w:rsidR="00665FEC" w:rsidRPr="009F6825">
        <w:noBreakHyphen/>
      </w:r>
      <w:r w:rsidRPr="009F6825">
        <w:t>après (il convient de noter que le tableau ne comprend pas le secrétaire général étant donné qu</w:t>
      </w:r>
      <w:r w:rsidR="004D3D70" w:rsidRPr="009F6825">
        <w:t>’</w:t>
      </w:r>
      <w:r w:rsidRPr="009F6825">
        <w:t>il ne reçoit aucune rémunération de l</w:t>
      </w:r>
      <w:r w:rsidR="004D3D70" w:rsidRPr="009F6825">
        <w:t>’</w:t>
      </w:r>
      <w:r w:rsidRPr="009F6825">
        <w:t>UPOV)</w:t>
      </w:r>
      <w:r w:rsidR="004D3D70" w:rsidRPr="009F6825">
        <w:t> :</w:t>
      </w:r>
    </w:p>
    <w:p w:rsidR="00905890" w:rsidRPr="009F6825" w:rsidRDefault="00905890" w:rsidP="009F6825"/>
    <w:p w:rsidR="00905890" w:rsidRPr="004D3D70" w:rsidRDefault="00A835D9" w:rsidP="004A5EBA">
      <w:pPr>
        <w:pStyle w:val="Style3"/>
        <w:spacing w:after="0"/>
        <w:jc w:val="center"/>
        <w:rPr>
          <w:sz w:val="20"/>
          <w:lang w:val="fr-CH"/>
        </w:rPr>
      </w:pPr>
      <w:r w:rsidRPr="00A835D9">
        <w:rPr>
          <w:noProof/>
          <w:lang w:val="en-US"/>
        </w:rPr>
        <w:lastRenderedPageBreak/>
        <w:drawing>
          <wp:inline distT="0" distB="0" distL="0" distR="0">
            <wp:extent cx="5994400" cy="1181100"/>
            <wp:effectExtent l="0" t="0" r="635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94400" cy="1181100"/>
                    </a:xfrm>
                    <a:prstGeom prst="rect">
                      <a:avLst/>
                    </a:prstGeom>
                    <a:noFill/>
                    <a:ln>
                      <a:noFill/>
                    </a:ln>
                  </pic:spPr>
                </pic:pic>
              </a:graphicData>
            </a:graphic>
          </wp:inline>
        </w:drawing>
      </w:r>
    </w:p>
    <w:p w:rsidR="00905890" w:rsidRPr="004D3D70" w:rsidRDefault="00A824AF" w:rsidP="0043308C">
      <w:pPr>
        <w:rPr>
          <w:lang w:val="fr-CH"/>
        </w:rPr>
      </w:pPr>
      <w:r w:rsidRPr="004D3D70">
        <w:rPr>
          <w:lang w:val="fr-CH"/>
        </w:rPr>
        <w:fldChar w:fldCharType="begin"/>
      </w:r>
      <w:r w:rsidRPr="004D3D70">
        <w:rPr>
          <w:lang w:val="fr-CH"/>
        </w:rPr>
        <w:instrText xml:space="preserve"> LINK Excel.Sheet.12 "\\\\wipogvafs01\\FIN\\ORGBFFI\\SHARED\\IPSAS\\13. UPOV YEAR END FILES\\2013\\01. LEAD DOCUMENTS\\01. UPOV TABLES FOR FINANCIAL STATEMENTS 2013.xlsx" "Note 10 Related Parties!R7C5:R10C8" \a \f 4 \h  \* MERGEFORMAT </w:instrText>
      </w:r>
      <w:r w:rsidRPr="004D3D70">
        <w:rPr>
          <w:lang w:val="fr-CH"/>
        </w:rPr>
        <w:fldChar w:fldCharType="separate"/>
      </w:r>
    </w:p>
    <w:p w:rsidR="004D3D70" w:rsidRDefault="00A824AF" w:rsidP="00A824AF">
      <w:pPr>
        <w:rPr>
          <w:lang w:val="fr-CH"/>
        </w:rPr>
      </w:pPr>
      <w:r w:rsidRPr="004D3D70">
        <w:rPr>
          <w:lang w:val="fr-CH"/>
        </w:rPr>
        <w:fldChar w:fldCharType="end"/>
      </w:r>
      <w:r w:rsidR="0043308C" w:rsidRPr="004D3D70">
        <w:rPr>
          <w:lang w:val="fr-CH"/>
        </w:rPr>
        <w:t>Aucune autre rémunération ou indemnité n</w:t>
      </w:r>
      <w:r w:rsidR="004D3D70">
        <w:rPr>
          <w:lang w:val="fr-CH"/>
        </w:rPr>
        <w:t>’</w:t>
      </w:r>
      <w:r w:rsidR="0043308C" w:rsidRPr="004D3D70">
        <w:rPr>
          <w:lang w:val="fr-CH"/>
        </w:rPr>
        <w:t>a été versée à des principaux dirigeants ou à des membres proches de la famille.</w:t>
      </w:r>
    </w:p>
    <w:p w:rsidR="00905890" w:rsidRPr="004D3D70" w:rsidRDefault="00905890" w:rsidP="00A824AF">
      <w:pPr>
        <w:rPr>
          <w:lang w:val="fr-CH"/>
        </w:rPr>
      </w:pPr>
    </w:p>
    <w:p w:rsidR="00905890" w:rsidRPr="004D3D70" w:rsidRDefault="00905890" w:rsidP="00A824AF">
      <w:pPr>
        <w:rPr>
          <w:lang w:val="fr-CH"/>
        </w:rPr>
      </w:pPr>
    </w:p>
    <w:p w:rsidR="00905890" w:rsidRPr="004D3D70" w:rsidRDefault="0043308C" w:rsidP="0043308C">
      <w:pPr>
        <w:pStyle w:val="Heading2Notes"/>
        <w:rPr>
          <w:lang w:val="fr-CH"/>
        </w:rPr>
      </w:pPr>
      <w:bookmarkStart w:id="27" w:name="_Toc523157900"/>
      <w:r w:rsidRPr="004D3D70">
        <w:rPr>
          <w:lang w:val="fr-CH"/>
        </w:rPr>
        <w:t>Note</w:t>
      </w:r>
      <w:r w:rsidR="00BE23DA">
        <w:rPr>
          <w:lang w:val="fr-CH"/>
        </w:rPr>
        <w:t> </w:t>
      </w:r>
      <w:r w:rsidRPr="004D3D70">
        <w:rPr>
          <w:lang w:val="fr-CH"/>
        </w:rPr>
        <w:t>11</w:t>
      </w:r>
      <w:r w:rsidR="004D3D70">
        <w:rPr>
          <w:lang w:val="fr-CH"/>
        </w:rPr>
        <w:t> :</w:t>
      </w:r>
      <w:r w:rsidRPr="004D3D70">
        <w:rPr>
          <w:lang w:val="fr-CH"/>
        </w:rPr>
        <w:t xml:space="preserve"> </w:t>
      </w:r>
      <w:r w:rsidR="00AC2193">
        <w:rPr>
          <w:lang w:val="fr-CH"/>
        </w:rPr>
        <w:tab/>
      </w:r>
      <w:r w:rsidRPr="004D3D70">
        <w:rPr>
          <w:lang w:val="fr-CH"/>
        </w:rPr>
        <w:t>Actifs nets</w:t>
      </w:r>
      <w:bookmarkEnd w:id="27"/>
    </w:p>
    <w:p w:rsidR="00905890" w:rsidRPr="004D3D70" w:rsidRDefault="00905890" w:rsidP="00A824AF">
      <w:pPr>
        <w:rPr>
          <w:b/>
          <w:bCs/>
          <w:caps/>
          <w:lang w:val="fr-CH"/>
        </w:rPr>
      </w:pPr>
    </w:p>
    <w:p w:rsidR="00905890" w:rsidRPr="004D3D70" w:rsidRDefault="00A835D9" w:rsidP="004A5EBA">
      <w:pPr>
        <w:jc w:val="center"/>
        <w:rPr>
          <w:b/>
          <w:bCs/>
          <w:caps/>
          <w:lang w:val="fr-CH"/>
        </w:rPr>
      </w:pPr>
      <w:r w:rsidRPr="00A835D9">
        <w:rPr>
          <w:noProof/>
          <w:lang w:val="en-US"/>
        </w:rPr>
        <w:drawing>
          <wp:inline distT="0" distB="0" distL="0" distR="0" wp14:anchorId="5BE1114A" wp14:editId="646132DA">
            <wp:extent cx="6120765" cy="2485878"/>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485878"/>
                    </a:xfrm>
                    <a:prstGeom prst="rect">
                      <a:avLst/>
                    </a:prstGeom>
                    <a:noFill/>
                    <a:ln>
                      <a:noFill/>
                    </a:ln>
                  </pic:spPr>
                </pic:pic>
              </a:graphicData>
            </a:graphic>
          </wp:inline>
        </w:drawing>
      </w:r>
    </w:p>
    <w:p w:rsidR="00905890" w:rsidRDefault="00905890" w:rsidP="004A5EBA">
      <w:pPr>
        <w:rPr>
          <w:lang w:val="fr-CH"/>
        </w:rPr>
      </w:pPr>
    </w:p>
    <w:p w:rsidR="000A441A" w:rsidRPr="004D3D70" w:rsidRDefault="000A441A" w:rsidP="004A5EBA">
      <w:pPr>
        <w:rPr>
          <w:lang w:val="fr-CH"/>
        </w:rPr>
      </w:pPr>
    </w:p>
    <w:p w:rsidR="00905890" w:rsidRPr="004D3D70" w:rsidRDefault="0043308C" w:rsidP="0043308C">
      <w:pPr>
        <w:rPr>
          <w:lang w:val="fr-CH"/>
        </w:rPr>
      </w:pPr>
      <w:r w:rsidRPr="004D3D70">
        <w:rPr>
          <w:lang w:val="fr-CH"/>
        </w:rPr>
        <w:t>En vertu de l</w:t>
      </w:r>
      <w:r w:rsidR="004D3D70">
        <w:rPr>
          <w:lang w:val="fr-CH"/>
        </w:rPr>
        <w:t>’</w:t>
      </w:r>
      <w:r w:rsidR="004D3D70" w:rsidRPr="004D3D70">
        <w:rPr>
          <w:lang w:val="fr-CH"/>
        </w:rPr>
        <w:t>article</w:t>
      </w:r>
      <w:r w:rsidR="004D3D70">
        <w:rPr>
          <w:lang w:val="fr-CH"/>
        </w:rPr>
        <w:t> </w:t>
      </w:r>
      <w:r w:rsidR="004D3D70" w:rsidRPr="004D3D70">
        <w:rPr>
          <w:lang w:val="fr-CH"/>
        </w:rPr>
        <w:t>4</w:t>
      </w:r>
      <w:r w:rsidR="0075327E">
        <w:rPr>
          <w:lang w:val="fr-CH"/>
        </w:rPr>
        <w:t>.</w:t>
      </w:r>
      <w:r w:rsidRPr="004D3D70">
        <w:rPr>
          <w:lang w:val="fr-CH"/>
        </w:rPr>
        <w:t>2 de son Règlement financier, l</w:t>
      </w:r>
      <w:r w:rsidR="004D3D70">
        <w:rPr>
          <w:lang w:val="fr-CH"/>
        </w:rPr>
        <w:t>’</w:t>
      </w:r>
      <w:r w:rsidRPr="004D3D70">
        <w:rPr>
          <w:lang w:val="fr-CH"/>
        </w:rPr>
        <w:t>UPOV dispose d</w:t>
      </w:r>
      <w:r w:rsidR="004D3D70">
        <w:rPr>
          <w:lang w:val="fr-CH"/>
        </w:rPr>
        <w:t>’</w:t>
      </w:r>
      <w:r w:rsidRPr="004D3D70">
        <w:rPr>
          <w:lang w:val="fr-CH"/>
        </w:rPr>
        <w:t>un fonds de rouleme</w:t>
      </w:r>
      <w:r w:rsidR="002140E0" w:rsidRPr="004D3D70">
        <w:rPr>
          <w:lang w:val="fr-CH"/>
        </w:rPr>
        <w:t>nt</w:t>
      </w:r>
      <w:r w:rsidR="002140E0">
        <w:rPr>
          <w:lang w:val="fr-CH"/>
        </w:rPr>
        <w:t xml:space="preserve">.  </w:t>
      </w:r>
      <w:r w:rsidR="002140E0" w:rsidRPr="004D3D70">
        <w:rPr>
          <w:lang w:val="fr-CH"/>
        </w:rPr>
        <w:t>Au</w:t>
      </w:r>
      <w:r w:rsidR="000A441A">
        <w:rPr>
          <w:lang w:val="fr-CH"/>
        </w:rPr>
        <w:t> </w:t>
      </w:r>
      <w:r w:rsidRPr="004D3D70">
        <w:rPr>
          <w:lang w:val="fr-CH"/>
        </w:rPr>
        <w:t>3</w:t>
      </w:r>
      <w:r w:rsidR="004D3D70" w:rsidRPr="004D3D70">
        <w:rPr>
          <w:lang w:val="fr-CH"/>
        </w:rPr>
        <w:t>1</w:t>
      </w:r>
      <w:r w:rsidR="004D3D70">
        <w:rPr>
          <w:lang w:val="fr-CH"/>
        </w:rPr>
        <w:t> </w:t>
      </w:r>
      <w:r w:rsidR="004D3D70" w:rsidRPr="004D3D70">
        <w:rPr>
          <w:lang w:val="fr-CH"/>
        </w:rPr>
        <w:t>décembre</w:t>
      </w:r>
      <w:r w:rsidR="004D3D70">
        <w:rPr>
          <w:lang w:val="fr-CH"/>
        </w:rPr>
        <w:t> </w:t>
      </w:r>
      <w:r w:rsidR="004D3D70" w:rsidRPr="004D3D70">
        <w:rPr>
          <w:lang w:val="fr-CH"/>
        </w:rPr>
        <w:t>20</w:t>
      </w:r>
      <w:r w:rsidRPr="004D3D70">
        <w:rPr>
          <w:lang w:val="fr-CH"/>
        </w:rPr>
        <w:t>17, ce fonds de roulement s</w:t>
      </w:r>
      <w:r w:rsidR="004D3D70">
        <w:rPr>
          <w:lang w:val="fr-CH"/>
        </w:rPr>
        <w:t>’</w:t>
      </w:r>
      <w:r w:rsidRPr="004D3D70">
        <w:rPr>
          <w:lang w:val="fr-CH"/>
        </w:rPr>
        <w:t>élève à 546</w:t>
      </w:r>
      <w:r w:rsidR="00AC2A6B">
        <w:rPr>
          <w:lang w:val="fr-CH"/>
        </w:rPr>
        <w:t> </w:t>
      </w:r>
      <w:r w:rsidRPr="004D3D70">
        <w:rPr>
          <w:lang w:val="fr-CH"/>
        </w:rPr>
        <w:t>67</w:t>
      </w:r>
      <w:r w:rsidR="004D3D70" w:rsidRPr="004D3D70">
        <w:rPr>
          <w:lang w:val="fr-CH"/>
        </w:rPr>
        <w:t>9</w:t>
      </w:r>
      <w:r w:rsidR="004D3D70">
        <w:rPr>
          <w:lang w:val="fr-CH"/>
        </w:rPr>
        <w:t> </w:t>
      </w:r>
      <w:r w:rsidR="004D3D70" w:rsidRPr="004D3D70">
        <w:rPr>
          <w:lang w:val="fr-CH"/>
        </w:rPr>
        <w:t>franc</w:t>
      </w:r>
      <w:r w:rsidRPr="004D3D70">
        <w:rPr>
          <w:lang w:val="fr-CH"/>
        </w:rPr>
        <w:t>s suiss</w:t>
      </w:r>
      <w:r w:rsidR="002140E0" w:rsidRPr="004D3D70">
        <w:rPr>
          <w:lang w:val="fr-CH"/>
        </w:rPr>
        <w:t>es</w:t>
      </w:r>
      <w:r w:rsidR="002140E0">
        <w:rPr>
          <w:lang w:val="fr-CH"/>
        </w:rPr>
        <w:t xml:space="preserve">.  </w:t>
      </w:r>
      <w:r w:rsidR="002140E0" w:rsidRPr="004D3D70">
        <w:rPr>
          <w:lang w:val="fr-CH"/>
        </w:rPr>
        <w:t>Se</w:t>
      </w:r>
      <w:r w:rsidRPr="004D3D70">
        <w:rPr>
          <w:lang w:val="fr-CH"/>
        </w:rPr>
        <w:t xml:space="preserve">lon les dispositions de </w:t>
      </w:r>
      <w:r w:rsidR="0075327E" w:rsidRPr="004D3D70">
        <w:rPr>
          <w:lang w:val="fr-CH"/>
        </w:rPr>
        <w:t>l</w:t>
      </w:r>
      <w:r w:rsidR="0075327E">
        <w:rPr>
          <w:lang w:val="fr-CH"/>
        </w:rPr>
        <w:t>’</w:t>
      </w:r>
      <w:r w:rsidR="0075327E" w:rsidRPr="004D3D70">
        <w:rPr>
          <w:lang w:val="fr-CH"/>
        </w:rPr>
        <w:t>article</w:t>
      </w:r>
      <w:r w:rsidR="0075327E">
        <w:rPr>
          <w:lang w:val="fr-CH"/>
        </w:rPr>
        <w:t> </w:t>
      </w:r>
      <w:r w:rsidR="0075327E" w:rsidRPr="004D3D70">
        <w:rPr>
          <w:lang w:val="fr-CH"/>
        </w:rPr>
        <w:t>4</w:t>
      </w:r>
      <w:r w:rsidR="0075327E">
        <w:rPr>
          <w:lang w:val="fr-CH"/>
        </w:rPr>
        <w:t>.</w:t>
      </w:r>
      <w:r w:rsidR="0075327E" w:rsidRPr="004D3D70">
        <w:rPr>
          <w:lang w:val="fr-CH"/>
        </w:rPr>
        <w:t>2</w:t>
      </w:r>
      <w:r w:rsidRPr="004D3D70">
        <w:rPr>
          <w:lang w:val="fr-CH"/>
        </w:rPr>
        <w:t>, le fonds de roulement est destiné à</w:t>
      </w:r>
      <w:r w:rsidR="004D3D70">
        <w:rPr>
          <w:lang w:val="fr-CH"/>
        </w:rPr>
        <w:t> :</w:t>
      </w:r>
    </w:p>
    <w:p w:rsidR="00905890" w:rsidRPr="004D3D70" w:rsidRDefault="00905890" w:rsidP="00A824AF">
      <w:pPr>
        <w:rPr>
          <w:lang w:val="fr-CH"/>
        </w:rPr>
      </w:pPr>
    </w:p>
    <w:p w:rsidR="00905890" w:rsidRPr="004D3D70" w:rsidRDefault="0043308C" w:rsidP="00A835D9">
      <w:pPr>
        <w:numPr>
          <w:ilvl w:val="0"/>
          <w:numId w:val="21"/>
        </w:numPr>
        <w:tabs>
          <w:tab w:val="clear" w:pos="418"/>
        </w:tabs>
        <w:ind w:left="1170" w:hanging="603"/>
        <w:jc w:val="left"/>
        <w:rPr>
          <w:lang w:val="fr-CH"/>
        </w:rPr>
      </w:pPr>
      <w:r w:rsidRPr="004D3D70">
        <w:rPr>
          <w:lang w:val="fr-CH"/>
        </w:rPr>
        <w:t>couvrir les dépenses inscrites au budget, dans l</w:t>
      </w:r>
      <w:r w:rsidR="004D3D70">
        <w:rPr>
          <w:lang w:val="fr-CH"/>
        </w:rPr>
        <w:t>’</w:t>
      </w:r>
      <w:r w:rsidRPr="004D3D70">
        <w:rPr>
          <w:lang w:val="fr-CH"/>
        </w:rPr>
        <w:t>attente du paiement des contributions des membres de l</w:t>
      </w:r>
      <w:r w:rsidR="004D3D70">
        <w:rPr>
          <w:lang w:val="fr-CH"/>
        </w:rPr>
        <w:t>’</w:t>
      </w:r>
      <w:r w:rsidRPr="004D3D70">
        <w:rPr>
          <w:lang w:val="fr-CH"/>
        </w:rPr>
        <w:t>UPOV;</w:t>
      </w:r>
    </w:p>
    <w:p w:rsidR="00905890" w:rsidRPr="004D3D70" w:rsidRDefault="0043308C" w:rsidP="00A835D9">
      <w:pPr>
        <w:numPr>
          <w:ilvl w:val="0"/>
          <w:numId w:val="21"/>
        </w:numPr>
        <w:tabs>
          <w:tab w:val="clear" w:pos="418"/>
        </w:tabs>
        <w:ind w:left="1134" w:hanging="567"/>
        <w:jc w:val="left"/>
        <w:rPr>
          <w:lang w:val="fr-CH"/>
        </w:rPr>
      </w:pPr>
      <w:r w:rsidRPr="004D3D70">
        <w:rPr>
          <w:lang w:val="fr-CH"/>
        </w:rPr>
        <w:t>couvrir les dépenses de caractère imprévu et obligatoire, découlant de l</w:t>
      </w:r>
      <w:r w:rsidR="004D3D70">
        <w:rPr>
          <w:lang w:val="fr-CH"/>
        </w:rPr>
        <w:t>’</w:t>
      </w:r>
      <w:r w:rsidRPr="004D3D70">
        <w:rPr>
          <w:lang w:val="fr-CH"/>
        </w:rPr>
        <w:t>exécution du programme adopté;</w:t>
      </w:r>
    </w:p>
    <w:p w:rsidR="00905890" w:rsidRPr="004D3D70" w:rsidRDefault="0043308C" w:rsidP="00A835D9">
      <w:pPr>
        <w:numPr>
          <w:ilvl w:val="0"/>
          <w:numId w:val="21"/>
        </w:numPr>
        <w:tabs>
          <w:tab w:val="clear" w:pos="418"/>
        </w:tabs>
        <w:ind w:left="1134" w:hanging="567"/>
        <w:jc w:val="left"/>
        <w:rPr>
          <w:lang w:val="fr-CH"/>
        </w:rPr>
      </w:pPr>
      <w:r w:rsidRPr="004D3D70">
        <w:rPr>
          <w:lang w:val="fr-CH"/>
        </w:rPr>
        <w:t>couvrir toute autre dépense qui serait décidée par le Conseil.</w:t>
      </w:r>
    </w:p>
    <w:p w:rsidR="00905890" w:rsidRPr="004D3D70" w:rsidRDefault="00905890" w:rsidP="00A824AF">
      <w:pPr>
        <w:rPr>
          <w:lang w:val="fr-CH"/>
        </w:rPr>
      </w:pPr>
    </w:p>
    <w:p w:rsidR="00905890" w:rsidRPr="004D3D70" w:rsidRDefault="0043308C" w:rsidP="0043308C">
      <w:pPr>
        <w:rPr>
          <w:lang w:val="fr-CH"/>
        </w:rPr>
      </w:pPr>
      <w:r w:rsidRPr="004D3D70">
        <w:rPr>
          <w:lang w:val="fr-CH"/>
        </w:rPr>
        <w:t>Les avances provenant du fonds pour couvrir les dépenses susmentionnées doivent être remboursées conformément aux dispositions de l</w:t>
      </w:r>
      <w:r w:rsidR="004D3D70">
        <w:rPr>
          <w:lang w:val="fr-CH"/>
        </w:rPr>
        <w:t>’</w:t>
      </w:r>
      <w:r w:rsidR="004D3D70" w:rsidRPr="004D3D70">
        <w:rPr>
          <w:lang w:val="fr-CH"/>
        </w:rPr>
        <w:t>article</w:t>
      </w:r>
      <w:r w:rsidR="004D3D70">
        <w:rPr>
          <w:lang w:val="fr-CH"/>
        </w:rPr>
        <w:t> </w:t>
      </w:r>
      <w:r w:rsidR="004D3D70" w:rsidRPr="004D3D70">
        <w:rPr>
          <w:lang w:val="fr-CH"/>
        </w:rPr>
        <w:t>4</w:t>
      </w:r>
      <w:r w:rsidRPr="004D3D70">
        <w:rPr>
          <w:lang w:val="fr-CH"/>
        </w:rPr>
        <w:t>.2.</w:t>
      </w:r>
    </w:p>
    <w:p w:rsidR="00905890" w:rsidRPr="004D3D70" w:rsidRDefault="00905890" w:rsidP="00A824AF">
      <w:pPr>
        <w:rPr>
          <w:lang w:val="fr-CH"/>
        </w:rPr>
      </w:pPr>
    </w:p>
    <w:p w:rsidR="00905890" w:rsidRPr="004D3D70" w:rsidRDefault="00A73F0F" w:rsidP="0043308C">
      <w:pPr>
        <w:rPr>
          <w:lang w:val="fr-CH"/>
        </w:rPr>
      </w:pPr>
      <w:r w:rsidRPr="004D3D70">
        <w:rPr>
          <w:lang w:val="fr-CH"/>
        </w:rPr>
        <w:t>Le fonds de réserve représente les soldes cumulés de l</w:t>
      </w:r>
      <w:r w:rsidR="004D3D70">
        <w:rPr>
          <w:lang w:val="fr-CH"/>
        </w:rPr>
        <w:t>’</w:t>
      </w:r>
      <w:r w:rsidRPr="004D3D70">
        <w:rPr>
          <w:lang w:val="fr-CH"/>
        </w:rPr>
        <w:t>UPOV</w:t>
      </w:r>
      <w:r w:rsidR="00A824AF" w:rsidRPr="004D3D70">
        <w:rPr>
          <w:lang w:val="fr-CH"/>
        </w:rPr>
        <w:t>.</w:t>
      </w:r>
      <w:r w:rsidRPr="004D3D70">
        <w:rPr>
          <w:lang w:val="fr-CH"/>
        </w:rPr>
        <w:t xml:space="preserve"> </w:t>
      </w:r>
      <w:r w:rsidR="00A824AF" w:rsidRPr="004D3D70">
        <w:rPr>
          <w:lang w:val="fr-CH"/>
        </w:rPr>
        <w:t xml:space="preserve"> </w:t>
      </w:r>
      <w:r w:rsidRPr="004D3D70">
        <w:rPr>
          <w:lang w:val="fr-CH"/>
        </w:rPr>
        <w:t>Conformément à l</w:t>
      </w:r>
      <w:r w:rsidR="004D3D70">
        <w:rPr>
          <w:lang w:val="fr-CH"/>
        </w:rPr>
        <w:t>’</w:t>
      </w:r>
      <w:r w:rsidRPr="004D3D70">
        <w:rPr>
          <w:lang w:val="fr-CH"/>
        </w:rPr>
        <w:t>article 4.6 du Règlement financier de l</w:t>
      </w:r>
      <w:r w:rsidR="004D3D70">
        <w:rPr>
          <w:lang w:val="fr-CH"/>
        </w:rPr>
        <w:t>’</w:t>
      </w:r>
      <w:r w:rsidRPr="004D3D70">
        <w:rPr>
          <w:lang w:val="fr-CH"/>
        </w:rPr>
        <w:t>UPOV, l</w:t>
      </w:r>
      <w:r w:rsidR="004D3D70">
        <w:rPr>
          <w:lang w:val="fr-CH"/>
        </w:rPr>
        <w:t>’</w:t>
      </w:r>
      <w:r w:rsidRPr="004D3D70">
        <w:rPr>
          <w:lang w:val="fr-CH"/>
        </w:rPr>
        <w:t>utilisation du fonds de réserve à des fins autres que pour couvrir un déficit relève de la décision du Conse</w:t>
      </w:r>
      <w:r w:rsidR="002140E0" w:rsidRPr="004D3D70">
        <w:rPr>
          <w:lang w:val="fr-CH"/>
        </w:rPr>
        <w:t>il</w:t>
      </w:r>
      <w:r w:rsidR="002140E0">
        <w:rPr>
          <w:lang w:val="fr-CH"/>
        </w:rPr>
        <w:t xml:space="preserve">.  </w:t>
      </w:r>
      <w:r w:rsidR="002140E0" w:rsidRPr="004D3D70">
        <w:rPr>
          <w:lang w:val="fr-CH"/>
        </w:rPr>
        <w:t>Si</w:t>
      </w:r>
      <w:r w:rsidR="0043308C" w:rsidRPr="004D3D70">
        <w:rPr>
          <w:lang w:val="fr-CH"/>
        </w:rPr>
        <w:t>, après la clôture de l</w:t>
      </w:r>
      <w:r w:rsidR="004D3D70">
        <w:rPr>
          <w:lang w:val="fr-CH"/>
        </w:rPr>
        <w:t>’</w:t>
      </w:r>
      <w:r w:rsidR="0043308C" w:rsidRPr="004D3D70">
        <w:rPr>
          <w:lang w:val="fr-CH"/>
        </w:rPr>
        <w:t>exercice financier, le montant du fonds de réserve dépasse 15% des recettes totales pour l</w:t>
      </w:r>
      <w:r w:rsidR="004D3D70">
        <w:rPr>
          <w:lang w:val="fr-CH"/>
        </w:rPr>
        <w:t>’</w:t>
      </w:r>
      <w:r w:rsidR="0043308C" w:rsidRPr="004D3D70">
        <w:rPr>
          <w:lang w:val="fr-CH"/>
        </w:rPr>
        <w:t>exercice financier, l</w:t>
      </w:r>
      <w:r w:rsidR="004D3D70">
        <w:rPr>
          <w:lang w:val="fr-CH"/>
        </w:rPr>
        <w:t>’</w:t>
      </w:r>
      <w:r w:rsidR="0043308C" w:rsidRPr="004D3D70">
        <w:rPr>
          <w:lang w:val="fr-CH"/>
        </w:rPr>
        <w:t>excédent est remboursé aux membres de l</w:t>
      </w:r>
      <w:r w:rsidR="004D3D70">
        <w:rPr>
          <w:lang w:val="fr-CH"/>
        </w:rPr>
        <w:t>’</w:t>
      </w:r>
      <w:r w:rsidR="0043308C" w:rsidRPr="004D3D70">
        <w:rPr>
          <w:lang w:val="fr-CH"/>
        </w:rPr>
        <w:t>UPOV, sauf si le Conseil en décide autreme</w:t>
      </w:r>
      <w:r w:rsidR="002140E0" w:rsidRPr="004D3D70">
        <w:rPr>
          <w:lang w:val="fr-CH"/>
        </w:rPr>
        <w:t>nt</w:t>
      </w:r>
      <w:r w:rsidR="002140E0">
        <w:rPr>
          <w:lang w:val="fr-CH"/>
        </w:rPr>
        <w:t xml:space="preserve">.  </w:t>
      </w:r>
      <w:r w:rsidR="002140E0" w:rsidRPr="004D3D70">
        <w:rPr>
          <w:lang w:val="fr-CH"/>
        </w:rPr>
        <w:t>To</w:t>
      </w:r>
      <w:r w:rsidR="0043308C" w:rsidRPr="004D3D70">
        <w:rPr>
          <w:lang w:val="fr-CH"/>
        </w:rPr>
        <w:t>ut membre de l</w:t>
      </w:r>
      <w:r w:rsidR="004D3D70">
        <w:rPr>
          <w:lang w:val="fr-CH"/>
        </w:rPr>
        <w:t>’</w:t>
      </w:r>
      <w:r w:rsidR="0043308C" w:rsidRPr="004D3D70">
        <w:rPr>
          <w:lang w:val="fr-CH"/>
        </w:rPr>
        <w:t>UPOV peut demander que le montant qui lui est remboursé soit déposé sur un compte spécial ou dans un fonds fiduciaire qu</w:t>
      </w:r>
      <w:r w:rsidR="004D3D70">
        <w:rPr>
          <w:lang w:val="fr-CH"/>
        </w:rPr>
        <w:t>’</w:t>
      </w:r>
      <w:r w:rsidR="0043308C" w:rsidRPr="004D3D70">
        <w:rPr>
          <w:lang w:val="fr-CH"/>
        </w:rPr>
        <w:t>il aura désigné.</w:t>
      </w:r>
    </w:p>
    <w:p w:rsidR="00905890" w:rsidRPr="004D3D70" w:rsidRDefault="00905890" w:rsidP="00A824AF">
      <w:pPr>
        <w:rPr>
          <w:lang w:val="fr-CH"/>
        </w:rPr>
      </w:pPr>
    </w:p>
    <w:p w:rsidR="00905890" w:rsidRPr="004D3D70" w:rsidRDefault="004D3D70" w:rsidP="0043308C">
      <w:pPr>
        <w:rPr>
          <w:lang w:val="fr-CH"/>
        </w:rPr>
      </w:pPr>
      <w:r w:rsidRPr="004D3D70">
        <w:rPr>
          <w:lang w:val="fr-CH"/>
        </w:rPr>
        <w:t>En</w:t>
      </w:r>
      <w:r>
        <w:rPr>
          <w:lang w:val="fr-CH"/>
        </w:rPr>
        <w:t> </w:t>
      </w:r>
      <w:r w:rsidRPr="004D3D70">
        <w:rPr>
          <w:lang w:val="fr-CH"/>
        </w:rPr>
        <w:t>2015</w:t>
      </w:r>
      <w:r w:rsidR="0043308C" w:rsidRPr="004D3D70">
        <w:rPr>
          <w:lang w:val="fr-CH"/>
        </w:rPr>
        <w:t>, un montant de 183</w:t>
      </w:r>
      <w:r w:rsidR="00AC2A6B">
        <w:rPr>
          <w:lang w:val="fr-CH"/>
        </w:rPr>
        <w:t> </w:t>
      </w:r>
      <w:r w:rsidR="0043308C" w:rsidRPr="004D3D70">
        <w:rPr>
          <w:lang w:val="fr-CH"/>
        </w:rPr>
        <w:t>82</w:t>
      </w:r>
      <w:r w:rsidRPr="004D3D70">
        <w:rPr>
          <w:lang w:val="fr-CH"/>
        </w:rPr>
        <w:t>4</w:t>
      </w:r>
      <w:r>
        <w:rPr>
          <w:lang w:val="fr-CH"/>
        </w:rPr>
        <w:t> </w:t>
      </w:r>
      <w:r w:rsidRPr="004D3D70">
        <w:rPr>
          <w:lang w:val="fr-CH"/>
        </w:rPr>
        <w:t>franc</w:t>
      </w:r>
      <w:r w:rsidR="0043308C" w:rsidRPr="004D3D70">
        <w:rPr>
          <w:lang w:val="fr-CH"/>
        </w:rPr>
        <w:t>s suisses représentant le montant du fonds de réserve dépassant 15% des recettes totales pour l</w:t>
      </w:r>
      <w:r>
        <w:rPr>
          <w:lang w:val="fr-CH"/>
        </w:rPr>
        <w:t>’</w:t>
      </w:r>
      <w:r w:rsidR="0043308C" w:rsidRPr="004D3D70">
        <w:rPr>
          <w:lang w:val="fr-CH"/>
        </w:rPr>
        <w:t xml:space="preserve">exercice </w:t>
      </w:r>
      <w:r w:rsidRPr="004D3D70">
        <w:rPr>
          <w:lang w:val="fr-CH"/>
        </w:rPr>
        <w:t>biennal</w:t>
      </w:r>
      <w:r w:rsidR="0075327E">
        <w:rPr>
          <w:lang w:val="fr-CH"/>
        </w:rPr>
        <w:t xml:space="preserve"> </w:t>
      </w:r>
      <w:r w:rsidRPr="004D3D70">
        <w:rPr>
          <w:lang w:val="fr-CH"/>
        </w:rPr>
        <w:t>2012</w:t>
      </w:r>
      <w:r w:rsidR="00665FEC">
        <w:rPr>
          <w:lang w:val="fr-CH"/>
        </w:rPr>
        <w:noBreakHyphen/>
      </w:r>
      <w:r w:rsidR="0043308C" w:rsidRPr="004D3D70">
        <w:rPr>
          <w:lang w:val="fr-CH"/>
        </w:rPr>
        <w:t>2013 a été transféré sur un Fonds spécial pour des projets afin de mener à bien certains projets particulie</w:t>
      </w:r>
      <w:r w:rsidR="002140E0" w:rsidRPr="004D3D70">
        <w:rPr>
          <w:lang w:val="fr-CH"/>
        </w:rPr>
        <w:t>rs</w:t>
      </w:r>
      <w:r w:rsidR="002140E0">
        <w:rPr>
          <w:lang w:val="fr-CH"/>
        </w:rPr>
        <w:t xml:space="preserve">.  </w:t>
      </w:r>
      <w:r w:rsidR="002140E0" w:rsidRPr="004D3D70">
        <w:rPr>
          <w:lang w:val="fr-CH"/>
        </w:rPr>
        <w:t>Su</w:t>
      </w:r>
      <w:r w:rsidR="00A73F0F" w:rsidRPr="004D3D70">
        <w:rPr>
          <w:lang w:val="fr-CH"/>
        </w:rPr>
        <w:t>r le solde de 13 </w:t>
      </w:r>
      <w:r w:rsidR="00FB6D47" w:rsidRPr="004D3D70">
        <w:rPr>
          <w:lang w:val="fr-CH"/>
        </w:rPr>
        <w:t>957</w:t>
      </w:r>
      <w:r w:rsidR="00A73F0F" w:rsidRPr="004D3D70">
        <w:rPr>
          <w:lang w:val="fr-CH"/>
        </w:rPr>
        <w:t> </w:t>
      </w:r>
      <w:r w:rsidR="00FB6D47" w:rsidRPr="004D3D70">
        <w:rPr>
          <w:lang w:val="fr-CH"/>
        </w:rPr>
        <w:t xml:space="preserve">francs </w:t>
      </w:r>
      <w:r w:rsidR="00A73F0F" w:rsidRPr="004D3D70">
        <w:rPr>
          <w:lang w:val="fr-CH"/>
        </w:rPr>
        <w:t>suisses rest</w:t>
      </w:r>
      <w:r w:rsidR="00FB6D47" w:rsidRPr="004D3D70">
        <w:rPr>
          <w:lang w:val="fr-CH"/>
        </w:rPr>
        <w:t>a</w:t>
      </w:r>
      <w:r w:rsidR="00A73F0F" w:rsidRPr="004D3D70">
        <w:rPr>
          <w:lang w:val="fr-CH"/>
        </w:rPr>
        <w:t>n</w:t>
      </w:r>
      <w:r w:rsidR="00FB6D47" w:rsidRPr="004D3D70">
        <w:rPr>
          <w:lang w:val="fr-CH"/>
        </w:rPr>
        <w:t>t</w:t>
      </w:r>
      <w:r w:rsidR="00A73F0F" w:rsidRPr="004D3D70">
        <w:rPr>
          <w:lang w:val="fr-CH"/>
        </w:rPr>
        <w:t xml:space="preserve"> à la fin de l</w:t>
      </w:r>
      <w:r>
        <w:rPr>
          <w:lang w:val="fr-CH"/>
        </w:rPr>
        <w:t>’</w:t>
      </w:r>
      <w:r w:rsidR="00A73F0F" w:rsidRPr="004D3D70">
        <w:rPr>
          <w:lang w:val="fr-CH"/>
        </w:rPr>
        <w:t>exercice</w:t>
      </w:r>
      <w:r w:rsidR="00BE23DA">
        <w:rPr>
          <w:lang w:val="fr-CH"/>
        </w:rPr>
        <w:t> </w:t>
      </w:r>
      <w:r w:rsidR="00FB6D47" w:rsidRPr="004D3D70">
        <w:rPr>
          <w:lang w:val="fr-CH"/>
        </w:rPr>
        <w:t>2016</w:t>
      </w:r>
      <w:r w:rsidR="00A824AF" w:rsidRPr="004D3D70">
        <w:rPr>
          <w:lang w:val="fr-CH"/>
        </w:rPr>
        <w:t>,</w:t>
      </w:r>
      <w:r w:rsidR="00FB6D47" w:rsidRPr="004D3D70">
        <w:rPr>
          <w:lang w:val="fr-CH"/>
        </w:rPr>
        <w:t xml:space="preserve"> </w:t>
      </w:r>
      <w:r w:rsidR="00A73F0F" w:rsidRPr="004D3D70">
        <w:rPr>
          <w:lang w:val="fr-CH"/>
        </w:rPr>
        <w:t>aucune dépense n</w:t>
      </w:r>
      <w:r>
        <w:rPr>
          <w:lang w:val="fr-CH"/>
        </w:rPr>
        <w:t>’</w:t>
      </w:r>
      <w:r w:rsidR="00A73F0F" w:rsidRPr="004D3D70">
        <w:rPr>
          <w:lang w:val="fr-CH"/>
        </w:rPr>
        <w:t xml:space="preserve">a été engagée </w:t>
      </w:r>
      <w:r w:rsidRPr="004D3D70">
        <w:rPr>
          <w:lang w:val="fr-CH"/>
        </w:rPr>
        <w:t>en</w:t>
      </w:r>
      <w:r>
        <w:rPr>
          <w:lang w:val="fr-CH"/>
        </w:rPr>
        <w:t> </w:t>
      </w:r>
      <w:r w:rsidRPr="004D3D70">
        <w:rPr>
          <w:lang w:val="fr-CH"/>
        </w:rPr>
        <w:t>2017</w:t>
      </w:r>
      <w:r w:rsidR="00A73F0F" w:rsidRPr="004D3D70">
        <w:rPr>
          <w:lang w:val="fr-CH"/>
        </w:rPr>
        <w:t xml:space="preserve">. </w:t>
      </w:r>
      <w:r w:rsidR="00FB6D47" w:rsidRPr="004D3D70">
        <w:rPr>
          <w:lang w:val="fr-CH"/>
        </w:rPr>
        <w:t xml:space="preserve"> </w:t>
      </w:r>
      <w:r w:rsidR="0043308C" w:rsidRPr="004D3D70">
        <w:rPr>
          <w:lang w:val="fr-CH"/>
        </w:rPr>
        <w:t>Au 3</w:t>
      </w:r>
      <w:r w:rsidRPr="004D3D70">
        <w:rPr>
          <w:lang w:val="fr-CH"/>
        </w:rPr>
        <w:t>1</w:t>
      </w:r>
      <w:r>
        <w:rPr>
          <w:lang w:val="fr-CH"/>
        </w:rPr>
        <w:t> </w:t>
      </w:r>
      <w:r w:rsidRPr="004D3D70">
        <w:rPr>
          <w:lang w:val="fr-CH"/>
        </w:rPr>
        <w:t>décembre</w:t>
      </w:r>
      <w:r>
        <w:rPr>
          <w:lang w:val="fr-CH"/>
        </w:rPr>
        <w:t> </w:t>
      </w:r>
      <w:r w:rsidRPr="004D3D70">
        <w:rPr>
          <w:lang w:val="fr-CH"/>
        </w:rPr>
        <w:t>20</w:t>
      </w:r>
      <w:r w:rsidR="0043308C" w:rsidRPr="004D3D70">
        <w:rPr>
          <w:lang w:val="fr-CH"/>
        </w:rPr>
        <w:t>17, le solde du Fonds spécial pour des projets, qui s</w:t>
      </w:r>
      <w:r>
        <w:rPr>
          <w:lang w:val="fr-CH"/>
        </w:rPr>
        <w:t>’</w:t>
      </w:r>
      <w:r w:rsidR="0043308C" w:rsidRPr="004D3D70">
        <w:rPr>
          <w:lang w:val="fr-CH"/>
        </w:rPr>
        <w:t>élève à 13</w:t>
      </w:r>
      <w:r w:rsidR="00AC2A6B">
        <w:rPr>
          <w:lang w:val="fr-CH"/>
        </w:rPr>
        <w:t> </w:t>
      </w:r>
      <w:r w:rsidR="0043308C" w:rsidRPr="004D3D70">
        <w:rPr>
          <w:lang w:val="fr-CH"/>
        </w:rPr>
        <w:t>95</w:t>
      </w:r>
      <w:r w:rsidRPr="004D3D70">
        <w:rPr>
          <w:lang w:val="fr-CH"/>
        </w:rPr>
        <w:t>7</w:t>
      </w:r>
      <w:r>
        <w:rPr>
          <w:lang w:val="fr-CH"/>
        </w:rPr>
        <w:t> </w:t>
      </w:r>
      <w:r w:rsidRPr="004D3D70">
        <w:rPr>
          <w:lang w:val="fr-CH"/>
        </w:rPr>
        <w:t>franc</w:t>
      </w:r>
      <w:r w:rsidR="0043308C" w:rsidRPr="004D3D70">
        <w:rPr>
          <w:lang w:val="fr-CH"/>
        </w:rPr>
        <w:t>s suisses, fait partie de l</w:t>
      </w:r>
      <w:r>
        <w:rPr>
          <w:lang w:val="fr-CH"/>
        </w:rPr>
        <w:t>’</w:t>
      </w:r>
      <w:r w:rsidR="0043308C" w:rsidRPr="004D3D70">
        <w:rPr>
          <w:lang w:val="fr-CH"/>
        </w:rPr>
        <w:t>actif net de l</w:t>
      </w:r>
      <w:r>
        <w:rPr>
          <w:lang w:val="fr-CH"/>
        </w:rPr>
        <w:t>’</w:t>
      </w:r>
      <w:r w:rsidR="0043308C" w:rsidRPr="004D3D70">
        <w:rPr>
          <w:lang w:val="fr-CH"/>
        </w:rPr>
        <w:t>UPOV.</w:t>
      </w:r>
    </w:p>
    <w:p w:rsidR="00905890" w:rsidRPr="004D3D70" w:rsidRDefault="00905890" w:rsidP="00A824AF">
      <w:pPr>
        <w:rPr>
          <w:lang w:val="fr-CH"/>
        </w:rPr>
      </w:pPr>
    </w:p>
    <w:p w:rsidR="004D3D70" w:rsidRDefault="004C5B1F" w:rsidP="00A824AF">
      <w:pPr>
        <w:rPr>
          <w:lang w:val="fr-CH"/>
        </w:rPr>
      </w:pPr>
      <w:r w:rsidRPr="004D3D70">
        <w:rPr>
          <w:lang w:val="fr-CH"/>
        </w:rPr>
        <w:t xml:space="preserve">Depuis </w:t>
      </w:r>
      <w:r w:rsidR="00A73F0F" w:rsidRPr="004D3D70">
        <w:rPr>
          <w:lang w:val="fr-CH"/>
        </w:rPr>
        <w:t xml:space="preserve">la mise en </w:t>
      </w:r>
      <w:r w:rsidR="009A65B0" w:rsidRPr="004D3D70">
        <w:rPr>
          <w:lang w:val="fr-CH"/>
        </w:rPr>
        <w:t>œuvre</w:t>
      </w:r>
      <w:r w:rsidR="00A73F0F" w:rsidRPr="004D3D70">
        <w:rPr>
          <w:lang w:val="fr-CH"/>
        </w:rPr>
        <w:t xml:space="preserve"> de la norme</w:t>
      </w:r>
      <w:r w:rsidR="00AC2A6B">
        <w:rPr>
          <w:lang w:val="fr-CH"/>
        </w:rPr>
        <w:t> </w:t>
      </w:r>
      <w:r w:rsidR="003705C5" w:rsidRPr="004D3D70">
        <w:rPr>
          <w:lang w:val="fr-CH"/>
        </w:rPr>
        <w:t>IPSAS</w:t>
      </w:r>
      <w:r w:rsidR="00BE23DA">
        <w:rPr>
          <w:lang w:val="fr-CH"/>
        </w:rPr>
        <w:t> </w:t>
      </w:r>
      <w:r w:rsidR="003705C5" w:rsidRPr="004D3D70">
        <w:rPr>
          <w:lang w:val="fr-CH"/>
        </w:rPr>
        <w:t xml:space="preserve">39 </w:t>
      </w:r>
      <w:r w:rsidR="004D3D70" w:rsidRPr="004D3D70">
        <w:rPr>
          <w:lang w:val="fr-CH"/>
        </w:rPr>
        <w:t>en</w:t>
      </w:r>
      <w:r w:rsidR="004D3D70">
        <w:rPr>
          <w:lang w:val="fr-CH"/>
        </w:rPr>
        <w:t> </w:t>
      </w:r>
      <w:r w:rsidR="004D3D70" w:rsidRPr="004D3D70">
        <w:rPr>
          <w:lang w:val="fr-CH"/>
        </w:rPr>
        <w:t>2017</w:t>
      </w:r>
      <w:r w:rsidR="009A65B0" w:rsidRPr="004D3D70">
        <w:rPr>
          <w:lang w:val="fr-CH"/>
        </w:rPr>
        <w:t xml:space="preserve">, le montant de </w:t>
      </w:r>
      <w:r w:rsidR="00B90144" w:rsidRPr="004D3D70">
        <w:rPr>
          <w:lang w:val="fr-CH"/>
        </w:rPr>
        <w:t>l</w:t>
      </w:r>
      <w:r w:rsidR="004D3D70">
        <w:rPr>
          <w:lang w:val="fr-CH"/>
        </w:rPr>
        <w:t>’</w:t>
      </w:r>
      <w:r w:rsidR="00B90144" w:rsidRPr="004D3D70">
        <w:rPr>
          <w:lang w:val="fr-CH"/>
        </w:rPr>
        <w:t>actif net</w:t>
      </w:r>
      <w:r w:rsidR="009A65B0" w:rsidRPr="004D3D70">
        <w:rPr>
          <w:lang w:val="fr-CH"/>
        </w:rPr>
        <w:t xml:space="preserve"> </w:t>
      </w:r>
      <w:r w:rsidR="004D3D70" w:rsidRPr="004D3D70">
        <w:rPr>
          <w:lang w:val="fr-CH"/>
        </w:rPr>
        <w:t>de</w:t>
      </w:r>
      <w:r w:rsidR="004D3D70">
        <w:rPr>
          <w:lang w:val="fr-CH"/>
        </w:rPr>
        <w:t> </w:t>
      </w:r>
      <w:r w:rsidR="004D3D70" w:rsidRPr="004D3D70">
        <w:rPr>
          <w:lang w:val="fr-CH"/>
        </w:rPr>
        <w:t>2016</w:t>
      </w:r>
      <w:r w:rsidR="003705C5" w:rsidRPr="004D3D70">
        <w:rPr>
          <w:lang w:val="fr-CH"/>
        </w:rPr>
        <w:t xml:space="preserve"> </w:t>
      </w:r>
      <w:r w:rsidR="009A65B0" w:rsidRPr="004D3D70">
        <w:rPr>
          <w:lang w:val="fr-CH"/>
        </w:rPr>
        <w:t>a été réévalué de manière rétrospective et les pertes actuarielles d</w:t>
      </w:r>
      <w:r w:rsidR="004D3D70">
        <w:rPr>
          <w:lang w:val="fr-CH"/>
        </w:rPr>
        <w:t>’</w:t>
      </w:r>
      <w:r w:rsidR="009A65B0" w:rsidRPr="004D3D70">
        <w:rPr>
          <w:lang w:val="fr-CH"/>
        </w:rPr>
        <w:t>un montant de 1 </w:t>
      </w:r>
      <w:r w:rsidR="00174C1A" w:rsidRPr="004D3D70">
        <w:rPr>
          <w:lang w:val="fr-CH"/>
        </w:rPr>
        <w:t>075</w:t>
      </w:r>
      <w:r w:rsidR="009A65B0" w:rsidRPr="004D3D70">
        <w:rPr>
          <w:lang w:val="fr-CH"/>
        </w:rPr>
        <w:t> 694 </w:t>
      </w:r>
      <w:r w:rsidR="00174C1A" w:rsidRPr="004D3D70">
        <w:rPr>
          <w:lang w:val="fr-CH"/>
        </w:rPr>
        <w:t xml:space="preserve">francs </w:t>
      </w:r>
      <w:r w:rsidR="009A65B0" w:rsidRPr="004D3D70">
        <w:rPr>
          <w:lang w:val="fr-CH"/>
        </w:rPr>
        <w:t>suisses au titre de l</w:t>
      </w:r>
      <w:r w:rsidR="004D3D70">
        <w:rPr>
          <w:lang w:val="fr-CH"/>
        </w:rPr>
        <w:t>’</w:t>
      </w:r>
      <w:r w:rsidR="009A65B0" w:rsidRPr="004D3D70">
        <w:rPr>
          <w:lang w:val="fr-CH"/>
        </w:rPr>
        <w:t>AMCS ont été comptabilisées directement dans les actifs ne</w:t>
      </w:r>
      <w:r w:rsidR="002140E0" w:rsidRPr="004D3D70">
        <w:rPr>
          <w:lang w:val="fr-CH"/>
        </w:rPr>
        <w:t>ts</w:t>
      </w:r>
      <w:r w:rsidR="002140E0">
        <w:rPr>
          <w:lang w:val="fr-CH"/>
        </w:rPr>
        <w:t xml:space="preserve">.  </w:t>
      </w:r>
      <w:r w:rsidR="002140E0" w:rsidRPr="004D3D70">
        <w:rPr>
          <w:lang w:val="fr-CH"/>
        </w:rPr>
        <w:t>Au</w:t>
      </w:r>
      <w:r w:rsidRPr="004D3D70">
        <w:rPr>
          <w:lang w:val="fr-CH"/>
        </w:rPr>
        <w:t xml:space="preserve"> 31 décembre 2017, l</w:t>
      </w:r>
      <w:r w:rsidR="009A65B0" w:rsidRPr="004D3D70">
        <w:rPr>
          <w:lang w:val="fr-CH"/>
        </w:rPr>
        <w:t xml:space="preserve">e montant des pertes </w:t>
      </w:r>
      <w:r w:rsidR="009A65B0" w:rsidRPr="004D3D70">
        <w:rPr>
          <w:lang w:val="fr-CH"/>
        </w:rPr>
        <w:lastRenderedPageBreak/>
        <w:t>actuarielles au sein des actifs nets est de 901</w:t>
      </w:r>
      <w:r w:rsidR="00AC2A6B">
        <w:rPr>
          <w:lang w:val="fr-CH"/>
        </w:rPr>
        <w:t> </w:t>
      </w:r>
      <w:r w:rsidR="0039723C" w:rsidRPr="004D3D70">
        <w:rPr>
          <w:lang w:val="fr-CH"/>
        </w:rPr>
        <w:t>27</w:t>
      </w:r>
      <w:r w:rsidR="004D3D70" w:rsidRPr="004D3D70">
        <w:rPr>
          <w:lang w:val="fr-CH"/>
        </w:rPr>
        <w:t>6</w:t>
      </w:r>
      <w:r w:rsidR="004D3D70">
        <w:rPr>
          <w:lang w:val="fr-CH"/>
        </w:rPr>
        <w:t> </w:t>
      </w:r>
      <w:r w:rsidR="004D3D70" w:rsidRPr="004D3D70">
        <w:rPr>
          <w:lang w:val="fr-CH"/>
        </w:rPr>
        <w:t>franc</w:t>
      </w:r>
      <w:r w:rsidR="0039723C" w:rsidRPr="004D3D70">
        <w:rPr>
          <w:lang w:val="fr-CH"/>
        </w:rPr>
        <w:t xml:space="preserve">s </w:t>
      </w:r>
      <w:r w:rsidR="009A65B0" w:rsidRPr="004D3D70">
        <w:rPr>
          <w:lang w:val="fr-CH"/>
        </w:rPr>
        <w:t>suisses en raison des gains actuariels d</w:t>
      </w:r>
      <w:r w:rsidR="004D3D70">
        <w:rPr>
          <w:lang w:val="fr-CH"/>
        </w:rPr>
        <w:t>’</w:t>
      </w:r>
      <w:r w:rsidR="009A65B0" w:rsidRPr="004D3D70">
        <w:rPr>
          <w:lang w:val="fr-CH"/>
        </w:rPr>
        <w:t>un montant de 174 </w:t>
      </w:r>
      <w:r w:rsidR="003705C5" w:rsidRPr="004D3D70">
        <w:rPr>
          <w:lang w:val="fr-CH"/>
        </w:rPr>
        <w:t>41</w:t>
      </w:r>
      <w:r w:rsidR="004D3D70" w:rsidRPr="004D3D70">
        <w:rPr>
          <w:lang w:val="fr-CH"/>
        </w:rPr>
        <w:t>8</w:t>
      </w:r>
      <w:r w:rsidR="004D3D70">
        <w:rPr>
          <w:lang w:val="fr-CH"/>
        </w:rPr>
        <w:t> </w:t>
      </w:r>
      <w:r w:rsidR="004D3D70" w:rsidRPr="004D3D70">
        <w:rPr>
          <w:lang w:val="fr-CH"/>
        </w:rPr>
        <w:t>franc</w:t>
      </w:r>
      <w:r w:rsidR="003705C5" w:rsidRPr="004D3D70">
        <w:rPr>
          <w:lang w:val="fr-CH"/>
        </w:rPr>
        <w:t xml:space="preserve">s </w:t>
      </w:r>
      <w:r w:rsidR="009A65B0" w:rsidRPr="004D3D70">
        <w:rPr>
          <w:lang w:val="fr-CH"/>
        </w:rPr>
        <w:t xml:space="preserve">suisses comptabilisés </w:t>
      </w:r>
      <w:r w:rsidR="004D3D70" w:rsidRPr="004D3D70">
        <w:rPr>
          <w:lang w:val="fr-CH"/>
        </w:rPr>
        <w:t>en</w:t>
      </w:r>
      <w:r w:rsidR="004D3D70">
        <w:rPr>
          <w:lang w:val="fr-CH"/>
        </w:rPr>
        <w:t> </w:t>
      </w:r>
      <w:r w:rsidR="004D3D70" w:rsidRPr="004D3D70">
        <w:rPr>
          <w:lang w:val="fr-CH"/>
        </w:rPr>
        <w:t>2017</w:t>
      </w:r>
      <w:r w:rsidR="003705C5" w:rsidRPr="004D3D70">
        <w:rPr>
          <w:lang w:val="fr-CH"/>
        </w:rPr>
        <w:t>.</w:t>
      </w:r>
    </w:p>
    <w:p w:rsidR="00905890" w:rsidRPr="004D3D70" w:rsidRDefault="00905890" w:rsidP="00A824AF">
      <w:pPr>
        <w:rPr>
          <w:lang w:val="fr-CH"/>
        </w:rPr>
      </w:pPr>
    </w:p>
    <w:p w:rsidR="00905890" w:rsidRPr="004D3D70" w:rsidRDefault="00905890">
      <w:pPr>
        <w:jc w:val="left"/>
        <w:rPr>
          <w:rFonts w:ascii="Arial Bold" w:hAnsi="Arial Bold"/>
          <w:b/>
          <w:caps/>
          <w:lang w:val="fr-CH"/>
        </w:rPr>
      </w:pPr>
    </w:p>
    <w:p w:rsidR="00905890" w:rsidRPr="004D3D70" w:rsidRDefault="0043308C" w:rsidP="0043308C">
      <w:pPr>
        <w:pStyle w:val="Heading2Notes"/>
        <w:rPr>
          <w:lang w:val="fr-CH"/>
        </w:rPr>
      </w:pPr>
      <w:bookmarkStart w:id="28" w:name="_Toc523157901"/>
      <w:r w:rsidRPr="004D3D70">
        <w:rPr>
          <w:lang w:val="fr-CH"/>
        </w:rPr>
        <w:t>Note</w:t>
      </w:r>
      <w:r w:rsidR="00BE23DA">
        <w:rPr>
          <w:lang w:val="fr-CH"/>
        </w:rPr>
        <w:t> </w:t>
      </w:r>
      <w:r w:rsidRPr="004D3D70">
        <w:rPr>
          <w:lang w:val="fr-CH"/>
        </w:rPr>
        <w:t>12</w:t>
      </w:r>
      <w:r w:rsidR="004D3D70">
        <w:rPr>
          <w:lang w:val="fr-CH"/>
        </w:rPr>
        <w:t> :</w:t>
      </w:r>
      <w:r w:rsidRPr="004D3D70">
        <w:rPr>
          <w:lang w:val="fr-CH"/>
        </w:rPr>
        <w:t xml:space="preserve"> </w:t>
      </w:r>
      <w:r w:rsidR="00AC2193">
        <w:rPr>
          <w:lang w:val="fr-CH"/>
        </w:rPr>
        <w:tab/>
      </w:r>
      <w:r w:rsidRPr="004D3D70">
        <w:rPr>
          <w:lang w:val="fr-CH"/>
        </w:rPr>
        <w:t>Rapprochement entre l</w:t>
      </w:r>
      <w:r w:rsidR="004D3D70">
        <w:rPr>
          <w:lang w:val="fr-CH"/>
        </w:rPr>
        <w:t>’</w:t>
      </w:r>
      <w:r w:rsidRPr="004D3D70">
        <w:rPr>
          <w:lang w:val="fr-CH"/>
        </w:rPr>
        <w:t>état de comparaison budgétaire (état V) et l</w:t>
      </w:r>
      <w:r w:rsidR="004D3D70">
        <w:rPr>
          <w:lang w:val="fr-CH"/>
        </w:rPr>
        <w:t>’</w:t>
      </w:r>
      <w:r w:rsidRPr="004D3D70">
        <w:rPr>
          <w:lang w:val="fr-CH"/>
        </w:rPr>
        <w:t>état de la performance financière (état</w:t>
      </w:r>
      <w:r w:rsidR="00BE23DA">
        <w:rPr>
          <w:lang w:val="fr-CH"/>
        </w:rPr>
        <w:t> </w:t>
      </w:r>
      <w:r w:rsidRPr="004D3D70">
        <w:rPr>
          <w:lang w:val="fr-CH"/>
        </w:rPr>
        <w:t>II)</w:t>
      </w:r>
      <w:bookmarkEnd w:id="28"/>
    </w:p>
    <w:p w:rsidR="00905890" w:rsidRPr="004D3D70" w:rsidRDefault="00905890" w:rsidP="004A5EBA">
      <w:pPr>
        <w:rPr>
          <w:lang w:val="fr-CH"/>
        </w:rPr>
      </w:pPr>
    </w:p>
    <w:p w:rsidR="00905890" w:rsidRPr="004D3D70" w:rsidRDefault="0043308C" w:rsidP="0043308C">
      <w:pPr>
        <w:rPr>
          <w:lang w:val="fr-CH"/>
        </w:rPr>
      </w:pPr>
      <w:r w:rsidRPr="004D3D70">
        <w:rPr>
          <w:lang w:val="fr-CH"/>
        </w:rPr>
        <w:t>Le programme et budget de l</w:t>
      </w:r>
      <w:r w:rsidR="004D3D70">
        <w:rPr>
          <w:lang w:val="fr-CH"/>
        </w:rPr>
        <w:t>’</w:t>
      </w:r>
      <w:r w:rsidRPr="004D3D70">
        <w:rPr>
          <w:lang w:val="fr-CH"/>
        </w:rPr>
        <w:t>UPOV est établi sur la base d</w:t>
      </w:r>
      <w:r w:rsidR="004D3D70">
        <w:rPr>
          <w:lang w:val="fr-CH"/>
        </w:rPr>
        <w:t>’</w:t>
      </w:r>
      <w:r w:rsidRPr="004D3D70">
        <w:rPr>
          <w:lang w:val="fr-CH"/>
        </w:rPr>
        <w:t>une comptabilité d</w:t>
      </w:r>
      <w:r w:rsidR="004D3D70">
        <w:rPr>
          <w:lang w:val="fr-CH"/>
        </w:rPr>
        <w:t>’</w:t>
      </w:r>
      <w:r w:rsidRPr="004D3D70">
        <w:rPr>
          <w:lang w:val="fr-CH"/>
        </w:rPr>
        <w:t>exercice modifiée, est établi sur la base d</w:t>
      </w:r>
      <w:r w:rsidR="004D3D70">
        <w:rPr>
          <w:lang w:val="fr-CH"/>
        </w:rPr>
        <w:t>’</w:t>
      </w:r>
      <w:r w:rsidRPr="004D3D70">
        <w:rPr>
          <w:lang w:val="fr-CH"/>
        </w:rPr>
        <w:t>une comptabilité d</w:t>
      </w:r>
      <w:r w:rsidR="004D3D70">
        <w:rPr>
          <w:lang w:val="fr-CH"/>
        </w:rPr>
        <w:t>’</w:t>
      </w:r>
      <w:r w:rsidRPr="004D3D70">
        <w:rPr>
          <w:lang w:val="fr-CH"/>
        </w:rPr>
        <w:t>exercice modifiée, conformément au Règlement financier et à son règlement d</w:t>
      </w:r>
      <w:r w:rsidR="004D3D70">
        <w:rPr>
          <w:lang w:val="fr-CH"/>
        </w:rPr>
        <w:t>’</w:t>
      </w:r>
      <w:r w:rsidRPr="004D3D70">
        <w:rPr>
          <w:lang w:val="fr-CH"/>
        </w:rPr>
        <w:t>exécution de l</w:t>
      </w:r>
      <w:r w:rsidR="004D3D70">
        <w:rPr>
          <w:lang w:val="fr-CH"/>
        </w:rPr>
        <w:t>’</w:t>
      </w:r>
      <w:r w:rsidRPr="004D3D70">
        <w:rPr>
          <w:lang w:val="fr-CH"/>
        </w:rPr>
        <w:t>UPOV, et est approuvé par le Conse</w:t>
      </w:r>
      <w:r w:rsidR="002140E0" w:rsidRPr="004D3D70">
        <w:rPr>
          <w:lang w:val="fr-CH"/>
        </w:rPr>
        <w:t>il</w:t>
      </w:r>
      <w:r w:rsidR="002140E0">
        <w:rPr>
          <w:lang w:val="fr-CH"/>
        </w:rPr>
        <w:t xml:space="preserve">.  </w:t>
      </w:r>
      <w:r w:rsidR="002140E0" w:rsidRPr="004D3D70">
        <w:rPr>
          <w:lang w:val="fr-CH"/>
        </w:rPr>
        <w:t>Le</w:t>
      </w:r>
      <w:r w:rsidRPr="004D3D70">
        <w:rPr>
          <w:lang w:val="fr-CH"/>
        </w:rPr>
        <w:t xml:space="preserve"> programme et budget ordinaire pour l</w:t>
      </w:r>
      <w:r w:rsidR="004D3D70">
        <w:rPr>
          <w:lang w:val="fr-CH"/>
        </w:rPr>
        <w:t>’</w:t>
      </w:r>
      <w:r w:rsidRPr="004D3D70">
        <w:rPr>
          <w:lang w:val="fr-CH"/>
        </w:rPr>
        <w:t>exercice</w:t>
      </w:r>
      <w:r w:rsidR="00BE23DA">
        <w:rPr>
          <w:lang w:val="fr-CH"/>
        </w:rPr>
        <w:t> </w:t>
      </w:r>
      <w:r w:rsidRPr="004D3D70">
        <w:rPr>
          <w:lang w:val="fr-CH"/>
        </w:rPr>
        <w:t>2016</w:t>
      </w:r>
      <w:r w:rsidR="00665FEC">
        <w:rPr>
          <w:lang w:val="fr-CH"/>
        </w:rPr>
        <w:noBreakHyphen/>
      </w:r>
      <w:r w:rsidRPr="004D3D70">
        <w:rPr>
          <w:lang w:val="fr-CH"/>
        </w:rPr>
        <w:t>2017 prévoyait un budget estimé pour les recettes et les dépenses de 6</w:t>
      </w:r>
      <w:r w:rsidR="00AC2A6B">
        <w:rPr>
          <w:lang w:val="fr-CH"/>
        </w:rPr>
        <w:t> </w:t>
      </w:r>
      <w:r w:rsidRPr="004D3D70">
        <w:rPr>
          <w:lang w:val="fr-CH"/>
        </w:rPr>
        <w:t>823</w:t>
      </w:r>
      <w:r w:rsidR="00AC2A6B">
        <w:rPr>
          <w:lang w:val="fr-CH"/>
        </w:rPr>
        <w:t> </w:t>
      </w:r>
      <w:r w:rsidRPr="004D3D70">
        <w:rPr>
          <w:lang w:val="fr-CH"/>
        </w:rPr>
        <w:t>00</w:t>
      </w:r>
      <w:r w:rsidR="004D3D70" w:rsidRPr="004D3D70">
        <w:rPr>
          <w:lang w:val="fr-CH"/>
        </w:rPr>
        <w:t>0</w:t>
      </w:r>
      <w:r w:rsidR="004D3D70">
        <w:rPr>
          <w:lang w:val="fr-CH"/>
        </w:rPr>
        <w:t> </w:t>
      </w:r>
      <w:r w:rsidR="004D3D70" w:rsidRPr="004D3D70">
        <w:rPr>
          <w:lang w:val="fr-CH"/>
        </w:rPr>
        <w:t>franc</w:t>
      </w:r>
      <w:r w:rsidRPr="004D3D70">
        <w:rPr>
          <w:lang w:val="fr-CH"/>
        </w:rPr>
        <w:t>s suisses.</w:t>
      </w:r>
    </w:p>
    <w:p w:rsidR="00905890" w:rsidRPr="004D3D70" w:rsidRDefault="00905890" w:rsidP="00A824AF">
      <w:pPr>
        <w:rPr>
          <w:lang w:val="fr-CH"/>
        </w:rPr>
      </w:pPr>
    </w:p>
    <w:p w:rsidR="004D3D70" w:rsidRDefault="004D3D70" w:rsidP="0043308C">
      <w:pPr>
        <w:pStyle w:val="STYLEDUTEXTE"/>
        <w:rPr>
          <w:sz w:val="20"/>
          <w:lang w:val="fr-CH"/>
        </w:rPr>
      </w:pPr>
      <w:r w:rsidRPr="004D3D70">
        <w:rPr>
          <w:sz w:val="20"/>
          <w:lang w:val="fr-CH"/>
        </w:rPr>
        <w:t>Pour</w:t>
      </w:r>
      <w:r>
        <w:rPr>
          <w:sz w:val="20"/>
          <w:lang w:val="fr-CH"/>
        </w:rPr>
        <w:t> </w:t>
      </w:r>
      <w:r w:rsidRPr="004D3D70">
        <w:rPr>
          <w:sz w:val="20"/>
          <w:lang w:val="fr-CH"/>
        </w:rPr>
        <w:t>2017</w:t>
      </w:r>
      <w:r w:rsidR="0043308C" w:rsidRPr="004D3D70">
        <w:rPr>
          <w:sz w:val="20"/>
          <w:lang w:val="fr-CH"/>
        </w:rPr>
        <w:t>, soit la deuxième année de l</w:t>
      </w:r>
      <w:r>
        <w:rPr>
          <w:sz w:val="20"/>
          <w:lang w:val="fr-CH"/>
        </w:rPr>
        <w:t>’</w:t>
      </w:r>
      <w:r w:rsidR="0043308C" w:rsidRPr="004D3D70">
        <w:rPr>
          <w:sz w:val="20"/>
          <w:lang w:val="fr-CH"/>
        </w:rPr>
        <w:t>exercice biennal, les budgets initial et final estimés pour les recettes et les dépenses ont été de 3</w:t>
      </w:r>
      <w:r w:rsidR="00AC2A6B">
        <w:rPr>
          <w:sz w:val="20"/>
          <w:lang w:val="fr-CH"/>
        </w:rPr>
        <w:t> </w:t>
      </w:r>
      <w:r w:rsidR="0043308C" w:rsidRPr="004D3D70">
        <w:rPr>
          <w:sz w:val="20"/>
          <w:lang w:val="fr-CH"/>
        </w:rPr>
        <w:t>411</w:t>
      </w:r>
      <w:r w:rsidR="00AC2A6B">
        <w:rPr>
          <w:sz w:val="20"/>
          <w:lang w:val="fr-CH"/>
        </w:rPr>
        <w:t> </w:t>
      </w:r>
      <w:r w:rsidR="0043308C" w:rsidRPr="004D3D70">
        <w:rPr>
          <w:sz w:val="20"/>
          <w:lang w:val="fr-CH"/>
        </w:rPr>
        <w:t>50</w:t>
      </w:r>
      <w:r w:rsidRPr="004D3D70">
        <w:rPr>
          <w:sz w:val="20"/>
          <w:lang w:val="fr-CH"/>
        </w:rPr>
        <w:t>0</w:t>
      </w:r>
      <w:r>
        <w:rPr>
          <w:sz w:val="20"/>
          <w:lang w:val="fr-CH"/>
        </w:rPr>
        <w:t> </w:t>
      </w:r>
      <w:r w:rsidRPr="004D3D70">
        <w:rPr>
          <w:sz w:val="20"/>
          <w:lang w:val="fr-CH"/>
        </w:rPr>
        <w:t>franc</w:t>
      </w:r>
      <w:r w:rsidR="0043308C" w:rsidRPr="004D3D70">
        <w:rPr>
          <w:sz w:val="20"/>
          <w:lang w:val="fr-CH"/>
        </w:rPr>
        <w:t>s suiss</w:t>
      </w:r>
      <w:r w:rsidR="002140E0" w:rsidRPr="004D3D70">
        <w:rPr>
          <w:sz w:val="20"/>
          <w:lang w:val="fr-CH"/>
        </w:rPr>
        <w:t>es</w:t>
      </w:r>
      <w:r w:rsidR="002140E0">
        <w:rPr>
          <w:sz w:val="20"/>
          <w:lang w:val="fr-CH"/>
        </w:rPr>
        <w:t xml:space="preserve">.  </w:t>
      </w:r>
      <w:r w:rsidR="002140E0" w:rsidRPr="004D3D70">
        <w:rPr>
          <w:sz w:val="20"/>
          <w:lang w:val="fr-CH"/>
        </w:rPr>
        <w:t>Le</w:t>
      </w:r>
      <w:r w:rsidR="0043308C" w:rsidRPr="004D3D70">
        <w:rPr>
          <w:sz w:val="20"/>
          <w:lang w:val="fr-CH"/>
        </w:rPr>
        <w:t xml:space="preserve"> montant des recettes réelles sur la base d</w:t>
      </w:r>
      <w:r>
        <w:rPr>
          <w:sz w:val="20"/>
          <w:lang w:val="fr-CH"/>
        </w:rPr>
        <w:t>’</w:t>
      </w:r>
      <w:r w:rsidR="0043308C" w:rsidRPr="004D3D70">
        <w:rPr>
          <w:sz w:val="20"/>
          <w:lang w:val="fr-CH"/>
        </w:rPr>
        <w:t>une comptabilité d</w:t>
      </w:r>
      <w:r>
        <w:rPr>
          <w:sz w:val="20"/>
          <w:lang w:val="fr-CH"/>
        </w:rPr>
        <w:t>’</w:t>
      </w:r>
      <w:r w:rsidR="0043308C" w:rsidRPr="004D3D70">
        <w:rPr>
          <w:sz w:val="20"/>
          <w:lang w:val="fr-CH"/>
        </w:rPr>
        <w:t>exercice modifiée pour la deuxième année de l</w:t>
      </w:r>
      <w:r>
        <w:rPr>
          <w:sz w:val="20"/>
          <w:lang w:val="fr-CH"/>
        </w:rPr>
        <w:t>’</w:t>
      </w:r>
      <w:r w:rsidR="0043308C" w:rsidRPr="004D3D70">
        <w:rPr>
          <w:sz w:val="20"/>
          <w:lang w:val="fr-CH"/>
        </w:rPr>
        <w:t>exercice biennal a été de 3</w:t>
      </w:r>
      <w:r w:rsidR="00AC2A6B">
        <w:rPr>
          <w:sz w:val="20"/>
          <w:lang w:val="fr-CH"/>
        </w:rPr>
        <w:t> </w:t>
      </w:r>
      <w:r w:rsidR="0043308C" w:rsidRPr="004D3D70">
        <w:rPr>
          <w:sz w:val="20"/>
          <w:lang w:val="fr-CH"/>
        </w:rPr>
        <w:t>419</w:t>
      </w:r>
      <w:r w:rsidR="00AC2A6B">
        <w:rPr>
          <w:sz w:val="20"/>
          <w:lang w:val="fr-CH"/>
        </w:rPr>
        <w:t> </w:t>
      </w:r>
      <w:r w:rsidR="0043308C" w:rsidRPr="004D3D70">
        <w:rPr>
          <w:sz w:val="20"/>
          <w:lang w:val="fr-CH"/>
        </w:rPr>
        <w:t>77</w:t>
      </w:r>
      <w:r w:rsidRPr="004D3D70">
        <w:rPr>
          <w:sz w:val="20"/>
          <w:lang w:val="fr-CH"/>
        </w:rPr>
        <w:t>8</w:t>
      </w:r>
      <w:r>
        <w:rPr>
          <w:sz w:val="20"/>
          <w:lang w:val="fr-CH"/>
        </w:rPr>
        <w:t> </w:t>
      </w:r>
      <w:r w:rsidRPr="004D3D70">
        <w:rPr>
          <w:sz w:val="20"/>
          <w:lang w:val="fr-CH"/>
        </w:rPr>
        <w:t>franc</w:t>
      </w:r>
      <w:r w:rsidR="0043308C" w:rsidRPr="004D3D70">
        <w:rPr>
          <w:sz w:val="20"/>
          <w:lang w:val="fr-CH"/>
        </w:rPr>
        <w:t>s suiss</w:t>
      </w:r>
      <w:r w:rsidR="002140E0" w:rsidRPr="004D3D70">
        <w:rPr>
          <w:sz w:val="20"/>
          <w:lang w:val="fr-CH"/>
        </w:rPr>
        <w:t>es</w:t>
      </w:r>
      <w:r w:rsidR="002140E0">
        <w:rPr>
          <w:sz w:val="20"/>
          <w:lang w:val="fr-CH"/>
        </w:rPr>
        <w:t xml:space="preserve">.  </w:t>
      </w:r>
      <w:r w:rsidR="002140E0" w:rsidRPr="004D3D70">
        <w:rPr>
          <w:sz w:val="20"/>
          <w:lang w:val="fr-CH"/>
        </w:rPr>
        <w:t>Le</w:t>
      </w:r>
      <w:r w:rsidR="0043308C" w:rsidRPr="004D3D70">
        <w:rPr>
          <w:sz w:val="20"/>
          <w:lang w:val="fr-CH"/>
        </w:rPr>
        <w:t xml:space="preserve"> montant des dépenses réelles sur la base d</w:t>
      </w:r>
      <w:r>
        <w:rPr>
          <w:sz w:val="20"/>
          <w:lang w:val="fr-CH"/>
        </w:rPr>
        <w:t>’</w:t>
      </w:r>
      <w:r w:rsidR="0043308C" w:rsidRPr="004D3D70">
        <w:rPr>
          <w:sz w:val="20"/>
          <w:lang w:val="fr-CH"/>
        </w:rPr>
        <w:t>une comptabilité d</w:t>
      </w:r>
      <w:r>
        <w:rPr>
          <w:sz w:val="20"/>
          <w:lang w:val="fr-CH"/>
        </w:rPr>
        <w:t>’</w:t>
      </w:r>
      <w:r w:rsidR="0043308C" w:rsidRPr="004D3D70">
        <w:rPr>
          <w:sz w:val="20"/>
          <w:lang w:val="fr-CH"/>
        </w:rPr>
        <w:t>exercice modifiée pour la deuxième année de l</w:t>
      </w:r>
      <w:r>
        <w:rPr>
          <w:sz w:val="20"/>
          <w:lang w:val="fr-CH"/>
        </w:rPr>
        <w:t>’</w:t>
      </w:r>
      <w:r w:rsidR="0043308C" w:rsidRPr="004D3D70">
        <w:rPr>
          <w:sz w:val="20"/>
          <w:lang w:val="fr-CH"/>
        </w:rPr>
        <w:t>exercice biennal a été de 3</w:t>
      </w:r>
      <w:r w:rsidR="00AC2A6B">
        <w:rPr>
          <w:sz w:val="20"/>
          <w:lang w:val="fr-CH"/>
        </w:rPr>
        <w:t> </w:t>
      </w:r>
      <w:r w:rsidR="0043308C" w:rsidRPr="004D3D70">
        <w:rPr>
          <w:sz w:val="20"/>
          <w:lang w:val="fr-CH"/>
        </w:rPr>
        <w:t>585</w:t>
      </w:r>
      <w:r w:rsidR="00AC2A6B">
        <w:rPr>
          <w:sz w:val="20"/>
          <w:lang w:val="fr-CH"/>
        </w:rPr>
        <w:t> </w:t>
      </w:r>
      <w:r w:rsidR="0043308C" w:rsidRPr="004D3D70">
        <w:rPr>
          <w:sz w:val="20"/>
          <w:lang w:val="fr-CH"/>
        </w:rPr>
        <w:t>67</w:t>
      </w:r>
      <w:r w:rsidRPr="004D3D70">
        <w:rPr>
          <w:sz w:val="20"/>
          <w:lang w:val="fr-CH"/>
        </w:rPr>
        <w:t>8</w:t>
      </w:r>
      <w:r>
        <w:rPr>
          <w:sz w:val="20"/>
          <w:lang w:val="fr-CH"/>
        </w:rPr>
        <w:t> </w:t>
      </w:r>
      <w:r w:rsidRPr="004D3D70">
        <w:rPr>
          <w:sz w:val="20"/>
          <w:lang w:val="fr-CH"/>
        </w:rPr>
        <w:t>franc</w:t>
      </w:r>
      <w:r w:rsidR="0043308C" w:rsidRPr="004D3D70">
        <w:rPr>
          <w:sz w:val="20"/>
          <w:lang w:val="fr-CH"/>
        </w:rPr>
        <w:t>s suiss</w:t>
      </w:r>
      <w:r w:rsidR="002140E0" w:rsidRPr="004D3D70">
        <w:rPr>
          <w:sz w:val="20"/>
          <w:lang w:val="fr-CH"/>
        </w:rPr>
        <w:t>es</w:t>
      </w:r>
      <w:r w:rsidR="002140E0">
        <w:rPr>
          <w:sz w:val="20"/>
          <w:lang w:val="fr-CH"/>
        </w:rPr>
        <w:t xml:space="preserve">.  </w:t>
      </w:r>
      <w:r w:rsidR="002140E0" w:rsidRPr="004D3D70">
        <w:rPr>
          <w:sz w:val="20"/>
          <w:lang w:val="fr-CH"/>
        </w:rPr>
        <w:t>Po</w:t>
      </w:r>
      <w:r w:rsidR="009A65B0" w:rsidRPr="004D3D70">
        <w:rPr>
          <w:sz w:val="20"/>
          <w:lang w:val="fr-CH"/>
        </w:rPr>
        <w:t>u</w:t>
      </w:r>
      <w:r w:rsidR="00E25AD3" w:rsidRPr="004D3D70">
        <w:rPr>
          <w:sz w:val="20"/>
          <w:lang w:val="fr-CH"/>
        </w:rPr>
        <w:t xml:space="preserve">r </w:t>
      </w:r>
      <w:r w:rsidR="009A65B0" w:rsidRPr="004D3D70">
        <w:rPr>
          <w:sz w:val="20"/>
          <w:lang w:val="fr-CH"/>
        </w:rPr>
        <w:t>l</w:t>
      </w:r>
      <w:r>
        <w:rPr>
          <w:sz w:val="20"/>
          <w:lang w:val="fr-CH"/>
        </w:rPr>
        <w:t>’</w:t>
      </w:r>
      <w:r w:rsidR="009A65B0" w:rsidRPr="004D3D70">
        <w:rPr>
          <w:sz w:val="20"/>
          <w:lang w:val="fr-CH"/>
        </w:rPr>
        <w:t xml:space="preserve">exercice </w:t>
      </w:r>
      <w:r w:rsidRPr="004D3D70">
        <w:rPr>
          <w:sz w:val="20"/>
          <w:lang w:val="fr-CH"/>
        </w:rPr>
        <w:t>biennal</w:t>
      </w:r>
      <w:r w:rsidR="0075327E">
        <w:rPr>
          <w:sz w:val="20"/>
          <w:lang w:val="fr-CH"/>
        </w:rPr>
        <w:t xml:space="preserve"> </w:t>
      </w:r>
      <w:r w:rsidRPr="004D3D70">
        <w:rPr>
          <w:sz w:val="20"/>
          <w:lang w:val="fr-CH"/>
        </w:rPr>
        <w:t>2016</w:t>
      </w:r>
      <w:r w:rsidR="00665FEC">
        <w:rPr>
          <w:sz w:val="20"/>
          <w:lang w:val="fr-CH"/>
        </w:rPr>
        <w:noBreakHyphen/>
      </w:r>
      <w:r w:rsidR="009A65B0" w:rsidRPr="004D3D70">
        <w:rPr>
          <w:sz w:val="20"/>
          <w:lang w:val="fr-CH"/>
        </w:rPr>
        <w:t>20</w:t>
      </w:r>
      <w:r w:rsidR="00E25AD3" w:rsidRPr="004D3D70">
        <w:rPr>
          <w:sz w:val="20"/>
          <w:lang w:val="fr-CH"/>
        </w:rPr>
        <w:t xml:space="preserve">17, </w:t>
      </w:r>
      <w:r w:rsidR="00347F02" w:rsidRPr="004D3D70">
        <w:rPr>
          <w:sz w:val="20"/>
          <w:lang w:val="fr-CH"/>
        </w:rPr>
        <w:t>les budgets initial et final estimés pour les recettes et les dépenses ont été de</w:t>
      </w:r>
      <w:r w:rsidR="00B74ECE" w:rsidRPr="004D3D70">
        <w:rPr>
          <w:sz w:val="20"/>
          <w:lang w:val="fr-CH"/>
        </w:rPr>
        <w:t xml:space="preserve"> 6</w:t>
      </w:r>
      <w:r w:rsidR="00347F02" w:rsidRPr="004D3D70">
        <w:rPr>
          <w:sz w:val="20"/>
          <w:lang w:val="fr-CH"/>
        </w:rPr>
        <w:t> 823 000 </w:t>
      </w:r>
      <w:r w:rsidR="00E25AD3" w:rsidRPr="004D3D70">
        <w:rPr>
          <w:sz w:val="20"/>
          <w:lang w:val="fr-CH"/>
        </w:rPr>
        <w:t>francs</w:t>
      </w:r>
      <w:r w:rsidR="00347F02" w:rsidRPr="004D3D70">
        <w:rPr>
          <w:sz w:val="20"/>
          <w:lang w:val="fr-CH"/>
        </w:rPr>
        <w:t xml:space="preserve"> suiss</w:t>
      </w:r>
      <w:r w:rsidR="002140E0" w:rsidRPr="004D3D70">
        <w:rPr>
          <w:sz w:val="20"/>
          <w:lang w:val="fr-CH"/>
        </w:rPr>
        <w:t>es</w:t>
      </w:r>
      <w:r w:rsidR="002140E0">
        <w:rPr>
          <w:sz w:val="20"/>
          <w:lang w:val="fr-CH"/>
        </w:rPr>
        <w:t xml:space="preserve">.  </w:t>
      </w:r>
      <w:r w:rsidR="002140E0" w:rsidRPr="004D3D70">
        <w:rPr>
          <w:sz w:val="20"/>
          <w:lang w:val="fr-CH"/>
        </w:rPr>
        <w:t>Le</w:t>
      </w:r>
      <w:r w:rsidR="00347F02" w:rsidRPr="004D3D70">
        <w:rPr>
          <w:sz w:val="20"/>
          <w:lang w:val="fr-CH"/>
        </w:rPr>
        <w:t xml:space="preserve"> montant des recettes réelles sur la base d</w:t>
      </w:r>
      <w:r>
        <w:rPr>
          <w:sz w:val="20"/>
          <w:lang w:val="fr-CH"/>
        </w:rPr>
        <w:t>’</w:t>
      </w:r>
      <w:r w:rsidR="00347F02" w:rsidRPr="004D3D70">
        <w:rPr>
          <w:sz w:val="20"/>
          <w:lang w:val="fr-CH"/>
        </w:rPr>
        <w:t>une comptabilité d</w:t>
      </w:r>
      <w:r>
        <w:rPr>
          <w:sz w:val="20"/>
          <w:lang w:val="fr-CH"/>
        </w:rPr>
        <w:t>’</w:t>
      </w:r>
      <w:r w:rsidR="00347F02" w:rsidRPr="004D3D70">
        <w:rPr>
          <w:sz w:val="20"/>
          <w:lang w:val="fr-CH"/>
        </w:rPr>
        <w:t>exercice modifiée pour l</w:t>
      </w:r>
      <w:r>
        <w:rPr>
          <w:sz w:val="20"/>
          <w:lang w:val="fr-CH"/>
        </w:rPr>
        <w:t>’</w:t>
      </w:r>
      <w:r w:rsidR="00347F02" w:rsidRPr="004D3D70">
        <w:rPr>
          <w:sz w:val="20"/>
          <w:lang w:val="fr-CH"/>
        </w:rPr>
        <w:t>exercice biennal a été de 6 850 </w:t>
      </w:r>
      <w:r w:rsidR="00E25AD3" w:rsidRPr="004D3D70">
        <w:rPr>
          <w:sz w:val="20"/>
          <w:lang w:val="fr-CH"/>
        </w:rPr>
        <w:t>706</w:t>
      </w:r>
      <w:r w:rsidR="00347F02" w:rsidRPr="004D3D70">
        <w:rPr>
          <w:sz w:val="20"/>
          <w:lang w:val="fr-CH"/>
        </w:rPr>
        <w:t> </w:t>
      </w:r>
      <w:r w:rsidR="00E25AD3" w:rsidRPr="004D3D70">
        <w:rPr>
          <w:sz w:val="20"/>
          <w:lang w:val="fr-CH"/>
        </w:rPr>
        <w:t>francs</w:t>
      </w:r>
      <w:r w:rsidR="00347F02" w:rsidRPr="004D3D70">
        <w:rPr>
          <w:sz w:val="20"/>
          <w:lang w:val="fr-CH"/>
        </w:rPr>
        <w:t xml:space="preserve"> suiss</w:t>
      </w:r>
      <w:r w:rsidR="002140E0" w:rsidRPr="004D3D70">
        <w:rPr>
          <w:sz w:val="20"/>
          <w:lang w:val="fr-CH"/>
        </w:rPr>
        <w:t>es</w:t>
      </w:r>
      <w:r w:rsidR="002140E0">
        <w:rPr>
          <w:sz w:val="20"/>
          <w:lang w:val="fr-CH"/>
        </w:rPr>
        <w:t xml:space="preserve">.  </w:t>
      </w:r>
      <w:r w:rsidR="002140E0" w:rsidRPr="004D3D70">
        <w:rPr>
          <w:sz w:val="20"/>
          <w:lang w:val="fr-CH"/>
        </w:rPr>
        <w:t>Le</w:t>
      </w:r>
      <w:r w:rsidR="00347F02" w:rsidRPr="004D3D70">
        <w:rPr>
          <w:sz w:val="20"/>
          <w:lang w:val="fr-CH"/>
        </w:rPr>
        <w:t xml:space="preserve"> montant des dépenses réelles sur la base d</w:t>
      </w:r>
      <w:r>
        <w:rPr>
          <w:sz w:val="20"/>
          <w:lang w:val="fr-CH"/>
        </w:rPr>
        <w:t>’</w:t>
      </w:r>
      <w:r w:rsidR="00347F02" w:rsidRPr="004D3D70">
        <w:rPr>
          <w:sz w:val="20"/>
          <w:lang w:val="fr-CH"/>
        </w:rPr>
        <w:t>une comptabilité d</w:t>
      </w:r>
      <w:r>
        <w:rPr>
          <w:sz w:val="20"/>
          <w:lang w:val="fr-CH"/>
        </w:rPr>
        <w:t>’</w:t>
      </w:r>
      <w:r w:rsidR="00347F02" w:rsidRPr="004D3D70">
        <w:rPr>
          <w:sz w:val="20"/>
          <w:lang w:val="fr-CH"/>
        </w:rPr>
        <w:t>exercice modifiée pour l</w:t>
      </w:r>
      <w:r>
        <w:rPr>
          <w:sz w:val="20"/>
          <w:lang w:val="fr-CH"/>
        </w:rPr>
        <w:t>’</w:t>
      </w:r>
      <w:r w:rsidR="00347F02" w:rsidRPr="004D3D70">
        <w:rPr>
          <w:sz w:val="20"/>
          <w:lang w:val="fr-CH"/>
        </w:rPr>
        <w:t>exercice biennal a été de 6 824 </w:t>
      </w:r>
      <w:r w:rsidR="00E25AD3" w:rsidRPr="004D3D70">
        <w:rPr>
          <w:sz w:val="20"/>
          <w:lang w:val="fr-CH"/>
        </w:rPr>
        <w:t>544</w:t>
      </w:r>
      <w:r w:rsidR="00347F02" w:rsidRPr="004D3D70">
        <w:rPr>
          <w:sz w:val="20"/>
          <w:lang w:val="fr-CH"/>
        </w:rPr>
        <w:t> </w:t>
      </w:r>
      <w:r w:rsidR="00E25AD3" w:rsidRPr="004D3D70">
        <w:rPr>
          <w:sz w:val="20"/>
          <w:lang w:val="fr-CH"/>
        </w:rPr>
        <w:t>francs</w:t>
      </w:r>
      <w:r w:rsidR="00347F02" w:rsidRPr="004D3D70">
        <w:rPr>
          <w:sz w:val="20"/>
          <w:lang w:val="fr-CH"/>
        </w:rPr>
        <w:t xml:space="preserve"> suiss</w:t>
      </w:r>
      <w:r w:rsidR="002140E0" w:rsidRPr="004D3D70">
        <w:rPr>
          <w:sz w:val="20"/>
          <w:lang w:val="fr-CH"/>
        </w:rPr>
        <w:t>es</w:t>
      </w:r>
      <w:r w:rsidR="002140E0">
        <w:rPr>
          <w:sz w:val="20"/>
          <w:lang w:val="fr-CH"/>
        </w:rPr>
        <w:t xml:space="preserve">.  </w:t>
      </w:r>
      <w:r w:rsidR="002140E0" w:rsidRPr="004D3D70">
        <w:rPr>
          <w:sz w:val="20"/>
          <w:lang w:val="fr-CH"/>
        </w:rPr>
        <w:t>L</w:t>
      </w:r>
      <w:r w:rsidR="002140E0">
        <w:rPr>
          <w:sz w:val="20"/>
          <w:lang w:val="fr-CH"/>
        </w:rPr>
        <w:t>’</w:t>
      </w:r>
      <w:r w:rsidR="002140E0" w:rsidRPr="004D3D70">
        <w:rPr>
          <w:sz w:val="20"/>
          <w:lang w:val="fr-CH"/>
        </w:rPr>
        <w:t>a</w:t>
      </w:r>
      <w:r w:rsidR="0043308C" w:rsidRPr="004D3D70">
        <w:rPr>
          <w:sz w:val="20"/>
          <w:lang w:val="fr-CH"/>
        </w:rPr>
        <w:t xml:space="preserve">nalyse de la performance budgétaire qui figure à la </w:t>
      </w:r>
      <w:r w:rsidRPr="004D3D70">
        <w:rPr>
          <w:sz w:val="20"/>
          <w:lang w:val="fr-CH"/>
        </w:rPr>
        <w:t>page</w:t>
      </w:r>
      <w:r>
        <w:rPr>
          <w:sz w:val="20"/>
          <w:lang w:val="fr-CH"/>
        </w:rPr>
        <w:t> </w:t>
      </w:r>
      <w:r w:rsidRPr="004D3D70">
        <w:rPr>
          <w:sz w:val="20"/>
          <w:lang w:val="fr-CH"/>
        </w:rPr>
        <w:t>4</w:t>
      </w:r>
      <w:r w:rsidR="0043308C" w:rsidRPr="004D3D70">
        <w:rPr>
          <w:sz w:val="20"/>
          <w:lang w:val="fr-CH"/>
        </w:rPr>
        <w:t xml:space="preserve"> des présents états financiers contient des explications sur les différences importantes entre les montants inscrits au budget et les montants réels.</w:t>
      </w:r>
    </w:p>
    <w:p w:rsidR="00905890" w:rsidRPr="004D3D70" w:rsidRDefault="00905890" w:rsidP="00A824AF">
      <w:pPr>
        <w:pStyle w:val="STYLEDUTEXTE"/>
        <w:rPr>
          <w:sz w:val="20"/>
          <w:lang w:val="fr-CH"/>
        </w:rPr>
      </w:pPr>
    </w:p>
    <w:p w:rsidR="004D3D70" w:rsidRDefault="0043308C" w:rsidP="0043308C">
      <w:pPr>
        <w:pStyle w:val="STYLEDUTEXTE"/>
        <w:rPr>
          <w:sz w:val="20"/>
          <w:lang w:val="fr-CH"/>
        </w:rPr>
      </w:pPr>
      <w:r w:rsidRPr="004D3D70">
        <w:rPr>
          <w:sz w:val="20"/>
          <w:lang w:val="fr-CH"/>
        </w:rPr>
        <w:t>Le budget et les comptes financiers de l</w:t>
      </w:r>
      <w:r w:rsidR="004D3D70">
        <w:rPr>
          <w:sz w:val="20"/>
          <w:lang w:val="fr-CH"/>
        </w:rPr>
        <w:t>’</w:t>
      </w:r>
      <w:r w:rsidRPr="004D3D70">
        <w:rPr>
          <w:sz w:val="20"/>
          <w:lang w:val="fr-CH"/>
        </w:rPr>
        <w:t>UPOV sont établis selon deux</w:t>
      </w:r>
      <w:r w:rsidR="00AC2A6B">
        <w:rPr>
          <w:sz w:val="20"/>
          <w:lang w:val="fr-CH"/>
        </w:rPr>
        <w:t> </w:t>
      </w:r>
      <w:r w:rsidRPr="004D3D70">
        <w:rPr>
          <w:sz w:val="20"/>
          <w:lang w:val="fr-CH"/>
        </w:rPr>
        <w:t>méthodes différent</w:t>
      </w:r>
      <w:r w:rsidR="002140E0" w:rsidRPr="004D3D70">
        <w:rPr>
          <w:sz w:val="20"/>
          <w:lang w:val="fr-CH"/>
        </w:rPr>
        <w:t>es</w:t>
      </w:r>
      <w:r w:rsidR="002140E0">
        <w:rPr>
          <w:sz w:val="20"/>
          <w:lang w:val="fr-CH"/>
        </w:rPr>
        <w:t xml:space="preserve">.  </w:t>
      </w:r>
      <w:r w:rsidR="002140E0" w:rsidRPr="004D3D70">
        <w:rPr>
          <w:sz w:val="20"/>
          <w:lang w:val="fr-CH"/>
        </w:rPr>
        <w:t>L</w:t>
      </w:r>
      <w:r w:rsidR="002140E0">
        <w:rPr>
          <w:sz w:val="20"/>
          <w:lang w:val="fr-CH"/>
        </w:rPr>
        <w:t>’</w:t>
      </w:r>
      <w:r w:rsidR="002140E0" w:rsidRPr="004D3D70">
        <w:rPr>
          <w:sz w:val="20"/>
          <w:lang w:val="fr-CH"/>
        </w:rPr>
        <w:t>é</w:t>
      </w:r>
      <w:r w:rsidRPr="004D3D70">
        <w:rPr>
          <w:sz w:val="20"/>
          <w:lang w:val="fr-CH"/>
        </w:rPr>
        <w:t>tat de la situation financière, l</w:t>
      </w:r>
      <w:r w:rsidR="004D3D70">
        <w:rPr>
          <w:sz w:val="20"/>
          <w:lang w:val="fr-CH"/>
        </w:rPr>
        <w:t>’</w:t>
      </w:r>
      <w:r w:rsidRPr="004D3D70">
        <w:rPr>
          <w:sz w:val="20"/>
          <w:lang w:val="fr-CH"/>
        </w:rPr>
        <w:t>état de la performance financière, l</w:t>
      </w:r>
      <w:r w:rsidR="004D3D70">
        <w:rPr>
          <w:sz w:val="20"/>
          <w:lang w:val="fr-CH"/>
        </w:rPr>
        <w:t>’</w:t>
      </w:r>
      <w:r w:rsidRPr="004D3D70">
        <w:rPr>
          <w:sz w:val="20"/>
          <w:lang w:val="fr-CH"/>
        </w:rPr>
        <w:t>état des variations des actifs nets et l</w:t>
      </w:r>
      <w:r w:rsidR="004D3D70">
        <w:rPr>
          <w:sz w:val="20"/>
          <w:lang w:val="fr-CH"/>
        </w:rPr>
        <w:t>’</w:t>
      </w:r>
      <w:r w:rsidRPr="004D3D70">
        <w:rPr>
          <w:sz w:val="20"/>
          <w:lang w:val="fr-CH"/>
        </w:rPr>
        <w:t>état des flux de trésorerie sont établis sur la base d</w:t>
      </w:r>
      <w:r w:rsidR="004D3D70">
        <w:rPr>
          <w:sz w:val="20"/>
          <w:lang w:val="fr-CH"/>
        </w:rPr>
        <w:t>’</w:t>
      </w:r>
      <w:r w:rsidRPr="004D3D70">
        <w:rPr>
          <w:sz w:val="20"/>
          <w:lang w:val="fr-CH"/>
        </w:rPr>
        <w:t>une comptabilité d</w:t>
      </w:r>
      <w:r w:rsidR="004D3D70">
        <w:rPr>
          <w:sz w:val="20"/>
          <w:lang w:val="fr-CH"/>
        </w:rPr>
        <w:t>’</w:t>
      </w:r>
      <w:r w:rsidRPr="004D3D70">
        <w:rPr>
          <w:sz w:val="20"/>
          <w:lang w:val="fr-CH"/>
        </w:rPr>
        <w:t>exercice intégrale, tandis que l</w:t>
      </w:r>
      <w:r w:rsidR="004D3D70">
        <w:rPr>
          <w:sz w:val="20"/>
          <w:lang w:val="fr-CH"/>
        </w:rPr>
        <w:t>’</w:t>
      </w:r>
      <w:r w:rsidRPr="004D3D70">
        <w:rPr>
          <w:sz w:val="20"/>
          <w:lang w:val="fr-CH"/>
        </w:rPr>
        <w:t>état de comparaison des montants budgétaires et des montants réels (état V) est préparé sur la base d</w:t>
      </w:r>
      <w:r w:rsidR="004D3D70">
        <w:rPr>
          <w:sz w:val="20"/>
          <w:lang w:val="fr-CH"/>
        </w:rPr>
        <w:t>’</w:t>
      </w:r>
      <w:r w:rsidRPr="004D3D70">
        <w:rPr>
          <w:sz w:val="20"/>
          <w:lang w:val="fr-CH"/>
        </w:rPr>
        <w:t>une comptabilité d</w:t>
      </w:r>
      <w:r w:rsidR="004D3D70">
        <w:rPr>
          <w:sz w:val="20"/>
          <w:lang w:val="fr-CH"/>
        </w:rPr>
        <w:t>’</w:t>
      </w:r>
      <w:r w:rsidRPr="004D3D70">
        <w:rPr>
          <w:sz w:val="20"/>
          <w:lang w:val="fr-CH"/>
        </w:rPr>
        <w:t>exercice modifiée.</w:t>
      </w:r>
    </w:p>
    <w:p w:rsidR="00905890" w:rsidRPr="004D3D70" w:rsidRDefault="00905890" w:rsidP="00A824AF">
      <w:pPr>
        <w:pStyle w:val="STYLEDUTEXTE"/>
        <w:rPr>
          <w:sz w:val="20"/>
          <w:lang w:val="fr-CH"/>
        </w:rPr>
      </w:pPr>
    </w:p>
    <w:p w:rsidR="00905890" w:rsidRPr="004D3D70" w:rsidRDefault="0043308C" w:rsidP="0043308C">
      <w:pPr>
        <w:pStyle w:val="STYLEDUTEXTE"/>
        <w:rPr>
          <w:sz w:val="20"/>
          <w:lang w:val="fr-CH"/>
        </w:rPr>
      </w:pPr>
      <w:r w:rsidRPr="004D3D70">
        <w:rPr>
          <w:sz w:val="20"/>
          <w:lang w:val="fr-CH"/>
        </w:rPr>
        <w:t>Comme l</w:t>
      </w:r>
      <w:r w:rsidR="004D3D70">
        <w:rPr>
          <w:sz w:val="20"/>
          <w:lang w:val="fr-CH"/>
        </w:rPr>
        <w:t>’</w:t>
      </w:r>
      <w:r w:rsidRPr="004D3D70">
        <w:rPr>
          <w:sz w:val="20"/>
          <w:lang w:val="fr-CH"/>
        </w:rPr>
        <w:t>exige la norme</w:t>
      </w:r>
      <w:r w:rsidR="00AC2A6B">
        <w:rPr>
          <w:sz w:val="20"/>
          <w:lang w:val="fr-CH"/>
        </w:rPr>
        <w:t> </w:t>
      </w:r>
      <w:r w:rsidRPr="004D3D70">
        <w:rPr>
          <w:sz w:val="20"/>
          <w:lang w:val="fr-CH"/>
        </w:rPr>
        <w:t>IPSAS</w:t>
      </w:r>
      <w:r w:rsidR="00BE23DA">
        <w:rPr>
          <w:sz w:val="20"/>
          <w:lang w:val="fr-CH"/>
        </w:rPr>
        <w:t> </w:t>
      </w:r>
      <w:r w:rsidRPr="004D3D70">
        <w:rPr>
          <w:sz w:val="20"/>
          <w:lang w:val="fr-CH"/>
        </w:rPr>
        <w:t>24, les montants réels présentés sur une base comparable avec le budget dans l</w:t>
      </w:r>
      <w:r w:rsidR="004D3D70">
        <w:rPr>
          <w:sz w:val="20"/>
          <w:lang w:val="fr-CH"/>
        </w:rPr>
        <w:t>’</w:t>
      </w:r>
      <w:r w:rsidR="0075327E">
        <w:rPr>
          <w:sz w:val="20"/>
          <w:lang w:val="fr-CH"/>
        </w:rPr>
        <w:t>é</w:t>
      </w:r>
      <w:r w:rsidRPr="004D3D70">
        <w:rPr>
          <w:sz w:val="20"/>
          <w:lang w:val="fr-CH"/>
        </w:rPr>
        <w:t>tat V sont rapprochés des montants réels présentés dans les états financiers en identifiant séparément toutes les différences relatives à la base, au choix du moment et à l</w:t>
      </w:r>
      <w:r w:rsidR="004D3D70">
        <w:rPr>
          <w:sz w:val="20"/>
          <w:lang w:val="fr-CH"/>
        </w:rPr>
        <w:t>’</w:t>
      </w:r>
      <w:r w:rsidRPr="004D3D70">
        <w:rPr>
          <w:sz w:val="20"/>
          <w:lang w:val="fr-CH"/>
        </w:rPr>
        <w:t>enti</w:t>
      </w:r>
      <w:r w:rsidR="002140E0" w:rsidRPr="004D3D70">
        <w:rPr>
          <w:sz w:val="20"/>
          <w:lang w:val="fr-CH"/>
        </w:rPr>
        <w:t>té</w:t>
      </w:r>
      <w:r w:rsidR="002140E0">
        <w:rPr>
          <w:sz w:val="20"/>
          <w:lang w:val="fr-CH"/>
        </w:rPr>
        <w:t xml:space="preserve">.  </w:t>
      </w:r>
      <w:r w:rsidR="002140E0" w:rsidRPr="004D3D70">
        <w:rPr>
          <w:sz w:val="20"/>
          <w:lang w:val="fr-CH"/>
        </w:rPr>
        <w:t>Le</w:t>
      </w:r>
      <w:r w:rsidRPr="004D3D70">
        <w:rPr>
          <w:sz w:val="20"/>
          <w:lang w:val="fr-CH"/>
        </w:rPr>
        <w:t xml:space="preserve"> budget de l</w:t>
      </w:r>
      <w:r w:rsidR="004D3D70">
        <w:rPr>
          <w:sz w:val="20"/>
          <w:lang w:val="fr-CH"/>
        </w:rPr>
        <w:t>’</w:t>
      </w:r>
      <w:r w:rsidRPr="004D3D70">
        <w:rPr>
          <w:sz w:val="20"/>
          <w:lang w:val="fr-CH"/>
        </w:rPr>
        <w:t>UPOV est adopté par le Conseil sur une base biennale, cependant, des estimations distinctes sont préparées pour chacune des deux</w:t>
      </w:r>
      <w:r w:rsidR="00AC2A6B">
        <w:rPr>
          <w:sz w:val="20"/>
          <w:lang w:val="fr-CH"/>
        </w:rPr>
        <w:t> </w:t>
      </w:r>
      <w:r w:rsidRPr="004D3D70">
        <w:rPr>
          <w:sz w:val="20"/>
          <w:lang w:val="fr-CH"/>
        </w:rPr>
        <w:t>périodes annuell</w:t>
      </w:r>
      <w:r w:rsidR="002140E0" w:rsidRPr="004D3D70">
        <w:rPr>
          <w:sz w:val="20"/>
          <w:lang w:val="fr-CH"/>
        </w:rPr>
        <w:t>es</w:t>
      </w:r>
      <w:r w:rsidR="002140E0">
        <w:rPr>
          <w:sz w:val="20"/>
          <w:lang w:val="fr-CH"/>
        </w:rPr>
        <w:t xml:space="preserve">.  </w:t>
      </w:r>
      <w:r w:rsidR="002140E0" w:rsidRPr="004D3D70">
        <w:rPr>
          <w:sz w:val="20"/>
          <w:lang w:val="fr-CH"/>
        </w:rPr>
        <w:t>Il</w:t>
      </w:r>
      <w:r w:rsidRPr="004D3D70">
        <w:rPr>
          <w:sz w:val="20"/>
          <w:lang w:val="fr-CH"/>
        </w:rPr>
        <w:t xml:space="preserve"> n</w:t>
      </w:r>
      <w:r w:rsidR="004D3D70">
        <w:rPr>
          <w:sz w:val="20"/>
          <w:lang w:val="fr-CH"/>
        </w:rPr>
        <w:t>’</w:t>
      </w:r>
      <w:r w:rsidRPr="004D3D70">
        <w:rPr>
          <w:sz w:val="20"/>
          <w:lang w:val="fr-CH"/>
        </w:rPr>
        <w:t>y a aucune différence temporaire à signal</w:t>
      </w:r>
      <w:r w:rsidR="002140E0" w:rsidRPr="004D3D70">
        <w:rPr>
          <w:sz w:val="20"/>
          <w:lang w:val="fr-CH"/>
        </w:rPr>
        <w:t>er</w:t>
      </w:r>
      <w:r w:rsidR="002140E0">
        <w:rPr>
          <w:sz w:val="20"/>
          <w:lang w:val="fr-CH"/>
        </w:rPr>
        <w:t xml:space="preserve">.  </w:t>
      </w:r>
      <w:r w:rsidR="002140E0" w:rsidRPr="004D3D70">
        <w:rPr>
          <w:sz w:val="20"/>
          <w:lang w:val="fr-CH"/>
        </w:rPr>
        <w:t>Le</w:t>
      </w:r>
      <w:r w:rsidRPr="004D3D70">
        <w:rPr>
          <w:sz w:val="20"/>
          <w:lang w:val="fr-CH"/>
        </w:rPr>
        <w:t>s différences relatives à la base se produisent lorsque le budget approuvé est préparé sur une base autre que sur la base d</w:t>
      </w:r>
      <w:r w:rsidR="004D3D70">
        <w:rPr>
          <w:sz w:val="20"/>
          <w:lang w:val="fr-CH"/>
        </w:rPr>
        <w:t>’</w:t>
      </w:r>
      <w:r w:rsidRPr="004D3D70">
        <w:rPr>
          <w:sz w:val="20"/>
          <w:lang w:val="fr-CH"/>
        </w:rPr>
        <w:t>une comptabilité d</w:t>
      </w:r>
      <w:r w:rsidR="004D3D70">
        <w:rPr>
          <w:sz w:val="20"/>
          <w:lang w:val="fr-CH"/>
        </w:rPr>
        <w:t>’</w:t>
      </w:r>
      <w:r w:rsidRPr="004D3D70">
        <w:rPr>
          <w:sz w:val="20"/>
          <w:lang w:val="fr-CH"/>
        </w:rPr>
        <w:t>exercice intégrale.  Les différences relatives à la base comprennent la comptabilisation intégrale des engagements liés aux prestations dues au personnel, des indemnités et des provisio</w:t>
      </w:r>
      <w:r w:rsidR="002140E0" w:rsidRPr="004D3D70">
        <w:rPr>
          <w:sz w:val="20"/>
          <w:lang w:val="fr-CH"/>
        </w:rPr>
        <w:t>ns</w:t>
      </w:r>
      <w:r w:rsidR="002140E0">
        <w:rPr>
          <w:sz w:val="20"/>
          <w:lang w:val="fr-CH"/>
        </w:rPr>
        <w:t xml:space="preserve">.  </w:t>
      </w:r>
      <w:r w:rsidR="002140E0" w:rsidRPr="004D3D70">
        <w:rPr>
          <w:sz w:val="20"/>
          <w:lang w:val="fr-CH"/>
        </w:rPr>
        <w:t>Le</w:t>
      </w:r>
      <w:r w:rsidRPr="004D3D70">
        <w:rPr>
          <w:sz w:val="20"/>
          <w:lang w:val="fr-CH"/>
        </w:rPr>
        <w:t>s différences relatives à l</w:t>
      </w:r>
      <w:r w:rsidR="004D3D70">
        <w:rPr>
          <w:sz w:val="20"/>
          <w:lang w:val="fr-CH"/>
        </w:rPr>
        <w:t>’</w:t>
      </w:r>
      <w:r w:rsidRPr="004D3D70">
        <w:rPr>
          <w:sz w:val="20"/>
          <w:lang w:val="fr-CH"/>
        </w:rPr>
        <w:t>entité représentent l</w:t>
      </w:r>
      <w:r w:rsidR="004D3D70">
        <w:rPr>
          <w:sz w:val="20"/>
          <w:lang w:val="fr-CH"/>
        </w:rPr>
        <w:t>’</w:t>
      </w:r>
      <w:r w:rsidRPr="004D3D70">
        <w:rPr>
          <w:sz w:val="20"/>
          <w:lang w:val="fr-CH"/>
        </w:rPr>
        <w:t>inclusion dans les comptes financiers de l</w:t>
      </w:r>
      <w:r w:rsidR="004D3D70">
        <w:rPr>
          <w:sz w:val="20"/>
          <w:lang w:val="fr-CH"/>
        </w:rPr>
        <w:t>’</w:t>
      </w:r>
      <w:r w:rsidRPr="004D3D70">
        <w:rPr>
          <w:sz w:val="20"/>
          <w:lang w:val="fr-CH"/>
        </w:rPr>
        <w:t>UPOV des fonds fiduciaires et du Fonds spécial pour des projets qui ne figurent pas dans le programme et budget ordinaire de l</w:t>
      </w:r>
      <w:r w:rsidR="004D3D70">
        <w:rPr>
          <w:sz w:val="20"/>
          <w:lang w:val="fr-CH"/>
        </w:rPr>
        <w:t>’</w:t>
      </w:r>
      <w:r w:rsidRPr="004D3D70">
        <w:rPr>
          <w:sz w:val="20"/>
          <w:lang w:val="fr-CH"/>
        </w:rPr>
        <w:t>UPOV.  Les différences de présentation, le cas échéant, peuvent correspondre au traitement des achats d</w:t>
      </w:r>
      <w:r w:rsidR="004D3D70">
        <w:rPr>
          <w:sz w:val="20"/>
          <w:lang w:val="fr-CH"/>
        </w:rPr>
        <w:t>’</w:t>
      </w:r>
      <w:r w:rsidRPr="004D3D70">
        <w:rPr>
          <w:sz w:val="20"/>
          <w:lang w:val="fr-CH"/>
        </w:rPr>
        <w:t>équipements en tant qu</w:t>
      </w:r>
      <w:r w:rsidR="004D3D70">
        <w:rPr>
          <w:sz w:val="20"/>
          <w:lang w:val="fr-CH"/>
        </w:rPr>
        <w:t>’</w:t>
      </w:r>
      <w:r w:rsidRPr="004D3D70">
        <w:rPr>
          <w:sz w:val="20"/>
          <w:lang w:val="fr-CH"/>
        </w:rPr>
        <w:t>activités de placement dans l</w:t>
      </w:r>
      <w:r w:rsidR="004D3D70">
        <w:rPr>
          <w:sz w:val="20"/>
          <w:lang w:val="fr-CH"/>
        </w:rPr>
        <w:t>’</w:t>
      </w:r>
      <w:r w:rsidRPr="004D3D70">
        <w:rPr>
          <w:sz w:val="20"/>
          <w:lang w:val="fr-CH"/>
        </w:rPr>
        <w:t>état</w:t>
      </w:r>
      <w:r w:rsidR="00BE23DA">
        <w:rPr>
          <w:sz w:val="20"/>
          <w:lang w:val="fr-CH"/>
        </w:rPr>
        <w:t> </w:t>
      </w:r>
      <w:r w:rsidRPr="004D3D70">
        <w:rPr>
          <w:sz w:val="20"/>
          <w:lang w:val="fr-CH"/>
        </w:rPr>
        <w:t>IV plutôt qu</w:t>
      </w:r>
      <w:r w:rsidR="004D3D70">
        <w:rPr>
          <w:sz w:val="20"/>
          <w:lang w:val="fr-CH"/>
        </w:rPr>
        <w:t>’</w:t>
      </w:r>
      <w:r w:rsidRPr="004D3D70">
        <w:rPr>
          <w:sz w:val="20"/>
          <w:lang w:val="fr-CH"/>
        </w:rPr>
        <w:t>en tant qu</w:t>
      </w:r>
      <w:r w:rsidR="004D3D70">
        <w:rPr>
          <w:sz w:val="20"/>
          <w:lang w:val="fr-CH"/>
        </w:rPr>
        <w:t>’</w:t>
      </w:r>
      <w:r w:rsidRPr="004D3D70">
        <w:rPr>
          <w:sz w:val="20"/>
          <w:lang w:val="fr-CH"/>
        </w:rPr>
        <w:t>activités opérationnelles dans l</w:t>
      </w:r>
      <w:r w:rsidR="004D3D70">
        <w:rPr>
          <w:sz w:val="20"/>
          <w:lang w:val="fr-CH"/>
        </w:rPr>
        <w:t>’</w:t>
      </w:r>
      <w:r w:rsidRPr="004D3D70">
        <w:rPr>
          <w:sz w:val="20"/>
          <w:lang w:val="fr-CH"/>
        </w:rPr>
        <w:t>état V.</w:t>
      </w:r>
    </w:p>
    <w:p w:rsidR="00905890" w:rsidRPr="004D3D70" w:rsidRDefault="00905890" w:rsidP="00A824AF">
      <w:pPr>
        <w:pStyle w:val="STYLEDUTEXTE"/>
        <w:rPr>
          <w:sz w:val="20"/>
          <w:lang w:val="fr-CH"/>
        </w:rPr>
      </w:pPr>
    </w:p>
    <w:p w:rsidR="00905890" w:rsidRPr="004D3D70" w:rsidRDefault="00503DA1" w:rsidP="004A0A71">
      <w:pPr>
        <w:pStyle w:val="STYLEDUTEXTE"/>
        <w:keepNext/>
        <w:jc w:val="center"/>
        <w:rPr>
          <w:sz w:val="20"/>
          <w:lang w:val="fr-CH"/>
        </w:rPr>
      </w:pPr>
      <w:r w:rsidRPr="00503DA1">
        <w:rPr>
          <w:noProof/>
          <w:lang w:val="en-US"/>
        </w:rPr>
        <w:lastRenderedPageBreak/>
        <w:drawing>
          <wp:inline distT="0" distB="0" distL="0" distR="0" wp14:anchorId="76BB9E0A" wp14:editId="16AAED8E">
            <wp:extent cx="6120765" cy="2419837"/>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2419837"/>
                    </a:xfrm>
                    <a:prstGeom prst="rect">
                      <a:avLst/>
                    </a:prstGeom>
                    <a:noFill/>
                    <a:ln>
                      <a:noFill/>
                    </a:ln>
                  </pic:spPr>
                </pic:pic>
              </a:graphicData>
            </a:graphic>
          </wp:inline>
        </w:drawing>
      </w:r>
    </w:p>
    <w:p w:rsidR="00905890" w:rsidRDefault="00905890" w:rsidP="004A0A71">
      <w:pPr>
        <w:keepNext/>
        <w:jc w:val="center"/>
        <w:rPr>
          <w:lang w:val="fr-CH"/>
        </w:rPr>
      </w:pPr>
    </w:p>
    <w:p w:rsidR="004A0A71" w:rsidRDefault="004A0A71" w:rsidP="00C336E3">
      <w:pPr>
        <w:jc w:val="center"/>
        <w:rPr>
          <w:lang w:val="fr-CH"/>
        </w:rPr>
      </w:pPr>
      <w:r w:rsidRPr="004A0A71">
        <w:rPr>
          <w:noProof/>
          <w:lang w:val="en-US"/>
        </w:rPr>
        <w:drawing>
          <wp:inline distT="0" distB="0" distL="0" distR="0">
            <wp:extent cx="6120765" cy="23507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2350746"/>
                    </a:xfrm>
                    <a:prstGeom prst="rect">
                      <a:avLst/>
                    </a:prstGeom>
                    <a:noFill/>
                    <a:ln>
                      <a:noFill/>
                    </a:ln>
                  </pic:spPr>
                </pic:pic>
              </a:graphicData>
            </a:graphic>
          </wp:inline>
        </w:drawing>
      </w:r>
    </w:p>
    <w:p w:rsidR="004A0A71" w:rsidRDefault="004A0A71" w:rsidP="004A0A71">
      <w:pPr>
        <w:rPr>
          <w:lang w:val="fr-CH"/>
        </w:rPr>
      </w:pPr>
    </w:p>
    <w:p w:rsidR="004A0A71" w:rsidRPr="004D3D70" w:rsidRDefault="004A0A71" w:rsidP="004A0A71">
      <w:pPr>
        <w:rPr>
          <w:lang w:val="fr-CH"/>
        </w:rPr>
      </w:pPr>
    </w:p>
    <w:p w:rsidR="00905890" w:rsidRPr="004D3D70" w:rsidRDefault="0043308C" w:rsidP="0043308C">
      <w:pPr>
        <w:pStyle w:val="Heading2Notes"/>
        <w:rPr>
          <w:lang w:val="fr-CH"/>
        </w:rPr>
      </w:pPr>
      <w:bookmarkStart w:id="29" w:name="_Toc523157902"/>
      <w:r w:rsidRPr="004D3D70">
        <w:rPr>
          <w:lang w:val="fr-CH"/>
        </w:rPr>
        <w:t>Note</w:t>
      </w:r>
      <w:r w:rsidR="00BE23DA">
        <w:rPr>
          <w:lang w:val="fr-CH"/>
        </w:rPr>
        <w:t> </w:t>
      </w:r>
      <w:r w:rsidRPr="004D3D70">
        <w:rPr>
          <w:lang w:val="fr-CH"/>
        </w:rPr>
        <w:t>13</w:t>
      </w:r>
      <w:r w:rsidR="004D3D70">
        <w:rPr>
          <w:lang w:val="fr-CH"/>
        </w:rPr>
        <w:t> :</w:t>
      </w:r>
      <w:r w:rsidRPr="004D3D70">
        <w:rPr>
          <w:lang w:val="fr-CH"/>
        </w:rPr>
        <w:t xml:space="preserve"> </w:t>
      </w:r>
      <w:r w:rsidR="00AC2193">
        <w:rPr>
          <w:lang w:val="fr-CH"/>
        </w:rPr>
        <w:tab/>
      </w:r>
      <w:r w:rsidRPr="004D3D70">
        <w:rPr>
          <w:lang w:val="fr-CH"/>
        </w:rPr>
        <w:t>Recettes</w:t>
      </w:r>
      <w:bookmarkEnd w:id="29"/>
    </w:p>
    <w:p w:rsidR="00905890" w:rsidRPr="004D3D70" w:rsidRDefault="00905890" w:rsidP="00187DDC">
      <w:pPr>
        <w:keepNext/>
        <w:rPr>
          <w:lang w:val="fr-CH"/>
        </w:rPr>
      </w:pPr>
    </w:p>
    <w:p w:rsidR="00905890" w:rsidRPr="004D3D70" w:rsidRDefault="00503DA1" w:rsidP="00A824AF">
      <w:pPr>
        <w:jc w:val="center"/>
        <w:rPr>
          <w:rFonts w:ascii="Times New Roman" w:hAnsi="Times New Roman"/>
          <w:lang w:val="fr-CH"/>
        </w:rPr>
      </w:pPr>
      <w:r w:rsidRPr="00503DA1">
        <w:rPr>
          <w:noProof/>
          <w:lang w:val="en-US"/>
        </w:rPr>
        <w:drawing>
          <wp:inline distT="0" distB="0" distL="0" distR="0" wp14:anchorId="578E1C70" wp14:editId="01E5CE3B">
            <wp:extent cx="6120765" cy="2079872"/>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2079872"/>
                    </a:xfrm>
                    <a:prstGeom prst="rect">
                      <a:avLst/>
                    </a:prstGeom>
                    <a:noFill/>
                    <a:ln>
                      <a:noFill/>
                    </a:ln>
                  </pic:spPr>
                </pic:pic>
              </a:graphicData>
            </a:graphic>
          </wp:inline>
        </w:drawing>
      </w:r>
    </w:p>
    <w:p w:rsidR="00905890" w:rsidRPr="004D3D70" w:rsidRDefault="00905890" w:rsidP="00A824AF">
      <w:pPr>
        <w:rPr>
          <w:noProof/>
          <w:lang w:val="fr-CH"/>
        </w:rPr>
      </w:pPr>
    </w:p>
    <w:p w:rsidR="004D3D70" w:rsidRDefault="0043308C" w:rsidP="0043308C">
      <w:pPr>
        <w:pStyle w:val="Styletexte"/>
        <w:spacing w:after="0"/>
        <w:rPr>
          <w:rFonts w:cs="Arial"/>
          <w:sz w:val="20"/>
          <w:lang w:val="fr-CH"/>
        </w:rPr>
      </w:pPr>
      <w:r w:rsidRPr="004D3D70">
        <w:rPr>
          <w:rFonts w:cs="Arial"/>
          <w:sz w:val="20"/>
          <w:lang w:val="fr-CH"/>
        </w:rPr>
        <w:t>Les contributions versées au titre du programme et budget ordinaire correspondent aux montants payables en janvier</w:t>
      </w:r>
      <w:r w:rsidR="00EB119A">
        <w:rPr>
          <w:rFonts w:cs="Arial"/>
          <w:sz w:val="20"/>
          <w:lang w:val="fr-CH"/>
        </w:rPr>
        <w:t xml:space="preserve"> 2017</w:t>
      </w:r>
      <w:r w:rsidR="002140E0">
        <w:rPr>
          <w:rFonts w:cs="Arial"/>
          <w:sz w:val="20"/>
          <w:lang w:val="fr-CH"/>
        </w:rPr>
        <w:t xml:space="preserve">. </w:t>
      </w:r>
      <w:r w:rsidRPr="004D3D70">
        <w:rPr>
          <w:rFonts w:cs="Arial"/>
          <w:sz w:val="20"/>
          <w:lang w:val="fr-CH"/>
        </w:rPr>
        <w:t xml:space="preserve"> Les ressources extrabudgétaires et les fonds fiduciaires représentent les recettes perçues relatives aux contributions versées par les donateurs pour des projets individuels qui ne figurent pas dans le programme et budget ordinai</w:t>
      </w:r>
      <w:r w:rsidR="002140E0" w:rsidRPr="004D3D70">
        <w:rPr>
          <w:rFonts w:cs="Arial"/>
          <w:sz w:val="20"/>
          <w:lang w:val="fr-CH"/>
        </w:rPr>
        <w:t>re</w:t>
      </w:r>
      <w:r w:rsidR="002140E0">
        <w:rPr>
          <w:rFonts w:cs="Arial"/>
          <w:sz w:val="20"/>
          <w:lang w:val="fr-CH"/>
        </w:rPr>
        <w:t xml:space="preserve">.  </w:t>
      </w:r>
      <w:r w:rsidR="002140E0" w:rsidRPr="004D3D70">
        <w:rPr>
          <w:rFonts w:cs="Arial"/>
          <w:sz w:val="20"/>
          <w:lang w:val="fr-CH"/>
        </w:rPr>
        <w:t>Le</w:t>
      </w:r>
      <w:r w:rsidRPr="004D3D70">
        <w:rPr>
          <w:rFonts w:cs="Arial"/>
          <w:sz w:val="20"/>
          <w:lang w:val="fr-CH"/>
        </w:rPr>
        <w:t>s recettes provenant des ressources extrabudgétaires (fonds fiduciaires) sont reportées jusqu</w:t>
      </w:r>
      <w:r w:rsidR="004D3D70">
        <w:rPr>
          <w:rFonts w:cs="Arial"/>
          <w:sz w:val="20"/>
          <w:lang w:val="fr-CH"/>
        </w:rPr>
        <w:t>’</w:t>
      </w:r>
      <w:r w:rsidRPr="004D3D70">
        <w:rPr>
          <w:rFonts w:cs="Arial"/>
          <w:sz w:val="20"/>
          <w:lang w:val="fr-CH"/>
        </w:rPr>
        <w:t>à ce qu</w:t>
      </w:r>
      <w:r w:rsidR="004D3D70">
        <w:rPr>
          <w:rFonts w:cs="Arial"/>
          <w:sz w:val="20"/>
          <w:lang w:val="fr-CH"/>
        </w:rPr>
        <w:t>’</w:t>
      </w:r>
      <w:r w:rsidRPr="004D3D70">
        <w:rPr>
          <w:rFonts w:cs="Arial"/>
          <w:sz w:val="20"/>
          <w:lang w:val="fr-CH"/>
        </w:rPr>
        <w:t>elles soient réalisées par la prestation des services spécifiques prévus dans le programme de travail convenu avec le donateur.</w:t>
      </w:r>
    </w:p>
    <w:p w:rsidR="000A441A" w:rsidRDefault="000A441A" w:rsidP="00A824AF">
      <w:pPr>
        <w:rPr>
          <w:lang w:val="fr-CH"/>
        </w:rPr>
      </w:pPr>
    </w:p>
    <w:p w:rsidR="000A441A" w:rsidRPr="004D3D70" w:rsidRDefault="000A441A" w:rsidP="00A824AF">
      <w:pPr>
        <w:rPr>
          <w:lang w:val="fr-CH"/>
        </w:rPr>
      </w:pPr>
    </w:p>
    <w:p w:rsidR="004A0A71" w:rsidRDefault="004A0A71">
      <w:pPr>
        <w:jc w:val="left"/>
        <w:rPr>
          <w:rFonts w:ascii="Arial Bold" w:hAnsi="Arial Bold"/>
          <w:b/>
          <w:caps/>
          <w:lang w:val="fr-CH"/>
        </w:rPr>
      </w:pPr>
      <w:r>
        <w:rPr>
          <w:lang w:val="fr-CH"/>
        </w:rPr>
        <w:br w:type="page"/>
      </w:r>
    </w:p>
    <w:p w:rsidR="00905890" w:rsidRPr="004D3D70" w:rsidRDefault="0043308C" w:rsidP="0043308C">
      <w:pPr>
        <w:pStyle w:val="Heading2Notes"/>
        <w:rPr>
          <w:lang w:val="fr-CH"/>
        </w:rPr>
      </w:pPr>
      <w:bookmarkStart w:id="30" w:name="_Toc523157903"/>
      <w:r w:rsidRPr="004D3D70">
        <w:rPr>
          <w:lang w:val="fr-CH"/>
        </w:rPr>
        <w:lastRenderedPageBreak/>
        <w:t>Note</w:t>
      </w:r>
      <w:r w:rsidR="00BE23DA">
        <w:rPr>
          <w:lang w:val="fr-CH"/>
        </w:rPr>
        <w:t> </w:t>
      </w:r>
      <w:r w:rsidRPr="004D3D70">
        <w:rPr>
          <w:lang w:val="fr-CH"/>
        </w:rPr>
        <w:t>14</w:t>
      </w:r>
      <w:r w:rsidR="004D3D70">
        <w:rPr>
          <w:lang w:val="fr-CH"/>
        </w:rPr>
        <w:t> :</w:t>
      </w:r>
      <w:r w:rsidR="00AC2193">
        <w:rPr>
          <w:lang w:val="fr-CH"/>
        </w:rPr>
        <w:tab/>
      </w:r>
      <w:r w:rsidRPr="004D3D70">
        <w:rPr>
          <w:lang w:val="fr-CH"/>
        </w:rPr>
        <w:t>Dépenses</w:t>
      </w:r>
      <w:bookmarkEnd w:id="30"/>
    </w:p>
    <w:p w:rsidR="00905890" w:rsidRPr="004D3D70" w:rsidRDefault="00905890" w:rsidP="00F45269">
      <w:pPr>
        <w:rPr>
          <w:lang w:val="fr-CH"/>
        </w:rPr>
      </w:pPr>
    </w:p>
    <w:p w:rsidR="00905890" w:rsidRPr="004D3D70" w:rsidRDefault="00503DA1" w:rsidP="00A824AF">
      <w:pPr>
        <w:jc w:val="center"/>
        <w:rPr>
          <w:rFonts w:ascii="Times New Roman" w:hAnsi="Times New Roman"/>
          <w:lang w:val="fr-CH"/>
        </w:rPr>
      </w:pPr>
      <w:r w:rsidRPr="00503DA1">
        <w:rPr>
          <w:noProof/>
          <w:lang w:val="en-US"/>
        </w:rPr>
        <w:drawing>
          <wp:inline distT="0" distB="0" distL="0" distR="0" wp14:anchorId="602AFAB9" wp14:editId="6BE1742E">
            <wp:extent cx="6120765" cy="1953544"/>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1953544"/>
                    </a:xfrm>
                    <a:prstGeom prst="rect">
                      <a:avLst/>
                    </a:prstGeom>
                    <a:noFill/>
                    <a:ln>
                      <a:noFill/>
                    </a:ln>
                  </pic:spPr>
                </pic:pic>
              </a:graphicData>
            </a:graphic>
          </wp:inline>
        </w:drawing>
      </w:r>
    </w:p>
    <w:p w:rsidR="00905890" w:rsidRPr="004D3D70" w:rsidRDefault="00905890" w:rsidP="00A824AF">
      <w:pPr>
        <w:jc w:val="center"/>
        <w:rPr>
          <w:rFonts w:ascii="Times New Roman" w:hAnsi="Times New Roman"/>
          <w:lang w:val="fr-CH"/>
        </w:rPr>
      </w:pPr>
    </w:p>
    <w:p w:rsidR="00905890" w:rsidRPr="004D3D70" w:rsidRDefault="0043308C" w:rsidP="0043308C">
      <w:pPr>
        <w:pStyle w:val="Styletexte"/>
        <w:spacing w:after="0"/>
        <w:rPr>
          <w:sz w:val="20"/>
          <w:lang w:val="fr-CH"/>
        </w:rPr>
      </w:pPr>
      <w:r w:rsidRPr="004D3D70">
        <w:rPr>
          <w:sz w:val="20"/>
          <w:lang w:val="fr-CH"/>
        </w:rPr>
        <w:t>Les dépenses de personnel incluent les prestations aux fonctionnaires titulaires d</w:t>
      </w:r>
      <w:r w:rsidR="004D3D70">
        <w:rPr>
          <w:sz w:val="20"/>
          <w:lang w:val="fr-CH"/>
        </w:rPr>
        <w:t>’</w:t>
      </w:r>
      <w:r w:rsidRPr="004D3D70">
        <w:rPr>
          <w:sz w:val="20"/>
          <w:lang w:val="fr-CH"/>
        </w:rPr>
        <w:t>un contrat de courte durée telles que le salaire de base, l</w:t>
      </w:r>
      <w:r w:rsidR="004D3D70">
        <w:rPr>
          <w:sz w:val="20"/>
          <w:lang w:val="fr-CH"/>
        </w:rPr>
        <w:t>’</w:t>
      </w:r>
      <w:r w:rsidRPr="004D3D70">
        <w:rPr>
          <w:sz w:val="20"/>
          <w:lang w:val="fr-CH"/>
        </w:rPr>
        <w:t>indemnité de poste, l</w:t>
      </w:r>
      <w:r w:rsidR="004D3D70">
        <w:rPr>
          <w:sz w:val="20"/>
          <w:lang w:val="fr-CH"/>
        </w:rPr>
        <w:t>’</w:t>
      </w:r>
      <w:r w:rsidRPr="004D3D70">
        <w:rPr>
          <w:sz w:val="20"/>
          <w:lang w:val="fr-CH"/>
        </w:rPr>
        <w:t>allocation familiale, la cotisation à la retraite, les cotisations sociales, les congés dans les foyers et d</w:t>
      </w:r>
      <w:r w:rsidR="004D3D70">
        <w:rPr>
          <w:sz w:val="20"/>
          <w:lang w:val="fr-CH"/>
        </w:rPr>
        <w:t>’</w:t>
      </w:r>
      <w:r w:rsidRPr="004D3D70">
        <w:rPr>
          <w:sz w:val="20"/>
          <w:lang w:val="fr-CH"/>
        </w:rPr>
        <w:t>autres prestations pour les fonctionnaires et les fonctionnaires temporair</w:t>
      </w:r>
      <w:r w:rsidR="002140E0" w:rsidRPr="004D3D70">
        <w:rPr>
          <w:sz w:val="20"/>
          <w:lang w:val="fr-CH"/>
        </w:rPr>
        <w:t>es</w:t>
      </w:r>
      <w:r w:rsidR="002140E0">
        <w:rPr>
          <w:sz w:val="20"/>
          <w:lang w:val="fr-CH"/>
        </w:rPr>
        <w:t xml:space="preserve">.  </w:t>
      </w:r>
      <w:r w:rsidR="002140E0" w:rsidRPr="004D3D70">
        <w:rPr>
          <w:sz w:val="20"/>
          <w:lang w:val="fr-CH"/>
        </w:rPr>
        <w:t>De</w:t>
      </w:r>
      <w:r w:rsidRPr="004D3D70">
        <w:rPr>
          <w:sz w:val="20"/>
          <w:lang w:val="fr-CH"/>
        </w:rPr>
        <w:t>puis la mise en œuvre des normes</w:t>
      </w:r>
      <w:r w:rsidR="00AC2A6B">
        <w:rPr>
          <w:sz w:val="20"/>
          <w:lang w:val="fr-CH"/>
        </w:rPr>
        <w:t> </w:t>
      </w:r>
      <w:r w:rsidRPr="004D3D70">
        <w:rPr>
          <w:sz w:val="20"/>
          <w:lang w:val="fr-CH"/>
        </w:rPr>
        <w:t>IPSAS, les dépenses de personnel incluent les changements dans les obligations relatives aux prestations au personnel.</w:t>
      </w:r>
    </w:p>
    <w:p w:rsidR="00905890" w:rsidRPr="004D3D70" w:rsidRDefault="00905890" w:rsidP="00A824AF">
      <w:pPr>
        <w:pStyle w:val="Styletexte"/>
        <w:spacing w:after="0"/>
        <w:rPr>
          <w:sz w:val="20"/>
          <w:lang w:val="fr-CH"/>
        </w:rPr>
      </w:pPr>
    </w:p>
    <w:p w:rsidR="00905890" w:rsidRPr="004D3D70" w:rsidRDefault="0043308C" w:rsidP="0043308C">
      <w:pPr>
        <w:pStyle w:val="Styletexte"/>
        <w:spacing w:after="0"/>
        <w:rPr>
          <w:sz w:val="20"/>
          <w:lang w:val="fr-CH"/>
        </w:rPr>
      </w:pPr>
      <w:r w:rsidRPr="004D3D70">
        <w:rPr>
          <w:sz w:val="20"/>
          <w:lang w:val="fr-CH"/>
        </w:rPr>
        <w:t>Les voyages et bourses comprennent les frais de voyage en avion, les indemnités journalières de subsistance, les faux frais au départ et à l</w:t>
      </w:r>
      <w:r w:rsidR="004D3D70">
        <w:rPr>
          <w:sz w:val="20"/>
          <w:lang w:val="fr-CH"/>
        </w:rPr>
        <w:t>’</w:t>
      </w:r>
      <w:r w:rsidRPr="004D3D70">
        <w:rPr>
          <w:sz w:val="20"/>
          <w:lang w:val="fr-CH"/>
        </w:rPr>
        <w:t>arrivée et d</w:t>
      </w:r>
      <w:r w:rsidR="004D3D70">
        <w:rPr>
          <w:sz w:val="20"/>
          <w:lang w:val="fr-CH"/>
        </w:rPr>
        <w:t>’</w:t>
      </w:r>
      <w:r w:rsidRPr="004D3D70">
        <w:rPr>
          <w:sz w:val="20"/>
          <w:lang w:val="fr-CH"/>
        </w:rPr>
        <w:t>autres coûts de voyage pour les fonctionnaires en mission, et les déplacements pour les participants et les conférenciers dans le cadre d</w:t>
      </w:r>
      <w:r w:rsidR="004D3D70">
        <w:rPr>
          <w:sz w:val="20"/>
          <w:lang w:val="fr-CH"/>
        </w:rPr>
        <w:t>’</w:t>
      </w:r>
      <w:r w:rsidRPr="004D3D70">
        <w:rPr>
          <w:sz w:val="20"/>
          <w:lang w:val="fr-CH"/>
        </w:rPr>
        <w:t>activités de formati</w:t>
      </w:r>
      <w:r w:rsidR="002140E0" w:rsidRPr="004D3D70">
        <w:rPr>
          <w:sz w:val="20"/>
          <w:lang w:val="fr-CH"/>
        </w:rPr>
        <w:t>on</w:t>
      </w:r>
      <w:r w:rsidR="002140E0">
        <w:rPr>
          <w:sz w:val="20"/>
          <w:lang w:val="fr-CH"/>
        </w:rPr>
        <w:t xml:space="preserve">.  </w:t>
      </w:r>
      <w:r w:rsidR="002140E0" w:rsidRPr="004D3D70">
        <w:rPr>
          <w:sz w:val="20"/>
          <w:lang w:val="fr-CH"/>
        </w:rPr>
        <w:t>Le</w:t>
      </w:r>
      <w:r w:rsidRPr="004D3D70">
        <w:rPr>
          <w:sz w:val="20"/>
          <w:lang w:val="fr-CH"/>
        </w:rPr>
        <w:t>s services contractuels comprennent les contrats de louage de services de traducteurs, d</w:t>
      </w:r>
      <w:r w:rsidR="004D3D70">
        <w:rPr>
          <w:sz w:val="20"/>
          <w:lang w:val="fr-CH"/>
        </w:rPr>
        <w:t>’</w:t>
      </w:r>
      <w:r w:rsidRPr="004D3D70">
        <w:rPr>
          <w:sz w:val="20"/>
          <w:lang w:val="fr-CH"/>
        </w:rPr>
        <w:t>interprètes et d</w:t>
      </w:r>
      <w:r w:rsidR="004D3D70">
        <w:rPr>
          <w:sz w:val="20"/>
          <w:lang w:val="fr-CH"/>
        </w:rPr>
        <w:t>’</w:t>
      </w:r>
      <w:r w:rsidRPr="004D3D70">
        <w:rPr>
          <w:sz w:val="20"/>
          <w:lang w:val="fr-CH"/>
        </w:rPr>
        <w:t>autres personnes qui ne sont pas membres du personn</w:t>
      </w:r>
      <w:r w:rsidR="002140E0" w:rsidRPr="004D3D70">
        <w:rPr>
          <w:sz w:val="20"/>
          <w:lang w:val="fr-CH"/>
        </w:rPr>
        <w:t>el</w:t>
      </w:r>
      <w:r w:rsidR="002140E0">
        <w:rPr>
          <w:sz w:val="20"/>
          <w:lang w:val="fr-CH"/>
        </w:rPr>
        <w:t xml:space="preserve">.  </w:t>
      </w:r>
      <w:r w:rsidR="002140E0" w:rsidRPr="004D3D70">
        <w:rPr>
          <w:sz w:val="20"/>
          <w:lang w:val="fr-CH"/>
        </w:rPr>
        <w:t>Le</w:t>
      </w:r>
      <w:r w:rsidRPr="004D3D70">
        <w:rPr>
          <w:sz w:val="20"/>
          <w:lang w:val="fr-CH"/>
        </w:rPr>
        <w:t>s dépenses de fonctionnement comprennent des éléments tels que la location et l</w:t>
      </w:r>
      <w:r w:rsidR="004D3D70">
        <w:rPr>
          <w:sz w:val="20"/>
          <w:lang w:val="fr-CH"/>
        </w:rPr>
        <w:t>’</w:t>
      </w:r>
      <w:r w:rsidRPr="004D3D70">
        <w:rPr>
          <w:sz w:val="20"/>
          <w:lang w:val="fr-CH"/>
        </w:rPr>
        <w:t>entretien des locaux et les frais bancaires.</w:t>
      </w:r>
    </w:p>
    <w:p w:rsidR="00905890" w:rsidRPr="004D3D70" w:rsidRDefault="00905890" w:rsidP="00A824AF">
      <w:pPr>
        <w:pStyle w:val="Styletexte"/>
        <w:spacing w:after="0"/>
        <w:rPr>
          <w:sz w:val="20"/>
          <w:lang w:val="fr-CH"/>
        </w:rPr>
      </w:pPr>
    </w:p>
    <w:p w:rsidR="00905890" w:rsidRPr="004D3D70" w:rsidRDefault="00905890" w:rsidP="00A824AF">
      <w:pPr>
        <w:rPr>
          <w:b/>
          <w:bCs/>
          <w:caps/>
          <w:lang w:val="fr-CH"/>
        </w:rPr>
      </w:pPr>
    </w:p>
    <w:p w:rsidR="00905890" w:rsidRPr="004D3D70" w:rsidRDefault="0043308C" w:rsidP="0043308C">
      <w:pPr>
        <w:pStyle w:val="Heading2Notes"/>
        <w:rPr>
          <w:lang w:val="fr-CH"/>
        </w:rPr>
      </w:pPr>
      <w:bookmarkStart w:id="31" w:name="_Toc523157904"/>
      <w:r w:rsidRPr="004D3D70">
        <w:rPr>
          <w:lang w:val="fr-CH"/>
        </w:rPr>
        <w:t>Note</w:t>
      </w:r>
      <w:r w:rsidR="00BE23DA">
        <w:rPr>
          <w:lang w:val="fr-CH"/>
        </w:rPr>
        <w:t> </w:t>
      </w:r>
      <w:r w:rsidRPr="004D3D70">
        <w:rPr>
          <w:lang w:val="fr-CH"/>
        </w:rPr>
        <w:t>15</w:t>
      </w:r>
      <w:r w:rsidR="004D3D70">
        <w:rPr>
          <w:lang w:val="fr-CH"/>
        </w:rPr>
        <w:t> :</w:t>
      </w:r>
      <w:r w:rsidR="00AC2193">
        <w:rPr>
          <w:lang w:val="fr-CH"/>
        </w:rPr>
        <w:tab/>
      </w:r>
      <w:r w:rsidRPr="004D3D70">
        <w:rPr>
          <w:lang w:val="fr-CH"/>
        </w:rPr>
        <w:t>Instruments financiers</w:t>
      </w:r>
      <w:bookmarkEnd w:id="31"/>
    </w:p>
    <w:p w:rsidR="00905890" w:rsidRPr="004D3D70" w:rsidRDefault="00905890" w:rsidP="00F45269">
      <w:pPr>
        <w:rPr>
          <w:lang w:val="fr-CH"/>
        </w:rPr>
      </w:pPr>
    </w:p>
    <w:p w:rsidR="004D3D70" w:rsidRDefault="0043308C" w:rsidP="0043308C">
      <w:pPr>
        <w:autoSpaceDE w:val="0"/>
        <w:autoSpaceDN w:val="0"/>
        <w:adjustRightInd w:val="0"/>
        <w:rPr>
          <w:lang w:val="fr-CH" w:eastAsia="en-GB"/>
        </w:rPr>
      </w:pPr>
      <w:r w:rsidRPr="004D3D70">
        <w:rPr>
          <w:lang w:val="fr-CH" w:eastAsia="en-GB"/>
        </w:rPr>
        <w:t>L</w:t>
      </w:r>
      <w:r w:rsidR="004D3D70">
        <w:rPr>
          <w:lang w:val="fr-CH" w:eastAsia="en-GB"/>
        </w:rPr>
        <w:t>’</w:t>
      </w:r>
      <w:r w:rsidRPr="004D3D70">
        <w:rPr>
          <w:lang w:val="fr-CH" w:eastAsia="en-GB"/>
        </w:rPr>
        <w:t>UPOV est exposée à des risques de liquidité, de taux d</w:t>
      </w:r>
      <w:r w:rsidR="004D3D70">
        <w:rPr>
          <w:lang w:val="fr-CH" w:eastAsia="en-GB"/>
        </w:rPr>
        <w:t>’</w:t>
      </w:r>
      <w:r w:rsidRPr="004D3D70">
        <w:rPr>
          <w:lang w:val="fr-CH" w:eastAsia="en-GB"/>
        </w:rPr>
        <w:t>intérêt, de change et de crédit pendant le cours normal de ses opératio</w:t>
      </w:r>
      <w:r w:rsidR="002140E0" w:rsidRPr="004D3D70">
        <w:rPr>
          <w:lang w:val="fr-CH" w:eastAsia="en-GB"/>
        </w:rPr>
        <w:t>ns</w:t>
      </w:r>
      <w:r w:rsidR="002140E0">
        <w:rPr>
          <w:lang w:val="fr-CH" w:eastAsia="en-GB"/>
        </w:rPr>
        <w:t xml:space="preserve">.  </w:t>
      </w:r>
      <w:r w:rsidR="002140E0" w:rsidRPr="004D3D70">
        <w:rPr>
          <w:lang w:val="fr-CH" w:eastAsia="en-GB"/>
        </w:rPr>
        <w:t>La</w:t>
      </w:r>
      <w:r w:rsidRPr="004D3D70">
        <w:rPr>
          <w:lang w:val="fr-CH" w:eastAsia="en-GB"/>
        </w:rPr>
        <w:t xml:space="preserve"> présente note donne des informations sur l</w:t>
      </w:r>
      <w:r w:rsidR="004D3D70">
        <w:rPr>
          <w:lang w:val="fr-CH" w:eastAsia="en-GB"/>
        </w:rPr>
        <w:t>’</w:t>
      </w:r>
      <w:r w:rsidRPr="004D3D70">
        <w:rPr>
          <w:lang w:val="fr-CH" w:eastAsia="en-GB"/>
        </w:rPr>
        <w:t>exposition de l</w:t>
      </w:r>
      <w:r w:rsidR="004D3D70">
        <w:rPr>
          <w:lang w:val="fr-CH" w:eastAsia="en-GB"/>
        </w:rPr>
        <w:t>’</w:t>
      </w:r>
      <w:r w:rsidRPr="004D3D70">
        <w:rPr>
          <w:lang w:val="fr-CH" w:eastAsia="en-GB"/>
        </w:rPr>
        <w:t>UPOV à chacun de ces risques ainsi que sur les politiques et processus d</w:t>
      </w:r>
      <w:r w:rsidR="004D3D70">
        <w:rPr>
          <w:lang w:val="fr-CH" w:eastAsia="en-GB"/>
        </w:rPr>
        <w:t>’</w:t>
      </w:r>
      <w:r w:rsidRPr="004D3D70">
        <w:rPr>
          <w:lang w:val="fr-CH" w:eastAsia="en-GB"/>
        </w:rPr>
        <w:t>évaluation et de gestion des risques.</w:t>
      </w:r>
    </w:p>
    <w:p w:rsidR="00214705" w:rsidRPr="004D3D70" w:rsidRDefault="00214705" w:rsidP="00A824AF">
      <w:pPr>
        <w:autoSpaceDE w:val="0"/>
        <w:autoSpaceDN w:val="0"/>
        <w:adjustRightInd w:val="0"/>
        <w:rPr>
          <w:lang w:val="fr-CH" w:eastAsia="en-GB"/>
        </w:rPr>
      </w:pPr>
    </w:p>
    <w:p w:rsidR="00905890" w:rsidRPr="004D3D70" w:rsidRDefault="00347F02" w:rsidP="0043308C">
      <w:pPr>
        <w:autoSpaceDE w:val="0"/>
        <w:autoSpaceDN w:val="0"/>
        <w:adjustRightInd w:val="0"/>
        <w:rPr>
          <w:lang w:val="fr-CH"/>
        </w:rPr>
      </w:pPr>
      <w:r w:rsidRPr="004D3D70">
        <w:rPr>
          <w:lang w:val="fr-CH"/>
        </w:rPr>
        <w:t>Sauf si le Conseil en décide autrement, la politique de placement de l</w:t>
      </w:r>
      <w:r w:rsidR="004D3D70">
        <w:rPr>
          <w:lang w:val="fr-CH"/>
        </w:rPr>
        <w:t>’</w:t>
      </w:r>
      <w:r w:rsidRPr="004D3D70">
        <w:rPr>
          <w:lang w:val="fr-CH"/>
        </w:rPr>
        <w:t>UPOV est la même que celle de l</w:t>
      </w:r>
      <w:r w:rsidR="004D3D70">
        <w:rPr>
          <w:lang w:val="fr-CH"/>
        </w:rPr>
        <w:t>’</w:t>
      </w:r>
      <w:r w:rsidRPr="004D3D70">
        <w:rPr>
          <w:lang w:val="fr-CH"/>
        </w:rPr>
        <w:t>OMPI.  Le pouvoir d</w:t>
      </w:r>
      <w:r w:rsidR="004D3D70">
        <w:rPr>
          <w:lang w:val="fr-CH"/>
        </w:rPr>
        <w:t>’</w:t>
      </w:r>
      <w:r w:rsidRPr="004D3D70">
        <w:rPr>
          <w:lang w:val="fr-CH"/>
        </w:rPr>
        <w:t>effectuer et de gérer avec prudence des placements conformément à la politique de placement est délégué au contrôleur de l</w:t>
      </w:r>
      <w:r w:rsidR="004D3D70">
        <w:rPr>
          <w:lang w:val="fr-CH"/>
        </w:rPr>
        <w:t>’</w:t>
      </w:r>
      <w:r w:rsidRPr="004D3D70">
        <w:rPr>
          <w:lang w:val="fr-CH"/>
        </w:rPr>
        <w:t>OMPI</w:t>
      </w:r>
      <w:r w:rsidR="00A824AF" w:rsidRPr="004D3D70">
        <w:rPr>
          <w:lang w:val="fr-CH"/>
        </w:rPr>
        <w:t xml:space="preserve">. </w:t>
      </w:r>
      <w:r w:rsidRPr="004D3D70">
        <w:rPr>
          <w:lang w:val="fr-CH"/>
        </w:rPr>
        <w:t xml:space="preserve"> Cette politique a été révisée </w:t>
      </w:r>
      <w:r w:rsidR="005B186C" w:rsidRPr="004D3D70">
        <w:rPr>
          <w:lang w:val="fr-CH"/>
        </w:rPr>
        <w:t xml:space="preserve">entièrement </w:t>
      </w:r>
      <w:r w:rsidRPr="004D3D70">
        <w:rPr>
          <w:lang w:val="fr-CH"/>
        </w:rPr>
        <w:t>et adoptée en 2015 par la cinquante</w:t>
      </w:r>
      <w:r w:rsidR="00665FEC">
        <w:rPr>
          <w:lang w:val="fr-CH"/>
        </w:rPr>
        <w:noBreakHyphen/>
      </w:r>
      <w:r w:rsidRPr="004D3D70">
        <w:rPr>
          <w:lang w:val="fr-CH"/>
        </w:rPr>
        <w:t>cinquième série de réunions des assemblées des</w:t>
      </w:r>
      <w:r w:rsidR="005B186C" w:rsidRPr="004D3D70">
        <w:rPr>
          <w:lang w:val="fr-CH"/>
        </w:rPr>
        <w:t xml:space="preserve"> États membres de l</w:t>
      </w:r>
      <w:r w:rsidR="004D3D70">
        <w:rPr>
          <w:lang w:val="fr-CH"/>
        </w:rPr>
        <w:t>’</w:t>
      </w:r>
      <w:r w:rsidRPr="004D3D70">
        <w:rPr>
          <w:lang w:val="fr-CH"/>
        </w:rPr>
        <w:t>OMPI</w:t>
      </w:r>
      <w:r w:rsidR="00A824AF" w:rsidRPr="004D3D70">
        <w:rPr>
          <w:lang w:val="fr-CH"/>
        </w:rPr>
        <w:t xml:space="preserve">. </w:t>
      </w:r>
      <w:r w:rsidR="005B186C" w:rsidRPr="004D3D70">
        <w:rPr>
          <w:lang w:val="fr-CH"/>
        </w:rPr>
        <w:t xml:space="preserve"> C</w:t>
      </w:r>
      <w:r w:rsidR="002920C9" w:rsidRPr="004D3D70">
        <w:rPr>
          <w:lang w:val="fr-CH"/>
        </w:rPr>
        <w:t>e</w:t>
      </w:r>
      <w:r w:rsidR="005B186C" w:rsidRPr="004D3D70">
        <w:rPr>
          <w:lang w:val="fr-CH"/>
        </w:rPr>
        <w:t>rtaines</w:t>
      </w:r>
      <w:r w:rsidR="002920C9" w:rsidRPr="004D3D70">
        <w:rPr>
          <w:lang w:val="fr-CH"/>
        </w:rPr>
        <w:t xml:space="preserve"> </w:t>
      </w:r>
      <w:r w:rsidR="005B186C" w:rsidRPr="004D3D70">
        <w:rPr>
          <w:lang w:val="fr-CH"/>
        </w:rPr>
        <w:t>modifications apportées à la politique en matière de placements ont été adoptées à la cinquante</w:t>
      </w:r>
      <w:r w:rsidR="00665FEC">
        <w:rPr>
          <w:lang w:val="fr-CH"/>
        </w:rPr>
        <w:noBreakHyphen/>
      </w:r>
      <w:r w:rsidR="005B186C" w:rsidRPr="004D3D70">
        <w:rPr>
          <w:lang w:val="fr-CH"/>
        </w:rPr>
        <w:t xml:space="preserve">cinquième série de réunions </w:t>
      </w:r>
      <w:r w:rsidR="004D3D70" w:rsidRPr="004D3D70">
        <w:rPr>
          <w:lang w:val="fr-CH"/>
        </w:rPr>
        <w:t>en</w:t>
      </w:r>
      <w:r w:rsidR="004D3D70">
        <w:rPr>
          <w:lang w:val="fr-CH"/>
        </w:rPr>
        <w:t> </w:t>
      </w:r>
      <w:r w:rsidR="004D3D70" w:rsidRPr="004D3D70">
        <w:rPr>
          <w:lang w:val="fr-CH"/>
        </w:rPr>
        <w:t>2017</w:t>
      </w:r>
      <w:r w:rsidR="002920C9" w:rsidRPr="004D3D70">
        <w:rPr>
          <w:lang w:val="fr-CH"/>
        </w:rPr>
        <w:t>.</w:t>
      </w:r>
      <w:r w:rsidR="005B186C" w:rsidRPr="004D3D70">
        <w:rPr>
          <w:lang w:val="fr-CH"/>
        </w:rPr>
        <w:t xml:space="preserve">  </w:t>
      </w:r>
      <w:r w:rsidR="0043308C" w:rsidRPr="004D3D70">
        <w:rPr>
          <w:lang w:val="fr-CH"/>
        </w:rPr>
        <w:t>La politique révisée contient deux</w:t>
      </w:r>
      <w:r w:rsidR="00AC2A6B">
        <w:rPr>
          <w:lang w:val="fr-CH"/>
        </w:rPr>
        <w:t> </w:t>
      </w:r>
      <w:r w:rsidR="0043308C" w:rsidRPr="004D3D70">
        <w:rPr>
          <w:lang w:val="fr-CH"/>
        </w:rPr>
        <w:t>politiques distinctes en matière de placements, une pour la trésorerie d</w:t>
      </w:r>
      <w:r w:rsidR="004D3D70">
        <w:rPr>
          <w:lang w:val="fr-CH"/>
        </w:rPr>
        <w:t>’</w:t>
      </w:r>
      <w:r w:rsidR="0043308C" w:rsidRPr="004D3D70">
        <w:rPr>
          <w:lang w:val="fr-CH"/>
        </w:rPr>
        <w:t>exploitation et les fonds propres et une pour la trésorerie stratégiq</w:t>
      </w:r>
      <w:r w:rsidR="002140E0" w:rsidRPr="004D3D70">
        <w:rPr>
          <w:lang w:val="fr-CH"/>
        </w:rPr>
        <w:t>ue</w:t>
      </w:r>
      <w:r w:rsidR="002140E0">
        <w:rPr>
          <w:lang w:val="fr-CH"/>
        </w:rPr>
        <w:t xml:space="preserve">.  </w:t>
      </w:r>
      <w:r w:rsidR="002140E0" w:rsidRPr="004D3D70">
        <w:rPr>
          <w:lang w:val="fr-CH"/>
        </w:rPr>
        <w:t>La</w:t>
      </w:r>
      <w:r w:rsidR="0043308C" w:rsidRPr="004D3D70">
        <w:rPr>
          <w:lang w:val="fr-CH"/>
        </w:rPr>
        <w:t xml:space="preserve"> trésorerie d</w:t>
      </w:r>
      <w:r w:rsidR="004D3D70">
        <w:rPr>
          <w:lang w:val="fr-CH"/>
        </w:rPr>
        <w:t>’</w:t>
      </w:r>
      <w:r w:rsidR="0043308C" w:rsidRPr="004D3D70">
        <w:rPr>
          <w:lang w:val="fr-CH"/>
        </w:rPr>
        <w:t>exploitation correspond à la trésorerie dont l</w:t>
      </w:r>
      <w:r w:rsidR="004D3D70">
        <w:rPr>
          <w:lang w:val="fr-CH"/>
        </w:rPr>
        <w:t>’</w:t>
      </w:r>
      <w:r w:rsidR="0043308C" w:rsidRPr="004D3D70">
        <w:rPr>
          <w:lang w:val="fr-CH"/>
        </w:rPr>
        <w:t>Organisation a besoin pour répondre à ses besoins de paiements couran</w:t>
      </w:r>
      <w:r w:rsidR="002140E0" w:rsidRPr="004D3D70">
        <w:rPr>
          <w:lang w:val="fr-CH"/>
        </w:rPr>
        <w:t>ts</w:t>
      </w:r>
      <w:r w:rsidR="002140E0">
        <w:rPr>
          <w:lang w:val="fr-CH"/>
        </w:rPr>
        <w:t xml:space="preserve">.  </w:t>
      </w:r>
      <w:r w:rsidR="002140E0" w:rsidRPr="004D3D70">
        <w:rPr>
          <w:lang w:val="fr-CH"/>
        </w:rPr>
        <w:t>Le</w:t>
      </w:r>
      <w:r w:rsidR="0043308C" w:rsidRPr="004D3D70">
        <w:rPr>
          <w:lang w:val="fr-CH"/>
        </w:rPr>
        <w:t>s fonds propres correspondent au solde de trésorerie restant après déduction de la trésorerie d</w:t>
      </w:r>
      <w:r w:rsidR="004D3D70">
        <w:rPr>
          <w:lang w:val="fr-CH"/>
        </w:rPr>
        <w:t>’</w:t>
      </w:r>
      <w:r w:rsidR="0043308C" w:rsidRPr="004D3D70">
        <w:rPr>
          <w:lang w:val="fr-CH"/>
        </w:rPr>
        <w:t>exploitation et de la trésorerie stratégiq</w:t>
      </w:r>
      <w:r w:rsidR="002140E0" w:rsidRPr="004D3D70">
        <w:rPr>
          <w:lang w:val="fr-CH"/>
        </w:rPr>
        <w:t>ue</w:t>
      </w:r>
      <w:r w:rsidR="002140E0">
        <w:rPr>
          <w:lang w:val="fr-CH"/>
        </w:rPr>
        <w:t xml:space="preserve">.  </w:t>
      </w:r>
      <w:r w:rsidR="002140E0" w:rsidRPr="004D3D70">
        <w:rPr>
          <w:lang w:val="fr-CH"/>
        </w:rPr>
        <w:t>La</w:t>
      </w:r>
      <w:r w:rsidR="0043308C" w:rsidRPr="004D3D70">
        <w:rPr>
          <w:lang w:val="fr-CH"/>
        </w:rPr>
        <w:t xml:space="preserve"> trésorerie stratégique de l</w:t>
      </w:r>
      <w:r w:rsidR="004D3D70">
        <w:rPr>
          <w:lang w:val="fr-CH"/>
        </w:rPr>
        <w:t>’</w:t>
      </w:r>
      <w:r w:rsidR="0043308C" w:rsidRPr="004D3D70">
        <w:rPr>
          <w:lang w:val="fr-CH"/>
        </w:rPr>
        <w:t>OMPI est celle qui a été mise de côté pour financer les engagements pris au titre de l</w:t>
      </w:r>
      <w:r w:rsidR="004D3D70">
        <w:rPr>
          <w:lang w:val="fr-CH"/>
        </w:rPr>
        <w:t>’</w:t>
      </w:r>
      <w:r w:rsidR="0043308C" w:rsidRPr="004D3D70">
        <w:rPr>
          <w:lang w:val="fr-CH"/>
        </w:rPr>
        <w:t xml:space="preserve">assurance maladie après cessation de service, </w:t>
      </w:r>
      <w:r w:rsidR="004D3D70">
        <w:rPr>
          <w:lang w:val="fr-CH"/>
        </w:rPr>
        <w:t>y compris</w:t>
      </w:r>
      <w:r w:rsidR="0043308C" w:rsidRPr="004D3D70">
        <w:rPr>
          <w:lang w:val="fr-CH"/>
        </w:rPr>
        <w:t xml:space="preserve"> l</w:t>
      </w:r>
      <w:r w:rsidR="004D3D70">
        <w:rPr>
          <w:lang w:val="fr-CH"/>
        </w:rPr>
        <w:t>’</w:t>
      </w:r>
      <w:r w:rsidR="0043308C" w:rsidRPr="004D3D70">
        <w:rPr>
          <w:lang w:val="fr-CH"/>
        </w:rPr>
        <w:t>AMCS.</w:t>
      </w:r>
    </w:p>
    <w:p w:rsidR="000A441A" w:rsidRDefault="000A441A" w:rsidP="00A824AF">
      <w:pPr>
        <w:autoSpaceDE w:val="0"/>
        <w:autoSpaceDN w:val="0"/>
        <w:adjustRightInd w:val="0"/>
        <w:rPr>
          <w:lang w:val="fr-CH"/>
        </w:rPr>
      </w:pPr>
    </w:p>
    <w:p w:rsidR="00905890" w:rsidRPr="004D3D70" w:rsidRDefault="0043308C" w:rsidP="0043308C">
      <w:pPr>
        <w:autoSpaceDE w:val="0"/>
        <w:autoSpaceDN w:val="0"/>
        <w:adjustRightInd w:val="0"/>
        <w:rPr>
          <w:b/>
          <w:lang w:val="fr-CH" w:eastAsia="en-GB"/>
        </w:rPr>
      </w:pPr>
      <w:r w:rsidRPr="004D3D70">
        <w:rPr>
          <w:b/>
          <w:lang w:val="fr-CH" w:eastAsia="en-GB"/>
        </w:rPr>
        <w:t>Justes valeurs</w:t>
      </w:r>
    </w:p>
    <w:p w:rsidR="00905890" w:rsidRPr="004D3D70" w:rsidRDefault="00905890" w:rsidP="00A824AF">
      <w:pPr>
        <w:autoSpaceDE w:val="0"/>
        <w:autoSpaceDN w:val="0"/>
        <w:adjustRightInd w:val="0"/>
        <w:rPr>
          <w:lang w:val="fr-CH" w:eastAsia="en-GB"/>
        </w:rPr>
      </w:pPr>
    </w:p>
    <w:p w:rsidR="00905890" w:rsidRPr="004D3D70" w:rsidRDefault="0043308C" w:rsidP="0043308C">
      <w:pPr>
        <w:autoSpaceDE w:val="0"/>
        <w:autoSpaceDN w:val="0"/>
        <w:adjustRightInd w:val="0"/>
        <w:rPr>
          <w:lang w:val="fr-CH" w:eastAsia="en-GB"/>
        </w:rPr>
      </w:pPr>
      <w:r w:rsidRPr="004D3D70">
        <w:rPr>
          <w:lang w:val="fr-CH" w:eastAsia="en-GB"/>
        </w:rPr>
        <w:t>On trouvera ci</w:t>
      </w:r>
      <w:r w:rsidR="00665FEC">
        <w:rPr>
          <w:lang w:val="fr-CH" w:eastAsia="en-GB"/>
        </w:rPr>
        <w:noBreakHyphen/>
      </w:r>
      <w:r w:rsidRPr="004D3D70">
        <w:rPr>
          <w:lang w:val="fr-CH" w:eastAsia="en-GB"/>
        </w:rPr>
        <w:t>dessous une comparaison par classe des valeurs comptables et de la juste valeur des instruments financiers de l</w:t>
      </w:r>
      <w:r w:rsidR="004D3D70">
        <w:rPr>
          <w:lang w:val="fr-CH" w:eastAsia="en-GB"/>
        </w:rPr>
        <w:t>’</w:t>
      </w:r>
      <w:r w:rsidRPr="004D3D70">
        <w:rPr>
          <w:lang w:val="fr-CH" w:eastAsia="en-GB"/>
        </w:rPr>
        <w:t>UPOV.</w:t>
      </w:r>
    </w:p>
    <w:p w:rsidR="00905890" w:rsidRDefault="00503DA1" w:rsidP="00A824AF">
      <w:pPr>
        <w:autoSpaceDE w:val="0"/>
        <w:autoSpaceDN w:val="0"/>
        <w:adjustRightInd w:val="0"/>
        <w:jc w:val="center"/>
        <w:rPr>
          <w:lang w:val="fr-CH" w:eastAsia="en-GB"/>
        </w:rPr>
      </w:pPr>
      <w:r w:rsidRPr="00503DA1">
        <w:rPr>
          <w:noProof/>
          <w:lang w:val="en-US"/>
        </w:rPr>
        <w:lastRenderedPageBreak/>
        <w:drawing>
          <wp:inline distT="0" distB="0" distL="0" distR="0">
            <wp:extent cx="5448300" cy="17907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48300" cy="1790700"/>
                    </a:xfrm>
                    <a:prstGeom prst="rect">
                      <a:avLst/>
                    </a:prstGeom>
                    <a:noFill/>
                    <a:ln>
                      <a:noFill/>
                    </a:ln>
                  </pic:spPr>
                </pic:pic>
              </a:graphicData>
            </a:graphic>
          </wp:inline>
        </w:drawing>
      </w:r>
    </w:p>
    <w:p w:rsidR="004A0A71" w:rsidRPr="004D3D70" w:rsidRDefault="004A0A71" w:rsidP="00A824AF">
      <w:pPr>
        <w:autoSpaceDE w:val="0"/>
        <w:autoSpaceDN w:val="0"/>
        <w:adjustRightInd w:val="0"/>
        <w:jc w:val="center"/>
        <w:rPr>
          <w:lang w:val="fr-CH" w:eastAsia="en-GB"/>
        </w:rPr>
      </w:pPr>
    </w:p>
    <w:p w:rsidR="00905890" w:rsidRPr="004D3D70" w:rsidRDefault="00503DA1" w:rsidP="00A824AF">
      <w:pPr>
        <w:autoSpaceDE w:val="0"/>
        <w:autoSpaceDN w:val="0"/>
        <w:adjustRightInd w:val="0"/>
        <w:jc w:val="center"/>
        <w:rPr>
          <w:lang w:val="fr-CH" w:eastAsia="en-GB"/>
        </w:rPr>
      </w:pPr>
      <w:r w:rsidRPr="00503DA1">
        <w:rPr>
          <w:noProof/>
          <w:lang w:val="en-US"/>
        </w:rPr>
        <w:drawing>
          <wp:inline distT="0" distB="0" distL="0" distR="0">
            <wp:extent cx="5448300" cy="17907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48300" cy="1790700"/>
                    </a:xfrm>
                    <a:prstGeom prst="rect">
                      <a:avLst/>
                    </a:prstGeom>
                    <a:noFill/>
                    <a:ln>
                      <a:noFill/>
                    </a:ln>
                  </pic:spPr>
                </pic:pic>
              </a:graphicData>
            </a:graphic>
          </wp:inline>
        </w:drawing>
      </w:r>
    </w:p>
    <w:p w:rsidR="00905890" w:rsidRPr="004D3D70" w:rsidRDefault="00905890" w:rsidP="00A824AF">
      <w:pPr>
        <w:autoSpaceDE w:val="0"/>
        <w:autoSpaceDN w:val="0"/>
        <w:adjustRightInd w:val="0"/>
        <w:rPr>
          <w:lang w:val="fr-CH" w:eastAsia="en-GB"/>
        </w:rPr>
      </w:pPr>
    </w:p>
    <w:p w:rsidR="00905890" w:rsidRPr="004D3D70" w:rsidRDefault="0043308C" w:rsidP="0043308C">
      <w:pPr>
        <w:autoSpaceDE w:val="0"/>
        <w:autoSpaceDN w:val="0"/>
        <w:adjustRightInd w:val="0"/>
        <w:rPr>
          <w:lang w:val="fr-CH" w:eastAsia="en-GB"/>
        </w:rPr>
      </w:pPr>
      <w:r w:rsidRPr="004D3D70">
        <w:rPr>
          <w:lang w:val="fr-CH" w:eastAsia="en-GB"/>
        </w:rPr>
        <w:t>La juste valeur des actifs et passifs financiers est incorporée au montant auquel l</w:t>
      </w:r>
      <w:r w:rsidR="004D3D70">
        <w:rPr>
          <w:lang w:val="fr-CH" w:eastAsia="en-GB"/>
        </w:rPr>
        <w:t>’</w:t>
      </w:r>
      <w:r w:rsidRPr="004D3D70">
        <w:rPr>
          <w:lang w:val="fr-CH" w:eastAsia="en-GB"/>
        </w:rPr>
        <w:t>instrument pourrait être échangé dans une transaction entre parties consentantes autre qu</w:t>
      </w:r>
      <w:r w:rsidR="004D3D70">
        <w:rPr>
          <w:lang w:val="fr-CH" w:eastAsia="en-GB"/>
        </w:rPr>
        <w:t>’</w:t>
      </w:r>
      <w:r w:rsidRPr="004D3D70">
        <w:rPr>
          <w:lang w:val="fr-CH" w:eastAsia="en-GB"/>
        </w:rPr>
        <w:t>une vente forcée ou une liquidati</w:t>
      </w:r>
      <w:r w:rsidR="002140E0" w:rsidRPr="004D3D70">
        <w:rPr>
          <w:lang w:val="fr-CH" w:eastAsia="en-GB"/>
        </w:rPr>
        <w:t>on</w:t>
      </w:r>
      <w:r w:rsidR="002140E0">
        <w:rPr>
          <w:lang w:val="fr-CH" w:eastAsia="en-GB"/>
        </w:rPr>
        <w:t xml:space="preserve">.  </w:t>
      </w:r>
      <w:r w:rsidR="002140E0" w:rsidRPr="004D3D70">
        <w:rPr>
          <w:lang w:val="fr-CH" w:eastAsia="en-GB"/>
        </w:rPr>
        <w:t>Le</w:t>
      </w:r>
      <w:r w:rsidRPr="004D3D70">
        <w:rPr>
          <w:lang w:val="fr-CH" w:eastAsia="en-GB"/>
        </w:rPr>
        <w:t>s</w:t>
      </w:r>
      <w:r w:rsidR="003F0EEE">
        <w:rPr>
          <w:lang w:val="fr-CH" w:eastAsia="en-GB"/>
        </w:rPr>
        <w:t> </w:t>
      </w:r>
      <w:r w:rsidRPr="004D3D70">
        <w:rPr>
          <w:lang w:val="fr-CH" w:eastAsia="en-GB"/>
        </w:rPr>
        <w:t>méthodes et hypothèses suivantes ont été utilisées pour estimer les justes valeurs</w:t>
      </w:r>
      <w:r w:rsidR="004D3D70">
        <w:rPr>
          <w:lang w:val="fr-CH" w:eastAsia="en-GB"/>
        </w:rPr>
        <w:t> :</w:t>
      </w:r>
    </w:p>
    <w:p w:rsidR="00905890" w:rsidRPr="004D3D70" w:rsidRDefault="00905890" w:rsidP="00A824AF">
      <w:pPr>
        <w:autoSpaceDE w:val="0"/>
        <w:autoSpaceDN w:val="0"/>
        <w:adjustRightInd w:val="0"/>
        <w:rPr>
          <w:lang w:val="fr-CH" w:eastAsia="en-GB"/>
        </w:rPr>
      </w:pPr>
    </w:p>
    <w:p w:rsidR="00905890" w:rsidRPr="004D3D70" w:rsidRDefault="0043308C" w:rsidP="004A0A71">
      <w:pPr>
        <w:numPr>
          <w:ilvl w:val="0"/>
          <w:numId w:val="24"/>
        </w:numPr>
        <w:autoSpaceDE w:val="0"/>
        <w:autoSpaceDN w:val="0"/>
        <w:adjustRightInd w:val="0"/>
        <w:rPr>
          <w:lang w:val="fr-CH" w:eastAsia="en-GB"/>
        </w:rPr>
      </w:pPr>
      <w:r w:rsidRPr="004D3D70">
        <w:rPr>
          <w:lang w:val="fr-CH" w:eastAsia="en-GB"/>
        </w:rPr>
        <w:t>les dépôts en liquide et à court terme, les créances provenant des opérations de change et les comptes de créanciers sont proches de leurs valeurs comptables en raison des échéances à court terme de ces instruments;</w:t>
      </w:r>
    </w:p>
    <w:p w:rsidR="00905890" w:rsidRPr="004D3D70" w:rsidRDefault="0043308C" w:rsidP="004A0A71">
      <w:pPr>
        <w:numPr>
          <w:ilvl w:val="0"/>
          <w:numId w:val="24"/>
        </w:numPr>
        <w:rPr>
          <w:b/>
          <w:lang w:val="fr-CH"/>
        </w:rPr>
      </w:pPr>
      <w:r w:rsidRPr="004D3D70">
        <w:rPr>
          <w:lang w:val="fr-CH"/>
        </w:rPr>
        <w:t>Les créances provenant des opérations qui ne sont pas des opérations de change dont évaluées par l</w:t>
      </w:r>
      <w:r w:rsidR="004D3D70">
        <w:rPr>
          <w:lang w:val="fr-CH"/>
        </w:rPr>
        <w:t>’</w:t>
      </w:r>
      <w:r w:rsidRPr="004D3D70">
        <w:rPr>
          <w:lang w:val="fr-CH"/>
        </w:rPr>
        <w:t>UPOV sur la base de paramètres tels que les taux d</w:t>
      </w:r>
      <w:r w:rsidR="004D3D70">
        <w:rPr>
          <w:lang w:val="fr-CH"/>
        </w:rPr>
        <w:t>’</w:t>
      </w:r>
      <w:r w:rsidRPr="004D3D70">
        <w:rPr>
          <w:lang w:val="fr-CH"/>
        </w:rPr>
        <w:t>intérêt et les caractéristiques de risq</w:t>
      </w:r>
      <w:r w:rsidR="002140E0" w:rsidRPr="004D3D70">
        <w:rPr>
          <w:lang w:val="fr-CH"/>
        </w:rPr>
        <w:t>ue</w:t>
      </w:r>
      <w:r w:rsidR="002140E0">
        <w:rPr>
          <w:lang w:val="fr-CH"/>
        </w:rPr>
        <w:t xml:space="preserve">.  </w:t>
      </w:r>
      <w:r w:rsidR="002140E0" w:rsidRPr="004D3D70">
        <w:rPr>
          <w:lang w:val="fr-CH"/>
        </w:rPr>
        <w:t>Le</w:t>
      </w:r>
      <w:r w:rsidR="003F0EEE">
        <w:rPr>
          <w:lang w:val="fr-CH" w:eastAsia="en-GB"/>
        </w:rPr>
        <w:t> </w:t>
      </w:r>
      <w:r w:rsidRPr="004D3D70">
        <w:rPr>
          <w:lang w:val="fr-CH"/>
        </w:rPr>
        <w:t>cas échéant, une provision est constituée pour compenser la valeur des comptes provenant des contributio</w:t>
      </w:r>
      <w:r w:rsidR="002140E0" w:rsidRPr="004D3D70">
        <w:rPr>
          <w:lang w:val="fr-CH"/>
        </w:rPr>
        <w:t>ns</w:t>
      </w:r>
      <w:r w:rsidR="002140E0">
        <w:rPr>
          <w:lang w:val="fr-CH"/>
        </w:rPr>
        <w:t xml:space="preserve">.  </w:t>
      </w:r>
      <w:r w:rsidR="002140E0" w:rsidRPr="004D3D70">
        <w:rPr>
          <w:lang w:val="fr-CH"/>
        </w:rPr>
        <w:t>Ce</w:t>
      </w:r>
      <w:r w:rsidRPr="004D3D70">
        <w:rPr>
          <w:lang w:val="fr-CH"/>
        </w:rPr>
        <w:t>tte provision couvre les montants dus pour les périodes antérieures à l</w:t>
      </w:r>
      <w:r w:rsidR="004D3D70">
        <w:rPr>
          <w:lang w:val="fr-CH"/>
        </w:rPr>
        <w:t>’</w:t>
      </w:r>
      <w:r w:rsidRPr="004D3D70">
        <w:rPr>
          <w:lang w:val="fr-CH"/>
        </w:rPr>
        <w:t>exercice biennal précédent.</w:t>
      </w:r>
    </w:p>
    <w:p w:rsidR="00905890" w:rsidRDefault="00905890" w:rsidP="00A824AF">
      <w:pPr>
        <w:rPr>
          <w:b/>
          <w:lang w:val="fr-CH"/>
        </w:rPr>
      </w:pPr>
    </w:p>
    <w:p w:rsidR="00905890" w:rsidRPr="004D3D70" w:rsidRDefault="0043308C" w:rsidP="0043308C">
      <w:pPr>
        <w:rPr>
          <w:b/>
          <w:lang w:val="fr-CH"/>
        </w:rPr>
      </w:pPr>
      <w:r w:rsidRPr="004D3D70">
        <w:rPr>
          <w:b/>
          <w:lang w:val="fr-CH"/>
        </w:rPr>
        <w:t>Risque de crédit</w:t>
      </w:r>
    </w:p>
    <w:p w:rsidR="00905890" w:rsidRPr="004D3D70" w:rsidRDefault="00905890" w:rsidP="00A824AF">
      <w:pPr>
        <w:rPr>
          <w:b/>
          <w:lang w:val="fr-CH"/>
        </w:rPr>
      </w:pPr>
    </w:p>
    <w:p w:rsidR="00905890" w:rsidRPr="004D3D70" w:rsidRDefault="0043308C" w:rsidP="0043308C">
      <w:pPr>
        <w:autoSpaceDE w:val="0"/>
        <w:autoSpaceDN w:val="0"/>
        <w:adjustRightInd w:val="0"/>
        <w:rPr>
          <w:lang w:val="fr-CH" w:eastAsia="en-GB"/>
        </w:rPr>
      </w:pPr>
      <w:r w:rsidRPr="004D3D70">
        <w:rPr>
          <w:lang w:val="fr-CH" w:eastAsia="en-GB"/>
        </w:rPr>
        <w:t>Le risque de crédit est le risque de pertes financières pour l</w:t>
      </w:r>
      <w:r w:rsidR="004D3D70">
        <w:rPr>
          <w:lang w:val="fr-CH" w:eastAsia="en-GB"/>
        </w:rPr>
        <w:t>’</w:t>
      </w:r>
      <w:r w:rsidRPr="004D3D70">
        <w:rPr>
          <w:lang w:val="fr-CH" w:eastAsia="en-GB"/>
        </w:rPr>
        <w:t>UPOV si les contreparties des instruments financiers ne remplissent pas leurs obligations contractuelles;  il émane principalement des montants à recevoir ainsi que de la trésorerie et des équivalents de trésorer</w:t>
      </w:r>
      <w:r w:rsidR="002140E0" w:rsidRPr="004D3D70">
        <w:rPr>
          <w:lang w:val="fr-CH" w:eastAsia="en-GB"/>
        </w:rPr>
        <w:t>ie</w:t>
      </w:r>
      <w:r w:rsidR="002140E0">
        <w:rPr>
          <w:lang w:val="fr-CH" w:eastAsia="en-GB"/>
        </w:rPr>
        <w:t xml:space="preserve">.  </w:t>
      </w:r>
      <w:r w:rsidR="002140E0" w:rsidRPr="004D3D70">
        <w:rPr>
          <w:lang w:val="fr-CH" w:eastAsia="en-GB"/>
        </w:rPr>
        <w:t>La</w:t>
      </w:r>
      <w:r w:rsidRPr="004D3D70">
        <w:rPr>
          <w:lang w:val="fr-CH" w:eastAsia="en-GB"/>
        </w:rPr>
        <w:t xml:space="preserve"> valeur comptable des actifs financiers représente l</w:t>
      </w:r>
      <w:r w:rsidR="004D3D70">
        <w:rPr>
          <w:lang w:val="fr-CH" w:eastAsia="en-GB"/>
        </w:rPr>
        <w:t>’</w:t>
      </w:r>
      <w:r w:rsidRPr="004D3D70">
        <w:rPr>
          <w:lang w:val="fr-CH" w:eastAsia="en-GB"/>
        </w:rPr>
        <w:t>exposition maximum au risque de crédit qui était au 3</w:t>
      </w:r>
      <w:r w:rsidR="004D3D70" w:rsidRPr="004D3D70">
        <w:rPr>
          <w:lang w:val="fr-CH" w:eastAsia="en-GB"/>
        </w:rPr>
        <w:t>1</w:t>
      </w:r>
      <w:r w:rsidR="004D3D70">
        <w:rPr>
          <w:lang w:val="fr-CH" w:eastAsia="en-GB"/>
        </w:rPr>
        <w:t> </w:t>
      </w:r>
      <w:r w:rsidR="004D3D70" w:rsidRPr="004D3D70">
        <w:rPr>
          <w:lang w:val="fr-CH" w:eastAsia="en-GB"/>
        </w:rPr>
        <w:t>décembre</w:t>
      </w:r>
      <w:r w:rsidR="004D3D70">
        <w:rPr>
          <w:lang w:val="fr-CH" w:eastAsia="en-GB"/>
        </w:rPr>
        <w:t> </w:t>
      </w:r>
      <w:r w:rsidR="004D3D70" w:rsidRPr="004D3D70">
        <w:rPr>
          <w:lang w:val="fr-CH" w:eastAsia="en-GB"/>
        </w:rPr>
        <w:t>20</w:t>
      </w:r>
      <w:r w:rsidR="003E1F18">
        <w:rPr>
          <w:lang w:val="fr-CH" w:eastAsia="en-GB"/>
        </w:rPr>
        <w:t>17</w:t>
      </w:r>
      <w:r w:rsidRPr="004D3D70">
        <w:rPr>
          <w:lang w:val="fr-CH" w:eastAsia="en-GB"/>
        </w:rPr>
        <w:t xml:space="preserve"> la suivante</w:t>
      </w:r>
      <w:r w:rsidR="004D3D70">
        <w:rPr>
          <w:lang w:val="fr-CH" w:eastAsia="en-GB"/>
        </w:rPr>
        <w:t> :</w:t>
      </w:r>
    </w:p>
    <w:p w:rsidR="00905890" w:rsidRPr="004D3D70" w:rsidRDefault="00905890" w:rsidP="00A824AF">
      <w:pPr>
        <w:autoSpaceDE w:val="0"/>
        <w:autoSpaceDN w:val="0"/>
        <w:adjustRightInd w:val="0"/>
        <w:rPr>
          <w:lang w:val="fr-CH" w:eastAsia="en-GB"/>
        </w:rPr>
      </w:pPr>
    </w:p>
    <w:p w:rsidR="00905890" w:rsidRPr="004D3D70" w:rsidRDefault="006F299D" w:rsidP="00A824AF">
      <w:pPr>
        <w:autoSpaceDE w:val="0"/>
        <w:autoSpaceDN w:val="0"/>
        <w:adjustRightInd w:val="0"/>
        <w:jc w:val="center"/>
        <w:rPr>
          <w:lang w:val="fr-CH" w:eastAsia="en-GB"/>
        </w:rPr>
      </w:pPr>
      <w:r w:rsidRPr="006F299D">
        <w:rPr>
          <w:noProof/>
          <w:lang w:val="en-US"/>
        </w:rPr>
        <w:drawing>
          <wp:inline distT="0" distB="0" distL="0" distR="0">
            <wp:extent cx="5448300" cy="984250"/>
            <wp:effectExtent l="0" t="0" r="0" b="635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48300" cy="984250"/>
                    </a:xfrm>
                    <a:prstGeom prst="rect">
                      <a:avLst/>
                    </a:prstGeom>
                    <a:noFill/>
                    <a:ln>
                      <a:noFill/>
                    </a:ln>
                  </pic:spPr>
                </pic:pic>
              </a:graphicData>
            </a:graphic>
          </wp:inline>
        </w:drawing>
      </w:r>
    </w:p>
    <w:p w:rsidR="00905890" w:rsidRPr="004D3D70" w:rsidRDefault="00905890" w:rsidP="00A824AF">
      <w:pPr>
        <w:rPr>
          <w:lang w:val="fr-CH"/>
        </w:rPr>
      </w:pPr>
    </w:p>
    <w:p w:rsidR="00905890" w:rsidRPr="004D3D70" w:rsidRDefault="0043308C" w:rsidP="0043308C">
      <w:pPr>
        <w:rPr>
          <w:lang w:val="fr-CH"/>
        </w:rPr>
      </w:pPr>
      <w:r w:rsidRPr="004D3D70">
        <w:rPr>
          <w:lang w:val="fr-CH"/>
        </w:rPr>
        <w:t>Les comptes débiteurs de l</w:t>
      </w:r>
      <w:r w:rsidR="004D3D70">
        <w:rPr>
          <w:lang w:val="fr-CH"/>
        </w:rPr>
        <w:t>’</w:t>
      </w:r>
      <w:r w:rsidRPr="004D3D70">
        <w:rPr>
          <w:lang w:val="fr-CH"/>
        </w:rPr>
        <w:t>UPOV proviennent presque exclusivement des membres de l</w:t>
      </w:r>
      <w:r w:rsidR="004D3D70">
        <w:rPr>
          <w:lang w:val="fr-CH"/>
        </w:rPr>
        <w:t>’</w:t>
      </w:r>
      <w:r w:rsidRPr="004D3D70">
        <w:rPr>
          <w:lang w:val="fr-CH"/>
        </w:rPr>
        <w:t>Union représentant des États souverains et des organisations intergouvernementales compétentes, ce pour quoi les risques de crédit sont considérés comme mineurs.</w:t>
      </w:r>
    </w:p>
    <w:p w:rsidR="00905890" w:rsidRPr="004D3D70" w:rsidRDefault="00905890" w:rsidP="00A824AF">
      <w:pPr>
        <w:rPr>
          <w:lang w:val="fr-CH"/>
        </w:rPr>
      </w:pPr>
    </w:p>
    <w:p w:rsidR="00905890" w:rsidRPr="004D3D70" w:rsidRDefault="0043308C" w:rsidP="0043308C">
      <w:pPr>
        <w:rPr>
          <w:lang w:val="fr-CH"/>
        </w:rPr>
      </w:pPr>
      <w:r w:rsidRPr="004D3D70">
        <w:rPr>
          <w:lang w:val="fr-CH"/>
        </w:rPr>
        <w:t>La trésorerie et les équivalents de trésorerie ne peuvent être confiés qu</w:t>
      </w:r>
      <w:r w:rsidR="004D3D70">
        <w:rPr>
          <w:lang w:val="fr-CH"/>
        </w:rPr>
        <w:t>’</w:t>
      </w:r>
      <w:r w:rsidRPr="004D3D70">
        <w:rPr>
          <w:lang w:val="fr-CH"/>
        </w:rPr>
        <w:t>à des institutions ayant une notation à court terme de A</w:t>
      </w:r>
      <w:r w:rsidR="004D3D70">
        <w:rPr>
          <w:lang w:val="fr-CH"/>
        </w:rPr>
        <w:t>-</w:t>
      </w:r>
      <w:r w:rsidRPr="004D3D70">
        <w:rPr>
          <w:lang w:val="fr-CH"/>
        </w:rPr>
        <w:t>2/P</w:t>
      </w:r>
      <w:r w:rsidR="004D3D70">
        <w:rPr>
          <w:lang w:val="fr-CH"/>
        </w:rPr>
        <w:t>-</w:t>
      </w:r>
      <w:r w:rsidRPr="004D3D70">
        <w:rPr>
          <w:lang w:val="fr-CH"/>
        </w:rPr>
        <w:t>2 ou une notation à long terme de A/A2.</w:t>
      </w:r>
      <w:r w:rsidR="00A824AF" w:rsidRPr="004D3D70">
        <w:rPr>
          <w:lang w:val="fr-CH"/>
        </w:rPr>
        <w:t xml:space="preserve"> </w:t>
      </w:r>
      <w:r w:rsidR="00AC2A6B">
        <w:rPr>
          <w:lang w:val="fr-CH"/>
        </w:rPr>
        <w:t xml:space="preserve"> </w:t>
      </w:r>
      <w:r w:rsidRPr="004D3D70">
        <w:rPr>
          <w:lang w:val="fr-CH"/>
        </w:rPr>
        <w:t>Par conséquent, les notes de crédit associées à la trésorerie et aux équivalents de trésorerie au 3</w:t>
      </w:r>
      <w:r w:rsidR="004D3D70" w:rsidRPr="004D3D70">
        <w:rPr>
          <w:lang w:val="fr-CH"/>
        </w:rPr>
        <w:t>1</w:t>
      </w:r>
      <w:r w:rsidR="004D3D70">
        <w:rPr>
          <w:lang w:val="fr-CH"/>
        </w:rPr>
        <w:t> </w:t>
      </w:r>
      <w:r w:rsidR="004D3D70" w:rsidRPr="004D3D70">
        <w:rPr>
          <w:lang w:val="fr-CH"/>
        </w:rPr>
        <w:t>décembre</w:t>
      </w:r>
      <w:r w:rsidR="004D3D70">
        <w:rPr>
          <w:lang w:val="fr-CH"/>
        </w:rPr>
        <w:t> </w:t>
      </w:r>
      <w:r w:rsidR="004D3D70" w:rsidRPr="004D3D70">
        <w:rPr>
          <w:lang w:val="fr-CH"/>
        </w:rPr>
        <w:t>20</w:t>
      </w:r>
      <w:r w:rsidRPr="004D3D70">
        <w:rPr>
          <w:lang w:val="fr-CH"/>
        </w:rPr>
        <w:t>17 sont les suivantes</w:t>
      </w:r>
      <w:r w:rsidR="004D3D70">
        <w:rPr>
          <w:lang w:val="fr-CH"/>
        </w:rPr>
        <w:t> :</w:t>
      </w:r>
    </w:p>
    <w:p w:rsidR="00905890" w:rsidRPr="004D3D70" w:rsidRDefault="00905890" w:rsidP="00A824AF">
      <w:pPr>
        <w:rPr>
          <w:lang w:val="fr-CH"/>
        </w:rPr>
      </w:pPr>
    </w:p>
    <w:p w:rsidR="00905890" w:rsidRPr="004D3D70" w:rsidRDefault="006F299D" w:rsidP="00F45269">
      <w:pPr>
        <w:jc w:val="center"/>
        <w:rPr>
          <w:lang w:val="fr-CH"/>
        </w:rPr>
      </w:pPr>
      <w:r w:rsidRPr="006F299D">
        <w:rPr>
          <w:noProof/>
          <w:lang w:val="en-US"/>
        </w:rPr>
        <w:lastRenderedPageBreak/>
        <w:drawing>
          <wp:inline distT="0" distB="0" distL="0" distR="0">
            <wp:extent cx="4314825" cy="14001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14825" cy="1400175"/>
                    </a:xfrm>
                    <a:prstGeom prst="rect">
                      <a:avLst/>
                    </a:prstGeom>
                    <a:noFill/>
                    <a:ln>
                      <a:noFill/>
                    </a:ln>
                  </pic:spPr>
                </pic:pic>
              </a:graphicData>
            </a:graphic>
          </wp:inline>
        </w:drawing>
      </w:r>
    </w:p>
    <w:p w:rsidR="00905890" w:rsidRPr="004D3D70" w:rsidRDefault="00905890" w:rsidP="00A824AF">
      <w:pPr>
        <w:rPr>
          <w:lang w:val="fr-CH"/>
        </w:rPr>
      </w:pPr>
    </w:p>
    <w:p w:rsidR="00905890" w:rsidRPr="004D3D70" w:rsidRDefault="0043308C" w:rsidP="0043308C">
      <w:pPr>
        <w:rPr>
          <w:b/>
          <w:lang w:val="fr-CH"/>
        </w:rPr>
      </w:pPr>
      <w:r w:rsidRPr="004D3D70">
        <w:rPr>
          <w:b/>
          <w:lang w:val="fr-CH"/>
        </w:rPr>
        <w:t>Risque de liquidité</w:t>
      </w:r>
    </w:p>
    <w:p w:rsidR="00905890" w:rsidRPr="004D3D70" w:rsidRDefault="00905890" w:rsidP="00A824AF">
      <w:pPr>
        <w:rPr>
          <w:b/>
          <w:lang w:val="fr-CH"/>
        </w:rPr>
      </w:pPr>
    </w:p>
    <w:p w:rsidR="00905890" w:rsidRPr="004D3D70" w:rsidRDefault="0043308C" w:rsidP="0043308C">
      <w:pPr>
        <w:autoSpaceDE w:val="0"/>
        <w:autoSpaceDN w:val="0"/>
        <w:adjustRightInd w:val="0"/>
        <w:rPr>
          <w:lang w:val="fr-CH"/>
        </w:rPr>
      </w:pPr>
      <w:r w:rsidRPr="004D3D70">
        <w:rPr>
          <w:lang w:val="fr-CH"/>
        </w:rPr>
        <w:t>Le risque de liquidité est le risque que court l</w:t>
      </w:r>
      <w:r w:rsidR="004D3D70">
        <w:rPr>
          <w:lang w:val="fr-CH"/>
        </w:rPr>
        <w:t>’</w:t>
      </w:r>
      <w:r w:rsidRPr="004D3D70">
        <w:rPr>
          <w:lang w:val="fr-CH"/>
        </w:rPr>
        <w:t>UPOV de ne pas pouvoir s</w:t>
      </w:r>
      <w:r w:rsidR="004D3D70">
        <w:rPr>
          <w:lang w:val="fr-CH"/>
        </w:rPr>
        <w:t>’</w:t>
      </w:r>
      <w:r w:rsidRPr="004D3D70">
        <w:rPr>
          <w:lang w:val="fr-CH"/>
        </w:rPr>
        <w:t>acquitter de ses obligations dans les délais voulus.  L</w:t>
      </w:r>
      <w:r w:rsidR="004D3D70">
        <w:rPr>
          <w:lang w:val="fr-CH"/>
        </w:rPr>
        <w:t>’</w:t>
      </w:r>
      <w:r w:rsidRPr="004D3D70">
        <w:rPr>
          <w:lang w:val="fr-CH"/>
        </w:rPr>
        <w:t>UPOV n</w:t>
      </w:r>
      <w:r w:rsidR="004D3D70">
        <w:rPr>
          <w:lang w:val="fr-CH"/>
        </w:rPr>
        <w:t>’</w:t>
      </w:r>
      <w:r w:rsidRPr="004D3D70">
        <w:rPr>
          <w:lang w:val="fr-CH"/>
        </w:rPr>
        <w:t>est pas fortement exposée au risque de liquidité car elle dispose de fonds de trésorerie considérabl</w:t>
      </w:r>
      <w:r w:rsidR="002140E0" w:rsidRPr="004D3D70">
        <w:rPr>
          <w:lang w:val="fr-CH"/>
        </w:rPr>
        <w:t>es</w:t>
      </w:r>
      <w:r w:rsidR="002140E0">
        <w:rPr>
          <w:lang w:val="fr-CH"/>
        </w:rPr>
        <w:t xml:space="preserve">.  </w:t>
      </w:r>
      <w:r w:rsidR="002140E0" w:rsidRPr="004D3D70">
        <w:rPr>
          <w:lang w:val="fr-CH"/>
        </w:rPr>
        <w:t>La</w:t>
      </w:r>
      <w:r w:rsidRPr="004D3D70">
        <w:rPr>
          <w:lang w:val="fr-CH"/>
        </w:rPr>
        <w:t xml:space="preserve"> politique en matière de placements exige que la trésorerie d</w:t>
      </w:r>
      <w:r w:rsidR="004D3D70">
        <w:rPr>
          <w:lang w:val="fr-CH"/>
        </w:rPr>
        <w:t>’</w:t>
      </w:r>
      <w:r w:rsidRPr="004D3D70">
        <w:rPr>
          <w:lang w:val="fr-CH"/>
        </w:rPr>
        <w:t>exploitation et les fonds propres soient placés de sorte à garantir la disponibilité des liquidités nécessaires pour répondre aux besoins en flux de trésorerie de l</w:t>
      </w:r>
      <w:r w:rsidR="004D3D70">
        <w:rPr>
          <w:lang w:val="fr-CH"/>
        </w:rPr>
        <w:t>’</w:t>
      </w:r>
      <w:r w:rsidRPr="004D3D70">
        <w:rPr>
          <w:lang w:val="fr-CH"/>
        </w:rPr>
        <w:t>UPOV.  Les soldes de trésorerie d</w:t>
      </w:r>
      <w:r w:rsidR="004D3D70">
        <w:rPr>
          <w:lang w:val="fr-CH"/>
        </w:rPr>
        <w:t>’</w:t>
      </w:r>
      <w:r w:rsidRPr="004D3D70">
        <w:rPr>
          <w:lang w:val="fr-CH"/>
        </w:rPr>
        <w:t>exploitation font l</w:t>
      </w:r>
      <w:r w:rsidR="004D3D70">
        <w:rPr>
          <w:lang w:val="fr-CH"/>
        </w:rPr>
        <w:t>’</w:t>
      </w:r>
      <w:r w:rsidRPr="004D3D70">
        <w:rPr>
          <w:lang w:val="fr-CH"/>
        </w:rPr>
        <w:t>objet de placements à court terme (périodes ayant une échéance de moins de 12</w:t>
      </w:r>
      <w:r w:rsidR="00BE23DA">
        <w:rPr>
          <w:lang w:val="fr-CH"/>
        </w:rPr>
        <w:t> </w:t>
      </w:r>
      <w:r w:rsidRPr="004D3D70">
        <w:rPr>
          <w:lang w:val="fr-CH"/>
        </w:rPr>
        <w:t>mois) dans des classes d</w:t>
      </w:r>
      <w:r w:rsidR="004D3D70">
        <w:rPr>
          <w:lang w:val="fr-CH"/>
        </w:rPr>
        <w:t>’</w:t>
      </w:r>
      <w:r w:rsidRPr="004D3D70">
        <w:rPr>
          <w:lang w:val="fr-CH"/>
        </w:rPr>
        <w:t>actifs à faible risque, facilement convertibles en liquidités à coût faible, voire n</w:t>
      </w:r>
      <w:r w:rsidR="002140E0" w:rsidRPr="004D3D70">
        <w:rPr>
          <w:lang w:val="fr-CH"/>
        </w:rPr>
        <w:t>ul</w:t>
      </w:r>
      <w:r w:rsidR="002140E0">
        <w:rPr>
          <w:lang w:val="fr-CH"/>
        </w:rPr>
        <w:t xml:space="preserve">.  </w:t>
      </w:r>
      <w:r w:rsidR="002140E0" w:rsidRPr="004D3D70">
        <w:rPr>
          <w:lang w:val="fr-CH"/>
        </w:rPr>
        <w:t>Le</w:t>
      </w:r>
      <w:r w:rsidRPr="004D3D70">
        <w:rPr>
          <w:lang w:val="fr-CH"/>
        </w:rPr>
        <w:t>s fonds propres font l</w:t>
      </w:r>
      <w:r w:rsidR="004D3D70">
        <w:rPr>
          <w:lang w:val="fr-CH"/>
        </w:rPr>
        <w:t>’</w:t>
      </w:r>
      <w:r w:rsidRPr="004D3D70">
        <w:rPr>
          <w:lang w:val="fr-CH"/>
        </w:rPr>
        <w:t>objet de placements à moyen terme (périodes de 12</w:t>
      </w:r>
      <w:r w:rsidR="00BE23DA">
        <w:rPr>
          <w:lang w:val="fr-CH"/>
        </w:rPr>
        <w:t> </w:t>
      </w:r>
      <w:r w:rsidRPr="004D3D70">
        <w:rPr>
          <w:lang w:val="fr-CH"/>
        </w:rPr>
        <w:t>mois minimum), de manière à ce qu</w:t>
      </w:r>
      <w:r w:rsidR="004D3D70">
        <w:rPr>
          <w:lang w:val="fr-CH"/>
        </w:rPr>
        <w:t>’</w:t>
      </w:r>
      <w:r w:rsidRPr="004D3D70">
        <w:rPr>
          <w:lang w:val="fr-CH"/>
        </w:rPr>
        <w:t>une partie d</w:t>
      </w:r>
      <w:r w:rsidR="004D3D70">
        <w:rPr>
          <w:lang w:val="fr-CH"/>
        </w:rPr>
        <w:t>’</w:t>
      </w:r>
      <w:r w:rsidRPr="004D3D70">
        <w:rPr>
          <w:lang w:val="fr-CH"/>
        </w:rPr>
        <w:t>entre eux soit accessible occasionnellement, ce qui permettrait à l</w:t>
      </w:r>
      <w:r w:rsidR="004D3D70">
        <w:rPr>
          <w:lang w:val="fr-CH"/>
        </w:rPr>
        <w:t>’</w:t>
      </w:r>
      <w:r w:rsidRPr="004D3D70">
        <w:rPr>
          <w:lang w:val="fr-CH"/>
        </w:rPr>
        <w:t>avenir, par exemple, d</w:t>
      </w:r>
      <w:r w:rsidR="004D3D70">
        <w:rPr>
          <w:lang w:val="fr-CH"/>
        </w:rPr>
        <w:t>’</w:t>
      </w:r>
      <w:r w:rsidRPr="004D3D70">
        <w:rPr>
          <w:lang w:val="fr-CH"/>
        </w:rPr>
        <w:t>échelonner les paiements importan</w:t>
      </w:r>
      <w:r w:rsidR="002140E0" w:rsidRPr="004D3D70">
        <w:rPr>
          <w:lang w:val="fr-CH"/>
        </w:rPr>
        <w:t>ts</w:t>
      </w:r>
      <w:r w:rsidR="002140E0">
        <w:rPr>
          <w:lang w:val="fr-CH"/>
        </w:rPr>
        <w:t xml:space="preserve">.  </w:t>
      </w:r>
      <w:r w:rsidR="002140E0" w:rsidRPr="004D3D70">
        <w:rPr>
          <w:lang w:val="fr-CH"/>
        </w:rPr>
        <w:t>La</w:t>
      </w:r>
      <w:r w:rsidRPr="004D3D70">
        <w:rPr>
          <w:lang w:val="fr-CH"/>
        </w:rPr>
        <w:t xml:space="preserve"> trésorerie stratégique doit être placée sur le long terme et n</w:t>
      </w:r>
      <w:r w:rsidR="004D3D70">
        <w:rPr>
          <w:lang w:val="fr-CH"/>
        </w:rPr>
        <w:t>’</w:t>
      </w:r>
      <w:r w:rsidRPr="004D3D70">
        <w:rPr>
          <w:lang w:val="fr-CH"/>
        </w:rPr>
        <w:t>a actuellement pas besoin de liquidités à court ou moyen terme.</w:t>
      </w:r>
    </w:p>
    <w:p w:rsidR="00905890" w:rsidRPr="004D3D70" w:rsidRDefault="00905890" w:rsidP="00A824AF">
      <w:pPr>
        <w:autoSpaceDE w:val="0"/>
        <w:autoSpaceDN w:val="0"/>
        <w:adjustRightInd w:val="0"/>
        <w:rPr>
          <w:lang w:val="fr-CH" w:eastAsia="en-GB"/>
        </w:rPr>
      </w:pPr>
    </w:p>
    <w:p w:rsidR="00905890" w:rsidRPr="004D3D70" w:rsidRDefault="0043308C" w:rsidP="0043308C">
      <w:pPr>
        <w:rPr>
          <w:b/>
          <w:lang w:val="fr-CH"/>
        </w:rPr>
      </w:pPr>
      <w:r w:rsidRPr="004D3D70">
        <w:rPr>
          <w:b/>
          <w:lang w:val="fr-CH"/>
        </w:rPr>
        <w:t>Risque de change</w:t>
      </w:r>
    </w:p>
    <w:p w:rsidR="00905890" w:rsidRPr="004D3D70" w:rsidRDefault="00905890" w:rsidP="00A824AF">
      <w:pPr>
        <w:autoSpaceDE w:val="0"/>
        <w:autoSpaceDN w:val="0"/>
        <w:adjustRightInd w:val="0"/>
        <w:rPr>
          <w:rFonts w:ascii="EYInterstate-Light" w:hAnsi="EYInterstate-Light" w:cs="EYInterstate-Light"/>
          <w:lang w:val="fr-CH" w:eastAsia="en-GB"/>
        </w:rPr>
      </w:pPr>
    </w:p>
    <w:p w:rsidR="004D3D70" w:rsidRDefault="0043308C" w:rsidP="0043308C">
      <w:pPr>
        <w:pStyle w:val="Style3"/>
        <w:spacing w:after="0"/>
        <w:rPr>
          <w:rFonts w:cs="Arial"/>
          <w:sz w:val="20"/>
          <w:lang w:val="fr-CH"/>
        </w:rPr>
      </w:pPr>
      <w:r w:rsidRPr="004D3D70">
        <w:rPr>
          <w:rFonts w:cs="Arial"/>
          <w:sz w:val="20"/>
          <w:lang w:val="fr-CH"/>
        </w:rPr>
        <w:t>L</w:t>
      </w:r>
      <w:r w:rsidR="004D3D70">
        <w:rPr>
          <w:rFonts w:cs="Arial"/>
          <w:sz w:val="20"/>
          <w:lang w:val="fr-CH"/>
        </w:rPr>
        <w:t>’</w:t>
      </w:r>
      <w:r w:rsidRPr="004D3D70">
        <w:rPr>
          <w:rFonts w:cs="Arial"/>
          <w:sz w:val="20"/>
          <w:lang w:val="fr-CH"/>
        </w:rPr>
        <w:t>UPOV perçoit des recettes provenant des ressources extrabudgétaires (fonds fiduciaires) et engage des dépenses dans d</w:t>
      </w:r>
      <w:r w:rsidR="004D3D70">
        <w:rPr>
          <w:rFonts w:cs="Arial"/>
          <w:sz w:val="20"/>
          <w:lang w:val="fr-CH"/>
        </w:rPr>
        <w:t>’</w:t>
      </w:r>
      <w:r w:rsidRPr="004D3D70">
        <w:rPr>
          <w:rFonts w:cs="Arial"/>
          <w:sz w:val="20"/>
          <w:lang w:val="fr-CH"/>
        </w:rPr>
        <w:t>autres monnaies que sa monnaie fonctionnelle (le franc suisse) et elle est donc exposée à un risque de change lié à l</w:t>
      </w:r>
      <w:r w:rsidR="004D3D70">
        <w:rPr>
          <w:rFonts w:cs="Arial"/>
          <w:sz w:val="20"/>
          <w:lang w:val="fr-CH"/>
        </w:rPr>
        <w:t>’</w:t>
      </w:r>
      <w:r w:rsidRPr="004D3D70">
        <w:rPr>
          <w:rFonts w:cs="Arial"/>
          <w:sz w:val="20"/>
          <w:lang w:val="fr-CH"/>
        </w:rPr>
        <w:t>évolution des cours de change.  L</w:t>
      </w:r>
      <w:r w:rsidR="004D3D70">
        <w:rPr>
          <w:rFonts w:cs="Arial"/>
          <w:sz w:val="20"/>
          <w:lang w:val="fr-CH"/>
        </w:rPr>
        <w:t>’</w:t>
      </w:r>
      <w:r w:rsidRPr="004D3D70">
        <w:rPr>
          <w:rFonts w:cs="Arial"/>
          <w:sz w:val="20"/>
          <w:lang w:val="fr-CH"/>
        </w:rPr>
        <w:t>UPOV n</w:t>
      </w:r>
      <w:r w:rsidR="004D3D70">
        <w:rPr>
          <w:rFonts w:cs="Arial"/>
          <w:sz w:val="20"/>
          <w:lang w:val="fr-CH"/>
        </w:rPr>
        <w:t>’</w:t>
      </w:r>
      <w:r w:rsidRPr="004D3D70">
        <w:rPr>
          <w:rFonts w:cs="Arial"/>
          <w:sz w:val="20"/>
          <w:lang w:val="fr-CH"/>
        </w:rPr>
        <w:t>a pas recours à des instruments financiers dérivés pour se protéger contre le risque de change.</w:t>
      </w:r>
    </w:p>
    <w:p w:rsidR="00905890" w:rsidRPr="004D3D70" w:rsidRDefault="00905890" w:rsidP="00F45269">
      <w:pPr>
        <w:rPr>
          <w:lang w:val="fr-CH"/>
        </w:rPr>
      </w:pPr>
    </w:p>
    <w:p w:rsidR="00905890" w:rsidRPr="004D3D70" w:rsidRDefault="0043308C" w:rsidP="0043308C">
      <w:pPr>
        <w:rPr>
          <w:b/>
          <w:bCs/>
          <w:lang w:val="fr-CH"/>
        </w:rPr>
      </w:pPr>
      <w:r w:rsidRPr="004D3D70">
        <w:rPr>
          <w:b/>
          <w:bCs/>
          <w:lang w:val="fr-CH"/>
        </w:rPr>
        <w:t>Risque de marché</w:t>
      </w:r>
    </w:p>
    <w:p w:rsidR="00905890" w:rsidRPr="004D3D70" w:rsidRDefault="00905890" w:rsidP="00A824AF">
      <w:pPr>
        <w:rPr>
          <w:lang w:val="fr-CH"/>
        </w:rPr>
      </w:pPr>
    </w:p>
    <w:p w:rsidR="004D3D70" w:rsidRDefault="0043308C" w:rsidP="0043308C">
      <w:pPr>
        <w:pStyle w:val="Style3"/>
        <w:spacing w:after="0"/>
        <w:rPr>
          <w:rFonts w:cs="Arial"/>
          <w:sz w:val="20"/>
          <w:lang w:val="fr-CH"/>
        </w:rPr>
      </w:pPr>
      <w:r w:rsidRPr="004D3D70">
        <w:rPr>
          <w:rFonts w:cs="Arial"/>
          <w:sz w:val="20"/>
          <w:lang w:val="fr-CH"/>
        </w:rPr>
        <w:t>Le risque de marché est le risque des variations des prix du marché comme les taux d</w:t>
      </w:r>
      <w:r w:rsidR="004D3D70">
        <w:rPr>
          <w:rFonts w:cs="Arial"/>
          <w:sz w:val="20"/>
          <w:lang w:val="fr-CH"/>
        </w:rPr>
        <w:t>’</w:t>
      </w:r>
      <w:r w:rsidRPr="004D3D70">
        <w:rPr>
          <w:rFonts w:cs="Arial"/>
          <w:sz w:val="20"/>
          <w:lang w:val="fr-CH"/>
        </w:rPr>
        <w:t>intérêt qui affectent le revenu de l</w:t>
      </w:r>
      <w:r w:rsidR="004D3D70">
        <w:rPr>
          <w:rFonts w:cs="Arial"/>
          <w:sz w:val="20"/>
          <w:lang w:val="fr-CH"/>
        </w:rPr>
        <w:t>’</w:t>
      </w:r>
      <w:r w:rsidRPr="004D3D70">
        <w:rPr>
          <w:rFonts w:cs="Arial"/>
          <w:sz w:val="20"/>
          <w:lang w:val="fr-CH"/>
        </w:rPr>
        <w:t>Union ou la valeur de ses instruments financiers.  L</w:t>
      </w:r>
      <w:r w:rsidR="004D3D70">
        <w:rPr>
          <w:rFonts w:cs="Arial"/>
          <w:sz w:val="20"/>
          <w:lang w:val="fr-CH"/>
        </w:rPr>
        <w:t>’</w:t>
      </w:r>
      <w:r w:rsidRPr="004D3D70">
        <w:rPr>
          <w:rFonts w:cs="Arial"/>
          <w:sz w:val="20"/>
          <w:lang w:val="fr-CH"/>
        </w:rPr>
        <w:t>UPOV n</w:t>
      </w:r>
      <w:r w:rsidR="004D3D70">
        <w:rPr>
          <w:rFonts w:cs="Arial"/>
          <w:sz w:val="20"/>
          <w:lang w:val="fr-CH"/>
        </w:rPr>
        <w:t>’</w:t>
      </w:r>
      <w:r w:rsidRPr="004D3D70">
        <w:rPr>
          <w:rFonts w:cs="Arial"/>
          <w:sz w:val="20"/>
          <w:lang w:val="fr-CH"/>
        </w:rPr>
        <w:t>est pas exposée au risque de baisse des taux d</w:t>
      </w:r>
      <w:r w:rsidR="004D3D70">
        <w:rPr>
          <w:rFonts w:cs="Arial"/>
          <w:sz w:val="20"/>
          <w:lang w:val="fr-CH"/>
        </w:rPr>
        <w:t>’</w:t>
      </w:r>
      <w:r w:rsidRPr="004D3D70">
        <w:rPr>
          <w:rFonts w:cs="Arial"/>
          <w:sz w:val="20"/>
          <w:lang w:val="fr-CH"/>
        </w:rPr>
        <w:t>intérêt, car son budget de fonctionnement n</w:t>
      </w:r>
      <w:r w:rsidR="004D3D70">
        <w:rPr>
          <w:rFonts w:cs="Arial"/>
          <w:sz w:val="20"/>
          <w:lang w:val="fr-CH"/>
        </w:rPr>
        <w:t>’</w:t>
      </w:r>
      <w:r w:rsidRPr="004D3D70">
        <w:rPr>
          <w:rFonts w:cs="Arial"/>
          <w:sz w:val="20"/>
          <w:lang w:val="fr-CH"/>
        </w:rPr>
        <w:t>est pas financé à partir des revenus des investissements.  L</w:t>
      </w:r>
      <w:r w:rsidR="004D3D70">
        <w:rPr>
          <w:rFonts w:cs="Arial"/>
          <w:sz w:val="20"/>
          <w:lang w:val="fr-CH"/>
        </w:rPr>
        <w:t>’</w:t>
      </w:r>
      <w:r w:rsidRPr="004D3D70">
        <w:rPr>
          <w:rFonts w:cs="Arial"/>
          <w:sz w:val="20"/>
          <w:lang w:val="fr-CH"/>
        </w:rPr>
        <w:t>UPOV n</w:t>
      </w:r>
      <w:r w:rsidR="004D3D70">
        <w:rPr>
          <w:rFonts w:cs="Arial"/>
          <w:sz w:val="20"/>
          <w:lang w:val="fr-CH"/>
        </w:rPr>
        <w:t>’</w:t>
      </w:r>
      <w:r w:rsidRPr="004D3D70">
        <w:rPr>
          <w:rFonts w:cs="Arial"/>
          <w:sz w:val="20"/>
          <w:lang w:val="fr-CH"/>
        </w:rPr>
        <w:t>a pas recours à des instruments financiers pour se protéger contre le risque de taux d</w:t>
      </w:r>
      <w:r w:rsidR="004D3D70">
        <w:rPr>
          <w:rFonts w:cs="Arial"/>
          <w:sz w:val="20"/>
          <w:lang w:val="fr-CH"/>
        </w:rPr>
        <w:t>’</w:t>
      </w:r>
      <w:r w:rsidRPr="004D3D70">
        <w:rPr>
          <w:rFonts w:cs="Arial"/>
          <w:sz w:val="20"/>
          <w:lang w:val="fr-CH"/>
        </w:rPr>
        <w:t>intérêt.</w:t>
      </w:r>
    </w:p>
    <w:p w:rsidR="00905890" w:rsidRDefault="00905890" w:rsidP="00A824AF">
      <w:pPr>
        <w:rPr>
          <w:lang w:val="fr-CH"/>
        </w:rPr>
      </w:pPr>
    </w:p>
    <w:p w:rsidR="00905890" w:rsidRPr="004D3D70" w:rsidRDefault="0043308C" w:rsidP="0043308C">
      <w:pPr>
        <w:rPr>
          <w:lang w:val="fr-CH"/>
        </w:rPr>
      </w:pPr>
      <w:r w:rsidRPr="004D3D70">
        <w:rPr>
          <w:lang w:val="fr-CH"/>
        </w:rPr>
        <w:t>Les taux d</w:t>
      </w:r>
      <w:r w:rsidR="004D3D70">
        <w:rPr>
          <w:lang w:val="fr-CH"/>
        </w:rPr>
        <w:t>’</w:t>
      </w:r>
      <w:r w:rsidRPr="004D3D70">
        <w:rPr>
          <w:lang w:val="fr-CH"/>
        </w:rPr>
        <w:t>intérêt et le profil de maturité des instruments financiers au 3</w:t>
      </w:r>
      <w:r w:rsidR="004D3D70" w:rsidRPr="004D3D70">
        <w:rPr>
          <w:lang w:val="fr-CH"/>
        </w:rPr>
        <w:t>1</w:t>
      </w:r>
      <w:r w:rsidR="004D3D70">
        <w:rPr>
          <w:lang w:val="fr-CH"/>
        </w:rPr>
        <w:t> </w:t>
      </w:r>
      <w:r w:rsidR="004D3D70" w:rsidRPr="004D3D70">
        <w:rPr>
          <w:lang w:val="fr-CH"/>
        </w:rPr>
        <w:t>décembre</w:t>
      </w:r>
      <w:r w:rsidR="004D3D70">
        <w:rPr>
          <w:lang w:val="fr-CH"/>
        </w:rPr>
        <w:t> </w:t>
      </w:r>
      <w:r w:rsidR="004D3D70" w:rsidRPr="004D3D70">
        <w:rPr>
          <w:lang w:val="fr-CH"/>
        </w:rPr>
        <w:t>20</w:t>
      </w:r>
      <w:r w:rsidRPr="004D3D70">
        <w:rPr>
          <w:lang w:val="fr-CH"/>
        </w:rPr>
        <w:t>17 et au 3</w:t>
      </w:r>
      <w:r w:rsidR="004D3D70" w:rsidRPr="004D3D70">
        <w:rPr>
          <w:lang w:val="fr-CH"/>
        </w:rPr>
        <w:t>1</w:t>
      </w:r>
      <w:r w:rsidR="004D3D70">
        <w:rPr>
          <w:lang w:val="fr-CH"/>
        </w:rPr>
        <w:t> </w:t>
      </w:r>
      <w:r w:rsidR="004D3D70" w:rsidRPr="004D3D70">
        <w:rPr>
          <w:lang w:val="fr-CH"/>
        </w:rPr>
        <w:t>décembre</w:t>
      </w:r>
      <w:r w:rsidR="004D3D70">
        <w:rPr>
          <w:lang w:val="fr-CH"/>
        </w:rPr>
        <w:t> </w:t>
      </w:r>
      <w:r w:rsidR="004D3D70" w:rsidRPr="004D3D70">
        <w:rPr>
          <w:lang w:val="fr-CH"/>
        </w:rPr>
        <w:t>20</w:t>
      </w:r>
      <w:r w:rsidRPr="004D3D70">
        <w:rPr>
          <w:lang w:val="fr-CH"/>
        </w:rPr>
        <w:t>16 se présentent comme suit</w:t>
      </w:r>
      <w:r w:rsidR="004D3D70">
        <w:rPr>
          <w:lang w:val="fr-CH"/>
        </w:rPr>
        <w:t> :</w:t>
      </w:r>
    </w:p>
    <w:p w:rsidR="00905890" w:rsidRPr="004D3D70" w:rsidRDefault="00905890" w:rsidP="00A824AF">
      <w:pPr>
        <w:rPr>
          <w:lang w:val="fr-CH"/>
        </w:rPr>
      </w:pPr>
    </w:p>
    <w:p w:rsidR="00905890" w:rsidRDefault="004A0A71" w:rsidP="00F45269">
      <w:pPr>
        <w:jc w:val="center"/>
        <w:rPr>
          <w:lang w:val="fr-CH"/>
        </w:rPr>
      </w:pPr>
      <w:r w:rsidRPr="004A0A71">
        <w:rPr>
          <w:noProof/>
          <w:lang w:val="en-US"/>
        </w:rPr>
        <w:drawing>
          <wp:inline distT="0" distB="0" distL="0" distR="0">
            <wp:extent cx="6120765" cy="13762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765" cy="1376267"/>
                    </a:xfrm>
                    <a:prstGeom prst="rect">
                      <a:avLst/>
                    </a:prstGeom>
                    <a:noFill/>
                    <a:ln>
                      <a:noFill/>
                    </a:ln>
                  </pic:spPr>
                </pic:pic>
              </a:graphicData>
            </a:graphic>
          </wp:inline>
        </w:drawing>
      </w:r>
    </w:p>
    <w:p w:rsidR="004A0A71" w:rsidRPr="004D3D70" w:rsidRDefault="004A0A71" w:rsidP="00F45269">
      <w:pPr>
        <w:jc w:val="center"/>
        <w:rPr>
          <w:lang w:val="fr-CH"/>
        </w:rPr>
      </w:pPr>
    </w:p>
    <w:p w:rsidR="00905890" w:rsidRPr="004D3D70" w:rsidRDefault="004A0A71" w:rsidP="00A824AF">
      <w:pPr>
        <w:jc w:val="center"/>
        <w:rPr>
          <w:lang w:val="fr-CH"/>
        </w:rPr>
      </w:pPr>
      <w:r w:rsidRPr="004A0A71">
        <w:rPr>
          <w:noProof/>
          <w:lang w:val="en-US"/>
        </w:rPr>
        <w:drawing>
          <wp:inline distT="0" distB="0" distL="0" distR="0">
            <wp:extent cx="6120765" cy="13762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1376267"/>
                    </a:xfrm>
                    <a:prstGeom prst="rect">
                      <a:avLst/>
                    </a:prstGeom>
                    <a:noFill/>
                    <a:ln>
                      <a:noFill/>
                    </a:ln>
                  </pic:spPr>
                </pic:pic>
              </a:graphicData>
            </a:graphic>
          </wp:inline>
        </w:drawing>
      </w:r>
    </w:p>
    <w:p w:rsidR="00905890" w:rsidRPr="004A0A71" w:rsidRDefault="00905890" w:rsidP="004A0A71"/>
    <w:p w:rsidR="00905890" w:rsidRPr="003D66AD" w:rsidRDefault="0043308C" w:rsidP="0043308C">
      <w:pPr>
        <w:jc w:val="left"/>
        <w:rPr>
          <w:b/>
          <w:lang w:val="fr-CH"/>
        </w:rPr>
      </w:pPr>
      <w:r w:rsidRPr="003D66AD">
        <w:rPr>
          <w:b/>
          <w:lang w:val="fr-CH"/>
        </w:rPr>
        <w:lastRenderedPageBreak/>
        <w:t>Analyse de sensibilité des taux d</w:t>
      </w:r>
      <w:r w:rsidR="004D3D70" w:rsidRPr="003D66AD">
        <w:rPr>
          <w:b/>
          <w:lang w:val="fr-CH"/>
        </w:rPr>
        <w:t>’</w:t>
      </w:r>
      <w:r w:rsidRPr="003D66AD">
        <w:rPr>
          <w:b/>
          <w:lang w:val="fr-CH"/>
        </w:rPr>
        <w:t>intérêt</w:t>
      </w:r>
    </w:p>
    <w:p w:rsidR="00905890" w:rsidRPr="003D66AD" w:rsidRDefault="00905890" w:rsidP="00A824AF">
      <w:pPr>
        <w:rPr>
          <w:lang w:val="fr-CH"/>
        </w:rPr>
      </w:pPr>
    </w:p>
    <w:p w:rsidR="00905890" w:rsidRPr="003D66AD" w:rsidRDefault="0043308C" w:rsidP="0043308C">
      <w:pPr>
        <w:rPr>
          <w:lang w:val="fr-CH"/>
        </w:rPr>
      </w:pPr>
      <w:r w:rsidRPr="003D66AD">
        <w:rPr>
          <w:lang w:val="fr-CH"/>
        </w:rPr>
        <w:t>Si le taux d</w:t>
      </w:r>
      <w:r w:rsidR="004D3D70" w:rsidRPr="003D66AD">
        <w:rPr>
          <w:lang w:val="fr-CH"/>
        </w:rPr>
        <w:t>’</w:t>
      </w:r>
      <w:r w:rsidRPr="003D66AD">
        <w:rPr>
          <w:lang w:val="fr-CH"/>
        </w:rPr>
        <w:t xml:space="preserve">intérêt moyen </w:t>
      </w:r>
      <w:r w:rsidR="004D3D70" w:rsidRPr="003D66AD">
        <w:rPr>
          <w:lang w:val="fr-CH"/>
        </w:rPr>
        <w:t>en 2017</w:t>
      </w:r>
      <w:r w:rsidRPr="003D66AD">
        <w:rPr>
          <w:lang w:val="fr-CH"/>
        </w:rPr>
        <w:t xml:space="preserve"> et 2016 avait été plus élevé ou plus bas de 50</w:t>
      </w:r>
      <w:r w:rsidR="00BE23DA" w:rsidRPr="003D66AD">
        <w:rPr>
          <w:lang w:val="fr-CH"/>
        </w:rPr>
        <w:t> </w:t>
      </w:r>
      <w:r w:rsidRPr="003D66AD">
        <w:rPr>
          <w:lang w:val="fr-CH"/>
        </w:rPr>
        <w:t>points, les intérêts perçus auraient été les suivants (calculs basés sur le montant des intérêts produits pour l</w:t>
      </w:r>
      <w:r w:rsidR="004D3D70" w:rsidRPr="003D66AD">
        <w:rPr>
          <w:lang w:val="fr-CH"/>
        </w:rPr>
        <w:t>’</w:t>
      </w:r>
      <w:r w:rsidRPr="003D66AD">
        <w:rPr>
          <w:lang w:val="fr-CH"/>
        </w:rPr>
        <w:t>année)</w:t>
      </w:r>
      <w:r w:rsidR="004D3D70" w:rsidRPr="003D66AD">
        <w:rPr>
          <w:lang w:val="fr-CH"/>
        </w:rPr>
        <w:t> :</w:t>
      </w:r>
    </w:p>
    <w:p w:rsidR="00905890" w:rsidRPr="003D66AD" w:rsidRDefault="00905890" w:rsidP="00A824AF">
      <w:pPr>
        <w:rPr>
          <w:lang w:val="fr-CH"/>
        </w:rPr>
      </w:pPr>
    </w:p>
    <w:p w:rsidR="00905890" w:rsidRPr="004D3D70" w:rsidRDefault="0076054F" w:rsidP="00A824AF">
      <w:pPr>
        <w:jc w:val="center"/>
        <w:rPr>
          <w:b/>
          <w:lang w:val="fr-CH"/>
        </w:rPr>
      </w:pPr>
      <w:r w:rsidRPr="0076054F">
        <w:rPr>
          <w:noProof/>
          <w:lang w:val="en-US"/>
        </w:rPr>
        <w:drawing>
          <wp:inline distT="0" distB="0" distL="0" distR="0">
            <wp:extent cx="4419600" cy="239395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19600" cy="2393950"/>
                    </a:xfrm>
                    <a:prstGeom prst="rect">
                      <a:avLst/>
                    </a:prstGeom>
                    <a:noFill/>
                    <a:ln>
                      <a:noFill/>
                    </a:ln>
                  </pic:spPr>
                </pic:pic>
              </a:graphicData>
            </a:graphic>
          </wp:inline>
        </w:drawing>
      </w:r>
    </w:p>
    <w:p w:rsidR="00905890" w:rsidRDefault="00905890" w:rsidP="003D66AD"/>
    <w:p w:rsidR="003D66AD" w:rsidRPr="003D66AD" w:rsidRDefault="003D66AD" w:rsidP="003D66AD"/>
    <w:p w:rsidR="00905890" w:rsidRPr="004D3D70" w:rsidRDefault="0043308C" w:rsidP="0043308C">
      <w:pPr>
        <w:pStyle w:val="Heading2Notes"/>
        <w:rPr>
          <w:lang w:val="fr-CH"/>
        </w:rPr>
      </w:pPr>
      <w:bookmarkStart w:id="32" w:name="_Toc523157905"/>
      <w:r w:rsidRPr="004D3D70">
        <w:rPr>
          <w:lang w:val="fr-CH"/>
        </w:rPr>
        <w:t>Note</w:t>
      </w:r>
      <w:r w:rsidR="00BE23DA">
        <w:rPr>
          <w:lang w:val="fr-CH"/>
        </w:rPr>
        <w:t> </w:t>
      </w:r>
      <w:r w:rsidRPr="004D3D70">
        <w:rPr>
          <w:lang w:val="fr-CH"/>
        </w:rPr>
        <w:t>16</w:t>
      </w:r>
      <w:r w:rsidR="004D3D70">
        <w:rPr>
          <w:lang w:val="fr-CH"/>
        </w:rPr>
        <w:t> :</w:t>
      </w:r>
      <w:r w:rsidR="00AC2193">
        <w:rPr>
          <w:lang w:val="fr-CH"/>
        </w:rPr>
        <w:tab/>
      </w:r>
      <w:r w:rsidRPr="004D3D70">
        <w:rPr>
          <w:lang w:val="fr-CH"/>
        </w:rPr>
        <w:t>Événements postérieurs à la date d</w:t>
      </w:r>
      <w:r w:rsidR="004D3D70">
        <w:rPr>
          <w:lang w:val="fr-CH"/>
        </w:rPr>
        <w:t>’</w:t>
      </w:r>
      <w:r w:rsidRPr="004D3D70">
        <w:rPr>
          <w:lang w:val="fr-CH"/>
        </w:rPr>
        <w:t>établissement des états financiers</w:t>
      </w:r>
      <w:bookmarkEnd w:id="32"/>
    </w:p>
    <w:p w:rsidR="00905890" w:rsidRPr="003D66AD" w:rsidRDefault="00905890" w:rsidP="003D66AD"/>
    <w:p w:rsidR="00905890" w:rsidRPr="004D3D70" w:rsidRDefault="0043308C" w:rsidP="0043308C">
      <w:pPr>
        <w:pStyle w:val="Styletexte"/>
        <w:spacing w:after="0"/>
        <w:rPr>
          <w:rFonts w:cs="Arial"/>
          <w:sz w:val="20"/>
          <w:lang w:val="fr-CH"/>
        </w:rPr>
      </w:pPr>
      <w:r w:rsidRPr="004D3D70">
        <w:rPr>
          <w:rFonts w:cs="Arial"/>
          <w:sz w:val="20"/>
          <w:lang w:val="fr-CH"/>
        </w:rPr>
        <w:t>La date d</w:t>
      </w:r>
      <w:r w:rsidR="004D3D70">
        <w:rPr>
          <w:rFonts w:cs="Arial"/>
          <w:sz w:val="20"/>
          <w:lang w:val="fr-CH"/>
        </w:rPr>
        <w:t>’</w:t>
      </w:r>
      <w:r w:rsidRPr="004D3D70">
        <w:rPr>
          <w:rFonts w:cs="Arial"/>
          <w:sz w:val="20"/>
          <w:lang w:val="fr-CH"/>
        </w:rPr>
        <w:t>établissement des états financiers de l</w:t>
      </w:r>
      <w:r w:rsidR="004D3D70">
        <w:rPr>
          <w:rFonts w:cs="Arial"/>
          <w:sz w:val="20"/>
          <w:lang w:val="fr-CH"/>
        </w:rPr>
        <w:t>’</w:t>
      </w:r>
      <w:r w:rsidRPr="004D3D70">
        <w:rPr>
          <w:rFonts w:cs="Arial"/>
          <w:sz w:val="20"/>
          <w:lang w:val="fr-CH"/>
        </w:rPr>
        <w:t>UPOV a été fixée au 31 décembre 2017 et leur publication au 25 </w:t>
      </w:r>
      <w:r w:rsidR="004D3D70" w:rsidRPr="004D3D70">
        <w:rPr>
          <w:rFonts w:cs="Arial"/>
          <w:sz w:val="20"/>
          <w:lang w:val="fr-CH"/>
        </w:rPr>
        <w:t>mai</w:t>
      </w:r>
      <w:r w:rsidR="004D3D70">
        <w:rPr>
          <w:rFonts w:cs="Arial"/>
          <w:sz w:val="20"/>
          <w:lang w:val="fr-CH"/>
        </w:rPr>
        <w:t> </w:t>
      </w:r>
      <w:r w:rsidR="004D3D70" w:rsidRPr="004D3D70">
        <w:rPr>
          <w:rFonts w:cs="Arial"/>
          <w:sz w:val="20"/>
          <w:lang w:val="fr-CH"/>
        </w:rPr>
        <w:t>20</w:t>
      </w:r>
      <w:r w:rsidRPr="004D3D70">
        <w:rPr>
          <w:rFonts w:cs="Arial"/>
          <w:sz w:val="20"/>
          <w:lang w:val="fr-CH"/>
        </w:rPr>
        <w:t>18.</w:t>
      </w:r>
      <w:r w:rsidR="00A824AF" w:rsidRPr="004D3D70">
        <w:rPr>
          <w:rFonts w:cs="Arial"/>
          <w:sz w:val="20"/>
          <w:lang w:val="fr-CH"/>
        </w:rPr>
        <w:t xml:space="preserve"> </w:t>
      </w:r>
      <w:r w:rsidR="00AC2A6B">
        <w:rPr>
          <w:rFonts w:cs="Arial"/>
          <w:sz w:val="20"/>
          <w:lang w:val="fr-CH"/>
        </w:rPr>
        <w:t xml:space="preserve"> </w:t>
      </w:r>
      <w:r w:rsidRPr="004D3D70">
        <w:rPr>
          <w:rFonts w:cs="Arial"/>
          <w:sz w:val="20"/>
          <w:lang w:val="fr-CH"/>
        </w:rPr>
        <w:t>Aucun événement favorable ou défavorable ne s</w:t>
      </w:r>
      <w:r w:rsidR="004D3D70">
        <w:rPr>
          <w:rFonts w:cs="Arial"/>
          <w:sz w:val="20"/>
          <w:lang w:val="fr-CH"/>
        </w:rPr>
        <w:t>’</w:t>
      </w:r>
      <w:r w:rsidRPr="004D3D70">
        <w:rPr>
          <w:rFonts w:cs="Arial"/>
          <w:sz w:val="20"/>
          <w:lang w:val="fr-CH"/>
        </w:rPr>
        <w:t>est produit entre la date d</w:t>
      </w:r>
      <w:r w:rsidR="004D3D70">
        <w:rPr>
          <w:rFonts w:cs="Arial"/>
          <w:sz w:val="20"/>
          <w:lang w:val="fr-CH"/>
        </w:rPr>
        <w:t>’</w:t>
      </w:r>
      <w:r w:rsidRPr="004D3D70">
        <w:rPr>
          <w:rFonts w:cs="Arial"/>
          <w:sz w:val="20"/>
          <w:lang w:val="fr-CH"/>
        </w:rPr>
        <w:t>établissement des états financiers et la date à laquelle la publication des états financiers a été autorisée.</w:t>
      </w:r>
    </w:p>
    <w:p w:rsidR="00905890" w:rsidRPr="003D66AD" w:rsidRDefault="00905890" w:rsidP="003D66AD"/>
    <w:p w:rsidR="00905890" w:rsidRPr="003D66AD" w:rsidRDefault="00905890" w:rsidP="003D66AD"/>
    <w:p w:rsidR="00905890" w:rsidRPr="004D3D70" w:rsidRDefault="0043308C" w:rsidP="0043308C">
      <w:pPr>
        <w:pStyle w:val="Heading2Notes"/>
        <w:rPr>
          <w:lang w:val="fr-CH"/>
        </w:rPr>
      </w:pPr>
      <w:bookmarkStart w:id="33" w:name="_Toc523157906"/>
      <w:r w:rsidRPr="004D3D70">
        <w:rPr>
          <w:lang w:val="fr-CH"/>
        </w:rPr>
        <w:t>Note</w:t>
      </w:r>
      <w:r w:rsidR="00BE23DA">
        <w:rPr>
          <w:lang w:val="fr-CH"/>
        </w:rPr>
        <w:t> </w:t>
      </w:r>
      <w:r w:rsidRPr="004D3D70">
        <w:rPr>
          <w:lang w:val="fr-CH"/>
        </w:rPr>
        <w:t>17</w:t>
      </w:r>
      <w:r w:rsidR="004D3D70">
        <w:rPr>
          <w:lang w:val="fr-CH"/>
        </w:rPr>
        <w:t> :</w:t>
      </w:r>
      <w:r w:rsidR="00AC2193">
        <w:rPr>
          <w:lang w:val="fr-CH"/>
        </w:rPr>
        <w:tab/>
      </w:r>
      <w:r w:rsidRPr="004D3D70">
        <w:rPr>
          <w:lang w:val="fr-CH"/>
        </w:rPr>
        <w:t>Information sectorielle</w:t>
      </w:r>
      <w:bookmarkEnd w:id="33"/>
    </w:p>
    <w:p w:rsidR="00905890" w:rsidRPr="003D66AD" w:rsidRDefault="00905890" w:rsidP="003D66AD"/>
    <w:p w:rsidR="00905890" w:rsidRPr="004D3D70" w:rsidRDefault="005B186C" w:rsidP="00A824AF">
      <w:pPr>
        <w:pStyle w:val="Styletexte"/>
        <w:spacing w:after="0"/>
        <w:rPr>
          <w:rFonts w:cs="Arial"/>
          <w:sz w:val="20"/>
          <w:lang w:val="fr-CH"/>
        </w:rPr>
      </w:pPr>
      <w:r w:rsidRPr="004D3D70">
        <w:rPr>
          <w:rFonts w:cs="Arial"/>
          <w:sz w:val="20"/>
          <w:lang w:val="fr-CH"/>
        </w:rPr>
        <w:t>L</w:t>
      </w:r>
      <w:r w:rsidR="004D3D70">
        <w:rPr>
          <w:rFonts w:cs="Arial"/>
          <w:sz w:val="20"/>
          <w:lang w:val="fr-CH"/>
        </w:rPr>
        <w:t>’</w:t>
      </w:r>
      <w:r w:rsidRPr="004D3D70">
        <w:rPr>
          <w:rFonts w:cs="Arial"/>
          <w:sz w:val="20"/>
          <w:lang w:val="fr-CH"/>
        </w:rPr>
        <w:t>information sectorielle est fondée sur les principales activités et sources de financement de l</w:t>
      </w:r>
      <w:r w:rsidR="004D3D70">
        <w:rPr>
          <w:rFonts w:cs="Arial"/>
          <w:sz w:val="20"/>
          <w:lang w:val="fr-CH"/>
        </w:rPr>
        <w:t>’</w:t>
      </w:r>
      <w:r w:rsidRPr="004D3D70">
        <w:rPr>
          <w:rFonts w:cs="Arial"/>
          <w:sz w:val="20"/>
          <w:lang w:val="fr-CH"/>
        </w:rPr>
        <w:t>UPOV</w:t>
      </w:r>
      <w:r w:rsidR="00A824AF" w:rsidRPr="004D3D70">
        <w:rPr>
          <w:rFonts w:cs="Arial"/>
          <w:sz w:val="20"/>
          <w:lang w:val="fr-CH"/>
        </w:rPr>
        <w:t xml:space="preserve">. </w:t>
      </w:r>
      <w:r w:rsidR="00E544FF" w:rsidRPr="004D3D70">
        <w:rPr>
          <w:rFonts w:cs="Arial"/>
          <w:sz w:val="20"/>
          <w:lang w:val="fr-CH"/>
        </w:rPr>
        <w:t xml:space="preserve"> L</w:t>
      </w:r>
      <w:r w:rsidR="004D3D70">
        <w:rPr>
          <w:rFonts w:cs="Arial"/>
          <w:sz w:val="20"/>
          <w:lang w:val="fr-CH"/>
        </w:rPr>
        <w:t>’</w:t>
      </w:r>
      <w:r w:rsidRPr="004D3D70">
        <w:rPr>
          <w:rFonts w:cs="Arial"/>
          <w:sz w:val="20"/>
          <w:lang w:val="fr-CH"/>
        </w:rPr>
        <w:t>UPOV publie des informations financières distinctes pour trois secteurs</w:t>
      </w:r>
      <w:r w:rsidR="004D3D70">
        <w:rPr>
          <w:rFonts w:cs="Arial"/>
          <w:sz w:val="20"/>
          <w:lang w:val="fr-CH"/>
        </w:rPr>
        <w:t> :</w:t>
      </w:r>
      <w:r w:rsidRPr="004D3D70">
        <w:rPr>
          <w:rFonts w:cs="Arial"/>
          <w:sz w:val="20"/>
          <w:lang w:val="fr-CH"/>
        </w:rPr>
        <w:t xml:space="preserve"> 1)</w:t>
      </w:r>
      <w:r w:rsidR="003D66AD">
        <w:rPr>
          <w:rFonts w:cs="Arial"/>
          <w:sz w:val="20"/>
          <w:lang w:val="fr-CH"/>
        </w:rPr>
        <w:t xml:space="preserve"> </w:t>
      </w:r>
      <w:r w:rsidRPr="004D3D70">
        <w:rPr>
          <w:rFonts w:cs="Arial"/>
          <w:sz w:val="20"/>
          <w:lang w:val="fr-CH"/>
        </w:rPr>
        <w:t>le programme et budget ordinaire;  2) les fonds fiduciaires (ressources extrabudg</w:t>
      </w:r>
      <w:r w:rsidR="003D66AD">
        <w:rPr>
          <w:rFonts w:cs="Arial"/>
          <w:sz w:val="20"/>
          <w:lang w:val="fr-CH"/>
        </w:rPr>
        <w:t xml:space="preserve">étaires);  et 3) </w:t>
      </w:r>
      <w:r w:rsidRPr="004D3D70">
        <w:rPr>
          <w:rFonts w:cs="Arial"/>
          <w:sz w:val="20"/>
          <w:lang w:val="fr-CH"/>
        </w:rPr>
        <w:t>le Fonds spécial pour des proje</w:t>
      </w:r>
      <w:r w:rsidR="002140E0" w:rsidRPr="004D3D70">
        <w:rPr>
          <w:rFonts w:cs="Arial"/>
          <w:sz w:val="20"/>
          <w:lang w:val="fr-CH"/>
        </w:rPr>
        <w:t>ts</w:t>
      </w:r>
      <w:r w:rsidR="002140E0">
        <w:rPr>
          <w:rFonts w:cs="Arial"/>
          <w:sz w:val="20"/>
          <w:lang w:val="fr-CH"/>
        </w:rPr>
        <w:t xml:space="preserve">.  </w:t>
      </w:r>
      <w:r w:rsidR="002140E0" w:rsidRPr="004D3D70">
        <w:rPr>
          <w:rFonts w:cs="Arial"/>
          <w:sz w:val="20"/>
          <w:lang w:val="fr-CH"/>
        </w:rPr>
        <w:t>Le</w:t>
      </w:r>
      <w:r w:rsidRPr="004D3D70">
        <w:rPr>
          <w:rFonts w:cs="Arial"/>
          <w:sz w:val="20"/>
          <w:lang w:val="fr-CH"/>
        </w:rPr>
        <w:t>s fonds fiduciaires représentent les montants administrés par l</w:t>
      </w:r>
      <w:r w:rsidR="004D3D70">
        <w:rPr>
          <w:rFonts w:cs="Arial"/>
          <w:sz w:val="20"/>
          <w:lang w:val="fr-CH"/>
        </w:rPr>
        <w:t>’</w:t>
      </w:r>
      <w:r w:rsidRPr="004D3D70">
        <w:rPr>
          <w:rFonts w:cs="Arial"/>
          <w:sz w:val="20"/>
          <w:lang w:val="fr-CH"/>
        </w:rPr>
        <w:t>UPOV pour le compte de donateurs individuels pour mettre en œuvre des programmes liés aux principes, aux buts et aux activités de l</w:t>
      </w:r>
      <w:r w:rsidR="004D3D70">
        <w:rPr>
          <w:rFonts w:cs="Arial"/>
          <w:sz w:val="20"/>
          <w:lang w:val="fr-CH"/>
        </w:rPr>
        <w:t>’</w:t>
      </w:r>
      <w:r w:rsidRPr="004D3D70">
        <w:rPr>
          <w:rFonts w:cs="Arial"/>
          <w:sz w:val="20"/>
          <w:lang w:val="fr-CH"/>
        </w:rPr>
        <w:t>UPOV</w:t>
      </w:r>
      <w:r w:rsidR="00A824AF" w:rsidRPr="004D3D70">
        <w:rPr>
          <w:rFonts w:cs="Arial"/>
          <w:sz w:val="20"/>
          <w:lang w:val="fr-CH"/>
        </w:rPr>
        <w:t xml:space="preserve">. </w:t>
      </w:r>
      <w:r w:rsidRPr="004D3D70">
        <w:rPr>
          <w:rFonts w:cs="Arial"/>
          <w:sz w:val="20"/>
          <w:lang w:val="fr-CH"/>
        </w:rPr>
        <w:t xml:space="preserve"> Le Fonds spécial pour des projets représente le montant du fonds de réserve dépassant 15% des recettes totales pour l</w:t>
      </w:r>
      <w:r w:rsidR="004D3D70">
        <w:rPr>
          <w:rFonts w:cs="Arial"/>
          <w:sz w:val="20"/>
          <w:lang w:val="fr-CH"/>
        </w:rPr>
        <w:t>’</w:t>
      </w:r>
      <w:r w:rsidRPr="004D3D70">
        <w:rPr>
          <w:rFonts w:cs="Arial"/>
          <w:sz w:val="20"/>
          <w:lang w:val="fr-CH"/>
        </w:rPr>
        <w:t>exercice biennal précédent qui est utilisé pour financer des projets acceptés par le Conse</w:t>
      </w:r>
      <w:r w:rsidR="002140E0" w:rsidRPr="004D3D70">
        <w:rPr>
          <w:rFonts w:cs="Arial"/>
          <w:sz w:val="20"/>
          <w:lang w:val="fr-CH"/>
        </w:rPr>
        <w:t>il</w:t>
      </w:r>
      <w:r w:rsidR="002140E0">
        <w:rPr>
          <w:rFonts w:cs="Arial"/>
          <w:sz w:val="20"/>
          <w:lang w:val="fr-CH"/>
        </w:rPr>
        <w:t xml:space="preserve">.  </w:t>
      </w:r>
      <w:r w:rsidR="002140E0" w:rsidRPr="004D3D70">
        <w:rPr>
          <w:rFonts w:cs="Arial"/>
          <w:sz w:val="20"/>
          <w:lang w:val="fr-CH"/>
        </w:rPr>
        <w:t>Le</w:t>
      </w:r>
      <w:r w:rsidR="003D66AD">
        <w:rPr>
          <w:rFonts w:cs="Arial"/>
          <w:sz w:val="20"/>
          <w:lang w:val="fr-CH"/>
        </w:rPr>
        <w:t> </w:t>
      </w:r>
      <w:r w:rsidR="00905890" w:rsidRPr="004D3D70">
        <w:rPr>
          <w:rFonts w:cs="Arial"/>
          <w:sz w:val="20"/>
          <w:lang w:val="fr-CH"/>
        </w:rPr>
        <w:t>programme et budget ordinaire, les fonds fiduciaires et le Fonds spécial pour des projets sont comptabilisés séparément dans le syst</w:t>
      </w:r>
      <w:r w:rsidR="00214705">
        <w:rPr>
          <w:rFonts w:cs="Arial"/>
          <w:sz w:val="20"/>
          <w:lang w:val="fr-CH"/>
        </w:rPr>
        <w:t>ème de comptabilité financière.</w:t>
      </w:r>
    </w:p>
    <w:p w:rsidR="000A441A" w:rsidRDefault="000A441A">
      <w:pPr>
        <w:jc w:val="left"/>
        <w:rPr>
          <w:rFonts w:cs="Arial"/>
          <w:lang w:val="fr-CH"/>
        </w:rPr>
      </w:pPr>
      <w:r>
        <w:rPr>
          <w:rFonts w:cs="Arial"/>
          <w:lang w:val="fr-CH"/>
        </w:rPr>
        <w:br w:type="page"/>
      </w:r>
    </w:p>
    <w:p w:rsidR="00905890" w:rsidRPr="004D3D70" w:rsidRDefault="00905890" w:rsidP="00905890">
      <w:pPr>
        <w:jc w:val="center"/>
        <w:rPr>
          <w:b/>
          <w:lang w:val="fr-CH"/>
        </w:rPr>
      </w:pPr>
      <w:r w:rsidRPr="004D3D70">
        <w:rPr>
          <w:b/>
          <w:lang w:val="fr-CH"/>
        </w:rPr>
        <w:lastRenderedPageBreak/>
        <w:t>État de la situation financière par secteur</w:t>
      </w:r>
    </w:p>
    <w:p w:rsidR="00905890" w:rsidRPr="004D3D70" w:rsidRDefault="00905890" w:rsidP="00905890">
      <w:pPr>
        <w:jc w:val="center"/>
        <w:rPr>
          <w:b/>
          <w:lang w:val="fr-CH"/>
        </w:rPr>
      </w:pPr>
      <w:r w:rsidRPr="004D3D70">
        <w:rPr>
          <w:b/>
          <w:lang w:val="fr-CH"/>
        </w:rPr>
        <w:t>au 31 décembre 2017</w:t>
      </w:r>
    </w:p>
    <w:p w:rsidR="00905890" w:rsidRPr="004D3D70" w:rsidRDefault="00905890" w:rsidP="00905890">
      <w:pPr>
        <w:jc w:val="center"/>
        <w:rPr>
          <w:i/>
          <w:lang w:val="fr-CH"/>
        </w:rPr>
      </w:pPr>
      <w:r w:rsidRPr="004D3D70">
        <w:rPr>
          <w:i/>
          <w:lang w:val="fr-CH"/>
        </w:rPr>
        <w:t>(en francs suisses)</w:t>
      </w:r>
    </w:p>
    <w:p w:rsidR="00905890" w:rsidRPr="004D3D70" w:rsidRDefault="00905890" w:rsidP="00A824AF">
      <w:pPr>
        <w:jc w:val="center"/>
        <w:rPr>
          <w:b/>
          <w:lang w:val="fr-CH"/>
        </w:rPr>
      </w:pPr>
    </w:p>
    <w:p w:rsidR="00905890" w:rsidRPr="004D3D70" w:rsidRDefault="00905890" w:rsidP="00A824AF">
      <w:pPr>
        <w:jc w:val="center"/>
        <w:rPr>
          <w:b/>
          <w:lang w:val="fr-CH"/>
        </w:rPr>
      </w:pPr>
    </w:p>
    <w:p w:rsidR="00905890" w:rsidRPr="004D3D70" w:rsidRDefault="0076054F" w:rsidP="00A824AF">
      <w:pPr>
        <w:jc w:val="center"/>
        <w:rPr>
          <w:b/>
          <w:lang w:val="fr-CH"/>
        </w:rPr>
      </w:pPr>
      <w:r w:rsidRPr="0076054F">
        <w:rPr>
          <w:noProof/>
          <w:lang w:val="en-US"/>
        </w:rPr>
        <w:drawing>
          <wp:inline distT="0" distB="0" distL="0" distR="0" wp14:anchorId="5BB858FE" wp14:editId="4A3ADF0A">
            <wp:extent cx="6120765" cy="4447223"/>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4447223"/>
                    </a:xfrm>
                    <a:prstGeom prst="rect">
                      <a:avLst/>
                    </a:prstGeom>
                    <a:noFill/>
                    <a:ln>
                      <a:noFill/>
                    </a:ln>
                  </pic:spPr>
                </pic:pic>
              </a:graphicData>
            </a:graphic>
          </wp:inline>
        </w:drawing>
      </w:r>
    </w:p>
    <w:p w:rsidR="00905890" w:rsidRPr="004D3D70" w:rsidRDefault="00905890" w:rsidP="00A824AF">
      <w:pPr>
        <w:jc w:val="center"/>
        <w:rPr>
          <w:lang w:val="fr-CH"/>
        </w:rPr>
      </w:pPr>
    </w:p>
    <w:p w:rsidR="00905890" w:rsidRPr="004D3D70" w:rsidRDefault="00905890" w:rsidP="00A824AF">
      <w:pPr>
        <w:jc w:val="center"/>
        <w:rPr>
          <w:b/>
          <w:lang w:val="fr-CH"/>
        </w:rPr>
      </w:pPr>
    </w:p>
    <w:p w:rsidR="00905890" w:rsidRPr="004D3D70" w:rsidRDefault="00A824AF" w:rsidP="00905890">
      <w:pPr>
        <w:jc w:val="center"/>
        <w:rPr>
          <w:b/>
          <w:lang w:val="fr-CH"/>
        </w:rPr>
      </w:pPr>
      <w:r w:rsidRPr="004D3D70">
        <w:rPr>
          <w:b/>
          <w:lang w:val="fr-CH"/>
        </w:rPr>
        <w:br w:type="page"/>
      </w:r>
      <w:r w:rsidR="00905890" w:rsidRPr="004D3D70">
        <w:rPr>
          <w:b/>
          <w:lang w:val="fr-CH"/>
        </w:rPr>
        <w:lastRenderedPageBreak/>
        <w:t>État de la performance financière par segment</w:t>
      </w:r>
    </w:p>
    <w:p w:rsidR="00905890" w:rsidRPr="004D3D70" w:rsidRDefault="00905890" w:rsidP="00905890">
      <w:pPr>
        <w:jc w:val="center"/>
        <w:rPr>
          <w:b/>
          <w:lang w:val="fr-CH"/>
        </w:rPr>
      </w:pPr>
      <w:r w:rsidRPr="004D3D70">
        <w:rPr>
          <w:b/>
          <w:lang w:val="fr-CH"/>
        </w:rPr>
        <w:t>pour l</w:t>
      </w:r>
      <w:r w:rsidR="004D3D70">
        <w:rPr>
          <w:b/>
          <w:lang w:val="fr-CH"/>
        </w:rPr>
        <w:t>’</w:t>
      </w:r>
      <w:r w:rsidRPr="004D3D70">
        <w:rPr>
          <w:b/>
          <w:lang w:val="fr-CH"/>
        </w:rPr>
        <w:t>année s</w:t>
      </w:r>
      <w:r w:rsidR="004D3D70">
        <w:rPr>
          <w:b/>
          <w:lang w:val="fr-CH"/>
        </w:rPr>
        <w:t>’</w:t>
      </w:r>
      <w:r w:rsidRPr="004D3D70">
        <w:rPr>
          <w:b/>
          <w:lang w:val="fr-CH"/>
        </w:rPr>
        <w:t>achevant le 31 décembre 2017</w:t>
      </w:r>
    </w:p>
    <w:p w:rsidR="00905890" w:rsidRPr="004D3D70" w:rsidRDefault="00905890" w:rsidP="00905890">
      <w:pPr>
        <w:jc w:val="center"/>
        <w:rPr>
          <w:i/>
          <w:lang w:val="fr-CH"/>
        </w:rPr>
      </w:pPr>
      <w:r w:rsidRPr="004D3D70">
        <w:rPr>
          <w:i/>
          <w:lang w:val="fr-CH"/>
        </w:rPr>
        <w:t>(en francs suisses)</w:t>
      </w:r>
    </w:p>
    <w:p w:rsidR="00905890" w:rsidRPr="004D3D70" w:rsidRDefault="002B5EC5" w:rsidP="00A824AF">
      <w:pPr>
        <w:jc w:val="center"/>
        <w:rPr>
          <w:lang w:val="fr-CH"/>
        </w:rPr>
      </w:pPr>
      <w:r w:rsidRPr="004D3D70">
        <w:rPr>
          <w:lang w:val="fr-CH"/>
        </w:rPr>
        <w:br/>
      </w:r>
    </w:p>
    <w:p w:rsidR="00905890" w:rsidRPr="004D3D70" w:rsidRDefault="00E51ECB" w:rsidP="00A824AF">
      <w:pPr>
        <w:jc w:val="center"/>
        <w:rPr>
          <w:lang w:val="fr-CH"/>
        </w:rPr>
      </w:pPr>
      <w:r w:rsidRPr="00E51ECB">
        <w:rPr>
          <w:noProof/>
          <w:lang w:val="en-US"/>
        </w:rPr>
        <w:drawing>
          <wp:inline distT="0" distB="0" distL="0" distR="0">
            <wp:extent cx="6120765" cy="43840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0765" cy="4384072"/>
                    </a:xfrm>
                    <a:prstGeom prst="rect">
                      <a:avLst/>
                    </a:prstGeom>
                    <a:noFill/>
                    <a:ln>
                      <a:noFill/>
                    </a:ln>
                  </pic:spPr>
                </pic:pic>
              </a:graphicData>
            </a:graphic>
          </wp:inline>
        </w:drawing>
      </w:r>
    </w:p>
    <w:p w:rsidR="00905890" w:rsidRPr="004D3D70" w:rsidRDefault="00905890" w:rsidP="00A824AF">
      <w:pPr>
        <w:jc w:val="center"/>
        <w:rPr>
          <w:lang w:val="fr-CH"/>
        </w:rPr>
      </w:pPr>
    </w:p>
    <w:p w:rsidR="00905890" w:rsidRPr="004D3D70" w:rsidRDefault="00905890" w:rsidP="00A824AF">
      <w:pPr>
        <w:jc w:val="center"/>
        <w:rPr>
          <w:lang w:val="fr-CH"/>
        </w:rPr>
      </w:pPr>
    </w:p>
    <w:p w:rsidR="00905890" w:rsidRPr="004D3D70" w:rsidRDefault="00905890" w:rsidP="00A824AF">
      <w:pPr>
        <w:jc w:val="center"/>
        <w:rPr>
          <w:lang w:val="fr-CH"/>
        </w:rPr>
      </w:pPr>
    </w:p>
    <w:p w:rsidR="00905890" w:rsidRPr="004D3D70" w:rsidRDefault="00905890" w:rsidP="00905890">
      <w:pPr>
        <w:jc w:val="right"/>
        <w:rPr>
          <w:lang w:val="fr-CH"/>
        </w:rPr>
      </w:pPr>
      <w:r w:rsidRPr="004D3D70">
        <w:rPr>
          <w:lang w:val="fr-CH"/>
        </w:rPr>
        <w:t>[Fin de l</w:t>
      </w:r>
      <w:r w:rsidR="004D3D70">
        <w:rPr>
          <w:lang w:val="fr-CH"/>
        </w:rPr>
        <w:t>’</w:t>
      </w:r>
      <w:r w:rsidRPr="004D3D70">
        <w:rPr>
          <w:lang w:val="fr-CH"/>
        </w:rPr>
        <w:t>annexe et du document]</w:t>
      </w:r>
    </w:p>
    <w:p w:rsidR="00905890" w:rsidRPr="004D3D70" w:rsidRDefault="00905890" w:rsidP="009B440E">
      <w:pPr>
        <w:jc w:val="left"/>
        <w:rPr>
          <w:lang w:val="fr-CH"/>
        </w:rPr>
      </w:pPr>
    </w:p>
    <w:sectPr w:rsidR="00905890" w:rsidRPr="004D3D70" w:rsidSect="00191695">
      <w:headerReference w:type="default" r:id="rId51"/>
      <w:headerReference w:type="first" r:id="rId52"/>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E33" w:rsidRDefault="00F23E33" w:rsidP="006655D3">
      <w:r>
        <w:separator/>
      </w:r>
    </w:p>
    <w:p w:rsidR="00F23E33" w:rsidRDefault="00F23E33" w:rsidP="006655D3"/>
    <w:p w:rsidR="00F23E33" w:rsidRDefault="00F23E33" w:rsidP="006655D3"/>
  </w:endnote>
  <w:endnote w:type="continuationSeparator" w:id="0">
    <w:p w:rsidR="00F23E33" w:rsidRDefault="00F23E33" w:rsidP="006655D3">
      <w:r>
        <w:separator/>
      </w:r>
    </w:p>
    <w:p w:rsidR="00F23E33" w:rsidRPr="00294751" w:rsidRDefault="00F23E33">
      <w:pPr>
        <w:pStyle w:val="Footer"/>
        <w:spacing w:after="60"/>
        <w:rPr>
          <w:sz w:val="18"/>
          <w:lang w:val="fr-FR"/>
        </w:rPr>
      </w:pPr>
      <w:r w:rsidRPr="00294751">
        <w:rPr>
          <w:sz w:val="18"/>
          <w:lang w:val="fr-FR"/>
        </w:rPr>
        <w:t>[Suite de la note de la page précédente]</w:t>
      </w:r>
    </w:p>
    <w:p w:rsidR="00F23E33" w:rsidRPr="00294751" w:rsidRDefault="00F23E33" w:rsidP="006655D3"/>
    <w:p w:rsidR="00F23E33" w:rsidRPr="00294751" w:rsidRDefault="00F23E33" w:rsidP="006655D3"/>
  </w:endnote>
  <w:endnote w:type="continuationNotice" w:id="1">
    <w:p w:rsidR="00F23E33" w:rsidRPr="00294751" w:rsidRDefault="00F23E33" w:rsidP="006655D3">
      <w:r w:rsidRPr="00294751">
        <w:t>[Suite de la note page suivante]</w:t>
      </w:r>
    </w:p>
    <w:p w:rsidR="00F23E33" w:rsidRPr="00294751" w:rsidRDefault="00F23E33" w:rsidP="006655D3"/>
    <w:p w:rsidR="00F23E33" w:rsidRPr="00294751" w:rsidRDefault="00F23E33"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E33" w:rsidRDefault="00F23E33" w:rsidP="006655D3">
      <w:r>
        <w:separator/>
      </w:r>
    </w:p>
  </w:footnote>
  <w:footnote w:type="continuationSeparator" w:id="0">
    <w:p w:rsidR="00F23E33" w:rsidRDefault="00F23E33" w:rsidP="006655D3">
      <w:r>
        <w:separator/>
      </w:r>
    </w:p>
  </w:footnote>
  <w:footnote w:type="continuationNotice" w:id="1">
    <w:p w:rsidR="00F23E33" w:rsidRPr="00AB530F" w:rsidRDefault="00F23E3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33" w:rsidRPr="00C5280D" w:rsidRDefault="00F23E33" w:rsidP="00EB048E">
    <w:pPr>
      <w:pStyle w:val="Header"/>
      <w:rPr>
        <w:rStyle w:val="PageNumber"/>
        <w:lang w:val="en-US"/>
      </w:rPr>
    </w:pPr>
    <w:r>
      <w:rPr>
        <w:rStyle w:val="PageNumber"/>
        <w:lang w:val="en-US"/>
      </w:rPr>
      <w:t>C/51/</w:t>
    </w:r>
  </w:p>
  <w:p w:rsidR="00F23E33" w:rsidRPr="00C5280D" w:rsidRDefault="00F23E33"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33</w:t>
    </w:r>
    <w:r w:rsidRPr="00C5280D">
      <w:rPr>
        <w:rStyle w:val="PageNumber"/>
        <w:lang w:val="en-US"/>
      </w:rPr>
      <w:fldChar w:fldCharType="end"/>
    </w:r>
  </w:p>
  <w:p w:rsidR="00F23E33" w:rsidRPr="00C5280D" w:rsidRDefault="00F23E33"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33" w:rsidRPr="00C5280D" w:rsidRDefault="00F23E33" w:rsidP="00EB048E">
    <w:pPr>
      <w:pStyle w:val="Header"/>
      <w:rPr>
        <w:rStyle w:val="PageNumber"/>
        <w:lang w:val="en-US"/>
      </w:rPr>
    </w:pPr>
    <w:r>
      <w:rPr>
        <w:rStyle w:val="PageNumber"/>
        <w:lang w:val="en-US"/>
      </w:rPr>
      <w:t>C/52/12</w:t>
    </w:r>
  </w:p>
  <w:p w:rsidR="00F23E33" w:rsidRPr="00C5280D" w:rsidRDefault="00F23E33" w:rsidP="00EB048E">
    <w:pPr>
      <w:pStyle w:val="Header"/>
      <w:rPr>
        <w:lang w:val="en-US"/>
      </w:rPr>
    </w:pPr>
    <w:r w:rsidRPr="00537F66">
      <w:t>Annexe</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215F">
      <w:rPr>
        <w:rStyle w:val="PageNumber"/>
        <w:noProof/>
        <w:lang w:val="en-US"/>
      </w:rPr>
      <w:t>20</w:t>
    </w:r>
    <w:r w:rsidRPr="00C5280D">
      <w:rPr>
        <w:rStyle w:val="PageNumber"/>
        <w:lang w:val="en-US"/>
      </w:rPr>
      <w:fldChar w:fldCharType="end"/>
    </w:r>
  </w:p>
  <w:p w:rsidR="00F23E33" w:rsidRPr="00C5280D" w:rsidRDefault="00F23E33"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33" w:rsidRDefault="00F23E33">
    <w:pPr>
      <w:pStyle w:val="Header"/>
    </w:pPr>
    <w:r>
      <w:t>C/52/12</w:t>
    </w:r>
  </w:p>
  <w:p w:rsidR="00F23E33" w:rsidRDefault="00F23E33">
    <w:pPr>
      <w:pStyle w:val="Header"/>
    </w:pPr>
  </w:p>
  <w:p w:rsidR="00F23E33" w:rsidRDefault="00F23E33">
    <w:pPr>
      <w:pStyle w:val="Header"/>
    </w:pPr>
    <w:r>
      <w:t>ANNEXE</w:t>
    </w:r>
  </w:p>
  <w:p w:rsidR="00F23E33" w:rsidRDefault="00F23E33">
    <w:pPr>
      <w:pStyle w:val="Header"/>
    </w:pPr>
  </w:p>
  <w:p w:rsidR="00F23E33" w:rsidRDefault="00F23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E004BC"/>
    <w:multiLevelType w:val="hybridMultilevel"/>
    <w:tmpl w:val="C03EB90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A466F"/>
    <w:multiLevelType w:val="hybridMultilevel"/>
    <w:tmpl w:val="D3DAE932"/>
    <w:lvl w:ilvl="0" w:tplc="04090017">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19"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857450"/>
    <w:multiLevelType w:val="hybridMultilevel"/>
    <w:tmpl w:val="F536BF5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14"/>
  </w:num>
  <w:num w:numId="4">
    <w:abstractNumId w:val="27"/>
  </w:num>
  <w:num w:numId="5">
    <w:abstractNumId w:val="25"/>
  </w:num>
  <w:num w:numId="6">
    <w:abstractNumId w:val="0"/>
  </w:num>
  <w:num w:numId="7">
    <w:abstractNumId w:val="23"/>
  </w:num>
  <w:num w:numId="8">
    <w:abstractNumId w:val="17"/>
  </w:num>
  <w:num w:numId="9">
    <w:abstractNumId w:val="10"/>
  </w:num>
  <w:num w:numId="10">
    <w:abstractNumId w:val="28"/>
  </w:num>
  <w:num w:numId="11">
    <w:abstractNumId w:val="15"/>
  </w:num>
  <w:num w:numId="12">
    <w:abstractNumId w:val="5"/>
  </w:num>
  <w:num w:numId="13">
    <w:abstractNumId w:val="2"/>
  </w:num>
  <w:num w:numId="14">
    <w:abstractNumId w:val="4"/>
  </w:num>
  <w:num w:numId="15">
    <w:abstractNumId w:val="6"/>
  </w:num>
  <w:num w:numId="16">
    <w:abstractNumId w:val="26"/>
  </w:num>
  <w:num w:numId="17">
    <w:abstractNumId w:val="1"/>
  </w:num>
  <w:num w:numId="18">
    <w:abstractNumId w:val="21"/>
  </w:num>
  <w:num w:numId="19">
    <w:abstractNumId w:val="22"/>
  </w:num>
  <w:num w:numId="20">
    <w:abstractNumId w:val="9"/>
  </w:num>
  <w:num w:numId="21">
    <w:abstractNumId w:val="18"/>
  </w:num>
  <w:num w:numId="22">
    <w:abstractNumId w:val="11"/>
  </w:num>
  <w:num w:numId="23">
    <w:abstractNumId w:val="8"/>
  </w:num>
  <w:num w:numId="24">
    <w:abstractNumId w:val="12"/>
  </w:num>
  <w:num w:numId="25">
    <w:abstractNumId w:val="16"/>
  </w:num>
  <w:num w:numId="26">
    <w:abstractNumId w:val="3"/>
  </w:num>
  <w:num w:numId="27">
    <w:abstractNumId w:val="24"/>
  </w:num>
  <w:num w:numId="28">
    <w:abstractNumId w:val="1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UPOVOld|UPOV_Beta"/>
    <w:docVar w:name="TermBaseURL" w:val="empty"/>
    <w:docVar w:name="TextBases" w:val="TextBase TMs\WorkspaceFTS\xLegacy\UPOV|TextBase TMs\WorkspaceFTS\UPOV\TGs|TextBase TMs\WorkspaceFTS\UPOV\UPOV"/>
    <w:docVar w:name="TextBaseURL" w:val="empty"/>
    <w:docVar w:name="UILng" w:val="en"/>
  </w:docVars>
  <w:rsids>
    <w:rsidRoot w:val="00217732"/>
    <w:rsid w:val="00010CF3"/>
    <w:rsid w:val="00011E27"/>
    <w:rsid w:val="00013166"/>
    <w:rsid w:val="000140AA"/>
    <w:rsid w:val="000148BC"/>
    <w:rsid w:val="000149E9"/>
    <w:rsid w:val="00016B8E"/>
    <w:rsid w:val="0001729C"/>
    <w:rsid w:val="00017573"/>
    <w:rsid w:val="00024AB8"/>
    <w:rsid w:val="000250FF"/>
    <w:rsid w:val="00030854"/>
    <w:rsid w:val="0003572B"/>
    <w:rsid w:val="00036028"/>
    <w:rsid w:val="00044642"/>
    <w:rsid w:val="000446B9"/>
    <w:rsid w:val="00045359"/>
    <w:rsid w:val="00047E21"/>
    <w:rsid w:val="00050E16"/>
    <w:rsid w:val="00051578"/>
    <w:rsid w:val="000639BC"/>
    <w:rsid w:val="00081593"/>
    <w:rsid w:val="00084FC7"/>
    <w:rsid w:val="00085505"/>
    <w:rsid w:val="00090C21"/>
    <w:rsid w:val="00092C13"/>
    <w:rsid w:val="000A441A"/>
    <w:rsid w:val="000B049E"/>
    <w:rsid w:val="000B12F1"/>
    <w:rsid w:val="000B509E"/>
    <w:rsid w:val="000C04EA"/>
    <w:rsid w:val="000C17BD"/>
    <w:rsid w:val="000C271C"/>
    <w:rsid w:val="000C2967"/>
    <w:rsid w:val="000C4E25"/>
    <w:rsid w:val="000C656D"/>
    <w:rsid w:val="000C7021"/>
    <w:rsid w:val="000D6BBC"/>
    <w:rsid w:val="000D7780"/>
    <w:rsid w:val="000E0F89"/>
    <w:rsid w:val="000E1BD8"/>
    <w:rsid w:val="000E636A"/>
    <w:rsid w:val="000F2F11"/>
    <w:rsid w:val="001007C3"/>
    <w:rsid w:val="00105929"/>
    <w:rsid w:val="00110C36"/>
    <w:rsid w:val="001131D5"/>
    <w:rsid w:val="001357AF"/>
    <w:rsid w:val="001379CC"/>
    <w:rsid w:val="00141DB8"/>
    <w:rsid w:val="0014704B"/>
    <w:rsid w:val="001526B5"/>
    <w:rsid w:val="001544B5"/>
    <w:rsid w:val="00164DC3"/>
    <w:rsid w:val="00167D84"/>
    <w:rsid w:val="00172084"/>
    <w:rsid w:val="00172433"/>
    <w:rsid w:val="0017474A"/>
    <w:rsid w:val="00174C1A"/>
    <w:rsid w:val="001758C6"/>
    <w:rsid w:val="00176630"/>
    <w:rsid w:val="00180B14"/>
    <w:rsid w:val="001823C0"/>
    <w:rsid w:val="00182B99"/>
    <w:rsid w:val="00183C84"/>
    <w:rsid w:val="001842BE"/>
    <w:rsid w:val="001862C5"/>
    <w:rsid w:val="0018747C"/>
    <w:rsid w:val="00187DDC"/>
    <w:rsid w:val="00190E25"/>
    <w:rsid w:val="00191695"/>
    <w:rsid w:val="001A01A4"/>
    <w:rsid w:val="001A3FD2"/>
    <w:rsid w:val="001A584A"/>
    <w:rsid w:val="001C1525"/>
    <w:rsid w:val="001C7946"/>
    <w:rsid w:val="001E7353"/>
    <w:rsid w:val="00201EB6"/>
    <w:rsid w:val="00203C5B"/>
    <w:rsid w:val="0020503E"/>
    <w:rsid w:val="00207E6C"/>
    <w:rsid w:val="0021332C"/>
    <w:rsid w:val="00213982"/>
    <w:rsid w:val="002140E0"/>
    <w:rsid w:val="00214705"/>
    <w:rsid w:val="00214C72"/>
    <w:rsid w:val="00217732"/>
    <w:rsid w:val="00222E09"/>
    <w:rsid w:val="0024416D"/>
    <w:rsid w:val="00245D32"/>
    <w:rsid w:val="0024774F"/>
    <w:rsid w:val="00253B54"/>
    <w:rsid w:val="00255401"/>
    <w:rsid w:val="00271911"/>
    <w:rsid w:val="00271D11"/>
    <w:rsid w:val="002724D2"/>
    <w:rsid w:val="00277C5E"/>
    <w:rsid w:val="00277E5F"/>
    <w:rsid w:val="002800A0"/>
    <w:rsid w:val="002801B3"/>
    <w:rsid w:val="00281060"/>
    <w:rsid w:val="00281A63"/>
    <w:rsid w:val="00290F9D"/>
    <w:rsid w:val="00291706"/>
    <w:rsid w:val="00291BC4"/>
    <w:rsid w:val="002920C9"/>
    <w:rsid w:val="00293253"/>
    <w:rsid w:val="00293ABC"/>
    <w:rsid w:val="002940E8"/>
    <w:rsid w:val="00294751"/>
    <w:rsid w:val="0029592D"/>
    <w:rsid w:val="00296C8A"/>
    <w:rsid w:val="002A1AF5"/>
    <w:rsid w:val="002A480F"/>
    <w:rsid w:val="002A4C52"/>
    <w:rsid w:val="002A62B0"/>
    <w:rsid w:val="002A6E50"/>
    <w:rsid w:val="002B1CF5"/>
    <w:rsid w:val="002B4290"/>
    <w:rsid w:val="002B4298"/>
    <w:rsid w:val="002B5EC5"/>
    <w:rsid w:val="002B7E81"/>
    <w:rsid w:val="002B7F3B"/>
    <w:rsid w:val="002C1FAE"/>
    <w:rsid w:val="002C256A"/>
    <w:rsid w:val="002C683B"/>
    <w:rsid w:val="002D58CC"/>
    <w:rsid w:val="002D65EE"/>
    <w:rsid w:val="002E49B2"/>
    <w:rsid w:val="002E4B02"/>
    <w:rsid w:val="002E4F36"/>
    <w:rsid w:val="002F24E1"/>
    <w:rsid w:val="002F4974"/>
    <w:rsid w:val="003007EE"/>
    <w:rsid w:val="00305A7F"/>
    <w:rsid w:val="00306229"/>
    <w:rsid w:val="00306365"/>
    <w:rsid w:val="003152FE"/>
    <w:rsid w:val="00326708"/>
    <w:rsid w:val="00327436"/>
    <w:rsid w:val="0033304D"/>
    <w:rsid w:val="00333157"/>
    <w:rsid w:val="0033615D"/>
    <w:rsid w:val="00340C01"/>
    <w:rsid w:val="00344BD6"/>
    <w:rsid w:val="00347F02"/>
    <w:rsid w:val="0035528D"/>
    <w:rsid w:val="0036052F"/>
    <w:rsid w:val="00361821"/>
    <w:rsid w:val="00361E9E"/>
    <w:rsid w:val="003631E5"/>
    <w:rsid w:val="003705C5"/>
    <w:rsid w:val="00372D31"/>
    <w:rsid w:val="00377360"/>
    <w:rsid w:val="003804A8"/>
    <w:rsid w:val="0039633A"/>
    <w:rsid w:val="0039723C"/>
    <w:rsid w:val="003A6218"/>
    <w:rsid w:val="003B43BB"/>
    <w:rsid w:val="003C1178"/>
    <w:rsid w:val="003C57F9"/>
    <w:rsid w:val="003C5ED9"/>
    <w:rsid w:val="003C7FBE"/>
    <w:rsid w:val="003D227C"/>
    <w:rsid w:val="003D2B4D"/>
    <w:rsid w:val="003D66AD"/>
    <w:rsid w:val="003E1F18"/>
    <w:rsid w:val="003E7462"/>
    <w:rsid w:val="003F0EEE"/>
    <w:rsid w:val="003F12F9"/>
    <w:rsid w:val="003F5F2B"/>
    <w:rsid w:val="003F62FC"/>
    <w:rsid w:val="00400A95"/>
    <w:rsid w:val="004120CB"/>
    <w:rsid w:val="00413C53"/>
    <w:rsid w:val="004159C8"/>
    <w:rsid w:val="00416A76"/>
    <w:rsid w:val="00416B06"/>
    <w:rsid w:val="00422DA6"/>
    <w:rsid w:val="00424156"/>
    <w:rsid w:val="0043308C"/>
    <w:rsid w:val="00440E38"/>
    <w:rsid w:val="00443655"/>
    <w:rsid w:val="00444A88"/>
    <w:rsid w:val="00461D4B"/>
    <w:rsid w:val="00466D62"/>
    <w:rsid w:val="00467CAE"/>
    <w:rsid w:val="00474DA4"/>
    <w:rsid w:val="00476B4D"/>
    <w:rsid w:val="00477365"/>
    <w:rsid w:val="0047792B"/>
    <w:rsid w:val="004805FA"/>
    <w:rsid w:val="004916E0"/>
    <w:rsid w:val="004935D2"/>
    <w:rsid w:val="004A0A71"/>
    <w:rsid w:val="004A5EBA"/>
    <w:rsid w:val="004B1215"/>
    <w:rsid w:val="004B160D"/>
    <w:rsid w:val="004C2313"/>
    <w:rsid w:val="004C517D"/>
    <w:rsid w:val="004C5B1F"/>
    <w:rsid w:val="004D047D"/>
    <w:rsid w:val="004D215F"/>
    <w:rsid w:val="004D3C82"/>
    <w:rsid w:val="004D3D70"/>
    <w:rsid w:val="004D48E2"/>
    <w:rsid w:val="004E7005"/>
    <w:rsid w:val="004F17C2"/>
    <w:rsid w:val="004F1E9E"/>
    <w:rsid w:val="004F305A"/>
    <w:rsid w:val="00503DA1"/>
    <w:rsid w:val="00512164"/>
    <w:rsid w:val="00515DAA"/>
    <w:rsid w:val="00517C23"/>
    <w:rsid w:val="00520297"/>
    <w:rsid w:val="005338F9"/>
    <w:rsid w:val="00533FF6"/>
    <w:rsid w:val="00537F66"/>
    <w:rsid w:val="0054281C"/>
    <w:rsid w:val="00544581"/>
    <w:rsid w:val="00545D12"/>
    <w:rsid w:val="0055268D"/>
    <w:rsid w:val="005576FF"/>
    <w:rsid w:val="00576575"/>
    <w:rsid w:val="00576BE4"/>
    <w:rsid w:val="00583AD7"/>
    <w:rsid w:val="0058534C"/>
    <w:rsid w:val="005870C7"/>
    <w:rsid w:val="00591192"/>
    <w:rsid w:val="005A1FE2"/>
    <w:rsid w:val="005A400A"/>
    <w:rsid w:val="005B172D"/>
    <w:rsid w:val="005B186C"/>
    <w:rsid w:val="005B522F"/>
    <w:rsid w:val="005C4970"/>
    <w:rsid w:val="005C6677"/>
    <w:rsid w:val="005C79AA"/>
    <w:rsid w:val="005D05C4"/>
    <w:rsid w:val="005D3F23"/>
    <w:rsid w:val="005D46C8"/>
    <w:rsid w:val="005E1359"/>
    <w:rsid w:val="005E3B7B"/>
    <w:rsid w:val="005F4D78"/>
    <w:rsid w:val="005F5B46"/>
    <w:rsid w:val="005F7B92"/>
    <w:rsid w:val="006014F7"/>
    <w:rsid w:val="00602462"/>
    <w:rsid w:val="006041EC"/>
    <w:rsid w:val="00605358"/>
    <w:rsid w:val="006054D7"/>
    <w:rsid w:val="00612379"/>
    <w:rsid w:val="006153B6"/>
    <w:rsid w:val="0061555F"/>
    <w:rsid w:val="00633543"/>
    <w:rsid w:val="006363EB"/>
    <w:rsid w:val="00636CA6"/>
    <w:rsid w:val="00637A28"/>
    <w:rsid w:val="00641200"/>
    <w:rsid w:val="006424BB"/>
    <w:rsid w:val="00645CA8"/>
    <w:rsid w:val="0064650C"/>
    <w:rsid w:val="006569C0"/>
    <w:rsid w:val="006655D3"/>
    <w:rsid w:val="00665FEC"/>
    <w:rsid w:val="00666306"/>
    <w:rsid w:val="00667404"/>
    <w:rsid w:val="006753D4"/>
    <w:rsid w:val="006835B6"/>
    <w:rsid w:val="00685181"/>
    <w:rsid w:val="00687EB4"/>
    <w:rsid w:val="00695C56"/>
    <w:rsid w:val="006A0E93"/>
    <w:rsid w:val="006A2B98"/>
    <w:rsid w:val="006A3293"/>
    <w:rsid w:val="006A3B1C"/>
    <w:rsid w:val="006A5974"/>
    <w:rsid w:val="006A5CDE"/>
    <w:rsid w:val="006A644A"/>
    <w:rsid w:val="006A6A30"/>
    <w:rsid w:val="006B1181"/>
    <w:rsid w:val="006B17D2"/>
    <w:rsid w:val="006B602F"/>
    <w:rsid w:val="006C224E"/>
    <w:rsid w:val="006C4AAB"/>
    <w:rsid w:val="006D780A"/>
    <w:rsid w:val="006D7DBC"/>
    <w:rsid w:val="006E2539"/>
    <w:rsid w:val="006E4C4A"/>
    <w:rsid w:val="006E70B9"/>
    <w:rsid w:val="006F299D"/>
    <w:rsid w:val="006F2BA3"/>
    <w:rsid w:val="007000D3"/>
    <w:rsid w:val="00700927"/>
    <w:rsid w:val="00706113"/>
    <w:rsid w:val="00706BAA"/>
    <w:rsid w:val="00712196"/>
    <w:rsid w:val="0071271E"/>
    <w:rsid w:val="00714AE2"/>
    <w:rsid w:val="00714DEE"/>
    <w:rsid w:val="0071627F"/>
    <w:rsid w:val="00717551"/>
    <w:rsid w:val="00720487"/>
    <w:rsid w:val="0072072F"/>
    <w:rsid w:val="0072487A"/>
    <w:rsid w:val="00732DEC"/>
    <w:rsid w:val="0073309D"/>
    <w:rsid w:val="007332B4"/>
    <w:rsid w:val="00735BD5"/>
    <w:rsid w:val="007369C4"/>
    <w:rsid w:val="007451EC"/>
    <w:rsid w:val="00751613"/>
    <w:rsid w:val="00751F36"/>
    <w:rsid w:val="0075327E"/>
    <w:rsid w:val="007556F6"/>
    <w:rsid w:val="0076054F"/>
    <w:rsid w:val="00760EEF"/>
    <w:rsid w:val="00760F1C"/>
    <w:rsid w:val="0076212D"/>
    <w:rsid w:val="007716C5"/>
    <w:rsid w:val="00777EE5"/>
    <w:rsid w:val="00781869"/>
    <w:rsid w:val="00784836"/>
    <w:rsid w:val="0078545B"/>
    <w:rsid w:val="0079023E"/>
    <w:rsid w:val="007926B0"/>
    <w:rsid w:val="007A2854"/>
    <w:rsid w:val="007A2FEA"/>
    <w:rsid w:val="007B052A"/>
    <w:rsid w:val="007C1D92"/>
    <w:rsid w:val="007C256E"/>
    <w:rsid w:val="007C4CB9"/>
    <w:rsid w:val="007C4D44"/>
    <w:rsid w:val="007D0B9D"/>
    <w:rsid w:val="007D199B"/>
    <w:rsid w:val="007D19B0"/>
    <w:rsid w:val="007D1ECB"/>
    <w:rsid w:val="007D22B2"/>
    <w:rsid w:val="007D4635"/>
    <w:rsid w:val="007F498F"/>
    <w:rsid w:val="008005FC"/>
    <w:rsid w:val="0080359D"/>
    <w:rsid w:val="0080679D"/>
    <w:rsid w:val="008108B0"/>
    <w:rsid w:val="00811B20"/>
    <w:rsid w:val="00811C4B"/>
    <w:rsid w:val="008211B5"/>
    <w:rsid w:val="0082296E"/>
    <w:rsid w:val="00824099"/>
    <w:rsid w:val="008442B8"/>
    <w:rsid w:val="00846D7C"/>
    <w:rsid w:val="00846E2C"/>
    <w:rsid w:val="008479EB"/>
    <w:rsid w:val="0086127B"/>
    <w:rsid w:val="00867AC1"/>
    <w:rsid w:val="0087237B"/>
    <w:rsid w:val="008727C1"/>
    <w:rsid w:val="00874A60"/>
    <w:rsid w:val="00874BE8"/>
    <w:rsid w:val="008858F3"/>
    <w:rsid w:val="00890DF8"/>
    <w:rsid w:val="00893355"/>
    <w:rsid w:val="00896186"/>
    <w:rsid w:val="008A743F"/>
    <w:rsid w:val="008B2D1D"/>
    <w:rsid w:val="008B2F25"/>
    <w:rsid w:val="008B3846"/>
    <w:rsid w:val="008B4258"/>
    <w:rsid w:val="008C0970"/>
    <w:rsid w:val="008D0BC5"/>
    <w:rsid w:val="008D2CF7"/>
    <w:rsid w:val="008D5067"/>
    <w:rsid w:val="008F5C97"/>
    <w:rsid w:val="008F5E17"/>
    <w:rsid w:val="00900C26"/>
    <w:rsid w:val="0090197F"/>
    <w:rsid w:val="0090218F"/>
    <w:rsid w:val="00903264"/>
    <w:rsid w:val="00905890"/>
    <w:rsid w:val="009065F8"/>
    <w:rsid w:val="00906ACE"/>
    <w:rsid w:val="00906DDC"/>
    <w:rsid w:val="00907F97"/>
    <w:rsid w:val="00913B55"/>
    <w:rsid w:val="00914FB6"/>
    <w:rsid w:val="009228B0"/>
    <w:rsid w:val="00922959"/>
    <w:rsid w:val="00934E09"/>
    <w:rsid w:val="00936253"/>
    <w:rsid w:val="00940D46"/>
    <w:rsid w:val="00945A0A"/>
    <w:rsid w:val="00952DD4"/>
    <w:rsid w:val="00954987"/>
    <w:rsid w:val="00961145"/>
    <w:rsid w:val="00963672"/>
    <w:rsid w:val="00965197"/>
    <w:rsid w:val="00965AE7"/>
    <w:rsid w:val="0096619C"/>
    <w:rsid w:val="00970B15"/>
    <w:rsid w:val="00970FED"/>
    <w:rsid w:val="009843DF"/>
    <w:rsid w:val="009863BA"/>
    <w:rsid w:val="00992D82"/>
    <w:rsid w:val="00996244"/>
    <w:rsid w:val="00997029"/>
    <w:rsid w:val="009A1AA5"/>
    <w:rsid w:val="009A4210"/>
    <w:rsid w:val="009A65B0"/>
    <w:rsid w:val="009A7339"/>
    <w:rsid w:val="009B440E"/>
    <w:rsid w:val="009C02D8"/>
    <w:rsid w:val="009C0D20"/>
    <w:rsid w:val="009C3F5F"/>
    <w:rsid w:val="009C43C6"/>
    <w:rsid w:val="009C4720"/>
    <w:rsid w:val="009D5507"/>
    <w:rsid w:val="009D690D"/>
    <w:rsid w:val="009E12E7"/>
    <w:rsid w:val="009E1439"/>
    <w:rsid w:val="009E2317"/>
    <w:rsid w:val="009E65B6"/>
    <w:rsid w:val="009E7792"/>
    <w:rsid w:val="009F1BA6"/>
    <w:rsid w:val="009F6825"/>
    <w:rsid w:val="009F77CF"/>
    <w:rsid w:val="00A06DBF"/>
    <w:rsid w:val="00A07A72"/>
    <w:rsid w:val="00A16F5E"/>
    <w:rsid w:val="00A24C10"/>
    <w:rsid w:val="00A24D55"/>
    <w:rsid w:val="00A27110"/>
    <w:rsid w:val="00A3224A"/>
    <w:rsid w:val="00A3365A"/>
    <w:rsid w:val="00A3594F"/>
    <w:rsid w:val="00A42AC3"/>
    <w:rsid w:val="00A430CF"/>
    <w:rsid w:val="00A46296"/>
    <w:rsid w:val="00A54309"/>
    <w:rsid w:val="00A67013"/>
    <w:rsid w:val="00A72967"/>
    <w:rsid w:val="00A73F0F"/>
    <w:rsid w:val="00A765BD"/>
    <w:rsid w:val="00A77C26"/>
    <w:rsid w:val="00A824AF"/>
    <w:rsid w:val="00A835D9"/>
    <w:rsid w:val="00A938BC"/>
    <w:rsid w:val="00A948C8"/>
    <w:rsid w:val="00A97E07"/>
    <w:rsid w:val="00AB2B93"/>
    <w:rsid w:val="00AB3B0F"/>
    <w:rsid w:val="00AB42E0"/>
    <w:rsid w:val="00AB494B"/>
    <w:rsid w:val="00AB530F"/>
    <w:rsid w:val="00AB7E5B"/>
    <w:rsid w:val="00AC2193"/>
    <w:rsid w:val="00AC2883"/>
    <w:rsid w:val="00AC2A6B"/>
    <w:rsid w:val="00AC3638"/>
    <w:rsid w:val="00AD14C8"/>
    <w:rsid w:val="00AD2E29"/>
    <w:rsid w:val="00AD39A6"/>
    <w:rsid w:val="00AD4718"/>
    <w:rsid w:val="00AD68CE"/>
    <w:rsid w:val="00AE0EF1"/>
    <w:rsid w:val="00AE2937"/>
    <w:rsid w:val="00AF35BF"/>
    <w:rsid w:val="00B01D85"/>
    <w:rsid w:val="00B05031"/>
    <w:rsid w:val="00B07301"/>
    <w:rsid w:val="00B079ED"/>
    <w:rsid w:val="00B1134D"/>
    <w:rsid w:val="00B11F3E"/>
    <w:rsid w:val="00B16D78"/>
    <w:rsid w:val="00B224DE"/>
    <w:rsid w:val="00B27D4B"/>
    <w:rsid w:val="00B324D4"/>
    <w:rsid w:val="00B42F85"/>
    <w:rsid w:val="00B437E4"/>
    <w:rsid w:val="00B46575"/>
    <w:rsid w:val="00B56AED"/>
    <w:rsid w:val="00B61777"/>
    <w:rsid w:val="00B61C54"/>
    <w:rsid w:val="00B72E13"/>
    <w:rsid w:val="00B74ECE"/>
    <w:rsid w:val="00B759E0"/>
    <w:rsid w:val="00B84BBD"/>
    <w:rsid w:val="00B87098"/>
    <w:rsid w:val="00B90144"/>
    <w:rsid w:val="00B902CB"/>
    <w:rsid w:val="00BA43FB"/>
    <w:rsid w:val="00BA6758"/>
    <w:rsid w:val="00BC127D"/>
    <w:rsid w:val="00BC1FE6"/>
    <w:rsid w:val="00BC2370"/>
    <w:rsid w:val="00BC38CA"/>
    <w:rsid w:val="00BD249E"/>
    <w:rsid w:val="00BE23DA"/>
    <w:rsid w:val="00BE2E49"/>
    <w:rsid w:val="00BE3138"/>
    <w:rsid w:val="00BE723A"/>
    <w:rsid w:val="00BF30D2"/>
    <w:rsid w:val="00BF793F"/>
    <w:rsid w:val="00C01207"/>
    <w:rsid w:val="00C061B6"/>
    <w:rsid w:val="00C2446C"/>
    <w:rsid w:val="00C25555"/>
    <w:rsid w:val="00C277F2"/>
    <w:rsid w:val="00C336E3"/>
    <w:rsid w:val="00C34AB8"/>
    <w:rsid w:val="00C358E6"/>
    <w:rsid w:val="00C36AE5"/>
    <w:rsid w:val="00C41F17"/>
    <w:rsid w:val="00C504EF"/>
    <w:rsid w:val="00C51052"/>
    <w:rsid w:val="00C527FA"/>
    <w:rsid w:val="00C5280D"/>
    <w:rsid w:val="00C53781"/>
    <w:rsid w:val="00C53EB3"/>
    <w:rsid w:val="00C564A9"/>
    <w:rsid w:val="00C5791C"/>
    <w:rsid w:val="00C65923"/>
    <w:rsid w:val="00C66290"/>
    <w:rsid w:val="00C6722C"/>
    <w:rsid w:val="00C679A7"/>
    <w:rsid w:val="00C72B7A"/>
    <w:rsid w:val="00C9397E"/>
    <w:rsid w:val="00C94466"/>
    <w:rsid w:val="00C973F2"/>
    <w:rsid w:val="00CA1A3C"/>
    <w:rsid w:val="00CA304C"/>
    <w:rsid w:val="00CA3CCA"/>
    <w:rsid w:val="00CA458C"/>
    <w:rsid w:val="00CA774A"/>
    <w:rsid w:val="00CB52E9"/>
    <w:rsid w:val="00CC0DE7"/>
    <w:rsid w:val="00CC11B0"/>
    <w:rsid w:val="00CC2841"/>
    <w:rsid w:val="00CE1CA0"/>
    <w:rsid w:val="00CE6B16"/>
    <w:rsid w:val="00CF1330"/>
    <w:rsid w:val="00CF4805"/>
    <w:rsid w:val="00CF7E36"/>
    <w:rsid w:val="00D005AD"/>
    <w:rsid w:val="00D03F50"/>
    <w:rsid w:val="00D112ED"/>
    <w:rsid w:val="00D171D5"/>
    <w:rsid w:val="00D25DC7"/>
    <w:rsid w:val="00D3708D"/>
    <w:rsid w:val="00D40426"/>
    <w:rsid w:val="00D40604"/>
    <w:rsid w:val="00D42027"/>
    <w:rsid w:val="00D57C96"/>
    <w:rsid w:val="00D57D18"/>
    <w:rsid w:val="00D67975"/>
    <w:rsid w:val="00D67D80"/>
    <w:rsid w:val="00D70565"/>
    <w:rsid w:val="00D760AE"/>
    <w:rsid w:val="00D85CC5"/>
    <w:rsid w:val="00D91203"/>
    <w:rsid w:val="00D95174"/>
    <w:rsid w:val="00DA2969"/>
    <w:rsid w:val="00DA4420"/>
    <w:rsid w:val="00DA4973"/>
    <w:rsid w:val="00DA6F36"/>
    <w:rsid w:val="00DB1F08"/>
    <w:rsid w:val="00DB32F1"/>
    <w:rsid w:val="00DB38B2"/>
    <w:rsid w:val="00DB596E"/>
    <w:rsid w:val="00DB7773"/>
    <w:rsid w:val="00DC00EA"/>
    <w:rsid w:val="00DC0AA5"/>
    <w:rsid w:val="00DC3802"/>
    <w:rsid w:val="00DE0C0D"/>
    <w:rsid w:val="00DE7AA3"/>
    <w:rsid w:val="00DF4418"/>
    <w:rsid w:val="00E00821"/>
    <w:rsid w:val="00E03BAD"/>
    <w:rsid w:val="00E04903"/>
    <w:rsid w:val="00E05540"/>
    <w:rsid w:val="00E07D87"/>
    <w:rsid w:val="00E168CE"/>
    <w:rsid w:val="00E215FB"/>
    <w:rsid w:val="00E25AD3"/>
    <w:rsid w:val="00E32F5D"/>
    <w:rsid w:val="00E32F7E"/>
    <w:rsid w:val="00E51ECB"/>
    <w:rsid w:val="00E5267B"/>
    <w:rsid w:val="00E52C13"/>
    <w:rsid w:val="00E544FF"/>
    <w:rsid w:val="00E56CBA"/>
    <w:rsid w:val="00E6379D"/>
    <w:rsid w:val="00E63C0E"/>
    <w:rsid w:val="00E64A54"/>
    <w:rsid w:val="00E70C03"/>
    <w:rsid w:val="00E72D49"/>
    <w:rsid w:val="00E74517"/>
    <w:rsid w:val="00E7593C"/>
    <w:rsid w:val="00E7678A"/>
    <w:rsid w:val="00E935F1"/>
    <w:rsid w:val="00E94A81"/>
    <w:rsid w:val="00E977CB"/>
    <w:rsid w:val="00EA1FFB"/>
    <w:rsid w:val="00EB048E"/>
    <w:rsid w:val="00EB0BB6"/>
    <w:rsid w:val="00EB119A"/>
    <w:rsid w:val="00EB4E9C"/>
    <w:rsid w:val="00EC081C"/>
    <w:rsid w:val="00EC2C3C"/>
    <w:rsid w:val="00EC3584"/>
    <w:rsid w:val="00EC4DE1"/>
    <w:rsid w:val="00EC7D0B"/>
    <w:rsid w:val="00ED317C"/>
    <w:rsid w:val="00ED50AC"/>
    <w:rsid w:val="00ED5F41"/>
    <w:rsid w:val="00EE33B2"/>
    <w:rsid w:val="00EE34DF"/>
    <w:rsid w:val="00EE6702"/>
    <w:rsid w:val="00EF2F89"/>
    <w:rsid w:val="00EF6D94"/>
    <w:rsid w:val="00F021BF"/>
    <w:rsid w:val="00F03E98"/>
    <w:rsid w:val="00F1237A"/>
    <w:rsid w:val="00F12385"/>
    <w:rsid w:val="00F221FC"/>
    <w:rsid w:val="00F22CBD"/>
    <w:rsid w:val="00F2386A"/>
    <w:rsid w:val="00F23E33"/>
    <w:rsid w:val="00F26F9A"/>
    <w:rsid w:val="00F272F1"/>
    <w:rsid w:val="00F36DBC"/>
    <w:rsid w:val="00F376DF"/>
    <w:rsid w:val="00F42882"/>
    <w:rsid w:val="00F42CC3"/>
    <w:rsid w:val="00F45269"/>
    <w:rsid w:val="00F45372"/>
    <w:rsid w:val="00F560F7"/>
    <w:rsid w:val="00F56CB8"/>
    <w:rsid w:val="00F6334D"/>
    <w:rsid w:val="00F63599"/>
    <w:rsid w:val="00F67FE4"/>
    <w:rsid w:val="00F84A60"/>
    <w:rsid w:val="00F9205E"/>
    <w:rsid w:val="00F93B62"/>
    <w:rsid w:val="00FA3544"/>
    <w:rsid w:val="00FA49AB"/>
    <w:rsid w:val="00FB16F8"/>
    <w:rsid w:val="00FB4741"/>
    <w:rsid w:val="00FB6D47"/>
    <w:rsid w:val="00FC7BB6"/>
    <w:rsid w:val="00FC7C90"/>
    <w:rsid w:val="00FD67FF"/>
    <w:rsid w:val="00FE39C7"/>
    <w:rsid w:val="00FE6A31"/>
    <w:rsid w:val="00FF4D07"/>
    <w:rsid w:val="00FF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47E967"/>
  <w15:docId w15:val="{F3DED61E-FA61-47D7-87CA-5D87156B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825"/>
    <w:pPr>
      <w:jc w:val="both"/>
    </w:pPr>
    <w:rPr>
      <w:rFonts w:ascii="Arial" w:hAnsi="Arial"/>
      <w:lang w:val="fr-FR"/>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lang w:val="fr-FR"/>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824AF"/>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824AF"/>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A824AF"/>
    <w:rPr>
      <w:rFonts w:ascii="Arial" w:hAnsi="Arial"/>
      <w:lang w:val="fr-FR"/>
    </w:rPr>
  </w:style>
  <w:style w:type="character" w:styleId="BookTitle">
    <w:name w:val="Book Title"/>
    <w:basedOn w:val="DefaultParagraphFont"/>
    <w:uiPriority w:val="33"/>
    <w:qFormat/>
    <w:rsid w:val="00A824AF"/>
    <w:rPr>
      <w:b/>
      <w:bCs/>
      <w:smallCaps/>
      <w:spacing w:val="5"/>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paragraph" w:customStyle="1" w:styleId="Default">
    <w:name w:val="Default"/>
    <w:rsid w:val="00A824AF"/>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customStyle="1" w:styleId="Heading2Notes">
    <w:name w:val="Heading 2_Notes"/>
    <w:basedOn w:val="Heading2"/>
    <w:qFormat/>
    <w:rsid w:val="00B61C5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7760">
      <w:bodyDiv w:val="1"/>
      <w:marLeft w:val="0"/>
      <w:marRight w:val="0"/>
      <w:marTop w:val="0"/>
      <w:marBottom w:val="0"/>
      <w:divBdr>
        <w:top w:val="none" w:sz="0" w:space="0" w:color="auto"/>
        <w:left w:val="none" w:sz="0" w:space="0" w:color="auto"/>
        <w:bottom w:val="none" w:sz="0" w:space="0" w:color="auto"/>
        <w:right w:val="none" w:sz="0" w:space="0" w:color="auto"/>
      </w:divBdr>
    </w:div>
    <w:div w:id="1869877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0.emf"/><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image" Target="media/image4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5.emf"/><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6.emf"/><Relationship Id="rId43" Type="http://schemas.openxmlformats.org/officeDocument/2006/relationships/image" Target="media/image34.emf"/><Relationship Id="rId48" Type="http://schemas.openxmlformats.org/officeDocument/2006/relationships/image" Target="media/image39.emf"/><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hyperlink" Target="http://www.unjspf.org" TargetMode="External"/><Relationship Id="rId38" Type="http://schemas.openxmlformats.org/officeDocument/2006/relationships/image" Target="media/image29.emf"/><Relationship Id="rId46" Type="http://schemas.openxmlformats.org/officeDocument/2006/relationships/image" Target="media/image37.emf"/><Relationship Id="rId20" Type="http://schemas.openxmlformats.org/officeDocument/2006/relationships/image" Target="media/image12.emf"/><Relationship Id="rId41" Type="http://schemas.openxmlformats.org/officeDocument/2006/relationships/image" Target="media/image32.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7.emf"/><Relationship Id="rId49"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D43BD-6D4B-4C5A-9B16-78EF884D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35</Pages>
  <Words>11788</Words>
  <Characters>67197</Characters>
  <Application>Microsoft Office Word</Application>
  <DocSecurity>0</DocSecurity>
  <Lines>559</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C/52/12</vt:lpstr>
      <vt:lpstr>C/52/12</vt:lpstr>
    </vt:vector>
  </TitlesOfParts>
  <Company>UPOV</Company>
  <LinksUpToDate>false</LinksUpToDate>
  <CharactersWithSpaces>78828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C/52/12</dc:title>
  <dc:creator>COUTURE Sébastien</dc:creator>
  <cp:lastModifiedBy>SANCHEZ VIZCAINO GOMEZ Rosa Maria</cp:lastModifiedBy>
  <cp:revision>59</cp:revision>
  <cp:lastPrinted>2018-05-31T14:05:00Z</cp:lastPrinted>
  <dcterms:created xsi:type="dcterms:W3CDTF">2018-07-29T11:43:00Z</dcterms:created>
  <dcterms:modified xsi:type="dcterms:W3CDTF">2018-08-29T14:47:00Z</dcterms:modified>
</cp:coreProperties>
</file>