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390B2E" w:rsidRPr="00386CD6" w:rsidTr="00390B2E">
        <w:trPr>
          <w:trHeight w:val="1760"/>
        </w:trPr>
        <w:tc>
          <w:tcPr>
            <w:tcW w:w="4243" w:type="dxa"/>
          </w:tcPr>
          <w:p w:rsidR="00390B2E" w:rsidRPr="00386CD6" w:rsidRDefault="00390B2E" w:rsidP="00390B2E"/>
        </w:tc>
        <w:tc>
          <w:tcPr>
            <w:tcW w:w="1646" w:type="dxa"/>
            <w:vAlign w:val="center"/>
          </w:tcPr>
          <w:p w:rsidR="00390B2E" w:rsidRPr="00386CD6" w:rsidRDefault="00390B2E" w:rsidP="00390B2E">
            <w:pPr>
              <w:pStyle w:val="LogoUPOV"/>
            </w:pPr>
            <w:r w:rsidRPr="00386CD6">
              <w:rPr>
                <w:noProof/>
                <w:lang w:val="en-US"/>
              </w:rPr>
              <w:drawing>
                <wp:inline distT="0" distB="0" distL="0" distR="0" wp14:anchorId="53470289" wp14:editId="663918D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B114F" w:rsidRPr="00386CD6" w:rsidRDefault="00390B2E" w:rsidP="00390B2E">
            <w:pPr>
              <w:pStyle w:val="Lettrine"/>
            </w:pPr>
            <w:r w:rsidRPr="00386CD6">
              <w:t>F</w:t>
            </w:r>
          </w:p>
          <w:p w:rsidR="00CB114F" w:rsidRPr="00386CD6" w:rsidRDefault="00390B2E" w:rsidP="00390B2E">
            <w:pPr>
              <w:pStyle w:val="Docoriginal"/>
            </w:pPr>
            <w:r w:rsidRPr="00386CD6">
              <w:t>C/50/</w:t>
            </w:r>
            <w:bookmarkStart w:id="0" w:name="Code"/>
            <w:bookmarkEnd w:id="0"/>
            <w:r w:rsidRPr="00386CD6">
              <w:t>2</w:t>
            </w:r>
          </w:p>
          <w:p w:rsidR="00CB114F" w:rsidRPr="00386CD6" w:rsidRDefault="00390B2E" w:rsidP="00390B2E">
            <w:pPr>
              <w:pStyle w:val="Docoriginal"/>
              <w:rPr>
                <w:b w:val="0"/>
                <w:spacing w:val="0"/>
              </w:rPr>
            </w:pPr>
            <w:r w:rsidRPr="00386CD6">
              <w:rPr>
                <w:rStyle w:val="StyleDoclangBold"/>
                <w:b/>
                <w:bCs/>
                <w:spacing w:val="0"/>
                <w:lang w:val="fr-FR"/>
              </w:rPr>
              <w:t>ORIGINAL</w:t>
            </w:r>
            <w:r w:rsidR="000F4505" w:rsidRPr="00386CD6">
              <w:rPr>
                <w:rStyle w:val="StyleDoclangBold"/>
                <w:b/>
                <w:bCs/>
                <w:spacing w:val="0"/>
                <w:lang w:val="fr-FR"/>
              </w:rPr>
              <w:t> </w:t>
            </w:r>
            <w:r w:rsidRPr="00386CD6">
              <w:rPr>
                <w:rStyle w:val="StyleDoclangBold"/>
                <w:b/>
                <w:bCs/>
                <w:spacing w:val="0"/>
                <w:lang w:val="fr-FR"/>
              </w:rPr>
              <w:t>:</w:t>
            </w:r>
            <w:r w:rsidRPr="00386CD6">
              <w:rPr>
                <w:rStyle w:val="StyleDocoriginalNotBold1"/>
                <w:spacing w:val="0"/>
                <w:lang w:val="fr-FR"/>
              </w:rPr>
              <w:t xml:space="preserve"> </w:t>
            </w:r>
            <w:bookmarkStart w:id="1" w:name="Original"/>
            <w:bookmarkEnd w:id="1"/>
            <w:r w:rsidRPr="00386CD6">
              <w:rPr>
                <w:b w:val="0"/>
                <w:spacing w:val="0"/>
              </w:rPr>
              <w:t>anglais</w:t>
            </w:r>
          </w:p>
          <w:p w:rsidR="00390B2E" w:rsidRPr="00386CD6" w:rsidRDefault="00390B2E" w:rsidP="00977D86">
            <w:pPr>
              <w:pStyle w:val="Docoriginal"/>
            </w:pPr>
            <w:r w:rsidRPr="00386CD6">
              <w:rPr>
                <w:spacing w:val="0"/>
              </w:rPr>
              <w:t>DATE</w:t>
            </w:r>
            <w:r w:rsidR="000F4505" w:rsidRPr="00386CD6">
              <w:rPr>
                <w:spacing w:val="0"/>
              </w:rPr>
              <w:t> </w:t>
            </w:r>
            <w:r w:rsidRPr="00386CD6">
              <w:rPr>
                <w:spacing w:val="0"/>
              </w:rPr>
              <w:t>:</w:t>
            </w:r>
            <w:r w:rsidRPr="00386CD6">
              <w:rPr>
                <w:rStyle w:val="StyleDocoriginalNotBold1"/>
                <w:spacing w:val="0"/>
                <w:lang w:val="fr-FR"/>
              </w:rPr>
              <w:t xml:space="preserve"> </w:t>
            </w:r>
            <w:bookmarkStart w:id="2" w:name="Date"/>
            <w:bookmarkEnd w:id="2"/>
            <w:r w:rsidRPr="00386CD6">
              <w:rPr>
                <w:b w:val="0"/>
                <w:spacing w:val="0"/>
              </w:rPr>
              <w:t>1</w:t>
            </w:r>
            <w:r w:rsidR="00977D86">
              <w:rPr>
                <w:b w:val="0"/>
                <w:spacing w:val="0"/>
              </w:rPr>
              <w:t>7</w:t>
            </w:r>
            <w:r w:rsidR="00C56BCE" w:rsidRPr="00386CD6">
              <w:rPr>
                <w:b w:val="0"/>
                <w:spacing w:val="0"/>
              </w:rPr>
              <w:t> octobre 20</w:t>
            </w:r>
            <w:r w:rsidRPr="00386CD6">
              <w:rPr>
                <w:b w:val="0"/>
                <w:spacing w:val="0"/>
              </w:rPr>
              <w:t>16</w:t>
            </w:r>
          </w:p>
        </w:tc>
      </w:tr>
      <w:tr w:rsidR="00390B2E" w:rsidRPr="00386CD6" w:rsidTr="00390B2E">
        <w:tc>
          <w:tcPr>
            <w:tcW w:w="10131" w:type="dxa"/>
            <w:gridSpan w:val="3"/>
          </w:tcPr>
          <w:p w:rsidR="00390B2E" w:rsidRPr="00386CD6" w:rsidRDefault="00390B2E" w:rsidP="00390B2E">
            <w:pPr>
              <w:pStyle w:val="upove"/>
              <w:rPr>
                <w:sz w:val="28"/>
              </w:rPr>
            </w:pPr>
            <w:r w:rsidRPr="00386CD6">
              <w:rPr>
                <w:spacing w:val="6"/>
              </w:rPr>
              <w:t>UNION INTERNATIONALE POUR LA PROTECTION DES OBTENTIONS VÉGÉTALES</w:t>
            </w:r>
          </w:p>
        </w:tc>
      </w:tr>
      <w:tr w:rsidR="00390B2E" w:rsidRPr="00386CD6" w:rsidTr="00390B2E">
        <w:tc>
          <w:tcPr>
            <w:tcW w:w="10131" w:type="dxa"/>
            <w:gridSpan w:val="3"/>
          </w:tcPr>
          <w:p w:rsidR="00390B2E" w:rsidRPr="00386CD6" w:rsidRDefault="00390B2E" w:rsidP="00390B2E">
            <w:pPr>
              <w:pStyle w:val="Country"/>
            </w:pPr>
            <w:r w:rsidRPr="00386CD6">
              <w:t>Genève</w:t>
            </w:r>
          </w:p>
        </w:tc>
      </w:tr>
    </w:tbl>
    <w:p w:rsidR="00CB114F" w:rsidRPr="00386CD6" w:rsidRDefault="00390B2E" w:rsidP="00390B2E">
      <w:pPr>
        <w:pStyle w:val="Sessiontc"/>
      </w:pPr>
      <w:r w:rsidRPr="00386CD6">
        <w:t>CONSEIL</w:t>
      </w:r>
    </w:p>
    <w:p w:rsidR="00CB114F" w:rsidRPr="00386CD6" w:rsidRDefault="00390B2E" w:rsidP="00390B2E">
      <w:pPr>
        <w:pStyle w:val="Sessiontcplacedate"/>
      </w:pPr>
      <w:bookmarkStart w:id="3" w:name="TitleOfDoc"/>
      <w:bookmarkEnd w:id="3"/>
      <w:r w:rsidRPr="00386CD6">
        <w:t>Cinquantième</w:t>
      </w:r>
      <w:r w:rsidR="000F4505" w:rsidRPr="00386CD6">
        <w:t> </w:t>
      </w:r>
      <w:r w:rsidRPr="00386CD6">
        <w:t>session ordinaire</w:t>
      </w:r>
      <w:r w:rsidRPr="00386CD6">
        <w:br/>
        <w:t>Genève, 2</w:t>
      </w:r>
      <w:r w:rsidR="00C56BCE" w:rsidRPr="00386CD6">
        <w:t>8 octobre 20</w:t>
      </w:r>
      <w:r w:rsidRPr="00386CD6">
        <w:t>16</w:t>
      </w:r>
    </w:p>
    <w:p w:rsidR="00CB114F" w:rsidRPr="00386CD6" w:rsidRDefault="00390B2E" w:rsidP="00390B2E">
      <w:pPr>
        <w:pStyle w:val="Titleofdoc0"/>
      </w:pPr>
      <w:r w:rsidRPr="00386CD6">
        <w:t>R</w:t>
      </w:r>
      <w:r w:rsidR="00C57B61" w:rsidRPr="00386CD6">
        <w:t>apport annuel du Secrétaire général pour</w:t>
      </w:r>
      <w:r w:rsidRPr="00386CD6">
        <w:t xml:space="preserve"> 2015</w:t>
      </w:r>
    </w:p>
    <w:p w:rsidR="00CB114F" w:rsidRPr="00386CD6" w:rsidRDefault="00390B2E" w:rsidP="00390B2E">
      <w:pPr>
        <w:pStyle w:val="preparedby1"/>
      </w:pPr>
      <w:r w:rsidRPr="00386CD6">
        <w:t>(quarante</w:t>
      </w:r>
      <w:r w:rsidR="00C57B61" w:rsidRPr="00386CD6">
        <w:noBreakHyphen/>
      </w:r>
      <w:r w:rsidRPr="00386CD6">
        <w:t>septième année)</w:t>
      </w:r>
    </w:p>
    <w:p w:rsidR="00CB114F" w:rsidRPr="00386CD6" w:rsidRDefault="00390B2E" w:rsidP="00390B2E">
      <w:pPr>
        <w:pStyle w:val="preparedby1"/>
        <w:rPr>
          <w:color w:val="A6A6A6" w:themeColor="background1" w:themeShade="A6"/>
        </w:rPr>
      </w:pPr>
      <w:bookmarkStart w:id="4" w:name="Prepared"/>
      <w:bookmarkEnd w:id="4"/>
      <w:r w:rsidRPr="00386CD6">
        <w:rPr>
          <w:color w:val="A6A6A6" w:themeColor="background1" w:themeShade="A6"/>
        </w:rPr>
        <w:t>Avertissement : le présent document ne représente pas les principes ou les orientations de l</w:t>
      </w:r>
      <w:r w:rsidR="00C56BCE" w:rsidRPr="00386CD6">
        <w:rPr>
          <w:color w:val="A6A6A6" w:themeColor="background1" w:themeShade="A6"/>
        </w:rPr>
        <w:t>’</w:t>
      </w:r>
      <w:r w:rsidRPr="00386CD6">
        <w:rPr>
          <w:color w:val="A6A6A6" w:themeColor="background1" w:themeShade="A6"/>
        </w:rPr>
        <w:t>UPOV</w:t>
      </w:r>
    </w:p>
    <w:p w:rsidR="00CB114F" w:rsidRPr="00386CD6" w:rsidRDefault="008C784C" w:rsidP="00F01D68">
      <w:r w:rsidRPr="00386CD6">
        <w:fldChar w:fldCharType="begin"/>
      </w:r>
      <w:r w:rsidRPr="00386CD6">
        <w:instrText xml:space="preserve"> AUTONUM  </w:instrText>
      </w:r>
      <w:r w:rsidRPr="00386CD6">
        <w:fldChar w:fldCharType="end"/>
      </w:r>
      <w:r w:rsidRPr="00386CD6">
        <w:rPr>
          <w:color w:val="008000"/>
        </w:rPr>
        <w:tab/>
      </w:r>
      <w:r w:rsidR="00CB114F" w:rsidRPr="00386CD6">
        <w:t>Le présent document contient le rapport annuel du Secrétaire général pour</w:t>
      </w:r>
      <w:r w:rsidR="000F4505" w:rsidRPr="00386CD6">
        <w:t> </w:t>
      </w:r>
      <w:r w:rsidR="00CB114F" w:rsidRPr="00386CD6">
        <w:t xml:space="preserve">2015. </w:t>
      </w:r>
      <w:r w:rsidR="000F4505" w:rsidRPr="00386CD6">
        <w:t xml:space="preserve"> </w:t>
      </w:r>
      <w:r w:rsidR="00CB114F" w:rsidRPr="00386CD6">
        <w:t>L</w:t>
      </w:r>
      <w:r w:rsidR="00C56BCE" w:rsidRPr="00386CD6">
        <w:t>’</w:t>
      </w:r>
      <w:r w:rsidR="00CB114F" w:rsidRPr="00386CD6">
        <w:t>annexe</w:t>
      </w:r>
      <w:r w:rsidR="000F4505" w:rsidRPr="00386CD6">
        <w:t> </w:t>
      </w:r>
      <w:r w:rsidR="00CB114F" w:rsidRPr="00386CD6">
        <w:t>III rend compte des résultats obtenus en</w:t>
      </w:r>
      <w:r w:rsidR="000F4505" w:rsidRPr="00386CD6">
        <w:t> </w:t>
      </w:r>
      <w:r w:rsidR="00CB114F" w:rsidRPr="00386CD6">
        <w:t>2015 selon la structure du programme et budget pour l</w:t>
      </w:r>
      <w:r w:rsidR="00C56BCE" w:rsidRPr="00386CD6">
        <w:t>’</w:t>
      </w:r>
      <w:r w:rsidR="00CB114F" w:rsidRPr="00386CD6">
        <w:t>exercice biennal</w:t>
      </w:r>
      <w:r w:rsidR="000F4505" w:rsidRPr="00386CD6">
        <w:t> </w:t>
      </w:r>
      <w:r w:rsidR="00CB114F" w:rsidRPr="00386CD6">
        <w:t>2014</w:t>
      </w:r>
      <w:r w:rsidR="00C57B61" w:rsidRPr="00386CD6">
        <w:noBreakHyphen/>
      </w:r>
      <w:r w:rsidR="00CB114F" w:rsidRPr="00386CD6">
        <w:t>2015 (document C/47/4</w:t>
      </w:r>
      <w:r w:rsidR="000F4505" w:rsidRPr="00386CD6">
        <w:t> </w:t>
      </w:r>
      <w:r w:rsidR="00CB114F" w:rsidRPr="00386CD6">
        <w:t>Rev.).</w:t>
      </w:r>
      <w:r w:rsidRPr="00386CD6">
        <w:t xml:space="preserve">  </w:t>
      </w:r>
      <w:r w:rsidR="00CB114F" w:rsidRPr="00386CD6">
        <w:t>L</w:t>
      </w:r>
      <w:r w:rsidR="00C56BCE" w:rsidRPr="00386CD6">
        <w:t>’</w:t>
      </w:r>
      <w:r w:rsidR="00CB114F" w:rsidRPr="00386CD6">
        <w:t>appendice contient une liste de sigles et d</w:t>
      </w:r>
      <w:r w:rsidR="00C56BCE" w:rsidRPr="00386CD6">
        <w:t>’</w:t>
      </w:r>
      <w:r w:rsidR="00CB114F" w:rsidRPr="00386CD6">
        <w:t>abréviations.</w:t>
      </w:r>
    </w:p>
    <w:p w:rsidR="00CB114F" w:rsidRPr="00386CD6" w:rsidRDefault="00CB114F" w:rsidP="00F01D68"/>
    <w:p w:rsidR="00CB114F" w:rsidRPr="00386CD6" w:rsidRDefault="008C784C" w:rsidP="00F01D68">
      <w:r w:rsidRPr="00386CD6">
        <w:fldChar w:fldCharType="begin"/>
      </w:r>
      <w:r w:rsidRPr="00386CD6">
        <w:instrText xml:space="preserve"> AUTONUM  </w:instrText>
      </w:r>
      <w:r w:rsidRPr="00386CD6">
        <w:fldChar w:fldCharType="end"/>
      </w:r>
      <w:r w:rsidRPr="00386CD6">
        <w:tab/>
      </w:r>
      <w:r w:rsidR="00FB4583" w:rsidRPr="00386CD6">
        <w:t>Le rapport sur l</w:t>
      </w:r>
      <w:r w:rsidR="00C56BCE" w:rsidRPr="00386CD6">
        <w:t>’</w:t>
      </w:r>
      <w:r w:rsidR="00FB4583" w:rsidRPr="00386CD6">
        <w:t>exécution du programme pour l</w:t>
      </w:r>
      <w:r w:rsidR="00C56BCE" w:rsidRPr="00386CD6">
        <w:t>’</w:t>
      </w:r>
      <w:r w:rsidR="00FB4583" w:rsidRPr="00386CD6">
        <w:t>exercice biennal</w:t>
      </w:r>
      <w:r w:rsidR="000F4505" w:rsidRPr="00386CD6">
        <w:t> </w:t>
      </w:r>
      <w:r w:rsidRPr="00386CD6">
        <w:t>2014</w:t>
      </w:r>
      <w:r w:rsidR="00C57B61" w:rsidRPr="00386CD6">
        <w:noBreakHyphen/>
      </w:r>
      <w:r w:rsidRPr="00386CD6">
        <w:t xml:space="preserve">2015 (document C/50/12) </w:t>
      </w:r>
      <w:r w:rsidR="00FB4583" w:rsidRPr="00386CD6">
        <w:t>fournit des</w:t>
      </w:r>
      <w:r w:rsidRPr="00386CD6">
        <w:t xml:space="preserve"> information</w:t>
      </w:r>
      <w:r w:rsidR="00FB4583" w:rsidRPr="00386CD6">
        <w:t>s sur les dépenses, le nombre total de postes pour le Bureau de l</w:t>
      </w:r>
      <w:r w:rsidR="00C56BCE" w:rsidRPr="00386CD6">
        <w:t>’</w:t>
      </w:r>
      <w:r w:rsidR="00FB4583" w:rsidRPr="00386CD6">
        <w:t>Union ainsi que les résultats et les indicateurs d</w:t>
      </w:r>
      <w:r w:rsidR="00C56BCE" w:rsidRPr="00386CD6">
        <w:t>’</w:t>
      </w:r>
      <w:r w:rsidR="00FB4583" w:rsidRPr="00386CD6">
        <w:t>exécution par sous</w:t>
      </w:r>
      <w:r w:rsidR="00C57B61" w:rsidRPr="00386CD6">
        <w:noBreakHyphen/>
      </w:r>
      <w:r w:rsidR="00FB4583" w:rsidRPr="00386CD6">
        <w:t>programme, sur la base du programme et budget adopté par le Conse</w:t>
      </w:r>
      <w:r w:rsidR="00EB43E9" w:rsidRPr="00386CD6">
        <w:t>il.  Le</w:t>
      </w:r>
      <w:r w:rsidR="00FB4583" w:rsidRPr="00386CD6">
        <w:t xml:space="preserve"> d</w:t>
      </w:r>
      <w:r w:rsidRPr="00386CD6">
        <w:t xml:space="preserve">ocument C/50/12 </w:t>
      </w:r>
      <w:r w:rsidR="00FB4583" w:rsidRPr="00386CD6">
        <w:t>donne aussi un aperçu des</w:t>
      </w:r>
      <w:r w:rsidRPr="00386CD6">
        <w:t xml:space="preserve"> </w:t>
      </w:r>
      <w:r w:rsidR="00FB4583" w:rsidRPr="00386CD6">
        <w:t>tendances dans le temps</w:t>
      </w:r>
      <w:r w:rsidRPr="00386CD6">
        <w:t>.</w:t>
      </w:r>
    </w:p>
    <w:p w:rsidR="00CB114F" w:rsidRPr="00386CD6" w:rsidRDefault="00CB114F" w:rsidP="00F01D68"/>
    <w:p w:rsidR="00CB114F" w:rsidRPr="00386CD6" w:rsidRDefault="00CB114F" w:rsidP="00F01D68"/>
    <w:p w:rsidR="00CB114F" w:rsidRPr="00386CD6" w:rsidRDefault="00CB114F" w:rsidP="00F01D68">
      <w:r w:rsidRPr="00386CD6">
        <w:t>RÉSUMÉ</w:t>
      </w:r>
    </w:p>
    <w:p w:rsidR="00CB114F" w:rsidRPr="00386CD6" w:rsidRDefault="00CB114F" w:rsidP="00F01D68"/>
    <w:p w:rsidR="00CB114F" w:rsidRPr="00386CD6" w:rsidRDefault="008C784C" w:rsidP="00F01D68">
      <w:r w:rsidRPr="00386CD6">
        <w:fldChar w:fldCharType="begin"/>
      </w:r>
      <w:r w:rsidRPr="00386CD6">
        <w:instrText xml:space="preserve"> AUTONUM  </w:instrText>
      </w:r>
      <w:r w:rsidRPr="00386CD6">
        <w:fldChar w:fldCharType="end"/>
      </w:r>
      <w:r w:rsidRPr="00386CD6">
        <w:tab/>
      </w:r>
      <w:r w:rsidR="00CB114F" w:rsidRPr="00386CD6">
        <w:t>L</w:t>
      </w:r>
      <w:r w:rsidR="00C56BCE" w:rsidRPr="00386CD6">
        <w:t>’</w:t>
      </w:r>
      <w:r w:rsidR="00CB114F" w:rsidRPr="00386CD6">
        <w:t>annexe</w:t>
      </w:r>
      <w:r w:rsidR="000F4505" w:rsidRPr="00386CD6">
        <w:t> </w:t>
      </w:r>
      <w:r w:rsidR="00CB114F" w:rsidRPr="00386CD6">
        <w:t>III rend compte des résultats obtenus en</w:t>
      </w:r>
      <w:r w:rsidR="000F4505" w:rsidRPr="00386CD6">
        <w:t> </w:t>
      </w:r>
      <w:r w:rsidR="00CB114F" w:rsidRPr="00386CD6">
        <w:t>2015 selon la structure du programme et budget pour l</w:t>
      </w:r>
      <w:r w:rsidR="00C56BCE" w:rsidRPr="00386CD6">
        <w:t>’</w:t>
      </w:r>
      <w:r w:rsidR="00CB114F" w:rsidRPr="00386CD6">
        <w:t>exercice biennal</w:t>
      </w:r>
      <w:r w:rsidR="000F4505" w:rsidRPr="00386CD6">
        <w:t> </w:t>
      </w:r>
      <w:r w:rsidR="00CB114F" w:rsidRPr="00386CD6">
        <w:t>2014</w:t>
      </w:r>
      <w:r w:rsidR="00C57B61" w:rsidRPr="00386CD6">
        <w:noBreakHyphen/>
      </w:r>
      <w:r w:rsidR="00CB114F" w:rsidRPr="00386CD6">
        <w:t>2015 (document C/47/4</w:t>
      </w:r>
      <w:r w:rsidR="000F4505" w:rsidRPr="00386CD6">
        <w:t> </w:t>
      </w:r>
      <w:r w:rsidR="00CB114F" w:rsidRPr="00386CD6">
        <w:t>Rev.).</w:t>
      </w:r>
      <w:r w:rsidRPr="00386CD6">
        <w:t xml:space="preserve">  </w:t>
      </w:r>
      <w:r w:rsidR="00FB4583" w:rsidRPr="00386CD6">
        <w:t>On trouvera ci</w:t>
      </w:r>
      <w:r w:rsidR="00C57B61" w:rsidRPr="00386CD6">
        <w:noBreakHyphen/>
      </w:r>
      <w:r w:rsidR="00FB4583" w:rsidRPr="00386CD6">
        <w:t>après un résumé de certains des principaux éléments du rapport.</w:t>
      </w:r>
    </w:p>
    <w:p w:rsidR="00CB114F" w:rsidRPr="00386CD6" w:rsidRDefault="00CB114F" w:rsidP="00F01D68"/>
    <w:p w:rsidR="00CB114F" w:rsidRPr="00386CD6" w:rsidRDefault="00CB114F" w:rsidP="00F01D68">
      <w:pPr>
        <w:rPr>
          <w:u w:val="single"/>
        </w:rPr>
      </w:pPr>
      <w:r w:rsidRPr="00386CD6">
        <w:rPr>
          <w:u w:val="single"/>
        </w:rPr>
        <w:t>Composition de l</w:t>
      </w:r>
      <w:r w:rsidR="00C56BCE" w:rsidRPr="00386CD6">
        <w:rPr>
          <w:u w:val="single"/>
        </w:rPr>
        <w:t>’</w:t>
      </w:r>
      <w:r w:rsidRPr="00386CD6">
        <w:rPr>
          <w:u w:val="single"/>
        </w:rPr>
        <w:t>Union</w:t>
      </w:r>
    </w:p>
    <w:p w:rsidR="00CB114F" w:rsidRPr="00386CD6" w:rsidRDefault="00CB114F" w:rsidP="00F01D68"/>
    <w:p w:rsidR="00CB114F" w:rsidRPr="00386CD6" w:rsidRDefault="008C784C" w:rsidP="00F01D68">
      <w:r w:rsidRPr="00386CD6">
        <w:fldChar w:fldCharType="begin"/>
      </w:r>
      <w:r w:rsidRPr="00386CD6">
        <w:instrText xml:space="preserve"> AUTONUM  </w:instrText>
      </w:r>
      <w:r w:rsidRPr="00386CD6">
        <w:fldChar w:fldCharType="end"/>
      </w:r>
      <w:r w:rsidRPr="00386CD6">
        <w:tab/>
        <w:t>A</w:t>
      </w:r>
      <w:r w:rsidR="00FB4583" w:rsidRPr="00386CD6">
        <w:t>u</w:t>
      </w:r>
      <w:r w:rsidRPr="00386CD6">
        <w:t xml:space="preserve"> 3</w:t>
      </w:r>
      <w:r w:rsidR="00C56BCE" w:rsidRPr="00386CD6">
        <w:t>1 décembre 20</w:t>
      </w:r>
      <w:r w:rsidRPr="00386CD6">
        <w:t xml:space="preserve">15, </w:t>
      </w:r>
      <w:r w:rsidR="00FB4583" w:rsidRPr="00386CD6">
        <w:t>l</w:t>
      </w:r>
      <w:r w:rsidR="00C56BCE" w:rsidRPr="00386CD6">
        <w:t>’</w:t>
      </w:r>
      <w:r w:rsidRPr="00386CD6">
        <w:t>Union comp</w:t>
      </w:r>
      <w:r w:rsidR="00FB4583" w:rsidRPr="00386CD6">
        <w:t>tait</w:t>
      </w:r>
      <w:r w:rsidRPr="00386CD6">
        <w:t xml:space="preserve"> 74</w:t>
      </w:r>
      <w:r w:rsidR="002D613F" w:rsidRPr="00386CD6">
        <w:t> </w:t>
      </w:r>
      <w:r w:rsidR="00FB4583" w:rsidRPr="00386CD6">
        <w:t>membr</w:t>
      </w:r>
      <w:r w:rsidR="00EB43E9" w:rsidRPr="00386CD6">
        <w:t>es.  Ci</w:t>
      </w:r>
      <w:r w:rsidR="001A5A3D" w:rsidRPr="00386CD6">
        <w:t>nquante</w:t>
      </w:r>
      <w:r w:rsidR="00C57B61" w:rsidRPr="00386CD6">
        <w:noBreakHyphen/>
      </w:r>
      <w:r w:rsidR="001A5A3D" w:rsidRPr="00386CD6">
        <w:t>cinq membres étaient liés par l</w:t>
      </w:r>
      <w:r w:rsidR="00C56BCE" w:rsidRPr="00386CD6">
        <w:t>’</w:t>
      </w:r>
      <w:r w:rsidR="001A5A3D" w:rsidRPr="00386CD6">
        <w:t xml:space="preserve">Acte de 1991 de la </w:t>
      </w:r>
      <w:r w:rsidR="00C56BCE" w:rsidRPr="00386CD6">
        <w:t>Convention UPOV</w:t>
      </w:r>
      <w:r w:rsidRPr="00386CD6">
        <w:t xml:space="preserve">, </w:t>
      </w:r>
      <w:r w:rsidR="000F4505" w:rsidRPr="00386CD6">
        <w:t>18 </w:t>
      </w:r>
      <w:r w:rsidR="001A5A3D" w:rsidRPr="00386CD6">
        <w:t>membres étaient liés par l</w:t>
      </w:r>
      <w:r w:rsidR="00C56BCE" w:rsidRPr="00386CD6">
        <w:t>’</w:t>
      </w:r>
      <w:r w:rsidR="001A5A3D" w:rsidRPr="00386CD6">
        <w:t>Acte de 1978 et</w:t>
      </w:r>
      <w:r w:rsidRPr="00386CD6">
        <w:t xml:space="preserve"> </w:t>
      </w:r>
      <w:r w:rsidR="0051457A" w:rsidRPr="00386CD6">
        <w:t>1</w:t>
      </w:r>
      <w:r w:rsidR="001A5A3D" w:rsidRPr="00386CD6">
        <w:t xml:space="preserve"> membre était lié par la Convention de 1961 modifiée par l</w:t>
      </w:r>
      <w:r w:rsidR="00C56BCE" w:rsidRPr="00386CD6">
        <w:t>’</w:t>
      </w:r>
      <w:r w:rsidR="001A5A3D" w:rsidRPr="00386CD6">
        <w:t>Acte de 1972</w:t>
      </w:r>
      <w:r w:rsidRPr="00386CD6">
        <w:t xml:space="preserve">.  </w:t>
      </w:r>
      <w:r w:rsidR="00CB114F" w:rsidRPr="00386CD6">
        <w:t>L</w:t>
      </w:r>
      <w:r w:rsidR="00C56BCE" w:rsidRPr="00386CD6">
        <w:t>’</w:t>
      </w:r>
      <w:r w:rsidR="00CB114F" w:rsidRPr="00386CD6">
        <w:t>annexe</w:t>
      </w:r>
      <w:r w:rsidR="000F4505" w:rsidRPr="00386CD6">
        <w:t> </w:t>
      </w:r>
      <w:r w:rsidR="00CB114F" w:rsidRPr="00386CD6">
        <w:t>I présente la situation des membres de l</w:t>
      </w:r>
      <w:r w:rsidR="00C56BCE" w:rsidRPr="00386CD6">
        <w:t>’</w:t>
      </w:r>
      <w:r w:rsidR="00CB114F" w:rsidRPr="00386CD6">
        <w:t>Union par rapport aux divers actes de la Convention au 3</w:t>
      </w:r>
      <w:r w:rsidR="00C56BCE" w:rsidRPr="00386CD6">
        <w:t>1 décembre 20</w:t>
      </w:r>
      <w:r w:rsidR="00CB114F" w:rsidRPr="00386CD6">
        <w:t>15.</w:t>
      </w:r>
    </w:p>
    <w:p w:rsidR="00CB114F" w:rsidRPr="00386CD6" w:rsidRDefault="00CB114F" w:rsidP="00F01D68"/>
    <w:p w:rsidR="00CB114F" w:rsidRPr="00386CD6" w:rsidRDefault="008C784C" w:rsidP="00F01D68">
      <w:r w:rsidRPr="00386CD6">
        <w:fldChar w:fldCharType="begin"/>
      </w:r>
      <w:r w:rsidRPr="00386CD6">
        <w:instrText xml:space="preserve"> AUTONUM  </w:instrText>
      </w:r>
      <w:r w:rsidRPr="00386CD6">
        <w:fldChar w:fldCharType="end"/>
      </w:r>
      <w:r w:rsidRPr="00386CD6">
        <w:tab/>
      </w:r>
      <w:r w:rsidR="001A5A3D" w:rsidRPr="00386CD6">
        <w:t>Au sujet des demandes adressées au Conseil pour qu</w:t>
      </w:r>
      <w:r w:rsidR="00C56BCE" w:rsidRPr="00386CD6">
        <w:t>’</w:t>
      </w:r>
      <w:r w:rsidR="001A5A3D" w:rsidRPr="00386CD6">
        <w:t>il donne son avis sur la conformité des législations avec les dispositions de l</w:t>
      </w:r>
      <w:r w:rsidR="00C56BCE" w:rsidRPr="00386CD6">
        <w:t>’</w:t>
      </w:r>
      <w:r w:rsidR="001A5A3D" w:rsidRPr="00386CD6">
        <w:t>Acte</w:t>
      </w:r>
      <w:r w:rsidRPr="00386CD6">
        <w:t xml:space="preserve"> </w:t>
      </w:r>
      <w:r w:rsidR="001A5A3D" w:rsidRPr="00386CD6">
        <w:t xml:space="preserve">de 1991 de la </w:t>
      </w:r>
      <w:r w:rsidR="00C56BCE" w:rsidRPr="00386CD6">
        <w:t>Convention UPOV</w:t>
      </w:r>
      <w:r w:rsidRPr="00386CD6">
        <w:t xml:space="preserve">, </w:t>
      </w:r>
      <w:r w:rsidR="001A5A3D" w:rsidRPr="00386CD6">
        <w:t>le Conseil</w:t>
      </w:r>
    </w:p>
    <w:p w:rsidR="00CB114F" w:rsidRPr="00386CD6" w:rsidRDefault="00CB114F" w:rsidP="00F01D68"/>
    <w:p w:rsidR="00CB114F" w:rsidRPr="00386CD6" w:rsidRDefault="008C784C" w:rsidP="00F01D68">
      <w:pPr>
        <w:ind w:left="567"/>
      </w:pPr>
      <w:r w:rsidRPr="00386CD6">
        <w:t>a)</w:t>
      </w:r>
      <w:r w:rsidRPr="00386CD6">
        <w:tab/>
      </w:r>
      <w:r w:rsidR="001A5A3D" w:rsidRPr="00386CD6">
        <w:t xml:space="preserve">a rendu une décision positive quant à la conformité du “Projet de dispositions du titre IV </w:t>
      </w:r>
      <w:r w:rsidR="00C56BCE" w:rsidRPr="00386CD6">
        <w:t>‘</w:t>
      </w:r>
      <w:r w:rsidR="001A5A3D" w:rsidRPr="00386CD6">
        <w:t>Obtentions végétales</w:t>
      </w:r>
      <w:r w:rsidR="00C56BCE" w:rsidRPr="00386CD6">
        <w:t>’</w:t>
      </w:r>
      <w:r w:rsidR="001A5A3D" w:rsidRPr="00386CD6">
        <w:t xml:space="preserve"> de la loi n° 82 de 2002 relative à la protection des droits de propriété intellectuelle” de l</w:t>
      </w:r>
      <w:r w:rsidR="00C56BCE" w:rsidRPr="00386CD6">
        <w:t>’</w:t>
      </w:r>
      <w:r w:rsidR="001A5A3D" w:rsidRPr="00386CD6">
        <w:t>Égypte</w:t>
      </w:r>
      <w:r w:rsidRPr="00386CD6">
        <w:t xml:space="preserve"> </w:t>
      </w:r>
      <w:r w:rsidR="001A5A3D" w:rsidRPr="00386CD6">
        <w:t>et</w:t>
      </w:r>
    </w:p>
    <w:p w:rsidR="00CB114F" w:rsidRPr="00386CD6" w:rsidRDefault="00CB114F" w:rsidP="00F01D68">
      <w:pPr>
        <w:ind w:left="567"/>
      </w:pPr>
    </w:p>
    <w:p w:rsidR="00CB114F" w:rsidRPr="00386CD6" w:rsidRDefault="00C57B61" w:rsidP="00F01D68">
      <w:pPr>
        <w:ind w:left="567"/>
      </w:pPr>
      <w:proofErr w:type="gramStart"/>
      <w:r w:rsidRPr="00386CD6">
        <w:t>b</w:t>
      </w:r>
      <w:proofErr w:type="gramEnd"/>
      <w:r w:rsidRPr="00386CD6">
        <w:t>)</w:t>
      </w:r>
      <w:r w:rsidRPr="00386CD6">
        <w:tab/>
      </w:r>
      <w:r w:rsidR="00CB114F" w:rsidRPr="00386CD6">
        <w:t>a décidé de recommander que la République islamique d</w:t>
      </w:r>
      <w:r w:rsidR="00C56BCE" w:rsidRPr="00386CD6">
        <w:t>’</w:t>
      </w:r>
      <w:r w:rsidR="00CB114F" w:rsidRPr="00386CD6">
        <w:t>Iran incorpore les dispositions supplémentaires et modifications dans la “Loi sur l</w:t>
      </w:r>
      <w:r w:rsidR="00C56BCE" w:rsidRPr="00386CD6">
        <w:t>’</w:t>
      </w:r>
      <w:r w:rsidR="00CB114F" w:rsidRPr="00386CD6">
        <w:t>enregistrement des obtentions végétales et le contrôle et la certification des semences et du matériel végétal de</w:t>
      </w:r>
      <w:r w:rsidR="000F4505" w:rsidRPr="00386CD6">
        <w:t> </w:t>
      </w:r>
      <w:r w:rsidR="00CB114F" w:rsidRPr="00386CD6">
        <w:t>2003” et de recommander que, dès que ces dispositions supplémentaires et ces modifications auront été incorporées dans la loi, la loi ainsi modifiée soit soumise au Conseil pour examen, conformément à l</w:t>
      </w:r>
      <w:r w:rsidR="00C56BCE" w:rsidRPr="00386CD6">
        <w:t>’</w:t>
      </w:r>
      <w:r w:rsidR="00CB114F" w:rsidRPr="00386CD6">
        <w:t>article</w:t>
      </w:r>
      <w:r w:rsidR="000F4505" w:rsidRPr="00386CD6">
        <w:t> </w:t>
      </w:r>
      <w:r w:rsidR="00CB114F" w:rsidRPr="00386CD6">
        <w:t>34.3) de l</w:t>
      </w:r>
      <w:r w:rsidR="00C56BCE" w:rsidRPr="00386CD6">
        <w:t>’</w:t>
      </w:r>
      <w:r w:rsidR="00CB114F" w:rsidRPr="00386CD6">
        <w:t>Acte de</w:t>
      </w:r>
      <w:r w:rsidR="000F4505" w:rsidRPr="00386CD6">
        <w:t> </w:t>
      </w:r>
      <w:r w:rsidR="00CB114F" w:rsidRPr="00386CD6">
        <w:t>1991.</w:t>
      </w:r>
    </w:p>
    <w:p w:rsidR="00CB114F" w:rsidRPr="00386CD6" w:rsidRDefault="00CB114F" w:rsidP="00F01D68"/>
    <w:p w:rsidR="00CB114F" w:rsidRPr="00386CD6" w:rsidRDefault="00CB114F" w:rsidP="00F01D68">
      <w:pPr>
        <w:rPr>
          <w:u w:val="single"/>
        </w:rPr>
      </w:pPr>
      <w:r w:rsidRPr="00386CD6">
        <w:rPr>
          <w:u w:val="single"/>
        </w:rPr>
        <w:lastRenderedPageBreak/>
        <w:t>Sessions du conseil et de ses organes subsidiaires</w:t>
      </w:r>
    </w:p>
    <w:p w:rsidR="00CB114F" w:rsidRPr="00386CD6" w:rsidRDefault="00CB114F" w:rsidP="00F01D68"/>
    <w:p w:rsidR="00CB114F" w:rsidRPr="00386CD6" w:rsidRDefault="008C784C" w:rsidP="00F01D68">
      <w:r w:rsidRPr="00386CD6">
        <w:fldChar w:fldCharType="begin"/>
      </w:r>
      <w:r w:rsidRPr="00386CD6">
        <w:instrText xml:space="preserve"> AUTONUM  </w:instrText>
      </w:r>
      <w:r w:rsidRPr="00386CD6">
        <w:fldChar w:fldCharType="end"/>
      </w:r>
      <w:r w:rsidRPr="00386CD6">
        <w:tab/>
      </w:r>
      <w:r w:rsidR="002E4CEE" w:rsidRPr="00386CD6">
        <w:t xml:space="preserve">Le Conseil a tenu une session extraordinaire en </w:t>
      </w:r>
      <w:r w:rsidR="00C56BCE" w:rsidRPr="00386CD6">
        <w:t>mars 20</w:t>
      </w:r>
      <w:r w:rsidR="002E4CEE" w:rsidRPr="00386CD6">
        <w:t>15, sous la présidence de Mme Kitisri Sukhapinda (États</w:t>
      </w:r>
      <w:r w:rsidR="00C57B61" w:rsidRPr="00386CD6">
        <w:noBreakHyphen/>
      </w:r>
      <w:r w:rsidR="002E4CEE" w:rsidRPr="00386CD6">
        <w:t>Unis d</w:t>
      </w:r>
      <w:r w:rsidR="00C56BCE" w:rsidRPr="00386CD6">
        <w:t>’</w:t>
      </w:r>
      <w:r w:rsidR="002E4CEE" w:rsidRPr="00386CD6">
        <w:t>Amérique), présidente du Conseil.</w:t>
      </w:r>
      <w:r w:rsidRPr="00386CD6">
        <w:t xml:space="preserve">  </w:t>
      </w:r>
      <w:r w:rsidR="002E4CEE" w:rsidRPr="00386CD6">
        <w:t>Y ont pris part 45</w:t>
      </w:r>
      <w:r w:rsidR="002D613F" w:rsidRPr="00386CD6">
        <w:t> </w:t>
      </w:r>
      <w:r w:rsidR="002E4CEE" w:rsidRPr="00386CD6">
        <w:t>membres de l</w:t>
      </w:r>
      <w:r w:rsidR="00C56BCE" w:rsidRPr="00386CD6">
        <w:t>’</w:t>
      </w:r>
      <w:r w:rsidR="002E4CEE" w:rsidRPr="00386CD6">
        <w:t xml:space="preserve">Union, </w:t>
      </w:r>
      <w:r w:rsidR="00386CD6">
        <w:t>3</w:t>
      </w:r>
      <w:r w:rsidR="002D613F" w:rsidRPr="00386CD6">
        <w:t> </w:t>
      </w:r>
      <w:r w:rsidR="002E4CEE" w:rsidRPr="00386CD6">
        <w:t>États ayant le statut d</w:t>
      </w:r>
      <w:r w:rsidR="00C56BCE" w:rsidRPr="00386CD6">
        <w:t>’</w:t>
      </w:r>
      <w:r w:rsidR="002E4CEE" w:rsidRPr="00386CD6">
        <w:t xml:space="preserve">observateur et </w:t>
      </w:r>
      <w:r w:rsidR="00386CD6">
        <w:t>7</w:t>
      </w:r>
      <w:r w:rsidR="002D613F" w:rsidRPr="00386CD6">
        <w:t> </w:t>
      </w:r>
      <w:r w:rsidR="002E4CEE" w:rsidRPr="00386CD6">
        <w:t>organisations ayant le statut d</w:t>
      </w:r>
      <w:r w:rsidR="00C56BCE" w:rsidRPr="00386CD6">
        <w:t>’</w:t>
      </w:r>
      <w:r w:rsidR="002E4CEE" w:rsidRPr="00386CD6">
        <w:t>observate</w:t>
      </w:r>
      <w:r w:rsidR="00EB43E9" w:rsidRPr="00386CD6">
        <w:t>ur.  Le</w:t>
      </w:r>
      <w:r w:rsidR="00C9588E" w:rsidRPr="00386CD6">
        <w:t xml:space="preserve"> Conseil a tenu une session extraordinaire en </w:t>
      </w:r>
      <w:r w:rsidR="00C56BCE" w:rsidRPr="00386CD6">
        <w:t>octobre 20</w:t>
      </w:r>
      <w:r w:rsidR="00C9588E" w:rsidRPr="00386CD6">
        <w:t>15, également sous la présidence de Mme </w:t>
      </w:r>
      <w:r w:rsidRPr="00386CD6">
        <w:t xml:space="preserve">Sukhapinda, </w:t>
      </w:r>
      <w:r w:rsidR="00C9588E" w:rsidRPr="00386CD6">
        <w:t>présidente du Conseil</w:t>
      </w:r>
      <w:r w:rsidRPr="00386CD6">
        <w:t xml:space="preserve">.  </w:t>
      </w:r>
      <w:r w:rsidR="002E4CEE" w:rsidRPr="00386CD6">
        <w:t>Y ont pris part 46</w:t>
      </w:r>
      <w:r w:rsidR="002D613F" w:rsidRPr="00386CD6">
        <w:t> </w:t>
      </w:r>
      <w:r w:rsidR="002E4CEE" w:rsidRPr="00386CD6">
        <w:t>membres de l</w:t>
      </w:r>
      <w:r w:rsidR="00C56BCE" w:rsidRPr="00386CD6">
        <w:t>’</w:t>
      </w:r>
      <w:r w:rsidR="002E4CEE" w:rsidRPr="00386CD6">
        <w:t>Union, 4</w:t>
      </w:r>
      <w:r w:rsidR="002D613F" w:rsidRPr="00386CD6">
        <w:t> </w:t>
      </w:r>
      <w:r w:rsidR="002E4CEE" w:rsidRPr="00386CD6">
        <w:t>États ayant le statut d</w:t>
      </w:r>
      <w:r w:rsidR="00C56BCE" w:rsidRPr="00386CD6">
        <w:t>’</w:t>
      </w:r>
      <w:r w:rsidR="002E4CEE" w:rsidRPr="00386CD6">
        <w:t>observateur et 5</w:t>
      </w:r>
      <w:r w:rsidR="002D613F" w:rsidRPr="00386CD6">
        <w:t> </w:t>
      </w:r>
      <w:r w:rsidR="002E4CEE" w:rsidRPr="00386CD6">
        <w:t>organisations ayant le statut d</w:t>
      </w:r>
      <w:r w:rsidR="00C56BCE" w:rsidRPr="00386CD6">
        <w:t>’</w:t>
      </w:r>
      <w:r w:rsidR="002E4CEE" w:rsidRPr="00386CD6">
        <w:t>observate</w:t>
      </w:r>
      <w:r w:rsidR="00EB43E9" w:rsidRPr="00386CD6">
        <w:t>ur.  Le</w:t>
      </w:r>
      <w:r w:rsidR="001A5A3D" w:rsidRPr="00386CD6">
        <w:t xml:space="preserve"> Comité consultatif a tenu deux</w:t>
      </w:r>
      <w:r w:rsidR="000F4505" w:rsidRPr="00386CD6">
        <w:t> </w:t>
      </w:r>
      <w:r w:rsidR="001A5A3D" w:rsidRPr="00386CD6">
        <w:t xml:space="preserve">sessions, en mars et </w:t>
      </w:r>
      <w:r w:rsidR="00C56BCE" w:rsidRPr="00386CD6">
        <w:t>octobre 20</w:t>
      </w:r>
      <w:r w:rsidR="001A5A3D" w:rsidRPr="00386CD6">
        <w:t>15, sous la présidence de</w:t>
      </w:r>
      <w:r w:rsidRPr="00386CD6">
        <w:t xml:space="preserve"> </w:t>
      </w:r>
      <w:r w:rsidR="007E6744" w:rsidRPr="00386CD6">
        <w:t>M</w:t>
      </w:r>
      <w:r w:rsidR="001A5A3D" w:rsidRPr="00386CD6">
        <w:t>me</w:t>
      </w:r>
      <w:r w:rsidR="000F4505" w:rsidRPr="00386CD6">
        <w:t> </w:t>
      </w:r>
      <w:r w:rsidR="007E6744" w:rsidRPr="00386CD6">
        <w:t>Sukhapin</w:t>
      </w:r>
      <w:r w:rsidR="00EB43E9" w:rsidRPr="00386CD6">
        <w:t>da.  Un</w:t>
      </w:r>
      <w:r w:rsidR="001A5A3D" w:rsidRPr="00386CD6">
        <w:t xml:space="preserve"> résumé des résultats obtenus par le Conseil et le Comité consultatif en</w:t>
      </w:r>
      <w:r w:rsidR="000F4505" w:rsidRPr="00386CD6">
        <w:t> </w:t>
      </w:r>
      <w:r w:rsidR="001A5A3D" w:rsidRPr="00386CD6">
        <w:t>2015 figure à l</w:t>
      </w:r>
      <w:r w:rsidR="00C56BCE" w:rsidRPr="00386CD6">
        <w:t>’</w:t>
      </w:r>
      <w:r w:rsidR="001A5A3D" w:rsidRPr="00386CD6">
        <w:t>annexe</w:t>
      </w:r>
      <w:r w:rsidR="007E6744" w:rsidRPr="00386CD6">
        <w:t> </w:t>
      </w:r>
      <w:r w:rsidRPr="00386CD6">
        <w:t xml:space="preserve">III </w:t>
      </w:r>
      <w:r w:rsidR="003015B1" w:rsidRPr="00386CD6">
        <w:t>du présent</w:t>
      </w:r>
      <w:r w:rsidR="000013BC" w:rsidRPr="00386CD6">
        <w:t xml:space="preserve"> </w:t>
      </w:r>
      <w:r w:rsidRPr="00386CD6">
        <w:t xml:space="preserve">document, </w:t>
      </w:r>
      <w:r w:rsidR="000013BC" w:rsidRPr="00386CD6">
        <w:t>sous</w:t>
      </w:r>
      <w:r w:rsidR="00C57B61" w:rsidRPr="00386CD6">
        <w:noBreakHyphen/>
      </w:r>
      <w:r w:rsidR="000013BC" w:rsidRPr="00386CD6">
        <w:t>programme UV.1 : Politique générale en matière de protection des obtentions végétales</w:t>
      </w:r>
      <w:r w:rsidRPr="00386CD6">
        <w:t>.</w:t>
      </w:r>
    </w:p>
    <w:p w:rsidR="00CB114F" w:rsidRPr="00386CD6" w:rsidRDefault="00CB114F" w:rsidP="00F01D68"/>
    <w:p w:rsidR="00CB114F" w:rsidRPr="00386CD6" w:rsidRDefault="008C784C" w:rsidP="00F01D68">
      <w:r w:rsidRPr="00386CD6">
        <w:fldChar w:fldCharType="begin"/>
      </w:r>
      <w:r w:rsidRPr="00386CD6">
        <w:instrText xml:space="preserve"> AUTONUM  </w:instrText>
      </w:r>
      <w:r w:rsidRPr="00386CD6">
        <w:fldChar w:fldCharType="end"/>
      </w:r>
      <w:r w:rsidR="000013BC" w:rsidRPr="00386CD6">
        <w:tab/>
        <w:t>L</w:t>
      </w:r>
      <w:r w:rsidRPr="00386CD6">
        <w:t xml:space="preserve">e CAJ </w:t>
      </w:r>
      <w:r w:rsidR="000013BC" w:rsidRPr="00386CD6">
        <w:t>a tenu deux</w:t>
      </w:r>
      <w:r w:rsidR="000F4505" w:rsidRPr="00386CD6">
        <w:t> </w:t>
      </w:r>
      <w:r w:rsidR="000013BC" w:rsidRPr="00386CD6">
        <w:t>sessions, e</w:t>
      </w:r>
      <w:r w:rsidR="007E6744" w:rsidRPr="00386CD6">
        <w:t xml:space="preserve">n </w:t>
      </w:r>
      <w:r w:rsidR="000013BC" w:rsidRPr="00386CD6">
        <w:t>m</w:t>
      </w:r>
      <w:r w:rsidR="007E6744" w:rsidRPr="00386CD6">
        <w:t>ar</w:t>
      </w:r>
      <w:r w:rsidR="000013BC" w:rsidRPr="00386CD6">
        <w:t>s et en octobre, et</w:t>
      </w:r>
      <w:r w:rsidRPr="00386CD6">
        <w:t xml:space="preserve"> </w:t>
      </w:r>
      <w:r w:rsidR="000013BC" w:rsidRPr="00386CD6">
        <w:t>l</w:t>
      </w:r>
      <w:r w:rsidR="00AC5736" w:rsidRPr="00386CD6">
        <w:t>e</w:t>
      </w:r>
      <w:r w:rsidR="00C56BCE" w:rsidRPr="00386CD6">
        <w:t> TC</w:t>
      </w:r>
      <w:r w:rsidR="000013BC" w:rsidRPr="00386CD6">
        <w:t xml:space="preserve"> a tenu une</w:t>
      </w:r>
      <w:r w:rsidRPr="00386CD6">
        <w:t xml:space="preserve"> session, </w:t>
      </w:r>
      <w:r w:rsidR="000013BC" w:rsidRPr="00386CD6">
        <w:t>e</w:t>
      </w:r>
      <w:r w:rsidRPr="00386CD6">
        <w:t>n</w:t>
      </w:r>
      <w:r w:rsidR="000013BC" w:rsidRPr="00386CD6">
        <w:t xml:space="preserve"> ma</w:t>
      </w:r>
      <w:r w:rsidR="00EB43E9" w:rsidRPr="00386CD6">
        <w:t>rs.  Le</w:t>
      </w:r>
      <w:r w:rsidR="00C56BCE" w:rsidRPr="00386CD6">
        <w:t> TC</w:t>
      </w:r>
      <w:r w:rsidR="00C57B61" w:rsidRPr="00386CD6">
        <w:noBreakHyphen/>
      </w:r>
      <w:r w:rsidR="00C56BCE" w:rsidRPr="00386CD6">
        <w:t>EDC</w:t>
      </w:r>
      <w:r w:rsidR="000013BC" w:rsidRPr="00386CD6">
        <w:t xml:space="preserve"> s</w:t>
      </w:r>
      <w:r w:rsidR="00C56BCE" w:rsidRPr="00386CD6">
        <w:t>’</w:t>
      </w:r>
      <w:r w:rsidR="000013BC" w:rsidRPr="00386CD6">
        <w:t>est réuni en janvier et en ma</w:t>
      </w:r>
      <w:r w:rsidR="00EB43E9" w:rsidRPr="00386CD6">
        <w:t>rs.  Le</w:t>
      </w:r>
      <w:r w:rsidR="00A74B2D" w:rsidRPr="00386CD6">
        <w:t xml:space="preserve"> calen</w:t>
      </w:r>
      <w:r w:rsidR="00AC5736" w:rsidRPr="00386CD6">
        <w:t>drier et le lieu des sessions des groupes de travail technique</w:t>
      </w:r>
      <w:r w:rsidR="0051457A" w:rsidRPr="00386CD6">
        <w:t>s</w:t>
      </w:r>
      <w:r w:rsidRPr="00386CD6">
        <w:t xml:space="preserve"> </w:t>
      </w:r>
      <w:r w:rsidR="00A74B2D" w:rsidRPr="00386CD6">
        <w:t>et des ateliers préparatoires correspondants</w:t>
      </w:r>
      <w:r w:rsidRPr="00386CD6">
        <w:t xml:space="preserve"> </w:t>
      </w:r>
      <w:r w:rsidR="00A74B2D" w:rsidRPr="00386CD6">
        <w:t>étaient les suivants</w:t>
      </w:r>
      <w:r w:rsidR="000F4505" w:rsidRPr="00386CD6">
        <w:t> </w:t>
      </w:r>
      <w:r w:rsidRPr="00386CD6">
        <w:t>:</w:t>
      </w:r>
    </w:p>
    <w:p w:rsidR="00CB114F" w:rsidRPr="00386CD6" w:rsidRDefault="00CB114F" w:rsidP="00F01D68"/>
    <w:p w:rsidR="00CB114F" w:rsidRPr="00386CD6" w:rsidRDefault="008C784C" w:rsidP="00F01D68">
      <w:pPr>
        <w:pStyle w:val="ListParagraph"/>
        <w:numPr>
          <w:ilvl w:val="0"/>
          <w:numId w:val="24"/>
        </w:numPr>
      </w:pPr>
      <w:r w:rsidRPr="00386CD6">
        <w:t>TWA</w:t>
      </w:r>
      <w:r w:rsidR="000F4505" w:rsidRPr="00386CD6">
        <w:t xml:space="preserve"> : </w:t>
      </w:r>
      <w:r w:rsidRPr="00386CD6">
        <w:tab/>
        <w:t>Obihiro</w:t>
      </w:r>
      <w:r w:rsidR="00C9588E" w:rsidRPr="00386CD6">
        <w:t xml:space="preserve"> (Japon) (juillet)</w:t>
      </w:r>
    </w:p>
    <w:p w:rsidR="00CB114F" w:rsidRPr="00386CD6" w:rsidRDefault="008C784C" w:rsidP="00F01D68">
      <w:pPr>
        <w:pStyle w:val="ListParagraph"/>
        <w:numPr>
          <w:ilvl w:val="0"/>
          <w:numId w:val="24"/>
        </w:numPr>
      </w:pPr>
      <w:r w:rsidRPr="00386CD6">
        <w:t>TWC</w:t>
      </w:r>
      <w:r w:rsidR="000F4505" w:rsidRPr="00386CD6">
        <w:t xml:space="preserve"> : </w:t>
      </w:r>
      <w:r w:rsidRPr="00386CD6">
        <w:tab/>
        <w:t>Natal</w:t>
      </w:r>
      <w:r w:rsidR="00C9588E" w:rsidRPr="00386CD6">
        <w:t xml:space="preserve"> (Brésil) (juin/juillet</w:t>
      </w:r>
      <w:r w:rsidRPr="00386CD6">
        <w:t>)</w:t>
      </w:r>
    </w:p>
    <w:p w:rsidR="00CB114F" w:rsidRPr="00386CD6" w:rsidRDefault="008C784C" w:rsidP="00F01D68">
      <w:pPr>
        <w:pStyle w:val="ListParagraph"/>
        <w:numPr>
          <w:ilvl w:val="0"/>
          <w:numId w:val="24"/>
        </w:numPr>
      </w:pPr>
      <w:r w:rsidRPr="00386CD6">
        <w:t>TWF</w:t>
      </w:r>
      <w:r w:rsidR="000F4505" w:rsidRPr="00386CD6">
        <w:t xml:space="preserve"> : </w:t>
      </w:r>
      <w:r w:rsidRPr="00386CD6">
        <w:tab/>
        <w:t>Mpumalanga</w:t>
      </w:r>
      <w:r w:rsidR="00C9588E" w:rsidRPr="00386CD6">
        <w:t xml:space="preserve"> (Afrique du Sud) (août</w:t>
      </w:r>
      <w:r w:rsidRPr="00386CD6">
        <w:t>)</w:t>
      </w:r>
    </w:p>
    <w:p w:rsidR="00CB114F" w:rsidRPr="00386CD6" w:rsidRDefault="008C784C" w:rsidP="00F01D68">
      <w:pPr>
        <w:pStyle w:val="ListParagraph"/>
        <w:numPr>
          <w:ilvl w:val="0"/>
          <w:numId w:val="24"/>
        </w:numPr>
      </w:pPr>
      <w:r w:rsidRPr="00386CD6">
        <w:t>TWO</w:t>
      </w:r>
      <w:r w:rsidR="000F4505" w:rsidRPr="00386CD6">
        <w:t xml:space="preserve"> : </w:t>
      </w:r>
      <w:r w:rsidRPr="00386CD6">
        <w:tab/>
        <w:t>Cambridge</w:t>
      </w:r>
      <w:r w:rsidR="00C9588E" w:rsidRPr="00386CD6">
        <w:t xml:space="preserve"> (Royaume</w:t>
      </w:r>
      <w:r w:rsidR="00C57B61" w:rsidRPr="00386CD6">
        <w:noBreakHyphen/>
      </w:r>
      <w:r w:rsidR="00C9588E" w:rsidRPr="00386CD6">
        <w:t>Uni) (septembre</w:t>
      </w:r>
      <w:r w:rsidRPr="00386CD6">
        <w:t>)</w:t>
      </w:r>
    </w:p>
    <w:p w:rsidR="00CB114F" w:rsidRPr="00386CD6" w:rsidRDefault="008C784C" w:rsidP="00F01D68">
      <w:pPr>
        <w:pStyle w:val="ListParagraph"/>
        <w:numPr>
          <w:ilvl w:val="0"/>
          <w:numId w:val="24"/>
        </w:numPr>
      </w:pPr>
      <w:r w:rsidRPr="00386CD6">
        <w:t>TWV</w:t>
      </w:r>
      <w:r w:rsidR="000F4505" w:rsidRPr="00386CD6">
        <w:t xml:space="preserve"> : </w:t>
      </w:r>
      <w:r w:rsidRPr="00386CD6">
        <w:tab/>
        <w:t>Angers</w:t>
      </w:r>
      <w:r w:rsidR="00C9588E" w:rsidRPr="00386CD6">
        <w:t xml:space="preserve"> (France)</w:t>
      </w:r>
      <w:r w:rsidRPr="00386CD6">
        <w:t xml:space="preserve"> (</w:t>
      </w:r>
      <w:r w:rsidR="00C9588E" w:rsidRPr="00386CD6">
        <w:t>juin</w:t>
      </w:r>
      <w:r w:rsidRPr="00386CD6">
        <w:t>)</w:t>
      </w:r>
    </w:p>
    <w:p w:rsidR="00CB114F" w:rsidRPr="00386CD6" w:rsidRDefault="00CB114F" w:rsidP="00F01D68"/>
    <w:p w:rsidR="00CB114F" w:rsidRPr="00386CD6" w:rsidRDefault="00FC00F7" w:rsidP="00F01D68">
      <w:r w:rsidRPr="00386CD6">
        <w:fldChar w:fldCharType="begin"/>
      </w:r>
      <w:r w:rsidRPr="00386CD6">
        <w:instrText xml:space="preserve"> AUTONUM  </w:instrText>
      </w:r>
      <w:r w:rsidRPr="00386CD6">
        <w:fldChar w:fldCharType="end"/>
      </w:r>
      <w:r w:rsidR="008C784C" w:rsidRPr="00386CD6">
        <w:tab/>
      </w:r>
      <w:r w:rsidR="00A74B2D" w:rsidRPr="00386CD6">
        <w:t>Un résumé des résultats obtenus par</w:t>
      </w:r>
      <w:r w:rsidR="00C56BCE" w:rsidRPr="00386CD6">
        <w:t xml:space="preserve"> le CAJ</w:t>
      </w:r>
      <w:r w:rsidR="008C784C" w:rsidRPr="00386CD6">
        <w:t xml:space="preserve">, </w:t>
      </w:r>
      <w:r w:rsidR="00A74B2D" w:rsidRPr="00386CD6">
        <w:t>le</w:t>
      </w:r>
      <w:r w:rsidR="00C56BCE" w:rsidRPr="00386CD6">
        <w:t> TC</w:t>
      </w:r>
      <w:r w:rsidR="008C784C" w:rsidRPr="00386CD6">
        <w:t xml:space="preserve"> </w:t>
      </w:r>
      <w:r w:rsidR="00A74B2D" w:rsidRPr="00386CD6">
        <w:t>et les</w:t>
      </w:r>
      <w:r w:rsidR="008C784C" w:rsidRPr="00386CD6">
        <w:t xml:space="preserve"> </w:t>
      </w:r>
      <w:r w:rsidR="00AC5736" w:rsidRPr="00386CD6">
        <w:t>groupes de travail technique</w:t>
      </w:r>
      <w:r w:rsidR="0051457A" w:rsidRPr="00386CD6">
        <w:t>s</w:t>
      </w:r>
      <w:r w:rsidR="008C784C" w:rsidRPr="00386CD6">
        <w:t xml:space="preserve"> </w:t>
      </w:r>
      <w:r w:rsidR="00A74B2D" w:rsidRPr="00386CD6">
        <w:t>e</w:t>
      </w:r>
      <w:r w:rsidR="008C784C" w:rsidRPr="00386CD6">
        <w:t>n</w:t>
      </w:r>
      <w:r w:rsidR="000F4505" w:rsidRPr="00386CD6">
        <w:t> </w:t>
      </w:r>
      <w:r w:rsidR="008C784C" w:rsidRPr="00386CD6">
        <w:t xml:space="preserve">2015 </w:t>
      </w:r>
      <w:r w:rsidR="00A74B2D" w:rsidRPr="00386CD6">
        <w:t>figurait à l</w:t>
      </w:r>
      <w:r w:rsidR="00C56BCE" w:rsidRPr="00386CD6">
        <w:t>’</w:t>
      </w:r>
      <w:r w:rsidR="00A74B2D" w:rsidRPr="00386CD6">
        <w:t>a</w:t>
      </w:r>
      <w:r w:rsidR="008C784C" w:rsidRPr="00386CD6">
        <w:t>nnex</w:t>
      </w:r>
      <w:r w:rsidR="00A74B2D" w:rsidRPr="00386CD6">
        <w:t>e</w:t>
      </w:r>
      <w:r w:rsidR="000F4505" w:rsidRPr="00386CD6">
        <w:t> </w:t>
      </w:r>
      <w:r w:rsidR="008C784C" w:rsidRPr="00386CD6">
        <w:t xml:space="preserve">III </w:t>
      </w:r>
      <w:r w:rsidR="00A74B2D" w:rsidRPr="00386CD6">
        <w:t>de ce</w:t>
      </w:r>
      <w:r w:rsidR="008C784C" w:rsidRPr="00386CD6">
        <w:t xml:space="preserve"> document, </w:t>
      </w:r>
      <w:r w:rsidR="00A74B2D" w:rsidRPr="00386CD6">
        <w:t>sous</w:t>
      </w:r>
      <w:r w:rsidR="00C57B61" w:rsidRPr="00386CD6">
        <w:noBreakHyphen/>
      </w:r>
      <w:r w:rsidR="00A74B2D" w:rsidRPr="00386CD6">
        <w:t>programme UV.2 : Services fournis à l</w:t>
      </w:r>
      <w:r w:rsidR="00C56BCE" w:rsidRPr="00386CD6">
        <w:t>’</w:t>
      </w:r>
      <w:r w:rsidR="00A74B2D" w:rsidRPr="00386CD6">
        <w:t>Union en vue d</w:t>
      </w:r>
      <w:r w:rsidR="00C56BCE" w:rsidRPr="00386CD6">
        <w:t>’</w:t>
      </w:r>
      <w:r w:rsidR="00A74B2D" w:rsidRPr="00386CD6">
        <w:t>augmenter l</w:t>
      </w:r>
      <w:r w:rsidR="00C56BCE" w:rsidRPr="00386CD6">
        <w:t>’</w:t>
      </w:r>
      <w:r w:rsidR="00A74B2D" w:rsidRPr="00386CD6">
        <w:t>efficacité du système de l</w:t>
      </w:r>
      <w:r w:rsidR="00C56BCE" w:rsidRPr="00386CD6">
        <w:t>’</w:t>
      </w:r>
      <w:r w:rsidR="00A74B2D" w:rsidRPr="00386CD6">
        <w:t>UPOV</w:t>
      </w:r>
      <w:r w:rsidR="008C784C" w:rsidRPr="00386CD6">
        <w:t>.</w:t>
      </w:r>
    </w:p>
    <w:p w:rsidR="00CB114F" w:rsidRPr="00386CD6" w:rsidRDefault="00CB114F" w:rsidP="00F01D68"/>
    <w:p w:rsidR="00CB114F" w:rsidRPr="00386CD6" w:rsidRDefault="002E4CEE" w:rsidP="00F01D68">
      <w:pPr>
        <w:rPr>
          <w:u w:val="single"/>
        </w:rPr>
      </w:pPr>
      <w:r w:rsidRPr="00386CD6">
        <w:rPr>
          <w:u w:val="single"/>
        </w:rPr>
        <w:t>Cours, séminaires, ateliers, missions, contacts importants</w:t>
      </w:r>
    </w:p>
    <w:p w:rsidR="00CB114F" w:rsidRPr="00386CD6" w:rsidRDefault="00CB114F" w:rsidP="00F01D68"/>
    <w:p w:rsidR="00CB114F" w:rsidRPr="00386CD6" w:rsidRDefault="008C784C" w:rsidP="00F01D68">
      <w:r w:rsidRPr="00386CD6">
        <w:fldChar w:fldCharType="begin"/>
      </w:r>
      <w:r w:rsidRPr="00386CD6">
        <w:instrText xml:space="preserve"> AUTONUM  </w:instrText>
      </w:r>
      <w:r w:rsidRPr="00386CD6">
        <w:fldChar w:fldCharType="end"/>
      </w:r>
      <w:r w:rsidR="00A74B2D" w:rsidRPr="00386CD6">
        <w:tab/>
        <w:t>E</w:t>
      </w:r>
      <w:r w:rsidRPr="00386CD6">
        <w:t>n</w:t>
      </w:r>
      <w:r w:rsidR="000F4505" w:rsidRPr="00386CD6">
        <w:t> </w:t>
      </w:r>
      <w:r w:rsidRPr="00386CD6">
        <w:t xml:space="preserve">2015, </w:t>
      </w:r>
      <w:r w:rsidR="00A74B2D" w:rsidRPr="00386CD6">
        <w:t xml:space="preserve">le Bureau a mené </w:t>
      </w:r>
      <w:r w:rsidR="00696AC1" w:rsidRPr="00386CD6">
        <w:t>70</w:t>
      </w:r>
      <w:r w:rsidR="002D613F" w:rsidRPr="00386CD6">
        <w:t> </w:t>
      </w:r>
      <w:r w:rsidRPr="00386CD6">
        <w:t>missions</w:t>
      </w:r>
      <w:r w:rsidR="00A74B2D" w:rsidRPr="00386CD6">
        <w:t xml:space="preserve"> au tot</w:t>
      </w:r>
      <w:r w:rsidR="00EB43E9" w:rsidRPr="00386CD6">
        <w:t>al.  L’a</w:t>
      </w:r>
      <w:r w:rsidR="004C1FB5" w:rsidRPr="00386CD6">
        <w:t>nnexe</w:t>
      </w:r>
      <w:r w:rsidR="000F4505" w:rsidRPr="00386CD6">
        <w:t> </w:t>
      </w:r>
      <w:r w:rsidR="004C1FB5" w:rsidRPr="00386CD6">
        <w:t>I</w:t>
      </w:r>
      <w:r w:rsidR="00A74B2D" w:rsidRPr="00386CD6">
        <w:t>I d</w:t>
      </w:r>
      <w:r w:rsidR="004C1FB5" w:rsidRPr="00386CD6">
        <w:t>u présent</w:t>
      </w:r>
      <w:r w:rsidR="00A74B2D" w:rsidRPr="00386CD6">
        <w:t xml:space="preserve"> document contient une liste des missions </w:t>
      </w:r>
      <w:r w:rsidR="0051457A" w:rsidRPr="00386CD6">
        <w:t>auxquelles</w:t>
      </w:r>
      <w:r w:rsidR="00A74B2D" w:rsidRPr="00386CD6">
        <w:t xml:space="preserve"> le Bureau </w:t>
      </w:r>
      <w:r w:rsidR="0051457A" w:rsidRPr="00386CD6">
        <w:t xml:space="preserve">a participé </w:t>
      </w:r>
      <w:r w:rsidR="00A74B2D" w:rsidRPr="00386CD6">
        <w:t xml:space="preserve">entre janvier et </w:t>
      </w:r>
      <w:r w:rsidR="00C56BCE" w:rsidRPr="00386CD6">
        <w:t>décembre 20</w:t>
      </w:r>
      <w:r w:rsidR="00A74B2D" w:rsidRPr="00386CD6">
        <w:t>15.  Les m</w:t>
      </w:r>
      <w:r w:rsidRPr="00386CD6">
        <w:t xml:space="preserve">issions </w:t>
      </w:r>
      <w:r w:rsidR="00A74B2D" w:rsidRPr="00386CD6">
        <w:t>menées entre</w:t>
      </w:r>
      <w:r w:rsidRPr="00386CD6">
        <w:t xml:space="preserve"> </w:t>
      </w:r>
      <w:r w:rsidR="00A74B2D" w:rsidRPr="00386CD6">
        <w:t>octobre et décembre sont décrites aux paragraphes</w:t>
      </w:r>
      <w:r w:rsidR="000F4505" w:rsidRPr="00386CD6">
        <w:t> </w:t>
      </w:r>
      <w:r w:rsidR="005B51D0" w:rsidRPr="00386CD6">
        <w:t>35</w:t>
      </w:r>
      <w:r w:rsidRPr="00386CD6">
        <w:t xml:space="preserve"> </w:t>
      </w:r>
      <w:r w:rsidR="00A74B2D" w:rsidRPr="00386CD6">
        <w:t>à</w:t>
      </w:r>
      <w:r w:rsidR="00C57B61" w:rsidRPr="00386CD6">
        <w:t> </w:t>
      </w:r>
      <w:r w:rsidR="005B51D0" w:rsidRPr="00386CD6">
        <w:t>75</w:t>
      </w:r>
      <w:r w:rsidRPr="00386CD6">
        <w:t>.</w:t>
      </w:r>
    </w:p>
    <w:p w:rsidR="00CB114F" w:rsidRPr="00386CD6" w:rsidRDefault="00CB114F" w:rsidP="00F01D68"/>
    <w:p w:rsidR="00CB114F" w:rsidRPr="00386CD6" w:rsidRDefault="008C784C" w:rsidP="00F01D68">
      <w:r w:rsidRPr="00386CD6">
        <w:fldChar w:fldCharType="begin"/>
      </w:r>
      <w:r w:rsidRPr="00386CD6">
        <w:instrText xml:space="preserve"> AUTONUM  </w:instrText>
      </w:r>
      <w:r w:rsidRPr="00386CD6">
        <w:fldChar w:fldCharType="end"/>
      </w:r>
      <w:r w:rsidRPr="00386CD6">
        <w:tab/>
      </w:r>
      <w:r w:rsidR="00B51346" w:rsidRPr="00386CD6">
        <w:t>Une session des</w:t>
      </w:r>
      <w:r w:rsidR="000F6C59" w:rsidRPr="00386CD6">
        <w:t xml:space="preserve"> cou</w:t>
      </w:r>
      <w:r w:rsidR="00B51346" w:rsidRPr="00386CD6">
        <w:t>rs d</w:t>
      </w:r>
      <w:r w:rsidR="00C56BCE" w:rsidRPr="00386CD6">
        <w:t>’</w:t>
      </w:r>
      <w:r w:rsidR="00B51346" w:rsidRPr="00386CD6">
        <w:t>enseignement à distance de l</w:t>
      </w:r>
      <w:r w:rsidR="00C56BCE" w:rsidRPr="00386CD6">
        <w:t>’</w:t>
      </w:r>
      <w:r w:rsidR="00B51346" w:rsidRPr="00386CD6">
        <w:t>UPOV DL</w:t>
      </w:r>
      <w:r w:rsidR="00C57B61" w:rsidRPr="00386CD6">
        <w:noBreakHyphen/>
      </w:r>
      <w:r w:rsidR="000F6C59" w:rsidRPr="00386CD6">
        <w:t xml:space="preserve">205 </w:t>
      </w:r>
      <w:r w:rsidR="00B51346" w:rsidRPr="00386CD6">
        <w:t xml:space="preserve">“Introduction au système UPOV de protection des obtentions végétales selon la </w:t>
      </w:r>
      <w:r w:rsidR="00C56BCE" w:rsidRPr="00386CD6">
        <w:t>Convention UPOV</w:t>
      </w:r>
      <w:r w:rsidRPr="00386CD6">
        <w:t>”, DL</w:t>
      </w:r>
      <w:r w:rsidR="00C57B61" w:rsidRPr="00386CD6">
        <w:noBreakHyphen/>
      </w:r>
      <w:r w:rsidRPr="00386CD6">
        <w:t>305 “</w:t>
      </w:r>
      <w:r w:rsidR="00B51346" w:rsidRPr="00386CD6">
        <w:t>Examen des demandes de droits d</w:t>
      </w:r>
      <w:r w:rsidR="00C56BCE" w:rsidRPr="00386CD6">
        <w:t>’</w:t>
      </w:r>
      <w:r w:rsidR="00B51346" w:rsidRPr="00386CD6">
        <w:t>obtenteur</w:t>
      </w:r>
      <w:r w:rsidRPr="00386CD6">
        <w:t>” (DL</w:t>
      </w:r>
      <w:r w:rsidR="00C57B61" w:rsidRPr="00386CD6">
        <w:noBreakHyphen/>
      </w:r>
      <w:r w:rsidRPr="00386CD6">
        <w:t xml:space="preserve">305A </w:t>
      </w:r>
      <w:r w:rsidR="00B51346" w:rsidRPr="00386CD6">
        <w:t>et</w:t>
      </w:r>
      <w:r w:rsidRPr="00386CD6">
        <w:t xml:space="preserve"> </w:t>
      </w:r>
      <w:r w:rsidR="00B51346" w:rsidRPr="00386CD6">
        <w:t>DL</w:t>
      </w:r>
      <w:r w:rsidR="00C57B61" w:rsidRPr="00386CD6">
        <w:noBreakHyphen/>
      </w:r>
      <w:r w:rsidRPr="00386CD6">
        <w:t xml:space="preserve">305B </w:t>
      </w:r>
      <w:r w:rsidR="00B51346" w:rsidRPr="00386CD6">
        <w:t>en un seul cours</w:t>
      </w:r>
      <w:r w:rsidRPr="00386CD6">
        <w:t>), DL</w:t>
      </w:r>
      <w:r w:rsidR="00C57B61" w:rsidRPr="00386CD6">
        <w:noBreakHyphen/>
      </w:r>
      <w:r w:rsidRPr="00386CD6">
        <w:t>305A “</w:t>
      </w:r>
      <w:r w:rsidR="00B51346" w:rsidRPr="00386CD6">
        <w:t>Administration des droits d</w:t>
      </w:r>
      <w:r w:rsidR="00C56BCE" w:rsidRPr="00386CD6">
        <w:t>’</w:t>
      </w:r>
      <w:r w:rsidR="00B51346" w:rsidRPr="00386CD6">
        <w:t>obtenteur</w:t>
      </w:r>
      <w:r w:rsidRPr="00386CD6">
        <w:t xml:space="preserve">” </w:t>
      </w:r>
      <w:r w:rsidR="00B51346" w:rsidRPr="00386CD6">
        <w:t>et</w:t>
      </w:r>
      <w:r w:rsidRPr="00386CD6">
        <w:t xml:space="preserve"> DL</w:t>
      </w:r>
      <w:r w:rsidR="00C57B61" w:rsidRPr="00386CD6">
        <w:noBreakHyphen/>
      </w:r>
      <w:r w:rsidRPr="00386CD6">
        <w:t>305B “</w:t>
      </w:r>
      <w:r w:rsidR="00B51346" w:rsidRPr="00386CD6">
        <w:t>Examen DHS</w:t>
      </w:r>
      <w:r w:rsidRPr="00386CD6">
        <w:t xml:space="preserve">” </w:t>
      </w:r>
      <w:r w:rsidR="00B51346" w:rsidRPr="00386CD6">
        <w:t>a été organisée en anglais, en français et en espagn</w:t>
      </w:r>
      <w:r w:rsidR="00EB43E9" w:rsidRPr="00386CD6">
        <w:t>ol.  La</w:t>
      </w:r>
      <w:r w:rsidR="00B51346" w:rsidRPr="00386CD6">
        <w:t xml:space="preserve"> répartition des étudiants inscrits </w:t>
      </w:r>
      <w:r w:rsidR="004C1FB5" w:rsidRPr="00386CD6">
        <w:t>aux</w:t>
      </w:r>
      <w:r w:rsidR="00B51346" w:rsidRPr="00386CD6">
        <w:t xml:space="preserve"> cours </w:t>
      </w:r>
      <w:r w:rsidR="004C1FB5" w:rsidRPr="00386CD6">
        <w:t>DL</w:t>
      </w:r>
      <w:r w:rsidR="00C57B61" w:rsidRPr="00386CD6">
        <w:noBreakHyphen/>
      </w:r>
      <w:r w:rsidR="004C1FB5" w:rsidRPr="00386CD6">
        <w:t>205 et DL</w:t>
      </w:r>
      <w:r w:rsidR="00C57B61" w:rsidRPr="00386CD6">
        <w:noBreakHyphen/>
      </w:r>
      <w:r w:rsidR="004C1FB5" w:rsidRPr="00386CD6">
        <w:t xml:space="preserve">305 </w:t>
      </w:r>
      <w:r w:rsidR="00B51346" w:rsidRPr="00386CD6">
        <w:t>figure dans l</w:t>
      </w:r>
      <w:r w:rsidR="00C56BCE" w:rsidRPr="00386CD6">
        <w:t>’</w:t>
      </w:r>
      <w:r w:rsidR="00B51346" w:rsidRPr="00386CD6">
        <w:t>annexe III, sous</w:t>
      </w:r>
      <w:r w:rsidR="00C57B61" w:rsidRPr="00386CD6">
        <w:noBreakHyphen/>
      </w:r>
      <w:r w:rsidR="00B51346" w:rsidRPr="00386CD6">
        <w:t>programme UV.3, indicateur d</w:t>
      </w:r>
      <w:r w:rsidR="00C56BCE" w:rsidRPr="00386CD6">
        <w:t>’</w:t>
      </w:r>
      <w:r w:rsidR="00B51346" w:rsidRPr="00386CD6">
        <w:t>exécution 4.a) “Participation aux cours d</w:t>
      </w:r>
      <w:r w:rsidR="00C56BCE" w:rsidRPr="00386CD6">
        <w:t>’</w:t>
      </w:r>
      <w:r w:rsidR="00B51346" w:rsidRPr="00386CD6">
        <w:t>enseignement à distance”.</w:t>
      </w:r>
    </w:p>
    <w:p w:rsidR="00CB114F" w:rsidRPr="00386CD6" w:rsidRDefault="00CB114F" w:rsidP="00F01D68"/>
    <w:p w:rsidR="00CB114F" w:rsidRPr="00386CD6" w:rsidRDefault="002E4CEE" w:rsidP="00F01D68">
      <w:pPr>
        <w:rPr>
          <w:u w:val="single"/>
        </w:rPr>
      </w:pPr>
      <w:r w:rsidRPr="00386CD6">
        <w:rPr>
          <w:u w:val="single"/>
        </w:rPr>
        <w:t xml:space="preserve">Relations avec les États et les </w:t>
      </w:r>
      <w:r w:rsidR="002D613F" w:rsidRPr="00386CD6">
        <w:rPr>
          <w:u w:val="single"/>
        </w:rPr>
        <w:t>o</w:t>
      </w:r>
      <w:r w:rsidRPr="00386CD6">
        <w:rPr>
          <w:u w:val="single"/>
        </w:rPr>
        <w:t>rganisations</w:t>
      </w:r>
    </w:p>
    <w:p w:rsidR="00CB114F" w:rsidRPr="00386CD6" w:rsidRDefault="00CB114F" w:rsidP="00F01D68"/>
    <w:p w:rsidR="00CB114F" w:rsidRPr="00386CD6" w:rsidRDefault="008C784C" w:rsidP="00F01D68">
      <w:r w:rsidRPr="00386CD6">
        <w:fldChar w:fldCharType="begin"/>
      </w:r>
      <w:r w:rsidRPr="00386CD6">
        <w:instrText xml:space="preserve"> AUTONUM  </w:instrText>
      </w:r>
      <w:r w:rsidRPr="00386CD6">
        <w:fldChar w:fldCharType="end"/>
      </w:r>
      <w:r w:rsidRPr="00386CD6">
        <w:tab/>
      </w:r>
      <w:r w:rsidR="001879CB" w:rsidRPr="00386CD6">
        <w:t>Le Bureau a fourni une assistance concernant la législation relative à la protection des obtentions végétales à cinq</w:t>
      </w:r>
      <w:r w:rsidR="000F4505" w:rsidRPr="00386CD6">
        <w:t> </w:t>
      </w:r>
      <w:r w:rsidR="001879CB" w:rsidRPr="00386CD6">
        <w:t>membres de l</w:t>
      </w:r>
      <w:r w:rsidR="00C56BCE" w:rsidRPr="00386CD6">
        <w:t>’</w:t>
      </w:r>
      <w:r w:rsidR="001879CB" w:rsidRPr="00386CD6">
        <w:t>Union et des informations sur les éléments requis pour le dépôt d</w:t>
      </w:r>
      <w:r w:rsidR="00C56BCE" w:rsidRPr="00386CD6">
        <w:t>’</w:t>
      </w:r>
      <w:r w:rsidR="001879CB" w:rsidRPr="00386CD6">
        <w:t>un instrument d</w:t>
      </w:r>
      <w:r w:rsidR="00C56BCE" w:rsidRPr="00386CD6">
        <w:t>’</w:t>
      </w:r>
      <w:r w:rsidR="001879CB" w:rsidRPr="00386CD6">
        <w:t>adhésion à l</w:t>
      </w:r>
      <w:r w:rsidR="00C56BCE" w:rsidRPr="00386CD6">
        <w:t>’</w:t>
      </w:r>
      <w:r w:rsidR="001879CB" w:rsidRPr="00386CD6">
        <w:t>Acte de 1991 de la </w:t>
      </w:r>
      <w:r w:rsidR="00C56BCE" w:rsidRPr="00386CD6">
        <w:t>Convention UPOV</w:t>
      </w:r>
      <w:r w:rsidR="001879CB" w:rsidRPr="00386CD6">
        <w:t>, ou de ratification de cet acte, à six</w:t>
      </w:r>
      <w:r w:rsidR="000F4505" w:rsidRPr="00386CD6">
        <w:t> </w:t>
      </w:r>
      <w:r w:rsidR="001879CB" w:rsidRPr="00386CD6">
        <w:t>membres</w:t>
      </w:r>
      <w:r w:rsidRPr="00386CD6">
        <w:t xml:space="preserve"> </w:t>
      </w:r>
      <w:r w:rsidR="001879CB" w:rsidRPr="00386CD6">
        <w:t>de l</w:t>
      </w:r>
      <w:r w:rsidR="00C56BCE" w:rsidRPr="00386CD6">
        <w:t>’</w:t>
      </w:r>
      <w:r w:rsidRPr="00386CD6">
        <w:t>Uni</w:t>
      </w:r>
      <w:r w:rsidR="00EB43E9" w:rsidRPr="00386CD6">
        <w:t>on.  Il</w:t>
      </w:r>
      <w:r w:rsidR="002E4CEE" w:rsidRPr="00386CD6">
        <w:t xml:space="preserve"> a également fourni des avis et une assistance concernant l</w:t>
      </w:r>
      <w:r w:rsidR="00C56BCE" w:rsidRPr="00386CD6">
        <w:t>’</w:t>
      </w:r>
      <w:r w:rsidR="002E4CEE" w:rsidRPr="00386CD6">
        <w:t>élaboration d</w:t>
      </w:r>
      <w:r w:rsidR="00C56BCE" w:rsidRPr="00386CD6">
        <w:t>’</w:t>
      </w:r>
      <w:r w:rsidR="002E4CEE" w:rsidRPr="00386CD6">
        <w:t>une législation relative à la protection des obtentions végétales selon l</w:t>
      </w:r>
      <w:r w:rsidR="00C56BCE" w:rsidRPr="00386CD6">
        <w:t>’</w:t>
      </w:r>
      <w:r w:rsidR="002E4CEE" w:rsidRPr="00386CD6">
        <w:t>Acte de</w:t>
      </w:r>
      <w:r w:rsidR="000F4505" w:rsidRPr="00386CD6">
        <w:t> </w:t>
      </w:r>
      <w:r w:rsidR="002E4CEE" w:rsidRPr="00386CD6">
        <w:t xml:space="preserve">1991 de la </w:t>
      </w:r>
      <w:r w:rsidR="00C56BCE" w:rsidRPr="00386CD6">
        <w:t>Convention UPOV</w:t>
      </w:r>
      <w:r w:rsidR="002E4CEE" w:rsidRPr="00386CD6">
        <w:t xml:space="preserve"> ou la procédure d</w:t>
      </w:r>
      <w:r w:rsidR="00C56BCE" w:rsidRPr="00386CD6">
        <w:t>’</w:t>
      </w:r>
      <w:r w:rsidR="002E4CEE" w:rsidRPr="00386CD6">
        <w:t xml:space="preserve">adhésion à la </w:t>
      </w:r>
      <w:r w:rsidR="00C56BCE" w:rsidRPr="00386CD6">
        <w:t>Convention UPOV</w:t>
      </w:r>
      <w:r w:rsidR="002E4CEE" w:rsidRPr="00386CD6">
        <w:t xml:space="preserve"> à 17</w:t>
      </w:r>
      <w:r w:rsidR="002D613F" w:rsidRPr="00386CD6">
        <w:t> </w:t>
      </w:r>
      <w:r w:rsidR="002E4CEE" w:rsidRPr="00386CD6">
        <w:t>membres potentiels de l</w:t>
      </w:r>
      <w:r w:rsidR="00C56BCE" w:rsidRPr="00386CD6">
        <w:t>’</w:t>
      </w:r>
      <w:r w:rsidR="002E4CEE" w:rsidRPr="00386CD6">
        <w:t>Union.</w:t>
      </w:r>
    </w:p>
    <w:p w:rsidR="00CB114F" w:rsidRPr="00386CD6" w:rsidRDefault="00CB114F" w:rsidP="00F01D68"/>
    <w:p w:rsidR="00CB114F" w:rsidRPr="00386CD6" w:rsidRDefault="00F01D68" w:rsidP="00F01D68">
      <w:r w:rsidRPr="00386CD6">
        <w:fldChar w:fldCharType="begin"/>
      </w:r>
      <w:r w:rsidRPr="00386CD6">
        <w:instrText xml:space="preserve"> AUTONUM  </w:instrText>
      </w:r>
      <w:r w:rsidRPr="00386CD6">
        <w:fldChar w:fldCharType="end"/>
      </w:r>
      <w:r w:rsidR="008C784C" w:rsidRPr="00386CD6">
        <w:t>.</w:t>
      </w:r>
      <w:r w:rsidR="008C784C" w:rsidRPr="00386CD6">
        <w:tab/>
      </w:r>
      <w:r w:rsidR="001879CB" w:rsidRPr="00386CD6">
        <w:t>Le Bureau a rencontré des représentants de 12</w:t>
      </w:r>
      <w:r w:rsidR="002D613F" w:rsidRPr="00386CD6">
        <w:t> </w:t>
      </w:r>
      <w:r w:rsidR="001879CB" w:rsidRPr="00386CD6">
        <w:t>organisations inter</w:t>
      </w:r>
      <w:r w:rsidR="004C1FB5" w:rsidRPr="00386CD6">
        <w:t>gouvernement</w:t>
      </w:r>
      <w:r w:rsidR="001879CB" w:rsidRPr="00386CD6">
        <w:t>ales afin de coordonner les activités ou de fournir des informations sur l</w:t>
      </w:r>
      <w:r w:rsidR="00C56BCE" w:rsidRPr="00386CD6">
        <w:t>’</w:t>
      </w:r>
      <w:r w:rsidR="001879CB" w:rsidRPr="00386CD6">
        <w:t>UPOV</w:t>
      </w:r>
      <w:r w:rsidR="00062F69" w:rsidRPr="00386CD6">
        <w:t xml:space="preserve"> et</w:t>
      </w:r>
      <w:r w:rsidR="001879CB" w:rsidRPr="00386CD6">
        <w:t xml:space="preserve"> participé à des activités organisées par les </w:t>
      </w:r>
      <w:r w:rsidR="00062F69" w:rsidRPr="00386CD6">
        <w:t>neuf</w:t>
      </w:r>
      <w:r w:rsidR="000F4505" w:rsidRPr="00386CD6">
        <w:t> </w:t>
      </w:r>
      <w:r w:rsidR="001879CB" w:rsidRPr="00386CD6">
        <w:t>associations professionnelles afin de suivre les progrès enregistrés dans l</w:t>
      </w:r>
      <w:r w:rsidR="00C56BCE" w:rsidRPr="00386CD6">
        <w:t>’</w:t>
      </w:r>
      <w:r w:rsidR="001879CB" w:rsidRPr="00386CD6">
        <w:t>application pratique de la protection des obtentions végétales aux niveaux mondial et régional</w:t>
      </w:r>
      <w:r w:rsidR="008C784C" w:rsidRPr="00386CD6">
        <w:t>.</w:t>
      </w:r>
    </w:p>
    <w:p w:rsidR="00CB114F" w:rsidRPr="00386CD6" w:rsidRDefault="00CB114F" w:rsidP="00F01D68"/>
    <w:p w:rsidR="00CB114F" w:rsidRPr="00386CD6" w:rsidRDefault="002E4CEE" w:rsidP="00F01D68">
      <w:pPr>
        <w:rPr>
          <w:u w:val="single"/>
        </w:rPr>
      </w:pPr>
      <w:r w:rsidRPr="00386CD6">
        <w:rPr>
          <w:u w:val="single"/>
        </w:rPr>
        <w:t>Publications</w:t>
      </w:r>
    </w:p>
    <w:p w:rsidR="00CB114F" w:rsidRPr="00386CD6" w:rsidRDefault="00CB114F" w:rsidP="00F01D68">
      <w:pPr>
        <w:rPr>
          <w:u w:val="single"/>
        </w:rPr>
      </w:pPr>
    </w:p>
    <w:p w:rsidR="00CB114F" w:rsidRPr="00386CD6" w:rsidRDefault="008C784C" w:rsidP="00F01D68">
      <w:pPr>
        <w:keepNext/>
      </w:pPr>
      <w:r w:rsidRPr="00386CD6">
        <w:fldChar w:fldCharType="begin"/>
      </w:r>
      <w:r w:rsidRPr="00386CD6">
        <w:instrText xml:space="preserve"> AUTONUM  </w:instrText>
      </w:r>
      <w:r w:rsidRPr="00386CD6">
        <w:fldChar w:fldCharType="end"/>
      </w:r>
      <w:r w:rsidRPr="00386CD6">
        <w:tab/>
      </w:r>
      <w:r w:rsidR="00062F69" w:rsidRPr="00386CD6">
        <w:t>Le Bureau a publié</w:t>
      </w:r>
      <w:r w:rsidR="000F4505" w:rsidRPr="00386CD6">
        <w:t> </w:t>
      </w:r>
      <w:r w:rsidRPr="00386CD6">
        <w:t xml:space="preserve">: </w:t>
      </w:r>
      <w:r w:rsidR="002D613F" w:rsidRPr="00386CD6">
        <w:t>2</w:t>
      </w:r>
      <w:r w:rsidR="000F4505" w:rsidRPr="00386CD6">
        <w:t> </w:t>
      </w:r>
      <w:r w:rsidR="00062F69" w:rsidRPr="00386CD6">
        <w:t>numéros de la gazette et newsletter de l</w:t>
      </w:r>
      <w:r w:rsidR="00C56BCE" w:rsidRPr="00386CD6">
        <w:t>’</w:t>
      </w:r>
      <w:r w:rsidR="00062F69" w:rsidRPr="00386CD6">
        <w:t xml:space="preserve">UPOV, </w:t>
      </w:r>
      <w:r w:rsidRPr="00386CD6">
        <w:t xml:space="preserve">“Plant Variety Protection”; </w:t>
      </w:r>
      <w:r w:rsidR="000F4505" w:rsidRPr="00386CD6">
        <w:t xml:space="preserve"> </w:t>
      </w:r>
      <w:r w:rsidRPr="00386CD6">
        <w:t>121</w:t>
      </w:r>
      <w:r w:rsidR="00887840" w:rsidRPr="00386CD6">
        <w:rPr>
          <w:rFonts w:cs="Arial"/>
        </w:rPr>
        <w:t> </w:t>
      </w:r>
      <w:r w:rsidR="00062F69" w:rsidRPr="00386CD6">
        <w:rPr>
          <w:rFonts w:cs="Arial"/>
        </w:rPr>
        <w:t>mises à jour de la base de données sur les obtentions végétales (PLUTO)</w:t>
      </w:r>
      <w:r w:rsidRPr="00386CD6">
        <w:rPr>
          <w:rFonts w:cs="Arial"/>
        </w:rPr>
        <w:t xml:space="preserve">; </w:t>
      </w:r>
      <w:r w:rsidR="000F4505" w:rsidRPr="00386CD6">
        <w:rPr>
          <w:rFonts w:cs="Arial"/>
        </w:rPr>
        <w:t xml:space="preserve"> </w:t>
      </w:r>
      <w:r w:rsidR="002D613F" w:rsidRPr="00386CD6">
        <w:rPr>
          <w:rFonts w:cs="Arial"/>
        </w:rPr>
        <w:t>1 </w:t>
      </w:r>
      <w:r w:rsidR="00062F69" w:rsidRPr="00386CD6">
        <w:rPr>
          <w:rFonts w:cs="Arial"/>
        </w:rPr>
        <w:t>vidéo sur la protection des obtentions végétales en Uruguay</w:t>
      </w:r>
      <w:r w:rsidRPr="00386CD6">
        <w:rPr>
          <w:rFonts w:cs="Arial"/>
        </w:rPr>
        <w:t xml:space="preserve">; </w:t>
      </w:r>
      <w:r w:rsidR="000F4505" w:rsidRPr="00386CD6">
        <w:rPr>
          <w:rFonts w:cs="Arial"/>
        </w:rPr>
        <w:t xml:space="preserve"> </w:t>
      </w:r>
      <w:r w:rsidR="002D613F" w:rsidRPr="00386CD6">
        <w:rPr>
          <w:rFonts w:cs="Arial"/>
        </w:rPr>
        <w:t>1 </w:t>
      </w:r>
      <w:r w:rsidR="00062F69" w:rsidRPr="00386CD6">
        <w:rPr>
          <w:rFonts w:cs="Arial"/>
        </w:rPr>
        <w:t>vidéo sur la protection des obtentions végétales en Équateur</w:t>
      </w:r>
      <w:r w:rsidRPr="00386CD6">
        <w:rPr>
          <w:rFonts w:cs="Arial"/>
        </w:rPr>
        <w:t xml:space="preserve">; </w:t>
      </w:r>
      <w:r w:rsidR="000F4505" w:rsidRPr="00386CD6">
        <w:rPr>
          <w:rFonts w:cs="Arial"/>
        </w:rPr>
        <w:t xml:space="preserve"> </w:t>
      </w:r>
      <w:r w:rsidR="002D613F" w:rsidRPr="00386CD6">
        <w:t>14 </w:t>
      </w:r>
      <w:r w:rsidR="00062F69" w:rsidRPr="00386CD6">
        <w:t>documents adoptés par le Conseil</w:t>
      </w:r>
      <w:r w:rsidRPr="00386CD6">
        <w:t>;</w:t>
      </w:r>
      <w:r w:rsidR="000F4505" w:rsidRPr="00386CD6">
        <w:t xml:space="preserve"> </w:t>
      </w:r>
      <w:r w:rsidRPr="00386CD6">
        <w:t xml:space="preserve"> </w:t>
      </w:r>
      <w:r w:rsidR="00D62C32" w:rsidRPr="00386CD6">
        <w:t>et</w:t>
      </w:r>
      <w:r w:rsidRPr="00386CD6">
        <w:t xml:space="preserve"> </w:t>
      </w:r>
      <w:r w:rsidR="009664A5" w:rsidRPr="00386CD6">
        <w:t>17</w:t>
      </w:r>
      <w:r w:rsidR="002D613F" w:rsidRPr="00386CD6">
        <w:t> </w:t>
      </w:r>
      <w:r w:rsidR="00062F69" w:rsidRPr="00386CD6">
        <w:t>principes directeurs d</w:t>
      </w:r>
      <w:r w:rsidR="00C56BCE" w:rsidRPr="00386CD6">
        <w:t>’</w:t>
      </w:r>
      <w:r w:rsidR="00062F69" w:rsidRPr="00386CD6">
        <w:t>examen adoptés, nouveaux ou révisés</w:t>
      </w:r>
      <w:r w:rsidRPr="00386CD6">
        <w:t>.</w:t>
      </w:r>
    </w:p>
    <w:p w:rsidR="00CB114F" w:rsidRPr="00386CD6" w:rsidRDefault="009664A5" w:rsidP="00F01D68">
      <w:pPr>
        <w:jc w:val="left"/>
        <w:rPr>
          <w:u w:val="single"/>
        </w:rPr>
      </w:pPr>
      <w:r w:rsidRPr="00386CD6">
        <w:rPr>
          <w:u w:val="single"/>
        </w:rPr>
        <w:br w:type="page"/>
      </w:r>
    </w:p>
    <w:p w:rsidR="00CB114F" w:rsidRPr="00386CD6" w:rsidRDefault="002E4CEE" w:rsidP="00F01D68">
      <w:pPr>
        <w:keepNext/>
      </w:pPr>
      <w:r w:rsidRPr="00386CD6">
        <w:rPr>
          <w:u w:val="single"/>
        </w:rPr>
        <w:lastRenderedPageBreak/>
        <w:t>Table des matières</w:t>
      </w:r>
    </w:p>
    <w:p w:rsidR="00977D86" w:rsidRDefault="004E714F">
      <w:pPr>
        <w:pStyle w:val="TOC1"/>
        <w:rPr>
          <w:rFonts w:asciiTheme="minorHAnsi" w:hAnsiTheme="minorHAnsi" w:cstheme="minorBidi"/>
          <w:caps w:val="0"/>
          <w:noProof/>
          <w:sz w:val="22"/>
          <w:szCs w:val="22"/>
        </w:rPr>
      </w:pPr>
      <w:r w:rsidRPr="00386CD6">
        <w:rPr>
          <w:szCs w:val="22"/>
          <w:lang w:val="fr-FR"/>
        </w:rPr>
        <w:fldChar w:fldCharType="begin"/>
      </w:r>
      <w:r w:rsidRPr="00386CD6">
        <w:rPr>
          <w:szCs w:val="22"/>
          <w:lang w:val="fr-FR"/>
        </w:rPr>
        <w:instrText xml:space="preserve"> TOC \o "1-2" \h \z </w:instrText>
      </w:r>
      <w:r w:rsidRPr="00386CD6">
        <w:rPr>
          <w:szCs w:val="22"/>
          <w:lang w:val="fr-FR"/>
        </w:rPr>
        <w:fldChar w:fldCharType="separate"/>
      </w:r>
      <w:hyperlink w:anchor="_Toc465099863" w:history="1">
        <w:r w:rsidR="00977D86" w:rsidRPr="00853AD3">
          <w:rPr>
            <w:rStyle w:val="Hyperlink"/>
            <w:noProof/>
            <w:lang w:val="fr-FR"/>
          </w:rPr>
          <w:t>I.</w:t>
        </w:r>
        <w:r w:rsidR="00977D86">
          <w:rPr>
            <w:rFonts w:asciiTheme="minorHAnsi" w:hAnsiTheme="minorHAnsi" w:cstheme="minorBidi"/>
            <w:caps w:val="0"/>
            <w:noProof/>
            <w:sz w:val="22"/>
            <w:szCs w:val="22"/>
          </w:rPr>
          <w:tab/>
        </w:r>
        <w:r w:rsidR="00977D86" w:rsidRPr="00853AD3">
          <w:rPr>
            <w:rStyle w:val="Hyperlink"/>
            <w:noProof/>
            <w:lang w:val="fr-FR"/>
          </w:rPr>
          <w:t>COMPOSITION DE L’UNION</w:t>
        </w:r>
        <w:r w:rsidR="00977D86">
          <w:rPr>
            <w:noProof/>
            <w:webHidden/>
          </w:rPr>
          <w:tab/>
        </w:r>
        <w:r w:rsidR="00977D86">
          <w:rPr>
            <w:noProof/>
            <w:webHidden/>
          </w:rPr>
          <w:fldChar w:fldCharType="begin"/>
        </w:r>
        <w:r w:rsidR="00977D86">
          <w:rPr>
            <w:noProof/>
            <w:webHidden/>
          </w:rPr>
          <w:instrText xml:space="preserve"> PAGEREF _Toc465099863 \h </w:instrText>
        </w:r>
        <w:r w:rsidR="00977D86">
          <w:rPr>
            <w:noProof/>
            <w:webHidden/>
          </w:rPr>
        </w:r>
        <w:r w:rsidR="00977D86">
          <w:rPr>
            <w:noProof/>
            <w:webHidden/>
          </w:rPr>
          <w:fldChar w:fldCharType="separate"/>
        </w:r>
        <w:r w:rsidR="00C64A67">
          <w:rPr>
            <w:noProof/>
            <w:webHidden/>
          </w:rPr>
          <w:t>4</w:t>
        </w:r>
        <w:r w:rsidR="00977D86">
          <w:rPr>
            <w:noProof/>
            <w:webHidden/>
          </w:rPr>
          <w:fldChar w:fldCharType="end"/>
        </w:r>
      </w:hyperlink>
    </w:p>
    <w:p w:rsidR="00977D86" w:rsidRDefault="00C64A67">
      <w:pPr>
        <w:pStyle w:val="TOC2"/>
        <w:rPr>
          <w:rFonts w:asciiTheme="minorHAnsi" w:hAnsiTheme="minorHAnsi" w:cstheme="minorBidi"/>
          <w:noProof/>
          <w:sz w:val="22"/>
          <w:szCs w:val="22"/>
        </w:rPr>
      </w:pPr>
      <w:hyperlink w:anchor="_Toc465099864" w:history="1">
        <w:r w:rsidR="00977D86" w:rsidRPr="00853AD3">
          <w:rPr>
            <w:rStyle w:val="Hyperlink"/>
            <w:noProof/>
            <w:lang w:val="fr-FR"/>
          </w:rPr>
          <w:t>Membres</w:t>
        </w:r>
        <w:r w:rsidR="00977D86">
          <w:rPr>
            <w:noProof/>
            <w:webHidden/>
          </w:rPr>
          <w:tab/>
        </w:r>
        <w:r w:rsidR="00977D86">
          <w:rPr>
            <w:noProof/>
            <w:webHidden/>
          </w:rPr>
          <w:fldChar w:fldCharType="begin"/>
        </w:r>
        <w:r w:rsidR="00977D86">
          <w:rPr>
            <w:noProof/>
            <w:webHidden/>
          </w:rPr>
          <w:instrText xml:space="preserve"> PAGEREF _Toc465099864 \h </w:instrText>
        </w:r>
        <w:r w:rsidR="00977D86">
          <w:rPr>
            <w:noProof/>
            <w:webHidden/>
          </w:rPr>
        </w:r>
        <w:r w:rsidR="00977D86">
          <w:rPr>
            <w:noProof/>
            <w:webHidden/>
          </w:rPr>
          <w:fldChar w:fldCharType="separate"/>
        </w:r>
        <w:r>
          <w:rPr>
            <w:noProof/>
            <w:webHidden/>
          </w:rPr>
          <w:t>4</w:t>
        </w:r>
        <w:r w:rsidR="00977D86">
          <w:rPr>
            <w:noProof/>
            <w:webHidden/>
          </w:rPr>
          <w:fldChar w:fldCharType="end"/>
        </w:r>
      </w:hyperlink>
    </w:p>
    <w:p w:rsidR="00977D86" w:rsidRDefault="00C64A67">
      <w:pPr>
        <w:pStyle w:val="TOC2"/>
        <w:rPr>
          <w:rFonts w:asciiTheme="minorHAnsi" w:hAnsiTheme="minorHAnsi" w:cstheme="minorBidi"/>
          <w:noProof/>
          <w:sz w:val="22"/>
          <w:szCs w:val="22"/>
        </w:rPr>
      </w:pPr>
      <w:hyperlink w:anchor="_Toc465099865" w:history="1">
        <w:r w:rsidR="00977D86" w:rsidRPr="00853AD3">
          <w:rPr>
            <w:rStyle w:val="Hyperlink"/>
            <w:noProof/>
            <w:lang w:val="fr-FR"/>
          </w:rPr>
          <w:t>Situation par rapport aux divers actes de la Convention</w:t>
        </w:r>
        <w:r w:rsidR="00977D86">
          <w:rPr>
            <w:noProof/>
            <w:webHidden/>
          </w:rPr>
          <w:tab/>
        </w:r>
        <w:r w:rsidR="00977D86">
          <w:rPr>
            <w:noProof/>
            <w:webHidden/>
          </w:rPr>
          <w:fldChar w:fldCharType="begin"/>
        </w:r>
        <w:r w:rsidR="00977D86">
          <w:rPr>
            <w:noProof/>
            <w:webHidden/>
          </w:rPr>
          <w:instrText xml:space="preserve"> PAGEREF _Toc465099865 \h </w:instrText>
        </w:r>
        <w:r w:rsidR="00977D86">
          <w:rPr>
            <w:noProof/>
            <w:webHidden/>
          </w:rPr>
        </w:r>
        <w:r w:rsidR="00977D86">
          <w:rPr>
            <w:noProof/>
            <w:webHidden/>
          </w:rPr>
          <w:fldChar w:fldCharType="separate"/>
        </w:r>
        <w:r>
          <w:rPr>
            <w:noProof/>
            <w:webHidden/>
          </w:rPr>
          <w:t>4</w:t>
        </w:r>
        <w:r w:rsidR="00977D86">
          <w:rPr>
            <w:noProof/>
            <w:webHidden/>
          </w:rPr>
          <w:fldChar w:fldCharType="end"/>
        </w:r>
      </w:hyperlink>
    </w:p>
    <w:p w:rsidR="00977D86" w:rsidRDefault="00C64A67">
      <w:pPr>
        <w:pStyle w:val="TOC2"/>
        <w:rPr>
          <w:rFonts w:asciiTheme="minorHAnsi" w:hAnsiTheme="minorHAnsi" w:cstheme="minorBidi"/>
          <w:noProof/>
          <w:sz w:val="22"/>
          <w:szCs w:val="22"/>
        </w:rPr>
      </w:pPr>
      <w:hyperlink w:anchor="_Toc465099866" w:history="1">
        <w:r w:rsidR="00977D86" w:rsidRPr="00853AD3">
          <w:rPr>
            <w:rStyle w:val="Hyperlink"/>
            <w:noProof/>
            <w:lang w:val="fr-FR"/>
          </w:rPr>
          <w:t>États/organisations qui ont entamé la procédure pour devenir membres de l’Union</w:t>
        </w:r>
        <w:r w:rsidR="00977D86">
          <w:rPr>
            <w:noProof/>
            <w:webHidden/>
          </w:rPr>
          <w:tab/>
        </w:r>
        <w:r w:rsidR="00977D86">
          <w:rPr>
            <w:noProof/>
            <w:webHidden/>
          </w:rPr>
          <w:fldChar w:fldCharType="begin"/>
        </w:r>
        <w:r w:rsidR="00977D86">
          <w:rPr>
            <w:noProof/>
            <w:webHidden/>
          </w:rPr>
          <w:instrText xml:space="preserve"> PAGEREF _Toc465099866 \h </w:instrText>
        </w:r>
        <w:r w:rsidR="00977D86">
          <w:rPr>
            <w:noProof/>
            <w:webHidden/>
          </w:rPr>
        </w:r>
        <w:r w:rsidR="00977D86">
          <w:rPr>
            <w:noProof/>
            <w:webHidden/>
          </w:rPr>
          <w:fldChar w:fldCharType="separate"/>
        </w:r>
        <w:r>
          <w:rPr>
            <w:noProof/>
            <w:webHidden/>
          </w:rPr>
          <w:t>4</w:t>
        </w:r>
        <w:r w:rsidR="00977D86">
          <w:rPr>
            <w:noProof/>
            <w:webHidden/>
          </w:rPr>
          <w:fldChar w:fldCharType="end"/>
        </w:r>
      </w:hyperlink>
    </w:p>
    <w:p w:rsidR="00977D86" w:rsidRDefault="00C64A67">
      <w:pPr>
        <w:pStyle w:val="TOC1"/>
        <w:rPr>
          <w:rFonts w:asciiTheme="minorHAnsi" w:hAnsiTheme="minorHAnsi" w:cstheme="minorBidi"/>
          <w:caps w:val="0"/>
          <w:noProof/>
          <w:sz w:val="22"/>
          <w:szCs w:val="22"/>
        </w:rPr>
      </w:pPr>
      <w:hyperlink w:anchor="_Toc465099867" w:history="1">
        <w:r w:rsidR="00977D86" w:rsidRPr="00853AD3">
          <w:rPr>
            <w:rStyle w:val="Hyperlink"/>
            <w:noProof/>
            <w:lang w:val="fr-FR"/>
          </w:rPr>
          <w:t>II.</w:t>
        </w:r>
        <w:r w:rsidR="00977D86">
          <w:rPr>
            <w:rFonts w:asciiTheme="minorHAnsi" w:hAnsiTheme="minorHAnsi" w:cstheme="minorBidi"/>
            <w:caps w:val="0"/>
            <w:noProof/>
            <w:sz w:val="22"/>
            <w:szCs w:val="22"/>
          </w:rPr>
          <w:tab/>
        </w:r>
        <w:r w:rsidR="00977D86" w:rsidRPr="00853AD3">
          <w:rPr>
            <w:rStyle w:val="Hyperlink"/>
            <w:noProof/>
            <w:lang w:val="fr-FR"/>
          </w:rPr>
          <w:t>Sessions du Conseil et de ses organes subsidiaires</w:t>
        </w:r>
        <w:r w:rsidR="00977D86">
          <w:rPr>
            <w:noProof/>
            <w:webHidden/>
          </w:rPr>
          <w:tab/>
        </w:r>
        <w:r w:rsidR="00977D86">
          <w:rPr>
            <w:noProof/>
            <w:webHidden/>
          </w:rPr>
          <w:fldChar w:fldCharType="begin"/>
        </w:r>
        <w:r w:rsidR="00977D86">
          <w:rPr>
            <w:noProof/>
            <w:webHidden/>
          </w:rPr>
          <w:instrText xml:space="preserve"> PAGEREF _Toc465099867 \h </w:instrText>
        </w:r>
        <w:r w:rsidR="00977D86">
          <w:rPr>
            <w:noProof/>
            <w:webHidden/>
          </w:rPr>
        </w:r>
        <w:r w:rsidR="00977D86">
          <w:rPr>
            <w:noProof/>
            <w:webHidden/>
          </w:rPr>
          <w:fldChar w:fldCharType="separate"/>
        </w:r>
        <w:r>
          <w:rPr>
            <w:noProof/>
            <w:webHidden/>
          </w:rPr>
          <w:t>5</w:t>
        </w:r>
        <w:r w:rsidR="00977D86">
          <w:rPr>
            <w:noProof/>
            <w:webHidden/>
          </w:rPr>
          <w:fldChar w:fldCharType="end"/>
        </w:r>
      </w:hyperlink>
    </w:p>
    <w:p w:rsidR="00977D86" w:rsidRDefault="00C64A67">
      <w:pPr>
        <w:pStyle w:val="TOC2"/>
        <w:rPr>
          <w:rFonts w:asciiTheme="minorHAnsi" w:hAnsiTheme="minorHAnsi" w:cstheme="minorBidi"/>
          <w:noProof/>
          <w:sz w:val="22"/>
          <w:szCs w:val="22"/>
        </w:rPr>
      </w:pPr>
      <w:hyperlink w:anchor="_Toc465099868" w:history="1">
        <w:r w:rsidR="00977D86" w:rsidRPr="00853AD3">
          <w:rPr>
            <w:rStyle w:val="Hyperlink"/>
            <w:noProof/>
            <w:lang w:val="fr-FR"/>
          </w:rPr>
          <w:t>Conseil</w:t>
        </w:r>
        <w:r w:rsidR="00977D86">
          <w:rPr>
            <w:noProof/>
            <w:webHidden/>
          </w:rPr>
          <w:tab/>
        </w:r>
        <w:r w:rsidR="00977D86">
          <w:rPr>
            <w:noProof/>
            <w:webHidden/>
          </w:rPr>
          <w:fldChar w:fldCharType="begin"/>
        </w:r>
        <w:r w:rsidR="00977D86">
          <w:rPr>
            <w:noProof/>
            <w:webHidden/>
          </w:rPr>
          <w:instrText xml:space="preserve"> PAGEREF _Toc465099868 \h </w:instrText>
        </w:r>
        <w:r w:rsidR="00977D86">
          <w:rPr>
            <w:noProof/>
            <w:webHidden/>
          </w:rPr>
        </w:r>
        <w:r w:rsidR="00977D86">
          <w:rPr>
            <w:noProof/>
            <w:webHidden/>
          </w:rPr>
          <w:fldChar w:fldCharType="separate"/>
        </w:r>
        <w:r>
          <w:rPr>
            <w:noProof/>
            <w:webHidden/>
          </w:rPr>
          <w:t>5</w:t>
        </w:r>
        <w:r w:rsidR="00977D86">
          <w:rPr>
            <w:noProof/>
            <w:webHidden/>
          </w:rPr>
          <w:fldChar w:fldCharType="end"/>
        </w:r>
      </w:hyperlink>
    </w:p>
    <w:p w:rsidR="00977D86" w:rsidRDefault="00C64A67">
      <w:pPr>
        <w:pStyle w:val="TOC2"/>
        <w:rPr>
          <w:rFonts w:asciiTheme="minorHAnsi" w:hAnsiTheme="minorHAnsi" w:cstheme="minorBidi"/>
          <w:noProof/>
          <w:sz w:val="22"/>
          <w:szCs w:val="22"/>
        </w:rPr>
      </w:pPr>
      <w:hyperlink w:anchor="_Toc465099869" w:history="1">
        <w:r w:rsidR="00977D86" w:rsidRPr="00853AD3">
          <w:rPr>
            <w:rStyle w:val="Hyperlink"/>
            <w:noProof/>
            <w:lang w:val="fr-FR"/>
          </w:rPr>
          <w:t>Comité consultatif</w:t>
        </w:r>
        <w:r w:rsidR="00977D86">
          <w:rPr>
            <w:noProof/>
            <w:webHidden/>
          </w:rPr>
          <w:tab/>
        </w:r>
        <w:r w:rsidR="00977D86">
          <w:rPr>
            <w:noProof/>
            <w:webHidden/>
          </w:rPr>
          <w:fldChar w:fldCharType="begin"/>
        </w:r>
        <w:r w:rsidR="00977D86">
          <w:rPr>
            <w:noProof/>
            <w:webHidden/>
          </w:rPr>
          <w:instrText xml:space="preserve"> PAGEREF _Toc465099869 \h </w:instrText>
        </w:r>
        <w:r w:rsidR="00977D86">
          <w:rPr>
            <w:noProof/>
            <w:webHidden/>
          </w:rPr>
        </w:r>
        <w:r w:rsidR="00977D86">
          <w:rPr>
            <w:noProof/>
            <w:webHidden/>
          </w:rPr>
          <w:fldChar w:fldCharType="separate"/>
        </w:r>
        <w:r>
          <w:rPr>
            <w:noProof/>
            <w:webHidden/>
          </w:rPr>
          <w:t>5</w:t>
        </w:r>
        <w:r w:rsidR="00977D86">
          <w:rPr>
            <w:noProof/>
            <w:webHidden/>
          </w:rPr>
          <w:fldChar w:fldCharType="end"/>
        </w:r>
      </w:hyperlink>
    </w:p>
    <w:p w:rsidR="00977D86" w:rsidRDefault="00C64A67">
      <w:pPr>
        <w:pStyle w:val="TOC2"/>
        <w:rPr>
          <w:rFonts w:asciiTheme="minorHAnsi" w:hAnsiTheme="minorHAnsi" w:cstheme="minorBidi"/>
          <w:noProof/>
          <w:sz w:val="22"/>
          <w:szCs w:val="22"/>
        </w:rPr>
      </w:pPr>
      <w:hyperlink w:anchor="_Toc465099870" w:history="1">
        <w:r w:rsidR="00977D86" w:rsidRPr="00853AD3">
          <w:rPr>
            <w:rStyle w:val="Hyperlink"/>
            <w:noProof/>
            <w:lang w:val="fr-FR"/>
          </w:rPr>
          <w:t>Comité administratif et juridique, Comité technique, groupes de travail techniques et Groupe de travail sur les techniques biochimiques et moléculaires, notamment les profils d’ADN</w:t>
        </w:r>
        <w:r w:rsidR="00977D86">
          <w:rPr>
            <w:noProof/>
            <w:webHidden/>
          </w:rPr>
          <w:tab/>
        </w:r>
        <w:r w:rsidR="00977D86">
          <w:rPr>
            <w:noProof/>
            <w:webHidden/>
          </w:rPr>
          <w:fldChar w:fldCharType="begin"/>
        </w:r>
        <w:r w:rsidR="00977D86">
          <w:rPr>
            <w:noProof/>
            <w:webHidden/>
          </w:rPr>
          <w:instrText xml:space="preserve"> PAGEREF _Toc465099870 \h </w:instrText>
        </w:r>
        <w:r w:rsidR="00977D86">
          <w:rPr>
            <w:noProof/>
            <w:webHidden/>
          </w:rPr>
        </w:r>
        <w:r w:rsidR="00977D86">
          <w:rPr>
            <w:noProof/>
            <w:webHidden/>
          </w:rPr>
          <w:fldChar w:fldCharType="separate"/>
        </w:r>
        <w:r>
          <w:rPr>
            <w:noProof/>
            <w:webHidden/>
          </w:rPr>
          <w:t>6</w:t>
        </w:r>
        <w:r w:rsidR="00977D86">
          <w:rPr>
            <w:noProof/>
            <w:webHidden/>
          </w:rPr>
          <w:fldChar w:fldCharType="end"/>
        </w:r>
      </w:hyperlink>
    </w:p>
    <w:p w:rsidR="00977D86" w:rsidRDefault="00C64A67">
      <w:pPr>
        <w:pStyle w:val="TOC1"/>
        <w:rPr>
          <w:rFonts w:asciiTheme="minorHAnsi" w:hAnsiTheme="minorHAnsi" w:cstheme="minorBidi"/>
          <w:caps w:val="0"/>
          <w:noProof/>
          <w:sz w:val="22"/>
          <w:szCs w:val="22"/>
        </w:rPr>
      </w:pPr>
      <w:hyperlink w:anchor="_Toc465099871" w:history="1">
        <w:r w:rsidR="00977D86" w:rsidRPr="00853AD3">
          <w:rPr>
            <w:rStyle w:val="Hyperlink"/>
            <w:noProof/>
            <w:lang w:val="fr-FR"/>
          </w:rPr>
          <w:t>III.</w:t>
        </w:r>
        <w:r w:rsidR="00977D86">
          <w:rPr>
            <w:rFonts w:asciiTheme="minorHAnsi" w:hAnsiTheme="minorHAnsi" w:cstheme="minorBidi"/>
            <w:caps w:val="0"/>
            <w:noProof/>
            <w:sz w:val="22"/>
            <w:szCs w:val="22"/>
          </w:rPr>
          <w:tab/>
        </w:r>
        <w:r w:rsidR="00977D86" w:rsidRPr="00853AD3">
          <w:rPr>
            <w:rStyle w:val="Hyperlink"/>
            <w:noProof/>
            <w:lang w:val="fr-FR"/>
          </w:rPr>
          <w:t>Cours, séminaires, ateliers, missions, contacts importants</w:t>
        </w:r>
        <w:r w:rsidR="00977D86">
          <w:rPr>
            <w:noProof/>
            <w:webHidden/>
          </w:rPr>
          <w:tab/>
        </w:r>
        <w:r w:rsidR="00977D86">
          <w:rPr>
            <w:noProof/>
            <w:webHidden/>
          </w:rPr>
          <w:fldChar w:fldCharType="begin"/>
        </w:r>
        <w:r w:rsidR="00977D86">
          <w:rPr>
            <w:noProof/>
            <w:webHidden/>
          </w:rPr>
          <w:instrText xml:space="preserve"> PAGEREF _Toc465099871 \h </w:instrText>
        </w:r>
        <w:r w:rsidR="00977D86">
          <w:rPr>
            <w:noProof/>
            <w:webHidden/>
          </w:rPr>
        </w:r>
        <w:r w:rsidR="00977D86">
          <w:rPr>
            <w:noProof/>
            <w:webHidden/>
          </w:rPr>
          <w:fldChar w:fldCharType="separate"/>
        </w:r>
        <w:r>
          <w:rPr>
            <w:noProof/>
            <w:webHidden/>
          </w:rPr>
          <w:t>6</w:t>
        </w:r>
        <w:r w:rsidR="00977D86">
          <w:rPr>
            <w:noProof/>
            <w:webHidden/>
          </w:rPr>
          <w:fldChar w:fldCharType="end"/>
        </w:r>
      </w:hyperlink>
    </w:p>
    <w:p w:rsidR="00977D86" w:rsidRDefault="00C64A67">
      <w:pPr>
        <w:pStyle w:val="TOC2"/>
        <w:rPr>
          <w:rFonts w:asciiTheme="minorHAnsi" w:hAnsiTheme="minorHAnsi" w:cstheme="minorBidi"/>
          <w:noProof/>
          <w:sz w:val="22"/>
          <w:szCs w:val="22"/>
        </w:rPr>
      </w:pPr>
      <w:hyperlink w:anchor="_Toc465099872" w:history="1">
        <w:r w:rsidR="00977D86" w:rsidRPr="00853AD3">
          <w:rPr>
            <w:rStyle w:val="Hyperlink"/>
            <w:noProof/>
            <w:lang w:val="fr-FR"/>
          </w:rPr>
          <w:t>Activités individuelles</w:t>
        </w:r>
        <w:r w:rsidR="00977D86">
          <w:rPr>
            <w:noProof/>
            <w:webHidden/>
          </w:rPr>
          <w:tab/>
        </w:r>
        <w:r w:rsidR="00977D86">
          <w:rPr>
            <w:noProof/>
            <w:webHidden/>
          </w:rPr>
          <w:fldChar w:fldCharType="begin"/>
        </w:r>
        <w:r w:rsidR="00977D86">
          <w:rPr>
            <w:noProof/>
            <w:webHidden/>
          </w:rPr>
          <w:instrText xml:space="preserve"> PAGEREF _Toc465099872 \h </w:instrText>
        </w:r>
        <w:r w:rsidR="00977D86">
          <w:rPr>
            <w:noProof/>
            <w:webHidden/>
          </w:rPr>
        </w:r>
        <w:r w:rsidR="00977D86">
          <w:rPr>
            <w:noProof/>
            <w:webHidden/>
          </w:rPr>
          <w:fldChar w:fldCharType="separate"/>
        </w:r>
        <w:r>
          <w:rPr>
            <w:noProof/>
            <w:webHidden/>
          </w:rPr>
          <w:t>6</w:t>
        </w:r>
        <w:r w:rsidR="00977D86">
          <w:rPr>
            <w:noProof/>
            <w:webHidden/>
          </w:rPr>
          <w:fldChar w:fldCharType="end"/>
        </w:r>
      </w:hyperlink>
    </w:p>
    <w:p w:rsidR="00977D86" w:rsidRDefault="00C64A67">
      <w:pPr>
        <w:pStyle w:val="TOC2"/>
        <w:rPr>
          <w:rFonts w:asciiTheme="minorHAnsi" w:hAnsiTheme="minorHAnsi" w:cstheme="minorBidi"/>
          <w:noProof/>
          <w:sz w:val="22"/>
          <w:szCs w:val="22"/>
        </w:rPr>
      </w:pPr>
      <w:hyperlink w:anchor="_Toc465099873" w:history="1">
        <w:r w:rsidR="00977D86" w:rsidRPr="00853AD3">
          <w:rPr>
            <w:rStyle w:val="Hyperlink"/>
            <w:noProof/>
            <w:lang w:val="fr-FR"/>
          </w:rPr>
          <w:t>Cours d’enseignement à distance</w:t>
        </w:r>
        <w:r w:rsidR="00977D86">
          <w:rPr>
            <w:noProof/>
            <w:webHidden/>
          </w:rPr>
          <w:tab/>
        </w:r>
        <w:r w:rsidR="00977D86">
          <w:rPr>
            <w:noProof/>
            <w:webHidden/>
          </w:rPr>
          <w:fldChar w:fldCharType="begin"/>
        </w:r>
        <w:r w:rsidR="00977D86">
          <w:rPr>
            <w:noProof/>
            <w:webHidden/>
          </w:rPr>
          <w:instrText xml:space="preserve"> PAGEREF _Toc465099873 \h </w:instrText>
        </w:r>
        <w:r w:rsidR="00977D86">
          <w:rPr>
            <w:noProof/>
            <w:webHidden/>
          </w:rPr>
        </w:r>
        <w:r w:rsidR="00977D86">
          <w:rPr>
            <w:noProof/>
            <w:webHidden/>
          </w:rPr>
          <w:fldChar w:fldCharType="separate"/>
        </w:r>
        <w:r>
          <w:rPr>
            <w:noProof/>
            <w:webHidden/>
          </w:rPr>
          <w:t>9</w:t>
        </w:r>
        <w:r w:rsidR="00977D86">
          <w:rPr>
            <w:noProof/>
            <w:webHidden/>
          </w:rPr>
          <w:fldChar w:fldCharType="end"/>
        </w:r>
      </w:hyperlink>
    </w:p>
    <w:p w:rsidR="00977D86" w:rsidRDefault="00C64A67">
      <w:pPr>
        <w:pStyle w:val="TOC1"/>
        <w:rPr>
          <w:rFonts w:asciiTheme="minorHAnsi" w:hAnsiTheme="minorHAnsi" w:cstheme="minorBidi"/>
          <w:caps w:val="0"/>
          <w:noProof/>
          <w:sz w:val="22"/>
          <w:szCs w:val="22"/>
        </w:rPr>
      </w:pPr>
      <w:hyperlink w:anchor="_Toc465099874" w:history="1">
        <w:r w:rsidR="00977D86" w:rsidRPr="00853AD3">
          <w:rPr>
            <w:rStyle w:val="Hyperlink"/>
            <w:noProof/>
            <w:lang w:val="fr-FR"/>
          </w:rPr>
          <w:t>IV.</w:t>
        </w:r>
        <w:r w:rsidR="00977D86">
          <w:rPr>
            <w:rFonts w:asciiTheme="minorHAnsi" w:hAnsiTheme="minorHAnsi" w:cstheme="minorBidi"/>
            <w:caps w:val="0"/>
            <w:noProof/>
            <w:sz w:val="22"/>
            <w:szCs w:val="22"/>
          </w:rPr>
          <w:tab/>
        </w:r>
        <w:r w:rsidR="00977D86" w:rsidRPr="00853AD3">
          <w:rPr>
            <w:rStyle w:val="Hyperlink"/>
            <w:noProof/>
            <w:lang w:val="fr-FR"/>
          </w:rPr>
          <w:t>Relations avec les États et les organisations</w:t>
        </w:r>
        <w:r w:rsidR="00977D86">
          <w:rPr>
            <w:noProof/>
            <w:webHidden/>
          </w:rPr>
          <w:tab/>
        </w:r>
        <w:r w:rsidR="00977D86">
          <w:rPr>
            <w:noProof/>
            <w:webHidden/>
          </w:rPr>
          <w:fldChar w:fldCharType="begin"/>
        </w:r>
        <w:r w:rsidR="00977D86">
          <w:rPr>
            <w:noProof/>
            <w:webHidden/>
          </w:rPr>
          <w:instrText xml:space="preserve"> PAGEREF _Toc465099874 \h </w:instrText>
        </w:r>
        <w:r w:rsidR="00977D86">
          <w:rPr>
            <w:noProof/>
            <w:webHidden/>
          </w:rPr>
        </w:r>
        <w:r w:rsidR="00977D86">
          <w:rPr>
            <w:noProof/>
            <w:webHidden/>
          </w:rPr>
          <w:fldChar w:fldCharType="separate"/>
        </w:r>
        <w:r>
          <w:rPr>
            <w:noProof/>
            <w:webHidden/>
          </w:rPr>
          <w:t>10</w:t>
        </w:r>
        <w:r w:rsidR="00977D86">
          <w:rPr>
            <w:noProof/>
            <w:webHidden/>
          </w:rPr>
          <w:fldChar w:fldCharType="end"/>
        </w:r>
      </w:hyperlink>
    </w:p>
    <w:p w:rsidR="00977D86" w:rsidRDefault="00C64A67">
      <w:pPr>
        <w:pStyle w:val="TOC1"/>
        <w:rPr>
          <w:rFonts w:asciiTheme="minorHAnsi" w:hAnsiTheme="minorHAnsi" w:cstheme="minorBidi"/>
          <w:caps w:val="0"/>
          <w:noProof/>
          <w:sz w:val="22"/>
          <w:szCs w:val="22"/>
        </w:rPr>
      </w:pPr>
      <w:hyperlink w:anchor="_Toc465099875" w:history="1">
        <w:r w:rsidR="00977D86" w:rsidRPr="00853AD3">
          <w:rPr>
            <w:rStyle w:val="Hyperlink"/>
            <w:noProof/>
            <w:lang w:val="fr-FR"/>
          </w:rPr>
          <w:t>V.</w:t>
        </w:r>
        <w:r w:rsidR="00977D86">
          <w:rPr>
            <w:rFonts w:asciiTheme="minorHAnsi" w:hAnsiTheme="minorHAnsi" w:cstheme="minorBidi"/>
            <w:caps w:val="0"/>
            <w:noProof/>
            <w:sz w:val="22"/>
            <w:szCs w:val="22"/>
          </w:rPr>
          <w:tab/>
        </w:r>
        <w:r w:rsidR="00977D86" w:rsidRPr="00853AD3">
          <w:rPr>
            <w:rStyle w:val="Hyperlink"/>
            <w:noProof/>
            <w:lang w:val="fr-FR"/>
          </w:rPr>
          <w:t>Publications</w:t>
        </w:r>
        <w:r w:rsidR="00977D86">
          <w:rPr>
            <w:noProof/>
            <w:webHidden/>
          </w:rPr>
          <w:tab/>
        </w:r>
        <w:r w:rsidR="00977D86">
          <w:rPr>
            <w:noProof/>
            <w:webHidden/>
          </w:rPr>
          <w:fldChar w:fldCharType="begin"/>
        </w:r>
        <w:r w:rsidR="00977D86">
          <w:rPr>
            <w:noProof/>
            <w:webHidden/>
          </w:rPr>
          <w:instrText xml:space="preserve"> PAGEREF _Toc465099875 \h </w:instrText>
        </w:r>
        <w:r w:rsidR="00977D86">
          <w:rPr>
            <w:noProof/>
            <w:webHidden/>
          </w:rPr>
        </w:r>
        <w:r w:rsidR="00977D86">
          <w:rPr>
            <w:noProof/>
            <w:webHidden/>
          </w:rPr>
          <w:fldChar w:fldCharType="separate"/>
        </w:r>
        <w:r>
          <w:rPr>
            <w:noProof/>
            <w:webHidden/>
          </w:rPr>
          <w:t>10</w:t>
        </w:r>
        <w:r w:rsidR="00977D86">
          <w:rPr>
            <w:noProof/>
            <w:webHidden/>
          </w:rPr>
          <w:fldChar w:fldCharType="end"/>
        </w:r>
      </w:hyperlink>
    </w:p>
    <w:p w:rsidR="00CB114F" w:rsidRPr="00386CD6" w:rsidRDefault="004E714F" w:rsidP="00F01D68">
      <w:r w:rsidRPr="00386CD6">
        <w:fldChar w:fldCharType="end"/>
      </w:r>
    </w:p>
    <w:p w:rsidR="00CB114F" w:rsidRPr="00386CD6" w:rsidRDefault="002E4CEE" w:rsidP="00F01D68">
      <w:pPr>
        <w:spacing w:before="120"/>
        <w:ind w:left="1701" w:hanging="1275"/>
      </w:pPr>
      <w:r w:rsidRPr="00386CD6">
        <w:t>ANNEXE I</w:t>
      </w:r>
      <w:r w:rsidR="000F4505" w:rsidRPr="00386CD6">
        <w:t> </w:t>
      </w:r>
      <w:r w:rsidRPr="00386CD6">
        <w:t xml:space="preserve">: </w:t>
      </w:r>
      <w:r w:rsidRPr="00386CD6">
        <w:tab/>
        <w:t>Membres de l</w:t>
      </w:r>
      <w:r w:rsidR="00C56BCE" w:rsidRPr="00386CD6">
        <w:t>’</w:t>
      </w:r>
      <w:r w:rsidRPr="00386CD6">
        <w:t>Union</w:t>
      </w:r>
    </w:p>
    <w:p w:rsidR="00CB114F" w:rsidRPr="00386CD6" w:rsidRDefault="002E4CEE" w:rsidP="00F01D68">
      <w:pPr>
        <w:spacing w:before="120"/>
        <w:ind w:left="1701" w:hanging="1275"/>
      </w:pPr>
      <w:r w:rsidRPr="00386CD6">
        <w:t>ANNEXE</w:t>
      </w:r>
      <w:r w:rsidR="002D613F" w:rsidRPr="00386CD6">
        <w:t> </w:t>
      </w:r>
      <w:r w:rsidRPr="00386CD6">
        <w:t>II</w:t>
      </w:r>
      <w:r w:rsidRPr="00386CD6">
        <w:tab/>
        <w:t>Récapitulatif des missions en</w:t>
      </w:r>
      <w:r w:rsidR="000F4505" w:rsidRPr="00386CD6">
        <w:t> </w:t>
      </w:r>
      <w:r w:rsidRPr="00386CD6">
        <w:t>2015</w:t>
      </w:r>
    </w:p>
    <w:p w:rsidR="00CB114F" w:rsidRPr="00386CD6" w:rsidRDefault="002E4CEE" w:rsidP="00F01D68">
      <w:pPr>
        <w:spacing w:before="120"/>
        <w:ind w:left="1701" w:hanging="1275"/>
      </w:pPr>
      <w:r w:rsidRPr="00386CD6">
        <w:t>ANNEXE</w:t>
      </w:r>
      <w:r w:rsidR="002D613F" w:rsidRPr="00386CD6">
        <w:t> </w:t>
      </w:r>
      <w:r w:rsidRPr="00386CD6">
        <w:t>III</w:t>
      </w:r>
      <w:r w:rsidRPr="00386CD6">
        <w:tab/>
        <w:t>Tableau des résultats et indicateurs d</w:t>
      </w:r>
      <w:r w:rsidR="00C56BCE" w:rsidRPr="00386CD6">
        <w:t>’</w:t>
      </w:r>
      <w:r w:rsidRPr="00386CD6">
        <w:t>exécution pour</w:t>
      </w:r>
      <w:r w:rsidR="000F4505" w:rsidRPr="00386CD6">
        <w:t> </w:t>
      </w:r>
      <w:r w:rsidRPr="00386CD6">
        <w:t>2015</w:t>
      </w:r>
    </w:p>
    <w:p w:rsidR="00CB114F" w:rsidRPr="00386CD6" w:rsidRDefault="002E4CEE" w:rsidP="00F01D68">
      <w:pPr>
        <w:spacing w:before="120"/>
        <w:ind w:left="1701" w:hanging="1275"/>
      </w:pPr>
      <w:r w:rsidRPr="00386CD6">
        <w:t>Appendice</w:t>
      </w:r>
      <w:r w:rsidR="000F4505" w:rsidRPr="00386CD6">
        <w:t> </w:t>
      </w:r>
      <w:r w:rsidRPr="00386CD6">
        <w:t xml:space="preserve">: </w:t>
      </w:r>
      <w:r w:rsidRPr="00386CD6">
        <w:tab/>
        <w:t>Sigles et abréviations</w:t>
      </w:r>
    </w:p>
    <w:p w:rsidR="00CB114F" w:rsidRPr="00386CD6" w:rsidRDefault="004E714F" w:rsidP="00F01D68">
      <w:pPr>
        <w:keepNext/>
      </w:pPr>
      <w:r w:rsidRPr="00386CD6">
        <w:rPr>
          <w:szCs w:val="24"/>
          <w:u w:val="single"/>
        </w:rPr>
        <w:br w:type="page"/>
      </w:r>
    </w:p>
    <w:p w:rsidR="00CB114F" w:rsidRPr="00386CD6" w:rsidRDefault="002E4CEE" w:rsidP="00F01D68">
      <w:pPr>
        <w:pStyle w:val="Heading1"/>
        <w:rPr>
          <w:lang w:val="fr-FR"/>
        </w:rPr>
      </w:pPr>
      <w:bookmarkStart w:id="5" w:name="_Toc465099863"/>
      <w:r w:rsidRPr="00386CD6">
        <w:rPr>
          <w:lang w:val="fr-FR"/>
        </w:rPr>
        <w:t>I.</w:t>
      </w:r>
      <w:r w:rsidRPr="00386CD6">
        <w:rPr>
          <w:lang w:val="fr-FR"/>
        </w:rPr>
        <w:tab/>
        <w:t>COMPOSITION DE L</w:t>
      </w:r>
      <w:r w:rsidR="00C56BCE" w:rsidRPr="00386CD6">
        <w:rPr>
          <w:lang w:val="fr-FR"/>
        </w:rPr>
        <w:t>’</w:t>
      </w:r>
      <w:r w:rsidRPr="00386CD6">
        <w:rPr>
          <w:lang w:val="fr-FR"/>
        </w:rPr>
        <w:t>UNION</w:t>
      </w:r>
      <w:bookmarkEnd w:id="5"/>
    </w:p>
    <w:p w:rsidR="00CB114F" w:rsidRPr="00386CD6" w:rsidRDefault="00CB114F" w:rsidP="00F01D68"/>
    <w:p w:rsidR="00CB114F" w:rsidRPr="00386CD6" w:rsidRDefault="002E4CEE" w:rsidP="00F01D68">
      <w:pPr>
        <w:pStyle w:val="Heading2"/>
        <w:rPr>
          <w:lang w:val="fr-FR"/>
        </w:rPr>
      </w:pPr>
      <w:bookmarkStart w:id="6" w:name="_Toc465099864"/>
      <w:r w:rsidRPr="00386CD6">
        <w:rPr>
          <w:lang w:val="fr-FR"/>
        </w:rPr>
        <w:t>Membres</w:t>
      </w:r>
      <w:bookmarkEnd w:id="6"/>
    </w:p>
    <w:p w:rsidR="00CB114F" w:rsidRPr="00386CD6" w:rsidRDefault="00CB114F" w:rsidP="00F01D68"/>
    <w:p w:rsidR="00C56BCE" w:rsidRPr="00386CD6" w:rsidRDefault="004E714F" w:rsidP="00F01D68">
      <w:r w:rsidRPr="00386CD6">
        <w:fldChar w:fldCharType="begin"/>
      </w:r>
      <w:r w:rsidRPr="00386CD6">
        <w:instrText xml:space="preserve"> AUTONUM  </w:instrText>
      </w:r>
      <w:r w:rsidRPr="00386CD6">
        <w:fldChar w:fldCharType="end"/>
      </w:r>
      <w:r w:rsidRPr="00386CD6">
        <w:tab/>
      </w:r>
      <w:r w:rsidR="002E4CEE" w:rsidRPr="00386CD6">
        <w:t>Au 3</w:t>
      </w:r>
      <w:r w:rsidR="00C56BCE" w:rsidRPr="00386CD6">
        <w:t>1 décembre 20</w:t>
      </w:r>
      <w:r w:rsidR="002E4CEE" w:rsidRPr="00386CD6">
        <w:t>15, l</w:t>
      </w:r>
      <w:r w:rsidR="00C56BCE" w:rsidRPr="00386CD6">
        <w:t>’</w:t>
      </w:r>
      <w:r w:rsidR="002E4CEE" w:rsidRPr="00386CD6">
        <w:t>Union comptait 74</w:t>
      </w:r>
      <w:r w:rsidR="002D613F" w:rsidRPr="00386CD6">
        <w:t> </w:t>
      </w:r>
      <w:r w:rsidR="002E4CEE" w:rsidRPr="00386CD6">
        <w:t>membres</w:t>
      </w:r>
      <w:r w:rsidR="000F4505" w:rsidRPr="00386CD6">
        <w:t> </w:t>
      </w:r>
      <w:r w:rsidR="002E4CEE" w:rsidRPr="00386CD6">
        <w:t>: Albanie, Afrique du Sud, Allemagne, Argentine, Australie, Autriche, Azerbaïdjan, Bélarus, Belgique, Bolivie (État plurinational de), Brésil, Bulgarie, Canada, Chili, Chine, Colombie, Costa Rica, Croatie, Danemark, Équateur, Espagne, Estonie, États</w:t>
      </w:r>
      <w:r w:rsidR="00C57B61" w:rsidRPr="00386CD6">
        <w:noBreakHyphen/>
      </w:r>
      <w:r w:rsidR="002E4CEE" w:rsidRPr="00386CD6">
        <w:t>Unis d</w:t>
      </w:r>
      <w:r w:rsidR="00C56BCE" w:rsidRPr="00386CD6">
        <w:t>’</w:t>
      </w:r>
      <w:r w:rsidR="002E4CEE" w:rsidRPr="00386CD6">
        <w:t>Amérique, ex</w:t>
      </w:r>
      <w:r w:rsidR="00C57B61" w:rsidRPr="00386CD6">
        <w:noBreakHyphen/>
      </w:r>
      <w:r w:rsidR="002E4CEE" w:rsidRPr="00386CD6">
        <w:t>République yougoslave de Macédoine, Fédération de Russie, Finlande, France, Géorgie, Hongrie, Irlande, Islande, Israël, Italie, Japon, Jordanie, Kenya, Kirghizistan, Lettonie, Lituanie, Maroc, Mexique, Monténégro, Nicaragua, Norvège, Nouvelle</w:t>
      </w:r>
      <w:r w:rsidR="00C57B61" w:rsidRPr="00386CD6">
        <w:noBreakHyphen/>
      </w:r>
      <w:r w:rsidR="002E4CEE" w:rsidRPr="00386CD6">
        <w:t>Zélande, Oman, Organisation africaine de la propriété intellectuelle, Ouzbékistan, Panama, Paraguay, Pays</w:t>
      </w:r>
      <w:r w:rsidR="00C57B61" w:rsidRPr="00386CD6">
        <w:noBreakHyphen/>
      </w:r>
      <w:r w:rsidR="002E4CEE" w:rsidRPr="00386CD6">
        <w:t>Bas, Pérou, Pologne, Portugal, République de Corée, République de Moldova, République dominicaine, République tchèque, République</w:t>
      </w:r>
      <w:r w:rsidR="00C57B61" w:rsidRPr="00386CD6">
        <w:rPr>
          <w:rFonts w:eastAsia="MS Gothic" w:cs="Arial"/>
        </w:rPr>
        <w:noBreakHyphen/>
      </w:r>
      <w:r w:rsidR="002E4CEE" w:rsidRPr="00386CD6">
        <w:t>Unie de Tanzanie, Roumanie, Royaume</w:t>
      </w:r>
      <w:r w:rsidR="00C57B61" w:rsidRPr="00386CD6">
        <w:noBreakHyphen/>
      </w:r>
      <w:r w:rsidR="002E4CEE" w:rsidRPr="00386CD6">
        <w:t>Uni, Serbie, Singapour, Slovaquie, Slov</w:t>
      </w:r>
      <w:r w:rsidR="002E4CEE" w:rsidRPr="00386CD6">
        <w:rPr>
          <w:rFonts w:cs="Arial"/>
        </w:rPr>
        <w:t>é</w:t>
      </w:r>
      <w:r w:rsidR="002E4CEE" w:rsidRPr="00386CD6">
        <w:t>nie, Su</w:t>
      </w:r>
      <w:r w:rsidR="002E4CEE" w:rsidRPr="00386CD6">
        <w:rPr>
          <w:rFonts w:cs="Arial"/>
        </w:rPr>
        <w:t>è</w:t>
      </w:r>
      <w:r w:rsidR="002E4CEE" w:rsidRPr="00386CD6">
        <w:t>de, Suisse, Trinité</w:t>
      </w:r>
      <w:r w:rsidR="00C57B61" w:rsidRPr="00386CD6">
        <w:noBreakHyphen/>
      </w:r>
      <w:r w:rsidR="002E4CEE" w:rsidRPr="00386CD6">
        <w:t>et</w:t>
      </w:r>
      <w:r w:rsidR="00C57B61" w:rsidRPr="00386CD6">
        <w:noBreakHyphen/>
      </w:r>
      <w:r w:rsidR="002E4CEE" w:rsidRPr="00386CD6">
        <w:t>Tobago, Tunisie, Turquie, Ukraine, Union européenne, Uruguay et Viet</w:t>
      </w:r>
      <w:r w:rsidR="000F4505" w:rsidRPr="00386CD6">
        <w:t> </w:t>
      </w:r>
      <w:r w:rsidR="002E4CEE" w:rsidRPr="00386CD6">
        <w:t>Nam.</w:t>
      </w:r>
    </w:p>
    <w:p w:rsidR="00CB114F" w:rsidRPr="00386CD6" w:rsidRDefault="00CB114F" w:rsidP="00F01D68"/>
    <w:p w:rsidR="00CB114F" w:rsidRPr="00386CD6" w:rsidRDefault="00CB114F" w:rsidP="00F01D68">
      <w:pPr>
        <w:tabs>
          <w:tab w:val="left" w:pos="567"/>
          <w:tab w:val="left" w:pos="1134"/>
        </w:tabs>
      </w:pPr>
    </w:p>
    <w:p w:rsidR="00CB114F" w:rsidRPr="00386CD6" w:rsidRDefault="002E4CEE" w:rsidP="00F01D68">
      <w:pPr>
        <w:pStyle w:val="Heading2"/>
        <w:rPr>
          <w:lang w:val="fr-FR"/>
        </w:rPr>
      </w:pPr>
      <w:bookmarkStart w:id="7" w:name="_Toc465099865"/>
      <w:r w:rsidRPr="00386CD6">
        <w:rPr>
          <w:lang w:val="fr-FR"/>
        </w:rPr>
        <w:t>Situation par rapport aux divers actes de la Convention</w:t>
      </w:r>
      <w:bookmarkEnd w:id="7"/>
    </w:p>
    <w:p w:rsidR="00CB114F" w:rsidRPr="00386CD6" w:rsidRDefault="00CB114F" w:rsidP="00F01D68"/>
    <w:p w:rsidR="00C56BCE" w:rsidRPr="00386CD6" w:rsidRDefault="004E714F" w:rsidP="00F01D68">
      <w:r w:rsidRPr="00386CD6">
        <w:fldChar w:fldCharType="begin"/>
      </w:r>
      <w:r w:rsidRPr="00386CD6">
        <w:instrText xml:space="preserve"> AUTONUM  </w:instrText>
      </w:r>
      <w:r w:rsidRPr="00386CD6">
        <w:fldChar w:fldCharType="end"/>
      </w:r>
      <w:r w:rsidRPr="00386CD6">
        <w:tab/>
      </w:r>
      <w:r w:rsidR="002E4CEE" w:rsidRPr="00386CD6">
        <w:t>Au 3</w:t>
      </w:r>
      <w:r w:rsidR="00C56BCE" w:rsidRPr="00386CD6">
        <w:t>1 décembre 20</w:t>
      </w:r>
      <w:r w:rsidR="002E4CEE" w:rsidRPr="00386CD6">
        <w:t>15, la situation des membres de l</w:t>
      </w:r>
      <w:r w:rsidR="00C56BCE" w:rsidRPr="00386CD6">
        <w:t>’</w:t>
      </w:r>
      <w:r w:rsidR="002E4CEE" w:rsidRPr="00386CD6">
        <w:t>Union par rapport aux différents actes de la Convention se présentait comme suit</w:t>
      </w:r>
      <w:r w:rsidR="000F4505" w:rsidRPr="00386CD6">
        <w:t> </w:t>
      </w:r>
      <w:r w:rsidR="002E4CEE" w:rsidRPr="00386CD6">
        <w:t>:</w:t>
      </w:r>
    </w:p>
    <w:p w:rsidR="00CB114F" w:rsidRPr="00386CD6" w:rsidRDefault="00CB114F" w:rsidP="00F01D68"/>
    <w:p w:rsidR="00CB114F" w:rsidRPr="00386CD6" w:rsidRDefault="004E714F" w:rsidP="00F01D68">
      <w:r w:rsidRPr="00386CD6">
        <w:tab/>
      </w:r>
      <w:r w:rsidR="002E4CEE" w:rsidRPr="00386CD6">
        <w:t>a)</w:t>
      </w:r>
      <w:r w:rsidR="002E4CEE" w:rsidRPr="00386CD6">
        <w:tab/>
        <w:t>la Belgique était liée par la Convention de</w:t>
      </w:r>
      <w:r w:rsidR="000F4505" w:rsidRPr="00386CD6">
        <w:t> </w:t>
      </w:r>
      <w:r w:rsidR="002E4CEE" w:rsidRPr="00386CD6">
        <w:t>1961 modifiée par l</w:t>
      </w:r>
      <w:r w:rsidR="00C56BCE" w:rsidRPr="00386CD6">
        <w:t>’</w:t>
      </w:r>
      <w:r w:rsidR="002E4CEE" w:rsidRPr="00386CD6">
        <w:t>Acte de</w:t>
      </w:r>
      <w:r w:rsidR="000F4505" w:rsidRPr="00386CD6">
        <w:t> </w:t>
      </w:r>
      <w:r w:rsidR="002E4CEE" w:rsidRPr="00386CD6">
        <w:t>1972;</w:t>
      </w:r>
    </w:p>
    <w:p w:rsidR="00CB114F" w:rsidRPr="00386CD6" w:rsidRDefault="00CB114F" w:rsidP="00F01D68"/>
    <w:p w:rsidR="00CB114F" w:rsidRPr="00386CD6" w:rsidRDefault="004E714F" w:rsidP="00F01D68">
      <w:r w:rsidRPr="00386CD6">
        <w:tab/>
      </w:r>
      <w:r w:rsidR="002E4CEE" w:rsidRPr="00386CD6">
        <w:t>b)</w:t>
      </w:r>
      <w:r w:rsidR="002E4CEE" w:rsidRPr="00386CD6">
        <w:tab/>
        <w:t>18 membres étaient liés par l</w:t>
      </w:r>
      <w:r w:rsidR="00C56BCE" w:rsidRPr="00386CD6">
        <w:t>’</w:t>
      </w:r>
      <w:r w:rsidR="002E4CEE" w:rsidRPr="00386CD6">
        <w:t>Acte de</w:t>
      </w:r>
      <w:r w:rsidR="000F4505" w:rsidRPr="00386CD6">
        <w:t> </w:t>
      </w:r>
      <w:r w:rsidR="002E4CEE" w:rsidRPr="00386CD6">
        <w:t>1978</w:t>
      </w:r>
      <w:r w:rsidR="000F4505" w:rsidRPr="00386CD6">
        <w:t> </w:t>
      </w:r>
      <w:r w:rsidR="002E4CEE" w:rsidRPr="00386CD6">
        <w:t>: Afrique du Sud, Argentine, Bolivie, Brésil, Chili, Chine, Colombie, Équateur, Italie, Kenya, Mexique, Nicaragua, Norvège, Nouvelle</w:t>
      </w:r>
      <w:r w:rsidR="00C57B61" w:rsidRPr="00386CD6">
        <w:noBreakHyphen/>
      </w:r>
      <w:r w:rsidR="002E4CEE" w:rsidRPr="00386CD6">
        <w:t>Zélande, Paraguay, Portugal, Trinité</w:t>
      </w:r>
      <w:r w:rsidR="00C57B61" w:rsidRPr="00386CD6">
        <w:noBreakHyphen/>
      </w:r>
      <w:r w:rsidR="002E4CEE" w:rsidRPr="00386CD6">
        <w:t>et</w:t>
      </w:r>
      <w:r w:rsidR="00C57B61" w:rsidRPr="00386CD6">
        <w:noBreakHyphen/>
      </w:r>
      <w:r w:rsidR="002E4CEE" w:rsidRPr="00386CD6">
        <w:t>Tobago et Uruguay;</w:t>
      </w:r>
    </w:p>
    <w:p w:rsidR="00CB114F" w:rsidRPr="00386CD6" w:rsidRDefault="00CB114F" w:rsidP="00F01D68"/>
    <w:p w:rsidR="00CB114F" w:rsidRPr="00386CD6" w:rsidRDefault="004E714F" w:rsidP="00F01D68">
      <w:r w:rsidRPr="00386CD6">
        <w:tab/>
      </w:r>
      <w:r w:rsidR="002E4CEE" w:rsidRPr="00386CD6">
        <w:t>c)</w:t>
      </w:r>
      <w:r w:rsidR="002E4CEE" w:rsidRPr="00386CD6">
        <w:tab/>
        <w:t>55 membres étaient liés par l</w:t>
      </w:r>
      <w:r w:rsidR="00C56BCE" w:rsidRPr="00386CD6">
        <w:t>’</w:t>
      </w:r>
      <w:r w:rsidR="002E4CEE" w:rsidRPr="00386CD6">
        <w:t>Acte de</w:t>
      </w:r>
      <w:r w:rsidR="000F4505" w:rsidRPr="00386CD6">
        <w:t> </w:t>
      </w:r>
      <w:r w:rsidR="002E4CEE" w:rsidRPr="00386CD6">
        <w:t>1991</w:t>
      </w:r>
      <w:r w:rsidR="000F4505" w:rsidRPr="00386CD6">
        <w:t> </w:t>
      </w:r>
      <w:r w:rsidR="002E4CEE" w:rsidRPr="00386CD6">
        <w:t>: Albanie, Allemagne, Australie, Autriche, Azerbaïdjan, Bélarus, Bulgarie, Canada, Costa Rica, Croatie, Danemark, Espagne, Estonie, États</w:t>
      </w:r>
      <w:r w:rsidR="00C57B61" w:rsidRPr="00386CD6">
        <w:noBreakHyphen/>
      </w:r>
      <w:r w:rsidR="002E4CEE" w:rsidRPr="00386CD6">
        <w:t>Unis d</w:t>
      </w:r>
      <w:r w:rsidR="00C56BCE" w:rsidRPr="00386CD6">
        <w:t>’</w:t>
      </w:r>
      <w:r w:rsidR="002E4CEE" w:rsidRPr="00386CD6">
        <w:t>Amérique, ex</w:t>
      </w:r>
      <w:r w:rsidR="00C57B61" w:rsidRPr="00386CD6">
        <w:noBreakHyphen/>
      </w:r>
      <w:r w:rsidR="002E4CEE" w:rsidRPr="00386CD6">
        <w:t>République yougoslave de Macédoine, Fédération de Russie, Finlande, France, Géorgie, Hongrie, Irlande, Islande, Israël, Japon, Jordanie, Kirghizistan, Lettonie, Lituanie, Maroc, Monténégro, Oman, Organisation africaine de la propriété intellectuelle, Ouzbékistan, Panama, Pays</w:t>
      </w:r>
      <w:r w:rsidR="00C57B61" w:rsidRPr="00386CD6">
        <w:noBreakHyphen/>
      </w:r>
      <w:r w:rsidR="002E4CEE" w:rsidRPr="00386CD6">
        <w:t>Bas, Pérou, Pologne, République de Corée, République de Moldova, République dominicaine, République tchèque, République</w:t>
      </w:r>
      <w:r w:rsidR="00C57B61" w:rsidRPr="00386CD6">
        <w:rPr>
          <w:rFonts w:eastAsia="MS Gothic" w:cs="Arial"/>
        </w:rPr>
        <w:noBreakHyphen/>
      </w:r>
      <w:r w:rsidR="002E4CEE" w:rsidRPr="00386CD6">
        <w:t>Unie de Tanzanie, Roumanie, Royaume</w:t>
      </w:r>
      <w:r w:rsidR="00C57B61" w:rsidRPr="00386CD6">
        <w:noBreakHyphen/>
      </w:r>
      <w:r w:rsidR="002E4CEE" w:rsidRPr="00386CD6">
        <w:t>Uni, Serbie, Singapour, Slovaquie, Slov</w:t>
      </w:r>
      <w:r w:rsidR="002E4CEE" w:rsidRPr="00386CD6">
        <w:rPr>
          <w:rFonts w:cs="Arial"/>
        </w:rPr>
        <w:t>é</w:t>
      </w:r>
      <w:r w:rsidR="002E4CEE" w:rsidRPr="00386CD6">
        <w:t>nie, Su</w:t>
      </w:r>
      <w:r w:rsidR="002E4CEE" w:rsidRPr="00386CD6">
        <w:rPr>
          <w:rFonts w:cs="Arial"/>
        </w:rPr>
        <w:t>è</w:t>
      </w:r>
      <w:r w:rsidR="002E4CEE" w:rsidRPr="00386CD6">
        <w:t>de, Suisse, Tunisie, Turquie, Ukraine, Union européenne et Viet</w:t>
      </w:r>
      <w:r w:rsidR="000F4505" w:rsidRPr="00386CD6">
        <w:t> </w:t>
      </w:r>
      <w:r w:rsidR="002E4CEE" w:rsidRPr="00386CD6">
        <w:t>Nam.</w:t>
      </w:r>
    </w:p>
    <w:p w:rsidR="00CB114F" w:rsidRPr="00386CD6" w:rsidRDefault="00CB114F" w:rsidP="00F01D68"/>
    <w:p w:rsidR="00CB114F" w:rsidRPr="00386CD6" w:rsidRDefault="004E714F" w:rsidP="00F01D68">
      <w:r w:rsidRPr="00386CD6">
        <w:fldChar w:fldCharType="begin"/>
      </w:r>
      <w:r w:rsidRPr="00386CD6">
        <w:instrText xml:space="preserve"> AUTONUM  </w:instrText>
      </w:r>
      <w:r w:rsidRPr="00386CD6">
        <w:fldChar w:fldCharType="end"/>
      </w:r>
      <w:r w:rsidRPr="00386CD6">
        <w:tab/>
      </w:r>
      <w:r w:rsidR="002E4CEE" w:rsidRPr="00386CD6">
        <w:t>L</w:t>
      </w:r>
      <w:r w:rsidR="00C56BCE" w:rsidRPr="00386CD6">
        <w:t>’</w:t>
      </w:r>
      <w:r w:rsidR="002E4CEE" w:rsidRPr="00386CD6">
        <w:t>annexe</w:t>
      </w:r>
      <w:r w:rsidR="000F4505" w:rsidRPr="00386CD6">
        <w:t> </w:t>
      </w:r>
      <w:r w:rsidR="002E4CEE" w:rsidRPr="00386CD6">
        <w:t>I présente la situation des membres de l</w:t>
      </w:r>
      <w:r w:rsidR="00C56BCE" w:rsidRPr="00386CD6">
        <w:t>’</w:t>
      </w:r>
      <w:r w:rsidR="002E4CEE" w:rsidRPr="00386CD6">
        <w:t>Union par rapport aux divers actes de la Convention au 3</w:t>
      </w:r>
      <w:r w:rsidR="00C56BCE" w:rsidRPr="00386CD6">
        <w:t>1 décembre 20</w:t>
      </w:r>
      <w:r w:rsidR="002E4CEE" w:rsidRPr="00386CD6">
        <w:t>15.</w:t>
      </w:r>
    </w:p>
    <w:p w:rsidR="00CB114F" w:rsidRPr="00386CD6" w:rsidRDefault="00CB114F" w:rsidP="00F01D68"/>
    <w:p w:rsidR="00CB114F" w:rsidRPr="00386CD6" w:rsidRDefault="00CB114F" w:rsidP="00F01D68"/>
    <w:p w:rsidR="00CB114F" w:rsidRPr="00386CD6" w:rsidRDefault="00C57B61" w:rsidP="00F01D68">
      <w:pPr>
        <w:pStyle w:val="Heading2"/>
        <w:rPr>
          <w:lang w:val="fr-FR"/>
        </w:rPr>
      </w:pPr>
      <w:bookmarkStart w:id="8" w:name="_Toc465099866"/>
      <w:r w:rsidRPr="00386CD6">
        <w:rPr>
          <w:lang w:val="fr-FR"/>
        </w:rPr>
        <w:t>États/o</w:t>
      </w:r>
      <w:r w:rsidR="002E4CEE" w:rsidRPr="00386CD6">
        <w:rPr>
          <w:lang w:val="fr-FR"/>
        </w:rPr>
        <w:t>rganisations qui ont entamé la procédure pour devenir membres de l</w:t>
      </w:r>
      <w:r w:rsidR="00C56BCE" w:rsidRPr="00386CD6">
        <w:rPr>
          <w:lang w:val="fr-FR"/>
        </w:rPr>
        <w:t>’</w:t>
      </w:r>
      <w:r w:rsidR="002E4CEE" w:rsidRPr="00386CD6">
        <w:rPr>
          <w:lang w:val="fr-FR"/>
        </w:rPr>
        <w:t>Union</w:t>
      </w:r>
      <w:bookmarkEnd w:id="8"/>
    </w:p>
    <w:p w:rsidR="00CB114F" w:rsidRPr="00386CD6" w:rsidRDefault="00CB114F" w:rsidP="00F01D68">
      <w:pPr>
        <w:keepNext/>
      </w:pPr>
    </w:p>
    <w:p w:rsidR="00CB114F" w:rsidRPr="00386CD6" w:rsidRDefault="004E714F" w:rsidP="00F01D68">
      <w:r w:rsidRPr="00386CD6">
        <w:fldChar w:fldCharType="begin"/>
      </w:r>
      <w:r w:rsidRPr="00386CD6">
        <w:instrText xml:space="preserve"> AUTONUM  </w:instrText>
      </w:r>
      <w:r w:rsidRPr="00386CD6">
        <w:fldChar w:fldCharType="end"/>
      </w:r>
      <w:r w:rsidRPr="00386CD6">
        <w:tab/>
      </w:r>
      <w:r w:rsidR="002E4CEE" w:rsidRPr="00386CD6">
        <w:t>Aux termes de l</w:t>
      </w:r>
      <w:r w:rsidR="00C56BCE" w:rsidRPr="00386CD6">
        <w:t>’</w:t>
      </w:r>
      <w:r w:rsidR="002E4CEE" w:rsidRPr="00386CD6">
        <w:t>article</w:t>
      </w:r>
      <w:r w:rsidR="000F4505" w:rsidRPr="00386CD6">
        <w:t> </w:t>
      </w:r>
      <w:r w:rsidR="002E4CEE" w:rsidRPr="00386CD6">
        <w:t>34,3) de l</w:t>
      </w:r>
      <w:r w:rsidR="00C56BCE" w:rsidRPr="00386CD6">
        <w:t>’</w:t>
      </w:r>
      <w:r w:rsidR="002E4CEE" w:rsidRPr="00386CD6">
        <w:t>Acte de</w:t>
      </w:r>
      <w:r w:rsidR="000F4505" w:rsidRPr="00386CD6">
        <w:t> </w:t>
      </w:r>
      <w:r w:rsidR="002E4CEE" w:rsidRPr="00386CD6">
        <w:t>1991, “tout État qui n</w:t>
      </w:r>
      <w:r w:rsidR="00C56BCE" w:rsidRPr="00386CD6">
        <w:t>’</w:t>
      </w:r>
      <w:r w:rsidR="002E4CEE" w:rsidRPr="00386CD6">
        <w:t>est pas membre de l</w:t>
      </w:r>
      <w:r w:rsidR="00C56BCE" w:rsidRPr="00386CD6">
        <w:t>’</w:t>
      </w:r>
      <w:r w:rsidR="002E4CEE" w:rsidRPr="00386CD6">
        <w:t>Union ou toute organisation intergouvernementale demande, avant de déposer son instrument d</w:t>
      </w:r>
      <w:r w:rsidR="00C56BCE" w:rsidRPr="00386CD6">
        <w:t>’</w:t>
      </w:r>
      <w:r w:rsidR="002E4CEE" w:rsidRPr="00386CD6">
        <w:t>adhésion, l</w:t>
      </w:r>
      <w:r w:rsidR="00C56BCE" w:rsidRPr="00386CD6">
        <w:t>’</w:t>
      </w:r>
      <w:r w:rsidR="002E4CEE" w:rsidRPr="00386CD6">
        <w:t>avis du Conseil sur la conformité de sa législation avec les dispositions de la présente Convention”.</w:t>
      </w:r>
    </w:p>
    <w:p w:rsidR="00CB114F" w:rsidRPr="00386CD6" w:rsidRDefault="00CB114F" w:rsidP="00F01D68"/>
    <w:p w:rsidR="00CB114F" w:rsidRPr="00386CD6" w:rsidRDefault="00D82DDE" w:rsidP="00F01D68">
      <w:r w:rsidRPr="00386CD6">
        <w:fldChar w:fldCharType="begin"/>
      </w:r>
      <w:r w:rsidRPr="00386CD6">
        <w:instrText xml:space="preserve"> AUTONUM  </w:instrText>
      </w:r>
      <w:r w:rsidRPr="00386CD6">
        <w:fldChar w:fldCharType="end"/>
      </w:r>
      <w:r w:rsidRPr="00386CD6">
        <w:tab/>
      </w:r>
      <w:r w:rsidR="002E4CEE" w:rsidRPr="00386CD6">
        <w:t xml:space="preserve">Dans une lettre datée du </w:t>
      </w:r>
      <w:r w:rsidR="00C56BCE" w:rsidRPr="00386CD6">
        <w:t>3 novembre 20</w:t>
      </w:r>
      <w:r w:rsidR="002E4CEE" w:rsidRPr="00386CD6">
        <w:t>14, l</w:t>
      </w:r>
      <w:r w:rsidR="00C56BCE" w:rsidRPr="00386CD6">
        <w:t>’</w:t>
      </w:r>
      <w:r w:rsidR="002E4CEE" w:rsidRPr="00386CD6">
        <w:t>Égypte a demandé l</w:t>
      </w:r>
      <w:r w:rsidR="00C56BCE" w:rsidRPr="00386CD6">
        <w:t>’</w:t>
      </w:r>
      <w:r w:rsidR="002E4CEE" w:rsidRPr="00386CD6">
        <w:t>examen de la conformité du “Projet de dispositions du titre</w:t>
      </w:r>
      <w:r w:rsidR="000F4505" w:rsidRPr="00386CD6">
        <w:t> </w:t>
      </w:r>
      <w:r w:rsidR="002E4CEE" w:rsidRPr="00386CD6">
        <w:t xml:space="preserve">IV </w:t>
      </w:r>
      <w:r w:rsidR="00C56BCE" w:rsidRPr="00386CD6">
        <w:t>‘</w:t>
      </w:r>
      <w:r w:rsidR="002E4CEE" w:rsidRPr="00386CD6">
        <w:t>Obtentions végétales</w:t>
      </w:r>
      <w:r w:rsidR="00C56BCE" w:rsidRPr="00386CD6">
        <w:t>’</w:t>
      </w:r>
      <w:r w:rsidR="002E4CEE" w:rsidRPr="00386CD6">
        <w:t xml:space="preserve"> de la loi n°</w:t>
      </w:r>
      <w:r w:rsidR="000F4505" w:rsidRPr="00386CD6">
        <w:t> </w:t>
      </w:r>
      <w:r w:rsidR="002E4CEE" w:rsidRPr="00386CD6">
        <w:t>82 de</w:t>
      </w:r>
      <w:r w:rsidR="000F4505" w:rsidRPr="00386CD6">
        <w:t> </w:t>
      </w:r>
      <w:r w:rsidR="002E4CEE" w:rsidRPr="00386CD6">
        <w:t>2002 relative à la protection des droits de propriété intellectuelle” (“projet de loi”) avec l</w:t>
      </w:r>
      <w:r w:rsidR="00C56BCE" w:rsidRPr="00386CD6">
        <w:t>’</w:t>
      </w:r>
      <w:r w:rsidR="002E4CEE" w:rsidRPr="00386CD6">
        <w:t>Acte de</w:t>
      </w:r>
      <w:r w:rsidR="000F4505" w:rsidRPr="00386CD6">
        <w:t> </w:t>
      </w:r>
      <w:r w:rsidR="002E4CEE" w:rsidRPr="00386CD6">
        <w:t>1991 de la Convention</w:t>
      </w:r>
      <w:r w:rsidR="000A43E0" w:rsidRPr="00386CD6">
        <w:t> </w:t>
      </w:r>
      <w:r w:rsidR="002E4CEE" w:rsidRPr="00386CD6">
        <w:t>UPOV.</w:t>
      </w:r>
    </w:p>
    <w:p w:rsidR="00CB114F" w:rsidRPr="00386CD6" w:rsidRDefault="00CB114F" w:rsidP="00F01D68"/>
    <w:p w:rsidR="00CB114F" w:rsidRPr="00386CD6" w:rsidRDefault="00D82DDE" w:rsidP="00F01D68">
      <w:r w:rsidRPr="00386CD6">
        <w:fldChar w:fldCharType="begin"/>
      </w:r>
      <w:r w:rsidRPr="00386CD6">
        <w:instrText xml:space="preserve"> AUTONUM  </w:instrText>
      </w:r>
      <w:r w:rsidRPr="00386CD6">
        <w:fldChar w:fldCharType="end"/>
      </w:r>
      <w:r w:rsidRPr="00386CD6">
        <w:tab/>
      </w:r>
      <w:r w:rsidR="002E4CEE" w:rsidRPr="00386CD6">
        <w:t>À sa trente</w:t>
      </w:r>
      <w:r w:rsidR="00C57B61" w:rsidRPr="00386CD6">
        <w:noBreakHyphen/>
      </w:r>
      <w:r w:rsidR="002E4CEE" w:rsidRPr="00386CD6">
        <w:t>deuxième</w:t>
      </w:r>
      <w:r w:rsidR="000F4505" w:rsidRPr="00386CD6">
        <w:t> </w:t>
      </w:r>
      <w:r w:rsidR="002E4CEE" w:rsidRPr="00386CD6">
        <w:t>session extraordinaire, tenue à Genève le 2</w:t>
      </w:r>
      <w:r w:rsidR="00C56BCE" w:rsidRPr="00386CD6">
        <w:t>7 mars 20</w:t>
      </w:r>
      <w:r w:rsidR="002E4CEE" w:rsidRPr="00386CD6">
        <w:t>15, le Conseil a examiné la conformité du projet de loi de l</w:t>
      </w:r>
      <w:r w:rsidR="00C56BCE" w:rsidRPr="00386CD6">
        <w:t>’</w:t>
      </w:r>
      <w:r w:rsidR="002E4CEE" w:rsidRPr="00386CD6">
        <w:t>Égypte avec l</w:t>
      </w:r>
      <w:r w:rsidR="00C56BCE" w:rsidRPr="00386CD6">
        <w:t>’</w:t>
      </w:r>
      <w:r w:rsidR="002E4CEE" w:rsidRPr="00386CD6">
        <w:t>Acte de</w:t>
      </w:r>
      <w:r w:rsidR="000F4505" w:rsidRPr="00386CD6">
        <w:t> </w:t>
      </w:r>
      <w:r w:rsidR="002E4CEE" w:rsidRPr="00386CD6">
        <w:t>1991 de la Convention</w:t>
      </w:r>
      <w:r w:rsidR="000A43E0" w:rsidRPr="00386CD6">
        <w:t> </w:t>
      </w:r>
      <w:r w:rsidR="002E4CEE" w:rsidRPr="00386CD6">
        <w:t>UPOV.</w:t>
      </w:r>
    </w:p>
    <w:p w:rsidR="00CB114F" w:rsidRPr="00386CD6" w:rsidRDefault="00CB114F" w:rsidP="00F01D68"/>
    <w:p w:rsidR="00CB114F" w:rsidRPr="00386CD6" w:rsidRDefault="00D82DDE" w:rsidP="00F01D68">
      <w:pPr>
        <w:rPr>
          <w:rFonts w:cs="Arial"/>
        </w:rPr>
      </w:pPr>
      <w:r w:rsidRPr="00386CD6">
        <w:fldChar w:fldCharType="begin"/>
      </w:r>
      <w:r w:rsidRPr="00386CD6">
        <w:instrText xml:space="preserve"> AUTONUM  </w:instrText>
      </w:r>
      <w:r w:rsidRPr="00386CD6">
        <w:fldChar w:fldCharType="end"/>
      </w:r>
      <w:r w:rsidRPr="00386CD6">
        <w:tab/>
      </w:r>
      <w:r w:rsidR="002E4CEE" w:rsidRPr="00386CD6">
        <w:t>Le Conseil a décidé</w:t>
      </w:r>
    </w:p>
    <w:p w:rsidR="00CB114F" w:rsidRPr="00386CD6" w:rsidRDefault="00CB114F" w:rsidP="00F01D68">
      <w:pPr>
        <w:rPr>
          <w:rFonts w:cs="Arial"/>
        </w:rPr>
      </w:pPr>
    </w:p>
    <w:p w:rsidR="00CB114F" w:rsidRPr="00386CD6" w:rsidRDefault="00D82DDE" w:rsidP="00F01D68">
      <w:pPr>
        <w:keepNext/>
        <w:spacing w:after="120"/>
        <w:ind w:left="567" w:right="567"/>
        <w:rPr>
          <w:sz w:val="18"/>
        </w:rPr>
      </w:pPr>
      <w:r w:rsidRPr="00386CD6">
        <w:rPr>
          <w:sz w:val="18"/>
        </w:rPr>
        <w:tab/>
      </w:r>
      <w:r w:rsidR="00C9588E" w:rsidRPr="00386CD6">
        <w:rPr>
          <w:sz w:val="18"/>
        </w:rPr>
        <w:t>“a)</w:t>
      </w:r>
      <w:r w:rsidR="00C9588E" w:rsidRPr="00386CD6">
        <w:rPr>
          <w:sz w:val="18"/>
        </w:rPr>
        <w:tab/>
        <w:t>de prendre note de l</w:t>
      </w:r>
      <w:r w:rsidR="00C56BCE" w:rsidRPr="00386CD6">
        <w:rPr>
          <w:sz w:val="18"/>
        </w:rPr>
        <w:t>’</w:t>
      </w:r>
      <w:r w:rsidR="00C9588E" w:rsidRPr="00386CD6">
        <w:rPr>
          <w:sz w:val="18"/>
        </w:rPr>
        <w:t xml:space="preserve">analyse faite dans le document </w:t>
      </w:r>
      <w:proofErr w:type="gramStart"/>
      <w:r w:rsidR="00C9588E" w:rsidRPr="00386CD6">
        <w:rPr>
          <w:sz w:val="18"/>
        </w:rPr>
        <w:t>C(</w:t>
      </w:r>
      <w:proofErr w:type="gramEnd"/>
      <w:r w:rsidR="00C9588E" w:rsidRPr="00386CD6">
        <w:rPr>
          <w:sz w:val="18"/>
        </w:rPr>
        <w:t>Extr.)/32/3,</w:t>
      </w:r>
    </w:p>
    <w:p w:rsidR="00CB114F" w:rsidRPr="00386CD6" w:rsidRDefault="00D82DDE" w:rsidP="00F01D68">
      <w:pPr>
        <w:spacing w:after="120"/>
        <w:ind w:left="567" w:right="567"/>
        <w:rPr>
          <w:sz w:val="18"/>
        </w:rPr>
      </w:pPr>
      <w:r w:rsidRPr="00386CD6">
        <w:rPr>
          <w:sz w:val="18"/>
        </w:rPr>
        <w:tab/>
      </w:r>
      <w:r w:rsidR="00C9588E" w:rsidRPr="00386CD6">
        <w:rPr>
          <w:sz w:val="18"/>
        </w:rPr>
        <w:t>“b)</w:t>
      </w:r>
      <w:r w:rsidR="00C9588E" w:rsidRPr="00386CD6">
        <w:rPr>
          <w:sz w:val="18"/>
        </w:rPr>
        <w:tab/>
        <w:t>de prendre note des informations fournies par la délégation de l</w:t>
      </w:r>
      <w:r w:rsidR="00C56BCE" w:rsidRPr="00386CD6">
        <w:rPr>
          <w:sz w:val="18"/>
        </w:rPr>
        <w:t>’</w:t>
      </w:r>
      <w:r w:rsidR="00C9588E" w:rsidRPr="00386CD6">
        <w:rPr>
          <w:sz w:val="18"/>
        </w:rPr>
        <w:t>Égypte selon lesquelles la traduction anglaise du projet de loi doit être vérifiée et que, pour qu</w:t>
      </w:r>
      <w:r w:rsidR="00C56BCE" w:rsidRPr="00386CD6">
        <w:rPr>
          <w:sz w:val="18"/>
        </w:rPr>
        <w:t>’</w:t>
      </w:r>
      <w:r w:rsidR="00C9588E" w:rsidRPr="00386CD6">
        <w:rPr>
          <w:sz w:val="18"/>
        </w:rPr>
        <w:t>elle reste fidèle au sens du texte original, il convient d</w:t>
      </w:r>
      <w:r w:rsidR="00C56BCE" w:rsidRPr="00386CD6">
        <w:rPr>
          <w:sz w:val="18"/>
        </w:rPr>
        <w:t>’</w:t>
      </w:r>
      <w:r w:rsidR="00C9588E" w:rsidRPr="00386CD6">
        <w:rPr>
          <w:sz w:val="18"/>
        </w:rPr>
        <w:t>apporter les modifications suivantes</w:t>
      </w:r>
      <w:r w:rsidR="000F4505" w:rsidRPr="00386CD6">
        <w:rPr>
          <w:sz w:val="18"/>
        </w:rPr>
        <w:t> </w:t>
      </w:r>
      <w:r w:rsidR="00C9588E" w:rsidRPr="00386CD6">
        <w:rPr>
          <w:sz w:val="18"/>
        </w:rPr>
        <w:t>:</w:t>
      </w:r>
    </w:p>
    <w:p w:rsidR="00CB114F" w:rsidRPr="00386CD6" w:rsidRDefault="00D82DDE" w:rsidP="00F01D68">
      <w:pPr>
        <w:spacing w:after="120"/>
        <w:ind w:left="567" w:right="567" w:firstLine="567"/>
        <w:rPr>
          <w:sz w:val="18"/>
        </w:rPr>
      </w:pPr>
      <w:r w:rsidRPr="00386CD6">
        <w:rPr>
          <w:sz w:val="18"/>
        </w:rPr>
        <w:tab/>
      </w:r>
      <w:r w:rsidR="00C9588E" w:rsidRPr="00386CD6">
        <w:rPr>
          <w:sz w:val="18"/>
        </w:rPr>
        <w:t>“i)</w:t>
      </w:r>
      <w:r w:rsidR="00C9588E" w:rsidRPr="00386CD6">
        <w:rPr>
          <w:sz w:val="18"/>
        </w:rPr>
        <w:tab/>
        <w:t xml:space="preserve">ajouter les termes </w:t>
      </w:r>
      <w:r w:rsidR="00C56BCE" w:rsidRPr="00386CD6">
        <w:rPr>
          <w:sz w:val="18"/>
        </w:rPr>
        <w:t>‘</w:t>
      </w:r>
      <w:r w:rsidR="00C9588E" w:rsidRPr="00386CD6">
        <w:rPr>
          <w:sz w:val="18"/>
        </w:rPr>
        <w:t>of this article</w:t>
      </w:r>
      <w:r w:rsidR="00C56BCE" w:rsidRPr="00386CD6">
        <w:rPr>
          <w:sz w:val="18"/>
        </w:rPr>
        <w:t>’</w:t>
      </w:r>
      <w:r w:rsidR="00C9588E" w:rsidRPr="00386CD6">
        <w:rPr>
          <w:sz w:val="18"/>
        </w:rPr>
        <w:t xml:space="preserve"> à la fin de l</w:t>
      </w:r>
      <w:r w:rsidR="00C56BCE" w:rsidRPr="00386CD6">
        <w:rPr>
          <w:sz w:val="18"/>
        </w:rPr>
        <w:t>’</w:t>
      </w:r>
      <w:r w:rsidR="00C9588E" w:rsidRPr="00386CD6">
        <w:rPr>
          <w:sz w:val="18"/>
        </w:rPr>
        <w:t>article</w:t>
      </w:r>
      <w:r w:rsidR="000F4505" w:rsidRPr="00386CD6">
        <w:rPr>
          <w:sz w:val="18"/>
        </w:rPr>
        <w:t> </w:t>
      </w:r>
      <w:r w:rsidR="00C9588E" w:rsidRPr="00386CD6">
        <w:rPr>
          <w:sz w:val="18"/>
        </w:rPr>
        <w:t>192.7) et</w:t>
      </w:r>
    </w:p>
    <w:p w:rsidR="00CB114F" w:rsidRPr="00386CD6" w:rsidRDefault="00C9588E" w:rsidP="00F01D68">
      <w:pPr>
        <w:spacing w:after="120"/>
        <w:ind w:left="1134" w:right="567" w:firstLine="570"/>
        <w:rPr>
          <w:sz w:val="18"/>
        </w:rPr>
      </w:pPr>
      <w:r w:rsidRPr="00386CD6">
        <w:rPr>
          <w:sz w:val="18"/>
        </w:rPr>
        <w:t>“ii)</w:t>
      </w:r>
      <w:r w:rsidRPr="00386CD6">
        <w:rPr>
          <w:sz w:val="18"/>
        </w:rPr>
        <w:tab/>
        <w:t xml:space="preserve">ajouter le numéro </w:t>
      </w:r>
      <w:r w:rsidR="00C56BCE" w:rsidRPr="00386CD6">
        <w:rPr>
          <w:sz w:val="18"/>
        </w:rPr>
        <w:t>‘</w:t>
      </w:r>
      <w:r w:rsidRPr="00386CD6">
        <w:rPr>
          <w:sz w:val="18"/>
        </w:rPr>
        <w:t>4)</w:t>
      </w:r>
      <w:r w:rsidR="00C56BCE" w:rsidRPr="00386CD6">
        <w:rPr>
          <w:sz w:val="18"/>
        </w:rPr>
        <w:t>’</w:t>
      </w:r>
      <w:r w:rsidRPr="00386CD6">
        <w:rPr>
          <w:sz w:val="18"/>
        </w:rPr>
        <w:t xml:space="preserve"> devant la phrase </w:t>
      </w:r>
      <w:r w:rsidR="00C56BCE" w:rsidRPr="00386CD6">
        <w:rPr>
          <w:sz w:val="18"/>
        </w:rPr>
        <w:t>‘</w:t>
      </w:r>
      <w:r w:rsidRPr="00386CD6">
        <w:rPr>
          <w:sz w:val="18"/>
        </w:rPr>
        <w:t>The Minister of Agriculture shall issue a decision establishing the rules and procedures for examination and settlement of the appeal.</w:t>
      </w:r>
      <w:r w:rsidR="00C56BCE" w:rsidRPr="00386CD6">
        <w:rPr>
          <w:sz w:val="18"/>
        </w:rPr>
        <w:t>’</w:t>
      </w:r>
      <w:r w:rsidRPr="00386CD6">
        <w:rPr>
          <w:sz w:val="18"/>
        </w:rPr>
        <w:t xml:space="preserve"> à l</w:t>
      </w:r>
      <w:r w:rsidR="00C56BCE" w:rsidRPr="00386CD6">
        <w:rPr>
          <w:sz w:val="18"/>
        </w:rPr>
        <w:t>’</w:t>
      </w:r>
      <w:r w:rsidRPr="00386CD6">
        <w:rPr>
          <w:sz w:val="18"/>
        </w:rPr>
        <w:t>article</w:t>
      </w:r>
      <w:r w:rsidR="000F4505" w:rsidRPr="00386CD6">
        <w:rPr>
          <w:sz w:val="18"/>
        </w:rPr>
        <w:t> </w:t>
      </w:r>
      <w:r w:rsidRPr="00386CD6">
        <w:rPr>
          <w:sz w:val="18"/>
        </w:rPr>
        <w:t>202,</w:t>
      </w:r>
    </w:p>
    <w:p w:rsidR="00CB114F" w:rsidRPr="00386CD6" w:rsidRDefault="00D82DDE" w:rsidP="00F01D68">
      <w:pPr>
        <w:spacing w:after="120"/>
        <w:ind w:left="567" w:right="567"/>
        <w:rPr>
          <w:sz w:val="18"/>
        </w:rPr>
      </w:pPr>
      <w:r w:rsidRPr="00386CD6">
        <w:rPr>
          <w:sz w:val="18"/>
        </w:rPr>
        <w:tab/>
      </w:r>
      <w:r w:rsidR="00C9588E" w:rsidRPr="00386CD6">
        <w:rPr>
          <w:sz w:val="18"/>
        </w:rPr>
        <w:t>“c)</w:t>
      </w:r>
      <w:r w:rsidR="00C9588E" w:rsidRPr="00386CD6">
        <w:rPr>
          <w:sz w:val="18"/>
        </w:rPr>
        <w:tab/>
        <w:t xml:space="preserve">de rendre une décision positive quant à la conformité du </w:t>
      </w:r>
      <w:r w:rsidR="00C56BCE" w:rsidRPr="00386CD6">
        <w:rPr>
          <w:sz w:val="18"/>
        </w:rPr>
        <w:t>‘</w:t>
      </w:r>
      <w:r w:rsidR="00C9588E" w:rsidRPr="00386CD6">
        <w:rPr>
          <w:sz w:val="18"/>
        </w:rPr>
        <w:t>Projet de dispositions du titre</w:t>
      </w:r>
      <w:r w:rsidR="000F4505" w:rsidRPr="00386CD6">
        <w:rPr>
          <w:sz w:val="18"/>
        </w:rPr>
        <w:t> </w:t>
      </w:r>
      <w:r w:rsidR="00C9588E" w:rsidRPr="00386CD6">
        <w:rPr>
          <w:sz w:val="18"/>
        </w:rPr>
        <w:t xml:space="preserve">IV </w:t>
      </w:r>
      <w:r w:rsidR="00C56BCE" w:rsidRPr="00386CD6">
        <w:rPr>
          <w:sz w:val="18"/>
        </w:rPr>
        <w:t>‘</w:t>
      </w:r>
      <w:r w:rsidR="00C9588E" w:rsidRPr="00386CD6">
        <w:rPr>
          <w:sz w:val="18"/>
        </w:rPr>
        <w:t>Obtentions végétales</w:t>
      </w:r>
      <w:r w:rsidR="00C56BCE" w:rsidRPr="00386CD6">
        <w:rPr>
          <w:sz w:val="18"/>
        </w:rPr>
        <w:t>’</w:t>
      </w:r>
      <w:r w:rsidR="00C9588E" w:rsidRPr="00386CD6">
        <w:rPr>
          <w:sz w:val="18"/>
        </w:rPr>
        <w:t xml:space="preserve"> de la loi n°</w:t>
      </w:r>
      <w:r w:rsidR="000F4505" w:rsidRPr="00386CD6">
        <w:rPr>
          <w:sz w:val="18"/>
        </w:rPr>
        <w:t> </w:t>
      </w:r>
      <w:r w:rsidR="00C9588E" w:rsidRPr="00386CD6">
        <w:rPr>
          <w:sz w:val="18"/>
        </w:rPr>
        <w:t>82 de</w:t>
      </w:r>
      <w:r w:rsidR="000F4505" w:rsidRPr="00386CD6">
        <w:rPr>
          <w:sz w:val="18"/>
        </w:rPr>
        <w:t> </w:t>
      </w:r>
      <w:r w:rsidR="00C9588E" w:rsidRPr="00386CD6">
        <w:rPr>
          <w:sz w:val="18"/>
        </w:rPr>
        <w:t>2002 relative à la protection des droits de propriété intellectuelle</w:t>
      </w:r>
      <w:r w:rsidR="00C56BCE" w:rsidRPr="00386CD6">
        <w:rPr>
          <w:sz w:val="18"/>
        </w:rPr>
        <w:t>’</w:t>
      </w:r>
      <w:r w:rsidR="00C9588E" w:rsidRPr="00386CD6">
        <w:rPr>
          <w:sz w:val="18"/>
        </w:rPr>
        <w:t xml:space="preserve"> (projet de loi) de l</w:t>
      </w:r>
      <w:r w:rsidR="00C56BCE" w:rsidRPr="00386CD6">
        <w:rPr>
          <w:sz w:val="18"/>
        </w:rPr>
        <w:t>’</w:t>
      </w:r>
      <w:r w:rsidR="00C9588E" w:rsidRPr="00386CD6">
        <w:rPr>
          <w:sz w:val="18"/>
        </w:rPr>
        <w:t>Égypte avec l</w:t>
      </w:r>
      <w:r w:rsidR="00C56BCE" w:rsidRPr="00386CD6">
        <w:rPr>
          <w:sz w:val="18"/>
        </w:rPr>
        <w:t>’</w:t>
      </w:r>
      <w:r w:rsidR="00C9588E" w:rsidRPr="00386CD6">
        <w:rPr>
          <w:sz w:val="18"/>
        </w:rPr>
        <w:t>Acte de</w:t>
      </w:r>
      <w:r w:rsidR="000F4505" w:rsidRPr="00386CD6">
        <w:rPr>
          <w:sz w:val="18"/>
        </w:rPr>
        <w:t> </w:t>
      </w:r>
      <w:r w:rsidR="00C9588E" w:rsidRPr="00386CD6">
        <w:rPr>
          <w:sz w:val="18"/>
        </w:rPr>
        <w:t>1991 de la Convention internationale pour la protection des obtentions végétales, ce qui permettra à l</w:t>
      </w:r>
      <w:r w:rsidR="00C56BCE" w:rsidRPr="00386CD6">
        <w:rPr>
          <w:sz w:val="18"/>
        </w:rPr>
        <w:t>’</w:t>
      </w:r>
      <w:r w:rsidR="00C9588E" w:rsidRPr="00386CD6">
        <w:rPr>
          <w:sz w:val="18"/>
        </w:rPr>
        <w:t>Égypte, une fois que le projet de loi aura été adopté sans changement et que la loi sera entrée en vigueur, de déposer son instrument d</w:t>
      </w:r>
      <w:r w:rsidR="00C56BCE" w:rsidRPr="00386CD6">
        <w:rPr>
          <w:sz w:val="18"/>
        </w:rPr>
        <w:t>’</w:t>
      </w:r>
      <w:r w:rsidR="00C9588E" w:rsidRPr="00386CD6">
        <w:rPr>
          <w:sz w:val="18"/>
        </w:rPr>
        <w:t>adhésion à l</w:t>
      </w:r>
      <w:r w:rsidR="00C56BCE" w:rsidRPr="00386CD6">
        <w:rPr>
          <w:sz w:val="18"/>
        </w:rPr>
        <w:t>’</w:t>
      </w:r>
      <w:r w:rsidR="00C9588E" w:rsidRPr="00386CD6">
        <w:rPr>
          <w:sz w:val="18"/>
        </w:rPr>
        <w:t>Acte de</w:t>
      </w:r>
      <w:r w:rsidR="000F4505" w:rsidRPr="00386CD6">
        <w:rPr>
          <w:sz w:val="18"/>
        </w:rPr>
        <w:t> </w:t>
      </w:r>
      <w:r w:rsidR="00C9588E" w:rsidRPr="00386CD6">
        <w:rPr>
          <w:sz w:val="18"/>
        </w:rPr>
        <w:t>1991, et</w:t>
      </w:r>
    </w:p>
    <w:p w:rsidR="00CB114F" w:rsidRPr="00386CD6" w:rsidRDefault="00D82DDE" w:rsidP="00F01D68">
      <w:pPr>
        <w:ind w:left="567" w:right="567"/>
        <w:rPr>
          <w:sz w:val="18"/>
        </w:rPr>
      </w:pPr>
      <w:r w:rsidRPr="00386CD6">
        <w:rPr>
          <w:sz w:val="18"/>
        </w:rPr>
        <w:tab/>
      </w:r>
      <w:r w:rsidR="00C9588E" w:rsidRPr="00386CD6">
        <w:rPr>
          <w:sz w:val="18"/>
        </w:rPr>
        <w:t>“d)</w:t>
      </w:r>
      <w:r w:rsidR="00C9588E" w:rsidRPr="00386CD6">
        <w:rPr>
          <w:sz w:val="18"/>
        </w:rPr>
        <w:tab/>
        <w:t>d</w:t>
      </w:r>
      <w:r w:rsidR="00C56BCE" w:rsidRPr="00386CD6">
        <w:rPr>
          <w:sz w:val="18"/>
        </w:rPr>
        <w:t>’</w:t>
      </w:r>
      <w:r w:rsidR="00C9588E" w:rsidRPr="00386CD6">
        <w:rPr>
          <w:sz w:val="18"/>
        </w:rPr>
        <w:t>autoriser le Secrétaire général à informer le Gouvernement de l</w:t>
      </w:r>
      <w:r w:rsidR="00C56BCE" w:rsidRPr="00386CD6">
        <w:rPr>
          <w:sz w:val="18"/>
        </w:rPr>
        <w:t>’</w:t>
      </w:r>
      <w:r w:rsidR="00C9588E" w:rsidRPr="00386CD6">
        <w:rPr>
          <w:sz w:val="18"/>
        </w:rPr>
        <w:t>Égypte de cette décision.”</w:t>
      </w:r>
    </w:p>
    <w:p w:rsidR="00CB114F" w:rsidRPr="00386CD6" w:rsidRDefault="00CB114F" w:rsidP="00F01D68"/>
    <w:p w:rsidR="00CB114F" w:rsidRPr="00386CD6" w:rsidRDefault="00D82DDE" w:rsidP="00F01D68">
      <w:pPr>
        <w:rPr>
          <w:rFonts w:cs="Arial"/>
        </w:rPr>
      </w:pPr>
      <w:r w:rsidRPr="00386CD6">
        <w:rPr>
          <w:rFonts w:cs="Arial"/>
        </w:rPr>
        <w:fldChar w:fldCharType="begin"/>
      </w:r>
      <w:r w:rsidRPr="00386CD6">
        <w:rPr>
          <w:rFonts w:cs="Arial"/>
        </w:rPr>
        <w:instrText xml:space="preserve"> AUTONUM  </w:instrText>
      </w:r>
      <w:r w:rsidRPr="00386CD6">
        <w:rPr>
          <w:rFonts w:cs="Arial"/>
        </w:rPr>
        <w:fldChar w:fldCharType="end"/>
      </w:r>
      <w:r w:rsidRPr="00386CD6">
        <w:rPr>
          <w:rFonts w:cs="Arial"/>
        </w:rPr>
        <w:tab/>
      </w:r>
      <w:r w:rsidR="00C9588E" w:rsidRPr="00386CD6">
        <w:rPr>
          <w:rFonts w:cs="Arial"/>
        </w:rPr>
        <w:t>Dans une lettre datée du 2</w:t>
      </w:r>
      <w:r w:rsidR="00C56BCE" w:rsidRPr="00386CD6">
        <w:rPr>
          <w:rFonts w:cs="Arial"/>
        </w:rPr>
        <w:t>3 février 20</w:t>
      </w:r>
      <w:r w:rsidR="00C9588E" w:rsidRPr="00386CD6">
        <w:rPr>
          <w:rFonts w:cs="Arial"/>
        </w:rPr>
        <w:t>15, la République islamique d</w:t>
      </w:r>
      <w:r w:rsidR="00C56BCE" w:rsidRPr="00386CD6">
        <w:rPr>
          <w:rFonts w:cs="Arial"/>
        </w:rPr>
        <w:t>’</w:t>
      </w:r>
      <w:r w:rsidR="00C9588E" w:rsidRPr="00386CD6">
        <w:rPr>
          <w:rFonts w:cs="Arial"/>
        </w:rPr>
        <w:t>Iran a demandé l</w:t>
      </w:r>
      <w:r w:rsidR="00C56BCE" w:rsidRPr="00386CD6">
        <w:rPr>
          <w:rFonts w:cs="Arial"/>
        </w:rPr>
        <w:t>’</w:t>
      </w:r>
      <w:r w:rsidR="00C9588E" w:rsidRPr="00386CD6">
        <w:rPr>
          <w:rFonts w:cs="Arial"/>
        </w:rPr>
        <w:t>examen de la conformité de la “</w:t>
      </w:r>
      <w:r w:rsidR="00C56BCE" w:rsidRPr="00386CD6">
        <w:rPr>
          <w:rFonts w:cs="Arial"/>
        </w:rPr>
        <w:t>‘</w:t>
      </w:r>
      <w:r w:rsidR="00C9588E" w:rsidRPr="00386CD6">
        <w:rPr>
          <w:rFonts w:cs="Arial"/>
        </w:rPr>
        <w:t>Loi</w:t>
      </w:r>
      <w:r w:rsidR="00C56BCE" w:rsidRPr="00386CD6">
        <w:rPr>
          <w:rFonts w:cs="Arial"/>
        </w:rPr>
        <w:t>’</w:t>
      </w:r>
      <w:r w:rsidR="00C9588E" w:rsidRPr="00386CD6">
        <w:rPr>
          <w:rFonts w:cs="Arial"/>
        </w:rPr>
        <w:t xml:space="preserve"> de</w:t>
      </w:r>
      <w:r w:rsidR="000F4505" w:rsidRPr="00386CD6">
        <w:rPr>
          <w:rFonts w:cs="Arial"/>
        </w:rPr>
        <w:t> </w:t>
      </w:r>
      <w:r w:rsidR="00C9588E" w:rsidRPr="00386CD6">
        <w:rPr>
          <w:rFonts w:cs="Arial"/>
        </w:rPr>
        <w:t xml:space="preserve">2003 et de </w:t>
      </w:r>
      <w:r w:rsidR="00C56BCE" w:rsidRPr="00386CD6">
        <w:rPr>
          <w:rFonts w:cs="Arial"/>
        </w:rPr>
        <w:t>‘</w:t>
      </w:r>
      <w:r w:rsidR="00C9588E" w:rsidRPr="00386CD6">
        <w:rPr>
          <w:rFonts w:cs="Arial"/>
        </w:rPr>
        <w:t>l</w:t>
      </w:r>
      <w:r w:rsidR="00C56BCE" w:rsidRPr="00386CD6">
        <w:rPr>
          <w:rFonts w:cs="Arial"/>
        </w:rPr>
        <w:t>’</w:t>
      </w:r>
      <w:r w:rsidR="00C9588E" w:rsidRPr="00386CD6">
        <w:rPr>
          <w:rFonts w:cs="Arial"/>
        </w:rPr>
        <w:t>arrêté</w:t>
      </w:r>
      <w:r w:rsidR="00C56BCE" w:rsidRPr="00386CD6">
        <w:rPr>
          <w:rFonts w:cs="Arial"/>
        </w:rPr>
        <w:t>’</w:t>
      </w:r>
      <w:r w:rsidR="00C9588E" w:rsidRPr="00386CD6">
        <w:rPr>
          <w:rFonts w:cs="Arial"/>
        </w:rPr>
        <w:t xml:space="preserve"> pris en application du </w:t>
      </w:r>
      <w:r w:rsidR="00C56BCE" w:rsidRPr="00386CD6">
        <w:rPr>
          <w:rFonts w:cs="Arial"/>
        </w:rPr>
        <w:t>‘</w:t>
      </w:r>
      <w:r w:rsidR="00C9588E" w:rsidRPr="00386CD6">
        <w:rPr>
          <w:rFonts w:cs="Arial"/>
        </w:rPr>
        <w:t>Code civil iranien</w:t>
      </w:r>
      <w:r w:rsidR="00C56BCE" w:rsidRPr="00386CD6">
        <w:rPr>
          <w:rFonts w:cs="Arial"/>
        </w:rPr>
        <w:t>’</w:t>
      </w:r>
      <w:r w:rsidR="00C9588E" w:rsidRPr="00386CD6">
        <w:rPr>
          <w:rFonts w:cs="Arial"/>
        </w:rPr>
        <w:t xml:space="preserve"> sur l</w:t>
      </w:r>
      <w:r w:rsidR="00C56BCE" w:rsidRPr="00386CD6">
        <w:rPr>
          <w:rFonts w:cs="Arial"/>
        </w:rPr>
        <w:t>’</w:t>
      </w:r>
      <w:r w:rsidR="00C9588E" w:rsidRPr="00386CD6">
        <w:rPr>
          <w:rFonts w:cs="Arial"/>
        </w:rPr>
        <w:t>enregistrement des obtentions végétales et le contrôle et la certification des semences et du matériel végétal” avec les dispositions de l</w:t>
      </w:r>
      <w:r w:rsidR="00C56BCE" w:rsidRPr="00386CD6">
        <w:rPr>
          <w:rFonts w:cs="Arial"/>
        </w:rPr>
        <w:t>’</w:t>
      </w:r>
      <w:r w:rsidR="00C9588E" w:rsidRPr="00386CD6">
        <w:rPr>
          <w:rFonts w:cs="Arial"/>
        </w:rPr>
        <w:t>Acte de</w:t>
      </w:r>
      <w:r w:rsidR="000F4505" w:rsidRPr="00386CD6">
        <w:rPr>
          <w:rFonts w:cs="Arial"/>
        </w:rPr>
        <w:t> </w:t>
      </w:r>
      <w:r w:rsidR="00C9588E" w:rsidRPr="00386CD6">
        <w:rPr>
          <w:rFonts w:cs="Arial"/>
        </w:rPr>
        <w:t xml:space="preserve">1991 de la </w:t>
      </w:r>
      <w:r w:rsidR="00C56BCE" w:rsidRPr="00386CD6">
        <w:rPr>
          <w:rFonts w:cs="Arial"/>
        </w:rPr>
        <w:t>Convention UPOV</w:t>
      </w:r>
      <w:r w:rsidR="00C9588E" w:rsidRPr="00386CD6">
        <w:rPr>
          <w:rFonts w:cs="Arial"/>
        </w:rPr>
        <w:t>.</w:t>
      </w:r>
    </w:p>
    <w:p w:rsidR="00CB114F" w:rsidRPr="00386CD6" w:rsidRDefault="00CB114F" w:rsidP="00F01D68">
      <w:pPr>
        <w:rPr>
          <w:rFonts w:cs="Arial"/>
        </w:rPr>
      </w:pPr>
    </w:p>
    <w:p w:rsidR="00CB114F" w:rsidRPr="00386CD6" w:rsidRDefault="00D82DDE" w:rsidP="00F01D68">
      <w:pPr>
        <w:rPr>
          <w:rFonts w:cstheme="minorBidi"/>
          <w:szCs w:val="22"/>
        </w:rPr>
      </w:pPr>
      <w:r w:rsidRPr="00386CD6">
        <w:fldChar w:fldCharType="begin"/>
      </w:r>
      <w:r w:rsidRPr="00386CD6">
        <w:instrText xml:space="preserve"> AUTONUM  </w:instrText>
      </w:r>
      <w:r w:rsidRPr="00386CD6">
        <w:fldChar w:fldCharType="end"/>
      </w:r>
      <w:r w:rsidRPr="00386CD6">
        <w:tab/>
      </w:r>
      <w:r w:rsidR="00C9588E" w:rsidRPr="00386CD6">
        <w:t>À la demande du Seed and Plant Certification and Registration Institute (SPCRI) de la République islamique d</w:t>
      </w:r>
      <w:r w:rsidR="00C56BCE" w:rsidRPr="00386CD6">
        <w:t>’</w:t>
      </w:r>
      <w:r w:rsidR="00C9588E" w:rsidRPr="00386CD6">
        <w:t>Iran, le Conseil est convenu de reporter l</w:t>
      </w:r>
      <w:r w:rsidR="00C56BCE" w:rsidRPr="00386CD6">
        <w:t>’</w:t>
      </w:r>
      <w:r w:rsidR="00C9588E" w:rsidRPr="00386CD6">
        <w:t>examen de la “Loi de</w:t>
      </w:r>
      <w:r w:rsidR="000F4505" w:rsidRPr="00386CD6">
        <w:t> </w:t>
      </w:r>
      <w:r w:rsidR="00C9588E" w:rsidRPr="00386CD6">
        <w:t>2003 sur l</w:t>
      </w:r>
      <w:r w:rsidR="00C56BCE" w:rsidRPr="00386CD6">
        <w:t>’</w:t>
      </w:r>
      <w:r w:rsidR="00C9588E" w:rsidRPr="00386CD6">
        <w:t>enregistrement des obtentions végétales et le contrôle et la certification des semences et du matériel végétal” à sa quarante</w:t>
      </w:r>
      <w:r w:rsidR="00C57B61" w:rsidRPr="00386CD6">
        <w:noBreakHyphen/>
      </w:r>
      <w:r w:rsidR="00C9588E" w:rsidRPr="00386CD6">
        <w:t>neuvième</w:t>
      </w:r>
      <w:r w:rsidR="000F4505" w:rsidRPr="00386CD6">
        <w:t> </w:t>
      </w:r>
      <w:r w:rsidR="00C9588E" w:rsidRPr="00386CD6">
        <w:t xml:space="preserve">session ordinaire, qui aura lieu en </w:t>
      </w:r>
      <w:r w:rsidR="00C56BCE" w:rsidRPr="00386CD6">
        <w:t>octobre 20</w:t>
      </w:r>
      <w:r w:rsidR="00C9588E" w:rsidRPr="00386CD6">
        <w:t>15.</w:t>
      </w:r>
    </w:p>
    <w:p w:rsidR="00CB114F" w:rsidRPr="00386CD6" w:rsidRDefault="00CB114F" w:rsidP="00F01D68"/>
    <w:p w:rsidR="00CB114F" w:rsidRPr="00386CD6" w:rsidRDefault="00D82DDE" w:rsidP="00F01D68">
      <w:r w:rsidRPr="00386CD6">
        <w:fldChar w:fldCharType="begin"/>
      </w:r>
      <w:r w:rsidRPr="00386CD6">
        <w:instrText xml:space="preserve"> AUTONUM  </w:instrText>
      </w:r>
      <w:r w:rsidRPr="00386CD6">
        <w:fldChar w:fldCharType="end"/>
      </w:r>
      <w:r w:rsidRPr="00386CD6">
        <w:tab/>
      </w:r>
      <w:r w:rsidR="0052178F" w:rsidRPr="00386CD6">
        <w:t>À sa quarante</w:t>
      </w:r>
      <w:r w:rsidR="00C57B61" w:rsidRPr="00386CD6">
        <w:noBreakHyphen/>
      </w:r>
      <w:r w:rsidR="0052178F" w:rsidRPr="00386CD6">
        <w:t>neuvième session ordinaire, tenue à Genève le 2</w:t>
      </w:r>
      <w:r w:rsidR="00C56BCE" w:rsidRPr="00386CD6">
        <w:t>9 octobre 20</w:t>
      </w:r>
      <w:r w:rsidR="0052178F" w:rsidRPr="00386CD6">
        <w:t>15, le Conseil a décidé</w:t>
      </w:r>
    </w:p>
    <w:p w:rsidR="00CB114F" w:rsidRPr="00386CD6" w:rsidRDefault="00CB114F" w:rsidP="00F01D68"/>
    <w:p w:rsidR="00CB114F" w:rsidRPr="00386CD6" w:rsidRDefault="00D82DDE" w:rsidP="00F01D68">
      <w:pPr>
        <w:ind w:left="567" w:right="567"/>
        <w:rPr>
          <w:sz w:val="18"/>
        </w:rPr>
      </w:pPr>
      <w:r w:rsidRPr="00386CD6">
        <w:rPr>
          <w:sz w:val="18"/>
        </w:rPr>
        <w:tab/>
      </w:r>
      <w:r w:rsidR="00C9588E" w:rsidRPr="00386CD6">
        <w:rPr>
          <w:sz w:val="18"/>
        </w:rPr>
        <w:t>“a)</w:t>
      </w:r>
      <w:r w:rsidR="00C9588E" w:rsidRPr="00386CD6">
        <w:rPr>
          <w:sz w:val="18"/>
        </w:rPr>
        <w:tab/>
        <w:t>de prendre note de l</w:t>
      </w:r>
      <w:r w:rsidR="00C56BCE" w:rsidRPr="00386CD6">
        <w:rPr>
          <w:sz w:val="18"/>
        </w:rPr>
        <w:t>’</w:t>
      </w:r>
      <w:r w:rsidR="00C9588E" w:rsidRPr="00386CD6">
        <w:rPr>
          <w:sz w:val="18"/>
        </w:rPr>
        <w:t xml:space="preserve">analyse faite dans le présent document </w:t>
      </w:r>
      <w:proofErr w:type="gramStart"/>
      <w:r w:rsidR="00C9588E" w:rsidRPr="00386CD6">
        <w:rPr>
          <w:sz w:val="18"/>
        </w:rPr>
        <w:t>C(</w:t>
      </w:r>
      <w:proofErr w:type="gramEnd"/>
      <w:r w:rsidR="00C9588E" w:rsidRPr="00386CD6">
        <w:rPr>
          <w:sz w:val="18"/>
        </w:rPr>
        <w:t>Extr.)/32/8;</w:t>
      </w:r>
    </w:p>
    <w:p w:rsidR="00CB114F" w:rsidRPr="00386CD6" w:rsidRDefault="00CB114F" w:rsidP="00F01D68">
      <w:pPr>
        <w:ind w:left="567" w:right="567"/>
        <w:rPr>
          <w:sz w:val="18"/>
        </w:rPr>
      </w:pPr>
    </w:p>
    <w:p w:rsidR="00CB114F" w:rsidRPr="00386CD6" w:rsidRDefault="00D82DDE" w:rsidP="00F01D68">
      <w:pPr>
        <w:ind w:left="567" w:right="567"/>
        <w:rPr>
          <w:sz w:val="18"/>
        </w:rPr>
      </w:pPr>
      <w:r w:rsidRPr="00386CD6">
        <w:rPr>
          <w:sz w:val="18"/>
        </w:rPr>
        <w:tab/>
      </w:r>
      <w:r w:rsidR="00C9588E" w:rsidRPr="00386CD6">
        <w:rPr>
          <w:sz w:val="18"/>
        </w:rPr>
        <w:t>“b)</w:t>
      </w:r>
      <w:r w:rsidR="00C9588E" w:rsidRPr="00386CD6">
        <w:rPr>
          <w:sz w:val="18"/>
        </w:rPr>
        <w:tab/>
        <w:t>de recommander à la République islamique d</w:t>
      </w:r>
      <w:r w:rsidR="00C56BCE" w:rsidRPr="00386CD6">
        <w:rPr>
          <w:sz w:val="18"/>
        </w:rPr>
        <w:t>’</w:t>
      </w:r>
      <w:r w:rsidR="00C9588E" w:rsidRPr="00386CD6">
        <w:rPr>
          <w:sz w:val="18"/>
        </w:rPr>
        <w:t>Iran les dispositions supplémentaires et les m</w:t>
      </w:r>
      <w:r w:rsidR="002D613F" w:rsidRPr="00386CD6">
        <w:rPr>
          <w:sz w:val="18"/>
        </w:rPr>
        <w:t>odifications signalées dans la ‘</w:t>
      </w:r>
      <w:r w:rsidR="00C9588E" w:rsidRPr="00386CD6">
        <w:rPr>
          <w:sz w:val="18"/>
        </w:rPr>
        <w:t>Loi de 2003 sur l</w:t>
      </w:r>
      <w:r w:rsidR="00C56BCE" w:rsidRPr="00386CD6">
        <w:rPr>
          <w:sz w:val="18"/>
        </w:rPr>
        <w:t>’</w:t>
      </w:r>
      <w:r w:rsidR="00C9588E" w:rsidRPr="00386CD6">
        <w:rPr>
          <w:sz w:val="18"/>
        </w:rPr>
        <w:t>enregistrement des obtentions végétales et le contrôle et la certification des semences et des plantes</w:t>
      </w:r>
      <w:r w:rsidR="002D613F" w:rsidRPr="00386CD6">
        <w:rPr>
          <w:sz w:val="18"/>
        </w:rPr>
        <w:t>’</w:t>
      </w:r>
      <w:r w:rsidR="00C9588E" w:rsidRPr="00386CD6">
        <w:rPr>
          <w:sz w:val="18"/>
        </w:rPr>
        <w:t xml:space="preserve">, comme indiqué dans le document </w:t>
      </w:r>
      <w:proofErr w:type="gramStart"/>
      <w:r w:rsidR="00C9588E" w:rsidRPr="00386CD6">
        <w:rPr>
          <w:sz w:val="18"/>
        </w:rPr>
        <w:t>C(</w:t>
      </w:r>
      <w:proofErr w:type="gramEnd"/>
      <w:r w:rsidR="00C9588E" w:rsidRPr="00386CD6">
        <w:rPr>
          <w:sz w:val="18"/>
        </w:rPr>
        <w:t>Extr.)/32/8, et de recommander que, dès que ces dispositions supplémentaires et ces modifications auront été incorporées dans la loi, la loi ainsi modifiée soit soumise au Conseil pour examen, conformément à l</w:t>
      </w:r>
      <w:r w:rsidR="00C56BCE" w:rsidRPr="00386CD6">
        <w:rPr>
          <w:sz w:val="18"/>
        </w:rPr>
        <w:t>’</w:t>
      </w:r>
      <w:r w:rsidR="00C9588E" w:rsidRPr="00386CD6">
        <w:rPr>
          <w:sz w:val="18"/>
        </w:rPr>
        <w:t>article 34.3) de l</w:t>
      </w:r>
      <w:r w:rsidR="00C56BCE" w:rsidRPr="00386CD6">
        <w:rPr>
          <w:sz w:val="18"/>
        </w:rPr>
        <w:t>’</w:t>
      </w:r>
      <w:r w:rsidR="00C9588E" w:rsidRPr="00386CD6">
        <w:rPr>
          <w:sz w:val="18"/>
        </w:rPr>
        <w:t>Acte de 1991;</w:t>
      </w:r>
    </w:p>
    <w:p w:rsidR="00CB114F" w:rsidRPr="00386CD6" w:rsidRDefault="00CB114F" w:rsidP="00F01D68">
      <w:pPr>
        <w:ind w:left="567" w:right="567"/>
        <w:rPr>
          <w:sz w:val="18"/>
        </w:rPr>
      </w:pPr>
    </w:p>
    <w:p w:rsidR="00CB114F" w:rsidRPr="00386CD6" w:rsidRDefault="00D82DDE" w:rsidP="00F01D68">
      <w:pPr>
        <w:ind w:left="567" w:right="567"/>
        <w:rPr>
          <w:sz w:val="18"/>
        </w:rPr>
      </w:pPr>
      <w:r w:rsidRPr="00386CD6">
        <w:rPr>
          <w:sz w:val="18"/>
        </w:rPr>
        <w:tab/>
      </w:r>
      <w:r w:rsidR="00C9588E" w:rsidRPr="00386CD6">
        <w:rPr>
          <w:sz w:val="18"/>
        </w:rPr>
        <w:t>“c)</w:t>
      </w:r>
      <w:r w:rsidR="00C9588E" w:rsidRPr="00386CD6">
        <w:rPr>
          <w:sz w:val="18"/>
        </w:rPr>
        <w:tab/>
        <w:t>de demander au Bureau de l</w:t>
      </w:r>
      <w:r w:rsidR="00C56BCE" w:rsidRPr="00386CD6">
        <w:rPr>
          <w:sz w:val="18"/>
        </w:rPr>
        <w:t>’</w:t>
      </w:r>
      <w:r w:rsidR="00C9588E" w:rsidRPr="00386CD6">
        <w:rPr>
          <w:sz w:val="18"/>
        </w:rPr>
        <w:t>Union d</w:t>
      </w:r>
      <w:r w:rsidR="00C56BCE" w:rsidRPr="00386CD6">
        <w:rPr>
          <w:sz w:val="18"/>
        </w:rPr>
        <w:t>’</w:t>
      </w:r>
      <w:r w:rsidR="00C9588E" w:rsidRPr="00386CD6">
        <w:rPr>
          <w:sz w:val="18"/>
        </w:rPr>
        <w:t>offrir son concours au Gouvernement de la République islamique d</w:t>
      </w:r>
      <w:r w:rsidR="00C56BCE" w:rsidRPr="00386CD6">
        <w:rPr>
          <w:sz w:val="18"/>
        </w:rPr>
        <w:t>’</w:t>
      </w:r>
      <w:r w:rsidR="00C9588E" w:rsidRPr="00386CD6">
        <w:rPr>
          <w:sz w:val="18"/>
        </w:rPr>
        <w:t>Iran, à la première occasion, pour la rédaction des dispositions supplémentaires et des modifications nécessaires;  et</w:t>
      </w:r>
    </w:p>
    <w:p w:rsidR="00CB114F" w:rsidRPr="00386CD6" w:rsidRDefault="00CB114F" w:rsidP="00F01D68">
      <w:pPr>
        <w:ind w:left="567" w:right="567"/>
        <w:rPr>
          <w:sz w:val="18"/>
        </w:rPr>
      </w:pPr>
    </w:p>
    <w:p w:rsidR="00CB114F" w:rsidRPr="00386CD6" w:rsidRDefault="00D82DDE" w:rsidP="00F01D68">
      <w:pPr>
        <w:ind w:left="567" w:right="567"/>
        <w:rPr>
          <w:sz w:val="18"/>
        </w:rPr>
      </w:pPr>
      <w:r w:rsidRPr="00386CD6">
        <w:rPr>
          <w:sz w:val="18"/>
        </w:rPr>
        <w:tab/>
      </w:r>
      <w:r w:rsidR="00C9588E" w:rsidRPr="00386CD6">
        <w:rPr>
          <w:sz w:val="18"/>
        </w:rPr>
        <w:t>“d)</w:t>
      </w:r>
      <w:r w:rsidR="00C9588E" w:rsidRPr="00386CD6">
        <w:rPr>
          <w:sz w:val="18"/>
        </w:rPr>
        <w:tab/>
        <w:t>d</w:t>
      </w:r>
      <w:r w:rsidR="00C56BCE" w:rsidRPr="00386CD6">
        <w:rPr>
          <w:sz w:val="18"/>
        </w:rPr>
        <w:t>’</w:t>
      </w:r>
      <w:r w:rsidR="00C9588E" w:rsidRPr="00386CD6">
        <w:rPr>
          <w:sz w:val="18"/>
        </w:rPr>
        <w:t>autoriser le Secrétaire général à informer le Gouvernement de la République islamique d</w:t>
      </w:r>
      <w:r w:rsidR="00C56BCE" w:rsidRPr="00386CD6">
        <w:rPr>
          <w:sz w:val="18"/>
        </w:rPr>
        <w:t>’</w:t>
      </w:r>
      <w:r w:rsidR="00C9588E" w:rsidRPr="00386CD6">
        <w:rPr>
          <w:sz w:val="18"/>
        </w:rPr>
        <w:t>Iran de cette décision.”</w:t>
      </w:r>
    </w:p>
    <w:p w:rsidR="00CB114F" w:rsidRPr="00386CD6" w:rsidRDefault="00CB114F" w:rsidP="00F01D68"/>
    <w:p w:rsidR="00CB114F" w:rsidRPr="00386CD6" w:rsidRDefault="00CB114F" w:rsidP="00F01D68"/>
    <w:p w:rsidR="00CB114F" w:rsidRPr="00386CD6" w:rsidRDefault="00CB114F" w:rsidP="00F01D68"/>
    <w:p w:rsidR="00CB114F" w:rsidRPr="00386CD6" w:rsidRDefault="00C9588E" w:rsidP="00F01D68">
      <w:pPr>
        <w:pStyle w:val="Heading1"/>
        <w:rPr>
          <w:lang w:val="fr-FR"/>
        </w:rPr>
      </w:pPr>
      <w:bookmarkStart w:id="9" w:name="_Toc465099867"/>
      <w:r w:rsidRPr="00386CD6">
        <w:rPr>
          <w:lang w:val="fr-FR"/>
        </w:rPr>
        <w:t>II.</w:t>
      </w:r>
      <w:r w:rsidRPr="00386CD6">
        <w:rPr>
          <w:lang w:val="fr-FR"/>
        </w:rPr>
        <w:tab/>
        <w:t>Sessions du Conseil et de ses organes subsidiaires</w:t>
      </w:r>
      <w:bookmarkEnd w:id="9"/>
    </w:p>
    <w:p w:rsidR="00CB114F" w:rsidRPr="00386CD6" w:rsidRDefault="00CB114F" w:rsidP="00F01D68">
      <w:pPr>
        <w:keepNext/>
      </w:pPr>
    </w:p>
    <w:p w:rsidR="00CB114F" w:rsidRPr="00386CD6" w:rsidRDefault="00C9588E" w:rsidP="00F01D68">
      <w:pPr>
        <w:pStyle w:val="Heading2"/>
        <w:rPr>
          <w:lang w:val="fr-FR"/>
        </w:rPr>
      </w:pPr>
      <w:bookmarkStart w:id="10" w:name="_Toc465099868"/>
      <w:r w:rsidRPr="00386CD6">
        <w:rPr>
          <w:lang w:val="fr-FR"/>
        </w:rPr>
        <w:t>Conseil</w:t>
      </w:r>
      <w:bookmarkEnd w:id="10"/>
    </w:p>
    <w:p w:rsidR="00CB114F" w:rsidRPr="00386CD6" w:rsidRDefault="00CB114F" w:rsidP="00F01D68">
      <w:pPr>
        <w:keepNext/>
      </w:pPr>
    </w:p>
    <w:p w:rsidR="00CB114F" w:rsidRPr="00386CD6" w:rsidRDefault="004E714F" w:rsidP="00F01D68">
      <w:r w:rsidRPr="00386CD6">
        <w:fldChar w:fldCharType="begin"/>
      </w:r>
      <w:r w:rsidRPr="00386CD6">
        <w:instrText xml:space="preserve"> AUTONUM  </w:instrText>
      </w:r>
      <w:r w:rsidRPr="00386CD6">
        <w:fldChar w:fldCharType="end"/>
      </w:r>
      <w:r w:rsidRPr="00386CD6">
        <w:tab/>
      </w:r>
      <w:r w:rsidR="00C9588E" w:rsidRPr="00386CD6">
        <w:t>Le Conseil a tenu sa trente</w:t>
      </w:r>
      <w:r w:rsidR="00C57B61" w:rsidRPr="00386CD6">
        <w:noBreakHyphen/>
      </w:r>
      <w:r w:rsidR="00C9588E" w:rsidRPr="00386CD6">
        <w:t>deuxième</w:t>
      </w:r>
      <w:r w:rsidR="000F4505" w:rsidRPr="00386CD6">
        <w:t> </w:t>
      </w:r>
      <w:r w:rsidR="00C9588E" w:rsidRPr="00386CD6">
        <w:t>session extraordinaire le 2</w:t>
      </w:r>
      <w:r w:rsidR="00C56BCE" w:rsidRPr="00386CD6">
        <w:t>7 mars 20</w:t>
      </w:r>
      <w:r w:rsidR="00C9588E" w:rsidRPr="00386CD6">
        <w:t>15, sous la présidence de Mme</w:t>
      </w:r>
      <w:r w:rsidR="000F4505" w:rsidRPr="00386CD6">
        <w:t> </w:t>
      </w:r>
      <w:r w:rsidR="00C9588E" w:rsidRPr="00386CD6">
        <w:t>Kitisri Sukhapinda (États</w:t>
      </w:r>
      <w:r w:rsidR="00C57B61" w:rsidRPr="00386CD6">
        <w:noBreakHyphen/>
      </w:r>
      <w:r w:rsidR="00C9588E" w:rsidRPr="00386CD6">
        <w:t>Unis d</w:t>
      </w:r>
      <w:r w:rsidR="00C56BCE" w:rsidRPr="00386CD6">
        <w:t>’</w:t>
      </w:r>
      <w:r w:rsidR="00C9588E" w:rsidRPr="00386CD6">
        <w:t>Amérique), présidente du Conseil.</w:t>
      </w:r>
      <w:r w:rsidR="00135611" w:rsidRPr="00386CD6">
        <w:t xml:space="preserve">  </w:t>
      </w:r>
      <w:r w:rsidR="00C9588E" w:rsidRPr="00386CD6">
        <w:t>Y ont pris part 45</w:t>
      </w:r>
      <w:r w:rsidR="002D613F" w:rsidRPr="00386CD6">
        <w:t> </w:t>
      </w:r>
      <w:r w:rsidR="00C9588E" w:rsidRPr="00386CD6">
        <w:t>membres de l</w:t>
      </w:r>
      <w:r w:rsidR="00C56BCE" w:rsidRPr="00386CD6">
        <w:t>’</w:t>
      </w:r>
      <w:r w:rsidR="00C9588E" w:rsidRPr="00386CD6">
        <w:t xml:space="preserve">Union, </w:t>
      </w:r>
      <w:r w:rsidR="00386CD6">
        <w:t>3</w:t>
      </w:r>
      <w:r w:rsidR="002D613F" w:rsidRPr="00386CD6">
        <w:t> </w:t>
      </w:r>
      <w:r w:rsidR="00C9588E" w:rsidRPr="00386CD6">
        <w:t>États ayant le statut d</w:t>
      </w:r>
      <w:r w:rsidR="00C56BCE" w:rsidRPr="00386CD6">
        <w:t>’</w:t>
      </w:r>
      <w:r w:rsidR="00C9588E" w:rsidRPr="00386CD6">
        <w:t>observateur et 7</w:t>
      </w:r>
      <w:r w:rsidR="002D613F" w:rsidRPr="00386CD6">
        <w:t> </w:t>
      </w:r>
      <w:r w:rsidR="00C9588E" w:rsidRPr="00386CD6">
        <w:t>organisations ayant le statut d</w:t>
      </w:r>
      <w:r w:rsidR="00C56BCE" w:rsidRPr="00386CD6">
        <w:t>’</w:t>
      </w:r>
      <w:r w:rsidR="00C9588E" w:rsidRPr="00386CD6">
        <w:t>observate</w:t>
      </w:r>
      <w:r w:rsidR="00EB43E9" w:rsidRPr="00386CD6">
        <w:t>ur.  Le</w:t>
      </w:r>
      <w:r w:rsidR="00C9588E" w:rsidRPr="00386CD6">
        <w:t xml:space="preserve"> rapport de cette session est présenté dans le document </w:t>
      </w:r>
      <w:proofErr w:type="gramStart"/>
      <w:r w:rsidR="00C9588E" w:rsidRPr="00386CD6">
        <w:t>C(</w:t>
      </w:r>
      <w:proofErr w:type="gramEnd"/>
      <w:r w:rsidR="00C9588E" w:rsidRPr="00386CD6">
        <w:t>Extr.)/32/10.</w:t>
      </w:r>
    </w:p>
    <w:p w:rsidR="00CB114F" w:rsidRPr="00386CD6" w:rsidRDefault="00CB114F" w:rsidP="00F01D68"/>
    <w:p w:rsidR="00C56BCE" w:rsidRPr="00386CD6" w:rsidRDefault="004E714F" w:rsidP="00F01D68">
      <w:pPr>
        <w:ind w:right="-1"/>
      </w:pPr>
      <w:r w:rsidRPr="00386CD6">
        <w:fldChar w:fldCharType="begin"/>
      </w:r>
      <w:r w:rsidRPr="00386CD6">
        <w:instrText xml:space="preserve"> AUTONUM  </w:instrText>
      </w:r>
      <w:r w:rsidRPr="00386CD6">
        <w:fldChar w:fldCharType="end"/>
      </w:r>
      <w:r w:rsidRPr="00386CD6">
        <w:tab/>
      </w:r>
      <w:r w:rsidR="00C9588E" w:rsidRPr="00386CD6">
        <w:t>Le Conseil a tenu sa quarante</w:t>
      </w:r>
      <w:r w:rsidR="00C57B61" w:rsidRPr="00386CD6">
        <w:noBreakHyphen/>
      </w:r>
      <w:r w:rsidR="00C9588E" w:rsidRPr="00386CD6">
        <w:t>neuvième</w:t>
      </w:r>
      <w:r w:rsidR="000F4505" w:rsidRPr="00386CD6">
        <w:t> </w:t>
      </w:r>
      <w:r w:rsidR="00C9588E" w:rsidRPr="00386CD6">
        <w:t>session ordinaire le 2</w:t>
      </w:r>
      <w:r w:rsidR="00C56BCE" w:rsidRPr="00386CD6">
        <w:t>9 octobre 20</w:t>
      </w:r>
      <w:r w:rsidR="00C9588E" w:rsidRPr="00386CD6">
        <w:t>15, sous la présidence de Mme</w:t>
      </w:r>
      <w:r w:rsidR="000F4505" w:rsidRPr="00386CD6">
        <w:t> </w:t>
      </w:r>
      <w:r w:rsidR="00C9588E" w:rsidRPr="00386CD6">
        <w:t>Kitisri Sukhapinda (États</w:t>
      </w:r>
      <w:r w:rsidR="00C57B61" w:rsidRPr="00386CD6">
        <w:noBreakHyphen/>
      </w:r>
      <w:r w:rsidR="00C9588E" w:rsidRPr="00386CD6">
        <w:t>Unis d</w:t>
      </w:r>
      <w:r w:rsidR="00C56BCE" w:rsidRPr="00386CD6">
        <w:t>’</w:t>
      </w:r>
      <w:r w:rsidR="00C9588E" w:rsidRPr="00386CD6">
        <w:t>Amérique), présidente du Conseil.</w:t>
      </w:r>
      <w:r w:rsidRPr="00386CD6">
        <w:t xml:space="preserve">  </w:t>
      </w:r>
      <w:r w:rsidR="00C9588E" w:rsidRPr="00386CD6">
        <w:t>Y ont pris part 46</w:t>
      </w:r>
      <w:r w:rsidR="002D613F" w:rsidRPr="00386CD6">
        <w:t> </w:t>
      </w:r>
      <w:r w:rsidR="00C9588E" w:rsidRPr="00386CD6">
        <w:t>membres de l</w:t>
      </w:r>
      <w:r w:rsidR="00C56BCE" w:rsidRPr="00386CD6">
        <w:t>’</w:t>
      </w:r>
      <w:r w:rsidR="00C9588E" w:rsidRPr="00386CD6">
        <w:t>Union, 4</w:t>
      </w:r>
      <w:r w:rsidR="002D613F" w:rsidRPr="00386CD6">
        <w:t> </w:t>
      </w:r>
      <w:r w:rsidR="00C9588E" w:rsidRPr="00386CD6">
        <w:t>États ayant le statut d</w:t>
      </w:r>
      <w:r w:rsidR="00C56BCE" w:rsidRPr="00386CD6">
        <w:t>’</w:t>
      </w:r>
      <w:r w:rsidR="00C9588E" w:rsidRPr="00386CD6">
        <w:t>observateur et 5</w:t>
      </w:r>
      <w:r w:rsidR="002D613F" w:rsidRPr="00386CD6">
        <w:t> </w:t>
      </w:r>
      <w:r w:rsidR="00C9588E" w:rsidRPr="00386CD6">
        <w:t>organisations ayant le statut d</w:t>
      </w:r>
      <w:r w:rsidR="00C56BCE" w:rsidRPr="00386CD6">
        <w:t>’</w:t>
      </w:r>
      <w:r w:rsidR="00C9588E" w:rsidRPr="00386CD6">
        <w:t>observate</w:t>
      </w:r>
      <w:r w:rsidR="00EB43E9" w:rsidRPr="00386CD6">
        <w:t>ur.  Le</w:t>
      </w:r>
      <w:r w:rsidR="00C9588E" w:rsidRPr="00386CD6">
        <w:t xml:space="preserve"> rapport de cette session est présenté dans le document C/49/19.</w:t>
      </w:r>
    </w:p>
    <w:p w:rsidR="00CB114F" w:rsidRPr="00386CD6" w:rsidRDefault="00CB114F" w:rsidP="00F01D68">
      <w:pPr>
        <w:tabs>
          <w:tab w:val="left" w:pos="567"/>
          <w:tab w:val="num" w:pos="1134"/>
        </w:tabs>
      </w:pPr>
    </w:p>
    <w:p w:rsidR="00CB114F" w:rsidRPr="00386CD6" w:rsidRDefault="00677FF3" w:rsidP="00F01D68">
      <w:pPr>
        <w:tabs>
          <w:tab w:val="left" w:pos="567"/>
          <w:tab w:val="num" w:pos="1134"/>
        </w:tabs>
      </w:pPr>
      <w:r w:rsidRPr="00386CD6">
        <w:fldChar w:fldCharType="begin"/>
      </w:r>
      <w:r w:rsidRPr="00386CD6">
        <w:instrText xml:space="preserve"> AUTONUM  </w:instrText>
      </w:r>
      <w:r w:rsidRPr="00386CD6">
        <w:fldChar w:fldCharType="end"/>
      </w:r>
      <w:r w:rsidRPr="00386CD6">
        <w:tab/>
      </w:r>
      <w:r w:rsidR="00406A47" w:rsidRPr="00386CD6">
        <w:t>Un résumé des résultats obtenus par le Conseil en</w:t>
      </w:r>
      <w:r w:rsidR="000F4505" w:rsidRPr="00386CD6">
        <w:t> </w:t>
      </w:r>
      <w:r w:rsidRPr="00386CD6">
        <w:t xml:space="preserve">2015 </w:t>
      </w:r>
      <w:r w:rsidR="00406A47" w:rsidRPr="00386CD6">
        <w:t>figure à l</w:t>
      </w:r>
      <w:r w:rsidR="00C56BCE" w:rsidRPr="00386CD6">
        <w:t>’</w:t>
      </w:r>
      <w:r w:rsidR="00406A47" w:rsidRPr="00386CD6">
        <w:t>annexe</w:t>
      </w:r>
      <w:r w:rsidR="000F4505" w:rsidRPr="00386CD6">
        <w:t> </w:t>
      </w:r>
      <w:r w:rsidR="00406A47" w:rsidRPr="00386CD6">
        <w:t>III du présent document, sous</w:t>
      </w:r>
      <w:r w:rsidR="00C57B61" w:rsidRPr="00386CD6">
        <w:noBreakHyphen/>
      </w:r>
      <w:r w:rsidR="00406A47" w:rsidRPr="00386CD6">
        <w:t>programme UV.1 : Politique générale en matière de protection des obtentions végétales</w:t>
      </w:r>
      <w:r w:rsidRPr="00386CD6">
        <w:t>.</w:t>
      </w:r>
    </w:p>
    <w:p w:rsidR="00CB114F" w:rsidRPr="00386CD6" w:rsidRDefault="00CB114F" w:rsidP="00F01D68"/>
    <w:p w:rsidR="00CB114F" w:rsidRPr="00386CD6" w:rsidRDefault="00CB114F" w:rsidP="00F01D68"/>
    <w:p w:rsidR="00CB114F" w:rsidRPr="00386CD6" w:rsidRDefault="00C9588E" w:rsidP="00F01D68">
      <w:pPr>
        <w:pStyle w:val="Heading2"/>
        <w:rPr>
          <w:lang w:val="fr-FR"/>
        </w:rPr>
      </w:pPr>
      <w:bookmarkStart w:id="11" w:name="_Toc465099869"/>
      <w:r w:rsidRPr="00386CD6">
        <w:rPr>
          <w:lang w:val="fr-FR"/>
        </w:rPr>
        <w:t>Comité consultatif</w:t>
      </w:r>
      <w:bookmarkEnd w:id="11"/>
    </w:p>
    <w:p w:rsidR="00CB114F" w:rsidRPr="00386CD6" w:rsidRDefault="00CB114F" w:rsidP="00F01D68">
      <w:pPr>
        <w:keepNext/>
        <w:ind w:left="567" w:hanging="567"/>
      </w:pPr>
    </w:p>
    <w:p w:rsidR="00C56BCE" w:rsidRPr="00386CD6" w:rsidRDefault="005E4E94" w:rsidP="00F01D68">
      <w:r w:rsidRPr="00386CD6">
        <w:fldChar w:fldCharType="begin"/>
      </w:r>
      <w:r w:rsidRPr="00386CD6">
        <w:instrText xml:space="preserve"> AUTONUM  </w:instrText>
      </w:r>
      <w:r w:rsidRPr="00386CD6">
        <w:fldChar w:fldCharType="end"/>
      </w:r>
      <w:r w:rsidRPr="00386CD6">
        <w:tab/>
      </w:r>
      <w:r w:rsidR="00C9588E" w:rsidRPr="00386CD6">
        <w:t>Le Comité consultatif a tenu sa quatre</w:t>
      </w:r>
      <w:r w:rsidR="00C57B61" w:rsidRPr="00386CD6">
        <w:noBreakHyphen/>
      </w:r>
      <w:r w:rsidR="00C9588E" w:rsidRPr="00386CD6">
        <w:t>vingt</w:t>
      </w:r>
      <w:r w:rsidR="00C57B61" w:rsidRPr="00386CD6">
        <w:noBreakHyphen/>
      </w:r>
      <w:r w:rsidR="00C9588E" w:rsidRPr="00386CD6">
        <w:t>neuvième</w:t>
      </w:r>
      <w:r w:rsidR="000F4505" w:rsidRPr="00386CD6">
        <w:t> </w:t>
      </w:r>
      <w:r w:rsidR="00C9588E" w:rsidRPr="00386CD6">
        <w:t>session le 2</w:t>
      </w:r>
      <w:r w:rsidR="00C56BCE" w:rsidRPr="00386CD6">
        <w:t>7 mars 20</w:t>
      </w:r>
      <w:r w:rsidR="00C9588E" w:rsidRPr="00386CD6">
        <w:t>15 sous la présidence de Mme</w:t>
      </w:r>
      <w:r w:rsidR="000F4505" w:rsidRPr="00386CD6">
        <w:t> </w:t>
      </w:r>
      <w:r w:rsidR="00C9588E" w:rsidRPr="00386CD6">
        <w:t>Kitisri Sukhapinda (États</w:t>
      </w:r>
      <w:r w:rsidR="00C57B61" w:rsidRPr="00386CD6">
        <w:noBreakHyphen/>
      </w:r>
      <w:r w:rsidR="00C9588E" w:rsidRPr="00386CD6">
        <w:t>Unis d</w:t>
      </w:r>
      <w:r w:rsidR="00C56BCE" w:rsidRPr="00386CD6">
        <w:t>’</w:t>
      </w:r>
      <w:r w:rsidR="00C9588E" w:rsidRPr="00386CD6">
        <w:t>Amériq</w:t>
      </w:r>
      <w:r w:rsidR="00EB43E9" w:rsidRPr="00386CD6">
        <w:t>ue).  Le</w:t>
      </w:r>
      <w:r w:rsidR="00406A47" w:rsidRPr="00386CD6">
        <w:t xml:space="preserve"> document </w:t>
      </w:r>
      <w:proofErr w:type="gramStart"/>
      <w:r w:rsidR="00406A47" w:rsidRPr="00386CD6">
        <w:rPr>
          <w:snapToGrid w:val="0"/>
        </w:rPr>
        <w:t>C(</w:t>
      </w:r>
      <w:proofErr w:type="gramEnd"/>
      <w:r w:rsidR="00406A47" w:rsidRPr="00386CD6">
        <w:rPr>
          <w:snapToGrid w:val="0"/>
        </w:rPr>
        <w:t xml:space="preserve">Extr.)/32/5 contient un rapport des travaux réalisés lors de </w:t>
      </w:r>
      <w:r w:rsidR="00FB4929" w:rsidRPr="00386CD6">
        <w:rPr>
          <w:snapToGrid w:val="0"/>
        </w:rPr>
        <w:t>cette</w:t>
      </w:r>
      <w:r w:rsidR="00406A47" w:rsidRPr="00386CD6">
        <w:t xml:space="preserve"> session</w:t>
      </w:r>
      <w:r w:rsidR="00677FF3" w:rsidRPr="00386CD6">
        <w:rPr>
          <w:snapToGrid w:val="0"/>
        </w:rPr>
        <w:t>.</w:t>
      </w:r>
    </w:p>
    <w:p w:rsidR="00CB114F" w:rsidRPr="00386CD6" w:rsidRDefault="00CB114F" w:rsidP="00F01D68">
      <w:pPr>
        <w:rPr>
          <w:snapToGrid w:val="0"/>
        </w:rPr>
      </w:pPr>
    </w:p>
    <w:p w:rsidR="00C56BCE" w:rsidRPr="00386CD6" w:rsidRDefault="004E714F" w:rsidP="00F01D68">
      <w:r w:rsidRPr="00386CD6">
        <w:fldChar w:fldCharType="begin"/>
      </w:r>
      <w:r w:rsidRPr="00386CD6">
        <w:instrText xml:space="preserve"> AUTONUM  </w:instrText>
      </w:r>
      <w:r w:rsidRPr="00386CD6">
        <w:fldChar w:fldCharType="end"/>
      </w:r>
      <w:r w:rsidRPr="00386CD6">
        <w:tab/>
      </w:r>
      <w:r w:rsidR="00116585" w:rsidRPr="00386CD6">
        <w:t>Le Comité consultatif a tenu sa quatre</w:t>
      </w:r>
      <w:r w:rsidR="00C57B61" w:rsidRPr="00386CD6">
        <w:noBreakHyphen/>
      </w:r>
      <w:r w:rsidR="00116585" w:rsidRPr="00386CD6">
        <w:t>vingt</w:t>
      </w:r>
      <w:r w:rsidR="00C57B61" w:rsidRPr="00386CD6">
        <w:noBreakHyphen/>
      </w:r>
      <w:r w:rsidR="00116585" w:rsidRPr="00386CD6">
        <w:t>dixième</w:t>
      </w:r>
      <w:r w:rsidR="000F4505" w:rsidRPr="00386CD6">
        <w:t> </w:t>
      </w:r>
      <w:r w:rsidR="00116585" w:rsidRPr="00386CD6">
        <w:t>session le 2</w:t>
      </w:r>
      <w:r w:rsidR="00C56BCE" w:rsidRPr="00386CD6">
        <w:t>8 octobre 20</w:t>
      </w:r>
      <w:r w:rsidR="002943D9" w:rsidRPr="00386CD6">
        <w:t xml:space="preserve">15 </w:t>
      </w:r>
      <w:r w:rsidR="00116585" w:rsidRPr="00386CD6">
        <w:t>et dans la matinée du 29 octobre 2015, sous la présidence de Mme</w:t>
      </w:r>
      <w:r w:rsidRPr="00386CD6">
        <w:rPr>
          <w:lang w:eastAsia="fr-FR"/>
        </w:rPr>
        <w:t> Kitisri Sukhapinda (</w:t>
      </w:r>
      <w:r w:rsidR="00116585" w:rsidRPr="00386CD6">
        <w:rPr>
          <w:lang w:eastAsia="fr-FR"/>
        </w:rPr>
        <w:t>États</w:t>
      </w:r>
      <w:r w:rsidR="00C57B61" w:rsidRPr="00386CD6">
        <w:rPr>
          <w:lang w:eastAsia="fr-FR"/>
        </w:rPr>
        <w:noBreakHyphen/>
      </w:r>
      <w:r w:rsidR="00116585" w:rsidRPr="00386CD6">
        <w:rPr>
          <w:lang w:eastAsia="fr-FR"/>
        </w:rPr>
        <w:t>Unis d</w:t>
      </w:r>
      <w:r w:rsidR="00C56BCE" w:rsidRPr="00386CD6">
        <w:rPr>
          <w:lang w:eastAsia="fr-FR"/>
        </w:rPr>
        <w:t>’</w:t>
      </w:r>
      <w:r w:rsidR="00116585" w:rsidRPr="00386CD6">
        <w:rPr>
          <w:lang w:eastAsia="fr-FR"/>
        </w:rPr>
        <w:t>Amériq</w:t>
      </w:r>
      <w:r w:rsidR="00EB43E9" w:rsidRPr="00386CD6">
        <w:rPr>
          <w:lang w:eastAsia="fr-FR"/>
        </w:rPr>
        <w:t xml:space="preserve">ue).  </w:t>
      </w:r>
      <w:r w:rsidR="00EB43E9" w:rsidRPr="00386CD6">
        <w:t>Le</w:t>
      </w:r>
      <w:r w:rsidR="00116585" w:rsidRPr="00386CD6">
        <w:t xml:space="preserve"> document</w:t>
      </w:r>
      <w:r w:rsidR="00677FF3" w:rsidRPr="00386CD6">
        <w:rPr>
          <w:snapToGrid w:val="0"/>
        </w:rPr>
        <w:t xml:space="preserve"> </w:t>
      </w:r>
      <w:r w:rsidR="00116585" w:rsidRPr="00386CD6">
        <w:rPr>
          <w:snapToGrid w:val="0"/>
        </w:rPr>
        <w:t xml:space="preserve">C/49/16 contient un rapport des travaux réalisés lors de </w:t>
      </w:r>
      <w:r w:rsidR="00FB4929" w:rsidRPr="00386CD6">
        <w:rPr>
          <w:snapToGrid w:val="0"/>
        </w:rPr>
        <w:t>cette</w:t>
      </w:r>
      <w:r w:rsidR="00116585" w:rsidRPr="00386CD6">
        <w:t xml:space="preserve"> session</w:t>
      </w:r>
      <w:r w:rsidR="00677FF3" w:rsidRPr="00386CD6">
        <w:rPr>
          <w:snapToGrid w:val="0"/>
        </w:rPr>
        <w:t>.</w:t>
      </w:r>
    </w:p>
    <w:p w:rsidR="00CB114F" w:rsidRPr="00386CD6" w:rsidRDefault="00CB114F" w:rsidP="00F01D68"/>
    <w:p w:rsidR="00CB114F" w:rsidRPr="00386CD6" w:rsidRDefault="00B4299B" w:rsidP="00F01D68">
      <w:pPr>
        <w:tabs>
          <w:tab w:val="left" w:pos="567"/>
          <w:tab w:val="num" w:pos="1134"/>
        </w:tabs>
      </w:pPr>
      <w:r w:rsidRPr="00386CD6">
        <w:fldChar w:fldCharType="begin"/>
      </w:r>
      <w:r w:rsidRPr="00386CD6">
        <w:instrText xml:space="preserve"> AUTONUM  </w:instrText>
      </w:r>
      <w:r w:rsidRPr="00386CD6">
        <w:fldChar w:fldCharType="end"/>
      </w:r>
      <w:r w:rsidRPr="00386CD6">
        <w:tab/>
      </w:r>
      <w:r w:rsidR="00116585" w:rsidRPr="00386CD6">
        <w:t>Un résumé des résultats obtenus par le Comité consultatif en</w:t>
      </w:r>
      <w:r w:rsidR="000F4505" w:rsidRPr="00386CD6">
        <w:t> </w:t>
      </w:r>
      <w:r w:rsidR="00116585" w:rsidRPr="00386CD6">
        <w:t>2015 figure à l</w:t>
      </w:r>
      <w:r w:rsidR="00C56BCE" w:rsidRPr="00386CD6">
        <w:t>’</w:t>
      </w:r>
      <w:r w:rsidR="00116585" w:rsidRPr="00386CD6">
        <w:t>annexe</w:t>
      </w:r>
      <w:r w:rsidR="000F4505" w:rsidRPr="00386CD6">
        <w:t> </w:t>
      </w:r>
      <w:r w:rsidR="00116585" w:rsidRPr="00386CD6">
        <w:t>III du présent document, sous</w:t>
      </w:r>
      <w:r w:rsidR="00C57B61" w:rsidRPr="00386CD6">
        <w:noBreakHyphen/>
      </w:r>
      <w:r w:rsidR="00116585" w:rsidRPr="00386CD6">
        <w:t>programme UV.1 : Politique générale en matière de protection des obtentions végétales</w:t>
      </w:r>
      <w:r w:rsidRPr="00386CD6">
        <w:t>.</w:t>
      </w:r>
    </w:p>
    <w:p w:rsidR="00CB114F" w:rsidRPr="00386CD6" w:rsidRDefault="00CB114F" w:rsidP="00F01D68"/>
    <w:p w:rsidR="00CB114F" w:rsidRPr="00386CD6" w:rsidRDefault="00CB114F" w:rsidP="00F01D68"/>
    <w:p w:rsidR="00CB114F" w:rsidRPr="00386CD6" w:rsidRDefault="00C9588E" w:rsidP="00F01D68">
      <w:pPr>
        <w:pStyle w:val="Heading2"/>
        <w:rPr>
          <w:lang w:val="fr-FR"/>
        </w:rPr>
      </w:pPr>
      <w:bookmarkStart w:id="12" w:name="_Toc465099870"/>
      <w:r w:rsidRPr="00386CD6">
        <w:rPr>
          <w:lang w:val="fr-FR"/>
        </w:rPr>
        <w:t>Comité administratif et juridique, Comité technique, groupes de travail techniques et Groupe de travail sur les techniques biochimiques et moléculaires, notamment les profils d</w:t>
      </w:r>
      <w:r w:rsidR="00C56BCE" w:rsidRPr="00386CD6">
        <w:rPr>
          <w:lang w:val="fr-FR"/>
        </w:rPr>
        <w:t>’</w:t>
      </w:r>
      <w:r w:rsidRPr="00386CD6">
        <w:rPr>
          <w:lang w:val="fr-FR"/>
        </w:rPr>
        <w:t>ADN</w:t>
      </w:r>
      <w:bookmarkEnd w:id="12"/>
    </w:p>
    <w:p w:rsidR="00CB114F" w:rsidRPr="00386CD6" w:rsidRDefault="00CB114F" w:rsidP="00F01D68">
      <w:pPr>
        <w:keepNext/>
        <w:rPr>
          <w:u w:val="single"/>
        </w:rPr>
      </w:pPr>
    </w:p>
    <w:p w:rsidR="0052178F" w:rsidRPr="00386CD6" w:rsidRDefault="004E714F" w:rsidP="00F01D68">
      <w:r w:rsidRPr="00386CD6">
        <w:fldChar w:fldCharType="begin"/>
      </w:r>
      <w:r w:rsidRPr="00386CD6">
        <w:instrText xml:space="preserve"> AUTONUM  </w:instrText>
      </w:r>
      <w:r w:rsidRPr="00386CD6">
        <w:fldChar w:fldCharType="end"/>
      </w:r>
      <w:r w:rsidRPr="00386CD6">
        <w:tab/>
      </w:r>
      <w:r w:rsidR="0052178F" w:rsidRPr="00386CD6">
        <w:t>Le CAJ a tenu sa soixante et onzième session le 2</w:t>
      </w:r>
      <w:r w:rsidR="00C56BCE" w:rsidRPr="00386CD6">
        <w:t>6 mars 20</w:t>
      </w:r>
      <w:r w:rsidR="0052178F" w:rsidRPr="00386CD6">
        <w:t>15 et sa soixante</w:t>
      </w:r>
      <w:r w:rsidR="00C57B61" w:rsidRPr="00386CD6">
        <w:noBreakHyphen/>
      </w:r>
      <w:r w:rsidR="0052178F" w:rsidRPr="00386CD6">
        <w:t>douzième session les 26 et 27 octobre 2015.</w:t>
      </w:r>
    </w:p>
    <w:p w:rsidR="00CB114F" w:rsidRPr="00386CD6" w:rsidRDefault="00CB114F" w:rsidP="00F01D68"/>
    <w:p w:rsidR="00CB114F" w:rsidRPr="00386CD6" w:rsidRDefault="004E714F" w:rsidP="00F01D68">
      <w:r w:rsidRPr="00386CD6">
        <w:fldChar w:fldCharType="begin"/>
      </w:r>
      <w:r w:rsidRPr="00386CD6">
        <w:instrText xml:space="preserve"> AUTONUM  </w:instrText>
      </w:r>
      <w:r w:rsidRPr="00386CD6">
        <w:fldChar w:fldCharType="end"/>
      </w:r>
      <w:r w:rsidRPr="00386CD6">
        <w:tab/>
      </w:r>
      <w:r w:rsidR="00C9588E" w:rsidRPr="00386CD6">
        <w:t>Le</w:t>
      </w:r>
      <w:r w:rsidR="00C56BCE" w:rsidRPr="00386CD6">
        <w:t> TC</w:t>
      </w:r>
      <w:r w:rsidR="00C9588E" w:rsidRPr="00386CD6">
        <w:t xml:space="preserve"> a tenu sa cinquante</w:t>
      </w:r>
      <w:r w:rsidR="000F4505" w:rsidRPr="00386CD6">
        <w:t> </w:t>
      </w:r>
      <w:r w:rsidR="00C9588E" w:rsidRPr="00386CD6">
        <w:t>et</w:t>
      </w:r>
      <w:r w:rsidR="000F4505" w:rsidRPr="00386CD6">
        <w:t> </w:t>
      </w:r>
      <w:r w:rsidR="00C9588E" w:rsidRPr="00386CD6">
        <w:t>unième</w:t>
      </w:r>
      <w:r w:rsidR="000F4505" w:rsidRPr="00386CD6">
        <w:t> </w:t>
      </w:r>
      <w:r w:rsidR="00C9588E" w:rsidRPr="00386CD6">
        <w:t>session du 23 au 2</w:t>
      </w:r>
      <w:r w:rsidR="00C56BCE" w:rsidRPr="00386CD6">
        <w:t>5 mars 20</w:t>
      </w:r>
      <w:r w:rsidR="00C9588E" w:rsidRPr="00386CD6">
        <w:t>15.</w:t>
      </w:r>
      <w:r w:rsidR="000F4505" w:rsidRPr="00386CD6">
        <w:t xml:space="preserve"> </w:t>
      </w:r>
      <w:r w:rsidR="00C9588E" w:rsidRPr="00386CD6">
        <w:t xml:space="preserve"> Le</w:t>
      </w:r>
      <w:r w:rsidR="00C56BCE" w:rsidRPr="00386CD6">
        <w:t> TC</w:t>
      </w:r>
      <w:r w:rsidR="00C57B61" w:rsidRPr="00386CD6">
        <w:noBreakHyphen/>
      </w:r>
      <w:r w:rsidR="00C56BCE" w:rsidRPr="00386CD6">
        <w:t>EDC</w:t>
      </w:r>
      <w:r w:rsidR="00C9588E" w:rsidRPr="00386CD6">
        <w:t xml:space="preserve"> a tenu des réunions les 7 et </w:t>
      </w:r>
      <w:r w:rsidR="00C56BCE" w:rsidRPr="00386CD6">
        <w:t>8 janvier</w:t>
      </w:r>
      <w:r w:rsidR="00C9588E" w:rsidRPr="00386CD6">
        <w:t xml:space="preserve"> et les 23 et 2</w:t>
      </w:r>
      <w:r w:rsidR="00C56BCE" w:rsidRPr="00386CD6">
        <w:t>4 mars 20</w:t>
      </w:r>
      <w:r w:rsidR="00C9588E" w:rsidRPr="00386CD6">
        <w:t>15.</w:t>
      </w:r>
      <w:r w:rsidRPr="00386CD6">
        <w:t xml:space="preserve"> </w:t>
      </w:r>
      <w:r w:rsidR="00C56BCE" w:rsidRPr="00386CD6">
        <w:t xml:space="preserve"> </w:t>
      </w:r>
      <w:r w:rsidR="00C56BCE" w:rsidRPr="00386CD6">
        <w:rPr>
          <w:szCs w:val="24"/>
        </w:rPr>
        <w:t>Le TWA</w:t>
      </w:r>
      <w:r w:rsidR="00C9588E" w:rsidRPr="00386CD6">
        <w:rPr>
          <w:szCs w:val="24"/>
        </w:rPr>
        <w:t xml:space="preserve"> a tenu sa quarante</w:t>
      </w:r>
      <w:r w:rsidR="00C57B61" w:rsidRPr="00386CD6">
        <w:rPr>
          <w:szCs w:val="24"/>
        </w:rPr>
        <w:noBreakHyphen/>
      </w:r>
      <w:r w:rsidR="00C9588E" w:rsidRPr="00386CD6">
        <w:rPr>
          <w:szCs w:val="24"/>
        </w:rPr>
        <w:t>quatrième</w:t>
      </w:r>
      <w:r w:rsidR="000F4505" w:rsidRPr="00386CD6">
        <w:rPr>
          <w:szCs w:val="24"/>
        </w:rPr>
        <w:t> </w:t>
      </w:r>
      <w:r w:rsidR="00C9588E" w:rsidRPr="00386CD6">
        <w:rPr>
          <w:szCs w:val="24"/>
        </w:rPr>
        <w:t>session à Obihiro (Japon) du 6 au 1</w:t>
      </w:r>
      <w:r w:rsidR="00C56BCE" w:rsidRPr="00386CD6">
        <w:rPr>
          <w:szCs w:val="24"/>
        </w:rPr>
        <w:t>0 juillet 20</w:t>
      </w:r>
      <w:r w:rsidR="00C9588E" w:rsidRPr="00386CD6">
        <w:rPr>
          <w:szCs w:val="24"/>
        </w:rPr>
        <w:t>15.</w:t>
      </w:r>
      <w:r w:rsidRPr="00386CD6">
        <w:t xml:space="preserve"> </w:t>
      </w:r>
      <w:r w:rsidR="00C56BCE" w:rsidRPr="00386CD6">
        <w:t xml:space="preserve"> Le TWC</w:t>
      </w:r>
      <w:r w:rsidR="00C9588E" w:rsidRPr="00386CD6">
        <w:t xml:space="preserve"> a tenu sa trente</w:t>
      </w:r>
      <w:r w:rsidR="00C57B61" w:rsidRPr="00386CD6">
        <w:noBreakHyphen/>
      </w:r>
      <w:r w:rsidR="00C9588E" w:rsidRPr="00386CD6">
        <w:t>troisième</w:t>
      </w:r>
      <w:r w:rsidR="000F4505" w:rsidRPr="00386CD6">
        <w:t> </w:t>
      </w:r>
      <w:r w:rsidR="00C9588E" w:rsidRPr="00386CD6">
        <w:t>session à Natal (Brésil) du 3</w:t>
      </w:r>
      <w:r w:rsidR="00C56BCE" w:rsidRPr="00386CD6">
        <w:t>0 juin</w:t>
      </w:r>
      <w:r w:rsidR="00C9588E" w:rsidRPr="00386CD6">
        <w:t xml:space="preserve"> au </w:t>
      </w:r>
      <w:r w:rsidR="00C56BCE" w:rsidRPr="00386CD6">
        <w:t>3 juillet 20</w:t>
      </w:r>
      <w:r w:rsidR="00C9588E" w:rsidRPr="00386CD6">
        <w:t>15.</w:t>
      </w:r>
      <w:r w:rsidRPr="00386CD6">
        <w:t xml:space="preserve"> </w:t>
      </w:r>
      <w:r w:rsidR="00C56BCE" w:rsidRPr="00386CD6">
        <w:t xml:space="preserve"> Le TWF</w:t>
      </w:r>
      <w:r w:rsidR="00C9588E" w:rsidRPr="00386CD6">
        <w:t xml:space="preserve"> a tenu sa quarante</w:t>
      </w:r>
      <w:r w:rsidR="00C57B61" w:rsidRPr="00386CD6">
        <w:noBreakHyphen/>
      </w:r>
      <w:r w:rsidR="00C9588E" w:rsidRPr="00386CD6">
        <w:t>sixième</w:t>
      </w:r>
      <w:r w:rsidR="000F4505" w:rsidRPr="00386CD6">
        <w:t> </w:t>
      </w:r>
      <w:r w:rsidR="00C9588E" w:rsidRPr="00386CD6">
        <w:t>session à Mpumalanga (Afrique du Sud) du 24 au 2</w:t>
      </w:r>
      <w:r w:rsidR="00C56BCE" w:rsidRPr="00386CD6">
        <w:t>8 août 20</w:t>
      </w:r>
      <w:r w:rsidR="00C9588E" w:rsidRPr="00386CD6">
        <w:t>15.</w:t>
      </w:r>
      <w:r w:rsidRPr="00386CD6">
        <w:t xml:space="preserve"> </w:t>
      </w:r>
      <w:r w:rsidR="00C56BCE" w:rsidRPr="00386CD6">
        <w:t xml:space="preserve"> Le TWO</w:t>
      </w:r>
      <w:r w:rsidR="00C9588E" w:rsidRPr="00386CD6">
        <w:t xml:space="preserve"> a tenu sa quarante</w:t>
      </w:r>
      <w:r w:rsidR="00C57B61" w:rsidRPr="00386CD6">
        <w:noBreakHyphen/>
      </w:r>
      <w:r w:rsidR="00C9588E" w:rsidRPr="00386CD6">
        <w:t>huitième</w:t>
      </w:r>
      <w:r w:rsidR="000F4505" w:rsidRPr="00386CD6">
        <w:t> </w:t>
      </w:r>
      <w:r w:rsidR="00C9588E" w:rsidRPr="00386CD6">
        <w:t>session à Cambridge (Royaume</w:t>
      </w:r>
      <w:r w:rsidR="00C57B61" w:rsidRPr="00386CD6">
        <w:noBreakHyphen/>
      </w:r>
      <w:r w:rsidR="00C9588E" w:rsidRPr="00386CD6">
        <w:t>Uni) du 14 au 1</w:t>
      </w:r>
      <w:r w:rsidR="00C56BCE" w:rsidRPr="00386CD6">
        <w:t>8 septembre 20</w:t>
      </w:r>
      <w:r w:rsidR="00C9588E" w:rsidRPr="00386CD6">
        <w:t>15.</w:t>
      </w:r>
      <w:r w:rsidRPr="00386CD6">
        <w:t xml:space="preserve"> </w:t>
      </w:r>
      <w:r w:rsidR="00C56BCE" w:rsidRPr="00386CD6">
        <w:t xml:space="preserve"> </w:t>
      </w:r>
      <w:r w:rsidR="00C56BCE" w:rsidRPr="00386CD6">
        <w:rPr>
          <w:spacing w:val="-2"/>
        </w:rPr>
        <w:t>Le TWV</w:t>
      </w:r>
      <w:r w:rsidR="00C9588E" w:rsidRPr="00386CD6">
        <w:rPr>
          <w:spacing w:val="-2"/>
        </w:rPr>
        <w:t xml:space="preserve"> a tenu sa quarante</w:t>
      </w:r>
      <w:r w:rsidR="00C57B61" w:rsidRPr="00386CD6">
        <w:rPr>
          <w:spacing w:val="-2"/>
        </w:rPr>
        <w:noBreakHyphen/>
      </w:r>
      <w:r w:rsidR="00C9588E" w:rsidRPr="00386CD6">
        <w:rPr>
          <w:spacing w:val="-2"/>
        </w:rPr>
        <w:t>neuvième</w:t>
      </w:r>
      <w:r w:rsidR="000F4505" w:rsidRPr="00386CD6">
        <w:rPr>
          <w:spacing w:val="-2"/>
        </w:rPr>
        <w:t> </w:t>
      </w:r>
      <w:r w:rsidR="00C9588E" w:rsidRPr="00386CD6">
        <w:rPr>
          <w:spacing w:val="-2"/>
        </w:rPr>
        <w:t>session à Angers (France) du 15 au 1</w:t>
      </w:r>
      <w:r w:rsidR="00C56BCE" w:rsidRPr="00386CD6">
        <w:rPr>
          <w:spacing w:val="-2"/>
        </w:rPr>
        <w:t>9 juin 20</w:t>
      </w:r>
      <w:r w:rsidR="00C9588E" w:rsidRPr="00386CD6">
        <w:rPr>
          <w:spacing w:val="-2"/>
        </w:rPr>
        <w:t>15.</w:t>
      </w:r>
      <w:r w:rsidRPr="00386CD6">
        <w:rPr>
          <w:spacing w:val="-2"/>
        </w:rPr>
        <w:t xml:space="preserve">  </w:t>
      </w:r>
      <w:r w:rsidR="00C9588E" w:rsidRPr="00386CD6">
        <w:t>Chacune des sessions des groupes de travail techniques a été précédée d</w:t>
      </w:r>
      <w:r w:rsidR="00C56BCE" w:rsidRPr="00386CD6">
        <w:t>’</w:t>
      </w:r>
      <w:r w:rsidR="00C9588E" w:rsidRPr="00386CD6">
        <w:t>un atelier préparatoire.</w:t>
      </w:r>
    </w:p>
    <w:p w:rsidR="00CB114F" w:rsidRPr="00386CD6" w:rsidRDefault="00CB114F" w:rsidP="00F01D68"/>
    <w:p w:rsidR="00CB114F" w:rsidRPr="00386CD6" w:rsidRDefault="004E714F" w:rsidP="00F01D68">
      <w:r w:rsidRPr="00386CD6">
        <w:fldChar w:fldCharType="begin"/>
      </w:r>
      <w:r w:rsidRPr="00386CD6">
        <w:instrText xml:space="preserve"> AUTONUM  </w:instrText>
      </w:r>
      <w:r w:rsidRPr="00386CD6">
        <w:fldChar w:fldCharType="end"/>
      </w:r>
      <w:r w:rsidRPr="00386CD6">
        <w:tab/>
      </w:r>
      <w:r w:rsidR="00C9588E" w:rsidRPr="00386CD6">
        <w:t>On trouvera de plus amples renseignements sur les travaux</w:t>
      </w:r>
      <w:r w:rsidR="00C56BCE" w:rsidRPr="00386CD6">
        <w:t xml:space="preserve"> du CAJ</w:t>
      </w:r>
      <w:r w:rsidR="00C9588E" w:rsidRPr="00386CD6">
        <w:t>, du</w:t>
      </w:r>
      <w:r w:rsidR="00C56BCE" w:rsidRPr="00386CD6">
        <w:t> TC</w:t>
      </w:r>
      <w:r w:rsidR="00C9588E" w:rsidRPr="00386CD6">
        <w:t xml:space="preserve"> et des groupes de travail techniques dans les documents C/49/9 et C/50/9, intitulés “Rapport sur l</w:t>
      </w:r>
      <w:r w:rsidR="00C56BCE" w:rsidRPr="00386CD6">
        <w:t>’</w:t>
      </w:r>
      <w:r w:rsidR="00C9588E" w:rsidRPr="00386CD6">
        <w:t>état d</w:t>
      </w:r>
      <w:r w:rsidR="00C56BCE" w:rsidRPr="00386CD6">
        <w:t>’</w:t>
      </w:r>
      <w:r w:rsidR="00C9588E" w:rsidRPr="00386CD6">
        <w:t>avancement des travaux du Comité administratif et juridique”, et C/49/10 et C/50/10, intitulés “Rapport sur l</w:t>
      </w:r>
      <w:r w:rsidR="00C56BCE" w:rsidRPr="00386CD6">
        <w:t>’</w:t>
      </w:r>
      <w:r w:rsidR="00C9588E" w:rsidRPr="00386CD6">
        <w:t>état d</w:t>
      </w:r>
      <w:r w:rsidR="00C56BCE" w:rsidRPr="00386CD6">
        <w:t>’</w:t>
      </w:r>
      <w:r w:rsidR="00C9588E" w:rsidRPr="00386CD6">
        <w:t>avancement des travaux du Comité technique, des groupes de travail techniques et du Groupe de travail sur les techniques biochimiques et moléculaires, notamment les profils d</w:t>
      </w:r>
      <w:r w:rsidR="00C56BCE" w:rsidRPr="00386CD6">
        <w:t>’</w:t>
      </w:r>
      <w:r w:rsidR="00C9588E" w:rsidRPr="00386CD6">
        <w:t>ADN”.</w:t>
      </w:r>
    </w:p>
    <w:p w:rsidR="00CB114F" w:rsidRPr="00386CD6" w:rsidRDefault="00CB114F" w:rsidP="00F01D68"/>
    <w:p w:rsidR="00CB114F" w:rsidRPr="00386CD6" w:rsidRDefault="00B4299B" w:rsidP="00F01D68">
      <w:pPr>
        <w:tabs>
          <w:tab w:val="left" w:pos="567"/>
          <w:tab w:val="num" w:pos="1134"/>
        </w:tabs>
      </w:pPr>
      <w:r w:rsidRPr="00386CD6">
        <w:fldChar w:fldCharType="begin"/>
      </w:r>
      <w:r w:rsidRPr="00386CD6">
        <w:instrText xml:space="preserve"> AUTONUM  </w:instrText>
      </w:r>
      <w:r w:rsidRPr="00386CD6">
        <w:fldChar w:fldCharType="end"/>
      </w:r>
      <w:r w:rsidRPr="00386CD6">
        <w:tab/>
      </w:r>
      <w:r w:rsidR="00116585" w:rsidRPr="00386CD6">
        <w:t>Un résumé des résultats obtenus par</w:t>
      </w:r>
      <w:r w:rsidR="00C56BCE" w:rsidRPr="00386CD6">
        <w:t xml:space="preserve"> le CAJ</w:t>
      </w:r>
      <w:r w:rsidRPr="00386CD6">
        <w:t xml:space="preserve">, </w:t>
      </w:r>
      <w:r w:rsidR="00116585" w:rsidRPr="00386CD6">
        <w:t>le</w:t>
      </w:r>
      <w:r w:rsidR="00C56BCE" w:rsidRPr="00386CD6">
        <w:t> TC</w:t>
      </w:r>
      <w:r w:rsidRPr="00386CD6">
        <w:t xml:space="preserve"> </w:t>
      </w:r>
      <w:r w:rsidR="00116585" w:rsidRPr="00386CD6">
        <w:t xml:space="preserve">et les </w:t>
      </w:r>
      <w:r w:rsidR="00684CB2" w:rsidRPr="00386CD6">
        <w:t>groupes de travail technique</w:t>
      </w:r>
      <w:r w:rsidR="0051457A" w:rsidRPr="00386CD6">
        <w:t>s</w:t>
      </w:r>
      <w:r w:rsidRPr="00386CD6">
        <w:t xml:space="preserve"> </w:t>
      </w:r>
      <w:r w:rsidR="00116585" w:rsidRPr="00386CD6">
        <w:t>e</w:t>
      </w:r>
      <w:r w:rsidRPr="00386CD6">
        <w:t>n</w:t>
      </w:r>
      <w:r w:rsidR="000F4505" w:rsidRPr="00386CD6">
        <w:t> </w:t>
      </w:r>
      <w:r w:rsidRPr="00386CD6">
        <w:t xml:space="preserve">2015 </w:t>
      </w:r>
      <w:r w:rsidR="00116585" w:rsidRPr="00386CD6">
        <w:t>figure à l</w:t>
      </w:r>
      <w:r w:rsidR="00C56BCE" w:rsidRPr="00386CD6">
        <w:t>’</w:t>
      </w:r>
      <w:r w:rsidR="00116585" w:rsidRPr="00386CD6">
        <w:t>annexe</w:t>
      </w:r>
      <w:r w:rsidR="000F4505" w:rsidRPr="00386CD6">
        <w:t> </w:t>
      </w:r>
      <w:r w:rsidR="00116585" w:rsidRPr="00386CD6">
        <w:t>III du présent document, sous</w:t>
      </w:r>
      <w:r w:rsidR="00C57B61" w:rsidRPr="00386CD6">
        <w:noBreakHyphen/>
      </w:r>
      <w:r w:rsidR="00116585" w:rsidRPr="00386CD6">
        <w:t>programme</w:t>
      </w:r>
      <w:r w:rsidRPr="00386CD6">
        <w:t xml:space="preserve"> </w:t>
      </w:r>
      <w:r w:rsidR="00116585" w:rsidRPr="00386CD6">
        <w:t>UV.2</w:t>
      </w:r>
      <w:r w:rsidR="000F4505" w:rsidRPr="00386CD6">
        <w:t> </w:t>
      </w:r>
      <w:r w:rsidR="00116585" w:rsidRPr="00386CD6">
        <w:t>: Services fournis à l</w:t>
      </w:r>
      <w:r w:rsidR="00C56BCE" w:rsidRPr="00386CD6">
        <w:t>’</w:t>
      </w:r>
      <w:r w:rsidR="00116585" w:rsidRPr="00386CD6">
        <w:t>Union en vue d</w:t>
      </w:r>
      <w:r w:rsidR="00C56BCE" w:rsidRPr="00386CD6">
        <w:t>’</w:t>
      </w:r>
      <w:r w:rsidR="00116585" w:rsidRPr="00386CD6">
        <w:t>augmenter l</w:t>
      </w:r>
      <w:r w:rsidR="00C56BCE" w:rsidRPr="00386CD6">
        <w:t>’</w:t>
      </w:r>
      <w:r w:rsidR="00116585" w:rsidRPr="00386CD6">
        <w:t>efficacité du système de l</w:t>
      </w:r>
      <w:r w:rsidR="00C56BCE" w:rsidRPr="00386CD6">
        <w:t>’</w:t>
      </w:r>
      <w:r w:rsidR="00116585" w:rsidRPr="00386CD6">
        <w:t>UPOV</w:t>
      </w:r>
      <w:r w:rsidRPr="00386CD6">
        <w:t>.</w:t>
      </w:r>
    </w:p>
    <w:p w:rsidR="00CB114F" w:rsidRPr="00386CD6" w:rsidRDefault="00CB114F" w:rsidP="00F01D68"/>
    <w:p w:rsidR="00CB114F" w:rsidRPr="00386CD6" w:rsidRDefault="00CB114F" w:rsidP="00F01D68"/>
    <w:p w:rsidR="00CB114F" w:rsidRPr="00386CD6" w:rsidRDefault="00CB114F" w:rsidP="00F01D68"/>
    <w:p w:rsidR="00CB114F" w:rsidRPr="00386CD6" w:rsidRDefault="00C9588E" w:rsidP="00F01D68">
      <w:pPr>
        <w:pStyle w:val="Heading1"/>
        <w:rPr>
          <w:lang w:val="fr-FR"/>
        </w:rPr>
      </w:pPr>
      <w:bookmarkStart w:id="13" w:name="_Toc465099871"/>
      <w:r w:rsidRPr="00386CD6">
        <w:rPr>
          <w:lang w:val="fr-FR"/>
        </w:rPr>
        <w:t>III.</w:t>
      </w:r>
      <w:r w:rsidRPr="00386CD6">
        <w:rPr>
          <w:lang w:val="fr-FR"/>
        </w:rPr>
        <w:tab/>
        <w:t>Cours, séminaires, ateliers, missions</w:t>
      </w:r>
      <w:r w:rsidRPr="00386CD6">
        <w:rPr>
          <w:rStyle w:val="FootnoteReference"/>
          <w:lang w:val="fr-FR"/>
        </w:rPr>
        <w:footnoteReference w:id="2"/>
      </w:r>
      <w:r w:rsidRPr="00386CD6">
        <w:rPr>
          <w:lang w:val="fr-FR"/>
        </w:rPr>
        <w:t>, contacts importants</w:t>
      </w:r>
      <w:bookmarkEnd w:id="13"/>
    </w:p>
    <w:p w:rsidR="00CB114F" w:rsidRPr="00386CD6" w:rsidRDefault="00CB114F" w:rsidP="00F01D68">
      <w:pPr>
        <w:keepNext/>
      </w:pPr>
    </w:p>
    <w:p w:rsidR="00CB114F" w:rsidRPr="00386CD6" w:rsidRDefault="00C9588E" w:rsidP="00F01D68">
      <w:pPr>
        <w:pStyle w:val="Heading2"/>
        <w:rPr>
          <w:lang w:val="fr-FR"/>
        </w:rPr>
      </w:pPr>
      <w:bookmarkStart w:id="14" w:name="_Toc465099872"/>
      <w:r w:rsidRPr="00386CD6">
        <w:rPr>
          <w:lang w:val="fr-FR"/>
        </w:rPr>
        <w:t>Activités individuelles</w:t>
      </w:r>
      <w:bookmarkEnd w:id="14"/>
    </w:p>
    <w:p w:rsidR="00CB114F" w:rsidRPr="00386CD6" w:rsidRDefault="00CB114F" w:rsidP="00F01D68">
      <w:pPr>
        <w:keepNext/>
        <w:rPr>
          <w:szCs w:val="24"/>
        </w:rPr>
      </w:pPr>
    </w:p>
    <w:p w:rsidR="00CB114F" w:rsidRPr="00386CD6" w:rsidRDefault="009008FB" w:rsidP="00F01D68">
      <w:r w:rsidRPr="00386CD6">
        <w:fldChar w:fldCharType="begin"/>
      </w:r>
      <w:r w:rsidRPr="00386CD6">
        <w:instrText xml:space="preserve"> AUTONUM  </w:instrText>
      </w:r>
      <w:r w:rsidRPr="00386CD6">
        <w:fldChar w:fldCharType="end"/>
      </w:r>
      <w:r w:rsidRPr="00386CD6">
        <w:tab/>
      </w:r>
      <w:r w:rsidR="00116585" w:rsidRPr="00386CD6">
        <w:t>Un rapport détaillé des activités</w:t>
      </w:r>
      <w:r w:rsidRPr="00386CD6">
        <w:t xml:space="preserve"> </w:t>
      </w:r>
      <w:r w:rsidR="00FB4929" w:rsidRPr="00386CD6">
        <w:t>menées par le</w:t>
      </w:r>
      <w:r w:rsidR="00116585" w:rsidRPr="00386CD6">
        <w:t xml:space="preserve"> Bureau entre le</w:t>
      </w:r>
      <w:r w:rsidR="00C56BCE" w:rsidRPr="00386CD6">
        <w:t xml:space="preserve"> 1</w:t>
      </w:r>
      <w:r w:rsidR="00C56BCE" w:rsidRPr="00386CD6">
        <w:rPr>
          <w:vertAlign w:val="superscript"/>
        </w:rPr>
        <w:t>er</w:t>
      </w:r>
      <w:r w:rsidR="00C56BCE" w:rsidRPr="00386CD6">
        <w:t> </w:t>
      </w:r>
      <w:r w:rsidR="00116585" w:rsidRPr="00386CD6">
        <w:t>janvier et le 3</w:t>
      </w:r>
      <w:r w:rsidR="00C56BCE" w:rsidRPr="00386CD6">
        <w:t>0 septembre 20</w:t>
      </w:r>
      <w:r w:rsidR="00116585" w:rsidRPr="00386CD6">
        <w:t>15 figure dans le</w:t>
      </w:r>
      <w:r w:rsidRPr="00386CD6">
        <w:t xml:space="preserve"> document </w:t>
      </w:r>
      <w:hyperlink r:id="rId10" w:history="1">
        <w:r w:rsidRPr="00386CD6">
          <w:rPr>
            <w:rStyle w:val="Hyperlink"/>
          </w:rPr>
          <w:t>C/49/3</w:t>
        </w:r>
      </w:hyperlink>
      <w:r w:rsidRPr="00386CD6">
        <w:t xml:space="preserve"> “</w:t>
      </w:r>
      <w:r w:rsidR="00116585" w:rsidRPr="00386CD6">
        <w:t>Rapport sur les activités durant les neuf premiers mois de 2015</w:t>
      </w:r>
      <w:r w:rsidRPr="00386CD6">
        <w:t>”</w:t>
      </w:r>
      <w:r w:rsidR="0016715C" w:rsidRPr="00386CD6">
        <w:t xml:space="preserve">, </w:t>
      </w:r>
      <w:r w:rsidR="00FB4929" w:rsidRPr="00386CD6">
        <w:t xml:space="preserve">aux </w:t>
      </w:r>
      <w:r w:rsidR="00116585" w:rsidRPr="00386CD6">
        <w:t>paragraphes</w:t>
      </w:r>
      <w:r w:rsidR="0016715C" w:rsidRPr="00386CD6">
        <w:t xml:space="preserve"> 14 </w:t>
      </w:r>
      <w:r w:rsidR="00116585" w:rsidRPr="00386CD6">
        <w:t>à</w:t>
      </w:r>
      <w:r w:rsidR="0016715C" w:rsidRPr="00386CD6">
        <w:t xml:space="preserve"> 67</w:t>
      </w:r>
      <w:r w:rsidRPr="00386CD6">
        <w:t xml:space="preserve">.  </w:t>
      </w:r>
      <w:r w:rsidR="00116585" w:rsidRPr="00386CD6">
        <w:t>Un résumé de ces</w:t>
      </w:r>
      <w:r w:rsidR="00936A95" w:rsidRPr="00386CD6">
        <w:t xml:space="preserve"> </w:t>
      </w:r>
      <w:r w:rsidR="00116585" w:rsidRPr="00386CD6">
        <w:t>activités est également reproduit</w:t>
      </w:r>
      <w:r w:rsidR="00936A95" w:rsidRPr="00386CD6">
        <w:t xml:space="preserve"> </w:t>
      </w:r>
      <w:r w:rsidR="00116585" w:rsidRPr="00386CD6">
        <w:t>à l</w:t>
      </w:r>
      <w:r w:rsidR="00C56BCE" w:rsidRPr="00386CD6">
        <w:t>’</w:t>
      </w:r>
      <w:r w:rsidR="00116585" w:rsidRPr="00386CD6">
        <w:t>a</w:t>
      </w:r>
      <w:r w:rsidR="00936A95" w:rsidRPr="00386CD6">
        <w:t>nnex</w:t>
      </w:r>
      <w:r w:rsidR="00116585" w:rsidRPr="00386CD6">
        <w:t>e</w:t>
      </w:r>
      <w:r w:rsidR="00936A95" w:rsidRPr="00386CD6">
        <w:t xml:space="preserve"> III </w:t>
      </w:r>
      <w:r w:rsidR="00116585" w:rsidRPr="00386CD6">
        <w:t xml:space="preserve">du présent </w:t>
      </w:r>
      <w:r w:rsidR="00936A95" w:rsidRPr="00386CD6">
        <w:t xml:space="preserve">document, </w:t>
      </w:r>
      <w:r w:rsidR="00116585" w:rsidRPr="00386CD6">
        <w:t>sous</w:t>
      </w:r>
      <w:r w:rsidR="00C57B61" w:rsidRPr="00386CD6">
        <w:noBreakHyphen/>
      </w:r>
      <w:r w:rsidR="00116585" w:rsidRPr="00386CD6">
        <w:t>programme UV.3 : Aide à la mise en place et à l</w:t>
      </w:r>
      <w:r w:rsidR="00C56BCE" w:rsidRPr="00386CD6">
        <w:t>’</w:t>
      </w:r>
      <w:r w:rsidR="00116585" w:rsidRPr="00386CD6">
        <w:t>application du système de l</w:t>
      </w:r>
      <w:r w:rsidR="00C56BCE" w:rsidRPr="00386CD6">
        <w:t>’</w:t>
      </w:r>
      <w:r w:rsidR="00116585" w:rsidRPr="00386CD6">
        <w:t>UPOV</w:t>
      </w:r>
      <w:r w:rsidR="00936A95" w:rsidRPr="00386CD6">
        <w:t>.</w:t>
      </w:r>
    </w:p>
    <w:p w:rsidR="00CB114F" w:rsidRPr="00386CD6" w:rsidRDefault="00CB114F" w:rsidP="00F01D68"/>
    <w:p w:rsidR="00CB114F" w:rsidRPr="00386CD6" w:rsidRDefault="00657C84" w:rsidP="00F01D68">
      <w:r w:rsidRPr="00386CD6">
        <w:fldChar w:fldCharType="begin"/>
      </w:r>
      <w:r w:rsidRPr="00386CD6">
        <w:instrText xml:space="preserve"> AUTONUM  </w:instrText>
      </w:r>
      <w:r w:rsidRPr="00386CD6">
        <w:fldChar w:fldCharType="end"/>
      </w:r>
      <w:r w:rsidRPr="00386CD6">
        <w:tab/>
      </w:r>
      <w:r w:rsidR="00116585" w:rsidRPr="00386CD6">
        <w:t>L</w:t>
      </w:r>
      <w:r w:rsidR="00C56BCE" w:rsidRPr="00386CD6">
        <w:t>’</w:t>
      </w:r>
      <w:r w:rsidR="00116585" w:rsidRPr="00386CD6">
        <w:t>annexe</w:t>
      </w:r>
      <w:r w:rsidR="000F4505" w:rsidRPr="00386CD6">
        <w:t> </w:t>
      </w:r>
      <w:r w:rsidR="00116585" w:rsidRPr="00386CD6">
        <w:t>II du présent document contient une</w:t>
      </w:r>
      <w:r w:rsidR="00575670" w:rsidRPr="00386CD6">
        <w:t xml:space="preserve"> </w:t>
      </w:r>
      <w:r w:rsidR="00A575D2" w:rsidRPr="00386CD6">
        <w:t>list</w:t>
      </w:r>
      <w:r w:rsidR="00116585" w:rsidRPr="00386CD6">
        <w:t>e des</w:t>
      </w:r>
      <w:r w:rsidR="00491FCD" w:rsidRPr="00386CD6">
        <w:t xml:space="preserve"> missions </w:t>
      </w:r>
      <w:r w:rsidR="00116585" w:rsidRPr="00386CD6">
        <w:t>menées par le Bureau en</w:t>
      </w:r>
      <w:r w:rsidR="000F4505" w:rsidRPr="00386CD6">
        <w:t> </w:t>
      </w:r>
      <w:r w:rsidR="00491FCD" w:rsidRPr="00386CD6">
        <w:t>2015.</w:t>
      </w:r>
    </w:p>
    <w:p w:rsidR="00CB114F" w:rsidRPr="00386CD6" w:rsidRDefault="00CB114F" w:rsidP="00F01D68"/>
    <w:p w:rsidR="00CB114F" w:rsidRPr="00386CD6" w:rsidRDefault="00936A95" w:rsidP="00F01D68">
      <w:r w:rsidRPr="00386CD6">
        <w:fldChar w:fldCharType="begin"/>
      </w:r>
      <w:r w:rsidRPr="00386CD6">
        <w:instrText xml:space="preserve"> AUTONUM  </w:instrText>
      </w:r>
      <w:r w:rsidRPr="00386CD6">
        <w:fldChar w:fldCharType="end"/>
      </w:r>
      <w:r w:rsidRPr="00386CD6">
        <w:tab/>
      </w:r>
      <w:r w:rsidR="00116585" w:rsidRPr="00386CD6">
        <w:t>Les</w:t>
      </w:r>
      <w:r w:rsidR="009008FB" w:rsidRPr="00386CD6">
        <w:t xml:space="preserve"> </w:t>
      </w:r>
      <w:r w:rsidR="00116585" w:rsidRPr="00386CD6">
        <w:t>paragraphes qui suivent</w:t>
      </w:r>
      <w:r w:rsidR="00AB0310" w:rsidRPr="00386CD6">
        <w:t xml:space="preserve"> </w:t>
      </w:r>
      <w:r w:rsidR="00FB4929" w:rsidRPr="00386CD6">
        <w:t>décrivent</w:t>
      </w:r>
      <w:r w:rsidR="00AB0310" w:rsidRPr="00386CD6">
        <w:t xml:space="preserve"> les</w:t>
      </w:r>
      <w:r w:rsidR="00491FCD" w:rsidRPr="00386CD6">
        <w:t xml:space="preserve"> </w:t>
      </w:r>
      <w:r w:rsidR="00AB0310" w:rsidRPr="00386CD6">
        <w:t>activités organisées entre le</w:t>
      </w:r>
      <w:r w:rsidR="00C56BCE" w:rsidRPr="00386CD6">
        <w:t xml:space="preserve"> 1</w:t>
      </w:r>
      <w:r w:rsidR="00C56BCE" w:rsidRPr="00386CD6">
        <w:rPr>
          <w:vertAlign w:val="superscript"/>
        </w:rPr>
        <w:t>er</w:t>
      </w:r>
      <w:r w:rsidR="00C56BCE" w:rsidRPr="00386CD6">
        <w:t> </w:t>
      </w:r>
      <w:r w:rsidR="00AB0310" w:rsidRPr="00386CD6">
        <w:t xml:space="preserve">octobre et le </w:t>
      </w:r>
      <w:r w:rsidR="009008FB" w:rsidRPr="00386CD6">
        <w:t>3</w:t>
      </w:r>
      <w:r w:rsidR="00C56BCE" w:rsidRPr="00386CD6">
        <w:t>1 décembre 20</w:t>
      </w:r>
      <w:r w:rsidR="009008FB" w:rsidRPr="00386CD6">
        <w:t>15.</w:t>
      </w:r>
    </w:p>
    <w:p w:rsidR="00CB114F" w:rsidRPr="00386CD6" w:rsidRDefault="00CB114F" w:rsidP="00F01D68"/>
    <w:p w:rsidR="00C56BCE" w:rsidRPr="00386CD6" w:rsidRDefault="009008FB" w:rsidP="00F01D68">
      <w:r w:rsidRPr="00386CD6">
        <w:fldChar w:fldCharType="begin"/>
      </w:r>
      <w:r w:rsidRPr="00386CD6">
        <w:instrText xml:space="preserve"> AUTONUM  </w:instrText>
      </w:r>
      <w:r w:rsidRPr="00386CD6">
        <w:fldChar w:fldCharType="end"/>
      </w:r>
      <w:r w:rsidRPr="00386CD6">
        <w:tab/>
      </w:r>
      <w:r w:rsidR="00AB0310" w:rsidRPr="00386CD6">
        <w:t>Les</w:t>
      </w:r>
      <w:r w:rsidR="001C43F5" w:rsidRPr="00386CD6">
        <w:t xml:space="preserve"> 3</w:t>
      </w:r>
      <w:r w:rsidR="00C56BCE" w:rsidRPr="00386CD6">
        <w:t>0 septembre</w:t>
      </w:r>
      <w:r w:rsidR="00AB0310" w:rsidRPr="00386CD6">
        <w:t xml:space="preserve"> et</w:t>
      </w:r>
      <w:r w:rsidR="00C56BCE" w:rsidRPr="00386CD6">
        <w:t xml:space="preserve"> 1</w:t>
      </w:r>
      <w:r w:rsidR="00C56BCE" w:rsidRPr="00386CD6">
        <w:rPr>
          <w:vertAlign w:val="superscript"/>
        </w:rPr>
        <w:t>er</w:t>
      </w:r>
      <w:r w:rsidR="00C56BCE" w:rsidRPr="00386CD6">
        <w:t> </w:t>
      </w:r>
      <w:r w:rsidR="00AB0310" w:rsidRPr="00386CD6">
        <w:t>octobre</w:t>
      </w:r>
      <w:r w:rsidR="001C43F5" w:rsidRPr="00386CD6">
        <w:t xml:space="preserve">, </w:t>
      </w:r>
      <w:r w:rsidR="00AB0310" w:rsidRPr="00386CD6">
        <w:t>à</w:t>
      </w:r>
      <w:r w:rsidR="001C43F5" w:rsidRPr="00386CD6">
        <w:t xml:space="preserve"> Angers </w:t>
      </w:r>
      <w:r w:rsidR="00AB0310" w:rsidRPr="00386CD6">
        <w:t>(France)</w:t>
      </w:r>
      <w:r w:rsidR="001C43F5" w:rsidRPr="00386CD6">
        <w:t xml:space="preserve">, </w:t>
      </w:r>
      <w:r w:rsidR="00AB0310" w:rsidRPr="00386CD6">
        <w:t>le Bureau a participé à une réunion du</w:t>
      </w:r>
      <w:r w:rsidR="001C43F5" w:rsidRPr="00386CD6">
        <w:t xml:space="preserve"> </w:t>
      </w:r>
      <w:r w:rsidR="00AB0310" w:rsidRPr="00386CD6">
        <w:t>Conseil d</w:t>
      </w:r>
      <w:r w:rsidR="00C56BCE" w:rsidRPr="00386CD6">
        <w:t>’</w:t>
      </w:r>
      <w:r w:rsidR="00AB0310" w:rsidRPr="00386CD6">
        <w:t>administration de l</w:t>
      </w:r>
      <w:r w:rsidR="00C56BCE" w:rsidRPr="00386CD6">
        <w:t>’</w:t>
      </w:r>
      <w:r w:rsidR="00AB0310" w:rsidRPr="00386CD6">
        <w:t xml:space="preserve">OCVV </w:t>
      </w:r>
      <w:r w:rsidR="00435D55" w:rsidRPr="00386CD6">
        <w:t>et à un événement organisé pour célébrer le</w:t>
      </w:r>
      <w:r w:rsidR="001C43F5" w:rsidRPr="00386CD6">
        <w:rPr>
          <w:rFonts w:cs="Arial"/>
        </w:rPr>
        <w:t xml:space="preserve"> </w:t>
      </w:r>
      <w:r w:rsidR="002D613F" w:rsidRPr="00386CD6">
        <w:rPr>
          <w:rFonts w:cs="Arial"/>
        </w:rPr>
        <w:t>vingtième</w:t>
      </w:r>
      <w:r w:rsidR="00435D55" w:rsidRPr="00386CD6">
        <w:rPr>
          <w:rFonts w:cs="Arial"/>
        </w:rPr>
        <w:t xml:space="preserve"> anniversaire de </w:t>
      </w:r>
      <w:r w:rsidR="00FB4929" w:rsidRPr="00386CD6">
        <w:rPr>
          <w:rFonts w:cs="Arial"/>
        </w:rPr>
        <w:t>cet office</w:t>
      </w:r>
      <w:r w:rsidR="001C43F5" w:rsidRPr="00386CD6">
        <w:rPr>
          <w:rFonts w:cs="Arial"/>
        </w:rPr>
        <w:t>.</w:t>
      </w:r>
    </w:p>
    <w:p w:rsidR="00CB114F" w:rsidRPr="00386CD6" w:rsidRDefault="00CB114F" w:rsidP="00F01D68"/>
    <w:p w:rsidR="00C56BCE" w:rsidRPr="00386CD6" w:rsidRDefault="00843109" w:rsidP="00F01D68">
      <w:r w:rsidRPr="00386CD6">
        <w:fldChar w:fldCharType="begin"/>
      </w:r>
      <w:r w:rsidRPr="00386CD6">
        <w:instrText xml:space="preserve"> AUTONUM  </w:instrText>
      </w:r>
      <w:r w:rsidRPr="00386CD6">
        <w:fldChar w:fldCharType="end"/>
      </w:r>
      <w:r w:rsidRPr="00386CD6">
        <w:tab/>
      </w:r>
      <w:r w:rsidR="00435D55" w:rsidRPr="00386CD6">
        <w:t>Le</w:t>
      </w:r>
      <w:r w:rsidRPr="00386CD6">
        <w:t xml:space="preserve"> </w:t>
      </w:r>
      <w:r w:rsidR="00C56BCE" w:rsidRPr="00386CD6">
        <w:t>2 octobre</w:t>
      </w:r>
      <w:r w:rsidRPr="00386CD6">
        <w:t xml:space="preserve">, </w:t>
      </w:r>
      <w:r w:rsidR="00435D55" w:rsidRPr="00386CD6">
        <w:t>à</w:t>
      </w:r>
      <w:r w:rsidRPr="00386CD6">
        <w:t xml:space="preserve"> Gen</w:t>
      </w:r>
      <w:r w:rsidR="00435D55" w:rsidRPr="00386CD6">
        <w:t>ève</w:t>
      </w:r>
      <w:r w:rsidRPr="00386CD6">
        <w:t xml:space="preserve">, </w:t>
      </w:r>
      <w:r w:rsidR="00435D55" w:rsidRPr="00386CD6">
        <w:t>le Bureau</w:t>
      </w:r>
      <w:r w:rsidRPr="00386CD6">
        <w:t xml:space="preserve"> </w:t>
      </w:r>
      <w:r w:rsidR="00435D55" w:rsidRPr="00386CD6">
        <w:t xml:space="preserve">a reçu la visite de M. Marco Marzano de Marinis, </w:t>
      </w:r>
      <w:r w:rsidR="0051457A" w:rsidRPr="00386CD6">
        <w:t>s</w:t>
      </w:r>
      <w:r w:rsidR="00435D55" w:rsidRPr="00386CD6">
        <w:t>ecrétaire</w:t>
      </w:r>
      <w:r w:rsidRPr="00386CD6">
        <w:t xml:space="preserve"> </w:t>
      </w:r>
      <w:r w:rsidR="00435D55" w:rsidRPr="00386CD6">
        <w:t>général de l</w:t>
      </w:r>
      <w:r w:rsidR="00C56BCE" w:rsidRPr="00386CD6">
        <w:t>’</w:t>
      </w:r>
      <w:r w:rsidR="00435D55" w:rsidRPr="00386CD6">
        <w:t>OMA</w:t>
      </w:r>
      <w:r w:rsidRPr="00386CD6">
        <w:t xml:space="preserve">, </w:t>
      </w:r>
      <w:r w:rsidR="00435D55" w:rsidRPr="00386CD6">
        <w:t>et de</w:t>
      </w:r>
      <w:r w:rsidRPr="00386CD6">
        <w:t xml:space="preserve"> M.</w:t>
      </w:r>
      <w:r w:rsidR="000F4505" w:rsidRPr="00386CD6">
        <w:t> </w:t>
      </w:r>
      <w:r w:rsidRPr="00386CD6">
        <w:t xml:space="preserve">Etchevehere, </w:t>
      </w:r>
      <w:r w:rsidR="00435D55" w:rsidRPr="00386CD6">
        <w:t>membre du Conseil de l</w:t>
      </w:r>
      <w:r w:rsidR="00C56BCE" w:rsidRPr="00386CD6">
        <w:t>’</w:t>
      </w:r>
      <w:r w:rsidR="00435D55" w:rsidRPr="00386CD6">
        <w:t>OMA</w:t>
      </w:r>
      <w:r w:rsidRPr="00386CD6">
        <w:t xml:space="preserve">, </w:t>
      </w:r>
      <w:r w:rsidR="00435D55" w:rsidRPr="00386CD6">
        <w:t>afin d</w:t>
      </w:r>
      <w:r w:rsidR="00C56BCE" w:rsidRPr="00386CD6">
        <w:t>’</w:t>
      </w:r>
      <w:r w:rsidR="00435D55" w:rsidRPr="00386CD6">
        <w:t>examiner les éléments nouveaux concernant l</w:t>
      </w:r>
      <w:r w:rsidR="00C56BCE" w:rsidRPr="00386CD6">
        <w:t>’</w:t>
      </w:r>
      <w:r w:rsidR="00435D55" w:rsidRPr="00386CD6">
        <w:t>OMA et l</w:t>
      </w:r>
      <w:r w:rsidR="00C56BCE" w:rsidRPr="00386CD6">
        <w:t>’</w:t>
      </w:r>
      <w:r w:rsidR="00435D55" w:rsidRPr="00386CD6">
        <w:t>UPOV</w:t>
      </w:r>
      <w:r w:rsidRPr="00386CD6">
        <w:t>.</w:t>
      </w:r>
    </w:p>
    <w:p w:rsidR="00CB114F" w:rsidRPr="00386CD6" w:rsidRDefault="00CB114F" w:rsidP="00F01D68"/>
    <w:p w:rsidR="00C56BCE" w:rsidRPr="00386CD6" w:rsidRDefault="001C43F5" w:rsidP="00F01D68">
      <w:r w:rsidRPr="00386CD6">
        <w:fldChar w:fldCharType="begin"/>
      </w:r>
      <w:r w:rsidRPr="00386CD6">
        <w:instrText xml:space="preserve"> AUTONUM  </w:instrText>
      </w:r>
      <w:r w:rsidRPr="00386CD6">
        <w:fldChar w:fldCharType="end"/>
      </w:r>
      <w:r w:rsidRPr="00386CD6">
        <w:tab/>
      </w:r>
      <w:r w:rsidR="00435D55" w:rsidRPr="00386CD6">
        <w:t>Les 5 et</w:t>
      </w:r>
      <w:r w:rsidR="00F32249" w:rsidRPr="00386CD6">
        <w:t xml:space="preserve"> </w:t>
      </w:r>
      <w:r w:rsidR="00C56BCE" w:rsidRPr="00386CD6">
        <w:t>6 octobre</w:t>
      </w:r>
      <w:r w:rsidR="00F32249" w:rsidRPr="00386CD6">
        <w:t xml:space="preserve">, </w:t>
      </w:r>
      <w:r w:rsidR="00435D55" w:rsidRPr="00386CD6">
        <w:t>à Chisinau</w:t>
      </w:r>
      <w:r w:rsidR="00F32249" w:rsidRPr="00386CD6">
        <w:t xml:space="preserve"> </w:t>
      </w:r>
      <w:r w:rsidR="00435D55" w:rsidRPr="00386CD6">
        <w:t>(République de</w:t>
      </w:r>
      <w:r w:rsidR="00F32249" w:rsidRPr="00386CD6">
        <w:t xml:space="preserve"> Moldova</w:t>
      </w:r>
      <w:r w:rsidR="00435D55" w:rsidRPr="00386CD6">
        <w:t>)</w:t>
      </w:r>
      <w:r w:rsidR="00F32249" w:rsidRPr="00386CD6">
        <w:t xml:space="preserve">, </w:t>
      </w:r>
      <w:r w:rsidR="00FF2918" w:rsidRPr="00386CD6">
        <w:t xml:space="preserve">le Bureau a </w:t>
      </w:r>
      <w:r w:rsidR="002F22E0" w:rsidRPr="00386CD6">
        <w:t>présenté des exposés</w:t>
      </w:r>
      <w:r w:rsidR="00FF2918" w:rsidRPr="00386CD6">
        <w:t xml:space="preserve"> lors d</w:t>
      </w:r>
      <w:r w:rsidR="00C56BCE" w:rsidRPr="00386CD6">
        <w:t>’</w:t>
      </w:r>
      <w:r w:rsidR="00FF2918" w:rsidRPr="00386CD6">
        <w:t xml:space="preserve">un atelier sur la </w:t>
      </w:r>
      <w:r w:rsidR="002F22E0" w:rsidRPr="00386CD6">
        <w:t>protection des obtentions végétales et la défense des droits d</w:t>
      </w:r>
      <w:r w:rsidR="00C56BCE" w:rsidRPr="00386CD6">
        <w:t>’</w:t>
      </w:r>
      <w:r w:rsidR="002F22E0" w:rsidRPr="00386CD6">
        <w:t>obtenteur dans le cadre du programme TA</w:t>
      </w:r>
      <w:r w:rsidR="00EB43E9" w:rsidRPr="00386CD6">
        <w:t>IEX.  De</w:t>
      </w:r>
      <w:r w:rsidR="00FB4929" w:rsidRPr="00386CD6">
        <w:t>s participants de la</w:t>
      </w:r>
      <w:r w:rsidR="002F22E0" w:rsidRPr="00386CD6">
        <w:t xml:space="preserve"> </w:t>
      </w:r>
      <w:r w:rsidR="00FB4929" w:rsidRPr="00386CD6">
        <w:t>République de Moldova, la Pologne, la Roumanie et la Suède ont assisté à cet atelier</w:t>
      </w:r>
      <w:r w:rsidR="00F32249" w:rsidRPr="00386CD6">
        <w:t>.</w:t>
      </w:r>
    </w:p>
    <w:p w:rsidR="00CB114F" w:rsidRPr="00386CD6" w:rsidRDefault="00CB114F" w:rsidP="00F01D68"/>
    <w:p w:rsidR="00CB114F" w:rsidRPr="00386CD6" w:rsidRDefault="00575670" w:rsidP="00F01D68">
      <w:r w:rsidRPr="00386CD6">
        <w:fldChar w:fldCharType="begin"/>
      </w:r>
      <w:r w:rsidRPr="00386CD6">
        <w:instrText xml:space="preserve"> AUTONUM  </w:instrText>
      </w:r>
      <w:r w:rsidRPr="00386CD6">
        <w:fldChar w:fldCharType="end"/>
      </w:r>
      <w:r w:rsidRPr="00386CD6">
        <w:tab/>
      </w:r>
      <w:r w:rsidR="002F22E0" w:rsidRPr="00386CD6">
        <w:t>Du</w:t>
      </w:r>
      <w:r w:rsidRPr="00386CD6">
        <w:t xml:space="preserve"> 5 </w:t>
      </w:r>
      <w:r w:rsidR="002F22E0" w:rsidRPr="00386CD6">
        <w:t>au</w:t>
      </w:r>
      <w:r w:rsidRPr="00386CD6">
        <w:t xml:space="preserve"> </w:t>
      </w:r>
      <w:r w:rsidR="00C56BCE" w:rsidRPr="00386CD6">
        <w:t>9 octobre</w:t>
      </w:r>
      <w:r w:rsidRPr="00386CD6">
        <w:t xml:space="preserve">, </w:t>
      </w:r>
      <w:r w:rsidR="002F22E0" w:rsidRPr="00386CD6">
        <w:t>au siège de</w:t>
      </w:r>
      <w:r w:rsidR="00C56BCE" w:rsidRPr="00386CD6">
        <w:t xml:space="preserve"> la FAO</w:t>
      </w:r>
      <w:r w:rsidR="002F22E0" w:rsidRPr="00386CD6">
        <w:t xml:space="preserve"> à Rome (Italie), le Bureau a </w:t>
      </w:r>
      <w:r w:rsidRPr="00386CD6">
        <w:t>particip</w:t>
      </w:r>
      <w:r w:rsidR="002F22E0" w:rsidRPr="00386CD6">
        <w:t>é à la</w:t>
      </w:r>
      <w:r w:rsidRPr="00386CD6">
        <w:t xml:space="preserve"> </w:t>
      </w:r>
      <w:r w:rsidR="00C21A90" w:rsidRPr="00386CD6">
        <w:t>sixième</w:t>
      </w:r>
      <w:r w:rsidR="000F4505" w:rsidRPr="00386CD6">
        <w:t> </w:t>
      </w:r>
      <w:r w:rsidR="00C21A90" w:rsidRPr="00386CD6">
        <w:t>session de l</w:t>
      </w:r>
      <w:r w:rsidR="00C56BCE" w:rsidRPr="00386CD6">
        <w:t>’</w:t>
      </w:r>
      <w:r w:rsidR="00C21A90" w:rsidRPr="00386CD6">
        <w:t>Organe directeur du Traité international sur les ressources phytogénétiques pour l</w:t>
      </w:r>
      <w:r w:rsidR="00C56BCE" w:rsidRPr="00386CD6">
        <w:t>’</w:t>
      </w:r>
      <w:r w:rsidR="00C21A90" w:rsidRPr="00386CD6">
        <w:t>alimentation et l</w:t>
      </w:r>
      <w:r w:rsidR="00C56BCE" w:rsidRPr="00386CD6">
        <w:t>’</w:t>
      </w:r>
      <w:r w:rsidR="00C21A90" w:rsidRPr="00386CD6">
        <w:t xml:space="preserve">agriculture </w:t>
      </w:r>
      <w:r w:rsidRPr="00386CD6">
        <w:t>(</w:t>
      </w:r>
      <w:r w:rsidR="00AC5736" w:rsidRPr="00386CD6">
        <w:t>ci</w:t>
      </w:r>
      <w:r w:rsidR="00C57B61" w:rsidRPr="00386CD6">
        <w:noBreakHyphen/>
      </w:r>
      <w:r w:rsidR="00AC5736" w:rsidRPr="00386CD6">
        <w:t xml:space="preserve">après dénommé </w:t>
      </w:r>
      <w:r w:rsidR="000F4505" w:rsidRPr="00386CD6">
        <w:t>“</w:t>
      </w:r>
      <w:r w:rsidR="00AC5736" w:rsidRPr="00386CD6">
        <w:t>Traité international</w:t>
      </w:r>
      <w:r w:rsidR="000F4505" w:rsidRPr="00386CD6">
        <w:t>”</w:t>
      </w:r>
      <w:r w:rsidRPr="00386CD6">
        <w:t>).</w:t>
      </w:r>
    </w:p>
    <w:p w:rsidR="00CB114F" w:rsidRPr="00386CD6" w:rsidRDefault="00CB114F" w:rsidP="00F01D68"/>
    <w:p w:rsidR="00C26019" w:rsidRPr="00386CD6" w:rsidRDefault="00575670" w:rsidP="00F01D68">
      <w:r w:rsidRPr="00386CD6">
        <w:fldChar w:fldCharType="begin"/>
      </w:r>
      <w:r w:rsidRPr="00386CD6">
        <w:instrText xml:space="preserve"> AUTONUM  </w:instrText>
      </w:r>
      <w:r w:rsidRPr="00386CD6">
        <w:fldChar w:fldCharType="end"/>
      </w:r>
      <w:r w:rsidRPr="00386CD6">
        <w:tab/>
      </w:r>
      <w:r w:rsidR="00C21A90" w:rsidRPr="00386CD6">
        <w:t>Les</w:t>
      </w:r>
      <w:r w:rsidRPr="00386CD6">
        <w:t xml:space="preserve"> 7 </w:t>
      </w:r>
      <w:r w:rsidR="00C21A90" w:rsidRPr="00386CD6">
        <w:t>et</w:t>
      </w:r>
      <w:r w:rsidRPr="00386CD6">
        <w:t xml:space="preserve"> </w:t>
      </w:r>
      <w:r w:rsidR="00C56BCE" w:rsidRPr="00386CD6">
        <w:t>8 octobre</w:t>
      </w:r>
      <w:r w:rsidRPr="00386CD6">
        <w:t xml:space="preserve">, </w:t>
      </w:r>
      <w:r w:rsidR="00C21A90" w:rsidRPr="00386CD6">
        <w:t>à</w:t>
      </w:r>
      <w:r w:rsidRPr="00386CD6">
        <w:t xml:space="preserve"> Ankara (Tur</w:t>
      </w:r>
      <w:r w:rsidR="00C21A90" w:rsidRPr="00386CD6">
        <w:t>quie</w:t>
      </w:r>
      <w:r w:rsidRPr="00386CD6">
        <w:t xml:space="preserve">), </w:t>
      </w:r>
      <w:r w:rsidR="00C26019" w:rsidRPr="00386CD6">
        <w:t>le Bure</w:t>
      </w:r>
      <w:r w:rsidR="00C41551" w:rsidRPr="00386CD6">
        <w:t xml:space="preserve">au a présenté des exposés sur la </w:t>
      </w:r>
      <w:r w:rsidR="00C56BCE" w:rsidRPr="00386CD6">
        <w:t>Convention UPOV</w:t>
      </w:r>
      <w:r w:rsidR="00C26019" w:rsidRPr="00386CD6">
        <w:t xml:space="preserve"> à une mission d</w:t>
      </w:r>
      <w:r w:rsidR="00C56BCE" w:rsidRPr="00386CD6">
        <w:t>’</w:t>
      </w:r>
      <w:r w:rsidR="00C26019" w:rsidRPr="00386CD6">
        <w:t>experts du programme TAIEX</w:t>
      </w:r>
      <w:r w:rsidRPr="00386CD6">
        <w:t xml:space="preserve"> </w:t>
      </w:r>
      <w:r w:rsidR="00C26019" w:rsidRPr="00386CD6">
        <w:t>concernant l</w:t>
      </w:r>
      <w:r w:rsidR="00C56BCE" w:rsidRPr="00386CD6">
        <w:t>’</w:t>
      </w:r>
      <w:r w:rsidR="00C26019" w:rsidRPr="00386CD6">
        <w:t>examen des demandes et l</w:t>
      </w:r>
      <w:r w:rsidR="00C56BCE" w:rsidRPr="00386CD6">
        <w:t>’</w:t>
      </w:r>
      <w:r w:rsidR="00C26019" w:rsidRPr="00386CD6">
        <w:t>octroi de droits d</w:t>
      </w:r>
      <w:r w:rsidR="00C56BCE" w:rsidRPr="00386CD6">
        <w:t>’</w:t>
      </w:r>
      <w:r w:rsidR="00C26019" w:rsidRPr="00386CD6">
        <w:t xml:space="preserve">obtenteur pour des obtentions végétales, </w:t>
      </w:r>
      <w:r w:rsidR="00AC5736" w:rsidRPr="00386CD6">
        <w:t>et a échangé</w:t>
      </w:r>
      <w:r w:rsidR="00C26019" w:rsidRPr="00386CD6">
        <w:t xml:space="preserve"> de</w:t>
      </w:r>
      <w:r w:rsidR="00AC5736" w:rsidRPr="00386CD6">
        <w:t>s</w:t>
      </w:r>
      <w:r w:rsidR="00C26019" w:rsidRPr="00386CD6">
        <w:t xml:space="preserve"> données d</w:t>
      </w:r>
      <w:r w:rsidR="00C56BCE" w:rsidRPr="00386CD6">
        <w:t>’</w:t>
      </w:r>
      <w:r w:rsidR="00C26019" w:rsidRPr="00386CD6">
        <w:t xml:space="preserve">expérience au sujet des aspects juridiques de la </w:t>
      </w:r>
      <w:r w:rsidR="00C56BCE" w:rsidRPr="00386CD6">
        <w:t>Convention UPOV</w:t>
      </w:r>
      <w:r w:rsidR="00C26019" w:rsidRPr="00386CD6">
        <w:t xml:space="preserve"> et de leur mise en œuvre.</w:t>
      </w:r>
    </w:p>
    <w:p w:rsidR="00CB114F" w:rsidRPr="00386CD6" w:rsidRDefault="00CB114F" w:rsidP="00F01D68"/>
    <w:p w:rsidR="00C56BCE" w:rsidRPr="00386CD6" w:rsidRDefault="00344B29" w:rsidP="00F01D68">
      <w:r w:rsidRPr="00386CD6">
        <w:fldChar w:fldCharType="begin"/>
      </w:r>
      <w:r w:rsidRPr="00386CD6">
        <w:instrText xml:space="preserve"> AUTONUM  </w:instrText>
      </w:r>
      <w:r w:rsidRPr="00386CD6">
        <w:fldChar w:fldCharType="end"/>
      </w:r>
      <w:r w:rsidRPr="00386CD6">
        <w:tab/>
      </w:r>
      <w:r w:rsidR="00C26019" w:rsidRPr="00386CD6">
        <w:t>Le</w:t>
      </w:r>
      <w:r w:rsidRPr="00386CD6">
        <w:t xml:space="preserve"> </w:t>
      </w:r>
      <w:r w:rsidR="00C56BCE" w:rsidRPr="00386CD6">
        <w:t>8 octobre</w:t>
      </w:r>
      <w:r w:rsidRPr="00386CD6">
        <w:t xml:space="preserve">, </w:t>
      </w:r>
      <w:r w:rsidR="00C26019" w:rsidRPr="00386CD6">
        <w:t>à</w:t>
      </w:r>
      <w:r w:rsidRPr="00386CD6">
        <w:t xml:space="preserve"> Gen</w:t>
      </w:r>
      <w:r w:rsidR="00C26019" w:rsidRPr="00386CD6">
        <w:t>ève</w:t>
      </w:r>
      <w:r w:rsidRPr="00386CD6">
        <w:t xml:space="preserve">, </w:t>
      </w:r>
      <w:r w:rsidR="00C26019" w:rsidRPr="00386CD6">
        <w:t>le Bureau a reçu la visite de M</w:t>
      </w:r>
      <w:r w:rsidRPr="00386CD6">
        <w:t>.</w:t>
      </w:r>
      <w:r w:rsidR="000F4505" w:rsidRPr="00386CD6">
        <w:t> </w:t>
      </w:r>
      <w:r w:rsidR="003A5FA1" w:rsidRPr="00386CD6">
        <w:t xml:space="preserve">Hernán Nuñez Rocha, </w:t>
      </w:r>
      <w:r w:rsidR="001E7FED" w:rsidRPr="00386CD6">
        <w:t>d</w:t>
      </w:r>
      <w:r w:rsidR="003A5FA1" w:rsidRPr="00386CD6">
        <w:t>irect</w:t>
      </w:r>
      <w:r w:rsidR="001E7FED" w:rsidRPr="00386CD6">
        <w:t>eu</w:t>
      </w:r>
      <w:r w:rsidR="003A5FA1" w:rsidRPr="00386CD6">
        <w:t>r</w:t>
      </w:r>
      <w:r w:rsidR="001E7FED" w:rsidRPr="00386CD6">
        <w:t xml:space="preserve"> exécutif de l</w:t>
      </w:r>
      <w:r w:rsidR="00C56BCE" w:rsidRPr="00386CD6">
        <w:t>’</w:t>
      </w:r>
      <w:r w:rsidR="001E7FED" w:rsidRPr="00386CD6">
        <w:t>Institut équatorien de la propriété intellectuelle</w:t>
      </w:r>
      <w:r w:rsidR="003A5FA1" w:rsidRPr="00386CD6">
        <w:t xml:space="preserve"> </w:t>
      </w:r>
      <w:r w:rsidR="001E7FED" w:rsidRPr="00386CD6">
        <w:t>(Équateur)</w:t>
      </w:r>
      <w:r w:rsidR="003A5FA1" w:rsidRPr="00386CD6">
        <w:t>,</w:t>
      </w:r>
      <w:r w:rsidRPr="00386CD6">
        <w:t xml:space="preserve"> </w:t>
      </w:r>
      <w:r w:rsidR="001E7FED" w:rsidRPr="00386CD6">
        <w:t>et débattu des possibilités d</w:t>
      </w:r>
      <w:r w:rsidR="00C56BCE" w:rsidRPr="00386CD6">
        <w:t>’</w:t>
      </w:r>
      <w:r w:rsidR="00C41551" w:rsidRPr="00386CD6">
        <w:t>activités conjointes en matière</w:t>
      </w:r>
      <w:r w:rsidR="001E7FED" w:rsidRPr="00386CD6">
        <w:t xml:space="preserve"> de renforcement des capacités dans ce pays</w:t>
      </w:r>
      <w:r w:rsidR="003A5FA1" w:rsidRPr="00386CD6">
        <w:t>.</w:t>
      </w:r>
    </w:p>
    <w:p w:rsidR="00CB114F" w:rsidRPr="00386CD6" w:rsidRDefault="00CB114F" w:rsidP="00F01D68"/>
    <w:p w:rsidR="00CB114F" w:rsidRPr="00386CD6" w:rsidRDefault="00AC2B1E" w:rsidP="00F01D68">
      <w:r w:rsidRPr="00386CD6">
        <w:fldChar w:fldCharType="begin"/>
      </w:r>
      <w:r w:rsidRPr="00386CD6">
        <w:instrText xml:space="preserve"> AUTONUM  </w:instrText>
      </w:r>
      <w:r w:rsidRPr="00386CD6">
        <w:fldChar w:fldCharType="end"/>
      </w:r>
      <w:r w:rsidRPr="00386CD6">
        <w:tab/>
      </w:r>
      <w:r w:rsidR="00C9588E" w:rsidRPr="00386CD6">
        <w:t xml:space="preserve">Le </w:t>
      </w:r>
      <w:r w:rsidR="00C56BCE" w:rsidRPr="00386CD6">
        <w:t>8 octobre</w:t>
      </w:r>
      <w:r w:rsidR="00C9588E" w:rsidRPr="00386CD6">
        <w:t>, à Genève, le Bureau a participé à une réunion électronique via l</w:t>
      </w:r>
      <w:r w:rsidR="00C56BCE" w:rsidRPr="00386CD6">
        <w:t>’</w:t>
      </w:r>
      <w:r w:rsidR="00C9588E" w:rsidRPr="00386CD6">
        <w:t>Internet avec des représentants du Comité directeur du Projet mondial sur les semences (FAO, ISF, ISTA, OCDE et UPOV) pour examiner l</w:t>
      </w:r>
      <w:r w:rsidR="00C56BCE" w:rsidRPr="00386CD6">
        <w:t>’</w:t>
      </w:r>
      <w:r w:rsidR="00C9588E" w:rsidRPr="00386CD6">
        <w:t>état d</w:t>
      </w:r>
      <w:r w:rsidR="00C56BCE" w:rsidRPr="00386CD6">
        <w:t>’</w:t>
      </w:r>
      <w:r w:rsidR="00C9588E" w:rsidRPr="00386CD6">
        <w:t>avancement du proj</w:t>
      </w:r>
      <w:r w:rsidR="00EB43E9" w:rsidRPr="00386CD6">
        <w:t>et.  Un</w:t>
      </w:r>
      <w:r w:rsidR="001E7FED" w:rsidRPr="00386CD6">
        <w:t>e réunion électronique</w:t>
      </w:r>
      <w:r w:rsidRPr="00386CD6">
        <w:t xml:space="preserve"> </w:t>
      </w:r>
      <w:r w:rsidR="001E7FED" w:rsidRPr="00386CD6">
        <w:t>supplémentaire a eu lieu le</w:t>
      </w:r>
      <w:r w:rsidR="00CD71C5" w:rsidRPr="00386CD6">
        <w:t> 11</w:t>
      </w:r>
      <w:r w:rsidR="001E7FED" w:rsidRPr="00386CD6">
        <w:t> décembre</w:t>
      </w:r>
      <w:r w:rsidR="00CD71C5" w:rsidRPr="00386CD6">
        <w:t>.</w:t>
      </w:r>
    </w:p>
    <w:p w:rsidR="00CB114F" w:rsidRPr="00386CD6" w:rsidRDefault="00CB114F" w:rsidP="00F01D68"/>
    <w:p w:rsidR="00CB114F" w:rsidRPr="00386CD6" w:rsidRDefault="00126E6C" w:rsidP="00F01D68">
      <w:r w:rsidRPr="00386CD6">
        <w:fldChar w:fldCharType="begin"/>
      </w:r>
      <w:r w:rsidRPr="00386CD6">
        <w:instrText xml:space="preserve"> AUTONUM  </w:instrText>
      </w:r>
      <w:r w:rsidRPr="00386CD6">
        <w:fldChar w:fldCharType="end"/>
      </w:r>
      <w:r w:rsidRPr="00386CD6">
        <w:tab/>
      </w:r>
      <w:r w:rsidR="001E7FED" w:rsidRPr="00386CD6">
        <w:t>Le</w:t>
      </w:r>
      <w:r w:rsidRPr="00386CD6">
        <w:t xml:space="preserve"> </w:t>
      </w:r>
      <w:r w:rsidR="00C56BCE" w:rsidRPr="00386CD6">
        <w:t>9 octobre</w:t>
      </w:r>
      <w:r w:rsidRPr="00386CD6">
        <w:t xml:space="preserve">, </w:t>
      </w:r>
      <w:r w:rsidR="001E7FED" w:rsidRPr="00386CD6">
        <w:t>à Genève</w:t>
      </w:r>
      <w:r w:rsidRPr="00386CD6">
        <w:t xml:space="preserve">, </w:t>
      </w:r>
      <w:r w:rsidR="001E7FED" w:rsidRPr="00386CD6">
        <w:t>le Bureau a reçu la visite de Mme</w:t>
      </w:r>
      <w:r w:rsidR="000F4505" w:rsidRPr="00386CD6">
        <w:t> </w:t>
      </w:r>
      <w:r w:rsidRPr="00386CD6">
        <w:t xml:space="preserve">Lilyclaire Bellamy, </w:t>
      </w:r>
      <w:r w:rsidR="001E7FED" w:rsidRPr="00386CD6">
        <w:t>d</w:t>
      </w:r>
      <w:r w:rsidRPr="00386CD6">
        <w:t>irectr</w:t>
      </w:r>
      <w:r w:rsidR="001E7FED" w:rsidRPr="00386CD6">
        <w:t>ice exécutive</w:t>
      </w:r>
      <w:r w:rsidRPr="00386CD6">
        <w:t xml:space="preserve"> </w:t>
      </w:r>
      <w:r w:rsidR="001E7FED" w:rsidRPr="00386CD6">
        <w:t>de l</w:t>
      </w:r>
      <w:r w:rsidR="00C56BCE" w:rsidRPr="00386CD6">
        <w:t>’</w:t>
      </w:r>
      <w:r w:rsidR="001E7FED" w:rsidRPr="00386CD6">
        <w:t>Office jamaïcain de la propriété intellectuelle</w:t>
      </w:r>
      <w:r w:rsidRPr="00386CD6">
        <w:t xml:space="preserve">, </w:t>
      </w:r>
      <w:r w:rsidR="00C41551" w:rsidRPr="00386CD6">
        <w:t>pour</w:t>
      </w:r>
      <w:r w:rsidR="001E7FED" w:rsidRPr="00386CD6">
        <w:t xml:space="preserve"> discut</w:t>
      </w:r>
      <w:r w:rsidR="00C41551" w:rsidRPr="00386CD6">
        <w:t>er</w:t>
      </w:r>
      <w:r w:rsidR="001E7FED" w:rsidRPr="00386CD6">
        <w:t xml:space="preserve"> </w:t>
      </w:r>
      <w:r w:rsidR="00C41551" w:rsidRPr="00386CD6">
        <w:t>des dernières évolutions</w:t>
      </w:r>
      <w:r w:rsidR="001E7FED" w:rsidRPr="00386CD6">
        <w:t xml:space="preserve"> en Jamaïque</w:t>
      </w:r>
      <w:r w:rsidR="00CD71C5" w:rsidRPr="00386CD6">
        <w:t>.</w:t>
      </w:r>
    </w:p>
    <w:p w:rsidR="00CB114F" w:rsidRPr="00386CD6" w:rsidRDefault="00CB114F" w:rsidP="00F01D68"/>
    <w:p w:rsidR="00CB114F" w:rsidRPr="00386CD6" w:rsidRDefault="00B73634" w:rsidP="00F01D68">
      <w:r w:rsidRPr="00386CD6">
        <w:fldChar w:fldCharType="begin"/>
      </w:r>
      <w:r w:rsidRPr="00386CD6">
        <w:instrText xml:space="preserve"> AUTONUM  </w:instrText>
      </w:r>
      <w:r w:rsidRPr="00386CD6">
        <w:fldChar w:fldCharType="end"/>
      </w:r>
      <w:r w:rsidRPr="00386CD6">
        <w:tab/>
      </w:r>
      <w:r w:rsidR="001E7FED" w:rsidRPr="00386CD6">
        <w:t xml:space="preserve">Le </w:t>
      </w:r>
      <w:r w:rsidR="00C56BCE" w:rsidRPr="00386CD6">
        <w:t>9 octobre</w:t>
      </w:r>
      <w:r w:rsidR="001E7FED" w:rsidRPr="00386CD6">
        <w:t xml:space="preserve">, à Genève, le Bureau a reçu la visite de </w:t>
      </w:r>
      <w:r w:rsidRPr="00386CD6">
        <w:t>M.</w:t>
      </w:r>
      <w:r w:rsidR="000F4505" w:rsidRPr="00386CD6">
        <w:t> </w:t>
      </w:r>
      <w:r w:rsidR="000179C9" w:rsidRPr="00386CD6">
        <w:t>Alhaji</w:t>
      </w:r>
      <w:r w:rsidR="002D613F" w:rsidRPr="00386CD6">
        <w:t> </w:t>
      </w:r>
      <w:r w:rsidRPr="00386CD6">
        <w:t>Tejan</w:t>
      </w:r>
      <w:r w:rsidR="00C57B61" w:rsidRPr="00386CD6">
        <w:noBreakHyphen/>
      </w:r>
      <w:r w:rsidRPr="00386CD6">
        <w:t xml:space="preserve">Cole, </w:t>
      </w:r>
      <w:r w:rsidR="00D42EF8" w:rsidRPr="00386CD6">
        <w:t>conseiller juridique</w:t>
      </w:r>
      <w:r w:rsidR="00C93C03" w:rsidRPr="00386CD6">
        <w:t xml:space="preserve"> à l’</w:t>
      </w:r>
      <w:r w:rsidRPr="00386CD6">
        <w:t xml:space="preserve">AATF, </w:t>
      </w:r>
      <w:r w:rsidR="00D42EF8" w:rsidRPr="00386CD6">
        <w:t>avec lequel il s</w:t>
      </w:r>
      <w:r w:rsidR="00C56BCE" w:rsidRPr="00386CD6">
        <w:t>’</w:t>
      </w:r>
      <w:r w:rsidR="00D42EF8" w:rsidRPr="00386CD6">
        <w:t>est entretenu des faits nouveaux à l</w:t>
      </w:r>
      <w:r w:rsidR="00C56BCE" w:rsidRPr="00386CD6">
        <w:t>’</w:t>
      </w:r>
      <w:r w:rsidR="00D42EF8" w:rsidRPr="00386CD6">
        <w:t>AATF et à l</w:t>
      </w:r>
      <w:r w:rsidR="00C56BCE" w:rsidRPr="00386CD6">
        <w:t>’</w:t>
      </w:r>
      <w:r w:rsidR="00D42EF8" w:rsidRPr="00386CD6">
        <w:t>UPOV</w:t>
      </w:r>
      <w:r w:rsidR="00CD71C5" w:rsidRPr="00386CD6">
        <w:t>.</w:t>
      </w:r>
    </w:p>
    <w:p w:rsidR="00CB114F" w:rsidRPr="00386CD6" w:rsidRDefault="00CB114F" w:rsidP="00F01D68"/>
    <w:p w:rsidR="00CB114F" w:rsidRPr="00386CD6" w:rsidRDefault="008C1786" w:rsidP="00F01D68">
      <w:r w:rsidRPr="00386CD6">
        <w:fldChar w:fldCharType="begin"/>
      </w:r>
      <w:r w:rsidRPr="00386CD6">
        <w:instrText xml:space="preserve"> AUTONUM  </w:instrText>
      </w:r>
      <w:r w:rsidRPr="00386CD6">
        <w:fldChar w:fldCharType="end"/>
      </w:r>
      <w:r w:rsidRPr="00386CD6">
        <w:tab/>
      </w:r>
      <w:r w:rsidR="001E7FED" w:rsidRPr="00386CD6">
        <w:t xml:space="preserve">Le </w:t>
      </w:r>
      <w:r w:rsidR="00C56BCE" w:rsidRPr="00386CD6">
        <w:t>9 octobre</w:t>
      </w:r>
      <w:r w:rsidR="001E7FED" w:rsidRPr="00386CD6">
        <w:t xml:space="preserve">, à Genève, le Bureau a reçu la visite de </w:t>
      </w:r>
      <w:r w:rsidRPr="00386CD6">
        <w:t>M.</w:t>
      </w:r>
      <w:r w:rsidR="000F4505" w:rsidRPr="00386CD6">
        <w:t> </w:t>
      </w:r>
      <w:r w:rsidRPr="00386CD6">
        <w:t xml:space="preserve">Octavian Apostol, </w:t>
      </w:r>
      <w:r w:rsidR="00D42EF8" w:rsidRPr="00386CD6">
        <w:t>directeur général de l</w:t>
      </w:r>
      <w:r w:rsidR="00C56BCE" w:rsidRPr="00386CD6">
        <w:t>’</w:t>
      </w:r>
      <w:r w:rsidR="00D42EF8" w:rsidRPr="00386CD6">
        <w:t>AGEPI, Mme</w:t>
      </w:r>
      <w:r w:rsidR="000F4505" w:rsidRPr="00386CD6">
        <w:t> </w:t>
      </w:r>
      <w:r w:rsidRPr="00386CD6">
        <w:t>Svetlana</w:t>
      </w:r>
      <w:r w:rsidR="002D613F" w:rsidRPr="00386CD6">
        <w:t> </w:t>
      </w:r>
      <w:r w:rsidRPr="00386CD6">
        <w:t xml:space="preserve">Munteanu, </w:t>
      </w:r>
      <w:r w:rsidR="00D42EF8" w:rsidRPr="00386CD6">
        <w:t>directrice générale adjointe</w:t>
      </w:r>
      <w:r w:rsidRPr="00386CD6">
        <w:t xml:space="preserve">, </w:t>
      </w:r>
      <w:r w:rsidR="00D42EF8" w:rsidRPr="00386CD6">
        <w:t>et</w:t>
      </w:r>
      <w:r w:rsidRPr="00386CD6">
        <w:t xml:space="preserve"> </w:t>
      </w:r>
      <w:r w:rsidR="00D42EF8" w:rsidRPr="00386CD6">
        <w:t>S</w:t>
      </w:r>
      <w:r w:rsidRPr="00386CD6">
        <w:t>.E.</w:t>
      </w:r>
      <w:r w:rsidR="00EB43E9" w:rsidRPr="00386CD6">
        <w:t> </w:t>
      </w:r>
      <w:r w:rsidRPr="00386CD6">
        <w:t>M</w:t>
      </w:r>
      <w:r w:rsidR="00D42EF8" w:rsidRPr="00386CD6">
        <w:t>.</w:t>
      </w:r>
      <w:r w:rsidR="000F4505" w:rsidRPr="00386CD6">
        <w:t> </w:t>
      </w:r>
      <w:r w:rsidR="00D42EF8" w:rsidRPr="00386CD6">
        <w:t>Victor Moraru, ambassadeu</w:t>
      </w:r>
      <w:r w:rsidRPr="00386CD6">
        <w:t xml:space="preserve">r </w:t>
      </w:r>
      <w:r w:rsidR="00D42EF8" w:rsidRPr="00386CD6">
        <w:t>et représentant p</w:t>
      </w:r>
      <w:r w:rsidRPr="00386CD6">
        <w:t xml:space="preserve">ermanent </w:t>
      </w:r>
      <w:r w:rsidR="00D42EF8" w:rsidRPr="00386CD6">
        <w:t>de la République</w:t>
      </w:r>
      <w:r w:rsidRPr="00386CD6">
        <w:t xml:space="preserve"> </w:t>
      </w:r>
      <w:r w:rsidR="00D42EF8" w:rsidRPr="00386CD6">
        <w:t>de</w:t>
      </w:r>
      <w:r w:rsidRPr="00386CD6">
        <w:t xml:space="preserve"> Moldo</w:t>
      </w:r>
      <w:r w:rsidR="00EB43E9" w:rsidRPr="00386CD6">
        <w:t>va.  La</w:t>
      </w:r>
      <w:r w:rsidRPr="00386CD6">
        <w:t xml:space="preserve"> </w:t>
      </w:r>
      <w:r w:rsidR="00D42EF8" w:rsidRPr="00386CD6">
        <w:t>délégation</w:t>
      </w:r>
      <w:r w:rsidRPr="00386CD6">
        <w:t xml:space="preserve"> </w:t>
      </w:r>
      <w:r w:rsidR="00D42EF8" w:rsidRPr="00386CD6">
        <w:t>était accompagnée par</w:t>
      </w:r>
      <w:r w:rsidRPr="00386CD6">
        <w:t xml:space="preserve"> M</w:t>
      </w:r>
      <w:r w:rsidR="00D42EF8" w:rsidRPr="00386CD6">
        <w:t>me</w:t>
      </w:r>
      <w:r w:rsidR="000F4505" w:rsidRPr="00386CD6">
        <w:t> </w:t>
      </w:r>
      <w:r w:rsidR="00C93C03" w:rsidRPr="00386CD6">
        <w:t>Virag </w:t>
      </w:r>
      <w:r w:rsidRPr="00386CD6">
        <w:t xml:space="preserve">Halgand, </w:t>
      </w:r>
      <w:r w:rsidR="00D42EF8" w:rsidRPr="00386CD6">
        <w:t>responsable du</w:t>
      </w:r>
      <w:r w:rsidR="00D42EF8" w:rsidRPr="00386CD6">
        <w:rPr>
          <w:rFonts w:cs="Arial"/>
        </w:rPr>
        <w:t xml:space="preserve"> </w:t>
      </w:r>
      <w:r w:rsidR="00D42EF8" w:rsidRPr="00386CD6">
        <w:t>Département pour les pays en transition et les pays développés de l</w:t>
      </w:r>
      <w:r w:rsidR="00C56BCE" w:rsidRPr="00386CD6">
        <w:t>’</w:t>
      </w:r>
      <w:r w:rsidR="00D42EF8" w:rsidRPr="00386CD6">
        <w:t>O</w:t>
      </w:r>
      <w:r w:rsidR="00EB43E9" w:rsidRPr="00386CD6">
        <w:t>MPI.  Le</w:t>
      </w:r>
      <w:r w:rsidRPr="00386CD6">
        <w:t xml:space="preserve"> </w:t>
      </w:r>
      <w:r w:rsidR="00D42EF8" w:rsidRPr="00386CD6">
        <w:t>Bureau a rendu compte de sa récente participation à l</w:t>
      </w:r>
      <w:r w:rsidR="00C56BCE" w:rsidRPr="00386CD6">
        <w:t>’</w:t>
      </w:r>
      <w:r w:rsidR="00D42EF8" w:rsidRPr="00386CD6">
        <w:t>atelier sur la protection des obtentions végétales et la défense des droits d</w:t>
      </w:r>
      <w:r w:rsidR="00C56BCE" w:rsidRPr="00386CD6">
        <w:t>’</w:t>
      </w:r>
      <w:r w:rsidR="00D42EF8" w:rsidRPr="00386CD6">
        <w:t>obtenteur</w:t>
      </w:r>
      <w:r w:rsidRPr="00386CD6">
        <w:t xml:space="preserve"> </w:t>
      </w:r>
      <w:r w:rsidR="00D42EF8" w:rsidRPr="00386CD6">
        <w:t>organisé en République de Moldova dans le cadre du programme</w:t>
      </w:r>
      <w:r w:rsidRPr="00386CD6">
        <w:t xml:space="preserve"> TAIEX </w:t>
      </w:r>
      <w:r w:rsidR="0067407B" w:rsidRPr="00386CD6">
        <w:t>(</w:t>
      </w:r>
      <w:r w:rsidR="00D42EF8" w:rsidRPr="00386CD6">
        <w:t xml:space="preserve">voir </w:t>
      </w:r>
      <w:r w:rsidR="0067407B" w:rsidRPr="00386CD6">
        <w:t>paragraph</w:t>
      </w:r>
      <w:r w:rsidR="00D42EF8" w:rsidRPr="00386CD6">
        <w:t>e</w:t>
      </w:r>
      <w:r w:rsidR="000F4505" w:rsidRPr="00386CD6">
        <w:t> </w:t>
      </w:r>
      <w:r w:rsidR="00FE6DE6" w:rsidRPr="00386CD6">
        <w:t>3</w:t>
      </w:r>
      <w:r w:rsidR="00CD71C5" w:rsidRPr="00386CD6">
        <w:t>7</w:t>
      </w:r>
      <w:r w:rsidR="002A0C88" w:rsidRPr="00386CD6">
        <w:t xml:space="preserve">) </w:t>
      </w:r>
      <w:r w:rsidR="001F30D4" w:rsidRPr="00386CD6">
        <w:t>et évoqué la</w:t>
      </w:r>
      <w:r w:rsidR="002A0C88" w:rsidRPr="00386CD6">
        <w:t xml:space="preserve"> </w:t>
      </w:r>
      <w:r w:rsidR="001F30D4" w:rsidRPr="00386CD6">
        <w:t>coopération entre</w:t>
      </w:r>
      <w:r w:rsidR="002A0C88" w:rsidRPr="00386CD6">
        <w:t xml:space="preserve"> </w:t>
      </w:r>
      <w:r w:rsidR="001F30D4" w:rsidRPr="00386CD6">
        <w:t>l</w:t>
      </w:r>
      <w:r w:rsidR="00C56BCE" w:rsidRPr="00386CD6">
        <w:t>’</w:t>
      </w:r>
      <w:r w:rsidR="002A0C88" w:rsidRPr="00386CD6">
        <w:t xml:space="preserve">UPOV </w:t>
      </w:r>
      <w:r w:rsidR="001F30D4" w:rsidRPr="00386CD6">
        <w:t>et la</w:t>
      </w:r>
      <w:r w:rsidR="002A0C88" w:rsidRPr="00386CD6">
        <w:t xml:space="preserve"> </w:t>
      </w:r>
      <w:r w:rsidR="001F30D4" w:rsidRPr="00386CD6">
        <w:t>République</w:t>
      </w:r>
      <w:r w:rsidR="002A0C88" w:rsidRPr="00386CD6">
        <w:t xml:space="preserve"> </w:t>
      </w:r>
      <w:r w:rsidR="001F30D4" w:rsidRPr="00386CD6">
        <w:t>de</w:t>
      </w:r>
      <w:r w:rsidR="002A0C88" w:rsidRPr="00386CD6">
        <w:t xml:space="preserve"> Moldo</w:t>
      </w:r>
      <w:r w:rsidR="00CD71C5" w:rsidRPr="00386CD6">
        <w:t xml:space="preserve">va </w:t>
      </w:r>
      <w:r w:rsidR="001F30D4" w:rsidRPr="00386CD6">
        <w:t>en matière de protection des obtentions végétales</w:t>
      </w:r>
      <w:r w:rsidR="00CD71C5" w:rsidRPr="00386CD6">
        <w:t>.</w:t>
      </w:r>
    </w:p>
    <w:p w:rsidR="00CB114F" w:rsidRPr="00386CD6" w:rsidRDefault="00CB114F" w:rsidP="00F01D68"/>
    <w:p w:rsidR="00CB114F" w:rsidRPr="00386CD6" w:rsidRDefault="0017154D" w:rsidP="00F01D68">
      <w:r w:rsidRPr="00386CD6">
        <w:fldChar w:fldCharType="begin"/>
      </w:r>
      <w:r w:rsidRPr="00386CD6">
        <w:instrText xml:space="preserve"> AUTONUM  </w:instrText>
      </w:r>
      <w:r w:rsidRPr="00386CD6">
        <w:fldChar w:fldCharType="end"/>
      </w:r>
      <w:r w:rsidRPr="00386CD6">
        <w:tab/>
      </w:r>
      <w:r w:rsidR="001F30D4" w:rsidRPr="00386CD6">
        <w:t xml:space="preserve">Le </w:t>
      </w:r>
      <w:r w:rsidR="00C56BCE" w:rsidRPr="00386CD6">
        <w:t>9 octobre</w:t>
      </w:r>
      <w:r w:rsidR="001F30D4" w:rsidRPr="00386CD6">
        <w:t>, à Genève, le Bureau a reçu la visite de Mme</w:t>
      </w:r>
      <w:r w:rsidR="000F4505" w:rsidRPr="00386CD6">
        <w:t> </w:t>
      </w:r>
      <w:r w:rsidRPr="00386CD6">
        <w:t xml:space="preserve">Heather Clarke, </w:t>
      </w:r>
      <w:r w:rsidR="001F30D4" w:rsidRPr="00386CD6">
        <w:t>directrice de l</w:t>
      </w:r>
      <w:r w:rsidR="00C56BCE" w:rsidRPr="00386CD6">
        <w:t>’</w:t>
      </w:r>
      <w:r w:rsidR="001F30D4" w:rsidRPr="00386CD6">
        <w:t>enregistrement</w:t>
      </w:r>
      <w:r w:rsidR="00C93C03" w:rsidRPr="00386CD6">
        <w:t xml:space="preserve"> à l’</w:t>
      </w:r>
      <w:r w:rsidR="001F30D4" w:rsidRPr="00386CD6">
        <w:t>Office des questions relatives aux sociétés et à la propriété intellectuelle (Barbade) pour s</w:t>
      </w:r>
      <w:r w:rsidR="00C56BCE" w:rsidRPr="00386CD6">
        <w:t>’</w:t>
      </w:r>
      <w:r w:rsidR="001F30D4" w:rsidRPr="00386CD6">
        <w:t>entretenir des faits nouveaux à la Barbade</w:t>
      </w:r>
      <w:r w:rsidRPr="00386CD6">
        <w:t>.</w:t>
      </w:r>
    </w:p>
    <w:p w:rsidR="00CB114F" w:rsidRPr="00386CD6" w:rsidRDefault="00CB114F" w:rsidP="00F01D68"/>
    <w:p w:rsidR="00CB114F" w:rsidRPr="00386CD6" w:rsidRDefault="00F31054" w:rsidP="00F01D68">
      <w:r w:rsidRPr="00386CD6">
        <w:fldChar w:fldCharType="begin"/>
      </w:r>
      <w:r w:rsidRPr="00386CD6">
        <w:instrText xml:space="preserve"> AUTONUM  </w:instrText>
      </w:r>
      <w:r w:rsidRPr="00386CD6">
        <w:fldChar w:fldCharType="end"/>
      </w:r>
      <w:r w:rsidRPr="00386CD6">
        <w:tab/>
      </w:r>
      <w:r w:rsidR="001F30D4" w:rsidRPr="00386CD6">
        <w:t xml:space="preserve">Le </w:t>
      </w:r>
      <w:r w:rsidR="00C56BCE" w:rsidRPr="00386CD6">
        <w:t>9 octobre</w:t>
      </w:r>
      <w:r w:rsidR="001F30D4" w:rsidRPr="00386CD6">
        <w:t>, à l</w:t>
      </w:r>
      <w:r w:rsidR="00C56BCE" w:rsidRPr="00386CD6">
        <w:t>’</w:t>
      </w:r>
      <w:r w:rsidR="001F30D4" w:rsidRPr="00386CD6">
        <w:t xml:space="preserve">office des </w:t>
      </w:r>
      <w:r w:rsidR="00C56BCE" w:rsidRPr="00386CD6">
        <w:t>Nations Unies</w:t>
      </w:r>
      <w:r w:rsidR="001F30D4" w:rsidRPr="00386CD6">
        <w:t xml:space="preserve"> à Genève</w:t>
      </w:r>
      <w:r w:rsidRPr="00386CD6">
        <w:t xml:space="preserve">, </w:t>
      </w:r>
      <w:r w:rsidR="001F30D4" w:rsidRPr="00386CD6">
        <w:t>le Bureau</w:t>
      </w:r>
      <w:r w:rsidR="005D5375" w:rsidRPr="00386CD6">
        <w:t xml:space="preserve"> a</w:t>
      </w:r>
      <w:r w:rsidR="001F30D4" w:rsidRPr="00386CD6">
        <w:t xml:space="preserve"> participé</w:t>
      </w:r>
      <w:r w:rsidRPr="00386CD6">
        <w:t xml:space="preserve"> </w:t>
      </w:r>
      <w:r w:rsidR="005D5375" w:rsidRPr="00386CD6">
        <w:t>à une conférence de presse</w:t>
      </w:r>
      <w:r w:rsidRPr="00386CD6">
        <w:t xml:space="preserve"> </w:t>
      </w:r>
      <w:r w:rsidR="005D5375" w:rsidRPr="00386CD6">
        <w:t>avec des</w:t>
      </w:r>
      <w:r w:rsidRPr="00386CD6">
        <w:t xml:space="preserve"> </w:t>
      </w:r>
      <w:r w:rsidR="005D5375" w:rsidRPr="00386CD6">
        <w:t>journalistes mexicains au cours de la tournée des médias en Suisse pour les journalistes mexicains</w:t>
      </w:r>
      <w:r w:rsidRPr="00386CD6">
        <w:t xml:space="preserve"> </w:t>
      </w:r>
      <w:r w:rsidR="005D5375" w:rsidRPr="00386CD6">
        <w:t>organisée par le</w:t>
      </w:r>
      <w:r w:rsidRPr="00386CD6">
        <w:t xml:space="preserve"> </w:t>
      </w:r>
      <w:r w:rsidR="005D5375" w:rsidRPr="00386CD6">
        <w:t>Département fédéral des affaires étrangères de Suisse</w:t>
      </w:r>
      <w:r w:rsidR="0051457A" w:rsidRPr="00386CD6">
        <w:t>,</w:t>
      </w:r>
      <w:r w:rsidR="005D5375" w:rsidRPr="00386CD6">
        <w:t xml:space="preserve"> </w:t>
      </w:r>
      <w:r w:rsidR="007E68C1" w:rsidRPr="00386CD6">
        <w:t>et</w:t>
      </w:r>
      <w:r w:rsidR="0051457A" w:rsidRPr="00386CD6">
        <w:t xml:space="preserve"> il a</w:t>
      </w:r>
      <w:r w:rsidR="007E68C1" w:rsidRPr="00386CD6">
        <w:t xml:space="preserve"> présenté un exposé sur l</w:t>
      </w:r>
      <w:r w:rsidR="005D5375" w:rsidRPr="00386CD6">
        <w:t xml:space="preserve">a protection des obtentions végétales dans le cadre de la </w:t>
      </w:r>
      <w:r w:rsidR="00C56BCE" w:rsidRPr="00386CD6">
        <w:t>Convention UPOV</w:t>
      </w:r>
      <w:r w:rsidRPr="00386CD6">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5D5375" w:rsidRPr="00386CD6">
        <w:t>Du</w:t>
      </w:r>
      <w:r w:rsidRPr="00386CD6">
        <w:t xml:space="preserve"> 11 </w:t>
      </w:r>
      <w:r w:rsidR="005D5375" w:rsidRPr="00386CD6">
        <w:t>au</w:t>
      </w:r>
      <w:r w:rsidRPr="00386CD6">
        <w:t xml:space="preserve"> 1</w:t>
      </w:r>
      <w:r w:rsidR="00C56BCE" w:rsidRPr="00386CD6">
        <w:t>3 octobre</w:t>
      </w:r>
      <w:r w:rsidR="005D5375" w:rsidRPr="00386CD6">
        <w:t>, à Vienne (Autriche), le Bureau a assisté à la réunion annuelle de</w:t>
      </w:r>
      <w:r w:rsidR="00EF223A" w:rsidRPr="00386CD6">
        <w:t xml:space="preserve"> </w:t>
      </w:r>
      <w:r w:rsidR="005D5375" w:rsidRPr="00386CD6">
        <w:t>l</w:t>
      </w:r>
      <w:r w:rsidR="00C56BCE" w:rsidRPr="00386CD6">
        <w:t>’</w:t>
      </w:r>
      <w:r w:rsidR="000179C9" w:rsidRPr="00386CD6">
        <w:t>ESA</w:t>
      </w:r>
      <w:r w:rsidR="0059799C" w:rsidRPr="00386CD6">
        <w:t>.</w:t>
      </w:r>
    </w:p>
    <w:p w:rsidR="00CB114F" w:rsidRPr="00386CD6" w:rsidRDefault="00CB114F" w:rsidP="00F01D68"/>
    <w:p w:rsidR="00C56BCE" w:rsidRPr="00386CD6" w:rsidRDefault="00AA3BBA" w:rsidP="00F01D68">
      <w:r w:rsidRPr="00386CD6">
        <w:fldChar w:fldCharType="begin"/>
      </w:r>
      <w:r w:rsidRPr="00386CD6">
        <w:instrText xml:space="preserve"> AUTONUM  </w:instrText>
      </w:r>
      <w:r w:rsidRPr="00386CD6">
        <w:fldChar w:fldCharType="end"/>
      </w:r>
      <w:r w:rsidRPr="00386CD6">
        <w:tab/>
      </w:r>
      <w:r w:rsidR="00C9588E" w:rsidRPr="00386CD6">
        <w:t>Du 12 au 1</w:t>
      </w:r>
      <w:r w:rsidR="00C56BCE" w:rsidRPr="00386CD6">
        <w:t>4 octobre</w:t>
      </w:r>
      <w:r w:rsidR="00C9588E" w:rsidRPr="00386CD6">
        <w:t>, à Genève, le Bureau a mis en place le cours de formation sur les apports de données à la base de données PLUTO, en espagn</w:t>
      </w:r>
      <w:r w:rsidR="00EB43E9" w:rsidRPr="00386CD6">
        <w:t>ol.  Le</w:t>
      </w:r>
      <w:r w:rsidR="005D5375" w:rsidRPr="00386CD6">
        <w:t xml:space="preserve"> cours a été suivi par des participants des pays suivants : Argentine, B</w:t>
      </w:r>
      <w:r w:rsidR="007E68C1" w:rsidRPr="00386CD6">
        <w:t>olivie (État plurinational de)</w:t>
      </w:r>
      <w:r w:rsidR="005D5375" w:rsidRPr="00386CD6">
        <w:t>, Chili, Colombie, Costa Rica, Équateur, Mexiq</w:t>
      </w:r>
      <w:r w:rsidR="007E68C1" w:rsidRPr="00386CD6">
        <w:t>ue, Nicaragua, Panama, Paraguay</w:t>
      </w:r>
      <w:r w:rsidR="005D5375" w:rsidRPr="00386CD6">
        <w:t xml:space="preserve"> et Uruguay.</w:t>
      </w:r>
    </w:p>
    <w:p w:rsidR="00CB114F" w:rsidRPr="00386CD6" w:rsidRDefault="00CB114F" w:rsidP="00F01D68"/>
    <w:p w:rsidR="00CB114F" w:rsidRPr="00386CD6" w:rsidRDefault="00F75ED7" w:rsidP="00F01D68">
      <w:r w:rsidRPr="00386CD6">
        <w:fldChar w:fldCharType="begin"/>
      </w:r>
      <w:r w:rsidRPr="00386CD6">
        <w:instrText xml:space="preserve"> AUTONUM  </w:instrText>
      </w:r>
      <w:r w:rsidRPr="00386CD6">
        <w:fldChar w:fldCharType="end"/>
      </w:r>
      <w:r w:rsidRPr="00386CD6">
        <w:tab/>
      </w:r>
      <w:r w:rsidR="007E68C1" w:rsidRPr="00386CD6">
        <w:t>Le</w:t>
      </w:r>
      <w:r w:rsidRPr="00386CD6">
        <w:t xml:space="preserve"> 1</w:t>
      </w:r>
      <w:r w:rsidR="00C56BCE" w:rsidRPr="00386CD6">
        <w:t>3 octobre</w:t>
      </w:r>
      <w:r w:rsidRPr="00386CD6">
        <w:t xml:space="preserve">, </w:t>
      </w:r>
      <w:r w:rsidR="007E68C1" w:rsidRPr="00386CD6">
        <w:t>à Genève</w:t>
      </w:r>
      <w:r w:rsidR="00372D5C" w:rsidRPr="00386CD6">
        <w:t xml:space="preserve">, </w:t>
      </w:r>
      <w:r w:rsidR="007E68C1" w:rsidRPr="00386CD6">
        <w:t>le Bureau a reçu la visite de Mme</w:t>
      </w:r>
      <w:r w:rsidR="000F4505" w:rsidRPr="00386CD6">
        <w:t> </w:t>
      </w:r>
      <w:r w:rsidRPr="00386CD6">
        <w:t xml:space="preserve">Shahrinah Yusof Khan, </w:t>
      </w:r>
      <w:r w:rsidR="007E68C1" w:rsidRPr="00386CD6">
        <w:t>directrice générale</w:t>
      </w:r>
      <w:r w:rsidRPr="00386CD6">
        <w:t xml:space="preserve"> </w:t>
      </w:r>
      <w:r w:rsidR="007E68C1" w:rsidRPr="00386CD6">
        <w:t>et</w:t>
      </w:r>
      <w:r w:rsidRPr="00386CD6">
        <w:t xml:space="preserve"> </w:t>
      </w:r>
      <w:r w:rsidR="007E68C1" w:rsidRPr="00386CD6">
        <w:t>directrice adjointe de l</w:t>
      </w:r>
      <w:r w:rsidR="00C56BCE" w:rsidRPr="00386CD6">
        <w:t>’</w:t>
      </w:r>
      <w:r w:rsidR="007E68C1" w:rsidRPr="00386CD6">
        <w:t>enregistrement</w:t>
      </w:r>
      <w:r w:rsidR="00C41551" w:rsidRPr="00386CD6">
        <w:t xml:space="preserve"> à</w:t>
      </w:r>
      <w:r w:rsidRPr="00386CD6">
        <w:t xml:space="preserve"> </w:t>
      </w:r>
      <w:r w:rsidR="00C41551" w:rsidRPr="00386CD6">
        <w:t>l</w:t>
      </w:r>
      <w:r w:rsidR="00C56BCE" w:rsidRPr="00386CD6">
        <w:t>’</w:t>
      </w:r>
      <w:r w:rsidR="007E68C1" w:rsidRPr="00386CD6">
        <w:t xml:space="preserve">Office de la propriété intellectuelle du </w:t>
      </w:r>
      <w:r w:rsidRPr="00386CD6">
        <w:t>Brun</w:t>
      </w:r>
      <w:r w:rsidR="007E68C1" w:rsidRPr="00386CD6">
        <w:t>é</w:t>
      </w:r>
      <w:r w:rsidRPr="00386CD6">
        <w:t xml:space="preserve">i Darussalam (BruIPO) </w:t>
      </w:r>
      <w:r w:rsidR="007E68C1" w:rsidRPr="00386CD6">
        <w:t>afin de</w:t>
      </w:r>
      <w:r w:rsidRPr="00386CD6">
        <w:t xml:space="preserve"> </w:t>
      </w:r>
      <w:r w:rsidR="007E68C1" w:rsidRPr="00386CD6">
        <w:t>débattre des faits nouveaux</w:t>
      </w:r>
      <w:r w:rsidRPr="00386CD6">
        <w:t xml:space="preserve"> </w:t>
      </w:r>
      <w:r w:rsidR="007E68C1" w:rsidRPr="00386CD6">
        <w:t>concernant l</w:t>
      </w:r>
      <w:r w:rsidR="00C56BCE" w:rsidRPr="00386CD6">
        <w:t>’</w:t>
      </w:r>
      <w:r w:rsidRPr="00386CD6">
        <w:t xml:space="preserve">UPOV </w:t>
      </w:r>
      <w:r w:rsidR="007E68C1" w:rsidRPr="00386CD6">
        <w:t>et</w:t>
      </w:r>
      <w:r w:rsidR="00C41551" w:rsidRPr="00386CD6">
        <w:t xml:space="preserve"> de</w:t>
      </w:r>
      <w:r w:rsidR="007E68C1" w:rsidRPr="00386CD6">
        <w:t xml:space="preserve"> la</w:t>
      </w:r>
      <w:r w:rsidRPr="00386CD6">
        <w:t xml:space="preserve"> protection </w:t>
      </w:r>
      <w:r w:rsidR="007E68C1" w:rsidRPr="00386CD6">
        <w:t xml:space="preserve">des obtentions végétales </w:t>
      </w:r>
      <w:r w:rsidR="0051457A" w:rsidRPr="00386CD6">
        <w:t>dans le pays</w:t>
      </w:r>
      <w:r w:rsidRPr="00386CD6">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7E68C1" w:rsidRPr="00386CD6">
        <w:t>Le</w:t>
      </w:r>
      <w:r w:rsidR="00772361" w:rsidRPr="00386CD6">
        <w:t xml:space="preserve"> 1</w:t>
      </w:r>
      <w:r w:rsidR="00C56BCE" w:rsidRPr="00386CD6">
        <w:t>5 octobre</w:t>
      </w:r>
      <w:r w:rsidR="00772361" w:rsidRPr="00386CD6">
        <w:t xml:space="preserve">, </w:t>
      </w:r>
      <w:r w:rsidR="007E68C1" w:rsidRPr="00386CD6">
        <w:t>à l</w:t>
      </w:r>
      <w:r w:rsidR="00C56BCE" w:rsidRPr="00386CD6">
        <w:t>’</w:t>
      </w:r>
      <w:r w:rsidR="007E68C1" w:rsidRPr="00386CD6">
        <w:t>exposition universelle de Milan</w:t>
      </w:r>
      <w:r w:rsidR="00772361" w:rsidRPr="00386CD6">
        <w:t xml:space="preserve"> </w:t>
      </w:r>
      <w:r w:rsidR="007E68C1" w:rsidRPr="00386CD6">
        <w:t>(Italie)</w:t>
      </w:r>
      <w:r w:rsidR="00772361" w:rsidRPr="00386CD6">
        <w:t xml:space="preserve">, </w:t>
      </w:r>
      <w:r w:rsidR="007E68C1" w:rsidRPr="00386CD6">
        <w:t>le Bureau a donné une conférence</w:t>
      </w:r>
      <w:r w:rsidR="00772361" w:rsidRPr="00386CD6">
        <w:t xml:space="preserve"> </w:t>
      </w:r>
      <w:r w:rsidR="007E68C1" w:rsidRPr="00386CD6">
        <w:t>lors du séminaire international</w:t>
      </w:r>
      <w:r w:rsidR="001C43F5" w:rsidRPr="00386CD6">
        <w:t xml:space="preserve"> </w:t>
      </w:r>
      <w:r w:rsidR="007E68C1" w:rsidRPr="00386CD6">
        <w:t>de haut niveau s</w:t>
      </w:r>
      <w:r w:rsidR="00D1724F" w:rsidRPr="00386CD6">
        <w:t>ur le thème :</w:t>
      </w:r>
      <w:r w:rsidR="001C43F5" w:rsidRPr="00386CD6">
        <w:t xml:space="preserve"> </w:t>
      </w:r>
      <w:r w:rsidR="00772361" w:rsidRPr="00386CD6">
        <w:t>“</w:t>
      </w:r>
      <w:r w:rsidR="00D1724F" w:rsidRPr="00386CD6">
        <w:t>Les semences, une réponse aux défis alimentaires présents et futurs</w:t>
      </w:r>
      <w:r w:rsidR="00772361" w:rsidRPr="00386CD6">
        <w:t xml:space="preserve">”, </w:t>
      </w:r>
      <w:r w:rsidR="00D1724F" w:rsidRPr="00386CD6">
        <w:t>organisé par un organisme français, le</w:t>
      </w:r>
      <w:r w:rsidR="0087564D" w:rsidRPr="00386CD6">
        <w:rPr>
          <w:lang w:eastAsia="ja-JP"/>
        </w:rPr>
        <w:t xml:space="preserve"> </w:t>
      </w:r>
      <w:r w:rsidR="009A6018" w:rsidRPr="00386CD6">
        <w:rPr>
          <w:lang w:eastAsia="ja-JP"/>
        </w:rPr>
        <w:t>Groupement n</w:t>
      </w:r>
      <w:r w:rsidR="0087564D" w:rsidRPr="00386CD6">
        <w:rPr>
          <w:lang w:eastAsia="ja-JP"/>
        </w:rPr>
        <w:t xml:space="preserve">ational interprofessionnel des semences et plants (GNIS) </w:t>
      </w:r>
      <w:r w:rsidR="00D1724F" w:rsidRPr="00386CD6">
        <w:rPr>
          <w:lang w:eastAsia="ja-JP"/>
        </w:rPr>
        <w:t>et</w:t>
      </w:r>
      <w:r w:rsidR="00C56BCE" w:rsidRPr="00386CD6">
        <w:rPr>
          <w:lang w:eastAsia="ja-JP"/>
        </w:rPr>
        <w:t xml:space="preserve"> la FAO</w:t>
      </w:r>
      <w:r w:rsidR="0087564D" w:rsidRPr="00386CD6">
        <w:rPr>
          <w:lang w:eastAsia="ja-JP"/>
        </w:rPr>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C9588E" w:rsidRPr="00386CD6">
        <w:t>Le 1</w:t>
      </w:r>
      <w:r w:rsidR="00C56BCE" w:rsidRPr="00386CD6">
        <w:t>5 octobre</w:t>
      </w:r>
      <w:r w:rsidR="00C9588E" w:rsidRPr="00386CD6">
        <w:t>, au siège de l</w:t>
      </w:r>
      <w:r w:rsidR="00C56BCE" w:rsidRPr="00386CD6">
        <w:t>’</w:t>
      </w:r>
      <w:r w:rsidR="00C9588E" w:rsidRPr="00386CD6">
        <w:t>OMC à Genève, le Bureau a assisté aux séances de la réunion du Conseil</w:t>
      </w:r>
      <w:r w:rsidR="00C56BCE" w:rsidRPr="00386CD6">
        <w:t xml:space="preserve"> des ADP</w:t>
      </w:r>
      <w:r w:rsidR="00C9588E" w:rsidRPr="00386CD6">
        <w:t>IC</w:t>
      </w:r>
      <w:r w:rsidR="00684CB2" w:rsidRPr="00386CD6">
        <w:t xml:space="preserve"> qui l</w:t>
      </w:r>
      <w:r w:rsidR="00C56BCE" w:rsidRPr="00386CD6">
        <w:t>’</w:t>
      </w:r>
      <w:r w:rsidR="00684CB2" w:rsidRPr="00386CD6">
        <w:t>intéressaient</w:t>
      </w:r>
      <w:r w:rsidR="00C9588E" w:rsidRPr="00386CD6">
        <w:t>.</w:t>
      </w:r>
    </w:p>
    <w:p w:rsidR="00CB114F" w:rsidRPr="00386CD6" w:rsidRDefault="00CB114F" w:rsidP="00F01D68"/>
    <w:p w:rsidR="00CB114F" w:rsidRPr="00386CD6" w:rsidRDefault="008878E8" w:rsidP="00F01D68">
      <w:r w:rsidRPr="00386CD6">
        <w:fldChar w:fldCharType="begin"/>
      </w:r>
      <w:r w:rsidRPr="00386CD6">
        <w:instrText xml:space="preserve"> AUTONUM  </w:instrText>
      </w:r>
      <w:r w:rsidRPr="00386CD6">
        <w:fldChar w:fldCharType="end"/>
      </w:r>
      <w:r w:rsidRPr="00386CD6">
        <w:tab/>
      </w:r>
      <w:r w:rsidR="00D1724F" w:rsidRPr="00386CD6">
        <w:t>Le</w:t>
      </w:r>
      <w:r w:rsidRPr="00386CD6">
        <w:t xml:space="preserve"> 2</w:t>
      </w:r>
      <w:r w:rsidR="00C56BCE" w:rsidRPr="00386CD6">
        <w:t>2 octobre</w:t>
      </w:r>
      <w:r w:rsidR="00D1724F" w:rsidRPr="00386CD6">
        <w:t>, à Genève, le Bureau</w:t>
      </w:r>
      <w:r w:rsidRPr="00386CD6">
        <w:t xml:space="preserve"> </w:t>
      </w:r>
      <w:r w:rsidR="00D1724F" w:rsidRPr="00386CD6">
        <w:t>a reçu la visite de S.E.</w:t>
      </w:r>
      <w:r w:rsidR="00EB43E9" w:rsidRPr="00386CD6">
        <w:t> </w:t>
      </w:r>
      <w:r w:rsidR="00D1724F" w:rsidRPr="00386CD6">
        <w:t>M</w:t>
      </w:r>
      <w:r w:rsidR="00E453C1" w:rsidRPr="00386CD6">
        <w:t>.</w:t>
      </w:r>
      <w:r w:rsidR="000F4505" w:rsidRPr="00386CD6">
        <w:t> </w:t>
      </w:r>
      <w:r w:rsidR="00E453C1" w:rsidRPr="00386CD6">
        <w:t xml:space="preserve">Modest Jonathan Mero, </w:t>
      </w:r>
      <w:r w:rsidR="00D1724F" w:rsidRPr="00386CD6">
        <w:t>ambassadeur</w:t>
      </w:r>
      <w:r w:rsidR="00E453C1" w:rsidRPr="00386CD6">
        <w:t xml:space="preserve"> </w:t>
      </w:r>
      <w:r w:rsidR="00D1724F" w:rsidRPr="00386CD6">
        <w:t>et représentant p</w:t>
      </w:r>
      <w:r w:rsidR="00E453C1" w:rsidRPr="00386CD6">
        <w:t xml:space="preserve">ermanent </w:t>
      </w:r>
      <w:r w:rsidR="00D1724F" w:rsidRPr="00386CD6">
        <w:t>de la République</w:t>
      </w:r>
      <w:r w:rsidR="00C57B61" w:rsidRPr="00386CD6">
        <w:rPr>
          <w:rFonts w:eastAsia="MS Gothic" w:cs="Arial"/>
        </w:rPr>
        <w:noBreakHyphen/>
      </w:r>
      <w:r w:rsidR="00D1724F" w:rsidRPr="00386CD6">
        <w:t>Unie de Tanzanie</w:t>
      </w:r>
      <w:r w:rsidRPr="00386CD6">
        <w:t>,</w:t>
      </w:r>
      <w:r w:rsidR="00E453C1" w:rsidRPr="00386CD6">
        <w:t xml:space="preserve"> </w:t>
      </w:r>
      <w:r w:rsidR="00D1724F" w:rsidRPr="00386CD6">
        <w:t>et</w:t>
      </w:r>
      <w:r w:rsidR="00E453C1" w:rsidRPr="00386CD6">
        <w:t xml:space="preserve"> M.</w:t>
      </w:r>
      <w:r w:rsidR="000F4505" w:rsidRPr="00386CD6">
        <w:t> </w:t>
      </w:r>
      <w:r w:rsidR="00E453C1" w:rsidRPr="00386CD6">
        <w:t>Patrick</w:t>
      </w:r>
      <w:r w:rsidR="002D613F" w:rsidRPr="00386CD6">
        <w:t> </w:t>
      </w:r>
      <w:r w:rsidR="00E453C1" w:rsidRPr="00386CD6">
        <w:t xml:space="preserve">Ngwediagi, </w:t>
      </w:r>
      <w:r w:rsidR="00D1724F" w:rsidRPr="00386CD6">
        <w:t>directeur de l</w:t>
      </w:r>
      <w:r w:rsidR="00C56BCE" w:rsidRPr="00386CD6">
        <w:t>’</w:t>
      </w:r>
      <w:r w:rsidR="00D1724F" w:rsidRPr="00386CD6">
        <w:t>enregistrement</w:t>
      </w:r>
      <w:r w:rsidR="00C93C03" w:rsidRPr="00386CD6">
        <w:t xml:space="preserve"> à l’</w:t>
      </w:r>
      <w:r w:rsidR="00D1724F" w:rsidRPr="00386CD6">
        <w:t>Office des droits d</w:t>
      </w:r>
      <w:r w:rsidR="00C56BCE" w:rsidRPr="00386CD6">
        <w:t>’</w:t>
      </w:r>
      <w:r w:rsidR="00D1724F" w:rsidRPr="00386CD6">
        <w:t>obtenteur</w:t>
      </w:r>
      <w:r w:rsidR="00F35711" w:rsidRPr="00386CD6">
        <w:t xml:space="preserve"> </w:t>
      </w:r>
      <w:r w:rsidR="00D1724F" w:rsidRPr="00386CD6">
        <w:t>(République</w:t>
      </w:r>
      <w:r w:rsidR="00C57B61" w:rsidRPr="00386CD6">
        <w:rPr>
          <w:rFonts w:eastAsia="MS Gothic" w:cs="Arial"/>
        </w:rPr>
        <w:noBreakHyphen/>
      </w:r>
      <w:r w:rsidR="00D1724F" w:rsidRPr="00386CD6">
        <w:t>Unie de Tanzanie)</w:t>
      </w:r>
      <w:r w:rsidR="00F35711" w:rsidRPr="00386CD6">
        <w:t>,</w:t>
      </w:r>
      <w:r w:rsidRPr="00386CD6">
        <w:t xml:space="preserve"> </w:t>
      </w:r>
      <w:r w:rsidR="00D1724F" w:rsidRPr="00386CD6">
        <w:t>qui ont déposé l</w:t>
      </w:r>
      <w:r w:rsidR="00C56BCE" w:rsidRPr="00386CD6">
        <w:t>’</w:t>
      </w:r>
      <w:r w:rsidR="00D1724F" w:rsidRPr="00386CD6">
        <w:t>instrument d</w:t>
      </w:r>
      <w:r w:rsidR="00C56BCE" w:rsidRPr="00386CD6">
        <w:t>’</w:t>
      </w:r>
      <w:r w:rsidR="00D1724F" w:rsidRPr="00386CD6">
        <w:t xml:space="preserve">adhésion de leur pays à la </w:t>
      </w:r>
      <w:r w:rsidR="00C56BCE" w:rsidRPr="00386CD6">
        <w:t>Convention UPOV;</w:t>
      </w:r>
      <w:r w:rsidR="00D1724F" w:rsidRPr="00386CD6">
        <w:t xml:space="preserve"> </w:t>
      </w:r>
      <w:r w:rsidR="000F4505" w:rsidRPr="00386CD6">
        <w:t xml:space="preserve"> </w:t>
      </w:r>
      <w:r w:rsidR="00D1724F" w:rsidRPr="00386CD6">
        <w:t xml:space="preserve">la </w:t>
      </w:r>
      <w:r w:rsidR="00670355" w:rsidRPr="00386CD6">
        <w:t>République</w:t>
      </w:r>
      <w:r w:rsidR="00C57B61" w:rsidRPr="00386CD6">
        <w:rPr>
          <w:rFonts w:eastAsia="MS Gothic" w:cs="Arial"/>
        </w:rPr>
        <w:noBreakHyphen/>
      </w:r>
      <w:r w:rsidR="00670355" w:rsidRPr="00386CD6">
        <w:t xml:space="preserve">Unie de </w:t>
      </w:r>
      <w:r w:rsidR="00D1724F" w:rsidRPr="00386CD6">
        <w:t>Tanzanie est ainsi devenue</w:t>
      </w:r>
      <w:r w:rsidRPr="00386CD6">
        <w:t xml:space="preserve"> </w:t>
      </w:r>
      <w:r w:rsidR="00D1724F" w:rsidRPr="00386CD6">
        <w:t>le soixante</w:t>
      </w:r>
      <w:r w:rsidR="00C57B61" w:rsidRPr="00386CD6">
        <w:noBreakHyphen/>
      </w:r>
      <w:r w:rsidR="00D1724F" w:rsidRPr="00386CD6">
        <w:t>quatorzième membre de l</w:t>
      </w:r>
      <w:r w:rsidR="00C56BCE" w:rsidRPr="00386CD6">
        <w:t>’</w:t>
      </w:r>
      <w:r w:rsidR="00D1724F" w:rsidRPr="00386CD6">
        <w:t>Union le 22 novembre 2015</w:t>
      </w:r>
      <w:r w:rsidRPr="00386CD6">
        <w:t>.</w:t>
      </w:r>
    </w:p>
    <w:p w:rsidR="00CB114F" w:rsidRPr="00386CD6" w:rsidRDefault="00CB114F" w:rsidP="00F01D68"/>
    <w:p w:rsidR="00CB114F" w:rsidRPr="00386CD6" w:rsidRDefault="00A930AA" w:rsidP="00F01D68">
      <w:r w:rsidRPr="00386CD6">
        <w:fldChar w:fldCharType="begin"/>
      </w:r>
      <w:r w:rsidRPr="00386CD6">
        <w:instrText xml:space="preserve"> AUTONUM  </w:instrText>
      </w:r>
      <w:r w:rsidRPr="00386CD6">
        <w:fldChar w:fldCharType="end"/>
      </w:r>
      <w:r w:rsidRPr="00386CD6">
        <w:tab/>
      </w:r>
      <w:r w:rsidR="00670355" w:rsidRPr="00386CD6">
        <w:t>Le 2</w:t>
      </w:r>
      <w:r w:rsidR="00C56BCE" w:rsidRPr="00386CD6">
        <w:t>7 octobre</w:t>
      </w:r>
      <w:r w:rsidR="00670355" w:rsidRPr="00386CD6">
        <w:t>, à Genève, en marge des sessions de l</w:t>
      </w:r>
      <w:r w:rsidR="00C56BCE" w:rsidRPr="00386CD6">
        <w:t>’</w:t>
      </w:r>
      <w:r w:rsidR="00670355" w:rsidRPr="00386CD6">
        <w:t>UPOV, le Bureau a reçu la visite de la délégation des Émirats arabes unis afin de discuter d</w:t>
      </w:r>
      <w:r w:rsidR="00C56BCE" w:rsidRPr="00386CD6">
        <w:t>’</w:t>
      </w:r>
      <w:r w:rsidR="00670355" w:rsidRPr="00386CD6">
        <w:t>une éventuelle activité à</w:t>
      </w:r>
      <w:r w:rsidRPr="00386CD6">
        <w:t xml:space="preserve"> </w:t>
      </w:r>
      <w:r w:rsidR="00670355" w:rsidRPr="00386CD6">
        <w:t>Dubaï</w:t>
      </w:r>
      <w:r w:rsidRPr="00386CD6">
        <w:t xml:space="preserve"> </w:t>
      </w:r>
      <w:r w:rsidR="00670355" w:rsidRPr="00386CD6">
        <w:t>e</w:t>
      </w:r>
      <w:r w:rsidR="00EB2947" w:rsidRPr="00386CD6">
        <w:t xml:space="preserve">n </w:t>
      </w:r>
      <w:r w:rsidR="00C56BCE" w:rsidRPr="00386CD6">
        <w:t>décembre 20</w:t>
      </w:r>
      <w:r w:rsidR="00EB2947" w:rsidRPr="00386CD6">
        <w:t>15</w:t>
      </w:r>
      <w:r w:rsidRPr="00386CD6">
        <w:t xml:space="preserve"> (</w:t>
      </w:r>
      <w:r w:rsidR="00670355" w:rsidRPr="00386CD6">
        <w:t>voir</w:t>
      </w:r>
      <w:r w:rsidRPr="00386CD6">
        <w:t xml:space="preserve"> paragraph</w:t>
      </w:r>
      <w:r w:rsidR="00670355" w:rsidRPr="00386CD6">
        <w:t>e</w:t>
      </w:r>
      <w:r w:rsidR="000F4505" w:rsidRPr="00386CD6">
        <w:t> </w:t>
      </w:r>
      <w:r w:rsidR="00FE6DE6" w:rsidRPr="00386CD6">
        <w:t>73</w:t>
      </w:r>
      <w:r w:rsidRPr="00386CD6">
        <w:t>).</w:t>
      </w:r>
    </w:p>
    <w:p w:rsidR="00CB114F" w:rsidRPr="00386CD6" w:rsidRDefault="00CB114F" w:rsidP="00F01D68"/>
    <w:p w:rsidR="00CB114F" w:rsidRPr="00386CD6" w:rsidRDefault="001865EE" w:rsidP="00F01D68">
      <w:r w:rsidRPr="00386CD6">
        <w:fldChar w:fldCharType="begin"/>
      </w:r>
      <w:r w:rsidRPr="00386CD6">
        <w:instrText xml:space="preserve"> AUTONUM  </w:instrText>
      </w:r>
      <w:r w:rsidRPr="00386CD6">
        <w:fldChar w:fldCharType="end"/>
      </w:r>
      <w:r w:rsidRPr="00386CD6">
        <w:tab/>
      </w:r>
      <w:r w:rsidR="00670355" w:rsidRPr="00386CD6">
        <w:t>Le</w:t>
      </w:r>
      <w:r w:rsidRPr="00386CD6">
        <w:t xml:space="preserve"> 3</w:t>
      </w:r>
      <w:r w:rsidR="00C56BCE" w:rsidRPr="00386CD6">
        <w:t>0 octobre</w:t>
      </w:r>
      <w:r w:rsidRPr="00386CD6">
        <w:t xml:space="preserve">, </w:t>
      </w:r>
      <w:r w:rsidR="00670355" w:rsidRPr="00386CD6">
        <w:t>au siège de l</w:t>
      </w:r>
      <w:r w:rsidR="00C56BCE" w:rsidRPr="00386CD6">
        <w:t>’</w:t>
      </w:r>
      <w:r w:rsidR="00670355" w:rsidRPr="00386CD6">
        <w:t>OMPI</w:t>
      </w:r>
      <w:r w:rsidR="00C93C03" w:rsidRPr="00386CD6">
        <w:t xml:space="preserve"> et de l’</w:t>
      </w:r>
      <w:r w:rsidR="00670355" w:rsidRPr="00386CD6">
        <w:t xml:space="preserve">UPOV, le Bureau a présenté un exposé intitulé </w:t>
      </w:r>
      <w:r w:rsidRPr="00386CD6">
        <w:t>“</w:t>
      </w:r>
      <w:r w:rsidR="00670355" w:rsidRPr="00386CD6">
        <w:t>Application de la Convention internationale pour la protection des obtentions végétales</w:t>
      </w:r>
      <w:r w:rsidR="00C138AD" w:rsidRPr="00386CD6">
        <w:t xml:space="preserve"> (UPOV)</w:t>
      </w:r>
      <w:r w:rsidRPr="00386CD6">
        <w:t xml:space="preserve">” </w:t>
      </w:r>
      <w:r w:rsidR="00670355" w:rsidRPr="00386CD6">
        <w:t>à l</w:t>
      </w:r>
      <w:r w:rsidR="00C56BCE" w:rsidRPr="00386CD6">
        <w:t>’</w:t>
      </w:r>
      <w:r w:rsidR="00670355" w:rsidRPr="00386CD6">
        <w:t>intention d</w:t>
      </w:r>
      <w:r w:rsidR="00C56BCE" w:rsidRPr="00386CD6">
        <w:t>’</w:t>
      </w:r>
      <w:r w:rsidR="00670355" w:rsidRPr="00386CD6">
        <w:t>étudiants suivant le cursus de l</w:t>
      </w:r>
      <w:r w:rsidR="00C56BCE" w:rsidRPr="00386CD6">
        <w:t>’</w:t>
      </w:r>
      <w:r w:rsidR="00670355" w:rsidRPr="00386CD6">
        <w:t>édition 201</w:t>
      </w:r>
      <w:r w:rsidR="009A6018" w:rsidRPr="00386CD6">
        <w:t>5</w:t>
      </w:r>
      <w:r w:rsidR="00670355" w:rsidRPr="00386CD6">
        <w:t xml:space="preserve"> de la maîtrise en droit de la propriété intellectuelle, organisée par l</w:t>
      </w:r>
      <w:r w:rsidR="00C56BCE" w:rsidRPr="00386CD6">
        <w:t>’</w:t>
      </w:r>
      <w:r w:rsidR="00670355" w:rsidRPr="00386CD6">
        <w:t>OMPI et l</w:t>
      </w:r>
      <w:r w:rsidR="00C56BCE" w:rsidRPr="00386CD6">
        <w:t>’</w:t>
      </w:r>
      <w:r w:rsidR="00670355" w:rsidRPr="00386CD6">
        <w:t>Université de Turin, en coopération avec le Centre international de formation de l</w:t>
      </w:r>
      <w:r w:rsidR="00C56BCE" w:rsidRPr="00386CD6">
        <w:t>’</w:t>
      </w:r>
      <w:r w:rsidR="00EB43E9" w:rsidRPr="00386CD6">
        <w:t>OIT.  On</w:t>
      </w:r>
      <w:r w:rsidR="00670355" w:rsidRPr="00386CD6">
        <w:t>t assisté à cet exposé 38 participants des pays suivants : Albanie</w:t>
      </w:r>
      <w:r w:rsidR="00C138AD" w:rsidRPr="00386CD6">
        <w:t xml:space="preserve">, </w:t>
      </w:r>
      <w:r w:rsidR="00C56BCE" w:rsidRPr="00386CD6">
        <w:t>Arabie saoudite</w:t>
      </w:r>
      <w:r w:rsidR="00670355" w:rsidRPr="00386CD6">
        <w:t>, Australie</w:t>
      </w:r>
      <w:r w:rsidRPr="00386CD6">
        <w:t xml:space="preserve">, Bangladesh, </w:t>
      </w:r>
      <w:r w:rsidR="00C138AD" w:rsidRPr="00386CD6">
        <w:t>Bolivi</w:t>
      </w:r>
      <w:r w:rsidR="00670355" w:rsidRPr="00386CD6">
        <w:t>e</w:t>
      </w:r>
      <w:r w:rsidR="00C138AD" w:rsidRPr="00386CD6">
        <w:t xml:space="preserve"> (</w:t>
      </w:r>
      <w:r w:rsidR="00670355" w:rsidRPr="00386CD6">
        <w:t>État plurinational de</w:t>
      </w:r>
      <w:r w:rsidR="00C138AD" w:rsidRPr="00386CD6">
        <w:t xml:space="preserve">), </w:t>
      </w:r>
      <w:r w:rsidR="00670355" w:rsidRPr="00386CD6">
        <w:t>Brésil</w:t>
      </w:r>
      <w:r w:rsidR="00C138AD" w:rsidRPr="00386CD6">
        <w:t xml:space="preserve">, </w:t>
      </w:r>
      <w:r w:rsidR="00670355" w:rsidRPr="00386CD6">
        <w:t>Bulgarie</w:t>
      </w:r>
      <w:r w:rsidRPr="00386CD6">
        <w:t xml:space="preserve">, </w:t>
      </w:r>
      <w:r w:rsidR="00670355" w:rsidRPr="00386CD6">
        <w:t>Cambodge, Chili, Chine, Colombie</w:t>
      </w:r>
      <w:r w:rsidR="00C138AD" w:rsidRPr="00386CD6">
        <w:t xml:space="preserve">, Costa Rica, </w:t>
      </w:r>
      <w:r w:rsidR="00670355" w:rsidRPr="00386CD6">
        <w:t>Équateur, États</w:t>
      </w:r>
      <w:r w:rsidR="00C57B61" w:rsidRPr="00386CD6">
        <w:noBreakHyphen/>
      </w:r>
      <w:r w:rsidR="00670355" w:rsidRPr="00386CD6">
        <w:t>Unis d</w:t>
      </w:r>
      <w:r w:rsidR="00C56BCE" w:rsidRPr="00386CD6">
        <w:t>’</w:t>
      </w:r>
      <w:r w:rsidR="00670355" w:rsidRPr="00386CD6">
        <w:t>Amérique</w:t>
      </w:r>
      <w:r w:rsidR="00C138AD" w:rsidRPr="00386CD6">
        <w:t xml:space="preserve">, </w:t>
      </w:r>
      <w:r w:rsidR="00670355" w:rsidRPr="00386CD6">
        <w:t>Éthiopie</w:t>
      </w:r>
      <w:r w:rsidRPr="00386CD6">
        <w:t>, G</w:t>
      </w:r>
      <w:r w:rsidR="00670355" w:rsidRPr="00386CD6">
        <w:t>é</w:t>
      </w:r>
      <w:r w:rsidRPr="00386CD6">
        <w:t>orgi</w:t>
      </w:r>
      <w:r w:rsidR="00670355" w:rsidRPr="00386CD6">
        <w:t>e</w:t>
      </w:r>
      <w:r w:rsidRPr="00386CD6">
        <w:t>, Iran</w:t>
      </w:r>
      <w:r w:rsidR="00C138AD" w:rsidRPr="00386CD6">
        <w:t xml:space="preserve"> (</w:t>
      </w:r>
      <w:r w:rsidR="00670355" w:rsidRPr="00386CD6">
        <w:t>République islamique d</w:t>
      </w:r>
      <w:r w:rsidR="00C56BCE" w:rsidRPr="00386CD6">
        <w:t>’</w:t>
      </w:r>
      <w:r w:rsidR="00C138AD" w:rsidRPr="00386CD6">
        <w:t>)</w:t>
      </w:r>
      <w:r w:rsidRPr="00386CD6">
        <w:t xml:space="preserve">, </w:t>
      </w:r>
      <w:r w:rsidR="00670355" w:rsidRPr="00386CD6">
        <w:t>Italie</w:t>
      </w:r>
      <w:r w:rsidRPr="00386CD6">
        <w:t>, Jordan</w:t>
      </w:r>
      <w:r w:rsidR="00670355" w:rsidRPr="00386CD6">
        <w:t>ie</w:t>
      </w:r>
      <w:r w:rsidRPr="00386CD6">
        <w:t xml:space="preserve">, </w:t>
      </w:r>
      <w:r w:rsidR="00670355" w:rsidRPr="00386CD6">
        <w:t xml:space="preserve">Maroc, </w:t>
      </w:r>
      <w:r w:rsidRPr="00386CD6">
        <w:t>Mexi</w:t>
      </w:r>
      <w:r w:rsidR="00670355" w:rsidRPr="00386CD6">
        <w:t>que</w:t>
      </w:r>
      <w:r w:rsidRPr="00386CD6">
        <w:t xml:space="preserve">, </w:t>
      </w:r>
      <w:r w:rsidR="00C138AD" w:rsidRPr="00386CD6">
        <w:t xml:space="preserve">Oman, </w:t>
      </w:r>
      <w:r w:rsidR="00670355" w:rsidRPr="00386CD6">
        <w:t xml:space="preserve">Ouzbékistan, </w:t>
      </w:r>
      <w:r w:rsidRPr="00386CD6">
        <w:t xml:space="preserve">Philippines, </w:t>
      </w:r>
      <w:r w:rsidR="00670355" w:rsidRPr="00386CD6">
        <w:t>République arabe syrienne, Serbie, Sri Lanka</w:t>
      </w:r>
      <w:r w:rsidR="00C138AD" w:rsidRPr="00386CD6">
        <w:t xml:space="preserve"> </w:t>
      </w:r>
      <w:r w:rsidR="00670355" w:rsidRPr="00386CD6">
        <w:t>et Thaïlande</w:t>
      </w:r>
      <w:r w:rsidR="00C138AD" w:rsidRPr="00386CD6">
        <w:t>.</w:t>
      </w:r>
    </w:p>
    <w:p w:rsidR="00CB114F" w:rsidRPr="00386CD6" w:rsidRDefault="00CB114F" w:rsidP="00F01D68"/>
    <w:p w:rsidR="00CB114F" w:rsidRPr="00386CD6" w:rsidRDefault="00372D5C" w:rsidP="00F01D68">
      <w:r w:rsidRPr="00386CD6">
        <w:fldChar w:fldCharType="begin"/>
      </w:r>
      <w:r w:rsidRPr="00386CD6">
        <w:instrText xml:space="preserve"> AUTONUM  </w:instrText>
      </w:r>
      <w:r w:rsidRPr="00386CD6">
        <w:fldChar w:fldCharType="end"/>
      </w:r>
      <w:r w:rsidRPr="00386CD6">
        <w:tab/>
      </w:r>
      <w:r w:rsidR="006303DD" w:rsidRPr="00386CD6">
        <w:t>Le 3</w:t>
      </w:r>
      <w:r w:rsidR="00C56BCE" w:rsidRPr="00386CD6">
        <w:t>0 octobre</w:t>
      </w:r>
      <w:r w:rsidR="006303DD" w:rsidRPr="00386CD6">
        <w:t xml:space="preserve">, à Genève, le Bureau a reçu la visite de </w:t>
      </w:r>
      <w:r w:rsidRPr="00386CD6">
        <w:t>M</w:t>
      </w:r>
      <w:r w:rsidR="006303DD" w:rsidRPr="00386CD6">
        <w:t>me</w:t>
      </w:r>
      <w:r w:rsidR="000F4505" w:rsidRPr="00386CD6">
        <w:t> </w:t>
      </w:r>
      <w:r w:rsidRPr="00386CD6">
        <w:t xml:space="preserve">Wéré Régine Gazaro, </w:t>
      </w:r>
      <w:r w:rsidR="006303DD" w:rsidRPr="00386CD6">
        <w:t>directrice du Département de la protection de la propriété industrielle de</w:t>
      </w:r>
      <w:r w:rsidRPr="00386CD6">
        <w:t xml:space="preserve"> </w:t>
      </w:r>
      <w:r w:rsidR="006303DD" w:rsidRPr="00386CD6">
        <w:t>l</w:t>
      </w:r>
      <w:r w:rsidR="00C56BCE" w:rsidRPr="00386CD6">
        <w:t>’</w:t>
      </w:r>
      <w:r w:rsidRPr="00386CD6">
        <w:t xml:space="preserve">OAPI, </w:t>
      </w:r>
      <w:r w:rsidR="006303DD" w:rsidRPr="00386CD6">
        <w:t>avec laquelle il s</w:t>
      </w:r>
      <w:r w:rsidR="00C56BCE" w:rsidRPr="00386CD6">
        <w:t>’</w:t>
      </w:r>
      <w:r w:rsidR="006303DD" w:rsidRPr="00386CD6">
        <w:t>est entretenu des faits nouveaux</w:t>
      </w:r>
      <w:r w:rsidR="006B74C9" w:rsidRPr="00386CD6">
        <w:t xml:space="preserve"> </w:t>
      </w:r>
      <w:r w:rsidR="006303DD" w:rsidRPr="00386CD6">
        <w:t>à l</w:t>
      </w:r>
      <w:r w:rsidR="00C56BCE" w:rsidRPr="00386CD6">
        <w:t>’</w:t>
      </w:r>
      <w:r w:rsidR="006B74C9" w:rsidRPr="00386CD6">
        <w:t xml:space="preserve">UPOV </w:t>
      </w:r>
      <w:r w:rsidR="006303DD" w:rsidRPr="00386CD6">
        <w:t>et l</w:t>
      </w:r>
      <w:r w:rsidR="00C56BCE" w:rsidRPr="00386CD6">
        <w:t>’</w:t>
      </w:r>
      <w:r w:rsidR="006B74C9" w:rsidRPr="00386CD6">
        <w:t>OAPI.</w:t>
      </w:r>
    </w:p>
    <w:p w:rsidR="00CB114F" w:rsidRPr="00386CD6" w:rsidRDefault="00CB114F" w:rsidP="00F01D68"/>
    <w:p w:rsidR="00CB114F" w:rsidRPr="00386CD6" w:rsidRDefault="001C5EEC" w:rsidP="00F01D68">
      <w:r w:rsidRPr="00386CD6">
        <w:fldChar w:fldCharType="begin"/>
      </w:r>
      <w:r w:rsidRPr="00386CD6">
        <w:instrText xml:space="preserve"> AUTONUM  </w:instrText>
      </w:r>
      <w:r w:rsidRPr="00386CD6">
        <w:fldChar w:fldCharType="end"/>
      </w:r>
      <w:r w:rsidRPr="00386CD6">
        <w:tab/>
      </w:r>
      <w:r w:rsidR="006303DD" w:rsidRPr="00386CD6">
        <w:t>Le 3</w:t>
      </w:r>
      <w:r w:rsidR="00C56BCE" w:rsidRPr="00386CD6">
        <w:t>0 octobre</w:t>
      </w:r>
      <w:r w:rsidR="006303DD" w:rsidRPr="00386CD6">
        <w:t xml:space="preserve">, à Genève, le Bureau a reçu la visite de </w:t>
      </w:r>
      <w:r w:rsidRPr="00386CD6">
        <w:t>M.</w:t>
      </w:r>
      <w:r w:rsidR="000F4505" w:rsidRPr="00386CD6">
        <w:t> </w:t>
      </w:r>
      <w:r w:rsidRPr="00386CD6">
        <w:t xml:space="preserve">Shakeel Bhatti, </w:t>
      </w:r>
      <w:r w:rsidR="006303DD" w:rsidRPr="00386CD6">
        <w:t xml:space="preserve">secrétaire </w:t>
      </w:r>
      <w:r w:rsidR="00684CB2" w:rsidRPr="00386CD6">
        <w:t>du Traité international</w:t>
      </w:r>
      <w:r w:rsidR="006303DD" w:rsidRPr="00386CD6">
        <w:t>, pour examiner la possibilité d</w:t>
      </w:r>
      <w:r w:rsidR="00C56BCE" w:rsidRPr="00386CD6">
        <w:t>’</w:t>
      </w:r>
      <w:r w:rsidR="006303DD" w:rsidRPr="00386CD6">
        <w:t>organiser un</w:t>
      </w:r>
      <w:r w:rsidRPr="00386CD6">
        <w:t xml:space="preserve"> “</w:t>
      </w:r>
      <w:r w:rsidR="006303DD" w:rsidRPr="00386CD6">
        <w:t>Colloque sur les domaines d</w:t>
      </w:r>
      <w:r w:rsidR="00C56BCE" w:rsidRPr="00386CD6">
        <w:t>’</w:t>
      </w:r>
      <w:r w:rsidR="006303DD" w:rsidRPr="00386CD6">
        <w:t>interaction possibles entre le Traité international sur les ressources phytogénétiques pour l</w:t>
      </w:r>
      <w:r w:rsidR="00C56BCE" w:rsidRPr="00386CD6">
        <w:t>’</w:t>
      </w:r>
      <w:r w:rsidR="006303DD" w:rsidRPr="00386CD6">
        <w:t>alimentation et l</w:t>
      </w:r>
      <w:r w:rsidR="00C56BCE" w:rsidRPr="00386CD6">
        <w:t>’</w:t>
      </w:r>
      <w:r w:rsidR="006303DD" w:rsidRPr="00386CD6">
        <w:t xml:space="preserve">agriculture </w:t>
      </w:r>
      <w:r w:rsidR="0051457A" w:rsidRPr="00386CD6">
        <w:t xml:space="preserve">(Traité international) </w:t>
      </w:r>
      <w:r w:rsidR="006303DD" w:rsidRPr="00386CD6">
        <w:t>et la Convention internationale pour la protection des obtentions végétales (</w:t>
      </w:r>
      <w:r w:rsidR="00C56BCE" w:rsidRPr="00386CD6">
        <w:t>Convention UPOV</w:t>
      </w:r>
      <w:r w:rsidR="006303DD" w:rsidRPr="00386CD6">
        <w:t>)</w:t>
      </w:r>
      <w:r w:rsidRPr="00386CD6">
        <w:t>”</w:t>
      </w:r>
      <w:r w:rsidR="0051457A" w:rsidRPr="00386CD6">
        <w:t>,</w:t>
      </w:r>
      <w:r w:rsidRPr="00386CD6">
        <w:t xml:space="preserve"> </w:t>
      </w:r>
      <w:r w:rsidR="006303DD" w:rsidRPr="00386CD6">
        <w:t>qui se tiendrait à Genève le</w:t>
      </w:r>
      <w:r w:rsidR="006B74C9" w:rsidRPr="00386CD6">
        <w:t xml:space="preserve"> 2</w:t>
      </w:r>
      <w:r w:rsidR="00C56BCE" w:rsidRPr="00386CD6">
        <w:t>6 octobre 20</w:t>
      </w:r>
      <w:r w:rsidR="006B74C9" w:rsidRPr="00386CD6">
        <w:t>16</w:t>
      </w:r>
      <w:r w:rsidR="002079ED" w:rsidRPr="00386CD6">
        <w:t>.</w:t>
      </w:r>
    </w:p>
    <w:p w:rsidR="00CB114F" w:rsidRPr="00386CD6" w:rsidRDefault="00CB114F" w:rsidP="00F01D68"/>
    <w:p w:rsidR="00CB114F" w:rsidRPr="00386CD6" w:rsidRDefault="00611D5C" w:rsidP="00F01D68">
      <w:r w:rsidRPr="00386CD6">
        <w:fldChar w:fldCharType="begin"/>
      </w:r>
      <w:r w:rsidRPr="00386CD6">
        <w:instrText xml:space="preserve"> AUTONUM  </w:instrText>
      </w:r>
      <w:r w:rsidRPr="00386CD6">
        <w:fldChar w:fldCharType="end"/>
      </w:r>
      <w:r w:rsidRPr="00386CD6">
        <w:tab/>
      </w:r>
      <w:r w:rsidR="006303DD" w:rsidRPr="00386CD6">
        <w:t>Le 3</w:t>
      </w:r>
      <w:r w:rsidR="00C56BCE" w:rsidRPr="00386CD6">
        <w:t>0 octobre</w:t>
      </w:r>
      <w:r w:rsidR="006303DD" w:rsidRPr="00386CD6">
        <w:t>, à Genève, le Bureau a eu une conférence téléphonique avec</w:t>
      </w:r>
      <w:r w:rsidRPr="00386CD6">
        <w:t xml:space="preserve"> </w:t>
      </w:r>
      <w:r w:rsidR="009A6018" w:rsidRPr="00386CD6">
        <w:t>M.</w:t>
      </w:r>
      <w:r w:rsidR="000F4505" w:rsidRPr="00386CD6">
        <w:t> </w:t>
      </w:r>
      <w:r w:rsidR="009A6018" w:rsidRPr="00386CD6">
        <w:t>Milan Kondic de la</w:t>
      </w:r>
      <w:r w:rsidR="006B370E" w:rsidRPr="00386CD6">
        <w:t xml:space="preserve"> </w:t>
      </w:r>
      <w:r w:rsidR="006303DD" w:rsidRPr="00386CD6">
        <w:t>Banque mondiale</w:t>
      </w:r>
      <w:r w:rsidR="006B370E" w:rsidRPr="00386CD6">
        <w:t xml:space="preserve">, </w:t>
      </w:r>
      <w:r w:rsidR="006303DD" w:rsidRPr="00386CD6">
        <w:t>pour discuter du projet</w:t>
      </w:r>
      <w:r w:rsidR="006B370E" w:rsidRPr="00386CD6">
        <w:t xml:space="preserve"> </w:t>
      </w:r>
      <w:r w:rsidR="006B370E" w:rsidRPr="00386CD6">
        <w:rPr>
          <w:i/>
        </w:rPr>
        <w:t>Enabling the Business of Agriculture (EBA)</w:t>
      </w:r>
      <w:r w:rsidR="006B370E" w:rsidRPr="00386CD6">
        <w:t xml:space="preserve"> </w:t>
      </w:r>
      <w:r w:rsidR="006303DD" w:rsidRPr="00386CD6">
        <w:t xml:space="preserve">de </w:t>
      </w:r>
      <w:r w:rsidR="0051457A" w:rsidRPr="00386CD6">
        <w:t>cet organisme</w:t>
      </w:r>
      <w:r w:rsidR="006B370E" w:rsidRPr="00386CD6">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EE16BE" w:rsidRPr="00386CD6">
        <w:t>Du</w:t>
      </w:r>
      <w:r w:rsidR="001426FC" w:rsidRPr="00386CD6">
        <w:t xml:space="preserve"> 3 </w:t>
      </w:r>
      <w:r w:rsidR="00EE16BE" w:rsidRPr="00386CD6">
        <w:t>au</w:t>
      </w:r>
      <w:r w:rsidR="001426FC" w:rsidRPr="00386CD6">
        <w:t xml:space="preserve"> </w:t>
      </w:r>
      <w:r w:rsidR="00C56BCE" w:rsidRPr="00386CD6">
        <w:t>5 novembre</w:t>
      </w:r>
      <w:r w:rsidR="001426FC" w:rsidRPr="00386CD6">
        <w:t xml:space="preserve">, </w:t>
      </w:r>
      <w:r w:rsidR="00EE16BE" w:rsidRPr="00386CD6">
        <w:t>à</w:t>
      </w:r>
      <w:r w:rsidR="001426FC" w:rsidRPr="00386CD6">
        <w:t xml:space="preserve"> Dakar </w:t>
      </w:r>
      <w:r w:rsidR="00EE16BE" w:rsidRPr="00386CD6">
        <w:t>(Sénégal)</w:t>
      </w:r>
      <w:r w:rsidR="001426FC" w:rsidRPr="00386CD6">
        <w:t xml:space="preserve">, </w:t>
      </w:r>
      <w:r w:rsidR="00EE16BE" w:rsidRPr="00386CD6">
        <w:t>le Bureau a participé à la</w:t>
      </w:r>
      <w:r w:rsidR="001426FC" w:rsidRPr="00386CD6">
        <w:t xml:space="preserve"> “</w:t>
      </w:r>
      <w:r w:rsidR="00EE16BE" w:rsidRPr="00386CD6">
        <w:t>Conférence ministérielle africaine 2015 sur la propriété intellectuelle au service d</w:t>
      </w:r>
      <w:r w:rsidR="00C56BCE" w:rsidRPr="00386CD6">
        <w:t>’</w:t>
      </w:r>
      <w:r w:rsidR="00EE16BE" w:rsidRPr="00386CD6">
        <w:t>une Afrique émergente</w:t>
      </w:r>
      <w:r w:rsidR="001426FC" w:rsidRPr="00386CD6">
        <w:t xml:space="preserve">”, </w:t>
      </w:r>
      <w:r w:rsidR="00EE16BE" w:rsidRPr="00386CD6">
        <w:t>organisée par l</w:t>
      </w:r>
      <w:r w:rsidR="00C56BCE" w:rsidRPr="00386CD6">
        <w:t>’</w:t>
      </w:r>
      <w:r w:rsidR="00EE16BE" w:rsidRPr="00386CD6">
        <w:t>OMPI</w:t>
      </w:r>
      <w:r w:rsidR="001426FC" w:rsidRPr="00386CD6">
        <w:t xml:space="preserve">, </w:t>
      </w:r>
      <w:r w:rsidR="00EE16BE" w:rsidRPr="00386CD6">
        <w:t>e</w:t>
      </w:r>
      <w:r w:rsidR="001426FC" w:rsidRPr="00386CD6">
        <w:t xml:space="preserve">n collaboration </w:t>
      </w:r>
      <w:r w:rsidR="00EE16BE" w:rsidRPr="00386CD6">
        <w:t>avec l</w:t>
      </w:r>
      <w:r w:rsidR="00C56BCE" w:rsidRPr="00386CD6">
        <w:t>’</w:t>
      </w:r>
      <w:r w:rsidR="00EE16BE" w:rsidRPr="00386CD6">
        <w:t>Office japonais des brevets</w:t>
      </w:r>
      <w:r w:rsidR="001426FC" w:rsidRPr="00386CD6">
        <w:t xml:space="preserve">, </w:t>
      </w:r>
      <w:r w:rsidR="00EE16BE" w:rsidRPr="00386CD6">
        <w:t>et en</w:t>
      </w:r>
      <w:r w:rsidR="001426FC" w:rsidRPr="00386CD6">
        <w:t xml:space="preserve"> </w:t>
      </w:r>
      <w:r w:rsidR="00EE16BE" w:rsidRPr="00386CD6">
        <w:t>coopération avec</w:t>
      </w:r>
      <w:r w:rsidR="001426FC" w:rsidRPr="00386CD6">
        <w:t xml:space="preserve"> </w:t>
      </w:r>
      <w:r w:rsidR="00EE16BE" w:rsidRPr="00386CD6">
        <w:t>l</w:t>
      </w:r>
      <w:r w:rsidR="00C56BCE" w:rsidRPr="00386CD6">
        <w:t>’</w:t>
      </w:r>
      <w:r w:rsidR="00EE16BE" w:rsidRPr="00386CD6">
        <w:t xml:space="preserve">Union africaine et le </w:t>
      </w:r>
      <w:r w:rsidR="001426FC" w:rsidRPr="00386CD6">
        <w:t>Go</w:t>
      </w:r>
      <w:r w:rsidR="00EE16BE" w:rsidRPr="00386CD6">
        <w:t>u</w:t>
      </w:r>
      <w:r w:rsidR="001426FC" w:rsidRPr="00386CD6">
        <w:t>vern</w:t>
      </w:r>
      <w:r w:rsidR="00EE16BE" w:rsidRPr="00386CD6">
        <w:t>e</w:t>
      </w:r>
      <w:r w:rsidR="001426FC" w:rsidRPr="00386CD6">
        <w:t xml:space="preserve">ment </w:t>
      </w:r>
      <w:r w:rsidR="00EE16BE" w:rsidRPr="00386CD6">
        <w:t>du</w:t>
      </w:r>
      <w:r w:rsidR="001426FC" w:rsidRPr="00386CD6">
        <w:t xml:space="preserve"> </w:t>
      </w:r>
      <w:r w:rsidR="00EE16BE" w:rsidRPr="00386CD6">
        <w:t>Sénég</w:t>
      </w:r>
      <w:r w:rsidR="00EB43E9" w:rsidRPr="00386CD6">
        <w:t>al.  Le</w:t>
      </w:r>
      <w:r w:rsidR="00EE16BE" w:rsidRPr="00386CD6">
        <w:t xml:space="preserve"> Bureau</w:t>
      </w:r>
      <w:r w:rsidR="00C67CE6" w:rsidRPr="00386CD6">
        <w:t xml:space="preserve"> </w:t>
      </w:r>
      <w:r w:rsidR="00EE16BE" w:rsidRPr="00386CD6">
        <w:t>a présenté un exposé sur la</w:t>
      </w:r>
      <w:r w:rsidR="00345458" w:rsidRPr="00386CD6">
        <w:t xml:space="preserve"> “</w:t>
      </w:r>
      <w:r w:rsidR="00EE16BE" w:rsidRPr="00386CD6">
        <w:t>Promotion des obtentions végétales pour renforcer la productivité de l</w:t>
      </w:r>
      <w:r w:rsidR="00C56BCE" w:rsidRPr="00386CD6">
        <w:t>’</w:t>
      </w:r>
      <w:r w:rsidR="00EE16BE" w:rsidRPr="00386CD6">
        <w:t>agriculture et la sécurité alimentaire</w:t>
      </w:r>
      <w:r w:rsidR="00345458" w:rsidRPr="00386CD6">
        <w:t xml:space="preserve">” </w:t>
      </w:r>
      <w:r w:rsidR="00EE16BE" w:rsidRPr="00386CD6">
        <w:t>et</w:t>
      </w:r>
      <w:r w:rsidR="00345458" w:rsidRPr="00386CD6">
        <w:t xml:space="preserve"> </w:t>
      </w:r>
      <w:r w:rsidR="00C67CE6" w:rsidRPr="00386CD6">
        <w:t>particip</w:t>
      </w:r>
      <w:r w:rsidR="00EE16BE" w:rsidRPr="00386CD6">
        <w:t>é</w:t>
      </w:r>
      <w:r w:rsidR="00C67CE6" w:rsidRPr="00386CD6">
        <w:t xml:space="preserve"> </w:t>
      </w:r>
      <w:r w:rsidR="00EE16BE" w:rsidRPr="00386CD6">
        <w:t xml:space="preserve">à la table ronde sur la </w:t>
      </w:r>
      <w:r w:rsidR="00C67CE6" w:rsidRPr="00386CD6">
        <w:t>“</w:t>
      </w:r>
      <w:r w:rsidR="00EE16BE" w:rsidRPr="00386CD6">
        <w:t>Promotion de la recherche</w:t>
      </w:r>
      <w:r w:rsidR="00C57B61" w:rsidRPr="00386CD6">
        <w:noBreakHyphen/>
      </w:r>
      <w:r w:rsidR="00EE16BE" w:rsidRPr="00386CD6">
        <w:t>développement dans l</w:t>
      </w:r>
      <w:r w:rsidR="00C56BCE" w:rsidRPr="00386CD6">
        <w:t>’</w:t>
      </w:r>
      <w:r w:rsidR="00EE16BE" w:rsidRPr="00386CD6">
        <w:t>alimentation et l</w:t>
      </w:r>
      <w:r w:rsidR="00C56BCE" w:rsidRPr="00386CD6">
        <w:t>’</w:t>
      </w:r>
      <w:r w:rsidR="00EE16BE" w:rsidRPr="00386CD6">
        <w:t>agriculture</w:t>
      </w:r>
      <w:r w:rsidR="00C67CE6" w:rsidRPr="00386CD6">
        <w:t>”.</w:t>
      </w:r>
    </w:p>
    <w:p w:rsidR="00CB114F" w:rsidRPr="00386CD6" w:rsidRDefault="00CB114F" w:rsidP="00F01D68"/>
    <w:p w:rsidR="00CB114F" w:rsidRPr="00386CD6" w:rsidRDefault="00DC70D7" w:rsidP="00F01D68">
      <w:r w:rsidRPr="00386CD6">
        <w:fldChar w:fldCharType="begin"/>
      </w:r>
      <w:r w:rsidRPr="00386CD6">
        <w:instrText xml:space="preserve"> AUTONUM  </w:instrText>
      </w:r>
      <w:r w:rsidRPr="00386CD6">
        <w:fldChar w:fldCharType="end"/>
      </w:r>
      <w:r w:rsidRPr="00386CD6">
        <w:tab/>
      </w:r>
      <w:r w:rsidR="00EE16BE" w:rsidRPr="00386CD6">
        <w:t>Le</w:t>
      </w:r>
      <w:r w:rsidRPr="00386CD6">
        <w:t xml:space="preserve"> </w:t>
      </w:r>
      <w:r w:rsidR="00C56BCE" w:rsidRPr="00386CD6">
        <w:t>4 novembre</w:t>
      </w:r>
      <w:r w:rsidR="00EE16BE" w:rsidRPr="00386CD6">
        <w:t>, à Genève, le Bureau a reçu la visite de</w:t>
      </w:r>
      <w:r w:rsidRPr="00386CD6">
        <w:t xml:space="preserve"> M.</w:t>
      </w:r>
      <w:r w:rsidR="000F4505" w:rsidRPr="00386CD6">
        <w:t> </w:t>
      </w:r>
      <w:r w:rsidRPr="00386CD6">
        <w:t>Matthew</w:t>
      </w:r>
      <w:r w:rsidR="002D613F" w:rsidRPr="00386CD6">
        <w:t> </w:t>
      </w:r>
      <w:r w:rsidRPr="00386CD6">
        <w:t xml:space="preserve">Kenney, </w:t>
      </w:r>
      <w:r w:rsidR="00684CB2" w:rsidRPr="00386CD6">
        <w:t>p</w:t>
      </w:r>
      <w:r w:rsidRPr="00386CD6">
        <w:t>rofess</w:t>
      </w:r>
      <w:r w:rsidR="00EE16BE" w:rsidRPr="00386CD6">
        <w:t>eu</w:t>
      </w:r>
      <w:r w:rsidRPr="00386CD6">
        <w:t>r</w:t>
      </w:r>
      <w:r w:rsidR="00EE16BE" w:rsidRPr="00386CD6">
        <w:t xml:space="preserve"> à</w:t>
      </w:r>
      <w:r w:rsidRPr="00386CD6">
        <w:t xml:space="preserve"> </w:t>
      </w:r>
      <w:r w:rsidR="00EE16BE" w:rsidRPr="00386CD6">
        <w:t>l</w:t>
      </w:r>
      <w:r w:rsidR="00C56BCE" w:rsidRPr="00386CD6">
        <w:t>’</w:t>
      </w:r>
      <w:r w:rsidR="00684CB2" w:rsidRPr="00386CD6">
        <w:t>Université de commerce international et d</w:t>
      </w:r>
      <w:r w:rsidR="00C56BCE" w:rsidRPr="00386CD6">
        <w:t>’</w:t>
      </w:r>
      <w:r w:rsidR="00684CB2" w:rsidRPr="00386CD6">
        <w:t xml:space="preserve">économie </w:t>
      </w:r>
      <w:r w:rsidR="00EE16BE" w:rsidRPr="00386CD6">
        <w:t>de</w:t>
      </w:r>
      <w:r w:rsidRPr="00386CD6">
        <w:t xml:space="preserve"> Beijing </w:t>
      </w:r>
      <w:r w:rsidR="00EE16BE" w:rsidRPr="00386CD6">
        <w:t>(Chine)</w:t>
      </w:r>
      <w:r w:rsidRPr="00386CD6">
        <w:t xml:space="preserve"> </w:t>
      </w:r>
      <w:r w:rsidR="00EE16BE" w:rsidRPr="00386CD6">
        <w:t>et donné des</w:t>
      </w:r>
      <w:r w:rsidRPr="00386CD6">
        <w:t xml:space="preserve"> information</w:t>
      </w:r>
      <w:r w:rsidR="00EE16BE" w:rsidRPr="00386CD6">
        <w:t>s sur les droits d</w:t>
      </w:r>
      <w:r w:rsidR="00C56BCE" w:rsidRPr="00386CD6">
        <w:t>’</w:t>
      </w:r>
      <w:r w:rsidR="00EE16BE" w:rsidRPr="00386CD6">
        <w:t>obtenteur.</w:t>
      </w:r>
    </w:p>
    <w:p w:rsidR="00CB114F" w:rsidRPr="00386CD6" w:rsidRDefault="00CB114F" w:rsidP="00F01D68"/>
    <w:p w:rsidR="00CB114F" w:rsidRPr="00386CD6" w:rsidRDefault="004B1E83" w:rsidP="00F01D68">
      <w:r w:rsidRPr="00386CD6">
        <w:fldChar w:fldCharType="begin"/>
      </w:r>
      <w:r w:rsidRPr="00386CD6">
        <w:instrText xml:space="preserve"> AUTONUM  </w:instrText>
      </w:r>
      <w:r w:rsidRPr="00386CD6">
        <w:fldChar w:fldCharType="end"/>
      </w:r>
      <w:r w:rsidRPr="00386CD6">
        <w:tab/>
      </w:r>
      <w:r w:rsidR="00EE16BE" w:rsidRPr="00386CD6">
        <w:t>Le</w:t>
      </w:r>
      <w:r w:rsidRPr="00386CD6">
        <w:t xml:space="preserve"> </w:t>
      </w:r>
      <w:r w:rsidR="00C56BCE" w:rsidRPr="00386CD6">
        <w:t>9 novembre</w:t>
      </w:r>
      <w:r w:rsidRPr="00386CD6">
        <w:t xml:space="preserve">, </w:t>
      </w:r>
      <w:r w:rsidR="00EE16BE" w:rsidRPr="00386CD6">
        <w:t>à Genève</w:t>
      </w:r>
      <w:r w:rsidRPr="00386CD6">
        <w:t xml:space="preserve">, </w:t>
      </w:r>
      <w:r w:rsidR="00EE16BE" w:rsidRPr="00386CD6">
        <w:t>le Bureau a participé</w:t>
      </w:r>
      <w:r w:rsidRPr="00386CD6">
        <w:t xml:space="preserve"> </w:t>
      </w:r>
      <w:r w:rsidR="00DA0B0B" w:rsidRPr="00386CD6">
        <w:t>à une table ronde</w:t>
      </w:r>
      <w:r w:rsidR="00E46272" w:rsidRPr="00386CD6">
        <w:t xml:space="preserve"> </w:t>
      </w:r>
      <w:r w:rsidR="00570BE4" w:rsidRPr="00386CD6">
        <w:t>dans le cadre d</w:t>
      </w:r>
      <w:r w:rsidR="00C56BCE" w:rsidRPr="00386CD6">
        <w:t>’</w:t>
      </w:r>
      <w:r w:rsidR="00570BE4" w:rsidRPr="00386CD6">
        <w:t>un séminaire d</w:t>
      </w:r>
      <w:r w:rsidR="00C56BCE" w:rsidRPr="00386CD6">
        <w:t>’</w:t>
      </w:r>
      <w:r w:rsidR="00570BE4" w:rsidRPr="00386CD6">
        <w:t>experts sur le droit des paysans aux semences et les droits de propriété intellectuelle</w:t>
      </w:r>
      <w:r w:rsidRPr="00386CD6">
        <w:t xml:space="preserve">, </w:t>
      </w:r>
      <w:r w:rsidR="00570BE4" w:rsidRPr="00386CD6">
        <w:t>organisé par l</w:t>
      </w:r>
      <w:r w:rsidR="00C56BCE" w:rsidRPr="00386CD6">
        <w:t>’</w:t>
      </w:r>
      <w:r w:rsidR="00570BE4" w:rsidRPr="00386CD6">
        <w:t>Académie de droit international humanitaire et de droits humains à Genève</w:t>
      </w:r>
      <w:r w:rsidRPr="00386CD6">
        <w:t xml:space="preserve">, </w:t>
      </w:r>
      <w:r w:rsidR="00A269A8" w:rsidRPr="00386CD6">
        <w:t xml:space="preserve">avec le soutien du </w:t>
      </w:r>
      <w:r w:rsidR="000F4505" w:rsidRPr="00386CD6">
        <w:t>Gouvernement</w:t>
      </w:r>
      <w:r w:rsidR="00A269A8" w:rsidRPr="00386CD6">
        <w:t xml:space="preserve"> suisse et en collaboration avec l</w:t>
      </w:r>
      <w:r w:rsidR="00C56BCE" w:rsidRPr="00386CD6">
        <w:t>’</w:t>
      </w:r>
      <w:r w:rsidR="00A269A8" w:rsidRPr="00386CD6">
        <w:t>État plurinational de Bolivie</w:t>
      </w:r>
      <w:r w:rsidR="002079ED" w:rsidRPr="00386CD6">
        <w:t>.</w:t>
      </w:r>
    </w:p>
    <w:p w:rsidR="00CB114F" w:rsidRPr="00386CD6" w:rsidRDefault="00CB114F" w:rsidP="00F01D68"/>
    <w:p w:rsidR="00CB114F" w:rsidRPr="00386CD6" w:rsidRDefault="00AA0535" w:rsidP="00F01D68">
      <w:r w:rsidRPr="00386CD6">
        <w:fldChar w:fldCharType="begin"/>
      </w:r>
      <w:r w:rsidRPr="00386CD6">
        <w:instrText xml:space="preserve"> AUTONUM  </w:instrText>
      </w:r>
      <w:r w:rsidRPr="00386CD6">
        <w:fldChar w:fldCharType="end"/>
      </w:r>
      <w:r w:rsidRPr="00386CD6">
        <w:tab/>
      </w:r>
      <w:r w:rsidR="00A269A8" w:rsidRPr="00386CD6">
        <w:t>Le 1</w:t>
      </w:r>
      <w:r w:rsidR="00C56BCE" w:rsidRPr="00386CD6">
        <w:t>0 novembre</w:t>
      </w:r>
      <w:r w:rsidR="00A269A8" w:rsidRPr="00386CD6">
        <w:t>, à Genève, le Bureau a reçu la visite de M</w:t>
      </w:r>
      <w:r w:rsidRPr="00386CD6">
        <w:t>.</w:t>
      </w:r>
      <w:r w:rsidR="000F4505" w:rsidRPr="00386CD6">
        <w:t> </w:t>
      </w:r>
      <w:r w:rsidR="00C57B61" w:rsidRPr="00386CD6">
        <w:t>Osman </w:t>
      </w:r>
      <w:r w:rsidRPr="00386CD6">
        <w:t xml:space="preserve">Göktürk, </w:t>
      </w:r>
      <w:r w:rsidR="009A6018" w:rsidRPr="00386CD6">
        <w:t>deuxième secrétaire de la m</w:t>
      </w:r>
      <w:r w:rsidR="00A269A8" w:rsidRPr="00386CD6">
        <w:t>ission permanente de Turquie</w:t>
      </w:r>
      <w:r w:rsidRPr="00386CD6">
        <w:t xml:space="preserve">, </w:t>
      </w:r>
      <w:r w:rsidR="00A269A8" w:rsidRPr="00386CD6">
        <w:t>pour s</w:t>
      </w:r>
      <w:r w:rsidR="00C56BCE" w:rsidRPr="00386CD6">
        <w:t>’</w:t>
      </w:r>
      <w:r w:rsidR="00A269A8" w:rsidRPr="00386CD6">
        <w:t>entretenir des faits nouveaux à l</w:t>
      </w:r>
      <w:r w:rsidR="00C56BCE" w:rsidRPr="00386CD6">
        <w:t>’</w:t>
      </w:r>
      <w:r w:rsidR="00A269A8" w:rsidRPr="00386CD6">
        <w:t>UPOV relatifs à un éventuel système international de coopératio</w:t>
      </w:r>
      <w:r w:rsidR="00E46272" w:rsidRPr="00386CD6">
        <w:t>n.</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A269A8" w:rsidRPr="00386CD6">
        <w:t>Les</w:t>
      </w:r>
      <w:r w:rsidR="00EF3FD4" w:rsidRPr="00386CD6">
        <w:t xml:space="preserve"> 11 </w:t>
      </w:r>
      <w:r w:rsidR="00A269A8" w:rsidRPr="00386CD6">
        <w:t xml:space="preserve">et </w:t>
      </w:r>
      <w:r w:rsidR="00EF3FD4" w:rsidRPr="00386CD6">
        <w:t>1</w:t>
      </w:r>
      <w:r w:rsidR="00C56BCE" w:rsidRPr="00386CD6">
        <w:t>2 novembre</w:t>
      </w:r>
      <w:r w:rsidR="00EF3FD4" w:rsidRPr="00386CD6">
        <w:t xml:space="preserve">, </w:t>
      </w:r>
      <w:r w:rsidR="00A269A8" w:rsidRPr="00386CD6">
        <w:t>à</w:t>
      </w:r>
      <w:r w:rsidR="00EF3FD4" w:rsidRPr="00386CD6">
        <w:t xml:space="preserve"> Alicante</w:t>
      </w:r>
      <w:r w:rsidR="00A269A8" w:rsidRPr="00386CD6">
        <w:t xml:space="preserve"> (Espagne)</w:t>
      </w:r>
      <w:r w:rsidR="00EF3FD4" w:rsidRPr="00386CD6">
        <w:t xml:space="preserve">, </w:t>
      </w:r>
      <w:r w:rsidR="00A269A8" w:rsidRPr="00386CD6">
        <w:t>le Bureau a présenté des exposés sur l</w:t>
      </w:r>
      <w:r w:rsidR="00C56BCE" w:rsidRPr="00386CD6">
        <w:t>’</w:t>
      </w:r>
      <w:r w:rsidR="00A269A8" w:rsidRPr="00386CD6">
        <w:t xml:space="preserve">UPOV et la </w:t>
      </w:r>
      <w:r w:rsidR="00C56BCE" w:rsidRPr="00386CD6">
        <w:t>Convention UPOV</w:t>
      </w:r>
      <w:r w:rsidR="00A269A8" w:rsidRPr="00386CD6">
        <w:t xml:space="preserve"> dans le cadre du</w:t>
      </w:r>
      <w:r w:rsidR="00EF3FD4" w:rsidRPr="00386CD6">
        <w:t xml:space="preserve"> “</w:t>
      </w:r>
      <w:r w:rsidR="00A269A8" w:rsidRPr="00386CD6">
        <w:t>module intensif sur la protection des obtentions végétales</w:t>
      </w:r>
      <w:r w:rsidR="00A63827" w:rsidRPr="00386CD6">
        <w:t>”</w:t>
      </w:r>
      <w:r w:rsidR="001C43F5" w:rsidRPr="00386CD6">
        <w:t xml:space="preserve"> </w:t>
      </w:r>
      <w:r w:rsidR="00A269A8" w:rsidRPr="00386CD6">
        <w:t xml:space="preserve">de la </w:t>
      </w:r>
      <w:r w:rsidR="0051457A" w:rsidRPr="00386CD6">
        <w:t>m</w:t>
      </w:r>
      <w:r w:rsidR="00A269A8" w:rsidRPr="00386CD6">
        <w:t>aîtrise en propriété intellectuelle de l</w:t>
      </w:r>
      <w:r w:rsidR="00C56BCE" w:rsidRPr="00386CD6">
        <w:t>’</w:t>
      </w:r>
      <w:r w:rsidR="00A269A8" w:rsidRPr="00386CD6">
        <w:t>Université d</w:t>
      </w:r>
      <w:r w:rsidR="00C56BCE" w:rsidRPr="00386CD6">
        <w:t>’</w:t>
      </w:r>
      <w:r w:rsidR="00A269A8" w:rsidRPr="00386CD6">
        <w:t>Alicante (Magister Lvcentinvs)</w:t>
      </w:r>
      <w:r w:rsidR="002079ED" w:rsidRPr="00386CD6">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EC16E2" w:rsidRPr="00386CD6">
        <w:t>Du</w:t>
      </w:r>
      <w:r w:rsidR="00A7505B" w:rsidRPr="00386CD6">
        <w:t xml:space="preserve"> 16 </w:t>
      </w:r>
      <w:r w:rsidR="00EC16E2" w:rsidRPr="00386CD6">
        <w:t>au</w:t>
      </w:r>
      <w:r w:rsidR="00A7505B" w:rsidRPr="00386CD6">
        <w:t xml:space="preserve"> 2</w:t>
      </w:r>
      <w:r w:rsidR="00C56BCE" w:rsidRPr="00386CD6">
        <w:t>0 novembre</w:t>
      </w:r>
      <w:r w:rsidR="00A7505B" w:rsidRPr="00386CD6">
        <w:t xml:space="preserve">, </w:t>
      </w:r>
      <w:r w:rsidR="00EC16E2" w:rsidRPr="00386CD6">
        <w:t>à Santa Cruz de la Sierra</w:t>
      </w:r>
      <w:r w:rsidR="00A7505B" w:rsidRPr="00386CD6">
        <w:t xml:space="preserve"> </w:t>
      </w:r>
      <w:r w:rsidR="00EC16E2" w:rsidRPr="00386CD6">
        <w:t>(</w:t>
      </w:r>
      <w:r w:rsidR="00A7505B" w:rsidRPr="00386CD6">
        <w:t>Bol</w:t>
      </w:r>
      <w:r w:rsidR="00EC16E2" w:rsidRPr="00386CD6">
        <w:t xml:space="preserve">ivie), un </w:t>
      </w:r>
      <w:r w:rsidR="000F4505" w:rsidRPr="00386CD6">
        <w:t>“</w:t>
      </w:r>
      <w:r w:rsidR="00EC16E2" w:rsidRPr="00386CD6">
        <w:t>cours de formation des formateurs à l</w:t>
      </w:r>
      <w:r w:rsidR="00C56BCE" w:rsidRPr="00386CD6">
        <w:t>’</w:t>
      </w:r>
      <w:r w:rsidR="00EC16E2" w:rsidRPr="00386CD6">
        <w:t>intention des pays ibéro</w:t>
      </w:r>
      <w:r w:rsidR="00C57B61" w:rsidRPr="00386CD6">
        <w:noBreakHyphen/>
      </w:r>
      <w:r w:rsidR="00EC16E2" w:rsidRPr="00386CD6">
        <w:t>américains sur la protection des obtentions végétales selon la Convention</w:t>
      </w:r>
      <w:r w:rsidR="000A43E0" w:rsidRPr="00386CD6">
        <w:t> </w:t>
      </w:r>
      <w:r w:rsidR="00EC16E2" w:rsidRPr="00386CD6">
        <w:t>UPOV et les formes complémentaires de protection de la propriété intellectuelle</w:t>
      </w:r>
      <w:r w:rsidR="000F4505" w:rsidRPr="00386CD6">
        <w:t>”</w:t>
      </w:r>
      <w:r w:rsidR="00A7505B" w:rsidRPr="00386CD6">
        <w:t xml:space="preserve"> </w:t>
      </w:r>
      <w:r w:rsidR="00EC16E2" w:rsidRPr="00386CD6">
        <w:t>a été organisé par l</w:t>
      </w:r>
      <w:r w:rsidR="00C56BCE" w:rsidRPr="00386CD6">
        <w:t>’</w:t>
      </w:r>
      <w:r w:rsidR="00EC16E2" w:rsidRPr="00386CD6">
        <w:t>UPOV, en espagnol, e</w:t>
      </w:r>
      <w:r w:rsidR="00A7505B" w:rsidRPr="00386CD6">
        <w:t xml:space="preserve">n collaboration </w:t>
      </w:r>
      <w:r w:rsidR="00EC16E2" w:rsidRPr="00386CD6">
        <w:t>avec</w:t>
      </w:r>
      <w:r w:rsidR="00A7505B" w:rsidRPr="00386CD6">
        <w:t xml:space="preserve"> </w:t>
      </w:r>
      <w:r w:rsidR="00EC16E2" w:rsidRPr="00386CD6">
        <w:t>l</w:t>
      </w:r>
      <w:r w:rsidR="00C56BCE" w:rsidRPr="00386CD6">
        <w:t>’</w:t>
      </w:r>
      <w:r w:rsidR="00A7505B" w:rsidRPr="00386CD6">
        <w:t xml:space="preserve">AECID, </w:t>
      </w:r>
      <w:r w:rsidR="00EC16E2" w:rsidRPr="00386CD6">
        <w:t>l</w:t>
      </w:r>
      <w:r w:rsidR="00C56BCE" w:rsidRPr="00386CD6">
        <w:t>’</w:t>
      </w:r>
      <w:r w:rsidR="00EC16E2" w:rsidRPr="00386CD6">
        <w:t xml:space="preserve">Office espagnol des variétés végétales </w:t>
      </w:r>
      <w:r w:rsidR="00A7505B" w:rsidRPr="00386CD6">
        <w:t xml:space="preserve">(OEVV), </w:t>
      </w:r>
      <w:r w:rsidR="00EC16E2" w:rsidRPr="00386CD6">
        <w:t>l</w:t>
      </w:r>
      <w:r w:rsidR="00C56BCE" w:rsidRPr="00386CD6">
        <w:t>’</w:t>
      </w:r>
      <w:r w:rsidR="00EC16E2" w:rsidRPr="00386CD6">
        <w:t>OMPI et</w:t>
      </w:r>
      <w:r w:rsidR="00A7505B" w:rsidRPr="00386CD6">
        <w:t xml:space="preserve"> </w:t>
      </w:r>
      <w:r w:rsidR="00EC16E2" w:rsidRPr="00386CD6">
        <w:t>l</w:t>
      </w:r>
      <w:r w:rsidR="00C56BCE" w:rsidRPr="00386CD6">
        <w:t>’</w:t>
      </w:r>
      <w:r w:rsidR="00A7505B" w:rsidRPr="00386CD6">
        <w:t>US</w:t>
      </w:r>
      <w:r w:rsidR="00EB43E9" w:rsidRPr="00386CD6">
        <w:t>PTO.  Le</w:t>
      </w:r>
      <w:r w:rsidR="00EC16E2" w:rsidRPr="00386CD6">
        <w:t xml:space="preserve"> cours a été suivi par</w:t>
      </w:r>
      <w:r w:rsidR="00F02C31" w:rsidRPr="00386CD6">
        <w:t xml:space="preserve"> 2</w:t>
      </w:r>
      <w:r w:rsidR="00A35705" w:rsidRPr="00386CD6">
        <w:t>2</w:t>
      </w:r>
      <w:r w:rsidR="002D613F" w:rsidRPr="00386CD6">
        <w:t> </w:t>
      </w:r>
      <w:r w:rsidR="00F02C31" w:rsidRPr="00386CD6">
        <w:t xml:space="preserve">experts </w:t>
      </w:r>
      <w:r w:rsidR="00EC16E2" w:rsidRPr="00386CD6">
        <w:t xml:space="preserve">de </w:t>
      </w:r>
      <w:r w:rsidR="00F02C31" w:rsidRPr="00386CD6">
        <w:t>1</w:t>
      </w:r>
      <w:r w:rsidR="00A35705" w:rsidRPr="00386CD6">
        <w:t>7</w:t>
      </w:r>
      <w:r w:rsidR="00E46272" w:rsidRPr="00386CD6">
        <w:t> </w:t>
      </w:r>
      <w:r w:rsidR="00EC16E2" w:rsidRPr="00386CD6">
        <w:t>pays d</w:t>
      </w:r>
      <w:r w:rsidR="00C56BCE" w:rsidRPr="00386CD6">
        <w:t>’</w:t>
      </w:r>
      <w:r w:rsidR="00EC16E2" w:rsidRPr="00386CD6">
        <w:t>Amérique latine</w:t>
      </w:r>
      <w:r w:rsidR="000F4505" w:rsidRPr="00386CD6">
        <w:t> </w:t>
      </w:r>
      <w:r w:rsidR="00F02C31" w:rsidRPr="00386CD6">
        <w:t>: Argentin</w:t>
      </w:r>
      <w:r w:rsidR="00EC16E2" w:rsidRPr="00386CD6">
        <w:t>e</w:t>
      </w:r>
      <w:r w:rsidR="00F02C31" w:rsidRPr="00386CD6">
        <w:t>,</w:t>
      </w:r>
      <w:r w:rsidR="00A35705" w:rsidRPr="00386CD6">
        <w:t xml:space="preserve"> </w:t>
      </w:r>
      <w:r w:rsidR="00F02C31" w:rsidRPr="00386CD6">
        <w:t>Bolivi</w:t>
      </w:r>
      <w:r w:rsidR="00EC16E2" w:rsidRPr="00386CD6">
        <w:t>e</w:t>
      </w:r>
      <w:r w:rsidR="00A35705" w:rsidRPr="00386CD6">
        <w:t xml:space="preserve"> (</w:t>
      </w:r>
      <w:r w:rsidR="00EC16E2" w:rsidRPr="00386CD6">
        <w:t>État plurinational de</w:t>
      </w:r>
      <w:r w:rsidR="00A35705" w:rsidRPr="00386CD6">
        <w:t>)</w:t>
      </w:r>
      <w:r w:rsidR="00F02C31" w:rsidRPr="00386CD6">
        <w:t>,</w:t>
      </w:r>
      <w:r w:rsidR="00A35705" w:rsidRPr="00386CD6">
        <w:t xml:space="preserve"> Br</w:t>
      </w:r>
      <w:r w:rsidR="00EC16E2" w:rsidRPr="00386CD6">
        <w:t>és</w:t>
      </w:r>
      <w:r w:rsidR="00A35705" w:rsidRPr="00386CD6">
        <w:t>il, Chil</w:t>
      </w:r>
      <w:r w:rsidR="00EC16E2" w:rsidRPr="00386CD6">
        <w:t>i</w:t>
      </w:r>
      <w:r w:rsidR="00A35705" w:rsidRPr="00386CD6">
        <w:t>, Colombi</w:t>
      </w:r>
      <w:r w:rsidR="00EC16E2" w:rsidRPr="00386CD6">
        <w:t>e</w:t>
      </w:r>
      <w:r w:rsidR="00A35705" w:rsidRPr="00386CD6">
        <w:t>, Costa </w:t>
      </w:r>
      <w:r w:rsidR="00F02C31" w:rsidRPr="00386CD6">
        <w:t>Rica, Cuba</w:t>
      </w:r>
      <w:r w:rsidR="00A35705" w:rsidRPr="00386CD6">
        <w:t xml:space="preserve">, </w:t>
      </w:r>
      <w:r w:rsidR="00EC16E2" w:rsidRPr="00386CD6">
        <w:t>El Salvador, Équateur</w:t>
      </w:r>
      <w:r w:rsidR="00F02C31" w:rsidRPr="00386CD6">
        <w:t>, Guatemala, Honduras,</w:t>
      </w:r>
      <w:r w:rsidR="00A35705" w:rsidRPr="00386CD6">
        <w:t xml:space="preserve"> </w:t>
      </w:r>
      <w:r w:rsidR="00F02C31" w:rsidRPr="00386CD6">
        <w:t>Mexi</w:t>
      </w:r>
      <w:r w:rsidR="00EC16E2" w:rsidRPr="00386CD6">
        <w:t>que</w:t>
      </w:r>
      <w:r w:rsidR="00F02C31" w:rsidRPr="00386CD6">
        <w:t>, Nicaragua, Paraguay</w:t>
      </w:r>
      <w:r w:rsidR="00A35705" w:rsidRPr="00386CD6">
        <w:t xml:space="preserve">, </w:t>
      </w:r>
      <w:r w:rsidR="00F05BDF" w:rsidRPr="00386CD6">
        <w:t xml:space="preserve">Pérou, République dominicaine </w:t>
      </w:r>
      <w:r w:rsidR="00EC16E2" w:rsidRPr="00386CD6">
        <w:t>et</w:t>
      </w:r>
      <w:r w:rsidR="00F02C31" w:rsidRPr="00386CD6">
        <w:t xml:space="preserve"> Urugu</w:t>
      </w:r>
      <w:r w:rsidR="00EB43E9" w:rsidRPr="00386CD6">
        <w:t>ay.  De</w:t>
      </w:r>
      <w:r w:rsidR="00EC16E2" w:rsidRPr="00386CD6">
        <w:t xml:space="preserve">s conférences ont été données par des </w:t>
      </w:r>
      <w:r w:rsidR="000F4505" w:rsidRPr="00386CD6">
        <w:t>conférencier</w:t>
      </w:r>
      <w:r w:rsidR="00EC16E2" w:rsidRPr="00386CD6">
        <w:t>s internationaux originaires d</w:t>
      </w:r>
      <w:r w:rsidR="00C56BCE" w:rsidRPr="00386CD6">
        <w:t>’</w:t>
      </w:r>
      <w:r w:rsidR="00EC16E2" w:rsidRPr="00386CD6">
        <w:t>Argentine</w:t>
      </w:r>
      <w:r w:rsidR="00F02C31" w:rsidRPr="00386CD6">
        <w:t xml:space="preserve">, </w:t>
      </w:r>
      <w:r w:rsidR="00EC16E2" w:rsidRPr="00386CD6">
        <w:t xml:space="preserve">de </w:t>
      </w:r>
      <w:r w:rsidR="00A35705" w:rsidRPr="00386CD6">
        <w:t>Bolivi</w:t>
      </w:r>
      <w:r w:rsidR="00EC16E2" w:rsidRPr="00386CD6">
        <w:t>e</w:t>
      </w:r>
      <w:r w:rsidR="00A35705" w:rsidRPr="00386CD6">
        <w:t xml:space="preserve"> (</w:t>
      </w:r>
      <w:r w:rsidR="00EC16E2" w:rsidRPr="00386CD6">
        <w:t>État plurinational de</w:t>
      </w:r>
      <w:r w:rsidR="00A35705" w:rsidRPr="00386CD6">
        <w:t xml:space="preserve">), </w:t>
      </w:r>
      <w:r w:rsidR="00903CC4" w:rsidRPr="00386CD6">
        <w:t xml:space="preserve">du </w:t>
      </w:r>
      <w:r w:rsidR="00A35705" w:rsidRPr="00386CD6">
        <w:t xml:space="preserve">Canada, </w:t>
      </w:r>
      <w:r w:rsidR="00903CC4" w:rsidRPr="00386CD6">
        <w:t xml:space="preserve">du </w:t>
      </w:r>
      <w:r w:rsidR="00A35705" w:rsidRPr="00386CD6">
        <w:t>Chil</w:t>
      </w:r>
      <w:r w:rsidR="00903CC4" w:rsidRPr="00386CD6">
        <w:t>i</w:t>
      </w:r>
      <w:r w:rsidR="00A35705" w:rsidRPr="00386CD6">
        <w:t xml:space="preserve">, </w:t>
      </w:r>
      <w:r w:rsidR="00903CC4" w:rsidRPr="00386CD6">
        <w:t>de l</w:t>
      </w:r>
      <w:r w:rsidR="00C56BCE" w:rsidRPr="00386CD6">
        <w:t>’</w:t>
      </w:r>
      <w:r w:rsidR="00F02C31" w:rsidRPr="00386CD6">
        <w:t xml:space="preserve">Union </w:t>
      </w:r>
      <w:r w:rsidR="00903CC4" w:rsidRPr="00386CD6">
        <w:t xml:space="preserve">européenne </w:t>
      </w:r>
      <w:r w:rsidR="00F02C31" w:rsidRPr="00386CD6">
        <w:t>(O</w:t>
      </w:r>
      <w:r w:rsidR="00903CC4" w:rsidRPr="00386CD6">
        <w:t>CVV</w:t>
      </w:r>
      <w:r w:rsidR="00F02C31" w:rsidRPr="00386CD6">
        <w:t>),</w:t>
      </w:r>
      <w:r w:rsidR="00A35705" w:rsidRPr="00386CD6">
        <w:t xml:space="preserve"> </w:t>
      </w:r>
      <w:r w:rsidR="00903CC4" w:rsidRPr="00386CD6">
        <w:t>du Mexique</w:t>
      </w:r>
      <w:r w:rsidR="00A35705" w:rsidRPr="00386CD6">
        <w:t xml:space="preserve">, </w:t>
      </w:r>
      <w:r w:rsidR="00903CC4" w:rsidRPr="00386CD6">
        <w:t>des États</w:t>
      </w:r>
      <w:r w:rsidR="00C57B61" w:rsidRPr="00386CD6">
        <w:noBreakHyphen/>
      </w:r>
      <w:r w:rsidR="00903CC4" w:rsidRPr="00386CD6">
        <w:t>Unis d</w:t>
      </w:r>
      <w:r w:rsidR="00C56BCE" w:rsidRPr="00386CD6">
        <w:t>’</w:t>
      </w:r>
      <w:r w:rsidR="00903CC4" w:rsidRPr="00386CD6">
        <w:t>Amérique et de</w:t>
      </w:r>
      <w:r w:rsidR="00A35705" w:rsidRPr="00386CD6">
        <w:t xml:space="preserve"> </w:t>
      </w:r>
      <w:r w:rsidR="00903CC4" w:rsidRPr="00386CD6">
        <w:t>l</w:t>
      </w:r>
      <w:r w:rsidR="00C56BCE" w:rsidRPr="00386CD6">
        <w:t>’</w:t>
      </w:r>
      <w:r w:rsidR="00F02C31" w:rsidRPr="00386CD6">
        <w:t>U</w:t>
      </w:r>
      <w:r w:rsidR="00EB43E9" w:rsidRPr="00386CD6">
        <w:t>POV.  Le</w:t>
      </w:r>
      <w:r w:rsidR="00903CC4" w:rsidRPr="00386CD6">
        <w:t>s participants ont été invités à suivre le cours d</w:t>
      </w:r>
      <w:r w:rsidR="00C56BCE" w:rsidRPr="00386CD6">
        <w:t>’</w:t>
      </w:r>
      <w:r w:rsidR="00903CC4" w:rsidRPr="00386CD6">
        <w:t xml:space="preserve">enseignement à distance </w:t>
      </w:r>
      <w:r w:rsidR="00F05BDF" w:rsidRPr="00386CD6">
        <w:t>DL</w:t>
      </w:r>
      <w:r w:rsidR="00C57B61" w:rsidRPr="00386CD6">
        <w:noBreakHyphen/>
      </w:r>
      <w:r w:rsidR="00F05BDF" w:rsidRPr="00386CD6">
        <w:t xml:space="preserve">205 </w:t>
      </w:r>
      <w:r w:rsidR="00903CC4" w:rsidRPr="00386CD6">
        <w:t>de l</w:t>
      </w:r>
      <w:r w:rsidR="00C56BCE" w:rsidRPr="00386CD6">
        <w:t>’</w:t>
      </w:r>
      <w:r w:rsidR="00903CC4" w:rsidRPr="00386CD6">
        <w:t>UPOV avant le début de la formation</w:t>
      </w:r>
      <w:r w:rsidR="00F02C31" w:rsidRPr="00386CD6">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903CC4" w:rsidRPr="00386CD6">
        <w:t>Du</w:t>
      </w:r>
      <w:r w:rsidR="00066879" w:rsidRPr="00386CD6">
        <w:t xml:space="preserve"> 16 </w:t>
      </w:r>
      <w:r w:rsidR="00903CC4" w:rsidRPr="00386CD6">
        <w:t>au</w:t>
      </w:r>
      <w:r w:rsidR="00066879" w:rsidRPr="00386CD6">
        <w:t xml:space="preserve"> 1</w:t>
      </w:r>
      <w:r w:rsidR="00C56BCE" w:rsidRPr="00386CD6">
        <w:t>8 novembre</w:t>
      </w:r>
      <w:r w:rsidR="00903CC4" w:rsidRPr="00386CD6">
        <w:t>, à</w:t>
      </w:r>
      <w:r w:rsidR="00066879" w:rsidRPr="00386CD6">
        <w:t xml:space="preserve"> Lusaka </w:t>
      </w:r>
      <w:r w:rsidR="00903CC4" w:rsidRPr="00386CD6">
        <w:t>(</w:t>
      </w:r>
      <w:r w:rsidR="00066879" w:rsidRPr="00386CD6">
        <w:t>Zambi</w:t>
      </w:r>
      <w:r w:rsidR="00903CC4" w:rsidRPr="00386CD6">
        <w:t>e)</w:t>
      </w:r>
      <w:r w:rsidR="00066879" w:rsidRPr="00386CD6">
        <w:t xml:space="preserve">, </w:t>
      </w:r>
      <w:r w:rsidR="00903CC4" w:rsidRPr="00386CD6">
        <w:t>le Bureau a assisté à la trente</w:t>
      </w:r>
      <w:r w:rsidR="00C57B61" w:rsidRPr="00386CD6">
        <w:noBreakHyphen/>
      </w:r>
      <w:r w:rsidR="00903CC4" w:rsidRPr="00386CD6">
        <w:t>neuvième</w:t>
      </w:r>
      <w:r w:rsidR="000F4505" w:rsidRPr="00386CD6">
        <w:t> </w:t>
      </w:r>
      <w:r w:rsidR="00903CC4" w:rsidRPr="00386CD6">
        <w:t xml:space="preserve">session du Conseil </w:t>
      </w:r>
      <w:r w:rsidR="00C93C03" w:rsidRPr="00386CD6">
        <w:t>d’</w:t>
      </w:r>
      <w:r w:rsidR="00903CC4" w:rsidRPr="00386CD6">
        <w:t>administrati</w:t>
      </w:r>
      <w:r w:rsidR="00C93C03" w:rsidRPr="00386CD6">
        <w:t>on</w:t>
      </w:r>
      <w:r w:rsidR="00903CC4" w:rsidRPr="00386CD6">
        <w:t xml:space="preserve"> de l</w:t>
      </w:r>
      <w:r w:rsidR="00C56BCE" w:rsidRPr="00386CD6">
        <w:t>’</w:t>
      </w:r>
      <w:r w:rsidR="00903CC4" w:rsidRPr="00386CD6">
        <w:t>ARIPO et</w:t>
      </w:r>
      <w:r w:rsidR="001C43F5" w:rsidRPr="00386CD6">
        <w:t xml:space="preserve"> </w:t>
      </w:r>
      <w:r w:rsidR="00903CC4" w:rsidRPr="00386CD6">
        <w:t>à la quinzième session du Conseil des ministres de l</w:t>
      </w:r>
      <w:r w:rsidR="00C56BCE" w:rsidRPr="00386CD6">
        <w:t>’</w:t>
      </w:r>
      <w:r w:rsidR="00903CC4" w:rsidRPr="00386CD6">
        <w:t>ARIPO</w:t>
      </w:r>
      <w:r w:rsidR="00E46272" w:rsidRPr="00386CD6">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903CC4" w:rsidRPr="00386CD6">
        <w:t>Les</w:t>
      </w:r>
      <w:r w:rsidR="00A822D6" w:rsidRPr="00386CD6">
        <w:t xml:space="preserve"> 18 </w:t>
      </w:r>
      <w:r w:rsidR="00903CC4" w:rsidRPr="00386CD6">
        <w:t>et</w:t>
      </w:r>
      <w:r w:rsidR="00A822D6" w:rsidRPr="00386CD6">
        <w:t xml:space="preserve"> 1</w:t>
      </w:r>
      <w:r w:rsidR="00C56BCE" w:rsidRPr="00386CD6">
        <w:t>9 novembre</w:t>
      </w:r>
      <w:r w:rsidR="00A822D6" w:rsidRPr="00386CD6">
        <w:t xml:space="preserve">, </w:t>
      </w:r>
      <w:r w:rsidR="00903CC4" w:rsidRPr="00386CD6">
        <w:t>à</w:t>
      </w:r>
      <w:r w:rsidR="00A822D6" w:rsidRPr="00386CD6">
        <w:t xml:space="preserve"> Goa </w:t>
      </w:r>
      <w:r w:rsidR="00903CC4" w:rsidRPr="00386CD6">
        <w:t>(Inde)</w:t>
      </w:r>
      <w:r w:rsidR="00F05BDF" w:rsidRPr="00386CD6">
        <w:t>,</w:t>
      </w:r>
      <w:r w:rsidR="00903CC4" w:rsidRPr="00386CD6">
        <w:t xml:space="preserve"> l</w:t>
      </w:r>
      <w:r w:rsidR="00A822D6" w:rsidRPr="00386CD6">
        <w:t>e</w:t>
      </w:r>
      <w:r w:rsidR="00903CC4" w:rsidRPr="00386CD6">
        <w:t xml:space="preserve"> Bureau a assisté</w:t>
      </w:r>
      <w:r w:rsidR="00A822D6" w:rsidRPr="00386CD6">
        <w:t xml:space="preserve"> </w:t>
      </w:r>
      <w:r w:rsidR="00903CC4" w:rsidRPr="00386CD6">
        <w:t>à</w:t>
      </w:r>
      <w:r w:rsidR="00A822D6" w:rsidRPr="00386CD6">
        <w:t xml:space="preserve"> </w:t>
      </w:r>
      <w:r w:rsidR="00903CC4" w:rsidRPr="00386CD6">
        <w:t>l</w:t>
      </w:r>
      <w:r w:rsidR="00C56BCE" w:rsidRPr="00386CD6">
        <w:t>’</w:t>
      </w:r>
      <w:r w:rsidR="00A822D6" w:rsidRPr="00386CD6">
        <w:t xml:space="preserve">Asian Seed Congress 2015 </w:t>
      </w:r>
      <w:r w:rsidR="00903CC4" w:rsidRPr="00386CD6">
        <w:t xml:space="preserve">et à la </w:t>
      </w:r>
      <w:r w:rsidR="00F01D68" w:rsidRPr="00386CD6">
        <w:t>vingt</w:t>
      </w:r>
      <w:r w:rsidR="00903CC4" w:rsidRPr="00386CD6">
        <w:t> et unième assemblée générale de l</w:t>
      </w:r>
      <w:r w:rsidR="00C56BCE" w:rsidRPr="00386CD6">
        <w:t>’</w:t>
      </w:r>
      <w:r w:rsidR="00903CC4" w:rsidRPr="00386CD6">
        <w:t>APSA</w:t>
      </w:r>
      <w:r w:rsidR="00C56BCE" w:rsidRPr="00386CD6">
        <w:t>;</w:t>
      </w:r>
      <w:r w:rsidR="00903CC4" w:rsidRPr="00386CD6">
        <w:t xml:space="preserve"> </w:t>
      </w:r>
      <w:r w:rsidR="000F4505" w:rsidRPr="00386CD6">
        <w:t xml:space="preserve"> </w:t>
      </w:r>
      <w:r w:rsidR="00903CC4" w:rsidRPr="00386CD6">
        <w:t>il a rendu compte des faits nouveaux survenus à l</w:t>
      </w:r>
      <w:r w:rsidR="00C56BCE" w:rsidRPr="00386CD6">
        <w:t>’</w:t>
      </w:r>
      <w:r w:rsidR="00903CC4" w:rsidRPr="00386CD6">
        <w:t>UPOV</w:t>
      </w:r>
      <w:r w:rsidR="00A822D6" w:rsidRPr="00386CD6">
        <w:t xml:space="preserve"> </w:t>
      </w:r>
      <w:r w:rsidR="00903CC4" w:rsidRPr="00386CD6">
        <w:t>dans le groupe d</w:t>
      </w:r>
      <w:r w:rsidR="00C56BCE" w:rsidRPr="00386CD6">
        <w:t>’</w:t>
      </w:r>
      <w:r w:rsidR="00903CC4" w:rsidRPr="00386CD6">
        <w:t>acti</w:t>
      </w:r>
      <w:r w:rsidR="00684CB2" w:rsidRPr="00386CD6">
        <w:t>on</w:t>
      </w:r>
      <w:r w:rsidR="00903CC4" w:rsidRPr="00386CD6">
        <w:t xml:space="preserve"> relatif aux droits de propriété intellectuelle et à la biodiversité</w:t>
      </w:r>
      <w:r w:rsidR="00A822D6" w:rsidRPr="00386CD6">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903CC4" w:rsidRPr="00386CD6">
        <w:t>Du</w:t>
      </w:r>
      <w:r w:rsidR="00C0298A" w:rsidRPr="00386CD6">
        <w:t xml:space="preserve"> 3</w:t>
      </w:r>
      <w:r w:rsidR="00C56BCE" w:rsidRPr="00386CD6">
        <w:t>0 novembre</w:t>
      </w:r>
      <w:r w:rsidR="00903CC4" w:rsidRPr="00386CD6">
        <w:t xml:space="preserve"> au </w:t>
      </w:r>
      <w:r w:rsidR="00C56BCE" w:rsidRPr="00386CD6">
        <w:t>3 décembre</w:t>
      </w:r>
      <w:r w:rsidR="00903CC4" w:rsidRPr="00386CD6">
        <w:t>, à Hanoi</w:t>
      </w:r>
      <w:r w:rsidR="00C0298A" w:rsidRPr="00386CD6">
        <w:t xml:space="preserve"> </w:t>
      </w:r>
      <w:r w:rsidR="00903CC4" w:rsidRPr="00386CD6">
        <w:t>(</w:t>
      </w:r>
      <w:r w:rsidR="00C0298A" w:rsidRPr="00386CD6">
        <w:t>Viet Nam</w:t>
      </w:r>
      <w:r w:rsidR="00903CC4" w:rsidRPr="00386CD6">
        <w:t>)</w:t>
      </w:r>
      <w:r w:rsidR="00C0298A" w:rsidRPr="00386CD6">
        <w:t>,</w:t>
      </w:r>
      <w:r w:rsidR="00903CC4" w:rsidRPr="00386CD6">
        <w:t xml:space="preserve"> le Bureau a participé</w:t>
      </w:r>
      <w:r w:rsidR="00C0298A" w:rsidRPr="00386CD6">
        <w:t xml:space="preserve"> </w:t>
      </w:r>
      <w:r w:rsidR="00903CC4" w:rsidRPr="00386CD6">
        <w:t>à un</w:t>
      </w:r>
      <w:r w:rsidR="00C0298A" w:rsidRPr="00386CD6">
        <w:t xml:space="preserve"> </w:t>
      </w:r>
      <w:r w:rsidR="00BA76F4" w:rsidRPr="00386CD6">
        <w:t xml:space="preserve">cours de formation </w:t>
      </w:r>
      <w:r w:rsidR="00684CB2" w:rsidRPr="00386CD6">
        <w:t>à l</w:t>
      </w:r>
      <w:r w:rsidR="00C56BCE" w:rsidRPr="00386CD6">
        <w:t>’</w:t>
      </w:r>
      <w:r w:rsidR="00684CB2" w:rsidRPr="00386CD6">
        <w:t>examen</w:t>
      </w:r>
      <w:r w:rsidR="000F4505" w:rsidRPr="00386CD6">
        <w:t> </w:t>
      </w:r>
      <w:r w:rsidR="00BA76F4" w:rsidRPr="00386CD6">
        <w:t xml:space="preserve">DHS </w:t>
      </w:r>
      <w:r w:rsidR="00684CB2" w:rsidRPr="00386CD6">
        <w:t>de</w:t>
      </w:r>
      <w:r w:rsidR="00BA76F4" w:rsidRPr="00386CD6">
        <w:t xml:space="preserve"> la tomate, qui rassemblait des</w:t>
      </w:r>
      <w:r w:rsidR="00C0298A" w:rsidRPr="00386CD6">
        <w:t xml:space="preserve"> parti</w:t>
      </w:r>
      <w:r w:rsidR="00407712" w:rsidRPr="00386CD6">
        <w:t xml:space="preserve">cipants </w:t>
      </w:r>
      <w:r w:rsidR="00BA76F4" w:rsidRPr="00386CD6">
        <w:t>du</w:t>
      </w:r>
      <w:r w:rsidR="00407712" w:rsidRPr="00386CD6">
        <w:t xml:space="preserve"> Viet</w:t>
      </w:r>
      <w:r w:rsidR="000F4505" w:rsidRPr="00386CD6">
        <w:t> </w:t>
      </w:r>
      <w:r w:rsidR="00407712" w:rsidRPr="00386CD6">
        <w:t xml:space="preserve">Nam, </w:t>
      </w:r>
      <w:r w:rsidR="00BA76F4" w:rsidRPr="00386CD6">
        <w:t>du Cambodge et de la</w:t>
      </w:r>
      <w:r w:rsidR="00C0298A" w:rsidRPr="00386CD6">
        <w:t xml:space="preserve"> </w:t>
      </w:r>
      <w:r w:rsidR="00BA76F4" w:rsidRPr="00386CD6">
        <w:t>République démocratique populaire lao</w:t>
      </w:r>
      <w:r w:rsidR="00C0298A" w:rsidRPr="00386CD6">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BA76F4" w:rsidRPr="00386CD6">
        <w:t>Du</w:t>
      </w:r>
      <w:r w:rsidR="001A5B86" w:rsidRPr="00386CD6">
        <w:t xml:space="preserve"> 30</w:t>
      </w:r>
      <w:r w:rsidR="002D613F" w:rsidRPr="00386CD6">
        <w:t> </w:t>
      </w:r>
      <w:r w:rsidR="00BA76F4" w:rsidRPr="00386CD6">
        <w:t>novembre au</w:t>
      </w:r>
      <w:r w:rsidR="001A5B86" w:rsidRPr="00386CD6">
        <w:t xml:space="preserve"> </w:t>
      </w:r>
      <w:r w:rsidR="00C56BCE" w:rsidRPr="00386CD6">
        <w:t>4 décembre</w:t>
      </w:r>
      <w:r w:rsidR="001A5B86" w:rsidRPr="00386CD6">
        <w:t xml:space="preserve">, </w:t>
      </w:r>
      <w:r w:rsidR="00BA76F4" w:rsidRPr="00386CD6">
        <w:t>à Genève</w:t>
      </w:r>
      <w:r w:rsidR="001A5B86" w:rsidRPr="00386CD6">
        <w:t xml:space="preserve">, </w:t>
      </w:r>
      <w:r w:rsidR="00BA76F4" w:rsidRPr="00386CD6">
        <w:t>un cours de formation des formateurs</w:t>
      </w:r>
      <w:r w:rsidR="008F7B7E" w:rsidRPr="00386CD6">
        <w:t xml:space="preserve"> </w:t>
      </w:r>
      <w:r w:rsidR="00BA76F4" w:rsidRPr="00386CD6">
        <w:t xml:space="preserve">sur la protection des obtentions végétales selon la </w:t>
      </w:r>
      <w:r w:rsidR="00C56BCE" w:rsidRPr="00386CD6">
        <w:t>Convention UPOV</w:t>
      </w:r>
      <w:r w:rsidR="00BA76F4" w:rsidRPr="00386CD6">
        <w:t xml:space="preserve"> a été organisé par l</w:t>
      </w:r>
      <w:r w:rsidR="00C56BCE" w:rsidRPr="00386CD6">
        <w:t>’</w:t>
      </w:r>
      <w:r w:rsidR="00BA76F4" w:rsidRPr="00386CD6">
        <w:t>UPOV, en français, en</w:t>
      </w:r>
      <w:r w:rsidR="008F7B7E" w:rsidRPr="00386CD6">
        <w:t xml:space="preserve"> </w:t>
      </w:r>
      <w:r w:rsidR="00BA76F4" w:rsidRPr="00386CD6">
        <w:t>coopération</w:t>
      </w:r>
      <w:r w:rsidR="008F7B7E" w:rsidRPr="00386CD6">
        <w:t xml:space="preserve"> </w:t>
      </w:r>
      <w:r w:rsidR="00BA76F4" w:rsidRPr="00386CD6">
        <w:t>avec l</w:t>
      </w:r>
      <w:r w:rsidR="00C56BCE" w:rsidRPr="00386CD6">
        <w:t>’</w:t>
      </w:r>
      <w:r w:rsidR="00BA76F4" w:rsidRPr="00386CD6">
        <w:t>OMPI et</w:t>
      </w:r>
      <w:r w:rsidR="008F7B7E" w:rsidRPr="00386CD6">
        <w:t xml:space="preserve"> </w:t>
      </w:r>
      <w:r w:rsidR="00BA76F4" w:rsidRPr="00386CD6">
        <w:t>l</w:t>
      </w:r>
      <w:r w:rsidR="00C56BCE" w:rsidRPr="00386CD6">
        <w:t>’</w:t>
      </w:r>
      <w:r w:rsidR="008F7B7E" w:rsidRPr="00386CD6">
        <w:t>US</w:t>
      </w:r>
      <w:r w:rsidR="00EB43E9" w:rsidRPr="00386CD6">
        <w:t>PTO.  Le</w:t>
      </w:r>
      <w:r w:rsidR="00BA76F4" w:rsidRPr="00386CD6">
        <w:t xml:space="preserve"> cours a été suivi par</w:t>
      </w:r>
      <w:r w:rsidR="008F7B7E" w:rsidRPr="00386CD6">
        <w:t xml:space="preserve"> 21</w:t>
      </w:r>
      <w:r w:rsidR="002D613F" w:rsidRPr="00386CD6">
        <w:t> </w:t>
      </w:r>
      <w:r w:rsidR="008F7B7E" w:rsidRPr="00386CD6">
        <w:t>participants</w:t>
      </w:r>
      <w:r w:rsidR="000F4505" w:rsidRPr="00386CD6">
        <w:t> </w:t>
      </w:r>
      <w:r w:rsidR="008F7B7E" w:rsidRPr="00386CD6">
        <w:t xml:space="preserve">: </w:t>
      </w:r>
      <w:r w:rsidR="00C451A3" w:rsidRPr="00386CD6">
        <w:t>5</w:t>
      </w:r>
      <w:r w:rsidR="008F7B7E" w:rsidRPr="00386CD6">
        <w:t xml:space="preserve"> </w:t>
      </w:r>
      <w:r w:rsidR="00BA76F4" w:rsidRPr="00386CD6">
        <w:t>d</w:t>
      </w:r>
      <w:r w:rsidR="00C56BCE" w:rsidRPr="00386CD6">
        <w:t>’</w:t>
      </w:r>
      <w:r w:rsidR="00BA76F4" w:rsidRPr="00386CD6">
        <w:t>entre eux représentaient</w:t>
      </w:r>
      <w:r w:rsidR="008F7B7E" w:rsidRPr="00386CD6">
        <w:t xml:space="preserve"> </w:t>
      </w:r>
      <w:r w:rsidR="00BA76F4" w:rsidRPr="00386CD6">
        <w:t>le Secrétariat de l</w:t>
      </w:r>
      <w:r w:rsidR="00C56BCE" w:rsidRPr="00386CD6">
        <w:t>’</w:t>
      </w:r>
      <w:r w:rsidR="00BA76F4" w:rsidRPr="00386CD6">
        <w:t>OAPI</w:t>
      </w:r>
      <w:r w:rsidR="008F7B7E" w:rsidRPr="00386CD6">
        <w:t>, 13 </w:t>
      </w:r>
      <w:r w:rsidR="00BA76F4" w:rsidRPr="00386CD6">
        <w:t>étaient les</w:t>
      </w:r>
      <w:r w:rsidR="008F7B7E" w:rsidRPr="00386CD6">
        <w:t xml:space="preserve"> points </w:t>
      </w:r>
      <w:r w:rsidR="00BA76F4" w:rsidRPr="00386CD6">
        <w:t>focaux</w:t>
      </w:r>
      <w:r w:rsidR="008F7B7E" w:rsidRPr="00386CD6">
        <w:t xml:space="preserve"> </w:t>
      </w:r>
      <w:r w:rsidR="00BA76F4" w:rsidRPr="00386CD6">
        <w:t>de l</w:t>
      </w:r>
      <w:r w:rsidR="00C56BCE" w:rsidRPr="00386CD6">
        <w:t>’</w:t>
      </w:r>
      <w:r w:rsidR="008F7B7E" w:rsidRPr="00386CD6">
        <w:t xml:space="preserve">OAPI </w:t>
      </w:r>
      <w:r w:rsidR="00BA76F4" w:rsidRPr="00386CD6">
        <w:t>dans ses États membres</w:t>
      </w:r>
      <w:r w:rsidR="008F7B7E" w:rsidRPr="00386CD6">
        <w:t xml:space="preserve"> </w:t>
      </w:r>
      <w:r w:rsidR="008F7B7E" w:rsidRPr="00386CD6">
        <w:rPr>
          <w:rFonts w:eastAsia="SimSun"/>
          <w:lang w:eastAsia="zh-CN"/>
        </w:rPr>
        <w:t>(B</w:t>
      </w:r>
      <w:r w:rsidR="00BA76F4" w:rsidRPr="00386CD6">
        <w:rPr>
          <w:rFonts w:eastAsia="SimSun"/>
          <w:lang w:eastAsia="zh-CN"/>
        </w:rPr>
        <w:t>é</w:t>
      </w:r>
      <w:r w:rsidR="008F7B7E" w:rsidRPr="00386CD6">
        <w:rPr>
          <w:rFonts w:eastAsia="SimSun"/>
          <w:lang w:eastAsia="zh-CN"/>
        </w:rPr>
        <w:t>nin, Burkina Faso, Camero</w:t>
      </w:r>
      <w:r w:rsidR="00BA76F4" w:rsidRPr="00386CD6">
        <w:rPr>
          <w:rFonts w:eastAsia="SimSun"/>
          <w:lang w:eastAsia="zh-CN"/>
        </w:rPr>
        <w:t>u</w:t>
      </w:r>
      <w:r w:rsidR="008F7B7E" w:rsidRPr="00386CD6">
        <w:rPr>
          <w:rFonts w:eastAsia="SimSun"/>
          <w:lang w:eastAsia="zh-CN"/>
        </w:rPr>
        <w:t>n, Côte d</w:t>
      </w:r>
      <w:r w:rsidR="00C56BCE" w:rsidRPr="00386CD6">
        <w:rPr>
          <w:rFonts w:eastAsia="SimSun"/>
          <w:lang w:eastAsia="zh-CN"/>
        </w:rPr>
        <w:t>’</w:t>
      </w:r>
      <w:r w:rsidR="008F7B7E" w:rsidRPr="00386CD6">
        <w:rPr>
          <w:rFonts w:eastAsia="SimSun"/>
          <w:lang w:eastAsia="zh-CN"/>
        </w:rPr>
        <w:t xml:space="preserve">Ivoire, </w:t>
      </w:r>
      <w:r w:rsidR="00BA76F4" w:rsidRPr="00386CD6">
        <w:rPr>
          <w:rFonts w:eastAsia="SimSun"/>
          <w:lang w:eastAsia="zh-CN"/>
        </w:rPr>
        <w:t>Guinée</w:t>
      </w:r>
      <w:r w:rsidR="008F7B7E" w:rsidRPr="00386CD6">
        <w:rPr>
          <w:rFonts w:eastAsia="SimSun"/>
          <w:lang w:eastAsia="zh-CN"/>
        </w:rPr>
        <w:t xml:space="preserve">, </w:t>
      </w:r>
      <w:r w:rsidR="00BA76F4" w:rsidRPr="00386CD6">
        <w:rPr>
          <w:rFonts w:eastAsia="SimSun"/>
          <w:lang w:eastAsia="zh-CN"/>
        </w:rPr>
        <w:t>Guinée</w:t>
      </w:r>
      <w:r w:rsidR="00C57B61" w:rsidRPr="00386CD6">
        <w:rPr>
          <w:rFonts w:eastAsia="SimSun"/>
          <w:lang w:eastAsia="zh-CN"/>
        </w:rPr>
        <w:noBreakHyphen/>
      </w:r>
      <w:r w:rsidR="00BA76F4" w:rsidRPr="00386CD6">
        <w:rPr>
          <w:rFonts w:eastAsia="SimSun"/>
          <w:lang w:eastAsia="zh-CN"/>
        </w:rPr>
        <w:t>Bissau</w:t>
      </w:r>
      <w:r w:rsidR="008F7B7E" w:rsidRPr="00386CD6">
        <w:rPr>
          <w:rFonts w:eastAsia="SimSun"/>
          <w:lang w:eastAsia="zh-CN"/>
        </w:rPr>
        <w:t xml:space="preserve">, Mali, </w:t>
      </w:r>
      <w:r w:rsidR="00BA76F4" w:rsidRPr="00386CD6">
        <w:rPr>
          <w:rFonts w:eastAsia="SimSun"/>
          <w:lang w:eastAsia="zh-CN"/>
        </w:rPr>
        <w:t>Mauritanie</w:t>
      </w:r>
      <w:r w:rsidR="008F7B7E" w:rsidRPr="00386CD6">
        <w:rPr>
          <w:rFonts w:eastAsia="SimSun"/>
          <w:lang w:eastAsia="zh-CN"/>
        </w:rPr>
        <w:t>, Niger</w:t>
      </w:r>
      <w:r w:rsidR="00F05BDF" w:rsidRPr="00386CD6">
        <w:rPr>
          <w:rFonts w:eastAsia="SimSun"/>
          <w:lang w:eastAsia="zh-CN"/>
        </w:rPr>
        <w:t>, République centrafricaine</w:t>
      </w:r>
      <w:r w:rsidR="008F7B7E" w:rsidRPr="00386CD6">
        <w:rPr>
          <w:rFonts w:eastAsia="SimSun"/>
          <w:lang w:eastAsia="zh-CN"/>
        </w:rPr>
        <w:t xml:space="preserve">, </w:t>
      </w:r>
      <w:r w:rsidR="00BA76F4" w:rsidRPr="00386CD6">
        <w:rPr>
          <w:rFonts w:eastAsia="SimSun"/>
          <w:lang w:eastAsia="zh-CN"/>
        </w:rPr>
        <w:t>Sénégal</w:t>
      </w:r>
      <w:r w:rsidR="008F7B7E" w:rsidRPr="00386CD6">
        <w:rPr>
          <w:rFonts w:eastAsia="SimSun"/>
          <w:lang w:eastAsia="zh-CN"/>
        </w:rPr>
        <w:t xml:space="preserve"> </w:t>
      </w:r>
      <w:r w:rsidR="00BA76F4" w:rsidRPr="00386CD6">
        <w:rPr>
          <w:rFonts w:eastAsia="SimSun"/>
          <w:lang w:eastAsia="zh-CN"/>
        </w:rPr>
        <w:t>et</w:t>
      </w:r>
      <w:r w:rsidR="008F7B7E" w:rsidRPr="00386CD6">
        <w:rPr>
          <w:rFonts w:eastAsia="SimSun"/>
          <w:lang w:eastAsia="zh-CN"/>
        </w:rPr>
        <w:t xml:space="preserve"> Togo), </w:t>
      </w:r>
      <w:r w:rsidR="00BA76F4" w:rsidRPr="00386CD6">
        <w:rPr>
          <w:rFonts w:eastAsia="SimSun"/>
          <w:lang w:eastAsia="zh-CN"/>
        </w:rPr>
        <w:t>deux venaient de</w:t>
      </w:r>
      <w:r w:rsidR="008F7B7E" w:rsidRPr="00386CD6">
        <w:rPr>
          <w:rFonts w:eastAsia="SimSun"/>
          <w:lang w:eastAsia="zh-CN"/>
        </w:rPr>
        <w:t xml:space="preserve"> France </w:t>
      </w:r>
      <w:r w:rsidR="00BA76F4" w:rsidRPr="00386CD6">
        <w:rPr>
          <w:rFonts w:eastAsia="SimSun"/>
          <w:lang w:eastAsia="zh-CN"/>
        </w:rPr>
        <w:t>et un des États</w:t>
      </w:r>
      <w:r w:rsidR="00C57B61" w:rsidRPr="00386CD6">
        <w:rPr>
          <w:rFonts w:eastAsia="SimSun"/>
          <w:lang w:eastAsia="zh-CN"/>
        </w:rPr>
        <w:noBreakHyphen/>
      </w:r>
      <w:r w:rsidR="00BA76F4" w:rsidRPr="00386CD6">
        <w:rPr>
          <w:rFonts w:eastAsia="SimSun"/>
          <w:lang w:eastAsia="zh-CN"/>
        </w:rPr>
        <w:t>Unis d</w:t>
      </w:r>
      <w:r w:rsidR="00C56BCE" w:rsidRPr="00386CD6">
        <w:rPr>
          <w:rFonts w:eastAsia="SimSun"/>
          <w:lang w:eastAsia="zh-CN"/>
        </w:rPr>
        <w:t>’</w:t>
      </w:r>
      <w:r w:rsidR="00BA76F4" w:rsidRPr="00386CD6">
        <w:rPr>
          <w:rFonts w:eastAsia="SimSun"/>
          <w:lang w:eastAsia="zh-CN"/>
        </w:rPr>
        <w:t>Amériq</w:t>
      </w:r>
      <w:r w:rsidR="00EB43E9" w:rsidRPr="00386CD6">
        <w:rPr>
          <w:rFonts w:eastAsia="SimSun"/>
          <w:lang w:eastAsia="zh-CN"/>
        </w:rPr>
        <w:t xml:space="preserve">ue.  </w:t>
      </w:r>
      <w:r w:rsidR="00EB43E9" w:rsidRPr="00386CD6">
        <w:t>Le</w:t>
      </w:r>
      <w:r w:rsidR="00C9588E" w:rsidRPr="00386CD6">
        <w:t>s participants ont été invités à suivre le cours d</w:t>
      </w:r>
      <w:r w:rsidR="00C56BCE" w:rsidRPr="00386CD6">
        <w:t>’</w:t>
      </w:r>
      <w:r w:rsidR="00C9588E" w:rsidRPr="00386CD6">
        <w:t>enseignement à distance DL</w:t>
      </w:r>
      <w:r w:rsidR="00C57B61" w:rsidRPr="00386CD6">
        <w:noBreakHyphen/>
      </w:r>
      <w:r w:rsidR="00C9588E" w:rsidRPr="00386CD6">
        <w:t>205 de l</w:t>
      </w:r>
      <w:r w:rsidR="00C56BCE" w:rsidRPr="00386CD6">
        <w:t>’</w:t>
      </w:r>
      <w:r w:rsidR="00C9588E" w:rsidRPr="00386CD6">
        <w:t>UPOV avant la formation.</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C9588E" w:rsidRPr="00386CD6">
        <w:t xml:space="preserve">Les 2 et </w:t>
      </w:r>
      <w:r w:rsidR="00C56BCE" w:rsidRPr="00386CD6">
        <w:t>3 décembre</w:t>
      </w:r>
      <w:r w:rsidR="00C9588E" w:rsidRPr="00386CD6">
        <w:t>, à Angers (France), le Bureau a assisté à la dix</w:t>
      </w:r>
      <w:r w:rsidR="00C57B61" w:rsidRPr="00386CD6">
        <w:noBreakHyphen/>
      </w:r>
      <w:r w:rsidR="00C9588E" w:rsidRPr="00386CD6">
        <w:t>neuvième réunion annuelle de l</w:t>
      </w:r>
      <w:r w:rsidR="00C56BCE" w:rsidRPr="00386CD6">
        <w:t>’</w:t>
      </w:r>
      <w:r w:rsidR="00C9588E" w:rsidRPr="00386CD6">
        <w:t>OCVV et de ses offices d</w:t>
      </w:r>
      <w:r w:rsidR="00C56BCE" w:rsidRPr="00386CD6">
        <w:t>’</w:t>
      </w:r>
      <w:r w:rsidR="00C9588E" w:rsidRPr="00386CD6">
        <w:t>examen.</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BA76F4" w:rsidRPr="00386CD6">
        <w:t>Le</w:t>
      </w:r>
      <w:r w:rsidR="00C0298A" w:rsidRPr="00386CD6">
        <w:t xml:space="preserve"> </w:t>
      </w:r>
      <w:r w:rsidR="00C56BCE" w:rsidRPr="00386CD6">
        <w:t>5 décembre</w:t>
      </w:r>
      <w:r w:rsidR="00C0298A" w:rsidRPr="00386CD6">
        <w:t xml:space="preserve">, </w:t>
      </w:r>
      <w:r w:rsidR="00BA76F4" w:rsidRPr="00386CD6">
        <w:t>à</w:t>
      </w:r>
      <w:r w:rsidR="00C0298A" w:rsidRPr="00386CD6">
        <w:t xml:space="preserve"> Bandar Seri Begawan </w:t>
      </w:r>
      <w:r w:rsidR="00BA76F4" w:rsidRPr="00386CD6">
        <w:t>(</w:t>
      </w:r>
      <w:r w:rsidR="00C0298A" w:rsidRPr="00386CD6">
        <w:t>Brun</w:t>
      </w:r>
      <w:r w:rsidR="00BA76F4" w:rsidRPr="00386CD6">
        <w:t>é</w:t>
      </w:r>
      <w:r w:rsidR="00C0298A" w:rsidRPr="00386CD6">
        <w:t>i Darussalam</w:t>
      </w:r>
      <w:r w:rsidR="00BA76F4" w:rsidRPr="00386CD6">
        <w:t>)</w:t>
      </w:r>
      <w:r w:rsidR="00C0298A" w:rsidRPr="00386CD6">
        <w:t xml:space="preserve">, </w:t>
      </w:r>
      <w:r w:rsidR="00BA76F4" w:rsidRPr="00386CD6">
        <w:t>le Bureau a participé à un atelier</w:t>
      </w:r>
      <w:r w:rsidR="00C0298A" w:rsidRPr="00386CD6">
        <w:t xml:space="preserve"> </w:t>
      </w:r>
      <w:r w:rsidR="00BA76F4" w:rsidRPr="00386CD6">
        <w:t xml:space="preserve">sur les avantages de la protection des obtentions végétales au titre de la </w:t>
      </w:r>
      <w:r w:rsidR="00C56BCE" w:rsidRPr="00386CD6">
        <w:t>Convention UPOV</w:t>
      </w:r>
      <w:r w:rsidR="00C0298A" w:rsidRPr="00386CD6">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BA76F4" w:rsidRPr="00386CD6">
        <w:t>Les</w:t>
      </w:r>
      <w:r w:rsidR="00C0298A" w:rsidRPr="00386CD6">
        <w:t xml:space="preserve"> 7 </w:t>
      </w:r>
      <w:r w:rsidR="00BA76F4" w:rsidRPr="00386CD6">
        <w:t xml:space="preserve">et </w:t>
      </w:r>
      <w:r w:rsidR="00C56BCE" w:rsidRPr="00386CD6">
        <w:t>8 décembre</w:t>
      </w:r>
      <w:r w:rsidR="00C0298A" w:rsidRPr="00386CD6">
        <w:t xml:space="preserve">, </w:t>
      </w:r>
      <w:r w:rsidR="00BA76F4" w:rsidRPr="00386CD6">
        <w:t>à</w:t>
      </w:r>
      <w:r w:rsidR="00C0298A" w:rsidRPr="00386CD6">
        <w:t xml:space="preserve"> Vientiane </w:t>
      </w:r>
      <w:r w:rsidR="00BA76F4" w:rsidRPr="00386CD6">
        <w:t>(République démocratique populaire lao)</w:t>
      </w:r>
      <w:r w:rsidR="00306570" w:rsidRPr="00386CD6">
        <w:t xml:space="preserve">, </w:t>
      </w:r>
      <w:r w:rsidR="00BA76F4" w:rsidRPr="00386CD6">
        <w:t xml:space="preserve">le Bureau a participé à un atelier sur la sensibilisation à la protection des obtentions végétales au titre de la </w:t>
      </w:r>
      <w:r w:rsidR="00C56BCE" w:rsidRPr="00386CD6">
        <w:t>Convention UPOV</w:t>
      </w:r>
      <w:r w:rsidR="00BA76F4" w:rsidRPr="00386CD6">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BA76F4" w:rsidRPr="00386CD6">
        <w:t>Le</w:t>
      </w:r>
      <w:r w:rsidR="00F178E1" w:rsidRPr="00386CD6">
        <w:t xml:space="preserve"> </w:t>
      </w:r>
      <w:r w:rsidR="00C56BCE" w:rsidRPr="00386CD6">
        <w:t>8 décembre</w:t>
      </w:r>
      <w:r w:rsidR="00F178E1" w:rsidRPr="00386CD6">
        <w:t xml:space="preserve">, </w:t>
      </w:r>
      <w:r w:rsidR="00BA76F4" w:rsidRPr="00386CD6">
        <w:t>à Bonn (Allemagne)</w:t>
      </w:r>
      <w:r w:rsidR="00F178E1" w:rsidRPr="00386CD6">
        <w:t xml:space="preserve">, </w:t>
      </w:r>
      <w:r w:rsidR="00F00900" w:rsidRPr="00386CD6">
        <w:t>le Bureau a participé à un débat d</w:t>
      </w:r>
      <w:r w:rsidR="00C56BCE" w:rsidRPr="00386CD6">
        <w:t>’</w:t>
      </w:r>
      <w:r w:rsidR="00F00900" w:rsidRPr="00386CD6">
        <w:t>expert sur les semences et l</w:t>
      </w:r>
      <w:r w:rsidR="00C56BCE" w:rsidRPr="00386CD6">
        <w:t>’</w:t>
      </w:r>
      <w:r w:rsidR="00F00900" w:rsidRPr="00386CD6">
        <w:t>agriculture durable, organisé par</w:t>
      </w:r>
      <w:r w:rsidR="00F85A08" w:rsidRPr="00386CD6">
        <w:t xml:space="preserve"> </w:t>
      </w:r>
      <w:r w:rsidR="00F00900" w:rsidRPr="00386CD6">
        <w:t>l</w:t>
      </w:r>
      <w:r w:rsidR="00C56BCE" w:rsidRPr="00386CD6">
        <w:t>’</w:t>
      </w:r>
      <w:r w:rsidR="00F00900" w:rsidRPr="00386CD6">
        <w:t>Agence allemande de coopération internationale</w:t>
      </w:r>
      <w:r w:rsidR="00684CB2" w:rsidRPr="00386CD6">
        <w:t xml:space="preserve"> (GIZ)</w:t>
      </w:r>
      <w:r w:rsidR="00F178E1" w:rsidRPr="00386CD6">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BA76F4" w:rsidRPr="00386CD6">
        <w:t>Le 1</w:t>
      </w:r>
      <w:r w:rsidR="00C56BCE" w:rsidRPr="00386CD6">
        <w:t>0 décembre</w:t>
      </w:r>
      <w:r w:rsidR="00BA76F4" w:rsidRPr="00386CD6">
        <w:t xml:space="preserve">, à </w:t>
      </w:r>
      <w:r w:rsidR="00F00900" w:rsidRPr="00386CD6">
        <w:t>Phnom Penh</w:t>
      </w:r>
      <w:r w:rsidR="00306570" w:rsidRPr="00386CD6">
        <w:t xml:space="preserve"> </w:t>
      </w:r>
      <w:r w:rsidR="00F00900" w:rsidRPr="00386CD6">
        <w:t>(Cambodge)</w:t>
      </w:r>
      <w:r w:rsidR="00306570" w:rsidRPr="00386CD6">
        <w:t xml:space="preserve">, </w:t>
      </w:r>
      <w:r w:rsidR="00F00900" w:rsidRPr="00386CD6">
        <w:t xml:space="preserve">le Bureau a participé à un séminaire de haut niveau de sensibilisation à la protection des obtentions végétales en vertu de la </w:t>
      </w:r>
      <w:r w:rsidR="00C56BCE" w:rsidRPr="00386CD6">
        <w:t>Convention UPOV</w:t>
      </w:r>
      <w:r w:rsidR="00E46272" w:rsidRPr="00386CD6">
        <w:t>.</w:t>
      </w:r>
    </w:p>
    <w:p w:rsidR="00CB114F" w:rsidRPr="00386CD6" w:rsidRDefault="00CB114F" w:rsidP="00F01D68"/>
    <w:p w:rsidR="00CB114F" w:rsidRPr="00386CD6" w:rsidRDefault="00AA3BBA" w:rsidP="00F01D68">
      <w:r w:rsidRPr="00386CD6">
        <w:fldChar w:fldCharType="begin"/>
      </w:r>
      <w:r w:rsidRPr="00386CD6">
        <w:instrText xml:space="preserve"> AUTONUM  </w:instrText>
      </w:r>
      <w:r w:rsidRPr="00386CD6">
        <w:fldChar w:fldCharType="end"/>
      </w:r>
      <w:r w:rsidRPr="00386CD6">
        <w:tab/>
      </w:r>
      <w:r w:rsidR="00BA76F4" w:rsidRPr="00386CD6">
        <w:t>Le 1</w:t>
      </w:r>
      <w:r w:rsidR="00C56BCE" w:rsidRPr="00386CD6">
        <w:t>4 décembre</w:t>
      </w:r>
      <w:r w:rsidR="00BA76F4" w:rsidRPr="00386CD6">
        <w:t xml:space="preserve">, à </w:t>
      </w:r>
      <w:r w:rsidR="00F00900" w:rsidRPr="00386CD6">
        <w:t>Dubaï</w:t>
      </w:r>
      <w:r w:rsidR="00F85A08" w:rsidRPr="00386CD6">
        <w:t xml:space="preserve"> </w:t>
      </w:r>
      <w:r w:rsidR="00F00900" w:rsidRPr="00386CD6">
        <w:t>(Émirats arabes unis)</w:t>
      </w:r>
      <w:r w:rsidR="00F85A08" w:rsidRPr="00386CD6">
        <w:t xml:space="preserve">, </w:t>
      </w:r>
      <w:r w:rsidR="00F00900" w:rsidRPr="00386CD6">
        <w:t>le Bureau a participé à des</w:t>
      </w:r>
      <w:r w:rsidR="00F85A08" w:rsidRPr="00386CD6">
        <w:t xml:space="preserve"> </w:t>
      </w:r>
      <w:r w:rsidR="002B6F09" w:rsidRPr="00386CD6">
        <w:t xml:space="preserve">consultations </w:t>
      </w:r>
      <w:r w:rsidR="00F00900" w:rsidRPr="00386CD6">
        <w:t>concernant la protection des obtentions végétales et l</w:t>
      </w:r>
      <w:r w:rsidR="00C56BCE" w:rsidRPr="00386CD6">
        <w:t>’</w:t>
      </w:r>
      <w:r w:rsidR="00F00900" w:rsidRPr="00386CD6">
        <w:t>adhésion à l</w:t>
      </w:r>
      <w:r w:rsidR="00C56BCE" w:rsidRPr="00386CD6">
        <w:t>’</w:t>
      </w:r>
      <w:r w:rsidR="00F00900" w:rsidRPr="00386CD6">
        <w:t>UPOV</w:t>
      </w:r>
      <w:r w:rsidR="00F85A08" w:rsidRPr="00386CD6">
        <w:t>.</w:t>
      </w:r>
    </w:p>
    <w:p w:rsidR="00CB114F" w:rsidRPr="00386CD6" w:rsidRDefault="00CB114F" w:rsidP="00F01D68"/>
    <w:p w:rsidR="00CB114F" w:rsidRPr="00386CD6" w:rsidRDefault="00F85A08" w:rsidP="00F01D68">
      <w:r w:rsidRPr="00386CD6">
        <w:fldChar w:fldCharType="begin"/>
      </w:r>
      <w:r w:rsidRPr="00386CD6">
        <w:instrText xml:space="preserve"> AUTONUM  </w:instrText>
      </w:r>
      <w:r w:rsidRPr="00386CD6">
        <w:fldChar w:fldCharType="end"/>
      </w:r>
      <w:r w:rsidRPr="00386CD6">
        <w:tab/>
      </w:r>
      <w:r w:rsidR="00F00900" w:rsidRPr="00386CD6">
        <w:t>Du</w:t>
      </w:r>
      <w:r w:rsidRPr="00386CD6">
        <w:t xml:space="preserve"> 15 </w:t>
      </w:r>
      <w:r w:rsidR="00F00900" w:rsidRPr="00386CD6">
        <w:t>au</w:t>
      </w:r>
      <w:r w:rsidRPr="00386CD6">
        <w:t xml:space="preserve"> 1</w:t>
      </w:r>
      <w:r w:rsidR="00C56BCE" w:rsidRPr="00386CD6">
        <w:t>7 décembre</w:t>
      </w:r>
      <w:r w:rsidRPr="00386CD6">
        <w:t xml:space="preserve">, </w:t>
      </w:r>
      <w:r w:rsidR="00F00900" w:rsidRPr="00386CD6">
        <w:t>à</w:t>
      </w:r>
      <w:r w:rsidRPr="00386CD6">
        <w:t xml:space="preserve"> </w:t>
      </w:r>
      <w:r w:rsidR="00F00900" w:rsidRPr="00386CD6">
        <w:t>Dubaï également</w:t>
      </w:r>
      <w:r w:rsidRPr="00386CD6">
        <w:t xml:space="preserve">, </w:t>
      </w:r>
      <w:r w:rsidR="00F00900" w:rsidRPr="00386CD6">
        <w:t>le Bureau a participé à l</w:t>
      </w:r>
      <w:r w:rsidR="00C56BCE" w:rsidRPr="00386CD6">
        <w:t>’</w:t>
      </w:r>
      <w:r w:rsidR="005511A3" w:rsidRPr="00386CD6">
        <w:t>“</w:t>
      </w:r>
      <w:r w:rsidR="00F00900" w:rsidRPr="00386CD6">
        <w:rPr>
          <w:szCs w:val="22"/>
        </w:rPr>
        <w:t>Atelier sur le Traité international</w:t>
      </w:r>
      <w:r w:rsidRPr="00386CD6">
        <w:rPr>
          <w:szCs w:val="22"/>
        </w:rPr>
        <w:t xml:space="preserve"> </w:t>
      </w:r>
      <w:r w:rsidR="00F00900" w:rsidRPr="00386CD6">
        <w:rPr>
          <w:szCs w:val="22"/>
        </w:rPr>
        <w:t>sur les ressources phytogénétiques pour l</w:t>
      </w:r>
      <w:r w:rsidR="00C56BCE" w:rsidRPr="00386CD6">
        <w:rPr>
          <w:szCs w:val="22"/>
        </w:rPr>
        <w:t>’</w:t>
      </w:r>
      <w:r w:rsidR="00F00900" w:rsidRPr="00386CD6">
        <w:rPr>
          <w:szCs w:val="22"/>
        </w:rPr>
        <w:t>alimentation et l</w:t>
      </w:r>
      <w:r w:rsidR="00C56BCE" w:rsidRPr="00386CD6">
        <w:rPr>
          <w:szCs w:val="22"/>
        </w:rPr>
        <w:t>’</w:t>
      </w:r>
      <w:r w:rsidR="00F00900" w:rsidRPr="00386CD6">
        <w:rPr>
          <w:szCs w:val="22"/>
        </w:rPr>
        <w:t>agriculture et sur la</w:t>
      </w:r>
      <w:r w:rsidR="005511A3" w:rsidRPr="00386CD6">
        <w:rPr>
          <w:szCs w:val="22"/>
        </w:rPr>
        <w:t xml:space="preserve"> </w:t>
      </w:r>
      <w:r w:rsidR="00F00900" w:rsidRPr="00386CD6">
        <w:rPr>
          <w:szCs w:val="22"/>
        </w:rPr>
        <w:t>préparation à l</w:t>
      </w:r>
      <w:r w:rsidR="00C56BCE" w:rsidRPr="00386CD6">
        <w:rPr>
          <w:szCs w:val="22"/>
        </w:rPr>
        <w:t>’</w:t>
      </w:r>
      <w:r w:rsidR="00F00900" w:rsidRPr="00386CD6">
        <w:rPr>
          <w:szCs w:val="22"/>
        </w:rPr>
        <w:t>adhésion</w:t>
      </w:r>
      <w:r w:rsidR="005511A3" w:rsidRPr="00386CD6">
        <w:rPr>
          <w:szCs w:val="22"/>
        </w:rPr>
        <w:t xml:space="preserve"> </w:t>
      </w:r>
      <w:r w:rsidR="00F00900" w:rsidRPr="00386CD6">
        <w:rPr>
          <w:szCs w:val="22"/>
        </w:rPr>
        <w:t>à la Convention internationale pour la protection des obtentions végétales</w:t>
      </w:r>
      <w:r w:rsidR="005511A3" w:rsidRPr="00386CD6">
        <w:rPr>
          <w:szCs w:val="22"/>
        </w:rPr>
        <w:t>”</w:t>
      </w:r>
      <w:r w:rsidRPr="00386CD6">
        <w:t>, organi</w:t>
      </w:r>
      <w:r w:rsidR="00F00900" w:rsidRPr="00386CD6">
        <w:t xml:space="preserve">sé par le </w:t>
      </w:r>
      <w:r w:rsidR="00C07A01" w:rsidRPr="00386CD6">
        <w:t>Ministère de l</w:t>
      </w:r>
      <w:r w:rsidR="00C56BCE" w:rsidRPr="00386CD6">
        <w:t>’</w:t>
      </w:r>
      <w:r w:rsidR="00C07A01" w:rsidRPr="00386CD6">
        <w:t>environnement et de l</w:t>
      </w:r>
      <w:r w:rsidR="00C56BCE" w:rsidRPr="00386CD6">
        <w:t>’</w:t>
      </w:r>
      <w:r w:rsidR="00C07A01" w:rsidRPr="00386CD6">
        <w:t>eau des Émirats arabes unis, e</w:t>
      </w:r>
      <w:r w:rsidRPr="00386CD6">
        <w:t xml:space="preserve">n collaboration </w:t>
      </w:r>
      <w:r w:rsidR="00C07A01" w:rsidRPr="00386CD6">
        <w:t>avec</w:t>
      </w:r>
      <w:r w:rsidR="00881810" w:rsidRPr="00386CD6">
        <w:t xml:space="preserve"> </w:t>
      </w:r>
      <w:r w:rsidR="00684CB2" w:rsidRPr="00386CD6">
        <w:t>le Traité international</w:t>
      </w:r>
      <w:r w:rsidRPr="00386CD6">
        <w:t xml:space="preserve">, </w:t>
      </w:r>
      <w:r w:rsidR="00C07A01" w:rsidRPr="00386CD6">
        <w:t>l</w:t>
      </w:r>
      <w:r w:rsidR="00C56BCE" w:rsidRPr="00386CD6">
        <w:t>’</w:t>
      </w:r>
      <w:r w:rsidR="00881810" w:rsidRPr="00386CD6">
        <w:t xml:space="preserve">UPOV, </w:t>
      </w:r>
      <w:r w:rsidR="00C07A01" w:rsidRPr="00386CD6">
        <w:t>l</w:t>
      </w:r>
      <w:r w:rsidR="00C56BCE" w:rsidRPr="00386CD6">
        <w:t>’</w:t>
      </w:r>
      <w:r w:rsidRPr="00386CD6">
        <w:t>ICARDA</w:t>
      </w:r>
      <w:r w:rsidR="00881810" w:rsidRPr="00386CD6">
        <w:t xml:space="preserve"> </w:t>
      </w:r>
      <w:r w:rsidR="00C07A01" w:rsidRPr="00386CD6">
        <w:t>et l</w:t>
      </w:r>
      <w:r w:rsidR="00C56BCE" w:rsidRPr="00386CD6">
        <w:t>’</w:t>
      </w:r>
      <w:r w:rsidRPr="00386CD6">
        <w:t>ICBA</w:t>
      </w:r>
      <w:r w:rsidR="00730385" w:rsidRPr="00386CD6">
        <w:t>.</w:t>
      </w:r>
    </w:p>
    <w:p w:rsidR="00CB114F" w:rsidRPr="00386CD6" w:rsidRDefault="00CB114F" w:rsidP="00F01D68"/>
    <w:p w:rsidR="00CB114F" w:rsidRPr="00386CD6" w:rsidRDefault="00126E6C" w:rsidP="00F01D68">
      <w:r w:rsidRPr="00386CD6">
        <w:fldChar w:fldCharType="begin"/>
      </w:r>
      <w:r w:rsidRPr="00386CD6">
        <w:instrText xml:space="preserve"> AUTONUM  </w:instrText>
      </w:r>
      <w:r w:rsidRPr="00386CD6">
        <w:fldChar w:fldCharType="end"/>
      </w:r>
      <w:r w:rsidRPr="00386CD6">
        <w:tab/>
      </w:r>
      <w:r w:rsidR="00BA76F4" w:rsidRPr="00386CD6">
        <w:t>Le 1</w:t>
      </w:r>
      <w:r w:rsidR="00C56BCE" w:rsidRPr="00386CD6">
        <w:t>7 décembre</w:t>
      </w:r>
      <w:r w:rsidR="00BA76F4" w:rsidRPr="00386CD6">
        <w:t xml:space="preserve">, à </w:t>
      </w:r>
      <w:r w:rsidR="00C07A01" w:rsidRPr="00386CD6">
        <w:t>Genève</w:t>
      </w:r>
      <w:r w:rsidRPr="00386CD6">
        <w:t xml:space="preserve">, </w:t>
      </w:r>
      <w:r w:rsidR="00C07A01" w:rsidRPr="00386CD6">
        <w:t>le Bureau a participé à une réunion électronique via Internet avec des représentants de</w:t>
      </w:r>
      <w:r w:rsidRPr="00386CD6">
        <w:t xml:space="preserve"> CIOPORA, CropLife International </w:t>
      </w:r>
      <w:r w:rsidR="00C07A01" w:rsidRPr="00386CD6">
        <w:t>et</w:t>
      </w:r>
      <w:r w:rsidRPr="00386CD6">
        <w:t xml:space="preserve"> </w:t>
      </w:r>
      <w:r w:rsidR="00C07A01" w:rsidRPr="00386CD6">
        <w:t>l</w:t>
      </w:r>
      <w:r w:rsidR="00C56BCE" w:rsidRPr="00386CD6">
        <w:t>’</w:t>
      </w:r>
      <w:r w:rsidRPr="00386CD6">
        <w:t xml:space="preserve">ISF </w:t>
      </w:r>
      <w:r w:rsidR="00C07A01" w:rsidRPr="00386CD6">
        <w:t>afin d</w:t>
      </w:r>
      <w:r w:rsidR="00C56BCE" w:rsidRPr="00386CD6">
        <w:t>’</w:t>
      </w:r>
      <w:r w:rsidR="00C07A01" w:rsidRPr="00386CD6">
        <w:t>examiner leurs propositions relatives à un éventuel système international de coopération</w:t>
      </w:r>
      <w:r w:rsidR="00C451A3" w:rsidRPr="00386CD6">
        <w:t>.</w:t>
      </w:r>
    </w:p>
    <w:p w:rsidR="00CB114F" w:rsidRPr="00386CD6" w:rsidRDefault="00CB114F" w:rsidP="00F01D68"/>
    <w:p w:rsidR="0083792B" w:rsidRPr="00386CD6" w:rsidRDefault="0083792B" w:rsidP="0085651C"/>
    <w:p w:rsidR="0083792B" w:rsidRPr="00386CD6" w:rsidRDefault="0083792B" w:rsidP="00C9588E">
      <w:pPr>
        <w:pStyle w:val="Heading2"/>
        <w:rPr>
          <w:lang w:val="fr-FR"/>
        </w:rPr>
      </w:pPr>
      <w:bookmarkStart w:id="15" w:name="_Toc465099873"/>
      <w:r w:rsidRPr="00386CD6">
        <w:rPr>
          <w:lang w:val="fr-FR"/>
        </w:rPr>
        <w:t>Cours d’enseignement à distance</w:t>
      </w:r>
      <w:bookmarkEnd w:id="15"/>
    </w:p>
    <w:p w:rsidR="0083792B" w:rsidRPr="00386CD6" w:rsidRDefault="0083792B" w:rsidP="004E714F">
      <w:pPr>
        <w:keepNext/>
        <w:rPr>
          <w:szCs w:val="24"/>
        </w:rPr>
      </w:pPr>
    </w:p>
    <w:p w:rsidR="0083792B" w:rsidRPr="00386CD6" w:rsidRDefault="0083792B" w:rsidP="0085651C">
      <w:pPr>
        <w:rPr>
          <w:rFonts w:cs="Arial"/>
        </w:rPr>
      </w:pPr>
      <w:r w:rsidRPr="00386CD6">
        <w:fldChar w:fldCharType="begin"/>
      </w:r>
      <w:r w:rsidRPr="00386CD6">
        <w:instrText xml:space="preserve"> AUTONUM  </w:instrText>
      </w:r>
      <w:r w:rsidRPr="00386CD6">
        <w:fldChar w:fldCharType="end"/>
      </w:r>
      <w:r w:rsidRPr="00386CD6">
        <w:tab/>
        <w:t>Une session du cours d’enseignem</w:t>
      </w:r>
      <w:r w:rsidR="00A3701F" w:rsidRPr="00386CD6">
        <w:t>ent à distance de l’UPOV DL</w:t>
      </w:r>
      <w:r w:rsidR="00A3701F" w:rsidRPr="00386CD6">
        <w:noBreakHyphen/>
        <w:t>305</w:t>
      </w:r>
      <w:r w:rsidRPr="00386CD6">
        <w:t>A intitulé “Administration des droits d’obtenteur” (partie A du cours DL</w:t>
      </w:r>
      <w:r w:rsidRPr="00386CD6">
        <w:noBreakHyphen/>
        <w:t>305) en français, anglais et espagnol, a eu lieu du 16 février au 22 mars 2015.</w:t>
      </w:r>
    </w:p>
    <w:p w:rsidR="0083792B" w:rsidRPr="00386CD6" w:rsidRDefault="0083792B" w:rsidP="00B61442">
      <w:pPr>
        <w:rPr>
          <w:rFonts w:cs="Arial"/>
        </w:rPr>
      </w:pPr>
    </w:p>
    <w:p w:rsidR="0083792B" w:rsidRPr="00386CD6" w:rsidRDefault="0083792B" w:rsidP="0085651C">
      <w:pPr>
        <w:rPr>
          <w:rFonts w:cs="Arial"/>
        </w:rPr>
      </w:pPr>
      <w:r w:rsidRPr="00386CD6">
        <w:fldChar w:fldCharType="begin"/>
      </w:r>
      <w:r w:rsidRPr="00386CD6">
        <w:instrText xml:space="preserve"> AUTONUM  </w:instrText>
      </w:r>
      <w:r w:rsidRPr="00386CD6">
        <w:fldChar w:fldCharType="end"/>
      </w:r>
      <w:r w:rsidRPr="00386CD6">
        <w:tab/>
        <w:t>Une session du cours d’enseignement à distance de l’UPOV DL</w:t>
      </w:r>
      <w:r w:rsidRPr="00386CD6">
        <w:noBreakHyphen/>
        <w:t>305 intitulé “Examen des demandes</w:t>
      </w:r>
      <w:r w:rsidR="00A3701F" w:rsidRPr="00386CD6">
        <w:t xml:space="preserve"> de droits d’obtenteur” (DL</w:t>
      </w:r>
      <w:r w:rsidR="00A3701F" w:rsidRPr="00386CD6">
        <w:noBreakHyphen/>
        <w:t>305</w:t>
      </w:r>
      <w:r w:rsidRPr="00386CD6">
        <w:t>A et DL</w:t>
      </w:r>
      <w:r w:rsidRPr="00386CD6">
        <w:noBreakHyphen/>
        <w:t>305B en un seul cours) et une session du cours d’enseignement à distance de l’UPOV DL</w:t>
      </w:r>
      <w:r w:rsidRPr="00386CD6">
        <w:noBreakHyphen/>
        <w:t>305B intitulé “Examen DHS” (partie B du cours DL</w:t>
      </w:r>
      <w:r w:rsidRPr="00386CD6">
        <w:noBreakHyphen/>
        <w:t>305) en français, anglais et espagnol, ont eu lieu du 20 avril au 24 mai 2015.</w:t>
      </w:r>
    </w:p>
    <w:p w:rsidR="0083792B" w:rsidRPr="00386CD6" w:rsidRDefault="0083792B" w:rsidP="00B61442">
      <w:pPr>
        <w:rPr>
          <w:rFonts w:cs="Arial"/>
        </w:rPr>
      </w:pPr>
    </w:p>
    <w:p w:rsidR="0083792B" w:rsidRPr="00386CD6" w:rsidRDefault="0083792B" w:rsidP="0085651C">
      <w:pPr>
        <w:rPr>
          <w:rFonts w:cs="Arial"/>
        </w:rPr>
      </w:pPr>
      <w:r w:rsidRPr="00386CD6">
        <w:rPr>
          <w:rFonts w:cs="Arial"/>
        </w:rPr>
        <w:fldChar w:fldCharType="begin"/>
      </w:r>
      <w:r w:rsidRPr="00386CD6">
        <w:rPr>
          <w:rFonts w:cs="Arial"/>
        </w:rPr>
        <w:instrText xml:space="preserve"> AUTONUM  </w:instrText>
      </w:r>
      <w:r w:rsidRPr="00386CD6">
        <w:rPr>
          <w:rFonts w:cs="Arial"/>
        </w:rPr>
        <w:fldChar w:fldCharType="end"/>
      </w:r>
      <w:r w:rsidRPr="00386CD6">
        <w:rPr>
          <w:rFonts w:cs="Arial"/>
        </w:rPr>
        <w:tab/>
        <w:t>Une session du cours d’enseignement à distance DL</w:t>
      </w:r>
      <w:r w:rsidRPr="00386CD6">
        <w:rPr>
          <w:rFonts w:cs="Arial"/>
        </w:rPr>
        <w:noBreakHyphen/>
        <w:t>205 intitulé “Introduction au système UPOV de protection des obtentions végétales selon la Convention UPOV”, en français, allemand, anglais et espagnol, a eu lieu du 10 octobre au 23 novembre 2015.</w:t>
      </w:r>
    </w:p>
    <w:p w:rsidR="0083792B" w:rsidRPr="00386CD6" w:rsidRDefault="0083792B" w:rsidP="004E714F"/>
    <w:p w:rsidR="0083792B" w:rsidRPr="00386CD6" w:rsidRDefault="0083792B" w:rsidP="0085651C">
      <w:r w:rsidRPr="00386CD6">
        <w:fldChar w:fldCharType="begin"/>
      </w:r>
      <w:r w:rsidRPr="00386CD6">
        <w:instrText xml:space="preserve"> AUTONUM  </w:instrText>
      </w:r>
      <w:r w:rsidRPr="00386CD6">
        <w:fldChar w:fldCharType="end"/>
      </w:r>
      <w:r w:rsidRPr="00386CD6">
        <w:tab/>
        <w:t>Une répartition des étudiants inscrits aux cours d’enseignement à distance de l’UPOV DL</w:t>
      </w:r>
      <w:r w:rsidRPr="00386CD6">
        <w:noBreakHyphen/>
        <w:t>205 et DL</w:t>
      </w:r>
      <w:r w:rsidRPr="00386CD6">
        <w:noBreakHyphen/>
        <w:t>305 figure dans l’annexe III, sous</w:t>
      </w:r>
      <w:r w:rsidRPr="00386CD6">
        <w:noBreakHyphen/>
        <w:t>programme UV.3, indicateur d’exécution 4.a) “Participation aux cours d’enseignement à distance”.</w:t>
      </w:r>
    </w:p>
    <w:p w:rsidR="0083792B" w:rsidRPr="00386CD6" w:rsidRDefault="0083792B" w:rsidP="004E714F">
      <w:pPr>
        <w:rPr>
          <w:szCs w:val="24"/>
        </w:rPr>
      </w:pPr>
    </w:p>
    <w:p w:rsidR="0083792B" w:rsidRPr="00386CD6" w:rsidRDefault="0083792B" w:rsidP="004E714F">
      <w:pPr>
        <w:rPr>
          <w:szCs w:val="24"/>
        </w:rPr>
      </w:pPr>
    </w:p>
    <w:p w:rsidR="0083792B" w:rsidRPr="00386CD6" w:rsidRDefault="0083792B" w:rsidP="004E714F">
      <w:pPr>
        <w:rPr>
          <w:szCs w:val="24"/>
        </w:rPr>
      </w:pPr>
    </w:p>
    <w:p w:rsidR="0083792B" w:rsidRPr="00386CD6" w:rsidRDefault="0083792B" w:rsidP="0085651C">
      <w:pPr>
        <w:pStyle w:val="Heading1"/>
        <w:rPr>
          <w:lang w:val="fr-FR"/>
        </w:rPr>
      </w:pPr>
      <w:bookmarkStart w:id="16" w:name="_Toc465099874"/>
      <w:r w:rsidRPr="00386CD6">
        <w:rPr>
          <w:lang w:val="fr-FR"/>
        </w:rPr>
        <w:t>IV.</w:t>
      </w:r>
      <w:r w:rsidRPr="00386CD6">
        <w:rPr>
          <w:lang w:val="fr-FR"/>
        </w:rPr>
        <w:tab/>
        <w:t>Relations avec les États et les organisations</w:t>
      </w:r>
      <w:bookmarkEnd w:id="16"/>
    </w:p>
    <w:p w:rsidR="0083792B" w:rsidRPr="00386CD6" w:rsidRDefault="0083792B" w:rsidP="004E714F">
      <w:pPr>
        <w:pStyle w:val="BodyText"/>
        <w:keepNext/>
      </w:pPr>
    </w:p>
    <w:p w:rsidR="0083792B" w:rsidRPr="00386CD6" w:rsidRDefault="0083792B" w:rsidP="0016715C">
      <w:pPr>
        <w:pStyle w:val="BodyText"/>
        <w:rPr>
          <w:rFonts w:eastAsiaTheme="minorEastAsia"/>
        </w:rPr>
      </w:pPr>
      <w:r w:rsidRPr="00386CD6">
        <w:fldChar w:fldCharType="begin"/>
      </w:r>
      <w:r w:rsidRPr="00386CD6">
        <w:instrText xml:space="preserve"> AUTONUM  </w:instrText>
      </w:r>
      <w:r w:rsidRPr="00386CD6">
        <w:fldChar w:fldCharType="end"/>
      </w:r>
      <w:r w:rsidRPr="00386CD6">
        <w:tab/>
        <w:t>Le Bureau a fourni une assistance concernant la législation relative à la protection des obtentions végétales aux membres suivants : Afrique du Sud, Brésil, Chili, Colombie et Turquie.</w:t>
      </w:r>
    </w:p>
    <w:p w:rsidR="0083792B" w:rsidRPr="00386CD6" w:rsidRDefault="0083792B" w:rsidP="0016715C">
      <w:pPr>
        <w:pStyle w:val="BodyText"/>
      </w:pPr>
    </w:p>
    <w:p w:rsidR="0083792B" w:rsidRPr="00386CD6" w:rsidRDefault="0083792B" w:rsidP="0085651C">
      <w:pPr>
        <w:pStyle w:val="BodyText"/>
        <w:rPr>
          <w:rFonts w:eastAsiaTheme="minorEastAsia"/>
        </w:rPr>
      </w:pPr>
      <w:r w:rsidRPr="00386CD6">
        <w:fldChar w:fldCharType="begin"/>
      </w:r>
      <w:r w:rsidRPr="00386CD6">
        <w:instrText xml:space="preserve"> AUTONUM  </w:instrText>
      </w:r>
      <w:r w:rsidRPr="00386CD6">
        <w:fldChar w:fldCharType="end"/>
      </w:r>
      <w:r w:rsidRPr="00386CD6">
        <w:tab/>
        <w:t>Le Bureau a fourni des informations sur les éléments requis pour le dépôt d’un instrument d’adhésion à l’Acte de 1991 de la Convention UPOV, ou de ratification de cet acte, aux membres suivants : Belgique, Canada, Chili, Kenya, Monténégro et République</w:t>
      </w:r>
      <w:r w:rsidRPr="00386CD6">
        <w:noBreakHyphen/>
        <w:t>Unie de Tanzanie.</w:t>
      </w:r>
    </w:p>
    <w:p w:rsidR="0083792B" w:rsidRPr="00386CD6" w:rsidRDefault="0083792B" w:rsidP="0016715C"/>
    <w:p w:rsidR="0083792B" w:rsidRPr="00386CD6" w:rsidRDefault="0083792B" w:rsidP="0085651C">
      <w:pPr>
        <w:rPr>
          <w:rFonts w:eastAsiaTheme="minorEastAsia"/>
        </w:rPr>
      </w:pPr>
      <w:r w:rsidRPr="00386CD6">
        <w:fldChar w:fldCharType="begin"/>
      </w:r>
      <w:r w:rsidRPr="00386CD6">
        <w:instrText xml:space="preserve"> AUTONUM  </w:instrText>
      </w:r>
      <w:r w:rsidRPr="00386CD6">
        <w:fldChar w:fldCharType="end"/>
      </w:r>
      <w:r w:rsidRPr="00386CD6">
        <w:tab/>
        <w:t>Le Bureau a fourni des avis et une assistance concernant l’élaboration d’une législation relative à la protection des obtentions végétales selon l’Acte de 1991 de la Convention UPOV ou la procédure d’adhésion à la Convention UPOV à des membres potentiels de l’Union.  À cet effet, le Bureau a eu des contacts avec l’organisation et les pays ci</w:t>
      </w:r>
      <w:r w:rsidRPr="00386CD6">
        <w:noBreakHyphen/>
        <w:t>après : ARIPO, Barbade, Bosnie</w:t>
      </w:r>
      <w:r w:rsidRPr="00386CD6">
        <w:noBreakHyphen/>
        <w:t>Herzégovine, Botswana, Brunéi Darussalam, Égypte, Émirats arabes unis, Iran (République islamique d’), Jamaïque, Kazakhstan, Libéria, Malaisie, Maurice, Myanmar, Rwanda et Zimbabwe.</w:t>
      </w:r>
    </w:p>
    <w:p w:rsidR="0083792B" w:rsidRPr="00386CD6" w:rsidRDefault="0083792B" w:rsidP="0016715C"/>
    <w:p w:rsidR="0083792B" w:rsidRPr="00386CD6" w:rsidRDefault="0083792B" w:rsidP="0016715C">
      <w:pPr>
        <w:rPr>
          <w:rFonts w:eastAsiaTheme="minorEastAsia"/>
        </w:rPr>
      </w:pPr>
      <w:r w:rsidRPr="00386CD6">
        <w:fldChar w:fldCharType="begin"/>
      </w:r>
      <w:r w:rsidRPr="00386CD6">
        <w:instrText xml:space="preserve"> AUTONUM  </w:instrText>
      </w:r>
      <w:r w:rsidRPr="00386CD6">
        <w:fldChar w:fldCharType="end"/>
      </w:r>
      <w:r w:rsidRPr="00386CD6">
        <w:tab/>
        <w:t xml:space="preserve">Le Bureau s’est entretenu avec des représentants d’organisations intergouvernementales afin de coordonner des activités ou de fournir des informations au sujet de l’UPOV.  </w:t>
      </w:r>
      <w:r w:rsidRPr="00386CD6">
        <w:rPr>
          <w:rFonts w:eastAsiaTheme="minorEastAsia"/>
        </w:rPr>
        <w:t>Il a participé à des réunions, ou en a organisé, avec l’ARIPO, le CGIAR</w:t>
      </w:r>
      <w:r w:rsidRPr="00386CD6">
        <w:t>,</w:t>
      </w:r>
      <w:r w:rsidRPr="00386CD6">
        <w:rPr>
          <w:rFonts w:eastAsiaTheme="minorEastAsia"/>
        </w:rPr>
        <w:t xml:space="preserve"> l’Union européenne (OCVV), la FAO, l’ISTA, le Traité international, l’OAPI, l’OCDE, l’ONU, l’OMPI, la Banque mondiale et l’OMC.</w:t>
      </w:r>
    </w:p>
    <w:p w:rsidR="0083792B" w:rsidRPr="00386CD6" w:rsidRDefault="0083792B" w:rsidP="0016715C">
      <w:pPr>
        <w:rPr>
          <w:rFonts w:eastAsiaTheme="minorEastAsia"/>
        </w:rPr>
      </w:pPr>
    </w:p>
    <w:p w:rsidR="0083792B" w:rsidRPr="00386CD6" w:rsidRDefault="0083792B" w:rsidP="0085651C">
      <w:pPr>
        <w:rPr>
          <w:rFonts w:eastAsiaTheme="minorEastAsia"/>
        </w:rPr>
      </w:pPr>
      <w:r w:rsidRPr="00386CD6">
        <w:fldChar w:fldCharType="begin"/>
      </w:r>
      <w:r w:rsidRPr="00386CD6">
        <w:instrText xml:space="preserve"> AUTONUM  </w:instrText>
      </w:r>
      <w:r w:rsidRPr="00386CD6">
        <w:fldChar w:fldCharType="end"/>
      </w:r>
      <w:r w:rsidRPr="00386CD6">
        <w:tab/>
        <w:t>Le Bureau a participé à des activités organisées par les associations professionnelles suivantes afin de suivre les progrès enregistrés dans l’application pratique de la protection des obtentions végétales aux niveaux mondial et régional : AFSTA, APSA, ASIPI, CIOPORA, CORAF, ESA, ISF, OMA et SAA.</w:t>
      </w:r>
    </w:p>
    <w:p w:rsidR="0083792B" w:rsidRPr="00386CD6" w:rsidRDefault="0083792B" w:rsidP="004E714F">
      <w:pPr>
        <w:pStyle w:val="BodyText"/>
      </w:pPr>
    </w:p>
    <w:p w:rsidR="0083792B" w:rsidRPr="00386CD6" w:rsidRDefault="0083792B" w:rsidP="004E714F"/>
    <w:p w:rsidR="0083792B" w:rsidRPr="00386CD6" w:rsidRDefault="0083792B" w:rsidP="004E714F"/>
    <w:p w:rsidR="0083792B" w:rsidRPr="00386CD6" w:rsidRDefault="0083792B" w:rsidP="00710D52">
      <w:pPr>
        <w:pStyle w:val="Heading1"/>
        <w:rPr>
          <w:lang w:val="fr-FR"/>
        </w:rPr>
      </w:pPr>
      <w:bookmarkStart w:id="17" w:name="_Toc465099875"/>
      <w:r w:rsidRPr="00386CD6">
        <w:rPr>
          <w:lang w:val="fr-FR"/>
        </w:rPr>
        <w:t>V.</w:t>
      </w:r>
      <w:r w:rsidRPr="00386CD6">
        <w:rPr>
          <w:lang w:val="fr-FR"/>
        </w:rPr>
        <w:tab/>
        <w:t>Publications</w:t>
      </w:r>
      <w:bookmarkEnd w:id="17"/>
    </w:p>
    <w:p w:rsidR="0083792B" w:rsidRPr="00386CD6" w:rsidRDefault="0083792B" w:rsidP="004E714F">
      <w:pPr>
        <w:keepNext/>
      </w:pPr>
    </w:p>
    <w:p w:rsidR="0083792B" w:rsidRPr="00386CD6" w:rsidRDefault="0083792B" w:rsidP="0085651C">
      <w:pPr>
        <w:keepNext/>
      </w:pPr>
      <w:r w:rsidRPr="00386CD6">
        <w:fldChar w:fldCharType="begin"/>
      </w:r>
      <w:r w:rsidRPr="00386CD6">
        <w:instrText xml:space="preserve"> AUTONUM  </w:instrText>
      </w:r>
      <w:r w:rsidRPr="00386CD6">
        <w:fldChar w:fldCharType="end"/>
      </w:r>
      <w:r w:rsidRPr="00386CD6">
        <w:tab/>
        <w:t>Le Bureau a publié :</w:t>
      </w:r>
    </w:p>
    <w:p w:rsidR="0083792B" w:rsidRPr="00386CD6" w:rsidRDefault="0083792B" w:rsidP="0016715C">
      <w:pPr>
        <w:keepNext/>
      </w:pPr>
    </w:p>
    <w:p w:rsidR="0083792B" w:rsidRPr="00386CD6" w:rsidRDefault="00710D52" w:rsidP="0016715C">
      <w:r w:rsidRPr="00386CD6">
        <w:tab/>
      </w:r>
      <w:r w:rsidR="0083792B" w:rsidRPr="00386CD6">
        <w:t>a)</w:t>
      </w:r>
      <w:r w:rsidR="0083792B" w:rsidRPr="00386CD6">
        <w:tab/>
        <w:t>deux numéros (n</w:t>
      </w:r>
      <w:r w:rsidR="0083792B" w:rsidRPr="00386CD6">
        <w:rPr>
          <w:vertAlign w:val="superscript"/>
        </w:rPr>
        <w:t>os</w:t>
      </w:r>
      <w:r w:rsidR="0083792B" w:rsidRPr="00386CD6">
        <w:t> 107 et 108) de la Gazette et Newsletter de l’UPOV “Plant Variety Protection” (Publication n° 438 de l’UPOV) en version électronique;</w:t>
      </w:r>
    </w:p>
    <w:p w:rsidR="0083792B" w:rsidRPr="00386CD6" w:rsidRDefault="0083792B" w:rsidP="0016715C"/>
    <w:p w:rsidR="0083792B" w:rsidRPr="00386CD6" w:rsidRDefault="0083792B" w:rsidP="0085651C">
      <w:pPr>
        <w:rPr>
          <w:rFonts w:cs="Arial"/>
        </w:rPr>
      </w:pPr>
      <w:r w:rsidRPr="00386CD6">
        <w:tab/>
        <w:t>b)</w:t>
      </w:r>
      <w:r w:rsidRPr="00386CD6">
        <w:tab/>
        <w:t>121 mises à jour de la base de données sur les obtentions végétales (PLUTO);</w:t>
      </w:r>
    </w:p>
    <w:p w:rsidR="0083792B" w:rsidRPr="00386CD6" w:rsidRDefault="0083792B" w:rsidP="0016715C">
      <w:pPr>
        <w:rPr>
          <w:rFonts w:cs="Arial"/>
        </w:rPr>
      </w:pPr>
    </w:p>
    <w:p w:rsidR="0083792B" w:rsidRPr="00386CD6" w:rsidRDefault="0083792B" w:rsidP="0085651C">
      <w:pPr>
        <w:rPr>
          <w:rFonts w:cs="Arial"/>
        </w:rPr>
      </w:pPr>
      <w:r w:rsidRPr="00386CD6">
        <w:rPr>
          <w:rFonts w:cs="Arial"/>
        </w:rPr>
        <w:tab/>
        <w:t>c)</w:t>
      </w:r>
      <w:r w:rsidRPr="00386CD6">
        <w:rPr>
          <w:rFonts w:cs="Arial"/>
        </w:rPr>
        <w:tab/>
        <w:t>une vidéo sur la protection des obtentions végétales en Uruguay, intitulée “</w:t>
      </w:r>
      <w:r w:rsidRPr="00977D86">
        <w:rPr>
          <w:rFonts w:cs="Arial"/>
          <w:i/>
        </w:rPr>
        <w:t>Use of Plant Variety Protection by the Faculty of Agronomy of the Universidad de la República of Uruguay</w:t>
      </w:r>
      <w:r w:rsidRPr="00386CD6">
        <w:rPr>
          <w:rFonts w:cs="Arial"/>
        </w:rPr>
        <w:t>”;</w:t>
      </w:r>
    </w:p>
    <w:p w:rsidR="0083792B" w:rsidRPr="00386CD6" w:rsidRDefault="0083792B" w:rsidP="0016715C">
      <w:pPr>
        <w:rPr>
          <w:rFonts w:cs="Arial"/>
        </w:rPr>
      </w:pPr>
    </w:p>
    <w:p w:rsidR="0083792B" w:rsidRPr="00386CD6" w:rsidRDefault="00710D52" w:rsidP="0016715C">
      <w:pPr>
        <w:rPr>
          <w:rFonts w:cs="Arial"/>
        </w:rPr>
      </w:pPr>
      <w:r w:rsidRPr="00386CD6">
        <w:rPr>
          <w:rFonts w:cs="Arial"/>
        </w:rPr>
        <w:tab/>
      </w:r>
      <w:r w:rsidR="0083792B" w:rsidRPr="00386CD6">
        <w:rPr>
          <w:rFonts w:cs="Arial"/>
        </w:rPr>
        <w:t>d)</w:t>
      </w:r>
      <w:r w:rsidR="0083792B" w:rsidRPr="00386CD6">
        <w:rPr>
          <w:rFonts w:cs="Arial"/>
        </w:rPr>
        <w:tab/>
        <w:t>une vidéo sur la protection des obtentions végétales en Équateur;</w:t>
      </w:r>
    </w:p>
    <w:p w:rsidR="0083792B" w:rsidRPr="00386CD6" w:rsidRDefault="0083792B" w:rsidP="0016715C">
      <w:pPr>
        <w:ind w:firstLine="567"/>
      </w:pPr>
    </w:p>
    <w:p w:rsidR="0083792B" w:rsidRPr="00386CD6" w:rsidRDefault="0083792B" w:rsidP="0016715C">
      <w:pPr>
        <w:keepNext/>
        <w:ind w:firstLine="567"/>
      </w:pPr>
      <w:r w:rsidRPr="00386CD6">
        <w:t>e)</w:t>
      </w:r>
      <w:r w:rsidRPr="00386CD6">
        <w:tab/>
        <w:t>quatorze documents adoptés par le Conseil à sa trente</w:t>
      </w:r>
      <w:r w:rsidRPr="00386CD6">
        <w:noBreakHyphen/>
        <w:t>deuxième session extraordinaire, tenue le 27 mars 2015, et à sa quarante</w:t>
      </w:r>
      <w:r w:rsidRPr="00386CD6">
        <w:noBreakHyphen/>
        <w:t>neuvième session ordinaire, tenue le 29 octobre 2015 :</w:t>
      </w:r>
    </w:p>
    <w:p w:rsidR="0083792B" w:rsidRPr="00386CD6" w:rsidRDefault="0083792B" w:rsidP="00977D86">
      <w:pPr>
        <w:ind w:firstLine="567"/>
      </w:pPr>
    </w:p>
    <w:p w:rsidR="0083792B" w:rsidRPr="00386CD6" w:rsidRDefault="0083792B" w:rsidP="00977D86">
      <w:pPr>
        <w:keepLines/>
        <w:spacing w:after="240"/>
        <w:ind w:left="2694" w:hanging="2121"/>
      </w:pPr>
      <w:r w:rsidRPr="00386CD6">
        <w:t>TGP/5</w:t>
      </w:r>
      <w:r w:rsidRPr="00386CD6">
        <w:tab/>
        <w:t>Expérience et coopération en matière d’examen DHS (Révision de la section 3 “Questionnaire technique à remplir en relation avec une demande de certificat d’obtention végétale”, section 8 “Coopération en matière d’examen” et section 9 “Liste des espèces sur lesquelles des connaissances techniques pratiques ont été acquises ou pour lesquelles des principes directeurs d’examen nationaux ont été établis”)</w:t>
      </w:r>
    </w:p>
    <w:p w:rsidR="0083792B" w:rsidRPr="00386CD6" w:rsidRDefault="0083792B" w:rsidP="0085651C">
      <w:pPr>
        <w:spacing w:after="240"/>
        <w:ind w:left="2694" w:hanging="2121"/>
      </w:pPr>
      <w:r w:rsidRPr="00386CD6">
        <w:t>TGP/9</w:t>
      </w:r>
      <w:r w:rsidRPr="00386CD6">
        <w:tab/>
        <w:t>Examen de la distinction (révision)</w:t>
      </w:r>
    </w:p>
    <w:p w:rsidR="0083792B" w:rsidRPr="00386CD6" w:rsidRDefault="0083792B" w:rsidP="00EE67BB">
      <w:pPr>
        <w:spacing w:after="240"/>
        <w:ind w:left="2694" w:hanging="2121"/>
      </w:pPr>
      <w:r w:rsidRPr="00386CD6">
        <w:t>TGP/14</w:t>
      </w:r>
      <w:r w:rsidRPr="00386CD6">
        <w:tab/>
        <w:t>Glossaire des termes utilisés dans les documents de l’UPOV (révision de la section 2.4 “Caractères liés à la forme de l’apex ou de l’extrémité”)</w:t>
      </w:r>
    </w:p>
    <w:p w:rsidR="0083792B" w:rsidRPr="00386CD6" w:rsidRDefault="0083792B" w:rsidP="0085651C">
      <w:pPr>
        <w:spacing w:after="240"/>
        <w:ind w:left="2694" w:hanging="2121"/>
      </w:pPr>
      <w:r w:rsidRPr="00386CD6">
        <w:t>TGP/0</w:t>
      </w:r>
      <w:r w:rsidRPr="00386CD6">
        <w:tab/>
        <w:t>Liste des documents TGP et date de la version la plus récente de ces documents (révision)</w:t>
      </w:r>
    </w:p>
    <w:p w:rsidR="0083792B" w:rsidRPr="00386CD6" w:rsidRDefault="0083792B" w:rsidP="0085651C">
      <w:pPr>
        <w:spacing w:after="240"/>
        <w:ind w:left="2694" w:hanging="2121"/>
      </w:pPr>
      <w:r w:rsidRPr="00386CD6">
        <w:t>UPOV/EXN/CAN</w:t>
      </w:r>
      <w:r w:rsidRPr="00386CD6">
        <w:tab/>
        <w:t>Notes explicatives sur la déchéance de l’obtenteur selon la Convention UPOV (révision)</w:t>
      </w:r>
    </w:p>
    <w:p w:rsidR="0083792B" w:rsidRPr="00386CD6" w:rsidRDefault="0083792B" w:rsidP="0085651C">
      <w:pPr>
        <w:spacing w:after="240"/>
        <w:ind w:left="2694" w:hanging="2121"/>
      </w:pPr>
      <w:r w:rsidRPr="00386CD6">
        <w:t>UPOV/EXN/NUL</w:t>
      </w:r>
      <w:r w:rsidRPr="00386CD6">
        <w:tab/>
        <w:t>Notes explicatives sur la nullité du droit d’obtenteur selon la Convention UPOV (révision)</w:t>
      </w:r>
    </w:p>
    <w:p w:rsidR="0083792B" w:rsidRPr="00386CD6" w:rsidRDefault="0083792B" w:rsidP="0085651C">
      <w:pPr>
        <w:spacing w:after="240"/>
        <w:ind w:left="2694" w:hanging="2121"/>
      </w:pPr>
      <w:r w:rsidRPr="00386CD6">
        <w:t>UPOV/EXN/PRP</w:t>
      </w:r>
      <w:r w:rsidRPr="00386CD6">
        <w:tab/>
        <w:t>Notes explicatives sur la protection provisoire selon la Convention UPOV (révision)</w:t>
      </w:r>
    </w:p>
    <w:p w:rsidR="0083792B" w:rsidRPr="00386CD6" w:rsidRDefault="0083792B" w:rsidP="0085651C">
      <w:pPr>
        <w:spacing w:after="240"/>
        <w:ind w:left="2694" w:hanging="2121"/>
      </w:pPr>
      <w:r w:rsidRPr="00386CD6">
        <w:t>UPOV/INF/4</w:t>
      </w:r>
      <w:r w:rsidRPr="00386CD6">
        <w:tab/>
        <w:t>Règlement financier et règlement d’exécution du Règlement financier de l’UPOV (révision)</w:t>
      </w:r>
    </w:p>
    <w:p w:rsidR="0083792B" w:rsidRPr="00386CD6" w:rsidRDefault="0083792B" w:rsidP="0085651C">
      <w:pPr>
        <w:spacing w:after="240"/>
        <w:ind w:left="2694" w:hanging="2121"/>
      </w:pPr>
      <w:r w:rsidRPr="00386CD6">
        <w:t>UPOV/INF/6</w:t>
      </w:r>
      <w:r w:rsidRPr="00386CD6">
        <w:tab/>
        <w:t>Orientations en vue de la rédaction de lois fondées sur l’Acte de 1991 de la Convention UPOV (révision)</w:t>
      </w:r>
    </w:p>
    <w:p w:rsidR="0083792B" w:rsidRPr="00386CD6" w:rsidRDefault="0083792B" w:rsidP="0085651C">
      <w:pPr>
        <w:spacing w:after="240"/>
        <w:ind w:left="2694" w:hanging="2121"/>
      </w:pPr>
      <w:r w:rsidRPr="00386CD6">
        <w:t>UPOV/INF/12</w:t>
      </w:r>
      <w:r w:rsidRPr="00386CD6">
        <w:tab/>
        <w:t>Notes explicatives concernant les dénominations variétales selon la Convention UPOV (révision)</w:t>
      </w:r>
    </w:p>
    <w:p w:rsidR="0083792B" w:rsidRPr="00386CD6" w:rsidRDefault="0083792B" w:rsidP="0085651C">
      <w:pPr>
        <w:spacing w:after="240"/>
        <w:ind w:left="2694" w:hanging="2121"/>
        <w:rPr>
          <w:rFonts w:cs="Arial"/>
        </w:rPr>
      </w:pPr>
      <w:r w:rsidRPr="00386CD6">
        <w:rPr>
          <w:rFonts w:cs="Arial"/>
        </w:rPr>
        <w:t>UPOV/INF/15</w:t>
      </w:r>
      <w:r w:rsidRPr="00386CD6">
        <w:rPr>
          <w:rFonts w:cs="Arial"/>
        </w:rPr>
        <w:tab/>
        <w:t>Document d’orientation destiné aux membres de l’UPOV (révision)</w:t>
      </w:r>
    </w:p>
    <w:p w:rsidR="0083792B" w:rsidRPr="00386CD6" w:rsidRDefault="0083792B" w:rsidP="0085651C">
      <w:pPr>
        <w:spacing w:after="240"/>
        <w:ind w:left="2694" w:hanging="2121"/>
      </w:pPr>
      <w:r w:rsidRPr="00386CD6">
        <w:t>UPOV/INF/16</w:t>
      </w:r>
      <w:r w:rsidRPr="00386CD6">
        <w:tab/>
        <w:t>Logiciels échangeables (révision)</w:t>
      </w:r>
    </w:p>
    <w:p w:rsidR="0083792B" w:rsidRPr="00386CD6" w:rsidRDefault="0083792B" w:rsidP="0085651C">
      <w:pPr>
        <w:spacing w:after="240"/>
        <w:ind w:left="2694" w:hanging="2121"/>
      </w:pPr>
      <w:r w:rsidRPr="00386CD6">
        <w:t>UPOV/INF/22</w:t>
      </w:r>
      <w:r w:rsidRPr="00386CD6">
        <w:tab/>
        <w:t>Logiciels et équipements utilisés par les membres de l’Union (révision)</w:t>
      </w:r>
    </w:p>
    <w:p w:rsidR="0083792B" w:rsidRPr="00386CD6" w:rsidRDefault="0083792B" w:rsidP="00977D86">
      <w:pPr>
        <w:ind w:left="2694" w:hanging="2121"/>
      </w:pPr>
      <w:r w:rsidRPr="00386CD6">
        <w:t>UPOV/INF</w:t>
      </w:r>
      <w:r w:rsidRPr="00386CD6">
        <w:noBreakHyphen/>
        <w:t>EXN</w:t>
      </w:r>
      <w:r w:rsidRPr="00386CD6">
        <w:tab/>
        <w:t>Liste de documents UPOV/INF</w:t>
      </w:r>
      <w:r w:rsidRPr="00386CD6">
        <w:noBreakHyphen/>
        <w:t>EXN et date de la version la plus récente de ces documents (révision)</w:t>
      </w:r>
    </w:p>
    <w:p w:rsidR="0083792B" w:rsidRPr="00386CD6" w:rsidRDefault="0083792B" w:rsidP="00602683"/>
    <w:p w:rsidR="0083792B" w:rsidRPr="00386CD6" w:rsidRDefault="0083792B" w:rsidP="0085651C">
      <w:r w:rsidRPr="00386CD6">
        <w:fldChar w:fldCharType="begin"/>
      </w:r>
      <w:r w:rsidRPr="00386CD6">
        <w:instrText xml:space="preserve"> AUTONUM  </w:instrText>
      </w:r>
      <w:r w:rsidRPr="00386CD6">
        <w:fldChar w:fldCharType="end"/>
      </w:r>
      <w:r w:rsidRPr="00386CD6">
        <w:tab/>
        <w:t>Les principes directeurs d’examen ci</w:t>
      </w:r>
      <w:r w:rsidRPr="00386CD6">
        <w:noBreakHyphen/>
        <w:t>après ont été adoptés par le TC à sa cinquante et unième session tenue du 23 au 25 mars 2015, et ils ont été, ou seront, publiés sur le site Web.</w:t>
      </w:r>
    </w:p>
    <w:p w:rsidR="0085651C" w:rsidRPr="00386CD6" w:rsidRDefault="0085651C" w:rsidP="0085651C"/>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83792B" w:rsidRPr="00386CD6" w:rsidTr="00B3002C">
        <w:trPr>
          <w:cantSplit/>
          <w:trHeight w:val="1050"/>
          <w:tblHeader/>
        </w:trPr>
        <w:tc>
          <w:tcPr>
            <w:tcW w:w="484" w:type="dxa"/>
            <w:tcBorders>
              <w:top w:val="single" w:sz="4" w:space="0" w:color="auto"/>
              <w:bottom w:val="single" w:sz="4" w:space="0" w:color="auto"/>
            </w:tcBorders>
            <w:shd w:val="clear" w:color="auto" w:fill="D9D9D9"/>
            <w:noWrap/>
            <w:vAlign w:val="center"/>
          </w:tcPr>
          <w:p w:rsidR="0083792B" w:rsidRPr="00386CD6" w:rsidRDefault="0083792B" w:rsidP="0085651C">
            <w:pPr>
              <w:keepNext/>
              <w:keepLines/>
              <w:jc w:val="left"/>
              <w:rPr>
                <w:rFonts w:eastAsia="MS Mincho" w:cs="Arial"/>
                <w:bCs/>
                <w:sz w:val="16"/>
                <w:szCs w:val="16"/>
                <w:lang w:eastAsia="ja-JP"/>
              </w:rPr>
            </w:pPr>
            <w:r w:rsidRPr="00386CD6">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83792B" w:rsidRPr="00386CD6" w:rsidRDefault="0083792B" w:rsidP="0085651C">
            <w:pPr>
              <w:keepNext/>
              <w:keepLines/>
              <w:jc w:val="left"/>
              <w:rPr>
                <w:rFonts w:eastAsia="MS Mincho" w:cs="Arial"/>
                <w:bCs/>
                <w:sz w:val="16"/>
                <w:szCs w:val="16"/>
                <w:lang w:eastAsia="ja-JP"/>
              </w:rPr>
            </w:pPr>
            <w:r w:rsidRPr="00386CD6">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83792B" w:rsidRPr="00386CD6" w:rsidRDefault="0083792B" w:rsidP="0085651C">
            <w:pPr>
              <w:keepNext/>
              <w:keepLines/>
              <w:ind w:left="-36"/>
              <w:jc w:val="left"/>
              <w:rPr>
                <w:rFonts w:eastAsia="MS Mincho" w:cs="Arial"/>
                <w:bCs/>
                <w:sz w:val="16"/>
                <w:szCs w:val="16"/>
                <w:lang w:eastAsia="ja-JP"/>
              </w:rPr>
            </w:pPr>
            <w:r w:rsidRPr="00386CD6">
              <w:rPr>
                <w:rFonts w:eastAsia="MS Mincho" w:cs="Arial"/>
                <w:bCs/>
                <w:sz w:val="16"/>
                <w:szCs w:val="16"/>
                <w:lang w:eastAsia="ja-JP"/>
              </w:rPr>
              <w:t xml:space="preserve">Document No.  </w:t>
            </w:r>
            <w:r w:rsidRPr="00386CD6">
              <w:rPr>
                <w:rFonts w:eastAsia="MS Mincho" w:cs="Arial"/>
                <w:bCs/>
                <w:sz w:val="16"/>
                <w:szCs w:val="16"/>
                <w:lang w:eastAsia="ja-JP"/>
              </w:rPr>
              <w:br/>
              <w:t xml:space="preserve">No. du document </w:t>
            </w:r>
            <w:r w:rsidRPr="00386CD6">
              <w:rPr>
                <w:rFonts w:eastAsia="MS Mincho" w:cs="Arial"/>
                <w:bCs/>
                <w:sz w:val="16"/>
                <w:szCs w:val="16"/>
                <w:lang w:eastAsia="ja-JP"/>
              </w:rPr>
              <w:br/>
              <w:t>Dokument</w:t>
            </w:r>
            <w:r w:rsidRPr="00386CD6">
              <w:rPr>
                <w:rFonts w:eastAsia="MS Mincho" w:cs="Arial"/>
                <w:bCs/>
                <w:sz w:val="16"/>
                <w:szCs w:val="16"/>
                <w:lang w:eastAsia="ja-JP"/>
              </w:rPr>
              <w:noBreakHyphen/>
              <w:t xml:space="preserve">Nr. </w:t>
            </w:r>
            <w:r w:rsidRPr="00386CD6">
              <w:rPr>
                <w:rFonts w:eastAsia="MS Mincho" w:cs="Arial"/>
                <w:bCs/>
                <w:sz w:val="16"/>
                <w:szCs w:val="16"/>
                <w:lang w:eastAsia="ja-JP"/>
              </w:rPr>
              <w:br/>
              <w:t>No del documento</w:t>
            </w:r>
          </w:p>
        </w:tc>
        <w:tc>
          <w:tcPr>
            <w:tcW w:w="1417" w:type="dxa"/>
            <w:tcBorders>
              <w:top w:val="single" w:sz="4" w:space="0" w:color="auto"/>
              <w:bottom w:val="single" w:sz="4" w:space="0" w:color="auto"/>
            </w:tcBorders>
            <w:shd w:val="clear" w:color="auto" w:fill="D9D9D9"/>
            <w:vAlign w:val="center"/>
          </w:tcPr>
          <w:p w:rsidR="0083792B" w:rsidRPr="00386CD6" w:rsidRDefault="0083792B" w:rsidP="0085651C">
            <w:pPr>
              <w:keepNext/>
              <w:keepLines/>
              <w:jc w:val="left"/>
              <w:rPr>
                <w:rFonts w:eastAsia="MS Mincho" w:cs="Arial"/>
                <w:bCs/>
                <w:sz w:val="16"/>
                <w:szCs w:val="16"/>
                <w:lang w:eastAsia="ja-JP"/>
              </w:rPr>
            </w:pPr>
            <w:r w:rsidRPr="00386CD6">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83792B" w:rsidRPr="00386CD6" w:rsidRDefault="0083792B" w:rsidP="0085651C">
            <w:pPr>
              <w:keepNext/>
              <w:keepLines/>
              <w:jc w:val="left"/>
              <w:rPr>
                <w:rFonts w:eastAsia="MS Mincho" w:cs="Arial"/>
                <w:sz w:val="16"/>
                <w:szCs w:val="16"/>
                <w:lang w:eastAsia="ja-JP"/>
              </w:rPr>
            </w:pPr>
            <w:r w:rsidRPr="00386CD6">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83792B" w:rsidRPr="00386CD6" w:rsidRDefault="0083792B" w:rsidP="0085651C">
            <w:pPr>
              <w:keepNext/>
              <w:keepLines/>
              <w:jc w:val="left"/>
              <w:rPr>
                <w:rFonts w:eastAsia="MS Mincho" w:cs="Arial"/>
                <w:sz w:val="16"/>
                <w:szCs w:val="16"/>
                <w:lang w:eastAsia="ja-JP"/>
              </w:rPr>
            </w:pPr>
            <w:r w:rsidRPr="00386CD6">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83792B" w:rsidRPr="00386CD6" w:rsidRDefault="0083792B" w:rsidP="0085651C">
            <w:pPr>
              <w:keepNext/>
              <w:keepLines/>
              <w:jc w:val="left"/>
              <w:rPr>
                <w:rFonts w:eastAsia="MS Mincho" w:cs="Arial"/>
                <w:sz w:val="16"/>
                <w:szCs w:val="16"/>
                <w:lang w:eastAsia="ja-JP"/>
              </w:rPr>
            </w:pPr>
            <w:r w:rsidRPr="00386CD6">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83792B" w:rsidRPr="00386CD6" w:rsidRDefault="0083792B" w:rsidP="0085651C">
            <w:pPr>
              <w:keepNext/>
              <w:keepLines/>
              <w:jc w:val="left"/>
              <w:rPr>
                <w:rFonts w:eastAsia="MS Mincho" w:cs="Arial"/>
                <w:sz w:val="16"/>
                <w:szCs w:val="16"/>
                <w:lang w:eastAsia="ja-JP"/>
              </w:rPr>
            </w:pPr>
            <w:r w:rsidRPr="00386CD6">
              <w:rPr>
                <w:rFonts w:eastAsia="MS Mincho" w:cs="Arial"/>
                <w:sz w:val="16"/>
                <w:szCs w:val="16"/>
                <w:lang w:eastAsia="ja-JP"/>
              </w:rPr>
              <w:t>Botanical name</w:t>
            </w:r>
          </w:p>
        </w:tc>
      </w:tr>
      <w:tr w:rsidR="0083792B" w:rsidRPr="00386CD6" w:rsidTr="00B3002C">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85651C">
            <w:pPr>
              <w:keepNext/>
              <w:keepLines/>
              <w:spacing w:before="120" w:after="120"/>
              <w:ind w:left="-36"/>
              <w:jc w:val="left"/>
              <w:rPr>
                <w:rFonts w:eastAsia="MS Mincho" w:cs="Arial"/>
                <w:bCs/>
                <w:sz w:val="16"/>
                <w:szCs w:val="16"/>
                <w:u w:val="single"/>
                <w:lang w:eastAsia="ja-JP"/>
              </w:rPr>
            </w:pPr>
            <w:r w:rsidRPr="00386CD6">
              <w:rPr>
                <w:rFonts w:cs="Arial"/>
                <w:bCs/>
                <w:sz w:val="16"/>
                <w:szCs w:val="16"/>
                <w:u w:val="single"/>
              </w:rPr>
              <w:t>NEW TEST GUIDELINES / NOUVEAUX PRINCIPES DIRECTEURS D’EXAMEN / NEUE PRÜFUNGSRICHTILINIEN /</w:t>
            </w:r>
            <w:r w:rsidRPr="00386CD6">
              <w:rPr>
                <w:rFonts w:cs="Arial"/>
                <w:bCs/>
                <w:sz w:val="16"/>
                <w:szCs w:val="16"/>
                <w:u w:val="single"/>
              </w:rPr>
              <w:br/>
              <w:t>NUEVAS DIRECTRICES DE EXAMEN</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85651C">
            <w:pPr>
              <w:keepNext/>
              <w:keepLines/>
              <w:rPr>
                <w:rFonts w:cs="Arial"/>
                <w:sz w:val="16"/>
                <w:szCs w:val="16"/>
              </w:rPr>
            </w:pPr>
            <w:r w:rsidRPr="00386CD6">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85651C">
            <w:pPr>
              <w:keepNext/>
              <w:keepLines/>
              <w:rPr>
                <w:rFonts w:cs="Arial"/>
                <w:sz w:val="16"/>
                <w:szCs w:val="16"/>
              </w:rPr>
            </w:pPr>
            <w:r w:rsidRPr="00386CD6">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85651C">
            <w:pPr>
              <w:keepNext/>
              <w:keepLines/>
              <w:ind w:left="-36"/>
              <w:rPr>
                <w:rFonts w:cs="Arial"/>
                <w:sz w:val="16"/>
                <w:szCs w:val="16"/>
              </w:rPr>
            </w:pPr>
            <w:r w:rsidRPr="00386CD6">
              <w:rPr>
                <w:rFonts w:cs="Arial"/>
                <w:sz w:val="16"/>
                <w:szCs w:val="16"/>
              </w:rPr>
              <w:t>TG/304/1</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85651C">
            <w:pPr>
              <w:keepNext/>
              <w:keepLines/>
              <w:jc w:val="left"/>
              <w:rPr>
                <w:rFonts w:cs="Arial"/>
                <w:sz w:val="16"/>
                <w:szCs w:val="16"/>
              </w:rPr>
            </w:pPr>
            <w:r w:rsidRPr="00386CD6">
              <w:rPr>
                <w:rFonts w:cs="Arial"/>
                <w:sz w:val="16"/>
                <w:szCs w:val="16"/>
              </w:rPr>
              <w:t>Cosmos</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85651C">
            <w:pPr>
              <w:keepNext/>
              <w:keepLines/>
              <w:jc w:val="left"/>
              <w:rPr>
                <w:rFonts w:cs="Arial"/>
                <w:sz w:val="16"/>
                <w:szCs w:val="16"/>
              </w:rPr>
            </w:pPr>
            <w:r w:rsidRPr="00386CD6">
              <w:rPr>
                <w:rFonts w:cs="Arial"/>
                <w:sz w:val="16"/>
                <w:szCs w:val="16"/>
              </w:rPr>
              <w:t>Cosmos</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85651C">
            <w:pPr>
              <w:keepNext/>
              <w:keepLines/>
              <w:jc w:val="left"/>
              <w:rPr>
                <w:rFonts w:cs="Arial"/>
                <w:sz w:val="16"/>
                <w:szCs w:val="16"/>
              </w:rPr>
            </w:pPr>
            <w:r w:rsidRPr="00386CD6">
              <w:rPr>
                <w:rFonts w:cs="Arial"/>
                <w:sz w:val="16"/>
                <w:szCs w:val="16"/>
              </w:rPr>
              <w:t>Kosmee, Schmuckkörbchen</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85651C">
            <w:pPr>
              <w:keepNext/>
              <w:keepLines/>
              <w:jc w:val="left"/>
              <w:rPr>
                <w:rFonts w:cs="Arial"/>
                <w:sz w:val="16"/>
                <w:szCs w:val="16"/>
              </w:rPr>
            </w:pPr>
            <w:r w:rsidRPr="00386CD6">
              <w:rPr>
                <w:rFonts w:cs="Arial"/>
                <w:sz w:val="16"/>
                <w:szCs w:val="16"/>
              </w:rPr>
              <w:t>Mirasol, Cosmos</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85651C">
            <w:pPr>
              <w:keepNext/>
              <w:keepLines/>
              <w:jc w:val="left"/>
              <w:rPr>
                <w:rFonts w:cs="Arial"/>
                <w:sz w:val="16"/>
                <w:szCs w:val="16"/>
              </w:rPr>
            </w:pPr>
            <w:r w:rsidRPr="00386CD6">
              <w:rPr>
                <w:rFonts w:cs="Arial"/>
                <w:sz w:val="16"/>
                <w:szCs w:val="16"/>
              </w:rPr>
              <w:t>Cosmos Cav.</w:t>
            </w:r>
          </w:p>
        </w:tc>
      </w:tr>
      <w:tr w:rsidR="0083792B" w:rsidRPr="00386CD6" w:rsidTr="00B3002C">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rPr>
                <w:rFonts w:cs="Arial"/>
                <w:sz w:val="16"/>
                <w:szCs w:val="16"/>
              </w:rPr>
            </w:pPr>
            <w:r w:rsidRPr="00386CD6">
              <w:rPr>
                <w:rFonts w:cs="Arial"/>
                <w:sz w:val="16"/>
                <w:szCs w:val="16"/>
              </w:rPr>
              <w:t>TG/305/1</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Campanule</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Glockenblume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Campánula</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Campanula L.</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rPr>
                <w:rFonts w:cs="Arial"/>
                <w:sz w:val="16"/>
                <w:szCs w:val="16"/>
              </w:rPr>
            </w:pPr>
            <w:r w:rsidRPr="00386CD6">
              <w:rPr>
                <w:rFonts w:cs="Arial"/>
                <w:sz w:val="16"/>
                <w:szCs w:val="16"/>
              </w:rPr>
              <w:t>TG/306/1</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Feijoa, Pineapple Guava, Guavasteen</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Feijoa</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Feijoa</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Feijoa</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Acca sellowiana (Berg) Burret</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rPr>
                <w:rFonts w:cs="Arial"/>
                <w:sz w:val="16"/>
                <w:szCs w:val="16"/>
              </w:rPr>
            </w:pPr>
            <w:r w:rsidRPr="00386CD6">
              <w:rPr>
                <w:rFonts w:cs="Arial"/>
                <w:sz w:val="16"/>
                <w:szCs w:val="16"/>
              </w:rPr>
              <w:t>TG/307/1</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Aster;  Aster de Chine;  Reine</w:t>
            </w:r>
            <w:r w:rsidRPr="00386CD6">
              <w:rPr>
                <w:rFonts w:cs="Arial"/>
                <w:sz w:val="16"/>
                <w:szCs w:val="16"/>
              </w:rPr>
              <w:noBreakHyphen/>
              <w:t>marguerite</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Sommeraster</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Callistephus chinensis (L.) Nees</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rPr>
                <w:rFonts w:cs="Arial"/>
                <w:sz w:val="16"/>
                <w:szCs w:val="16"/>
              </w:rPr>
            </w:pPr>
            <w:r w:rsidRPr="00386CD6">
              <w:rPr>
                <w:rFonts w:cs="Arial"/>
                <w:sz w:val="16"/>
                <w:szCs w:val="16"/>
              </w:rPr>
              <w:t>TG/308/1</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Pecan Nut</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Noix de pécan</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Pekan, Pekannuß</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Nuez pecán, Pecan, Nogal pecanero</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Carya illinoinensis (Wangenh.) K. Koch</w:t>
            </w:r>
          </w:p>
        </w:tc>
      </w:tr>
      <w:tr w:rsidR="0083792B" w:rsidRPr="00386CD6" w:rsidTr="00B3002C">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602683">
            <w:pPr>
              <w:ind w:left="-36"/>
              <w:rPr>
                <w:rFonts w:cs="Arial"/>
                <w:sz w:val="16"/>
                <w:szCs w:val="16"/>
              </w:rPr>
            </w:pPr>
            <w:r w:rsidRPr="00386CD6">
              <w:rPr>
                <w:rFonts w:cs="Arial"/>
                <w:sz w:val="16"/>
                <w:szCs w:val="16"/>
              </w:rPr>
              <w:t>TG/309/1</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602683">
            <w:pPr>
              <w:jc w:val="left"/>
              <w:rPr>
                <w:rFonts w:cs="Arial"/>
                <w:sz w:val="16"/>
                <w:szCs w:val="16"/>
              </w:rPr>
            </w:pPr>
            <w:r w:rsidRPr="00386CD6">
              <w:rPr>
                <w:rFonts w:cs="Arial"/>
                <w:sz w:val="16"/>
                <w:szCs w:val="16"/>
              </w:rPr>
              <w:t>Adlay, Coix</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Coix, Larme de Job</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602683">
            <w:pPr>
              <w:jc w:val="left"/>
              <w:rPr>
                <w:rFonts w:cs="Arial"/>
                <w:sz w:val="16"/>
                <w:szCs w:val="16"/>
              </w:rPr>
            </w:pPr>
            <w:r w:rsidRPr="00386CD6">
              <w:rPr>
                <w:rFonts w:cs="Arial"/>
                <w:sz w:val="16"/>
                <w:szCs w:val="16"/>
              </w:rPr>
              <w:t>Coix, Tränengrass</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602683">
            <w:pPr>
              <w:jc w:val="left"/>
              <w:rPr>
                <w:rFonts w:cs="Arial"/>
                <w:sz w:val="16"/>
                <w:szCs w:val="16"/>
              </w:rPr>
            </w:pPr>
            <w:r w:rsidRPr="00386CD6">
              <w:rPr>
                <w:rFonts w:cs="Arial"/>
                <w:sz w:val="16"/>
                <w:szCs w:val="16"/>
              </w:rPr>
              <w:t>Coix, Lágrimas de David o de Job</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Coix lacryma</w:t>
            </w:r>
            <w:r w:rsidRPr="00386CD6">
              <w:rPr>
                <w:rFonts w:cs="Arial"/>
                <w:sz w:val="16"/>
                <w:szCs w:val="16"/>
              </w:rPr>
              <w:noBreakHyphen/>
              <w:t>jobi L. var.  ma</w:t>
            </w:r>
            <w:r w:rsidRPr="00386CD6">
              <w:rPr>
                <w:rFonts w:cs="Arial"/>
                <w:sz w:val="16"/>
                <w:szCs w:val="16"/>
              </w:rPr>
              <w:noBreakHyphen/>
              <w:t>yuen (Rom.  Caill.) Stapf, Coix ma</w:t>
            </w:r>
            <w:r w:rsidRPr="00386CD6">
              <w:rPr>
                <w:rFonts w:cs="Arial"/>
                <w:sz w:val="16"/>
                <w:szCs w:val="16"/>
              </w:rPr>
              <w:noBreakHyphen/>
              <w:t>yuen Roman.</w:t>
            </w:r>
          </w:p>
        </w:tc>
      </w:tr>
      <w:tr w:rsidR="0083792B" w:rsidRPr="00386CD6" w:rsidTr="00B3002C">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602683">
            <w:pPr>
              <w:ind w:left="-36"/>
              <w:rPr>
                <w:rFonts w:cs="Arial"/>
                <w:sz w:val="16"/>
                <w:szCs w:val="16"/>
              </w:rPr>
            </w:pPr>
            <w:r w:rsidRPr="00386CD6">
              <w:rPr>
                <w:rFonts w:cs="Arial"/>
                <w:sz w:val="16"/>
                <w:szCs w:val="16"/>
              </w:rPr>
              <w:t>TG/310/1</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Aloès</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Aloe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Aloe, Sabila</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Aloe L.</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602683">
            <w:pPr>
              <w:ind w:left="-36" w:right="-108"/>
              <w:rPr>
                <w:rFonts w:cs="Arial"/>
                <w:sz w:val="16"/>
                <w:szCs w:val="16"/>
              </w:rPr>
            </w:pPr>
            <w:r w:rsidRPr="00386CD6">
              <w:rPr>
                <w:rFonts w:cs="Arial"/>
                <w:sz w:val="16"/>
                <w:szCs w:val="16"/>
              </w:rPr>
              <w:t>TG/311/1</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Cucurbita maxima X Cucurbita moschata</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Cucurbita maxima X Cucurbita moschata</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Cucurbita maxima Duch. x Cucurbita moschata Duch.</w:t>
            </w:r>
          </w:p>
        </w:tc>
      </w:tr>
      <w:tr w:rsidR="0083792B" w:rsidRPr="00386CD6" w:rsidTr="00B3002C">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rPr>
                <w:rFonts w:cs="Arial"/>
                <w:sz w:val="16"/>
                <w:szCs w:val="16"/>
              </w:rPr>
            </w:pPr>
            <w:r w:rsidRPr="00386CD6">
              <w:rPr>
                <w:rFonts w:cs="Arial"/>
                <w:sz w:val="16"/>
                <w:szCs w:val="16"/>
              </w:rPr>
              <w:t>TG/312/1</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Adzuki Bean;  Azuki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Adzukibohne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Judía adzuki</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Vigna angularis (Willd.) Ohwi &amp; H. Ohashi, Phaseolus angularis (Willd.) W. Wight</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602683">
            <w:pPr>
              <w:ind w:left="-36"/>
              <w:rPr>
                <w:rFonts w:cs="Arial"/>
                <w:sz w:val="16"/>
                <w:szCs w:val="16"/>
              </w:rPr>
            </w:pPr>
            <w:r w:rsidRPr="00386CD6">
              <w:rPr>
                <w:rFonts w:cs="Arial"/>
                <w:sz w:val="16"/>
                <w:szCs w:val="16"/>
              </w:rPr>
              <w:t>TG/313/1</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Bottle Gourd;  Calabash;  Calabash Gourd;  White</w:t>
            </w:r>
            <w:r w:rsidRPr="00386CD6">
              <w:rPr>
                <w:rFonts w:cs="Arial"/>
                <w:sz w:val="16"/>
                <w:szCs w:val="16"/>
              </w:rPr>
              <w:noBreakHyphen/>
              <w:t>flower Gourd</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602683">
            <w:pPr>
              <w:jc w:val="left"/>
              <w:rPr>
                <w:rFonts w:cs="Arial"/>
                <w:sz w:val="16"/>
                <w:szCs w:val="16"/>
              </w:rPr>
            </w:pPr>
            <w:r w:rsidRPr="00386CD6">
              <w:rPr>
                <w:rFonts w:cs="Arial"/>
                <w:sz w:val="16"/>
                <w:szCs w:val="16"/>
              </w:rPr>
              <w:t>Calebasse;  Gourde bouteille</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602683">
            <w:pPr>
              <w:jc w:val="left"/>
              <w:rPr>
                <w:rFonts w:cs="Arial"/>
                <w:sz w:val="16"/>
                <w:szCs w:val="16"/>
              </w:rPr>
            </w:pPr>
            <w:r w:rsidRPr="00386CD6">
              <w:rPr>
                <w:rFonts w:cs="Arial"/>
                <w:sz w:val="16"/>
                <w:szCs w:val="16"/>
              </w:rPr>
              <w:t>Flaschenkürbis;  Kalebasse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Acocote;  Cajombre;  Calabaza;  Guiro amargo</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Lagenaria siceraria (Molina) Standl., Lagenaria siceraria Standley, Lagenaria vulgaris Ser.</w:t>
            </w:r>
          </w:p>
        </w:tc>
      </w:tr>
      <w:tr w:rsidR="0083792B" w:rsidRPr="00386CD6" w:rsidTr="00B3002C">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83792B" w:rsidRPr="00386CD6" w:rsidRDefault="0083792B" w:rsidP="00B3002C">
            <w:pPr>
              <w:spacing w:before="60" w:after="120"/>
              <w:ind w:left="-36"/>
              <w:jc w:val="left"/>
              <w:rPr>
                <w:rFonts w:eastAsia="MS Mincho" w:cs="Arial"/>
                <w:bCs/>
                <w:sz w:val="16"/>
                <w:szCs w:val="16"/>
                <w:u w:val="single"/>
                <w:lang w:eastAsia="ja-JP"/>
              </w:rPr>
            </w:pPr>
            <w:r w:rsidRPr="00386CD6">
              <w:rPr>
                <w:rFonts w:cs="Arial"/>
                <w:bCs/>
                <w:sz w:val="16"/>
                <w:szCs w:val="16"/>
                <w:u w:val="single"/>
              </w:rPr>
              <w:t xml:space="preserve">REVISIONS OF ADOPTED TEST GUIDELINES / </w:t>
            </w:r>
            <w:r w:rsidRPr="00386CD6">
              <w:rPr>
                <w:rFonts w:cs="Arial"/>
                <w:sz w:val="16"/>
                <w:szCs w:val="16"/>
                <w:u w:val="single"/>
              </w:rPr>
              <w:t>RÉVISIONS DE PRINCIPES DIRECTEURS D’EXAMEN ADOPTÉS / REVISIONEN ANGENOMMENER PRÜFUNGSRICHTLINIEN / REVISIONES DE DIRECTRICES DE EXAMEN ADOPTADAS</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rPr>
            </w:pPr>
            <w:r w:rsidRPr="00386CD6">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rPr>
            </w:pPr>
            <w:r w:rsidRPr="00386CD6">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rPr>
                <w:rFonts w:cs="Arial"/>
                <w:sz w:val="16"/>
              </w:rPr>
            </w:pPr>
            <w:r w:rsidRPr="00386CD6">
              <w:rPr>
                <w:rFonts w:cs="Arial"/>
                <w:sz w:val="16"/>
              </w:rPr>
              <w:t>TG/25/9</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Œillet</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Nelke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Clavel</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Dianthus L.</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rPr>
            </w:pPr>
            <w:r w:rsidRPr="00386CD6">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rPr>
            </w:pPr>
            <w:r w:rsidRPr="00386CD6">
              <w:rPr>
                <w:rFonts w:cs="Arial"/>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rPr>
                <w:rFonts w:cs="Arial"/>
                <w:sz w:val="16"/>
              </w:rPr>
            </w:pPr>
            <w:r w:rsidRPr="00386CD6">
              <w:rPr>
                <w:rFonts w:cs="Arial"/>
                <w:sz w:val="16"/>
              </w:rPr>
              <w:t>TG/109/4</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Large</w:t>
            </w:r>
            <w:r w:rsidRPr="00386CD6">
              <w:rPr>
                <w:rFonts w:cs="Arial"/>
                <w:sz w:val="16"/>
              </w:rPr>
              <w:noBreakHyphen/>
              <w:t>flower Pelargonium;  Regal Pelargonium;  Crisped</w:t>
            </w:r>
            <w:r w:rsidRPr="00386CD6">
              <w:rPr>
                <w:rFonts w:cs="Arial"/>
                <w:sz w:val="16"/>
              </w:rPr>
              <w:noBreakHyphen/>
              <w:t>leaf Pelargonium</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Pélargonium des fleuristes</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Edelpelargonie;  Zitronenduft</w:t>
            </w:r>
            <w:r w:rsidRPr="00386CD6">
              <w:rPr>
                <w:rFonts w:cs="Arial"/>
                <w:sz w:val="16"/>
              </w:rPr>
              <w:noBreakHyphen/>
              <w:t>Pelargonie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Geranio</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635368">
            <w:pPr>
              <w:jc w:val="left"/>
              <w:rPr>
                <w:rFonts w:cs="Arial"/>
                <w:sz w:val="16"/>
              </w:rPr>
            </w:pPr>
            <w:r w:rsidRPr="00386CD6">
              <w:rPr>
                <w:rFonts w:cs="Arial"/>
                <w:sz w:val="16"/>
              </w:rPr>
              <w:t xml:space="preserve">Pelargonium grandiflorum (Andrews) Willd.;  </w:t>
            </w:r>
            <w:r w:rsidRPr="00386CD6">
              <w:rPr>
                <w:rFonts w:cs="Arial"/>
                <w:sz w:val="16"/>
              </w:rPr>
              <w:br/>
              <w:t xml:space="preserve">P. ×domesticum L. H. Bailey;  </w:t>
            </w:r>
            <w:r w:rsidRPr="00386CD6">
              <w:rPr>
                <w:rFonts w:cs="Arial"/>
                <w:sz w:val="16"/>
              </w:rPr>
              <w:br/>
              <w:t xml:space="preserve">P. crispum (P.J.  Bergius) L’Hér. </w:t>
            </w:r>
            <w:r w:rsidR="00635368" w:rsidRPr="00386CD6">
              <w:rPr>
                <w:rFonts w:cs="Arial"/>
                <w:sz w:val="16"/>
              </w:rPr>
              <w:t>et</w:t>
            </w:r>
            <w:r w:rsidRPr="00386CD6">
              <w:rPr>
                <w:rFonts w:cs="Arial"/>
                <w:sz w:val="16"/>
              </w:rPr>
              <w:t xml:space="preserve"> P. crispum x P. ×domesticum</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rPr>
            </w:pPr>
            <w:r w:rsidRPr="00386CD6">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rPr>
            </w:pPr>
            <w:r w:rsidRPr="00386CD6">
              <w:rPr>
                <w:rFonts w:cs="Arial"/>
                <w:sz w:val="16"/>
              </w:rPr>
              <w:t>TWA</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07234">
            <w:pPr>
              <w:ind w:left="-36"/>
              <w:rPr>
                <w:rFonts w:cs="Arial"/>
                <w:sz w:val="16"/>
              </w:rPr>
            </w:pPr>
            <w:r w:rsidRPr="00386CD6">
              <w:rPr>
                <w:rFonts w:cs="Arial"/>
                <w:sz w:val="16"/>
              </w:rPr>
              <w:t>TG/122/4</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 xml:space="preserve">Broomcorn, Durra, Feterita, </w:t>
            </w:r>
            <w:r w:rsidRPr="00386CD6">
              <w:rPr>
                <w:rFonts w:cs="Arial"/>
                <w:sz w:val="16"/>
              </w:rPr>
              <w:br/>
              <w:t xml:space="preserve">Forage Sorghum, Grain sorghum, Great Millet, </w:t>
            </w:r>
            <w:r w:rsidRPr="00386CD6">
              <w:rPr>
                <w:rFonts w:cs="Arial"/>
                <w:sz w:val="16"/>
              </w:rPr>
              <w:br/>
              <w:t>Kaffir</w:t>
            </w:r>
            <w:r w:rsidRPr="00386CD6">
              <w:rPr>
                <w:rFonts w:cs="Arial"/>
                <w:sz w:val="16"/>
              </w:rPr>
              <w:noBreakHyphen/>
              <w:t>corn, Milo, Shallu, Sorghum, Sweet sorghum;</w:t>
            </w:r>
            <w:r w:rsidRPr="00386CD6">
              <w:rPr>
                <w:rFonts w:cs="Arial"/>
                <w:sz w:val="16"/>
              </w:rPr>
              <w:br/>
              <w:t>Chicken</w:t>
            </w:r>
            <w:r w:rsidRPr="00386CD6">
              <w:rPr>
                <w:rFonts w:cs="Arial"/>
                <w:sz w:val="16"/>
              </w:rPr>
              <w:noBreakHyphen/>
              <w:t xml:space="preserve">corn, Shattercane, Sordan, </w:t>
            </w:r>
            <w:r w:rsidRPr="00386CD6">
              <w:rPr>
                <w:rFonts w:cs="Arial"/>
                <w:sz w:val="16"/>
              </w:rPr>
              <w:br/>
              <w:t>Sorghum x Sudan Grass, Sorghum</w:t>
            </w:r>
            <w:r w:rsidRPr="00386CD6">
              <w:rPr>
                <w:rFonts w:cs="Arial"/>
                <w:sz w:val="16"/>
              </w:rPr>
              <w:noBreakHyphen/>
              <w:t>sudangrass, Sudan grass</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Mohrenhirse;  Mohrenhirse x Sudangras, Sudangrass</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Sorghum bicolor (L.) Moench;  Sorghum ×drummondii (Steud.) Millsp.  &amp; Chase</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rPr>
            </w:pPr>
            <w:r w:rsidRPr="00386CD6">
              <w:rPr>
                <w:rFonts w:cs="Arial"/>
                <w:sz w:val="16"/>
              </w:rPr>
              <w:t>ZA</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rPr>
            </w:pPr>
            <w:r w:rsidRPr="00386CD6">
              <w:rPr>
                <w:rFonts w:cs="Arial"/>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rPr>
                <w:rFonts w:cs="Arial"/>
                <w:sz w:val="16"/>
              </w:rPr>
            </w:pPr>
            <w:r w:rsidRPr="00386CD6">
              <w:rPr>
                <w:rFonts w:cs="Arial"/>
                <w:sz w:val="16"/>
              </w:rPr>
              <w:t>TG/163/4</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07234">
            <w:pPr>
              <w:jc w:val="left"/>
              <w:rPr>
                <w:rFonts w:cs="Arial"/>
                <w:sz w:val="16"/>
              </w:rPr>
            </w:pPr>
            <w:r w:rsidRPr="00386CD6">
              <w:rPr>
                <w:rFonts w:cs="Arial"/>
                <w:sz w:val="16"/>
              </w:rPr>
              <w:t>Porte</w:t>
            </w:r>
            <w:r w:rsidRPr="00386CD6">
              <w:rPr>
                <w:rFonts w:cs="Arial"/>
                <w:sz w:val="16"/>
              </w:rPr>
              <w:noBreakHyphen/>
              <w:t>greffe de pommier</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Apfel</w:t>
            </w:r>
            <w:r w:rsidRPr="00386CD6">
              <w:rPr>
                <w:rFonts w:cs="Arial"/>
                <w:sz w:val="16"/>
              </w:rPr>
              <w:noBreakHyphen/>
              <w:t>Unterlagen</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Portainjertos de manzano</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Malus Mill.</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rPr>
            </w:pPr>
            <w:r w:rsidRPr="00386CD6">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rPr>
            </w:pPr>
            <w:r w:rsidRPr="00386CD6">
              <w:rPr>
                <w:rFonts w:cs="Arial"/>
                <w:sz w:val="16"/>
              </w:rPr>
              <w:t>TWV</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rPr>
                <w:rFonts w:cs="Arial"/>
                <w:sz w:val="16"/>
              </w:rPr>
            </w:pPr>
            <w:r w:rsidRPr="00386CD6">
              <w:rPr>
                <w:rFonts w:cs="Arial"/>
                <w:sz w:val="16"/>
              </w:rPr>
              <w:t>TG/210/2</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Lentil</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Lentille</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Linse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Lenteja</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rPr>
            </w:pPr>
            <w:r w:rsidRPr="00386CD6">
              <w:rPr>
                <w:rFonts w:cs="Arial"/>
                <w:sz w:val="16"/>
              </w:rPr>
              <w:t>Lens culinaris Medik.</w:t>
            </w:r>
          </w:p>
        </w:tc>
      </w:tr>
      <w:tr w:rsidR="0083792B" w:rsidRPr="00386CD6" w:rsidTr="00B3002C">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83792B" w:rsidRPr="00386CD6" w:rsidRDefault="0083792B" w:rsidP="00BE05AF">
            <w:pPr>
              <w:keepNext/>
              <w:spacing w:before="60" w:after="120"/>
              <w:ind w:left="-36"/>
              <w:jc w:val="left"/>
              <w:rPr>
                <w:rFonts w:eastAsia="MS Mincho" w:cs="Arial"/>
                <w:bCs/>
                <w:sz w:val="16"/>
                <w:szCs w:val="16"/>
                <w:u w:val="single"/>
                <w:lang w:eastAsia="ja-JP"/>
              </w:rPr>
            </w:pPr>
            <w:r w:rsidRPr="00386CD6">
              <w:rPr>
                <w:rFonts w:cs="Arial"/>
                <w:bCs/>
                <w:sz w:val="16"/>
                <w:szCs w:val="16"/>
                <w:u w:val="single"/>
              </w:rPr>
              <w:t xml:space="preserve">PARTIAL REVISIONS OF ADOPTED TEST GUIDELINES / </w:t>
            </w:r>
            <w:r w:rsidRPr="00386CD6">
              <w:rPr>
                <w:rFonts w:cs="Arial"/>
                <w:sz w:val="16"/>
                <w:szCs w:val="16"/>
                <w:u w:val="single"/>
              </w:rPr>
              <w:t>RÉVISIONS PARTIELLES DE PRINCIPES DIRECTEURS D’EXAMEN ADOPTÉS / TEILREVISIONEN ANGENOMMENER PRÜFUNGSRICHTLINIEN / REVISIONES PARCIALES DE DIRECTRICES DE EXAMEN ADOPTADAS</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keepNext/>
              <w:rPr>
                <w:rFonts w:cs="Arial"/>
                <w:sz w:val="16"/>
                <w:szCs w:val="16"/>
              </w:rPr>
            </w:pPr>
            <w:r w:rsidRPr="00386CD6">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keepNext/>
              <w:rPr>
                <w:rFonts w:cs="Arial"/>
                <w:sz w:val="16"/>
                <w:szCs w:val="16"/>
              </w:rPr>
            </w:pPr>
            <w:r w:rsidRPr="00386CD6">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keepNext/>
              <w:ind w:left="-36"/>
              <w:jc w:val="left"/>
              <w:rPr>
                <w:rFonts w:cs="Arial"/>
                <w:sz w:val="16"/>
                <w:szCs w:val="16"/>
              </w:rPr>
            </w:pPr>
            <w:r w:rsidRPr="00386CD6">
              <w:rPr>
                <w:rFonts w:cs="Arial"/>
                <w:sz w:val="16"/>
                <w:szCs w:val="16"/>
              </w:rPr>
              <w:t>TG/12/9 Rev.2</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keepNext/>
              <w:jc w:val="left"/>
              <w:rPr>
                <w:rFonts w:cs="Arial"/>
                <w:sz w:val="16"/>
                <w:szCs w:val="16"/>
              </w:rPr>
            </w:pPr>
            <w:r w:rsidRPr="00386CD6">
              <w:rPr>
                <w:rFonts w:cs="Arial"/>
                <w:sz w:val="16"/>
                <w:szCs w:val="16"/>
              </w:rPr>
              <w:t>French Bean</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keepNext/>
              <w:jc w:val="left"/>
              <w:rPr>
                <w:rFonts w:cs="Arial"/>
                <w:sz w:val="16"/>
                <w:szCs w:val="16"/>
              </w:rPr>
            </w:pPr>
            <w:r w:rsidRPr="00386CD6">
              <w:rPr>
                <w:rFonts w:cs="Arial"/>
                <w:sz w:val="16"/>
                <w:szCs w:val="16"/>
              </w:rPr>
              <w:t>Haricot</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keepNext/>
              <w:jc w:val="left"/>
              <w:rPr>
                <w:rFonts w:cs="Arial"/>
                <w:sz w:val="16"/>
                <w:szCs w:val="16"/>
              </w:rPr>
            </w:pPr>
            <w:r w:rsidRPr="00386CD6">
              <w:rPr>
                <w:rFonts w:cs="Arial"/>
                <w:sz w:val="16"/>
                <w:szCs w:val="16"/>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keepNext/>
              <w:jc w:val="left"/>
              <w:rPr>
                <w:rFonts w:cs="Arial"/>
                <w:sz w:val="16"/>
                <w:szCs w:val="16"/>
              </w:rPr>
            </w:pPr>
            <w:r w:rsidRPr="00386CD6">
              <w:rPr>
                <w:rFonts w:cs="Arial"/>
                <w:sz w:val="16"/>
                <w:szCs w:val="16"/>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keepNext/>
              <w:jc w:val="left"/>
              <w:rPr>
                <w:rFonts w:cs="Arial"/>
                <w:sz w:val="16"/>
                <w:szCs w:val="16"/>
              </w:rPr>
            </w:pPr>
            <w:r w:rsidRPr="00386CD6">
              <w:rPr>
                <w:rFonts w:cs="Arial"/>
                <w:sz w:val="16"/>
                <w:szCs w:val="16"/>
              </w:rPr>
              <w:t>Phaseolus vulgaris L.</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jc w:val="left"/>
              <w:rPr>
                <w:rFonts w:cs="Arial"/>
                <w:sz w:val="16"/>
                <w:szCs w:val="16"/>
              </w:rPr>
            </w:pPr>
            <w:r w:rsidRPr="00386CD6">
              <w:rPr>
                <w:rFonts w:cs="Arial"/>
                <w:sz w:val="16"/>
                <w:szCs w:val="16"/>
              </w:rPr>
              <w:t>TG/55/7 Rev.3</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Spinat</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Spinacia oleracea L.</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jc w:val="left"/>
              <w:rPr>
                <w:rFonts w:cs="Arial"/>
                <w:sz w:val="16"/>
                <w:szCs w:val="16"/>
              </w:rPr>
            </w:pPr>
            <w:r w:rsidRPr="00386CD6">
              <w:rPr>
                <w:rFonts w:cs="Arial"/>
                <w:sz w:val="16"/>
                <w:szCs w:val="16"/>
              </w:rPr>
              <w:t>TG/61/7 Rev.2</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Gurke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Cucumis sativus L.</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NL/FR</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07234">
            <w:pPr>
              <w:ind w:left="-36"/>
              <w:jc w:val="left"/>
              <w:rPr>
                <w:rFonts w:cs="Arial"/>
                <w:sz w:val="16"/>
                <w:szCs w:val="16"/>
              </w:rPr>
            </w:pPr>
            <w:r w:rsidRPr="00386CD6">
              <w:rPr>
                <w:rFonts w:cs="Arial"/>
                <w:sz w:val="16"/>
                <w:szCs w:val="16"/>
              </w:rPr>
              <w:t>TG/76/8 Rev.</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Paprika</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Capsicum annuum L.</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NL</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jc w:val="left"/>
              <w:rPr>
                <w:rFonts w:cs="Arial"/>
                <w:sz w:val="16"/>
                <w:szCs w:val="16"/>
              </w:rPr>
            </w:pPr>
            <w:r w:rsidRPr="00386CD6">
              <w:rPr>
                <w:rFonts w:cs="Arial"/>
                <w:sz w:val="16"/>
                <w:szCs w:val="16"/>
              </w:rPr>
              <w:t>TG/108/4 Rev.</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Gladiolus</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Glaïeul</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Gladiole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Gladiolo</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Gladiolus L.</w:t>
            </w:r>
          </w:p>
        </w:tc>
      </w:tr>
      <w:tr w:rsidR="0083792B" w:rsidRPr="00386CD6" w:rsidTr="00876C5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ES</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07234">
            <w:pPr>
              <w:ind w:left="-36"/>
              <w:jc w:val="left"/>
              <w:rPr>
                <w:rFonts w:cs="Arial"/>
                <w:sz w:val="16"/>
                <w:szCs w:val="16"/>
              </w:rPr>
            </w:pPr>
            <w:r w:rsidRPr="00386CD6">
              <w:rPr>
                <w:rFonts w:cs="Arial"/>
                <w:sz w:val="16"/>
                <w:szCs w:val="16"/>
              </w:rPr>
              <w:t>TG/201/1 Rev.</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rFonts w:cs="Arial"/>
                <w:sz w:val="16"/>
                <w:szCs w:val="16"/>
              </w:rPr>
              <w:t>Mandarins</w:t>
            </w:r>
            <w:r w:rsidRPr="00386CD6">
              <w:rPr>
                <w:sz w:val="16"/>
              </w:rPr>
              <w:t xml:space="preserve"> (Citrus L. – Group 1)</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Mandarinier (Citrus L. – Groupe 1)</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Mandarinen (Citrus L. – Gruppe 1)</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Mandarino (Citrus L. – Grupo 1)</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Citrus L. – Gr. 1</w:t>
            </w:r>
          </w:p>
        </w:tc>
      </w:tr>
      <w:tr w:rsidR="0083792B" w:rsidRPr="00386CD6" w:rsidTr="00876C5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 w:rsidRPr="00386CD6">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ind w:left="-36"/>
              <w:jc w:val="left"/>
              <w:rPr>
                <w:rFonts w:cs="Arial"/>
                <w:sz w:val="16"/>
                <w:szCs w:val="16"/>
              </w:rPr>
            </w:pPr>
            <w:r w:rsidRPr="00386CD6">
              <w:rPr>
                <w:rFonts w:cs="Arial"/>
                <w:sz w:val="16"/>
                <w:szCs w:val="16"/>
              </w:rPr>
              <w:t>TG/201/2 Rev.</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Oranges (Citrus L. – Group 2)</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Oranger (Citrus L. – Groupe 2)</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Orangen (Citrus L., Gruppe 2)</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Naranjo (Citrus L. – Grupo 2)</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Citrus L. – Gr. 2</w:t>
            </w:r>
          </w:p>
        </w:tc>
      </w:tr>
      <w:tr w:rsidR="0083792B" w:rsidRPr="00386CD6" w:rsidTr="00876C5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 w:rsidRPr="00386CD6">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jc w:val="left"/>
              <w:rPr>
                <w:rFonts w:cs="Arial"/>
                <w:sz w:val="16"/>
                <w:szCs w:val="16"/>
              </w:rPr>
            </w:pPr>
            <w:r w:rsidRPr="00386CD6">
              <w:rPr>
                <w:rFonts w:cs="Arial"/>
                <w:sz w:val="16"/>
                <w:szCs w:val="16"/>
              </w:rPr>
              <w:t>TG/201/3 Rev.</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Lemons and Limes (Citrus L. – Group 3)</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Limettier (Citronnier et) (Citrus L. – Groupe 3)</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Zitronen und Limetten (Citrus L. – Gruppe 3)</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Limón y Lima (Citrus L. – Grupo 3)</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Citrus L. – Gr. 3</w:t>
            </w:r>
          </w:p>
        </w:tc>
      </w:tr>
      <w:tr w:rsidR="0083792B" w:rsidRPr="00386CD6" w:rsidTr="00876C5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 w:rsidRPr="00386CD6">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jc w:val="left"/>
              <w:rPr>
                <w:rFonts w:cs="Arial"/>
                <w:sz w:val="16"/>
                <w:szCs w:val="16"/>
              </w:rPr>
            </w:pPr>
            <w:r w:rsidRPr="00386CD6">
              <w:rPr>
                <w:rFonts w:cs="Arial"/>
                <w:sz w:val="16"/>
                <w:szCs w:val="16"/>
              </w:rPr>
              <w:t>TG/201/4 Rev.</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Pummelo (Grapefruit and) (Citrus L. – Group 4)</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Pomelo et Pamplemoussier (Citrus L. – Groupe 4)</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Pampelmuse (Grapefruit und) (Zitrus – Gruppe 4)</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Pomelo y Pummelo (Citrus L. – Grupo 4)</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876C54">
            <w:pPr>
              <w:jc w:val="left"/>
              <w:rPr>
                <w:sz w:val="16"/>
                <w:szCs w:val="24"/>
              </w:rPr>
            </w:pPr>
            <w:r w:rsidRPr="00386CD6">
              <w:rPr>
                <w:sz w:val="16"/>
              </w:rPr>
              <w:t>Citrus L. – Gr. 4</w:t>
            </w:r>
          </w:p>
        </w:tc>
      </w:tr>
      <w:tr w:rsidR="0083792B" w:rsidRPr="00386CD6" w:rsidTr="00251E5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251E57">
            <w:pPr>
              <w:jc w:val="left"/>
              <w:rPr>
                <w:sz w:val="16"/>
              </w:rPr>
            </w:pP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251E57">
            <w:pPr>
              <w:jc w:val="left"/>
              <w:rPr>
                <w:sz w:val="16"/>
              </w:rPr>
            </w:pPr>
            <w:r w:rsidRPr="00386CD6">
              <w:rPr>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251E57">
            <w:pPr>
              <w:jc w:val="left"/>
              <w:rPr>
                <w:sz w:val="16"/>
              </w:rPr>
            </w:pPr>
            <w:r w:rsidRPr="00386CD6">
              <w:rPr>
                <w:sz w:val="16"/>
              </w:rPr>
              <w:t>TG/83/4 Rev.</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251E57">
            <w:pPr>
              <w:jc w:val="left"/>
              <w:rPr>
                <w:sz w:val="16"/>
              </w:rPr>
            </w:pPr>
            <w:r w:rsidRPr="00386CD6">
              <w:rPr>
                <w:sz w:val="16"/>
              </w:rPr>
              <w:t>Trifoliate Orange (Poncirus) (Citrus L. – Group 5)</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251E57">
            <w:pPr>
              <w:jc w:val="left"/>
              <w:rPr>
                <w:sz w:val="16"/>
              </w:rPr>
            </w:pPr>
            <w:r w:rsidRPr="00386CD6">
              <w:rPr>
                <w:sz w:val="16"/>
              </w:rPr>
              <w:noBreakHyphen/>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251E57">
            <w:pPr>
              <w:jc w:val="left"/>
              <w:rPr>
                <w:sz w:val="16"/>
              </w:rPr>
            </w:pPr>
            <w:r w:rsidRPr="00386CD6">
              <w:rPr>
                <w:sz w:val="16"/>
              </w:rPr>
              <w:t>Dreiblättrige Orange (Poncirus) (Citrus L. – Gruppe 5)</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251E57">
            <w:pPr>
              <w:jc w:val="left"/>
              <w:rPr>
                <w:sz w:val="16"/>
              </w:rPr>
            </w:pPr>
            <w:r w:rsidRPr="00386CD6">
              <w:rPr>
                <w:sz w:val="16"/>
              </w:rPr>
              <w:t>Naranjo trifoliado (Poncirus) (Citrus L. – Grupo 5)</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251E57">
            <w:pPr>
              <w:jc w:val="left"/>
              <w:rPr>
                <w:sz w:val="16"/>
              </w:rPr>
            </w:pPr>
            <w:r w:rsidRPr="00386CD6">
              <w:rPr>
                <w:sz w:val="16"/>
              </w:rPr>
              <w:t>Poncirus (Citrus L. – Gr. 5)</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jc w:val="left"/>
              <w:rPr>
                <w:rFonts w:cs="Arial"/>
                <w:sz w:val="16"/>
                <w:szCs w:val="16"/>
              </w:rPr>
            </w:pPr>
            <w:r w:rsidRPr="00386CD6">
              <w:rPr>
                <w:rFonts w:cs="Arial"/>
                <w:sz w:val="16"/>
                <w:szCs w:val="16"/>
              </w:rPr>
              <w:t>TG/263/1 Rev.</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Buddleia, Butterfly</w:t>
            </w:r>
            <w:r w:rsidRPr="00386CD6">
              <w:rPr>
                <w:rFonts w:cs="Arial"/>
                <w:sz w:val="16"/>
                <w:szCs w:val="16"/>
              </w:rPr>
              <w:noBreakHyphen/>
              <w:t>bush</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Buddleia, Arbre aux papillons</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Buddleie, Schmetterlingsstrauch</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Budleya, Mariposa</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Buddleja L.</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UA</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jc w:val="left"/>
              <w:rPr>
                <w:rFonts w:cs="Arial"/>
                <w:sz w:val="16"/>
                <w:szCs w:val="16"/>
              </w:rPr>
            </w:pPr>
            <w:r w:rsidRPr="00386CD6">
              <w:rPr>
                <w:rFonts w:cs="Arial"/>
                <w:sz w:val="16"/>
                <w:szCs w:val="16"/>
              </w:rPr>
              <w:t>TG/268/1 Rev.</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Garden Sorrel</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Grande oseille</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Wiesensauerampfer</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Acedera común</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Rumex acetosa L.</w:t>
            </w:r>
          </w:p>
        </w:tc>
      </w:tr>
      <w:tr w:rsidR="0083792B" w:rsidRPr="00386CD6" w:rsidTr="00B3002C">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B3002C">
            <w:pPr>
              <w:rPr>
                <w:rFonts w:cs="Arial"/>
                <w:sz w:val="16"/>
                <w:szCs w:val="16"/>
              </w:rPr>
            </w:pPr>
            <w:r w:rsidRPr="00386CD6">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rPr>
                <w:rFonts w:cs="Arial"/>
                <w:sz w:val="16"/>
                <w:szCs w:val="16"/>
              </w:rPr>
            </w:pPr>
            <w:r w:rsidRPr="00386CD6">
              <w:rPr>
                <w:rFonts w:cs="Arial"/>
                <w:sz w:val="16"/>
                <w:szCs w:val="16"/>
              </w:rPr>
              <w:t>TWV</w:t>
            </w: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ind w:left="-36"/>
              <w:jc w:val="left"/>
              <w:rPr>
                <w:rFonts w:cs="Arial"/>
                <w:sz w:val="16"/>
                <w:szCs w:val="16"/>
              </w:rPr>
            </w:pPr>
            <w:r w:rsidRPr="00386CD6">
              <w:rPr>
                <w:rFonts w:cs="Arial"/>
                <w:sz w:val="16"/>
                <w:szCs w:val="16"/>
              </w:rPr>
              <w:t>TG/282/1 Rev.</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Shiitake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Shiitake</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Pasaniapilz</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Shiitake</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B3002C">
            <w:pPr>
              <w:jc w:val="left"/>
              <w:rPr>
                <w:rFonts w:cs="Arial"/>
                <w:sz w:val="16"/>
                <w:szCs w:val="16"/>
              </w:rPr>
            </w:pPr>
            <w:r w:rsidRPr="00386CD6">
              <w:rPr>
                <w:rFonts w:cs="Arial"/>
                <w:sz w:val="16"/>
                <w:szCs w:val="16"/>
              </w:rPr>
              <w:t>Lentinula edodes (Berk.) Pegler</w:t>
            </w:r>
          </w:p>
        </w:tc>
      </w:tr>
      <w:tr w:rsidR="0083792B" w:rsidRPr="00386CD6" w:rsidTr="00540B81">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83792B" w:rsidRPr="00386CD6" w:rsidRDefault="0083792B" w:rsidP="00BE05AF">
            <w:pPr>
              <w:keepNext/>
              <w:spacing w:before="60" w:after="120"/>
              <w:ind w:left="-36"/>
              <w:jc w:val="left"/>
              <w:rPr>
                <w:rFonts w:eastAsia="MS Mincho" w:cs="Arial"/>
                <w:bCs/>
                <w:sz w:val="16"/>
                <w:szCs w:val="16"/>
                <w:u w:val="single"/>
                <w:lang w:eastAsia="ja-JP"/>
              </w:rPr>
            </w:pPr>
            <w:r w:rsidRPr="00386CD6">
              <w:rPr>
                <w:rFonts w:cs="Arial"/>
                <w:bCs/>
                <w:sz w:val="16"/>
                <w:szCs w:val="16"/>
                <w:u w:val="single"/>
              </w:rPr>
              <w:t xml:space="preserve">CORRECTION OF ADOPTED TEST GUIDELINES / </w:t>
            </w:r>
            <w:r w:rsidRPr="00386CD6">
              <w:rPr>
                <w:rFonts w:cs="Arial"/>
                <w:sz w:val="16"/>
                <w:szCs w:val="16"/>
                <w:u w:val="single"/>
              </w:rPr>
              <w:t>CORRECTION DE PRINCIPES DIRECTEURS D’EXAMEN ADOPTÉS / KORREKTUR ANGENOMMENER PRÜFUNGSRICHTLINIEN / CORRECCIÓN DE DIRECTRICES DE EXAMEN ADOPTADAS</w:t>
            </w:r>
          </w:p>
        </w:tc>
      </w:tr>
      <w:tr w:rsidR="0083792B" w:rsidRPr="00386CD6" w:rsidTr="00540B8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540B81">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540B81">
            <w:pPr>
              <w:rPr>
                <w:rFonts w:cs="Arial"/>
                <w:sz w:val="16"/>
                <w:szCs w:val="16"/>
              </w:rPr>
            </w:pP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540B81">
            <w:pPr>
              <w:ind w:left="-36"/>
              <w:jc w:val="left"/>
              <w:rPr>
                <w:rFonts w:cs="Arial"/>
                <w:sz w:val="16"/>
                <w:szCs w:val="16"/>
              </w:rPr>
            </w:pPr>
            <w:r w:rsidRPr="00386CD6">
              <w:rPr>
                <w:rFonts w:cs="Arial"/>
                <w:sz w:val="16"/>
                <w:szCs w:val="16"/>
              </w:rPr>
              <w:t>TG/49/8 Corr.</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BE05AF">
            <w:pPr>
              <w:jc w:val="left"/>
              <w:rPr>
                <w:rFonts w:cs="Arial"/>
                <w:sz w:val="16"/>
                <w:szCs w:val="16"/>
              </w:rPr>
            </w:pPr>
            <w:r w:rsidRPr="00386CD6">
              <w:rPr>
                <w:rFonts w:cs="Arial"/>
                <w:sz w:val="16"/>
                <w:szCs w:val="16"/>
              </w:rPr>
              <w:t>Carrot</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540B81">
            <w:pPr>
              <w:jc w:val="left"/>
              <w:rPr>
                <w:rFonts w:cs="Arial"/>
                <w:sz w:val="16"/>
                <w:szCs w:val="16"/>
              </w:rPr>
            </w:pPr>
            <w:r w:rsidRPr="00386CD6">
              <w:rPr>
                <w:rFonts w:cs="Arial"/>
                <w:sz w:val="16"/>
                <w:szCs w:val="16"/>
              </w:rPr>
              <w:t>Carotte</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540B81">
            <w:pPr>
              <w:jc w:val="left"/>
              <w:rPr>
                <w:rFonts w:cs="Arial"/>
                <w:sz w:val="16"/>
                <w:szCs w:val="16"/>
              </w:rPr>
            </w:pPr>
            <w:r w:rsidRPr="00386CD6">
              <w:rPr>
                <w:rFonts w:cs="Arial"/>
                <w:sz w:val="16"/>
                <w:szCs w:val="16"/>
              </w:rPr>
              <w:t>Möhre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540B81">
            <w:pPr>
              <w:jc w:val="left"/>
              <w:rPr>
                <w:rFonts w:cs="Arial"/>
                <w:sz w:val="16"/>
                <w:szCs w:val="16"/>
              </w:rPr>
            </w:pPr>
            <w:r w:rsidRPr="00386CD6">
              <w:rPr>
                <w:rFonts w:cs="Arial"/>
                <w:sz w:val="16"/>
                <w:szCs w:val="16"/>
              </w:rPr>
              <w:t>Zanahoria</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540B81">
            <w:pPr>
              <w:jc w:val="left"/>
              <w:rPr>
                <w:rFonts w:cs="Arial"/>
                <w:sz w:val="16"/>
                <w:szCs w:val="16"/>
              </w:rPr>
            </w:pPr>
            <w:r w:rsidRPr="00386CD6">
              <w:rPr>
                <w:rFonts w:cs="Arial"/>
                <w:sz w:val="16"/>
                <w:szCs w:val="16"/>
              </w:rPr>
              <w:t>Daucus carota L.</w:t>
            </w:r>
          </w:p>
        </w:tc>
      </w:tr>
      <w:tr w:rsidR="0083792B" w:rsidRPr="00386CD6" w:rsidTr="00540B81">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3792B" w:rsidRPr="00386CD6" w:rsidRDefault="0083792B" w:rsidP="00540B81">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rsidR="0083792B" w:rsidRPr="00386CD6" w:rsidRDefault="0083792B" w:rsidP="00540B81">
            <w:pPr>
              <w:rPr>
                <w:rFonts w:cs="Arial"/>
                <w:sz w:val="16"/>
                <w:szCs w:val="16"/>
              </w:rPr>
            </w:pPr>
          </w:p>
        </w:tc>
        <w:tc>
          <w:tcPr>
            <w:tcW w:w="1490" w:type="dxa"/>
            <w:tcBorders>
              <w:top w:val="single" w:sz="4" w:space="0" w:color="auto"/>
              <w:left w:val="nil"/>
              <w:bottom w:val="single" w:sz="4" w:space="0" w:color="auto"/>
              <w:right w:val="single" w:sz="4" w:space="0" w:color="auto"/>
            </w:tcBorders>
            <w:shd w:val="clear" w:color="auto" w:fill="auto"/>
          </w:tcPr>
          <w:p w:rsidR="0083792B" w:rsidRPr="00386CD6" w:rsidRDefault="00635368" w:rsidP="00635368">
            <w:pPr>
              <w:ind w:left="-36"/>
              <w:jc w:val="left"/>
              <w:rPr>
                <w:rFonts w:cs="Arial"/>
                <w:sz w:val="16"/>
                <w:szCs w:val="16"/>
              </w:rPr>
            </w:pPr>
            <w:r w:rsidRPr="00386CD6">
              <w:rPr>
                <w:rFonts w:cs="Arial"/>
                <w:sz w:val="16"/>
                <w:szCs w:val="16"/>
              </w:rPr>
              <w:t xml:space="preserve">TG/61/7 Rev.2 </w:t>
            </w:r>
            <w:r w:rsidR="0083792B" w:rsidRPr="00386CD6">
              <w:rPr>
                <w:rFonts w:cs="Arial"/>
                <w:sz w:val="16"/>
                <w:szCs w:val="16"/>
              </w:rPr>
              <w:t>Corr. (versions</w:t>
            </w:r>
            <w:r w:rsidRPr="00386CD6">
              <w:rPr>
                <w:rFonts w:cs="Arial"/>
                <w:sz w:val="16"/>
                <w:szCs w:val="16"/>
              </w:rPr>
              <w:t xml:space="preserve"> espagnole et française uniquement</w:t>
            </w:r>
            <w:r w:rsidR="0083792B" w:rsidRPr="00386CD6">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540B81">
            <w:pPr>
              <w:jc w:val="left"/>
              <w:rPr>
                <w:rFonts w:cs="Arial"/>
                <w:sz w:val="16"/>
                <w:szCs w:val="16"/>
              </w:rPr>
            </w:pPr>
            <w:r w:rsidRPr="00386CD6">
              <w:rPr>
                <w:rFonts w:cs="Arial"/>
                <w:sz w:val="16"/>
                <w:szCs w:val="16"/>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540B81">
            <w:pPr>
              <w:jc w:val="left"/>
              <w:rPr>
                <w:rFonts w:cs="Arial"/>
                <w:sz w:val="16"/>
                <w:szCs w:val="16"/>
              </w:rPr>
            </w:pPr>
            <w:r w:rsidRPr="00386CD6">
              <w:rPr>
                <w:rFonts w:cs="Arial"/>
                <w:sz w:val="16"/>
                <w:szCs w:val="16"/>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83792B" w:rsidRPr="00386CD6" w:rsidRDefault="0083792B" w:rsidP="00540B81">
            <w:pPr>
              <w:jc w:val="left"/>
              <w:rPr>
                <w:rFonts w:cs="Arial"/>
                <w:sz w:val="16"/>
                <w:szCs w:val="16"/>
              </w:rPr>
            </w:pPr>
            <w:r w:rsidRPr="00386CD6">
              <w:rPr>
                <w:rFonts w:cs="Arial"/>
                <w:sz w:val="16"/>
                <w:szCs w:val="16"/>
              </w:rPr>
              <w:t>Gurke</w:t>
            </w:r>
          </w:p>
        </w:tc>
        <w:tc>
          <w:tcPr>
            <w:tcW w:w="1418" w:type="dxa"/>
            <w:tcBorders>
              <w:top w:val="single" w:sz="4" w:space="0" w:color="auto"/>
              <w:left w:val="nil"/>
              <w:bottom w:val="single" w:sz="4" w:space="0" w:color="auto"/>
              <w:right w:val="single" w:sz="4" w:space="0" w:color="auto"/>
            </w:tcBorders>
            <w:shd w:val="clear" w:color="auto" w:fill="auto"/>
          </w:tcPr>
          <w:p w:rsidR="0083792B" w:rsidRPr="00386CD6" w:rsidRDefault="0083792B" w:rsidP="00540B81">
            <w:pPr>
              <w:jc w:val="left"/>
              <w:rPr>
                <w:rFonts w:cs="Arial"/>
                <w:sz w:val="16"/>
                <w:szCs w:val="16"/>
              </w:rPr>
            </w:pPr>
            <w:r w:rsidRPr="00386CD6">
              <w:rPr>
                <w:rFonts w:cs="Arial"/>
                <w:sz w:val="16"/>
                <w:szCs w:val="16"/>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83792B" w:rsidRPr="00386CD6" w:rsidRDefault="0083792B" w:rsidP="00540B81">
            <w:pPr>
              <w:jc w:val="left"/>
              <w:rPr>
                <w:rFonts w:cs="Arial"/>
                <w:sz w:val="16"/>
                <w:szCs w:val="16"/>
              </w:rPr>
            </w:pPr>
            <w:r w:rsidRPr="00386CD6">
              <w:rPr>
                <w:rFonts w:cs="Arial"/>
                <w:sz w:val="16"/>
                <w:szCs w:val="16"/>
              </w:rPr>
              <w:t>Cucumis sativus L.</w:t>
            </w:r>
          </w:p>
        </w:tc>
      </w:tr>
    </w:tbl>
    <w:p w:rsidR="0083792B" w:rsidRPr="00386CD6" w:rsidRDefault="0083792B" w:rsidP="0016715C">
      <w:pPr>
        <w:rPr>
          <w:rFonts w:cs="Arial"/>
        </w:rPr>
      </w:pPr>
    </w:p>
    <w:p w:rsidR="0083792B" w:rsidRPr="00386CD6" w:rsidRDefault="0083792B" w:rsidP="004E714F">
      <w:pPr>
        <w:numPr>
          <w:ilvl w:val="12"/>
          <w:numId w:val="0"/>
        </w:numPr>
        <w:tabs>
          <w:tab w:val="left" w:pos="5387"/>
        </w:tabs>
        <w:ind w:left="4820"/>
        <w:rPr>
          <w:i/>
        </w:rPr>
      </w:pPr>
      <w:r w:rsidRPr="00386CD6">
        <w:rPr>
          <w:i/>
        </w:rPr>
        <w:fldChar w:fldCharType="begin"/>
      </w:r>
      <w:r w:rsidRPr="00386CD6">
        <w:rPr>
          <w:i/>
        </w:rPr>
        <w:instrText xml:space="preserve"> AUTONUM  </w:instrText>
      </w:r>
      <w:r w:rsidRPr="00386CD6">
        <w:rPr>
          <w:i/>
        </w:rPr>
        <w:fldChar w:fldCharType="end"/>
      </w:r>
      <w:r w:rsidRPr="00386CD6">
        <w:rPr>
          <w:i/>
        </w:rPr>
        <w:tab/>
        <w:t>Le Conseil est invité à prendre note du présent rapport.</w:t>
      </w:r>
    </w:p>
    <w:p w:rsidR="0083792B" w:rsidRPr="00386CD6" w:rsidRDefault="0083792B" w:rsidP="004E714F"/>
    <w:p w:rsidR="0083792B" w:rsidRPr="00386CD6" w:rsidRDefault="0083792B" w:rsidP="004E714F"/>
    <w:p w:rsidR="0083792B" w:rsidRPr="00386CD6" w:rsidRDefault="0083792B" w:rsidP="004E714F">
      <w:pPr>
        <w:jc w:val="right"/>
      </w:pPr>
      <w:r w:rsidRPr="00386CD6">
        <w:t>[Les annexes suivent]</w:t>
      </w:r>
    </w:p>
    <w:p w:rsidR="0083792B" w:rsidRPr="00386CD6" w:rsidRDefault="0083792B" w:rsidP="004E714F">
      <w:pPr>
        <w:jc w:val="left"/>
        <w:sectPr w:rsidR="0083792B" w:rsidRPr="00386CD6" w:rsidSect="0085651C">
          <w:headerReference w:type="default" r:id="rId11"/>
          <w:type w:val="continuous"/>
          <w:pgSz w:w="11907" w:h="16840" w:code="9"/>
          <w:pgMar w:top="510" w:right="1134" w:bottom="1134" w:left="1134" w:header="510" w:footer="525" w:gutter="0"/>
          <w:cols w:space="720"/>
          <w:titlePg/>
        </w:sectPr>
      </w:pPr>
    </w:p>
    <w:p w:rsidR="0083792B" w:rsidRPr="00386CD6" w:rsidRDefault="0083792B" w:rsidP="0085651C">
      <w:pPr>
        <w:jc w:val="center"/>
      </w:pPr>
      <w:r w:rsidRPr="00386CD6">
        <w:t>C/50/2</w:t>
      </w:r>
    </w:p>
    <w:p w:rsidR="0083792B" w:rsidRPr="00386CD6" w:rsidRDefault="0083792B" w:rsidP="0085651C">
      <w:pPr>
        <w:jc w:val="center"/>
      </w:pPr>
    </w:p>
    <w:p w:rsidR="0083792B" w:rsidRPr="00386CD6" w:rsidRDefault="0083792B" w:rsidP="0085651C">
      <w:pPr>
        <w:jc w:val="center"/>
      </w:pPr>
      <w:bookmarkStart w:id="18" w:name="_Toc207102117"/>
      <w:bookmarkStart w:id="19" w:name="_Toc207164762"/>
      <w:r w:rsidRPr="00386CD6">
        <w:t>ANNEXE I</w:t>
      </w:r>
      <w:bookmarkEnd w:id="18"/>
      <w:bookmarkEnd w:id="19"/>
    </w:p>
    <w:p w:rsidR="0083792B" w:rsidRPr="00386CD6" w:rsidRDefault="0083792B" w:rsidP="0085651C">
      <w:pPr>
        <w:jc w:val="center"/>
      </w:pPr>
    </w:p>
    <w:p w:rsidR="0083792B" w:rsidRPr="00386CD6" w:rsidRDefault="0083792B" w:rsidP="0085651C">
      <w:pPr>
        <w:jc w:val="center"/>
      </w:pPr>
    </w:p>
    <w:p w:rsidR="0083792B" w:rsidRPr="00386CD6" w:rsidRDefault="0083792B" w:rsidP="0085651C">
      <w:pPr>
        <w:jc w:val="center"/>
      </w:pPr>
      <w:r w:rsidRPr="00386CD6">
        <w:t>MEMBRES DE L’UNION</w:t>
      </w:r>
    </w:p>
    <w:p w:rsidR="0083792B" w:rsidRPr="00386CD6" w:rsidRDefault="0083792B" w:rsidP="0085651C">
      <w:pPr>
        <w:jc w:val="center"/>
      </w:pPr>
    </w:p>
    <w:p w:rsidR="0083792B" w:rsidRPr="00386CD6" w:rsidRDefault="0083792B" w:rsidP="0085651C">
      <w:pPr>
        <w:jc w:val="center"/>
      </w:pPr>
      <w:r w:rsidRPr="00386CD6">
        <w:t>31 décembre 2015</w:t>
      </w:r>
    </w:p>
    <w:p w:rsidR="0083792B" w:rsidRPr="00386CD6" w:rsidRDefault="0083792B" w:rsidP="0085651C">
      <w:pPr>
        <w:jc w:val="center"/>
      </w:pPr>
    </w:p>
    <w:p w:rsidR="0083792B" w:rsidRPr="00386CD6" w:rsidRDefault="0083792B" w:rsidP="0085651C">
      <w:r w:rsidRPr="00386CD6">
        <w:t>La présente annexe indique la situation des membres de l’Union vis</w:t>
      </w:r>
      <w:r w:rsidRPr="00386CD6">
        <w:noBreakHyphen/>
        <w:t>à</w:t>
      </w:r>
      <w:r w:rsidRPr="00386CD6">
        <w:noBreakHyphen/>
        <w:t>vis de la Convention et de ses divers actes, au 31 décembre 2014 (voir les articles 31 et 32 de la Convention de 1961, l’article 32.1) de l’Acte de 1978 et l’article 34.2) de l’Acte de 1991).</w:t>
      </w:r>
    </w:p>
    <w:p w:rsidR="0083792B" w:rsidRPr="00386CD6" w:rsidRDefault="0083792B" w:rsidP="0085651C"/>
    <w:p w:rsidR="0083792B" w:rsidRPr="00386CD6" w:rsidRDefault="0083792B" w:rsidP="0085651C">
      <w:pPr>
        <w:tabs>
          <w:tab w:val="left" w:pos="1843"/>
        </w:tabs>
        <w:rPr>
          <w:spacing w:val="-4"/>
        </w:rPr>
      </w:pPr>
      <w:r w:rsidRPr="00386CD6">
        <w:rPr>
          <w:spacing w:val="-4"/>
        </w:rPr>
        <w:noBreakHyphen/>
        <w:t xml:space="preserve"> Première ligne : </w:t>
      </w:r>
      <w:r w:rsidRPr="00386CD6">
        <w:rPr>
          <w:spacing w:val="-4"/>
        </w:rPr>
        <w:tab/>
        <w:t>Convention internationale pour la protection des obtentions végétales du 2 décembre 1961</w:t>
      </w:r>
    </w:p>
    <w:p w:rsidR="0083792B" w:rsidRPr="00386CD6" w:rsidRDefault="0083792B" w:rsidP="0085651C">
      <w:pPr>
        <w:tabs>
          <w:tab w:val="left" w:pos="1843"/>
        </w:tabs>
      </w:pPr>
      <w:r w:rsidRPr="00386CD6">
        <w:noBreakHyphen/>
        <w:t xml:space="preserve"> Deuxième ligne : </w:t>
      </w:r>
      <w:r w:rsidRPr="00386CD6">
        <w:tab/>
        <w:t>Acte additionnel du 10 novembre 1972</w:t>
      </w:r>
    </w:p>
    <w:p w:rsidR="0083792B" w:rsidRPr="00386CD6" w:rsidRDefault="0083792B" w:rsidP="0085651C">
      <w:pPr>
        <w:tabs>
          <w:tab w:val="left" w:pos="1843"/>
        </w:tabs>
      </w:pPr>
      <w:r w:rsidRPr="00386CD6">
        <w:noBreakHyphen/>
        <w:t xml:space="preserve"> Troisième ligne : </w:t>
      </w:r>
      <w:r w:rsidRPr="00386CD6">
        <w:tab/>
        <w:t>Acte du 23 octobre 1978</w:t>
      </w:r>
    </w:p>
    <w:p w:rsidR="0083792B" w:rsidRPr="00386CD6" w:rsidRDefault="0083792B" w:rsidP="0085651C">
      <w:pPr>
        <w:tabs>
          <w:tab w:val="left" w:pos="1843"/>
        </w:tabs>
      </w:pPr>
      <w:r w:rsidRPr="00386CD6">
        <w:noBreakHyphen/>
        <w:t xml:space="preserve"> Quatrième ligne : </w:t>
      </w:r>
      <w:r w:rsidRPr="00386CD6">
        <w:tab/>
        <w:t>Acte du 19 mars 1991</w:t>
      </w:r>
    </w:p>
    <w:p w:rsidR="0083792B" w:rsidRPr="00386CD6" w:rsidRDefault="0083792B" w:rsidP="0085651C"/>
    <w:tbl>
      <w:tblPr>
        <w:tblW w:w="9785"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64"/>
        <w:gridCol w:w="2068"/>
        <w:gridCol w:w="2546"/>
        <w:gridCol w:w="2307"/>
      </w:tblGrid>
      <w:tr w:rsidR="0083792B" w:rsidRPr="00386CD6" w:rsidTr="0085651C">
        <w:trPr>
          <w:cantSplit/>
          <w:tblHeader/>
        </w:trPr>
        <w:tc>
          <w:tcPr>
            <w:tcW w:w="2864" w:type="dxa"/>
            <w:shd w:val="pct10" w:color="auto" w:fill="FFFFFF"/>
          </w:tcPr>
          <w:p w:rsidR="0083792B" w:rsidRPr="00386CD6" w:rsidRDefault="0083792B" w:rsidP="0085651C">
            <w:pPr>
              <w:spacing w:before="80" w:after="80"/>
              <w:jc w:val="left"/>
              <w:rPr>
                <w:rFonts w:cs="Arial"/>
                <w:sz w:val="18"/>
                <w:szCs w:val="18"/>
              </w:rPr>
            </w:pPr>
            <w:r w:rsidRPr="00386CD6">
              <w:rPr>
                <w:rFonts w:cs="Arial"/>
                <w:sz w:val="18"/>
                <w:szCs w:val="18"/>
              </w:rPr>
              <w:t>Membre</w:t>
            </w:r>
          </w:p>
        </w:tc>
        <w:tc>
          <w:tcPr>
            <w:tcW w:w="2068" w:type="dxa"/>
            <w:shd w:val="pct10" w:color="auto" w:fill="FFFFFF"/>
          </w:tcPr>
          <w:p w:rsidR="0083792B" w:rsidRPr="00386CD6" w:rsidRDefault="0083792B" w:rsidP="0085651C">
            <w:pPr>
              <w:spacing w:before="80" w:after="80"/>
              <w:jc w:val="left"/>
              <w:rPr>
                <w:rFonts w:cs="Arial"/>
                <w:sz w:val="18"/>
                <w:szCs w:val="18"/>
              </w:rPr>
            </w:pPr>
            <w:r w:rsidRPr="00386CD6">
              <w:rPr>
                <w:rFonts w:cs="Arial"/>
                <w:sz w:val="18"/>
                <w:szCs w:val="18"/>
              </w:rPr>
              <w:t>Date de signature</w:t>
            </w:r>
          </w:p>
        </w:tc>
        <w:tc>
          <w:tcPr>
            <w:tcW w:w="2546" w:type="dxa"/>
            <w:shd w:val="pct10" w:color="auto" w:fill="FFFFFF"/>
          </w:tcPr>
          <w:p w:rsidR="0083792B" w:rsidRPr="00386CD6" w:rsidRDefault="0083792B" w:rsidP="0085651C">
            <w:pPr>
              <w:spacing w:before="80" w:after="80"/>
              <w:jc w:val="left"/>
              <w:rPr>
                <w:rFonts w:cs="Arial"/>
                <w:sz w:val="18"/>
                <w:szCs w:val="18"/>
              </w:rPr>
            </w:pPr>
            <w:r w:rsidRPr="00386CD6">
              <w:rPr>
                <w:rFonts w:cs="Arial"/>
                <w:sz w:val="18"/>
                <w:szCs w:val="18"/>
              </w:rPr>
              <w:t>Date de dépôt de l’instrument de ratification, d’acceptation, d’approbation ou d’adhésion</w:t>
            </w:r>
          </w:p>
        </w:tc>
        <w:tc>
          <w:tcPr>
            <w:tcW w:w="2307" w:type="dxa"/>
            <w:shd w:val="pct10" w:color="auto" w:fill="FFFFFF"/>
          </w:tcPr>
          <w:p w:rsidR="0083792B" w:rsidRPr="00386CD6" w:rsidRDefault="0083792B" w:rsidP="0085651C">
            <w:pPr>
              <w:pStyle w:val="NormalWeb"/>
              <w:spacing w:before="80" w:beforeAutospacing="0" w:after="80" w:afterAutospacing="0"/>
              <w:rPr>
                <w:rFonts w:ascii="Arial" w:hAnsi="Arial" w:cs="Arial"/>
                <w:sz w:val="18"/>
                <w:szCs w:val="18"/>
              </w:rPr>
            </w:pPr>
            <w:r w:rsidRPr="00386CD6">
              <w:rPr>
                <w:rFonts w:ascii="Arial" w:hAnsi="Arial" w:cs="Arial"/>
                <w:sz w:val="18"/>
                <w:szCs w:val="18"/>
              </w:rPr>
              <w:t>Date d’entrée en vigueur</w:t>
            </w:r>
          </w:p>
        </w:tc>
      </w:tr>
      <w:tr w:rsidR="0083792B" w:rsidRPr="00386CD6" w:rsidTr="0085651C">
        <w:trPr>
          <w:cantSplit/>
        </w:trPr>
        <w:tc>
          <w:tcPr>
            <w:tcW w:w="2864" w:type="dxa"/>
          </w:tcPr>
          <w:p w:rsidR="0083792B" w:rsidRPr="00386CD6" w:rsidRDefault="0083792B" w:rsidP="0085651C">
            <w:pPr>
              <w:pStyle w:val="CommentText"/>
              <w:spacing w:before="80" w:after="80"/>
              <w:rPr>
                <w:rFonts w:ascii="Arial" w:hAnsi="Arial" w:cs="Arial"/>
                <w:sz w:val="18"/>
                <w:szCs w:val="18"/>
              </w:rPr>
            </w:pPr>
            <w:r w:rsidRPr="00386CD6">
              <w:rPr>
                <w:rFonts w:ascii="Arial" w:hAnsi="Arial" w:cs="Arial"/>
                <w:sz w:val="18"/>
                <w:szCs w:val="18"/>
              </w:rPr>
              <w:t>Afrique du Sud</w:t>
            </w:r>
          </w:p>
        </w:tc>
        <w:tc>
          <w:tcPr>
            <w:tcW w:w="2068" w:type="dxa"/>
          </w:tcPr>
          <w:p w:rsidR="0083792B" w:rsidRPr="00386CD6" w:rsidRDefault="0083792B" w:rsidP="0085651C">
            <w:pPr>
              <w:keepNext/>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23 octobre 1978</w:t>
            </w:r>
            <w:r w:rsidRPr="00386CD6">
              <w:rPr>
                <w:rFonts w:cs="Arial"/>
                <w:sz w:val="18"/>
                <w:szCs w:val="18"/>
              </w:rPr>
              <w:br/>
              <w:t>19 mars 1991</w:t>
            </w:r>
          </w:p>
        </w:tc>
        <w:tc>
          <w:tcPr>
            <w:tcW w:w="2546" w:type="dxa"/>
          </w:tcPr>
          <w:p w:rsidR="0083792B" w:rsidRPr="00386CD6" w:rsidRDefault="0083792B" w:rsidP="0085651C">
            <w:pPr>
              <w:keepNext/>
              <w:spacing w:before="80" w:after="80"/>
              <w:jc w:val="left"/>
              <w:rPr>
                <w:rFonts w:cs="Arial"/>
                <w:sz w:val="18"/>
                <w:szCs w:val="18"/>
              </w:rPr>
            </w:pPr>
            <w:r w:rsidRPr="00386CD6">
              <w:rPr>
                <w:rFonts w:cs="Arial"/>
                <w:sz w:val="18"/>
                <w:szCs w:val="18"/>
              </w:rPr>
              <w:t>7 octobre 1977</w:t>
            </w:r>
            <w:r w:rsidRPr="00386CD6">
              <w:rPr>
                <w:rFonts w:cs="Arial"/>
                <w:sz w:val="18"/>
                <w:szCs w:val="18"/>
              </w:rPr>
              <w:br/>
              <w:t>7 octobre 1977</w:t>
            </w:r>
            <w:r w:rsidRPr="00386CD6">
              <w:rPr>
                <w:rFonts w:cs="Arial"/>
                <w:sz w:val="18"/>
                <w:szCs w:val="18"/>
              </w:rPr>
              <w:br/>
              <w:t>21 juillet 1981</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keepNext/>
              <w:spacing w:before="80" w:after="80"/>
              <w:jc w:val="left"/>
              <w:rPr>
                <w:rFonts w:cs="Arial"/>
                <w:sz w:val="18"/>
                <w:szCs w:val="18"/>
              </w:rPr>
            </w:pPr>
            <w:r w:rsidRPr="00386CD6">
              <w:rPr>
                <w:rFonts w:cs="Arial"/>
                <w:sz w:val="18"/>
                <w:szCs w:val="18"/>
              </w:rPr>
              <w:t>6 novembre 1977</w:t>
            </w:r>
            <w:r w:rsidRPr="00386CD6">
              <w:rPr>
                <w:rFonts w:cs="Arial"/>
                <w:sz w:val="18"/>
                <w:szCs w:val="18"/>
              </w:rPr>
              <w:br/>
              <w:t>6 novembre 1977</w:t>
            </w:r>
            <w:r w:rsidRPr="00386CD6">
              <w:rPr>
                <w:rFonts w:cs="Arial"/>
                <w:sz w:val="18"/>
                <w:szCs w:val="18"/>
              </w:rPr>
              <w:br/>
              <w:t>8 novembre 1981</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Albanie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15 septembre 2005</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15 octobre 2005</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Allemagne</w:t>
            </w:r>
          </w:p>
        </w:tc>
        <w:tc>
          <w:tcPr>
            <w:tcW w:w="2068" w:type="dxa"/>
          </w:tcPr>
          <w:p w:rsidR="0083792B" w:rsidRPr="00386CD6" w:rsidRDefault="0083792B" w:rsidP="0085651C">
            <w:pPr>
              <w:pStyle w:val="NormalWeb"/>
              <w:rPr>
                <w:rFonts w:ascii="Arial" w:hAnsi="Arial" w:cs="Arial"/>
                <w:sz w:val="18"/>
                <w:szCs w:val="18"/>
              </w:rPr>
            </w:pPr>
            <w:r w:rsidRPr="00386CD6">
              <w:rPr>
                <w:rFonts w:ascii="Arial" w:hAnsi="Arial" w:cs="Arial"/>
                <w:sz w:val="18"/>
                <w:szCs w:val="18"/>
              </w:rPr>
              <w:t>2 décembre 1961</w:t>
            </w:r>
            <w:r w:rsidRPr="00386CD6">
              <w:rPr>
                <w:rFonts w:ascii="Arial" w:hAnsi="Arial" w:cs="Arial"/>
                <w:sz w:val="18"/>
                <w:szCs w:val="18"/>
              </w:rPr>
              <w:br/>
              <w:t>10 novembre 1972</w:t>
            </w:r>
            <w:r w:rsidRPr="00386CD6">
              <w:rPr>
                <w:rFonts w:ascii="Arial" w:hAnsi="Arial" w:cs="Arial"/>
                <w:sz w:val="18"/>
                <w:szCs w:val="18"/>
              </w:rPr>
              <w:br/>
              <w:t>23 octobre 1978</w:t>
            </w:r>
            <w:r w:rsidRPr="00386CD6">
              <w:rPr>
                <w:rFonts w:ascii="Arial" w:hAnsi="Arial" w:cs="Arial"/>
                <w:sz w:val="18"/>
                <w:szCs w:val="18"/>
              </w:rPr>
              <w:br/>
              <w:t>19 mars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11 juillet 1968</w:t>
            </w:r>
            <w:r w:rsidRPr="00386CD6">
              <w:rPr>
                <w:rFonts w:cs="Arial"/>
                <w:sz w:val="18"/>
                <w:szCs w:val="18"/>
              </w:rPr>
              <w:br/>
              <w:t>23 juillet 1976</w:t>
            </w:r>
            <w:r w:rsidRPr="00386CD6">
              <w:rPr>
                <w:rFonts w:cs="Arial"/>
                <w:sz w:val="18"/>
                <w:szCs w:val="18"/>
              </w:rPr>
              <w:br/>
              <w:t>12 mars 1986</w:t>
            </w:r>
            <w:r w:rsidRPr="00386CD6">
              <w:rPr>
                <w:rFonts w:cs="Arial"/>
                <w:sz w:val="18"/>
                <w:szCs w:val="18"/>
              </w:rPr>
              <w:br/>
              <w:t>25 juin 1998</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t>10 août 1968</w:t>
            </w:r>
            <w:r w:rsidRPr="00386CD6">
              <w:rPr>
                <w:rFonts w:cs="Arial"/>
                <w:sz w:val="18"/>
                <w:szCs w:val="18"/>
              </w:rPr>
              <w:br/>
              <w:t>11 février 1977</w:t>
            </w:r>
            <w:r w:rsidRPr="00386CD6">
              <w:rPr>
                <w:rFonts w:cs="Arial"/>
                <w:sz w:val="18"/>
                <w:szCs w:val="18"/>
              </w:rPr>
              <w:br/>
              <w:t>12 avril 1986</w:t>
            </w:r>
            <w:r w:rsidRPr="00386CD6">
              <w:rPr>
                <w:rFonts w:cs="Arial"/>
                <w:sz w:val="18"/>
                <w:szCs w:val="18"/>
              </w:rPr>
              <w:br/>
              <w:t>25 juillet 1998</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Argentine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25 novembre 1994</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25 décembre 1994</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Australie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w:t>
            </w:r>
            <w:r w:rsidRPr="00386CD6">
              <w:rPr>
                <w:rFonts w:cs="Arial"/>
                <w:sz w:val="18"/>
                <w:szCs w:val="18"/>
                <w:vertAlign w:val="superscript"/>
              </w:rPr>
              <w:t>er</w:t>
            </w:r>
            <w:r w:rsidRPr="00386CD6">
              <w:rPr>
                <w:rFonts w:cs="Arial"/>
                <w:sz w:val="18"/>
                <w:szCs w:val="18"/>
              </w:rPr>
              <w:t> février 1989</w:t>
            </w:r>
          </w:p>
          <w:p w:rsidR="0083792B" w:rsidRPr="00386CD6" w:rsidRDefault="0083792B" w:rsidP="0085651C">
            <w:pPr>
              <w:jc w:val="left"/>
              <w:rPr>
                <w:rFonts w:cs="Arial"/>
                <w:sz w:val="18"/>
                <w:szCs w:val="18"/>
              </w:rPr>
            </w:pPr>
            <w:r w:rsidRPr="00386CD6">
              <w:rPr>
                <w:rFonts w:cs="Arial"/>
                <w:sz w:val="18"/>
                <w:szCs w:val="18"/>
              </w:rPr>
              <w:t>20 décembre 1999</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w:t>
            </w:r>
            <w:r w:rsidRPr="00386CD6">
              <w:rPr>
                <w:rFonts w:cs="Arial"/>
                <w:sz w:val="18"/>
                <w:szCs w:val="18"/>
                <w:vertAlign w:val="superscript"/>
              </w:rPr>
              <w:t>er</w:t>
            </w:r>
            <w:r w:rsidRPr="00386CD6">
              <w:rPr>
                <w:rFonts w:cs="Arial"/>
                <w:sz w:val="18"/>
                <w:szCs w:val="18"/>
              </w:rPr>
              <w:t> mars 1989</w:t>
            </w:r>
            <w:r w:rsidRPr="00386CD6">
              <w:rPr>
                <w:rFonts w:cs="Arial"/>
                <w:sz w:val="18"/>
                <w:szCs w:val="18"/>
              </w:rPr>
              <w:br/>
              <w:t>20 janvier 2000</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Autriche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14 juin 1994</w:t>
            </w:r>
            <w:r w:rsidRPr="00386CD6">
              <w:rPr>
                <w:rFonts w:cs="Arial"/>
                <w:sz w:val="18"/>
                <w:szCs w:val="18"/>
              </w:rPr>
              <w:br/>
              <w:t>1</w:t>
            </w:r>
            <w:r w:rsidRPr="00386CD6">
              <w:rPr>
                <w:rFonts w:cs="Arial"/>
                <w:sz w:val="18"/>
                <w:szCs w:val="18"/>
                <w:vertAlign w:val="superscript"/>
              </w:rPr>
              <w:t>er</w:t>
            </w:r>
            <w:r w:rsidRPr="00386CD6">
              <w:rPr>
                <w:rFonts w:cs="Arial"/>
                <w:sz w:val="18"/>
                <w:szCs w:val="18"/>
              </w:rPr>
              <w:t> juin 2004</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14 juillet 1994</w:t>
            </w:r>
            <w:r w:rsidRPr="00386CD6">
              <w:rPr>
                <w:rFonts w:cs="Arial"/>
                <w:sz w:val="18"/>
                <w:szCs w:val="18"/>
              </w:rPr>
              <w:br/>
              <w:t>1</w:t>
            </w:r>
            <w:r w:rsidRPr="00386CD6">
              <w:rPr>
                <w:rFonts w:cs="Arial"/>
                <w:sz w:val="18"/>
                <w:szCs w:val="18"/>
                <w:vertAlign w:val="superscript"/>
              </w:rPr>
              <w:t>er</w:t>
            </w:r>
            <w:r w:rsidRPr="00386CD6">
              <w:rPr>
                <w:rFonts w:cs="Arial"/>
                <w:sz w:val="18"/>
                <w:szCs w:val="18"/>
              </w:rPr>
              <w:t> juillet 2004</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Azerbaïdjan</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9 novembre 2004</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9 décembre 2004</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Bélarus</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5 décembre 2002</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5 janvier 2003</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Belgique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t>2 décembre 1961</w:t>
            </w:r>
            <w:r w:rsidRPr="00386CD6">
              <w:rPr>
                <w:rFonts w:cs="Arial"/>
                <w:sz w:val="18"/>
                <w:szCs w:val="18"/>
              </w:rPr>
              <w:br/>
              <w:t>10 novembre 1972</w:t>
            </w:r>
            <w:r w:rsidRPr="00386CD6">
              <w:rPr>
                <w:rFonts w:cs="Arial"/>
                <w:sz w:val="18"/>
                <w:szCs w:val="18"/>
              </w:rPr>
              <w:br/>
              <w:t>23 octobre 1978</w:t>
            </w:r>
            <w:r w:rsidRPr="00386CD6">
              <w:rPr>
                <w:rFonts w:cs="Arial"/>
                <w:sz w:val="18"/>
                <w:szCs w:val="18"/>
              </w:rPr>
              <w:br/>
              <w:t>19 mars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5 novembre 1976</w:t>
            </w:r>
            <w:r w:rsidRPr="00386CD6">
              <w:rPr>
                <w:rFonts w:cs="Arial"/>
                <w:sz w:val="18"/>
                <w:szCs w:val="18"/>
              </w:rPr>
              <w:br/>
              <w:t>5 novembre 1976</w:t>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t>5 décembre 1976</w:t>
            </w:r>
            <w:r w:rsidRPr="00386CD6">
              <w:rPr>
                <w:rFonts w:cs="Arial"/>
                <w:sz w:val="18"/>
                <w:szCs w:val="18"/>
              </w:rPr>
              <w:br/>
              <w:t>11 février 1977</w:t>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Bolivie (État plurinational de)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21 avril 1999</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21 mai 1999</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Brésil</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23 avril 1999</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23 mai 1999</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Bulgarie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24 mars 1998</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24 avril 1998</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Canada</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31 octobre 1979</w:t>
            </w:r>
            <w:r w:rsidRPr="00386CD6">
              <w:rPr>
                <w:rFonts w:cs="Arial"/>
                <w:sz w:val="18"/>
                <w:szCs w:val="18"/>
              </w:rPr>
              <w:br/>
              <w:t>9 mars 1992</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4 février 1991</w:t>
            </w:r>
            <w:r w:rsidRPr="00386CD6">
              <w:rPr>
                <w:rFonts w:cs="Arial"/>
                <w:sz w:val="18"/>
                <w:szCs w:val="18"/>
              </w:rPr>
              <w:br/>
              <w:t>19 juin 2015</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4 mars 1991</w:t>
            </w:r>
            <w:r w:rsidRPr="00386CD6">
              <w:rPr>
                <w:rFonts w:cs="Arial"/>
                <w:sz w:val="18"/>
                <w:szCs w:val="18"/>
              </w:rPr>
              <w:br/>
              <w:t>19 juillet 2015</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Chili</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5 décembre 1995</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5 janvier 1996</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Chine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23 mars 1999</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23 avril 1999</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pStyle w:val="CommentText"/>
              <w:spacing w:before="80" w:after="80"/>
              <w:rPr>
                <w:rFonts w:ascii="Arial" w:hAnsi="Arial" w:cs="Arial"/>
                <w:sz w:val="18"/>
                <w:szCs w:val="18"/>
              </w:rPr>
            </w:pPr>
            <w:r w:rsidRPr="00386CD6">
              <w:rPr>
                <w:rFonts w:ascii="Arial" w:hAnsi="Arial" w:cs="Arial"/>
                <w:sz w:val="18"/>
                <w:szCs w:val="18"/>
              </w:rPr>
              <w:t>Colombie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13 août 1996</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13 septembre 1996</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Costa Rica</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12 décembre 2008</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12 janvier 2009</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Croatie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w:t>
            </w:r>
            <w:r w:rsidRPr="00386CD6">
              <w:rPr>
                <w:rFonts w:cs="Arial"/>
                <w:sz w:val="18"/>
                <w:szCs w:val="18"/>
                <w:vertAlign w:val="superscript"/>
              </w:rPr>
              <w:t>er</w:t>
            </w:r>
            <w:r w:rsidRPr="00386CD6">
              <w:rPr>
                <w:rFonts w:cs="Arial"/>
                <w:sz w:val="18"/>
                <w:szCs w:val="18"/>
              </w:rPr>
              <w:t> août 2001</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w:t>
            </w:r>
            <w:r w:rsidRPr="00386CD6">
              <w:rPr>
                <w:rFonts w:cs="Arial"/>
                <w:sz w:val="18"/>
                <w:szCs w:val="18"/>
                <w:vertAlign w:val="superscript"/>
              </w:rPr>
              <w:t>er</w:t>
            </w:r>
            <w:r w:rsidRPr="00386CD6">
              <w:rPr>
                <w:rFonts w:cs="Arial"/>
                <w:sz w:val="18"/>
                <w:szCs w:val="18"/>
              </w:rPr>
              <w:t> septembre 2001</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Danemark</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t>26 novembre 1962</w:t>
            </w:r>
            <w:r w:rsidRPr="00386CD6">
              <w:rPr>
                <w:rFonts w:cs="Arial"/>
                <w:sz w:val="18"/>
                <w:szCs w:val="18"/>
              </w:rPr>
              <w:br/>
              <w:t>10 novembre 1972</w:t>
            </w:r>
            <w:r w:rsidRPr="00386CD6">
              <w:rPr>
                <w:rFonts w:cs="Arial"/>
                <w:sz w:val="18"/>
                <w:szCs w:val="18"/>
              </w:rPr>
              <w:br/>
              <w:t>23 octobre 1978</w:t>
            </w:r>
            <w:r w:rsidRPr="00386CD6">
              <w:rPr>
                <w:rFonts w:cs="Arial"/>
                <w:sz w:val="18"/>
                <w:szCs w:val="18"/>
              </w:rPr>
              <w:br/>
              <w:t>19 mars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6 septembre 1968</w:t>
            </w:r>
            <w:r w:rsidRPr="00386CD6">
              <w:rPr>
                <w:rFonts w:cs="Arial"/>
                <w:sz w:val="18"/>
                <w:szCs w:val="18"/>
              </w:rPr>
              <w:br/>
              <w:t>8 février 1974</w:t>
            </w:r>
            <w:r w:rsidRPr="00386CD6">
              <w:rPr>
                <w:rFonts w:cs="Arial"/>
                <w:sz w:val="18"/>
                <w:szCs w:val="18"/>
              </w:rPr>
              <w:br/>
              <w:t>8 octobre 1981</w:t>
            </w:r>
            <w:r w:rsidRPr="00386CD6">
              <w:rPr>
                <w:rFonts w:cs="Arial"/>
                <w:sz w:val="18"/>
                <w:szCs w:val="18"/>
              </w:rPr>
              <w:br/>
              <w:t>26 avril 1996</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t>6 octobre 1968</w:t>
            </w:r>
            <w:r w:rsidRPr="00386CD6">
              <w:rPr>
                <w:rFonts w:cs="Arial"/>
                <w:sz w:val="18"/>
                <w:szCs w:val="18"/>
              </w:rPr>
              <w:br/>
              <w:t>11 février 1977</w:t>
            </w:r>
            <w:r w:rsidRPr="00386CD6">
              <w:rPr>
                <w:rFonts w:cs="Arial"/>
                <w:sz w:val="18"/>
                <w:szCs w:val="18"/>
              </w:rPr>
              <w:br/>
              <w:t>8 novembre 1981</w:t>
            </w:r>
            <w:r w:rsidRPr="00386CD6">
              <w:rPr>
                <w:rFonts w:cs="Arial"/>
                <w:sz w:val="18"/>
                <w:szCs w:val="18"/>
              </w:rPr>
              <w:br/>
              <w:t>24 avril 1998</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Équateur</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8 juillet 1997</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8 août 1997</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Espagne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19 mars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18 avril 1980</w:t>
            </w:r>
            <w:r w:rsidRPr="00386CD6">
              <w:rPr>
                <w:rFonts w:cs="Arial"/>
                <w:sz w:val="18"/>
                <w:szCs w:val="18"/>
              </w:rPr>
              <w:br/>
              <w:t>18 avril 1980</w:t>
            </w:r>
            <w:r w:rsidRPr="00386CD6">
              <w:rPr>
                <w:rFonts w:cs="Arial"/>
                <w:sz w:val="18"/>
                <w:szCs w:val="18"/>
              </w:rPr>
              <w:br/>
            </w:r>
            <w:r w:rsidRPr="00386CD6">
              <w:rPr>
                <w:rFonts w:cs="Arial"/>
                <w:sz w:val="18"/>
                <w:szCs w:val="18"/>
              </w:rPr>
              <w:noBreakHyphen/>
            </w:r>
            <w:r w:rsidRPr="00386CD6">
              <w:rPr>
                <w:rFonts w:cs="Arial"/>
                <w:sz w:val="18"/>
                <w:szCs w:val="18"/>
              </w:rPr>
              <w:br/>
              <w:t>18 juin 2007</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t>18 mai 1980</w:t>
            </w:r>
            <w:r w:rsidRPr="00386CD6">
              <w:rPr>
                <w:rFonts w:cs="Arial"/>
                <w:sz w:val="18"/>
                <w:szCs w:val="18"/>
              </w:rPr>
              <w:br/>
              <w:t>18 mai 1980</w:t>
            </w:r>
            <w:r w:rsidRPr="00386CD6">
              <w:rPr>
                <w:rFonts w:cs="Arial"/>
                <w:sz w:val="18"/>
                <w:szCs w:val="18"/>
              </w:rPr>
              <w:br/>
            </w:r>
            <w:r w:rsidRPr="00386CD6">
              <w:rPr>
                <w:rFonts w:cs="Arial"/>
                <w:sz w:val="18"/>
                <w:szCs w:val="18"/>
              </w:rPr>
              <w:noBreakHyphen/>
            </w:r>
            <w:r w:rsidRPr="00386CD6">
              <w:rPr>
                <w:rFonts w:cs="Arial"/>
                <w:sz w:val="18"/>
                <w:szCs w:val="18"/>
              </w:rPr>
              <w:br/>
              <w:t>18 juillet 2007</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Estonie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24 août 2000</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24 septembre 2000</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États</w:t>
            </w:r>
            <w:r w:rsidRPr="00386CD6">
              <w:rPr>
                <w:rFonts w:cs="Arial"/>
                <w:sz w:val="18"/>
                <w:szCs w:val="18"/>
              </w:rPr>
              <w:noBreakHyphen/>
              <w:t>Unis d’Amérique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23 octobre 1978</w:t>
            </w:r>
            <w:r w:rsidRPr="00386CD6">
              <w:rPr>
                <w:rFonts w:cs="Arial"/>
                <w:sz w:val="18"/>
                <w:szCs w:val="18"/>
              </w:rPr>
              <w:br/>
              <w:t>25 octobre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12 novembre 1980</w:t>
            </w:r>
            <w:r w:rsidRPr="00386CD6">
              <w:rPr>
                <w:rFonts w:cs="Arial"/>
                <w:sz w:val="18"/>
                <w:szCs w:val="18"/>
              </w:rPr>
              <w:br/>
              <w:t>22 janvier 1999</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8 novembre 1981</w:t>
            </w:r>
            <w:r w:rsidRPr="00386CD6">
              <w:rPr>
                <w:rFonts w:cs="Arial"/>
                <w:sz w:val="18"/>
                <w:szCs w:val="18"/>
              </w:rPr>
              <w:br/>
              <w:t>22 février 1999</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Ex</w:t>
            </w:r>
            <w:r w:rsidRPr="00386CD6">
              <w:rPr>
                <w:rFonts w:cs="Arial"/>
                <w:sz w:val="18"/>
                <w:szCs w:val="18"/>
              </w:rPr>
              <w:noBreakHyphen/>
              <w:t>République yougoslave de Macédoine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4 avril 2011</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4 mai 2011</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kern w:val="2"/>
                <w:sz w:val="18"/>
                <w:szCs w:val="18"/>
              </w:rPr>
              <w:t>Fédération de Russie</w:t>
            </w:r>
          </w:p>
        </w:tc>
        <w:tc>
          <w:tcPr>
            <w:tcW w:w="2068" w:type="dxa"/>
          </w:tcPr>
          <w:p w:rsidR="0083792B" w:rsidRPr="00386CD6" w:rsidRDefault="0083792B" w:rsidP="0085651C">
            <w:pPr>
              <w:spacing w:before="80" w:after="80"/>
              <w:jc w:val="left"/>
              <w:rPr>
                <w:rFonts w:cs="Arial"/>
                <w:sz w:val="18"/>
                <w:szCs w:val="18"/>
              </w:rPr>
            </w:pP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r w:rsidRPr="00386CD6">
              <w:rPr>
                <w:rFonts w:cs="Arial"/>
                <w:kern w:val="2"/>
                <w:sz w:val="18"/>
                <w:szCs w:val="18"/>
              </w:rPr>
              <w:br/>
              <w:t>24 mars 1998</w:t>
            </w:r>
          </w:p>
        </w:tc>
        <w:tc>
          <w:tcPr>
            <w:tcW w:w="2307" w:type="dxa"/>
          </w:tcPr>
          <w:p w:rsidR="0083792B" w:rsidRPr="00386CD6" w:rsidRDefault="0083792B" w:rsidP="0085651C">
            <w:pPr>
              <w:spacing w:before="80" w:after="80"/>
              <w:jc w:val="left"/>
              <w:rPr>
                <w:rFonts w:cs="Arial"/>
                <w:sz w:val="18"/>
                <w:szCs w:val="18"/>
              </w:rPr>
            </w:pP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r w:rsidRPr="00386CD6">
              <w:rPr>
                <w:rFonts w:cs="Arial"/>
                <w:kern w:val="2"/>
                <w:sz w:val="18"/>
                <w:szCs w:val="18"/>
              </w:rPr>
              <w:br/>
              <w:t>24 avril 1998</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Finlande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16 mars 1993</w:t>
            </w:r>
            <w:r w:rsidRPr="00386CD6">
              <w:rPr>
                <w:rFonts w:cs="Arial"/>
                <w:sz w:val="18"/>
                <w:szCs w:val="18"/>
              </w:rPr>
              <w:br/>
              <w:t>20 juin 2001</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16 avril 1993</w:t>
            </w:r>
            <w:r w:rsidRPr="00386CD6">
              <w:rPr>
                <w:rFonts w:cs="Arial"/>
                <w:sz w:val="18"/>
                <w:szCs w:val="18"/>
              </w:rPr>
              <w:br/>
              <w:t>20 juillet 2001</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France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t>2 décembre 1961</w:t>
            </w:r>
            <w:r w:rsidRPr="00386CD6">
              <w:rPr>
                <w:rFonts w:cs="Arial"/>
                <w:sz w:val="18"/>
                <w:szCs w:val="18"/>
              </w:rPr>
              <w:br/>
              <w:t>10 novembre 1972</w:t>
            </w:r>
            <w:r w:rsidRPr="00386CD6">
              <w:rPr>
                <w:rFonts w:cs="Arial"/>
                <w:sz w:val="18"/>
                <w:szCs w:val="18"/>
              </w:rPr>
              <w:br/>
              <w:t>23 octobre 1978</w:t>
            </w:r>
            <w:r w:rsidRPr="00386CD6">
              <w:rPr>
                <w:rFonts w:cs="Arial"/>
                <w:sz w:val="18"/>
                <w:szCs w:val="18"/>
              </w:rPr>
              <w:br/>
              <w:t>19 mars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3 septembre 1971</w:t>
            </w:r>
            <w:r w:rsidRPr="00386CD6">
              <w:rPr>
                <w:rFonts w:cs="Arial"/>
                <w:sz w:val="18"/>
                <w:szCs w:val="18"/>
              </w:rPr>
              <w:br/>
              <w:t>22 janvier 1975</w:t>
            </w:r>
            <w:r w:rsidRPr="00386CD6">
              <w:rPr>
                <w:rFonts w:cs="Arial"/>
                <w:sz w:val="18"/>
                <w:szCs w:val="18"/>
              </w:rPr>
              <w:br/>
              <w:t>17 février 1983</w:t>
            </w:r>
            <w:r w:rsidRPr="00386CD6">
              <w:rPr>
                <w:rFonts w:cs="Arial"/>
                <w:sz w:val="18"/>
                <w:szCs w:val="18"/>
              </w:rPr>
              <w:br/>
              <w:t>27 avril 2012</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t>3 octobre 1971</w:t>
            </w:r>
            <w:r w:rsidRPr="00386CD6">
              <w:rPr>
                <w:rFonts w:cs="Arial"/>
                <w:sz w:val="18"/>
                <w:szCs w:val="18"/>
              </w:rPr>
              <w:br/>
              <w:t>11 février 1977</w:t>
            </w:r>
            <w:r w:rsidRPr="00386CD6">
              <w:rPr>
                <w:rFonts w:cs="Arial"/>
                <w:sz w:val="18"/>
                <w:szCs w:val="18"/>
              </w:rPr>
              <w:br/>
              <w:t>17 mars 1983</w:t>
            </w:r>
            <w:r w:rsidRPr="00386CD6">
              <w:rPr>
                <w:rFonts w:cs="Arial"/>
                <w:sz w:val="18"/>
                <w:szCs w:val="18"/>
              </w:rPr>
              <w:br/>
              <w:t>27 mai 2012</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Géorgie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29 octobre 2008</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29 novembre 2008</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Hongrie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16 mars 1983</w:t>
            </w:r>
            <w:r w:rsidRPr="00386CD6">
              <w:rPr>
                <w:rFonts w:cs="Arial"/>
                <w:sz w:val="18"/>
                <w:szCs w:val="18"/>
              </w:rPr>
              <w:br/>
              <w:t>1</w:t>
            </w:r>
            <w:r w:rsidRPr="00386CD6">
              <w:rPr>
                <w:rFonts w:cs="Arial"/>
                <w:sz w:val="18"/>
                <w:szCs w:val="18"/>
                <w:vertAlign w:val="superscript"/>
              </w:rPr>
              <w:t>er</w:t>
            </w:r>
            <w:r w:rsidRPr="00386CD6">
              <w:rPr>
                <w:rFonts w:cs="Arial"/>
                <w:sz w:val="18"/>
                <w:szCs w:val="18"/>
              </w:rPr>
              <w:t> décembre 2002</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16 avril 1983</w:t>
            </w:r>
            <w:r w:rsidRPr="00386CD6">
              <w:rPr>
                <w:rFonts w:cs="Arial"/>
                <w:sz w:val="18"/>
                <w:szCs w:val="18"/>
              </w:rPr>
              <w:br/>
              <w:t>1</w:t>
            </w:r>
            <w:r w:rsidRPr="00386CD6">
              <w:rPr>
                <w:rFonts w:cs="Arial"/>
                <w:sz w:val="18"/>
                <w:szCs w:val="18"/>
                <w:vertAlign w:val="superscript"/>
              </w:rPr>
              <w:t>er</w:t>
            </w:r>
            <w:r w:rsidRPr="00386CD6">
              <w:rPr>
                <w:rFonts w:cs="Arial"/>
                <w:sz w:val="18"/>
                <w:szCs w:val="18"/>
              </w:rPr>
              <w:t> janvier 2003</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Irlande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27 septembre 1979</w:t>
            </w:r>
            <w:r w:rsidRPr="00386CD6">
              <w:rPr>
                <w:rFonts w:cs="Arial"/>
                <w:sz w:val="18"/>
                <w:szCs w:val="18"/>
              </w:rPr>
              <w:br/>
              <w:t>21 février 1992</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19 mai 1981</w:t>
            </w:r>
            <w:r w:rsidRPr="00386CD6">
              <w:rPr>
                <w:rFonts w:cs="Arial"/>
                <w:sz w:val="18"/>
                <w:szCs w:val="18"/>
              </w:rPr>
              <w:br/>
              <w:t>8 décembre 2011</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8 novembre 1981</w:t>
            </w:r>
            <w:r w:rsidRPr="00386CD6">
              <w:rPr>
                <w:rFonts w:cs="Arial"/>
                <w:sz w:val="18"/>
                <w:szCs w:val="18"/>
              </w:rPr>
              <w:br/>
              <w:t>8 janvier 2012</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Islande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 avril 2006</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 mai 2006</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Israël</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23 octobre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12 novembre 1979</w:t>
            </w:r>
            <w:r w:rsidRPr="00386CD6">
              <w:rPr>
                <w:rFonts w:cs="Arial"/>
                <w:sz w:val="18"/>
                <w:szCs w:val="18"/>
              </w:rPr>
              <w:br/>
              <w:t>12 novembre 1979</w:t>
            </w:r>
            <w:r w:rsidRPr="00386CD6">
              <w:rPr>
                <w:rFonts w:cs="Arial"/>
                <w:sz w:val="18"/>
                <w:szCs w:val="18"/>
              </w:rPr>
              <w:br/>
              <w:t>12 avril 1984</w:t>
            </w:r>
            <w:r w:rsidRPr="00386CD6">
              <w:rPr>
                <w:rFonts w:cs="Arial"/>
                <w:sz w:val="18"/>
                <w:szCs w:val="18"/>
              </w:rPr>
              <w:br/>
              <w:t>3 juin 1996</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t>12 décembre 1979</w:t>
            </w:r>
            <w:r w:rsidRPr="00386CD6">
              <w:rPr>
                <w:rFonts w:cs="Arial"/>
                <w:sz w:val="18"/>
                <w:szCs w:val="18"/>
              </w:rPr>
              <w:br/>
              <w:t>12 décembre 1979</w:t>
            </w:r>
            <w:r w:rsidRPr="00386CD6">
              <w:rPr>
                <w:rFonts w:cs="Arial"/>
                <w:sz w:val="18"/>
                <w:szCs w:val="18"/>
              </w:rPr>
              <w:br/>
              <w:t>12 mai 1984</w:t>
            </w:r>
            <w:r w:rsidRPr="00386CD6">
              <w:rPr>
                <w:rFonts w:cs="Arial"/>
                <w:sz w:val="18"/>
                <w:szCs w:val="18"/>
              </w:rPr>
              <w:br/>
              <w:t>24 avril 1998</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Italie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t>2 décembre 1961</w:t>
            </w:r>
            <w:r w:rsidRPr="00386CD6">
              <w:rPr>
                <w:rFonts w:cs="Arial"/>
                <w:sz w:val="18"/>
                <w:szCs w:val="18"/>
              </w:rPr>
              <w:br/>
              <w:t>10 novembre 1972</w:t>
            </w:r>
            <w:r w:rsidRPr="00386CD6">
              <w:rPr>
                <w:rFonts w:cs="Arial"/>
                <w:sz w:val="18"/>
                <w:szCs w:val="18"/>
              </w:rPr>
              <w:br/>
              <w:t>23 octobre 1978</w:t>
            </w:r>
            <w:r w:rsidRPr="00386CD6">
              <w:rPr>
                <w:rFonts w:cs="Arial"/>
                <w:sz w:val="18"/>
                <w:szCs w:val="18"/>
              </w:rPr>
              <w:br/>
              <w:t>19 mars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1</w:t>
            </w:r>
            <w:r w:rsidRPr="00386CD6">
              <w:rPr>
                <w:rFonts w:cs="Arial"/>
                <w:sz w:val="18"/>
                <w:szCs w:val="18"/>
                <w:vertAlign w:val="superscript"/>
              </w:rPr>
              <w:t>er</w:t>
            </w:r>
            <w:r w:rsidRPr="00386CD6">
              <w:rPr>
                <w:rFonts w:cs="Arial"/>
                <w:sz w:val="18"/>
                <w:szCs w:val="18"/>
              </w:rPr>
              <w:t> juin 1977</w:t>
            </w:r>
            <w:r w:rsidRPr="00386CD6">
              <w:rPr>
                <w:rFonts w:cs="Arial"/>
                <w:sz w:val="18"/>
                <w:szCs w:val="18"/>
              </w:rPr>
              <w:br/>
              <w:t>1</w:t>
            </w:r>
            <w:r w:rsidRPr="00386CD6">
              <w:rPr>
                <w:rFonts w:cs="Arial"/>
                <w:sz w:val="18"/>
                <w:szCs w:val="18"/>
                <w:vertAlign w:val="superscript"/>
              </w:rPr>
              <w:t>er</w:t>
            </w:r>
            <w:r w:rsidRPr="00386CD6">
              <w:rPr>
                <w:rFonts w:cs="Arial"/>
                <w:sz w:val="18"/>
                <w:szCs w:val="18"/>
              </w:rPr>
              <w:t> juin 1977</w:t>
            </w:r>
            <w:r w:rsidRPr="00386CD6">
              <w:rPr>
                <w:rFonts w:cs="Arial"/>
                <w:sz w:val="18"/>
                <w:szCs w:val="18"/>
              </w:rPr>
              <w:br/>
              <w:t>28 avril 1986</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t>1</w:t>
            </w:r>
            <w:r w:rsidRPr="00386CD6">
              <w:rPr>
                <w:rFonts w:cs="Arial"/>
                <w:sz w:val="18"/>
                <w:szCs w:val="18"/>
                <w:vertAlign w:val="superscript"/>
              </w:rPr>
              <w:t>er</w:t>
            </w:r>
            <w:r w:rsidRPr="00386CD6">
              <w:rPr>
                <w:rFonts w:cs="Arial"/>
                <w:sz w:val="18"/>
                <w:szCs w:val="18"/>
              </w:rPr>
              <w:t> juillet 1977</w:t>
            </w:r>
            <w:r w:rsidRPr="00386CD6">
              <w:rPr>
                <w:rFonts w:cs="Arial"/>
                <w:sz w:val="18"/>
                <w:szCs w:val="18"/>
              </w:rPr>
              <w:br/>
              <w:t>1</w:t>
            </w:r>
            <w:r w:rsidRPr="00386CD6">
              <w:rPr>
                <w:rFonts w:cs="Arial"/>
                <w:sz w:val="18"/>
                <w:szCs w:val="18"/>
                <w:vertAlign w:val="superscript"/>
              </w:rPr>
              <w:t>er</w:t>
            </w:r>
            <w:r w:rsidRPr="00386CD6">
              <w:rPr>
                <w:rFonts w:cs="Arial"/>
                <w:sz w:val="18"/>
                <w:szCs w:val="18"/>
              </w:rPr>
              <w:t> juillet 1977</w:t>
            </w:r>
            <w:r w:rsidRPr="00386CD6">
              <w:rPr>
                <w:rFonts w:cs="Arial"/>
                <w:sz w:val="18"/>
                <w:szCs w:val="18"/>
              </w:rPr>
              <w:br/>
              <w:t>28 mai 1986</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Japon</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17 octobre 1979</w:t>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 août 1982</w:t>
            </w:r>
            <w:r w:rsidRPr="00386CD6">
              <w:rPr>
                <w:rFonts w:cs="Arial"/>
                <w:sz w:val="18"/>
                <w:szCs w:val="18"/>
              </w:rPr>
              <w:br/>
              <w:t>24 novembre 1998</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 septembre 1982</w:t>
            </w:r>
            <w:r w:rsidRPr="00386CD6">
              <w:rPr>
                <w:rFonts w:cs="Arial"/>
                <w:sz w:val="18"/>
                <w:szCs w:val="18"/>
              </w:rPr>
              <w:br/>
              <w:t>24 décembre 1998</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Jordanie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24 septembre 2004</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24 octobre 2004</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Kenya</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13 avril 1999</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13 mai 1999</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Kirghizistan</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26 mai 2000</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26 juin 2000</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Lettonie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30 juillet 2002</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30 août 2002</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Lituanie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10 novembre 2003</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10 décembre 2003</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Maroc</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8 septembre 2006</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8 octobre 2006</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Mexique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25 juillet 1979</w:t>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9 juillet 1997</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9 août 1997</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Monténégro</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w:t>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24 août 2015</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24 septembre 2015</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Nicaragua</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6 août 2001</w:t>
            </w:r>
            <w:r w:rsidRPr="00386CD6">
              <w:rPr>
                <w:rFonts w:cs="Arial"/>
                <w:sz w:val="18"/>
                <w:szCs w:val="18"/>
              </w:rPr>
              <w:tab/>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6 septembre 2001</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Norvège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13 août 1993</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13 septembre 1993</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Nouvelle</w:t>
            </w:r>
            <w:r w:rsidRPr="00386CD6">
              <w:rPr>
                <w:rFonts w:cs="Arial"/>
                <w:sz w:val="18"/>
                <w:szCs w:val="18"/>
              </w:rPr>
              <w:noBreakHyphen/>
              <w:t>Zélande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25 juillet 1979</w:t>
            </w:r>
            <w:r w:rsidRPr="00386CD6">
              <w:rPr>
                <w:rFonts w:cs="Arial"/>
                <w:sz w:val="18"/>
                <w:szCs w:val="18"/>
              </w:rPr>
              <w:br/>
              <w:t>19 décembre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 novembre 1980</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8 novembre 1981</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Oman</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22 octobre 2009</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22 novembre 2009</w:t>
            </w:r>
          </w:p>
        </w:tc>
      </w:tr>
      <w:tr w:rsidR="0083792B" w:rsidRPr="00386CD6" w:rsidTr="0085651C">
        <w:trPr>
          <w:cantSplit/>
        </w:trPr>
        <w:tc>
          <w:tcPr>
            <w:tcW w:w="2864" w:type="dxa"/>
          </w:tcPr>
          <w:p w:rsidR="0083792B" w:rsidRPr="00386CD6" w:rsidRDefault="0083792B" w:rsidP="0085651C">
            <w:pPr>
              <w:pStyle w:val="CommentText"/>
              <w:spacing w:before="80" w:after="80"/>
              <w:rPr>
                <w:rFonts w:ascii="Arial" w:hAnsi="Arial" w:cs="Arial"/>
                <w:sz w:val="18"/>
                <w:szCs w:val="18"/>
              </w:rPr>
            </w:pPr>
            <w:r w:rsidRPr="00386CD6">
              <w:rPr>
                <w:rFonts w:ascii="Arial" w:hAnsi="Arial" w:cs="Arial"/>
                <w:sz w:val="18"/>
                <w:szCs w:val="18"/>
              </w:rPr>
              <w:t>Organisation africaine de la propriété intellectuelle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10 juin 2014</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10 juillet 2014</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Ouzbékistan</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14 octobre 2004</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14 novembre 2004</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Panama</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23 avril 1999</w:t>
            </w:r>
            <w:r w:rsidRPr="00386CD6">
              <w:rPr>
                <w:rFonts w:cs="Arial"/>
                <w:sz w:val="18"/>
                <w:szCs w:val="18"/>
              </w:rPr>
              <w:br/>
              <w:t>22 octobre 2012</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23 mai 1999</w:t>
            </w:r>
            <w:r w:rsidRPr="00386CD6">
              <w:rPr>
                <w:rFonts w:cs="Arial"/>
                <w:sz w:val="18"/>
                <w:szCs w:val="18"/>
              </w:rPr>
              <w:br/>
              <w:t>22 novembre 2012</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Paraguay</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8 janvier 1997</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8 février 1997</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Pays</w:t>
            </w:r>
            <w:r w:rsidRPr="00386CD6">
              <w:rPr>
                <w:rFonts w:cs="Arial"/>
                <w:sz w:val="18"/>
                <w:szCs w:val="18"/>
              </w:rPr>
              <w:noBreakHyphen/>
              <w:t>Bas</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t>2 décembre 1961</w:t>
            </w:r>
            <w:r w:rsidRPr="00386CD6">
              <w:rPr>
                <w:rFonts w:cs="Arial"/>
                <w:sz w:val="18"/>
                <w:szCs w:val="18"/>
              </w:rPr>
              <w:br/>
              <w:t>10 novembre 1972</w:t>
            </w:r>
            <w:r w:rsidRPr="00386CD6">
              <w:rPr>
                <w:rFonts w:cs="Arial"/>
                <w:sz w:val="18"/>
                <w:szCs w:val="18"/>
              </w:rPr>
              <w:br/>
              <w:t>23 octobre 1978</w:t>
            </w:r>
            <w:r w:rsidRPr="00386CD6">
              <w:rPr>
                <w:rFonts w:cs="Arial"/>
                <w:sz w:val="18"/>
                <w:szCs w:val="18"/>
              </w:rPr>
              <w:br/>
              <w:t>19 mars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8 août 1967</w:t>
            </w:r>
            <w:r w:rsidRPr="00386CD6">
              <w:rPr>
                <w:rFonts w:cs="Arial"/>
                <w:sz w:val="18"/>
                <w:szCs w:val="18"/>
              </w:rPr>
              <w:br/>
              <w:t>12 janvier 1977</w:t>
            </w:r>
            <w:r w:rsidRPr="00386CD6">
              <w:rPr>
                <w:rFonts w:cs="Arial"/>
                <w:sz w:val="18"/>
                <w:szCs w:val="18"/>
              </w:rPr>
              <w:br/>
              <w:t>2 août 1984</w:t>
            </w:r>
            <w:r w:rsidRPr="00386CD6">
              <w:rPr>
                <w:rFonts w:cs="Arial"/>
                <w:sz w:val="18"/>
                <w:szCs w:val="18"/>
              </w:rPr>
              <w:br/>
              <w:t>14 octobre 1996</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t>10 août 1968</w:t>
            </w:r>
            <w:r w:rsidRPr="00386CD6">
              <w:rPr>
                <w:rFonts w:cs="Arial"/>
                <w:sz w:val="18"/>
                <w:szCs w:val="18"/>
              </w:rPr>
              <w:br/>
              <w:t>11 février 1977</w:t>
            </w:r>
            <w:r w:rsidRPr="00386CD6">
              <w:rPr>
                <w:rFonts w:cs="Arial"/>
                <w:sz w:val="18"/>
                <w:szCs w:val="18"/>
              </w:rPr>
              <w:br/>
              <w:t>2 septembre 1984</w:t>
            </w:r>
            <w:r w:rsidRPr="00386CD6">
              <w:rPr>
                <w:rFonts w:cs="Arial"/>
                <w:sz w:val="18"/>
                <w:szCs w:val="18"/>
              </w:rPr>
              <w:br/>
              <w:t>24 avril 1998</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Pérou</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8 juillet 2011</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8 août 2011</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Pologne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11 octobre 1989</w:t>
            </w:r>
            <w:r w:rsidRPr="00386CD6">
              <w:rPr>
                <w:rFonts w:cs="Arial"/>
                <w:sz w:val="18"/>
                <w:szCs w:val="18"/>
              </w:rPr>
              <w:br/>
              <w:t>15 juillet 2003</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11 novembre 1989</w:t>
            </w:r>
            <w:r w:rsidRPr="00386CD6">
              <w:rPr>
                <w:rFonts w:cs="Arial"/>
                <w:sz w:val="18"/>
                <w:szCs w:val="18"/>
              </w:rPr>
              <w:br/>
              <w:t>15 août 2003</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Portugal</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14 septembre 1995</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14 octobre 1995</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République de Corée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7 décembre 2001</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7 janvier 2002</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République de Moldova</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28 septembre 1998</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28 octobre 1998</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République dominicaine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16 mai 2007</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16 juin 2007</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République tchèque</w:t>
            </w:r>
            <w:r w:rsidRPr="00386CD6">
              <w:rPr>
                <w:rStyle w:val="FootnoteReference"/>
                <w:rFonts w:cs="Arial"/>
                <w:sz w:val="18"/>
                <w:szCs w:val="18"/>
              </w:rPr>
              <w:footnoteReference w:id="3"/>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24 octobre 2002</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w:t>
            </w:r>
            <w:r w:rsidRPr="00386CD6">
              <w:rPr>
                <w:rFonts w:cs="Arial"/>
                <w:sz w:val="18"/>
                <w:szCs w:val="18"/>
                <w:vertAlign w:val="superscript"/>
              </w:rPr>
              <w:t>er</w:t>
            </w:r>
            <w:r w:rsidRPr="00386CD6">
              <w:rPr>
                <w:rFonts w:cs="Arial"/>
                <w:sz w:val="18"/>
                <w:szCs w:val="18"/>
              </w:rPr>
              <w:t> janvier 1993</w:t>
            </w:r>
            <w:r w:rsidRPr="00386CD6">
              <w:rPr>
                <w:rFonts w:cs="Arial"/>
                <w:sz w:val="18"/>
                <w:szCs w:val="18"/>
              </w:rPr>
              <w:br/>
              <w:t>24 novembre 2002</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République</w:t>
            </w:r>
            <w:r w:rsidRPr="00386CD6">
              <w:rPr>
                <w:rFonts w:cs="Arial"/>
                <w:sz w:val="18"/>
                <w:szCs w:val="18"/>
              </w:rPr>
              <w:noBreakHyphen/>
              <w:t>Unie de Tanzanie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w:t>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22 octobre 2015</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22 novembre 2015</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Roumanie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16 février 2001</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16 mars 2001</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Royaume</w:t>
            </w:r>
            <w:r w:rsidRPr="00386CD6">
              <w:rPr>
                <w:rFonts w:cs="Arial"/>
                <w:sz w:val="18"/>
                <w:szCs w:val="18"/>
              </w:rPr>
              <w:noBreakHyphen/>
              <w:t>Uni</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t>26 novembre 1962</w:t>
            </w:r>
            <w:r w:rsidRPr="00386CD6">
              <w:rPr>
                <w:rFonts w:cs="Arial"/>
                <w:sz w:val="18"/>
                <w:szCs w:val="18"/>
              </w:rPr>
              <w:br/>
              <w:t>10 novembre 1972</w:t>
            </w:r>
            <w:r w:rsidRPr="00386CD6">
              <w:rPr>
                <w:rFonts w:cs="Arial"/>
                <w:sz w:val="18"/>
                <w:szCs w:val="18"/>
              </w:rPr>
              <w:br/>
              <w:t>23 octobre 1978</w:t>
            </w:r>
            <w:r w:rsidRPr="00386CD6">
              <w:rPr>
                <w:rFonts w:cs="Arial"/>
                <w:sz w:val="18"/>
                <w:szCs w:val="18"/>
              </w:rPr>
              <w:br/>
              <w:t>19 mars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17 septembre 1965</w:t>
            </w:r>
            <w:r w:rsidRPr="00386CD6">
              <w:rPr>
                <w:rFonts w:cs="Arial"/>
                <w:sz w:val="18"/>
                <w:szCs w:val="18"/>
              </w:rPr>
              <w:br/>
              <w:t>1</w:t>
            </w:r>
            <w:r w:rsidRPr="00386CD6">
              <w:rPr>
                <w:rFonts w:cs="Arial"/>
                <w:sz w:val="18"/>
                <w:szCs w:val="18"/>
                <w:vertAlign w:val="superscript"/>
              </w:rPr>
              <w:t>er</w:t>
            </w:r>
            <w:r w:rsidRPr="00386CD6">
              <w:rPr>
                <w:rFonts w:cs="Arial"/>
                <w:sz w:val="18"/>
                <w:szCs w:val="18"/>
              </w:rPr>
              <w:t> juillet 1980</w:t>
            </w:r>
            <w:r w:rsidRPr="00386CD6">
              <w:rPr>
                <w:rFonts w:cs="Arial"/>
                <w:sz w:val="18"/>
                <w:szCs w:val="18"/>
              </w:rPr>
              <w:br/>
              <w:t>24 août 1983</w:t>
            </w:r>
            <w:r w:rsidRPr="00386CD6">
              <w:rPr>
                <w:rFonts w:cs="Arial"/>
                <w:sz w:val="18"/>
                <w:szCs w:val="18"/>
              </w:rPr>
              <w:br/>
              <w:t>3 décembre 1998</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t>10 août 1968</w:t>
            </w:r>
            <w:r w:rsidRPr="00386CD6">
              <w:rPr>
                <w:rFonts w:cs="Arial"/>
                <w:sz w:val="18"/>
                <w:szCs w:val="18"/>
              </w:rPr>
              <w:br/>
              <w:t>31 juillet 1980</w:t>
            </w:r>
            <w:r w:rsidRPr="00386CD6">
              <w:rPr>
                <w:rFonts w:cs="Arial"/>
                <w:sz w:val="18"/>
                <w:szCs w:val="18"/>
              </w:rPr>
              <w:br/>
              <w:t>24 septembre 1983</w:t>
            </w:r>
            <w:r w:rsidRPr="00386CD6">
              <w:rPr>
                <w:rFonts w:cs="Arial"/>
                <w:sz w:val="18"/>
                <w:szCs w:val="18"/>
              </w:rPr>
              <w:br/>
              <w:t>3 janvier 1999</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Serbie</w:t>
            </w:r>
          </w:p>
        </w:tc>
        <w:tc>
          <w:tcPr>
            <w:tcW w:w="2068" w:type="dxa"/>
          </w:tcPr>
          <w:p w:rsidR="0083792B" w:rsidRPr="00386CD6" w:rsidRDefault="0083792B" w:rsidP="0085651C">
            <w:pPr>
              <w:spacing w:before="80" w:after="80"/>
              <w:jc w:val="left"/>
              <w:rPr>
                <w:rFonts w:cs="Arial"/>
                <w:sz w:val="18"/>
                <w:szCs w:val="18"/>
              </w:rPr>
            </w:pP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r w:rsidRPr="00386CD6">
              <w:rPr>
                <w:rFonts w:cs="Arial"/>
                <w:kern w:val="2"/>
                <w:sz w:val="18"/>
                <w:szCs w:val="18"/>
              </w:rPr>
              <w:br/>
              <w:t>5 décembre 2012</w:t>
            </w:r>
          </w:p>
        </w:tc>
        <w:tc>
          <w:tcPr>
            <w:tcW w:w="2307" w:type="dxa"/>
          </w:tcPr>
          <w:p w:rsidR="0083792B" w:rsidRPr="00386CD6" w:rsidRDefault="0083792B" w:rsidP="0085651C">
            <w:pPr>
              <w:spacing w:before="80" w:after="80"/>
              <w:jc w:val="left"/>
              <w:rPr>
                <w:rFonts w:cs="Arial"/>
                <w:sz w:val="18"/>
                <w:szCs w:val="18"/>
              </w:rPr>
            </w:pP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r w:rsidRPr="00386CD6">
              <w:rPr>
                <w:rFonts w:cs="Arial"/>
                <w:kern w:val="2"/>
                <w:sz w:val="18"/>
                <w:szCs w:val="18"/>
              </w:rPr>
              <w:br/>
            </w:r>
            <w:r w:rsidRPr="00386CD6">
              <w:rPr>
                <w:rFonts w:cs="Arial"/>
                <w:kern w:val="2"/>
                <w:sz w:val="18"/>
                <w:szCs w:val="18"/>
              </w:rPr>
              <w:noBreakHyphen/>
            </w:r>
            <w:r w:rsidRPr="00386CD6">
              <w:rPr>
                <w:rFonts w:cs="Arial"/>
                <w:kern w:val="2"/>
                <w:sz w:val="18"/>
                <w:szCs w:val="18"/>
              </w:rPr>
              <w:br/>
              <w:t>5 janvier 2013</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Singapour</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30 juin 2004</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30 juillet 2004</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Slovaquie</w:t>
            </w:r>
            <w:r w:rsidRPr="00386CD6">
              <w:rPr>
                <w:rFonts w:cs="Arial"/>
                <w:sz w:val="18"/>
                <w:szCs w:val="18"/>
                <w:vertAlign w:val="superscript"/>
              </w:rPr>
              <w:t>1</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12 mai 2009</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w:t>
            </w:r>
            <w:r w:rsidRPr="00386CD6">
              <w:rPr>
                <w:rFonts w:cs="Arial"/>
                <w:sz w:val="18"/>
                <w:szCs w:val="18"/>
                <w:vertAlign w:val="superscript"/>
              </w:rPr>
              <w:t>er</w:t>
            </w:r>
            <w:r w:rsidRPr="00386CD6">
              <w:rPr>
                <w:rFonts w:cs="Arial"/>
                <w:sz w:val="18"/>
                <w:szCs w:val="18"/>
              </w:rPr>
              <w:t> janvier 1993</w:t>
            </w:r>
            <w:r w:rsidRPr="00386CD6">
              <w:rPr>
                <w:rFonts w:cs="Arial"/>
                <w:sz w:val="18"/>
                <w:szCs w:val="18"/>
              </w:rPr>
              <w:br/>
              <w:t>12 juin 2009</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Slovénie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29 juin 1999</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29 juillet 1999</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Suède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t>11 janvier 1973</w:t>
            </w:r>
            <w:r w:rsidRPr="00386CD6">
              <w:rPr>
                <w:rFonts w:cs="Arial"/>
                <w:sz w:val="18"/>
                <w:szCs w:val="18"/>
              </w:rPr>
              <w:br/>
              <w:t>6 décembre 1978</w:t>
            </w:r>
            <w:r w:rsidRPr="00386CD6">
              <w:rPr>
                <w:rFonts w:cs="Arial"/>
                <w:sz w:val="18"/>
                <w:szCs w:val="18"/>
              </w:rPr>
              <w:br/>
              <w:t>17 décembre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17 novembre 1971</w:t>
            </w:r>
            <w:r w:rsidRPr="00386CD6">
              <w:rPr>
                <w:rFonts w:cs="Arial"/>
                <w:sz w:val="18"/>
                <w:szCs w:val="18"/>
              </w:rPr>
              <w:br/>
              <w:t>11 janvier 1973</w:t>
            </w:r>
            <w:r w:rsidRPr="00386CD6">
              <w:rPr>
                <w:rFonts w:cs="Arial"/>
                <w:sz w:val="18"/>
                <w:szCs w:val="18"/>
              </w:rPr>
              <w:br/>
              <w:t>1</w:t>
            </w:r>
            <w:r w:rsidRPr="00386CD6">
              <w:rPr>
                <w:rFonts w:cs="Arial"/>
                <w:sz w:val="18"/>
                <w:szCs w:val="18"/>
                <w:vertAlign w:val="superscript"/>
              </w:rPr>
              <w:t>er</w:t>
            </w:r>
            <w:r w:rsidRPr="00386CD6">
              <w:rPr>
                <w:rFonts w:cs="Arial"/>
                <w:sz w:val="18"/>
                <w:szCs w:val="18"/>
              </w:rPr>
              <w:t> décembre 1982</w:t>
            </w:r>
            <w:r w:rsidRPr="00386CD6">
              <w:rPr>
                <w:rFonts w:cs="Arial"/>
                <w:sz w:val="18"/>
                <w:szCs w:val="18"/>
              </w:rPr>
              <w:br/>
              <w:t>18 décembre 1997</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t>17 décembre 1971</w:t>
            </w:r>
            <w:r w:rsidRPr="00386CD6">
              <w:rPr>
                <w:rFonts w:cs="Arial"/>
                <w:sz w:val="18"/>
                <w:szCs w:val="18"/>
              </w:rPr>
              <w:br/>
              <w:t>11 février 1977</w:t>
            </w:r>
            <w:r w:rsidRPr="00386CD6">
              <w:rPr>
                <w:rFonts w:cs="Arial"/>
                <w:sz w:val="18"/>
                <w:szCs w:val="18"/>
              </w:rPr>
              <w:br/>
              <w:t>1</w:t>
            </w:r>
            <w:r w:rsidRPr="00386CD6">
              <w:rPr>
                <w:rFonts w:cs="Arial"/>
                <w:sz w:val="18"/>
                <w:szCs w:val="18"/>
                <w:vertAlign w:val="superscript"/>
              </w:rPr>
              <w:t>er</w:t>
            </w:r>
            <w:r w:rsidRPr="00386CD6">
              <w:rPr>
                <w:rFonts w:cs="Arial"/>
                <w:sz w:val="18"/>
                <w:szCs w:val="18"/>
              </w:rPr>
              <w:t> janvier 1983</w:t>
            </w:r>
            <w:r w:rsidRPr="00386CD6">
              <w:rPr>
                <w:rFonts w:cs="Arial"/>
                <w:sz w:val="18"/>
                <w:szCs w:val="18"/>
              </w:rPr>
              <w:br/>
              <w:t>24 avril 1998</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Suisse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t>30 novembre 1962</w:t>
            </w:r>
            <w:r w:rsidRPr="00386CD6">
              <w:rPr>
                <w:rFonts w:cs="Arial"/>
                <w:sz w:val="18"/>
                <w:szCs w:val="18"/>
              </w:rPr>
              <w:br/>
              <w:t>10 novembre 1972</w:t>
            </w:r>
            <w:r w:rsidRPr="00386CD6">
              <w:rPr>
                <w:rFonts w:cs="Arial"/>
                <w:sz w:val="18"/>
                <w:szCs w:val="18"/>
              </w:rPr>
              <w:br/>
              <w:t>23 octobre 1978</w:t>
            </w:r>
            <w:r w:rsidRPr="00386CD6">
              <w:rPr>
                <w:rFonts w:cs="Arial"/>
                <w:sz w:val="18"/>
                <w:szCs w:val="18"/>
              </w:rPr>
              <w:br/>
              <w:t>19 mars 1991</w:t>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t>10 juin 1977</w:t>
            </w:r>
            <w:r w:rsidRPr="00386CD6">
              <w:rPr>
                <w:rFonts w:cs="Arial"/>
                <w:sz w:val="18"/>
                <w:szCs w:val="18"/>
              </w:rPr>
              <w:br/>
              <w:t>10 juin 1977</w:t>
            </w:r>
            <w:r w:rsidRPr="00386CD6">
              <w:rPr>
                <w:rFonts w:cs="Arial"/>
                <w:sz w:val="18"/>
                <w:szCs w:val="18"/>
              </w:rPr>
              <w:br/>
              <w:t>17 juin 1981</w:t>
            </w:r>
            <w:r w:rsidRPr="00386CD6">
              <w:rPr>
                <w:rFonts w:cs="Arial"/>
                <w:sz w:val="18"/>
                <w:szCs w:val="18"/>
              </w:rPr>
              <w:br/>
              <w:t>1</w:t>
            </w:r>
            <w:r w:rsidRPr="00386CD6">
              <w:rPr>
                <w:rFonts w:cs="Arial"/>
                <w:sz w:val="18"/>
                <w:szCs w:val="18"/>
                <w:vertAlign w:val="superscript"/>
              </w:rPr>
              <w:t>er </w:t>
            </w:r>
            <w:r w:rsidRPr="00386CD6">
              <w:rPr>
                <w:rFonts w:cs="Arial"/>
                <w:sz w:val="18"/>
                <w:szCs w:val="18"/>
              </w:rPr>
              <w:t>août 2008</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t>10 juillet 1977</w:t>
            </w:r>
            <w:r w:rsidRPr="00386CD6">
              <w:rPr>
                <w:rFonts w:cs="Arial"/>
                <w:sz w:val="18"/>
                <w:szCs w:val="18"/>
              </w:rPr>
              <w:br/>
              <w:t>10 juillet 1977</w:t>
            </w:r>
            <w:r w:rsidRPr="00386CD6">
              <w:rPr>
                <w:rFonts w:cs="Arial"/>
                <w:sz w:val="18"/>
                <w:szCs w:val="18"/>
              </w:rPr>
              <w:br/>
              <w:t>8 novembre 1981</w:t>
            </w:r>
            <w:r w:rsidRPr="00386CD6">
              <w:rPr>
                <w:rFonts w:cs="Arial"/>
                <w:sz w:val="18"/>
                <w:szCs w:val="18"/>
              </w:rPr>
              <w:br/>
              <w:t>1</w:t>
            </w:r>
            <w:r w:rsidRPr="00386CD6">
              <w:rPr>
                <w:rFonts w:cs="Arial"/>
                <w:sz w:val="18"/>
                <w:szCs w:val="18"/>
                <w:vertAlign w:val="superscript"/>
              </w:rPr>
              <w:t>er </w:t>
            </w:r>
            <w:r w:rsidRPr="00386CD6">
              <w:rPr>
                <w:rFonts w:cs="Arial"/>
                <w:sz w:val="18"/>
                <w:szCs w:val="18"/>
              </w:rPr>
              <w:t>septembre 2008</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Trinité</w:t>
            </w:r>
            <w:r w:rsidRPr="00386CD6">
              <w:rPr>
                <w:rFonts w:cs="Arial"/>
                <w:sz w:val="18"/>
                <w:szCs w:val="18"/>
              </w:rPr>
              <w:noBreakHyphen/>
              <w:t>et</w:t>
            </w:r>
            <w:r w:rsidRPr="00386CD6">
              <w:rPr>
                <w:rFonts w:cs="Arial"/>
                <w:sz w:val="18"/>
                <w:szCs w:val="18"/>
              </w:rPr>
              <w:noBreakHyphen/>
              <w:t>Tobago</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30 décembre 1997</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30 janvier 1998</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Tunisie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31 juillet 2003</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31 août 2003</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Turquie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18 octobre 2007</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18 novembre 2007</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Ukraine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 octobre 1995</w:t>
            </w:r>
            <w:r w:rsidRPr="00386CD6">
              <w:rPr>
                <w:rFonts w:cs="Arial"/>
                <w:sz w:val="18"/>
                <w:szCs w:val="18"/>
              </w:rPr>
              <w:br/>
              <w:t>19 décembre 2006</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3 novembre 1995</w:t>
            </w:r>
            <w:r w:rsidRPr="00386CD6">
              <w:rPr>
                <w:rFonts w:cs="Arial"/>
                <w:sz w:val="18"/>
                <w:szCs w:val="18"/>
              </w:rPr>
              <w:br/>
              <w:t>19 janvier 2007</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Union européenne</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29 juin 2005</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29 juillet 2005</w:t>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Uruguay</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13 octobre 1994</w:t>
            </w:r>
            <w:r w:rsidRPr="00386CD6">
              <w:rPr>
                <w:rFonts w:cs="Arial"/>
                <w:sz w:val="18"/>
                <w:szCs w:val="18"/>
              </w:rPr>
              <w:br/>
            </w:r>
            <w:r w:rsidRPr="00386CD6">
              <w:rPr>
                <w:rFonts w:cs="Arial"/>
                <w:sz w:val="18"/>
                <w:szCs w:val="18"/>
              </w:rPr>
              <w:noBreakHyphen/>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13 novembre 1994</w:t>
            </w:r>
            <w:r w:rsidRPr="00386CD6">
              <w:rPr>
                <w:rFonts w:cs="Arial"/>
                <w:sz w:val="18"/>
                <w:szCs w:val="18"/>
              </w:rPr>
              <w:br/>
            </w:r>
            <w:r w:rsidRPr="00386CD6">
              <w:rPr>
                <w:rFonts w:cs="Arial"/>
                <w:sz w:val="18"/>
                <w:szCs w:val="18"/>
              </w:rPr>
              <w:noBreakHyphen/>
            </w:r>
          </w:p>
        </w:tc>
      </w:tr>
      <w:tr w:rsidR="0083792B" w:rsidRPr="00386CD6" w:rsidTr="0085651C">
        <w:trPr>
          <w:cantSplit/>
        </w:trPr>
        <w:tc>
          <w:tcPr>
            <w:tcW w:w="2864" w:type="dxa"/>
          </w:tcPr>
          <w:p w:rsidR="0083792B" w:rsidRPr="00386CD6" w:rsidRDefault="0083792B" w:rsidP="0085651C">
            <w:pPr>
              <w:spacing w:before="80" w:after="80"/>
              <w:jc w:val="left"/>
              <w:rPr>
                <w:rFonts w:cs="Arial"/>
                <w:sz w:val="18"/>
                <w:szCs w:val="18"/>
              </w:rPr>
            </w:pPr>
            <w:r w:rsidRPr="00386CD6">
              <w:rPr>
                <w:rFonts w:cs="Arial"/>
                <w:sz w:val="18"/>
                <w:szCs w:val="18"/>
              </w:rPr>
              <w:t>Viet Nam</w:t>
            </w:r>
          </w:p>
        </w:tc>
        <w:tc>
          <w:tcPr>
            <w:tcW w:w="2068"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p>
        </w:tc>
        <w:tc>
          <w:tcPr>
            <w:tcW w:w="2546"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24 novembre 2006</w:t>
            </w:r>
          </w:p>
        </w:tc>
        <w:tc>
          <w:tcPr>
            <w:tcW w:w="2307" w:type="dxa"/>
          </w:tcPr>
          <w:p w:rsidR="0083792B" w:rsidRPr="00386CD6" w:rsidRDefault="0083792B" w:rsidP="0085651C">
            <w:pPr>
              <w:spacing w:before="80" w:after="80"/>
              <w:jc w:val="left"/>
              <w:rPr>
                <w:rFonts w:cs="Arial"/>
                <w:sz w:val="18"/>
                <w:szCs w:val="18"/>
              </w:rPr>
            </w:pP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r>
            <w:r w:rsidRPr="00386CD6">
              <w:rPr>
                <w:rFonts w:cs="Arial"/>
                <w:sz w:val="18"/>
                <w:szCs w:val="18"/>
              </w:rPr>
              <w:noBreakHyphen/>
            </w:r>
            <w:r w:rsidRPr="00386CD6">
              <w:rPr>
                <w:rFonts w:cs="Arial"/>
                <w:sz w:val="18"/>
                <w:szCs w:val="18"/>
              </w:rPr>
              <w:br/>
              <w:t>24 décembre 2006</w:t>
            </w:r>
          </w:p>
        </w:tc>
      </w:tr>
    </w:tbl>
    <w:p w:rsidR="0083792B" w:rsidRPr="00386CD6" w:rsidRDefault="0083792B" w:rsidP="0085651C">
      <w:pPr>
        <w:rPr>
          <w:szCs w:val="16"/>
        </w:rPr>
      </w:pPr>
    </w:p>
    <w:p w:rsidR="0083792B" w:rsidRPr="00386CD6" w:rsidRDefault="0083792B" w:rsidP="0085651C">
      <w:r w:rsidRPr="00386CD6">
        <w:t>Total : 74 membres</w:t>
      </w:r>
    </w:p>
    <w:p w:rsidR="0083792B" w:rsidRPr="00386CD6" w:rsidRDefault="0083792B" w:rsidP="0085651C"/>
    <w:p w:rsidR="0083792B" w:rsidRPr="00386CD6" w:rsidRDefault="0083792B" w:rsidP="0085651C"/>
    <w:p w:rsidR="0083792B" w:rsidRPr="00386CD6" w:rsidRDefault="0083792B" w:rsidP="0085651C"/>
    <w:p w:rsidR="0083792B" w:rsidRPr="00386CD6" w:rsidRDefault="0083792B" w:rsidP="0085651C">
      <w:pPr>
        <w:jc w:val="right"/>
      </w:pPr>
      <w:r w:rsidRPr="00386CD6">
        <w:t>[L’annexe II suit]</w:t>
      </w:r>
    </w:p>
    <w:p w:rsidR="0083792B" w:rsidRPr="00386CD6" w:rsidRDefault="0083792B" w:rsidP="0085651C">
      <w:pPr>
        <w:jc w:val="right"/>
      </w:pPr>
    </w:p>
    <w:p w:rsidR="0083792B" w:rsidRPr="00386CD6" w:rsidRDefault="0083792B" w:rsidP="0085651C">
      <w:pPr>
        <w:sectPr w:rsidR="0083792B" w:rsidRPr="00386CD6" w:rsidSect="0085651C">
          <w:headerReference w:type="default" r:id="rId12"/>
          <w:headerReference w:type="first" r:id="rId13"/>
          <w:footerReference w:type="first" r:id="rId14"/>
          <w:footnotePr>
            <w:numRestart w:val="eachSect"/>
          </w:footnotePr>
          <w:type w:val="continuous"/>
          <w:pgSz w:w="11907" w:h="16840" w:code="9"/>
          <w:pgMar w:top="510" w:right="1134" w:bottom="851" w:left="1134" w:header="510" w:footer="680" w:gutter="0"/>
          <w:pgNumType w:start="1"/>
          <w:cols w:space="720"/>
          <w:titlePg/>
        </w:sectPr>
      </w:pPr>
    </w:p>
    <w:p w:rsidR="0083792B" w:rsidRPr="00386CD6" w:rsidRDefault="0083792B" w:rsidP="0085651C">
      <w:pPr>
        <w:jc w:val="center"/>
      </w:pPr>
      <w:r w:rsidRPr="00386CD6">
        <w:t>C/50/2</w:t>
      </w:r>
    </w:p>
    <w:p w:rsidR="0083792B" w:rsidRPr="00386CD6" w:rsidRDefault="0083792B" w:rsidP="0085651C">
      <w:pPr>
        <w:jc w:val="center"/>
      </w:pPr>
    </w:p>
    <w:p w:rsidR="0083792B" w:rsidRPr="00386CD6" w:rsidRDefault="0083792B" w:rsidP="0085651C">
      <w:pPr>
        <w:jc w:val="center"/>
      </w:pPr>
      <w:bookmarkStart w:id="20" w:name="_Toc207102119"/>
      <w:bookmarkStart w:id="21" w:name="_Toc207164764"/>
      <w:r w:rsidRPr="00386CD6">
        <w:t>ANNEXE II</w:t>
      </w:r>
      <w:bookmarkEnd w:id="20"/>
      <w:bookmarkEnd w:id="21"/>
      <w:r w:rsidRPr="00386CD6">
        <w:br/>
      </w:r>
      <w:r w:rsidRPr="00386CD6">
        <w:br/>
      </w:r>
      <w:bookmarkStart w:id="22" w:name="_Toc207186208"/>
      <w:r w:rsidRPr="00386CD6">
        <w:t>LISTE DES MISSIONS</w:t>
      </w:r>
      <w:r w:rsidRPr="00386CD6">
        <w:rPr>
          <w:rStyle w:val="FootnoteReference"/>
        </w:rPr>
        <w:t>*</w:t>
      </w:r>
      <w:r w:rsidRPr="00386CD6">
        <w:t xml:space="preserve"> EN 20</w:t>
      </w:r>
      <w:bookmarkEnd w:id="22"/>
      <w:r w:rsidRPr="00386CD6">
        <w:t>15</w:t>
      </w:r>
    </w:p>
    <w:p w:rsidR="0083792B" w:rsidRPr="00386CD6" w:rsidRDefault="0083792B" w:rsidP="0085651C">
      <w:pPr>
        <w:ind w:right="-1"/>
        <w:jc w:val="cente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3765"/>
        <w:gridCol w:w="2309"/>
        <w:gridCol w:w="1993"/>
        <w:gridCol w:w="1822"/>
      </w:tblGrid>
      <w:tr w:rsidR="0083792B" w:rsidRPr="00386CD6" w:rsidTr="008B401F">
        <w:trPr>
          <w:trHeight w:val="255"/>
          <w:tblHeader/>
        </w:trPr>
        <w:tc>
          <w:tcPr>
            <w:tcW w:w="3765" w:type="dxa"/>
          </w:tcPr>
          <w:p w:rsidR="0083792B" w:rsidRPr="00386CD6" w:rsidRDefault="0083792B" w:rsidP="0085651C">
            <w:pPr>
              <w:jc w:val="left"/>
              <w:rPr>
                <w:rFonts w:cs="Arial"/>
                <w:b/>
                <w:bCs/>
              </w:rPr>
            </w:pPr>
            <w:r w:rsidRPr="00386CD6">
              <w:rPr>
                <w:rFonts w:cs="Arial"/>
                <w:b/>
                <w:bCs/>
              </w:rPr>
              <w:t>Mission</w:t>
            </w:r>
          </w:p>
        </w:tc>
        <w:tc>
          <w:tcPr>
            <w:tcW w:w="2309" w:type="dxa"/>
          </w:tcPr>
          <w:p w:rsidR="0083792B" w:rsidRPr="00386CD6" w:rsidRDefault="0083792B" w:rsidP="0085651C">
            <w:pPr>
              <w:jc w:val="left"/>
              <w:rPr>
                <w:rFonts w:cs="Arial"/>
                <w:b/>
                <w:bCs/>
              </w:rPr>
            </w:pPr>
            <w:r w:rsidRPr="00386CD6">
              <w:rPr>
                <w:rFonts w:cs="Arial"/>
                <w:b/>
                <w:bCs/>
              </w:rPr>
              <w:t>Lieu</w:t>
            </w:r>
          </w:p>
        </w:tc>
        <w:tc>
          <w:tcPr>
            <w:tcW w:w="1993" w:type="dxa"/>
          </w:tcPr>
          <w:p w:rsidR="0083792B" w:rsidRPr="00386CD6" w:rsidRDefault="0083792B" w:rsidP="0085651C">
            <w:pPr>
              <w:jc w:val="left"/>
              <w:rPr>
                <w:rFonts w:cs="Arial"/>
                <w:b/>
                <w:bCs/>
              </w:rPr>
            </w:pPr>
            <w:r w:rsidRPr="00386CD6">
              <w:rPr>
                <w:rFonts w:cs="Arial"/>
                <w:b/>
                <w:bCs/>
              </w:rPr>
              <w:t>Mois</w:t>
            </w:r>
          </w:p>
        </w:tc>
        <w:tc>
          <w:tcPr>
            <w:tcW w:w="1822" w:type="dxa"/>
            <w:shd w:val="clear" w:color="auto" w:fill="auto"/>
            <w:hideMark/>
          </w:tcPr>
          <w:p w:rsidR="0083792B" w:rsidRPr="00386CD6" w:rsidRDefault="0083792B" w:rsidP="00911C8B">
            <w:pPr>
              <w:jc w:val="left"/>
              <w:rPr>
                <w:rFonts w:cs="Arial"/>
                <w:b/>
                <w:bCs/>
              </w:rPr>
            </w:pPr>
            <w:r w:rsidRPr="00386CD6">
              <w:rPr>
                <w:rFonts w:cs="Arial"/>
                <w:b/>
                <w:bCs/>
              </w:rPr>
              <w:t>Fonctionnaire</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Quinzième session ordinaire de la Commission des ressources génétiques pour l’alimentation et l’agriculture</w:t>
            </w:r>
          </w:p>
        </w:tc>
        <w:tc>
          <w:tcPr>
            <w:tcW w:w="2309" w:type="dxa"/>
          </w:tcPr>
          <w:p w:rsidR="0083792B" w:rsidRPr="00386CD6" w:rsidRDefault="0083792B" w:rsidP="0085651C">
            <w:pPr>
              <w:jc w:val="left"/>
              <w:rPr>
                <w:rFonts w:cs="Arial"/>
              </w:rPr>
            </w:pPr>
            <w:r w:rsidRPr="00386CD6">
              <w:rPr>
                <w:rFonts w:cs="Arial"/>
              </w:rPr>
              <w:t>Rome (Italie)</w:t>
            </w:r>
          </w:p>
        </w:tc>
        <w:tc>
          <w:tcPr>
            <w:tcW w:w="1993" w:type="dxa"/>
          </w:tcPr>
          <w:p w:rsidR="0083792B" w:rsidRPr="00386CD6" w:rsidRDefault="0083792B" w:rsidP="0085651C">
            <w:pPr>
              <w:jc w:val="left"/>
              <w:rPr>
                <w:rFonts w:cs="Arial"/>
              </w:rPr>
            </w:pPr>
            <w:r w:rsidRPr="00386CD6">
              <w:rPr>
                <w:rFonts w:cs="Arial"/>
              </w:rPr>
              <w:t>Janvier</w:t>
            </w:r>
          </w:p>
        </w:tc>
        <w:tc>
          <w:tcPr>
            <w:tcW w:w="1822" w:type="dxa"/>
            <w:shd w:val="clear" w:color="auto" w:fill="auto"/>
            <w:hideMark/>
          </w:tcPr>
          <w:p w:rsidR="0083792B" w:rsidRPr="00386CD6" w:rsidRDefault="0083792B" w:rsidP="00911C8B">
            <w:pPr>
              <w:jc w:val="left"/>
              <w:rPr>
                <w:rFonts w:cs="Arial"/>
              </w:rPr>
            </w:pPr>
            <w:r w:rsidRPr="00386CD6">
              <w:rPr>
                <w:rFonts w:cs="Arial"/>
              </w:rPr>
              <w:t>Button, Koide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Réunion du Groupe de travail technique sur les systèmes des semences de l’OCDE pour la certification variétale des semences destinées au commerce international</w:t>
            </w:r>
          </w:p>
        </w:tc>
        <w:tc>
          <w:tcPr>
            <w:tcW w:w="2309" w:type="dxa"/>
          </w:tcPr>
          <w:p w:rsidR="0083792B" w:rsidRPr="00386CD6" w:rsidRDefault="0083792B" w:rsidP="0085651C">
            <w:pPr>
              <w:jc w:val="left"/>
              <w:rPr>
                <w:rFonts w:cs="Arial"/>
              </w:rPr>
            </w:pPr>
            <w:r w:rsidRPr="00386CD6">
              <w:rPr>
                <w:rFonts w:cs="Arial"/>
              </w:rPr>
              <w:t>Paris (France)</w:t>
            </w:r>
          </w:p>
        </w:tc>
        <w:tc>
          <w:tcPr>
            <w:tcW w:w="1993" w:type="dxa"/>
          </w:tcPr>
          <w:p w:rsidR="0083792B" w:rsidRPr="00386CD6" w:rsidRDefault="0083792B" w:rsidP="0085651C">
            <w:pPr>
              <w:jc w:val="left"/>
              <w:rPr>
                <w:rFonts w:cs="Arial"/>
              </w:rPr>
            </w:pPr>
            <w:r w:rsidRPr="00386CD6">
              <w:rPr>
                <w:rFonts w:cs="Arial"/>
              </w:rPr>
              <w:t>Janvier</w:t>
            </w:r>
          </w:p>
        </w:tc>
        <w:tc>
          <w:tcPr>
            <w:tcW w:w="1822" w:type="dxa"/>
            <w:shd w:val="clear" w:color="auto" w:fill="auto"/>
            <w:hideMark/>
          </w:tcPr>
          <w:p w:rsidR="0083792B" w:rsidRPr="00386CD6" w:rsidRDefault="0083792B" w:rsidP="00911C8B">
            <w:pPr>
              <w:jc w:val="left"/>
              <w:rPr>
                <w:rFonts w:cs="Arial"/>
              </w:rPr>
            </w:pPr>
            <w:r w:rsidRPr="00386CD6">
              <w:rPr>
                <w:rFonts w:cs="Arial"/>
              </w:rPr>
              <w:t>Taveira</w:t>
            </w:r>
          </w:p>
        </w:tc>
      </w:tr>
      <w:tr w:rsidR="0083792B" w:rsidRPr="00386CD6" w:rsidTr="008B401F">
        <w:trPr>
          <w:trHeight w:val="765"/>
        </w:trPr>
        <w:tc>
          <w:tcPr>
            <w:tcW w:w="3765" w:type="dxa"/>
          </w:tcPr>
          <w:p w:rsidR="0083792B" w:rsidRPr="00386CD6" w:rsidRDefault="0083792B" w:rsidP="000A43E0">
            <w:pPr>
              <w:jc w:val="left"/>
              <w:rPr>
                <w:rFonts w:cs="Arial"/>
              </w:rPr>
            </w:pPr>
            <w:r w:rsidRPr="00386CD6">
              <w:rPr>
                <w:rFonts w:cs="Arial"/>
              </w:rPr>
              <w:t>Visite d’étude pour le Comité des affaires constitutionnelles, juridiques et parlementaires du Ghana dans le contexte des procédures législatives du Ghana et de sa procédure d’adhésion à la Convention</w:t>
            </w:r>
            <w:r w:rsidR="000A43E0" w:rsidRPr="00386CD6">
              <w:rPr>
                <w:rFonts w:cs="Arial"/>
              </w:rPr>
              <w:t> </w:t>
            </w:r>
            <w:r w:rsidRPr="00386CD6">
              <w:rPr>
                <w:rFonts w:cs="Arial"/>
              </w:rPr>
              <w:t>UPOV</w:t>
            </w:r>
          </w:p>
        </w:tc>
        <w:tc>
          <w:tcPr>
            <w:tcW w:w="2309" w:type="dxa"/>
          </w:tcPr>
          <w:p w:rsidR="0083792B" w:rsidRPr="00386CD6" w:rsidRDefault="0083792B" w:rsidP="0085651C">
            <w:pPr>
              <w:jc w:val="left"/>
              <w:rPr>
                <w:rFonts w:cs="Arial"/>
              </w:rPr>
            </w:pPr>
            <w:r w:rsidRPr="00386CD6">
              <w:rPr>
                <w:rFonts w:cs="Arial"/>
              </w:rPr>
              <w:t>Amsterdam (Pays</w:t>
            </w:r>
            <w:r w:rsidRPr="00386CD6">
              <w:rPr>
                <w:rFonts w:cs="Arial"/>
              </w:rPr>
              <w:noBreakHyphen/>
              <w:t>Bas)</w:t>
            </w:r>
          </w:p>
        </w:tc>
        <w:tc>
          <w:tcPr>
            <w:tcW w:w="1993" w:type="dxa"/>
          </w:tcPr>
          <w:p w:rsidR="0083792B" w:rsidRPr="00386CD6" w:rsidRDefault="0083792B" w:rsidP="0085651C">
            <w:pPr>
              <w:jc w:val="left"/>
              <w:rPr>
                <w:rFonts w:cs="Arial"/>
              </w:rPr>
            </w:pPr>
            <w:r w:rsidRPr="00386CD6">
              <w:rPr>
                <w:rFonts w:cs="Arial"/>
              </w:rPr>
              <w:t>Janvier</w:t>
            </w:r>
          </w:p>
        </w:tc>
        <w:tc>
          <w:tcPr>
            <w:tcW w:w="1822" w:type="dxa"/>
            <w:shd w:val="clear" w:color="auto" w:fill="auto"/>
            <w:hideMark/>
          </w:tcPr>
          <w:p w:rsidR="0083792B" w:rsidRPr="00386CD6" w:rsidRDefault="0083792B" w:rsidP="00911C8B">
            <w:pPr>
              <w:jc w:val="left"/>
              <w:rPr>
                <w:rFonts w:cs="Arial"/>
              </w:rPr>
            </w:pPr>
            <w:r w:rsidRPr="00386CD6">
              <w:rPr>
                <w:rFonts w:cs="Arial"/>
              </w:rPr>
              <w:t>Huerta</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Atelier international sur la promotion de partenariats publics/privés pour la présélection</w:t>
            </w:r>
          </w:p>
        </w:tc>
        <w:tc>
          <w:tcPr>
            <w:tcW w:w="2309" w:type="dxa"/>
          </w:tcPr>
          <w:p w:rsidR="0083792B" w:rsidRPr="00386CD6" w:rsidRDefault="0083792B" w:rsidP="0085651C">
            <w:pPr>
              <w:jc w:val="left"/>
              <w:rPr>
                <w:rFonts w:cs="Arial"/>
              </w:rPr>
            </w:pPr>
            <w:r w:rsidRPr="00386CD6">
              <w:rPr>
                <w:rFonts w:cs="Arial"/>
              </w:rPr>
              <w:t>Montpellier (France)</w:t>
            </w:r>
          </w:p>
        </w:tc>
        <w:tc>
          <w:tcPr>
            <w:tcW w:w="1993" w:type="dxa"/>
          </w:tcPr>
          <w:p w:rsidR="0083792B" w:rsidRPr="00386CD6" w:rsidRDefault="0083792B" w:rsidP="0085651C">
            <w:pPr>
              <w:jc w:val="left"/>
              <w:rPr>
                <w:rFonts w:cs="Arial"/>
              </w:rPr>
            </w:pPr>
            <w:r w:rsidRPr="00386CD6">
              <w:rPr>
                <w:rFonts w:cs="Arial"/>
              </w:rPr>
              <w:t>Février</w:t>
            </w:r>
          </w:p>
        </w:tc>
        <w:tc>
          <w:tcPr>
            <w:tcW w:w="1822" w:type="dxa"/>
            <w:shd w:val="clear" w:color="auto" w:fill="auto"/>
            <w:hideMark/>
          </w:tcPr>
          <w:p w:rsidR="0083792B" w:rsidRPr="00386CD6" w:rsidRDefault="0083792B" w:rsidP="00911C8B">
            <w:pPr>
              <w:jc w:val="left"/>
              <w:rPr>
                <w:rFonts w:cs="Arial"/>
              </w:rPr>
            </w:pPr>
            <w:r w:rsidRPr="00386CD6">
              <w:rPr>
                <w:rFonts w:cs="Arial"/>
              </w:rPr>
              <w:t>Huerta</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Réunion du Conseil des ADPIC (siège de l’OMC)</w:t>
            </w:r>
          </w:p>
        </w:tc>
        <w:tc>
          <w:tcPr>
            <w:tcW w:w="2309" w:type="dxa"/>
          </w:tcPr>
          <w:p w:rsidR="0083792B" w:rsidRPr="00386CD6" w:rsidRDefault="0083792B" w:rsidP="0085651C">
            <w:pPr>
              <w:jc w:val="left"/>
              <w:rPr>
                <w:rFonts w:cs="Arial"/>
              </w:rPr>
            </w:pPr>
            <w:r w:rsidRPr="00386CD6">
              <w:rPr>
                <w:rFonts w:cs="Arial"/>
              </w:rPr>
              <w:t>Genève (Suisse)</w:t>
            </w:r>
          </w:p>
        </w:tc>
        <w:tc>
          <w:tcPr>
            <w:tcW w:w="1993" w:type="dxa"/>
          </w:tcPr>
          <w:p w:rsidR="0083792B" w:rsidRPr="00386CD6" w:rsidRDefault="0083792B" w:rsidP="0085651C">
            <w:pPr>
              <w:jc w:val="left"/>
              <w:rPr>
                <w:rFonts w:cs="Arial"/>
              </w:rPr>
            </w:pPr>
            <w:r w:rsidRPr="00386CD6">
              <w:rPr>
                <w:rFonts w:cs="Arial"/>
              </w:rPr>
              <w:t>Février</w:t>
            </w:r>
          </w:p>
        </w:tc>
        <w:tc>
          <w:tcPr>
            <w:tcW w:w="1822" w:type="dxa"/>
            <w:shd w:val="clear" w:color="auto" w:fill="auto"/>
            <w:hideMark/>
          </w:tcPr>
          <w:p w:rsidR="0083792B" w:rsidRPr="00386CD6" w:rsidRDefault="0083792B" w:rsidP="00911C8B">
            <w:pPr>
              <w:jc w:val="left"/>
              <w:rPr>
                <w:rFonts w:cs="Arial"/>
              </w:rPr>
            </w:pPr>
            <w:r w:rsidRPr="00386CD6">
              <w:rPr>
                <w:rFonts w:cs="Arial"/>
              </w:rPr>
              <w:t>Huerta</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Édition 2015 du congrès annuel de l’AFSTA et atelier pré</w:t>
            </w:r>
            <w:r w:rsidRPr="00386CD6">
              <w:rPr>
                <w:rFonts w:cs="Arial"/>
              </w:rPr>
              <w:noBreakHyphen/>
              <w:t>congrès de l’ISTA, l’OCDE et l’UPOV</w:t>
            </w:r>
          </w:p>
        </w:tc>
        <w:tc>
          <w:tcPr>
            <w:tcW w:w="2309" w:type="dxa"/>
          </w:tcPr>
          <w:p w:rsidR="0083792B" w:rsidRPr="00386CD6" w:rsidRDefault="0083792B" w:rsidP="0085651C">
            <w:pPr>
              <w:jc w:val="left"/>
              <w:rPr>
                <w:rFonts w:cs="Arial"/>
              </w:rPr>
            </w:pPr>
            <w:r w:rsidRPr="00386CD6">
              <w:rPr>
                <w:rFonts w:cs="Arial"/>
              </w:rPr>
              <w:t>Victoria Falls (Zimbabwe)</w:t>
            </w:r>
          </w:p>
        </w:tc>
        <w:tc>
          <w:tcPr>
            <w:tcW w:w="1993" w:type="dxa"/>
          </w:tcPr>
          <w:p w:rsidR="0083792B" w:rsidRPr="00386CD6" w:rsidRDefault="0083792B" w:rsidP="0085651C">
            <w:pPr>
              <w:jc w:val="left"/>
              <w:rPr>
                <w:rFonts w:cs="Arial"/>
              </w:rPr>
            </w:pPr>
            <w:r w:rsidRPr="00386CD6">
              <w:rPr>
                <w:rFonts w:cs="Arial"/>
              </w:rPr>
              <w:t>Mars</w:t>
            </w:r>
          </w:p>
        </w:tc>
        <w:tc>
          <w:tcPr>
            <w:tcW w:w="1822" w:type="dxa"/>
            <w:shd w:val="clear" w:color="auto" w:fill="auto"/>
            <w:hideMark/>
          </w:tcPr>
          <w:p w:rsidR="0083792B" w:rsidRPr="00386CD6" w:rsidRDefault="0083792B" w:rsidP="00911C8B">
            <w:pPr>
              <w:jc w:val="left"/>
              <w:rPr>
                <w:rFonts w:cs="Arial"/>
              </w:rPr>
            </w:pPr>
            <w:r w:rsidRPr="00386CD6">
              <w:rPr>
                <w:rFonts w:cs="Arial"/>
              </w:rPr>
              <w:t>Rivoire</w:t>
            </w:r>
          </w:p>
        </w:tc>
      </w:tr>
      <w:tr w:rsidR="0083792B" w:rsidRPr="00386CD6" w:rsidTr="008B401F">
        <w:trPr>
          <w:trHeight w:val="765"/>
        </w:trPr>
        <w:tc>
          <w:tcPr>
            <w:tcW w:w="3765" w:type="dxa"/>
          </w:tcPr>
          <w:p w:rsidR="0083792B" w:rsidRPr="00386CD6" w:rsidRDefault="0083792B" w:rsidP="0085651C">
            <w:pPr>
              <w:jc w:val="left"/>
              <w:rPr>
                <w:rFonts w:cs="Arial"/>
              </w:rPr>
            </w:pPr>
            <w:r w:rsidRPr="00386CD6">
              <w:rPr>
                <w:rFonts w:cs="Arial"/>
              </w:rPr>
              <w:t>Deuxième réunion du Comité technique ad hoc sur l’utilisation durable des ressources phytogénétiques pour l’alimentation et l’agriculture (ACSU)</w:t>
            </w:r>
          </w:p>
        </w:tc>
        <w:tc>
          <w:tcPr>
            <w:tcW w:w="2309" w:type="dxa"/>
          </w:tcPr>
          <w:p w:rsidR="0083792B" w:rsidRPr="00386CD6" w:rsidRDefault="0083792B" w:rsidP="0085651C">
            <w:pPr>
              <w:jc w:val="left"/>
              <w:rPr>
                <w:rFonts w:cs="Arial"/>
              </w:rPr>
            </w:pPr>
            <w:r w:rsidRPr="00386CD6">
              <w:rPr>
                <w:rFonts w:cs="Arial"/>
              </w:rPr>
              <w:t>Rome (Italie)</w:t>
            </w:r>
          </w:p>
        </w:tc>
        <w:tc>
          <w:tcPr>
            <w:tcW w:w="1993" w:type="dxa"/>
          </w:tcPr>
          <w:p w:rsidR="0083792B" w:rsidRPr="00386CD6" w:rsidRDefault="0083792B" w:rsidP="0085651C">
            <w:pPr>
              <w:jc w:val="left"/>
              <w:rPr>
                <w:rFonts w:cs="Arial"/>
              </w:rPr>
            </w:pPr>
            <w:r w:rsidRPr="00386CD6">
              <w:rPr>
                <w:rFonts w:cs="Arial"/>
              </w:rPr>
              <w:t>Mars</w:t>
            </w:r>
          </w:p>
        </w:tc>
        <w:tc>
          <w:tcPr>
            <w:tcW w:w="1822" w:type="dxa"/>
            <w:shd w:val="clear" w:color="auto" w:fill="auto"/>
            <w:hideMark/>
          </w:tcPr>
          <w:p w:rsidR="0083792B" w:rsidRPr="00386CD6" w:rsidRDefault="0083792B" w:rsidP="00911C8B">
            <w:pPr>
              <w:jc w:val="left"/>
              <w:rPr>
                <w:rFonts w:cs="Arial"/>
              </w:rPr>
            </w:pPr>
            <w:r w:rsidRPr="00386CD6">
              <w:rPr>
                <w:rFonts w:cs="Arial"/>
              </w:rPr>
              <w:t>Button, Koide</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Conseil d’administration de l’OCVV</w:t>
            </w:r>
          </w:p>
        </w:tc>
        <w:tc>
          <w:tcPr>
            <w:tcW w:w="2309" w:type="dxa"/>
          </w:tcPr>
          <w:p w:rsidR="0083792B" w:rsidRPr="00386CD6" w:rsidRDefault="0083792B" w:rsidP="0085651C">
            <w:pPr>
              <w:jc w:val="left"/>
              <w:rPr>
                <w:rFonts w:cs="Arial"/>
              </w:rPr>
            </w:pPr>
            <w:r w:rsidRPr="00386CD6">
              <w:rPr>
                <w:rFonts w:cs="Arial"/>
              </w:rPr>
              <w:t>Angers (France)</w:t>
            </w:r>
          </w:p>
        </w:tc>
        <w:tc>
          <w:tcPr>
            <w:tcW w:w="1993" w:type="dxa"/>
          </w:tcPr>
          <w:p w:rsidR="0083792B" w:rsidRPr="00386CD6" w:rsidRDefault="0083792B" w:rsidP="0085651C">
            <w:pPr>
              <w:jc w:val="left"/>
              <w:rPr>
                <w:rFonts w:cs="Arial"/>
              </w:rPr>
            </w:pPr>
            <w:r w:rsidRPr="00386CD6">
              <w:rPr>
                <w:rFonts w:cs="Arial"/>
              </w:rPr>
              <w:t>Mars</w:t>
            </w:r>
          </w:p>
        </w:tc>
        <w:tc>
          <w:tcPr>
            <w:tcW w:w="1822" w:type="dxa"/>
            <w:shd w:val="clear" w:color="auto" w:fill="auto"/>
            <w:hideMark/>
          </w:tcPr>
          <w:p w:rsidR="0083792B" w:rsidRPr="00386CD6" w:rsidRDefault="0083792B" w:rsidP="00911C8B">
            <w:pPr>
              <w:jc w:val="left"/>
              <w:rPr>
                <w:rFonts w:cs="Arial"/>
              </w:rPr>
            </w:pPr>
            <w:r w:rsidRPr="00386CD6">
              <w:rPr>
                <w:rFonts w:cs="Arial"/>
              </w:rPr>
              <w:t>Button</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 xml:space="preserve">Séminaire de l’ASIPI sur la propriété intellectuelle et l’agriculture </w:t>
            </w:r>
          </w:p>
        </w:tc>
        <w:tc>
          <w:tcPr>
            <w:tcW w:w="2309" w:type="dxa"/>
          </w:tcPr>
          <w:p w:rsidR="0083792B" w:rsidRPr="00386CD6" w:rsidRDefault="00D535C2" w:rsidP="0085651C">
            <w:pPr>
              <w:jc w:val="left"/>
              <w:rPr>
                <w:rFonts w:cs="Arial"/>
              </w:rPr>
            </w:pPr>
            <w:r w:rsidRPr="00386CD6">
              <w:rPr>
                <w:rFonts w:cs="Arial"/>
              </w:rPr>
              <w:t>Asunción</w:t>
            </w:r>
            <w:r w:rsidR="0083792B" w:rsidRPr="00386CD6">
              <w:rPr>
                <w:rFonts w:cs="Arial"/>
              </w:rPr>
              <w:t xml:space="preserve"> (Paraguay)</w:t>
            </w:r>
          </w:p>
        </w:tc>
        <w:tc>
          <w:tcPr>
            <w:tcW w:w="1993" w:type="dxa"/>
          </w:tcPr>
          <w:p w:rsidR="0083792B" w:rsidRPr="00386CD6" w:rsidRDefault="0083792B" w:rsidP="0085651C">
            <w:pPr>
              <w:jc w:val="left"/>
              <w:rPr>
                <w:rFonts w:cs="Arial"/>
              </w:rPr>
            </w:pPr>
            <w:r w:rsidRPr="00386CD6">
              <w:rPr>
                <w:rFonts w:cs="Arial"/>
              </w:rPr>
              <w:t>Mars</w:t>
            </w:r>
          </w:p>
        </w:tc>
        <w:tc>
          <w:tcPr>
            <w:tcW w:w="1822" w:type="dxa"/>
            <w:shd w:val="clear" w:color="auto" w:fill="auto"/>
            <w:hideMark/>
          </w:tcPr>
          <w:p w:rsidR="0083792B" w:rsidRPr="00386CD6" w:rsidRDefault="0083792B" w:rsidP="0085651C">
            <w:pPr>
              <w:jc w:val="left"/>
              <w:rPr>
                <w:rFonts w:cs="Arial"/>
              </w:rPr>
            </w:pPr>
            <w:r w:rsidRPr="00386CD6">
              <w:rPr>
                <w:rFonts w:cs="Arial"/>
              </w:rPr>
              <w:t>Lavignolle (Argentine)</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Comité des obtenteurs de l’ISF</w:t>
            </w:r>
          </w:p>
        </w:tc>
        <w:tc>
          <w:tcPr>
            <w:tcW w:w="2309" w:type="dxa"/>
          </w:tcPr>
          <w:p w:rsidR="0083792B" w:rsidRPr="00386CD6" w:rsidRDefault="0083792B" w:rsidP="0085651C">
            <w:pPr>
              <w:jc w:val="left"/>
              <w:rPr>
                <w:rFonts w:cs="Arial"/>
              </w:rPr>
            </w:pPr>
            <w:r w:rsidRPr="00386CD6">
              <w:rPr>
                <w:rFonts w:cs="Arial"/>
              </w:rPr>
              <w:t>Lausanne (Suisse)</w:t>
            </w:r>
          </w:p>
        </w:tc>
        <w:tc>
          <w:tcPr>
            <w:tcW w:w="1993" w:type="dxa"/>
          </w:tcPr>
          <w:p w:rsidR="0083792B" w:rsidRPr="00386CD6" w:rsidRDefault="0083792B" w:rsidP="0085651C">
            <w:pPr>
              <w:jc w:val="left"/>
              <w:rPr>
                <w:rFonts w:cs="Arial"/>
              </w:rPr>
            </w:pPr>
            <w:r w:rsidRPr="00386CD6">
              <w:rPr>
                <w:rFonts w:cs="Arial"/>
              </w:rPr>
              <w:t>Mars</w:t>
            </w:r>
          </w:p>
        </w:tc>
        <w:tc>
          <w:tcPr>
            <w:tcW w:w="1822" w:type="dxa"/>
            <w:shd w:val="clear" w:color="auto" w:fill="auto"/>
            <w:hideMark/>
          </w:tcPr>
          <w:p w:rsidR="0083792B" w:rsidRPr="00386CD6" w:rsidRDefault="0083792B" w:rsidP="00911C8B">
            <w:pPr>
              <w:jc w:val="left"/>
              <w:rPr>
                <w:rFonts w:cs="Arial"/>
              </w:rPr>
            </w:pPr>
            <w:r w:rsidRPr="00386CD6">
              <w:rPr>
                <w:rFonts w:cs="Arial"/>
              </w:rPr>
              <w:t>Button</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Cours de niveau avancé organisé par l’OMPI et l’OMC sur la propriété intellectuelle à l’intention des fonctionnaires nationaux</w:t>
            </w:r>
          </w:p>
        </w:tc>
        <w:tc>
          <w:tcPr>
            <w:tcW w:w="2309" w:type="dxa"/>
          </w:tcPr>
          <w:p w:rsidR="0083792B" w:rsidRPr="00386CD6" w:rsidRDefault="0083792B" w:rsidP="0085651C">
            <w:pPr>
              <w:jc w:val="left"/>
              <w:rPr>
                <w:rFonts w:cs="Arial"/>
              </w:rPr>
            </w:pPr>
            <w:r w:rsidRPr="00386CD6">
              <w:rPr>
                <w:rFonts w:cs="Arial"/>
              </w:rPr>
              <w:t>Genève (Suisse)</w:t>
            </w:r>
          </w:p>
        </w:tc>
        <w:tc>
          <w:tcPr>
            <w:tcW w:w="1993" w:type="dxa"/>
          </w:tcPr>
          <w:p w:rsidR="0083792B" w:rsidRPr="00386CD6" w:rsidRDefault="0083792B" w:rsidP="0085651C">
            <w:pPr>
              <w:jc w:val="left"/>
              <w:rPr>
                <w:rFonts w:cs="Arial"/>
              </w:rPr>
            </w:pPr>
            <w:r w:rsidRPr="00386CD6">
              <w:rPr>
                <w:rFonts w:cs="Arial"/>
              </w:rPr>
              <w:t>Mars</w:t>
            </w:r>
          </w:p>
        </w:tc>
        <w:tc>
          <w:tcPr>
            <w:tcW w:w="1822" w:type="dxa"/>
            <w:shd w:val="clear" w:color="auto" w:fill="auto"/>
            <w:hideMark/>
          </w:tcPr>
          <w:p w:rsidR="0083792B" w:rsidRPr="00386CD6" w:rsidRDefault="0083792B" w:rsidP="00911C8B">
            <w:pPr>
              <w:jc w:val="left"/>
              <w:rPr>
                <w:rFonts w:cs="Arial"/>
              </w:rPr>
            </w:pPr>
            <w:r w:rsidRPr="00386CD6">
              <w:rPr>
                <w:rFonts w:cs="Arial"/>
              </w:rPr>
              <w:t>Huerta, Rivoire</w:t>
            </w:r>
          </w:p>
        </w:tc>
      </w:tr>
      <w:tr w:rsidR="0083792B" w:rsidRPr="00386CD6" w:rsidTr="008B401F">
        <w:trPr>
          <w:trHeight w:val="765"/>
        </w:trPr>
        <w:tc>
          <w:tcPr>
            <w:tcW w:w="3765" w:type="dxa"/>
          </w:tcPr>
          <w:p w:rsidR="0083792B" w:rsidRPr="00386CD6" w:rsidRDefault="0083792B" w:rsidP="0085651C">
            <w:pPr>
              <w:jc w:val="left"/>
              <w:rPr>
                <w:rFonts w:cs="Arial"/>
              </w:rPr>
            </w:pPr>
            <w:r w:rsidRPr="00386CD6">
              <w:rPr>
                <w:rFonts w:cs="Arial"/>
              </w:rPr>
              <w:t>Atelier sous régional conjoint OMPI UE/CARIFORUM sur les produits et les marques liés à des indications géographiques ou des appellations d’origine</w:t>
            </w:r>
          </w:p>
        </w:tc>
        <w:tc>
          <w:tcPr>
            <w:tcW w:w="2309" w:type="dxa"/>
          </w:tcPr>
          <w:p w:rsidR="0083792B" w:rsidRPr="00386CD6" w:rsidRDefault="0083792B" w:rsidP="0085651C">
            <w:pPr>
              <w:jc w:val="left"/>
              <w:rPr>
                <w:rFonts w:cs="Arial"/>
              </w:rPr>
            </w:pPr>
            <w:r w:rsidRPr="00386CD6">
              <w:rPr>
                <w:rFonts w:cs="Arial"/>
              </w:rPr>
              <w:t>Bridgetown (Barbade)</w:t>
            </w:r>
          </w:p>
        </w:tc>
        <w:tc>
          <w:tcPr>
            <w:tcW w:w="1993" w:type="dxa"/>
          </w:tcPr>
          <w:p w:rsidR="0083792B" w:rsidRPr="00386CD6" w:rsidRDefault="0083792B" w:rsidP="0085651C">
            <w:pPr>
              <w:jc w:val="left"/>
              <w:rPr>
                <w:rFonts w:cs="Arial"/>
              </w:rPr>
            </w:pPr>
            <w:r w:rsidRPr="00386CD6">
              <w:rPr>
                <w:rFonts w:cs="Arial"/>
              </w:rPr>
              <w:t>Mars</w:t>
            </w:r>
          </w:p>
        </w:tc>
        <w:tc>
          <w:tcPr>
            <w:tcW w:w="1822" w:type="dxa"/>
            <w:shd w:val="clear" w:color="auto" w:fill="auto"/>
            <w:hideMark/>
          </w:tcPr>
          <w:p w:rsidR="0083792B" w:rsidRPr="00386CD6" w:rsidRDefault="0083792B" w:rsidP="0085651C">
            <w:pPr>
              <w:jc w:val="left"/>
              <w:rPr>
                <w:rFonts w:cs="Arial"/>
              </w:rPr>
            </w:pPr>
            <w:r w:rsidRPr="00386CD6">
              <w:rPr>
                <w:rFonts w:cs="Arial"/>
              </w:rPr>
              <w:t>Aching (Trinité</w:t>
            </w:r>
            <w:r w:rsidRPr="00386CD6">
              <w:rPr>
                <w:rFonts w:cs="Arial"/>
              </w:rPr>
              <w:noBreakHyphen/>
              <w:t>et</w:t>
            </w:r>
            <w:r w:rsidRPr="00386CD6">
              <w:rPr>
                <w:rFonts w:cs="Arial"/>
              </w:rPr>
              <w:noBreakHyphen/>
              <w:t>Tobago)</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Visite d’étude de fonctionnaires de l’OAPI à l’Office suisse de la protection des obtentions végétales</w:t>
            </w:r>
          </w:p>
        </w:tc>
        <w:tc>
          <w:tcPr>
            <w:tcW w:w="2309" w:type="dxa"/>
          </w:tcPr>
          <w:p w:rsidR="0083792B" w:rsidRPr="00386CD6" w:rsidRDefault="0083792B" w:rsidP="0085651C">
            <w:pPr>
              <w:jc w:val="left"/>
              <w:rPr>
                <w:rFonts w:cs="Arial"/>
              </w:rPr>
            </w:pPr>
            <w:r w:rsidRPr="00386CD6">
              <w:rPr>
                <w:rFonts w:cs="Arial"/>
              </w:rPr>
              <w:t>Berne (Suisse)</w:t>
            </w:r>
          </w:p>
        </w:tc>
        <w:tc>
          <w:tcPr>
            <w:tcW w:w="1993" w:type="dxa"/>
          </w:tcPr>
          <w:p w:rsidR="0083792B" w:rsidRPr="00386CD6" w:rsidRDefault="0083792B" w:rsidP="0085651C">
            <w:pPr>
              <w:jc w:val="left"/>
              <w:rPr>
                <w:rFonts w:cs="Arial"/>
              </w:rPr>
            </w:pPr>
            <w:r w:rsidRPr="00386CD6">
              <w:rPr>
                <w:rFonts w:cs="Arial"/>
              </w:rPr>
              <w:t>Mars</w:t>
            </w:r>
          </w:p>
        </w:tc>
        <w:tc>
          <w:tcPr>
            <w:tcW w:w="1822" w:type="dxa"/>
            <w:shd w:val="clear" w:color="auto" w:fill="auto"/>
            <w:hideMark/>
          </w:tcPr>
          <w:p w:rsidR="0083792B" w:rsidRPr="00386CD6" w:rsidRDefault="0083792B" w:rsidP="00911C8B">
            <w:pPr>
              <w:jc w:val="left"/>
              <w:rPr>
                <w:rFonts w:cs="Arial"/>
              </w:rPr>
            </w:pPr>
            <w:r w:rsidRPr="00386CD6">
              <w:rPr>
                <w:rFonts w:cs="Arial"/>
              </w:rPr>
              <w:t>Rivoire</w:t>
            </w:r>
          </w:p>
        </w:tc>
      </w:tr>
      <w:tr w:rsidR="0083792B" w:rsidRPr="00386CD6" w:rsidTr="008B401F">
        <w:trPr>
          <w:trHeight w:val="765"/>
        </w:trPr>
        <w:tc>
          <w:tcPr>
            <w:tcW w:w="3765" w:type="dxa"/>
          </w:tcPr>
          <w:p w:rsidR="0083792B" w:rsidRPr="00386CD6" w:rsidRDefault="0083792B" w:rsidP="0085651C">
            <w:pPr>
              <w:jc w:val="left"/>
              <w:rPr>
                <w:rFonts w:cs="Arial"/>
              </w:rPr>
            </w:pPr>
            <w:r w:rsidRPr="00386CD6">
              <w:rPr>
                <w:rFonts w:cs="Arial"/>
              </w:rPr>
              <w:t>Séminaire de l’OMPI sur la propriété intellectuelle et les ressources génétiques, les savoirs traditionnels et les expressions culturelles traditionnelles : expériences régionales, nationales et locales</w:t>
            </w:r>
          </w:p>
        </w:tc>
        <w:tc>
          <w:tcPr>
            <w:tcW w:w="2309" w:type="dxa"/>
          </w:tcPr>
          <w:p w:rsidR="0083792B" w:rsidRPr="00386CD6" w:rsidRDefault="0083792B" w:rsidP="0085651C">
            <w:pPr>
              <w:jc w:val="left"/>
              <w:rPr>
                <w:rFonts w:cs="Arial"/>
              </w:rPr>
            </w:pPr>
            <w:r w:rsidRPr="00386CD6">
              <w:rPr>
                <w:rFonts w:cs="Arial"/>
              </w:rPr>
              <w:t>Genève (Suisse)</w:t>
            </w:r>
          </w:p>
        </w:tc>
        <w:tc>
          <w:tcPr>
            <w:tcW w:w="1993" w:type="dxa"/>
          </w:tcPr>
          <w:p w:rsidR="0083792B" w:rsidRPr="00386CD6" w:rsidRDefault="0083792B" w:rsidP="0085651C">
            <w:pPr>
              <w:jc w:val="left"/>
              <w:rPr>
                <w:rFonts w:cs="Arial"/>
              </w:rPr>
            </w:pPr>
            <w:r w:rsidRPr="00386CD6">
              <w:rPr>
                <w:rFonts w:cs="Arial"/>
              </w:rPr>
              <w:t>Mars</w:t>
            </w:r>
          </w:p>
        </w:tc>
        <w:tc>
          <w:tcPr>
            <w:tcW w:w="1822" w:type="dxa"/>
            <w:shd w:val="clear" w:color="auto" w:fill="auto"/>
            <w:hideMark/>
          </w:tcPr>
          <w:p w:rsidR="0083792B" w:rsidRPr="00386CD6" w:rsidRDefault="0083792B" w:rsidP="00911C8B">
            <w:pPr>
              <w:jc w:val="left"/>
              <w:rPr>
                <w:rFonts w:cs="Arial"/>
              </w:rPr>
            </w:pPr>
            <w:r w:rsidRPr="00386CD6">
              <w:rPr>
                <w:rFonts w:cs="Arial"/>
              </w:rPr>
              <w:t>Koide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Programme de maîtrise en sélection végétale de l’</w:t>
            </w:r>
            <w:r w:rsidRPr="00386CD6">
              <w:rPr>
                <w:rFonts w:cs="Arial"/>
                <w:i/>
              </w:rPr>
              <w:t>Institut Polytechnique LaSalle</w:t>
            </w:r>
            <w:r w:rsidRPr="00386CD6">
              <w:rPr>
                <w:rFonts w:cs="Arial"/>
              </w:rPr>
              <w:t xml:space="preserve"> </w:t>
            </w:r>
          </w:p>
        </w:tc>
        <w:tc>
          <w:tcPr>
            <w:tcW w:w="2309" w:type="dxa"/>
          </w:tcPr>
          <w:p w:rsidR="0083792B" w:rsidRPr="00386CD6" w:rsidRDefault="0083792B" w:rsidP="0085651C">
            <w:pPr>
              <w:jc w:val="left"/>
              <w:rPr>
                <w:rFonts w:cs="Arial"/>
              </w:rPr>
            </w:pPr>
            <w:r w:rsidRPr="00386CD6">
              <w:rPr>
                <w:rFonts w:cs="Arial"/>
              </w:rPr>
              <w:t>Beauvais (France)</w:t>
            </w:r>
          </w:p>
        </w:tc>
        <w:tc>
          <w:tcPr>
            <w:tcW w:w="1993" w:type="dxa"/>
          </w:tcPr>
          <w:p w:rsidR="0083792B" w:rsidRPr="00386CD6" w:rsidRDefault="0083792B" w:rsidP="0085651C">
            <w:pPr>
              <w:jc w:val="left"/>
              <w:rPr>
                <w:rFonts w:cs="Arial"/>
              </w:rPr>
            </w:pPr>
            <w:r w:rsidRPr="00386CD6">
              <w:rPr>
                <w:rFonts w:cs="Arial"/>
              </w:rPr>
              <w:t>Avril</w:t>
            </w:r>
          </w:p>
        </w:tc>
        <w:tc>
          <w:tcPr>
            <w:tcW w:w="1822" w:type="dxa"/>
            <w:shd w:val="clear" w:color="auto" w:fill="auto"/>
            <w:hideMark/>
          </w:tcPr>
          <w:p w:rsidR="0083792B" w:rsidRPr="00386CD6" w:rsidRDefault="0083792B" w:rsidP="00911C8B">
            <w:pPr>
              <w:jc w:val="left"/>
              <w:rPr>
                <w:rFonts w:cs="Arial"/>
              </w:rPr>
            </w:pPr>
            <w:r w:rsidRPr="00386CD6">
              <w:rPr>
                <w:rFonts w:cs="Arial"/>
              </w:rPr>
              <w:t>Rivoire</w:t>
            </w:r>
          </w:p>
        </w:tc>
      </w:tr>
      <w:tr w:rsidR="0083792B" w:rsidRPr="00386CD6" w:rsidTr="008B401F">
        <w:trPr>
          <w:trHeight w:val="765"/>
        </w:trPr>
        <w:tc>
          <w:tcPr>
            <w:tcW w:w="3765" w:type="dxa"/>
          </w:tcPr>
          <w:p w:rsidR="0083792B" w:rsidRPr="00386CD6" w:rsidRDefault="0083792B" w:rsidP="0085651C">
            <w:pPr>
              <w:jc w:val="left"/>
              <w:rPr>
                <w:rFonts w:cs="Arial"/>
              </w:rPr>
            </w:pPr>
            <w:r w:rsidRPr="00386CD6">
              <w:rPr>
                <w:rFonts w:cs="Arial"/>
              </w:rPr>
              <w:t>Atelier sur les droits d’obtenteur et les droits de propriété intellectuelle sur les végétaux – Application en Turquie et dans le monde (principalement dans l’Union européenne)</w:t>
            </w:r>
          </w:p>
        </w:tc>
        <w:tc>
          <w:tcPr>
            <w:tcW w:w="2309" w:type="dxa"/>
          </w:tcPr>
          <w:p w:rsidR="0083792B" w:rsidRPr="00386CD6" w:rsidRDefault="0083792B" w:rsidP="0085651C">
            <w:pPr>
              <w:jc w:val="left"/>
              <w:rPr>
                <w:rFonts w:cs="Arial"/>
              </w:rPr>
            </w:pPr>
            <w:r w:rsidRPr="00386CD6">
              <w:rPr>
                <w:rFonts w:cs="Arial"/>
              </w:rPr>
              <w:t>Antalya (Turquie)</w:t>
            </w:r>
          </w:p>
        </w:tc>
        <w:tc>
          <w:tcPr>
            <w:tcW w:w="1993" w:type="dxa"/>
          </w:tcPr>
          <w:p w:rsidR="0083792B" w:rsidRPr="00386CD6" w:rsidRDefault="0083792B" w:rsidP="0085651C">
            <w:pPr>
              <w:jc w:val="left"/>
              <w:rPr>
                <w:rFonts w:cs="Arial"/>
              </w:rPr>
            </w:pPr>
            <w:r w:rsidRPr="00386CD6">
              <w:rPr>
                <w:rFonts w:cs="Arial"/>
              </w:rPr>
              <w:t>Avril</w:t>
            </w:r>
          </w:p>
        </w:tc>
        <w:tc>
          <w:tcPr>
            <w:tcW w:w="1822" w:type="dxa"/>
            <w:shd w:val="clear" w:color="auto" w:fill="auto"/>
            <w:hideMark/>
          </w:tcPr>
          <w:p w:rsidR="0083792B" w:rsidRPr="00386CD6" w:rsidRDefault="0083792B" w:rsidP="00911C8B">
            <w:pPr>
              <w:jc w:val="left"/>
              <w:rPr>
                <w:rFonts w:cs="Arial"/>
              </w:rPr>
            </w:pPr>
            <w:r w:rsidRPr="00386CD6">
              <w:rPr>
                <w:rFonts w:cs="Arial"/>
              </w:rPr>
              <w:t>Koide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Exposé sur l’Acte de 1991 de la Convention UPOV à l’</w:t>
            </w:r>
            <w:r w:rsidRPr="00386CD6">
              <w:rPr>
                <w:rFonts w:cs="Arial"/>
                <w:i/>
              </w:rPr>
              <w:t>Instituto Pensar Agropecuaria</w:t>
            </w:r>
          </w:p>
        </w:tc>
        <w:tc>
          <w:tcPr>
            <w:tcW w:w="2309" w:type="dxa"/>
          </w:tcPr>
          <w:p w:rsidR="0083792B" w:rsidRPr="00386CD6" w:rsidRDefault="0083792B" w:rsidP="0085651C">
            <w:pPr>
              <w:jc w:val="left"/>
              <w:rPr>
                <w:rFonts w:cs="Arial"/>
              </w:rPr>
            </w:pPr>
            <w:r w:rsidRPr="00386CD6">
              <w:rPr>
                <w:rFonts w:cs="Arial"/>
              </w:rPr>
              <w:t>Brasilia (Brésil)</w:t>
            </w:r>
          </w:p>
        </w:tc>
        <w:tc>
          <w:tcPr>
            <w:tcW w:w="1993" w:type="dxa"/>
          </w:tcPr>
          <w:p w:rsidR="0083792B" w:rsidRPr="00386CD6" w:rsidRDefault="0083792B" w:rsidP="0085651C">
            <w:pPr>
              <w:jc w:val="left"/>
              <w:rPr>
                <w:rFonts w:cs="Arial"/>
              </w:rPr>
            </w:pPr>
            <w:r w:rsidRPr="00386CD6">
              <w:rPr>
                <w:rFonts w:cs="Arial"/>
              </w:rPr>
              <w:t>Avril</w:t>
            </w:r>
          </w:p>
        </w:tc>
        <w:tc>
          <w:tcPr>
            <w:tcW w:w="1822" w:type="dxa"/>
            <w:shd w:val="clear" w:color="auto" w:fill="auto"/>
            <w:hideMark/>
          </w:tcPr>
          <w:p w:rsidR="0083792B" w:rsidRPr="00386CD6" w:rsidRDefault="0083792B" w:rsidP="00911C8B">
            <w:pPr>
              <w:jc w:val="left"/>
              <w:rPr>
                <w:rFonts w:cs="Arial"/>
              </w:rPr>
            </w:pPr>
            <w:r w:rsidRPr="00386CD6">
              <w:rPr>
                <w:rFonts w:cs="Arial"/>
              </w:rPr>
              <w:t>Taveira</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UPOV/Naktuinbouw/MEA : Cours de formation sur la protection des obtentions végétales</w:t>
            </w:r>
          </w:p>
        </w:tc>
        <w:tc>
          <w:tcPr>
            <w:tcW w:w="2309" w:type="dxa"/>
          </w:tcPr>
          <w:p w:rsidR="0083792B" w:rsidRPr="00386CD6" w:rsidRDefault="0083792B" w:rsidP="0085651C">
            <w:pPr>
              <w:jc w:val="left"/>
              <w:rPr>
                <w:rFonts w:cs="Arial"/>
              </w:rPr>
            </w:pPr>
            <w:r w:rsidRPr="00386CD6">
              <w:rPr>
                <w:rFonts w:cs="Arial"/>
              </w:rPr>
              <w:t>Arusha (République</w:t>
            </w:r>
            <w:r w:rsidRPr="00386CD6">
              <w:rPr>
                <w:rFonts w:cs="Arial"/>
              </w:rPr>
              <w:noBreakHyphen/>
              <w:t>Unie de Tanzanie)</w:t>
            </w:r>
          </w:p>
        </w:tc>
        <w:tc>
          <w:tcPr>
            <w:tcW w:w="1993" w:type="dxa"/>
          </w:tcPr>
          <w:p w:rsidR="0083792B" w:rsidRPr="00386CD6" w:rsidRDefault="0083792B" w:rsidP="0085651C">
            <w:pPr>
              <w:jc w:val="left"/>
              <w:rPr>
                <w:rFonts w:cs="Arial"/>
              </w:rPr>
            </w:pPr>
            <w:r w:rsidRPr="00386CD6">
              <w:rPr>
                <w:rFonts w:cs="Arial"/>
              </w:rPr>
              <w:t>Avril</w:t>
            </w:r>
          </w:p>
        </w:tc>
        <w:tc>
          <w:tcPr>
            <w:tcW w:w="1822" w:type="dxa"/>
            <w:shd w:val="clear" w:color="auto" w:fill="auto"/>
            <w:hideMark/>
          </w:tcPr>
          <w:p w:rsidR="0083792B" w:rsidRPr="00386CD6" w:rsidRDefault="0083792B" w:rsidP="00911C8B">
            <w:pPr>
              <w:jc w:val="left"/>
              <w:rPr>
                <w:rFonts w:cs="Arial"/>
              </w:rPr>
            </w:pPr>
            <w:r w:rsidRPr="00386CD6">
              <w:rPr>
                <w:rFonts w:cs="Arial"/>
              </w:rPr>
              <w:t>Button, Rivoire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Cours national de formation pour experts DHS</w:t>
            </w:r>
          </w:p>
        </w:tc>
        <w:tc>
          <w:tcPr>
            <w:tcW w:w="2309" w:type="dxa"/>
          </w:tcPr>
          <w:p w:rsidR="0083792B" w:rsidRPr="00386CD6" w:rsidRDefault="0083792B" w:rsidP="0085651C">
            <w:pPr>
              <w:jc w:val="left"/>
              <w:rPr>
                <w:rFonts w:cs="Arial"/>
              </w:rPr>
            </w:pPr>
            <w:r w:rsidRPr="00386CD6">
              <w:rPr>
                <w:rFonts w:cs="Arial"/>
              </w:rPr>
              <w:t>San Fernando de Henares, Madrid (Espagne)</w:t>
            </w:r>
          </w:p>
        </w:tc>
        <w:tc>
          <w:tcPr>
            <w:tcW w:w="1993" w:type="dxa"/>
          </w:tcPr>
          <w:p w:rsidR="0083792B" w:rsidRPr="00386CD6" w:rsidRDefault="0083792B" w:rsidP="0085651C">
            <w:pPr>
              <w:jc w:val="left"/>
              <w:rPr>
                <w:rFonts w:cs="Arial"/>
              </w:rPr>
            </w:pPr>
            <w:r w:rsidRPr="00386CD6">
              <w:rPr>
                <w:rFonts w:cs="Arial"/>
              </w:rPr>
              <w:t>Avril</w:t>
            </w:r>
          </w:p>
        </w:tc>
        <w:tc>
          <w:tcPr>
            <w:tcW w:w="1822" w:type="dxa"/>
            <w:shd w:val="clear" w:color="auto" w:fill="auto"/>
            <w:hideMark/>
          </w:tcPr>
          <w:p w:rsidR="0083792B" w:rsidRPr="00386CD6" w:rsidRDefault="0083792B" w:rsidP="00911C8B">
            <w:pPr>
              <w:jc w:val="left"/>
              <w:rPr>
                <w:rFonts w:cs="Arial"/>
              </w:rPr>
            </w:pPr>
            <w:r w:rsidRPr="00386CD6">
              <w:rPr>
                <w:rFonts w:cs="Arial"/>
              </w:rPr>
              <w:t>Taveira</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Assemblée générale annuelle de la CIOPORA</w:t>
            </w:r>
          </w:p>
        </w:tc>
        <w:tc>
          <w:tcPr>
            <w:tcW w:w="2309" w:type="dxa"/>
          </w:tcPr>
          <w:p w:rsidR="0083792B" w:rsidRPr="00386CD6" w:rsidRDefault="0083792B" w:rsidP="0085651C">
            <w:pPr>
              <w:jc w:val="left"/>
              <w:rPr>
                <w:rFonts w:cs="Arial"/>
              </w:rPr>
            </w:pPr>
            <w:r w:rsidRPr="00386CD6">
              <w:rPr>
                <w:rFonts w:cs="Arial"/>
              </w:rPr>
              <w:t>Hambourg (Allemagne)</w:t>
            </w:r>
          </w:p>
        </w:tc>
        <w:tc>
          <w:tcPr>
            <w:tcW w:w="1993" w:type="dxa"/>
          </w:tcPr>
          <w:p w:rsidR="0083792B" w:rsidRPr="00386CD6" w:rsidRDefault="0083792B" w:rsidP="0085651C">
            <w:pPr>
              <w:jc w:val="left"/>
              <w:rPr>
                <w:rFonts w:cs="Arial"/>
              </w:rPr>
            </w:pPr>
            <w:r w:rsidRPr="00386CD6">
              <w:rPr>
                <w:rFonts w:cs="Arial"/>
              </w:rPr>
              <w:t>Avril</w:t>
            </w:r>
          </w:p>
        </w:tc>
        <w:tc>
          <w:tcPr>
            <w:tcW w:w="1822" w:type="dxa"/>
            <w:shd w:val="clear" w:color="auto" w:fill="auto"/>
            <w:hideMark/>
          </w:tcPr>
          <w:p w:rsidR="0083792B" w:rsidRPr="00386CD6" w:rsidRDefault="0083792B" w:rsidP="00911C8B">
            <w:pPr>
              <w:jc w:val="left"/>
              <w:rPr>
                <w:rFonts w:cs="Arial"/>
              </w:rPr>
            </w:pPr>
            <w:r w:rsidRPr="00386CD6">
              <w:rPr>
                <w:rFonts w:cs="Arial"/>
              </w:rPr>
              <w:t>Button</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Atelier de l’APSA sur les droits de propriété intellectuelle</w:t>
            </w:r>
          </w:p>
        </w:tc>
        <w:tc>
          <w:tcPr>
            <w:tcW w:w="2309" w:type="dxa"/>
          </w:tcPr>
          <w:p w:rsidR="0083792B" w:rsidRPr="00386CD6" w:rsidRDefault="0083792B" w:rsidP="0085651C">
            <w:pPr>
              <w:jc w:val="left"/>
              <w:rPr>
                <w:rFonts w:cs="Arial"/>
              </w:rPr>
            </w:pPr>
            <w:r w:rsidRPr="00386CD6">
              <w:rPr>
                <w:rFonts w:cs="Arial"/>
              </w:rPr>
              <w:t>Bangkok (Thaïlande)</w:t>
            </w:r>
          </w:p>
        </w:tc>
        <w:tc>
          <w:tcPr>
            <w:tcW w:w="1993" w:type="dxa"/>
          </w:tcPr>
          <w:p w:rsidR="0083792B" w:rsidRPr="00386CD6" w:rsidRDefault="0083792B" w:rsidP="0085651C">
            <w:pPr>
              <w:jc w:val="left"/>
              <w:rPr>
                <w:rFonts w:cs="Arial"/>
              </w:rPr>
            </w:pPr>
            <w:r w:rsidRPr="00386CD6">
              <w:rPr>
                <w:rFonts w:cs="Arial"/>
              </w:rPr>
              <w:t>Mai</w:t>
            </w:r>
          </w:p>
        </w:tc>
        <w:tc>
          <w:tcPr>
            <w:tcW w:w="1822" w:type="dxa"/>
            <w:shd w:val="clear" w:color="auto" w:fill="auto"/>
            <w:hideMark/>
          </w:tcPr>
          <w:p w:rsidR="0083792B" w:rsidRPr="00386CD6" w:rsidRDefault="0083792B" w:rsidP="00911C8B">
            <w:pPr>
              <w:jc w:val="left"/>
              <w:rPr>
                <w:rFonts w:cs="Arial"/>
              </w:rPr>
            </w:pPr>
            <w:r w:rsidRPr="00386CD6">
              <w:rPr>
                <w:rFonts w:cs="Arial"/>
              </w:rPr>
              <w:t>Button, Koide</w:t>
            </w:r>
          </w:p>
        </w:tc>
      </w:tr>
      <w:tr w:rsidR="0083792B" w:rsidRPr="00386CD6" w:rsidTr="008B401F">
        <w:trPr>
          <w:trHeight w:val="1020"/>
        </w:trPr>
        <w:tc>
          <w:tcPr>
            <w:tcW w:w="3765" w:type="dxa"/>
          </w:tcPr>
          <w:p w:rsidR="0083792B" w:rsidRPr="00386CD6" w:rsidRDefault="0083792B" w:rsidP="0085651C">
            <w:pPr>
              <w:jc w:val="left"/>
              <w:rPr>
                <w:rFonts w:cs="Arial"/>
              </w:rPr>
            </w:pPr>
            <w:r w:rsidRPr="00386CD6">
              <w:rPr>
                <w:rFonts w:cs="Arial"/>
              </w:rPr>
              <w:t>Lancement de l’indice mondial de la sécurité alimentaire mis au point par DuPont/The Economist Intelligence Unit et débat sur le thème “Alimentation et agriculture : des innovations rurales et urbaines pour relever le défi de la sécurité alimentaire”</w:t>
            </w:r>
          </w:p>
        </w:tc>
        <w:tc>
          <w:tcPr>
            <w:tcW w:w="2309" w:type="dxa"/>
          </w:tcPr>
          <w:p w:rsidR="0083792B" w:rsidRPr="00386CD6" w:rsidRDefault="0083792B" w:rsidP="0085651C">
            <w:pPr>
              <w:jc w:val="left"/>
              <w:rPr>
                <w:rFonts w:cs="Arial"/>
              </w:rPr>
            </w:pPr>
            <w:r w:rsidRPr="00386CD6">
              <w:rPr>
                <w:rFonts w:cs="Arial"/>
              </w:rPr>
              <w:t>Exposition universelle de Milan (Italie)</w:t>
            </w:r>
          </w:p>
        </w:tc>
        <w:tc>
          <w:tcPr>
            <w:tcW w:w="1993" w:type="dxa"/>
          </w:tcPr>
          <w:p w:rsidR="0083792B" w:rsidRPr="00386CD6" w:rsidRDefault="0083792B" w:rsidP="0085651C">
            <w:pPr>
              <w:jc w:val="left"/>
              <w:rPr>
                <w:rFonts w:cs="Arial"/>
              </w:rPr>
            </w:pPr>
            <w:r w:rsidRPr="00386CD6">
              <w:rPr>
                <w:rFonts w:cs="Arial"/>
              </w:rPr>
              <w:t>Mai</w:t>
            </w:r>
          </w:p>
        </w:tc>
        <w:tc>
          <w:tcPr>
            <w:tcW w:w="1822" w:type="dxa"/>
            <w:shd w:val="clear" w:color="auto" w:fill="auto"/>
            <w:hideMark/>
          </w:tcPr>
          <w:p w:rsidR="0083792B" w:rsidRPr="00386CD6" w:rsidRDefault="0083792B" w:rsidP="00911C8B">
            <w:pPr>
              <w:jc w:val="left"/>
              <w:rPr>
                <w:rFonts w:cs="Arial"/>
              </w:rPr>
            </w:pPr>
            <w:r w:rsidRPr="00386CD6">
              <w:rPr>
                <w:rFonts w:cs="Arial"/>
              </w:rPr>
              <w:t>Rivoire</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Congrès mondial 2015 de l’ISF sur les semences</w:t>
            </w:r>
          </w:p>
        </w:tc>
        <w:tc>
          <w:tcPr>
            <w:tcW w:w="2309" w:type="dxa"/>
          </w:tcPr>
          <w:p w:rsidR="0083792B" w:rsidRPr="00386CD6" w:rsidRDefault="0083792B" w:rsidP="0085651C">
            <w:pPr>
              <w:jc w:val="left"/>
              <w:rPr>
                <w:rFonts w:cs="Arial"/>
              </w:rPr>
            </w:pPr>
            <w:r w:rsidRPr="00386CD6">
              <w:rPr>
                <w:rFonts w:cs="Arial"/>
              </w:rPr>
              <w:t>Cracovie (Pologne)</w:t>
            </w:r>
          </w:p>
        </w:tc>
        <w:tc>
          <w:tcPr>
            <w:tcW w:w="1993" w:type="dxa"/>
          </w:tcPr>
          <w:p w:rsidR="0083792B" w:rsidRPr="00386CD6" w:rsidRDefault="0083792B" w:rsidP="0085651C">
            <w:pPr>
              <w:jc w:val="left"/>
              <w:rPr>
                <w:rFonts w:cs="Arial"/>
              </w:rPr>
            </w:pPr>
            <w:r w:rsidRPr="00386CD6">
              <w:rPr>
                <w:rFonts w:cs="Arial"/>
              </w:rPr>
              <w:t>Mai</w:t>
            </w:r>
          </w:p>
        </w:tc>
        <w:tc>
          <w:tcPr>
            <w:tcW w:w="1822" w:type="dxa"/>
            <w:shd w:val="clear" w:color="auto" w:fill="auto"/>
            <w:hideMark/>
          </w:tcPr>
          <w:p w:rsidR="0083792B" w:rsidRPr="00386CD6" w:rsidRDefault="0083792B" w:rsidP="00911C8B">
            <w:pPr>
              <w:jc w:val="left"/>
              <w:rPr>
                <w:rFonts w:cs="Arial"/>
              </w:rPr>
            </w:pPr>
            <w:r w:rsidRPr="00386CD6">
              <w:rPr>
                <w:rFonts w:cs="Arial"/>
              </w:rPr>
              <w:t>Button</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Cours de formation sur le thème “Protection des obtentions végétales et examen DHS”</w:t>
            </w:r>
            <w:r w:rsidRPr="00386CD6">
              <w:rPr>
                <w:rFonts w:eastAsiaTheme="minorEastAsia" w:cs="Arial"/>
                <w:sz w:val="18"/>
                <w:szCs w:val="18"/>
              </w:rPr>
              <w:t xml:space="preserve"> </w:t>
            </w:r>
            <w:r w:rsidRPr="00386CD6">
              <w:rPr>
                <w:rFonts w:cs="Arial"/>
              </w:rPr>
              <w:t>organisé par la KOICA et le KSVS</w:t>
            </w:r>
          </w:p>
        </w:tc>
        <w:tc>
          <w:tcPr>
            <w:tcW w:w="2309" w:type="dxa"/>
          </w:tcPr>
          <w:p w:rsidR="0083792B" w:rsidRPr="00386CD6" w:rsidRDefault="0083792B" w:rsidP="0085651C">
            <w:pPr>
              <w:jc w:val="left"/>
              <w:rPr>
                <w:rFonts w:cs="Arial"/>
              </w:rPr>
            </w:pPr>
            <w:r w:rsidRPr="00386CD6">
              <w:rPr>
                <w:rFonts w:cs="Arial"/>
              </w:rPr>
              <w:t>Gimcheon (République de Corée)</w:t>
            </w:r>
          </w:p>
        </w:tc>
        <w:tc>
          <w:tcPr>
            <w:tcW w:w="1993" w:type="dxa"/>
          </w:tcPr>
          <w:p w:rsidR="0083792B" w:rsidRPr="00386CD6" w:rsidRDefault="0083792B" w:rsidP="0085651C">
            <w:pPr>
              <w:jc w:val="left"/>
              <w:rPr>
                <w:rFonts w:cs="Arial"/>
              </w:rPr>
            </w:pPr>
            <w:r w:rsidRPr="00386CD6">
              <w:rPr>
                <w:rFonts w:cs="Arial"/>
              </w:rPr>
              <w:t>Juin</w:t>
            </w:r>
          </w:p>
        </w:tc>
        <w:tc>
          <w:tcPr>
            <w:tcW w:w="1822" w:type="dxa"/>
            <w:shd w:val="clear" w:color="auto" w:fill="auto"/>
            <w:hideMark/>
          </w:tcPr>
          <w:p w:rsidR="0083792B" w:rsidRPr="00386CD6" w:rsidRDefault="0083792B" w:rsidP="00911C8B">
            <w:pPr>
              <w:jc w:val="left"/>
              <w:rPr>
                <w:rFonts w:cs="Arial"/>
              </w:rPr>
            </w:pPr>
            <w:r w:rsidRPr="00386CD6">
              <w:rPr>
                <w:rFonts w:cs="Arial"/>
              </w:rPr>
              <w:t>Koide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Réunion annuelle sur les systèmes de semences de l’OCDE et Forum 2015 de l’OCDE sur le thème “Investir dans l’avenir : société, durabilité, prospérité”</w:t>
            </w:r>
          </w:p>
        </w:tc>
        <w:tc>
          <w:tcPr>
            <w:tcW w:w="2309" w:type="dxa"/>
          </w:tcPr>
          <w:p w:rsidR="0083792B" w:rsidRPr="00386CD6" w:rsidRDefault="0083792B" w:rsidP="0085651C">
            <w:pPr>
              <w:jc w:val="left"/>
              <w:rPr>
                <w:rFonts w:cs="Arial"/>
              </w:rPr>
            </w:pPr>
            <w:r w:rsidRPr="00386CD6">
              <w:rPr>
                <w:rFonts w:cs="Arial"/>
              </w:rPr>
              <w:t>Paris (France)</w:t>
            </w:r>
          </w:p>
        </w:tc>
        <w:tc>
          <w:tcPr>
            <w:tcW w:w="1993" w:type="dxa"/>
          </w:tcPr>
          <w:p w:rsidR="0083792B" w:rsidRPr="00386CD6" w:rsidRDefault="0083792B" w:rsidP="0085651C">
            <w:pPr>
              <w:jc w:val="left"/>
              <w:rPr>
                <w:rFonts w:cs="Arial"/>
              </w:rPr>
            </w:pPr>
            <w:r w:rsidRPr="00386CD6">
              <w:rPr>
                <w:rFonts w:cs="Arial"/>
              </w:rPr>
              <w:t>Juin</w:t>
            </w:r>
          </w:p>
        </w:tc>
        <w:tc>
          <w:tcPr>
            <w:tcW w:w="1822" w:type="dxa"/>
            <w:shd w:val="clear" w:color="auto" w:fill="auto"/>
            <w:hideMark/>
          </w:tcPr>
          <w:p w:rsidR="0083792B" w:rsidRPr="00386CD6" w:rsidRDefault="0083792B" w:rsidP="00911C8B">
            <w:pPr>
              <w:jc w:val="left"/>
              <w:rPr>
                <w:rFonts w:cs="Arial"/>
              </w:rPr>
            </w:pPr>
            <w:r w:rsidRPr="00386CD6">
              <w:rPr>
                <w:rFonts w:cs="Arial"/>
              </w:rPr>
              <w:t>Button, Taveira</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 xml:space="preserve">Réunion de l’équipe d’experts de l’OMPI chargée de la norme XML4IP </w:t>
            </w:r>
          </w:p>
        </w:tc>
        <w:tc>
          <w:tcPr>
            <w:tcW w:w="2309" w:type="dxa"/>
          </w:tcPr>
          <w:p w:rsidR="0083792B" w:rsidRPr="00386CD6" w:rsidRDefault="0083792B" w:rsidP="0085651C">
            <w:pPr>
              <w:jc w:val="left"/>
              <w:rPr>
                <w:rFonts w:cs="Arial"/>
              </w:rPr>
            </w:pPr>
            <w:r w:rsidRPr="00386CD6">
              <w:rPr>
                <w:rFonts w:cs="Arial"/>
              </w:rPr>
              <w:t>Genève (Suisse)</w:t>
            </w:r>
          </w:p>
        </w:tc>
        <w:tc>
          <w:tcPr>
            <w:tcW w:w="1993" w:type="dxa"/>
          </w:tcPr>
          <w:p w:rsidR="0083792B" w:rsidRPr="00386CD6" w:rsidRDefault="0083792B" w:rsidP="0085651C">
            <w:pPr>
              <w:jc w:val="left"/>
              <w:rPr>
                <w:rFonts w:cs="Arial"/>
              </w:rPr>
            </w:pPr>
            <w:r w:rsidRPr="00386CD6">
              <w:rPr>
                <w:rFonts w:cs="Arial"/>
              </w:rPr>
              <w:t>Juin</w:t>
            </w:r>
          </w:p>
        </w:tc>
        <w:tc>
          <w:tcPr>
            <w:tcW w:w="1822" w:type="dxa"/>
            <w:shd w:val="clear" w:color="auto" w:fill="auto"/>
            <w:hideMark/>
          </w:tcPr>
          <w:p w:rsidR="0083792B" w:rsidRPr="00386CD6" w:rsidRDefault="0083792B" w:rsidP="00911C8B">
            <w:pPr>
              <w:jc w:val="left"/>
              <w:rPr>
                <w:rFonts w:cs="Arial"/>
              </w:rPr>
            </w:pPr>
            <w:r w:rsidRPr="00386CD6">
              <w:rPr>
                <w:rFonts w:cs="Arial"/>
              </w:rPr>
              <w:t>Rivoire, Madhour</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Réunion du Conseil des ADPIC (siège de l’OMC)</w:t>
            </w:r>
          </w:p>
        </w:tc>
        <w:tc>
          <w:tcPr>
            <w:tcW w:w="2309" w:type="dxa"/>
          </w:tcPr>
          <w:p w:rsidR="0083792B" w:rsidRPr="00386CD6" w:rsidRDefault="0083792B" w:rsidP="0085651C">
            <w:pPr>
              <w:jc w:val="left"/>
              <w:rPr>
                <w:rFonts w:cs="Arial"/>
              </w:rPr>
            </w:pPr>
            <w:r w:rsidRPr="00386CD6">
              <w:rPr>
                <w:rFonts w:cs="Arial"/>
              </w:rPr>
              <w:t>Genève (Suisse)</w:t>
            </w:r>
          </w:p>
        </w:tc>
        <w:tc>
          <w:tcPr>
            <w:tcW w:w="1993" w:type="dxa"/>
          </w:tcPr>
          <w:p w:rsidR="0083792B" w:rsidRPr="00386CD6" w:rsidRDefault="0083792B" w:rsidP="0085651C">
            <w:pPr>
              <w:jc w:val="left"/>
              <w:rPr>
                <w:rFonts w:cs="Arial"/>
              </w:rPr>
            </w:pPr>
            <w:r w:rsidRPr="00386CD6">
              <w:rPr>
                <w:rFonts w:cs="Arial"/>
              </w:rPr>
              <w:t>Juin</w:t>
            </w:r>
          </w:p>
        </w:tc>
        <w:tc>
          <w:tcPr>
            <w:tcW w:w="1822" w:type="dxa"/>
            <w:shd w:val="clear" w:color="auto" w:fill="auto"/>
            <w:hideMark/>
          </w:tcPr>
          <w:p w:rsidR="0083792B" w:rsidRPr="00386CD6" w:rsidRDefault="0083792B" w:rsidP="00911C8B">
            <w:pPr>
              <w:jc w:val="left"/>
              <w:rPr>
                <w:rFonts w:cs="Arial"/>
              </w:rPr>
            </w:pPr>
            <w:r w:rsidRPr="00386CD6">
              <w:rPr>
                <w:rFonts w:cs="Arial"/>
              </w:rPr>
              <w:t>Huerta</w:t>
            </w:r>
          </w:p>
        </w:tc>
      </w:tr>
      <w:tr w:rsidR="0083792B" w:rsidRPr="00386CD6" w:rsidTr="008B401F">
        <w:trPr>
          <w:trHeight w:val="765"/>
        </w:trPr>
        <w:tc>
          <w:tcPr>
            <w:tcW w:w="3765" w:type="dxa"/>
          </w:tcPr>
          <w:p w:rsidR="0083792B" w:rsidRPr="00386CD6" w:rsidRDefault="0083792B" w:rsidP="0085651C">
            <w:pPr>
              <w:jc w:val="left"/>
              <w:rPr>
                <w:rFonts w:cs="Arial"/>
                <w:i/>
                <w:iCs/>
              </w:rPr>
            </w:pPr>
            <w:r w:rsidRPr="00386CD6">
              <w:rPr>
                <w:rFonts w:cs="Arial"/>
                <w:i/>
                <w:iCs/>
              </w:rPr>
              <w:t>Jornada de la Protección de las Variedades Vegetales y otros Derechos de Propiedad Industrial en el Desarrollo de la Agricultura</w:t>
            </w:r>
          </w:p>
        </w:tc>
        <w:tc>
          <w:tcPr>
            <w:tcW w:w="2309" w:type="dxa"/>
          </w:tcPr>
          <w:p w:rsidR="0083792B" w:rsidRPr="00386CD6" w:rsidRDefault="0083792B" w:rsidP="0085651C">
            <w:pPr>
              <w:jc w:val="left"/>
              <w:rPr>
                <w:rFonts w:cs="Arial"/>
              </w:rPr>
            </w:pPr>
            <w:r w:rsidRPr="00386CD6">
              <w:rPr>
                <w:rFonts w:cs="Arial"/>
              </w:rPr>
              <w:t>Madrid (Espagne)</w:t>
            </w:r>
          </w:p>
        </w:tc>
        <w:tc>
          <w:tcPr>
            <w:tcW w:w="1993" w:type="dxa"/>
          </w:tcPr>
          <w:p w:rsidR="0083792B" w:rsidRPr="00386CD6" w:rsidRDefault="0083792B" w:rsidP="0085651C">
            <w:pPr>
              <w:jc w:val="left"/>
              <w:rPr>
                <w:rFonts w:cs="Arial"/>
              </w:rPr>
            </w:pPr>
            <w:r w:rsidRPr="00386CD6">
              <w:rPr>
                <w:rFonts w:cs="Arial"/>
              </w:rPr>
              <w:t>Juin</w:t>
            </w:r>
          </w:p>
        </w:tc>
        <w:tc>
          <w:tcPr>
            <w:tcW w:w="1822" w:type="dxa"/>
            <w:shd w:val="clear" w:color="auto" w:fill="auto"/>
            <w:hideMark/>
          </w:tcPr>
          <w:p w:rsidR="0083792B" w:rsidRPr="00386CD6" w:rsidRDefault="0083792B" w:rsidP="00911C8B">
            <w:pPr>
              <w:jc w:val="left"/>
              <w:rPr>
                <w:rFonts w:cs="Arial"/>
              </w:rPr>
            </w:pPr>
            <w:r w:rsidRPr="00386CD6">
              <w:rPr>
                <w:rFonts w:cs="Arial"/>
              </w:rPr>
              <w:t>Huerta</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Groupe de travail technique sur les plantes potagères (TWV/49) et atelier préparatoire</w:t>
            </w:r>
          </w:p>
        </w:tc>
        <w:tc>
          <w:tcPr>
            <w:tcW w:w="2309" w:type="dxa"/>
          </w:tcPr>
          <w:p w:rsidR="0083792B" w:rsidRPr="00386CD6" w:rsidRDefault="0083792B" w:rsidP="0085651C">
            <w:pPr>
              <w:jc w:val="left"/>
              <w:rPr>
                <w:rFonts w:cs="Arial"/>
              </w:rPr>
            </w:pPr>
            <w:r w:rsidRPr="00386CD6">
              <w:rPr>
                <w:rFonts w:cs="Arial"/>
              </w:rPr>
              <w:t>Angers (France)</w:t>
            </w:r>
          </w:p>
        </w:tc>
        <w:tc>
          <w:tcPr>
            <w:tcW w:w="1993" w:type="dxa"/>
          </w:tcPr>
          <w:p w:rsidR="0083792B" w:rsidRPr="00386CD6" w:rsidRDefault="0083792B" w:rsidP="0085651C">
            <w:pPr>
              <w:jc w:val="left"/>
              <w:rPr>
                <w:rFonts w:cs="Arial"/>
              </w:rPr>
            </w:pPr>
            <w:r w:rsidRPr="00386CD6">
              <w:rPr>
                <w:rFonts w:cs="Arial"/>
              </w:rPr>
              <w:t>Juin</w:t>
            </w:r>
          </w:p>
        </w:tc>
        <w:tc>
          <w:tcPr>
            <w:tcW w:w="1822" w:type="dxa"/>
            <w:shd w:val="clear" w:color="auto" w:fill="auto"/>
            <w:hideMark/>
          </w:tcPr>
          <w:p w:rsidR="0083792B" w:rsidRPr="00386CD6" w:rsidRDefault="0083792B" w:rsidP="00911C8B">
            <w:pPr>
              <w:jc w:val="left"/>
              <w:rPr>
                <w:rFonts w:cs="Arial"/>
              </w:rPr>
            </w:pPr>
            <w:r w:rsidRPr="00386CD6">
              <w:rPr>
                <w:rFonts w:cs="Arial"/>
              </w:rPr>
              <w:t>Rivoire, Oertel</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Dix</w:t>
            </w:r>
            <w:r w:rsidRPr="00386CD6">
              <w:rPr>
                <w:rFonts w:cs="Arial"/>
              </w:rPr>
              <w:noBreakHyphen/>
              <w:t>huitième cours international sur la protection des obtentions végétales (Naktuinbouw)</w:t>
            </w:r>
          </w:p>
        </w:tc>
        <w:tc>
          <w:tcPr>
            <w:tcW w:w="2309" w:type="dxa"/>
          </w:tcPr>
          <w:p w:rsidR="0083792B" w:rsidRPr="00386CD6" w:rsidRDefault="0083792B" w:rsidP="0085651C">
            <w:pPr>
              <w:jc w:val="left"/>
              <w:rPr>
                <w:rFonts w:cs="Arial"/>
              </w:rPr>
            </w:pPr>
            <w:r w:rsidRPr="00386CD6">
              <w:rPr>
                <w:rFonts w:cs="Arial"/>
              </w:rPr>
              <w:t>Wageningue (Pays</w:t>
            </w:r>
            <w:r w:rsidRPr="00386CD6">
              <w:rPr>
                <w:rFonts w:cs="Arial"/>
              </w:rPr>
              <w:noBreakHyphen/>
              <w:t>Bas)</w:t>
            </w:r>
          </w:p>
        </w:tc>
        <w:tc>
          <w:tcPr>
            <w:tcW w:w="1993" w:type="dxa"/>
          </w:tcPr>
          <w:p w:rsidR="0083792B" w:rsidRPr="00386CD6" w:rsidRDefault="0083792B" w:rsidP="0085651C">
            <w:pPr>
              <w:jc w:val="left"/>
              <w:rPr>
                <w:rFonts w:cs="Arial"/>
              </w:rPr>
            </w:pPr>
            <w:r w:rsidRPr="00386CD6">
              <w:rPr>
                <w:rFonts w:cs="Arial"/>
              </w:rPr>
              <w:t>Juin</w:t>
            </w:r>
          </w:p>
        </w:tc>
        <w:tc>
          <w:tcPr>
            <w:tcW w:w="1822" w:type="dxa"/>
            <w:shd w:val="clear" w:color="auto" w:fill="auto"/>
            <w:hideMark/>
          </w:tcPr>
          <w:p w:rsidR="0083792B" w:rsidRPr="00386CD6" w:rsidRDefault="0083792B" w:rsidP="00911C8B">
            <w:pPr>
              <w:jc w:val="left"/>
              <w:rPr>
                <w:rFonts w:cs="Arial"/>
              </w:rPr>
            </w:pPr>
            <w:r w:rsidRPr="00386CD6">
              <w:rPr>
                <w:rFonts w:cs="Arial"/>
              </w:rPr>
              <w:t>Huerta, Koide, Besse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Cours de formation intitulé “Mettre en œuvre un système de contrôle de la qualité des semences et des plants pour assurer la distribution de semences de haute qualité” organisé par la JICA</w:t>
            </w:r>
          </w:p>
        </w:tc>
        <w:tc>
          <w:tcPr>
            <w:tcW w:w="2309" w:type="dxa"/>
          </w:tcPr>
          <w:p w:rsidR="0083792B" w:rsidRPr="00386CD6" w:rsidRDefault="0083792B" w:rsidP="0085651C">
            <w:pPr>
              <w:jc w:val="left"/>
              <w:rPr>
                <w:rFonts w:cs="Arial"/>
              </w:rPr>
            </w:pPr>
            <w:r w:rsidRPr="00386CD6">
              <w:rPr>
                <w:rFonts w:cs="Arial"/>
              </w:rPr>
              <w:t>Tsukuba (Japon)</w:t>
            </w:r>
          </w:p>
        </w:tc>
        <w:tc>
          <w:tcPr>
            <w:tcW w:w="1993" w:type="dxa"/>
          </w:tcPr>
          <w:p w:rsidR="0083792B" w:rsidRPr="00386CD6" w:rsidRDefault="0083792B" w:rsidP="0085651C">
            <w:pPr>
              <w:jc w:val="left"/>
              <w:rPr>
                <w:rFonts w:cs="Arial"/>
              </w:rPr>
            </w:pPr>
            <w:r w:rsidRPr="00386CD6">
              <w:rPr>
                <w:rFonts w:cs="Arial"/>
              </w:rPr>
              <w:t>Juin</w:t>
            </w:r>
          </w:p>
        </w:tc>
        <w:tc>
          <w:tcPr>
            <w:tcW w:w="1822" w:type="dxa"/>
            <w:shd w:val="clear" w:color="auto" w:fill="auto"/>
            <w:hideMark/>
          </w:tcPr>
          <w:p w:rsidR="0083792B" w:rsidRPr="00386CD6" w:rsidRDefault="0083792B" w:rsidP="00911C8B">
            <w:pPr>
              <w:jc w:val="left"/>
              <w:rPr>
                <w:rFonts w:cs="Arial"/>
              </w:rPr>
            </w:pPr>
            <w:r w:rsidRPr="00386CD6">
              <w:rPr>
                <w:rFonts w:cs="Arial"/>
              </w:rPr>
              <w:t>Button</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Colloque organisé par l’OMPI et l’OMC à l’intention des enseignants en propriété intellectuelle</w:t>
            </w:r>
          </w:p>
        </w:tc>
        <w:tc>
          <w:tcPr>
            <w:tcW w:w="2309" w:type="dxa"/>
          </w:tcPr>
          <w:p w:rsidR="0083792B" w:rsidRPr="00386CD6" w:rsidRDefault="0083792B" w:rsidP="0085651C">
            <w:pPr>
              <w:jc w:val="left"/>
              <w:rPr>
                <w:rFonts w:cs="Arial"/>
              </w:rPr>
            </w:pPr>
            <w:r w:rsidRPr="00386CD6">
              <w:rPr>
                <w:rFonts w:cs="Arial"/>
              </w:rPr>
              <w:t>Genève (Suisse)</w:t>
            </w:r>
          </w:p>
        </w:tc>
        <w:tc>
          <w:tcPr>
            <w:tcW w:w="1993" w:type="dxa"/>
          </w:tcPr>
          <w:p w:rsidR="0083792B" w:rsidRPr="00386CD6" w:rsidRDefault="0083792B" w:rsidP="0085651C">
            <w:pPr>
              <w:jc w:val="left"/>
              <w:rPr>
                <w:rFonts w:cs="Arial"/>
              </w:rPr>
            </w:pPr>
            <w:r w:rsidRPr="00386CD6">
              <w:rPr>
                <w:rFonts w:cs="Arial"/>
              </w:rPr>
              <w:t>Juin</w:t>
            </w:r>
          </w:p>
        </w:tc>
        <w:tc>
          <w:tcPr>
            <w:tcW w:w="1822" w:type="dxa"/>
            <w:shd w:val="clear" w:color="auto" w:fill="auto"/>
            <w:hideMark/>
          </w:tcPr>
          <w:p w:rsidR="0083792B" w:rsidRPr="00386CD6" w:rsidRDefault="0083792B" w:rsidP="00911C8B">
            <w:pPr>
              <w:jc w:val="left"/>
              <w:rPr>
                <w:rFonts w:cs="Arial"/>
              </w:rPr>
            </w:pPr>
            <w:r w:rsidRPr="00386CD6">
              <w:rPr>
                <w:rFonts w:cs="Arial"/>
              </w:rPr>
              <w:t>Button</w:t>
            </w:r>
          </w:p>
        </w:tc>
      </w:tr>
      <w:tr w:rsidR="0083792B" w:rsidRPr="00386CD6" w:rsidTr="008B401F">
        <w:trPr>
          <w:trHeight w:val="765"/>
        </w:trPr>
        <w:tc>
          <w:tcPr>
            <w:tcW w:w="3765" w:type="dxa"/>
          </w:tcPr>
          <w:p w:rsidR="0083792B" w:rsidRPr="00386CD6" w:rsidRDefault="0083792B" w:rsidP="0085651C">
            <w:pPr>
              <w:jc w:val="left"/>
              <w:rPr>
                <w:rFonts w:cs="Arial"/>
              </w:rPr>
            </w:pPr>
            <w:r w:rsidRPr="00386CD6">
              <w:rPr>
                <w:rFonts w:cs="Arial"/>
              </w:rPr>
              <w:t>Séminaire de l’OMPI sur la propriété intellectuelle et les ressources génétiques, les savoirs traditionnels et les expressions culturelles traditionnelles : les dimensions régionale et internationale</w:t>
            </w:r>
          </w:p>
        </w:tc>
        <w:tc>
          <w:tcPr>
            <w:tcW w:w="2309" w:type="dxa"/>
          </w:tcPr>
          <w:p w:rsidR="0083792B" w:rsidRPr="00386CD6" w:rsidRDefault="0083792B" w:rsidP="0085651C">
            <w:pPr>
              <w:jc w:val="left"/>
              <w:rPr>
                <w:rFonts w:cs="Arial"/>
              </w:rPr>
            </w:pPr>
            <w:r w:rsidRPr="00386CD6">
              <w:rPr>
                <w:rFonts w:cs="Arial"/>
              </w:rPr>
              <w:t>Genève (Suisse)</w:t>
            </w:r>
          </w:p>
        </w:tc>
        <w:tc>
          <w:tcPr>
            <w:tcW w:w="1993" w:type="dxa"/>
          </w:tcPr>
          <w:p w:rsidR="0083792B" w:rsidRPr="00386CD6" w:rsidRDefault="0083792B" w:rsidP="0085651C">
            <w:pPr>
              <w:jc w:val="left"/>
              <w:rPr>
                <w:rFonts w:cs="Arial"/>
              </w:rPr>
            </w:pPr>
            <w:r w:rsidRPr="00386CD6">
              <w:rPr>
                <w:rFonts w:cs="Arial"/>
              </w:rPr>
              <w:t>Juin</w:t>
            </w:r>
          </w:p>
        </w:tc>
        <w:tc>
          <w:tcPr>
            <w:tcW w:w="1822" w:type="dxa"/>
            <w:shd w:val="clear" w:color="auto" w:fill="auto"/>
            <w:hideMark/>
          </w:tcPr>
          <w:p w:rsidR="0083792B" w:rsidRPr="00386CD6" w:rsidRDefault="0083792B" w:rsidP="00911C8B">
            <w:pPr>
              <w:jc w:val="left"/>
              <w:rPr>
                <w:rFonts w:cs="Arial"/>
              </w:rPr>
            </w:pPr>
            <w:r w:rsidRPr="00386CD6">
              <w:rPr>
                <w:rFonts w:cs="Arial"/>
              </w:rPr>
              <w:t>Taveira</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Cours d’été sur la propriété intellectuelle organisé par l’OMPI et l’UNIGE</w:t>
            </w:r>
          </w:p>
        </w:tc>
        <w:tc>
          <w:tcPr>
            <w:tcW w:w="2309" w:type="dxa"/>
          </w:tcPr>
          <w:p w:rsidR="0083792B" w:rsidRPr="00386CD6" w:rsidRDefault="0083792B" w:rsidP="0085651C">
            <w:pPr>
              <w:jc w:val="left"/>
              <w:rPr>
                <w:rFonts w:cs="Arial"/>
              </w:rPr>
            </w:pPr>
            <w:r w:rsidRPr="00386CD6">
              <w:rPr>
                <w:rFonts w:cs="Arial"/>
              </w:rPr>
              <w:t>Genève (Suisse)</w:t>
            </w:r>
          </w:p>
        </w:tc>
        <w:tc>
          <w:tcPr>
            <w:tcW w:w="1993" w:type="dxa"/>
          </w:tcPr>
          <w:p w:rsidR="0083792B" w:rsidRPr="00386CD6" w:rsidRDefault="0083792B" w:rsidP="0085651C">
            <w:pPr>
              <w:jc w:val="left"/>
              <w:rPr>
                <w:rFonts w:cs="Arial"/>
              </w:rPr>
            </w:pPr>
            <w:r w:rsidRPr="00386CD6">
              <w:rPr>
                <w:rFonts w:cs="Arial"/>
              </w:rPr>
              <w:t>Juin</w:t>
            </w:r>
          </w:p>
        </w:tc>
        <w:tc>
          <w:tcPr>
            <w:tcW w:w="1822" w:type="dxa"/>
            <w:shd w:val="clear" w:color="auto" w:fill="auto"/>
            <w:hideMark/>
          </w:tcPr>
          <w:p w:rsidR="0083792B" w:rsidRPr="00386CD6" w:rsidRDefault="0083792B" w:rsidP="00911C8B">
            <w:pPr>
              <w:jc w:val="left"/>
              <w:rPr>
                <w:rFonts w:cs="Arial"/>
              </w:rPr>
            </w:pPr>
            <w:r w:rsidRPr="00386CD6">
              <w:rPr>
                <w:rFonts w:cs="Arial"/>
              </w:rPr>
              <w:t>Huerta</w:t>
            </w:r>
          </w:p>
        </w:tc>
      </w:tr>
      <w:tr w:rsidR="0083792B" w:rsidRPr="00386CD6" w:rsidTr="008B401F">
        <w:trPr>
          <w:trHeight w:val="1275"/>
        </w:trPr>
        <w:tc>
          <w:tcPr>
            <w:tcW w:w="3765" w:type="dxa"/>
          </w:tcPr>
          <w:p w:rsidR="0083792B" w:rsidRPr="00386CD6" w:rsidRDefault="0083792B" w:rsidP="0085651C">
            <w:pPr>
              <w:jc w:val="left"/>
              <w:rPr>
                <w:rFonts w:cs="Arial"/>
              </w:rPr>
            </w:pPr>
            <w:r w:rsidRPr="00386CD6">
              <w:rPr>
                <w:rFonts w:cs="Arial"/>
              </w:rPr>
              <w:t>Réunion du comité d’experts de l’ARIPO</w:t>
            </w:r>
            <w:r w:rsidRPr="00386CD6">
              <w:rPr>
                <w:rFonts w:cs="Arial"/>
              </w:rPr>
              <w:br/>
              <w:t>Conseil d’administration de l’ARIPO</w:t>
            </w:r>
            <w:r w:rsidRPr="00386CD6">
              <w:rPr>
                <w:rFonts w:cs="Arial"/>
              </w:rPr>
              <w:br/>
              <w:t>Conférence diplomatique de l’ARIPO pour l’adoption du projet de Protocole pour la protection des obtentions végétales (droits d’obtenteur)</w:t>
            </w:r>
          </w:p>
        </w:tc>
        <w:tc>
          <w:tcPr>
            <w:tcW w:w="2309" w:type="dxa"/>
          </w:tcPr>
          <w:p w:rsidR="0083792B" w:rsidRPr="00386CD6" w:rsidRDefault="0083792B" w:rsidP="0085651C">
            <w:pPr>
              <w:jc w:val="left"/>
              <w:rPr>
                <w:rFonts w:cs="Arial"/>
              </w:rPr>
            </w:pPr>
            <w:r w:rsidRPr="00386CD6">
              <w:rPr>
                <w:rFonts w:cs="Arial"/>
              </w:rPr>
              <w:t>Arusha (République</w:t>
            </w:r>
            <w:r w:rsidRPr="00386CD6">
              <w:rPr>
                <w:rFonts w:cs="Arial"/>
              </w:rPr>
              <w:noBreakHyphen/>
              <w:t>Unie de Tanzanie)</w:t>
            </w:r>
          </w:p>
        </w:tc>
        <w:tc>
          <w:tcPr>
            <w:tcW w:w="1993" w:type="dxa"/>
          </w:tcPr>
          <w:p w:rsidR="0083792B" w:rsidRPr="00386CD6" w:rsidRDefault="0083792B" w:rsidP="0085651C">
            <w:pPr>
              <w:jc w:val="left"/>
              <w:rPr>
                <w:rFonts w:cs="Arial"/>
              </w:rPr>
            </w:pPr>
            <w:r w:rsidRPr="00386CD6">
              <w:rPr>
                <w:rFonts w:cs="Arial"/>
              </w:rPr>
              <w:t>Juin</w:t>
            </w:r>
            <w:r w:rsidRPr="00386CD6">
              <w:rPr>
                <w:rFonts w:cs="Arial"/>
              </w:rPr>
              <w:noBreakHyphen/>
              <w:t>juillet</w:t>
            </w:r>
          </w:p>
        </w:tc>
        <w:tc>
          <w:tcPr>
            <w:tcW w:w="1822" w:type="dxa"/>
            <w:shd w:val="clear" w:color="auto" w:fill="auto"/>
            <w:hideMark/>
          </w:tcPr>
          <w:p w:rsidR="0083792B" w:rsidRPr="00386CD6" w:rsidRDefault="0083792B" w:rsidP="00911C8B">
            <w:pPr>
              <w:jc w:val="left"/>
              <w:rPr>
                <w:rFonts w:cs="Arial"/>
              </w:rPr>
            </w:pPr>
            <w:r w:rsidRPr="00386CD6">
              <w:rPr>
                <w:rFonts w:cs="Arial"/>
              </w:rPr>
              <w:t>Button, Huerta, Rivoire</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Groupe de travail technique sur les systèmes d’automatisation et les programmes d’ordinateur (TWC/33) et atelier préparatoire</w:t>
            </w:r>
          </w:p>
        </w:tc>
        <w:tc>
          <w:tcPr>
            <w:tcW w:w="2309" w:type="dxa"/>
          </w:tcPr>
          <w:p w:rsidR="0083792B" w:rsidRPr="00386CD6" w:rsidRDefault="0083792B" w:rsidP="0085651C">
            <w:pPr>
              <w:jc w:val="left"/>
              <w:rPr>
                <w:rFonts w:cs="Arial"/>
              </w:rPr>
            </w:pPr>
            <w:r w:rsidRPr="00386CD6">
              <w:rPr>
                <w:rFonts w:cs="Arial"/>
              </w:rPr>
              <w:t>Natal (Brésil)</w:t>
            </w:r>
          </w:p>
        </w:tc>
        <w:tc>
          <w:tcPr>
            <w:tcW w:w="1993" w:type="dxa"/>
          </w:tcPr>
          <w:p w:rsidR="0083792B" w:rsidRPr="00386CD6" w:rsidRDefault="0083792B" w:rsidP="0085651C">
            <w:pPr>
              <w:jc w:val="left"/>
              <w:rPr>
                <w:rFonts w:cs="Arial"/>
              </w:rPr>
            </w:pPr>
            <w:r w:rsidRPr="00386CD6">
              <w:rPr>
                <w:rFonts w:cs="Arial"/>
              </w:rPr>
              <w:t>Juin</w:t>
            </w:r>
          </w:p>
        </w:tc>
        <w:tc>
          <w:tcPr>
            <w:tcW w:w="1822" w:type="dxa"/>
            <w:shd w:val="clear" w:color="auto" w:fill="auto"/>
            <w:hideMark/>
          </w:tcPr>
          <w:p w:rsidR="0083792B" w:rsidRPr="00386CD6" w:rsidRDefault="0083792B" w:rsidP="00911C8B">
            <w:pPr>
              <w:jc w:val="left"/>
              <w:rPr>
                <w:rFonts w:cs="Arial"/>
              </w:rPr>
            </w:pPr>
            <w:r w:rsidRPr="00386CD6">
              <w:rPr>
                <w:rFonts w:cs="Arial"/>
              </w:rPr>
              <w:t>Koide, Taveira</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Groupe de travail technique sur les plantes agricoles (TWA/44) et atelier préparatoire</w:t>
            </w:r>
          </w:p>
        </w:tc>
        <w:tc>
          <w:tcPr>
            <w:tcW w:w="2309" w:type="dxa"/>
          </w:tcPr>
          <w:p w:rsidR="0083792B" w:rsidRPr="00386CD6" w:rsidRDefault="0083792B" w:rsidP="0085651C">
            <w:pPr>
              <w:jc w:val="left"/>
              <w:rPr>
                <w:rFonts w:cs="Arial"/>
              </w:rPr>
            </w:pPr>
            <w:r w:rsidRPr="00386CD6">
              <w:rPr>
                <w:rFonts w:cs="Arial"/>
              </w:rPr>
              <w:t>Obihiro (Japon)</w:t>
            </w:r>
          </w:p>
        </w:tc>
        <w:tc>
          <w:tcPr>
            <w:tcW w:w="1993" w:type="dxa"/>
          </w:tcPr>
          <w:p w:rsidR="0083792B" w:rsidRPr="00386CD6" w:rsidRDefault="0083792B" w:rsidP="0085651C">
            <w:pPr>
              <w:jc w:val="left"/>
              <w:rPr>
                <w:rFonts w:cs="Arial"/>
              </w:rPr>
            </w:pPr>
            <w:r w:rsidRPr="00386CD6">
              <w:rPr>
                <w:rFonts w:cs="Arial"/>
              </w:rPr>
              <w:t>Juillet</w:t>
            </w:r>
          </w:p>
        </w:tc>
        <w:tc>
          <w:tcPr>
            <w:tcW w:w="1822" w:type="dxa"/>
            <w:shd w:val="clear" w:color="auto" w:fill="auto"/>
            <w:hideMark/>
          </w:tcPr>
          <w:p w:rsidR="0083792B" w:rsidRPr="00386CD6" w:rsidRDefault="0083792B" w:rsidP="00911C8B">
            <w:pPr>
              <w:jc w:val="left"/>
              <w:rPr>
                <w:rFonts w:cs="Arial"/>
              </w:rPr>
            </w:pPr>
            <w:r w:rsidRPr="00386CD6">
              <w:rPr>
                <w:rFonts w:cs="Arial"/>
              </w:rPr>
              <w:t>Taveira, Oertel</w:t>
            </w:r>
          </w:p>
        </w:tc>
      </w:tr>
      <w:tr w:rsidR="0083792B" w:rsidRPr="00386CD6" w:rsidTr="008B401F">
        <w:trPr>
          <w:trHeight w:val="765"/>
        </w:trPr>
        <w:tc>
          <w:tcPr>
            <w:tcW w:w="3765" w:type="dxa"/>
          </w:tcPr>
          <w:p w:rsidR="0083792B" w:rsidRPr="00386CD6" w:rsidRDefault="0083792B" w:rsidP="0085651C">
            <w:pPr>
              <w:jc w:val="left"/>
              <w:rPr>
                <w:rFonts w:cs="Arial"/>
              </w:rPr>
            </w:pPr>
            <w:r w:rsidRPr="00386CD6">
              <w:rPr>
                <w:rFonts w:cs="Arial"/>
              </w:rPr>
              <w:t>Sixième édition du programme de maîtrise en droit de la propriété intellectuelle organisé par l’OMPI et l’Université de technologie du Queensland (QUT)</w:t>
            </w:r>
          </w:p>
        </w:tc>
        <w:tc>
          <w:tcPr>
            <w:tcW w:w="2309" w:type="dxa"/>
          </w:tcPr>
          <w:p w:rsidR="0083792B" w:rsidRPr="00386CD6" w:rsidRDefault="0083792B" w:rsidP="0085651C">
            <w:pPr>
              <w:jc w:val="left"/>
              <w:rPr>
                <w:rFonts w:cs="Arial"/>
              </w:rPr>
            </w:pPr>
            <w:r w:rsidRPr="00386CD6">
              <w:rPr>
                <w:rFonts w:cs="Arial"/>
              </w:rPr>
              <w:t>Brisbane (Australie)</w:t>
            </w:r>
          </w:p>
        </w:tc>
        <w:tc>
          <w:tcPr>
            <w:tcW w:w="1993" w:type="dxa"/>
          </w:tcPr>
          <w:p w:rsidR="0083792B" w:rsidRPr="00386CD6" w:rsidRDefault="0083792B" w:rsidP="0085651C">
            <w:pPr>
              <w:jc w:val="left"/>
              <w:rPr>
                <w:rFonts w:cs="Arial"/>
              </w:rPr>
            </w:pPr>
            <w:r w:rsidRPr="00386CD6">
              <w:rPr>
                <w:rFonts w:cs="Arial"/>
              </w:rPr>
              <w:t>Juillet</w:t>
            </w:r>
          </w:p>
        </w:tc>
        <w:tc>
          <w:tcPr>
            <w:tcW w:w="1822" w:type="dxa"/>
            <w:shd w:val="clear" w:color="auto" w:fill="auto"/>
            <w:hideMark/>
          </w:tcPr>
          <w:p w:rsidR="0083792B" w:rsidRPr="00386CD6" w:rsidRDefault="0083792B" w:rsidP="00911C8B">
            <w:pPr>
              <w:jc w:val="left"/>
              <w:rPr>
                <w:rFonts w:cs="Arial"/>
              </w:rPr>
            </w:pPr>
            <w:r w:rsidRPr="00386CD6">
              <w:rPr>
                <w:rFonts w:cs="Arial"/>
              </w:rPr>
              <w:t>Waterhouse (Australie)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Conférence intitulée “Le changement climatique et la sécurité alimentaire : défis pour la santé et la sélection des plantes, et pour les ressources génétiques”</w:t>
            </w:r>
          </w:p>
        </w:tc>
        <w:tc>
          <w:tcPr>
            <w:tcW w:w="2309" w:type="dxa"/>
          </w:tcPr>
          <w:p w:rsidR="0083792B" w:rsidRPr="00386CD6" w:rsidRDefault="0083792B" w:rsidP="0085651C">
            <w:pPr>
              <w:jc w:val="left"/>
              <w:rPr>
                <w:rFonts w:cs="Arial"/>
              </w:rPr>
            </w:pPr>
            <w:r w:rsidRPr="00386CD6">
              <w:rPr>
                <w:rFonts w:cs="Arial"/>
              </w:rPr>
              <w:t>Exposition universelle de Milan (Italie)</w:t>
            </w:r>
          </w:p>
        </w:tc>
        <w:tc>
          <w:tcPr>
            <w:tcW w:w="1993" w:type="dxa"/>
          </w:tcPr>
          <w:p w:rsidR="0083792B" w:rsidRPr="00386CD6" w:rsidRDefault="0083792B" w:rsidP="0085651C">
            <w:pPr>
              <w:jc w:val="left"/>
              <w:rPr>
                <w:rFonts w:cs="Arial"/>
              </w:rPr>
            </w:pPr>
            <w:r w:rsidRPr="00386CD6">
              <w:rPr>
                <w:rFonts w:cs="Arial"/>
              </w:rPr>
              <w:t>Juillet</w:t>
            </w:r>
          </w:p>
        </w:tc>
        <w:tc>
          <w:tcPr>
            <w:tcW w:w="1822" w:type="dxa"/>
            <w:shd w:val="clear" w:color="auto" w:fill="auto"/>
            <w:hideMark/>
          </w:tcPr>
          <w:p w:rsidR="0083792B" w:rsidRPr="00386CD6" w:rsidRDefault="0083792B" w:rsidP="00911C8B">
            <w:pPr>
              <w:jc w:val="left"/>
              <w:rPr>
                <w:rFonts w:cs="Arial"/>
              </w:rPr>
            </w:pPr>
            <w:r w:rsidRPr="00386CD6">
              <w:rPr>
                <w:rFonts w:cs="Arial"/>
              </w:rPr>
              <w:t>Button</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Séminaire national d’information et de sensibilisation sur la protection des obtentions végétales organisé par l’OAPI</w:t>
            </w:r>
          </w:p>
        </w:tc>
        <w:tc>
          <w:tcPr>
            <w:tcW w:w="2309" w:type="dxa"/>
          </w:tcPr>
          <w:p w:rsidR="0083792B" w:rsidRPr="00386CD6" w:rsidRDefault="0083792B" w:rsidP="0085651C">
            <w:pPr>
              <w:jc w:val="left"/>
              <w:rPr>
                <w:rFonts w:cs="Arial"/>
              </w:rPr>
            </w:pPr>
            <w:r w:rsidRPr="00386CD6">
              <w:rPr>
                <w:rFonts w:cs="Arial"/>
              </w:rPr>
              <w:t>Buéa (Cameroun)</w:t>
            </w:r>
          </w:p>
        </w:tc>
        <w:tc>
          <w:tcPr>
            <w:tcW w:w="1993" w:type="dxa"/>
          </w:tcPr>
          <w:p w:rsidR="0083792B" w:rsidRPr="00386CD6" w:rsidRDefault="0083792B" w:rsidP="0085651C">
            <w:pPr>
              <w:jc w:val="left"/>
              <w:rPr>
                <w:rFonts w:cs="Arial"/>
              </w:rPr>
            </w:pPr>
            <w:r w:rsidRPr="00386CD6">
              <w:rPr>
                <w:rFonts w:cs="Arial"/>
              </w:rPr>
              <w:t>Juillet</w:t>
            </w:r>
          </w:p>
        </w:tc>
        <w:tc>
          <w:tcPr>
            <w:tcW w:w="1822" w:type="dxa"/>
            <w:shd w:val="clear" w:color="auto" w:fill="auto"/>
            <w:hideMark/>
          </w:tcPr>
          <w:p w:rsidR="0083792B" w:rsidRPr="00386CD6" w:rsidRDefault="0083792B" w:rsidP="00911C8B">
            <w:pPr>
              <w:jc w:val="left"/>
              <w:rPr>
                <w:rFonts w:cs="Arial"/>
              </w:rPr>
            </w:pPr>
            <w:r w:rsidRPr="00386CD6">
              <w:rPr>
                <w:rFonts w:cs="Arial"/>
              </w:rPr>
              <w:t>Rivoire</w:t>
            </w:r>
          </w:p>
        </w:tc>
      </w:tr>
      <w:tr w:rsidR="0083792B" w:rsidRPr="00386CD6" w:rsidTr="008B401F">
        <w:trPr>
          <w:trHeight w:val="765"/>
        </w:trPr>
        <w:tc>
          <w:tcPr>
            <w:tcW w:w="3765" w:type="dxa"/>
          </w:tcPr>
          <w:p w:rsidR="0083792B" w:rsidRPr="00386CD6" w:rsidRDefault="0083792B" w:rsidP="0085651C">
            <w:pPr>
              <w:jc w:val="left"/>
              <w:rPr>
                <w:rFonts w:cs="Arial"/>
              </w:rPr>
            </w:pPr>
            <w:r w:rsidRPr="00386CD6">
              <w:rPr>
                <w:rFonts w:cs="Arial"/>
              </w:rPr>
              <w:t>Ateliers du CORAF pour le comité régional des semences ECOWAS</w:t>
            </w:r>
            <w:r w:rsidRPr="00386CD6">
              <w:rPr>
                <w:rFonts w:cs="Arial"/>
              </w:rPr>
              <w:noBreakHyphen/>
              <w:t>UEMOA</w:t>
            </w:r>
            <w:r w:rsidRPr="00386CD6">
              <w:rPr>
                <w:rFonts w:cs="Arial"/>
              </w:rPr>
              <w:noBreakHyphen/>
              <w:t>CILSS (COASem &amp; CRSU) et l’Alliance pour une industrie semencière en Afrique de l’Ouest (ASIWA)</w:t>
            </w:r>
          </w:p>
        </w:tc>
        <w:tc>
          <w:tcPr>
            <w:tcW w:w="2309" w:type="dxa"/>
          </w:tcPr>
          <w:p w:rsidR="0083792B" w:rsidRPr="00386CD6" w:rsidRDefault="0083792B" w:rsidP="0085651C">
            <w:pPr>
              <w:jc w:val="left"/>
              <w:rPr>
                <w:rFonts w:cs="Arial"/>
              </w:rPr>
            </w:pPr>
            <w:r w:rsidRPr="00386CD6">
              <w:rPr>
                <w:rFonts w:cs="Arial"/>
              </w:rPr>
              <w:t>Abidjan (Côte d’Ivoire)</w:t>
            </w:r>
          </w:p>
        </w:tc>
        <w:tc>
          <w:tcPr>
            <w:tcW w:w="1993" w:type="dxa"/>
          </w:tcPr>
          <w:p w:rsidR="0083792B" w:rsidRPr="00386CD6" w:rsidRDefault="0083792B" w:rsidP="0085651C">
            <w:pPr>
              <w:jc w:val="left"/>
              <w:rPr>
                <w:rFonts w:cs="Arial"/>
              </w:rPr>
            </w:pPr>
            <w:r w:rsidRPr="00386CD6">
              <w:rPr>
                <w:rFonts w:cs="Arial"/>
              </w:rPr>
              <w:t>Août</w:t>
            </w:r>
          </w:p>
        </w:tc>
        <w:tc>
          <w:tcPr>
            <w:tcW w:w="1822" w:type="dxa"/>
            <w:shd w:val="clear" w:color="auto" w:fill="auto"/>
            <w:hideMark/>
          </w:tcPr>
          <w:p w:rsidR="0083792B" w:rsidRPr="00386CD6" w:rsidRDefault="0083792B" w:rsidP="00911C8B">
            <w:pPr>
              <w:jc w:val="left"/>
              <w:rPr>
                <w:rFonts w:cs="Arial"/>
              </w:rPr>
            </w:pPr>
            <w:r w:rsidRPr="00386CD6">
              <w:rPr>
                <w:rFonts w:cs="Arial"/>
              </w:rPr>
              <w:t>Rivoire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Congrès bolivien sur les semences</w:t>
            </w:r>
          </w:p>
        </w:tc>
        <w:tc>
          <w:tcPr>
            <w:tcW w:w="2309" w:type="dxa"/>
          </w:tcPr>
          <w:p w:rsidR="0083792B" w:rsidRPr="00386CD6" w:rsidRDefault="0083792B" w:rsidP="0085651C">
            <w:pPr>
              <w:jc w:val="left"/>
              <w:rPr>
                <w:rFonts w:cs="Arial"/>
              </w:rPr>
            </w:pPr>
            <w:r w:rsidRPr="00386CD6">
              <w:rPr>
                <w:rFonts w:cs="Arial"/>
              </w:rPr>
              <w:t>Santa Cruz de la Sierra (État plurinational de Bolivie)</w:t>
            </w:r>
          </w:p>
        </w:tc>
        <w:tc>
          <w:tcPr>
            <w:tcW w:w="1993" w:type="dxa"/>
          </w:tcPr>
          <w:p w:rsidR="0083792B" w:rsidRPr="00386CD6" w:rsidRDefault="0083792B" w:rsidP="0085651C">
            <w:pPr>
              <w:jc w:val="left"/>
              <w:rPr>
                <w:rFonts w:cs="Arial"/>
              </w:rPr>
            </w:pPr>
            <w:r w:rsidRPr="00386CD6">
              <w:rPr>
                <w:rFonts w:cs="Arial"/>
              </w:rPr>
              <w:t>Août</w:t>
            </w:r>
          </w:p>
        </w:tc>
        <w:tc>
          <w:tcPr>
            <w:tcW w:w="1822" w:type="dxa"/>
            <w:shd w:val="clear" w:color="auto" w:fill="auto"/>
            <w:hideMark/>
          </w:tcPr>
          <w:p w:rsidR="0083792B" w:rsidRPr="00386CD6" w:rsidRDefault="0083792B" w:rsidP="00911C8B">
            <w:pPr>
              <w:jc w:val="left"/>
              <w:rPr>
                <w:rFonts w:cs="Arial"/>
              </w:rPr>
            </w:pPr>
            <w:r w:rsidRPr="00386CD6">
              <w:rPr>
                <w:rFonts w:cs="Arial"/>
              </w:rPr>
              <w:t>Taveira</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Groupe de travail technique sur les plantes fruitières (TWF/46) et atelier préparatoire</w:t>
            </w:r>
          </w:p>
        </w:tc>
        <w:tc>
          <w:tcPr>
            <w:tcW w:w="2309" w:type="dxa"/>
          </w:tcPr>
          <w:p w:rsidR="0083792B" w:rsidRPr="00386CD6" w:rsidRDefault="0083792B" w:rsidP="0085651C">
            <w:pPr>
              <w:jc w:val="left"/>
              <w:rPr>
                <w:rFonts w:cs="Arial"/>
              </w:rPr>
            </w:pPr>
            <w:r w:rsidRPr="00386CD6">
              <w:rPr>
                <w:rFonts w:cs="Arial"/>
              </w:rPr>
              <w:t>Mpumalanga (Afrique du Sud)</w:t>
            </w:r>
          </w:p>
        </w:tc>
        <w:tc>
          <w:tcPr>
            <w:tcW w:w="1993" w:type="dxa"/>
          </w:tcPr>
          <w:p w:rsidR="0083792B" w:rsidRPr="00386CD6" w:rsidRDefault="0083792B" w:rsidP="0085651C">
            <w:pPr>
              <w:jc w:val="left"/>
              <w:rPr>
                <w:rFonts w:cs="Arial"/>
              </w:rPr>
            </w:pPr>
            <w:r w:rsidRPr="00386CD6">
              <w:rPr>
                <w:rFonts w:cs="Arial"/>
              </w:rPr>
              <w:t>Août</w:t>
            </w:r>
          </w:p>
        </w:tc>
        <w:tc>
          <w:tcPr>
            <w:tcW w:w="1822" w:type="dxa"/>
            <w:shd w:val="clear" w:color="auto" w:fill="auto"/>
            <w:hideMark/>
          </w:tcPr>
          <w:p w:rsidR="0083792B" w:rsidRPr="00386CD6" w:rsidRDefault="0083792B" w:rsidP="00911C8B">
            <w:pPr>
              <w:jc w:val="left"/>
              <w:rPr>
                <w:rFonts w:cs="Arial"/>
              </w:rPr>
            </w:pPr>
            <w:r w:rsidRPr="00386CD6">
              <w:rPr>
                <w:rFonts w:cs="Arial"/>
              </w:rPr>
              <w:t>Taveira, Oertel</w:t>
            </w:r>
          </w:p>
        </w:tc>
      </w:tr>
      <w:tr w:rsidR="0083792B" w:rsidRPr="00386CD6" w:rsidTr="008B401F">
        <w:trPr>
          <w:trHeight w:val="1020"/>
        </w:trPr>
        <w:tc>
          <w:tcPr>
            <w:tcW w:w="3765" w:type="dxa"/>
          </w:tcPr>
          <w:p w:rsidR="0083792B" w:rsidRPr="00386CD6" w:rsidRDefault="0083792B" w:rsidP="0085651C">
            <w:pPr>
              <w:jc w:val="left"/>
              <w:rPr>
                <w:rFonts w:cs="Arial"/>
              </w:rPr>
            </w:pPr>
            <w:r w:rsidRPr="00386CD6">
              <w:rPr>
                <w:rFonts w:cs="Arial"/>
              </w:rPr>
              <w:t>Huitième réunion annuelle du Forum sur la protection des obtentions végétales en Asie orientale (Forum EAPVP</w:t>
            </w:r>
            <w:proofErr w:type="gramStart"/>
            <w:r w:rsidRPr="00386CD6">
              <w:rPr>
                <w:rFonts w:cs="Arial"/>
              </w:rPr>
              <w:t>)</w:t>
            </w:r>
            <w:proofErr w:type="gramEnd"/>
            <w:r w:rsidRPr="00386CD6">
              <w:rPr>
                <w:rFonts w:cs="Arial"/>
              </w:rPr>
              <w:br/>
              <w:t>Colloque sur la protection des obtentions végétales organisé par le KSVS et intitulé “Procédure de demande émanant de pays étrangers”</w:t>
            </w:r>
          </w:p>
        </w:tc>
        <w:tc>
          <w:tcPr>
            <w:tcW w:w="2309" w:type="dxa"/>
          </w:tcPr>
          <w:p w:rsidR="0083792B" w:rsidRPr="00386CD6" w:rsidRDefault="0083792B" w:rsidP="0085651C">
            <w:pPr>
              <w:jc w:val="left"/>
              <w:rPr>
                <w:rFonts w:cs="Arial"/>
              </w:rPr>
            </w:pPr>
            <w:r w:rsidRPr="00386CD6">
              <w:rPr>
                <w:rFonts w:cs="Arial"/>
              </w:rPr>
              <w:t>Séoul (République de Corée)</w:t>
            </w:r>
          </w:p>
        </w:tc>
        <w:tc>
          <w:tcPr>
            <w:tcW w:w="1993" w:type="dxa"/>
          </w:tcPr>
          <w:p w:rsidR="0083792B" w:rsidRPr="00386CD6" w:rsidRDefault="0083792B" w:rsidP="0085651C">
            <w:pPr>
              <w:jc w:val="left"/>
              <w:rPr>
                <w:rFonts w:cs="Arial"/>
              </w:rPr>
            </w:pPr>
            <w:r w:rsidRPr="00386CD6">
              <w:rPr>
                <w:rFonts w:cs="Arial"/>
              </w:rPr>
              <w:t>Septembre</w:t>
            </w:r>
          </w:p>
        </w:tc>
        <w:tc>
          <w:tcPr>
            <w:tcW w:w="1822" w:type="dxa"/>
            <w:shd w:val="clear" w:color="auto" w:fill="auto"/>
            <w:hideMark/>
          </w:tcPr>
          <w:p w:rsidR="0083792B" w:rsidRPr="00386CD6" w:rsidRDefault="0083792B" w:rsidP="00911C8B">
            <w:pPr>
              <w:jc w:val="left"/>
              <w:rPr>
                <w:rFonts w:cs="Arial"/>
              </w:rPr>
            </w:pPr>
            <w:r w:rsidRPr="00386CD6">
              <w:rPr>
                <w:rFonts w:cs="Arial"/>
              </w:rPr>
              <w:t>Button, Koide</w:t>
            </w:r>
          </w:p>
        </w:tc>
      </w:tr>
      <w:tr w:rsidR="0083792B" w:rsidRPr="00386CD6" w:rsidTr="008B401F">
        <w:trPr>
          <w:trHeight w:val="765"/>
        </w:trPr>
        <w:tc>
          <w:tcPr>
            <w:tcW w:w="3765" w:type="dxa"/>
          </w:tcPr>
          <w:p w:rsidR="0083792B" w:rsidRPr="00386CD6" w:rsidRDefault="0083792B" w:rsidP="0085651C">
            <w:pPr>
              <w:jc w:val="left"/>
              <w:rPr>
                <w:rFonts w:cs="Arial"/>
              </w:rPr>
            </w:pPr>
            <w:r w:rsidRPr="00386CD6">
              <w:rPr>
                <w:rFonts w:cs="Arial"/>
              </w:rPr>
              <w:t>Cours international de formation sur la protection des obtentions végétales et l’examen de la distinction, de l’homogénéité et de la stabilité (DHS) selon la Convention UPOV</w:t>
            </w:r>
          </w:p>
        </w:tc>
        <w:tc>
          <w:tcPr>
            <w:tcW w:w="2309" w:type="dxa"/>
          </w:tcPr>
          <w:p w:rsidR="0083792B" w:rsidRPr="00386CD6" w:rsidRDefault="0083792B" w:rsidP="0085651C">
            <w:pPr>
              <w:jc w:val="left"/>
              <w:rPr>
                <w:rFonts w:cs="Arial"/>
              </w:rPr>
            </w:pPr>
            <w:r w:rsidRPr="00386CD6">
              <w:rPr>
                <w:rFonts w:cs="Arial"/>
              </w:rPr>
              <w:t>Texcoco (Mexique)</w:t>
            </w:r>
          </w:p>
        </w:tc>
        <w:tc>
          <w:tcPr>
            <w:tcW w:w="1993" w:type="dxa"/>
          </w:tcPr>
          <w:p w:rsidR="0083792B" w:rsidRPr="00386CD6" w:rsidRDefault="0083792B" w:rsidP="0085651C">
            <w:pPr>
              <w:jc w:val="left"/>
              <w:rPr>
                <w:rFonts w:cs="Arial"/>
              </w:rPr>
            </w:pPr>
            <w:r w:rsidRPr="00386CD6">
              <w:rPr>
                <w:rFonts w:cs="Arial"/>
              </w:rPr>
              <w:t>Septembre</w:t>
            </w:r>
          </w:p>
        </w:tc>
        <w:tc>
          <w:tcPr>
            <w:tcW w:w="1822" w:type="dxa"/>
            <w:shd w:val="clear" w:color="auto" w:fill="auto"/>
            <w:hideMark/>
          </w:tcPr>
          <w:p w:rsidR="0083792B" w:rsidRPr="00386CD6" w:rsidRDefault="0083792B" w:rsidP="00911C8B">
            <w:pPr>
              <w:jc w:val="left"/>
              <w:rPr>
                <w:rFonts w:cs="Arial"/>
              </w:rPr>
            </w:pPr>
            <w:r w:rsidRPr="00386CD6">
              <w:rPr>
                <w:rFonts w:cs="Arial"/>
              </w:rPr>
              <w:t>Taveira</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Troisième réunion de la plateforme pour le développement conjoint et le transfert de technologies (siège de la FAO)</w:t>
            </w:r>
          </w:p>
        </w:tc>
        <w:tc>
          <w:tcPr>
            <w:tcW w:w="2309" w:type="dxa"/>
          </w:tcPr>
          <w:p w:rsidR="0083792B" w:rsidRPr="00386CD6" w:rsidRDefault="0083792B" w:rsidP="0085651C">
            <w:pPr>
              <w:jc w:val="left"/>
              <w:rPr>
                <w:rFonts w:cs="Arial"/>
              </w:rPr>
            </w:pPr>
            <w:r w:rsidRPr="00386CD6">
              <w:rPr>
                <w:rFonts w:cs="Arial"/>
              </w:rPr>
              <w:t>Rome (Italie)</w:t>
            </w:r>
          </w:p>
        </w:tc>
        <w:tc>
          <w:tcPr>
            <w:tcW w:w="1993" w:type="dxa"/>
          </w:tcPr>
          <w:p w:rsidR="0083792B" w:rsidRPr="00386CD6" w:rsidRDefault="0083792B" w:rsidP="0085651C">
            <w:pPr>
              <w:jc w:val="left"/>
              <w:rPr>
                <w:rFonts w:cs="Arial"/>
              </w:rPr>
            </w:pPr>
            <w:r w:rsidRPr="00386CD6">
              <w:rPr>
                <w:rFonts w:cs="Arial"/>
              </w:rPr>
              <w:t>Septembre</w:t>
            </w:r>
          </w:p>
        </w:tc>
        <w:tc>
          <w:tcPr>
            <w:tcW w:w="1822" w:type="dxa"/>
            <w:shd w:val="clear" w:color="auto" w:fill="auto"/>
            <w:hideMark/>
          </w:tcPr>
          <w:p w:rsidR="0083792B" w:rsidRPr="00386CD6" w:rsidRDefault="0083792B" w:rsidP="00911C8B">
            <w:pPr>
              <w:jc w:val="left"/>
              <w:rPr>
                <w:rFonts w:cs="Arial"/>
              </w:rPr>
            </w:pPr>
            <w:r w:rsidRPr="00386CD6">
              <w:rPr>
                <w:rFonts w:cs="Arial"/>
              </w:rPr>
              <w:t>Button</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Cinquième congrès des semences des Amériques organisé par la SAA</w:t>
            </w:r>
          </w:p>
        </w:tc>
        <w:tc>
          <w:tcPr>
            <w:tcW w:w="2309" w:type="dxa"/>
          </w:tcPr>
          <w:p w:rsidR="0083792B" w:rsidRPr="00386CD6" w:rsidRDefault="0083792B" w:rsidP="0085651C">
            <w:pPr>
              <w:jc w:val="left"/>
              <w:rPr>
                <w:rFonts w:cs="Arial"/>
              </w:rPr>
            </w:pPr>
            <w:r w:rsidRPr="00386CD6">
              <w:rPr>
                <w:rFonts w:cs="Arial"/>
              </w:rPr>
              <w:t>Cancún (Mexique)</w:t>
            </w:r>
          </w:p>
        </w:tc>
        <w:tc>
          <w:tcPr>
            <w:tcW w:w="1993" w:type="dxa"/>
          </w:tcPr>
          <w:p w:rsidR="0083792B" w:rsidRPr="00386CD6" w:rsidRDefault="0083792B" w:rsidP="0085651C">
            <w:pPr>
              <w:jc w:val="left"/>
              <w:rPr>
                <w:rFonts w:cs="Arial"/>
              </w:rPr>
            </w:pPr>
            <w:r w:rsidRPr="00386CD6">
              <w:rPr>
                <w:rFonts w:cs="Arial"/>
              </w:rPr>
              <w:t>Septembre</w:t>
            </w:r>
          </w:p>
        </w:tc>
        <w:tc>
          <w:tcPr>
            <w:tcW w:w="1822" w:type="dxa"/>
            <w:shd w:val="clear" w:color="auto" w:fill="auto"/>
            <w:hideMark/>
          </w:tcPr>
          <w:p w:rsidR="0083792B" w:rsidRPr="00386CD6" w:rsidRDefault="0083792B" w:rsidP="00911C8B">
            <w:pPr>
              <w:jc w:val="left"/>
              <w:rPr>
                <w:rFonts w:cs="Arial"/>
              </w:rPr>
            </w:pPr>
            <w:r w:rsidRPr="00386CD6">
              <w:rPr>
                <w:rFonts w:cs="Arial"/>
              </w:rPr>
              <w:t>Taveira</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Groupe de travail technique sur les plantes ornementales et les arbres forestiers (TWO/48) et atelier préparatoire</w:t>
            </w:r>
          </w:p>
        </w:tc>
        <w:tc>
          <w:tcPr>
            <w:tcW w:w="2309" w:type="dxa"/>
          </w:tcPr>
          <w:p w:rsidR="0083792B" w:rsidRPr="00386CD6" w:rsidRDefault="0083792B" w:rsidP="0085651C">
            <w:pPr>
              <w:jc w:val="left"/>
              <w:rPr>
                <w:rFonts w:cs="Arial"/>
              </w:rPr>
            </w:pPr>
            <w:r w:rsidRPr="00386CD6">
              <w:rPr>
                <w:rFonts w:cs="Arial"/>
              </w:rPr>
              <w:t>Cambridge (Royaume</w:t>
            </w:r>
            <w:r w:rsidRPr="00386CD6">
              <w:rPr>
                <w:rFonts w:cs="Arial"/>
              </w:rPr>
              <w:noBreakHyphen/>
              <w:t>Uni)</w:t>
            </w:r>
          </w:p>
        </w:tc>
        <w:tc>
          <w:tcPr>
            <w:tcW w:w="1993" w:type="dxa"/>
          </w:tcPr>
          <w:p w:rsidR="0083792B" w:rsidRPr="00386CD6" w:rsidRDefault="0083792B" w:rsidP="0085651C">
            <w:pPr>
              <w:jc w:val="left"/>
              <w:rPr>
                <w:rFonts w:cs="Arial"/>
              </w:rPr>
            </w:pPr>
            <w:r w:rsidRPr="00386CD6">
              <w:rPr>
                <w:rFonts w:cs="Arial"/>
              </w:rPr>
              <w:t>Septembre</w:t>
            </w:r>
          </w:p>
        </w:tc>
        <w:tc>
          <w:tcPr>
            <w:tcW w:w="1822" w:type="dxa"/>
            <w:shd w:val="clear" w:color="auto" w:fill="auto"/>
            <w:hideMark/>
          </w:tcPr>
          <w:p w:rsidR="0083792B" w:rsidRPr="00386CD6" w:rsidRDefault="0083792B" w:rsidP="00911C8B">
            <w:pPr>
              <w:jc w:val="left"/>
              <w:rPr>
                <w:rFonts w:cs="Arial"/>
              </w:rPr>
            </w:pPr>
            <w:r w:rsidRPr="00386CD6">
              <w:rPr>
                <w:rFonts w:cs="Arial"/>
              </w:rPr>
              <w:t>Button, Taveira, Oertel</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“International Geneva Food Talks”</w:t>
            </w:r>
          </w:p>
        </w:tc>
        <w:tc>
          <w:tcPr>
            <w:tcW w:w="2309" w:type="dxa"/>
          </w:tcPr>
          <w:p w:rsidR="0083792B" w:rsidRPr="00386CD6" w:rsidRDefault="0083792B" w:rsidP="0085651C">
            <w:pPr>
              <w:jc w:val="left"/>
              <w:rPr>
                <w:rFonts w:cs="Arial"/>
              </w:rPr>
            </w:pPr>
            <w:r w:rsidRPr="00386CD6">
              <w:rPr>
                <w:rFonts w:cs="Arial"/>
              </w:rPr>
              <w:t>Exposition universelle de Milan (Italie)</w:t>
            </w:r>
          </w:p>
        </w:tc>
        <w:tc>
          <w:tcPr>
            <w:tcW w:w="1993" w:type="dxa"/>
          </w:tcPr>
          <w:p w:rsidR="0083792B" w:rsidRPr="00386CD6" w:rsidRDefault="0083792B" w:rsidP="0085651C">
            <w:pPr>
              <w:jc w:val="left"/>
              <w:rPr>
                <w:rFonts w:cs="Arial"/>
              </w:rPr>
            </w:pPr>
            <w:r w:rsidRPr="00386CD6">
              <w:rPr>
                <w:rFonts w:cs="Arial"/>
              </w:rPr>
              <w:t>Septembre</w:t>
            </w:r>
          </w:p>
        </w:tc>
        <w:tc>
          <w:tcPr>
            <w:tcW w:w="1822" w:type="dxa"/>
            <w:shd w:val="clear" w:color="auto" w:fill="auto"/>
            <w:hideMark/>
          </w:tcPr>
          <w:p w:rsidR="0083792B" w:rsidRPr="00386CD6" w:rsidRDefault="0083792B" w:rsidP="00911C8B">
            <w:pPr>
              <w:jc w:val="left"/>
              <w:rPr>
                <w:rFonts w:cs="Arial"/>
              </w:rPr>
            </w:pPr>
            <w:r w:rsidRPr="00386CD6">
              <w:rPr>
                <w:rFonts w:cs="Arial"/>
              </w:rPr>
              <w:t>Huerta</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Conseil d’administration de l’OCVV (vingtième anniversaire)</w:t>
            </w:r>
          </w:p>
        </w:tc>
        <w:tc>
          <w:tcPr>
            <w:tcW w:w="2309" w:type="dxa"/>
          </w:tcPr>
          <w:p w:rsidR="0083792B" w:rsidRPr="00386CD6" w:rsidRDefault="0083792B" w:rsidP="0085651C">
            <w:pPr>
              <w:jc w:val="left"/>
              <w:rPr>
                <w:rFonts w:cs="Arial"/>
              </w:rPr>
            </w:pPr>
            <w:r w:rsidRPr="00386CD6">
              <w:rPr>
                <w:rFonts w:cs="Arial"/>
              </w:rPr>
              <w:t>Angers (France)</w:t>
            </w:r>
          </w:p>
        </w:tc>
        <w:tc>
          <w:tcPr>
            <w:tcW w:w="1993" w:type="dxa"/>
          </w:tcPr>
          <w:p w:rsidR="0083792B" w:rsidRPr="00386CD6" w:rsidRDefault="0083792B" w:rsidP="0085651C">
            <w:pPr>
              <w:jc w:val="left"/>
              <w:rPr>
                <w:rFonts w:cs="Arial"/>
              </w:rPr>
            </w:pPr>
            <w:r w:rsidRPr="00386CD6">
              <w:rPr>
                <w:rFonts w:cs="Arial"/>
              </w:rPr>
              <w:t>Septembre</w:t>
            </w:r>
            <w:r w:rsidRPr="00386CD6">
              <w:rPr>
                <w:rFonts w:cs="Arial"/>
              </w:rPr>
              <w:noBreakHyphen/>
              <w:t>octobre</w:t>
            </w:r>
          </w:p>
        </w:tc>
        <w:tc>
          <w:tcPr>
            <w:tcW w:w="1822" w:type="dxa"/>
            <w:shd w:val="clear" w:color="auto" w:fill="auto"/>
            <w:hideMark/>
          </w:tcPr>
          <w:p w:rsidR="0083792B" w:rsidRPr="00386CD6" w:rsidRDefault="0083792B" w:rsidP="00911C8B">
            <w:pPr>
              <w:jc w:val="left"/>
              <w:rPr>
                <w:rFonts w:cs="Arial"/>
              </w:rPr>
            </w:pPr>
            <w:r w:rsidRPr="00386CD6">
              <w:rPr>
                <w:rFonts w:cs="Arial"/>
              </w:rPr>
              <w:t>Gurry, Button</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Atelier sur la protection des obtentions végétales et la défense des droits d’obtenteur</w:t>
            </w:r>
            <w:r w:rsidRPr="00386CD6">
              <w:t xml:space="preserve"> </w:t>
            </w:r>
            <w:r w:rsidRPr="00386CD6">
              <w:rPr>
                <w:rFonts w:cs="Arial"/>
              </w:rPr>
              <w:t>dans le cadre du programme TAIEX</w:t>
            </w:r>
          </w:p>
        </w:tc>
        <w:tc>
          <w:tcPr>
            <w:tcW w:w="2309" w:type="dxa"/>
          </w:tcPr>
          <w:p w:rsidR="0083792B" w:rsidRPr="00386CD6" w:rsidRDefault="0083792B" w:rsidP="0085651C">
            <w:pPr>
              <w:jc w:val="left"/>
              <w:rPr>
                <w:rFonts w:cs="Arial"/>
              </w:rPr>
            </w:pPr>
            <w:r w:rsidRPr="00386CD6">
              <w:rPr>
                <w:rFonts w:cs="Arial"/>
              </w:rPr>
              <w:t>Chisinau (République de Moldova)</w:t>
            </w:r>
          </w:p>
        </w:tc>
        <w:tc>
          <w:tcPr>
            <w:tcW w:w="1993" w:type="dxa"/>
          </w:tcPr>
          <w:p w:rsidR="0083792B" w:rsidRPr="00386CD6" w:rsidRDefault="0083792B" w:rsidP="0085651C">
            <w:pPr>
              <w:jc w:val="left"/>
              <w:rPr>
                <w:rFonts w:cs="Arial"/>
              </w:rPr>
            </w:pPr>
            <w:r w:rsidRPr="00386CD6">
              <w:rPr>
                <w:rFonts w:cs="Arial"/>
              </w:rPr>
              <w:t>Octobre</w:t>
            </w:r>
          </w:p>
        </w:tc>
        <w:tc>
          <w:tcPr>
            <w:tcW w:w="1822" w:type="dxa"/>
            <w:shd w:val="clear" w:color="auto" w:fill="auto"/>
            <w:hideMark/>
          </w:tcPr>
          <w:p w:rsidR="0083792B" w:rsidRPr="00386CD6" w:rsidRDefault="0083792B" w:rsidP="00911C8B">
            <w:pPr>
              <w:jc w:val="left"/>
              <w:rPr>
                <w:rFonts w:cs="Arial"/>
              </w:rPr>
            </w:pPr>
            <w:r w:rsidRPr="00386CD6">
              <w:rPr>
                <w:rFonts w:cs="Arial"/>
              </w:rPr>
              <w:t>Button, Huerta</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 xml:space="preserve">Sixième session de l’Organe directeur du Traité international </w:t>
            </w:r>
          </w:p>
        </w:tc>
        <w:tc>
          <w:tcPr>
            <w:tcW w:w="2309" w:type="dxa"/>
          </w:tcPr>
          <w:p w:rsidR="0083792B" w:rsidRPr="00386CD6" w:rsidRDefault="0083792B" w:rsidP="0085651C">
            <w:pPr>
              <w:jc w:val="left"/>
              <w:rPr>
                <w:rFonts w:cs="Arial"/>
              </w:rPr>
            </w:pPr>
            <w:r w:rsidRPr="00386CD6">
              <w:rPr>
                <w:rFonts w:cs="Arial"/>
              </w:rPr>
              <w:t>Rome (Italie)</w:t>
            </w:r>
          </w:p>
        </w:tc>
        <w:tc>
          <w:tcPr>
            <w:tcW w:w="1993" w:type="dxa"/>
          </w:tcPr>
          <w:p w:rsidR="0083792B" w:rsidRPr="00386CD6" w:rsidRDefault="0083792B" w:rsidP="0085651C">
            <w:pPr>
              <w:jc w:val="left"/>
              <w:rPr>
                <w:rFonts w:cs="Arial"/>
              </w:rPr>
            </w:pPr>
            <w:r w:rsidRPr="00386CD6">
              <w:rPr>
                <w:rFonts w:cs="Arial"/>
              </w:rPr>
              <w:t>Octobre</w:t>
            </w:r>
          </w:p>
        </w:tc>
        <w:tc>
          <w:tcPr>
            <w:tcW w:w="1822" w:type="dxa"/>
            <w:shd w:val="clear" w:color="auto" w:fill="auto"/>
            <w:hideMark/>
          </w:tcPr>
          <w:p w:rsidR="0083792B" w:rsidRPr="00386CD6" w:rsidRDefault="0083792B" w:rsidP="00911C8B">
            <w:pPr>
              <w:jc w:val="left"/>
              <w:rPr>
                <w:rFonts w:cs="Arial"/>
              </w:rPr>
            </w:pPr>
            <w:r w:rsidRPr="00386CD6">
              <w:rPr>
                <w:rFonts w:cs="Arial"/>
              </w:rPr>
              <w:t>Button, Koide</w:t>
            </w:r>
          </w:p>
        </w:tc>
      </w:tr>
      <w:tr w:rsidR="0083792B" w:rsidRPr="00386CD6" w:rsidTr="008B401F">
        <w:trPr>
          <w:trHeight w:val="1020"/>
        </w:trPr>
        <w:tc>
          <w:tcPr>
            <w:tcW w:w="3765" w:type="dxa"/>
          </w:tcPr>
          <w:p w:rsidR="0083792B" w:rsidRPr="00386CD6" w:rsidRDefault="0083792B" w:rsidP="0085651C">
            <w:pPr>
              <w:jc w:val="left"/>
              <w:rPr>
                <w:rFonts w:cs="Arial"/>
              </w:rPr>
            </w:pPr>
            <w:r w:rsidRPr="00386CD6">
              <w:t>Mission d’experts du programme TAIEX concernant l’examen des demandes et l’octroi de droits d’obtenteur pour des obtentions végétales</w:t>
            </w:r>
            <w:r w:rsidRPr="00386CD6">
              <w:rPr>
                <w:rFonts w:cs="Arial"/>
              </w:rPr>
              <w:t xml:space="preserve"> et </w:t>
            </w:r>
            <w:r w:rsidRPr="00386CD6">
              <w:t>échange de données d’expérience au sujet des aspects juridiques de la Convention UPOV et de leur mise en œuvre</w:t>
            </w:r>
            <w:r w:rsidRPr="00386CD6">
              <w:rPr>
                <w:rFonts w:cs="Arial"/>
              </w:rPr>
              <w:t xml:space="preserve"> </w:t>
            </w:r>
          </w:p>
        </w:tc>
        <w:tc>
          <w:tcPr>
            <w:tcW w:w="2309" w:type="dxa"/>
          </w:tcPr>
          <w:p w:rsidR="0083792B" w:rsidRPr="00386CD6" w:rsidRDefault="0083792B" w:rsidP="0085651C">
            <w:pPr>
              <w:jc w:val="left"/>
              <w:rPr>
                <w:rFonts w:cs="Arial"/>
              </w:rPr>
            </w:pPr>
            <w:r w:rsidRPr="00386CD6">
              <w:rPr>
                <w:rFonts w:cs="Arial"/>
              </w:rPr>
              <w:t>Ankara (Turquie)</w:t>
            </w:r>
          </w:p>
        </w:tc>
        <w:tc>
          <w:tcPr>
            <w:tcW w:w="1993" w:type="dxa"/>
          </w:tcPr>
          <w:p w:rsidR="0083792B" w:rsidRPr="00386CD6" w:rsidRDefault="0083792B" w:rsidP="0085651C">
            <w:pPr>
              <w:jc w:val="left"/>
              <w:rPr>
                <w:rFonts w:cs="Arial"/>
              </w:rPr>
            </w:pPr>
            <w:r w:rsidRPr="00386CD6">
              <w:rPr>
                <w:rFonts w:cs="Arial"/>
              </w:rPr>
              <w:t>Octobre</w:t>
            </w:r>
          </w:p>
        </w:tc>
        <w:tc>
          <w:tcPr>
            <w:tcW w:w="1822" w:type="dxa"/>
            <w:shd w:val="clear" w:color="auto" w:fill="auto"/>
            <w:hideMark/>
          </w:tcPr>
          <w:p w:rsidR="0083792B" w:rsidRPr="00386CD6" w:rsidRDefault="0083792B" w:rsidP="00911C8B">
            <w:pPr>
              <w:jc w:val="left"/>
              <w:rPr>
                <w:rFonts w:cs="Arial"/>
              </w:rPr>
            </w:pPr>
            <w:r w:rsidRPr="00386CD6">
              <w:rPr>
                <w:rFonts w:cs="Arial"/>
              </w:rPr>
              <w:t>Huerta</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Réunion annuelle de l’ESA</w:t>
            </w:r>
          </w:p>
        </w:tc>
        <w:tc>
          <w:tcPr>
            <w:tcW w:w="2309" w:type="dxa"/>
          </w:tcPr>
          <w:p w:rsidR="0083792B" w:rsidRPr="00386CD6" w:rsidRDefault="0083792B" w:rsidP="0085651C">
            <w:pPr>
              <w:jc w:val="left"/>
              <w:rPr>
                <w:rFonts w:cs="Arial"/>
              </w:rPr>
            </w:pPr>
            <w:r w:rsidRPr="00386CD6">
              <w:rPr>
                <w:rFonts w:cs="Arial"/>
              </w:rPr>
              <w:t>Vienne (Autriche)</w:t>
            </w:r>
          </w:p>
        </w:tc>
        <w:tc>
          <w:tcPr>
            <w:tcW w:w="1993" w:type="dxa"/>
          </w:tcPr>
          <w:p w:rsidR="0083792B" w:rsidRPr="00386CD6" w:rsidRDefault="0083792B" w:rsidP="0085651C">
            <w:pPr>
              <w:jc w:val="left"/>
              <w:rPr>
                <w:rFonts w:cs="Arial"/>
              </w:rPr>
            </w:pPr>
            <w:r w:rsidRPr="00386CD6">
              <w:rPr>
                <w:rFonts w:cs="Arial"/>
              </w:rPr>
              <w:t>Octobre</w:t>
            </w:r>
          </w:p>
        </w:tc>
        <w:tc>
          <w:tcPr>
            <w:tcW w:w="1822" w:type="dxa"/>
            <w:shd w:val="clear" w:color="auto" w:fill="auto"/>
            <w:hideMark/>
          </w:tcPr>
          <w:p w:rsidR="0083792B" w:rsidRPr="00386CD6" w:rsidRDefault="0083792B" w:rsidP="00911C8B">
            <w:pPr>
              <w:jc w:val="left"/>
              <w:rPr>
                <w:rFonts w:cs="Arial"/>
              </w:rPr>
            </w:pPr>
            <w:r w:rsidRPr="00386CD6">
              <w:rPr>
                <w:rFonts w:cs="Arial"/>
              </w:rPr>
              <w:t>Button</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Séminaire international de haut niveau sur les semences</w:t>
            </w:r>
          </w:p>
        </w:tc>
        <w:tc>
          <w:tcPr>
            <w:tcW w:w="2309" w:type="dxa"/>
          </w:tcPr>
          <w:p w:rsidR="0083792B" w:rsidRPr="00386CD6" w:rsidRDefault="0083792B" w:rsidP="0085651C">
            <w:pPr>
              <w:jc w:val="left"/>
              <w:rPr>
                <w:rFonts w:cs="Arial"/>
              </w:rPr>
            </w:pPr>
            <w:r w:rsidRPr="00386CD6">
              <w:rPr>
                <w:rFonts w:cs="Arial"/>
              </w:rPr>
              <w:t>Exposition universelle de Milan (Italie)</w:t>
            </w:r>
          </w:p>
        </w:tc>
        <w:tc>
          <w:tcPr>
            <w:tcW w:w="1993" w:type="dxa"/>
          </w:tcPr>
          <w:p w:rsidR="0083792B" w:rsidRPr="00386CD6" w:rsidRDefault="0083792B" w:rsidP="0085651C">
            <w:pPr>
              <w:jc w:val="left"/>
              <w:rPr>
                <w:rFonts w:cs="Arial"/>
              </w:rPr>
            </w:pPr>
            <w:r w:rsidRPr="00386CD6">
              <w:rPr>
                <w:rFonts w:cs="Arial"/>
              </w:rPr>
              <w:t>Octobre</w:t>
            </w:r>
          </w:p>
        </w:tc>
        <w:tc>
          <w:tcPr>
            <w:tcW w:w="1822" w:type="dxa"/>
            <w:shd w:val="clear" w:color="auto" w:fill="auto"/>
            <w:hideMark/>
          </w:tcPr>
          <w:p w:rsidR="0083792B" w:rsidRPr="00386CD6" w:rsidRDefault="0083792B" w:rsidP="00911C8B">
            <w:pPr>
              <w:jc w:val="left"/>
              <w:rPr>
                <w:rFonts w:cs="Arial"/>
              </w:rPr>
            </w:pPr>
            <w:r w:rsidRPr="00386CD6">
              <w:rPr>
                <w:rFonts w:cs="Arial"/>
              </w:rPr>
              <w:t>Button</w:t>
            </w:r>
          </w:p>
        </w:tc>
      </w:tr>
      <w:tr w:rsidR="0083792B" w:rsidRPr="00386CD6" w:rsidTr="008B401F">
        <w:trPr>
          <w:trHeight w:val="255"/>
        </w:trPr>
        <w:tc>
          <w:tcPr>
            <w:tcW w:w="3765" w:type="dxa"/>
          </w:tcPr>
          <w:p w:rsidR="0083792B" w:rsidRPr="00386CD6" w:rsidRDefault="0083792B" w:rsidP="0085651C">
            <w:pPr>
              <w:jc w:val="left"/>
              <w:rPr>
                <w:rFonts w:cs="Arial"/>
              </w:rPr>
            </w:pPr>
            <w:r w:rsidRPr="00386CD6">
              <w:rPr>
                <w:rFonts w:cs="Arial"/>
              </w:rPr>
              <w:t>Réunion du Conseil des ADPIC (siège de l’OMC)</w:t>
            </w:r>
          </w:p>
        </w:tc>
        <w:tc>
          <w:tcPr>
            <w:tcW w:w="2309" w:type="dxa"/>
          </w:tcPr>
          <w:p w:rsidR="0083792B" w:rsidRPr="00386CD6" w:rsidRDefault="0083792B" w:rsidP="0085651C">
            <w:pPr>
              <w:jc w:val="left"/>
              <w:rPr>
                <w:rFonts w:cs="Arial"/>
              </w:rPr>
            </w:pPr>
            <w:r w:rsidRPr="00386CD6">
              <w:rPr>
                <w:rFonts w:cs="Arial"/>
              </w:rPr>
              <w:t>Genève (Suisse)</w:t>
            </w:r>
          </w:p>
        </w:tc>
        <w:tc>
          <w:tcPr>
            <w:tcW w:w="1993" w:type="dxa"/>
          </w:tcPr>
          <w:p w:rsidR="0083792B" w:rsidRPr="00386CD6" w:rsidRDefault="0083792B" w:rsidP="0085651C">
            <w:pPr>
              <w:jc w:val="left"/>
              <w:rPr>
                <w:rFonts w:cs="Arial"/>
              </w:rPr>
            </w:pPr>
            <w:r w:rsidRPr="00386CD6">
              <w:rPr>
                <w:rFonts w:cs="Arial"/>
              </w:rPr>
              <w:t>Octobre</w:t>
            </w:r>
          </w:p>
        </w:tc>
        <w:tc>
          <w:tcPr>
            <w:tcW w:w="1822" w:type="dxa"/>
            <w:shd w:val="clear" w:color="auto" w:fill="auto"/>
            <w:hideMark/>
          </w:tcPr>
          <w:p w:rsidR="0083792B" w:rsidRPr="00386CD6" w:rsidRDefault="0083792B" w:rsidP="006023A2">
            <w:pPr>
              <w:jc w:val="left"/>
              <w:rPr>
                <w:rFonts w:cs="Arial"/>
              </w:rPr>
            </w:pPr>
            <w:r w:rsidRPr="00386CD6">
              <w:rPr>
                <w:rFonts w:cs="Arial"/>
              </w:rPr>
              <w:t>Huerta</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Maîtrise en droit de la propriété intellectuelle organisée par l’OMPI et l’Université de Turin en coopération avec le CIF</w:t>
            </w:r>
            <w:r w:rsidRPr="00386CD6">
              <w:rPr>
                <w:rFonts w:cs="Arial"/>
              </w:rPr>
              <w:noBreakHyphen/>
              <w:t>OIT</w:t>
            </w:r>
          </w:p>
        </w:tc>
        <w:tc>
          <w:tcPr>
            <w:tcW w:w="2309" w:type="dxa"/>
          </w:tcPr>
          <w:p w:rsidR="0083792B" w:rsidRPr="00386CD6" w:rsidRDefault="0083792B" w:rsidP="0085651C">
            <w:pPr>
              <w:jc w:val="left"/>
              <w:rPr>
                <w:rFonts w:cs="Arial"/>
              </w:rPr>
            </w:pPr>
            <w:r w:rsidRPr="00386CD6">
              <w:rPr>
                <w:rFonts w:cs="Arial"/>
              </w:rPr>
              <w:t>Genève (Suisse)</w:t>
            </w:r>
          </w:p>
        </w:tc>
        <w:tc>
          <w:tcPr>
            <w:tcW w:w="1993" w:type="dxa"/>
          </w:tcPr>
          <w:p w:rsidR="0083792B" w:rsidRPr="00386CD6" w:rsidRDefault="0083792B" w:rsidP="0085651C">
            <w:pPr>
              <w:jc w:val="left"/>
              <w:rPr>
                <w:rFonts w:cs="Arial"/>
              </w:rPr>
            </w:pPr>
            <w:r w:rsidRPr="00386CD6">
              <w:rPr>
                <w:rFonts w:cs="Arial"/>
              </w:rPr>
              <w:t>Octobre</w:t>
            </w:r>
          </w:p>
        </w:tc>
        <w:tc>
          <w:tcPr>
            <w:tcW w:w="1822" w:type="dxa"/>
            <w:shd w:val="clear" w:color="auto" w:fill="auto"/>
          </w:tcPr>
          <w:p w:rsidR="0083792B" w:rsidRPr="00386CD6" w:rsidRDefault="0083792B" w:rsidP="00911C8B">
            <w:pPr>
              <w:jc w:val="left"/>
              <w:rPr>
                <w:rFonts w:cs="Arial"/>
              </w:rPr>
            </w:pPr>
            <w:r w:rsidRPr="00386CD6">
              <w:rPr>
                <w:rFonts w:cs="Arial"/>
              </w:rPr>
              <w:t>Huerta, Taveira</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Conférence ministérielle africaine 2015 de l’OMPI sur la propriété intellectuelle au service d’une Afrique émergente</w:t>
            </w:r>
          </w:p>
        </w:tc>
        <w:tc>
          <w:tcPr>
            <w:tcW w:w="2309" w:type="dxa"/>
          </w:tcPr>
          <w:p w:rsidR="0083792B" w:rsidRPr="00386CD6" w:rsidRDefault="0083792B" w:rsidP="0085651C">
            <w:pPr>
              <w:jc w:val="left"/>
              <w:rPr>
                <w:rFonts w:cs="Arial"/>
              </w:rPr>
            </w:pPr>
            <w:r w:rsidRPr="00386CD6">
              <w:rPr>
                <w:rFonts w:cs="Arial"/>
              </w:rPr>
              <w:t>Dakar (Sénégal)</w:t>
            </w:r>
          </w:p>
        </w:tc>
        <w:tc>
          <w:tcPr>
            <w:tcW w:w="1993" w:type="dxa"/>
          </w:tcPr>
          <w:p w:rsidR="0083792B" w:rsidRPr="00386CD6" w:rsidRDefault="0083792B" w:rsidP="0085651C">
            <w:pPr>
              <w:jc w:val="left"/>
              <w:rPr>
                <w:rFonts w:cs="Arial"/>
              </w:rPr>
            </w:pPr>
            <w:r w:rsidRPr="00386CD6">
              <w:rPr>
                <w:rFonts w:cs="Arial"/>
              </w:rPr>
              <w:t>Novembre</w:t>
            </w:r>
          </w:p>
        </w:tc>
        <w:tc>
          <w:tcPr>
            <w:tcW w:w="1822" w:type="dxa"/>
            <w:shd w:val="clear" w:color="auto" w:fill="auto"/>
            <w:hideMark/>
          </w:tcPr>
          <w:p w:rsidR="0083792B" w:rsidRPr="00386CD6" w:rsidRDefault="0083792B" w:rsidP="00911C8B">
            <w:pPr>
              <w:jc w:val="left"/>
              <w:rPr>
                <w:rFonts w:cs="Arial"/>
              </w:rPr>
            </w:pPr>
            <w:r w:rsidRPr="00386CD6">
              <w:rPr>
                <w:rFonts w:cs="Arial"/>
              </w:rPr>
              <w:t>Button, Rivoire</w:t>
            </w:r>
          </w:p>
        </w:tc>
      </w:tr>
      <w:tr w:rsidR="0083792B" w:rsidRPr="00386CD6" w:rsidTr="008B401F">
        <w:trPr>
          <w:trHeight w:val="765"/>
        </w:trPr>
        <w:tc>
          <w:tcPr>
            <w:tcW w:w="3765" w:type="dxa"/>
          </w:tcPr>
          <w:p w:rsidR="0083792B" w:rsidRPr="00386CD6" w:rsidRDefault="0083792B" w:rsidP="0085651C">
            <w:pPr>
              <w:rPr>
                <w:rFonts w:cs="Arial"/>
              </w:rPr>
            </w:pPr>
            <w:r w:rsidRPr="00386CD6">
              <w:t>Séminaire d’experts sur “le droit des paysans aux semences et les droits de propriété intellectuelle”</w:t>
            </w:r>
          </w:p>
        </w:tc>
        <w:tc>
          <w:tcPr>
            <w:tcW w:w="2309" w:type="dxa"/>
          </w:tcPr>
          <w:p w:rsidR="0083792B" w:rsidRPr="00386CD6" w:rsidRDefault="0083792B" w:rsidP="0085651C">
            <w:pPr>
              <w:rPr>
                <w:rFonts w:cs="Arial"/>
              </w:rPr>
            </w:pPr>
            <w:r w:rsidRPr="00386CD6">
              <w:rPr>
                <w:rFonts w:cs="Arial"/>
              </w:rPr>
              <w:t>Genève (Suisse)</w:t>
            </w:r>
          </w:p>
        </w:tc>
        <w:tc>
          <w:tcPr>
            <w:tcW w:w="1993" w:type="dxa"/>
          </w:tcPr>
          <w:p w:rsidR="0083792B" w:rsidRPr="00386CD6" w:rsidRDefault="0083792B" w:rsidP="0085651C">
            <w:pPr>
              <w:rPr>
                <w:rFonts w:cs="Arial"/>
              </w:rPr>
            </w:pPr>
            <w:r w:rsidRPr="00386CD6">
              <w:rPr>
                <w:rFonts w:cs="Arial"/>
              </w:rPr>
              <w:t>Novembre</w:t>
            </w:r>
          </w:p>
        </w:tc>
        <w:tc>
          <w:tcPr>
            <w:tcW w:w="1822" w:type="dxa"/>
            <w:shd w:val="clear" w:color="auto" w:fill="auto"/>
          </w:tcPr>
          <w:p w:rsidR="0083792B" w:rsidRPr="00386CD6" w:rsidRDefault="0083792B">
            <w:pPr>
              <w:rPr>
                <w:rFonts w:cs="Arial"/>
              </w:rPr>
            </w:pPr>
            <w:r w:rsidRPr="00386CD6">
              <w:rPr>
                <w:rFonts w:cs="Arial"/>
              </w:rPr>
              <w:t>Button</w:t>
            </w:r>
          </w:p>
        </w:tc>
      </w:tr>
      <w:tr w:rsidR="0083792B" w:rsidRPr="00386CD6" w:rsidTr="008B401F">
        <w:trPr>
          <w:trHeight w:val="765"/>
        </w:trPr>
        <w:tc>
          <w:tcPr>
            <w:tcW w:w="3765" w:type="dxa"/>
          </w:tcPr>
          <w:p w:rsidR="0083792B" w:rsidRPr="00386CD6" w:rsidRDefault="0083792B" w:rsidP="0085651C">
            <w:pPr>
              <w:jc w:val="left"/>
              <w:rPr>
                <w:rFonts w:cs="Arial"/>
              </w:rPr>
            </w:pPr>
            <w:r w:rsidRPr="00386CD6">
              <w:rPr>
                <w:rFonts w:cs="Arial"/>
              </w:rPr>
              <w:t xml:space="preserve">Module intensif sur la protection des obtentions végétales de la maîtrise en propriété intellectuelle (Magister Lvcentinvs) de l’Université d’Alicante </w:t>
            </w:r>
          </w:p>
        </w:tc>
        <w:tc>
          <w:tcPr>
            <w:tcW w:w="2309" w:type="dxa"/>
          </w:tcPr>
          <w:p w:rsidR="0083792B" w:rsidRPr="00386CD6" w:rsidRDefault="0083792B" w:rsidP="0085651C">
            <w:pPr>
              <w:jc w:val="left"/>
              <w:rPr>
                <w:rFonts w:cs="Arial"/>
              </w:rPr>
            </w:pPr>
            <w:r w:rsidRPr="00386CD6">
              <w:rPr>
                <w:rFonts w:cs="Arial"/>
              </w:rPr>
              <w:t>Alicante (Espagne)</w:t>
            </w:r>
          </w:p>
        </w:tc>
        <w:tc>
          <w:tcPr>
            <w:tcW w:w="1993" w:type="dxa"/>
          </w:tcPr>
          <w:p w:rsidR="0083792B" w:rsidRPr="00386CD6" w:rsidRDefault="0083792B" w:rsidP="0085651C">
            <w:pPr>
              <w:jc w:val="left"/>
              <w:rPr>
                <w:rFonts w:cs="Arial"/>
              </w:rPr>
            </w:pPr>
            <w:r w:rsidRPr="00386CD6">
              <w:rPr>
                <w:rFonts w:cs="Arial"/>
              </w:rPr>
              <w:t>Novembre</w:t>
            </w:r>
          </w:p>
        </w:tc>
        <w:tc>
          <w:tcPr>
            <w:tcW w:w="1822" w:type="dxa"/>
            <w:shd w:val="clear" w:color="auto" w:fill="auto"/>
            <w:hideMark/>
          </w:tcPr>
          <w:p w:rsidR="0083792B" w:rsidRPr="00386CD6" w:rsidRDefault="0083792B" w:rsidP="00911C8B">
            <w:pPr>
              <w:jc w:val="left"/>
              <w:rPr>
                <w:rFonts w:cs="Arial"/>
              </w:rPr>
            </w:pPr>
            <w:r w:rsidRPr="00386CD6">
              <w:rPr>
                <w:rFonts w:cs="Arial"/>
              </w:rPr>
              <w:t>Huerta</w:t>
            </w:r>
          </w:p>
        </w:tc>
      </w:tr>
      <w:tr w:rsidR="0083792B" w:rsidRPr="00386CD6" w:rsidTr="008B401F">
        <w:trPr>
          <w:trHeight w:val="765"/>
        </w:trPr>
        <w:tc>
          <w:tcPr>
            <w:tcW w:w="3765" w:type="dxa"/>
          </w:tcPr>
          <w:p w:rsidR="0083792B" w:rsidRPr="00386CD6" w:rsidRDefault="0083792B" w:rsidP="0085651C">
            <w:pPr>
              <w:jc w:val="left"/>
              <w:rPr>
                <w:rFonts w:cs="Arial"/>
              </w:rPr>
            </w:pPr>
            <w:r w:rsidRPr="00386CD6">
              <w:rPr>
                <w:rFonts w:cs="Arial"/>
              </w:rPr>
              <w:t>Cours de formation des formateurs à l’intention des pays ibéro</w:t>
            </w:r>
            <w:r w:rsidRPr="00386CD6">
              <w:rPr>
                <w:rFonts w:cs="Arial"/>
              </w:rPr>
              <w:noBreakHyphen/>
              <w:t>américains sur la protection des obtention</w:t>
            </w:r>
            <w:r w:rsidR="001700E0" w:rsidRPr="00386CD6">
              <w:rPr>
                <w:rFonts w:cs="Arial"/>
              </w:rPr>
              <w:t>s végétales selon la Convention </w:t>
            </w:r>
            <w:r w:rsidRPr="00386CD6">
              <w:rPr>
                <w:rFonts w:cs="Arial"/>
              </w:rPr>
              <w:t>UPOV et les formes complémentaires de protection de la propriété intellectuelle</w:t>
            </w:r>
          </w:p>
        </w:tc>
        <w:tc>
          <w:tcPr>
            <w:tcW w:w="2309" w:type="dxa"/>
          </w:tcPr>
          <w:p w:rsidR="0083792B" w:rsidRPr="00386CD6" w:rsidRDefault="0083792B" w:rsidP="0085651C">
            <w:pPr>
              <w:jc w:val="left"/>
              <w:rPr>
                <w:rFonts w:cs="Arial"/>
              </w:rPr>
            </w:pPr>
            <w:r w:rsidRPr="00386CD6">
              <w:rPr>
                <w:rFonts w:cs="Arial"/>
              </w:rPr>
              <w:t>Santa Cruz de la Sierra (Bolivie)</w:t>
            </w:r>
          </w:p>
        </w:tc>
        <w:tc>
          <w:tcPr>
            <w:tcW w:w="1993" w:type="dxa"/>
          </w:tcPr>
          <w:p w:rsidR="0083792B" w:rsidRPr="00386CD6" w:rsidRDefault="0083792B" w:rsidP="0085651C">
            <w:pPr>
              <w:jc w:val="left"/>
              <w:rPr>
                <w:rFonts w:cs="Arial"/>
              </w:rPr>
            </w:pPr>
            <w:r w:rsidRPr="00386CD6">
              <w:rPr>
                <w:rFonts w:cs="Arial"/>
              </w:rPr>
              <w:t>Novembre</w:t>
            </w:r>
          </w:p>
        </w:tc>
        <w:tc>
          <w:tcPr>
            <w:tcW w:w="1822" w:type="dxa"/>
            <w:shd w:val="clear" w:color="auto" w:fill="auto"/>
            <w:hideMark/>
          </w:tcPr>
          <w:p w:rsidR="0083792B" w:rsidRPr="00386CD6" w:rsidRDefault="0083792B" w:rsidP="00911C8B">
            <w:pPr>
              <w:jc w:val="left"/>
              <w:rPr>
                <w:rFonts w:cs="Arial"/>
              </w:rPr>
            </w:pPr>
            <w:r w:rsidRPr="00386CD6">
              <w:rPr>
                <w:rFonts w:cs="Arial"/>
              </w:rPr>
              <w:t>Huerta, Taveira</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Trente</w:t>
            </w:r>
            <w:r w:rsidRPr="00386CD6">
              <w:rPr>
                <w:rFonts w:cs="Arial"/>
              </w:rPr>
              <w:noBreakHyphen/>
              <w:t xml:space="preserve">neuvième session du Conseil d’administration de l’ARIPO et quinzième session </w:t>
            </w:r>
            <w:r w:rsidRPr="00386CD6">
              <w:t>du Conseil des ministres de l’ARIPO</w:t>
            </w:r>
          </w:p>
        </w:tc>
        <w:tc>
          <w:tcPr>
            <w:tcW w:w="2309" w:type="dxa"/>
          </w:tcPr>
          <w:p w:rsidR="0083792B" w:rsidRPr="00386CD6" w:rsidRDefault="0083792B" w:rsidP="0085651C">
            <w:pPr>
              <w:jc w:val="left"/>
              <w:rPr>
                <w:rFonts w:cs="Arial"/>
              </w:rPr>
            </w:pPr>
            <w:r w:rsidRPr="00386CD6">
              <w:rPr>
                <w:rFonts w:cs="Arial"/>
              </w:rPr>
              <w:t>Lusaka (Zambie)</w:t>
            </w:r>
          </w:p>
        </w:tc>
        <w:tc>
          <w:tcPr>
            <w:tcW w:w="1993" w:type="dxa"/>
          </w:tcPr>
          <w:p w:rsidR="0083792B" w:rsidRPr="00386CD6" w:rsidRDefault="0083792B" w:rsidP="0085651C">
            <w:pPr>
              <w:jc w:val="left"/>
              <w:rPr>
                <w:rFonts w:cs="Arial"/>
              </w:rPr>
            </w:pPr>
            <w:r w:rsidRPr="00386CD6">
              <w:rPr>
                <w:rFonts w:cs="Arial"/>
              </w:rPr>
              <w:t>Novembre</w:t>
            </w:r>
          </w:p>
        </w:tc>
        <w:tc>
          <w:tcPr>
            <w:tcW w:w="1822" w:type="dxa"/>
            <w:shd w:val="clear" w:color="auto" w:fill="auto"/>
            <w:hideMark/>
          </w:tcPr>
          <w:p w:rsidR="0083792B" w:rsidRPr="00386CD6" w:rsidRDefault="0083792B" w:rsidP="00911C8B">
            <w:pPr>
              <w:jc w:val="left"/>
              <w:rPr>
                <w:rFonts w:cs="Arial"/>
              </w:rPr>
            </w:pPr>
            <w:r w:rsidRPr="00386CD6">
              <w:rPr>
                <w:rFonts w:cs="Arial"/>
              </w:rPr>
              <w:t>Rivoire</w:t>
            </w:r>
          </w:p>
        </w:tc>
      </w:tr>
      <w:tr w:rsidR="0083792B" w:rsidRPr="00386CD6" w:rsidTr="008B401F">
        <w:trPr>
          <w:trHeight w:val="255"/>
        </w:trPr>
        <w:tc>
          <w:tcPr>
            <w:tcW w:w="3765" w:type="dxa"/>
          </w:tcPr>
          <w:p w:rsidR="0083792B" w:rsidRPr="00386CD6" w:rsidRDefault="0083792B" w:rsidP="0085651C">
            <w:pPr>
              <w:jc w:val="left"/>
              <w:rPr>
                <w:rFonts w:cs="Arial"/>
              </w:rPr>
            </w:pPr>
            <w:r w:rsidRPr="00386CD6">
              <w:t>Asian Seed Congress et vingt et unième assemblée générale de l’APSA</w:t>
            </w:r>
          </w:p>
        </w:tc>
        <w:tc>
          <w:tcPr>
            <w:tcW w:w="2309" w:type="dxa"/>
          </w:tcPr>
          <w:p w:rsidR="0083792B" w:rsidRPr="00386CD6" w:rsidRDefault="0083792B" w:rsidP="0085651C">
            <w:pPr>
              <w:jc w:val="left"/>
              <w:rPr>
                <w:rFonts w:cs="Arial"/>
              </w:rPr>
            </w:pPr>
            <w:r w:rsidRPr="00386CD6">
              <w:rPr>
                <w:rFonts w:cs="Arial"/>
              </w:rPr>
              <w:t>Goa (Inde)</w:t>
            </w:r>
          </w:p>
        </w:tc>
        <w:tc>
          <w:tcPr>
            <w:tcW w:w="1993" w:type="dxa"/>
          </w:tcPr>
          <w:p w:rsidR="0083792B" w:rsidRPr="00386CD6" w:rsidRDefault="0083792B" w:rsidP="0085651C">
            <w:pPr>
              <w:jc w:val="left"/>
              <w:rPr>
                <w:rFonts w:cs="Arial"/>
              </w:rPr>
            </w:pPr>
            <w:r w:rsidRPr="00386CD6">
              <w:rPr>
                <w:rFonts w:cs="Arial"/>
              </w:rPr>
              <w:t>Novembre</w:t>
            </w:r>
          </w:p>
        </w:tc>
        <w:tc>
          <w:tcPr>
            <w:tcW w:w="1822" w:type="dxa"/>
            <w:shd w:val="clear" w:color="auto" w:fill="auto"/>
            <w:hideMark/>
          </w:tcPr>
          <w:p w:rsidR="0083792B" w:rsidRPr="00386CD6" w:rsidRDefault="0083792B" w:rsidP="00911C8B">
            <w:pPr>
              <w:jc w:val="left"/>
              <w:rPr>
                <w:rFonts w:cs="Arial"/>
              </w:rPr>
            </w:pPr>
            <w:r w:rsidRPr="00386CD6">
              <w:rPr>
                <w:rFonts w:cs="Arial"/>
              </w:rPr>
              <w:t>Koide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t>Cours de formation à l’examen DHS de la tomate</w:t>
            </w:r>
          </w:p>
        </w:tc>
        <w:tc>
          <w:tcPr>
            <w:tcW w:w="2309" w:type="dxa"/>
          </w:tcPr>
          <w:p w:rsidR="0083792B" w:rsidRPr="00386CD6" w:rsidRDefault="0083792B" w:rsidP="0085651C">
            <w:pPr>
              <w:jc w:val="left"/>
              <w:rPr>
                <w:rFonts w:cs="Arial"/>
              </w:rPr>
            </w:pPr>
            <w:r w:rsidRPr="00386CD6">
              <w:rPr>
                <w:rFonts w:cs="Arial"/>
              </w:rPr>
              <w:t>Hanoi (Viet Nam)</w:t>
            </w:r>
          </w:p>
        </w:tc>
        <w:tc>
          <w:tcPr>
            <w:tcW w:w="1993" w:type="dxa"/>
          </w:tcPr>
          <w:p w:rsidR="0083792B" w:rsidRPr="00386CD6" w:rsidRDefault="0083792B" w:rsidP="0085651C">
            <w:pPr>
              <w:jc w:val="left"/>
              <w:rPr>
                <w:rFonts w:cs="Arial"/>
              </w:rPr>
            </w:pPr>
            <w:r w:rsidRPr="00386CD6">
              <w:rPr>
                <w:rFonts w:cs="Arial"/>
              </w:rPr>
              <w:t>Novembre</w:t>
            </w:r>
            <w:r w:rsidRPr="00386CD6">
              <w:rPr>
                <w:rFonts w:cs="Arial"/>
              </w:rPr>
              <w:noBreakHyphen/>
              <w:t>décembre</w:t>
            </w:r>
          </w:p>
        </w:tc>
        <w:tc>
          <w:tcPr>
            <w:tcW w:w="1822" w:type="dxa"/>
            <w:shd w:val="clear" w:color="auto" w:fill="auto"/>
            <w:hideMark/>
          </w:tcPr>
          <w:p w:rsidR="0083792B" w:rsidRPr="00386CD6" w:rsidRDefault="0083792B" w:rsidP="00911C8B">
            <w:pPr>
              <w:jc w:val="left"/>
              <w:rPr>
                <w:rFonts w:cs="Arial"/>
              </w:rPr>
            </w:pPr>
            <w:r w:rsidRPr="00386CD6">
              <w:rPr>
                <w:rFonts w:cs="Arial"/>
              </w:rPr>
              <w:t>Koide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Dix</w:t>
            </w:r>
            <w:r w:rsidRPr="00386CD6">
              <w:rPr>
                <w:rFonts w:cs="Arial"/>
              </w:rPr>
              <w:noBreakHyphen/>
              <w:t>neuvième réunion annuelle entre l’OCVV et ses offices d’examen</w:t>
            </w:r>
          </w:p>
        </w:tc>
        <w:tc>
          <w:tcPr>
            <w:tcW w:w="2309" w:type="dxa"/>
          </w:tcPr>
          <w:p w:rsidR="0083792B" w:rsidRPr="00386CD6" w:rsidRDefault="0083792B" w:rsidP="0085651C">
            <w:pPr>
              <w:jc w:val="left"/>
              <w:rPr>
                <w:rFonts w:cs="Arial"/>
              </w:rPr>
            </w:pPr>
            <w:r w:rsidRPr="00386CD6">
              <w:rPr>
                <w:rFonts w:cs="Arial"/>
              </w:rPr>
              <w:t>Angers (France)</w:t>
            </w:r>
          </w:p>
        </w:tc>
        <w:tc>
          <w:tcPr>
            <w:tcW w:w="1993" w:type="dxa"/>
          </w:tcPr>
          <w:p w:rsidR="0083792B" w:rsidRPr="00386CD6" w:rsidRDefault="0083792B" w:rsidP="0085651C">
            <w:pPr>
              <w:jc w:val="left"/>
              <w:rPr>
                <w:rFonts w:cs="Arial"/>
              </w:rPr>
            </w:pPr>
            <w:r w:rsidRPr="00386CD6">
              <w:rPr>
                <w:rFonts w:cs="Arial"/>
              </w:rPr>
              <w:t>Décembre</w:t>
            </w:r>
          </w:p>
        </w:tc>
        <w:tc>
          <w:tcPr>
            <w:tcW w:w="1822" w:type="dxa"/>
            <w:shd w:val="clear" w:color="auto" w:fill="auto"/>
            <w:hideMark/>
          </w:tcPr>
          <w:p w:rsidR="0083792B" w:rsidRPr="00386CD6" w:rsidRDefault="0083792B" w:rsidP="00911C8B">
            <w:pPr>
              <w:jc w:val="left"/>
              <w:rPr>
                <w:rFonts w:cs="Arial"/>
              </w:rPr>
            </w:pPr>
            <w:r w:rsidRPr="00386CD6">
              <w:rPr>
                <w:rFonts w:cs="Arial"/>
              </w:rPr>
              <w:t>Taveira</w:t>
            </w:r>
          </w:p>
        </w:tc>
      </w:tr>
      <w:tr w:rsidR="0083792B" w:rsidRPr="00386CD6" w:rsidTr="008B401F">
        <w:trPr>
          <w:trHeight w:val="510"/>
        </w:trPr>
        <w:tc>
          <w:tcPr>
            <w:tcW w:w="3765" w:type="dxa"/>
          </w:tcPr>
          <w:p w:rsidR="0083792B" w:rsidRPr="00386CD6" w:rsidRDefault="0083792B" w:rsidP="0085651C">
            <w:pPr>
              <w:jc w:val="left"/>
              <w:rPr>
                <w:rFonts w:cs="Arial"/>
              </w:rPr>
            </w:pPr>
            <w:r w:rsidRPr="00386CD6">
              <w:t>Atelier sur les avantages de la protection des obtentions végétales au titre de la Convention UPOV</w:t>
            </w:r>
          </w:p>
        </w:tc>
        <w:tc>
          <w:tcPr>
            <w:tcW w:w="2309" w:type="dxa"/>
          </w:tcPr>
          <w:p w:rsidR="0083792B" w:rsidRPr="00386CD6" w:rsidRDefault="0083792B" w:rsidP="0085651C">
            <w:pPr>
              <w:jc w:val="left"/>
              <w:rPr>
                <w:rFonts w:cs="Arial"/>
              </w:rPr>
            </w:pPr>
            <w:r w:rsidRPr="00386CD6">
              <w:rPr>
                <w:rFonts w:cs="Arial"/>
              </w:rPr>
              <w:t>Bandar Seri Begawan (Brunéi Darussalam)</w:t>
            </w:r>
          </w:p>
        </w:tc>
        <w:tc>
          <w:tcPr>
            <w:tcW w:w="1993" w:type="dxa"/>
          </w:tcPr>
          <w:p w:rsidR="0083792B" w:rsidRPr="00386CD6" w:rsidRDefault="0083792B" w:rsidP="0085651C">
            <w:pPr>
              <w:jc w:val="left"/>
              <w:rPr>
                <w:rFonts w:cs="Arial"/>
              </w:rPr>
            </w:pPr>
            <w:r w:rsidRPr="00386CD6">
              <w:rPr>
                <w:rFonts w:cs="Arial"/>
              </w:rPr>
              <w:t xml:space="preserve">Décembre </w:t>
            </w:r>
          </w:p>
        </w:tc>
        <w:tc>
          <w:tcPr>
            <w:tcW w:w="1822" w:type="dxa"/>
            <w:shd w:val="clear" w:color="auto" w:fill="auto"/>
            <w:hideMark/>
          </w:tcPr>
          <w:p w:rsidR="0083792B" w:rsidRPr="00386CD6" w:rsidRDefault="0083792B" w:rsidP="00911C8B">
            <w:pPr>
              <w:jc w:val="left"/>
              <w:rPr>
                <w:rFonts w:cs="Arial"/>
              </w:rPr>
            </w:pPr>
            <w:r w:rsidRPr="00386CD6">
              <w:rPr>
                <w:rFonts w:cs="Arial"/>
              </w:rPr>
              <w:t>Button, Koide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t>Atelier sur la sensibilisation à la protection des obtentions végétales au titre de la Convention UPOV</w:t>
            </w:r>
          </w:p>
        </w:tc>
        <w:tc>
          <w:tcPr>
            <w:tcW w:w="2309" w:type="dxa"/>
          </w:tcPr>
          <w:p w:rsidR="0083792B" w:rsidRPr="00386CD6" w:rsidRDefault="0083792B" w:rsidP="0085651C">
            <w:pPr>
              <w:jc w:val="left"/>
              <w:rPr>
                <w:rFonts w:cs="Arial"/>
              </w:rPr>
            </w:pPr>
            <w:r w:rsidRPr="00386CD6">
              <w:rPr>
                <w:rFonts w:cs="Arial"/>
              </w:rPr>
              <w:t>Vientiane (République démocratique populaire lao)</w:t>
            </w:r>
          </w:p>
        </w:tc>
        <w:tc>
          <w:tcPr>
            <w:tcW w:w="1993" w:type="dxa"/>
          </w:tcPr>
          <w:p w:rsidR="0083792B" w:rsidRPr="00386CD6" w:rsidRDefault="0083792B" w:rsidP="0085651C">
            <w:pPr>
              <w:jc w:val="left"/>
              <w:rPr>
                <w:rFonts w:cs="Arial"/>
              </w:rPr>
            </w:pPr>
            <w:r w:rsidRPr="00386CD6">
              <w:rPr>
                <w:rFonts w:cs="Arial"/>
              </w:rPr>
              <w:t>Décembre</w:t>
            </w:r>
          </w:p>
        </w:tc>
        <w:tc>
          <w:tcPr>
            <w:tcW w:w="1822" w:type="dxa"/>
            <w:shd w:val="clear" w:color="auto" w:fill="auto"/>
            <w:hideMark/>
          </w:tcPr>
          <w:p w:rsidR="0083792B" w:rsidRPr="00386CD6" w:rsidRDefault="0083792B" w:rsidP="00911C8B">
            <w:pPr>
              <w:jc w:val="left"/>
              <w:rPr>
                <w:rFonts w:cs="Arial"/>
              </w:rPr>
            </w:pPr>
            <w:r w:rsidRPr="00386CD6">
              <w:rPr>
                <w:rFonts w:cs="Arial"/>
              </w:rPr>
              <w:t>Button, Koide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t>Débat d’expert sur le thème “Semences et agriculture durable</w:t>
            </w:r>
            <w:r w:rsidRPr="00386CD6">
              <w:rPr>
                <w:rFonts w:cs="Arial"/>
              </w:rPr>
              <w:t xml:space="preserve">”, locaux du GIZ </w:t>
            </w:r>
          </w:p>
        </w:tc>
        <w:tc>
          <w:tcPr>
            <w:tcW w:w="2309" w:type="dxa"/>
          </w:tcPr>
          <w:p w:rsidR="0083792B" w:rsidRPr="00386CD6" w:rsidRDefault="0083792B" w:rsidP="0085651C">
            <w:pPr>
              <w:jc w:val="left"/>
              <w:rPr>
                <w:rFonts w:cs="Arial"/>
              </w:rPr>
            </w:pPr>
            <w:r w:rsidRPr="00386CD6">
              <w:rPr>
                <w:rFonts w:cs="Arial"/>
              </w:rPr>
              <w:t>Bonn (Allemagne)</w:t>
            </w:r>
          </w:p>
        </w:tc>
        <w:tc>
          <w:tcPr>
            <w:tcW w:w="1993" w:type="dxa"/>
          </w:tcPr>
          <w:p w:rsidR="0083792B" w:rsidRPr="00386CD6" w:rsidRDefault="0083792B" w:rsidP="0085651C">
            <w:pPr>
              <w:jc w:val="left"/>
              <w:rPr>
                <w:rFonts w:cs="Arial"/>
              </w:rPr>
            </w:pPr>
            <w:r w:rsidRPr="00386CD6">
              <w:rPr>
                <w:rFonts w:cs="Arial"/>
              </w:rPr>
              <w:t>Décembre</w:t>
            </w:r>
          </w:p>
        </w:tc>
        <w:tc>
          <w:tcPr>
            <w:tcW w:w="1822" w:type="dxa"/>
            <w:shd w:val="clear" w:color="auto" w:fill="auto"/>
            <w:hideMark/>
          </w:tcPr>
          <w:p w:rsidR="0083792B" w:rsidRPr="00386CD6" w:rsidRDefault="0083792B" w:rsidP="00911C8B">
            <w:pPr>
              <w:jc w:val="left"/>
              <w:rPr>
                <w:rFonts w:cs="Arial"/>
              </w:rPr>
            </w:pPr>
            <w:r w:rsidRPr="00386CD6">
              <w:rPr>
                <w:rFonts w:cs="Arial"/>
              </w:rPr>
              <w:t>Huerta</w:t>
            </w:r>
          </w:p>
        </w:tc>
      </w:tr>
      <w:tr w:rsidR="0083792B" w:rsidRPr="00386CD6" w:rsidTr="008B401F">
        <w:trPr>
          <w:trHeight w:val="510"/>
        </w:trPr>
        <w:tc>
          <w:tcPr>
            <w:tcW w:w="3765" w:type="dxa"/>
          </w:tcPr>
          <w:p w:rsidR="0083792B" w:rsidRPr="00386CD6" w:rsidRDefault="0083792B" w:rsidP="0085651C">
            <w:pPr>
              <w:jc w:val="left"/>
              <w:rPr>
                <w:rFonts w:cs="Arial"/>
              </w:rPr>
            </w:pPr>
            <w:r w:rsidRPr="00386CD6">
              <w:t>Séminaire de haut niveau de sensibilisation à la protection des obtentions végétales en vertu de la Convention UPOV</w:t>
            </w:r>
          </w:p>
        </w:tc>
        <w:tc>
          <w:tcPr>
            <w:tcW w:w="2309" w:type="dxa"/>
          </w:tcPr>
          <w:p w:rsidR="0083792B" w:rsidRPr="00386CD6" w:rsidRDefault="0083792B" w:rsidP="0085651C">
            <w:pPr>
              <w:jc w:val="left"/>
              <w:rPr>
                <w:rFonts w:cs="Arial"/>
              </w:rPr>
            </w:pPr>
            <w:r w:rsidRPr="00386CD6">
              <w:rPr>
                <w:rFonts w:cs="Arial"/>
              </w:rPr>
              <w:t>Phnom Penh (Cambodge)</w:t>
            </w:r>
          </w:p>
        </w:tc>
        <w:tc>
          <w:tcPr>
            <w:tcW w:w="1993" w:type="dxa"/>
          </w:tcPr>
          <w:p w:rsidR="0083792B" w:rsidRPr="00386CD6" w:rsidRDefault="0083792B" w:rsidP="0085651C">
            <w:pPr>
              <w:jc w:val="left"/>
              <w:rPr>
                <w:rFonts w:cs="Arial"/>
              </w:rPr>
            </w:pPr>
            <w:r w:rsidRPr="00386CD6">
              <w:rPr>
                <w:rFonts w:cs="Arial"/>
              </w:rPr>
              <w:t>Décembre</w:t>
            </w:r>
          </w:p>
        </w:tc>
        <w:tc>
          <w:tcPr>
            <w:tcW w:w="1822" w:type="dxa"/>
            <w:shd w:val="clear" w:color="auto" w:fill="auto"/>
            <w:hideMark/>
          </w:tcPr>
          <w:p w:rsidR="0083792B" w:rsidRPr="00386CD6" w:rsidRDefault="0083792B" w:rsidP="00911C8B">
            <w:pPr>
              <w:jc w:val="left"/>
              <w:rPr>
                <w:rFonts w:cs="Arial"/>
              </w:rPr>
            </w:pPr>
            <w:r w:rsidRPr="00386CD6">
              <w:rPr>
                <w:rFonts w:cs="Arial"/>
              </w:rPr>
              <w:t>Button, Koide</w:t>
            </w:r>
          </w:p>
        </w:tc>
      </w:tr>
      <w:tr w:rsidR="0083792B" w:rsidRPr="00386CD6" w:rsidTr="008B401F">
        <w:trPr>
          <w:trHeight w:val="510"/>
        </w:trPr>
        <w:tc>
          <w:tcPr>
            <w:tcW w:w="3765" w:type="dxa"/>
          </w:tcPr>
          <w:p w:rsidR="0083792B" w:rsidRPr="00386CD6" w:rsidRDefault="0083792B" w:rsidP="0085651C">
            <w:pPr>
              <w:jc w:val="left"/>
              <w:rPr>
                <w:rFonts w:cs="Arial"/>
              </w:rPr>
            </w:pPr>
            <w:r w:rsidRPr="00386CD6">
              <w:rPr>
                <w:rFonts w:cs="Arial"/>
              </w:rPr>
              <w:t xml:space="preserve">Consultations et atelier sur le Traité international, et préparation </w:t>
            </w:r>
            <w:r w:rsidRPr="00386CD6">
              <w:rPr>
                <w:szCs w:val="22"/>
              </w:rPr>
              <w:t>à l’adhésion à la Convention UPOV</w:t>
            </w:r>
          </w:p>
        </w:tc>
        <w:tc>
          <w:tcPr>
            <w:tcW w:w="2309" w:type="dxa"/>
          </w:tcPr>
          <w:p w:rsidR="0083792B" w:rsidRPr="00386CD6" w:rsidRDefault="0083792B" w:rsidP="0085651C">
            <w:pPr>
              <w:jc w:val="left"/>
            </w:pPr>
            <w:r w:rsidRPr="00386CD6">
              <w:rPr>
                <w:rFonts w:cs="Arial"/>
              </w:rPr>
              <w:t>Dubaï (Émirats arabes unis)</w:t>
            </w:r>
          </w:p>
        </w:tc>
        <w:tc>
          <w:tcPr>
            <w:tcW w:w="1993" w:type="dxa"/>
          </w:tcPr>
          <w:p w:rsidR="0083792B" w:rsidRPr="00386CD6" w:rsidRDefault="0083792B" w:rsidP="0085651C">
            <w:pPr>
              <w:jc w:val="left"/>
              <w:rPr>
                <w:rFonts w:cs="Arial"/>
              </w:rPr>
            </w:pPr>
            <w:r w:rsidRPr="00386CD6">
              <w:rPr>
                <w:rFonts w:cs="Arial"/>
              </w:rPr>
              <w:t>Décembre</w:t>
            </w:r>
          </w:p>
        </w:tc>
        <w:tc>
          <w:tcPr>
            <w:tcW w:w="1822" w:type="dxa"/>
            <w:shd w:val="clear" w:color="auto" w:fill="auto"/>
            <w:hideMark/>
          </w:tcPr>
          <w:p w:rsidR="0083792B" w:rsidRPr="00386CD6" w:rsidRDefault="0083792B" w:rsidP="00911C8B">
            <w:pPr>
              <w:jc w:val="left"/>
              <w:rPr>
                <w:rFonts w:cs="Arial"/>
              </w:rPr>
            </w:pPr>
            <w:r w:rsidRPr="00386CD6">
              <w:rPr>
                <w:rFonts w:cs="Arial"/>
              </w:rPr>
              <w:t>Huerta</w:t>
            </w:r>
          </w:p>
        </w:tc>
      </w:tr>
    </w:tbl>
    <w:p w:rsidR="0083792B" w:rsidRPr="00386CD6" w:rsidRDefault="0083792B" w:rsidP="008B401F">
      <w:pPr>
        <w:jc w:val="right"/>
      </w:pPr>
    </w:p>
    <w:p w:rsidR="0083792B" w:rsidRPr="00386CD6" w:rsidRDefault="0083792B" w:rsidP="004E714F">
      <w:pPr>
        <w:jc w:val="right"/>
      </w:pPr>
    </w:p>
    <w:p w:rsidR="0083792B" w:rsidRPr="00386CD6" w:rsidRDefault="0083792B" w:rsidP="004E714F">
      <w:pPr>
        <w:jc w:val="right"/>
      </w:pPr>
    </w:p>
    <w:p w:rsidR="0083792B" w:rsidRPr="00386CD6" w:rsidRDefault="0083792B" w:rsidP="004E714F">
      <w:pPr>
        <w:jc w:val="right"/>
      </w:pPr>
      <w:r w:rsidRPr="00386CD6">
        <w:t>[L’annexe III suit]</w:t>
      </w:r>
    </w:p>
    <w:p w:rsidR="0083792B" w:rsidRPr="00386CD6" w:rsidRDefault="0083792B" w:rsidP="004E714F"/>
    <w:p w:rsidR="0083792B" w:rsidRPr="00386CD6" w:rsidRDefault="0083792B" w:rsidP="004E714F">
      <w:pPr>
        <w:jc w:val="right"/>
        <w:sectPr w:rsidR="0083792B" w:rsidRPr="00386CD6" w:rsidSect="002D5278">
          <w:headerReference w:type="default" r:id="rId15"/>
          <w:footerReference w:type="first" r:id="rId16"/>
          <w:pgSz w:w="11907" w:h="16840" w:code="9"/>
          <w:pgMar w:top="510" w:right="1134" w:bottom="993" w:left="1134" w:header="510" w:footer="513" w:gutter="0"/>
          <w:pgNumType w:start="1"/>
          <w:cols w:space="720"/>
          <w:titlePg/>
        </w:sectPr>
      </w:pPr>
    </w:p>
    <w:p w:rsidR="0083792B" w:rsidRPr="00386CD6" w:rsidRDefault="0083792B" w:rsidP="0085651C">
      <w:pPr>
        <w:jc w:val="center"/>
      </w:pPr>
      <w:r w:rsidRPr="00386CD6">
        <w:t>C/50/2</w:t>
      </w:r>
    </w:p>
    <w:p w:rsidR="0083792B" w:rsidRPr="00386CD6" w:rsidRDefault="0083792B" w:rsidP="0085651C">
      <w:pPr>
        <w:jc w:val="center"/>
      </w:pPr>
    </w:p>
    <w:p w:rsidR="0083792B" w:rsidRPr="00386CD6" w:rsidRDefault="0083792B" w:rsidP="0085651C">
      <w:pPr>
        <w:jc w:val="center"/>
      </w:pPr>
      <w:r w:rsidRPr="00386CD6">
        <w:t>ANNEXE III</w:t>
      </w:r>
    </w:p>
    <w:p w:rsidR="0083792B" w:rsidRPr="00386CD6" w:rsidRDefault="0083792B" w:rsidP="0085651C">
      <w:pPr>
        <w:jc w:val="center"/>
      </w:pPr>
    </w:p>
    <w:p w:rsidR="0083792B" w:rsidRPr="00386CD6" w:rsidRDefault="0083792B" w:rsidP="0085651C">
      <w:pPr>
        <w:jc w:val="center"/>
      </w:pPr>
      <w:r w:rsidRPr="00386CD6">
        <w:t>TABLEAU DES RÉSULTATS ET INDICATEURS D’EXÉCUTION POUR 2015</w:t>
      </w:r>
    </w:p>
    <w:p w:rsidR="0083792B" w:rsidRPr="00386CD6" w:rsidRDefault="0083792B" w:rsidP="0085651C">
      <w:pPr>
        <w:jc w:val="center"/>
      </w:pPr>
    </w:p>
    <w:p w:rsidR="0083792B" w:rsidRPr="00386CD6" w:rsidRDefault="0083792B" w:rsidP="0085651C">
      <w:pPr>
        <w:jc w:val="center"/>
        <w:rPr>
          <w:u w:val="single"/>
        </w:rPr>
      </w:pPr>
      <w:r w:rsidRPr="00386CD6">
        <w:rPr>
          <w:u w:val="single"/>
        </w:rPr>
        <w:t>Table des matières</w:t>
      </w:r>
    </w:p>
    <w:p w:rsidR="0083792B" w:rsidRPr="00386CD6" w:rsidRDefault="0083792B" w:rsidP="0085651C"/>
    <w:p w:rsidR="00D535C2" w:rsidRDefault="0083792B">
      <w:pPr>
        <w:pStyle w:val="TOC3"/>
        <w:rPr>
          <w:rFonts w:asciiTheme="minorHAnsi" w:hAnsiTheme="minorHAnsi" w:cstheme="minorBidi"/>
          <w:b w:val="0"/>
          <w:noProof/>
          <w:sz w:val="22"/>
          <w:szCs w:val="22"/>
          <w:lang w:val="en-US"/>
        </w:rPr>
      </w:pPr>
      <w:r w:rsidRPr="00386CD6">
        <w:rPr>
          <w:rFonts w:eastAsia="Times New Roman"/>
          <w:caps/>
          <w:sz w:val="20"/>
        </w:rPr>
        <w:fldChar w:fldCharType="begin"/>
      </w:r>
      <w:r w:rsidRPr="00386CD6">
        <w:rPr>
          <w:caps/>
        </w:rPr>
        <w:instrText xml:space="preserve"> TOC \o "3-9" \u </w:instrText>
      </w:r>
      <w:r w:rsidRPr="00386CD6">
        <w:rPr>
          <w:rFonts w:eastAsia="Times New Roman"/>
          <w:caps/>
          <w:sz w:val="20"/>
        </w:rPr>
        <w:fldChar w:fldCharType="separate"/>
      </w:r>
      <w:r w:rsidR="00D535C2" w:rsidRPr="008F0AF6">
        <w:rPr>
          <w:noProof/>
        </w:rPr>
        <w:t>INTRODUCTION</w:t>
      </w:r>
      <w:r w:rsidR="00D535C2">
        <w:rPr>
          <w:noProof/>
        </w:rPr>
        <w:tab/>
      </w:r>
      <w:r w:rsidR="00D535C2">
        <w:rPr>
          <w:noProof/>
        </w:rPr>
        <w:fldChar w:fldCharType="begin"/>
      </w:r>
      <w:r w:rsidR="00D535C2">
        <w:rPr>
          <w:noProof/>
        </w:rPr>
        <w:instrText xml:space="preserve"> PAGEREF _Toc465100020 \h </w:instrText>
      </w:r>
      <w:r w:rsidR="00D535C2">
        <w:rPr>
          <w:noProof/>
        </w:rPr>
      </w:r>
      <w:r w:rsidR="00D535C2">
        <w:rPr>
          <w:noProof/>
        </w:rPr>
        <w:fldChar w:fldCharType="separate"/>
      </w:r>
      <w:r w:rsidR="00C64A67">
        <w:rPr>
          <w:noProof/>
        </w:rPr>
        <w:t>3</w:t>
      </w:r>
      <w:r w:rsidR="00D535C2">
        <w:rPr>
          <w:noProof/>
        </w:rPr>
        <w:fldChar w:fldCharType="end"/>
      </w:r>
    </w:p>
    <w:p w:rsidR="00D535C2" w:rsidRDefault="00D535C2">
      <w:pPr>
        <w:pStyle w:val="TOC3"/>
        <w:rPr>
          <w:rFonts w:asciiTheme="minorHAnsi" w:hAnsiTheme="minorHAnsi" w:cstheme="minorBidi"/>
          <w:b w:val="0"/>
          <w:noProof/>
          <w:sz w:val="22"/>
          <w:szCs w:val="22"/>
          <w:lang w:val="en-US"/>
        </w:rPr>
      </w:pPr>
      <w:r w:rsidRPr="008F0AF6">
        <w:rPr>
          <w:noProof/>
        </w:rPr>
        <w:t>Sous</w:t>
      </w:r>
      <w:r w:rsidRPr="008F0AF6">
        <w:rPr>
          <w:noProof/>
        </w:rPr>
        <w:noBreakHyphen/>
        <w:t>programme UV.1 : Politique générale en matière de protection des obtentions végétales</w:t>
      </w:r>
      <w:r>
        <w:rPr>
          <w:noProof/>
        </w:rPr>
        <w:tab/>
      </w:r>
      <w:r>
        <w:rPr>
          <w:noProof/>
        </w:rPr>
        <w:fldChar w:fldCharType="begin"/>
      </w:r>
      <w:r>
        <w:rPr>
          <w:noProof/>
        </w:rPr>
        <w:instrText xml:space="preserve"> PAGEREF _Toc465100021 \h </w:instrText>
      </w:r>
      <w:r>
        <w:rPr>
          <w:noProof/>
        </w:rPr>
      </w:r>
      <w:r>
        <w:rPr>
          <w:noProof/>
        </w:rPr>
        <w:fldChar w:fldCharType="separate"/>
      </w:r>
      <w:r w:rsidR="00C64A67">
        <w:rPr>
          <w:noProof/>
        </w:rPr>
        <w:t>4</w:t>
      </w:r>
      <w:r>
        <w:rPr>
          <w:noProof/>
        </w:rPr>
        <w:fldChar w:fldCharType="end"/>
      </w:r>
    </w:p>
    <w:p w:rsidR="00D535C2" w:rsidRDefault="00D535C2">
      <w:pPr>
        <w:pStyle w:val="TOC5"/>
        <w:rPr>
          <w:rFonts w:asciiTheme="minorHAnsi" w:hAnsiTheme="minorHAnsi" w:cstheme="minorBidi"/>
          <w:sz w:val="22"/>
          <w:szCs w:val="22"/>
          <w:lang w:val="en-US"/>
        </w:rPr>
      </w:pPr>
      <w:r w:rsidRPr="008F0AF6">
        <w:t>Objectifs :</w:t>
      </w:r>
      <w:r>
        <w:tab/>
      </w:r>
      <w:r>
        <w:fldChar w:fldCharType="begin"/>
      </w:r>
      <w:r>
        <w:instrText xml:space="preserve"> PAGEREF _Toc465100022 \h </w:instrText>
      </w:r>
      <w:r>
        <w:fldChar w:fldCharType="separate"/>
      </w:r>
      <w:r w:rsidR="00C64A67">
        <w:t>4</w:t>
      </w:r>
      <w:r>
        <w:fldChar w:fldCharType="end"/>
      </w:r>
    </w:p>
    <w:p w:rsidR="00D535C2" w:rsidRDefault="00D535C2">
      <w:pPr>
        <w:pStyle w:val="TOC5"/>
        <w:rPr>
          <w:rFonts w:asciiTheme="minorHAnsi" w:hAnsiTheme="minorHAnsi" w:cstheme="minorBidi"/>
          <w:sz w:val="22"/>
          <w:szCs w:val="22"/>
          <w:lang w:val="en-US"/>
        </w:rPr>
      </w:pPr>
      <w:r w:rsidRPr="008F0AF6">
        <w:t>Résultats escomptés</w:t>
      </w:r>
      <w:r>
        <w:tab/>
      </w:r>
      <w:r>
        <w:fldChar w:fldCharType="begin"/>
      </w:r>
      <w:r>
        <w:instrText xml:space="preserve"> PAGEREF _Toc465100023 \h </w:instrText>
      </w:r>
      <w:r>
        <w:fldChar w:fldCharType="separate"/>
      </w:r>
      <w:r w:rsidR="00C64A67">
        <w:t>4</w:t>
      </w:r>
      <w:r>
        <w:fldChar w:fldCharType="end"/>
      </w:r>
    </w:p>
    <w:p w:rsidR="00D535C2" w:rsidRDefault="00D535C2">
      <w:pPr>
        <w:pStyle w:val="TOC7"/>
        <w:rPr>
          <w:rFonts w:asciiTheme="minorHAnsi" w:hAnsiTheme="minorHAnsi" w:cstheme="minorBidi"/>
          <w:i w:val="0"/>
          <w:sz w:val="22"/>
          <w:szCs w:val="22"/>
          <w:lang w:val="en-US"/>
        </w:rPr>
      </w:pPr>
      <w:r>
        <w:t>Résultats obtenus : indicateurs d’exécution</w:t>
      </w:r>
      <w:r>
        <w:tab/>
      </w:r>
      <w:r>
        <w:fldChar w:fldCharType="begin"/>
      </w:r>
      <w:r>
        <w:instrText xml:space="preserve"> PAGEREF _Toc465100024 \h </w:instrText>
      </w:r>
      <w:r>
        <w:fldChar w:fldCharType="separate"/>
      </w:r>
      <w:r w:rsidR="00C64A67">
        <w:t>4</w:t>
      </w:r>
      <w:r>
        <w:fldChar w:fldCharType="end"/>
      </w:r>
    </w:p>
    <w:p w:rsidR="00D535C2" w:rsidRDefault="00D535C2">
      <w:pPr>
        <w:pStyle w:val="TOC6"/>
        <w:tabs>
          <w:tab w:val="left" w:pos="1134"/>
        </w:tabs>
        <w:rPr>
          <w:rFonts w:asciiTheme="minorHAnsi" w:hAnsiTheme="minorHAnsi" w:cstheme="minorBidi"/>
          <w:sz w:val="22"/>
          <w:szCs w:val="22"/>
          <w:lang w:val="en-US"/>
        </w:rPr>
      </w:pPr>
      <w:r>
        <w:t>1.</w:t>
      </w:r>
      <w:r>
        <w:rPr>
          <w:rFonts w:asciiTheme="minorHAnsi" w:hAnsiTheme="minorHAnsi" w:cstheme="minorBidi"/>
          <w:sz w:val="22"/>
          <w:szCs w:val="22"/>
          <w:lang w:val="en-US"/>
        </w:rPr>
        <w:tab/>
      </w:r>
      <w:r>
        <w:t>Organisation des sessions du Conseil et du Comité consultatif</w:t>
      </w:r>
      <w:r>
        <w:tab/>
      </w:r>
      <w:r>
        <w:fldChar w:fldCharType="begin"/>
      </w:r>
      <w:r>
        <w:instrText xml:space="preserve"> PAGEREF _Toc465100025 \h </w:instrText>
      </w:r>
      <w:r>
        <w:fldChar w:fldCharType="separate"/>
      </w:r>
      <w:r w:rsidR="00C64A67">
        <w:t>4</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Participation aux sessions du Conseil et du Comité consultatif</w:t>
      </w:r>
      <w:r>
        <w:tab/>
      </w:r>
      <w:r>
        <w:fldChar w:fldCharType="begin"/>
      </w:r>
      <w:r>
        <w:instrText xml:space="preserve"> PAGEREF _Toc465100026 \h </w:instrText>
      </w:r>
      <w:r>
        <w:fldChar w:fldCharType="separate"/>
      </w:r>
      <w:r w:rsidR="00C64A67">
        <w:t>4</w:t>
      </w:r>
      <w:r>
        <w:fldChar w:fldCharType="end"/>
      </w:r>
    </w:p>
    <w:p w:rsidR="00D535C2" w:rsidRDefault="00D535C2">
      <w:pPr>
        <w:pStyle w:val="TOC6"/>
        <w:tabs>
          <w:tab w:val="left" w:pos="1134"/>
        </w:tabs>
        <w:rPr>
          <w:rFonts w:asciiTheme="minorHAnsi" w:hAnsiTheme="minorHAnsi" w:cstheme="minorBidi"/>
          <w:sz w:val="22"/>
          <w:szCs w:val="22"/>
          <w:lang w:val="en-US"/>
        </w:rPr>
      </w:pPr>
      <w:r>
        <w:t>2.</w:t>
      </w:r>
      <w:r>
        <w:rPr>
          <w:rFonts w:asciiTheme="minorHAnsi" w:hAnsiTheme="minorHAnsi" w:cstheme="minorBidi"/>
          <w:sz w:val="22"/>
          <w:szCs w:val="22"/>
          <w:lang w:val="en-US"/>
        </w:rPr>
        <w:tab/>
      </w:r>
      <w:r>
        <w:t>Coordination, suivi et évaluation de l’exécution du programme et budget pour l’exercice biennal 2014</w:t>
      </w:r>
      <w:r>
        <w:noBreakHyphen/>
        <w:t>2015</w:t>
      </w:r>
      <w:r>
        <w:tab/>
      </w:r>
      <w:r>
        <w:fldChar w:fldCharType="begin"/>
      </w:r>
      <w:r>
        <w:instrText xml:space="preserve"> PAGEREF _Toc465100027 \h </w:instrText>
      </w:r>
      <w:r>
        <w:fldChar w:fldCharType="separate"/>
      </w:r>
      <w:r w:rsidR="00C64A67">
        <w:t>4</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Mise en œuvre du programme dans les limites du budget pour l’exercice biennal 2014</w:t>
      </w:r>
      <w:r>
        <w:noBreakHyphen/>
        <w:t>2015</w:t>
      </w:r>
      <w:r>
        <w:tab/>
      </w:r>
      <w:r>
        <w:fldChar w:fldCharType="begin"/>
      </w:r>
      <w:r>
        <w:instrText xml:space="preserve"> PAGEREF _Toc465100028 \h </w:instrText>
      </w:r>
      <w:r>
        <w:fldChar w:fldCharType="separate"/>
      </w:r>
      <w:r w:rsidR="00C64A67">
        <w:t>4</w:t>
      </w:r>
      <w:r>
        <w:fldChar w:fldCharType="end"/>
      </w:r>
    </w:p>
    <w:p w:rsidR="00D535C2" w:rsidRDefault="00D535C2">
      <w:pPr>
        <w:pStyle w:val="TOC6"/>
        <w:tabs>
          <w:tab w:val="left" w:pos="1134"/>
        </w:tabs>
        <w:rPr>
          <w:rFonts w:asciiTheme="minorHAnsi" w:hAnsiTheme="minorHAnsi" w:cstheme="minorBidi"/>
          <w:sz w:val="22"/>
          <w:szCs w:val="22"/>
          <w:lang w:val="en-US"/>
        </w:rPr>
      </w:pPr>
      <w:r>
        <w:t>3.</w:t>
      </w:r>
      <w:r>
        <w:rPr>
          <w:rFonts w:asciiTheme="minorHAnsi" w:hAnsiTheme="minorHAnsi" w:cstheme="minorBidi"/>
          <w:sz w:val="22"/>
          <w:szCs w:val="22"/>
          <w:lang w:val="en-US"/>
        </w:rPr>
        <w:tab/>
      </w:r>
      <w:r>
        <w:t>Élaboration et adoption du programme et budget pour l’exercice biennal 2016</w:t>
      </w:r>
      <w:r>
        <w:noBreakHyphen/>
        <w:t>2017</w:t>
      </w:r>
      <w:r>
        <w:tab/>
      </w:r>
      <w:r>
        <w:fldChar w:fldCharType="begin"/>
      </w:r>
      <w:r>
        <w:instrText xml:space="preserve"> PAGEREF _Toc465100029 \h </w:instrText>
      </w:r>
      <w:r>
        <w:fldChar w:fldCharType="separate"/>
      </w:r>
      <w:r w:rsidR="00C64A67">
        <w:t>4</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Élaboration et adoption du programme et budget pour l’exercice biennal 2016</w:t>
      </w:r>
      <w:r>
        <w:noBreakHyphen/>
        <w:t>2017 conformément aux dispositions du “Règlement financier et règlement d’exécution du Règlement financier de l’UPOV”</w:t>
      </w:r>
      <w:r>
        <w:tab/>
      </w:r>
      <w:r>
        <w:fldChar w:fldCharType="begin"/>
      </w:r>
      <w:r>
        <w:instrText xml:space="preserve"> PAGEREF _Toc465100030 \h </w:instrText>
      </w:r>
      <w:r>
        <w:fldChar w:fldCharType="separate"/>
      </w:r>
      <w:r w:rsidR="00C64A67">
        <w:t>4</w:t>
      </w:r>
      <w:r>
        <w:fldChar w:fldCharType="end"/>
      </w:r>
    </w:p>
    <w:p w:rsidR="00D535C2" w:rsidRDefault="00D535C2">
      <w:pPr>
        <w:pStyle w:val="TOC6"/>
        <w:tabs>
          <w:tab w:val="left" w:pos="1134"/>
        </w:tabs>
        <w:rPr>
          <w:rFonts w:asciiTheme="minorHAnsi" w:hAnsiTheme="minorHAnsi" w:cstheme="minorBidi"/>
          <w:sz w:val="22"/>
          <w:szCs w:val="22"/>
          <w:lang w:val="en-US"/>
        </w:rPr>
      </w:pPr>
      <w:r>
        <w:t>4.</w:t>
      </w:r>
      <w:r>
        <w:rPr>
          <w:rFonts w:asciiTheme="minorHAnsi" w:hAnsiTheme="minorHAnsi" w:cstheme="minorBidi"/>
          <w:sz w:val="22"/>
          <w:szCs w:val="22"/>
          <w:lang w:val="en-US"/>
        </w:rPr>
        <w:tab/>
      </w:r>
      <w:r>
        <w:t>Politique du Conseil</w:t>
      </w:r>
      <w:r>
        <w:tab/>
      </w:r>
      <w:r>
        <w:fldChar w:fldCharType="begin"/>
      </w:r>
      <w:r>
        <w:instrText xml:space="preserve"> PAGEREF _Toc465100031 \h </w:instrText>
      </w:r>
      <w:r>
        <w:fldChar w:fldCharType="separate"/>
      </w:r>
      <w:r w:rsidR="00C64A67">
        <w:t>4</w:t>
      </w:r>
      <w:r>
        <w:fldChar w:fldCharType="end"/>
      </w:r>
    </w:p>
    <w:p w:rsidR="00D535C2" w:rsidRDefault="00D535C2">
      <w:pPr>
        <w:pStyle w:val="TOC8"/>
        <w:tabs>
          <w:tab w:val="left" w:pos="1701"/>
        </w:tabs>
        <w:rPr>
          <w:rFonts w:asciiTheme="minorHAnsi" w:hAnsiTheme="minorHAnsi" w:cstheme="minorBidi"/>
          <w:i w:val="0"/>
          <w:sz w:val="22"/>
          <w:szCs w:val="22"/>
          <w:lang w:val="en-US"/>
        </w:rPr>
      </w:pPr>
      <w:r w:rsidRPr="008F0AF6">
        <w:rPr>
          <w:rFonts w:cs="Arial"/>
        </w:rPr>
        <w:t>a)</w:t>
      </w:r>
      <w:r>
        <w:rPr>
          <w:rFonts w:asciiTheme="minorHAnsi" w:hAnsiTheme="minorHAnsi" w:cstheme="minorBidi"/>
          <w:i w:val="0"/>
          <w:sz w:val="22"/>
          <w:szCs w:val="22"/>
          <w:lang w:val="en-US"/>
        </w:rPr>
        <w:tab/>
      </w:r>
      <w:r w:rsidRPr="008F0AF6">
        <w:rPr>
          <w:rFonts w:cs="Arial"/>
        </w:rPr>
        <w:t>recommandations formulées par le Comité consultatif;</w:t>
      </w:r>
      <w:r>
        <w:tab/>
      </w:r>
      <w:r>
        <w:fldChar w:fldCharType="begin"/>
      </w:r>
      <w:r>
        <w:instrText xml:space="preserve"> PAGEREF _Toc465100032 \h </w:instrText>
      </w:r>
      <w:r>
        <w:fldChar w:fldCharType="separate"/>
      </w:r>
      <w:r w:rsidR="00C64A67">
        <w:t>4</w:t>
      </w:r>
      <w:r>
        <w:fldChar w:fldCharType="end"/>
      </w:r>
    </w:p>
    <w:p w:rsidR="00D535C2" w:rsidRDefault="00D535C2">
      <w:pPr>
        <w:pStyle w:val="TOC6"/>
        <w:tabs>
          <w:tab w:val="left" w:pos="1134"/>
        </w:tabs>
        <w:rPr>
          <w:rFonts w:asciiTheme="minorHAnsi" w:hAnsiTheme="minorHAnsi" w:cstheme="minorBidi"/>
          <w:sz w:val="22"/>
          <w:szCs w:val="22"/>
          <w:lang w:val="en-US"/>
        </w:rPr>
      </w:pPr>
      <w:r w:rsidRPr="008F0AF6">
        <w:t>4.</w:t>
      </w:r>
      <w:r>
        <w:rPr>
          <w:rFonts w:asciiTheme="minorHAnsi" w:hAnsiTheme="minorHAnsi" w:cstheme="minorBidi"/>
          <w:sz w:val="22"/>
          <w:szCs w:val="22"/>
          <w:lang w:val="en-US"/>
        </w:rPr>
        <w:tab/>
      </w:r>
      <w:r w:rsidRPr="008F0AF6">
        <w:t>Politique du Conseil (suite)</w:t>
      </w:r>
      <w:r>
        <w:tab/>
      </w:r>
      <w:r>
        <w:fldChar w:fldCharType="begin"/>
      </w:r>
      <w:r>
        <w:instrText xml:space="preserve"> PAGEREF _Toc465100033 \h </w:instrText>
      </w:r>
      <w:r>
        <w:fldChar w:fldCharType="separate"/>
      </w:r>
      <w:r w:rsidR="00C64A67">
        <w:t>6</w:t>
      </w:r>
      <w:r>
        <w:fldChar w:fldCharType="end"/>
      </w:r>
    </w:p>
    <w:p w:rsidR="00D535C2" w:rsidRDefault="00D535C2">
      <w:pPr>
        <w:pStyle w:val="TOC8"/>
        <w:tabs>
          <w:tab w:val="left" w:pos="1701"/>
        </w:tabs>
        <w:rPr>
          <w:rFonts w:asciiTheme="minorHAnsi" w:hAnsiTheme="minorHAnsi" w:cstheme="minorBidi"/>
          <w:i w:val="0"/>
          <w:sz w:val="22"/>
          <w:szCs w:val="22"/>
          <w:lang w:val="en-US"/>
        </w:rPr>
      </w:pPr>
      <w:r w:rsidRPr="008F0AF6">
        <w:rPr>
          <w:rFonts w:cs="Arial"/>
        </w:rPr>
        <w:t>b)</w:t>
      </w:r>
      <w:r>
        <w:rPr>
          <w:rFonts w:asciiTheme="minorHAnsi" w:hAnsiTheme="minorHAnsi" w:cstheme="minorBidi"/>
          <w:i w:val="0"/>
          <w:sz w:val="22"/>
          <w:szCs w:val="22"/>
          <w:lang w:val="en-US"/>
        </w:rPr>
        <w:tab/>
      </w:r>
      <w:r w:rsidRPr="008F0AF6">
        <w:rPr>
          <w:rFonts w:cs="Arial"/>
        </w:rPr>
        <w:t>Décisions adoptées par le Conseil</w:t>
      </w:r>
      <w:r>
        <w:tab/>
      </w:r>
      <w:r>
        <w:fldChar w:fldCharType="begin"/>
      </w:r>
      <w:r>
        <w:instrText xml:space="preserve"> PAGEREF _Toc465100034 \h </w:instrText>
      </w:r>
      <w:r>
        <w:fldChar w:fldCharType="separate"/>
      </w:r>
      <w:r w:rsidR="00C64A67">
        <w:t>6</w:t>
      </w:r>
      <w:r>
        <w:fldChar w:fldCharType="end"/>
      </w:r>
    </w:p>
    <w:p w:rsidR="00D535C2" w:rsidRDefault="00D535C2">
      <w:pPr>
        <w:pStyle w:val="TOC8"/>
        <w:tabs>
          <w:tab w:val="left" w:pos="1701"/>
        </w:tabs>
        <w:rPr>
          <w:rFonts w:asciiTheme="minorHAnsi" w:hAnsiTheme="minorHAnsi" w:cstheme="minorBidi"/>
          <w:i w:val="0"/>
          <w:sz w:val="22"/>
          <w:szCs w:val="22"/>
          <w:lang w:val="en-US"/>
        </w:rPr>
      </w:pPr>
      <w:r w:rsidRPr="008F0AF6">
        <w:rPr>
          <w:rFonts w:cs="Arial"/>
        </w:rPr>
        <w:t>c)</w:t>
      </w:r>
      <w:r>
        <w:rPr>
          <w:rFonts w:asciiTheme="minorHAnsi" w:hAnsiTheme="minorHAnsi" w:cstheme="minorBidi"/>
          <w:i w:val="0"/>
          <w:sz w:val="22"/>
          <w:szCs w:val="22"/>
          <w:lang w:val="en-US"/>
        </w:rPr>
        <w:tab/>
      </w:r>
      <w:r w:rsidRPr="008F0AF6">
        <w:rPr>
          <w:rFonts w:cs="Arial"/>
        </w:rPr>
        <w:t>Adoption des documents et notes d’information par le Conseil</w:t>
      </w:r>
      <w:r>
        <w:tab/>
      </w:r>
      <w:r>
        <w:fldChar w:fldCharType="begin"/>
      </w:r>
      <w:r>
        <w:instrText xml:space="preserve"> PAGEREF _Toc465100035 \h </w:instrText>
      </w:r>
      <w:r>
        <w:fldChar w:fldCharType="separate"/>
      </w:r>
      <w:r w:rsidR="00C64A67">
        <w:t>6</w:t>
      </w:r>
      <w:r>
        <w:fldChar w:fldCharType="end"/>
      </w:r>
    </w:p>
    <w:p w:rsidR="00D535C2" w:rsidRDefault="00D535C2">
      <w:pPr>
        <w:pStyle w:val="TOC3"/>
        <w:rPr>
          <w:rFonts w:asciiTheme="minorHAnsi" w:hAnsiTheme="minorHAnsi" w:cstheme="minorBidi"/>
          <w:b w:val="0"/>
          <w:noProof/>
          <w:sz w:val="22"/>
          <w:szCs w:val="22"/>
          <w:lang w:val="en-US"/>
        </w:rPr>
      </w:pPr>
      <w:r w:rsidRPr="008F0AF6">
        <w:rPr>
          <w:noProof/>
        </w:rPr>
        <w:t>Sous</w:t>
      </w:r>
      <w:r w:rsidRPr="008F0AF6">
        <w:rPr>
          <w:noProof/>
        </w:rPr>
        <w:noBreakHyphen/>
        <w:t>programme UV.2 : Services fournis à l’Union en vue d’augmenter l’efficacité du système de l’UPOV</w:t>
      </w:r>
      <w:r>
        <w:rPr>
          <w:noProof/>
        </w:rPr>
        <w:tab/>
      </w:r>
      <w:r>
        <w:rPr>
          <w:noProof/>
        </w:rPr>
        <w:fldChar w:fldCharType="begin"/>
      </w:r>
      <w:r>
        <w:rPr>
          <w:noProof/>
        </w:rPr>
        <w:instrText xml:space="preserve"> PAGEREF _Toc465100036 \h </w:instrText>
      </w:r>
      <w:r>
        <w:rPr>
          <w:noProof/>
        </w:rPr>
      </w:r>
      <w:r>
        <w:rPr>
          <w:noProof/>
        </w:rPr>
        <w:fldChar w:fldCharType="separate"/>
      </w:r>
      <w:r w:rsidR="00C64A67">
        <w:rPr>
          <w:noProof/>
        </w:rPr>
        <w:t>7</w:t>
      </w:r>
      <w:r>
        <w:rPr>
          <w:noProof/>
        </w:rPr>
        <w:fldChar w:fldCharType="end"/>
      </w:r>
    </w:p>
    <w:p w:rsidR="00D535C2" w:rsidRDefault="00D535C2">
      <w:pPr>
        <w:pStyle w:val="TOC5"/>
        <w:rPr>
          <w:rFonts w:asciiTheme="minorHAnsi" w:hAnsiTheme="minorHAnsi" w:cstheme="minorBidi"/>
          <w:sz w:val="22"/>
          <w:szCs w:val="22"/>
          <w:lang w:val="en-US"/>
        </w:rPr>
      </w:pPr>
      <w:r w:rsidRPr="008F0AF6">
        <w:t>Objectifs :</w:t>
      </w:r>
      <w:r>
        <w:tab/>
      </w:r>
      <w:r>
        <w:fldChar w:fldCharType="begin"/>
      </w:r>
      <w:r>
        <w:instrText xml:space="preserve"> PAGEREF _Toc465100037 \h </w:instrText>
      </w:r>
      <w:r>
        <w:fldChar w:fldCharType="separate"/>
      </w:r>
      <w:r w:rsidR="00C64A67">
        <w:t>7</w:t>
      </w:r>
      <w:r>
        <w:fldChar w:fldCharType="end"/>
      </w:r>
    </w:p>
    <w:p w:rsidR="00D535C2" w:rsidRDefault="00D535C2">
      <w:pPr>
        <w:pStyle w:val="TOC5"/>
        <w:rPr>
          <w:rFonts w:asciiTheme="minorHAnsi" w:hAnsiTheme="minorHAnsi" w:cstheme="minorBidi"/>
          <w:sz w:val="22"/>
          <w:szCs w:val="22"/>
          <w:lang w:val="en-US"/>
        </w:rPr>
      </w:pPr>
      <w:r w:rsidRPr="008F0AF6">
        <w:t>Résultats escomptés</w:t>
      </w:r>
      <w:r>
        <w:tab/>
      </w:r>
      <w:r>
        <w:fldChar w:fldCharType="begin"/>
      </w:r>
      <w:r>
        <w:instrText xml:space="preserve"> PAGEREF _Toc465100038 \h </w:instrText>
      </w:r>
      <w:r>
        <w:fldChar w:fldCharType="separate"/>
      </w:r>
      <w:r w:rsidR="00C64A67">
        <w:t>7</w:t>
      </w:r>
      <w:r>
        <w:fldChar w:fldCharType="end"/>
      </w:r>
    </w:p>
    <w:p w:rsidR="00D535C2" w:rsidRDefault="00D535C2">
      <w:pPr>
        <w:pStyle w:val="TOC7"/>
        <w:rPr>
          <w:rFonts w:asciiTheme="minorHAnsi" w:hAnsiTheme="minorHAnsi" w:cstheme="minorBidi"/>
          <w:i w:val="0"/>
          <w:sz w:val="22"/>
          <w:szCs w:val="22"/>
          <w:lang w:val="en-US"/>
        </w:rPr>
      </w:pPr>
      <w:r>
        <w:t>Résultats obtenus : indicateurs d’exécution</w:t>
      </w:r>
      <w:r>
        <w:tab/>
      </w:r>
      <w:r>
        <w:fldChar w:fldCharType="begin"/>
      </w:r>
      <w:r>
        <w:instrText xml:space="preserve"> PAGEREF _Toc465100039 \h </w:instrText>
      </w:r>
      <w:r>
        <w:fldChar w:fldCharType="separate"/>
      </w:r>
      <w:r w:rsidR="00C64A67">
        <w:t>7</w:t>
      </w:r>
      <w:r>
        <w:fldChar w:fldCharType="end"/>
      </w:r>
    </w:p>
    <w:p w:rsidR="00D535C2" w:rsidRDefault="00D535C2">
      <w:pPr>
        <w:pStyle w:val="TOC6"/>
        <w:tabs>
          <w:tab w:val="left" w:pos="1134"/>
        </w:tabs>
        <w:rPr>
          <w:rFonts w:asciiTheme="minorHAnsi" w:hAnsiTheme="minorHAnsi" w:cstheme="minorBidi"/>
          <w:sz w:val="22"/>
          <w:szCs w:val="22"/>
          <w:lang w:val="en-US"/>
        </w:rPr>
      </w:pPr>
      <w:r>
        <w:t>1.</w:t>
      </w:r>
      <w:r>
        <w:rPr>
          <w:rFonts w:asciiTheme="minorHAnsi" w:hAnsiTheme="minorHAnsi" w:cstheme="minorBidi"/>
          <w:sz w:val="22"/>
          <w:szCs w:val="22"/>
          <w:lang w:val="en-US"/>
        </w:rPr>
        <w:tab/>
      </w:r>
      <w:r>
        <w:t>Orientations au sujet de la Convention UPOV et sa mise en œuvre et informations sur son application</w:t>
      </w:r>
      <w:r>
        <w:tab/>
      </w:r>
      <w:r>
        <w:fldChar w:fldCharType="begin"/>
      </w:r>
      <w:r>
        <w:instrText xml:space="preserve"> PAGEREF _Toc465100040 \h </w:instrText>
      </w:r>
      <w:r>
        <w:fldChar w:fldCharType="separate"/>
      </w:r>
      <w:r w:rsidR="00C64A67">
        <w:t>7</w:t>
      </w:r>
      <w:r>
        <w:fldChar w:fldCharType="end"/>
      </w:r>
    </w:p>
    <w:p w:rsidR="00D535C2" w:rsidRDefault="00D535C2">
      <w:pPr>
        <w:pStyle w:val="TOC8"/>
        <w:rPr>
          <w:rFonts w:asciiTheme="minorHAnsi" w:hAnsiTheme="minorHAnsi" w:cstheme="minorBidi"/>
          <w:i w:val="0"/>
          <w:sz w:val="22"/>
          <w:szCs w:val="22"/>
          <w:lang w:val="en-US"/>
        </w:rPr>
      </w:pPr>
      <w:r>
        <w:t>Collection de l’UPOV : consultations du site Web de l’UPOV en 2015</w:t>
      </w:r>
      <w:r>
        <w:tab/>
      </w:r>
      <w:r>
        <w:fldChar w:fldCharType="begin"/>
      </w:r>
      <w:r>
        <w:instrText xml:space="preserve"> PAGEREF _Toc465100041 \h </w:instrText>
      </w:r>
      <w:r>
        <w:fldChar w:fldCharType="separate"/>
      </w:r>
      <w:r w:rsidR="00C64A67">
        <w:t>7</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Adoption de matériels d’information nouveaux ou révisés concernant la Convention UPOV</w:t>
      </w:r>
      <w:r>
        <w:tab/>
      </w:r>
      <w:r>
        <w:fldChar w:fldCharType="begin"/>
      </w:r>
      <w:r>
        <w:instrText xml:space="preserve"> PAGEREF _Toc465100042 \h </w:instrText>
      </w:r>
      <w:r>
        <w:fldChar w:fldCharType="separate"/>
      </w:r>
      <w:r w:rsidR="00C64A67">
        <w:t>7</w:t>
      </w:r>
      <w:r>
        <w:fldChar w:fldCharType="end"/>
      </w:r>
    </w:p>
    <w:p w:rsidR="00D535C2" w:rsidRDefault="00D535C2">
      <w:pPr>
        <w:pStyle w:val="TOC8"/>
        <w:tabs>
          <w:tab w:val="left" w:pos="170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Publication de la Gazette et Newsletter de l’UPOV</w:t>
      </w:r>
      <w:r>
        <w:tab/>
      </w:r>
      <w:r>
        <w:fldChar w:fldCharType="begin"/>
      </w:r>
      <w:r>
        <w:instrText xml:space="preserve"> PAGEREF _Toc465100043 \h </w:instrText>
      </w:r>
      <w:r>
        <w:fldChar w:fldCharType="separate"/>
      </w:r>
      <w:r w:rsidR="00C64A67">
        <w:t>8</w:t>
      </w:r>
      <w:r>
        <w:fldChar w:fldCharType="end"/>
      </w:r>
    </w:p>
    <w:p w:rsidR="00D535C2" w:rsidRDefault="00D535C2">
      <w:pPr>
        <w:pStyle w:val="TOC8"/>
        <w:tabs>
          <w:tab w:val="left" w:pos="170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Incorporation de la législation des membres de l’Union dans la base de données UPOV Lex</w:t>
      </w:r>
      <w:r>
        <w:tab/>
      </w:r>
      <w:r>
        <w:fldChar w:fldCharType="begin"/>
      </w:r>
      <w:r>
        <w:instrText xml:space="preserve"> PAGEREF _Toc465100044 \h </w:instrText>
      </w:r>
      <w:r>
        <w:fldChar w:fldCharType="separate"/>
      </w:r>
      <w:r w:rsidR="00C64A67">
        <w:t>8</w:t>
      </w:r>
      <w:r>
        <w:fldChar w:fldCharType="end"/>
      </w:r>
    </w:p>
    <w:p w:rsidR="00D535C2" w:rsidRDefault="00D535C2">
      <w:pPr>
        <w:pStyle w:val="TOC8"/>
        <w:rPr>
          <w:rFonts w:asciiTheme="minorHAnsi" w:hAnsiTheme="minorHAnsi" w:cstheme="minorBidi"/>
          <w:i w:val="0"/>
          <w:sz w:val="22"/>
          <w:szCs w:val="22"/>
          <w:lang w:val="en-US"/>
        </w:rPr>
      </w:pPr>
      <w:r>
        <w:t>Base de données UPOV Lex : consultations du site Web de l’UPOV en 2015</w:t>
      </w:r>
      <w:r>
        <w:tab/>
      </w:r>
      <w:r>
        <w:fldChar w:fldCharType="begin"/>
      </w:r>
      <w:r>
        <w:instrText xml:space="preserve"> PAGEREF _Toc465100045 \h </w:instrText>
      </w:r>
      <w:r>
        <w:fldChar w:fldCharType="separate"/>
      </w:r>
      <w:r w:rsidR="00C64A67">
        <w:t>8</w:t>
      </w:r>
      <w:r>
        <w:fldChar w:fldCharType="end"/>
      </w:r>
    </w:p>
    <w:p w:rsidR="00D535C2" w:rsidRDefault="00D535C2">
      <w:pPr>
        <w:pStyle w:val="TOC8"/>
        <w:tabs>
          <w:tab w:val="left" w:pos="170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Participation à des séminaires et colloques organisés à Genève parallèlement aux sessions de l’UPOV</w:t>
      </w:r>
      <w:r>
        <w:tab/>
      </w:r>
      <w:r>
        <w:fldChar w:fldCharType="begin"/>
      </w:r>
      <w:r>
        <w:instrText xml:space="preserve"> PAGEREF _Toc465100046 \h </w:instrText>
      </w:r>
      <w:r>
        <w:fldChar w:fldCharType="separate"/>
      </w:r>
      <w:r w:rsidR="00C64A67">
        <w:t>8</w:t>
      </w:r>
      <w:r>
        <w:fldChar w:fldCharType="end"/>
      </w:r>
    </w:p>
    <w:p w:rsidR="00D535C2" w:rsidRDefault="00D535C2">
      <w:pPr>
        <w:pStyle w:val="TOC6"/>
        <w:tabs>
          <w:tab w:val="left" w:pos="1134"/>
        </w:tabs>
        <w:rPr>
          <w:rFonts w:asciiTheme="minorHAnsi" w:hAnsiTheme="minorHAnsi" w:cstheme="minorBidi"/>
          <w:sz w:val="22"/>
          <w:szCs w:val="22"/>
          <w:lang w:val="en-US"/>
        </w:rPr>
      </w:pPr>
      <w:r>
        <w:t>2.</w:t>
      </w:r>
      <w:r>
        <w:rPr>
          <w:rFonts w:asciiTheme="minorHAnsi" w:hAnsiTheme="minorHAnsi" w:cstheme="minorBidi"/>
          <w:sz w:val="22"/>
          <w:szCs w:val="22"/>
          <w:lang w:val="en-US"/>
        </w:rPr>
        <w:tab/>
      </w:r>
      <w:r>
        <w:t>Orientations au sujet de l’examen des variétés</w:t>
      </w:r>
      <w:r>
        <w:tab/>
      </w:r>
      <w:r>
        <w:fldChar w:fldCharType="begin"/>
      </w:r>
      <w:r>
        <w:instrText xml:space="preserve"> PAGEREF _Toc465100047 \h </w:instrText>
      </w:r>
      <w:r>
        <w:fldChar w:fldCharType="separate"/>
      </w:r>
      <w:r w:rsidR="00C64A67">
        <w:t>9</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Adoption de documents TGP et de matériels d’information nouveaux ou révisés</w:t>
      </w:r>
      <w:r>
        <w:tab/>
      </w:r>
      <w:r>
        <w:fldChar w:fldCharType="begin"/>
      </w:r>
      <w:r>
        <w:instrText xml:space="preserve"> PAGEREF _Toc465100048 \h </w:instrText>
      </w:r>
      <w:r>
        <w:fldChar w:fldCharType="separate"/>
      </w:r>
      <w:r w:rsidR="00C64A67">
        <w:t>9</w:t>
      </w:r>
      <w:r>
        <w:fldChar w:fldCharType="end"/>
      </w:r>
    </w:p>
    <w:p w:rsidR="00D535C2" w:rsidRDefault="00D535C2">
      <w:pPr>
        <w:pStyle w:val="TOC8"/>
        <w:tabs>
          <w:tab w:val="left" w:pos="170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Adoption de principes directeurs d’examen nouveaux ou révisés</w:t>
      </w:r>
      <w:r>
        <w:tab/>
      </w:r>
      <w:r>
        <w:fldChar w:fldCharType="begin"/>
      </w:r>
      <w:r>
        <w:instrText xml:space="preserve"> PAGEREF _Toc465100049 \h </w:instrText>
      </w:r>
      <w:r>
        <w:fldChar w:fldCharType="separate"/>
      </w:r>
      <w:r w:rsidR="00C64A67">
        <w:t>9</w:t>
      </w:r>
      <w:r>
        <w:fldChar w:fldCharType="end"/>
      </w:r>
    </w:p>
    <w:p w:rsidR="00D535C2" w:rsidRDefault="00D535C2">
      <w:pPr>
        <w:pStyle w:val="TOC8"/>
        <w:rPr>
          <w:rFonts w:asciiTheme="minorHAnsi" w:hAnsiTheme="minorHAnsi" w:cstheme="minorBidi"/>
          <w:i w:val="0"/>
          <w:sz w:val="22"/>
          <w:szCs w:val="22"/>
          <w:lang w:val="en-US"/>
        </w:rPr>
      </w:pPr>
      <w:r>
        <w:t>Principes directeurs d’examen : consultations du site Web de l’UPOV en 2015</w:t>
      </w:r>
      <w:r>
        <w:tab/>
      </w:r>
      <w:r>
        <w:fldChar w:fldCharType="begin"/>
      </w:r>
      <w:r>
        <w:instrText xml:space="preserve"> PAGEREF _Toc465100050 \h </w:instrText>
      </w:r>
      <w:r>
        <w:fldChar w:fldCharType="separate"/>
      </w:r>
      <w:r w:rsidR="00C64A67">
        <w:t>9</w:t>
      </w:r>
      <w:r>
        <w:fldChar w:fldCharType="end"/>
      </w:r>
    </w:p>
    <w:p w:rsidR="00D535C2" w:rsidRDefault="00D535C2">
      <w:pPr>
        <w:pStyle w:val="TOC6"/>
        <w:tabs>
          <w:tab w:val="left" w:pos="1134"/>
        </w:tabs>
        <w:rPr>
          <w:rFonts w:asciiTheme="minorHAnsi" w:hAnsiTheme="minorHAnsi" w:cstheme="minorBidi"/>
          <w:sz w:val="22"/>
          <w:szCs w:val="22"/>
          <w:lang w:val="en-US"/>
        </w:rPr>
      </w:pPr>
      <w:r>
        <w:t>3.</w:t>
      </w:r>
      <w:r>
        <w:rPr>
          <w:rFonts w:asciiTheme="minorHAnsi" w:hAnsiTheme="minorHAnsi" w:cstheme="minorBidi"/>
          <w:sz w:val="22"/>
          <w:szCs w:val="22"/>
          <w:lang w:val="en-US"/>
        </w:rPr>
        <w:tab/>
      </w:r>
      <w:r>
        <w:t>Coopération en matière d’examen des droits d’obtenteur</w:t>
      </w:r>
      <w:r>
        <w:tab/>
      </w:r>
      <w:r>
        <w:fldChar w:fldCharType="begin"/>
      </w:r>
      <w:r>
        <w:instrText xml:space="preserve"> PAGEREF _Toc465100051 \h </w:instrText>
      </w:r>
      <w:r>
        <w:fldChar w:fldCharType="separate"/>
      </w:r>
      <w:r w:rsidR="00C64A67">
        <w:t>10</w:t>
      </w:r>
      <w:r>
        <w:fldChar w:fldCharType="end"/>
      </w:r>
    </w:p>
    <w:p w:rsidR="00D535C2" w:rsidRDefault="00D535C2">
      <w:pPr>
        <w:pStyle w:val="TOC8"/>
        <w:rPr>
          <w:rFonts w:asciiTheme="minorHAnsi" w:hAnsiTheme="minorHAnsi" w:cstheme="minorBidi"/>
          <w:i w:val="0"/>
          <w:sz w:val="22"/>
          <w:szCs w:val="22"/>
          <w:lang w:val="en-US"/>
        </w:rPr>
      </w:pPr>
      <w:r>
        <w:t>Base de données GENIE : consultations du site Web de l’UPOV en 2015</w:t>
      </w:r>
      <w:r>
        <w:tab/>
      </w:r>
      <w:r>
        <w:fldChar w:fldCharType="begin"/>
      </w:r>
      <w:r>
        <w:instrText xml:space="preserve"> PAGEREF _Toc465100052 \h </w:instrText>
      </w:r>
      <w:r>
        <w:fldChar w:fldCharType="separate"/>
      </w:r>
      <w:r w:rsidR="00C64A67">
        <w:t>10</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Genres et espèces végétaux pour lesquels les membres de l’Union ont une expérience concrète</w:t>
      </w:r>
      <w:r>
        <w:tab/>
      </w:r>
      <w:r>
        <w:fldChar w:fldCharType="begin"/>
      </w:r>
      <w:r>
        <w:instrText xml:space="preserve"> PAGEREF _Toc465100053 \h </w:instrText>
      </w:r>
      <w:r>
        <w:fldChar w:fldCharType="separate"/>
      </w:r>
      <w:r w:rsidR="00C64A67">
        <w:t>11</w:t>
      </w:r>
      <w:r>
        <w:fldChar w:fldCharType="end"/>
      </w:r>
    </w:p>
    <w:p w:rsidR="00D535C2" w:rsidRDefault="00D535C2">
      <w:pPr>
        <w:pStyle w:val="TOC8"/>
        <w:tabs>
          <w:tab w:val="left" w:pos="170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Genres et espèces végétaux au sujet desquels les membres de l’Union coopèrent en matière d’examen DHS, comme indiqué dans la base de données GENIE</w:t>
      </w:r>
      <w:r>
        <w:tab/>
      </w:r>
      <w:r>
        <w:fldChar w:fldCharType="begin"/>
      </w:r>
      <w:r>
        <w:instrText xml:space="preserve"> PAGEREF _Toc465100054 \h </w:instrText>
      </w:r>
      <w:r>
        <w:fldChar w:fldCharType="separate"/>
      </w:r>
      <w:r w:rsidR="00C64A67">
        <w:t>11</w:t>
      </w:r>
      <w:r>
        <w:fldChar w:fldCharType="end"/>
      </w:r>
    </w:p>
    <w:p w:rsidR="00D535C2" w:rsidRDefault="00D535C2">
      <w:pPr>
        <w:pStyle w:val="TOC8"/>
        <w:rPr>
          <w:rFonts w:asciiTheme="minorHAnsi" w:hAnsiTheme="minorHAnsi" w:cstheme="minorBidi"/>
          <w:i w:val="0"/>
          <w:sz w:val="22"/>
          <w:szCs w:val="22"/>
          <w:lang w:val="en-US"/>
        </w:rPr>
      </w:pPr>
      <w:r>
        <w:noBreakHyphen/>
        <w:t xml:space="preserve"> Coopération générale</w:t>
      </w:r>
      <w:r>
        <w:tab/>
      </w:r>
      <w:r>
        <w:fldChar w:fldCharType="begin"/>
      </w:r>
      <w:r>
        <w:instrText xml:space="preserve"> PAGEREF _Toc465100055 \h </w:instrText>
      </w:r>
      <w:r>
        <w:fldChar w:fldCharType="separate"/>
      </w:r>
      <w:r w:rsidR="00C64A67">
        <w:t>11</w:t>
      </w:r>
      <w:r>
        <w:fldChar w:fldCharType="end"/>
      </w:r>
    </w:p>
    <w:p w:rsidR="00D535C2" w:rsidRDefault="00D535C2">
      <w:pPr>
        <w:pStyle w:val="TOC8"/>
        <w:rPr>
          <w:rFonts w:asciiTheme="minorHAnsi" w:hAnsiTheme="minorHAnsi" w:cstheme="minorBidi"/>
          <w:i w:val="0"/>
          <w:sz w:val="22"/>
          <w:szCs w:val="22"/>
          <w:lang w:val="en-US"/>
        </w:rPr>
      </w:pPr>
      <w:r>
        <w:t>– Nombre d’accords bilatéraux et régionaux spécifiques sur la protection des obtentions végétales</w:t>
      </w:r>
      <w:r>
        <w:tab/>
      </w:r>
      <w:r>
        <w:fldChar w:fldCharType="begin"/>
      </w:r>
      <w:r>
        <w:instrText xml:space="preserve"> PAGEREF _Toc465100056 \h </w:instrText>
      </w:r>
      <w:r>
        <w:fldChar w:fldCharType="separate"/>
      </w:r>
      <w:r w:rsidR="00C64A67">
        <w:t>11</w:t>
      </w:r>
      <w:r>
        <w:fldChar w:fldCharType="end"/>
      </w:r>
    </w:p>
    <w:p w:rsidR="00D535C2" w:rsidRDefault="00D535C2">
      <w:pPr>
        <w:pStyle w:val="TOC8"/>
        <w:tabs>
          <w:tab w:val="left" w:pos="170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Participation à l’élaboration de principes directeurs d’examen</w:t>
      </w:r>
      <w:r>
        <w:tab/>
      </w:r>
      <w:r>
        <w:fldChar w:fldCharType="begin"/>
      </w:r>
      <w:r>
        <w:instrText xml:space="preserve"> PAGEREF _Toc465100057 \h </w:instrText>
      </w:r>
      <w:r>
        <w:fldChar w:fldCharType="separate"/>
      </w:r>
      <w:r w:rsidR="00C64A67">
        <w:t>11</w:t>
      </w:r>
      <w:r>
        <w:fldChar w:fldCharType="end"/>
      </w:r>
    </w:p>
    <w:p w:rsidR="00D535C2" w:rsidRDefault="00D535C2">
      <w:pPr>
        <w:pStyle w:val="TOC8"/>
        <w:rPr>
          <w:rFonts w:asciiTheme="minorHAnsi" w:hAnsiTheme="minorHAnsi" w:cstheme="minorBidi"/>
          <w:i w:val="0"/>
          <w:sz w:val="22"/>
          <w:szCs w:val="22"/>
          <w:lang w:val="en-US"/>
        </w:rPr>
      </w:pPr>
      <w:r>
        <w:t>Base de données PLUTO : consultations du site Web de l’UPOV en 2015</w:t>
      </w:r>
      <w:r>
        <w:tab/>
      </w:r>
      <w:r>
        <w:fldChar w:fldCharType="begin"/>
      </w:r>
      <w:r>
        <w:instrText xml:space="preserve"> PAGEREF _Toc465100058 \h </w:instrText>
      </w:r>
      <w:r>
        <w:fldChar w:fldCharType="separate"/>
      </w:r>
      <w:r w:rsidR="00C64A67">
        <w:t>13</w:t>
      </w:r>
      <w:r>
        <w:fldChar w:fldCharType="end"/>
      </w:r>
    </w:p>
    <w:p w:rsidR="00D535C2" w:rsidRDefault="00D535C2">
      <w:pPr>
        <w:pStyle w:val="TOC8"/>
        <w:tabs>
          <w:tab w:val="left" w:pos="170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Qualité et exhaustivité des données contenues dans la base de données sur les variétés végétales et qualité du dispositif de recherche;  et moyens d’accès aux autres données pertinentes</w:t>
      </w:r>
      <w:r>
        <w:tab/>
      </w:r>
      <w:r>
        <w:fldChar w:fldCharType="begin"/>
      </w:r>
      <w:r>
        <w:instrText xml:space="preserve"> PAGEREF _Toc465100059 \h </w:instrText>
      </w:r>
      <w:r>
        <w:fldChar w:fldCharType="separate"/>
      </w:r>
      <w:r w:rsidR="00C64A67">
        <w:t>13</w:t>
      </w:r>
      <w:r>
        <w:fldChar w:fldCharType="end"/>
      </w:r>
    </w:p>
    <w:p w:rsidR="00D535C2" w:rsidRDefault="00D535C2">
      <w:pPr>
        <w:pStyle w:val="TOC8"/>
        <w:tabs>
          <w:tab w:val="left" w:pos="1701"/>
        </w:tabs>
        <w:rPr>
          <w:rFonts w:asciiTheme="minorHAnsi" w:hAnsiTheme="minorHAnsi" w:cstheme="minorBidi"/>
          <w:i w:val="0"/>
          <w:sz w:val="22"/>
          <w:szCs w:val="22"/>
          <w:lang w:val="en-US"/>
        </w:rPr>
      </w:pPr>
      <w:r>
        <w:t>e)</w:t>
      </w:r>
      <w:r>
        <w:rPr>
          <w:rFonts w:asciiTheme="minorHAnsi" w:hAnsiTheme="minorHAnsi" w:cstheme="minorBidi"/>
          <w:i w:val="0"/>
          <w:sz w:val="22"/>
          <w:szCs w:val="22"/>
          <w:lang w:val="en-US"/>
        </w:rPr>
        <w:tab/>
      </w:r>
      <w:r>
        <w:t>Logiciels pouvant faire l’objet d’échanges figurant dans le document UPOV/INF/16 “Logiciels pouvant faire l’objet d’échanges”</w:t>
      </w:r>
      <w:r>
        <w:tab/>
      </w:r>
      <w:r>
        <w:fldChar w:fldCharType="begin"/>
      </w:r>
      <w:r>
        <w:instrText xml:space="preserve"> PAGEREF _Toc465100060 \h </w:instrText>
      </w:r>
      <w:r>
        <w:fldChar w:fldCharType="separate"/>
      </w:r>
      <w:r w:rsidR="00C64A67">
        <w:t>13</w:t>
      </w:r>
      <w:r>
        <w:fldChar w:fldCharType="end"/>
      </w:r>
    </w:p>
    <w:p w:rsidR="00D535C2" w:rsidRDefault="00D535C2">
      <w:pPr>
        <w:pStyle w:val="TOC6"/>
        <w:tabs>
          <w:tab w:val="left" w:pos="1134"/>
        </w:tabs>
        <w:rPr>
          <w:rFonts w:asciiTheme="minorHAnsi" w:hAnsiTheme="minorHAnsi" w:cstheme="minorBidi"/>
          <w:sz w:val="22"/>
          <w:szCs w:val="22"/>
          <w:lang w:val="en-US"/>
        </w:rPr>
      </w:pPr>
      <w:r>
        <w:t>4.</w:t>
      </w:r>
      <w:r>
        <w:rPr>
          <w:rFonts w:asciiTheme="minorHAnsi" w:hAnsiTheme="minorHAnsi" w:cstheme="minorBidi"/>
          <w:sz w:val="22"/>
          <w:szCs w:val="22"/>
          <w:lang w:val="en-US"/>
        </w:rPr>
        <w:tab/>
      </w:r>
      <w:r>
        <w:t>Participation des membres de l’Union et des parties prenantes aux travaux des différents organes de l’UPOV</w:t>
      </w:r>
      <w:r>
        <w:tab/>
      </w:r>
      <w:r>
        <w:fldChar w:fldCharType="begin"/>
      </w:r>
      <w:r>
        <w:instrText xml:space="preserve"> PAGEREF _Toc465100061 \h </w:instrText>
      </w:r>
      <w:r>
        <w:fldChar w:fldCharType="separate"/>
      </w:r>
      <w:r w:rsidR="00C64A67">
        <w:t>14</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Participation aux travaux du Comité administratif et juridique</w:t>
      </w:r>
      <w:r>
        <w:tab/>
      </w:r>
      <w:r>
        <w:fldChar w:fldCharType="begin"/>
      </w:r>
      <w:r>
        <w:instrText xml:space="preserve"> PAGEREF _Toc465100062 \h </w:instrText>
      </w:r>
      <w:r>
        <w:fldChar w:fldCharType="separate"/>
      </w:r>
      <w:r w:rsidR="00C64A67">
        <w:t>14</w:t>
      </w:r>
      <w:r>
        <w:fldChar w:fldCharType="end"/>
      </w:r>
    </w:p>
    <w:p w:rsidR="00D535C2" w:rsidRDefault="00D535C2">
      <w:pPr>
        <w:pStyle w:val="TOC8"/>
        <w:tabs>
          <w:tab w:val="left" w:pos="170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Participation aux travaux du Comité technique</w:t>
      </w:r>
      <w:r>
        <w:tab/>
      </w:r>
      <w:r>
        <w:fldChar w:fldCharType="begin"/>
      </w:r>
      <w:r>
        <w:instrText xml:space="preserve"> PAGEREF _Toc465100063 \h </w:instrText>
      </w:r>
      <w:r>
        <w:fldChar w:fldCharType="separate"/>
      </w:r>
      <w:r w:rsidR="00C64A67">
        <w:t>14</w:t>
      </w:r>
      <w:r>
        <w:fldChar w:fldCharType="end"/>
      </w:r>
    </w:p>
    <w:p w:rsidR="00D535C2" w:rsidRDefault="00D535C2">
      <w:pPr>
        <w:pStyle w:val="TOC8"/>
        <w:tabs>
          <w:tab w:val="left" w:pos="170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Participation aux sessions des groupes de travail techniques</w:t>
      </w:r>
      <w:r>
        <w:tab/>
      </w:r>
      <w:r>
        <w:fldChar w:fldCharType="begin"/>
      </w:r>
      <w:r>
        <w:instrText xml:space="preserve"> PAGEREF _Toc465100064 \h </w:instrText>
      </w:r>
      <w:r>
        <w:fldChar w:fldCharType="separate"/>
      </w:r>
      <w:r w:rsidR="00C64A67">
        <w:t>14</w:t>
      </w:r>
      <w:r>
        <w:fldChar w:fldCharType="end"/>
      </w:r>
    </w:p>
    <w:p w:rsidR="00D535C2" w:rsidRDefault="00D535C2">
      <w:pPr>
        <w:pStyle w:val="TOC8"/>
        <w:tabs>
          <w:tab w:val="left" w:pos="170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Participation aux ateliers préparatoires des sessions des groupes de travail techniques</w:t>
      </w:r>
      <w:r>
        <w:tab/>
      </w:r>
      <w:r>
        <w:fldChar w:fldCharType="begin"/>
      </w:r>
      <w:r>
        <w:instrText xml:space="preserve"> PAGEREF _Toc465100065 \h </w:instrText>
      </w:r>
      <w:r>
        <w:fldChar w:fldCharType="separate"/>
      </w:r>
      <w:r w:rsidR="00C64A67">
        <w:t>14</w:t>
      </w:r>
      <w:r>
        <w:fldChar w:fldCharType="end"/>
      </w:r>
    </w:p>
    <w:p w:rsidR="00D535C2" w:rsidRDefault="00D535C2">
      <w:pPr>
        <w:pStyle w:val="TOC8"/>
        <w:tabs>
          <w:tab w:val="left" w:pos="1701"/>
        </w:tabs>
        <w:rPr>
          <w:rFonts w:asciiTheme="minorHAnsi" w:hAnsiTheme="minorHAnsi" w:cstheme="minorBidi"/>
          <w:i w:val="0"/>
          <w:sz w:val="22"/>
          <w:szCs w:val="22"/>
          <w:lang w:val="en-US"/>
        </w:rPr>
      </w:pPr>
      <w:r>
        <w:t>e)</w:t>
      </w:r>
      <w:r>
        <w:rPr>
          <w:rFonts w:asciiTheme="minorHAnsi" w:hAnsiTheme="minorHAnsi" w:cstheme="minorBidi"/>
          <w:i w:val="0"/>
          <w:sz w:val="22"/>
          <w:szCs w:val="22"/>
          <w:lang w:val="en-US"/>
        </w:rPr>
        <w:tab/>
      </w:r>
      <w:r>
        <w:t>Présentation des mesures visant à améliorer l’efficacité du Comité technique (TC), des groupes de travail techniques (TWP) et des ateliers préparatoires</w:t>
      </w:r>
      <w:r>
        <w:tab/>
      </w:r>
      <w:r>
        <w:fldChar w:fldCharType="begin"/>
      </w:r>
      <w:r>
        <w:instrText xml:space="preserve"> PAGEREF _Toc465100066 \h </w:instrText>
      </w:r>
      <w:r>
        <w:fldChar w:fldCharType="separate"/>
      </w:r>
      <w:r w:rsidR="00C64A67">
        <w:t>14</w:t>
      </w:r>
      <w:r>
        <w:fldChar w:fldCharType="end"/>
      </w:r>
    </w:p>
    <w:p w:rsidR="00D535C2" w:rsidRDefault="00D535C2">
      <w:pPr>
        <w:pStyle w:val="TOC6"/>
        <w:tabs>
          <w:tab w:val="left" w:pos="1134"/>
        </w:tabs>
        <w:rPr>
          <w:rFonts w:asciiTheme="minorHAnsi" w:hAnsiTheme="minorHAnsi" w:cstheme="minorBidi"/>
          <w:sz w:val="22"/>
          <w:szCs w:val="22"/>
          <w:lang w:val="en-US"/>
        </w:rPr>
      </w:pPr>
      <w:r>
        <w:t>5.</w:t>
      </w:r>
      <w:r>
        <w:rPr>
          <w:rFonts w:asciiTheme="minorHAnsi" w:hAnsiTheme="minorHAnsi" w:cstheme="minorBidi"/>
          <w:sz w:val="22"/>
          <w:szCs w:val="22"/>
          <w:lang w:val="en-US"/>
        </w:rPr>
        <w:tab/>
      </w:r>
      <w:r>
        <w:t>Documents et matériels de l’UPOV dans des langues supplémentaires</w:t>
      </w:r>
      <w:r>
        <w:tab/>
      </w:r>
      <w:r>
        <w:fldChar w:fldCharType="begin"/>
      </w:r>
      <w:r>
        <w:instrText xml:space="preserve"> PAGEREF _Toc465100067 \h </w:instrText>
      </w:r>
      <w:r>
        <w:fldChar w:fldCharType="separate"/>
      </w:r>
      <w:r w:rsidR="00C64A67">
        <w:t>14</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Mise à disposition de documents et de matériels de l’UPOV dans des langues autres que les langues utilisées au sein de l’UPOV (français, anglais, allemand et espagnol).</w:t>
      </w:r>
      <w:r>
        <w:tab/>
      </w:r>
      <w:r>
        <w:fldChar w:fldCharType="begin"/>
      </w:r>
      <w:r>
        <w:instrText xml:space="preserve"> PAGEREF _Toc465100068 \h </w:instrText>
      </w:r>
      <w:r>
        <w:fldChar w:fldCharType="separate"/>
      </w:r>
      <w:r w:rsidR="00C64A67">
        <w:t>14</w:t>
      </w:r>
      <w:r>
        <w:fldChar w:fldCharType="end"/>
      </w:r>
    </w:p>
    <w:p w:rsidR="00D535C2" w:rsidRDefault="00D535C2">
      <w:pPr>
        <w:pStyle w:val="TOC6"/>
        <w:tabs>
          <w:tab w:val="left" w:pos="1134"/>
        </w:tabs>
        <w:rPr>
          <w:rFonts w:asciiTheme="minorHAnsi" w:hAnsiTheme="minorHAnsi" w:cstheme="minorBidi"/>
          <w:sz w:val="22"/>
          <w:szCs w:val="22"/>
          <w:lang w:val="en-US"/>
        </w:rPr>
      </w:pPr>
      <w:r>
        <w:t>6.</w:t>
      </w:r>
      <w:r>
        <w:rPr>
          <w:rFonts w:asciiTheme="minorHAnsi" w:hAnsiTheme="minorHAnsi" w:cstheme="minorBidi"/>
          <w:sz w:val="22"/>
          <w:szCs w:val="22"/>
          <w:lang w:val="en-US"/>
        </w:rPr>
        <w:tab/>
      </w:r>
      <w:r>
        <w:t>Facilitation du dépôt de demandes de protection de droits d’obtenteur</w:t>
      </w:r>
      <w:r>
        <w:tab/>
      </w:r>
      <w:r>
        <w:fldChar w:fldCharType="begin"/>
      </w:r>
      <w:r>
        <w:instrText xml:space="preserve"> PAGEREF _Toc465100069 \h </w:instrText>
      </w:r>
      <w:r>
        <w:fldChar w:fldCharType="separate"/>
      </w:r>
      <w:r w:rsidR="00C64A67">
        <w:t>15</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Nombre de demandes de protection d’obtentions végétales</w:t>
      </w:r>
      <w:r>
        <w:tab/>
      </w:r>
      <w:r>
        <w:fldChar w:fldCharType="begin"/>
      </w:r>
      <w:r>
        <w:instrText xml:space="preserve"> PAGEREF _Toc465100070 \h </w:instrText>
      </w:r>
      <w:r>
        <w:fldChar w:fldCharType="separate"/>
      </w:r>
      <w:r w:rsidR="00C64A67">
        <w:t>15</w:t>
      </w:r>
      <w:r>
        <w:fldChar w:fldCharType="end"/>
      </w:r>
    </w:p>
    <w:p w:rsidR="00D535C2" w:rsidRDefault="00D535C2">
      <w:pPr>
        <w:pStyle w:val="TOC8"/>
        <w:tabs>
          <w:tab w:val="left" w:pos="170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Nombre de titres octroyés</w:t>
      </w:r>
      <w:r>
        <w:tab/>
      </w:r>
      <w:r>
        <w:fldChar w:fldCharType="begin"/>
      </w:r>
      <w:r>
        <w:instrText xml:space="preserve"> PAGEREF _Toc465100071 \h </w:instrText>
      </w:r>
      <w:r>
        <w:fldChar w:fldCharType="separate"/>
      </w:r>
      <w:r w:rsidR="00C64A67">
        <w:t>15</w:t>
      </w:r>
      <w:r>
        <w:fldChar w:fldCharType="end"/>
      </w:r>
    </w:p>
    <w:p w:rsidR="00D535C2" w:rsidRDefault="00D535C2">
      <w:pPr>
        <w:pStyle w:val="TOC8"/>
        <w:tabs>
          <w:tab w:val="left" w:pos="170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Nombre de titres en vigueur</w:t>
      </w:r>
      <w:r>
        <w:tab/>
      </w:r>
      <w:r>
        <w:fldChar w:fldCharType="begin"/>
      </w:r>
      <w:r>
        <w:instrText xml:space="preserve"> PAGEREF _Toc465100072 \h </w:instrText>
      </w:r>
      <w:r>
        <w:fldChar w:fldCharType="separate"/>
      </w:r>
      <w:r w:rsidR="00C64A67">
        <w:t>15</w:t>
      </w:r>
      <w:r>
        <w:fldChar w:fldCharType="end"/>
      </w:r>
    </w:p>
    <w:p w:rsidR="00D535C2" w:rsidRDefault="00D535C2">
      <w:pPr>
        <w:pStyle w:val="TOC8"/>
        <w:tabs>
          <w:tab w:val="left" w:pos="170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Nombre de genres ou espèces protégés par des membres de l’Union</w:t>
      </w:r>
      <w:r>
        <w:tab/>
      </w:r>
      <w:r>
        <w:fldChar w:fldCharType="begin"/>
      </w:r>
      <w:r>
        <w:instrText xml:space="preserve"> PAGEREF _Toc465100073 \h </w:instrText>
      </w:r>
      <w:r>
        <w:fldChar w:fldCharType="separate"/>
      </w:r>
      <w:r w:rsidR="00C64A67">
        <w:t>15</w:t>
      </w:r>
      <w:r>
        <w:fldChar w:fldCharType="end"/>
      </w:r>
    </w:p>
    <w:p w:rsidR="00D535C2" w:rsidRDefault="00D535C2">
      <w:pPr>
        <w:pStyle w:val="TOC8"/>
        <w:tabs>
          <w:tab w:val="left" w:pos="1701"/>
        </w:tabs>
        <w:rPr>
          <w:rFonts w:asciiTheme="minorHAnsi" w:hAnsiTheme="minorHAnsi" w:cstheme="minorBidi"/>
          <w:i w:val="0"/>
          <w:sz w:val="22"/>
          <w:szCs w:val="22"/>
          <w:lang w:val="en-US"/>
        </w:rPr>
      </w:pPr>
      <w:r>
        <w:t>e)</w:t>
      </w:r>
      <w:r>
        <w:rPr>
          <w:rFonts w:asciiTheme="minorHAnsi" w:hAnsiTheme="minorHAnsi" w:cstheme="minorBidi"/>
          <w:i w:val="0"/>
          <w:sz w:val="22"/>
          <w:szCs w:val="22"/>
          <w:lang w:val="en-US"/>
        </w:rPr>
        <w:tab/>
      </w:r>
      <w:r>
        <w:t>Nombre de genres ou espèces dont des variétés sont protégées</w:t>
      </w:r>
      <w:r>
        <w:tab/>
      </w:r>
      <w:r>
        <w:fldChar w:fldCharType="begin"/>
      </w:r>
      <w:r>
        <w:instrText xml:space="preserve"> PAGEREF _Toc465100074 \h </w:instrText>
      </w:r>
      <w:r>
        <w:fldChar w:fldCharType="separate"/>
      </w:r>
      <w:r w:rsidR="00C64A67">
        <w:t>15</w:t>
      </w:r>
      <w:r>
        <w:fldChar w:fldCharType="end"/>
      </w:r>
    </w:p>
    <w:p w:rsidR="00D535C2" w:rsidRDefault="00D535C2">
      <w:pPr>
        <w:pStyle w:val="TOC8"/>
        <w:tabs>
          <w:tab w:val="left" w:pos="1701"/>
        </w:tabs>
        <w:rPr>
          <w:rFonts w:asciiTheme="minorHAnsi" w:hAnsiTheme="minorHAnsi" w:cstheme="minorBidi"/>
          <w:i w:val="0"/>
          <w:sz w:val="22"/>
          <w:szCs w:val="22"/>
          <w:lang w:val="en-US"/>
        </w:rPr>
      </w:pPr>
      <w:r>
        <w:t>f)</w:t>
      </w:r>
      <w:r>
        <w:rPr>
          <w:rFonts w:asciiTheme="minorHAnsi" w:hAnsiTheme="minorHAnsi" w:cstheme="minorBidi"/>
          <w:i w:val="0"/>
          <w:sz w:val="22"/>
          <w:szCs w:val="22"/>
          <w:lang w:val="en-US"/>
        </w:rPr>
        <w:tab/>
      </w:r>
      <w:r>
        <w:t>Utilisation par les membres de l’Union de renvois normalisés dans les formulaires de demande</w:t>
      </w:r>
      <w:r>
        <w:tab/>
      </w:r>
      <w:r>
        <w:fldChar w:fldCharType="begin"/>
      </w:r>
      <w:r>
        <w:instrText xml:space="preserve"> PAGEREF _Toc465100075 \h </w:instrText>
      </w:r>
      <w:r>
        <w:fldChar w:fldCharType="separate"/>
      </w:r>
      <w:r w:rsidR="00C64A67">
        <w:t>15</w:t>
      </w:r>
      <w:r>
        <w:fldChar w:fldCharType="end"/>
      </w:r>
    </w:p>
    <w:p w:rsidR="00D535C2" w:rsidRDefault="00D535C2">
      <w:pPr>
        <w:pStyle w:val="TOC8"/>
        <w:tabs>
          <w:tab w:val="left" w:pos="1701"/>
        </w:tabs>
        <w:rPr>
          <w:rFonts w:asciiTheme="minorHAnsi" w:hAnsiTheme="minorHAnsi" w:cstheme="minorBidi"/>
          <w:i w:val="0"/>
          <w:sz w:val="22"/>
          <w:szCs w:val="22"/>
          <w:lang w:val="en-US"/>
        </w:rPr>
      </w:pPr>
      <w:r>
        <w:t>g)</w:t>
      </w:r>
      <w:r>
        <w:rPr>
          <w:rFonts w:asciiTheme="minorHAnsi" w:hAnsiTheme="minorHAnsi" w:cstheme="minorBidi"/>
          <w:i w:val="0"/>
          <w:sz w:val="22"/>
          <w:szCs w:val="22"/>
          <w:lang w:val="en-US"/>
        </w:rPr>
        <w:tab/>
      </w:r>
      <w:r>
        <w:t>Projet de formulaire de demande électronique de l’UPOV</w:t>
      </w:r>
      <w:r>
        <w:tab/>
      </w:r>
      <w:r>
        <w:fldChar w:fldCharType="begin"/>
      </w:r>
      <w:r>
        <w:instrText xml:space="preserve"> PAGEREF _Toc465100076 \h </w:instrText>
      </w:r>
      <w:r>
        <w:fldChar w:fldCharType="separate"/>
      </w:r>
      <w:r w:rsidR="00C64A67">
        <w:t>15</w:t>
      </w:r>
      <w:r>
        <w:fldChar w:fldCharType="end"/>
      </w:r>
    </w:p>
    <w:p w:rsidR="00D535C2" w:rsidRDefault="00D535C2">
      <w:pPr>
        <w:pStyle w:val="TOC6"/>
        <w:tabs>
          <w:tab w:val="left" w:pos="1134"/>
        </w:tabs>
        <w:rPr>
          <w:rFonts w:asciiTheme="minorHAnsi" w:hAnsiTheme="minorHAnsi" w:cstheme="minorBidi"/>
          <w:sz w:val="22"/>
          <w:szCs w:val="22"/>
          <w:lang w:val="en-US"/>
        </w:rPr>
      </w:pPr>
      <w:r>
        <w:t>7.</w:t>
      </w:r>
      <w:r>
        <w:rPr>
          <w:rFonts w:asciiTheme="minorHAnsi" w:hAnsiTheme="minorHAnsi" w:cstheme="minorBidi"/>
          <w:sz w:val="22"/>
          <w:szCs w:val="22"/>
          <w:lang w:val="en-US"/>
        </w:rPr>
        <w:tab/>
      </w:r>
      <w:r>
        <w:t>Fourniture d’informations sur la Convention UPOV à l’intention des parties prenantes (obtenteurs, agriculteurs, producteurs, vendeurs de semences, etc.)</w:t>
      </w:r>
      <w:r>
        <w:tab/>
      </w:r>
      <w:r>
        <w:fldChar w:fldCharType="begin"/>
      </w:r>
      <w:r>
        <w:instrText xml:space="preserve"> PAGEREF _Toc465100077 \h </w:instrText>
      </w:r>
      <w:r>
        <w:fldChar w:fldCharType="separate"/>
      </w:r>
      <w:r w:rsidR="00C64A67">
        <w:t>16</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Informations destinées aux parties prenantes sur le site Web de l’UPOV</w:t>
      </w:r>
      <w:r>
        <w:tab/>
      </w:r>
      <w:r>
        <w:fldChar w:fldCharType="begin"/>
      </w:r>
      <w:r>
        <w:instrText xml:space="preserve"> PAGEREF _Toc465100078 \h </w:instrText>
      </w:r>
      <w:r>
        <w:fldChar w:fldCharType="separate"/>
      </w:r>
      <w:r w:rsidR="00C64A67">
        <w:t>16</w:t>
      </w:r>
      <w:r>
        <w:fldChar w:fldCharType="end"/>
      </w:r>
    </w:p>
    <w:p w:rsidR="00D535C2" w:rsidRDefault="00D535C2">
      <w:pPr>
        <w:pStyle w:val="TOC3"/>
        <w:rPr>
          <w:rFonts w:asciiTheme="minorHAnsi" w:hAnsiTheme="minorHAnsi" w:cstheme="minorBidi"/>
          <w:b w:val="0"/>
          <w:noProof/>
          <w:sz w:val="22"/>
          <w:szCs w:val="22"/>
          <w:lang w:val="en-US"/>
        </w:rPr>
      </w:pPr>
      <w:r w:rsidRPr="008F0AF6">
        <w:rPr>
          <w:noProof/>
        </w:rPr>
        <w:t>Sous</w:t>
      </w:r>
      <w:r w:rsidRPr="008F0AF6">
        <w:rPr>
          <w:noProof/>
        </w:rPr>
        <w:noBreakHyphen/>
        <w:t>programme UV.3 : Aide à la mise en place et à l’application du système de l’UPOV</w:t>
      </w:r>
      <w:r>
        <w:rPr>
          <w:noProof/>
        </w:rPr>
        <w:tab/>
      </w:r>
      <w:r>
        <w:rPr>
          <w:noProof/>
        </w:rPr>
        <w:fldChar w:fldCharType="begin"/>
      </w:r>
      <w:r>
        <w:rPr>
          <w:noProof/>
        </w:rPr>
        <w:instrText xml:space="preserve"> PAGEREF _Toc465100079 \h </w:instrText>
      </w:r>
      <w:r>
        <w:rPr>
          <w:noProof/>
        </w:rPr>
      </w:r>
      <w:r>
        <w:rPr>
          <w:noProof/>
        </w:rPr>
        <w:fldChar w:fldCharType="separate"/>
      </w:r>
      <w:r w:rsidR="00C64A67">
        <w:rPr>
          <w:noProof/>
        </w:rPr>
        <w:t>17</w:t>
      </w:r>
      <w:r>
        <w:rPr>
          <w:noProof/>
        </w:rPr>
        <w:fldChar w:fldCharType="end"/>
      </w:r>
    </w:p>
    <w:p w:rsidR="00D535C2" w:rsidRDefault="00D535C2">
      <w:pPr>
        <w:pStyle w:val="TOC5"/>
        <w:rPr>
          <w:rFonts w:asciiTheme="minorHAnsi" w:hAnsiTheme="minorHAnsi" w:cstheme="minorBidi"/>
          <w:sz w:val="22"/>
          <w:szCs w:val="22"/>
          <w:lang w:val="en-US"/>
        </w:rPr>
      </w:pPr>
      <w:r w:rsidRPr="008F0AF6">
        <w:t>Objectifs :</w:t>
      </w:r>
      <w:r>
        <w:tab/>
      </w:r>
      <w:r>
        <w:fldChar w:fldCharType="begin"/>
      </w:r>
      <w:r>
        <w:instrText xml:space="preserve"> PAGEREF _Toc465100080 \h </w:instrText>
      </w:r>
      <w:r>
        <w:fldChar w:fldCharType="separate"/>
      </w:r>
      <w:r w:rsidR="00C64A67">
        <w:t>17</w:t>
      </w:r>
      <w:r>
        <w:fldChar w:fldCharType="end"/>
      </w:r>
    </w:p>
    <w:p w:rsidR="00D535C2" w:rsidRDefault="00D535C2">
      <w:pPr>
        <w:pStyle w:val="TOC5"/>
        <w:rPr>
          <w:rFonts w:asciiTheme="minorHAnsi" w:hAnsiTheme="minorHAnsi" w:cstheme="minorBidi"/>
          <w:sz w:val="22"/>
          <w:szCs w:val="22"/>
          <w:lang w:val="en-US"/>
        </w:rPr>
      </w:pPr>
      <w:r w:rsidRPr="008F0AF6">
        <w:t>Résultats escomptés</w:t>
      </w:r>
      <w:r>
        <w:tab/>
      </w:r>
      <w:r>
        <w:fldChar w:fldCharType="begin"/>
      </w:r>
      <w:r>
        <w:instrText xml:space="preserve"> PAGEREF _Toc465100081 \h </w:instrText>
      </w:r>
      <w:r>
        <w:fldChar w:fldCharType="separate"/>
      </w:r>
      <w:r w:rsidR="00C64A67">
        <w:t>17</w:t>
      </w:r>
      <w:r>
        <w:fldChar w:fldCharType="end"/>
      </w:r>
    </w:p>
    <w:p w:rsidR="00D535C2" w:rsidRDefault="00D535C2">
      <w:pPr>
        <w:pStyle w:val="TOC7"/>
        <w:rPr>
          <w:rFonts w:asciiTheme="minorHAnsi" w:hAnsiTheme="minorHAnsi" w:cstheme="minorBidi"/>
          <w:i w:val="0"/>
          <w:sz w:val="22"/>
          <w:szCs w:val="22"/>
          <w:lang w:val="en-US"/>
        </w:rPr>
      </w:pPr>
      <w:r>
        <w:t>Résultats obtenus : indicateurs d’exécution</w:t>
      </w:r>
      <w:r>
        <w:tab/>
      </w:r>
      <w:r>
        <w:fldChar w:fldCharType="begin"/>
      </w:r>
      <w:r>
        <w:instrText xml:space="preserve"> PAGEREF _Toc465100082 \h </w:instrText>
      </w:r>
      <w:r>
        <w:fldChar w:fldCharType="separate"/>
      </w:r>
      <w:r w:rsidR="00C64A67">
        <w:t>17</w:t>
      </w:r>
      <w:r>
        <w:fldChar w:fldCharType="end"/>
      </w:r>
    </w:p>
    <w:p w:rsidR="00D535C2" w:rsidRDefault="00D535C2">
      <w:pPr>
        <w:pStyle w:val="TOC6"/>
        <w:tabs>
          <w:tab w:val="left" w:pos="1134"/>
        </w:tabs>
        <w:rPr>
          <w:rFonts w:asciiTheme="minorHAnsi" w:hAnsiTheme="minorHAnsi" w:cstheme="minorBidi"/>
          <w:sz w:val="22"/>
          <w:szCs w:val="22"/>
          <w:lang w:val="en-US"/>
        </w:rPr>
      </w:pPr>
      <w:r>
        <w:t>1.</w:t>
      </w:r>
      <w:r>
        <w:rPr>
          <w:rFonts w:asciiTheme="minorHAnsi" w:hAnsiTheme="minorHAnsi" w:cstheme="minorBidi"/>
          <w:sz w:val="22"/>
          <w:szCs w:val="22"/>
          <w:lang w:val="en-US"/>
        </w:rPr>
        <w:tab/>
      </w:r>
      <w:r>
        <w:t>Sensibilisation au rôle de la protection des obtentions végétales conformément à la Convention UPOV</w:t>
      </w:r>
      <w:r>
        <w:tab/>
      </w:r>
      <w:r>
        <w:fldChar w:fldCharType="begin"/>
      </w:r>
      <w:r>
        <w:instrText xml:space="preserve"> PAGEREF _Toc465100083 \h </w:instrText>
      </w:r>
      <w:r>
        <w:fldChar w:fldCharType="separate"/>
      </w:r>
      <w:r w:rsidR="00C64A67">
        <w:t>17</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Publications sur le rôle du système de l’UPOV de protection des obtentions végétales, y compris des documents sur le site Web</w:t>
      </w:r>
      <w:r>
        <w:tab/>
      </w:r>
      <w:r>
        <w:fldChar w:fldCharType="begin"/>
      </w:r>
      <w:r>
        <w:instrText xml:space="preserve"> PAGEREF _Toc465100084 \h </w:instrText>
      </w:r>
      <w:r>
        <w:fldChar w:fldCharType="separate"/>
      </w:r>
      <w:r w:rsidR="00C64A67">
        <w:t>17</w:t>
      </w:r>
      <w:r>
        <w:fldChar w:fldCharType="end"/>
      </w:r>
    </w:p>
    <w:p w:rsidR="00D535C2" w:rsidRDefault="00D535C2">
      <w:pPr>
        <w:pStyle w:val="TOC8"/>
        <w:tabs>
          <w:tab w:val="left" w:pos="170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Fourniture aux États et aux organisations d’informations sur les activités de l’UPOV</w:t>
      </w:r>
      <w:r>
        <w:tab/>
      </w:r>
      <w:r>
        <w:fldChar w:fldCharType="begin"/>
      </w:r>
      <w:r>
        <w:instrText xml:space="preserve"> PAGEREF _Toc465100085 \h </w:instrText>
      </w:r>
      <w:r>
        <w:fldChar w:fldCharType="separate"/>
      </w:r>
      <w:r w:rsidR="00C64A67">
        <w:t>17</w:t>
      </w:r>
      <w:r>
        <w:fldChar w:fldCharType="end"/>
      </w:r>
    </w:p>
    <w:p w:rsidR="00D535C2" w:rsidRDefault="00D535C2">
      <w:pPr>
        <w:pStyle w:val="TOC8"/>
        <w:tabs>
          <w:tab w:val="left" w:pos="170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États et organisations ayant contacté le Bureau de l’UPOV pour obtenir de l’aide en matière d’élaboration d’une législation relative à la protection des obtentions végétales</w:t>
      </w:r>
      <w:r>
        <w:tab/>
      </w:r>
      <w:r>
        <w:fldChar w:fldCharType="begin"/>
      </w:r>
      <w:r>
        <w:instrText xml:space="preserve"> PAGEREF _Toc465100086 \h </w:instrText>
      </w:r>
      <w:r>
        <w:fldChar w:fldCharType="separate"/>
      </w:r>
      <w:r w:rsidR="00C64A67">
        <w:t>17</w:t>
      </w:r>
      <w:r>
        <w:fldChar w:fldCharType="end"/>
      </w:r>
    </w:p>
    <w:p w:rsidR="00D535C2" w:rsidRDefault="00D535C2">
      <w:pPr>
        <w:pStyle w:val="TOC8"/>
        <w:tabs>
          <w:tab w:val="left" w:pos="170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États et organisations ayant entamé auprès du Conseil de l’UPOV la procédure pour devenir membre de l’Union</w:t>
      </w:r>
      <w:r>
        <w:tab/>
      </w:r>
      <w:r>
        <w:fldChar w:fldCharType="begin"/>
      </w:r>
      <w:r>
        <w:instrText xml:space="preserve"> PAGEREF _Toc465100087 \h </w:instrText>
      </w:r>
      <w:r>
        <w:fldChar w:fldCharType="separate"/>
      </w:r>
      <w:r w:rsidR="00C64A67">
        <w:t>17</w:t>
      </w:r>
      <w:r>
        <w:fldChar w:fldCharType="end"/>
      </w:r>
    </w:p>
    <w:p w:rsidR="00D535C2" w:rsidRDefault="00D535C2">
      <w:pPr>
        <w:pStyle w:val="TOC8"/>
        <w:tabs>
          <w:tab w:val="left" w:pos="1701"/>
        </w:tabs>
        <w:rPr>
          <w:rFonts w:asciiTheme="minorHAnsi" w:hAnsiTheme="minorHAnsi" w:cstheme="minorBidi"/>
          <w:i w:val="0"/>
          <w:sz w:val="22"/>
          <w:szCs w:val="22"/>
          <w:lang w:val="en-US"/>
        </w:rPr>
      </w:pPr>
      <w:r>
        <w:t>e)</w:t>
      </w:r>
      <w:r>
        <w:rPr>
          <w:rFonts w:asciiTheme="minorHAnsi" w:hAnsiTheme="minorHAnsi" w:cstheme="minorBidi"/>
          <w:i w:val="0"/>
          <w:sz w:val="22"/>
          <w:szCs w:val="22"/>
          <w:lang w:val="en-US"/>
        </w:rPr>
        <w:tab/>
      </w:r>
      <w:r>
        <w:t>Participation aux activités de sensibilisation organisées par l’UPOV ou aux activités faisant intervenir des membres du personnel de l’UPOV ou des formateurs de l’UPOV au nom du personnel de l’UPOV</w:t>
      </w:r>
      <w:r>
        <w:tab/>
      </w:r>
      <w:r>
        <w:fldChar w:fldCharType="begin"/>
      </w:r>
      <w:r>
        <w:instrText xml:space="preserve"> PAGEREF _Toc465100088 \h </w:instrText>
      </w:r>
      <w:r>
        <w:fldChar w:fldCharType="separate"/>
      </w:r>
      <w:r w:rsidR="00C64A67">
        <w:t>18</w:t>
      </w:r>
      <w:r>
        <w:fldChar w:fldCharType="end"/>
      </w:r>
    </w:p>
    <w:p w:rsidR="00D535C2" w:rsidRDefault="00D535C2">
      <w:pPr>
        <w:pStyle w:val="TOC6"/>
        <w:tabs>
          <w:tab w:val="left" w:pos="1134"/>
        </w:tabs>
        <w:rPr>
          <w:rFonts w:asciiTheme="minorHAnsi" w:hAnsiTheme="minorHAnsi" w:cstheme="minorBidi"/>
          <w:sz w:val="22"/>
          <w:szCs w:val="22"/>
          <w:lang w:val="en-US"/>
        </w:rPr>
      </w:pPr>
      <w:r>
        <w:t>2.</w:t>
      </w:r>
      <w:r>
        <w:rPr>
          <w:rFonts w:asciiTheme="minorHAnsi" w:hAnsiTheme="minorHAnsi" w:cstheme="minorBidi"/>
          <w:sz w:val="22"/>
          <w:szCs w:val="22"/>
          <w:lang w:val="en-US"/>
        </w:rPr>
        <w:tab/>
      </w:r>
      <w:r>
        <w:t>Assistance en vue de l’élaboration d’une législation relative à la protection des obtentions végétales conforme à l’Acte de 1991 de la Convention UPOV</w:t>
      </w:r>
      <w:r>
        <w:tab/>
      </w:r>
      <w:r>
        <w:fldChar w:fldCharType="begin"/>
      </w:r>
      <w:r>
        <w:instrText xml:space="preserve"> PAGEREF _Toc465100089 \h </w:instrText>
      </w:r>
      <w:r>
        <w:fldChar w:fldCharType="separate"/>
      </w:r>
      <w:r w:rsidR="00C64A67">
        <w:t>21</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États et organisations ayant reçu des commentaires sur leurs lois</w:t>
      </w:r>
      <w:r>
        <w:tab/>
      </w:r>
      <w:r>
        <w:fldChar w:fldCharType="begin"/>
      </w:r>
      <w:r>
        <w:instrText xml:space="preserve"> PAGEREF _Toc465100090 \h </w:instrText>
      </w:r>
      <w:r>
        <w:fldChar w:fldCharType="separate"/>
      </w:r>
      <w:r w:rsidR="00C64A67">
        <w:t>21</w:t>
      </w:r>
      <w:r>
        <w:fldChar w:fldCharType="end"/>
      </w:r>
    </w:p>
    <w:p w:rsidR="00D535C2" w:rsidRDefault="00D535C2">
      <w:pPr>
        <w:pStyle w:val="TOC8"/>
        <w:tabs>
          <w:tab w:val="left" w:pos="170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États et organisations ayant reçu un avis positif du Conseil de l’UPOV</w:t>
      </w:r>
      <w:r>
        <w:tab/>
      </w:r>
      <w:r>
        <w:fldChar w:fldCharType="begin"/>
      </w:r>
      <w:r>
        <w:instrText xml:space="preserve"> PAGEREF _Toc465100091 \h </w:instrText>
      </w:r>
      <w:r>
        <w:fldChar w:fldCharType="separate"/>
      </w:r>
      <w:r w:rsidR="00C64A67">
        <w:t>21</w:t>
      </w:r>
      <w:r>
        <w:fldChar w:fldCharType="end"/>
      </w:r>
    </w:p>
    <w:p w:rsidR="00D535C2" w:rsidRDefault="00D535C2">
      <w:pPr>
        <w:pStyle w:val="TOC8"/>
        <w:tabs>
          <w:tab w:val="left" w:pos="170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Réunions avec des responsables gouvernementaux</w:t>
      </w:r>
      <w:r>
        <w:tab/>
      </w:r>
      <w:r>
        <w:fldChar w:fldCharType="begin"/>
      </w:r>
      <w:r>
        <w:instrText xml:space="preserve"> PAGEREF _Toc465100092 \h </w:instrText>
      </w:r>
      <w:r>
        <w:fldChar w:fldCharType="separate"/>
      </w:r>
      <w:r w:rsidR="00C64A67">
        <w:t>21</w:t>
      </w:r>
      <w:r>
        <w:fldChar w:fldCharType="end"/>
      </w:r>
    </w:p>
    <w:p w:rsidR="00D535C2" w:rsidRDefault="00D535C2">
      <w:pPr>
        <w:pStyle w:val="TOC6"/>
        <w:tabs>
          <w:tab w:val="left" w:pos="1134"/>
        </w:tabs>
        <w:rPr>
          <w:rFonts w:asciiTheme="minorHAnsi" w:hAnsiTheme="minorHAnsi" w:cstheme="minorBidi"/>
          <w:sz w:val="22"/>
          <w:szCs w:val="22"/>
          <w:lang w:val="en-US"/>
        </w:rPr>
      </w:pPr>
      <w:r>
        <w:t>3.</w:t>
      </w:r>
      <w:r>
        <w:rPr>
          <w:rFonts w:asciiTheme="minorHAnsi" w:hAnsiTheme="minorHAnsi" w:cstheme="minorBidi"/>
          <w:sz w:val="22"/>
          <w:szCs w:val="22"/>
          <w:lang w:val="en-US"/>
        </w:rPr>
        <w:tab/>
      </w:r>
      <w:r>
        <w:t>Assistance fournie à des États et organisations en vue de leur adhésion à l’Acte de 1991 de la Convention UPOV</w:t>
      </w:r>
      <w:r>
        <w:tab/>
      </w:r>
      <w:r>
        <w:fldChar w:fldCharType="begin"/>
      </w:r>
      <w:r>
        <w:instrText xml:space="preserve"> PAGEREF _Toc465100093 \h </w:instrText>
      </w:r>
      <w:r>
        <w:fldChar w:fldCharType="separate"/>
      </w:r>
      <w:r w:rsidR="00C64A67">
        <w:t>21</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États ayant adhéré à l’Acte de 1991 de la Convention UPOV ou l’ayant ratifié</w:t>
      </w:r>
      <w:r>
        <w:tab/>
      </w:r>
      <w:r>
        <w:fldChar w:fldCharType="begin"/>
      </w:r>
      <w:r>
        <w:instrText xml:space="preserve"> PAGEREF _Toc465100094 \h </w:instrText>
      </w:r>
      <w:r>
        <w:fldChar w:fldCharType="separate"/>
      </w:r>
      <w:r w:rsidR="00C64A67">
        <w:t>21</w:t>
      </w:r>
      <w:r>
        <w:fldChar w:fldCharType="end"/>
      </w:r>
    </w:p>
    <w:p w:rsidR="00D535C2" w:rsidRDefault="00D535C2">
      <w:pPr>
        <w:pStyle w:val="TOC8"/>
        <w:tabs>
          <w:tab w:val="left" w:pos="170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États et organisations devenus membres de l’Union</w:t>
      </w:r>
      <w:r>
        <w:tab/>
      </w:r>
      <w:r>
        <w:fldChar w:fldCharType="begin"/>
      </w:r>
      <w:r>
        <w:instrText xml:space="preserve"> PAGEREF _Toc465100095 \h </w:instrText>
      </w:r>
      <w:r>
        <w:fldChar w:fldCharType="separate"/>
      </w:r>
      <w:r w:rsidR="00C64A67">
        <w:t>21</w:t>
      </w:r>
      <w:r>
        <w:fldChar w:fldCharType="end"/>
      </w:r>
    </w:p>
    <w:p w:rsidR="00D535C2" w:rsidRDefault="00D535C2">
      <w:pPr>
        <w:pStyle w:val="TOC6"/>
        <w:tabs>
          <w:tab w:val="left" w:pos="1134"/>
        </w:tabs>
        <w:rPr>
          <w:rFonts w:asciiTheme="minorHAnsi" w:hAnsiTheme="minorHAnsi" w:cstheme="minorBidi"/>
          <w:sz w:val="22"/>
          <w:szCs w:val="22"/>
          <w:lang w:val="en-US"/>
        </w:rPr>
      </w:pPr>
      <w:r>
        <w:t>4.</w:t>
      </w:r>
      <w:r>
        <w:rPr>
          <w:rFonts w:asciiTheme="minorHAnsi" w:hAnsiTheme="minorHAnsi" w:cstheme="minorBidi"/>
          <w:sz w:val="22"/>
          <w:szCs w:val="22"/>
          <w:lang w:val="en-US"/>
        </w:rPr>
        <w:tab/>
      </w:r>
      <w:r>
        <w:t>Assistance aux fins de la mise en œuvre d’un système efficace de protection des obtentions végétales conforme à l’Acte de 1991 de la Convention UPOV</w:t>
      </w:r>
      <w:r>
        <w:tab/>
      </w:r>
      <w:r>
        <w:fldChar w:fldCharType="begin"/>
      </w:r>
      <w:r>
        <w:instrText xml:space="preserve"> PAGEREF _Toc465100096 \h </w:instrText>
      </w:r>
      <w:r>
        <w:fldChar w:fldCharType="separate"/>
      </w:r>
      <w:r w:rsidR="00C64A67">
        <w:t>21</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Participation aux cours d’enseignement à distance</w:t>
      </w:r>
      <w:r>
        <w:tab/>
      </w:r>
      <w:r>
        <w:fldChar w:fldCharType="begin"/>
      </w:r>
      <w:r>
        <w:instrText xml:space="preserve"> PAGEREF _Toc465100097 \h </w:instrText>
      </w:r>
      <w:r>
        <w:fldChar w:fldCharType="separate"/>
      </w:r>
      <w:r w:rsidR="00C64A67">
        <w:t>21</w:t>
      </w:r>
      <w:r>
        <w:fldChar w:fldCharType="end"/>
      </w:r>
    </w:p>
    <w:p w:rsidR="00D535C2" w:rsidRDefault="00D535C2">
      <w:pPr>
        <w:pStyle w:val="TOC8"/>
        <w:tabs>
          <w:tab w:val="left" w:pos="170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Participation d’États et d’organisations ayant le statut d’observateurs aux travaux du CAJ, du TC, des TWP et aux ateliers préparatoires correspondants</w:t>
      </w:r>
      <w:r>
        <w:tab/>
      </w:r>
      <w:r>
        <w:fldChar w:fldCharType="begin"/>
      </w:r>
      <w:r>
        <w:instrText xml:space="preserve"> PAGEREF _Toc465100098 \h </w:instrText>
      </w:r>
      <w:r>
        <w:fldChar w:fldCharType="separate"/>
      </w:r>
      <w:r w:rsidR="00C64A67">
        <w:t>24</w:t>
      </w:r>
      <w:r>
        <w:fldChar w:fldCharType="end"/>
      </w:r>
    </w:p>
    <w:p w:rsidR="00D535C2" w:rsidRDefault="00D535C2">
      <w:pPr>
        <w:pStyle w:val="TOC8"/>
        <w:tabs>
          <w:tab w:val="left" w:pos="1701"/>
        </w:tabs>
        <w:rPr>
          <w:rFonts w:asciiTheme="minorHAnsi" w:hAnsiTheme="minorHAnsi" w:cstheme="minorBidi"/>
          <w:i w:val="0"/>
          <w:sz w:val="22"/>
          <w:szCs w:val="22"/>
          <w:lang w:val="en-US"/>
        </w:rPr>
      </w:pPr>
      <w:r>
        <w:t>c)</w:t>
      </w:r>
      <w:r>
        <w:rPr>
          <w:rFonts w:asciiTheme="minorHAnsi" w:hAnsiTheme="minorHAnsi" w:cstheme="minorBidi"/>
          <w:i w:val="0"/>
          <w:sz w:val="22"/>
          <w:szCs w:val="22"/>
          <w:lang w:val="en-US"/>
        </w:rPr>
        <w:tab/>
      </w:r>
      <w:r>
        <w:t>Participation aux activités de l’UPOV</w:t>
      </w:r>
      <w:r>
        <w:tab/>
      </w:r>
      <w:r>
        <w:fldChar w:fldCharType="begin"/>
      </w:r>
      <w:r>
        <w:instrText xml:space="preserve"> PAGEREF _Toc465100099 \h </w:instrText>
      </w:r>
      <w:r>
        <w:fldChar w:fldCharType="separate"/>
      </w:r>
      <w:r w:rsidR="00C64A67">
        <w:t>24</w:t>
      </w:r>
      <w:r>
        <w:fldChar w:fldCharType="end"/>
      </w:r>
    </w:p>
    <w:p w:rsidR="00D535C2" w:rsidRDefault="00D535C2">
      <w:pPr>
        <w:pStyle w:val="TOC8"/>
        <w:tabs>
          <w:tab w:val="left" w:pos="1701"/>
        </w:tabs>
        <w:rPr>
          <w:rFonts w:asciiTheme="minorHAnsi" w:hAnsiTheme="minorHAnsi" w:cstheme="minorBidi"/>
          <w:i w:val="0"/>
          <w:sz w:val="22"/>
          <w:szCs w:val="22"/>
          <w:lang w:val="en-US"/>
        </w:rPr>
      </w:pPr>
      <w:r>
        <w:t>d)</w:t>
      </w:r>
      <w:r>
        <w:rPr>
          <w:rFonts w:asciiTheme="minorHAnsi" w:hAnsiTheme="minorHAnsi" w:cstheme="minorBidi"/>
          <w:i w:val="0"/>
          <w:sz w:val="22"/>
          <w:szCs w:val="22"/>
          <w:lang w:val="en-US"/>
        </w:rPr>
        <w:tab/>
      </w:r>
      <w:r>
        <w:t>Participation aux activités faisant intervenir des membres du personnel de l’UPOV ou des formateurs de l’UPOV au nom du personnel de l’UPOV</w:t>
      </w:r>
      <w:r>
        <w:tab/>
      </w:r>
      <w:r>
        <w:fldChar w:fldCharType="begin"/>
      </w:r>
      <w:r>
        <w:instrText xml:space="preserve"> PAGEREF _Toc465100100 \h </w:instrText>
      </w:r>
      <w:r>
        <w:fldChar w:fldCharType="separate"/>
      </w:r>
      <w:r w:rsidR="00C64A67">
        <w:t>24</w:t>
      </w:r>
      <w:r>
        <w:fldChar w:fldCharType="end"/>
      </w:r>
    </w:p>
    <w:p w:rsidR="00D535C2" w:rsidRDefault="00D535C2">
      <w:pPr>
        <w:pStyle w:val="TOC8"/>
        <w:tabs>
          <w:tab w:val="left" w:pos="1701"/>
        </w:tabs>
        <w:rPr>
          <w:rFonts w:asciiTheme="minorHAnsi" w:hAnsiTheme="minorHAnsi" w:cstheme="minorBidi"/>
          <w:i w:val="0"/>
          <w:sz w:val="22"/>
          <w:szCs w:val="22"/>
          <w:lang w:val="en-US"/>
        </w:rPr>
      </w:pPr>
      <w:r>
        <w:t>e)</w:t>
      </w:r>
      <w:r>
        <w:rPr>
          <w:rFonts w:asciiTheme="minorHAnsi" w:hAnsiTheme="minorHAnsi" w:cstheme="minorBidi"/>
          <w:i w:val="0"/>
          <w:sz w:val="22"/>
          <w:szCs w:val="22"/>
          <w:lang w:val="en-US"/>
        </w:rPr>
        <w:tab/>
      </w:r>
      <w:r>
        <w:t>Formation dispensée par des formateurs de l’UPOV au cours d’activités n’ayant pas été organisées par l’UPOV</w:t>
      </w:r>
      <w:r>
        <w:tab/>
      </w:r>
      <w:r>
        <w:fldChar w:fldCharType="begin"/>
      </w:r>
      <w:r>
        <w:instrText xml:space="preserve"> PAGEREF _Toc465100101 \h </w:instrText>
      </w:r>
      <w:r>
        <w:fldChar w:fldCharType="separate"/>
      </w:r>
      <w:r w:rsidR="00C64A67">
        <w:t>24</w:t>
      </w:r>
      <w:r>
        <w:fldChar w:fldCharType="end"/>
      </w:r>
    </w:p>
    <w:p w:rsidR="00D535C2" w:rsidRDefault="00D535C2">
      <w:pPr>
        <w:pStyle w:val="TOC8"/>
        <w:tabs>
          <w:tab w:val="left" w:pos="1701"/>
        </w:tabs>
        <w:rPr>
          <w:rFonts w:asciiTheme="minorHAnsi" w:hAnsiTheme="minorHAnsi" w:cstheme="minorBidi"/>
          <w:i w:val="0"/>
          <w:sz w:val="22"/>
          <w:szCs w:val="22"/>
          <w:lang w:val="en-US"/>
        </w:rPr>
      </w:pPr>
      <w:r>
        <w:t>f)</w:t>
      </w:r>
      <w:r>
        <w:rPr>
          <w:rFonts w:asciiTheme="minorHAnsi" w:hAnsiTheme="minorHAnsi" w:cstheme="minorBidi"/>
          <w:i w:val="0"/>
          <w:sz w:val="22"/>
          <w:szCs w:val="22"/>
          <w:lang w:val="en-US"/>
        </w:rPr>
        <w:tab/>
      </w:r>
      <w:r>
        <w:t>Mise en œuvre de projets avec des organisations partenaires et des donateurs</w:t>
      </w:r>
      <w:r>
        <w:tab/>
      </w:r>
      <w:r>
        <w:fldChar w:fldCharType="begin"/>
      </w:r>
      <w:r>
        <w:instrText xml:space="preserve"> PAGEREF _Toc465100102 \h </w:instrText>
      </w:r>
      <w:r>
        <w:fldChar w:fldCharType="separate"/>
      </w:r>
      <w:r w:rsidR="00C64A67">
        <w:t>24</w:t>
      </w:r>
      <w:r>
        <w:fldChar w:fldCharType="end"/>
      </w:r>
    </w:p>
    <w:p w:rsidR="00D535C2" w:rsidRDefault="00D535C2">
      <w:pPr>
        <w:pStyle w:val="TOC3"/>
        <w:rPr>
          <w:rFonts w:asciiTheme="minorHAnsi" w:hAnsiTheme="minorHAnsi" w:cstheme="minorBidi"/>
          <w:b w:val="0"/>
          <w:noProof/>
          <w:sz w:val="22"/>
          <w:szCs w:val="22"/>
          <w:lang w:val="en-US"/>
        </w:rPr>
      </w:pPr>
      <w:r w:rsidRPr="008F0AF6">
        <w:rPr>
          <w:noProof/>
        </w:rPr>
        <w:t>Sous</w:t>
      </w:r>
      <w:r w:rsidRPr="008F0AF6">
        <w:rPr>
          <w:noProof/>
        </w:rPr>
        <w:noBreakHyphen/>
        <w:t>programme UV.4 : Relations extérieures</w:t>
      </w:r>
      <w:r>
        <w:rPr>
          <w:noProof/>
        </w:rPr>
        <w:tab/>
      </w:r>
      <w:r>
        <w:rPr>
          <w:noProof/>
        </w:rPr>
        <w:fldChar w:fldCharType="begin"/>
      </w:r>
      <w:r>
        <w:rPr>
          <w:noProof/>
        </w:rPr>
        <w:instrText xml:space="preserve"> PAGEREF _Toc465100103 \h </w:instrText>
      </w:r>
      <w:r>
        <w:rPr>
          <w:noProof/>
        </w:rPr>
      </w:r>
      <w:r>
        <w:rPr>
          <w:noProof/>
        </w:rPr>
        <w:fldChar w:fldCharType="separate"/>
      </w:r>
      <w:r w:rsidR="00C64A67">
        <w:rPr>
          <w:noProof/>
        </w:rPr>
        <w:t>25</w:t>
      </w:r>
      <w:r>
        <w:rPr>
          <w:noProof/>
        </w:rPr>
        <w:fldChar w:fldCharType="end"/>
      </w:r>
    </w:p>
    <w:p w:rsidR="00D535C2" w:rsidRDefault="00D535C2">
      <w:pPr>
        <w:pStyle w:val="TOC5"/>
        <w:rPr>
          <w:rFonts w:asciiTheme="minorHAnsi" w:hAnsiTheme="minorHAnsi" w:cstheme="minorBidi"/>
          <w:sz w:val="22"/>
          <w:szCs w:val="22"/>
          <w:lang w:val="en-US"/>
        </w:rPr>
      </w:pPr>
      <w:r w:rsidRPr="008F0AF6">
        <w:t>Objectifs :</w:t>
      </w:r>
      <w:r>
        <w:tab/>
      </w:r>
      <w:r>
        <w:fldChar w:fldCharType="begin"/>
      </w:r>
      <w:r>
        <w:instrText xml:space="preserve"> PAGEREF _Toc465100104 \h </w:instrText>
      </w:r>
      <w:r>
        <w:fldChar w:fldCharType="separate"/>
      </w:r>
      <w:r w:rsidR="00C64A67">
        <w:t>25</w:t>
      </w:r>
      <w:r>
        <w:fldChar w:fldCharType="end"/>
      </w:r>
    </w:p>
    <w:p w:rsidR="00D535C2" w:rsidRDefault="00D535C2">
      <w:pPr>
        <w:pStyle w:val="TOC5"/>
        <w:rPr>
          <w:rFonts w:asciiTheme="minorHAnsi" w:hAnsiTheme="minorHAnsi" w:cstheme="minorBidi"/>
          <w:sz w:val="22"/>
          <w:szCs w:val="22"/>
          <w:lang w:val="en-US"/>
        </w:rPr>
      </w:pPr>
      <w:r w:rsidRPr="008F0AF6">
        <w:t>Résultats escomptés</w:t>
      </w:r>
      <w:r>
        <w:tab/>
      </w:r>
      <w:r>
        <w:fldChar w:fldCharType="begin"/>
      </w:r>
      <w:r>
        <w:instrText xml:space="preserve"> PAGEREF _Toc465100105 \h </w:instrText>
      </w:r>
      <w:r>
        <w:fldChar w:fldCharType="separate"/>
      </w:r>
      <w:r w:rsidR="00C64A67">
        <w:t>25</w:t>
      </w:r>
      <w:r>
        <w:fldChar w:fldCharType="end"/>
      </w:r>
    </w:p>
    <w:p w:rsidR="00D535C2" w:rsidRDefault="00D535C2">
      <w:pPr>
        <w:pStyle w:val="TOC7"/>
        <w:rPr>
          <w:rFonts w:asciiTheme="minorHAnsi" w:hAnsiTheme="minorHAnsi" w:cstheme="minorBidi"/>
          <w:i w:val="0"/>
          <w:sz w:val="22"/>
          <w:szCs w:val="22"/>
          <w:lang w:val="en-US"/>
        </w:rPr>
      </w:pPr>
      <w:r>
        <w:t>Résultats obtenus : indicateurs d’exécution</w:t>
      </w:r>
      <w:r>
        <w:tab/>
      </w:r>
      <w:r>
        <w:fldChar w:fldCharType="begin"/>
      </w:r>
      <w:r>
        <w:instrText xml:space="preserve"> PAGEREF _Toc465100106 \h </w:instrText>
      </w:r>
      <w:r>
        <w:fldChar w:fldCharType="separate"/>
      </w:r>
      <w:r w:rsidR="00C64A67">
        <w:t>25</w:t>
      </w:r>
      <w:r>
        <w:fldChar w:fldCharType="end"/>
      </w:r>
    </w:p>
    <w:p w:rsidR="00D535C2" w:rsidRDefault="00D535C2">
      <w:pPr>
        <w:pStyle w:val="TOC6"/>
        <w:tabs>
          <w:tab w:val="left" w:pos="1134"/>
        </w:tabs>
        <w:rPr>
          <w:rFonts w:asciiTheme="minorHAnsi" w:hAnsiTheme="minorHAnsi" w:cstheme="minorBidi"/>
          <w:sz w:val="22"/>
          <w:szCs w:val="22"/>
          <w:lang w:val="en-US"/>
        </w:rPr>
      </w:pPr>
      <w:r>
        <w:t>1.</w:t>
      </w:r>
      <w:r>
        <w:rPr>
          <w:rFonts w:asciiTheme="minorHAnsi" w:hAnsiTheme="minorHAnsi" w:cstheme="minorBidi"/>
          <w:sz w:val="22"/>
          <w:szCs w:val="22"/>
          <w:lang w:val="en-US"/>
        </w:rPr>
        <w:tab/>
      </w:r>
      <w:r>
        <w:t>Meilleure connaissance par le public du rôle et des activités de l’UPOV</w:t>
      </w:r>
      <w:r>
        <w:tab/>
      </w:r>
      <w:r>
        <w:fldChar w:fldCharType="begin"/>
      </w:r>
      <w:r>
        <w:instrText xml:space="preserve"> PAGEREF _Toc465100107 \h </w:instrText>
      </w:r>
      <w:r>
        <w:fldChar w:fldCharType="separate"/>
      </w:r>
      <w:r w:rsidR="00C64A67">
        <w:t>25</w:t>
      </w:r>
      <w:r>
        <w:fldChar w:fldCharType="end"/>
      </w:r>
    </w:p>
    <w:p w:rsidR="00D535C2" w:rsidRDefault="00D535C2">
      <w:pPr>
        <w:pStyle w:val="TOC8"/>
        <w:tabs>
          <w:tab w:val="left" w:pos="1701"/>
        </w:tabs>
        <w:rPr>
          <w:rFonts w:asciiTheme="minorHAnsi" w:hAnsiTheme="minorHAnsi" w:cstheme="minorBidi"/>
          <w:i w:val="0"/>
          <w:sz w:val="22"/>
          <w:szCs w:val="22"/>
          <w:lang w:val="en-US"/>
        </w:rPr>
      </w:pPr>
      <w:r>
        <w:t>a)</w:t>
      </w:r>
      <w:r>
        <w:rPr>
          <w:rFonts w:asciiTheme="minorHAnsi" w:hAnsiTheme="minorHAnsi" w:cstheme="minorBidi"/>
          <w:i w:val="0"/>
          <w:sz w:val="22"/>
          <w:szCs w:val="22"/>
          <w:lang w:val="en-US"/>
        </w:rPr>
        <w:tab/>
      </w:r>
      <w:r>
        <w:t>Mise à disposition sur le site Web de l’UPOV d’informations et de matériels à l’intention du grand public</w:t>
      </w:r>
      <w:r>
        <w:tab/>
      </w:r>
      <w:r>
        <w:fldChar w:fldCharType="begin"/>
      </w:r>
      <w:r>
        <w:instrText xml:space="preserve"> PAGEREF _Toc465100108 \h </w:instrText>
      </w:r>
      <w:r>
        <w:fldChar w:fldCharType="separate"/>
      </w:r>
      <w:r w:rsidR="00C64A67">
        <w:t>25</w:t>
      </w:r>
      <w:r>
        <w:fldChar w:fldCharType="end"/>
      </w:r>
    </w:p>
    <w:p w:rsidR="00D535C2" w:rsidRDefault="00D535C2">
      <w:pPr>
        <w:pStyle w:val="TOC8"/>
        <w:tabs>
          <w:tab w:val="left" w:pos="1701"/>
        </w:tabs>
        <w:rPr>
          <w:rFonts w:asciiTheme="minorHAnsi" w:hAnsiTheme="minorHAnsi" w:cstheme="minorBidi"/>
          <w:i w:val="0"/>
          <w:sz w:val="22"/>
          <w:szCs w:val="22"/>
          <w:lang w:val="en-US"/>
        </w:rPr>
      </w:pPr>
      <w:r>
        <w:t>b)</w:t>
      </w:r>
      <w:r>
        <w:rPr>
          <w:rFonts w:asciiTheme="minorHAnsi" w:hAnsiTheme="minorHAnsi" w:cstheme="minorBidi"/>
          <w:i w:val="0"/>
          <w:sz w:val="22"/>
          <w:szCs w:val="22"/>
          <w:lang w:val="en-US"/>
        </w:rPr>
        <w:tab/>
      </w:r>
      <w:r>
        <w:t>Consultations du site Web</w:t>
      </w:r>
      <w:r>
        <w:tab/>
      </w:r>
      <w:r>
        <w:fldChar w:fldCharType="begin"/>
      </w:r>
      <w:r>
        <w:instrText xml:space="preserve"> PAGEREF _Toc465100109 \h </w:instrText>
      </w:r>
      <w:r>
        <w:fldChar w:fldCharType="separate"/>
      </w:r>
      <w:r w:rsidR="00C64A67">
        <w:t>25</w:t>
      </w:r>
      <w:r>
        <w:fldChar w:fldCharType="end"/>
      </w:r>
    </w:p>
    <w:p w:rsidR="00D535C2" w:rsidRDefault="00D535C2">
      <w:pPr>
        <w:pStyle w:val="TOC8"/>
        <w:rPr>
          <w:rFonts w:asciiTheme="minorHAnsi" w:hAnsiTheme="minorHAnsi" w:cstheme="minorBidi"/>
          <w:i w:val="0"/>
          <w:sz w:val="22"/>
          <w:szCs w:val="22"/>
          <w:lang w:val="en-US"/>
        </w:rPr>
      </w:pPr>
      <w:r>
        <w:t>Consultation du site Web dans le monde</w:t>
      </w:r>
      <w:r>
        <w:tab/>
      </w:r>
      <w:r>
        <w:fldChar w:fldCharType="begin"/>
      </w:r>
      <w:r>
        <w:instrText xml:space="preserve"> PAGEREF _Toc465100110 \h </w:instrText>
      </w:r>
      <w:r>
        <w:fldChar w:fldCharType="separate"/>
      </w:r>
      <w:r w:rsidR="00C64A67">
        <w:t>25</w:t>
      </w:r>
      <w:r>
        <w:fldChar w:fldCharType="end"/>
      </w:r>
    </w:p>
    <w:p w:rsidR="00D535C2" w:rsidRDefault="00D535C2">
      <w:pPr>
        <w:pStyle w:val="TOC6"/>
        <w:tabs>
          <w:tab w:val="left" w:pos="1134"/>
        </w:tabs>
        <w:rPr>
          <w:rFonts w:asciiTheme="minorHAnsi" w:hAnsiTheme="minorHAnsi" w:cstheme="minorBidi"/>
          <w:sz w:val="22"/>
          <w:szCs w:val="22"/>
          <w:lang w:val="en-US"/>
        </w:rPr>
      </w:pPr>
      <w:r>
        <w:t>2.</w:t>
      </w:r>
      <w:r>
        <w:rPr>
          <w:rFonts w:asciiTheme="minorHAnsi" w:hAnsiTheme="minorHAnsi" w:cstheme="minorBidi"/>
          <w:sz w:val="22"/>
          <w:szCs w:val="22"/>
          <w:lang w:val="en-US"/>
        </w:rPr>
        <w:tab/>
      </w:r>
      <w:r>
        <w:t>Fourniture d’informations à d’autres organisations</w:t>
      </w:r>
      <w:r>
        <w:tab/>
      </w:r>
      <w:r>
        <w:fldChar w:fldCharType="begin"/>
      </w:r>
      <w:r>
        <w:instrText xml:space="preserve"> PAGEREF _Toc465100111 \h </w:instrText>
      </w:r>
      <w:r>
        <w:fldChar w:fldCharType="separate"/>
      </w:r>
      <w:r w:rsidR="00C64A67">
        <w:t>26</w:t>
      </w:r>
      <w:r>
        <w:fldChar w:fldCharType="end"/>
      </w:r>
    </w:p>
    <w:p w:rsidR="00D535C2" w:rsidRDefault="00D535C2">
      <w:pPr>
        <w:pStyle w:val="TOC8"/>
        <w:rPr>
          <w:rFonts w:asciiTheme="minorHAnsi" w:hAnsiTheme="minorHAnsi" w:cstheme="minorBidi"/>
          <w:i w:val="0"/>
          <w:sz w:val="22"/>
          <w:szCs w:val="22"/>
          <w:lang w:val="en-US"/>
        </w:rPr>
      </w:pPr>
      <w:r>
        <w:t>Participation à des réunions ou à des activités en collaboration avec des organisations compétentes</w:t>
      </w:r>
      <w:r>
        <w:tab/>
      </w:r>
      <w:r>
        <w:fldChar w:fldCharType="begin"/>
      </w:r>
      <w:r>
        <w:instrText xml:space="preserve"> PAGEREF _Toc465100112 \h </w:instrText>
      </w:r>
      <w:r>
        <w:fldChar w:fldCharType="separate"/>
      </w:r>
      <w:r w:rsidR="00C64A67">
        <w:t>26</w:t>
      </w:r>
      <w:r>
        <w:fldChar w:fldCharType="end"/>
      </w:r>
    </w:p>
    <w:p w:rsidR="0083792B" w:rsidRPr="00386CD6" w:rsidRDefault="0083792B" w:rsidP="004E714F">
      <w:pPr>
        <w:pStyle w:val="TOC8"/>
        <w:rPr>
          <w:noProof w:val="0"/>
        </w:rPr>
      </w:pPr>
      <w:r w:rsidRPr="00386CD6">
        <w:rPr>
          <w:noProof w:val="0"/>
        </w:rPr>
        <w:fldChar w:fldCharType="end"/>
      </w:r>
    </w:p>
    <w:p w:rsidR="0083792B" w:rsidRPr="00386CD6" w:rsidRDefault="0083792B" w:rsidP="004E714F">
      <w:pPr>
        <w:pStyle w:val="Heading3"/>
        <w:rPr>
          <w:lang w:val="fr-FR"/>
        </w:rPr>
      </w:pPr>
      <w:bookmarkStart w:id="23" w:name="_Toc465100020"/>
      <w:r w:rsidRPr="00386CD6">
        <w:rPr>
          <w:lang w:val="fr-FR"/>
        </w:rPr>
        <w:t>INTRODUCTION</w:t>
      </w:r>
      <w:bookmarkEnd w:id="23"/>
    </w:p>
    <w:p w:rsidR="0083792B" w:rsidRPr="00386CD6" w:rsidRDefault="0083792B" w:rsidP="004E714F">
      <w:pPr>
        <w:rPr>
          <w:caps/>
        </w:rPr>
      </w:pPr>
    </w:p>
    <w:p w:rsidR="0083792B" w:rsidRPr="00386CD6" w:rsidRDefault="0083792B" w:rsidP="0085651C">
      <w:r w:rsidRPr="00386CD6">
        <w:t>1.</w:t>
      </w:r>
      <w:r w:rsidRPr="00386CD6">
        <w:tab/>
        <w:t>Le présent rapport récapitule les résultats obtenus en 2015.  Il suit la structure du programme et budget pour 2014</w:t>
      </w:r>
      <w:r w:rsidRPr="00386CD6">
        <w:noBreakHyphen/>
        <w:t>2015 (document C/47/4</w:t>
      </w:r>
      <w:r w:rsidR="00A3701F" w:rsidRPr="00386CD6">
        <w:t> Rev.)</w:t>
      </w:r>
      <w:r w:rsidRPr="00386CD6">
        <w:t xml:space="preserve"> adopté par le Conseil à sa quarante</w:t>
      </w:r>
      <w:r w:rsidRPr="00386CD6">
        <w:noBreakHyphen/>
        <w:t>septième session ordinaire, tenue à Genève le 24 octobre 2013.</w:t>
      </w:r>
    </w:p>
    <w:p w:rsidR="0083792B" w:rsidRPr="00386CD6" w:rsidRDefault="0083792B" w:rsidP="0085651C"/>
    <w:p w:rsidR="0083792B" w:rsidRPr="00386CD6" w:rsidRDefault="0083792B" w:rsidP="0085651C">
      <w:r w:rsidRPr="00386CD6">
        <w:t>2.</w:t>
      </w:r>
      <w:r w:rsidRPr="00386CD6">
        <w:tab/>
        <w:t>Le rapport contient un bref résumé des progrès accomplis dans le sens de la réalisation des objectifs fixés au niveau des sous</w:t>
      </w:r>
      <w:r w:rsidRPr="00386CD6">
        <w:noBreakHyphen/>
        <w:t>programmes, suivi de tableaux des résultats récapitulant les objectifs, les résultats escomptés et les indicateurs d’exécution.</w:t>
      </w:r>
    </w:p>
    <w:p w:rsidR="0083792B" w:rsidRPr="00386CD6" w:rsidRDefault="0083792B" w:rsidP="004E714F"/>
    <w:p w:rsidR="0083792B" w:rsidRPr="00386CD6" w:rsidRDefault="0083792B" w:rsidP="004E714F"/>
    <w:p w:rsidR="0083792B" w:rsidRPr="00386CD6" w:rsidRDefault="0083792B" w:rsidP="0085651C">
      <w:pPr>
        <w:pStyle w:val="Heading3"/>
        <w:rPr>
          <w:lang w:val="fr-FR"/>
        </w:rPr>
      </w:pPr>
      <w:r w:rsidRPr="00386CD6">
        <w:rPr>
          <w:lang w:val="fr-FR"/>
        </w:rPr>
        <w:br w:type="page"/>
      </w:r>
      <w:bookmarkStart w:id="24" w:name="_Toc431567492"/>
      <w:bookmarkStart w:id="25" w:name="_Toc465100021"/>
      <w:bookmarkStart w:id="26" w:name="_Toc336331192"/>
      <w:bookmarkStart w:id="27" w:name="_Toc336339182"/>
      <w:r w:rsidRPr="00386CD6">
        <w:rPr>
          <w:lang w:val="fr-FR"/>
        </w:rPr>
        <w:t>Sous</w:t>
      </w:r>
      <w:r w:rsidRPr="00386CD6">
        <w:rPr>
          <w:lang w:val="fr-FR"/>
        </w:rPr>
        <w:noBreakHyphen/>
        <w:t>programme UV.1 : Politique générale en matière de protection des obtentions végétales</w:t>
      </w:r>
      <w:bookmarkEnd w:id="24"/>
      <w:bookmarkEnd w:id="25"/>
    </w:p>
    <w:p w:rsidR="0083792B" w:rsidRPr="00386CD6" w:rsidRDefault="0083792B" w:rsidP="0085651C">
      <w:pPr>
        <w:rPr>
          <w:sz w:val="18"/>
          <w:szCs w:val="18"/>
        </w:rPr>
      </w:pPr>
    </w:p>
    <w:p w:rsidR="0083792B" w:rsidRPr="00386CD6" w:rsidRDefault="0083792B" w:rsidP="0085651C">
      <w:pPr>
        <w:rPr>
          <w:sz w:val="18"/>
          <w:szCs w:val="18"/>
        </w:rPr>
      </w:pPr>
      <w:r w:rsidRPr="00386CD6">
        <w:rPr>
          <w:sz w:val="18"/>
          <w:szCs w:val="18"/>
        </w:rPr>
        <w:t>Les sessions du Conseil et du Comité consultatif ont fourni la base de l’élaboration, de la gestion et de la coordination des activités dans le cadre du programme général de l’UPOV.</w:t>
      </w:r>
    </w:p>
    <w:p w:rsidR="0083792B" w:rsidRPr="00386CD6" w:rsidRDefault="0083792B" w:rsidP="0085651C">
      <w:pPr>
        <w:rPr>
          <w:sz w:val="18"/>
          <w:szCs w:val="18"/>
        </w:rPr>
      </w:pPr>
    </w:p>
    <w:p w:rsidR="008B401F" w:rsidRPr="00386CD6" w:rsidRDefault="008B401F" w:rsidP="0085651C">
      <w:pPr>
        <w:rPr>
          <w:sz w:val="18"/>
          <w:szCs w:val="18"/>
        </w:rPr>
      </w:pPr>
    </w:p>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tcPr>
          <w:p w:rsidR="0083792B" w:rsidRPr="00386CD6" w:rsidRDefault="0083792B" w:rsidP="0085651C">
            <w:pPr>
              <w:pStyle w:val="Heading5"/>
              <w:rPr>
                <w:lang w:val="fr-FR"/>
              </w:rPr>
            </w:pPr>
            <w:bookmarkStart w:id="28" w:name="_Toc431567493"/>
            <w:bookmarkStart w:id="29" w:name="_Toc465100022"/>
            <w:r w:rsidRPr="00386CD6">
              <w:rPr>
                <w:lang w:val="fr-FR"/>
              </w:rPr>
              <w:t>Objectifs :</w:t>
            </w:r>
            <w:bookmarkEnd w:id="28"/>
            <w:bookmarkEnd w:id="29"/>
          </w:p>
        </w:tc>
        <w:tc>
          <w:tcPr>
            <w:tcW w:w="7938" w:type="dxa"/>
            <w:vAlign w:val="center"/>
          </w:tcPr>
          <w:p w:rsidR="0083792B" w:rsidRPr="00386CD6" w:rsidRDefault="0083792B" w:rsidP="0085651C">
            <w:pPr>
              <w:pStyle w:val="ListParagraph"/>
              <w:keepNext/>
              <w:keepLines/>
              <w:widowControl w:val="0"/>
              <w:numPr>
                <w:ilvl w:val="0"/>
                <w:numId w:val="15"/>
              </w:numPr>
              <w:tabs>
                <w:tab w:val="num" w:pos="360"/>
              </w:tabs>
              <w:jc w:val="left"/>
              <w:rPr>
                <w:sz w:val="18"/>
                <w:szCs w:val="18"/>
              </w:rPr>
            </w:pPr>
            <w:r w:rsidRPr="00386CD6">
              <w:rPr>
                <w:sz w:val="18"/>
                <w:szCs w:val="18"/>
              </w:rPr>
              <w:t>Orientations politiques et gestion à l’échelon exécutif.</w:t>
            </w:r>
          </w:p>
          <w:p w:rsidR="0083792B" w:rsidRPr="00386CD6" w:rsidRDefault="0083792B" w:rsidP="0085651C">
            <w:pPr>
              <w:pStyle w:val="ListParagraph"/>
              <w:keepNext/>
              <w:keepLines/>
              <w:widowControl w:val="0"/>
              <w:numPr>
                <w:ilvl w:val="0"/>
                <w:numId w:val="15"/>
              </w:numPr>
              <w:tabs>
                <w:tab w:val="num" w:pos="360"/>
              </w:tabs>
              <w:jc w:val="left"/>
              <w:rPr>
                <w:sz w:val="18"/>
                <w:szCs w:val="18"/>
              </w:rPr>
            </w:pPr>
            <w:r w:rsidRPr="00386CD6">
              <w:rPr>
                <w:sz w:val="18"/>
                <w:szCs w:val="18"/>
              </w:rPr>
              <w:t>Planification, mise en œuvre et évaluation du programme et budget.</w:t>
            </w:r>
          </w:p>
        </w:tc>
      </w:tr>
    </w:tbl>
    <w:p w:rsidR="0083792B" w:rsidRPr="00386CD6" w:rsidRDefault="0083792B" w:rsidP="0085651C">
      <w:pPr>
        <w:rPr>
          <w:sz w:val="18"/>
          <w:szCs w:val="18"/>
        </w:rPr>
      </w:pPr>
    </w:p>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pStyle w:val="Heading5"/>
              <w:rPr>
                <w:lang w:val="fr-FR"/>
              </w:rPr>
            </w:pPr>
            <w:bookmarkStart w:id="30" w:name="_Toc431567494"/>
            <w:bookmarkStart w:id="31" w:name="_Toc465100023"/>
            <w:r w:rsidRPr="00386CD6">
              <w:rPr>
                <w:lang w:val="fr-FR"/>
              </w:rPr>
              <w:t>Résultats escomptés</w:t>
            </w:r>
            <w:bookmarkEnd w:id="30"/>
            <w:bookmarkEnd w:id="31"/>
          </w:p>
        </w:tc>
        <w:tc>
          <w:tcPr>
            <w:tcW w:w="7938" w:type="dxa"/>
            <w:shd w:val="clear" w:color="auto" w:fill="auto"/>
          </w:tcPr>
          <w:p w:rsidR="0083792B" w:rsidRPr="00386CD6" w:rsidRDefault="0083792B" w:rsidP="0085651C">
            <w:pPr>
              <w:pStyle w:val="Heading7"/>
              <w:rPr>
                <w:szCs w:val="18"/>
              </w:rPr>
            </w:pPr>
            <w:bookmarkStart w:id="32" w:name="_Toc431567495"/>
            <w:bookmarkStart w:id="33" w:name="_Toc465100024"/>
            <w:r w:rsidRPr="00386CD6">
              <w:rPr>
                <w:szCs w:val="18"/>
              </w:rPr>
              <w:t>Résultats obtenus : indicateurs d’exécution</w:t>
            </w:r>
            <w:bookmarkEnd w:id="32"/>
            <w:bookmarkEnd w:id="33"/>
          </w:p>
        </w:tc>
      </w:tr>
      <w:tr w:rsidR="0083792B" w:rsidRPr="00386CD6" w:rsidTr="0085651C">
        <w:tc>
          <w:tcPr>
            <w:tcW w:w="1951" w:type="dxa"/>
            <w:shd w:val="clear" w:color="auto" w:fill="auto"/>
          </w:tcPr>
          <w:p w:rsidR="0083792B" w:rsidRPr="00386CD6" w:rsidRDefault="0083792B" w:rsidP="008B401F">
            <w:pPr>
              <w:pStyle w:val="Heading6"/>
              <w:tabs>
                <w:tab w:val="left" w:pos="288"/>
              </w:tabs>
            </w:pPr>
            <w:bookmarkStart w:id="34" w:name="_Toc431567496"/>
            <w:bookmarkStart w:id="35" w:name="_Toc465100025"/>
            <w:r w:rsidRPr="00386CD6">
              <w:t>1.</w:t>
            </w:r>
            <w:r w:rsidR="008B401F" w:rsidRPr="00386CD6">
              <w:tab/>
            </w:r>
            <w:r w:rsidRPr="00386CD6">
              <w:t>Organisation des sessions du Conseil et du Comité consultatif</w:t>
            </w:r>
            <w:bookmarkEnd w:id="34"/>
            <w:bookmarkEnd w:id="35"/>
          </w:p>
        </w:tc>
        <w:tc>
          <w:tcPr>
            <w:tcW w:w="7938" w:type="dxa"/>
            <w:shd w:val="clear" w:color="auto" w:fill="auto"/>
          </w:tcPr>
          <w:p w:rsidR="0083792B" w:rsidRPr="00386CD6" w:rsidRDefault="0083792B" w:rsidP="008B401F">
            <w:pPr>
              <w:pStyle w:val="Heading8"/>
              <w:tabs>
                <w:tab w:val="left" w:pos="353"/>
              </w:tabs>
              <w:rPr>
                <w:szCs w:val="18"/>
              </w:rPr>
            </w:pPr>
            <w:bookmarkStart w:id="36" w:name="_Toc431567497"/>
            <w:bookmarkStart w:id="37" w:name="_Toc465100026"/>
            <w:r w:rsidRPr="00386CD6">
              <w:rPr>
                <w:szCs w:val="18"/>
              </w:rPr>
              <w:t>a)</w:t>
            </w:r>
            <w:r w:rsidR="008B401F" w:rsidRPr="00386CD6">
              <w:rPr>
                <w:szCs w:val="18"/>
              </w:rPr>
              <w:tab/>
            </w:r>
            <w:r w:rsidRPr="00386CD6">
              <w:rPr>
                <w:szCs w:val="18"/>
              </w:rPr>
              <w:t>Participation aux sessions du Conseil et du Comité consultatif</w:t>
            </w:r>
            <w:bookmarkEnd w:id="36"/>
            <w:bookmarkEnd w:id="37"/>
          </w:p>
          <w:p w:rsidR="0083792B" w:rsidRPr="00386CD6" w:rsidRDefault="0083792B" w:rsidP="0085651C">
            <w:pPr>
              <w:rPr>
                <w:i/>
                <w:sz w:val="18"/>
                <w:szCs w:val="18"/>
              </w:rPr>
            </w:pPr>
            <w:r w:rsidRPr="00386CD6">
              <w:rPr>
                <w:i/>
                <w:sz w:val="18"/>
                <w:szCs w:val="18"/>
              </w:rPr>
              <w:t>Conseil</w:t>
            </w:r>
          </w:p>
          <w:p w:rsidR="0083792B" w:rsidRPr="00386CD6" w:rsidRDefault="0083792B" w:rsidP="0085651C">
            <w:pPr>
              <w:rPr>
                <w:sz w:val="18"/>
                <w:szCs w:val="18"/>
              </w:rPr>
            </w:pPr>
          </w:p>
          <w:p w:rsidR="0083792B" w:rsidRPr="00386CD6" w:rsidRDefault="0083792B" w:rsidP="0085651C">
            <w:pPr>
              <w:rPr>
                <w:i/>
                <w:sz w:val="18"/>
                <w:szCs w:val="18"/>
              </w:rPr>
            </w:pPr>
            <w:r w:rsidRPr="00386CD6">
              <w:rPr>
                <w:i/>
                <w:sz w:val="18"/>
                <w:szCs w:val="18"/>
              </w:rPr>
              <w:t>Trente</w:t>
            </w:r>
            <w:r w:rsidRPr="00386CD6">
              <w:rPr>
                <w:i/>
                <w:sz w:val="18"/>
                <w:szCs w:val="18"/>
              </w:rPr>
              <w:noBreakHyphen/>
              <w:t>deuxième session extraordinaire</w:t>
            </w:r>
          </w:p>
          <w:p w:rsidR="0083792B" w:rsidRPr="00386CD6" w:rsidRDefault="0083792B" w:rsidP="0085651C">
            <w:pPr>
              <w:rPr>
                <w:sz w:val="18"/>
                <w:szCs w:val="18"/>
              </w:rPr>
            </w:pPr>
          </w:p>
          <w:p w:rsidR="0083792B" w:rsidRPr="00386CD6" w:rsidRDefault="0083792B" w:rsidP="0085651C">
            <w:pPr>
              <w:rPr>
                <w:sz w:val="18"/>
                <w:szCs w:val="18"/>
              </w:rPr>
            </w:pPr>
            <w:r w:rsidRPr="00386CD6">
              <w:rPr>
                <w:sz w:val="18"/>
                <w:szCs w:val="18"/>
              </w:rPr>
              <w:t>95 participants représentant 45 membres de l’Union, 3 États ayant le statut d’observateur et 7 organisations ayant le statut d’observateur</w:t>
            </w:r>
          </w:p>
          <w:p w:rsidR="0083792B" w:rsidRPr="00386CD6" w:rsidRDefault="0083792B" w:rsidP="0085651C">
            <w:pPr>
              <w:rPr>
                <w:sz w:val="18"/>
                <w:szCs w:val="18"/>
              </w:rPr>
            </w:pPr>
          </w:p>
          <w:p w:rsidR="0083792B" w:rsidRPr="00386CD6" w:rsidRDefault="0083792B" w:rsidP="0085651C">
            <w:pPr>
              <w:rPr>
                <w:i/>
                <w:sz w:val="18"/>
                <w:szCs w:val="18"/>
              </w:rPr>
            </w:pPr>
            <w:r w:rsidRPr="00386CD6">
              <w:rPr>
                <w:i/>
                <w:sz w:val="18"/>
                <w:szCs w:val="18"/>
              </w:rPr>
              <w:t>Quarante</w:t>
            </w:r>
            <w:r w:rsidRPr="00386CD6">
              <w:rPr>
                <w:i/>
                <w:sz w:val="18"/>
                <w:szCs w:val="18"/>
              </w:rPr>
              <w:noBreakHyphen/>
              <w:t>neuvième session ordinaire :</w:t>
            </w:r>
          </w:p>
          <w:p w:rsidR="0083792B" w:rsidRPr="00386CD6" w:rsidRDefault="0083792B" w:rsidP="0085651C">
            <w:pPr>
              <w:rPr>
                <w:sz w:val="18"/>
                <w:szCs w:val="18"/>
              </w:rPr>
            </w:pPr>
          </w:p>
          <w:p w:rsidR="0083792B" w:rsidRPr="00386CD6" w:rsidRDefault="0083792B" w:rsidP="0085651C">
            <w:pPr>
              <w:rPr>
                <w:sz w:val="18"/>
                <w:szCs w:val="18"/>
              </w:rPr>
            </w:pPr>
            <w:r w:rsidRPr="00386CD6">
              <w:rPr>
                <w:sz w:val="18"/>
                <w:szCs w:val="18"/>
              </w:rPr>
              <w:t>102 participants représentant 46 membres de l’Union, 4 États ayant le statut d’observateur et 5 organisations ayant le statut d’observateur</w:t>
            </w:r>
          </w:p>
          <w:p w:rsidR="0083792B" w:rsidRPr="00386CD6" w:rsidRDefault="0083792B" w:rsidP="0085651C">
            <w:pPr>
              <w:rPr>
                <w:sz w:val="18"/>
                <w:szCs w:val="18"/>
              </w:rPr>
            </w:pPr>
          </w:p>
          <w:p w:rsidR="0083792B" w:rsidRPr="00386CD6" w:rsidRDefault="0083792B" w:rsidP="0085651C">
            <w:pPr>
              <w:rPr>
                <w:sz w:val="18"/>
                <w:szCs w:val="18"/>
              </w:rPr>
            </w:pPr>
          </w:p>
          <w:p w:rsidR="0083792B" w:rsidRPr="00386CD6" w:rsidRDefault="0083792B" w:rsidP="0085651C">
            <w:pPr>
              <w:rPr>
                <w:i/>
                <w:sz w:val="18"/>
                <w:szCs w:val="18"/>
              </w:rPr>
            </w:pPr>
            <w:r w:rsidRPr="00386CD6">
              <w:rPr>
                <w:i/>
                <w:sz w:val="18"/>
                <w:szCs w:val="18"/>
              </w:rPr>
              <w:t>Comité consultatif</w:t>
            </w:r>
          </w:p>
          <w:p w:rsidR="0083792B" w:rsidRPr="00386CD6" w:rsidRDefault="0083792B" w:rsidP="0085651C">
            <w:pPr>
              <w:rPr>
                <w:sz w:val="18"/>
                <w:szCs w:val="18"/>
              </w:rPr>
            </w:pPr>
          </w:p>
          <w:p w:rsidR="0083792B" w:rsidRPr="00386CD6" w:rsidRDefault="0083792B" w:rsidP="0085651C">
            <w:pPr>
              <w:rPr>
                <w:i/>
                <w:sz w:val="18"/>
                <w:szCs w:val="18"/>
              </w:rPr>
            </w:pPr>
            <w:r w:rsidRPr="00386CD6">
              <w:rPr>
                <w:i/>
                <w:sz w:val="18"/>
                <w:szCs w:val="18"/>
              </w:rPr>
              <w:t>Quatre</w:t>
            </w:r>
            <w:r w:rsidRPr="00386CD6">
              <w:rPr>
                <w:i/>
                <w:sz w:val="18"/>
                <w:szCs w:val="18"/>
              </w:rPr>
              <w:noBreakHyphen/>
              <w:t>vingt</w:t>
            </w:r>
            <w:r w:rsidRPr="00386CD6">
              <w:rPr>
                <w:i/>
                <w:sz w:val="18"/>
                <w:szCs w:val="18"/>
              </w:rPr>
              <w:noBreakHyphen/>
              <w:t>neuvième session</w:t>
            </w:r>
          </w:p>
          <w:p w:rsidR="0083792B" w:rsidRPr="00386CD6" w:rsidRDefault="0083792B" w:rsidP="0085651C">
            <w:pPr>
              <w:rPr>
                <w:sz w:val="18"/>
                <w:szCs w:val="18"/>
              </w:rPr>
            </w:pPr>
          </w:p>
          <w:p w:rsidR="0083792B" w:rsidRPr="00386CD6" w:rsidRDefault="0083792B" w:rsidP="0085651C">
            <w:pPr>
              <w:rPr>
                <w:sz w:val="18"/>
                <w:szCs w:val="18"/>
              </w:rPr>
            </w:pPr>
            <w:r w:rsidRPr="00386CD6">
              <w:rPr>
                <w:sz w:val="18"/>
                <w:szCs w:val="18"/>
              </w:rPr>
              <w:t>84 participants représentant 46 membres de l’Union</w:t>
            </w:r>
          </w:p>
          <w:p w:rsidR="0083792B" w:rsidRPr="00386CD6" w:rsidRDefault="0083792B" w:rsidP="0085651C">
            <w:pPr>
              <w:rPr>
                <w:sz w:val="18"/>
                <w:szCs w:val="18"/>
              </w:rPr>
            </w:pPr>
          </w:p>
          <w:p w:rsidR="0083792B" w:rsidRPr="00386CD6" w:rsidRDefault="0083792B" w:rsidP="0085651C">
            <w:pPr>
              <w:rPr>
                <w:i/>
                <w:sz w:val="18"/>
                <w:szCs w:val="18"/>
              </w:rPr>
            </w:pPr>
            <w:r w:rsidRPr="00386CD6">
              <w:rPr>
                <w:i/>
                <w:sz w:val="18"/>
                <w:szCs w:val="18"/>
              </w:rPr>
              <w:t>Quatre</w:t>
            </w:r>
            <w:r w:rsidRPr="00386CD6">
              <w:rPr>
                <w:i/>
                <w:sz w:val="18"/>
                <w:szCs w:val="18"/>
              </w:rPr>
              <w:noBreakHyphen/>
              <w:t>vingt</w:t>
            </w:r>
            <w:r w:rsidRPr="00386CD6">
              <w:rPr>
                <w:i/>
                <w:sz w:val="18"/>
                <w:szCs w:val="18"/>
              </w:rPr>
              <w:noBreakHyphen/>
              <w:t>dixième session</w:t>
            </w:r>
          </w:p>
          <w:p w:rsidR="0083792B" w:rsidRPr="00386CD6" w:rsidRDefault="0083792B" w:rsidP="0085651C">
            <w:pPr>
              <w:rPr>
                <w:sz w:val="18"/>
                <w:szCs w:val="18"/>
              </w:rPr>
            </w:pPr>
          </w:p>
          <w:p w:rsidR="0083792B" w:rsidRPr="00386CD6" w:rsidRDefault="0083792B" w:rsidP="0085651C">
            <w:pPr>
              <w:rPr>
                <w:sz w:val="18"/>
                <w:szCs w:val="18"/>
              </w:rPr>
            </w:pPr>
            <w:r w:rsidRPr="00386CD6">
              <w:rPr>
                <w:sz w:val="18"/>
                <w:szCs w:val="18"/>
              </w:rPr>
              <w:t>89 participants représentant 46 membres de l’Union</w:t>
            </w:r>
          </w:p>
        </w:tc>
      </w:tr>
    </w:tbl>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B401F">
            <w:pPr>
              <w:pStyle w:val="Heading6"/>
              <w:tabs>
                <w:tab w:val="left" w:pos="311"/>
              </w:tabs>
            </w:pPr>
            <w:bookmarkStart w:id="38" w:name="_Toc431567498"/>
            <w:bookmarkStart w:id="39" w:name="_Toc465100027"/>
            <w:r w:rsidRPr="00386CD6">
              <w:t>2.</w:t>
            </w:r>
            <w:r w:rsidR="008B401F" w:rsidRPr="00386CD6">
              <w:tab/>
            </w:r>
            <w:r w:rsidRPr="00386CD6">
              <w:t>Coordination, suivi et évaluation de l’exécution du programme et budget pour l’exercice biennal 2014</w:t>
            </w:r>
            <w:r w:rsidRPr="00386CD6">
              <w:noBreakHyphen/>
              <w:t>2015</w:t>
            </w:r>
            <w:bookmarkEnd w:id="38"/>
            <w:bookmarkEnd w:id="39"/>
          </w:p>
          <w:p w:rsidR="0083792B" w:rsidRPr="00386CD6" w:rsidRDefault="0083792B" w:rsidP="0085651C"/>
        </w:tc>
        <w:tc>
          <w:tcPr>
            <w:tcW w:w="7938" w:type="dxa"/>
            <w:shd w:val="clear" w:color="auto" w:fill="auto"/>
          </w:tcPr>
          <w:p w:rsidR="0083792B" w:rsidRPr="00386CD6" w:rsidRDefault="0083792B" w:rsidP="008B401F">
            <w:pPr>
              <w:pStyle w:val="Heading8"/>
              <w:tabs>
                <w:tab w:val="left" w:pos="341"/>
              </w:tabs>
              <w:rPr>
                <w:szCs w:val="18"/>
              </w:rPr>
            </w:pPr>
            <w:bookmarkStart w:id="40" w:name="_Toc431567499"/>
            <w:bookmarkStart w:id="41" w:name="_Toc465100028"/>
            <w:r w:rsidRPr="00386CD6">
              <w:rPr>
                <w:szCs w:val="18"/>
              </w:rPr>
              <w:t>a)</w:t>
            </w:r>
            <w:r w:rsidR="008B401F" w:rsidRPr="00386CD6">
              <w:rPr>
                <w:szCs w:val="18"/>
              </w:rPr>
              <w:tab/>
            </w:r>
            <w:r w:rsidRPr="00386CD6">
              <w:rPr>
                <w:szCs w:val="18"/>
              </w:rPr>
              <w:t>Mise en œuvre du programme dans les limites du budget pour l’exercice biennal 2014</w:t>
            </w:r>
            <w:r w:rsidRPr="00386CD6">
              <w:rPr>
                <w:szCs w:val="18"/>
              </w:rPr>
              <w:noBreakHyphen/>
              <w:t>2015</w:t>
            </w:r>
            <w:bookmarkEnd w:id="40"/>
            <w:bookmarkEnd w:id="41"/>
          </w:p>
          <w:p w:rsidR="0083792B" w:rsidRPr="00386CD6" w:rsidRDefault="0083792B" w:rsidP="0085651C">
            <w:pPr>
              <w:rPr>
                <w:sz w:val="18"/>
                <w:szCs w:val="18"/>
              </w:rPr>
            </w:pPr>
            <w:r w:rsidRPr="00386CD6">
              <w:rPr>
                <w:sz w:val="18"/>
                <w:szCs w:val="18"/>
              </w:rPr>
              <w:t>Voir le document C/50/12 “Rapport sur l’exécution du programme pour l’exercice biennal 2014</w:t>
            </w:r>
            <w:r w:rsidRPr="00386CD6">
              <w:rPr>
                <w:sz w:val="18"/>
                <w:szCs w:val="18"/>
              </w:rPr>
              <w:noBreakHyphen/>
              <w:t>2015”</w:t>
            </w:r>
          </w:p>
        </w:tc>
      </w:tr>
    </w:tbl>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B401F">
            <w:pPr>
              <w:pStyle w:val="Heading6"/>
              <w:tabs>
                <w:tab w:val="left" w:pos="299"/>
              </w:tabs>
            </w:pPr>
            <w:bookmarkStart w:id="42" w:name="_Toc431567500"/>
            <w:bookmarkStart w:id="43" w:name="_Toc465100029"/>
            <w:r w:rsidRPr="00386CD6">
              <w:t>3.</w:t>
            </w:r>
            <w:r w:rsidR="008B401F" w:rsidRPr="00386CD6">
              <w:tab/>
            </w:r>
            <w:r w:rsidRPr="00386CD6">
              <w:t>Élaboration et adoption du programme et budget pour l’exercice biennal 2016</w:t>
            </w:r>
            <w:r w:rsidRPr="00386CD6">
              <w:noBreakHyphen/>
              <w:t>2017</w:t>
            </w:r>
            <w:bookmarkEnd w:id="42"/>
            <w:bookmarkEnd w:id="43"/>
          </w:p>
          <w:p w:rsidR="0083792B" w:rsidRPr="00386CD6" w:rsidRDefault="0083792B" w:rsidP="0085651C"/>
        </w:tc>
        <w:tc>
          <w:tcPr>
            <w:tcW w:w="7938" w:type="dxa"/>
            <w:shd w:val="clear" w:color="auto" w:fill="auto"/>
          </w:tcPr>
          <w:p w:rsidR="0083792B" w:rsidRPr="00386CD6" w:rsidRDefault="0083792B" w:rsidP="008B401F">
            <w:pPr>
              <w:pStyle w:val="Heading8"/>
              <w:tabs>
                <w:tab w:val="left" w:pos="330"/>
              </w:tabs>
              <w:rPr>
                <w:szCs w:val="18"/>
              </w:rPr>
            </w:pPr>
            <w:bookmarkStart w:id="44" w:name="_Toc431567501"/>
            <w:bookmarkStart w:id="45" w:name="_Toc465100030"/>
            <w:r w:rsidRPr="00386CD6">
              <w:rPr>
                <w:szCs w:val="18"/>
              </w:rPr>
              <w:t>a)</w:t>
            </w:r>
            <w:r w:rsidR="008B401F" w:rsidRPr="00386CD6">
              <w:rPr>
                <w:szCs w:val="18"/>
              </w:rPr>
              <w:tab/>
            </w:r>
            <w:r w:rsidRPr="00386CD6">
              <w:rPr>
                <w:szCs w:val="18"/>
              </w:rPr>
              <w:t>Élaboration et adoption du programme et budget pour l’exercice biennal 2016</w:t>
            </w:r>
            <w:r w:rsidRPr="00386CD6">
              <w:rPr>
                <w:szCs w:val="18"/>
              </w:rPr>
              <w:noBreakHyphen/>
              <w:t>2017 conformément aux dispositions du “Règlement financier et règlement d’exécution du Règlement financier de l’UPOV”</w:t>
            </w:r>
            <w:bookmarkEnd w:id="44"/>
            <w:bookmarkEnd w:id="45"/>
          </w:p>
          <w:p w:rsidR="0083792B" w:rsidRPr="00386CD6" w:rsidRDefault="0083792B" w:rsidP="0085651C">
            <w:pPr>
              <w:rPr>
                <w:sz w:val="18"/>
                <w:szCs w:val="18"/>
              </w:rPr>
            </w:pPr>
            <w:r w:rsidRPr="00386CD6">
              <w:rPr>
                <w:sz w:val="18"/>
                <w:szCs w:val="18"/>
              </w:rPr>
              <w:t>Le programme et budget pour l’exercice biennal 2016</w:t>
            </w:r>
            <w:r w:rsidRPr="00386CD6">
              <w:rPr>
                <w:sz w:val="18"/>
                <w:szCs w:val="18"/>
              </w:rPr>
              <w:noBreakHyphen/>
              <w:t>2017 a été adopté par le Conseil à sa quarante</w:t>
            </w:r>
            <w:r w:rsidRPr="00386CD6">
              <w:rPr>
                <w:sz w:val="18"/>
                <w:szCs w:val="18"/>
              </w:rPr>
              <w:noBreakHyphen/>
              <w:t>neuvième session ordinaire tenue le 29 octobre 2015 (voir le document C/49/4 Rev.)</w:t>
            </w:r>
          </w:p>
        </w:tc>
      </w:tr>
    </w:tbl>
    <w:p w:rsidR="0083792B" w:rsidRPr="00386CD6" w:rsidRDefault="0083792B" w:rsidP="004E714F"/>
    <w:tbl>
      <w:tblPr>
        <w:tblW w:w="9889" w:type="dxa"/>
        <w:tblLayout w:type="fixed"/>
        <w:tblLook w:val="0000" w:firstRow="0" w:lastRow="0" w:firstColumn="0" w:lastColumn="0" w:noHBand="0" w:noVBand="0"/>
      </w:tblPr>
      <w:tblGrid>
        <w:gridCol w:w="1951"/>
        <w:gridCol w:w="7938"/>
      </w:tblGrid>
      <w:tr w:rsidR="0083792B" w:rsidRPr="00386CD6" w:rsidTr="002D5278">
        <w:tc>
          <w:tcPr>
            <w:tcW w:w="1951" w:type="dxa"/>
            <w:shd w:val="clear" w:color="auto" w:fill="auto"/>
          </w:tcPr>
          <w:p w:rsidR="0083792B" w:rsidRPr="00386CD6" w:rsidRDefault="0083792B" w:rsidP="008B401F">
            <w:pPr>
              <w:pStyle w:val="Heading6"/>
              <w:tabs>
                <w:tab w:val="left" w:pos="276"/>
              </w:tabs>
            </w:pPr>
            <w:bookmarkStart w:id="46" w:name="_Toc465100031"/>
            <w:r w:rsidRPr="00386CD6">
              <w:t>4.</w:t>
            </w:r>
            <w:r w:rsidR="008B401F" w:rsidRPr="00386CD6">
              <w:tab/>
            </w:r>
            <w:r w:rsidRPr="00386CD6">
              <w:t>Politique du Conseil</w:t>
            </w:r>
            <w:bookmarkEnd w:id="46"/>
          </w:p>
        </w:tc>
        <w:tc>
          <w:tcPr>
            <w:tcW w:w="7938" w:type="dxa"/>
            <w:shd w:val="clear" w:color="auto" w:fill="auto"/>
          </w:tcPr>
          <w:p w:rsidR="0083792B" w:rsidRPr="00386CD6" w:rsidRDefault="0083792B" w:rsidP="008B401F">
            <w:pPr>
              <w:pStyle w:val="Heading8"/>
              <w:tabs>
                <w:tab w:val="left" w:pos="341"/>
              </w:tabs>
              <w:jc w:val="both"/>
              <w:rPr>
                <w:rFonts w:cs="Arial"/>
                <w:szCs w:val="18"/>
              </w:rPr>
            </w:pPr>
            <w:bookmarkStart w:id="47" w:name="_Toc465100032"/>
            <w:r w:rsidRPr="00386CD6">
              <w:rPr>
                <w:rFonts w:cs="Arial"/>
                <w:szCs w:val="18"/>
              </w:rPr>
              <w:t>a)</w:t>
            </w:r>
            <w:r w:rsidRPr="00386CD6">
              <w:rPr>
                <w:rFonts w:cs="Arial"/>
                <w:szCs w:val="18"/>
              </w:rPr>
              <w:tab/>
              <w:t>recommandations formulées par le Comité consultatif;</w:t>
            </w:r>
            <w:bookmarkEnd w:id="47"/>
          </w:p>
          <w:p w:rsidR="0083792B" w:rsidRPr="00386CD6" w:rsidRDefault="0083792B" w:rsidP="0085651C">
            <w:pPr>
              <w:spacing w:after="120"/>
              <w:rPr>
                <w:rFonts w:cs="Arial"/>
                <w:sz w:val="18"/>
                <w:szCs w:val="18"/>
              </w:rPr>
            </w:pPr>
            <w:r w:rsidRPr="00386CD6">
              <w:rPr>
                <w:rFonts w:cs="Arial"/>
                <w:sz w:val="18"/>
                <w:szCs w:val="18"/>
              </w:rPr>
              <w:t>Le Comité consultatif à sa quatre</w:t>
            </w:r>
            <w:r w:rsidRPr="00386CD6">
              <w:rPr>
                <w:rFonts w:cs="Arial"/>
                <w:sz w:val="18"/>
                <w:szCs w:val="18"/>
              </w:rPr>
              <w:noBreakHyphen/>
              <w:t>vingt</w:t>
            </w:r>
            <w:r w:rsidRPr="00386CD6">
              <w:rPr>
                <w:rFonts w:cs="Arial"/>
                <w:sz w:val="18"/>
                <w:szCs w:val="18"/>
              </w:rPr>
              <w:noBreakHyphen/>
              <w:t>neuvième session tenue à Genève le 27 mars 2015 :</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d’inviter la Division de la supervision interne de l’OMPI à présenter un exposé sur ses activités à la quatre</w:t>
            </w:r>
            <w:r w:rsidRPr="00386CD6">
              <w:rPr>
                <w:rFonts w:cs="Arial"/>
                <w:sz w:val="18"/>
                <w:szCs w:val="18"/>
              </w:rPr>
              <w:noBreakHyphen/>
              <w:t>vingt</w:t>
            </w:r>
            <w:r w:rsidRPr="00386CD6">
              <w:rPr>
                <w:rFonts w:cs="Arial"/>
                <w:sz w:val="18"/>
                <w:szCs w:val="18"/>
              </w:rPr>
              <w:noBreakHyphen/>
              <w:t>dixième session et d’examiner la possibilité de prévoir un audit interne de l’UPOV en 2016</w:t>
            </w:r>
            <w:r w:rsidRPr="00386CD6">
              <w:rPr>
                <w:rFonts w:cs="Arial"/>
                <w:sz w:val="18"/>
                <w:szCs w:val="18"/>
              </w:rPr>
              <w:noBreakHyphen/>
              <w:t>2017;</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a souscrit à l’étude sur la stratégie de l’UPOV en matière de formation et d’assistance et a approuvé l’utilisation prévue du Fonds spécial pour des projets à des fins de formation dans le contexte de la stratégie de formation et d’assistance de l’UPOV;</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de la structure et du contenu qui devraient constituer le point de départ de l’élaboration du projet de programme et budget de l’Union pour l’exercice biennal 2016</w:t>
            </w:r>
            <w:r w:rsidRPr="00386CD6">
              <w:rPr>
                <w:rFonts w:cs="Arial"/>
                <w:sz w:val="18"/>
                <w:szCs w:val="18"/>
              </w:rPr>
              <w:noBreakHyphen/>
              <w:t>2017, sous réserve d’un examen des recettes provenant des intérêts;</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que le Bureau de l’Union devra élaborer un document contenant de plus amples informations sur la nécessité d’établir un système international de coopération, en fournissant une analyse de conjoncture et une estimation des coûts;</w:t>
            </w:r>
          </w:p>
        </w:tc>
      </w:tr>
    </w:tbl>
    <w:p w:rsidR="00D535C2" w:rsidRDefault="00D535C2">
      <w:r>
        <w:br w:type="page"/>
      </w:r>
    </w:p>
    <w:tbl>
      <w:tblPr>
        <w:tblW w:w="9889" w:type="dxa"/>
        <w:tblLayout w:type="fixed"/>
        <w:tblLook w:val="0000" w:firstRow="0" w:lastRow="0" w:firstColumn="0" w:lastColumn="0" w:noHBand="0" w:noVBand="0"/>
      </w:tblPr>
      <w:tblGrid>
        <w:gridCol w:w="1951"/>
        <w:gridCol w:w="7938"/>
      </w:tblGrid>
      <w:tr w:rsidR="0083792B" w:rsidRPr="00386CD6" w:rsidTr="002D5278">
        <w:trPr>
          <w:tblHeader/>
        </w:trPr>
        <w:tc>
          <w:tcPr>
            <w:tcW w:w="1951" w:type="dxa"/>
            <w:shd w:val="clear" w:color="auto" w:fill="auto"/>
          </w:tcPr>
          <w:p w:rsidR="0083792B" w:rsidRPr="00386CD6" w:rsidRDefault="0083792B" w:rsidP="00E12901">
            <w:pPr>
              <w:rPr>
                <w:b/>
                <w:sz w:val="18"/>
              </w:rPr>
            </w:pPr>
            <w:r w:rsidRPr="00386CD6">
              <w:rPr>
                <w:b/>
                <w:sz w:val="18"/>
              </w:rPr>
              <w:t>Résultats escomptés</w:t>
            </w:r>
          </w:p>
        </w:tc>
        <w:tc>
          <w:tcPr>
            <w:tcW w:w="7938" w:type="dxa"/>
            <w:shd w:val="clear" w:color="auto" w:fill="auto"/>
          </w:tcPr>
          <w:p w:rsidR="0083792B" w:rsidRPr="00386CD6" w:rsidRDefault="0083792B" w:rsidP="00E12901">
            <w:pPr>
              <w:rPr>
                <w:b/>
                <w:sz w:val="18"/>
              </w:rPr>
            </w:pPr>
            <w:r w:rsidRPr="00386CD6">
              <w:rPr>
                <w:b/>
                <w:sz w:val="18"/>
              </w:rPr>
              <w:t>Résultats obtenus : indicateurs d’exécution</w:t>
            </w:r>
          </w:p>
        </w:tc>
      </w:tr>
      <w:tr w:rsidR="0083792B" w:rsidRPr="00386CD6" w:rsidTr="002D5278">
        <w:tc>
          <w:tcPr>
            <w:tcW w:w="1951" w:type="dxa"/>
            <w:shd w:val="clear" w:color="auto" w:fill="auto"/>
          </w:tcPr>
          <w:p w:rsidR="0083792B" w:rsidRPr="00386CD6" w:rsidRDefault="0083792B" w:rsidP="008B401F">
            <w:pPr>
              <w:tabs>
                <w:tab w:val="left" w:pos="299"/>
              </w:tabs>
              <w:jc w:val="left"/>
              <w:rPr>
                <w:i/>
                <w:sz w:val="18"/>
                <w:szCs w:val="18"/>
              </w:rPr>
            </w:pPr>
            <w:r w:rsidRPr="00386CD6">
              <w:rPr>
                <w:i/>
                <w:sz w:val="18"/>
                <w:szCs w:val="18"/>
              </w:rPr>
              <w:t>4.</w:t>
            </w:r>
            <w:r w:rsidR="008B401F" w:rsidRPr="00386CD6">
              <w:rPr>
                <w:i/>
                <w:sz w:val="18"/>
                <w:szCs w:val="18"/>
              </w:rPr>
              <w:tab/>
            </w:r>
            <w:r w:rsidRPr="00386CD6">
              <w:rPr>
                <w:i/>
                <w:sz w:val="18"/>
                <w:szCs w:val="18"/>
              </w:rPr>
              <w:t xml:space="preserve">Politique du Conseil </w:t>
            </w:r>
            <w:r w:rsidRPr="00D535C2">
              <w:rPr>
                <w:sz w:val="18"/>
                <w:szCs w:val="18"/>
              </w:rPr>
              <w:t>(suite)</w:t>
            </w:r>
          </w:p>
        </w:tc>
        <w:tc>
          <w:tcPr>
            <w:tcW w:w="7938" w:type="dxa"/>
            <w:shd w:val="clear" w:color="auto" w:fill="auto"/>
          </w:tcPr>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d’examiner à sa quatre</w:t>
            </w:r>
            <w:r w:rsidRPr="00386CD6">
              <w:rPr>
                <w:rFonts w:cs="Arial"/>
                <w:sz w:val="18"/>
                <w:szCs w:val="18"/>
              </w:rPr>
              <w:noBreakHyphen/>
              <w:t>vingt</w:t>
            </w:r>
            <w:r w:rsidRPr="00386CD6">
              <w:rPr>
                <w:rFonts w:cs="Arial"/>
                <w:sz w:val="18"/>
                <w:szCs w:val="18"/>
              </w:rPr>
              <w:noBreakHyphen/>
              <w:t>dixième session les propositions relatives à une politique en matière de documents et les communications fournies par les observateurs à cet égard;</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d’examiner les questions figurant au programme des sessions de l’UPOV sous le titre “Élaboration du calendrier des réunions” à sa quatre</w:t>
            </w:r>
            <w:r w:rsidRPr="00386CD6">
              <w:rPr>
                <w:rFonts w:cs="Arial"/>
                <w:sz w:val="18"/>
                <w:szCs w:val="18"/>
              </w:rPr>
              <w:noBreakHyphen/>
              <w:t>vingt</w:t>
            </w:r>
            <w:r w:rsidRPr="00386CD6">
              <w:rPr>
                <w:rFonts w:cs="Arial"/>
                <w:sz w:val="18"/>
                <w:szCs w:val="18"/>
              </w:rPr>
              <w:noBreakHyphen/>
              <w:t>dixième session.</w:t>
            </w:r>
          </w:p>
          <w:p w:rsidR="008B401F" w:rsidRPr="00386CD6" w:rsidRDefault="008B401F" w:rsidP="008B401F">
            <w:pPr>
              <w:spacing w:after="60"/>
              <w:rPr>
                <w:rFonts w:cs="Arial"/>
                <w:sz w:val="18"/>
                <w:szCs w:val="18"/>
              </w:rPr>
            </w:pPr>
          </w:p>
          <w:p w:rsidR="0083792B" w:rsidRPr="00386CD6" w:rsidRDefault="0083792B" w:rsidP="0085651C">
            <w:pPr>
              <w:spacing w:after="120"/>
              <w:rPr>
                <w:rFonts w:cs="Arial"/>
                <w:sz w:val="18"/>
                <w:szCs w:val="18"/>
              </w:rPr>
            </w:pPr>
            <w:r w:rsidRPr="00386CD6">
              <w:rPr>
                <w:rFonts w:cs="Arial"/>
                <w:sz w:val="18"/>
                <w:szCs w:val="18"/>
              </w:rPr>
              <w:t>Le Comité consultatif à sa quatre</w:t>
            </w:r>
            <w:r w:rsidRPr="00386CD6">
              <w:rPr>
                <w:rFonts w:cs="Arial"/>
                <w:sz w:val="18"/>
                <w:szCs w:val="18"/>
              </w:rPr>
              <w:noBreakHyphen/>
              <w:t>vingt</w:t>
            </w:r>
            <w:r w:rsidRPr="00386CD6">
              <w:rPr>
                <w:rFonts w:cs="Arial"/>
                <w:sz w:val="18"/>
                <w:szCs w:val="18"/>
              </w:rPr>
              <w:noBreakHyphen/>
              <w:t>dixième session tenue à Genève le 28 octobre 2015 et dans la matinée du 29 octobre 2015 :</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a approuvé les démarches concernant la procédure à suivre pour nommer le vérificateur externe des comptes de l’UPOV pour les exercices financiers de 2018 à 2023;</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d’inviter le Bureau de l’Union à présenter des propositions pour le financement des engagements au titre de l’AMCS et la maîtrise des dépenses connexes, à sa quatre</w:t>
            </w:r>
            <w:r w:rsidRPr="00386CD6">
              <w:rPr>
                <w:rFonts w:cs="Arial"/>
                <w:sz w:val="18"/>
                <w:szCs w:val="18"/>
              </w:rPr>
              <w:noBreakHyphen/>
              <w:t>vingt</w:t>
            </w:r>
            <w:r w:rsidRPr="00386CD6">
              <w:rPr>
                <w:rFonts w:cs="Arial"/>
                <w:sz w:val="18"/>
                <w:szCs w:val="18"/>
              </w:rPr>
              <w:noBreakHyphen/>
              <w:t>onzième session qui se tiendra à Genève en mars 2016;</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que tout fait nouveau relatif au groupe de travail du Réseau Finances et Budget du Conseil des chefs de secrétariat des organismes des Nations Unies et toute mesure examinée par l’OMPI en rapport avec le financement des prestations à long terme dues au personnel soient soumises au Comité consultatif pour examen à sa quatre</w:t>
            </w:r>
            <w:r w:rsidRPr="00386CD6">
              <w:rPr>
                <w:rFonts w:cs="Arial"/>
                <w:sz w:val="18"/>
                <w:szCs w:val="18"/>
              </w:rPr>
              <w:noBreakHyphen/>
              <w:t>vingt</w:t>
            </w:r>
            <w:r w:rsidRPr="00386CD6">
              <w:rPr>
                <w:rFonts w:cs="Arial"/>
                <w:sz w:val="18"/>
                <w:szCs w:val="18"/>
              </w:rPr>
              <w:noBreakHyphen/>
              <w:t>onzième session;</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que</w:t>
            </w:r>
            <w:r w:rsidRPr="00386CD6">
              <w:t xml:space="preserve"> </w:t>
            </w:r>
            <w:r w:rsidRPr="00386CD6">
              <w:rPr>
                <w:rFonts w:cs="Arial"/>
                <w:sz w:val="18"/>
                <w:szCs w:val="18"/>
              </w:rPr>
              <w:t>le solde du Fonds spécial pour des projets à la fin de 2015 soit utilisé en 2016 pour des activités menées dans le contexte de la stratégie en matière de formation et d’assistance de l’UPOV;</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de demander à la Division de la supervision interne de l’OMPI (DSI) de procéder à une évaluation en 2016</w:t>
            </w:r>
            <w:r w:rsidRPr="00386CD6">
              <w:rPr>
                <w:rFonts w:cs="Arial"/>
                <w:sz w:val="18"/>
                <w:szCs w:val="18"/>
              </w:rPr>
              <w:noBreakHyphen/>
              <w:t>2017 du programme des activités de l’UPOV;</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d’inviter I</w:t>
            </w:r>
            <w:r w:rsidRPr="00386CD6">
              <w:rPr>
                <w:rFonts w:cs="Arial"/>
                <w:sz w:val="18"/>
                <w:szCs w:val="18"/>
                <w:vertAlign w:val="superscript"/>
              </w:rPr>
              <w:t>3</w:t>
            </w:r>
            <w:r w:rsidRPr="00386CD6">
              <w:rPr>
                <w:rFonts w:cs="Arial"/>
                <w:sz w:val="18"/>
                <w:szCs w:val="18"/>
              </w:rPr>
              <w:t>PM à être présent lors de l’examen de la partie pertinente du point du programme portant sur les observateurs pour sa quatre</w:t>
            </w:r>
            <w:r w:rsidRPr="00386CD6">
              <w:rPr>
                <w:rFonts w:cs="Arial"/>
                <w:sz w:val="18"/>
                <w:szCs w:val="18"/>
              </w:rPr>
              <w:noBreakHyphen/>
              <w:t>vingt</w:t>
            </w:r>
            <w:r w:rsidRPr="00386CD6">
              <w:rPr>
                <w:rFonts w:cs="Arial"/>
                <w:sz w:val="18"/>
                <w:szCs w:val="18"/>
              </w:rPr>
              <w:noBreakHyphen/>
              <w:t>douzième session en octobre 2016, afin de lui donner la possibilité d’expliquer de quelle façon ses statuts déterminent sa “compétence dans des domaines ayant un lien direct avec des questions régies par la Convention UPOV”;</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a approuvé les propositions relatives</w:t>
            </w:r>
            <w:r w:rsidRPr="00386CD6">
              <w:rPr>
                <w:sz w:val="18"/>
                <w:szCs w:val="18"/>
              </w:rPr>
              <w:t xml:space="preserve"> à la t</w:t>
            </w:r>
            <w:r w:rsidRPr="00386CD6">
              <w:rPr>
                <w:rFonts w:cs="Arial"/>
                <w:sz w:val="18"/>
                <w:szCs w:val="18"/>
              </w:rPr>
              <w:t>raduction des documents de session de l’UPOV, des comptes rendus des sessions des organes de l’UPOV et des observations écrites;</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a demandé au Bureau de l’Union de présenter une proposition visant à l’élaboration d’une version actualisée de l’étude d’impact pour examen à sa quatre</w:t>
            </w:r>
            <w:r w:rsidRPr="00386CD6">
              <w:rPr>
                <w:rFonts w:cs="Arial"/>
                <w:sz w:val="18"/>
                <w:szCs w:val="18"/>
              </w:rPr>
              <w:noBreakHyphen/>
              <w:t>vingt</w:t>
            </w:r>
            <w:r w:rsidRPr="00386CD6">
              <w:rPr>
                <w:rFonts w:cs="Arial"/>
                <w:sz w:val="18"/>
                <w:szCs w:val="18"/>
              </w:rPr>
              <w:noBreakHyphen/>
              <w:t>douzième session;</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que le nouveau logo de l’UPOV devra être présenté au Conseil de l’UPOV à sa cinquantième session ordinaire et publié sur le site Web de l’UPOV parallèlement à la cinquantième session ordinaire du Conseil, de même que l’adoption des rubriques du site Web de l’UPOV à l’intention des parties prenantes;</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que tous les membres de l’Union doivent avoir la possibilité de participer à l’élaboration de la deuxième version du prototype de formulaire de dépôt électronique des demandes (PV2), que certains points devraient être réglés avant le lancement de ce formulaire, et d’examiner la possibilité de mettre en œuvre un système opérationnel;</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que des informations supplémentaires, y compris des informations statistiques, et une analyse juridique sont nécessaires à l’égard d’un éventuel système international de coopération et est convenu de demander au Bureau de l’Union d’élaborer un document contenant un projet de mandat pour un éventuel groupe de travail (ISC</w:t>
            </w:r>
            <w:r w:rsidRPr="00386CD6">
              <w:rPr>
                <w:rFonts w:cs="Arial"/>
                <w:sz w:val="18"/>
                <w:szCs w:val="18"/>
              </w:rPr>
              <w:noBreakHyphen/>
              <w:t>WG) afin d’examiner les questions relatives à un éventuel système international de coopération, qui serait étudié par le Comité consultatif à sa quatre</w:t>
            </w:r>
            <w:r w:rsidRPr="00386CD6">
              <w:rPr>
                <w:rFonts w:cs="Arial"/>
                <w:sz w:val="18"/>
                <w:szCs w:val="18"/>
              </w:rPr>
              <w:noBreakHyphen/>
              <w:t>vingt onzième session;  ce document présenterait également les questions supplémentaires que les membres de l’Union ont transmises par écrit;</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est convenu d’inviter le secrétaire du Traité international sur les ressources phytogénétiques pour l’alimentation et l’agriculture à faire une présentation à sa quatre</w:t>
            </w:r>
            <w:r w:rsidRPr="00386CD6">
              <w:rPr>
                <w:rFonts w:cs="Arial"/>
                <w:sz w:val="18"/>
                <w:szCs w:val="18"/>
              </w:rPr>
              <w:noBreakHyphen/>
              <w:t>vingt</w:t>
            </w:r>
            <w:r w:rsidRPr="00386CD6">
              <w:rPr>
                <w:rFonts w:cs="Arial"/>
                <w:sz w:val="18"/>
                <w:szCs w:val="18"/>
              </w:rPr>
              <w:noBreakHyphen/>
              <w:t>onzième session sur les éventuels domaines d’interaction entre le Traité international et la Convention UPOV.  Le Comité consultatif est également convenu que les membres de l’Union devraient être invités à formuler des commentaires sur les domaines d’interaction identifiés par le traité international et à proposer tout autre domaine d’interaction.  Le Comité consultatif est convenu que ces informations seront recueillies par le Bureau de l’Union en vue de leur examen à la quatre</w:t>
            </w:r>
            <w:r w:rsidRPr="00386CD6">
              <w:rPr>
                <w:rFonts w:cs="Arial"/>
                <w:sz w:val="18"/>
                <w:szCs w:val="18"/>
              </w:rPr>
              <w:noBreakHyphen/>
              <w:t>vingt</w:t>
            </w:r>
            <w:r w:rsidRPr="00386CD6">
              <w:rPr>
                <w:rFonts w:cs="Arial"/>
                <w:sz w:val="18"/>
                <w:szCs w:val="18"/>
              </w:rPr>
              <w:noBreakHyphen/>
              <w:t>onzième session, conjointement à la présentation du secrétaire du Traité international.</w:t>
            </w:r>
          </w:p>
          <w:p w:rsidR="0083792B" w:rsidRPr="00386CD6" w:rsidRDefault="0083792B" w:rsidP="0085651C">
            <w:pPr>
              <w:pStyle w:val="ListParagraph"/>
              <w:numPr>
                <w:ilvl w:val="0"/>
                <w:numId w:val="7"/>
              </w:numPr>
              <w:spacing w:after="60"/>
              <w:contextualSpacing w:val="0"/>
              <w:rPr>
                <w:rFonts w:cs="Arial"/>
                <w:sz w:val="18"/>
                <w:szCs w:val="18"/>
              </w:rPr>
            </w:pPr>
            <w:r w:rsidRPr="00386CD6">
              <w:rPr>
                <w:rFonts w:cs="Arial"/>
                <w:sz w:val="18"/>
                <w:szCs w:val="18"/>
              </w:rPr>
              <w:t>a demandé au Bureau de l’Union d’élaborer un document contenant des options et les conséquences que pourrait avoir la tenue, une seule fois par an, des sessions des organes se réunissant à Genève successivement.</w:t>
            </w:r>
          </w:p>
        </w:tc>
      </w:tr>
    </w:tbl>
    <w:p w:rsidR="0083792B" w:rsidRPr="00386CD6" w:rsidRDefault="0083792B" w:rsidP="004E714F"/>
    <w:tbl>
      <w:tblPr>
        <w:tblW w:w="9889" w:type="dxa"/>
        <w:tblLayout w:type="fixed"/>
        <w:tblLook w:val="0000" w:firstRow="0" w:lastRow="0" w:firstColumn="0" w:lastColumn="0" w:noHBand="0" w:noVBand="0"/>
      </w:tblPr>
      <w:tblGrid>
        <w:gridCol w:w="1951"/>
        <w:gridCol w:w="7938"/>
      </w:tblGrid>
      <w:tr w:rsidR="0083792B" w:rsidRPr="00386CD6" w:rsidTr="00390B2E">
        <w:trPr>
          <w:tblHeader/>
        </w:trPr>
        <w:tc>
          <w:tcPr>
            <w:tcW w:w="1951" w:type="dxa"/>
            <w:shd w:val="clear" w:color="auto" w:fill="auto"/>
          </w:tcPr>
          <w:p w:rsidR="0083792B" w:rsidRPr="00386CD6" w:rsidRDefault="0083792B" w:rsidP="00E12901">
            <w:pPr>
              <w:rPr>
                <w:b/>
                <w:sz w:val="18"/>
              </w:rPr>
            </w:pPr>
            <w:r w:rsidRPr="00386CD6">
              <w:rPr>
                <w:b/>
                <w:sz w:val="18"/>
              </w:rPr>
              <w:t>Résultats escomptés</w:t>
            </w:r>
          </w:p>
          <w:p w:rsidR="0083792B" w:rsidRPr="00386CD6" w:rsidRDefault="0083792B" w:rsidP="00E12901">
            <w:pPr>
              <w:rPr>
                <w:b/>
                <w:sz w:val="18"/>
              </w:rPr>
            </w:pPr>
          </w:p>
        </w:tc>
        <w:tc>
          <w:tcPr>
            <w:tcW w:w="7938" w:type="dxa"/>
            <w:shd w:val="clear" w:color="auto" w:fill="auto"/>
          </w:tcPr>
          <w:p w:rsidR="0083792B" w:rsidRPr="00386CD6" w:rsidRDefault="0083792B" w:rsidP="00E12901">
            <w:pPr>
              <w:rPr>
                <w:b/>
                <w:sz w:val="18"/>
              </w:rPr>
            </w:pPr>
            <w:r w:rsidRPr="00386CD6">
              <w:rPr>
                <w:b/>
                <w:sz w:val="18"/>
              </w:rPr>
              <w:t>Résultats obtenus : indicateurs d’exécution</w:t>
            </w:r>
          </w:p>
        </w:tc>
      </w:tr>
      <w:tr w:rsidR="0083792B" w:rsidRPr="00386CD6" w:rsidTr="002D5278">
        <w:tc>
          <w:tcPr>
            <w:tcW w:w="1951" w:type="dxa"/>
            <w:shd w:val="clear" w:color="auto" w:fill="auto"/>
          </w:tcPr>
          <w:p w:rsidR="0083792B" w:rsidRPr="00386CD6" w:rsidRDefault="0083792B" w:rsidP="008B401F">
            <w:pPr>
              <w:pStyle w:val="Heading6"/>
              <w:tabs>
                <w:tab w:val="left" w:pos="299"/>
              </w:tabs>
              <w:rPr>
                <w:i w:val="0"/>
              </w:rPr>
            </w:pPr>
            <w:bookmarkStart w:id="48" w:name="_Toc465100033"/>
            <w:r w:rsidRPr="00D535C2">
              <w:t>4.</w:t>
            </w:r>
            <w:r w:rsidR="008B401F" w:rsidRPr="00D535C2">
              <w:tab/>
            </w:r>
            <w:r w:rsidRPr="00D535C2">
              <w:t xml:space="preserve">Politique du Conseil </w:t>
            </w:r>
            <w:r w:rsidRPr="00386CD6">
              <w:rPr>
                <w:i w:val="0"/>
              </w:rPr>
              <w:t>(suite)</w:t>
            </w:r>
            <w:bookmarkEnd w:id="48"/>
          </w:p>
        </w:tc>
        <w:tc>
          <w:tcPr>
            <w:tcW w:w="7938" w:type="dxa"/>
            <w:shd w:val="clear" w:color="auto" w:fill="auto"/>
          </w:tcPr>
          <w:p w:rsidR="0083792B" w:rsidRPr="00386CD6" w:rsidRDefault="0083792B" w:rsidP="008B401F">
            <w:pPr>
              <w:pStyle w:val="Heading8"/>
              <w:tabs>
                <w:tab w:val="left" w:pos="330"/>
              </w:tabs>
              <w:jc w:val="both"/>
              <w:rPr>
                <w:rFonts w:cs="Arial"/>
                <w:szCs w:val="18"/>
              </w:rPr>
            </w:pPr>
            <w:bookmarkStart w:id="49" w:name="_Toc465100034"/>
            <w:r w:rsidRPr="00386CD6">
              <w:rPr>
                <w:rFonts w:cs="Arial"/>
                <w:szCs w:val="18"/>
              </w:rPr>
              <w:t>b)</w:t>
            </w:r>
            <w:r w:rsidRPr="00386CD6">
              <w:rPr>
                <w:rFonts w:cs="Arial"/>
                <w:szCs w:val="18"/>
              </w:rPr>
              <w:tab/>
              <w:t>Décisions adoptées par le Conseil</w:t>
            </w:r>
            <w:bookmarkEnd w:id="49"/>
          </w:p>
          <w:p w:rsidR="0083792B" w:rsidRPr="00386CD6" w:rsidRDefault="0083792B" w:rsidP="002D5278">
            <w:pPr>
              <w:spacing w:after="120"/>
              <w:rPr>
                <w:rFonts w:cs="Arial"/>
                <w:sz w:val="18"/>
                <w:szCs w:val="18"/>
              </w:rPr>
            </w:pPr>
            <w:r w:rsidRPr="00386CD6">
              <w:rPr>
                <w:rFonts w:cs="Arial"/>
                <w:sz w:val="18"/>
                <w:szCs w:val="18"/>
              </w:rPr>
              <w:t>Sur la base des recommandations du Comité consultatif, le Conseil, à sa trente</w:t>
            </w:r>
            <w:r w:rsidRPr="00386CD6">
              <w:rPr>
                <w:rFonts w:cs="Arial"/>
                <w:sz w:val="18"/>
                <w:szCs w:val="18"/>
              </w:rPr>
              <w:noBreakHyphen/>
              <w:t>deuxième session extraordinaire, tenue à Genève le 27 mars 2015, a décidé :</w:t>
            </w:r>
          </w:p>
          <w:p w:rsidR="0083792B" w:rsidRPr="00386CD6" w:rsidRDefault="0083792B" w:rsidP="0085651C">
            <w:pPr>
              <w:pStyle w:val="ListParagraph"/>
              <w:numPr>
                <w:ilvl w:val="0"/>
                <w:numId w:val="8"/>
              </w:numPr>
              <w:spacing w:after="60"/>
              <w:contextualSpacing w:val="0"/>
              <w:rPr>
                <w:rFonts w:cs="Arial"/>
                <w:sz w:val="18"/>
                <w:szCs w:val="18"/>
              </w:rPr>
            </w:pPr>
            <w:r w:rsidRPr="00386CD6">
              <w:rPr>
                <w:rFonts w:cs="Arial"/>
                <w:sz w:val="18"/>
                <w:szCs w:val="18"/>
              </w:rPr>
              <w:t>de prolonger le mandat du Secrétaire général adjoint du 1</w:t>
            </w:r>
            <w:r w:rsidRPr="00386CD6">
              <w:rPr>
                <w:rFonts w:cs="Arial"/>
                <w:sz w:val="18"/>
                <w:szCs w:val="18"/>
                <w:vertAlign w:val="superscript"/>
              </w:rPr>
              <w:t>er</w:t>
            </w:r>
            <w:r w:rsidRPr="00386CD6">
              <w:rPr>
                <w:rFonts w:cs="Arial"/>
                <w:sz w:val="18"/>
                <w:szCs w:val="18"/>
              </w:rPr>
              <w:t> décembre 2015 au 30 novembre 2018;</w:t>
            </w:r>
          </w:p>
          <w:p w:rsidR="0083792B" w:rsidRPr="00386CD6" w:rsidRDefault="0083792B" w:rsidP="0085651C">
            <w:pPr>
              <w:pStyle w:val="ListParagraph"/>
              <w:numPr>
                <w:ilvl w:val="0"/>
                <w:numId w:val="8"/>
              </w:numPr>
              <w:spacing w:after="60"/>
              <w:contextualSpacing w:val="0"/>
              <w:rPr>
                <w:rFonts w:cs="Arial"/>
                <w:sz w:val="18"/>
                <w:szCs w:val="18"/>
              </w:rPr>
            </w:pPr>
            <w:r w:rsidRPr="00386CD6">
              <w:rPr>
                <w:rFonts w:cs="Arial"/>
                <w:sz w:val="18"/>
                <w:szCs w:val="18"/>
              </w:rPr>
              <w:t>de rendre une décision positive quant à la conformité du “Projet de dispositions du titre IV ‘Obtentions végétales’ de la loi n° 82 de 2002 relative à la protection des droits de propriété intellectuelle” (projet de loi) de l’Égypte avec l’Acte de 1991 de la Convention internationale pour la protection des obtentions végétales, ce qui permettra à l’Égypte, une fois que le projet de loi aura été adopté sans changement et que la loi sera entrée en vigueur, de déposer son instrument d’adhésion à l’Acte de 1991;</w:t>
            </w:r>
          </w:p>
          <w:p w:rsidR="0083792B" w:rsidRPr="00386CD6" w:rsidRDefault="0083792B" w:rsidP="0085651C">
            <w:pPr>
              <w:pStyle w:val="ListParagraph"/>
              <w:numPr>
                <w:ilvl w:val="0"/>
                <w:numId w:val="8"/>
              </w:numPr>
              <w:spacing w:after="60"/>
              <w:contextualSpacing w:val="0"/>
              <w:rPr>
                <w:rFonts w:cs="Arial"/>
                <w:sz w:val="18"/>
                <w:szCs w:val="18"/>
              </w:rPr>
            </w:pPr>
            <w:r w:rsidRPr="00386CD6">
              <w:rPr>
                <w:rFonts w:cs="Arial"/>
                <w:sz w:val="18"/>
                <w:szCs w:val="18"/>
              </w:rPr>
              <w:t>de réviser la réponse à la question fréquemment posée “Puis</w:t>
            </w:r>
            <w:r w:rsidRPr="00386CD6">
              <w:rPr>
                <w:rFonts w:cs="Arial"/>
                <w:sz w:val="18"/>
                <w:szCs w:val="18"/>
              </w:rPr>
              <w:noBreakHyphen/>
              <w:t>je obtenir une protection dans plusieurs pays à la fois en ne déposant qu’une seule demande?”;</w:t>
            </w:r>
          </w:p>
          <w:p w:rsidR="0083792B" w:rsidRPr="00386CD6" w:rsidRDefault="0083792B" w:rsidP="0085651C">
            <w:pPr>
              <w:pStyle w:val="ListParagraph"/>
              <w:numPr>
                <w:ilvl w:val="0"/>
                <w:numId w:val="8"/>
              </w:numPr>
              <w:spacing w:after="60"/>
              <w:contextualSpacing w:val="0"/>
              <w:rPr>
                <w:rFonts w:cs="Arial"/>
                <w:sz w:val="18"/>
                <w:szCs w:val="18"/>
              </w:rPr>
            </w:pPr>
            <w:r w:rsidRPr="00386CD6">
              <w:rPr>
                <w:rFonts w:cs="Arial"/>
                <w:sz w:val="18"/>
                <w:szCs w:val="18"/>
              </w:rPr>
              <w:t>de réviser le calendrier des réunions pour 2015.</w:t>
            </w:r>
          </w:p>
          <w:p w:rsidR="0083792B" w:rsidRPr="00386CD6" w:rsidRDefault="0083792B" w:rsidP="0085651C">
            <w:pPr>
              <w:keepNext/>
              <w:spacing w:before="120" w:after="120"/>
              <w:rPr>
                <w:rFonts w:cs="Arial"/>
                <w:sz w:val="18"/>
                <w:szCs w:val="18"/>
              </w:rPr>
            </w:pPr>
            <w:r w:rsidRPr="00386CD6">
              <w:rPr>
                <w:rFonts w:cs="Arial"/>
                <w:sz w:val="18"/>
                <w:szCs w:val="18"/>
              </w:rPr>
              <w:t>À sa quarante</w:t>
            </w:r>
            <w:r w:rsidRPr="00386CD6">
              <w:rPr>
                <w:rFonts w:cs="Arial"/>
                <w:sz w:val="18"/>
                <w:szCs w:val="18"/>
              </w:rPr>
              <w:noBreakHyphen/>
              <w:t>neuvième session ordinaire, tenue à Genève le 29 octobre 2015, le Conseil</w:t>
            </w:r>
          </w:p>
          <w:p w:rsidR="0083792B" w:rsidRPr="00386CD6" w:rsidRDefault="0083792B" w:rsidP="0085651C">
            <w:pPr>
              <w:pStyle w:val="ListParagraph"/>
              <w:numPr>
                <w:ilvl w:val="0"/>
                <w:numId w:val="8"/>
              </w:numPr>
              <w:spacing w:after="60"/>
              <w:contextualSpacing w:val="0"/>
              <w:rPr>
                <w:rFonts w:cs="Arial"/>
                <w:sz w:val="18"/>
                <w:szCs w:val="18"/>
              </w:rPr>
            </w:pPr>
            <w:r w:rsidRPr="00386CD6">
              <w:rPr>
                <w:rFonts w:cs="Arial"/>
                <w:sz w:val="18"/>
                <w:szCs w:val="18"/>
              </w:rPr>
              <w:t xml:space="preserve">a décidé de recommander à la République islamique d’Iran les dispositions supplémentaires et les modifications signalées dans la “Loi de 2003 sur l’enregistrement des obtentions végétales et le contrôle et la certification des semences et des plantes”, comme indiqué dans le document </w:t>
            </w:r>
            <w:proofErr w:type="gramStart"/>
            <w:r w:rsidRPr="00386CD6">
              <w:rPr>
                <w:rFonts w:cs="Arial"/>
                <w:sz w:val="18"/>
                <w:szCs w:val="18"/>
              </w:rPr>
              <w:t>C(</w:t>
            </w:r>
            <w:proofErr w:type="gramEnd"/>
            <w:r w:rsidRPr="00386CD6">
              <w:rPr>
                <w:rFonts w:cs="Arial"/>
                <w:sz w:val="18"/>
                <w:szCs w:val="18"/>
              </w:rPr>
              <w:t>Extr.)/32/8, et de recommander que, dès que ces dispositions supplémentaires et ces modifications auront été incorporées dans la loi, la loi ainsi modifiée soit soumise au Conseil pour examen, conformément à l’article 34.3) de l’Acte de 1991;  et a demandé au Bureau de l’Union d’offrir son concours au Gouvernement de la République islamique d’Iran, à la première occasion, pour la rédaction des dispositions supplémentaires et des modifications nécessaires à la loi;</w:t>
            </w:r>
          </w:p>
          <w:p w:rsidR="0083792B" w:rsidRPr="00386CD6" w:rsidRDefault="0083792B" w:rsidP="0085651C">
            <w:pPr>
              <w:pStyle w:val="ListParagraph"/>
              <w:numPr>
                <w:ilvl w:val="0"/>
                <w:numId w:val="8"/>
              </w:numPr>
              <w:spacing w:after="60"/>
              <w:contextualSpacing w:val="0"/>
              <w:rPr>
                <w:rFonts w:cs="Arial"/>
                <w:sz w:val="18"/>
                <w:szCs w:val="18"/>
              </w:rPr>
            </w:pPr>
            <w:r w:rsidRPr="00386CD6">
              <w:rPr>
                <w:rFonts w:cs="Arial"/>
                <w:sz w:val="18"/>
                <w:szCs w:val="18"/>
              </w:rPr>
              <w:t>a approuvé le projet de programme et budget de l’Union pour l’exercice biennal 2016</w:t>
            </w:r>
            <w:r w:rsidRPr="00386CD6">
              <w:rPr>
                <w:rFonts w:cs="Arial"/>
                <w:sz w:val="18"/>
                <w:szCs w:val="18"/>
              </w:rPr>
              <w:noBreakHyphen/>
              <w:t>2017;</w:t>
            </w:r>
          </w:p>
          <w:p w:rsidR="0083792B" w:rsidRPr="00386CD6" w:rsidRDefault="0083792B" w:rsidP="0085651C">
            <w:pPr>
              <w:pStyle w:val="ListParagraph"/>
              <w:numPr>
                <w:ilvl w:val="0"/>
                <w:numId w:val="8"/>
              </w:numPr>
              <w:spacing w:after="60"/>
              <w:contextualSpacing w:val="0"/>
              <w:rPr>
                <w:rFonts w:cs="Arial"/>
                <w:sz w:val="18"/>
                <w:szCs w:val="18"/>
              </w:rPr>
            </w:pPr>
            <w:r w:rsidRPr="00386CD6">
              <w:rPr>
                <w:rFonts w:cs="Arial"/>
                <w:sz w:val="18"/>
                <w:szCs w:val="18"/>
              </w:rPr>
              <w:t>a approuvé les états financiers pour 2014;</w:t>
            </w:r>
          </w:p>
          <w:p w:rsidR="0083792B" w:rsidRPr="00386CD6" w:rsidRDefault="0083792B" w:rsidP="0085651C">
            <w:pPr>
              <w:pStyle w:val="ListParagraph"/>
              <w:numPr>
                <w:ilvl w:val="0"/>
                <w:numId w:val="8"/>
              </w:numPr>
              <w:spacing w:after="60"/>
              <w:contextualSpacing w:val="0"/>
              <w:rPr>
                <w:rFonts w:cs="Arial"/>
                <w:sz w:val="18"/>
                <w:szCs w:val="18"/>
              </w:rPr>
            </w:pPr>
            <w:r w:rsidRPr="00386CD6">
              <w:rPr>
                <w:rFonts w:cs="Arial"/>
                <w:sz w:val="18"/>
                <w:szCs w:val="18"/>
              </w:rPr>
              <w:t>a révisé et approuvé le calendrier des réunions pour 2016;</w:t>
            </w:r>
          </w:p>
          <w:p w:rsidR="0083792B" w:rsidRPr="00386CD6" w:rsidRDefault="0083792B" w:rsidP="0085651C">
            <w:pPr>
              <w:pStyle w:val="ListParagraph"/>
              <w:numPr>
                <w:ilvl w:val="0"/>
                <w:numId w:val="8"/>
              </w:numPr>
              <w:spacing w:after="60"/>
              <w:contextualSpacing w:val="0"/>
              <w:rPr>
                <w:rFonts w:cs="Arial"/>
                <w:sz w:val="18"/>
                <w:szCs w:val="18"/>
              </w:rPr>
            </w:pPr>
            <w:r w:rsidRPr="00386CD6">
              <w:rPr>
                <w:rFonts w:cs="Arial"/>
                <w:sz w:val="18"/>
                <w:szCs w:val="18"/>
              </w:rPr>
              <w:t>a élu, dans chaque cas pour un mandat de trois ans prenant fin avec la cinquante</w:t>
            </w:r>
            <w:r w:rsidRPr="00386CD6">
              <w:rPr>
                <w:rFonts w:cs="Arial"/>
                <w:sz w:val="18"/>
                <w:szCs w:val="18"/>
              </w:rPr>
              <w:noBreakHyphen/>
              <w:t>deuxième session ordinaire du Conseil, en 2018 :</w:t>
            </w:r>
          </w:p>
          <w:p w:rsidR="0083792B" w:rsidRPr="00386CD6" w:rsidRDefault="0083792B" w:rsidP="0085651C">
            <w:pPr>
              <w:spacing w:after="60"/>
              <w:ind w:left="1232" w:hanging="306"/>
              <w:rPr>
                <w:rFonts w:cs="Arial"/>
                <w:sz w:val="18"/>
                <w:szCs w:val="18"/>
              </w:rPr>
            </w:pPr>
            <w:r w:rsidRPr="00386CD6">
              <w:rPr>
                <w:rFonts w:cs="Arial"/>
                <w:sz w:val="18"/>
                <w:szCs w:val="18"/>
              </w:rPr>
              <w:t>–</w:t>
            </w:r>
            <w:r w:rsidRPr="00386CD6">
              <w:rPr>
                <w:rFonts w:cs="Arial"/>
                <w:sz w:val="18"/>
                <w:szCs w:val="18"/>
              </w:rPr>
              <w:tab/>
              <w:t>M. Luis Salaices Sánchez (Espagne), président du Conseil;</w:t>
            </w:r>
          </w:p>
          <w:p w:rsidR="0083792B" w:rsidRPr="00386CD6" w:rsidRDefault="0083792B" w:rsidP="0085651C">
            <w:pPr>
              <w:spacing w:after="60"/>
              <w:ind w:left="1232" w:hanging="306"/>
              <w:rPr>
                <w:rFonts w:cs="Arial"/>
                <w:sz w:val="18"/>
                <w:szCs w:val="18"/>
              </w:rPr>
            </w:pPr>
            <w:r w:rsidRPr="00386CD6">
              <w:rPr>
                <w:rFonts w:cs="Arial"/>
                <w:sz w:val="18"/>
                <w:szCs w:val="18"/>
              </w:rPr>
              <w:t>–</w:t>
            </w:r>
            <w:r w:rsidRPr="00386CD6">
              <w:rPr>
                <w:rFonts w:cs="Arial"/>
                <w:sz w:val="18"/>
                <w:szCs w:val="18"/>
              </w:rPr>
              <w:tab/>
              <w:t>M. Raimundo Lavignolle (Argentine), vice</w:t>
            </w:r>
            <w:r w:rsidRPr="00386CD6">
              <w:rPr>
                <w:rFonts w:cs="Arial"/>
                <w:sz w:val="18"/>
                <w:szCs w:val="18"/>
              </w:rPr>
              <w:noBreakHyphen/>
              <w:t>président du Conseil.</w:t>
            </w:r>
          </w:p>
        </w:tc>
      </w:tr>
      <w:tr w:rsidR="0083792B" w:rsidRPr="00386CD6" w:rsidTr="002D5278">
        <w:tc>
          <w:tcPr>
            <w:tcW w:w="1951" w:type="dxa"/>
            <w:shd w:val="clear" w:color="auto" w:fill="auto"/>
          </w:tcPr>
          <w:p w:rsidR="0083792B" w:rsidRPr="00386CD6" w:rsidRDefault="0083792B" w:rsidP="00FB24F4">
            <w:pPr>
              <w:jc w:val="left"/>
              <w:rPr>
                <w:sz w:val="18"/>
              </w:rPr>
            </w:pPr>
          </w:p>
        </w:tc>
        <w:tc>
          <w:tcPr>
            <w:tcW w:w="7938" w:type="dxa"/>
            <w:shd w:val="clear" w:color="auto" w:fill="auto"/>
          </w:tcPr>
          <w:p w:rsidR="0083792B" w:rsidRPr="00386CD6" w:rsidRDefault="0083792B" w:rsidP="0031428C">
            <w:pPr>
              <w:spacing w:after="60"/>
              <w:ind w:left="1232" w:hanging="306"/>
              <w:rPr>
                <w:rFonts w:cs="Arial"/>
                <w:sz w:val="18"/>
                <w:szCs w:val="18"/>
              </w:rPr>
            </w:pPr>
          </w:p>
        </w:tc>
      </w:tr>
    </w:tbl>
    <w:p w:rsidR="0083792B" w:rsidRPr="00386CD6" w:rsidRDefault="0083792B" w:rsidP="004E714F"/>
    <w:p w:rsidR="0083792B" w:rsidRPr="00386CD6" w:rsidRDefault="0083792B" w:rsidP="004E714F"/>
    <w:tbl>
      <w:tblPr>
        <w:tblW w:w="9889" w:type="dxa"/>
        <w:tblLayout w:type="fixed"/>
        <w:tblLook w:val="0000" w:firstRow="0" w:lastRow="0" w:firstColumn="0" w:lastColumn="0" w:noHBand="0" w:noVBand="0"/>
      </w:tblPr>
      <w:tblGrid>
        <w:gridCol w:w="1951"/>
        <w:gridCol w:w="7938"/>
      </w:tblGrid>
      <w:tr w:rsidR="0083792B" w:rsidRPr="00386CD6" w:rsidTr="002D5278">
        <w:tc>
          <w:tcPr>
            <w:tcW w:w="1951" w:type="dxa"/>
            <w:shd w:val="clear" w:color="auto" w:fill="auto"/>
          </w:tcPr>
          <w:p w:rsidR="0083792B" w:rsidRPr="00386CD6" w:rsidRDefault="0083792B" w:rsidP="002D5278">
            <w:pPr>
              <w:pStyle w:val="Heading6"/>
            </w:pPr>
          </w:p>
        </w:tc>
        <w:tc>
          <w:tcPr>
            <w:tcW w:w="7938" w:type="dxa"/>
            <w:shd w:val="clear" w:color="auto" w:fill="auto"/>
          </w:tcPr>
          <w:p w:rsidR="0083792B" w:rsidRPr="00386CD6" w:rsidRDefault="0083792B" w:rsidP="008B401F">
            <w:pPr>
              <w:pStyle w:val="Heading8"/>
              <w:tabs>
                <w:tab w:val="left" w:pos="318"/>
              </w:tabs>
              <w:rPr>
                <w:rFonts w:cs="Arial"/>
                <w:szCs w:val="18"/>
              </w:rPr>
            </w:pPr>
            <w:bookmarkStart w:id="50" w:name="_Toc465100035"/>
            <w:r w:rsidRPr="00386CD6">
              <w:rPr>
                <w:rFonts w:cs="Arial"/>
                <w:szCs w:val="18"/>
              </w:rPr>
              <w:t>c)</w:t>
            </w:r>
            <w:r w:rsidRPr="00386CD6">
              <w:rPr>
                <w:rFonts w:cs="Arial"/>
                <w:szCs w:val="18"/>
              </w:rPr>
              <w:tab/>
              <w:t>Adoption des documents et notes d’information par le Conseil</w:t>
            </w:r>
            <w:bookmarkEnd w:id="50"/>
          </w:p>
          <w:p w:rsidR="0083792B" w:rsidRPr="00386CD6" w:rsidRDefault="0083792B" w:rsidP="0085651C">
            <w:pPr>
              <w:keepNext/>
              <w:rPr>
                <w:rFonts w:cs="Arial"/>
                <w:sz w:val="18"/>
                <w:szCs w:val="18"/>
              </w:rPr>
            </w:pPr>
            <w:r w:rsidRPr="00386CD6">
              <w:rPr>
                <w:rFonts w:cs="Arial"/>
                <w:sz w:val="18"/>
                <w:szCs w:val="18"/>
              </w:rPr>
              <w:t>Il est rendu compte de l’adoption des matériels d’information par le Conseil dans le sous</w:t>
            </w:r>
            <w:r w:rsidRPr="00386CD6">
              <w:rPr>
                <w:rFonts w:cs="Arial"/>
                <w:sz w:val="18"/>
                <w:szCs w:val="18"/>
              </w:rPr>
              <w:noBreakHyphen/>
              <w:t>programme UV.2.</w:t>
            </w:r>
          </w:p>
        </w:tc>
      </w:tr>
      <w:bookmarkEnd w:id="26"/>
      <w:bookmarkEnd w:id="27"/>
    </w:tbl>
    <w:p w:rsidR="0083792B" w:rsidRPr="00386CD6" w:rsidRDefault="0083792B" w:rsidP="0085651C">
      <w:pPr>
        <w:jc w:val="left"/>
      </w:pPr>
    </w:p>
    <w:p w:rsidR="0083792B" w:rsidRPr="00386CD6" w:rsidRDefault="0083792B" w:rsidP="0085651C">
      <w:pPr>
        <w:pStyle w:val="Heading3"/>
        <w:rPr>
          <w:lang w:val="fr-FR"/>
        </w:rPr>
      </w:pPr>
      <w:bookmarkStart w:id="51" w:name="_Toc464487548"/>
      <w:bookmarkStart w:id="52" w:name="_Toc465100036"/>
      <w:r w:rsidRPr="00386CD6">
        <w:rPr>
          <w:lang w:val="fr-FR"/>
        </w:rPr>
        <w:t>Sous</w:t>
      </w:r>
      <w:r w:rsidRPr="00386CD6">
        <w:rPr>
          <w:lang w:val="fr-FR"/>
        </w:rPr>
        <w:noBreakHyphen/>
        <w:t>programme UV.2 : Services fournis à l’Union en vue d’augmenter l’efficacité du système de l’UPOV</w:t>
      </w:r>
      <w:bookmarkEnd w:id="51"/>
      <w:bookmarkEnd w:id="52"/>
    </w:p>
    <w:p w:rsidR="0083792B" w:rsidRPr="00386CD6" w:rsidRDefault="0083792B" w:rsidP="0085651C">
      <w:pPr>
        <w:keepNext/>
        <w:keepLines/>
        <w:rPr>
          <w:sz w:val="18"/>
          <w:szCs w:val="18"/>
        </w:rPr>
      </w:pPr>
    </w:p>
    <w:p w:rsidR="0083792B" w:rsidRPr="00386CD6" w:rsidRDefault="0083792B" w:rsidP="0085651C">
      <w:pPr>
        <w:keepNext/>
        <w:keepLines/>
        <w:tabs>
          <w:tab w:val="left" w:pos="2410"/>
          <w:tab w:val="left" w:pos="4536"/>
          <w:tab w:val="left" w:pos="9072"/>
        </w:tabs>
        <w:rPr>
          <w:sz w:val="18"/>
          <w:szCs w:val="18"/>
        </w:rPr>
      </w:pPr>
      <w:r w:rsidRPr="00386CD6">
        <w:rPr>
          <w:sz w:val="18"/>
          <w:szCs w:val="18"/>
        </w:rPr>
        <w:t>La principale priorité pour l’exercice biennal 2014</w:t>
      </w:r>
      <w:r w:rsidRPr="00386CD6">
        <w:rPr>
          <w:sz w:val="18"/>
          <w:szCs w:val="18"/>
        </w:rPr>
        <w:noBreakHyphen/>
        <w:t>2015 restait de soutenir les membres de l’Union dans la mise en œuvre de leur système de protection des obtentions végétales.  Le système de l’UPOV a continué de croître eu égard au nombre de membres de l’Union, de demandes, de titres octroyés et de titres en vigueur.  Parmi les membres de l’Union, le nombre de genres et espèces pour lesquels la protection de variétés était demandée était estimé à plus de 3500.  Ces évolutions démontrent pourquoi la coopération entre les membres de l’Union représente un avantage essentiel découlant de l’adhésion à l’UPOV.  Les orientations formulées par l’UPOV en ce qui concerne l’examen des variétés encouragent l’harmonisation entre les différents membres de l’Union, en vue de faciliter l’échange d’informations et de rapports d’examen de la distinction, de l’homogénéité et de la stabilité (“DHS”).  À la fin de l’exercice biennal, les membres de l’UPOV avaient élaboré plus de 300 principes directeurs d’examen portant, selon les estimations, sur environ 92% des demandes de protection d’une obtention végétale déposées au sein de l’Union.  Au cours de l’exercice biennal, la version 1 du modèle de principes directeurs d’examen fondé sur le Web a été mise en place en tant qu’outil d’aide à l’élaboration des principes directeurs d’examen.  Dans l’intérêt de</w:t>
      </w:r>
      <w:r w:rsidRPr="00386CD6">
        <w:t xml:space="preserve"> </w:t>
      </w:r>
      <w:r w:rsidRPr="00386CD6">
        <w:rPr>
          <w:sz w:val="18"/>
          <w:szCs w:val="18"/>
        </w:rPr>
        <w:t xml:space="preserve">la coopération entre les membres de l’Union, les informations fournies dans la base de données GENIE, la base de données PLUTO et la base de données sur les lois des membres de l’Union (UPOVLex) ont été améliorées.  Les membres de l’Union offraient leur expérience pratique en matière d’examen DHS pour plus de 3300 genres ou espèces, même si aucune augmentation notable du nombre d’accords de </w:t>
      </w:r>
      <w:proofErr w:type="gramStart"/>
      <w:r w:rsidRPr="00386CD6">
        <w:rPr>
          <w:sz w:val="18"/>
          <w:szCs w:val="18"/>
        </w:rPr>
        <w:t>coopération entre</w:t>
      </w:r>
      <w:proofErr w:type="gramEnd"/>
      <w:r w:rsidRPr="00386CD6">
        <w:rPr>
          <w:sz w:val="18"/>
          <w:szCs w:val="18"/>
        </w:rPr>
        <w:t xml:space="preserve"> les membres de l’Union n’avait été observée au cours de l’exercice biennal, ce chiffre se maintenant autour de 2000 accords.  Des progrès importants ont été enregistrés en ce qui concerne le projet de mise au point d’un formulaire électronique de dépôt des demandes de l’UPOV, la version 1 du prototype (PV1) ayant prouvé la faisabilité du projet.  L’UPOV a établi une longue série de documents d’orientation et d’information qui renforcent la compréhension et la mise en œuvre des dispositions de la Convention d’une manière efficace et harmonisée sur le plan international, ce qui contribue à améliorer la qualité de la protection et à réduire le coût d’obtention de la protection.  Pendant l’exercice biennal, des révisions concernant</w:t>
      </w:r>
      <w:r w:rsidRPr="00386CD6">
        <w:t xml:space="preserve"> </w:t>
      </w:r>
      <w:r w:rsidRPr="00386CD6">
        <w:rPr>
          <w:sz w:val="18"/>
          <w:szCs w:val="18"/>
        </w:rPr>
        <w:t>un certain nombre de documents d’information et d’orientation ont été adoptées.</w:t>
      </w:r>
    </w:p>
    <w:p w:rsidR="0083792B" w:rsidRPr="00386CD6" w:rsidRDefault="0083792B" w:rsidP="0085651C">
      <w:pPr>
        <w:tabs>
          <w:tab w:val="left" w:pos="2410"/>
          <w:tab w:val="left" w:pos="4536"/>
          <w:tab w:val="left" w:pos="9072"/>
        </w:tabs>
        <w:rPr>
          <w:sz w:val="18"/>
          <w:szCs w:val="18"/>
        </w:rPr>
      </w:pPr>
    </w:p>
    <w:p w:rsidR="0083792B" w:rsidRPr="00386CD6" w:rsidRDefault="0083792B" w:rsidP="0085651C">
      <w:pPr>
        <w:tabs>
          <w:tab w:val="left" w:pos="2410"/>
          <w:tab w:val="left" w:pos="4536"/>
          <w:tab w:val="left" w:pos="9072"/>
        </w:tabs>
        <w:rPr>
          <w:sz w:val="18"/>
          <w:szCs w:val="18"/>
        </w:rPr>
      </w:pPr>
    </w:p>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tcPr>
          <w:p w:rsidR="0083792B" w:rsidRPr="00386CD6" w:rsidRDefault="0083792B" w:rsidP="0085651C">
            <w:pPr>
              <w:pStyle w:val="Heading5"/>
              <w:rPr>
                <w:lang w:val="fr-FR"/>
              </w:rPr>
            </w:pPr>
            <w:bookmarkStart w:id="53" w:name="_Toc464487549"/>
            <w:bookmarkStart w:id="54" w:name="_Toc465100037"/>
            <w:r w:rsidRPr="00386CD6">
              <w:rPr>
                <w:lang w:val="fr-FR"/>
              </w:rPr>
              <w:t>Objectifs :</w:t>
            </w:r>
            <w:bookmarkEnd w:id="53"/>
            <w:bookmarkEnd w:id="54"/>
          </w:p>
        </w:tc>
        <w:tc>
          <w:tcPr>
            <w:tcW w:w="7938" w:type="dxa"/>
            <w:vAlign w:val="center"/>
          </w:tcPr>
          <w:p w:rsidR="0083792B" w:rsidRPr="00386CD6" w:rsidRDefault="0083792B" w:rsidP="0085651C">
            <w:pPr>
              <w:keepNext/>
              <w:keepLines/>
              <w:widowControl w:val="0"/>
              <w:numPr>
                <w:ilvl w:val="0"/>
                <w:numId w:val="16"/>
              </w:numPr>
              <w:jc w:val="left"/>
              <w:rPr>
                <w:i/>
                <w:sz w:val="18"/>
                <w:szCs w:val="18"/>
              </w:rPr>
            </w:pPr>
            <w:r w:rsidRPr="00386CD6">
              <w:rPr>
                <w:sz w:val="18"/>
                <w:szCs w:val="18"/>
              </w:rPr>
              <w:t>Maintenir et améliorer l’efficacité du système de l’UPOV.tem.</w:t>
            </w:r>
          </w:p>
          <w:p w:rsidR="0083792B" w:rsidRPr="00386CD6" w:rsidRDefault="0083792B" w:rsidP="0085651C">
            <w:pPr>
              <w:keepNext/>
              <w:keepLines/>
              <w:widowControl w:val="0"/>
              <w:numPr>
                <w:ilvl w:val="0"/>
                <w:numId w:val="16"/>
              </w:numPr>
              <w:jc w:val="left"/>
              <w:rPr>
                <w:b/>
                <w:sz w:val="18"/>
                <w:szCs w:val="18"/>
              </w:rPr>
            </w:pPr>
            <w:r w:rsidRPr="00386CD6">
              <w:rPr>
                <w:sz w:val="18"/>
                <w:szCs w:val="18"/>
              </w:rPr>
              <w:t>Jeter et développer les bases juridiques, administratives et techniques de la coopération internationale en matière de protection des obtentions végétales selon la Convention UPOV.</w:t>
            </w:r>
          </w:p>
        </w:tc>
      </w:tr>
    </w:tbl>
    <w:p w:rsidR="0083792B" w:rsidRPr="00386CD6" w:rsidRDefault="0083792B" w:rsidP="0085651C">
      <w:pPr>
        <w:rPr>
          <w:sz w:val="18"/>
          <w:szCs w:val="18"/>
        </w:rPr>
      </w:pPr>
    </w:p>
    <w:tbl>
      <w:tblPr>
        <w:tblW w:w="9889" w:type="dxa"/>
        <w:tblLayout w:type="fixed"/>
        <w:tblLook w:val="0000" w:firstRow="0" w:lastRow="0" w:firstColumn="0" w:lastColumn="0" w:noHBand="0" w:noVBand="0"/>
      </w:tblPr>
      <w:tblGrid>
        <w:gridCol w:w="1951"/>
        <w:gridCol w:w="4111"/>
        <w:gridCol w:w="3827"/>
      </w:tblGrid>
      <w:tr w:rsidR="0083792B" w:rsidRPr="00386CD6" w:rsidTr="0085651C">
        <w:tc>
          <w:tcPr>
            <w:tcW w:w="1951" w:type="dxa"/>
            <w:shd w:val="clear" w:color="auto" w:fill="auto"/>
          </w:tcPr>
          <w:p w:rsidR="0083792B" w:rsidRPr="00386CD6" w:rsidRDefault="0083792B" w:rsidP="0085651C">
            <w:pPr>
              <w:pStyle w:val="Heading5"/>
              <w:rPr>
                <w:lang w:val="fr-FR"/>
              </w:rPr>
            </w:pPr>
            <w:bookmarkStart w:id="55" w:name="_Toc464487550"/>
            <w:bookmarkStart w:id="56" w:name="_Toc465100038"/>
            <w:r w:rsidRPr="00386CD6">
              <w:rPr>
                <w:lang w:val="fr-FR"/>
              </w:rPr>
              <w:t>Résultats escomptés</w:t>
            </w:r>
            <w:bookmarkEnd w:id="55"/>
            <w:bookmarkEnd w:id="56"/>
          </w:p>
        </w:tc>
        <w:tc>
          <w:tcPr>
            <w:tcW w:w="7938" w:type="dxa"/>
            <w:gridSpan w:val="2"/>
            <w:shd w:val="clear" w:color="auto" w:fill="auto"/>
          </w:tcPr>
          <w:p w:rsidR="0083792B" w:rsidRPr="00386CD6" w:rsidRDefault="00635368" w:rsidP="0085651C">
            <w:pPr>
              <w:pStyle w:val="Heading7"/>
            </w:pPr>
            <w:bookmarkStart w:id="57" w:name="_Toc464487551"/>
            <w:bookmarkStart w:id="58" w:name="_Toc465100039"/>
            <w:r w:rsidRPr="00386CD6">
              <w:t>Résultats obtenus : i</w:t>
            </w:r>
            <w:r w:rsidR="0083792B" w:rsidRPr="00386CD6">
              <w:t>ndicateurs d’exécution</w:t>
            </w:r>
            <w:bookmarkEnd w:id="57"/>
            <w:bookmarkEnd w:id="58"/>
          </w:p>
        </w:tc>
      </w:tr>
      <w:tr w:rsidR="0083792B" w:rsidRPr="00386CD6" w:rsidTr="0085651C">
        <w:tc>
          <w:tcPr>
            <w:tcW w:w="1951" w:type="dxa"/>
            <w:shd w:val="clear" w:color="auto" w:fill="auto"/>
          </w:tcPr>
          <w:p w:rsidR="0083792B" w:rsidRPr="00386CD6" w:rsidRDefault="0083792B" w:rsidP="008B401F">
            <w:pPr>
              <w:pStyle w:val="Heading6"/>
              <w:tabs>
                <w:tab w:val="left" w:pos="288"/>
              </w:tabs>
            </w:pPr>
            <w:bookmarkStart w:id="59" w:name="_Toc464487552"/>
            <w:bookmarkStart w:id="60" w:name="_Toc465100040"/>
            <w:r w:rsidRPr="00386CD6">
              <w:t>1.</w:t>
            </w:r>
            <w:r w:rsidR="008B401F" w:rsidRPr="00386CD6">
              <w:tab/>
            </w:r>
            <w:r w:rsidRPr="00386CD6">
              <w:t>Orientations au sujet de la Convention UPOV et sa mise en œuvre et informations sur son application</w:t>
            </w:r>
            <w:bookmarkEnd w:id="59"/>
            <w:bookmarkEnd w:id="60"/>
          </w:p>
          <w:p w:rsidR="0083792B" w:rsidRPr="00386CD6" w:rsidRDefault="0083792B" w:rsidP="0085651C"/>
        </w:tc>
        <w:tc>
          <w:tcPr>
            <w:tcW w:w="4111" w:type="dxa"/>
            <w:shd w:val="clear" w:color="auto" w:fill="auto"/>
          </w:tcPr>
          <w:p w:rsidR="0083792B" w:rsidRPr="00386CD6" w:rsidRDefault="0083792B" w:rsidP="0085651C">
            <w:pPr>
              <w:pStyle w:val="Heading8"/>
            </w:pPr>
            <w:bookmarkStart w:id="61" w:name="_Toc464487553"/>
            <w:bookmarkStart w:id="62" w:name="_Toc465100041"/>
            <w:r w:rsidRPr="00386CD6">
              <w:t>Collection de l’UPOV : consultations du site Web de l’UPOV</w:t>
            </w:r>
            <w:r w:rsidRPr="00386CD6">
              <w:rPr>
                <w:rStyle w:val="EndnoteReference"/>
              </w:rPr>
              <w:endnoteReference w:id="2"/>
            </w:r>
            <w:r w:rsidRPr="00386CD6">
              <w:t xml:space="preserve"> en 2015</w:t>
            </w:r>
            <w:bookmarkEnd w:id="61"/>
            <w:bookmarkEnd w:id="62"/>
          </w:p>
          <w:p w:rsidR="0083792B" w:rsidRPr="00386CD6" w:rsidRDefault="0083792B" w:rsidP="0085651C">
            <w:pPr>
              <w:tabs>
                <w:tab w:val="left" w:pos="1310"/>
              </w:tabs>
              <w:spacing w:after="60"/>
              <w:jc w:val="left"/>
              <w:rPr>
                <w:sz w:val="18"/>
                <w:szCs w:val="18"/>
              </w:rPr>
            </w:pPr>
            <w:r w:rsidRPr="00386CD6">
              <w:rPr>
                <w:rFonts w:cs="Arial"/>
                <w:sz w:val="18"/>
                <w:szCs w:val="22"/>
              </w:rPr>
              <w:t>Pages consultées :</w:t>
            </w:r>
            <w:r w:rsidRPr="00386CD6">
              <w:rPr>
                <w:sz w:val="18"/>
                <w:szCs w:val="18"/>
              </w:rPr>
              <w:t xml:space="preserve"> </w:t>
            </w:r>
            <w:r w:rsidRPr="00386CD6">
              <w:rPr>
                <w:sz w:val="18"/>
                <w:szCs w:val="18"/>
              </w:rPr>
              <w:tab/>
              <w:t>9044</w:t>
            </w:r>
            <w:r w:rsidRPr="00386CD6">
              <w:rPr>
                <w:sz w:val="18"/>
                <w:szCs w:val="18"/>
              </w:rPr>
              <w:br/>
            </w:r>
            <w:r w:rsidRPr="00386CD6">
              <w:rPr>
                <w:sz w:val="18"/>
                <w:szCs w:val="18"/>
              </w:rPr>
              <w:tab/>
              <w:t>(9153 en 2014;  9336 en 2013)</w:t>
            </w:r>
          </w:p>
          <w:p w:rsidR="0083792B" w:rsidRPr="00386CD6" w:rsidRDefault="0083792B" w:rsidP="0085651C">
            <w:pPr>
              <w:tabs>
                <w:tab w:val="left" w:pos="1310"/>
              </w:tabs>
              <w:spacing w:after="60"/>
              <w:jc w:val="left"/>
              <w:rPr>
                <w:sz w:val="18"/>
                <w:szCs w:val="18"/>
              </w:rPr>
            </w:pPr>
          </w:p>
          <w:p w:rsidR="0083792B" w:rsidRPr="00386CD6" w:rsidRDefault="0083792B" w:rsidP="0085651C">
            <w:pPr>
              <w:tabs>
                <w:tab w:val="left" w:pos="1310"/>
              </w:tabs>
              <w:spacing w:after="60"/>
              <w:rPr>
                <w:sz w:val="18"/>
                <w:szCs w:val="18"/>
              </w:rPr>
            </w:pPr>
            <w:r w:rsidRPr="00386CD6">
              <w:rPr>
                <w:rFonts w:cs="Arial"/>
                <w:bCs/>
                <w:sz w:val="18"/>
                <w:szCs w:val="22"/>
              </w:rPr>
              <w:t>Consultations ponctuelles </w:t>
            </w:r>
            <w:r w:rsidRPr="00386CD6">
              <w:rPr>
                <w:sz w:val="18"/>
                <w:szCs w:val="18"/>
              </w:rPr>
              <w:t xml:space="preserve">: </w:t>
            </w:r>
            <w:r w:rsidRPr="00386CD6">
              <w:rPr>
                <w:sz w:val="18"/>
                <w:szCs w:val="18"/>
              </w:rPr>
              <w:tab/>
              <w:t>5653</w:t>
            </w:r>
            <w:r w:rsidRPr="00386CD6">
              <w:rPr>
                <w:sz w:val="18"/>
                <w:szCs w:val="18"/>
              </w:rPr>
              <w:br/>
            </w:r>
            <w:r w:rsidRPr="00386CD6">
              <w:rPr>
                <w:sz w:val="18"/>
                <w:szCs w:val="18"/>
              </w:rPr>
              <w:tab/>
              <w:t>(6064 en 2014;  5930 en 2013)</w:t>
            </w:r>
          </w:p>
          <w:p w:rsidR="0083792B" w:rsidRPr="00386CD6" w:rsidRDefault="0083792B" w:rsidP="0085651C">
            <w:pPr>
              <w:tabs>
                <w:tab w:val="left" w:pos="1310"/>
              </w:tabs>
              <w:spacing w:after="60"/>
              <w:rPr>
                <w:sz w:val="18"/>
                <w:szCs w:val="18"/>
              </w:rPr>
            </w:pPr>
          </w:p>
        </w:tc>
        <w:tc>
          <w:tcPr>
            <w:tcW w:w="3827" w:type="dxa"/>
            <w:shd w:val="clear" w:color="auto" w:fill="auto"/>
          </w:tcPr>
          <w:tbl>
            <w:tblPr>
              <w:tblpPr w:leftFromText="181" w:rightFromText="181" w:vertAnchor="text" w:horzAnchor="margin" w:tblpX="143" w:tblpY="1"/>
              <w:tblOverlap w:val="never"/>
              <w:tblW w:w="33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29"/>
              <w:gridCol w:w="1134"/>
              <w:gridCol w:w="1134"/>
            </w:tblGrid>
            <w:tr w:rsidR="0083792B" w:rsidRPr="00386CD6" w:rsidTr="0085651C">
              <w:trPr>
                <w:trHeight w:val="143"/>
              </w:trPr>
              <w:tc>
                <w:tcPr>
                  <w:tcW w:w="1129" w:type="dxa"/>
                </w:tcPr>
                <w:p w:rsidR="0083792B" w:rsidRPr="00386CD6" w:rsidRDefault="0083792B" w:rsidP="0085651C">
                  <w:pPr>
                    <w:autoSpaceDE w:val="0"/>
                    <w:autoSpaceDN w:val="0"/>
                    <w:adjustRightInd w:val="0"/>
                    <w:ind w:left="157" w:hanging="157"/>
                    <w:jc w:val="center"/>
                    <w:rPr>
                      <w:rFonts w:cs="Arial"/>
                      <w:sz w:val="18"/>
                      <w:szCs w:val="22"/>
                    </w:rPr>
                  </w:pPr>
                  <w:r w:rsidRPr="00386CD6">
                    <w:rPr>
                      <w:rFonts w:cs="Arial"/>
                      <w:sz w:val="18"/>
                      <w:szCs w:val="22"/>
                    </w:rPr>
                    <w:t>Langue</w:t>
                  </w:r>
                </w:p>
              </w:tc>
              <w:tc>
                <w:tcPr>
                  <w:tcW w:w="1134" w:type="dxa"/>
                </w:tcPr>
                <w:p w:rsidR="0083792B" w:rsidRPr="00386CD6" w:rsidRDefault="0083792B" w:rsidP="0085651C">
                  <w:pPr>
                    <w:autoSpaceDE w:val="0"/>
                    <w:autoSpaceDN w:val="0"/>
                    <w:adjustRightInd w:val="0"/>
                    <w:jc w:val="center"/>
                    <w:rPr>
                      <w:rFonts w:cs="Arial"/>
                      <w:sz w:val="18"/>
                      <w:szCs w:val="22"/>
                    </w:rPr>
                  </w:pPr>
                  <w:r w:rsidRPr="00386CD6">
                    <w:rPr>
                      <w:rFonts w:cs="Arial"/>
                      <w:sz w:val="18"/>
                      <w:szCs w:val="22"/>
                    </w:rPr>
                    <w:t>Pages consultées</w:t>
                  </w:r>
                </w:p>
              </w:tc>
              <w:tc>
                <w:tcPr>
                  <w:tcW w:w="1134" w:type="dxa"/>
                </w:tcPr>
                <w:p w:rsidR="0083792B" w:rsidRPr="00386CD6" w:rsidRDefault="0083792B" w:rsidP="0085651C">
                  <w:pPr>
                    <w:autoSpaceDE w:val="0"/>
                    <w:autoSpaceDN w:val="0"/>
                    <w:adjustRightInd w:val="0"/>
                    <w:spacing w:after="60"/>
                    <w:jc w:val="center"/>
                    <w:rPr>
                      <w:rFonts w:cs="Arial"/>
                      <w:bCs/>
                      <w:sz w:val="18"/>
                      <w:szCs w:val="22"/>
                    </w:rPr>
                  </w:pPr>
                  <w:r w:rsidRPr="00386CD6">
                    <w:rPr>
                      <w:rFonts w:cs="Arial"/>
                      <w:bCs/>
                      <w:sz w:val="18"/>
                      <w:szCs w:val="22"/>
                    </w:rPr>
                    <w:t>Consultations ponctuelles</w:t>
                  </w:r>
                </w:p>
              </w:tc>
            </w:tr>
            <w:tr w:rsidR="0083792B" w:rsidRPr="00386CD6" w:rsidTr="0085651C">
              <w:trPr>
                <w:trHeight w:val="148"/>
              </w:trPr>
              <w:tc>
                <w:tcPr>
                  <w:tcW w:w="1129"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Anglais </w:t>
                  </w:r>
                </w:p>
              </w:tc>
              <w:tc>
                <w:tcPr>
                  <w:tcW w:w="1134" w:type="dxa"/>
                </w:tcPr>
                <w:p w:rsidR="0083792B" w:rsidRPr="00386CD6" w:rsidRDefault="0083792B" w:rsidP="0085651C">
                  <w:pPr>
                    <w:pStyle w:val="Default"/>
                    <w:tabs>
                      <w:tab w:val="decimal" w:pos="849"/>
                    </w:tabs>
                    <w:rPr>
                      <w:color w:val="auto"/>
                      <w:sz w:val="18"/>
                      <w:szCs w:val="18"/>
                      <w:lang w:val="fr-FR"/>
                    </w:rPr>
                  </w:pPr>
                  <w:r w:rsidRPr="00386CD6">
                    <w:rPr>
                      <w:color w:val="auto"/>
                      <w:sz w:val="18"/>
                      <w:szCs w:val="18"/>
                      <w:lang w:val="fr-FR"/>
                    </w:rPr>
                    <w:t xml:space="preserve">6173 </w:t>
                  </w:r>
                </w:p>
              </w:tc>
              <w:tc>
                <w:tcPr>
                  <w:tcW w:w="1134" w:type="dxa"/>
                </w:tcPr>
                <w:p w:rsidR="0083792B" w:rsidRPr="00386CD6" w:rsidRDefault="0083792B" w:rsidP="0085651C">
                  <w:pPr>
                    <w:pStyle w:val="Default"/>
                    <w:tabs>
                      <w:tab w:val="decimal" w:pos="740"/>
                    </w:tabs>
                    <w:rPr>
                      <w:color w:val="auto"/>
                      <w:sz w:val="18"/>
                      <w:szCs w:val="18"/>
                      <w:lang w:val="fr-FR"/>
                    </w:rPr>
                  </w:pPr>
                  <w:r w:rsidRPr="00386CD6">
                    <w:rPr>
                      <w:color w:val="auto"/>
                      <w:sz w:val="18"/>
                      <w:szCs w:val="18"/>
                      <w:lang w:val="fr-FR"/>
                    </w:rPr>
                    <w:t>3907</w:t>
                  </w:r>
                </w:p>
              </w:tc>
            </w:tr>
            <w:tr w:rsidR="0083792B" w:rsidRPr="00386CD6" w:rsidTr="0085651C">
              <w:trPr>
                <w:trHeight w:val="142"/>
              </w:trPr>
              <w:tc>
                <w:tcPr>
                  <w:tcW w:w="1129"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Espagnol </w:t>
                  </w:r>
                </w:p>
              </w:tc>
              <w:tc>
                <w:tcPr>
                  <w:tcW w:w="1134" w:type="dxa"/>
                </w:tcPr>
                <w:p w:rsidR="0083792B" w:rsidRPr="00386CD6" w:rsidRDefault="0083792B" w:rsidP="0085651C">
                  <w:pPr>
                    <w:pStyle w:val="Default"/>
                    <w:tabs>
                      <w:tab w:val="decimal" w:pos="849"/>
                    </w:tabs>
                    <w:rPr>
                      <w:color w:val="auto"/>
                      <w:sz w:val="18"/>
                      <w:szCs w:val="18"/>
                      <w:lang w:val="fr-FR"/>
                    </w:rPr>
                  </w:pPr>
                  <w:r w:rsidRPr="00386CD6">
                    <w:rPr>
                      <w:color w:val="auto"/>
                      <w:sz w:val="18"/>
                      <w:szCs w:val="18"/>
                      <w:lang w:val="fr-FR"/>
                    </w:rPr>
                    <w:t>1884</w:t>
                  </w:r>
                </w:p>
              </w:tc>
              <w:tc>
                <w:tcPr>
                  <w:tcW w:w="1134" w:type="dxa"/>
                </w:tcPr>
                <w:p w:rsidR="0083792B" w:rsidRPr="00386CD6" w:rsidRDefault="0083792B" w:rsidP="0085651C">
                  <w:pPr>
                    <w:pStyle w:val="Default"/>
                    <w:tabs>
                      <w:tab w:val="decimal" w:pos="740"/>
                    </w:tabs>
                    <w:rPr>
                      <w:color w:val="auto"/>
                      <w:sz w:val="18"/>
                      <w:szCs w:val="18"/>
                      <w:lang w:val="fr-FR"/>
                    </w:rPr>
                  </w:pPr>
                  <w:r w:rsidRPr="00386CD6">
                    <w:rPr>
                      <w:color w:val="auto"/>
                      <w:sz w:val="18"/>
                      <w:szCs w:val="18"/>
                      <w:lang w:val="fr-FR"/>
                    </w:rPr>
                    <w:t>1131</w:t>
                  </w:r>
                </w:p>
              </w:tc>
            </w:tr>
            <w:tr w:rsidR="0083792B" w:rsidRPr="00386CD6" w:rsidTr="0085651C">
              <w:trPr>
                <w:trHeight w:val="148"/>
              </w:trPr>
              <w:tc>
                <w:tcPr>
                  <w:tcW w:w="1129"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Français </w:t>
                  </w:r>
                </w:p>
              </w:tc>
              <w:tc>
                <w:tcPr>
                  <w:tcW w:w="1134" w:type="dxa"/>
                </w:tcPr>
                <w:p w:rsidR="0083792B" w:rsidRPr="00386CD6" w:rsidRDefault="0083792B" w:rsidP="0085651C">
                  <w:pPr>
                    <w:pStyle w:val="Default"/>
                    <w:tabs>
                      <w:tab w:val="decimal" w:pos="849"/>
                    </w:tabs>
                    <w:rPr>
                      <w:color w:val="auto"/>
                      <w:sz w:val="18"/>
                      <w:szCs w:val="18"/>
                      <w:lang w:val="fr-FR"/>
                    </w:rPr>
                  </w:pPr>
                  <w:r w:rsidRPr="00386CD6">
                    <w:rPr>
                      <w:color w:val="auto"/>
                      <w:sz w:val="18"/>
                      <w:szCs w:val="18"/>
                      <w:lang w:val="fr-FR"/>
                    </w:rPr>
                    <w:t>498</w:t>
                  </w:r>
                </w:p>
              </w:tc>
              <w:tc>
                <w:tcPr>
                  <w:tcW w:w="1134" w:type="dxa"/>
                </w:tcPr>
                <w:p w:rsidR="0083792B" w:rsidRPr="00386CD6" w:rsidRDefault="0083792B" w:rsidP="0085651C">
                  <w:pPr>
                    <w:pStyle w:val="Default"/>
                    <w:tabs>
                      <w:tab w:val="decimal" w:pos="740"/>
                    </w:tabs>
                    <w:rPr>
                      <w:color w:val="auto"/>
                      <w:sz w:val="18"/>
                      <w:szCs w:val="18"/>
                      <w:lang w:val="fr-FR"/>
                    </w:rPr>
                  </w:pPr>
                  <w:r w:rsidRPr="00386CD6">
                    <w:rPr>
                      <w:color w:val="auto"/>
                      <w:sz w:val="18"/>
                      <w:szCs w:val="18"/>
                      <w:lang w:val="fr-FR"/>
                    </w:rPr>
                    <w:t>326</w:t>
                  </w:r>
                </w:p>
              </w:tc>
            </w:tr>
            <w:tr w:rsidR="0083792B" w:rsidRPr="00386CD6" w:rsidTr="0085651C">
              <w:trPr>
                <w:trHeight w:val="142"/>
              </w:trPr>
              <w:tc>
                <w:tcPr>
                  <w:tcW w:w="1129"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Allemand </w:t>
                  </w:r>
                </w:p>
              </w:tc>
              <w:tc>
                <w:tcPr>
                  <w:tcW w:w="1134" w:type="dxa"/>
                </w:tcPr>
                <w:p w:rsidR="0083792B" w:rsidRPr="00386CD6" w:rsidRDefault="0083792B" w:rsidP="0085651C">
                  <w:pPr>
                    <w:pStyle w:val="Default"/>
                    <w:tabs>
                      <w:tab w:val="decimal" w:pos="849"/>
                    </w:tabs>
                    <w:rPr>
                      <w:color w:val="auto"/>
                      <w:sz w:val="18"/>
                      <w:szCs w:val="18"/>
                      <w:lang w:val="fr-FR"/>
                    </w:rPr>
                  </w:pPr>
                  <w:r w:rsidRPr="00386CD6">
                    <w:rPr>
                      <w:color w:val="auto"/>
                      <w:sz w:val="18"/>
                      <w:szCs w:val="18"/>
                      <w:lang w:val="fr-FR"/>
                    </w:rPr>
                    <w:t>483</w:t>
                  </w:r>
                </w:p>
              </w:tc>
              <w:tc>
                <w:tcPr>
                  <w:tcW w:w="1134" w:type="dxa"/>
                </w:tcPr>
                <w:p w:rsidR="0083792B" w:rsidRPr="00386CD6" w:rsidRDefault="0083792B" w:rsidP="0085651C">
                  <w:pPr>
                    <w:pStyle w:val="Default"/>
                    <w:tabs>
                      <w:tab w:val="decimal" w:pos="740"/>
                    </w:tabs>
                    <w:rPr>
                      <w:color w:val="auto"/>
                      <w:sz w:val="18"/>
                      <w:szCs w:val="18"/>
                      <w:lang w:val="fr-FR"/>
                    </w:rPr>
                  </w:pPr>
                  <w:r w:rsidRPr="00386CD6">
                    <w:rPr>
                      <w:color w:val="auto"/>
                      <w:sz w:val="18"/>
                      <w:szCs w:val="18"/>
                      <w:lang w:val="fr-FR"/>
                    </w:rPr>
                    <w:t>284</w:t>
                  </w:r>
                </w:p>
              </w:tc>
            </w:tr>
          </w:tbl>
          <w:p w:rsidR="0083792B" w:rsidRPr="00386CD6" w:rsidRDefault="0083792B" w:rsidP="0085651C">
            <w:pPr>
              <w:spacing w:after="120"/>
              <w:jc w:val="left"/>
              <w:rPr>
                <w:iCs/>
                <w:sz w:val="18"/>
                <w:szCs w:val="18"/>
              </w:rPr>
            </w:pPr>
          </w:p>
        </w:tc>
      </w:tr>
      <w:tr w:rsidR="0083792B" w:rsidRPr="00386CD6" w:rsidTr="0085651C">
        <w:tc>
          <w:tcPr>
            <w:tcW w:w="1951" w:type="dxa"/>
            <w:shd w:val="clear" w:color="auto" w:fill="auto"/>
          </w:tcPr>
          <w:p w:rsidR="0083792B" w:rsidRPr="00386CD6" w:rsidRDefault="0083792B" w:rsidP="0085651C">
            <w:pPr>
              <w:rPr>
                <w:sz w:val="18"/>
              </w:rPr>
            </w:pPr>
          </w:p>
        </w:tc>
        <w:tc>
          <w:tcPr>
            <w:tcW w:w="7938" w:type="dxa"/>
            <w:gridSpan w:val="2"/>
            <w:shd w:val="clear" w:color="auto" w:fill="auto"/>
          </w:tcPr>
          <w:p w:rsidR="0083792B" w:rsidRPr="00386CD6" w:rsidRDefault="0083792B" w:rsidP="008B401F">
            <w:pPr>
              <w:pStyle w:val="Heading8"/>
              <w:tabs>
                <w:tab w:val="left" w:pos="318"/>
              </w:tabs>
              <w:rPr>
                <w:szCs w:val="18"/>
              </w:rPr>
            </w:pPr>
            <w:bookmarkStart w:id="63" w:name="_Toc464487554"/>
            <w:bookmarkStart w:id="64" w:name="_Toc465100042"/>
            <w:r w:rsidRPr="00386CD6">
              <w:rPr>
                <w:szCs w:val="18"/>
              </w:rPr>
              <w:t>a)</w:t>
            </w:r>
            <w:r w:rsidRPr="00386CD6">
              <w:rPr>
                <w:szCs w:val="18"/>
              </w:rPr>
              <w:tab/>
              <w:t>Adoption de matériels d’information nouveaux ou révisés concernant la Convention UPOV</w:t>
            </w:r>
            <w:bookmarkEnd w:id="63"/>
            <w:bookmarkEnd w:id="64"/>
          </w:p>
          <w:p w:rsidR="0083792B" w:rsidRPr="00386CD6" w:rsidRDefault="0083792B" w:rsidP="0085651C">
            <w:pPr>
              <w:tabs>
                <w:tab w:val="left" w:pos="317"/>
              </w:tabs>
              <w:spacing w:after="60"/>
              <w:rPr>
                <w:sz w:val="18"/>
                <w:szCs w:val="18"/>
              </w:rPr>
            </w:pPr>
            <w:r w:rsidRPr="00386CD6">
              <w:rPr>
                <w:sz w:val="18"/>
                <w:szCs w:val="18"/>
              </w:rPr>
              <w:t>1.</w:t>
            </w:r>
            <w:r w:rsidRPr="00386CD6">
              <w:rPr>
                <w:sz w:val="18"/>
                <w:szCs w:val="18"/>
              </w:rPr>
              <w:tab/>
              <w:t>Matériels d’information concernant la Convention UPOV adoptés par le Conseil en 2015 :</w:t>
            </w:r>
          </w:p>
          <w:p w:rsidR="0083792B" w:rsidRPr="00386CD6" w:rsidRDefault="0083792B" w:rsidP="0085651C">
            <w:pPr>
              <w:tabs>
                <w:tab w:val="num" w:pos="2302"/>
              </w:tabs>
              <w:spacing w:after="60"/>
              <w:ind w:left="2302" w:hanging="1735"/>
              <w:jc w:val="left"/>
              <w:rPr>
                <w:sz w:val="18"/>
                <w:szCs w:val="18"/>
              </w:rPr>
            </w:pPr>
            <w:r w:rsidRPr="00386CD6">
              <w:rPr>
                <w:sz w:val="18"/>
                <w:szCs w:val="18"/>
              </w:rPr>
              <w:t>UPOV/EXN/CAN/2</w:t>
            </w:r>
            <w:r w:rsidRPr="00386CD6">
              <w:rPr>
                <w:sz w:val="18"/>
                <w:szCs w:val="18"/>
              </w:rPr>
              <w:tab/>
              <w:t>Notes explicatives sur la déchéance de l’obtenteur selon la Convention 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UPOV/EXN/NUL/2</w:t>
            </w:r>
            <w:r w:rsidRPr="00386CD6">
              <w:rPr>
                <w:sz w:val="18"/>
                <w:szCs w:val="18"/>
              </w:rPr>
              <w:tab/>
              <w:t>Notes explicatives sur la nullité du droit d’obtenteur selon la Convention 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UPOV/EXN/PRP/2</w:t>
            </w:r>
            <w:r w:rsidRPr="00386CD6">
              <w:rPr>
                <w:sz w:val="18"/>
                <w:szCs w:val="18"/>
              </w:rPr>
              <w:tab/>
              <w:t>Notes explicatives sur la protection provisoire selon la Convention 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UPOV/INF/4/4</w:t>
            </w:r>
            <w:r w:rsidRPr="00386CD6">
              <w:rPr>
                <w:sz w:val="18"/>
                <w:szCs w:val="18"/>
              </w:rPr>
              <w:tab/>
              <w:t>Règlement financier et règlement d’exécution du Règlement financier de l’UPOV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UPOV/INF/6/4</w:t>
            </w:r>
            <w:r w:rsidRPr="00386CD6">
              <w:rPr>
                <w:sz w:val="18"/>
                <w:szCs w:val="18"/>
              </w:rPr>
              <w:tab/>
              <w:t>Orientations en vue de la rédaction de lois fondées sur l’Acte de 1991 de la Convention 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UPOV/INF/12/5</w:t>
            </w:r>
            <w:r w:rsidRPr="00386CD6">
              <w:rPr>
                <w:sz w:val="18"/>
                <w:szCs w:val="18"/>
              </w:rPr>
              <w:tab/>
              <w:t>Notes explicatives concernant les dénominations variétales selon la Convention 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UPOV/INF/15/3</w:t>
            </w:r>
            <w:r w:rsidRPr="00386CD6">
              <w:rPr>
                <w:sz w:val="18"/>
                <w:szCs w:val="18"/>
              </w:rPr>
              <w:tab/>
              <w:t>Document d’orientation destiné aux membres de l’UPOV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UPOV/INF/16/5</w:t>
            </w:r>
            <w:r w:rsidRPr="00386CD6">
              <w:rPr>
                <w:sz w:val="18"/>
                <w:szCs w:val="18"/>
              </w:rPr>
              <w:tab/>
              <w:t>Logiciels échangeables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UPOV/INF/22/2</w:t>
            </w:r>
            <w:r w:rsidRPr="00386CD6">
              <w:rPr>
                <w:sz w:val="18"/>
                <w:szCs w:val="18"/>
              </w:rPr>
              <w:tab/>
              <w:t>Logiciels et équipements utilisés par les membres de l’Union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UPOV/INF</w:t>
            </w:r>
            <w:r w:rsidRPr="00386CD6">
              <w:rPr>
                <w:sz w:val="18"/>
                <w:szCs w:val="18"/>
              </w:rPr>
              <w:noBreakHyphen/>
              <w:t>EXN/7</w:t>
            </w:r>
            <w:r w:rsidRPr="00386CD6">
              <w:rPr>
                <w:sz w:val="18"/>
                <w:szCs w:val="18"/>
              </w:rPr>
              <w:tab/>
              <w:t>Liste de documents UPOV/INF</w:t>
            </w:r>
            <w:r w:rsidRPr="00386CD6">
              <w:rPr>
                <w:sz w:val="18"/>
                <w:szCs w:val="18"/>
              </w:rPr>
              <w:noBreakHyphen/>
              <w:t>EXN et date de la version la plus récente de ces documents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UPOV/INF</w:t>
            </w:r>
            <w:r w:rsidRPr="00386CD6">
              <w:rPr>
                <w:sz w:val="18"/>
                <w:szCs w:val="18"/>
              </w:rPr>
              <w:noBreakHyphen/>
              <w:t>EXN/8</w:t>
            </w:r>
            <w:r w:rsidRPr="00386CD6">
              <w:rPr>
                <w:sz w:val="18"/>
                <w:szCs w:val="18"/>
              </w:rPr>
              <w:tab/>
              <w:t>Liste de documents UPOV/INF</w:t>
            </w:r>
            <w:r w:rsidRPr="00386CD6">
              <w:rPr>
                <w:sz w:val="18"/>
                <w:szCs w:val="18"/>
              </w:rPr>
              <w:noBreakHyphen/>
              <w:t>EXN et date de la version la plus récente de ces documents (révision)</w:t>
            </w:r>
          </w:p>
        </w:tc>
      </w:tr>
    </w:tbl>
    <w:p w:rsidR="0083792B" w:rsidRPr="00386CD6" w:rsidRDefault="0083792B" w:rsidP="0085651C"/>
    <w:tbl>
      <w:tblPr>
        <w:tblW w:w="9889" w:type="dxa"/>
        <w:tblLayout w:type="fixed"/>
        <w:tblLook w:val="0000" w:firstRow="0" w:lastRow="0" w:firstColumn="0" w:lastColumn="0" w:noHBand="0" w:noVBand="0"/>
      </w:tblPr>
      <w:tblGrid>
        <w:gridCol w:w="1951"/>
        <w:gridCol w:w="4394"/>
        <w:gridCol w:w="3544"/>
      </w:tblGrid>
      <w:tr w:rsidR="0083792B" w:rsidRPr="00386CD6" w:rsidTr="0085651C">
        <w:tc>
          <w:tcPr>
            <w:tcW w:w="1951" w:type="dxa"/>
            <w:shd w:val="clear" w:color="auto" w:fill="auto"/>
          </w:tcPr>
          <w:p w:rsidR="0083792B" w:rsidRPr="00386CD6" w:rsidRDefault="0083792B" w:rsidP="0085651C">
            <w:pPr>
              <w:keepNext/>
              <w:spacing w:after="240"/>
              <w:rPr>
                <w:b/>
                <w:sz w:val="18"/>
                <w:szCs w:val="18"/>
              </w:rPr>
            </w:pPr>
            <w:r w:rsidRPr="00386CD6">
              <w:rPr>
                <w:b/>
                <w:sz w:val="18"/>
                <w:szCs w:val="18"/>
              </w:rPr>
              <w:t>Résultats escomptés</w:t>
            </w:r>
          </w:p>
        </w:tc>
        <w:tc>
          <w:tcPr>
            <w:tcW w:w="7938" w:type="dxa"/>
            <w:gridSpan w:val="2"/>
            <w:shd w:val="clear" w:color="auto" w:fill="auto"/>
          </w:tcPr>
          <w:p w:rsidR="0083792B" w:rsidRPr="00386CD6" w:rsidRDefault="0083792B" w:rsidP="0085651C">
            <w:pPr>
              <w:keepNext/>
              <w:spacing w:after="240"/>
              <w:rPr>
                <w:b/>
                <w:sz w:val="18"/>
                <w:szCs w:val="18"/>
              </w:rPr>
            </w:pPr>
            <w:r w:rsidRPr="00386CD6">
              <w:rPr>
                <w:b/>
                <w:sz w:val="18"/>
                <w:szCs w:val="18"/>
              </w:rPr>
              <w:t>Résultats obtenus : indicateurs d’exécution</w:t>
            </w:r>
          </w:p>
        </w:tc>
      </w:tr>
      <w:tr w:rsidR="0083792B" w:rsidRPr="00386CD6" w:rsidTr="0085651C">
        <w:tc>
          <w:tcPr>
            <w:tcW w:w="1951" w:type="dxa"/>
            <w:shd w:val="clear" w:color="auto" w:fill="auto"/>
          </w:tcPr>
          <w:p w:rsidR="0083792B" w:rsidRPr="00386CD6" w:rsidRDefault="0083792B" w:rsidP="008B401F">
            <w:pPr>
              <w:tabs>
                <w:tab w:val="left" w:pos="311"/>
              </w:tabs>
              <w:jc w:val="left"/>
              <w:rPr>
                <w:sz w:val="18"/>
              </w:rPr>
            </w:pPr>
            <w:r w:rsidRPr="00D535C2">
              <w:rPr>
                <w:i/>
                <w:sz w:val="18"/>
              </w:rPr>
              <w:t>1.</w:t>
            </w:r>
            <w:r w:rsidRPr="00D535C2">
              <w:rPr>
                <w:i/>
                <w:sz w:val="18"/>
              </w:rPr>
              <w:tab/>
              <w:t>Orientations au sujet de la Convention UPOV et sa mise en œuvre et informations sur son application</w:t>
            </w:r>
            <w:r w:rsidRPr="00386CD6">
              <w:rPr>
                <w:sz w:val="18"/>
              </w:rPr>
              <w:t xml:space="preserve"> (suite)</w:t>
            </w:r>
          </w:p>
        </w:tc>
        <w:tc>
          <w:tcPr>
            <w:tcW w:w="7938" w:type="dxa"/>
            <w:gridSpan w:val="2"/>
            <w:shd w:val="clear" w:color="auto" w:fill="auto"/>
          </w:tcPr>
          <w:p w:rsidR="0083792B" w:rsidRPr="00386CD6" w:rsidRDefault="0083792B" w:rsidP="008B401F">
            <w:pPr>
              <w:spacing w:after="240"/>
              <w:ind w:left="317" w:hanging="317"/>
              <w:rPr>
                <w:sz w:val="18"/>
              </w:rPr>
            </w:pPr>
            <w:r w:rsidRPr="00386CD6">
              <w:rPr>
                <w:sz w:val="18"/>
              </w:rPr>
              <w:t>a)</w:t>
            </w:r>
            <w:r w:rsidRPr="00386CD6">
              <w:rPr>
                <w:sz w:val="18"/>
              </w:rPr>
              <w:tab/>
              <w:t>Adoption de matériels d’information nouveaux ou révisés concernant la Convention UPOV (suite)</w:t>
            </w:r>
          </w:p>
          <w:p w:rsidR="0083792B" w:rsidRPr="00386CD6" w:rsidRDefault="0083792B" w:rsidP="0085651C">
            <w:pPr>
              <w:tabs>
                <w:tab w:val="left" w:pos="317"/>
              </w:tabs>
              <w:spacing w:before="120" w:after="60"/>
              <w:rPr>
                <w:sz w:val="18"/>
                <w:szCs w:val="18"/>
              </w:rPr>
            </w:pPr>
            <w:r w:rsidRPr="00386CD6">
              <w:rPr>
                <w:sz w:val="18"/>
                <w:szCs w:val="18"/>
              </w:rPr>
              <w:t>2.</w:t>
            </w:r>
            <w:r w:rsidRPr="00386CD6">
              <w:rPr>
                <w:sz w:val="18"/>
                <w:szCs w:val="18"/>
              </w:rPr>
              <w:tab/>
              <w:t>Les projets des matériels ci</w:t>
            </w:r>
            <w:r w:rsidRPr="00386CD6">
              <w:rPr>
                <w:sz w:val="18"/>
                <w:szCs w:val="18"/>
              </w:rPr>
              <w:noBreakHyphen/>
              <w:t>après ont été examinés par le CAJ en 2015 :</w:t>
            </w:r>
          </w:p>
          <w:p w:rsidR="0083792B" w:rsidRPr="00386CD6" w:rsidRDefault="0083792B" w:rsidP="0085651C">
            <w:pPr>
              <w:tabs>
                <w:tab w:val="num" w:pos="2302"/>
              </w:tabs>
              <w:spacing w:after="60"/>
              <w:ind w:left="2302" w:hanging="1735"/>
              <w:jc w:val="left"/>
              <w:rPr>
                <w:sz w:val="18"/>
                <w:szCs w:val="18"/>
              </w:rPr>
            </w:pPr>
            <w:r w:rsidRPr="00386CD6">
              <w:rPr>
                <w:sz w:val="18"/>
                <w:szCs w:val="18"/>
              </w:rPr>
              <w:t>UPOV/EXN/CAN</w:t>
            </w:r>
            <w:r w:rsidRPr="00386CD6">
              <w:rPr>
                <w:sz w:val="18"/>
                <w:szCs w:val="18"/>
              </w:rPr>
              <w:tab/>
              <w:t>Notes explicatives sur la déchéance de l’obtenteur selon la Convention 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UPOV/EXN/EDV</w:t>
            </w:r>
            <w:r w:rsidRPr="00386CD6">
              <w:rPr>
                <w:sz w:val="18"/>
                <w:szCs w:val="18"/>
              </w:rPr>
              <w:tab/>
              <w:t>Notes explicatives sur les variétés essentiellement dérivées en vertu de l’Acte de 1991 de la Convention 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UPOV/EXN/HRV</w:t>
            </w:r>
            <w:r w:rsidRPr="00386CD6">
              <w:rPr>
                <w:sz w:val="18"/>
                <w:szCs w:val="18"/>
              </w:rPr>
              <w:tab/>
              <w:t>Notes explicatives sur les actes à l’égard du produit de la récolte selon l’Acte de 1991 de la Convention 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UPOV/EXN/NUL</w:t>
            </w:r>
            <w:r w:rsidRPr="00386CD6">
              <w:rPr>
                <w:sz w:val="18"/>
                <w:szCs w:val="18"/>
              </w:rPr>
              <w:tab/>
              <w:t>Notes explicatives sur la nullité du droit d’obtenteur selon la Convention 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UPOV/EXN/PPM</w:t>
            </w:r>
            <w:r w:rsidRPr="00386CD6">
              <w:rPr>
                <w:sz w:val="18"/>
                <w:szCs w:val="18"/>
              </w:rPr>
              <w:tab/>
              <w:t>Notes explicatives sur le matériel de reproduction ou de multiplication selon la Convention UPOV</w:t>
            </w:r>
          </w:p>
          <w:p w:rsidR="0083792B" w:rsidRPr="00386CD6" w:rsidRDefault="0083792B" w:rsidP="0085651C">
            <w:pPr>
              <w:tabs>
                <w:tab w:val="num" w:pos="2302"/>
              </w:tabs>
              <w:spacing w:after="60"/>
              <w:ind w:left="2302" w:hanging="1735"/>
              <w:jc w:val="left"/>
              <w:rPr>
                <w:sz w:val="18"/>
                <w:szCs w:val="18"/>
              </w:rPr>
            </w:pPr>
            <w:r w:rsidRPr="00386CD6">
              <w:rPr>
                <w:sz w:val="18"/>
                <w:szCs w:val="18"/>
              </w:rPr>
              <w:t>UPOV/EXN/PRP</w:t>
            </w:r>
            <w:r w:rsidRPr="00386CD6">
              <w:rPr>
                <w:sz w:val="18"/>
                <w:szCs w:val="18"/>
              </w:rPr>
              <w:tab/>
              <w:t>Notes explicatives sur la protection provisoire selon la Convention 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UPOV/INF/12</w:t>
            </w:r>
            <w:r w:rsidRPr="00386CD6">
              <w:rPr>
                <w:sz w:val="18"/>
                <w:szCs w:val="18"/>
              </w:rPr>
              <w:tab/>
              <w:t>Notes explicatives concernant les dénominations variétales selon la Convention UPOV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UPOV/INF/16</w:t>
            </w:r>
            <w:r w:rsidRPr="00386CD6">
              <w:rPr>
                <w:sz w:val="18"/>
                <w:szCs w:val="18"/>
              </w:rPr>
              <w:tab/>
              <w:t>Logiciels échangeables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UPOV/INF/22</w:t>
            </w:r>
            <w:r w:rsidRPr="00386CD6">
              <w:rPr>
                <w:sz w:val="18"/>
                <w:szCs w:val="18"/>
              </w:rPr>
              <w:tab/>
              <w:t>Logiciels et équipements utilisés par les membres de l’Union (révision)</w:t>
            </w:r>
          </w:p>
          <w:p w:rsidR="0083792B" w:rsidRPr="00386CD6" w:rsidRDefault="0083792B" w:rsidP="0085651C">
            <w:pPr>
              <w:tabs>
                <w:tab w:val="num" w:pos="2302"/>
              </w:tabs>
              <w:spacing w:after="60"/>
              <w:ind w:left="2302" w:hanging="1735"/>
              <w:jc w:val="left"/>
              <w:rPr>
                <w:sz w:val="18"/>
              </w:rPr>
            </w:pPr>
          </w:p>
        </w:tc>
      </w:tr>
      <w:tr w:rsidR="0083792B" w:rsidRPr="00386CD6" w:rsidTr="0085651C">
        <w:tc>
          <w:tcPr>
            <w:tcW w:w="1951" w:type="dxa"/>
            <w:shd w:val="clear" w:color="auto" w:fill="auto"/>
          </w:tcPr>
          <w:p w:rsidR="0083792B" w:rsidRPr="00386CD6" w:rsidRDefault="0083792B" w:rsidP="0085651C">
            <w:pPr>
              <w:jc w:val="left"/>
              <w:rPr>
                <w:sz w:val="18"/>
                <w:szCs w:val="18"/>
              </w:rPr>
            </w:pPr>
          </w:p>
        </w:tc>
        <w:tc>
          <w:tcPr>
            <w:tcW w:w="7938" w:type="dxa"/>
            <w:gridSpan w:val="2"/>
            <w:shd w:val="clear" w:color="auto" w:fill="auto"/>
          </w:tcPr>
          <w:p w:rsidR="0083792B" w:rsidRPr="00386CD6" w:rsidRDefault="0083792B" w:rsidP="008B401F">
            <w:pPr>
              <w:pStyle w:val="Heading8"/>
              <w:keepNext/>
              <w:tabs>
                <w:tab w:val="left" w:pos="307"/>
              </w:tabs>
            </w:pPr>
            <w:bookmarkStart w:id="65" w:name="_Toc464487555"/>
            <w:bookmarkStart w:id="66" w:name="_Toc465100043"/>
            <w:r w:rsidRPr="00386CD6">
              <w:t>b)</w:t>
            </w:r>
            <w:r w:rsidRPr="00386CD6">
              <w:tab/>
              <w:t>Publication de la Gazette et Newsletter de l’UPOV</w:t>
            </w:r>
            <w:bookmarkEnd w:id="65"/>
            <w:bookmarkEnd w:id="66"/>
          </w:p>
          <w:p w:rsidR="0083792B" w:rsidRPr="00386CD6" w:rsidRDefault="0083792B" w:rsidP="0085651C">
            <w:pPr>
              <w:keepNext/>
              <w:keepLines/>
              <w:spacing w:after="120"/>
              <w:ind w:right="176"/>
              <w:jc w:val="left"/>
              <w:rPr>
                <w:sz w:val="18"/>
                <w:szCs w:val="18"/>
              </w:rPr>
            </w:pPr>
            <w:r w:rsidRPr="00386CD6">
              <w:rPr>
                <w:sz w:val="18"/>
                <w:szCs w:val="18"/>
              </w:rPr>
              <w:t>–</w:t>
            </w:r>
            <w:r w:rsidRPr="00386CD6">
              <w:rPr>
                <w:sz w:val="18"/>
                <w:szCs w:val="18"/>
              </w:rPr>
              <w:tab/>
              <w:t>Publication n° 438 de l’UPOV (E), édition n° 107, février 2015</w:t>
            </w:r>
          </w:p>
          <w:p w:rsidR="0083792B" w:rsidRPr="00386CD6" w:rsidRDefault="0083792B" w:rsidP="0085651C">
            <w:pPr>
              <w:keepNext/>
              <w:keepLines/>
              <w:spacing w:after="120"/>
              <w:ind w:right="176"/>
              <w:jc w:val="left"/>
              <w:rPr>
                <w:sz w:val="18"/>
                <w:szCs w:val="18"/>
              </w:rPr>
            </w:pPr>
            <w:r w:rsidRPr="00386CD6">
              <w:rPr>
                <w:sz w:val="18"/>
                <w:szCs w:val="18"/>
              </w:rPr>
              <w:t>–</w:t>
            </w:r>
            <w:r w:rsidRPr="00386CD6">
              <w:rPr>
                <w:sz w:val="18"/>
                <w:szCs w:val="18"/>
              </w:rPr>
              <w:tab/>
              <w:t>Publication n° 438 de l’UPOV (E), édition n° 108, décembre 2015</w:t>
            </w:r>
          </w:p>
          <w:p w:rsidR="0083792B" w:rsidRPr="00386CD6" w:rsidRDefault="0083792B" w:rsidP="0085651C">
            <w:pPr>
              <w:keepNext/>
              <w:rPr>
                <w:sz w:val="18"/>
                <w:szCs w:val="18"/>
              </w:rPr>
            </w:pPr>
          </w:p>
          <w:p w:rsidR="0083792B" w:rsidRPr="00386CD6" w:rsidRDefault="0083792B" w:rsidP="008B401F">
            <w:pPr>
              <w:pStyle w:val="Heading8"/>
              <w:keepNext/>
              <w:tabs>
                <w:tab w:val="left" w:pos="330"/>
              </w:tabs>
              <w:rPr>
                <w:szCs w:val="18"/>
              </w:rPr>
            </w:pPr>
            <w:bookmarkStart w:id="67" w:name="_Toc464487556"/>
            <w:bookmarkStart w:id="68" w:name="_Toc465100044"/>
            <w:r w:rsidRPr="00386CD6">
              <w:rPr>
                <w:szCs w:val="18"/>
              </w:rPr>
              <w:t>c)</w:t>
            </w:r>
            <w:r w:rsidRPr="00386CD6">
              <w:rPr>
                <w:szCs w:val="18"/>
              </w:rPr>
              <w:tab/>
              <w:t>Incorporation de la législation des membres de l’Union dans la base de données UPOV Lex</w:t>
            </w:r>
            <w:bookmarkEnd w:id="67"/>
            <w:bookmarkEnd w:id="68"/>
          </w:p>
          <w:p w:rsidR="0083792B" w:rsidRPr="00386CD6" w:rsidRDefault="0083792B" w:rsidP="0085651C">
            <w:pPr>
              <w:pStyle w:val="ListParagraph"/>
              <w:keepNext/>
              <w:keepLines/>
              <w:numPr>
                <w:ilvl w:val="0"/>
                <w:numId w:val="18"/>
              </w:numPr>
              <w:spacing w:after="120"/>
              <w:ind w:right="176"/>
              <w:jc w:val="left"/>
              <w:rPr>
                <w:sz w:val="18"/>
                <w:szCs w:val="18"/>
              </w:rPr>
            </w:pPr>
            <w:r w:rsidRPr="00386CD6">
              <w:rPr>
                <w:sz w:val="18"/>
                <w:szCs w:val="18"/>
              </w:rPr>
              <w:t>Allemagne, Bélarus, Belgique, Canada, Chine, Estonie, Estonie, Fédération de Russie, Lettonie, Monténégro, République de Moldova, République</w:t>
            </w:r>
            <w:r w:rsidRPr="00386CD6">
              <w:rPr>
                <w:sz w:val="18"/>
                <w:szCs w:val="18"/>
              </w:rPr>
              <w:noBreakHyphen/>
              <w:t>Unie de Tanzanie</w:t>
            </w:r>
          </w:p>
          <w:p w:rsidR="0083792B" w:rsidRPr="00386CD6" w:rsidRDefault="0083792B" w:rsidP="0085651C">
            <w:pPr>
              <w:keepNext/>
              <w:rPr>
                <w:sz w:val="18"/>
                <w:szCs w:val="18"/>
              </w:rPr>
            </w:pPr>
          </w:p>
          <w:p w:rsidR="0083792B" w:rsidRPr="00386CD6" w:rsidRDefault="0083792B" w:rsidP="0085651C">
            <w:pPr>
              <w:keepNext/>
              <w:rPr>
                <w:sz w:val="18"/>
                <w:szCs w:val="18"/>
              </w:rPr>
            </w:pPr>
          </w:p>
          <w:p w:rsidR="0083792B" w:rsidRPr="00386CD6" w:rsidRDefault="0083792B" w:rsidP="0085651C">
            <w:pPr>
              <w:pStyle w:val="Heading8"/>
            </w:pPr>
            <w:bookmarkStart w:id="69" w:name="_Toc464487557"/>
            <w:bookmarkStart w:id="70" w:name="_Toc465100045"/>
            <w:r w:rsidRPr="00386CD6">
              <w:t>Base de données UPOV Lex : consultations du site Web de l’UPOV en 2015</w:t>
            </w:r>
            <w:bookmarkEnd w:id="69"/>
            <w:bookmarkEnd w:id="70"/>
          </w:p>
        </w:tc>
      </w:tr>
      <w:tr w:rsidR="0083792B" w:rsidRPr="00386CD6" w:rsidTr="0085651C">
        <w:tc>
          <w:tcPr>
            <w:tcW w:w="1951" w:type="dxa"/>
            <w:shd w:val="clear" w:color="auto" w:fill="auto"/>
          </w:tcPr>
          <w:p w:rsidR="0083792B" w:rsidRPr="00386CD6" w:rsidRDefault="0083792B" w:rsidP="0085651C">
            <w:pPr>
              <w:jc w:val="left"/>
              <w:rPr>
                <w:sz w:val="18"/>
                <w:szCs w:val="18"/>
              </w:rPr>
            </w:pPr>
          </w:p>
        </w:tc>
        <w:tc>
          <w:tcPr>
            <w:tcW w:w="4394" w:type="dxa"/>
            <w:shd w:val="clear" w:color="auto" w:fill="auto"/>
          </w:tcPr>
          <w:p w:rsidR="0083792B" w:rsidRPr="00386CD6" w:rsidRDefault="0083792B" w:rsidP="0085651C">
            <w:pPr>
              <w:tabs>
                <w:tab w:val="left" w:pos="1310"/>
              </w:tabs>
              <w:spacing w:after="60"/>
              <w:rPr>
                <w:sz w:val="18"/>
                <w:szCs w:val="18"/>
              </w:rPr>
            </w:pPr>
            <w:r w:rsidRPr="00386CD6">
              <w:rPr>
                <w:rFonts w:cs="Arial"/>
                <w:sz w:val="18"/>
                <w:szCs w:val="22"/>
              </w:rPr>
              <w:t>Pages consultées</w:t>
            </w:r>
            <w:r w:rsidRPr="00386CD6">
              <w:rPr>
                <w:sz w:val="18"/>
                <w:szCs w:val="18"/>
              </w:rPr>
              <w:t xml:space="preserve"> : </w:t>
            </w:r>
            <w:r w:rsidRPr="00386CD6">
              <w:rPr>
                <w:sz w:val="18"/>
                <w:szCs w:val="18"/>
              </w:rPr>
              <w:tab/>
            </w:r>
            <w:r w:rsidRPr="00386CD6">
              <w:rPr>
                <w:sz w:val="18"/>
                <w:szCs w:val="22"/>
              </w:rPr>
              <w:t>80 460</w:t>
            </w:r>
            <w:r w:rsidRPr="00386CD6">
              <w:rPr>
                <w:sz w:val="18"/>
                <w:szCs w:val="22"/>
              </w:rPr>
              <w:br/>
            </w:r>
            <w:r w:rsidRPr="00386CD6">
              <w:rPr>
                <w:sz w:val="18"/>
                <w:szCs w:val="22"/>
              </w:rPr>
              <w:tab/>
            </w:r>
            <w:r w:rsidRPr="00386CD6">
              <w:rPr>
                <w:sz w:val="18"/>
                <w:szCs w:val="18"/>
              </w:rPr>
              <w:t xml:space="preserve">(88 305 en 2014;  </w:t>
            </w:r>
            <w:r w:rsidRPr="00386CD6">
              <w:rPr>
                <w:sz w:val="18"/>
                <w:szCs w:val="22"/>
              </w:rPr>
              <w:t>88 533 e</w:t>
            </w:r>
            <w:r w:rsidRPr="00386CD6">
              <w:rPr>
                <w:sz w:val="18"/>
                <w:szCs w:val="18"/>
              </w:rPr>
              <w:t>n</w:t>
            </w:r>
            <w:r w:rsidRPr="00386CD6">
              <w:rPr>
                <w:sz w:val="18"/>
                <w:szCs w:val="22"/>
              </w:rPr>
              <w:t> </w:t>
            </w:r>
            <w:r w:rsidRPr="00386CD6">
              <w:rPr>
                <w:sz w:val="18"/>
                <w:szCs w:val="18"/>
              </w:rPr>
              <w:t>2013)</w:t>
            </w:r>
          </w:p>
          <w:p w:rsidR="0083792B" w:rsidRPr="00386CD6" w:rsidRDefault="0083792B" w:rsidP="0085651C">
            <w:pPr>
              <w:tabs>
                <w:tab w:val="left" w:pos="1310"/>
              </w:tabs>
              <w:spacing w:after="60"/>
              <w:rPr>
                <w:sz w:val="18"/>
                <w:szCs w:val="18"/>
              </w:rPr>
            </w:pPr>
          </w:p>
          <w:p w:rsidR="0083792B" w:rsidRPr="00386CD6" w:rsidRDefault="0083792B" w:rsidP="0085651C">
            <w:pPr>
              <w:tabs>
                <w:tab w:val="left" w:pos="1310"/>
              </w:tabs>
              <w:rPr>
                <w:sz w:val="18"/>
                <w:szCs w:val="18"/>
              </w:rPr>
            </w:pPr>
            <w:r w:rsidRPr="00386CD6">
              <w:rPr>
                <w:rFonts w:cs="Arial"/>
                <w:bCs/>
                <w:sz w:val="18"/>
                <w:szCs w:val="22"/>
              </w:rPr>
              <w:t>Consultations ponctuelles </w:t>
            </w:r>
            <w:r w:rsidRPr="00386CD6">
              <w:rPr>
                <w:sz w:val="18"/>
                <w:szCs w:val="18"/>
              </w:rPr>
              <w:t xml:space="preserve">: </w:t>
            </w:r>
            <w:r w:rsidRPr="00386CD6">
              <w:rPr>
                <w:sz w:val="18"/>
                <w:szCs w:val="18"/>
              </w:rPr>
              <w:tab/>
              <w:t>55 </w:t>
            </w:r>
            <w:r w:rsidRPr="00386CD6">
              <w:rPr>
                <w:sz w:val="18"/>
                <w:szCs w:val="22"/>
              </w:rPr>
              <w:t>991</w:t>
            </w:r>
            <w:r w:rsidRPr="00386CD6">
              <w:rPr>
                <w:sz w:val="18"/>
                <w:szCs w:val="22"/>
              </w:rPr>
              <w:br/>
            </w:r>
            <w:r w:rsidRPr="00386CD6">
              <w:rPr>
                <w:sz w:val="18"/>
                <w:szCs w:val="22"/>
              </w:rPr>
              <w:tab/>
            </w:r>
            <w:r w:rsidRPr="00386CD6">
              <w:rPr>
                <w:sz w:val="18"/>
                <w:szCs w:val="18"/>
              </w:rPr>
              <w:t xml:space="preserve">(60 439 en 2014;  </w:t>
            </w:r>
            <w:r w:rsidRPr="00386CD6">
              <w:rPr>
                <w:sz w:val="18"/>
                <w:szCs w:val="22"/>
              </w:rPr>
              <w:t xml:space="preserve">61 230 </w:t>
            </w:r>
            <w:r w:rsidRPr="00386CD6">
              <w:rPr>
                <w:sz w:val="18"/>
                <w:szCs w:val="18"/>
              </w:rPr>
              <w:t>en 2013)</w:t>
            </w:r>
          </w:p>
          <w:p w:rsidR="0083792B" w:rsidRPr="00386CD6" w:rsidRDefault="0083792B" w:rsidP="0085651C"/>
          <w:p w:rsidR="0083792B" w:rsidRPr="00386CD6" w:rsidRDefault="0083792B" w:rsidP="0085651C"/>
          <w:p w:rsidR="0083792B" w:rsidRPr="00386CD6" w:rsidRDefault="0083792B" w:rsidP="0085651C"/>
        </w:tc>
        <w:tc>
          <w:tcPr>
            <w:tcW w:w="3544" w:type="dxa"/>
            <w:shd w:val="clear" w:color="auto" w:fill="auto"/>
          </w:tcPr>
          <w:tbl>
            <w:tblPr>
              <w:tblW w:w="3349" w:type="dxa"/>
              <w:tblInd w:w="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081"/>
              <w:gridCol w:w="993"/>
              <w:gridCol w:w="1275"/>
            </w:tblGrid>
            <w:tr w:rsidR="0083792B" w:rsidRPr="00386CD6" w:rsidTr="00D535C2">
              <w:trPr>
                <w:trHeight w:val="143"/>
              </w:trPr>
              <w:tc>
                <w:tcPr>
                  <w:tcW w:w="1081" w:type="dxa"/>
                </w:tcPr>
                <w:p w:rsidR="0083792B" w:rsidRPr="00386CD6" w:rsidRDefault="0083792B" w:rsidP="0085651C">
                  <w:pPr>
                    <w:autoSpaceDE w:val="0"/>
                    <w:autoSpaceDN w:val="0"/>
                    <w:adjustRightInd w:val="0"/>
                    <w:jc w:val="center"/>
                    <w:rPr>
                      <w:rFonts w:cs="Arial"/>
                      <w:sz w:val="18"/>
                      <w:szCs w:val="22"/>
                    </w:rPr>
                  </w:pPr>
                  <w:r w:rsidRPr="00386CD6">
                    <w:rPr>
                      <w:rFonts w:cs="Arial"/>
                      <w:bCs/>
                      <w:sz w:val="18"/>
                      <w:szCs w:val="22"/>
                    </w:rPr>
                    <w:t>Langue</w:t>
                  </w:r>
                </w:p>
              </w:tc>
              <w:tc>
                <w:tcPr>
                  <w:tcW w:w="993" w:type="dxa"/>
                </w:tcPr>
                <w:p w:rsidR="0083792B" w:rsidRPr="00386CD6" w:rsidRDefault="0083792B" w:rsidP="0085651C">
                  <w:pPr>
                    <w:autoSpaceDE w:val="0"/>
                    <w:autoSpaceDN w:val="0"/>
                    <w:adjustRightInd w:val="0"/>
                    <w:jc w:val="center"/>
                    <w:rPr>
                      <w:rFonts w:cs="Arial"/>
                      <w:sz w:val="18"/>
                      <w:szCs w:val="22"/>
                    </w:rPr>
                  </w:pPr>
                  <w:r w:rsidRPr="00386CD6">
                    <w:rPr>
                      <w:rFonts w:cs="Arial"/>
                      <w:sz w:val="18"/>
                      <w:szCs w:val="22"/>
                    </w:rPr>
                    <w:t>Pages consultées</w:t>
                  </w:r>
                </w:p>
              </w:tc>
              <w:tc>
                <w:tcPr>
                  <w:tcW w:w="1275" w:type="dxa"/>
                </w:tcPr>
                <w:p w:rsidR="0083792B" w:rsidRPr="00386CD6" w:rsidRDefault="0083792B" w:rsidP="0085651C">
                  <w:pPr>
                    <w:autoSpaceDE w:val="0"/>
                    <w:autoSpaceDN w:val="0"/>
                    <w:adjustRightInd w:val="0"/>
                    <w:jc w:val="center"/>
                    <w:rPr>
                      <w:rFonts w:cs="Arial"/>
                      <w:sz w:val="18"/>
                      <w:szCs w:val="22"/>
                    </w:rPr>
                  </w:pPr>
                  <w:r w:rsidRPr="00386CD6">
                    <w:rPr>
                      <w:rFonts w:cs="Arial"/>
                      <w:bCs/>
                      <w:sz w:val="18"/>
                      <w:szCs w:val="22"/>
                    </w:rPr>
                    <w:t>Consultations ponctuelles</w:t>
                  </w:r>
                  <w:r w:rsidRPr="00386CD6">
                    <w:rPr>
                      <w:rFonts w:cs="Arial"/>
                      <w:sz w:val="18"/>
                      <w:szCs w:val="22"/>
                    </w:rPr>
                    <w:t xml:space="preserve"> </w:t>
                  </w:r>
                </w:p>
              </w:tc>
            </w:tr>
            <w:tr w:rsidR="0083792B" w:rsidRPr="00386CD6" w:rsidTr="00D535C2">
              <w:trPr>
                <w:trHeight w:val="148"/>
              </w:trPr>
              <w:tc>
                <w:tcPr>
                  <w:tcW w:w="1081"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Anglais </w:t>
                  </w:r>
                </w:p>
              </w:tc>
              <w:tc>
                <w:tcPr>
                  <w:tcW w:w="993" w:type="dxa"/>
                </w:tcPr>
                <w:p w:rsidR="0083792B" w:rsidRPr="00386CD6" w:rsidRDefault="0083792B" w:rsidP="0085651C">
                  <w:pPr>
                    <w:pStyle w:val="Default"/>
                    <w:tabs>
                      <w:tab w:val="decimal" w:pos="849"/>
                    </w:tabs>
                    <w:rPr>
                      <w:color w:val="auto"/>
                      <w:sz w:val="18"/>
                      <w:szCs w:val="18"/>
                      <w:lang w:val="fr-FR"/>
                    </w:rPr>
                  </w:pPr>
                  <w:r w:rsidRPr="00386CD6">
                    <w:rPr>
                      <w:color w:val="auto"/>
                      <w:sz w:val="18"/>
                      <w:szCs w:val="18"/>
                      <w:lang w:val="fr-FR"/>
                    </w:rPr>
                    <w:t>53 580</w:t>
                  </w:r>
                </w:p>
              </w:tc>
              <w:tc>
                <w:tcPr>
                  <w:tcW w:w="1275" w:type="dxa"/>
                </w:tcPr>
                <w:p w:rsidR="0083792B" w:rsidRPr="00386CD6" w:rsidRDefault="0083792B" w:rsidP="0085651C">
                  <w:pPr>
                    <w:pStyle w:val="Default"/>
                    <w:tabs>
                      <w:tab w:val="decimal" w:pos="835"/>
                    </w:tabs>
                    <w:rPr>
                      <w:color w:val="auto"/>
                      <w:sz w:val="18"/>
                      <w:szCs w:val="18"/>
                      <w:lang w:val="fr-FR"/>
                    </w:rPr>
                  </w:pPr>
                  <w:r w:rsidRPr="00386CD6">
                    <w:rPr>
                      <w:color w:val="auto"/>
                      <w:sz w:val="18"/>
                      <w:szCs w:val="18"/>
                      <w:lang w:val="fr-FR"/>
                    </w:rPr>
                    <w:t>37 259</w:t>
                  </w:r>
                </w:p>
              </w:tc>
            </w:tr>
            <w:tr w:rsidR="0083792B" w:rsidRPr="00386CD6" w:rsidTr="00D535C2">
              <w:trPr>
                <w:trHeight w:val="142"/>
              </w:trPr>
              <w:tc>
                <w:tcPr>
                  <w:tcW w:w="1081"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Espagnol </w:t>
                  </w:r>
                </w:p>
              </w:tc>
              <w:tc>
                <w:tcPr>
                  <w:tcW w:w="993" w:type="dxa"/>
                </w:tcPr>
                <w:p w:rsidR="0083792B" w:rsidRPr="00386CD6" w:rsidRDefault="0083792B" w:rsidP="0085651C">
                  <w:pPr>
                    <w:pStyle w:val="Default"/>
                    <w:tabs>
                      <w:tab w:val="decimal" w:pos="849"/>
                    </w:tabs>
                    <w:rPr>
                      <w:color w:val="auto"/>
                      <w:sz w:val="18"/>
                      <w:szCs w:val="18"/>
                      <w:lang w:val="fr-FR"/>
                    </w:rPr>
                  </w:pPr>
                  <w:r w:rsidRPr="00386CD6">
                    <w:rPr>
                      <w:color w:val="auto"/>
                      <w:sz w:val="18"/>
                      <w:szCs w:val="18"/>
                      <w:lang w:val="fr-FR"/>
                    </w:rPr>
                    <w:t>18 379</w:t>
                  </w:r>
                </w:p>
              </w:tc>
              <w:tc>
                <w:tcPr>
                  <w:tcW w:w="1275" w:type="dxa"/>
                </w:tcPr>
                <w:p w:rsidR="0083792B" w:rsidRPr="00386CD6" w:rsidRDefault="0083792B" w:rsidP="0085651C">
                  <w:pPr>
                    <w:pStyle w:val="Default"/>
                    <w:tabs>
                      <w:tab w:val="decimal" w:pos="835"/>
                    </w:tabs>
                    <w:rPr>
                      <w:color w:val="auto"/>
                      <w:sz w:val="18"/>
                      <w:szCs w:val="18"/>
                      <w:lang w:val="fr-FR"/>
                    </w:rPr>
                  </w:pPr>
                  <w:r w:rsidRPr="00386CD6">
                    <w:rPr>
                      <w:color w:val="auto"/>
                      <w:sz w:val="18"/>
                      <w:szCs w:val="18"/>
                      <w:lang w:val="fr-FR"/>
                    </w:rPr>
                    <w:t>12 543</w:t>
                  </w:r>
                </w:p>
              </w:tc>
            </w:tr>
            <w:tr w:rsidR="0083792B" w:rsidRPr="00386CD6" w:rsidTr="00D535C2">
              <w:trPr>
                <w:trHeight w:val="148"/>
              </w:trPr>
              <w:tc>
                <w:tcPr>
                  <w:tcW w:w="1081"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Français </w:t>
                  </w:r>
                </w:p>
              </w:tc>
              <w:tc>
                <w:tcPr>
                  <w:tcW w:w="993" w:type="dxa"/>
                </w:tcPr>
                <w:p w:rsidR="0083792B" w:rsidRPr="00386CD6" w:rsidRDefault="0083792B" w:rsidP="0085651C">
                  <w:pPr>
                    <w:pStyle w:val="Default"/>
                    <w:tabs>
                      <w:tab w:val="decimal" w:pos="849"/>
                    </w:tabs>
                    <w:rPr>
                      <w:color w:val="auto"/>
                      <w:sz w:val="18"/>
                      <w:szCs w:val="18"/>
                      <w:lang w:val="fr-FR"/>
                    </w:rPr>
                  </w:pPr>
                  <w:r w:rsidRPr="00386CD6">
                    <w:rPr>
                      <w:color w:val="auto"/>
                      <w:sz w:val="18"/>
                      <w:szCs w:val="18"/>
                      <w:lang w:val="fr-FR"/>
                    </w:rPr>
                    <w:t>5601</w:t>
                  </w:r>
                </w:p>
              </w:tc>
              <w:tc>
                <w:tcPr>
                  <w:tcW w:w="1275" w:type="dxa"/>
                </w:tcPr>
                <w:p w:rsidR="0083792B" w:rsidRPr="00386CD6" w:rsidRDefault="0083792B" w:rsidP="0085651C">
                  <w:pPr>
                    <w:pStyle w:val="Default"/>
                    <w:tabs>
                      <w:tab w:val="decimal" w:pos="835"/>
                    </w:tabs>
                    <w:rPr>
                      <w:color w:val="auto"/>
                      <w:sz w:val="18"/>
                      <w:szCs w:val="18"/>
                      <w:lang w:val="fr-FR"/>
                    </w:rPr>
                  </w:pPr>
                  <w:r w:rsidRPr="00386CD6">
                    <w:rPr>
                      <w:color w:val="auto"/>
                      <w:sz w:val="18"/>
                      <w:szCs w:val="18"/>
                      <w:lang w:val="fr-FR"/>
                    </w:rPr>
                    <w:t>3989</w:t>
                  </w:r>
                </w:p>
              </w:tc>
            </w:tr>
            <w:tr w:rsidR="0083792B" w:rsidRPr="00386CD6" w:rsidTr="00D535C2">
              <w:trPr>
                <w:trHeight w:val="142"/>
              </w:trPr>
              <w:tc>
                <w:tcPr>
                  <w:tcW w:w="1081"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Allemand </w:t>
                  </w:r>
                </w:p>
              </w:tc>
              <w:tc>
                <w:tcPr>
                  <w:tcW w:w="993" w:type="dxa"/>
                </w:tcPr>
                <w:p w:rsidR="0083792B" w:rsidRPr="00386CD6" w:rsidRDefault="0083792B" w:rsidP="0085651C">
                  <w:pPr>
                    <w:pStyle w:val="Default"/>
                    <w:tabs>
                      <w:tab w:val="decimal" w:pos="849"/>
                    </w:tabs>
                    <w:rPr>
                      <w:color w:val="auto"/>
                      <w:sz w:val="18"/>
                      <w:szCs w:val="18"/>
                      <w:lang w:val="fr-FR"/>
                    </w:rPr>
                  </w:pPr>
                  <w:r w:rsidRPr="00386CD6">
                    <w:rPr>
                      <w:color w:val="auto"/>
                      <w:sz w:val="18"/>
                      <w:szCs w:val="18"/>
                      <w:lang w:val="fr-FR"/>
                    </w:rPr>
                    <w:t>2875</w:t>
                  </w:r>
                </w:p>
              </w:tc>
              <w:tc>
                <w:tcPr>
                  <w:tcW w:w="1275" w:type="dxa"/>
                </w:tcPr>
                <w:p w:rsidR="0083792B" w:rsidRPr="00386CD6" w:rsidRDefault="0083792B" w:rsidP="0085651C">
                  <w:pPr>
                    <w:pStyle w:val="Default"/>
                    <w:tabs>
                      <w:tab w:val="decimal" w:pos="835"/>
                    </w:tabs>
                    <w:rPr>
                      <w:color w:val="auto"/>
                      <w:sz w:val="18"/>
                      <w:szCs w:val="18"/>
                      <w:lang w:val="fr-FR"/>
                    </w:rPr>
                  </w:pPr>
                  <w:r w:rsidRPr="00386CD6">
                    <w:rPr>
                      <w:color w:val="auto"/>
                      <w:sz w:val="18"/>
                      <w:szCs w:val="18"/>
                      <w:lang w:val="fr-FR"/>
                    </w:rPr>
                    <w:t>2185</w:t>
                  </w:r>
                </w:p>
              </w:tc>
            </w:tr>
          </w:tbl>
          <w:p w:rsidR="0083792B" w:rsidRPr="00386CD6" w:rsidRDefault="0083792B" w:rsidP="0085651C"/>
        </w:tc>
      </w:tr>
      <w:tr w:rsidR="0083792B" w:rsidRPr="00386CD6" w:rsidTr="0085651C">
        <w:tc>
          <w:tcPr>
            <w:tcW w:w="1951" w:type="dxa"/>
            <w:shd w:val="clear" w:color="auto" w:fill="auto"/>
          </w:tcPr>
          <w:p w:rsidR="0083792B" w:rsidRPr="00386CD6" w:rsidRDefault="0083792B" w:rsidP="0085651C">
            <w:pPr>
              <w:jc w:val="left"/>
              <w:rPr>
                <w:i/>
                <w:sz w:val="18"/>
                <w:szCs w:val="18"/>
              </w:rPr>
            </w:pPr>
          </w:p>
        </w:tc>
        <w:tc>
          <w:tcPr>
            <w:tcW w:w="7938" w:type="dxa"/>
            <w:gridSpan w:val="2"/>
            <w:shd w:val="clear" w:color="auto" w:fill="auto"/>
          </w:tcPr>
          <w:p w:rsidR="0083792B" w:rsidRPr="00386CD6" w:rsidRDefault="0083792B" w:rsidP="008B401F">
            <w:pPr>
              <w:pStyle w:val="Heading8"/>
              <w:keepNext/>
              <w:tabs>
                <w:tab w:val="left" w:pos="330"/>
              </w:tabs>
              <w:rPr>
                <w:i w:val="0"/>
                <w:szCs w:val="18"/>
              </w:rPr>
            </w:pPr>
            <w:bookmarkStart w:id="71" w:name="_Toc464487558"/>
            <w:bookmarkStart w:id="72" w:name="_Toc465100046"/>
            <w:r w:rsidRPr="00386CD6">
              <w:rPr>
                <w:szCs w:val="18"/>
              </w:rPr>
              <w:t>d)</w:t>
            </w:r>
            <w:r w:rsidR="008B401F" w:rsidRPr="00386CD6">
              <w:rPr>
                <w:szCs w:val="18"/>
              </w:rPr>
              <w:tab/>
            </w:r>
            <w:r w:rsidRPr="00386CD6">
              <w:rPr>
                <w:szCs w:val="18"/>
              </w:rPr>
              <w:t>Participation à des séminaires et colloques organisés à Genève parallèlement aux sessions de l’UPOV</w:t>
            </w:r>
            <w:bookmarkEnd w:id="71"/>
            <w:bookmarkEnd w:id="72"/>
          </w:p>
          <w:p w:rsidR="0083792B" w:rsidRPr="00D535C2" w:rsidRDefault="0083792B" w:rsidP="0085651C">
            <w:pPr>
              <w:jc w:val="left"/>
              <w:rPr>
                <w:sz w:val="18"/>
                <w:szCs w:val="18"/>
              </w:rPr>
            </w:pPr>
            <w:r w:rsidRPr="00D535C2">
              <w:rPr>
                <w:sz w:val="18"/>
                <w:szCs w:val="18"/>
              </w:rPr>
              <w:t>Aucun séminaire ni colloque organisé en 2015</w:t>
            </w:r>
          </w:p>
        </w:tc>
      </w:tr>
    </w:tbl>
    <w:p w:rsidR="0083792B" w:rsidRPr="00386CD6" w:rsidRDefault="0083792B" w:rsidP="0085651C"/>
    <w:p w:rsidR="0083792B" w:rsidRPr="00386CD6" w:rsidRDefault="0083792B" w:rsidP="0085651C">
      <w:r w:rsidRPr="00386CD6">
        <w:br w:type="page"/>
      </w:r>
    </w:p>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keepNext/>
              <w:spacing w:after="240"/>
              <w:rPr>
                <w:b/>
                <w:sz w:val="18"/>
                <w:szCs w:val="18"/>
              </w:rPr>
            </w:pPr>
            <w:r w:rsidRPr="00386CD6">
              <w:rPr>
                <w:b/>
                <w:sz w:val="18"/>
                <w:szCs w:val="18"/>
              </w:rPr>
              <w:t>Résultats escomptés</w:t>
            </w:r>
          </w:p>
        </w:tc>
        <w:tc>
          <w:tcPr>
            <w:tcW w:w="7938" w:type="dxa"/>
            <w:shd w:val="clear" w:color="auto" w:fill="auto"/>
          </w:tcPr>
          <w:p w:rsidR="0083792B" w:rsidRPr="00386CD6" w:rsidRDefault="0083792B" w:rsidP="0085651C">
            <w:pPr>
              <w:keepNext/>
              <w:spacing w:after="240"/>
              <w:rPr>
                <w:b/>
                <w:sz w:val="18"/>
                <w:szCs w:val="18"/>
              </w:rPr>
            </w:pPr>
            <w:r w:rsidRPr="00386CD6">
              <w:rPr>
                <w:b/>
                <w:sz w:val="18"/>
                <w:szCs w:val="18"/>
              </w:rPr>
              <w:t>Résultats obtenus : indicateurs d’exécution</w:t>
            </w:r>
          </w:p>
        </w:tc>
      </w:tr>
      <w:tr w:rsidR="0083792B" w:rsidRPr="00386CD6" w:rsidTr="0085651C">
        <w:tc>
          <w:tcPr>
            <w:tcW w:w="1951" w:type="dxa"/>
            <w:shd w:val="clear" w:color="auto" w:fill="auto"/>
          </w:tcPr>
          <w:p w:rsidR="0083792B" w:rsidRPr="00386CD6" w:rsidRDefault="0083792B" w:rsidP="008B401F">
            <w:pPr>
              <w:pStyle w:val="Heading6"/>
              <w:tabs>
                <w:tab w:val="left" w:pos="276"/>
              </w:tabs>
            </w:pPr>
            <w:bookmarkStart w:id="73" w:name="_Toc464487559"/>
            <w:bookmarkStart w:id="74" w:name="_Toc465100047"/>
            <w:r w:rsidRPr="00386CD6">
              <w:t>2.</w:t>
            </w:r>
            <w:r w:rsidR="008B401F" w:rsidRPr="00386CD6">
              <w:tab/>
            </w:r>
            <w:r w:rsidRPr="00386CD6">
              <w:t>Orientations au sujet de l’examen des variétés</w:t>
            </w:r>
            <w:bookmarkEnd w:id="73"/>
            <w:bookmarkEnd w:id="74"/>
          </w:p>
        </w:tc>
        <w:tc>
          <w:tcPr>
            <w:tcW w:w="7938" w:type="dxa"/>
            <w:shd w:val="clear" w:color="auto" w:fill="auto"/>
          </w:tcPr>
          <w:p w:rsidR="0083792B" w:rsidRPr="00386CD6" w:rsidRDefault="0083792B" w:rsidP="008B401F">
            <w:pPr>
              <w:pStyle w:val="Heading8"/>
              <w:tabs>
                <w:tab w:val="left" w:pos="330"/>
              </w:tabs>
            </w:pPr>
            <w:bookmarkStart w:id="75" w:name="_Toc464487560"/>
            <w:bookmarkStart w:id="76" w:name="_Toc465100048"/>
            <w:r w:rsidRPr="00386CD6">
              <w:t>a)</w:t>
            </w:r>
            <w:r w:rsidRPr="00386CD6">
              <w:tab/>
              <w:t>Adoption de documents TGP et de matériels d’information nouveaux ou révisés</w:t>
            </w:r>
            <w:bookmarkEnd w:id="75"/>
            <w:bookmarkEnd w:id="76"/>
          </w:p>
          <w:p w:rsidR="0083792B" w:rsidRPr="00386CD6" w:rsidRDefault="0083792B" w:rsidP="008B401F">
            <w:pPr>
              <w:keepNext/>
              <w:keepLines/>
              <w:numPr>
                <w:ilvl w:val="0"/>
                <w:numId w:val="3"/>
              </w:numPr>
              <w:spacing w:after="120"/>
              <w:ind w:left="317" w:right="176" w:hanging="317"/>
              <w:jc w:val="left"/>
              <w:rPr>
                <w:sz w:val="18"/>
                <w:szCs w:val="18"/>
              </w:rPr>
            </w:pPr>
            <w:r w:rsidRPr="00386CD6">
              <w:rPr>
                <w:sz w:val="18"/>
                <w:szCs w:val="18"/>
              </w:rPr>
              <w:t>Documents TGP adoptés et publiés sur le site Web de l’UPOV en 2015 :</w:t>
            </w:r>
          </w:p>
          <w:p w:rsidR="0083792B" w:rsidRPr="00386CD6" w:rsidRDefault="0083792B" w:rsidP="0085651C">
            <w:pPr>
              <w:tabs>
                <w:tab w:val="num" w:pos="2160"/>
              </w:tabs>
              <w:spacing w:after="60"/>
              <w:ind w:left="2160" w:hanging="1593"/>
              <w:jc w:val="left"/>
              <w:rPr>
                <w:sz w:val="18"/>
                <w:szCs w:val="18"/>
              </w:rPr>
            </w:pPr>
            <w:r w:rsidRPr="00386CD6">
              <w:rPr>
                <w:sz w:val="18"/>
                <w:szCs w:val="18"/>
              </w:rPr>
              <w:t>TGP/5</w:t>
            </w:r>
            <w:r w:rsidRPr="00386CD6">
              <w:rPr>
                <w:sz w:val="18"/>
                <w:szCs w:val="18"/>
              </w:rPr>
              <w:tab/>
              <w:t>Expérience et coopération en matière d’examen DHS</w:t>
            </w:r>
          </w:p>
          <w:p w:rsidR="0083792B" w:rsidRPr="00386CD6" w:rsidRDefault="0083792B" w:rsidP="0085651C">
            <w:pPr>
              <w:tabs>
                <w:tab w:val="num" w:pos="2302"/>
              </w:tabs>
              <w:spacing w:after="60"/>
              <w:ind w:left="2302" w:hanging="1735"/>
              <w:jc w:val="left"/>
              <w:rPr>
                <w:sz w:val="18"/>
                <w:szCs w:val="18"/>
              </w:rPr>
            </w:pPr>
            <w:r w:rsidRPr="00386CD6">
              <w:rPr>
                <w:sz w:val="18"/>
                <w:szCs w:val="18"/>
              </w:rPr>
              <w:t>Section 3/2</w:t>
            </w:r>
            <w:r w:rsidRPr="00386CD6">
              <w:rPr>
                <w:sz w:val="18"/>
                <w:szCs w:val="18"/>
              </w:rPr>
              <w:tab/>
              <w:t>Questionnaire technique à remplir en relation avec une demande de certificat d’obtention végétale (révision)</w:t>
            </w:r>
          </w:p>
          <w:p w:rsidR="0083792B" w:rsidRPr="00386CD6" w:rsidRDefault="0083792B" w:rsidP="0085651C">
            <w:pPr>
              <w:tabs>
                <w:tab w:val="num" w:pos="2302"/>
              </w:tabs>
              <w:spacing w:after="60"/>
              <w:ind w:left="2302" w:hanging="1735"/>
              <w:jc w:val="left"/>
              <w:rPr>
                <w:sz w:val="18"/>
                <w:szCs w:val="18"/>
              </w:rPr>
            </w:pPr>
            <w:r w:rsidRPr="00386CD6">
              <w:rPr>
                <w:sz w:val="18"/>
                <w:szCs w:val="18"/>
              </w:rPr>
              <w:t>Section 8/2</w:t>
            </w:r>
            <w:r w:rsidRPr="00386CD6">
              <w:rPr>
                <w:sz w:val="18"/>
                <w:szCs w:val="18"/>
              </w:rPr>
              <w:tab/>
              <w:t>Coopération en matière d’examen (révision)</w:t>
            </w:r>
          </w:p>
          <w:p w:rsidR="0083792B" w:rsidRPr="00386CD6" w:rsidRDefault="0083792B" w:rsidP="0085651C">
            <w:pPr>
              <w:tabs>
                <w:tab w:val="num" w:pos="2302"/>
              </w:tabs>
              <w:spacing w:after="120"/>
              <w:ind w:left="2302" w:hanging="1735"/>
              <w:jc w:val="left"/>
              <w:rPr>
                <w:sz w:val="18"/>
                <w:szCs w:val="18"/>
              </w:rPr>
            </w:pPr>
            <w:r w:rsidRPr="00386CD6">
              <w:rPr>
                <w:sz w:val="18"/>
                <w:szCs w:val="18"/>
              </w:rPr>
              <w:t>Section 9/2</w:t>
            </w:r>
            <w:r w:rsidRPr="00386CD6">
              <w:rPr>
                <w:sz w:val="18"/>
                <w:szCs w:val="18"/>
              </w:rPr>
              <w:tab/>
              <w:t>Liste des espèces sur lesquelles des connaissances pratiques ont été acquises ou pour lesquelles des principes directeurs d’examen nationaux ont été établis (révision)</w:t>
            </w:r>
          </w:p>
          <w:p w:rsidR="0083792B" w:rsidRPr="00386CD6" w:rsidRDefault="0083792B" w:rsidP="0085651C">
            <w:pPr>
              <w:tabs>
                <w:tab w:val="num" w:pos="2160"/>
              </w:tabs>
              <w:spacing w:after="120"/>
              <w:ind w:left="2160" w:hanging="1593"/>
              <w:jc w:val="left"/>
              <w:rPr>
                <w:sz w:val="18"/>
                <w:szCs w:val="18"/>
              </w:rPr>
            </w:pPr>
            <w:r w:rsidRPr="00386CD6">
              <w:rPr>
                <w:sz w:val="18"/>
                <w:szCs w:val="18"/>
              </w:rPr>
              <w:t>TGP/9/2</w:t>
            </w:r>
            <w:r w:rsidRPr="00386CD6">
              <w:rPr>
                <w:sz w:val="18"/>
                <w:szCs w:val="18"/>
              </w:rPr>
              <w:tab/>
              <w:t>Examen de la distinction (révision)</w:t>
            </w:r>
          </w:p>
          <w:p w:rsidR="0083792B" w:rsidRPr="00386CD6" w:rsidRDefault="0083792B" w:rsidP="0085651C">
            <w:pPr>
              <w:tabs>
                <w:tab w:val="num" w:pos="2160"/>
              </w:tabs>
              <w:spacing w:after="60"/>
              <w:ind w:left="2160" w:hanging="1593"/>
              <w:jc w:val="left"/>
              <w:rPr>
                <w:sz w:val="18"/>
                <w:szCs w:val="18"/>
              </w:rPr>
            </w:pPr>
            <w:r w:rsidRPr="00386CD6">
              <w:rPr>
                <w:sz w:val="18"/>
                <w:szCs w:val="18"/>
              </w:rPr>
              <w:t>TGP/14/3</w:t>
            </w:r>
            <w:r w:rsidRPr="00386CD6">
              <w:rPr>
                <w:sz w:val="18"/>
                <w:szCs w:val="18"/>
              </w:rPr>
              <w:tab/>
              <w:t>Glossaire de termes utilisés dans les documents de l’UPOV</w:t>
            </w:r>
          </w:p>
          <w:p w:rsidR="0083792B" w:rsidRPr="00386CD6" w:rsidRDefault="0083792B" w:rsidP="0085651C">
            <w:pPr>
              <w:tabs>
                <w:tab w:val="num" w:pos="2302"/>
              </w:tabs>
              <w:spacing w:after="120"/>
              <w:ind w:left="2302" w:hanging="1735"/>
              <w:jc w:val="left"/>
              <w:rPr>
                <w:sz w:val="18"/>
                <w:szCs w:val="18"/>
              </w:rPr>
            </w:pPr>
            <w:r w:rsidRPr="00386CD6">
              <w:rPr>
                <w:sz w:val="18"/>
                <w:szCs w:val="18"/>
              </w:rPr>
              <w:t>Section 2.4</w:t>
            </w:r>
            <w:r w:rsidRPr="00386CD6">
              <w:rPr>
                <w:sz w:val="18"/>
                <w:szCs w:val="18"/>
              </w:rPr>
              <w:tab/>
              <w:t>Caractères liés à la forme de l’apex ou de l’extrémité (révision)</w:t>
            </w:r>
          </w:p>
          <w:p w:rsidR="0083792B" w:rsidRPr="00386CD6" w:rsidRDefault="0083792B" w:rsidP="0085651C">
            <w:pPr>
              <w:tabs>
                <w:tab w:val="num" w:pos="2160"/>
              </w:tabs>
              <w:spacing w:after="120"/>
              <w:ind w:left="2160" w:hanging="1593"/>
              <w:jc w:val="left"/>
              <w:rPr>
                <w:sz w:val="18"/>
                <w:szCs w:val="18"/>
              </w:rPr>
            </w:pPr>
            <w:r w:rsidRPr="00386CD6">
              <w:rPr>
                <w:sz w:val="18"/>
                <w:szCs w:val="18"/>
              </w:rPr>
              <w:t>TGP/0/8</w:t>
            </w:r>
            <w:r w:rsidRPr="00386CD6">
              <w:rPr>
                <w:sz w:val="18"/>
                <w:szCs w:val="18"/>
              </w:rPr>
              <w:tab/>
              <w:t>Liste des documents TGP et date de la version la plus récente de ces documents (révision)</w:t>
            </w:r>
          </w:p>
          <w:p w:rsidR="0083792B" w:rsidRPr="00386CD6" w:rsidRDefault="0083792B" w:rsidP="008B401F">
            <w:pPr>
              <w:keepNext/>
              <w:keepLines/>
              <w:numPr>
                <w:ilvl w:val="0"/>
                <w:numId w:val="3"/>
              </w:numPr>
              <w:spacing w:before="120" w:after="120"/>
              <w:ind w:left="317" w:right="176" w:hanging="317"/>
              <w:jc w:val="left"/>
              <w:rPr>
                <w:sz w:val="18"/>
                <w:szCs w:val="18"/>
              </w:rPr>
            </w:pPr>
            <w:r w:rsidRPr="00386CD6">
              <w:rPr>
                <w:sz w:val="18"/>
                <w:szCs w:val="18"/>
              </w:rPr>
              <w:t>Projets des documents TGP ci</w:t>
            </w:r>
            <w:r w:rsidRPr="00386CD6">
              <w:rPr>
                <w:sz w:val="18"/>
                <w:szCs w:val="18"/>
              </w:rPr>
              <w:noBreakHyphen/>
              <w:t>après dont l’établissement a progressé au CAJ, au TC ou dans les groupes de travail techniques en 2015 :</w:t>
            </w:r>
          </w:p>
          <w:p w:rsidR="0083792B" w:rsidRPr="00386CD6" w:rsidRDefault="0083792B" w:rsidP="0085651C">
            <w:pPr>
              <w:tabs>
                <w:tab w:val="num" w:pos="2160"/>
              </w:tabs>
              <w:spacing w:after="120"/>
              <w:ind w:left="2160" w:hanging="1593"/>
              <w:jc w:val="left"/>
              <w:rPr>
                <w:sz w:val="18"/>
                <w:szCs w:val="18"/>
              </w:rPr>
            </w:pPr>
            <w:r w:rsidRPr="00386CD6">
              <w:rPr>
                <w:sz w:val="18"/>
                <w:szCs w:val="18"/>
              </w:rPr>
              <w:t>TGP/7</w:t>
            </w:r>
            <w:r w:rsidRPr="00386CD6">
              <w:rPr>
                <w:sz w:val="18"/>
                <w:szCs w:val="18"/>
              </w:rPr>
              <w:tab/>
              <w:t>Élaboration des principes directeurs d’examen (révision)</w:t>
            </w:r>
          </w:p>
          <w:p w:rsidR="0083792B" w:rsidRPr="00386CD6" w:rsidRDefault="0083792B" w:rsidP="0085651C">
            <w:pPr>
              <w:tabs>
                <w:tab w:val="num" w:pos="2160"/>
              </w:tabs>
              <w:spacing w:after="120"/>
              <w:ind w:left="2160" w:hanging="1593"/>
              <w:jc w:val="left"/>
              <w:rPr>
                <w:sz w:val="18"/>
                <w:szCs w:val="18"/>
              </w:rPr>
            </w:pPr>
            <w:r w:rsidRPr="00386CD6">
              <w:rPr>
                <w:sz w:val="18"/>
                <w:szCs w:val="18"/>
              </w:rPr>
              <w:t>TGP/8</w:t>
            </w:r>
            <w:r w:rsidRPr="00386CD6">
              <w:rPr>
                <w:sz w:val="18"/>
                <w:szCs w:val="18"/>
              </w:rPr>
              <w:tab/>
              <w:t>Protocole d’essai et techniques utilisés dans l’examen de la distinction, de l’homogénéité et de la stabilité (révision)</w:t>
            </w:r>
          </w:p>
          <w:p w:rsidR="0083792B" w:rsidRPr="00386CD6" w:rsidRDefault="0083792B" w:rsidP="0085651C">
            <w:pPr>
              <w:tabs>
                <w:tab w:val="num" w:pos="2160"/>
              </w:tabs>
              <w:spacing w:after="120"/>
              <w:ind w:left="2160" w:hanging="1593"/>
              <w:jc w:val="left"/>
              <w:rPr>
                <w:sz w:val="18"/>
                <w:szCs w:val="18"/>
              </w:rPr>
            </w:pPr>
            <w:r w:rsidRPr="00386CD6">
              <w:rPr>
                <w:sz w:val="18"/>
                <w:szCs w:val="18"/>
              </w:rPr>
              <w:t>TGP/10</w:t>
            </w:r>
            <w:r w:rsidRPr="00386CD6">
              <w:rPr>
                <w:sz w:val="18"/>
                <w:szCs w:val="18"/>
              </w:rPr>
              <w:tab/>
              <w:t>Examen de l’homogénéité (révision)</w:t>
            </w:r>
          </w:p>
          <w:p w:rsidR="0083792B" w:rsidRPr="00386CD6" w:rsidRDefault="0083792B" w:rsidP="008B401F">
            <w:pPr>
              <w:keepNext/>
              <w:keepLines/>
              <w:numPr>
                <w:ilvl w:val="0"/>
                <w:numId w:val="3"/>
              </w:numPr>
              <w:tabs>
                <w:tab w:val="num" w:pos="2160"/>
              </w:tabs>
              <w:spacing w:before="120" w:after="120"/>
              <w:ind w:left="317" w:right="176" w:hanging="317"/>
              <w:jc w:val="left"/>
              <w:rPr>
                <w:sz w:val="18"/>
                <w:szCs w:val="18"/>
              </w:rPr>
            </w:pPr>
            <w:r w:rsidRPr="00386CD6">
              <w:rPr>
                <w:sz w:val="18"/>
                <w:szCs w:val="18"/>
              </w:rPr>
              <w:t>Projets des matériels d’information ci</w:t>
            </w:r>
            <w:r w:rsidRPr="00386CD6">
              <w:rPr>
                <w:sz w:val="18"/>
                <w:szCs w:val="18"/>
              </w:rPr>
              <w:noBreakHyphen/>
              <w:t>après dont l’établissement a progressé au CAJ, au TC ou dans les groupes de travail techniques en 2015 :</w:t>
            </w:r>
          </w:p>
          <w:p w:rsidR="0083792B" w:rsidRPr="00386CD6" w:rsidRDefault="0083792B" w:rsidP="0085651C">
            <w:pPr>
              <w:tabs>
                <w:tab w:val="num" w:pos="2160"/>
              </w:tabs>
              <w:spacing w:after="120"/>
              <w:ind w:left="2160" w:hanging="1593"/>
              <w:jc w:val="left"/>
              <w:rPr>
                <w:sz w:val="18"/>
                <w:szCs w:val="18"/>
              </w:rPr>
            </w:pPr>
            <w:r w:rsidRPr="00386CD6">
              <w:rPr>
                <w:sz w:val="18"/>
                <w:szCs w:val="18"/>
              </w:rPr>
              <w:t>UPOV/INF/16</w:t>
            </w:r>
            <w:r w:rsidRPr="00386CD6">
              <w:rPr>
                <w:sz w:val="18"/>
                <w:szCs w:val="18"/>
              </w:rPr>
              <w:tab/>
              <w:t>Logiciels échangeables (révision)</w:t>
            </w:r>
          </w:p>
          <w:p w:rsidR="0083792B" w:rsidRPr="00386CD6" w:rsidRDefault="0083792B" w:rsidP="0085651C">
            <w:pPr>
              <w:tabs>
                <w:tab w:val="num" w:pos="2160"/>
              </w:tabs>
              <w:spacing w:after="120"/>
              <w:ind w:left="2160" w:hanging="1593"/>
              <w:jc w:val="left"/>
              <w:rPr>
                <w:sz w:val="18"/>
                <w:szCs w:val="18"/>
              </w:rPr>
            </w:pPr>
            <w:r w:rsidRPr="00386CD6">
              <w:rPr>
                <w:sz w:val="18"/>
                <w:szCs w:val="18"/>
              </w:rPr>
              <w:t>UPOV/INF/22 </w:t>
            </w:r>
            <w:r w:rsidRPr="00386CD6">
              <w:rPr>
                <w:sz w:val="18"/>
                <w:szCs w:val="18"/>
              </w:rPr>
              <w:tab/>
              <w:t>Logiciels et équipements utilisés par les membres de l’Union (révision)</w:t>
            </w:r>
          </w:p>
          <w:p w:rsidR="0083792B" w:rsidRPr="00386CD6" w:rsidRDefault="0083792B" w:rsidP="008B401F">
            <w:pPr>
              <w:keepNext/>
              <w:keepLines/>
              <w:numPr>
                <w:ilvl w:val="0"/>
                <w:numId w:val="3"/>
              </w:numPr>
              <w:spacing w:before="120" w:after="120"/>
              <w:ind w:left="317" w:right="176" w:hanging="317"/>
              <w:jc w:val="left"/>
              <w:rPr>
                <w:sz w:val="18"/>
                <w:szCs w:val="18"/>
              </w:rPr>
            </w:pPr>
            <w:r w:rsidRPr="00386CD6">
              <w:rPr>
                <w:sz w:val="18"/>
                <w:szCs w:val="18"/>
              </w:rPr>
              <w:t>Révision du document ci</w:t>
            </w:r>
            <w:r w:rsidRPr="00386CD6">
              <w:rPr>
                <w:sz w:val="18"/>
                <w:szCs w:val="18"/>
              </w:rPr>
              <w:noBreakHyphen/>
              <w:t>après qui a été examiné par le Groupe de travail sur l’élaboration d’un moteur de recherche de similitudes de l’UPOV aux fins de la dénomination variétale (WG</w:t>
            </w:r>
            <w:r w:rsidRPr="00386CD6">
              <w:rPr>
                <w:sz w:val="18"/>
                <w:szCs w:val="18"/>
              </w:rPr>
              <w:noBreakHyphen/>
              <w:t>DST) :</w:t>
            </w:r>
          </w:p>
          <w:p w:rsidR="0083792B" w:rsidRPr="00386CD6" w:rsidRDefault="0083792B" w:rsidP="0085651C">
            <w:pPr>
              <w:tabs>
                <w:tab w:val="num" w:pos="2160"/>
              </w:tabs>
              <w:spacing w:after="120"/>
              <w:ind w:left="2160" w:hanging="1593"/>
              <w:jc w:val="left"/>
              <w:rPr>
                <w:sz w:val="18"/>
                <w:szCs w:val="18"/>
              </w:rPr>
            </w:pPr>
            <w:r w:rsidRPr="00386CD6">
              <w:rPr>
                <w:sz w:val="18"/>
                <w:szCs w:val="18"/>
              </w:rPr>
              <w:t>UPOV/INF/12</w:t>
            </w:r>
            <w:r w:rsidRPr="00386CD6">
              <w:rPr>
                <w:sz w:val="18"/>
                <w:szCs w:val="18"/>
              </w:rPr>
              <w:tab/>
              <w:t>Notes explicatives concernant les dénominations variétales selon la Convention UPOV (révision)</w:t>
            </w:r>
          </w:p>
        </w:tc>
      </w:tr>
    </w:tbl>
    <w:p w:rsidR="0083792B" w:rsidRPr="00386CD6" w:rsidRDefault="0083792B" w:rsidP="0085651C">
      <w:pPr>
        <w:rPr>
          <w:sz w:val="18"/>
          <w:szCs w:val="18"/>
        </w:rPr>
      </w:pPr>
    </w:p>
    <w:p w:rsidR="0083792B" w:rsidRPr="00386CD6" w:rsidRDefault="0083792B" w:rsidP="0085651C">
      <w:pPr>
        <w:rPr>
          <w:sz w:val="18"/>
          <w:szCs w:val="18"/>
        </w:rPr>
      </w:pPr>
    </w:p>
    <w:tbl>
      <w:tblPr>
        <w:tblW w:w="9889" w:type="dxa"/>
        <w:tblLayout w:type="fixed"/>
        <w:tblLook w:val="0000" w:firstRow="0" w:lastRow="0" w:firstColumn="0" w:lastColumn="0" w:noHBand="0" w:noVBand="0"/>
      </w:tblPr>
      <w:tblGrid>
        <w:gridCol w:w="1951"/>
        <w:gridCol w:w="4253"/>
        <w:gridCol w:w="3685"/>
      </w:tblGrid>
      <w:tr w:rsidR="0083792B" w:rsidRPr="00386CD6" w:rsidTr="0085651C">
        <w:tc>
          <w:tcPr>
            <w:tcW w:w="1951" w:type="dxa"/>
            <w:shd w:val="clear" w:color="auto" w:fill="auto"/>
          </w:tcPr>
          <w:p w:rsidR="0083792B" w:rsidRPr="00386CD6" w:rsidRDefault="0083792B" w:rsidP="0085651C">
            <w:pPr>
              <w:jc w:val="left"/>
              <w:rPr>
                <w:sz w:val="18"/>
                <w:szCs w:val="18"/>
              </w:rPr>
            </w:pPr>
          </w:p>
        </w:tc>
        <w:tc>
          <w:tcPr>
            <w:tcW w:w="7938" w:type="dxa"/>
            <w:gridSpan w:val="2"/>
            <w:shd w:val="clear" w:color="auto" w:fill="auto"/>
          </w:tcPr>
          <w:p w:rsidR="0083792B" w:rsidRPr="00386CD6" w:rsidRDefault="0083792B" w:rsidP="008B401F">
            <w:pPr>
              <w:pStyle w:val="Heading8"/>
              <w:keepNext/>
              <w:tabs>
                <w:tab w:val="left" w:pos="307"/>
              </w:tabs>
            </w:pPr>
            <w:bookmarkStart w:id="77" w:name="_Toc464487561"/>
            <w:bookmarkStart w:id="78" w:name="_Toc465100049"/>
            <w:r w:rsidRPr="00386CD6">
              <w:t>b)</w:t>
            </w:r>
            <w:r w:rsidRPr="00386CD6">
              <w:tab/>
              <w:t>Adoption de principes directeurs d’examen nouveaux ou révisés</w:t>
            </w:r>
            <w:bookmarkEnd w:id="77"/>
            <w:bookmarkEnd w:id="78"/>
          </w:p>
          <w:p w:rsidR="0083792B" w:rsidRPr="00386CD6" w:rsidRDefault="0083792B" w:rsidP="0085651C">
            <w:pPr>
              <w:pStyle w:val="Heading8"/>
              <w:keepNext/>
            </w:pPr>
            <w:bookmarkStart w:id="79" w:name="_Toc464487562"/>
            <w:bookmarkStart w:id="80" w:name="_Toc465100050"/>
            <w:r w:rsidRPr="00386CD6">
              <w:t>Principes directeurs d’examen : consultations du site Web de l’UPOV en 2015</w:t>
            </w:r>
            <w:bookmarkEnd w:id="79"/>
            <w:bookmarkEnd w:id="80"/>
          </w:p>
        </w:tc>
      </w:tr>
      <w:tr w:rsidR="0083792B" w:rsidRPr="00386CD6" w:rsidTr="0085651C">
        <w:tc>
          <w:tcPr>
            <w:tcW w:w="1951" w:type="dxa"/>
            <w:shd w:val="clear" w:color="auto" w:fill="auto"/>
          </w:tcPr>
          <w:p w:rsidR="0083792B" w:rsidRPr="00386CD6" w:rsidRDefault="0083792B" w:rsidP="0085651C">
            <w:pPr>
              <w:jc w:val="left"/>
              <w:rPr>
                <w:sz w:val="18"/>
                <w:szCs w:val="18"/>
              </w:rPr>
            </w:pPr>
          </w:p>
        </w:tc>
        <w:tc>
          <w:tcPr>
            <w:tcW w:w="4253" w:type="dxa"/>
            <w:shd w:val="clear" w:color="auto" w:fill="auto"/>
          </w:tcPr>
          <w:p w:rsidR="0083792B" w:rsidRPr="00386CD6" w:rsidRDefault="0083792B" w:rsidP="0085651C">
            <w:pPr>
              <w:tabs>
                <w:tab w:val="left" w:pos="1168"/>
              </w:tabs>
              <w:spacing w:after="60"/>
              <w:jc w:val="left"/>
              <w:rPr>
                <w:sz w:val="18"/>
                <w:szCs w:val="18"/>
              </w:rPr>
            </w:pPr>
            <w:r w:rsidRPr="00386CD6">
              <w:rPr>
                <w:sz w:val="18"/>
                <w:szCs w:val="18"/>
              </w:rPr>
              <w:t xml:space="preserve">Pages consultées : </w:t>
            </w:r>
            <w:r w:rsidRPr="00386CD6">
              <w:rPr>
                <w:sz w:val="18"/>
                <w:szCs w:val="18"/>
              </w:rPr>
              <w:tab/>
              <w:t>64 425</w:t>
            </w:r>
            <w:r w:rsidRPr="00386CD6">
              <w:rPr>
                <w:sz w:val="18"/>
                <w:szCs w:val="18"/>
              </w:rPr>
              <w:br/>
            </w:r>
            <w:r w:rsidRPr="00386CD6">
              <w:rPr>
                <w:sz w:val="18"/>
                <w:szCs w:val="18"/>
              </w:rPr>
              <w:tab/>
              <w:t xml:space="preserve">(67 900 en 2014;  </w:t>
            </w:r>
            <w:r w:rsidRPr="00386CD6">
              <w:rPr>
                <w:sz w:val="18"/>
                <w:szCs w:val="22"/>
              </w:rPr>
              <w:t>68 479 en 2013</w:t>
            </w:r>
            <w:r w:rsidRPr="00386CD6">
              <w:rPr>
                <w:sz w:val="18"/>
                <w:szCs w:val="18"/>
              </w:rPr>
              <w:t>)</w:t>
            </w:r>
          </w:p>
          <w:p w:rsidR="0083792B" w:rsidRPr="00386CD6" w:rsidRDefault="0083792B" w:rsidP="0085651C">
            <w:pPr>
              <w:tabs>
                <w:tab w:val="left" w:pos="1168"/>
              </w:tabs>
              <w:spacing w:after="60"/>
              <w:rPr>
                <w:sz w:val="18"/>
                <w:szCs w:val="18"/>
              </w:rPr>
            </w:pPr>
          </w:p>
          <w:p w:rsidR="0083792B" w:rsidRPr="00386CD6" w:rsidRDefault="0083792B" w:rsidP="0085651C">
            <w:pPr>
              <w:tabs>
                <w:tab w:val="left" w:pos="1168"/>
              </w:tabs>
              <w:jc w:val="left"/>
              <w:rPr>
                <w:sz w:val="18"/>
                <w:szCs w:val="18"/>
              </w:rPr>
            </w:pPr>
            <w:r w:rsidRPr="00386CD6">
              <w:rPr>
                <w:sz w:val="18"/>
                <w:szCs w:val="18"/>
              </w:rPr>
              <w:t xml:space="preserve">Consultations ponctuelles : </w:t>
            </w:r>
            <w:r w:rsidRPr="00386CD6">
              <w:rPr>
                <w:sz w:val="18"/>
                <w:szCs w:val="18"/>
              </w:rPr>
              <w:tab/>
              <w:t>38 144</w:t>
            </w:r>
            <w:r w:rsidRPr="00386CD6">
              <w:rPr>
                <w:sz w:val="18"/>
                <w:szCs w:val="18"/>
              </w:rPr>
              <w:br/>
            </w:r>
            <w:r w:rsidRPr="00386CD6">
              <w:rPr>
                <w:sz w:val="18"/>
                <w:szCs w:val="18"/>
              </w:rPr>
              <w:tab/>
              <w:t xml:space="preserve">(40 102 en 2014;  </w:t>
            </w:r>
            <w:r w:rsidRPr="00386CD6">
              <w:rPr>
                <w:sz w:val="18"/>
                <w:szCs w:val="22"/>
              </w:rPr>
              <w:t>38 979 en 2013</w:t>
            </w:r>
            <w:r w:rsidRPr="00386CD6">
              <w:rPr>
                <w:sz w:val="18"/>
                <w:szCs w:val="18"/>
              </w:rPr>
              <w:t>)</w:t>
            </w:r>
          </w:p>
          <w:p w:rsidR="0083792B" w:rsidRPr="00386CD6" w:rsidRDefault="0083792B" w:rsidP="0085651C">
            <w:pPr>
              <w:pStyle w:val="Heading8"/>
            </w:pPr>
          </w:p>
          <w:p w:rsidR="0083792B" w:rsidRPr="00386CD6" w:rsidRDefault="0083792B" w:rsidP="0085651C">
            <w:pPr>
              <w:keepNext/>
              <w:keepLines/>
              <w:spacing w:after="120"/>
              <w:jc w:val="left"/>
            </w:pPr>
          </w:p>
        </w:tc>
        <w:tc>
          <w:tcPr>
            <w:tcW w:w="3685" w:type="dxa"/>
            <w:shd w:val="clear" w:color="auto" w:fill="auto"/>
          </w:tcPr>
          <w:tbl>
            <w:tblPr>
              <w:tblW w:w="3363" w:type="dxa"/>
              <w:tblInd w:w="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058"/>
              <w:gridCol w:w="1030"/>
              <w:gridCol w:w="1275"/>
            </w:tblGrid>
            <w:tr w:rsidR="0083792B" w:rsidRPr="00386CD6" w:rsidTr="00D535C2">
              <w:trPr>
                <w:trHeight w:val="143"/>
              </w:trPr>
              <w:tc>
                <w:tcPr>
                  <w:tcW w:w="1058" w:type="dxa"/>
                </w:tcPr>
                <w:p w:rsidR="0083792B" w:rsidRPr="00386CD6" w:rsidRDefault="0083792B" w:rsidP="0085651C">
                  <w:pPr>
                    <w:autoSpaceDE w:val="0"/>
                    <w:autoSpaceDN w:val="0"/>
                    <w:adjustRightInd w:val="0"/>
                    <w:jc w:val="center"/>
                    <w:rPr>
                      <w:rFonts w:cs="Arial"/>
                      <w:sz w:val="18"/>
                      <w:szCs w:val="22"/>
                    </w:rPr>
                  </w:pPr>
                  <w:r w:rsidRPr="00386CD6">
                    <w:rPr>
                      <w:rFonts w:cs="Arial"/>
                      <w:sz w:val="18"/>
                      <w:szCs w:val="22"/>
                    </w:rPr>
                    <w:t>Langue</w:t>
                  </w:r>
                </w:p>
              </w:tc>
              <w:tc>
                <w:tcPr>
                  <w:tcW w:w="1030" w:type="dxa"/>
                </w:tcPr>
                <w:p w:rsidR="0083792B" w:rsidRPr="00386CD6" w:rsidRDefault="0083792B" w:rsidP="0085651C">
                  <w:pPr>
                    <w:autoSpaceDE w:val="0"/>
                    <w:autoSpaceDN w:val="0"/>
                    <w:adjustRightInd w:val="0"/>
                    <w:jc w:val="center"/>
                    <w:rPr>
                      <w:rFonts w:cs="Arial"/>
                      <w:sz w:val="18"/>
                      <w:szCs w:val="22"/>
                    </w:rPr>
                  </w:pPr>
                  <w:r w:rsidRPr="00386CD6">
                    <w:rPr>
                      <w:rFonts w:cs="Arial"/>
                      <w:sz w:val="18"/>
                      <w:szCs w:val="22"/>
                    </w:rPr>
                    <w:t>Pages consultées</w:t>
                  </w:r>
                </w:p>
              </w:tc>
              <w:tc>
                <w:tcPr>
                  <w:tcW w:w="1275" w:type="dxa"/>
                </w:tcPr>
                <w:p w:rsidR="0083792B" w:rsidRPr="00386CD6" w:rsidRDefault="0083792B" w:rsidP="0085651C">
                  <w:pPr>
                    <w:autoSpaceDE w:val="0"/>
                    <w:autoSpaceDN w:val="0"/>
                    <w:adjustRightInd w:val="0"/>
                    <w:jc w:val="center"/>
                    <w:rPr>
                      <w:rFonts w:cs="Arial"/>
                      <w:bCs/>
                      <w:sz w:val="18"/>
                      <w:szCs w:val="22"/>
                    </w:rPr>
                  </w:pPr>
                  <w:r w:rsidRPr="00386CD6">
                    <w:rPr>
                      <w:rFonts w:cs="Arial"/>
                      <w:bCs/>
                      <w:sz w:val="18"/>
                      <w:szCs w:val="22"/>
                    </w:rPr>
                    <w:t>Consultations ponctuelles</w:t>
                  </w:r>
                </w:p>
                <w:p w:rsidR="0083792B" w:rsidRPr="00386CD6" w:rsidRDefault="0083792B" w:rsidP="0085651C">
                  <w:pPr>
                    <w:autoSpaceDE w:val="0"/>
                    <w:autoSpaceDN w:val="0"/>
                    <w:adjustRightInd w:val="0"/>
                    <w:jc w:val="center"/>
                    <w:rPr>
                      <w:rFonts w:cs="Arial"/>
                      <w:sz w:val="18"/>
                      <w:szCs w:val="22"/>
                    </w:rPr>
                  </w:pPr>
                </w:p>
              </w:tc>
            </w:tr>
            <w:tr w:rsidR="0083792B" w:rsidRPr="00386CD6" w:rsidTr="00D535C2">
              <w:trPr>
                <w:trHeight w:val="148"/>
              </w:trPr>
              <w:tc>
                <w:tcPr>
                  <w:tcW w:w="1058"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Anglais </w:t>
                  </w:r>
                </w:p>
              </w:tc>
              <w:tc>
                <w:tcPr>
                  <w:tcW w:w="1030" w:type="dxa"/>
                </w:tcPr>
                <w:p w:rsidR="0083792B" w:rsidRPr="00386CD6" w:rsidRDefault="0083792B" w:rsidP="0085651C">
                  <w:pPr>
                    <w:jc w:val="right"/>
                    <w:rPr>
                      <w:sz w:val="18"/>
                    </w:rPr>
                  </w:pPr>
                  <w:r w:rsidRPr="00386CD6">
                    <w:rPr>
                      <w:sz w:val="18"/>
                    </w:rPr>
                    <w:t>52 103</w:t>
                  </w:r>
                </w:p>
              </w:tc>
              <w:tc>
                <w:tcPr>
                  <w:tcW w:w="1275" w:type="dxa"/>
                </w:tcPr>
                <w:p w:rsidR="0083792B" w:rsidRPr="00386CD6" w:rsidRDefault="0083792B" w:rsidP="0085651C">
                  <w:pPr>
                    <w:jc w:val="right"/>
                    <w:rPr>
                      <w:sz w:val="18"/>
                    </w:rPr>
                  </w:pPr>
                  <w:r w:rsidRPr="00386CD6">
                    <w:rPr>
                      <w:sz w:val="18"/>
                    </w:rPr>
                    <w:t>30 391</w:t>
                  </w:r>
                </w:p>
              </w:tc>
            </w:tr>
            <w:tr w:rsidR="0083792B" w:rsidRPr="00386CD6" w:rsidTr="00D535C2">
              <w:trPr>
                <w:trHeight w:val="142"/>
              </w:trPr>
              <w:tc>
                <w:tcPr>
                  <w:tcW w:w="1058"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Espagnol </w:t>
                  </w:r>
                </w:p>
              </w:tc>
              <w:tc>
                <w:tcPr>
                  <w:tcW w:w="1030" w:type="dxa"/>
                </w:tcPr>
                <w:p w:rsidR="0083792B" w:rsidRPr="00386CD6" w:rsidRDefault="0083792B" w:rsidP="0085651C">
                  <w:pPr>
                    <w:jc w:val="right"/>
                    <w:rPr>
                      <w:sz w:val="18"/>
                    </w:rPr>
                  </w:pPr>
                  <w:r w:rsidRPr="00386CD6">
                    <w:rPr>
                      <w:sz w:val="18"/>
                    </w:rPr>
                    <w:t>8157</w:t>
                  </w:r>
                </w:p>
              </w:tc>
              <w:tc>
                <w:tcPr>
                  <w:tcW w:w="1275" w:type="dxa"/>
                </w:tcPr>
                <w:p w:rsidR="0083792B" w:rsidRPr="00386CD6" w:rsidRDefault="0083792B" w:rsidP="0085651C">
                  <w:pPr>
                    <w:jc w:val="right"/>
                    <w:rPr>
                      <w:sz w:val="18"/>
                    </w:rPr>
                  </w:pPr>
                  <w:r w:rsidRPr="00386CD6">
                    <w:rPr>
                      <w:sz w:val="18"/>
                    </w:rPr>
                    <w:t>5138</w:t>
                  </w:r>
                </w:p>
              </w:tc>
            </w:tr>
            <w:tr w:rsidR="0083792B" w:rsidRPr="00386CD6" w:rsidTr="00D535C2">
              <w:trPr>
                <w:trHeight w:val="148"/>
              </w:trPr>
              <w:tc>
                <w:tcPr>
                  <w:tcW w:w="1058"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Français </w:t>
                  </w:r>
                </w:p>
              </w:tc>
              <w:tc>
                <w:tcPr>
                  <w:tcW w:w="1030" w:type="dxa"/>
                </w:tcPr>
                <w:p w:rsidR="0083792B" w:rsidRPr="00386CD6" w:rsidRDefault="0083792B" w:rsidP="0085651C">
                  <w:pPr>
                    <w:jc w:val="right"/>
                    <w:rPr>
                      <w:sz w:val="18"/>
                    </w:rPr>
                  </w:pPr>
                  <w:r w:rsidRPr="00386CD6">
                    <w:rPr>
                      <w:sz w:val="18"/>
                    </w:rPr>
                    <w:t>2585</w:t>
                  </w:r>
                </w:p>
              </w:tc>
              <w:tc>
                <w:tcPr>
                  <w:tcW w:w="1275" w:type="dxa"/>
                </w:tcPr>
                <w:p w:rsidR="0083792B" w:rsidRPr="00386CD6" w:rsidRDefault="0083792B" w:rsidP="0085651C">
                  <w:pPr>
                    <w:jc w:val="right"/>
                    <w:rPr>
                      <w:sz w:val="18"/>
                    </w:rPr>
                  </w:pPr>
                  <w:r w:rsidRPr="00386CD6">
                    <w:rPr>
                      <w:sz w:val="18"/>
                    </w:rPr>
                    <w:t>1657</w:t>
                  </w:r>
                </w:p>
              </w:tc>
            </w:tr>
            <w:tr w:rsidR="0083792B" w:rsidRPr="00386CD6" w:rsidTr="00D535C2">
              <w:trPr>
                <w:trHeight w:val="142"/>
              </w:trPr>
              <w:tc>
                <w:tcPr>
                  <w:tcW w:w="1058"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Allemand </w:t>
                  </w:r>
                </w:p>
              </w:tc>
              <w:tc>
                <w:tcPr>
                  <w:tcW w:w="1030" w:type="dxa"/>
                </w:tcPr>
                <w:p w:rsidR="0083792B" w:rsidRPr="00386CD6" w:rsidRDefault="0083792B" w:rsidP="0085651C">
                  <w:pPr>
                    <w:jc w:val="right"/>
                    <w:rPr>
                      <w:sz w:val="18"/>
                    </w:rPr>
                  </w:pPr>
                  <w:r w:rsidRPr="00386CD6">
                    <w:rPr>
                      <w:sz w:val="18"/>
                    </w:rPr>
                    <w:t>1561</w:t>
                  </w:r>
                </w:p>
              </w:tc>
              <w:tc>
                <w:tcPr>
                  <w:tcW w:w="1275" w:type="dxa"/>
                </w:tcPr>
                <w:p w:rsidR="0083792B" w:rsidRPr="00386CD6" w:rsidRDefault="0083792B" w:rsidP="0085651C">
                  <w:pPr>
                    <w:jc w:val="right"/>
                    <w:rPr>
                      <w:sz w:val="18"/>
                    </w:rPr>
                  </w:pPr>
                  <w:r w:rsidRPr="00386CD6">
                    <w:rPr>
                      <w:sz w:val="18"/>
                    </w:rPr>
                    <w:t>942</w:t>
                  </w:r>
                </w:p>
              </w:tc>
            </w:tr>
          </w:tbl>
          <w:p w:rsidR="0083792B" w:rsidRPr="00386CD6" w:rsidRDefault="0083792B" w:rsidP="0085651C">
            <w:pPr>
              <w:pStyle w:val="Heading8"/>
            </w:pPr>
          </w:p>
        </w:tc>
      </w:tr>
    </w:tbl>
    <w:p w:rsidR="0083792B" w:rsidRPr="00386CD6" w:rsidRDefault="0083792B" w:rsidP="0085651C"/>
    <w:p w:rsidR="0083792B" w:rsidRPr="00386CD6" w:rsidRDefault="0083792B" w:rsidP="0085651C">
      <w:r w:rsidRPr="00386CD6">
        <w:br w:type="page"/>
      </w:r>
    </w:p>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keepNext/>
              <w:spacing w:after="240"/>
              <w:rPr>
                <w:b/>
                <w:sz w:val="18"/>
                <w:szCs w:val="18"/>
              </w:rPr>
            </w:pPr>
            <w:r w:rsidRPr="00386CD6">
              <w:rPr>
                <w:b/>
                <w:sz w:val="18"/>
                <w:szCs w:val="18"/>
              </w:rPr>
              <w:t>Résultats escomptés</w:t>
            </w:r>
          </w:p>
        </w:tc>
        <w:tc>
          <w:tcPr>
            <w:tcW w:w="7938" w:type="dxa"/>
            <w:shd w:val="clear" w:color="auto" w:fill="auto"/>
          </w:tcPr>
          <w:p w:rsidR="0083792B" w:rsidRPr="00386CD6" w:rsidRDefault="00635368" w:rsidP="0085651C">
            <w:pPr>
              <w:keepNext/>
              <w:spacing w:after="240"/>
              <w:rPr>
                <w:b/>
                <w:sz w:val="18"/>
                <w:szCs w:val="18"/>
              </w:rPr>
            </w:pPr>
            <w:r w:rsidRPr="00386CD6">
              <w:rPr>
                <w:b/>
                <w:sz w:val="18"/>
                <w:szCs w:val="18"/>
              </w:rPr>
              <w:t>Résultats obtenus : i</w:t>
            </w:r>
            <w:r w:rsidR="0083792B" w:rsidRPr="00386CD6">
              <w:rPr>
                <w:b/>
                <w:sz w:val="18"/>
                <w:szCs w:val="18"/>
              </w:rPr>
              <w:t>ndicateurs d’exécution</w:t>
            </w:r>
          </w:p>
        </w:tc>
      </w:tr>
      <w:tr w:rsidR="0083792B" w:rsidRPr="00386CD6" w:rsidTr="0085651C">
        <w:tc>
          <w:tcPr>
            <w:tcW w:w="1951" w:type="dxa"/>
            <w:shd w:val="clear" w:color="auto" w:fill="auto"/>
          </w:tcPr>
          <w:p w:rsidR="0083792B" w:rsidRPr="00386CD6" w:rsidRDefault="0083792B" w:rsidP="008B401F">
            <w:pPr>
              <w:tabs>
                <w:tab w:val="left" w:pos="311"/>
              </w:tabs>
              <w:jc w:val="left"/>
              <w:rPr>
                <w:sz w:val="18"/>
                <w:szCs w:val="18"/>
              </w:rPr>
            </w:pPr>
            <w:r w:rsidRPr="00386CD6">
              <w:rPr>
                <w:i/>
                <w:sz w:val="18"/>
                <w:szCs w:val="18"/>
              </w:rPr>
              <w:t>2.</w:t>
            </w:r>
            <w:r w:rsidR="008B401F" w:rsidRPr="00386CD6">
              <w:rPr>
                <w:i/>
                <w:sz w:val="18"/>
                <w:szCs w:val="18"/>
              </w:rPr>
              <w:tab/>
            </w:r>
            <w:r w:rsidRPr="00386CD6">
              <w:rPr>
                <w:i/>
                <w:sz w:val="18"/>
                <w:szCs w:val="18"/>
              </w:rPr>
              <w:t>Orientations au sujet de l’examen des variétés</w:t>
            </w:r>
            <w:r w:rsidRPr="00386CD6">
              <w:rPr>
                <w:sz w:val="18"/>
                <w:szCs w:val="18"/>
              </w:rPr>
              <w:t xml:space="preserve"> (suite)</w:t>
            </w:r>
          </w:p>
        </w:tc>
        <w:tc>
          <w:tcPr>
            <w:tcW w:w="7938" w:type="dxa"/>
            <w:shd w:val="clear" w:color="auto" w:fill="auto"/>
          </w:tcPr>
          <w:p w:rsidR="0083792B" w:rsidRPr="00386CD6" w:rsidRDefault="0083792B" w:rsidP="0085651C">
            <w:pPr>
              <w:keepNext/>
              <w:keepLines/>
              <w:spacing w:after="120"/>
              <w:jc w:val="left"/>
              <w:rPr>
                <w:i/>
                <w:sz w:val="18"/>
                <w:szCs w:val="18"/>
              </w:rPr>
            </w:pPr>
            <w:r w:rsidRPr="00386CD6">
              <w:rPr>
                <w:i/>
                <w:sz w:val="18"/>
                <w:szCs w:val="18"/>
              </w:rPr>
              <w:t>Principes directeurs d’examen adoptés</w:t>
            </w:r>
          </w:p>
          <w:p w:rsidR="0083792B" w:rsidRPr="00386CD6" w:rsidRDefault="0083792B" w:rsidP="0085651C">
            <w:pPr>
              <w:keepNext/>
              <w:keepLines/>
              <w:spacing w:after="120"/>
              <w:jc w:val="left"/>
              <w:rPr>
                <w:sz w:val="18"/>
                <w:szCs w:val="18"/>
              </w:rPr>
            </w:pPr>
            <w:r w:rsidRPr="00386CD6">
              <w:rPr>
                <w:sz w:val="18"/>
                <w:szCs w:val="18"/>
              </w:rPr>
              <w:t>En 2015, les principes directeurs d’examen adoptés ont couvert 92% de toutes les entrées de droits d’obtenteur dans la base de données sur les variétés végétales (246 890 entrées sur 267 550) contre 90% en 2014 (238 388 entrées sur 263 614).</w:t>
            </w:r>
          </w:p>
          <w:p w:rsidR="0083792B" w:rsidRPr="00386CD6" w:rsidRDefault="0083792B" w:rsidP="0085651C">
            <w:pPr>
              <w:keepNext/>
              <w:keepLines/>
              <w:spacing w:after="120"/>
              <w:jc w:val="left"/>
              <w:rPr>
                <w:sz w:val="18"/>
                <w:szCs w:val="18"/>
              </w:rPr>
            </w:pPr>
            <w:r w:rsidRPr="00386CD6">
              <w:rPr>
                <w:sz w:val="18"/>
                <w:szCs w:val="18"/>
              </w:rPr>
              <w:t>26 principes directeurs d’examen ont été adoptés par le TC, dont :</w:t>
            </w:r>
          </w:p>
          <w:p w:rsidR="0083792B" w:rsidRPr="00386CD6" w:rsidRDefault="0083792B" w:rsidP="0085651C">
            <w:pPr>
              <w:spacing w:after="60"/>
              <w:ind w:left="743" w:hanging="386"/>
              <w:jc w:val="left"/>
              <w:rPr>
                <w:sz w:val="18"/>
                <w:szCs w:val="18"/>
              </w:rPr>
            </w:pPr>
            <w:r w:rsidRPr="00386CD6">
              <w:rPr>
                <w:sz w:val="18"/>
                <w:szCs w:val="18"/>
              </w:rPr>
              <w:t>–</w:t>
            </w:r>
            <w:r w:rsidRPr="00386CD6">
              <w:rPr>
                <w:sz w:val="18"/>
                <w:szCs w:val="18"/>
              </w:rPr>
              <w:tab/>
              <w:t>12 nouveaux principes directeurs d’examen : TWA (3.5), TWF (2), TWO (4), TWV (2.5)</w:t>
            </w:r>
          </w:p>
          <w:p w:rsidR="0083792B" w:rsidRPr="00386CD6" w:rsidRDefault="0083792B" w:rsidP="0085651C">
            <w:pPr>
              <w:spacing w:after="120"/>
              <w:ind w:left="743" w:hanging="386"/>
              <w:jc w:val="left"/>
              <w:rPr>
                <w:sz w:val="18"/>
                <w:szCs w:val="18"/>
              </w:rPr>
            </w:pPr>
            <w:r w:rsidRPr="00386CD6">
              <w:rPr>
                <w:sz w:val="18"/>
                <w:szCs w:val="18"/>
              </w:rPr>
              <w:t>–</w:t>
            </w:r>
            <w:r w:rsidRPr="00386CD6">
              <w:rPr>
                <w:sz w:val="18"/>
                <w:szCs w:val="18"/>
              </w:rPr>
              <w:tab/>
              <w:t>5 principes directeurs d’examen révisés : TWA (1), TWF (1), TWO (2), TWV (1)</w:t>
            </w:r>
          </w:p>
          <w:p w:rsidR="0083792B" w:rsidRPr="00386CD6" w:rsidRDefault="0083792B" w:rsidP="0085651C">
            <w:pPr>
              <w:spacing w:after="120"/>
              <w:ind w:left="743" w:hanging="386"/>
              <w:jc w:val="left"/>
              <w:rPr>
                <w:sz w:val="18"/>
                <w:szCs w:val="18"/>
              </w:rPr>
            </w:pPr>
            <w:r w:rsidRPr="00386CD6">
              <w:rPr>
                <w:sz w:val="18"/>
                <w:szCs w:val="18"/>
              </w:rPr>
              <w:t>–</w:t>
            </w:r>
            <w:r w:rsidRPr="00386CD6">
              <w:rPr>
                <w:sz w:val="18"/>
                <w:szCs w:val="18"/>
              </w:rPr>
              <w:tab/>
              <w:t>9 principes directeurs d’examen partiellement révisés : TWF (1);  TWO (2);  TWV (6)</w:t>
            </w:r>
          </w:p>
          <w:p w:rsidR="0083792B" w:rsidRPr="00386CD6" w:rsidRDefault="0083792B" w:rsidP="0085651C">
            <w:pPr>
              <w:spacing w:before="240" w:after="120"/>
              <w:jc w:val="left"/>
              <w:rPr>
                <w:i/>
                <w:sz w:val="18"/>
                <w:szCs w:val="18"/>
              </w:rPr>
            </w:pPr>
            <w:r w:rsidRPr="00386CD6">
              <w:rPr>
                <w:i/>
                <w:sz w:val="18"/>
                <w:szCs w:val="18"/>
              </w:rPr>
              <w:t>Principes directeurs d’examen dont l’élaboration a progressé dans le cadre des groupes de travail techniques</w:t>
            </w:r>
          </w:p>
          <w:p w:rsidR="0083792B" w:rsidRPr="00386CD6" w:rsidRDefault="0083792B" w:rsidP="0085651C">
            <w:pPr>
              <w:keepNext/>
              <w:keepLines/>
              <w:spacing w:after="120"/>
              <w:jc w:val="left"/>
              <w:rPr>
                <w:sz w:val="18"/>
                <w:szCs w:val="18"/>
              </w:rPr>
            </w:pPr>
            <w:r w:rsidRPr="00386CD6">
              <w:rPr>
                <w:sz w:val="18"/>
                <w:szCs w:val="18"/>
              </w:rPr>
              <w:t>46 projets de principes directeurs d’examen ont progressé au sein des groupes de travail techniques, dont :</w:t>
            </w:r>
          </w:p>
          <w:p w:rsidR="0083792B" w:rsidRPr="00386CD6" w:rsidRDefault="0083792B" w:rsidP="0085651C">
            <w:pPr>
              <w:spacing w:after="60"/>
              <w:ind w:left="743" w:hanging="386"/>
              <w:jc w:val="left"/>
              <w:rPr>
                <w:sz w:val="18"/>
                <w:szCs w:val="18"/>
              </w:rPr>
            </w:pPr>
            <w:r w:rsidRPr="00386CD6">
              <w:rPr>
                <w:sz w:val="18"/>
                <w:szCs w:val="18"/>
              </w:rPr>
              <w:t>–</w:t>
            </w:r>
            <w:r w:rsidRPr="00386CD6">
              <w:rPr>
                <w:sz w:val="18"/>
                <w:szCs w:val="18"/>
              </w:rPr>
              <w:tab/>
              <w:t>16 nouveaux principes directeurs d’examen : TWA (2), TWF (3), TWO (9), TWV (2)</w:t>
            </w:r>
          </w:p>
          <w:p w:rsidR="0083792B" w:rsidRPr="00386CD6" w:rsidRDefault="0083792B" w:rsidP="0085651C">
            <w:pPr>
              <w:spacing w:after="60"/>
              <w:ind w:left="743" w:hanging="386"/>
              <w:jc w:val="left"/>
              <w:rPr>
                <w:sz w:val="18"/>
                <w:szCs w:val="18"/>
              </w:rPr>
            </w:pPr>
            <w:r w:rsidRPr="00386CD6">
              <w:rPr>
                <w:sz w:val="18"/>
                <w:szCs w:val="18"/>
              </w:rPr>
              <w:t>–</w:t>
            </w:r>
            <w:r w:rsidRPr="00386CD6">
              <w:rPr>
                <w:sz w:val="18"/>
                <w:szCs w:val="18"/>
              </w:rPr>
              <w:tab/>
              <w:t>22 principes directeurs d’examen révisés : TWA (5), TWF (6), TWO (4), TWV (7)</w:t>
            </w:r>
          </w:p>
          <w:p w:rsidR="0083792B" w:rsidRPr="00386CD6" w:rsidRDefault="0083792B" w:rsidP="0085651C">
            <w:pPr>
              <w:spacing w:after="60"/>
              <w:ind w:left="743" w:hanging="386"/>
              <w:jc w:val="left"/>
              <w:rPr>
                <w:sz w:val="18"/>
                <w:szCs w:val="18"/>
              </w:rPr>
            </w:pPr>
            <w:r w:rsidRPr="00386CD6">
              <w:rPr>
                <w:sz w:val="18"/>
                <w:szCs w:val="18"/>
              </w:rPr>
              <w:t>–</w:t>
            </w:r>
            <w:r w:rsidRPr="00386CD6">
              <w:rPr>
                <w:sz w:val="18"/>
                <w:szCs w:val="18"/>
              </w:rPr>
              <w:tab/>
              <w:t>8 principes directeurs d’examen partiellement révisés : TWF (1), TWV (7)</w:t>
            </w:r>
          </w:p>
        </w:tc>
      </w:tr>
    </w:tbl>
    <w:p w:rsidR="0083792B" w:rsidRPr="00386CD6" w:rsidRDefault="0083792B" w:rsidP="0085651C"/>
    <w:p w:rsidR="0083792B" w:rsidRPr="00386CD6" w:rsidRDefault="0083792B" w:rsidP="0085651C"/>
    <w:tbl>
      <w:tblPr>
        <w:tblW w:w="9889" w:type="dxa"/>
        <w:tblLayout w:type="fixed"/>
        <w:tblLook w:val="0000" w:firstRow="0" w:lastRow="0" w:firstColumn="0" w:lastColumn="0" w:noHBand="0" w:noVBand="0"/>
      </w:tblPr>
      <w:tblGrid>
        <w:gridCol w:w="1951"/>
        <w:gridCol w:w="3827"/>
        <w:gridCol w:w="4111"/>
      </w:tblGrid>
      <w:tr w:rsidR="0083792B" w:rsidRPr="00386CD6" w:rsidTr="0085651C">
        <w:tc>
          <w:tcPr>
            <w:tcW w:w="1951" w:type="dxa"/>
            <w:shd w:val="clear" w:color="auto" w:fill="auto"/>
          </w:tcPr>
          <w:p w:rsidR="0083792B" w:rsidRPr="00386CD6" w:rsidRDefault="0083792B" w:rsidP="008B401F">
            <w:pPr>
              <w:pStyle w:val="Heading6"/>
              <w:keepNext/>
              <w:tabs>
                <w:tab w:val="left" w:pos="288"/>
              </w:tabs>
            </w:pPr>
            <w:bookmarkStart w:id="81" w:name="_Toc464487563"/>
            <w:bookmarkStart w:id="82" w:name="_Toc465100051"/>
            <w:r w:rsidRPr="00386CD6">
              <w:t>3.</w:t>
            </w:r>
            <w:r w:rsidR="008B401F" w:rsidRPr="00386CD6">
              <w:tab/>
            </w:r>
            <w:r w:rsidRPr="00386CD6">
              <w:t>Coopération en matière d’examen des droits d’obtenteur</w:t>
            </w:r>
            <w:bookmarkEnd w:id="81"/>
            <w:bookmarkEnd w:id="82"/>
          </w:p>
        </w:tc>
        <w:tc>
          <w:tcPr>
            <w:tcW w:w="7938" w:type="dxa"/>
            <w:gridSpan w:val="2"/>
            <w:shd w:val="clear" w:color="auto" w:fill="auto"/>
          </w:tcPr>
          <w:p w:rsidR="0083792B" w:rsidRPr="00386CD6" w:rsidRDefault="0083792B" w:rsidP="0085651C">
            <w:pPr>
              <w:pStyle w:val="Heading8"/>
              <w:keepNext/>
            </w:pPr>
            <w:bookmarkStart w:id="83" w:name="_Toc464487564"/>
            <w:bookmarkStart w:id="84" w:name="_Toc465100052"/>
            <w:r w:rsidRPr="00386CD6">
              <w:t>Base de données GENIE : consultations du site Web de l’UPOV en 2015</w:t>
            </w:r>
            <w:bookmarkEnd w:id="83"/>
            <w:bookmarkEnd w:id="84"/>
          </w:p>
        </w:tc>
      </w:tr>
      <w:tr w:rsidR="0083792B" w:rsidRPr="00386CD6" w:rsidTr="0085651C">
        <w:tc>
          <w:tcPr>
            <w:tcW w:w="1951" w:type="dxa"/>
            <w:shd w:val="clear" w:color="auto" w:fill="auto"/>
          </w:tcPr>
          <w:p w:rsidR="0083792B" w:rsidRPr="00386CD6" w:rsidRDefault="0083792B" w:rsidP="0085651C"/>
        </w:tc>
        <w:tc>
          <w:tcPr>
            <w:tcW w:w="3827" w:type="dxa"/>
            <w:shd w:val="clear" w:color="auto" w:fill="auto"/>
          </w:tcPr>
          <w:tbl>
            <w:tblPr>
              <w:tblW w:w="3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087"/>
              <w:gridCol w:w="1087"/>
            </w:tblGrid>
            <w:tr w:rsidR="0083792B" w:rsidRPr="00386CD6" w:rsidTr="0085651C">
              <w:trPr>
                <w:trHeight w:val="148"/>
              </w:trPr>
              <w:tc>
                <w:tcPr>
                  <w:tcW w:w="1644" w:type="dxa"/>
                </w:tcPr>
                <w:p w:rsidR="0083792B" w:rsidRPr="00386CD6" w:rsidRDefault="0083792B" w:rsidP="0085651C">
                  <w:pPr>
                    <w:pStyle w:val="Default"/>
                    <w:ind w:firstLine="6"/>
                    <w:rPr>
                      <w:color w:val="auto"/>
                      <w:sz w:val="18"/>
                      <w:szCs w:val="18"/>
                      <w:lang w:val="fr-FR"/>
                    </w:rPr>
                  </w:pPr>
                </w:p>
              </w:tc>
              <w:tc>
                <w:tcPr>
                  <w:tcW w:w="1087" w:type="dxa"/>
                </w:tcPr>
                <w:p w:rsidR="0083792B" w:rsidRPr="00386CD6" w:rsidRDefault="0083792B" w:rsidP="0085651C">
                  <w:pPr>
                    <w:pStyle w:val="Default"/>
                    <w:jc w:val="center"/>
                    <w:rPr>
                      <w:i/>
                      <w:color w:val="auto"/>
                      <w:sz w:val="18"/>
                      <w:szCs w:val="18"/>
                      <w:lang w:val="fr-FR"/>
                    </w:rPr>
                  </w:pPr>
                  <w:r w:rsidRPr="00386CD6">
                    <w:rPr>
                      <w:i/>
                      <w:color w:val="auto"/>
                      <w:sz w:val="18"/>
                      <w:szCs w:val="18"/>
                      <w:lang w:val="fr-FR"/>
                    </w:rPr>
                    <w:t>2015</w:t>
                  </w:r>
                </w:p>
              </w:tc>
              <w:tc>
                <w:tcPr>
                  <w:tcW w:w="1087" w:type="dxa"/>
                  <w:shd w:val="clear" w:color="auto" w:fill="auto"/>
                </w:tcPr>
                <w:p w:rsidR="0083792B" w:rsidRPr="00386CD6" w:rsidRDefault="0083792B" w:rsidP="0085651C">
                  <w:pPr>
                    <w:pStyle w:val="Default"/>
                    <w:jc w:val="center"/>
                    <w:rPr>
                      <w:i/>
                      <w:color w:val="auto"/>
                      <w:sz w:val="18"/>
                      <w:szCs w:val="18"/>
                      <w:lang w:val="fr-FR"/>
                    </w:rPr>
                  </w:pPr>
                  <w:r w:rsidRPr="00386CD6">
                    <w:rPr>
                      <w:i/>
                      <w:color w:val="auto"/>
                      <w:sz w:val="18"/>
                      <w:szCs w:val="18"/>
                      <w:lang w:val="fr-FR"/>
                    </w:rPr>
                    <w:t>2014</w:t>
                  </w:r>
                </w:p>
              </w:tc>
            </w:tr>
            <w:tr w:rsidR="0083792B" w:rsidRPr="00386CD6" w:rsidTr="0085651C">
              <w:trPr>
                <w:trHeight w:val="148"/>
              </w:trPr>
              <w:tc>
                <w:tcPr>
                  <w:tcW w:w="1644" w:type="dxa"/>
                </w:tcPr>
                <w:p w:rsidR="0083792B" w:rsidRPr="00386CD6" w:rsidRDefault="0083792B" w:rsidP="0085651C">
                  <w:pPr>
                    <w:pStyle w:val="Default"/>
                    <w:ind w:firstLine="6"/>
                    <w:rPr>
                      <w:color w:val="auto"/>
                      <w:sz w:val="18"/>
                      <w:szCs w:val="18"/>
                      <w:lang w:val="fr-FR"/>
                    </w:rPr>
                  </w:pPr>
                  <w:r w:rsidRPr="00386CD6">
                    <w:rPr>
                      <w:color w:val="auto"/>
                      <w:sz w:val="18"/>
                      <w:szCs w:val="18"/>
                      <w:lang w:val="fr-FR"/>
                    </w:rPr>
                    <w:t xml:space="preserve">Sessions </w:t>
                  </w:r>
                </w:p>
              </w:tc>
              <w:tc>
                <w:tcPr>
                  <w:tcW w:w="1087"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15 727</w:t>
                  </w:r>
                </w:p>
              </w:tc>
              <w:tc>
                <w:tcPr>
                  <w:tcW w:w="1087" w:type="dxa"/>
                  <w:shd w:val="clear" w:color="auto" w:fill="auto"/>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15 586</w:t>
                  </w:r>
                </w:p>
              </w:tc>
            </w:tr>
            <w:tr w:rsidR="0083792B" w:rsidRPr="00386CD6" w:rsidTr="0085651C">
              <w:trPr>
                <w:trHeight w:val="148"/>
              </w:trPr>
              <w:tc>
                <w:tcPr>
                  <w:tcW w:w="1644" w:type="dxa"/>
                </w:tcPr>
                <w:p w:rsidR="0083792B" w:rsidRPr="00386CD6" w:rsidRDefault="0083792B" w:rsidP="0085651C">
                  <w:pPr>
                    <w:pStyle w:val="Default"/>
                    <w:ind w:firstLine="6"/>
                    <w:rPr>
                      <w:color w:val="auto"/>
                      <w:sz w:val="18"/>
                      <w:szCs w:val="18"/>
                      <w:lang w:val="fr-FR"/>
                    </w:rPr>
                  </w:pPr>
                  <w:r w:rsidRPr="00386CD6">
                    <w:rPr>
                      <w:color w:val="auto"/>
                      <w:sz w:val="18"/>
                      <w:szCs w:val="18"/>
                      <w:lang w:val="fr-FR"/>
                    </w:rPr>
                    <w:t xml:space="preserve">Utilisateurs </w:t>
                  </w:r>
                </w:p>
              </w:tc>
              <w:tc>
                <w:tcPr>
                  <w:tcW w:w="1087"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8 744</w:t>
                  </w:r>
                </w:p>
              </w:tc>
              <w:tc>
                <w:tcPr>
                  <w:tcW w:w="1087" w:type="dxa"/>
                  <w:shd w:val="clear" w:color="auto" w:fill="auto"/>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8 364</w:t>
                  </w:r>
                </w:p>
              </w:tc>
            </w:tr>
            <w:tr w:rsidR="0083792B" w:rsidRPr="00386CD6" w:rsidTr="0085651C">
              <w:trPr>
                <w:trHeight w:val="148"/>
              </w:trPr>
              <w:tc>
                <w:tcPr>
                  <w:tcW w:w="1644" w:type="dxa"/>
                </w:tcPr>
                <w:p w:rsidR="0083792B" w:rsidRPr="00386CD6" w:rsidRDefault="0083792B" w:rsidP="0085651C">
                  <w:pPr>
                    <w:pStyle w:val="Default"/>
                    <w:ind w:firstLine="6"/>
                    <w:rPr>
                      <w:color w:val="auto"/>
                      <w:sz w:val="18"/>
                      <w:szCs w:val="18"/>
                      <w:lang w:val="fr-FR"/>
                    </w:rPr>
                  </w:pPr>
                  <w:r w:rsidRPr="00386CD6">
                    <w:rPr>
                      <w:color w:val="auto"/>
                      <w:sz w:val="18"/>
                      <w:szCs w:val="18"/>
                      <w:lang w:val="fr-FR"/>
                    </w:rPr>
                    <w:t xml:space="preserve">Pages consultées </w:t>
                  </w:r>
                </w:p>
              </w:tc>
              <w:tc>
                <w:tcPr>
                  <w:tcW w:w="1087"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67 175</w:t>
                  </w:r>
                </w:p>
              </w:tc>
              <w:tc>
                <w:tcPr>
                  <w:tcW w:w="1087" w:type="dxa"/>
                  <w:shd w:val="clear" w:color="auto" w:fill="auto"/>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72 018</w:t>
                  </w:r>
                </w:p>
              </w:tc>
            </w:tr>
            <w:tr w:rsidR="0083792B" w:rsidRPr="00386CD6" w:rsidTr="0085651C">
              <w:trPr>
                <w:trHeight w:val="148"/>
              </w:trPr>
              <w:tc>
                <w:tcPr>
                  <w:tcW w:w="1644" w:type="dxa"/>
                </w:tcPr>
                <w:p w:rsidR="0083792B" w:rsidRPr="00386CD6" w:rsidRDefault="0083792B" w:rsidP="0085651C">
                  <w:pPr>
                    <w:pStyle w:val="Default"/>
                    <w:ind w:firstLine="6"/>
                    <w:rPr>
                      <w:color w:val="auto"/>
                      <w:sz w:val="18"/>
                      <w:szCs w:val="18"/>
                      <w:lang w:val="fr-FR"/>
                    </w:rPr>
                  </w:pPr>
                  <w:r w:rsidRPr="00386CD6">
                    <w:rPr>
                      <w:color w:val="auto"/>
                      <w:sz w:val="18"/>
                      <w:szCs w:val="18"/>
                      <w:lang w:val="fr-FR"/>
                    </w:rPr>
                    <w:t xml:space="preserve">Nouveaux utilisateurs </w:t>
                  </w:r>
                </w:p>
              </w:tc>
              <w:tc>
                <w:tcPr>
                  <w:tcW w:w="1087"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46,7%</w:t>
                  </w:r>
                </w:p>
              </w:tc>
              <w:tc>
                <w:tcPr>
                  <w:tcW w:w="1087" w:type="dxa"/>
                  <w:shd w:val="clear" w:color="auto" w:fill="auto"/>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52%</w:t>
                  </w:r>
                </w:p>
              </w:tc>
            </w:tr>
            <w:tr w:rsidR="0083792B" w:rsidRPr="00386CD6" w:rsidTr="0085651C">
              <w:trPr>
                <w:trHeight w:val="148"/>
              </w:trPr>
              <w:tc>
                <w:tcPr>
                  <w:tcW w:w="1644" w:type="dxa"/>
                </w:tcPr>
                <w:p w:rsidR="0083792B" w:rsidRPr="00386CD6" w:rsidRDefault="0083792B" w:rsidP="0085651C">
                  <w:pPr>
                    <w:ind w:firstLine="6"/>
                    <w:jc w:val="left"/>
                    <w:rPr>
                      <w:sz w:val="18"/>
                      <w:szCs w:val="18"/>
                    </w:rPr>
                  </w:pPr>
                  <w:r w:rsidRPr="00386CD6">
                    <w:rPr>
                      <w:sz w:val="18"/>
                      <w:szCs w:val="18"/>
                    </w:rPr>
                    <w:t xml:space="preserve">Utilisateurs ayant déjà consulté le site Web </w:t>
                  </w:r>
                </w:p>
              </w:tc>
              <w:tc>
                <w:tcPr>
                  <w:tcW w:w="1087" w:type="dxa"/>
                </w:tcPr>
                <w:p w:rsidR="0083792B" w:rsidRPr="00386CD6" w:rsidRDefault="0083792B" w:rsidP="0085651C">
                  <w:pPr>
                    <w:ind w:right="113"/>
                    <w:jc w:val="right"/>
                    <w:rPr>
                      <w:sz w:val="18"/>
                      <w:szCs w:val="18"/>
                    </w:rPr>
                  </w:pPr>
                  <w:r w:rsidRPr="00386CD6">
                    <w:rPr>
                      <w:sz w:val="18"/>
                      <w:szCs w:val="18"/>
                    </w:rPr>
                    <w:t>53,3%</w:t>
                  </w:r>
                </w:p>
              </w:tc>
              <w:tc>
                <w:tcPr>
                  <w:tcW w:w="1087" w:type="dxa"/>
                  <w:shd w:val="clear" w:color="auto" w:fill="auto"/>
                </w:tcPr>
                <w:p w:rsidR="0083792B" w:rsidRPr="00386CD6" w:rsidRDefault="0083792B" w:rsidP="0085651C">
                  <w:pPr>
                    <w:ind w:right="113"/>
                    <w:jc w:val="right"/>
                    <w:rPr>
                      <w:sz w:val="18"/>
                      <w:szCs w:val="18"/>
                    </w:rPr>
                  </w:pPr>
                  <w:r w:rsidRPr="00386CD6">
                    <w:rPr>
                      <w:sz w:val="18"/>
                      <w:szCs w:val="18"/>
                    </w:rPr>
                    <w:t>48%</w:t>
                  </w:r>
                </w:p>
              </w:tc>
            </w:tr>
          </w:tbl>
          <w:p w:rsidR="0083792B" w:rsidRPr="00386CD6" w:rsidRDefault="0083792B" w:rsidP="0085651C">
            <w:pPr>
              <w:keepNext/>
              <w:ind w:firstLine="659"/>
            </w:pPr>
          </w:p>
        </w:tc>
        <w:tc>
          <w:tcPr>
            <w:tcW w:w="4111" w:type="dxa"/>
            <w:shd w:val="clear" w:color="auto" w:fill="auto"/>
          </w:tcPr>
          <w:tbl>
            <w:tblPr>
              <w:tblW w:w="3543"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134"/>
              <w:gridCol w:w="1134"/>
              <w:gridCol w:w="1275"/>
            </w:tblGrid>
            <w:tr w:rsidR="0083792B" w:rsidRPr="00386CD6" w:rsidTr="00D535C2">
              <w:trPr>
                <w:trHeight w:val="143"/>
              </w:trPr>
              <w:tc>
                <w:tcPr>
                  <w:tcW w:w="1134"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Langue</w:t>
                  </w:r>
                </w:p>
              </w:tc>
              <w:tc>
                <w:tcPr>
                  <w:tcW w:w="1134" w:type="dxa"/>
                </w:tcPr>
                <w:p w:rsidR="0083792B" w:rsidRPr="00386CD6" w:rsidRDefault="0083792B" w:rsidP="0085651C">
                  <w:pPr>
                    <w:autoSpaceDE w:val="0"/>
                    <w:autoSpaceDN w:val="0"/>
                    <w:adjustRightInd w:val="0"/>
                    <w:jc w:val="center"/>
                    <w:rPr>
                      <w:rFonts w:cs="Arial"/>
                      <w:sz w:val="18"/>
                      <w:szCs w:val="22"/>
                    </w:rPr>
                  </w:pPr>
                  <w:r w:rsidRPr="00386CD6">
                    <w:rPr>
                      <w:rFonts w:cs="Arial"/>
                      <w:sz w:val="18"/>
                      <w:szCs w:val="22"/>
                    </w:rPr>
                    <w:t>Pages consultées</w:t>
                  </w:r>
                </w:p>
              </w:tc>
              <w:tc>
                <w:tcPr>
                  <w:tcW w:w="1275" w:type="dxa"/>
                </w:tcPr>
                <w:p w:rsidR="0083792B" w:rsidRPr="00386CD6" w:rsidRDefault="0083792B" w:rsidP="0085651C">
                  <w:pPr>
                    <w:autoSpaceDE w:val="0"/>
                    <w:autoSpaceDN w:val="0"/>
                    <w:adjustRightInd w:val="0"/>
                    <w:jc w:val="center"/>
                    <w:rPr>
                      <w:rFonts w:cs="Arial"/>
                      <w:sz w:val="18"/>
                      <w:szCs w:val="22"/>
                    </w:rPr>
                  </w:pPr>
                  <w:r w:rsidRPr="00386CD6">
                    <w:rPr>
                      <w:rFonts w:cs="Arial"/>
                      <w:sz w:val="18"/>
                      <w:szCs w:val="22"/>
                    </w:rPr>
                    <w:t>Consultations ponctuelles</w:t>
                  </w:r>
                </w:p>
              </w:tc>
            </w:tr>
            <w:tr w:rsidR="0083792B" w:rsidRPr="00386CD6" w:rsidTr="00D535C2">
              <w:trPr>
                <w:trHeight w:val="148"/>
              </w:trPr>
              <w:tc>
                <w:tcPr>
                  <w:tcW w:w="1134"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Anglais </w:t>
                  </w:r>
                </w:p>
              </w:tc>
              <w:tc>
                <w:tcPr>
                  <w:tcW w:w="1134"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47,367</w:t>
                  </w:r>
                </w:p>
              </w:tc>
              <w:tc>
                <w:tcPr>
                  <w:tcW w:w="1275" w:type="dxa"/>
                </w:tcPr>
                <w:p w:rsidR="0083792B" w:rsidRPr="00386CD6" w:rsidRDefault="0083792B" w:rsidP="0085651C">
                  <w:pPr>
                    <w:pStyle w:val="Default"/>
                    <w:ind w:right="97"/>
                    <w:jc w:val="right"/>
                    <w:rPr>
                      <w:color w:val="auto"/>
                      <w:sz w:val="18"/>
                      <w:szCs w:val="18"/>
                      <w:lang w:val="fr-FR"/>
                    </w:rPr>
                  </w:pPr>
                  <w:r w:rsidRPr="00386CD6">
                    <w:rPr>
                      <w:color w:val="auto"/>
                      <w:sz w:val="18"/>
                      <w:szCs w:val="18"/>
                      <w:lang w:val="fr-FR"/>
                    </w:rPr>
                    <w:t>26,989</w:t>
                  </w:r>
                </w:p>
              </w:tc>
            </w:tr>
            <w:tr w:rsidR="0083792B" w:rsidRPr="00386CD6" w:rsidTr="00D535C2">
              <w:trPr>
                <w:trHeight w:val="142"/>
              </w:trPr>
              <w:tc>
                <w:tcPr>
                  <w:tcW w:w="1134"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Espagnol </w:t>
                  </w:r>
                </w:p>
              </w:tc>
              <w:tc>
                <w:tcPr>
                  <w:tcW w:w="1134"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 xml:space="preserve">9,530 </w:t>
                  </w:r>
                </w:p>
              </w:tc>
              <w:tc>
                <w:tcPr>
                  <w:tcW w:w="1275" w:type="dxa"/>
                </w:tcPr>
                <w:p w:rsidR="0083792B" w:rsidRPr="00386CD6" w:rsidRDefault="0083792B" w:rsidP="0085651C">
                  <w:pPr>
                    <w:pStyle w:val="Default"/>
                    <w:ind w:right="97"/>
                    <w:jc w:val="right"/>
                    <w:rPr>
                      <w:color w:val="auto"/>
                      <w:sz w:val="18"/>
                      <w:szCs w:val="18"/>
                      <w:lang w:val="fr-FR"/>
                    </w:rPr>
                  </w:pPr>
                  <w:r w:rsidRPr="00386CD6">
                    <w:rPr>
                      <w:color w:val="auto"/>
                      <w:sz w:val="18"/>
                      <w:szCs w:val="18"/>
                      <w:lang w:val="fr-FR"/>
                    </w:rPr>
                    <w:t>5,832</w:t>
                  </w:r>
                </w:p>
              </w:tc>
            </w:tr>
            <w:tr w:rsidR="0083792B" w:rsidRPr="00386CD6" w:rsidTr="00D535C2">
              <w:trPr>
                <w:trHeight w:val="148"/>
              </w:trPr>
              <w:tc>
                <w:tcPr>
                  <w:tcW w:w="1134"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Français </w:t>
                  </w:r>
                </w:p>
              </w:tc>
              <w:tc>
                <w:tcPr>
                  <w:tcW w:w="1134"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5,451</w:t>
                  </w:r>
                </w:p>
              </w:tc>
              <w:tc>
                <w:tcPr>
                  <w:tcW w:w="1275" w:type="dxa"/>
                </w:tcPr>
                <w:p w:rsidR="0083792B" w:rsidRPr="00386CD6" w:rsidRDefault="0083792B" w:rsidP="0085651C">
                  <w:pPr>
                    <w:pStyle w:val="Default"/>
                    <w:ind w:right="97"/>
                    <w:jc w:val="right"/>
                    <w:rPr>
                      <w:color w:val="auto"/>
                      <w:sz w:val="18"/>
                      <w:szCs w:val="18"/>
                      <w:lang w:val="fr-FR"/>
                    </w:rPr>
                  </w:pPr>
                  <w:r w:rsidRPr="00386CD6">
                    <w:rPr>
                      <w:color w:val="auto"/>
                      <w:sz w:val="18"/>
                      <w:szCs w:val="18"/>
                      <w:lang w:val="fr-FR"/>
                    </w:rPr>
                    <w:t>3,527</w:t>
                  </w:r>
                </w:p>
              </w:tc>
            </w:tr>
            <w:tr w:rsidR="0083792B" w:rsidRPr="00386CD6" w:rsidTr="00D535C2">
              <w:trPr>
                <w:trHeight w:val="142"/>
              </w:trPr>
              <w:tc>
                <w:tcPr>
                  <w:tcW w:w="1134"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Allemand </w:t>
                  </w:r>
                </w:p>
              </w:tc>
              <w:tc>
                <w:tcPr>
                  <w:tcW w:w="1134"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2,706</w:t>
                  </w:r>
                </w:p>
              </w:tc>
              <w:tc>
                <w:tcPr>
                  <w:tcW w:w="1275" w:type="dxa"/>
                </w:tcPr>
                <w:p w:rsidR="0083792B" w:rsidRPr="00386CD6" w:rsidRDefault="0083792B" w:rsidP="0085651C">
                  <w:pPr>
                    <w:pStyle w:val="Default"/>
                    <w:ind w:right="97"/>
                    <w:jc w:val="right"/>
                    <w:rPr>
                      <w:color w:val="auto"/>
                      <w:sz w:val="18"/>
                      <w:szCs w:val="18"/>
                      <w:lang w:val="fr-FR"/>
                    </w:rPr>
                  </w:pPr>
                  <w:r w:rsidRPr="00386CD6">
                    <w:rPr>
                      <w:color w:val="auto"/>
                      <w:sz w:val="18"/>
                      <w:szCs w:val="18"/>
                      <w:lang w:val="fr-FR"/>
                    </w:rPr>
                    <w:t>1,833</w:t>
                  </w:r>
                </w:p>
              </w:tc>
            </w:tr>
          </w:tbl>
          <w:p w:rsidR="0083792B" w:rsidRPr="00386CD6" w:rsidRDefault="0083792B" w:rsidP="0085651C">
            <w:pPr>
              <w:keepNext/>
            </w:pPr>
          </w:p>
        </w:tc>
      </w:tr>
      <w:tr w:rsidR="0083792B" w:rsidRPr="00386CD6" w:rsidTr="0085651C">
        <w:tc>
          <w:tcPr>
            <w:tcW w:w="1951" w:type="dxa"/>
            <w:shd w:val="clear" w:color="auto" w:fill="auto"/>
          </w:tcPr>
          <w:p w:rsidR="0083792B" w:rsidRPr="00386CD6" w:rsidRDefault="0083792B" w:rsidP="0085651C"/>
        </w:tc>
        <w:tc>
          <w:tcPr>
            <w:tcW w:w="7938" w:type="dxa"/>
            <w:gridSpan w:val="2"/>
            <w:shd w:val="clear" w:color="auto" w:fill="auto"/>
          </w:tcPr>
          <w:p w:rsidR="0083792B" w:rsidRPr="00386CD6" w:rsidRDefault="0083792B" w:rsidP="0085651C">
            <w:pPr>
              <w:rPr>
                <w:bCs/>
                <w:sz w:val="18"/>
                <w:szCs w:val="22"/>
              </w:rPr>
            </w:pPr>
          </w:p>
          <w:p w:rsidR="0083792B" w:rsidRPr="00386CD6" w:rsidRDefault="0083792B" w:rsidP="0085651C">
            <w:pPr>
              <w:rPr>
                <w:bCs/>
                <w:sz w:val="18"/>
                <w:szCs w:val="22"/>
              </w:rPr>
            </w:pPr>
            <w:r w:rsidRPr="00386CD6">
              <w:rPr>
                <w:bCs/>
                <w:sz w:val="18"/>
                <w:szCs w:val="22"/>
              </w:rPr>
              <w:t>Dix pays ayant le plus consulté la base de données GENIE en 2015</w:t>
            </w:r>
          </w:p>
          <w:p w:rsidR="0083792B" w:rsidRPr="00386CD6" w:rsidRDefault="0083792B" w:rsidP="0085651C">
            <w:pPr>
              <w:rPr>
                <w:b/>
                <w:bCs/>
                <w:sz w:val="18"/>
                <w:szCs w:val="22"/>
              </w:rPr>
            </w:pPr>
          </w:p>
          <w:tbl>
            <w:tblPr>
              <w:tblW w:w="6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4"/>
              <w:gridCol w:w="1260"/>
              <w:gridCol w:w="1350"/>
              <w:gridCol w:w="1152"/>
            </w:tblGrid>
            <w:tr w:rsidR="0083792B" w:rsidRPr="00386CD6" w:rsidTr="0085651C">
              <w:trPr>
                <w:trHeight w:val="143"/>
              </w:trPr>
              <w:tc>
                <w:tcPr>
                  <w:tcW w:w="2864" w:type="dxa"/>
                </w:tcPr>
                <w:p w:rsidR="0083792B" w:rsidRPr="00386CD6" w:rsidRDefault="0083792B" w:rsidP="0085651C">
                  <w:pPr>
                    <w:autoSpaceDE w:val="0"/>
                    <w:autoSpaceDN w:val="0"/>
                    <w:adjustRightInd w:val="0"/>
                    <w:jc w:val="left"/>
                    <w:rPr>
                      <w:rFonts w:cs="Arial"/>
                      <w:sz w:val="18"/>
                      <w:szCs w:val="18"/>
                    </w:rPr>
                  </w:pPr>
                  <w:r w:rsidRPr="00386CD6">
                    <w:rPr>
                      <w:rFonts w:cs="Arial"/>
                      <w:bCs/>
                      <w:sz w:val="18"/>
                      <w:szCs w:val="18"/>
                    </w:rPr>
                    <w:t xml:space="preserve">Pays/territoire </w:t>
                  </w:r>
                </w:p>
              </w:tc>
              <w:tc>
                <w:tcPr>
                  <w:tcW w:w="1260" w:type="dxa"/>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Sessions</w:t>
                  </w:r>
                </w:p>
              </w:tc>
              <w:tc>
                <w:tcPr>
                  <w:tcW w:w="1350" w:type="dxa"/>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Pourcentage de nouvelles sessions</w:t>
                  </w:r>
                </w:p>
              </w:tc>
              <w:tc>
                <w:tcPr>
                  <w:tcW w:w="1152" w:type="dxa"/>
                </w:tcPr>
                <w:p w:rsidR="0083792B" w:rsidRPr="00386CD6" w:rsidRDefault="0083792B" w:rsidP="0085651C">
                  <w:pPr>
                    <w:autoSpaceDE w:val="0"/>
                    <w:autoSpaceDN w:val="0"/>
                    <w:adjustRightInd w:val="0"/>
                    <w:jc w:val="center"/>
                    <w:rPr>
                      <w:rFonts w:cs="Arial"/>
                      <w:sz w:val="18"/>
                      <w:szCs w:val="18"/>
                    </w:rPr>
                  </w:pPr>
                  <w:r w:rsidRPr="00386CD6">
                    <w:rPr>
                      <w:rFonts w:cs="Arial"/>
                      <w:bCs/>
                      <w:sz w:val="18"/>
                      <w:szCs w:val="18"/>
                    </w:rPr>
                    <w:t>Nouveaux utilisateurs</w:t>
                  </w:r>
                </w:p>
              </w:tc>
            </w:tr>
            <w:tr w:rsidR="0083792B" w:rsidRPr="00386CD6" w:rsidTr="0085651C">
              <w:trPr>
                <w:trHeight w:val="142"/>
              </w:trPr>
              <w:tc>
                <w:tcPr>
                  <w:tcW w:w="2864" w:type="dxa"/>
                </w:tcPr>
                <w:p w:rsidR="0083792B" w:rsidRPr="00386CD6" w:rsidRDefault="0083792B" w:rsidP="0085651C">
                  <w:pPr>
                    <w:autoSpaceDE w:val="0"/>
                    <w:autoSpaceDN w:val="0"/>
                    <w:adjustRightInd w:val="0"/>
                    <w:jc w:val="left"/>
                    <w:rPr>
                      <w:rFonts w:cs="Arial"/>
                      <w:sz w:val="18"/>
                      <w:szCs w:val="18"/>
                    </w:rPr>
                  </w:pPr>
                  <w:r w:rsidRPr="00386CD6">
                    <w:rPr>
                      <w:rFonts w:cs="Arial"/>
                      <w:sz w:val="18"/>
                      <w:szCs w:val="18"/>
                    </w:rPr>
                    <w:t xml:space="preserve">France </w:t>
                  </w:r>
                </w:p>
              </w:tc>
              <w:tc>
                <w:tcPr>
                  <w:tcW w:w="1260" w:type="dxa"/>
                </w:tcPr>
                <w:p w:rsidR="0083792B" w:rsidRPr="00386CD6" w:rsidRDefault="0083792B" w:rsidP="0085651C">
                  <w:pPr>
                    <w:autoSpaceDE w:val="0"/>
                    <w:autoSpaceDN w:val="0"/>
                    <w:adjustRightInd w:val="0"/>
                    <w:ind w:right="160"/>
                    <w:jc w:val="right"/>
                    <w:rPr>
                      <w:rFonts w:cs="Arial"/>
                      <w:sz w:val="18"/>
                      <w:szCs w:val="18"/>
                    </w:rPr>
                  </w:pPr>
                  <w:r w:rsidRPr="00386CD6">
                    <w:rPr>
                      <w:rFonts w:cs="Arial"/>
                      <w:sz w:val="18"/>
                      <w:szCs w:val="18"/>
                    </w:rPr>
                    <w:t>1355</w:t>
                  </w:r>
                </w:p>
              </w:tc>
              <w:tc>
                <w:tcPr>
                  <w:tcW w:w="1350" w:type="dxa"/>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52,18%</w:t>
                  </w:r>
                </w:p>
              </w:tc>
              <w:tc>
                <w:tcPr>
                  <w:tcW w:w="1152" w:type="dxa"/>
                </w:tcPr>
                <w:p w:rsidR="0083792B" w:rsidRPr="00386CD6" w:rsidRDefault="0083792B" w:rsidP="0085651C">
                  <w:pPr>
                    <w:autoSpaceDE w:val="0"/>
                    <w:autoSpaceDN w:val="0"/>
                    <w:adjustRightInd w:val="0"/>
                    <w:ind w:right="170"/>
                    <w:jc w:val="right"/>
                    <w:rPr>
                      <w:rFonts w:cs="Arial"/>
                      <w:sz w:val="18"/>
                      <w:szCs w:val="18"/>
                    </w:rPr>
                  </w:pPr>
                  <w:r w:rsidRPr="00386CD6">
                    <w:rPr>
                      <w:rFonts w:cs="Arial"/>
                      <w:sz w:val="18"/>
                      <w:szCs w:val="18"/>
                    </w:rPr>
                    <w:t>707</w:t>
                  </w:r>
                </w:p>
              </w:tc>
            </w:tr>
            <w:tr w:rsidR="0083792B" w:rsidRPr="00386CD6" w:rsidTr="0085651C">
              <w:trPr>
                <w:trHeight w:val="148"/>
              </w:trPr>
              <w:tc>
                <w:tcPr>
                  <w:tcW w:w="2864" w:type="dxa"/>
                </w:tcPr>
                <w:p w:rsidR="0083792B" w:rsidRPr="00386CD6" w:rsidRDefault="0083792B" w:rsidP="0085651C">
                  <w:pPr>
                    <w:autoSpaceDE w:val="0"/>
                    <w:autoSpaceDN w:val="0"/>
                    <w:adjustRightInd w:val="0"/>
                    <w:jc w:val="left"/>
                    <w:rPr>
                      <w:rFonts w:cs="Arial"/>
                      <w:sz w:val="18"/>
                      <w:szCs w:val="18"/>
                    </w:rPr>
                  </w:pPr>
                  <w:r w:rsidRPr="00386CD6">
                    <w:rPr>
                      <w:rFonts w:cs="Arial"/>
                      <w:sz w:val="18"/>
                      <w:szCs w:val="18"/>
                    </w:rPr>
                    <w:t xml:space="preserve">Suisse </w:t>
                  </w:r>
                </w:p>
              </w:tc>
              <w:tc>
                <w:tcPr>
                  <w:tcW w:w="1260" w:type="dxa"/>
                </w:tcPr>
                <w:p w:rsidR="0083792B" w:rsidRPr="00386CD6" w:rsidRDefault="0083792B" w:rsidP="0085651C">
                  <w:pPr>
                    <w:autoSpaceDE w:val="0"/>
                    <w:autoSpaceDN w:val="0"/>
                    <w:adjustRightInd w:val="0"/>
                    <w:ind w:right="160"/>
                    <w:jc w:val="right"/>
                    <w:rPr>
                      <w:rFonts w:cs="Arial"/>
                      <w:sz w:val="18"/>
                      <w:szCs w:val="18"/>
                    </w:rPr>
                  </w:pPr>
                  <w:r w:rsidRPr="00386CD6">
                    <w:rPr>
                      <w:rFonts w:cs="Arial"/>
                      <w:sz w:val="18"/>
                      <w:szCs w:val="18"/>
                    </w:rPr>
                    <w:t>1188</w:t>
                  </w:r>
                </w:p>
              </w:tc>
              <w:tc>
                <w:tcPr>
                  <w:tcW w:w="1350" w:type="dxa"/>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37,04%</w:t>
                  </w:r>
                </w:p>
              </w:tc>
              <w:tc>
                <w:tcPr>
                  <w:tcW w:w="1152" w:type="dxa"/>
                </w:tcPr>
                <w:p w:rsidR="0083792B" w:rsidRPr="00386CD6" w:rsidRDefault="0083792B" w:rsidP="0085651C">
                  <w:pPr>
                    <w:autoSpaceDE w:val="0"/>
                    <w:autoSpaceDN w:val="0"/>
                    <w:adjustRightInd w:val="0"/>
                    <w:ind w:right="170"/>
                    <w:jc w:val="right"/>
                    <w:rPr>
                      <w:rFonts w:cs="Arial"/>
                      <w:sz w:val="18"/>
                      <w:szCs w:val="18"/>
                    </w:rPr>
                  </w:pPr>
                  <w:r w:rsidRPr="00386CD6">
                    <w:rPr>
                      <w:rFonts w:cs="Arial"/>
                      <w:sz w:val="18"/>
                      <w:szCs w:val="18"/>
                    </w:rPr>
                    <w:t>440</w:t>
                  </w:r>
                </w:p>
              </w:tc>
            </w:tr>
            <w:tr w:rsidR="0083792B" w:rsidRPr="00386CD6" w:rsidTr="0085651C">
              <w:trPr>
                <w:trHeight w:val="148"/>
              </w:trPr>
              <w:tc>
                <w:tcPr>
                  <w:tcW w:w="2864" w:type="dxa"/>
                </w:tcPr>
                <w:p w:rsidR="0083792B" w:rsidRPr="00386CD6" w:rsidRDefault="0083792B" w:rsidP="0085651C">
                  <w:pPr>
                    <w:autoSpaceDE w:val="0"/>
                    <w:autoSpaceDN w:val="0"/>
                    <w:adjustRightInd w:val="0"/>
                    <w:jc w:val="left"/>
                    <w:rPr>
                      <w:rFonts w:cs="Arial"/>
                      <w:sz w:val="18"/>
                      <w:szCs w:val="18"/>
                    </w:rPr>
                  </w:pPr>
                  <w:r w:rsidRPr="00386CD6">
                    <w:rPr>
                      <w:rFonts w:cs="Arial"/>
                      <w:sz w:val="18"/>
                      <w:szCs w:val="18"/>
                    </w:rPr>
                    <w:t xml:space="preserve">Allemagne </w:t>
                  </w:r>
                </w:p>
              </w:tc>
              <w:tc>
                <w:tcPr>
                  <w:tcW w:w="1260" w:type="dxa"/>
                </w:tcPr>
                <w:p w:rsidR="0083792B" w:rsidRPr="00386CD6" w:rsidRDefault="0083792B" w:rsidP="0085651C">
                  <w:pPr>
                    <w:autoSpaceDE w:val="0"/>
                    <w:autoSpaceDN w:val="0"/>
                    <w:adjustRightInd w:val="0"/>
                    <w:ind w:right="160"/>
                    <w:jc w:val="right"/>
                    <w:rPr>
                      <w:rFonts w:cs="Arial"/>
                      <w:sz w:val="18"/>
                      <w:szCs w:val="18"/>
                    </w:rPr>
                  </w:pPr>
                  <w:r w:rsidRPr="00386CD6">
                    <w:rPr>
                      <w:rFonts w:cs="Arial"/>
                      <w:sz w:val="18"/>
                      <w:szCs w:val="18"/>
                    </w:rPr>
                    <w:t>909</w:t>
                  </w:r>
                </w:p>
              </w:tc>
              <w:tc>
                <w:tcPr>
                  <w:tcW w:w="1350" w:type="dxa"/>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67,99%</w:t>
                  </w:r>
                </w:p>
              </w:tc>
              <w:tc>
                <w:tcPr>
                  <w:tcW w:w="1152" w:type="dxa"/>
                </w:tcPr>
                <w:p w:rsidR="0083792B" w:rsidRPr="00386CD6" w:rsidRDefault="0083792B" w:rsidP="0085651C">
                  <w:pPr>
                    <w:autoSpaceDE w:val="0"/>
                    <w:autoSpaceDN w:val="0"/>
                    <w:adjustRightInd w:val="0"/>
                    <w:ind w:right="170"/>
                    <w:jc w:val="right"/>
                    <w:rPr>
                      <w:rFonts w:cs="Arial"/>
                      <w:sz w:val="18"/>
                      <w:szCs w:val="18"/>
                    </w:rPr>
                  </w:pPr>
                  <w:r w:rsidRPr="00386CD6">
                    <w:rPr>
                      <w:rFonts w:cs="Arial"/>
                      <w:sz w:val="18"/>
                      <w:szCs w:val="18"/>
                    </w:rPr>
                    <w:t>618</w:t>
                  </w:r>
                </w:p>
              </w:tc>
            </w:tr>
            <w:tr w:rsidR="0083792B" w:rsidRPr="00386CD6" w:rsidTr="0085651C">
              <w:trPr>
                <w:trHeight w:val="142"/>
              </w:trPr>
              <w:tc>
                <w:tcPr>
                  <w:tcW w:w="2864" w:type="dxa"/>
                </w:tcPr>
                <w:p w:rsidR="0083792B" w:rsidRPr="00386CD6" w:rsidRDefault="0083792B" w:rsidP="0085651C">
                  <w:pPr>
                    <w:autoSpaceDE w:val="0"/>
                    <w:autoSpaceDN w:val="0"/>
                    <w:adjustRightInd w:val="0"/>
                    <w:jc w:val="left"/>
                    <w:rPr>
                      <w:rFonts w:cs="Arial"/>
                      <w:sz w:val="18"/>
                      <w:szCs w:val="18"/>
                    </w:rPr>
                  </w:pPr>
                  <w:r w:rsidRPr="00386CD6">
                    <w:rPr>
                      <w:rFonts w:cs="Arial"/>
                      <w:sz w:val="18"/>
                      <w:szCs w:val="18"/>
                    </w:rPr>
                    <w:t>États</w:t>
                  </w:r>
                  <w:r w:rsidRPr="00386CD6">
                    <w:rPr>
                      <w:rFonts w:cs="Arial"/>
                      <w:sz w:val="18"/>
                      <w:szCs w:val="18"/>
                    </w:rPr>
                    <w:noBreakHyphen/>
                    <w:t>Unis d’Amérique</w:t>
                  </w:r>
                </w:p>
              </w:tc>
              <w:tc>
                <w:tcPr>
                  <w:tcW w:w="1260" w:type="dxa"/>
                </w:tcPr>
                <w:p w:rsidR="0083792B" w:rsidRPr="00386CD6" w:rsidRDefault="0083792B" w:rsidP="0085651C">
                  <w:pPr>
                    <w:autoSpaceDE w:val="0"/>
                    <w:autoSpaceDN w:val="0"/>
                    <w:adjustRightInd w:val="0"/>
                    <w:ind w:right="160"/>
                    <w:jc w:val="right"/>
                    <w:rPr>
                      <w:rFonts w:cs="Arial"/>
                      <w:sz w:val="18"/>
                      <w:szCs w:val="18"/>
                    </w:rPr>
                  </w:pPr>
                  <w:r w:rsidRPr="00386CD6">
                    <w:rPr>
                      <w:rFonts w:cs="Arial"/>
                      <w:sz w:val="18"/>
                      <w:szCs w:val="18"/>
                    </w:rPr>
                    <w:t>861</w:t>
                  </w:r>
                </w:p>
              </w:tc>
              <w:tc>
                <w:tcPr>
                  <w:tcW w:w="1350" w:type="dxa"/>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70,27%</w:t>
                  </w:r>
                </w:p>
              </w:tc>
              <w:tc>
                <w:tcPr>
                  <w:tcW w:w="1152" w:type="dxa"/>
                </w:tcPr>
                <w:p w:rsidR="0083792B" w:rsidRPr="00386CD6" w:rsidRDefault="0083792B" w:rsidP="0085651C">
                  <w:pPr>
                    <w:autoSpaceDE w:val="0"/>
                    <w:autoSpaceDN w:val="0"/>
                    <w:adjustRightInd w:val="0"/>
                    <w:ind w:right="170"/>
                    <w:jc w:val="right"/>
                    <w:rPr>
                      <w:rFonts w:cs="Arial"/>
                      <w:sz w:val="18"/>
                      <w:szCs w:val="18"/>
                    </w:rPr>
                  </w:pPr>
                  <w:r w:rsidRPr="00386CD6">
                    <w:rPr>
                      <w:rFonts w:cs="Arial"/>
                      <w:sz w:val="18"/>
                      <w:szCs w:val="18"/>
                    </w:rPr>
                    <w:t>605</w:t>
                  </w:r>
                </w:p>
              </w:tc>
            </w:tr>
            <w:tr w:rsidR="0083792B" w:rsidRPr="00386CD6" w:rsidTr="0085651C">
              <w:trPr>
                <w:trHeight w:val="142"/>
              </w:trPr>
              <w:tc>
                <w:tcPr>
                  <w:tcW w:w="2864" w:type="dxa"/>
                </w:tcPr>
                <w:p w:rsidR="0083792B" w:rsidRPr="00386CD6" w:rsidRDefault="0083792B" w:rsidP="0085651C">
                  <w:pPr>
                    <w:autoSpaceDE w:val="0"/>
                    <w:autoSpaceDN w:val="0"/>
                    <w:adjustRightInd w:val="0"/>
                    <w:jc w:val="left"/>
                    <w:rPr>
                      <w:rFonts w:cs="Arial"/>
                      <w:sz w:val="18"/>
                      <w:szCs w:val="18"/>
                    </w:rPr>
                  </w:pPr>
                  <w:r w:rsidRPr="00386CD6">
                    <w:rPr>
                      <w:rFonts w:cs="Arial"/>
                      <w:sz w:val="18"/>
                      <w:szCs w:val="18"/>
                    </w:rPr>
                    <w:t xml:space="preserve">Japon </w:t>
                  </w:r>
                </w:p>
              </w:tc>
              <w:tc>
                <w:tcPr>
                  <w:tcW w:w="1260" w:type="dxa"/>
                </w:tcPr>
                <w:p w:rsidR="0083792B" w:rsidRPr="00386CD6" w:rsidRDefault="0083792B" w:rsidP="0085651C">
                  <w:pPr>
                    <w:autoSpaceDE w:val="0"/>
                    <w:autoSpaceDN w:val="0"/>
                    <w:adjustRightInd w:val="0"/>
                    <w:ind w:right="160"/>
                    <w:jc w:val="right"/>
                    <w:rPr>
                      <w:rFonts w:cs="Arial"/>
                      <w:sz w:val="18"/>
                      <w:szCs w:val="18"/>
                    </w:rPr>
                  </w:pPr>
                  <w:r w:rsidRPr="00386CD6">
                    <w:rPr>
                      <w:rFonts w:cs="Arial"/>
                      <w:sz w:val="18"/>
                      <w:szCs w:val="18"/>
                    </w:rPr>
                    <w:t>835</w:t>
                  </w:r>
                </w:p>
              </w:tc>
              <w:tc>
                <w:tcPr>
                  <w:tcW w:w="1350" w:type="dxa"/>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21,56%</w:t>
                  </w:r>
                </w:p>
              </w:tc>
              <w:tc>
                <w:tcPr>
                  <w:tcW w:w="1152" w:type="dxa"/>
                </w:tcPr>
                <w:p w:rsidR="0083792B" w:rsidRPr="00386CD6" w:rsidRDefault="0083792B" w:rsidP="0085651C">
                  <w:pPr>
                    <w:autoSpaceDE w:val="0"/>
                    <w:autoSpaceDN w:val="0"/>
                    <w:adjustRightInd w:val="0"/>
                    <w:ind w:right="170"/>
                    <w:jc w:val="right"/>
                    <w:rPr>
                      <w:rFonts w:cs="Arial"/>
                      <w:sz w:val="18"/>
                      <w:szCs w:val="18"/>
                    </w:rPr>
                  </w:pPr>
                  <w:r w:rsidRPr="00386CD6">
                    <w:rPr>
                      <w:rFonts w:cs="Arial"/>
                      <w:sz w:val="18"/>
                      <w:szCs w:val="18"/>
                    </w:rPr>
                    <w:t>180</w:t>
                  </w:r>
                </w:p>
              </w:tc>
            </w:tr>
            <w:tr w:rsidR="0083792B" w:rsidRPr="00386CD6" w:rsidTr="0085651C">
              <w:trPr>
                <w:trHeight w:val="148"/>
              </w:trPr>
              <w:tc>
                <w:tcPr>
                  <w:tcW w:w="2864" w:type="dxa"/>
                </w:tcPr>
                <w:p w:rsidR="0083792B" w:rsidRPr="00386CD6" w:rsidRDefault="0083792B" w:rsidP="0085651C">
                  <w:pPr>
                    <w:autoSpaceDE w:val="0"/>
                    <w:autoSpaceDN w:val="0"/>
                    <w:adjustRightInd w:val="0"/>
                    <w:jc w:val="left"/>
                    <w:rPr>
                      <w:rFonts w:cs="Arial"/>
                      <w:sz w:val="18"/>
                      <w:szCs w:val="18"/>
                    </w:rPr>
                  </w:pPr>
                  <w:r w:rsidRPr="00386CD6">
                    <w:rPr>
                      <w:rFonts w:cs="Arial"/>
                      <w:sz w:val="18"/>
                      <w:szCs w:val="18"/>
                    </w:rPr>
                    <w:t xml:space="preserve">Espagne </w:t>
                  </w:r>
                </w:p>
              </w:tc>
              <w:tc>
                <w:tcPr>
                  <w:tcW w:w="1260" w:type="dxa"/>
                </w:tcPr>
                <w:p w:rsidR="0083792B" w:rsidRPr="00386CD6" w:rsidRDefault="0083792B" w:rsidP="0085651C">
                  <w:pPr>
                    <w:autoSpaceDE w:val="0"/>
                    <w:autoSpaceDN w:val="0"/>
                    <w:adjustRightInd w:val="0"/>
                    <w:ind w:right="160"/>
                    <w:jc w:val="right"/>
                    <w:rPr>
                      <w:rFonts w:cs="Arial"/>
                      <w:sz w:val="18"/>
                      <w:szCs w:val="18"/>
                    </w:rPr>
                  </w:pPr>
                  <w:r w:rsidRPr="00386CD6">
                    <w:rPr>
                      <w:rFonts w:cs="Arial"/>
                      <w:sz w:val="18"/>
                      <w:szCs w:val="18"/>
                    </w:rPr>
                    <w:t>798</w:t>
                  </w:r>
                </w:p>
              </w:tc>
              <w:tc>
                <w:tcPr>
                  <w:tcW w:w="1350" w:type="dxa"/>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63,16%</w:t>
                  </w:r>
                </w:p>
              </w:tc>
              <w:tc>
                <w:tcPr>
                  <w:tcW w:w="1152" w:type="dxa"/>
                </w:tcPr>
                <w:p w:rsidR="0083792B" w:rsidRPr="00386CD6" w:rsidRDefault="0083792B" w:rsidP="0085651C">
                  <w:pPr>
                    <w:autoSpaceDE w:val="0"/>
                    <w:autoSpaceDN w:val="0"/>
                    <w:adjustRightInd w:val="0"/>
                    <w:ind w:right="170"/>
                    <w:jc w:val="right"/>
                    <w:rPr>
                      <w:rFonts w:cs="Arial"/>
                      <w:sz w:val="18"/>
                      <w:szCs w:val="18"/>
                    </w:rPr>
                  </w:pPr>
                  <w:r w:rsidRPr="00386CD6">
                    <w:rPr>
                      <w:rFonts w:cs="Arial"/>
                      <w:sz w:val="18"/>
                      <w:szCs w:val="18"/>
                    </w:rPr>
                    <w:t>504</w:t>
                  </w:r>
                </w:p>
              </w:tc>
            </w:tr>
            <w:tr w:rsidR="0083792B" w:rsidRPr="00386CD6" w:rsidTr="0085651C">
              <w:trPr>
                <w:trHeight w:val="142"/>
              </w:trPr>
              <w:tc>
                <w:tcPr>
                  <w:tcW w:w="2864" w:type="dxa"/>
                </w:tcPr>
                <w:p w:rsidR="0083792B" w:rsidRPr="00386CD6" w:rsidRDefault="0083792B" w:rsidP="0085651C">
                  <w:pPr>
                    <w:autoSpaceDE w:val="0"/>
                    <w:autoSpaceDN w:val="0"/>
                    <w:adjustRightInd w:val="0"/>
                    <w:jc w:val="left"/>
                    <w:rPr>
                      <w:rFonts w:cs="Arial"/>
                      <w:sz w:val="18"/>
                      <w:szCs w:val="18"/>
                    </w:rPr>
                  </w:pPr>
                  <w:r w:rsidRPr="00386CD6">
                    <w:rPr>
                      <w:rFonts w:cs="Arial"/>
                      <w:sz w:val="18"/>
                      <w:szCs w:val="18"/>
                    </w:rPr>
                    <w:t xml:space="preserve">Inde </w:t>
                  </w:r>
                </w:p>
              </w:tc>
              <w:tc>
                <w:tcPr>
                  <w:tcW w:w="1260" w:type="dxa"/>
                </w:tcPr>
                <w:p w:rsidR="0083792B" w:rsidRPr="00386CD6" w:rsidRDefault="0083792B" w:rsidP="0085651C">
                  <w:pPr>
                    <w:autoSpaceDE w:val="0"/>
                    <w:autoSpaceDN w:val="0"/>
                    <w:adjustRightInd w:val="0"/>
                    <w:ind w:right="160"/>
                    <w:jc w:val="right"/>
                    <w:rPr>
                      <w:rFonts w:cs="Arial"/>
                      <w:sz w:val="18"/>
                      <w:szCs w:val="18"/>
                    </w:rPr>
                  </w:pPr>
                  <w:r w:rsidRPr="00386CD6">
                    <w:rPr>
                      <w:rFonts w:cs="Arial"/>
                      <w:sz w:val="18"/>
                      <w:szCs w:val="18"/>
                    </w:rPr>
                    <w:t>691</w:t>
                  </w:r>
                </w:p>
              </w:tc>
              <w:tc>
                <w:tcPr>
                  <w:tcW w:w="1350" w:type="dxa"/>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77,71%</w:t>
                  </w:r>
                </w:p>
              </w:tc>
              <w:tc>
                <w:tcPr>
                  <w:tcW w:w="1152" w:type="dxa"/>
                </w:tcPr>
                <w:p w:rsidR="0083792B" w:rsidRPr="00386CD6" w:rsidRDefault="0083792B" w:rsidP="0085651C">
                  <w:pPr>
                    <w:autoSpaceDE w:val="0"/>
                    <w:autoSpaceDN w:val="0"/>
                    <w:adjustRightInd w:val="0"/>
                    <w:ind w:right="170"/>
                    <w:jc w:val="right"/>
                    <w:rPr>
                      <w:rFonts w:cs="Arial"/>
                      <w:sz w:val="18"/>
                      <w:szCs w:val="18"/>
                    </w:rPr>
                  </w:pPr>
                  <w:r w:rsidRPr="00386CD6">
                    <w:rPr>
                      <w:rFonts w:cs="Arial"/>
                      <w:sz w:val="18"/>
                      <w:szCs w:val="18"/>
                    </w:rPr>
                    <w:t>537</w:t>
                  </w:r>
                </w:p>
              </w:tc>
            </w:tr>
            <w:tr w:rsidR="0083792B" w:rsidRPr="00386CD6" w:rsidTr="0085651C">
              <w:trPr>
                <w:trHeight w:val="148"/>
              </w:trPr>
              <w:tc>
                <w:tcPr>
                  <w:tcW w:w="2864" w:type="dxa"/>
                </w:tcPr>
                <w:p w:rsidR="0083792B" w:rsidRPr="00386CD6" w:rsidRDefault="0083792B" w:rsidP="0085651C">
                  <w:pPr>
                    <w:autoSpaceDE w:val="0"/>
                    <w:autoSpaceDN w:val="0"/>
                    <w:adjustRightInd w:val="0"/>
                    <w:jc w:val="left"/>
                    <w:rPr>
                      <w:rFonts w:cs="Arial"/>
                      <w:sz w:val="18"/>
                      <w:szCs w:val="18"/>
                    </w:rPr>
                  </w:pPr>
                  <w:r w:rsidRPr="00386CD6">
                    <w:rPr>
                      <w:rFonts w:cs="Arial"/>
                      <w:sz w:val="18"/>
                      <w:szCs w:val="18"/>
                    </w:rPr>
                    <w:t xml:space="preserve">Mexique </w:t>
                  </w:r>
                </w:p>
              </w:tc>
              <w:tc>
                <w:tcPr>
                  <w:tcW w:w="1260" w:type="dxa"/>
                </w:tcPr>
                <w:p w:rsidR="0083792B" w:rsidRPr="00386CD6" w:rsidRDefault="0083792B" w:rsidP="0085651C">
                  <w:pPr>
                    <w:autoSpaceDE w:val="0"/>
                    <w:autoSpaceDN w:val="0"/>
                    <w:adjustRightInd w:val="0"/>
                    <w:ind w:right="160"/>
                    <w:jc w:val="right"/>
                    <w:rPr>
                      <w:rFonts w:cs="Arial"/>
                      <w:sz w:val="18"/>
                      <w:szCs w:val="18"/>
                    </w:rPr>
                  </w:pPr>
                  <w:r w:rsidRPr="00386CD6">
                    <w:rPr>
                      <w:rFonts w:cs="Arial"/>
                      <w:sz w:val="18"/>
                      <w:szCs w:val="18"/>
                    </w:rPr>
                    <w:t>670</w:t>
                  </w:r>
                </w:p>
              </w:tc>
              <w:tc>
                <w:tcPr>
                  <w:tcW w:w="1350" w:type="dxa"/>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57,16%</w:t>
                  </w:r>
                </w:p>
              </w:tc>
              <w:tc>
                <w:tcPr>
                  <w:tcW w:w="1152" w:type="dxa"/>
                </w:tcPr>
                <w:p w:rsidR="0083792B" w:rsidRPr="00386CD6" w:rsidRDefault="0083792B" w:rsidP="0085651C">
                  <w:pPr>
                    <w:autoSpaceDE w:val="0"/>
                    <w:autoSpaceDN w:val="0"/>
                    <w:adjustRightInd w:val="0"/>
                    <w:ind w:right="170"/>
                    <w:jc w:val="right"/>
                    <w:rPr>
                      <w:rFonts w:cs="Arial"/>
                      <w:sz w:val="18"/>
                      <w:szCs w:val="18"/>
                    </w:rPr>
                  </w:pPr>
                  <w:r w:rsidRPr="00386CD6">
                    <w:rPr>
                      <w:rFonts w:cs="Arial"/>
                      <w:sz w:val="18"/>
                      <w:szCs w:val="18"/>
                    </w:rPr>
                    <w:t>383</w:t>
                  </w:r>
                </w:p>
              </w:tc>
            </w:tr>
            <w:tr w:rsidR="0083792B" w:rsidRPr="00386CD6" w:rsidTr="0085651C">
              <w:trPr>
                <w:trHeight w:val="148"/>
              </w:trPr>
              <w:tc>
                <w:tcPr>
                  <w:tcW w:w="2864" w:type="dxa"/>
                </w:tcPr>
                <w:p w:rsidR="0083792B" w:rsidRPr="00386CD6" w:rsidRDefault="0083792B" w:rsidP="0085651C">
                  <w:pPr>
                    <w:autoSpaceDE w:val="0"/>
                    <w:autoSpaceDN w:val="0"/>
                    <w:adjustRightInd w:val="0"/>
                    <w:jc w:val="left"/>
                    <w:rPr>
                      <w:rFonts w:cs="Arial"/>
                      <w:sz w:val="18"/>
                      <w:szCs w:val="18"/>
                    </w:rPr>
                  </w:pPr>
                  <w:r w:rsidRPr="00386CD6">
                    <w:rPr>
                      <w:rFonts w:cs="Arial"/>
                      <w:sz w:val="18"/>
                      <w:szCs w:val="18"/>
                    </w:rPr>
                    <w:t>Pays</w:t>
                  </w:r>
                  <w:r w:rsidRPr="00386CD6">
                    <w:rPr>
                      <w:rFonts w:cs="Arial"/>
                      <w:sz w:val="18"/>
                      <w:szCs w:val="18"/>
                    </w:rPr>
                    <w:noBreakHyphen/>
                    <w:t xml:space="preserve">Bas </w:t>
                  </w:r>
                </w:p>
              </w:tc>
              <w:tc>
                <w:tcPr>
                  <w:tcW w:w="1260" w:type="dxa"/>
                </w:tcPr>
                <w:p w:rsidR="0083792B" w:rsidRPr="00386CD6" w:rsidRDefault="0083792B" w:rsidP="0085651C">
                  <w:pPr>
                    <w:autoSpaceDE w:val="0"/>
                    <w:autoSpaceDN w:val="0"/>
                    <w:adjustRightInd w:val="0"/>
                    <w:ind w:right="160"/>
                    <w:jc w:val="right"/>
                    <w:rPr>
                      <w:rFonts w:cs="Arial"/>
                      <w:sz w:val="18"/>
                      <w:szCs w:val="18"/>
                    </w:rPr>
                  </w:pPr>
                  <w:r w:rsidRPr="00386CD6">
                    <w:rPr>
                      <w:rFonts w:cs="Arial"/>
                      <w:sz w:val="18"/>
                      <w:szCs w:val="18"/>
                    </w:rPr>
                    <w:t>471</w:t>
                  </w:r>
                </w:p>
              </w:tc>
              <w:tc>
                <w:tcPr>
                  <w:tcW w:w="1350" w:type="dxa"/>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42,04%</w:t>
                  </w:r>
                </w:p>
              </w:tc>
              <w:tc>
                <w:tcPr>
                  <w:tcW w:w="1152" w:type="dxa"/>
                </w:tcPr>
                <w:p w:rsidR="0083792B" w:rsidRPr="00386CD6" w:rsidRDefault="0083792B" w:rsidP="0085651C">
                  <w:pPr>
                    <w:autoSpaceDE w:val="0"/>
                    <w:autoSpaceDN w:val="0"/>
                    <w:adjustRightInd w:val="0"/>
                    <w:ind w:right="170"/>
                    <w:jc w:val="right"/>
                    <w:rPr>
                      <w:rFonts w:cs="Arial"/>
                      <w:sz w:val="18"/>
                      <w:szCs w:val="18"/>
                    </w:rPr>
                  </w:pPr>
                  <w:r w:rsidRPr="00386CD6">
                    <w:rPr>
                      <w:rFonts w:cs="Arial"/>
                      <w:sz w:val="18"/>
                      <w:szCs w:val="18"/>
                    </w:rPr>
                    <w:t>198</w:t>
                  </w:r>
                </w:p>
              </w:tc>
            </w:tr>
            <w:tr w:rsidR="0083792B" w:rsidRPr="00386CD6" w:rsidTr="0085651C">
              <w:trPr>
                <w:trHeight w:val="142"/>
              </w:trPr>
              <w:tc>
                <w:tcPr>
                  <w:tcW w:w="2864" w:type="dxa"/>
                </w:tcPr>
                <w:p w:rsidR="0083792B" w:rsidRPr="00386CD6" w:rsidRDefault="0083792B" w:rsidP="0085651C">
                  <w:pPr>
                    <w:autoSpaceDE w:val="0"/>
                    <w:autoSpaceDN w:val="0"/>
                    <w:adjustRightInd w:val="0"/>
                    <w:jc w:val="left"/>
                    <w:rPr>
                      <w:rFonts w:cs="Arial"/>
                      <w:sz w:val="18"/>
                      <w:szCs w:val="18"/>
                    </w:rPr>
                  </w:pPr>
                  <w:r w:rsidRPr="00386CD6">
                    <w:rPr>
                      <w:rFonts w:cs="Arial"/>
                      <w:sz w:val="18"/>
                      <w:szCs w:val="18"/>
                    </w:rPr>
                    <w:t xml:space="preserve">Australie </w:t>
                  </w:r>
                </w:p>
              </w:tc>
              <w:tc>
                <w:tcPr>
                  <w:tcW w:w="1260" w:type="dxa"/>
                </w:tcPr>
                <w:p w:rsidR="0083792B" w:rsidRPr="00386CD6" w:rsidRDefault="0083792B" w:rsidP="0085651C">
                  <w:pPr>
                    <w:autoSpaceDE w:val="0"/>
                    <w:autoSpaceDN w:val="0"/>
                    <w:adjustRightInd w:val="0"/>
                    <w:ind w:right="160"/>
                    <w:jc w:val="right"/>
                    <w:rPr>
                      <w:rFonts w:cs="Arial"/>
                      <w:sz w:val="18"/>
                      <w:szCs w:val="18"/>
                    </w:rPr>
                  </w:pPr>
                  <w:r w:rsidRPr="00386CD6">
                    <w:rPr>
                      <w:rFonts w:cs="Arial"/>
                      <w:sz w:val="18"/>
                      <w:szCs w:val="18"/>
                    </w:rPr>
                    <w:t>412</w:t>
                  </w:r>
                </w:p>
              </w:tc>
              <w:tc>
                <w:tcPr>
                  <w:tcW w:w="1350" w:type="dxa"/>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30,10%</w:t>
                  </w:r>
                </w:p>
              </w:tc>
              <w:tc>
                <w:tcPr>
                  <w:tcW w:w="1152" w:type="dxa"/>
                </w:tcPr>
                <w:p w:rsidR="0083792B" w:rsidRPr="00386CD6" w:rsidRDefault="0083792B" w:rsidP="0085651C">
                  <w:pPr>
                    <w:autoSpaceDE w:val="0"/>
                    <w:autoSpaceDN w:val="0"/>
                    <w:adjustRightInd w:val="0"/>
                    <w:ind w:right="170"/>
                    <w:jc w:val="right"/>
                    <w:rPr>
                      <w:rFonts w:cs="Arial"/>
                      <w:sz w:val="18"/>
                      <w:szCs w:val="18"/>
                    </w:rPr>
                  </w:pPr>
                  <w:r w:rsidRPr="00386CD6">
                    <w:rPr>
                      <w:rFonts w:cs="Arial"/>
                      <w:sz w:val="18"/>
                      <w:szCs w:val="18"/>
                    </w:rPr>
                    <w:t>124</w:t>
                  </w:r>
                </w:p>
              </w:tc>
            </w:tr>
          </w:tbl>
          <w:p w:rsidR="0083792B" w:rsidRPr="00386CD6" w:rsidRDefault="0083792B" w:rsidP="0085651C">
            <w:pPr>
              <w:rPr>
                <w:b/>
                <w:bCs/>
                <w:sz w:val="18"/>
                <w:szCs w:val="22"/>
              </w:rPr>
            </w:pPr>
          </w:p>
          <w:p w:rsidR="0083792B" w:rsidRPr="00386CD6" w:rsidRDefault="0083792B" w:rsidP="0085651C"/>
        </w:tc>
      </w:tr>
    </w:tbl>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keepNext/>
              <w:spacing w:after="240"/>
              <w:rPr>
                <w:b/>
                <w:sz w:val="18"/>
                <w:szCs w:val="18"/>
              </w:rPr>
            </w:pPr>
            <w:r w:rsidRPr="00386CD6">
              <w:rPr>
                <w:b/>
                <w:sz w:val="18"/>
                <w:szCs w:val="18"/>
              </w:rPr>
              <w:t>Résultats escomptés</w:t>
            </w:r>
          </w:p>
        </w:tc>
        <w:tc>
          <w:tcPr>
            <w:tcW w:w="7938" w:type="dxa"/>
            <w:shd w:val="clear" w:color="auto" w:fill="auto"/>
          </w:tcPr>
          <w:p w:rsidR="0083792B" w:rsidRPr="00386CD6" w:rsidRDefault="00635368" w:rsidP="0085651C">
            <w:pPr>
              <w:keepNext/>
              <w:spacing w:after="240"/>
              <w:rPr>
                <w:b/>
                <w:sz w:val="18"/>
                <w:szCs w:val="18"/>
              </w:rPr>
            </w:pPr>
            <w:r w:rsidRPr="00386CD6">
              <w:rPr>
                <w:b/>
                <w:sz w:val="18"/>
                <w:szCs w:val="18"/>
              </w:rPr>
              <w:t>Résultats obtenus : i</w:t>
            </w:r>
            <w:r w:rsidR="0083792B" w:rsidRPr="00386CD6">
              <w:rPr>
                <w:b/>
                <w:sz w:val="18"/>
                <w:szCs w:val="18"/>
              </w:rPr>
              <w:t>ndicateurs d’exécution</w:t>
            </w:r>
          </w:p>
        </w:tc>
      </w:tr>
      <w:tr w:rsidR="0083792B" w:rsidRPr="00386CD6" w:rsidTr="0085651C">
        <w:trPr>
          <w:cantSplit/>
        </w:trPr>
        <w:tc>
          <w:tcPr>
            <w:tcW w:w="1951" w:type="dxa"/>
            <w:shd w:val="clear" w:color="auto" w:fill="auto"/>
          </w:tcPr>
          <w:p w:rsidR="0083792B" w:rsidRPr="00386CD6" w:rsidRDefault="0083792B" w:rsidP="008B401F">
            <w:pPr>
              <w:tabs>
                <w:tab w:val="left" w:pos="276"/>
              </w:tabs>
              <w:jc w:val="left"/>
              <w:rPr>
                <w:sz w:val="18"/>
                <w:szCs w:val="18"/>
              </w:rPr>
            </w:pPr>
            <w:r w:rsidRPr="00386CD6">
              <w:rPr>
                <w:i/>
                <w:sz w:val="18"/>
                <w:szCs w:val="18"/>
              </w:rPr>
              <w:t>3.</w:t>
            </w:r>
            <w:r w:rsidR="008B401F" w:rsidRPr="00386CD6">
              <w:rPr>
                <w:i/>
                <w:sz w:val="18"/>
                <w:szCs w:val="18"/>
              </w:rPr>
              <w:tab/>
            </w:r>
            <w:r w:rsidRPr="00386CD6">
              <w:rPr>
                <w:i/>
                <w:sz w:val="18"/>
                <w:szCs w:val="18"/>
              </w:rPr>
              <w:t>Coopération en matière d’examen des droits d’obtenteur</w:t>
            </w:r>
            <w:r w:rsidRPr="00386CD6">
              <w:rPr>
                <w:sz w:val="18"/>
                <w:szCs w:val="18"/>
              </w:rPr>
              <w:t xml:space="preserve"> (suite)</w:t>
            </w:r>
          </w:p>
        </w:tc>
        <w:tc>
          <w:tcPr>
            <w:tcW w:w="7938" w:type="dxa"/>
            <w:shd w:val="clear" w:color="auto" w:fill="auto"/>
          </w:tcPr>
          <w:p w:rsidR="0083792B" w:rsidRPr="00386CD6" w:rsidRDefault="0083792B" w:rsidP="008B401F">
            <w:pPr>
              <w:pStyle w:val="Heading8"/>
              <w:keepNext/>
              <w:tabs>
                <w:tab w:val="left" w:pos="318"/>
              </w:tabs>
            </w:pPr>
            <w:bookmarkStart w:id="85" w:name="_Toc464487565"/>
            <w:bookmarkStart w:id="86" w:name="_Toc465100053"/>
            <w:r w:rsidRPr="00386CD6">
              <w:t>a)</w:t>
            </w:r>
            <w:r w:rsidR="008B401F" w:rsidRPr="00386CD6">
              <w:tab/>
            </w:r>
            <w:r w:rsidRPr="00386CD6">
              <w:t>Genres et espèces végétaux pour lesquels les membres de l’Union ont une expérience concrète</w:t>
            </w:r>
            <w:bookmarkEnd w:id="85"/>
            <w:bookmarkEnd w:id="86"/>
          </w:p>
          <w:p w:rsidR="0083792B" w:rsidRPr="00386CD6" w:rsidRDefault="0083792B" w:rsidP="0085651C">
            <w:pPr>
              <w:keepNext/>
              <w:jc w:val="left"/>
              <w:rPr>
                <w:sz w:val="18"/>
                <w:szCs w:val="18"/>
              </w:rPr>
            </w:pPr>
            <w:r w:rsidRPr="00386CD6">
              <w:rPr>
                <w:sz w:val="18"/>
                <w:szCs w:val="18"/>
              </w:rPr>
              <w:t>Expérience pratique en matière d’examen DHS portant sur environ 3382 genres ou espèces en 2015 (3305 en 2014 et 2589 en 2013) – voir le document TC/51/4</w:t>
            </w:r>
          </w:p>
          <w:p w:rsidR="0083792B" w:rsidRPr="00386CD6" w:rsidRDefault="0083792B" w:rsidP="0085651C">
            <w:pPr>
              <w:keepNext/>
              <w:jc w:val="left"/>
              <w:rPr>
                <w:sz w:val="18"/>
                <w:szCs w:val="18"/>
              </w:rPr>
            </w:pPr>
          </w:p>
          <w:p w:rsidR="0083792B" w:rsidRPr="00386CD6" w:rsidRDefault="0083792B" w:rsidP="0085651C">
            <w:pPr>
              <w:keepNext/>
              <w:jc w:val="left"/>
              <w:rPr>
                <w:sz w:val="18"/>
                <w:szCs w:val="18"/>
              </w:rPr>
            </w:pPr>
          </w:p>
          <w:p w:rsidR="0083792B" w:rsidRPr="00386CD6" w:rsidRDefault="0083792B" w:rsidP="008B401F">
            <w:pPr>
              <w:pStyle w:val="Heading8"/>
              <w:keepNext/>
              <w:tabs>
                <w:tab w:val="left" w:pos="318"/>
              </w:tabs>
            </w:pPr>
            <w:bookmarkStart w:id="87" w:name="_Toc464487566"/>
            <w:bookmarkStart w:id="88" w:name="_Toc465100054"/>
            <w:r w:rsidRPr="00386CD6">
              <w:t>b)</w:t>
            </w:r>
            <w:r w:rsidR="008B401F" w:rsidRPr="00386CD6">
              <w:tab/>
            </w:r>
            <w:r w:rsidRPr="00386CD6">
              <w:t>Genres et espèces végétaux au sujet desquels les membres de l’Union coopèrent en matière d’examen DHS, comme indiqué dans la base de données GENIE</w:t>
            </w:r>
            <w:bookmarkEnd w:id="87"/>
            <w:bookmarkEnd w:id="88"/>
          </w:p>
          <w:p w:rsidR="0083792B" w:rsidRPr="00386CD6" w:rsidRDefault="0083792B" w:rsidP="0085651C">
            <w:pPr>
              <w:pStyle w:val="Heading8"/>
              <w:keepNext/>
            </w:pPr>
            <w:bookmarkStart w:id="89" w:name="_Toc464487567"/>
            <w:bookmarkStart w:id="90" w:name="_Toc465100055"/>
            <w:r w:rsidRPr="00386CD6">
              <w:noBreakHyphen/>
              <w:t xml:space="preserve"> Coopération générale</w:t>
            </w:r>
            <w:bookmarkEnd w:id="89"/>
            <w:bookmarkEnd w:id="90"/>
          </w:p>
          <w:p w:rsidR="0083792B" w:rsidRPr="00386CD6" w:rsidRDefault="0083792B" w:rsidP="0085651C">
            <w:pPr>
              <w:keepNext/>
              <w:spacing w:after="120"/>
              <w:jc w:val="left"/>
              <w:rPr>
                <w:sz w:val="18"/>
                <w:szCs w:val="18"/>
              </w:rPr>
            </w:pPr>
            <w:r w:rsidRPr="00386CD6">
              <w:rPr>
                <w:sz w:val="18"/>
                <w:szCs w:val="18"/>
              </w:rPr>
              <w:t>Services qui communiqueront les rapports DHS existants à tout membre de l’Union :</w:t>
            </w:r>
          </w:p>
          <w:p w:rsidR="0083792B" w:rsidRPr="00386CD6" w:rsidRDefault="0083792B" w:rsidP="0085651C">
            <w:pPr>
              <w:keepNext/>
              <w:jc w:val="left"/>
              <w:rPr>
                <w:sz w:val="18"/>
                <w:szCs w:val="18"/>
                <w:lang w:eastAsia="ja-JP"/>
              </w:rPr>
            </w:pPr>
            <w:r w:rsidRPr="00386CD6">
              <w:rPr>
                <w:sz w:val="18"/>
                <w:szCs w:val="18"/>
              </w:rPr>
              <w:tab/>
            </w:r>
            <w:r w:rsidRPr="00386CD6">
              <w:rPr>
                <w:sz w:val="18"/>
                <w:szCs w:val="18"/>
                <w:lang w:eastAsia="ja-JP"/>
              </w:rPr>
              <w:t xml:space="preserve">Australie, </w:t>
            </w:r>
            <w:r w:rsidRPr="00386CD6">
              <w:rPr>
                <w:sz w:val="18"/>
                <w:szCs w:val="18"/>
              </w:rPr>
              <w:t>Brésil</w:t>
            </w:r>
            <w:r w:rsidRPr="00386CD6">
              <w:rPr>
                <w:sz w:val="18"/>
                <w:szCs w:val="18"/>
                <w:lang w:eastAsia="ja-JP"/>
              </w:rPr>
              <w:t>, Pays</w:t>
            </w:r>
            <w:r w:rsidRPr="00386CD6">
              <w:rPr>
                <w:sz w:val="18"/>
                <w:szCs w:val="18"/>
                <w:lang w:eastAsia="ja-JP"/>
              </w:rPr>
              <w:noBreakHyphen/>
              <w:t>Bas</w:t>
            </w:r>
          </w:p>
          <w:p w:rsidR="0083792B" w:rsidRPr="00386CD6" w:rsidRDefault="0083792B" w:rsidP="0085651C">
            <w:pPr>
              <w:keepNext/>
              <w:jc w:val="left"/>
              <w:rPr>
                <w:sz w:val="18"/>
                <w:szCs w:val="18"/>
              </w:rPr>
            </w:pPr>
          </w:p>
          <w:p w:rsidR="0083792B" w:rsidRPr="00386CD6" w:rsidRDefault="0083792B" w:rsidP="0085651C">
            <w:pPr>
              <w:keepNext/>
              <w:spacing w:after="120"/>
              <w:jc w:val="left"/>
              <w:rPr>
                <w:sz w:val="18"/>
                <w:szCs w:val="18"/>
              </w:rPr>
            </w:pPr>
            <w:r w:rsidRPr="00386CD6">
              <w:rPr>
                <w:sz w:val="18"/>
                <w:szCs w:val="18"/>
              </w:rPr>
              <w:t>Services qui communiqueront à tout membre de l’Union les rapports DHS existants pour toute espèce pour laquelle ils ont acquis une expérience pratique en matière d’examen :</w:t>
            </w:r>
          </w:p>
          <w:p w:rsidR="0083792B" w:rsidRPr="00386CD6" w:rsidRDefault="0083792B" w:rsidP="0085651C">
            <w:pPr>
              <w:keepNext/>
              <w:jc w:val="left"/>
              <w:rPr>
                <w:sz w:val="18"/>
                <w:szCs w:val="18"/>
              </w:rPr>
            </w:pPr>
            <w:r w:rsidRPr="00386CD6">
              <w:rPr>
                <w:sz w:val="18"/>
                <w:szCs w:val="18"/>
              </w:rPr>
              <w:tab/>
              <w:t xml:space="preserve">Allemagne, Canada, </w:t>
            </w:r>
            <w:r w:rsidR="00E01D2B">
              <w:rPr>
                <w:sz w:val="18"/>
                <w:szCs w:val="18"/>
              </w:rPr>
              <w:t xml:space="preserve">France, </w:t>
            </w:r>
            <w:r w:rsidRPr="00386CD6">
              <w:rPr>
                <w:sz w:val="18"/>
                <w:szCs w:val="18"/>
              </w:rPr>
              <w:t>Nouvelle</w:t>
            </w:r>
            <w:r w:rsidRPr="00386CD6">
              <w:rPr>
                <w:sz w:val="18"/>
                <w:szCs w:val="18"/>
              </w:rPr>
              <w:noBreakHyphen/>
              <w:t>Zélande, Serbie, Union européenne, Uruguay</w:t>
            </w:r>
          </w:p>
          <w:p w:rsidR="0083792B" w:rsidRPr="00386CD6" w:rsidRDefault="0083792B" w:rsidP="0085651C">
            <w:pPr>
              <w:keepNext/>
              <w:jc w:val="left"/>
              <w:rPr>
                <w:sz w:val="18"/>
                <w:szCs w:val="18"/>
              </w:rPr>
            </w:pPr>
          </w:p>
          <w:p w:rsidR="0083792B" w:rsidRPr="00386CD6" w:rsidRDefault="0083792B" w:rsidP="0085651C">
            <w:pPr>
              <w:keepNext/>
              <w:spacing w:after="120"/>
              <w:jc w:val="left"/>
              <w:rPr>
                <w:sz w:val="18"/>
                <w:szCs w:val="18"/>
              </w:rPr>
            </w:pPr>
            <w:r w:rsidRPr="00386CD6">
              <w:rPr>
                <w:sz w:val="18"/>
                <w:szCs w:val="18"/>
              </w:rPr>
              <w:t>Services qui accepteront des rapports DHS de tout autre membre de l’Union :</w:t>
            </w:r>
          </w:p>
          <w:p w:rsidR="0083792B" w:rsidRPr="00386CD6" w:rsidRDefault="0083792B" w:rsidP="0085651C">
            <w:pPr>
              <w:keepNext/>
              <w:jc w:val="left"/>
              <w:rPr>
                <w:sz w:val="18"/>
                <w:szCs w:val="18"/>
              </w:rPr>
            </w:pPr>
            <w:r w:rsidRPr="00386CD6">
              <w:rPr>
                <w:sz w:val="18"/>
                <w:szCs w:val="18"/>
              </w:rPr>
              <w:tab/>
              <w:t xml:space="preserve">Australie (sauf pour </w:t>
            </w:r>
            <w:r w:rsidRPr="00386CD6">
              <w:rPr>
                <w:i/>
                <w:sz w:val="18"/>
                <w:szCs w:val="18"/>
              </w:rPr>
              <w:t xml:space="preserve">Solanum tuberosum </w:t>
            </w:r>
            <w:r w:rsidRPr="00386CD6">
              <w:rPr>
                <w:sz w:val="18"/>
                <w:szCs w:val="18"/>
              </w:rPr>
              <w:t>L.)</w:t>
            </w:r>
          </w:p>
          <w:p w:rsidR="0083792B" w:rsidRPr="00386CD6" w:rsidRDefault="0083792B" w:rsidP="0085651C">
            <w:pPr>
              <w:keepNext/>
              <w:jc w:val="left"/>
              <w:rPr>
                <w:sz w:val="18"/>
                <w:szCs w:val="18"/>
              </w:rPr>
            </w:pPr>
          </w:p>
          <w:p w:rsidR="0083792B" w:rsidRPr="00386CD6" w:rsidRDefault="0083792B" w:rsidP="0085651C">
            <w:pPr>
              <w:keepNext/>
              <w:jc w:val="left"/>
              <w:rPr>
                <w:sz w:val="18"/>
                <w:szCs w:val="18"/>
              </w:rPr>
            </w:pPr>
            <w:r w:rsidRPr="00386CD6">
              <w:rPr>
                <w:sz w:val="18"/>
                <w:szCs w:val="18"/>
              </w:rPr>
              <w:t>La Suisse utilisera, en général, les rapports d’examen existants fournis par tout membre de l’Union.  Les examens DHS ne sont pas conduits en Suisse.  Lorsqu’un rapport d’examen DHS n’est pas disponible auprès d’un membre de l’Union, l’Office de la protection des obtentions végétales demandera à un service ou une station d’essai approprié d’un membre de l’Union de mener un examen DHS pour son compte.</w:t>
            </w:r>
          </w:p>
          <w:p w:rsidR="0083792B" w:rsidRPr="00386CD6" w:rsidRDefault="0083792B" w:rsidP="0085651C">
            <w:pPr>
              <w:keepNext/>
              <w:jc w:val="left"/>
              <w:rPr>
                <w:sz w:val="18"/>
                <w:szCs w:val="18"/>
              </w:rPr>
            </w:pPr>
          </w:p>
          <w:p w:rsidR="0083792B" w:rsidRPr="00386CD6" w:rsidRDefault="0083792B" w:rsidP="0085651C">
            <w:pPr>
              <w:keepNext/>
              <w:jc w:val="left"/>
              <w:rPr>
                <w:sz w:val="18"/>
                <w:szCs w:val="18"/>
              </w:rPr>
            </w:pPr>
            <w:r w:rsidRPr="00386CD6">
              <w:rPr>
                <w:sz w:val="18"/>
                <w:szCs w:val="18"/>
              </w:rPr>
              <w:t>Le Canada accepte en général des rapports DHS d’autres membres de l’Union pour les variétés de tout taxon qui sont multipliées par voie végétative et pour lesquelles les essais DHS sont effectués dans une serre à milieu ambiant contrôlé.</w:t>
            </w:r>
          </w:p>
          <w:p w:rsidR="0083792B" w:rsidRPr="00386CD6" w:rsidRDefault="0083792B" w:rsidP="0085651C">
            <w:pPr>
              <w:keepNext/>
              <w:jc w:val="left"/>
              <w:rPr>
                <w:sz w:val="18"/>
                <w:szCs w:val="18"/>
              </w:rPr>
            </w:pPr>
          </w:p>
          <w:p w:rsidR="0083792B" w:rsidRPr="00386CD6" w:rsidRDefault="0083792B" w:rsidP="0085651C">
            <w:pPr>
              <w:pStyle w:val="Heading8"/>
              <w:keepNext/>
            </w:pPr>
            <w:bookmarkStart w:id="91" w:name="_Toc464487568"/>
            <w:bookmarkStart w:id="92" w:name="_Toc465100056"/>
            <w:r w:rsidRPr="00386CD6">
              <w:t>– Nombre d’accords bilatéraux et régionaux spécifiques sur la protection des obtentions végétales</w:t>
            </w:r>
            <w:bookmarkEnd w:id="91"/>
            <w:bookmarkEnd w:id="92"/>
          </w:p>
          <w:p w:rsidR="0083792B" w:rsidRPr="00386CD6" w:rsidRDefault="0083792B" w:rsidP="0085651C">
            <w:pPr>
              <w:keepNext/>
              <w:jc w:val="left"/>
              <w:rPr>
                <w:sz w:val="18"/>
                <w:szCs w:val="18"/>
              </w:rPr>
            </w:pPr>
            <w:r w:rsidRPr="00386CD6">
              <w:rPr>
                <w:sz w:val="18"/>
                <w:szCs w:val="18"/>
              </w:rPr>
              <w:t>L’accord de coopération en matière d’examen s’applique à environ 2002 genres ou espèces (2005 en 2014 et 1997 en 2013) – à l’exclusion de la coopération générale (voir ci</w:t>
            </w:r>
            <w:r w:rsidRPr="00386CD6">
              <w:rPr>
                <w:sz w:val="18"/>
                <w:szCs w:val="18"/>
              </w:rPr>
              <w:noBreakHyphen/>
              <w:t>dessus et le document C/49/5)</w:t>
            </w:r>
          </w:p>
        </w:tc>
      </w:tr>
    </w:tbl>
    <w:p w:rsidR="0083792B" w:rsidRPr="00386CD6" w:rsidRDefault="0083792B" w:rsidP="0085651C"/>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jc w:val="left"/>
              <w:rPr>
                <w:sz w:val="18"/>
                <w:szCs w:val="18"/>
              </w:rPr>
            </w:pPr>
          </w:p>
        </w:tc>
        <w:tc>
          <w:tcPr>
            <w:tcW w:w="7938" w:type="dxa"/>
            <w:shd w:val="clear" w:color="auto" w:fill="auto"/>
          </w:tcPr>
          <w:p w:rsidR="0083792B" w:rsidRPr="00386CD6" w:rsidRDefault="0083792B" w:rsidP="008B401F">
            <w:pPr>
              <w:pStyle w:val="Heading8"/>
              <w:tabs>
                <w:tab w:val="left" w:pos="318"/>
              </w:tabs>
              <w:jc w:val="both"/>
              <w:rPr>
                <w:szCs w:val="18"/>
              </w:rPr>
            </w:pPr>
            <w:bookmarkStart w:id="93" w:name="_Toc464487569"/>
            <w:bookmarkStart w:id="94" w:name="_Toc465100057"/>
            <w:r w:rsidRPr="00386CD6">
              <w:rPr>
                <w:szCs w:val="18"/>
              </w:rPr>
              <w:t>c)</w:t>
            </w:r>
            <w:r w:rsidRPr="00386CD6">
              <w:rPr>
                <w:szCs w:val="18"/>
              </w:rPr>
              <w:tab/>
              <w:t>Participation à l’élaboration de principes directeurs d’examen</w:t>
            </w:r>
            <w:bookmarkEnd w:id="93"/>
            <w:bookmarkEnd w:id="94"/>
          </w:p>
          <w:p w:rsidR="0083792B" w:rsidRPr="00386CD6" w:rsidRDefault="0083792B" w:rsidP="0085651C">
            <w:pPr>
              <w:rPr>
                <w:i/>
                <w:sz w:val="18"/>
                <w:szCs w:val="18"/>
              </w:rPr>
            </w:pPr>
            <w:r w:rsidRPr="00386CD6">
              <w:rPr>
                <w:i/>
                <w:sz w:val="18"/>
                <w:szCs w:val="18"/>
              </w:rPr>
              <w:t>Principes directeurs d’examen adoptés en 2015 :</w:t>
            </w:r>
          </w:p>
          <w:p w:rsidR="0083792B" w:rsidRPr="00386CD6" w:rsidRDefault="0083792B" w:rsidP="0085651C">
            <w:pPr>
              <w:rPr>
                <w:sz w:val="18"/>
                <w:szCs w:val="18"/>
              </w:rPr>
            </w:pPr>
          </w:p>
          <w:p w:rsidR="0083792B" w:rsidRPr="00386CD6" w:rsidRDefault="0083792B" w:rsidP="0085651C">
            <w:pPr>
              <w:spacing w:after="60"/>
              <w:ind w:left="743" w:hanging="386"/>
              <w:jc w:val="left"/>
              <w:rPr>
                <w:sz w:val="18"/>
                <w:szCs w:val="18"/>
              </w:rPr>
            </w:pPr>
            <w:r w:rsidRPr="00386CD6">
              <w:rPr>
                <w:sz w:val="18"/>
                <w:szCs w:val="18"/>
              </w:rPr>
              <w:t>–</w:t>
            </w:r>
            <w:r w:rsidRPr="00386CD6">
              <w:rPr>
                <w:sz w:val="18"/>
                <w:szCs w:val="18"/>
              </w:rPr>
              <w:tab/>
              <w:t>12 nouveaux principes directeurs d’examen : TWA (3.5), TWF (2), TWO (4), TWV (2.5) élaborés par des experts principaux d’</w:t>
            </w:r>
          </w:p>
          <w:p w:rsidR="0083792B" w:rsidRPr="00386CD6" w:rsidRDefault="0083792B" w:rsidP="0085651C">
            <w:pPr>
              <w:keepNext/>
              <w:keepLines/>
              <w:ind w:left="3861" w:hanging="2694"/>
              <w:rPr>
                <w:sz w:val="18"/>
                <w:szCs w:val="18"/>
              </w:rPr>
            </w:pPr>
            <w:r w:rsidRPr="00386CD6">
              <w:rPr>
                <w:sz w:val="18"/>
                <w:szCs w:val="18"/>
              </w:rPr>
              <w:t xml:space="preserve">Afrique : </w:t>
            </w:r>
            <w:r w:rsidRPr="00386CD6">
              <w:rPr>
                <w:sz w:val="18"/>
                <w:szCs w:val="18"/>
              </w:rPr>
              <w:tab/>
              <w:t>KE (0.5), ZA (1)</w:t>
            </w:r>
          </w:p>
          <w:p w:rsidR="0083792B" w:rsidRPr="00386CD6" w:rsidRDefault="0083792B" w:rsidP="0085651C">
            <w:pPr>
              <w:keepNext/>
              <w:keepLines/>
              <w:ind w:left="3861" w:hanging="2694"/>
              <w:rPr>
                <w:sz w:val="18"/>
                <w:szCs w:val="18"/>
              </w:rPr>
            </w:pPr>
            <w:r w:rsidRPr="00386CD6">
              <w:rPr>
                <w:sz w:val="18"/>
                <w:szCs w:val="18"/>
              </w:rPr>
              <w:t xml:space="preserve">Amériques : </w:t>
            </w:r>
            <w:r w:rsidRPr="00386CD6">
              <w:rPr>
                <w:sz w:val="18"/>
                <w:szCs w:val="18"/>
              </w:rPr>
              <w:tab/>
              <w:t>BR (1.5), MX (1)</w:t>
            </w:r>
          </w:p>
          <w:p w:rsidR="0083792B" w:rsidRPr="00386CD6" w:rsidRDefault="0083792B" w:rsidP="0085651C">
            <w:pPr>
              <w:keepNext/>
              <w:keepLines/>
              <w:ind w:left="3861" w:hanging="2694"/>
              <w:rPr>
                <w:sz w:val="18"/>
                <w:szCs w:val="18"/>
              </w:rPr>
            </w:pPr>
            <w:r w:rsidRPr="00386CD6">
              <w:rPr>
                <w:sz w:val="18"/>
                <w:szCs w:val="18"/>
              </w:rPr>
              <w:t xml:space="preserve">Asie/Pacifique : </w:t>
            </w:r>
            <w:r w:rsidRPr="00386CD6">
              <w:rPr>
                <w:sz w:val="18"/>
                <w:szCs w:val="18"/>
              </w:rPr>
              <w:tab/>
              <w:t>JP (4), NZ (1)</w:t>
            </w:r>
          </w:p>
          <w:p w:rsidR="0083792B" w:rsidRPr="00386CD6" w:rsidRDefault="0083792B" w:rsidP="0085651C">
            <w:pPr>
              <w:keepNext/>
              <w:keepLines/>
              <w:ind w:left="3861" w:hanging="2694"/>
              <w:rPr>
                <w:sz w:val="18"/>
                <w:szCs w:val="18"/>
              </w:rPr>
            </w:pPr>
            <w:r w:rsidRPr="00386CD6">
              <w:rPr>
                <w:sz w:val="18"/>
                <w:szCs w:val="18"/>
              </w:rPr>
              <w:t xml:space="preserve">Europe : </w:t>
            </w:r>
            <w:r w:rsidRPr="00386CD6">
              <w:rPr>
                <w:sz w:val="18"/>
                <w:szCs w:val="18"/>
              </w:rPr>
              <w:tab/>
              <w:t>FR (2), GB (1)</w:t>
            </w:r>
          </w:p>
          <w:p w:rsidR="0083792B" w:rsidRPr="00386CD6" w:rsidRDefault="0083792B" w:rsidP="0085651C">
            <w:pPr>
              <w:keepNext/>
              <w:keepLines/>
              <w:tabs>
                <w:tab w:val="left" w:pos="601"/>
              </w:tabs>
              <w:rPr>
                <w:sz w:val="18"/>
                <w:szCs w:val="18"/>
              </w:rPr>
            </w:pPr>
          </w:p>
          <w:p w:rsidR="0083792B" w:rsidRPr="00386CD6" w:rsidRDefault="0083792B" w:rsidP="0085651C">
            <w:pPr>
              <w:spacing w:after="120"/>
              <w:ind w:left="743" w:hanging="386"/>
              <w:rPr>
                <w:sz w:val="18"/>
                <w:szCs w:val="18"/>
              </w:rPr>
            </w:pPr>
            <w:r w:rsidRPr="00386CD6">
              <w:rPr>
                <w:sz w:val="18"/>
                <w:szCs w:val="18"/>
              </w:rPr>
              <w:t>–</w:t>
            </w:r>
            <w:r w:rsidRPr="00386CD6">
              <w:rPr>
                <w:sz w:val="18"/>
                <w:szCs w:val="18"/>
              </w:rPr>
              <w:tab/>
              <w:t>5 principes directeurs d’examen révisés : TWA (1), TWF (1), TWO (2), TWV (1)</w:t>
            </w:r>
          </w:p>
          <w:p w:rsidR="0083792B" w:rsidRPr="00386CD6" w:rsidRDefault="0083792B" w:rsidP="0085651C">
            <w:pPr>
              <w:keepNext/>
              <w:keepLines/>
              <w:ind w:left="3861" w:hanging="2694"/>
              <w:rPr>
                <w:sz w:val="18"/>
                <w:szCs w:val="18"/>
              </w:rPr>
            </w:pPr>
            <w:r w:rsidRPr="00386CD6">
              <w:rPr>
                <w:sz w:val="18"/>
                <w:szCs w:val="18"/>
              </w:rPr>
              <w:t xml:space="preserve">Afrique : </w:t>
            </w:r>
            <w:r w:rsidRPr="00386CD6">
              <w:rPr>
                <w:sz w:val="18"/>
                <w:szCs w:val="18"/>
              </w:rPr>
              <w:tab/>
              <w:t>ZA (1)</w:t>
            </w:r>
          </w:p>
          <w:p w:rsidR="0083792B" w:rsidRPr="00386CD6" w:rsidRDefault="0083792B" w:rsidP="0085651C">
            <w:pPr>
              <w:keepNext/>
              <w:keepLines/>
              <w:ind w:left="3861" w:hanging="2694"/>
              <w:rPr>
                <w:sz w:val="18"/>
                <w:szCs w:val="18"/>
              </w:rPr>
            </w:pPr>
            <w:r w:rsidRPr="00386CD6">
              <w:rPr>
                <w:sz w:val="18"/>
                <w:szCs w:val="18"/>
              </w:rPr>
              <w:t xml:space="preserve">Europe : </w:t>
            </w:r>
            <w:r w:rsidRPr="00386CD6">
              <w:rPr>
                <w:sz w:val="18"/>
                <w:szCs w:val="18"/>
              </w:rPr>
              <w:tab/>
              <w:t>DE (1), ES (1), FR (1), NL (1)</w:t>
            </w:r>
          </w:p>
          <w:p w:rsidR="0083792B" w:rsidRPr="00386CD6" w:rsidRDefault="0083792B" w:rsidP="0085651C">
            <w:pPr>
              <w:keepNext/>
              <w:keepLines/>
              <w:tabs>
                <w:tab w:val="left" w:pos="601"/>
              </w:tabs>
              <w:rPr>
                <w:sz w:val="18"/>
                <w:szCs w:val="18"/>
              </w:rPr>
            </w:pPr>
          </w:p>
          <w:p w:rsidR="0083792B" w:rsidRPr="00386CD6" w:rsidRDefault="0083792B" w:rsidP="0085651C">
            <w:pPr>
              <w:spacing w:after="120"/>
              <w:ind w:left="743" w:hanging="386"/>
              <w:rPr>
                <w:sz w:val="18"/>
                <w:szCs w:val="18"/>
              </w:rPr>
            </w:pPr>
            <w:r w:rsidRPr="00386CD6">
              <w:rPr>
                <w:sz w:val="18"/>
                <w:szCs w:val="18"/>
              </w:rPr>
              <w:t>–</w:t>
            </w:r>
            <w:r w:rsidRPr="00386CD6">
              <w:rPr>
                <w:sz w:val="18"/>
                <w:szCs w:val="18"/>
              </w:rPr>
              <w:tab/>
              <w:t>9 principes directeurs d’examen partiellement révisés : TWF (1);  TWO (2);  TWV (6)</w:t>
            </w:r>
          </w:p>
          <w:p w:rsidR="0083792B" w:rsidRPr="00386CD6" w:rsidRDefault="0083792B" w:rsidP="0085651C">
            <w:pPr>
              <w:keepNext/>
              <w:keepLines/>
              <w:ind w:left="3861" w:hanging="2694"/>
              <w:rPr>
                <w:sz w:val="18"/>
                <w:szCs w:val="18"/>
              </w:rPr>
            </w:pPr>
            <w:r w:rsidRPr="00386CD6">
              <w:rPr>
                <w:sz w:val="18"/>
                <w:szCs w:val="18"/>
              </w:rPr>
              <w:t>Asie/Pacifique : JP (1)</w:t>
            </w:r>
          </w:p>
          <w:p w:rsidR="0083792B" w:rsidRPr="00386CD6" w:rsidRDefault="0083792B" w:rsidP="0085651C">
            <w:pPr>
              <w:keepNext/>
              <w:keepLines/>
              <w:ind w:left="3861" w:hanging="2694"/>
              <w:rPr>
                <w:sz w:val="18"/>
                <w:szCs w:val="18"/>
              </w:rPr>
            </w:pPr>
            <w:r w:rsidRPr="00386CD6">
              <w:rPr>
                <w:sz w:val="18"/>
                <w:szCs w:val="18"/>
              </w:rPr>
              <w:t xml:space="preserve">Europe : </w:t>
            </w:r>
            <w:r w:rsidRPr="00386CD6">
              <w:rPr>
                <w:sz w:val="18"/>
                <w:szCs w:val="18"/>
              </w:rPr>
              <w:tab/>
              <w:t>ES (2), FR (1.5), NL (3.5), UA (1)</w:t>
            </w:r>
          </w:p>
          <w:p w:rsidR="0083792B" w:rsidRPr="00386CD6" w:rsidRDefault="0083792B" w:rsidP="0085651C">
            <w:pPr>
              <w:rPr>
                <w:sz w:val="18"/>
                <w:szCs w:val="18"/>
              </w:rPr>
            </w:pPr>
          </w:p>
          <w:p w:rsidR="0083792B" w:rsidRPr="00386CD6" w:rsidRDefault="0083792B" w:rsidP="0085651C">
            <w:pPr>
              <w:rPr>
                <w:sz w:val="18"/>
                <w:szCs w:val="18"/>
              </w:rPr>
            </w:pPr>
            <w:r w:rsidRPr="00386CD6">
              <w:rPr>
                <w:sz w:val="18"/>
                <w:szCs w:val="18"/>
              </w:rPr>
              <w:t>Nombre total de principes directeurs d’examen adoptés à la fin de 2015 : 313</w:t>
            </w:r>
          </w:p>
        </w:tc>
      </w:tr>
    </w:tbl>
    <w:p w:rsidR="0083792B" w:rsidRPr="00386CD6" w:rsidRDefault="0083792B" w:rsidP="0085651C"/>
    <w:p w:rsidR="0083792B" w:rsidRPr="00386CD6" w:rsidRDefault="0083792B" w:rsidP="0085651C">
      <w:r w:rsidRPr="00386CD6">
        <w:br w:type="page"/>
      </w:r>
    </w:p>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keepNext/>
              <w:spacing w:after="240"/>
              <w:rPr>
                <w:b/>
                <w:sz w:val="18"/>
              </w:rPr>
            </w:pPr>
            <w:r w:rsidRPr="00386CD6">
              <w:rPr>
                <w:b/>
                <w:sz w:val="18"/>
              </w:rPr>
              <w:t>Résultats escomptés</w:t>
            </w:r>
          </w:p>
        </w:tc>
        <w:tc>
          <w:tcPr>
            <w:tcW w:w="7938" w:type="dxa"/>
            <w:shd w:val="clear" w:color="auto" w:fill="auto"/>
          </w:tcPr>
          <w:p w:rsidR="0083792B" w:rsidRPr="00386CD6" w:rsidRDefault="0083792B" w:rsidP="0085651C">
            <w:pPr>
              <w:keepNext/>
              <w:spacing w:after="240"/>
              <w:rPr>
                <w:b/>
                <w:i/>
                <w:sz w:val="18"/>
                <w:szCs w:val="18"/>
              </w:rPr>
            </w:pPr>
            <w:r w:rsidRPr="00386CD6">
              <w:rPr>
                <w:b/>
                <w:sz w:val="18"/>
                <w:szCs w:val="18"/>
              </w:rPr>
              <w:t>Résultats obtenus : indicateurs d’exécution</w:t>
            </w:r>
          </w:p>
        </w:tc>
      </w:tr>
      <w:tr w:rsidR="0083792B" w:rsidRPr="00386CD6" w:rsidTr="0085651C">
        <w:tc>
          <w:tcPr>
            <w:tcW w:w="1951" w:type="dxa"/>
            <w:shd w:val="clear" w:color="auto" w:fill="auto"/>
          </w:tcPr>
          <w:p w:rsidR="0083792B" w:rsidRPr="00386CD6" w:rsidRDefault="0083792B" w:rsidP="008B401F">
            <w:pPr>
              <w:tabs>
                <w:tab w:val="left" w:pos="288"/>
              </w:tabs>
              <w:jc w:val="left"/>
              <w:rPr>
                <w:sz w:val="18"/>
                <w:szCs w:val="18"/>
              </w:rPr>
            </w:pPr>
            <w:r w:rsidRPr="00386CD6">
              <w:rPr>
                <w:i/>
                <w:sz w:val="18"/>
                <w:szCs w:val="18"/>
              </w:rPr>
              <w:t>3.</w:t>
            </w:r>
            <w:r w:rsidR="008B401F" w:rsidRPr="00386CD6">
              <w:rPr>
                <w:i/>
                <w:sz w:val="18"/>
                <w:szCs w:val="18"/>
              </w:rPr>
              <w:tab/>
            </w:r>
            <w:r w:rsidRPr="00386CD6">
              <w:rPr>
                <w:i/>
                <w:sz w:val="18"/>
                <w:szCs w:val="18"/>
              </w:rPr>
              <w:t>Coopération en matière d’examen des droits d’obtenteur</w:t>
            </w:r>
            <w:r w:rsidRPr="00386CD6">
              <w:rPr>
                <w:sz w:val="18"/>
                <w:szCs w:val="18"/>
              </w:rPr>
              <w:t xml:space="preserve"> (suite)</w:t>
            </w:r>
          </w:p>
        </w:tc>
        <w:tc>
          <w:tcPr>
            <w:tcW w:w="7938" w:type="dxa"/>
            <w:shd w:val="clear" w:color="auto" w:fill="auto"/>
          </w:tcPr>
          <w:p w:rsidR="0083792B" w:rsidRPr="00386CD6" w:rsidRDefault="0083792B" w:rsidP="008B401F">
            <w:pPr>
              <w:tabs>
                <w:tab w:val="left" w:pos="330"/>
              </w:tabs>
              <w:rPr>
                <w:sz w:val="18"/>
              </w:rPr>
            </w:pPr>
            <w:r w:rsidRPr="00386CD6">
              <w:rPr>
                <w:sz w:val="18"/>
              </w:rPr>
              <w:t>c)</w:t>
            </w:r>
            <w:r w:rsidRPr="00386CD6">
              <w:rPr>
                <w:sz w:val="18"/>
              </w:rPr>
              <w:tab/>
              <w:t>Participation à l’élaboration de principes directeurs d’examen (suite)</w:t>
            </w:r>
          </w:p>
          <w:p w:rsidR="0083792B" w:rsidRPr="00386CD6" w:rsidRDefault="0083792B" w:rsidP="0085651C">
            <w:pPr>
              <w:rPr>
                <w:i/>
                <w:sz w:val="18"/>
              </w:rPr>
            </w:pPr>
          </w:p>
          <w:p w:rsidR="0083792B" w:rsidRPr="00386CD6" w:rsidRDefault="0083792B" w:rsidP="0085651C">
            <w:pPr>
              <w:rPr>
                <w:i/>
                <w:sz w:val="18"/>
              </w:rPr>
            </w:pPr>
            <w:r w:rsidRPr="00386CD6">
              <w:rPr>
                <w:i/>
                <w:sz w:val="18"/>
              </w:rPr>
              <w:t>Principes directeurs d’examen en cours d’élaboration en 2015 :</w:t>
            </w:r>
          </w:p>
          <w:p w:rsidR="0083792B" w:rsidRPr="00386CD6" w:rsidRDefault="0083792B" w:rsidP="0085651C">
            <w:pPr>
              <w:rPr>
                <w:sz w:val="18"/>
              </w:rPr>
            </w:pPr>
          </w:p>
          <w:p w:rsidR="0083792B" w:rsidRPr="00386CD6" w:rsidRDefault="0083792B" w:rsidP="0085651C">
            <w:pPr>
              <w:spacing w:after="60"/>
              <w:ind w:left="743" w:hanging="386"/>
              <w:jc w:val="left"/>
              <w:rPr>
                <w:sz w:val="18"/>
                <w:szCs w:val="18"/>
              </w:rPr>
            </w:pPr>
            <w:r w:rsidRPr="00386CD6">
              <w:rPr>
                <w:sz w:val="18"/>
                <w:szCs w:val="18"/>
              </w:rPr>
              <w:t>–</w:t>
            </w:r>
            <w:r w:rsidRPr="00386CD6">
              <w:rPr>
                <w:sz w:val="18"/>
                <w:szCs w:val="18"/>
              </w:rPr>
              <w:tab/>
              <w:t>16 nouveaux principes directeurs d’examen : TWA (2), TWF (3), TWO (9), TWV (2) élaborés par des experts principaux d’</w:t>
            </w:r>
          </w:p>
          <w:p w:rsidR="0083792B" w:rsidRPr="00386CD6" w:rsidRDefault="0083792B" w:rsidP="0085651C">
            <w:pPr>
              <w:keepNext/>
              <w:keepLines/>
              <w:ind w:left="3861" w:hanging="2694"/>
              <w:rPr>
                <w:sz w:val="18"/>
                <w:szCs w:val="18"/>
              </w:rPr>
            </w:pPr>
            <w:r w:rsidRPr="00386CD6">
              <w:rPr>
                <w:sz w:val="18"/>
                <w:szCs w:val="18"/>
              </w:rPr>
              <w:t xml:space="preserve">Afrique : </w:t>
            </w:r>
            <w:r w:rsidRPr="00386CD6">
              <w:rPr>
                <w:sz w:val="18"/>
                <w:szCs w:val="18"/>
              </w:rPr>
              <w:tab/>
              <w:t>ZA (1)</w:t>
            </w:r>
          </w:p>
          <w:p w:rsidR="0083792B" w:rsidRPr="00386CD6" w:rsidRDefault="0083792B" w:rsidP="0085651C">
            <w:pPr>
              <w:keepNext/>
              <w:keepLines/>
              <w:ind w:left="3861" w:hanging="2694"/>
              <w:rPr>
                <w:sz w:val="18"/>
                <w:szCs w:val="18"/>
              </w:rPr>
            </w:pPr>
            <w:r w:rsidRPr="00386CD6">
              <w:rPr>
                <w:sz w:val="18"/>
                <w:szCs w:val="18"/>
              </w:rPr>
              <w:t xml:space="preserve">Amériques : </w:t>
            </w:r>
            <w:r w:rsidRPr="00386CD6">
              <w:rPr>
                <w:sz w:val="18"/>
                <w:szCs w:val="18"/>
              </w:rPr>
              <w:tab/>
              <w:t>AR (1), BR (1), MX (2)</w:t>
            </w:r>
          </w:p>
          <w:p w:rsidR="0083792B" w:rsidRPr="00386CD6" w:rsidRDefault="0083792B" w:rsidP="0085651C">
            <w:pPr>
              <w:keepNext/>
              <w:keepLines/>
              <w:ind w:left="3861" w:hanging="2694"/>
              <w:rPr>
                <w:sz w:val="18"/>
                <w:szCs w:val="18"/>
              </w:rPr>
            </w:pPr>
            <w:r w:rsidRPr="00386CD6">
              <w:rPr>
                <w:sz w:val="18"/>
                <w:szCs w:val="18"/>
              </w:rPr>
              <w:t xml:space="preserve">Asie/Pacifique : </w:t>
            </w:r>
            <w:r w:rsidRPr="00386CD6">
              <w:rPr>
                <w:sz w:val="18"/>
                <w:szCs w:val="18"/>
              </w:rPr>
              <w:tab/>
              <w:t>AU (1), JP (5), NZ (1)</w:t>
            </w:r>
          </w:p>
          <w:p w:rsidR="0083792B" w:rsidRPr="00386CD6" w:rsidRDefault="0083792B" w:rsidP="0085651C">
            <w:pPr>
              <w:keepNext/>
              <w:keepLines/>
              <w:ind w:left="3861" w:hanging="2694"/>
              <w:rPr>
                <w:sz w:val="18"/>
                <w:szCs w:val="18"/>
              </w:rPr>
            </w:pPr>
            <w:r w:rsidRPr="00386CD6">
              <w:rPr>
                <w:sz w:val="18"/>
                <w:szCs w:val="18"/>
              </w:rPr>
              <w:t xml:space="preserve">Europe : </w:t>
            </w:r>
            <w:r w:rsidRPr="00386CD6">
              <w:rPr>
                <w:sz w:val="18"/>
                <w:szCs w:val="18"/>
              </w:rPr>
              <w:tab/>
              <w:t>DK (1), ES (1), FR (1), GB (1)</w:t>
            </w:r>
          </w:p>
          <w:p w:rsidR="0083792B" w:rsidRPr="00386CD6" w:rsidRDefault="0083792B" w:rsidP="0085651C">
            <w:pPr>
              <w:keepNext/>
              <w:keepLines/>
              <w:tabs>
                <w:tab w:val="left" w:pos="601"/>
              </w:tabs>
              <w:rPr>
                <w:sz w:val="18"/>
                <w:szCs w:val="18"/>
              </w:rPr>
            </w:pPr>
          </w:p>
          <w:p w:rsidR="0083792B" w:rsidRPr="00386CD6" w:rsidRDefault="0083792B" w:rsidP="0085651C">
            <w:pPr>
              <w:tabs>
                <w:tab w:val="left" w:pos="756"/>
                <w:tab w:val="left" w:pos="2444"/>
              </w:tabs>
              <w:spacing w:after="120"/>
              <w:ind w:left="2444" w:hanging="2087"/>
              <w:rPr>
                <w:sz w:val="18"/>
                <w:szCs w:val="18"/>
              </w:rPr>
            </w:pPr>
            <w:r w:rsidRPr="00386CD6">
              <w:rPr>
                <w:sz w:val="18"/>
                <w:szCs w:val="18"/>
              </w:rPr>
              <w:t>–</w:t>
            </w:r>
            <w:r w:rsidRPr="00386CD6">
              <w:rPr>
                <w:sz w:val="18"/>
                <w:szCs w:val="18"/>
              </w:rPr>
              <w:tab/>
              <w:t>22 principes directeurs d’examen révisés : TWA (5), TWF (6), TWO (4), TWV (7)</w:t>
            </w:r>
          </w:p>
          <w:p w:rsidR="0083792B" w:rsidRPr="00386CD6" w:rsidRDefault="0083792B" w:rsidP="0085651C">
            <w:pPr>
              <w:keepNext/>
              <w:keepLines/>
              <w:ind w:left="3861" w:hanging="2694"/>
              <w:rPr>
                <w:sz w:val="18"/>
                <w:szCs w:val="18"/>
              </w:rPr>
            </w:pPr>
            <w:r w:rsidRPr="00386CD6">
              <w:rPr>
                <w:sz w:val="18"/>
                <w:szCs w:val="18"/>
              </w:rPr>
              <w:t xml:space="preserve">Amériques : </w:t>
            </w:r>
            <w:r w:rsidRPr="00386CD6">
              <w:rPr>
                <w:sz w:val="18"/>
                <w:szCs w:val="18"/>
              </w:rPr>
              <w:tab/>
              <w:t>AR (1),</w:t>
            </w:r>
          </w:p>
          <w:p w:rsidR="0083792B" w:rsidRPr="00386CD6" w:rsidRDefault="0083792B" w:rsidP="0085651C">
            <w:pPr>
              <w:keepNext/>
              <w:keepLines/>
              <w:ind w:left="3861" w:hanging="2694"/>
              <w:rPr>
                <w:sz w:val="18"/>
                <w:szCs w:val="18"/>
              </w:rPr>
            </w:pPr>
            <w:r w:rsidRPr="00386CD6">
              <w:rPr>
                <w:sz w:val="18"/>
                <w:szCs w:val="18"/>
              </w:rPr>
              <w:t xml:space="preserve">Asie/Pacifique : </w:t>
            </w:r>
            <w:r w:rsidRPr="00386CD6">
              <w:rPr>
                <w:sz w:val="18"/>
                <w:szCs w:val="18"/>
              </w:rPr>
              <w:tab/>
              <w:t>AU (2), CN (1), JP (1), NZ (2)</w:t>
            </w:r>
          </w:p>
          <w:p w:rsidR="0083792B" w:rsidRPr="00386CD6" w:rsidRDefault="0083792B" w:rsidP="0085651C">
            <w:pPr>
              <w:keepNext/>
              <w:keepLines/>
              <w:ind w:left="3861" w:hanging="2694"/>
              <w:rPr>
                <w:sz w:val="18"/>
                <w:szCs w:val="18"/>
              </w:rPr>
            </w:pPr>
            <w:r w:rsidRPr="00386CD6">
              <w:rPr>
                <w:sz w:val="18"/>
                <w:szCs w:val="18"/>
              </w:rPr>
              <w:t xml:space="preserve">Europe : </w:t>
            </w:r>
            <w:r w:rsidRPr="00386CD6">
              <w:rPr>
                <w:sz w:val="18"/>
                <w:szCs w:val="18"/>
              </w:rPr>
              <w:tab/>
              <w:t>DE (3), ES (2), FR (3.5), GB (1), IT (0.5), NL (4), QZ (1)</w:t>
            </w:r>
          </w:p>
          <w:p w:rsidR="0083792B" w:rsidRPr="00386CD6" w:rsidRDefault="0083792B" w:rsidP="0085651C">
            <w:pPr>
              <w:keepNext/>
              <w:keepLines/>
              <w:tabs>
                <w:tab w:val="left" w:pos="601"/>
              </w:tabs>
              <w:rPr>
                <w:sz w:val="18"/>
                <w:szCs w:val="18"/>
              </w:rPr>
            </w:pPr>
          </w:p>
          <w:p w:rsidR="0083792B" w:rsidRPr="00386CD6" w:rsidRDefault="0083792B" w:rsidP="0085651C">
            <w:pPr>
              <w:tabs>
                <w:tab w:val="left" w:pos="756"/>
                <w:tab w:val="left" w:pos="2444"/>
              </w:tabs>
              <w:spacing w:after="120"/>
              <w:ind w:left="2444" w:hanging="2087"/>
              <w:rPr>
                <w:sz w:val="18"/>
                <w:szCs w:val="18"/>
              </w:rPr>
            </w:pPr>
            <w:r w:rsidRPr="00386CD6">
              <w:rPr>
                <w:sz w:val="18"/>
                <w:szCs w:val="18"/>
              </w:rPr>
              <w:t>–</w:t>
            </w:r>
            <w:r w:rsidRPr="00386CD6">
              <w:rPr>
                <w:sz w:val="18"/>
                <w:szCs w:val="18"/>
              </w:rPr>
              <w:tab/>
              <w:t>8 principes directeurs d’examen partiellement révisés : TWF (1), TWV (7)</w:t>
            </w:r>
          </w:p>
          <w:p w:rsidR="0083792B" w:rsidRPr="00386CD6" w:rsidRDefault="0083792B" w:rsidP="0085651C">
            <w:pPr>
              <w:keepNext/>
              <w:keepLines/>
              <w:ind w:left="3861" w:hanging="2694"/>
              <w:rPr>
                <w:sz w:val="18"/>
                <w:szCs w:val="18"/>
              </w:rPr>
            </w:pPr>
            <w:r w:rsidRPr="00386CD6">
              <w:rPr>
                <w:sz w:val="18"/>
                <w:szCs w:val="18"/>
              </w:rPr>
              <w:t xml:space="preserve">Afrique : </w:t>
            </w:r>
            <w:r w:rsidRPr="00386CD6">
              <w:rPr>
                <w:sz w:val="18"/>
                <w:szCs w:val="18"/>
              </w:rPr>
              <w:tab/>
              <w:t>ZA (1)</w:t>
            </w:r>
          </w:p>
          <w:p w:rsidR="0083792B" w:rsidRPr="00386CD6" w:rsidRDefault="0083792B" w:rsidP="0085651C">
            <w:pPr>
              <w:keepNext/>
              <w:keepLines/>
              <w:ind w:left="3861" w:hanging="2694"/>
              <w:rPr>
                <w:sz w:val="18"/>
                <w:szCs w:val="18"/>
              </w:rPr>
            </w:pPr>
            <w:r w:rsidRPr="00386CD6">
              <w:rPr>
                <w:sz w:val="18"/>
                <w:szCs w:val="18"/>
              </w:rPr>
              <w:t xml:space="preserve">Europe : </w:t>
            </w:r>
            <w:r w:rsidRPr="00386CD6">
              <w:rPr>
                <w:sz w:val="18"/>
                <w:szCs w:val="18"/>
              </w:rPr>
              <w:tab/>
              <w:t>DE (1), NL (5), QZ (1)</w:t>
            </w:r>
          </w:p>
          <w:p w:rsidR="0083792B" w:rsidRPr="00386CD6" w:rsidRDefault="0083792B" w:rsidP="0085651C">
            <w:pPr>
              <w:keepNext/>
              <w:keepLines/>
              <w:ind w:left="3861" w:hanging="2694"/>
              <w:rPr>
                <w:sz w:val="18"/>
                <w:szCs w:val="18"/>
              </w:rPr>
            </w:pPr>
          </w:p>
          <w:p w:rsidR="0083792B" w:rsidRPr="00386CD6" w:rsidRDefault="0083792B" w:rsidP="0085651C">
            <w:pPr>
              <w:keepNext/>
              <w:rPr>
                <w:sz w:val="18"/>
                <w:szCs w:val="18"/>
              </w:rPr>
            </w:pPr>
            <w:r w:rsidRPr="00386CD6">
              <w:rPr>
                <w:sz w:val="18"/>
                <w:szCs w:val="18"/>
              </w:rPr>
              <w:t>Au total, 16 membres de l’Union ont participé à l’élaboration de principes directeurs d’examen (AR, AU, BR, CN, DE, DK, ES, FR, GB, IT, JP, MX, NL, NZ, QZ, ZA).</w:t>
            </w:r>
          </w:p>
          <w:p w:rsidR="0083792B" w:rsidRPr="00386CD6" w:rsidRDefault="0083792B" w:rsidP="0085651C">
            <w:pPr>
              <w:keepNext/>
              <w:rPr>
                <w:sz w:val="18"/>
                <w:szCs w:val="18"/>
              </w:rPr>
            </w:pPr>
          </w:p>
          <w:p w:rsidR="0083792B" w:rsidRPr="00386CD6" w:rsidRDefault="0083792B" w:rsidP="0085651C">
            <w:pPr>
              <w:keepNext/>
              <w:rPr>
                <w:sz w:val="18"/>
                <w:szCs w:val="18"/>
              </w:rPr>
            </w:pPr>
          </w:p>
          <w:p w:rsidR="0083792B" w:rsidRPr="00386CD6" w:rsidRDefault="0083792B" w:rsidP="0085651C">
            <w:pPr>
              <w:rPr>
                <w:i/>
                <w:sz w:val="18"/>
              </w:rPr>
            </w:pPr>
            <w:r w:rsidRPr="00386CD6">
              <w:rPr>
                <w:i/>
                <w:sz w:val="18"/>
              </w:rPr>
              <w:t>Élaboration du modèle de principes directeurs d’examen fondé sur le Web :</w:t>
            </w:r>
          </w:p>
          <w:p w:rsidR="0083792B" w:rsidRPr="00386CD6" w:rsidRDefault="0083792B" w:rsidP="0085651C">
            <w:pPr>
              <w:rPr>
                <w:sz w:val="18"/>
              </w:rPr>
            </w:pPr>
          </w:p>
          <w:p w:rsidR="0083792B" w:rsidRPr="00386CD6" w:rsidRDefault="0083792B" w:rsidP="0085651C">
            <w:pPr>
              <w:keepNext/>
              <w:rPr>
                <w:sz w:val="18"/>
                <w:szCs w:val="18"/>
              </w:rPr>
            </w:pPr>
            <w:r w:rsidRPr="00386CD6">
              <w:rPr>
                <w:sz w:val="18"/>
                <w:szCs w:val="18"/>
              </w:rPr>
              <w:t>La version 1 du</w:t>
            </w:r>
            <w:r w:rsidRPr="00386CD6">
              <w:t xml:space="preserve"> </w:t>
            </w:r>
            <w:r w:rsidRPr="00386CD6">
              <w:rPr>
                <w:sz w:val="18"/>
                <w:szCs w:val="18"/>
              </w:rPr>
              <w:t>modèle de principes directeurs d’examen fondé sur le Web comprend les caractéristiques ci</w:t>
            </w:r>
            <w:r w:rsidRPr="00386CD6">
              <w:rPr>
                <w:sz w:val="18"/>
                <w:szCs w:val="18"/>
              </w:rPr>
              <w:noBreakHyphen/>
              <w:t>après :</w:t>
            </w:r>
          </w:p>
          <w:p w:rsidR="0083792B" w:rsidRPr="00386CD6" w:rsidRDefault="0083792B" w:rsidP="0085651C">
            <w:pPr>
              <w:keepNext/>
              <w:rPr>
                <w:sz w:val="18"/>
                <w:szCs w:val="18"/>
              </w:rPr>
            </w:pPr>
          </w:p>
          <w:p w:rsidR="0083792B" w:rsidRPr="00386CD6" w:rsidRDefault="0083792B" w:rsidP="0085651C">
            <w:pPr>
              <w:pStyle w:val="ListParagraph"/>
              <w:keepNext/>
              <w:numPr>
                <w:ilvl w:val="0"/>
                <w:numId w:val="19"/>
              </w:numPr>
              <w:rPr>
                <w:sz w:val="18"/>
                <w:szCs w:val="18"/>
              </w:rPr>
            </w:pPr>
            <w:r w:rsidRPr="00386CD6">
              <w:rPr>
                <w:sz w:val="18"/>
                <w:szCs w:val="18"/>
              </w:rPr>
              <w:t>un projet de principes directeurs d’examen élaboré en ligne par les experts principaux à l’aide du modèle de principes directeurs d’examen fondé sur le Web;</w:t>
            </w:r>
          </w:p>
          <w:p w:rsidR="0083792B" w:rsidRPr="00386CD6" w:rsidRDefault="0083792B" w:rsidP="0085651C">
            <w:pPr>
              <w:pStyle w:val="ListParagraph"/>
              <w:keepNext/>
              <w:numPr>
                <w:ilvl w:val="0"/>
                <w:numId w:val="19"/>
              </w:numPr>
              <w:rPr>
                <w:sz w:val="18"/>
                <w:szCs w:val="18"/>
              </w:rPr>
            </w:pPr>
            <w:r w:rsidRPr="00386CD6">
              <w:rPr>
                <w:sz w:val="18"/>
                <w:szCs w:val="18"/>
              </w:rPr>
              <w:t>un modèle fixe, contenant le texte standard général applicable à tous les principes directeurs d’examen;</w:t>
            </w:r>
          </w:p>
          <w:p w:rsidR="0083792B" w:rsidRPr="00386CD6" w:rsidRDefault="0083792B" w:rsidP="0085651C">
            <w:pPr>
              <w:pStyle w:val="ListParagraph"/>
              <w:keepNext/>
              <w:numPr>
                <w:ilvl w:val="0"/>
                <w:numId w:val="19"/>
              </w:numPr>
              <w:rPr>
                <w:sz w:val="18"/>
                <w:szCs w:val="18"/>
              </w:rPr>
            </w:pPr>
            <w:r w:rsidRPr="00386CD6">
              <w:rPr>
                <w:sz w:val="18"/>
                <w:szCs w:val="18"/>
              </w:rPr>
              <w:t>la possibilité d’ajouter un texte standard supplémentaire (ASW);</w:t>
            </w:r>
          </w:p>
          <w:p w:rsidR="0083792B" w:rsidRPr="00386CD6" w:rsidRDefault="0083792B" w:rsidP="0085651C">
            <w:pPr>
              <w:pStyle w:val="ListParagraph"/>
              <w:keepNext/>
              <w:numPr>
                <w:ilvl w:val="0"/>
                <w:numId w:val="19"/>
              </w:numPr>
              <w:rPr>
                <w:sz w:val="18"/>
                <w:szCs w:val="18"/>
              </w:rPr>
            </w:pPr>
            <w:r w:rsidRPr="00386CD6">
              <w:rPr>
                <w:sz w:val="18"/>
                <w:szCs w:val="18"/>
              </w:rPr>
              <w:t>des renvois à des notes indicatives (GN);</w:t>
            </w:r>
          </w:p>
          <w:p w:rsidR="0083792B" w:rsidRPr="00386CD6" w:rsidRDefault="0083792B" w:rsidP="0085651C">
            <w:pPr>
              <w:pStyle w:val="ListParagraph"/>
              <w:keepNext/>
              <w:numPr>
                <w:ilvl w:val="0"/>
                <w:numId w:val="19"/>
              </w:numPr>
              <w:rPr>
                <w:sz w:val="18"/>
                <w:szCs w:val="18"/>
              </w:rPr>
            </w:pPr>
            <w:r w:rsidRPr="00386CD6">
              <w:rPr>
                <w:sz w:val="18"/>
                <w:szCs w:val="18"/>
              </w:rPr>
              <w:t>une base de données des caractères (en anglais, français, allemand et espagnol) tirée des principes directeurs d’examen adoptés après l’adoption du document TGP/7/1 “Élaboration des principes directeurs d’examen”.</w:t>
            </w:r>
          </w:p>
          <w:p w:rsidR="0083792B" w:rsidRPr="00386CD6" w:rsidRDefault="0083792B" w:rsidP="0085651C">
            <w:pPr>
              <w:keepNext/>
              <w:rPr>
                <w:sz w:val="18"/>
                <w:szCs w:val="18"/>
              </w:rPr>
            </w:pPr>
          </w:p>
          <w:p w:rsidR="0083792B" w:rsidRPr="00386CD6" w:rsidRDefault="0083792B" w:rsidP="0085651C">
            <w:pPr>
              <w:keepNext/>
              <w:rPr>
                <w:sz w:val="18"/>
                <w:szCs w:val="18"/>
              </w:rPr>
            </w:pPr>
            <w:r w:rsidRPr="00386CD6">
              <w:rPr>
                <w:sz w:val="18"/>
                <w:szCs w:val="18"/>
              </w:rPr>
              <w:t xml:space="preserve">La base de données contient toutes les informations tirées du Tableau des caractères, y compris les niveaux d’expression, les notes et les variétés indiquées à titre d’exemples.  Les caractères pertinents pourront être </w:t>
            </w:r>
            <w:proofErr w:type="gramStart"/>
            <w:r w:rsidRPr="00386CD6">
              <w:rPr>
                <w:sz w:val="18"/>
                <w:szCs w:val="18"/>
              </w:rPr>
              <w:t>recherchés</w:t>
            </w:r>
            <w:proofErr w:type="gramEnd"/>
            <w:r w:rsidRPr="00386CD6">
              <w:rPr>
                <w:sz w:val="18"/>
                <w:szCs w:val="18"/>
              </w:rPr>
              <w:t xml:space="preserve"> dans la base de données et un caractère pertinent sera intégré dans les principes directeurs d’examen et modifié ultérieurement, le cas échéant.</w:t>
            </w:r>
          </w:p>
        </w:tc>
      </w:tr>
    </w:tbl>
    <w:p w:rsidR="0083792B" w:rsidRPr="00386CD6" w:rsidRDefault="0083792B" w:rsidP="0085651C"/>
    <w:p w:rsidR="0083792B" w:rsidRPr="00386CD6" w:rsidRDefault="0083792B" w:rsidP="0085651C"/>
    <w:p w:rsidR="0083792B" w:rsidRPr="00386CD6" w:rsidRDefault="0083792B" w:rsidP="0085651C">
      <w:r w:rsidRPr="00386CD6">
        <w:rPr>
          <w:bCs/>
          <w:i/>
        </w:rPr>
        <w:br w:type="page"/>
      </w:r>
    </w:p>
    <w:tbl>
      <w:tblPr>
        <w:tblW w:w="9889" w:type="dxa"/>
        <w:tblLayout w:type="fixed"/>
        <w:tblLook w:val="0000" w:firstRow="0" w:lastRow="0" w:firstColumn="0" w:lastColumn="0" w:noHBand="0" w:noVBand="0"/>
      </w:tblPr>
      <w:tblGrid>
        <w:gridCol w:w="1951"/>
        <w:gridCol w:w="3969"/>
        <w:gridCol w:w="3969"/>
      </w:tblGrid>
      <w:tr w:rsidR="0083792B" w:rsidRPr="00386CD6" w:rsidTr="0085651C">
        <w:tc>
          <w:tcPr>
            <w:tcW w:w="1951" w:type="dxa"/>
            <w:shd w:val="clear" w:color="auto" w:fill="auto"/>
          </w:tcPr>
          <w:p w:rsidR="0083792B" w:rsidRPr="00386CD6" w:rsidRDefault="0083792B" w:rsidP="0085651C">
            <w:pPr>
              <w:keepNext/>
              <w:spacing w:after="240"/>
              <w:rPr>
                <w:b/>
                <w:sz w:val="18"/>
              </w:rPr>
            </w:pPr>
            <w:r w:rsidRPr="00386CD6">
              <w:rPr>
                <w:b/>
                <w:sz w:val="18"/>
              </w:rPr>
              <w:t>Résultats escomptés</w:t>
            </w:r>
          </w:p>
        </w:tc>
        <w:tc>
          <w:tcPr>
            <w:tcW w:w="7938" w:type="dxa"/>
            <w:gridSpan w:val="2"/>
            <w:shd w:val="clear" w:color="auto" w:fill="auto"/>
          </w:tcPr>
          <w:p w:rsidR="0083792B" w:rsidRPr="00386CD6" w:rsidRDefault="0083792B" w:rsidP="0085651C">
            <w:pPr>
              <w:keepNext/>
              <w:spacing w:after="240"/>
              <w:rPr>
                <w:b/>
                <w:i/>
                <w:sz w:val="18"/>
                <w:szCs w:val="18"/>
              </w:rPr>
            </w:pPr>
            <w:r w:rsidRPr="00386CD6">
              <w:rPr>
                <w:b/>
                <w:sz w:val="18"/>
                <w:szCs w:val="18"/>
              </w:rPr>
              <w:t>Résultats obtenus : indicateurs d’exécution</w:t>
            </w:r>
          </w:p>
        </w:tc>
      </w:tr>
      <w:tr w:rsidR="0083792B" w:rsidRPr="00386CD6" w:rsidTr="0085651C">
        <w:tc>
          <w:tcPr>
            <w:tcW w:w="1951" w:type="dxa"/>
            <w:vMerge w:val="restart"/>
            <w:shd w:val="clear" w:color="auto" w:fill="auto"/>
          </w:tcPr>
          <w:p w:rsidR="0083792B" w:rsidRPr="00386CD6" w:rsidRDefault="0083792B" w:rsidP="008B401F">
            <w:pPr>
              <w:tabs>
                <w:tab w:val="left" w:pos="299"/>
              </w:tabs>
              <w:jc w:val="left"/>
              <w:rPr>
                <w:sz w:val="18"/>
                <w:szCs w:val="18"/>
              </w:rPr>
            </w:pPr>
            <w:r w:rsidRPr="00386CD6">
              <w:rPr>
                <w:i/>
                <w:sz w:val="18"/>
                <w:szCs w:val="18"/>
              </w:rPr>
              <w:t>3.</w:t>
            </w:r>
            <w:r w:rsidR="008B401F" w:rsidRPr="00386CD6">
              <w:rPr>
                <w:i/>
                <w:sz w:val="18"/>
                <w:szCs w:val="18"/>
              </w:rPr>
              <w:tab/>
            </w:r>
            <w:r w:rsidRPr="00386CD6">
              <w:rPr>
                <w:i/>
                <w:sz w:val="18"/>
                <w:szCs w:val="18"/>
              </w:rPr>
              <w:t>Coopération en matière d’examen des droits d’obtenteur</w:t>
            </w:r>
            <w:r w:rsidRPr="00386CD6">
              <w:rPr>
                <w:sz w:val="18"/>
                <w:szCs w:val="18"/>
              </w:rPr>
              <w:t xml:space="preserve"> (suite)</w:t>
            </w:r>
          </w:p>
        </w:tc>
        <w:tc>
          <w:tcPr>
            <w:tcW w:w="7938" w:type="dxa"/>
            <w:gridSpan w:val="2"/>
            <w:shd w:val="clear" w:color="auto" w:fill="auto"/>
          </w:tcPr>
          <w:p w:rsidR="0083792B" w:rsidRPr="00386CD6" w:rsidRDefault="0083792B" w:rsidP="0085651C">
            <w:pPr>
              <w:pStyle w:val="Heading8"/>
              <w:rPr>
                <w:szCs w:val="18"/>
              </w:rPr>
            </w:pPr>
            <w:bookmarkStart w:id="95" w:name="_Toc464487570"/>
            <w:bookmarkStart w:id="96" w:name="_Toc465100058"/>
            <w:r w:rsidRPr="00386CD6">
              <w:rPr>
                <w:szCs w:val="18"/>
              </w:rPr>
              <w:t>Base de données PLUTO : consultations du site Web de l’UPOV en 2015</w:t>
            </w:r>
            <w:bookmarkEnd w:id="95"/>
            <w:bookmarkEnd w:id="96"/>
          </w:p>
        </w:tc>
      </w:tr>
      <w:tr w:rsidR="0083792B" w:rsidRPr="00386CD6" w:rsidTr="0085651C">
        <w:tc>
          <w:tcPr>
            <w:tcW w:w="1951" w:type="dxa"/>
            <w:vMerge/>
            <w:shd w:val="clear" w:color="auto" w:fill="auto"/>
          </w:tcPr>
          <w:p w:rsidR="0083792B" w:rsidRPr="00386CD6" w:rsidRDefault="0083792B" w:rsidP="0085651C">
            <w:pPr>
              <w:pStyle w:val="Heading6"/>
            </w:pPr>
          </w:p>
        </w:tc>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83792B" w:rsidRPr="00386CD6" w:rsidTr="0085651C">
              <w:trPr>
                <w:trHeight w:val="148"/>
              </w:trPr>
              <w:tc>
                <w:tcPr>
                  <w:tcW w:w="1730" w:type="dxa"/>
                </w:tcPr>
                <w:p w:rsidR="0083792B" w:rsidRPr="00386CD6" w:rsidRDefault="0083792B" w:rsidP="0085651C">
                  <w:pPr>
                    <w:pStyle w:val="Default"/>
                    <w:ind w:firstLine="6"/>
                    <w:rPr>
                      <w:color w:val="auto"/>
                      <w:sz w:val="18"/>
                      <w:szCs w:val="18"/>
                      <w:lang w:val="fr-FR"/>
                    </w:rPr>
                  </w:pPr>
                </w:p>
              </w:tc>
              <w:tc>
                <w:tcPr>
                  <w:tcW w:w="992" w:type="dxa"/>
                </w:tcPr>
                <w:p w:rsidR="0083792B" w:rsidRPr="00386CD6" w:rsidRDefault="0083792B" w:rsidP="0085651C">
                  <w:pPr>
                    <w:pStyle w:val="Default"/>
                    <w:ind w:right="113"/>
                    <w:jc w:val="center"/>
                    <w:rPr>
                      <w:i/>
                      <w:color w:val="auto"/>
                      <w:sz w:val="18"/>
                      <w:szCs w:val="18"/>
                      <w:lang w:val="fr-FR"/>
                    </w:rPr>
                  </w:pPr>
                  <w:r w:rsidRPr="00386CD6">
                    <w:rPr>
                      <w:i/>
                      <w:color w:val="auto"/>
                      <w:sz w:val="18"/>
                      <w:szCs w:val="18"/>
                      <w:lang w:val="fr-FR"/>
                    </w:rPr>
                    <w:t>2015</w:t>
                  </w:r>
                </w:p>
              </w:tc>
              <w:tc>
                <w:tcPr>
                  <w:tcW w:w="992" w:type="dxa"/>
                </w:tcPr>
                <w:p w:rsidR="0083792B" w:rsidRPr="00386CD6" w:rsidRDefault="0083792B" w:rsidP="0085651C">
                  <w:pPr>
                    <w:pStyle w:val="Default"/>
                    <w:ind w:right="113"/>
                    <w:jc w:val="center"/>
                    <w:rPr>
                      <w:i/>
                      <w:color w:val="auto"/>
                      <w:sz w:val="18"/>
                      <w:szCs w:val="18"/>
                      <w:lang w:val="fr-FR"/>
                    </w:rPr>
                  </w:pPr>
                  <w:r w:rsidRPr="00386CD6">
                    <w:rPr>
                      <w:i/>
                      <w:color w:val="auto"/>
                      <w:sz w:val="18"/>
                      <w:szCs w:val="18"/>
                      <w:lang w:val="fr-FR"/>
                    </w:rPr>
                    <w:t>2014</w:t>
                  </w:r>
                </w:p>
              </w:tc>
            </w:tr>
            <w:tr w:rsidR="0083792B" w:rsidRPr="00386CD6" w:rsidTr="0085651C">
              <w:trPr>
                <w:trHeight w:val="148"/>
              </w:trPr>
              <w:tc>
                <w:tcPr>
                  <w:tcW w:w="1730" w:type="dxa"/>
                </w:tcPr>
                <w:p w:rsidR="0083792B" w:rsidRPr="00386CD6" w:rsidRDefault="0083792B" w:rsidP="0085651C">
                  <w:pPr>
                    <w:pStyle w:val="Default"/>
                    <w:ind w:firstLine="6"/>
                    <w:rPr>
                      <w:color w:val="auto"/>
                      <w:sz w:val="18"/>
                      <w:szCs w:val="18"/>
                      <w:lang w:val="fr-FR"/>
                    </w:rPr>
                  </w:pPr>
                  <w:r w:rsidRPr="00386CD6">
                    <w:rPr>
                      <w:color w:val="auto"/>
                      <w:sz w:val="18"/>
                      <w:szCs w:val="18"/>
                      <w:lang w:val="fr-FR"/>
                    </w:rPr>
                    <w:t xml:space="preserve">Sessions </w:t>
                  </w:r>
                </w:p>
              </w:tc>
              <w:tc>
                <w:tcPr>
                  <w:tcW w:w="992"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53 270</w:t>
                  </w:r>
                </w:p>
              </w:tc>
              <w:tc>
                <w:tcPr>
                  <w:tcW w:w="992"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46 922</w:t>
                  </w:r>
                </w:p>
              </w:tc>
            </w:tr>
            <w:tr w:rsidR="0083792B" w:rsidRPr="00386CD6" w:rsidTr="0085651C">
              <w:trPr>
                <w:trHeight w:val="148"/>
              </w:trPr>
              <w:tc>
                <w:tcPr>
                  <w:tcW w:w="1730" w:type="dxa"/>
                </w:tcPr>
                <w:p w:rsidR="0083792B" w:rsidRPr="00386CD6" w:rsidRDefault="0083792B" w:rsidP="0085651C">
                  <w:pPr>
                    <w:pStyle w:val="Default"/>
                    <w:ind w:firstLine="6"/>
                    <w:rPr>
                      <w:color w:val="auto"/>
                      <w:sz w:val="18"/>
                      <w:szCs w:val="18"/>
                      <w:lang w:val="fr-FR"/>
                    </w:rPr>
                  </w:pPr>
                  <w:r w:rsidRPr="00386CD6">
                    <w:rPr>
                      <w:color w:val="auto"/>
                      <w:sz w:val="18"/>
                      <w:szCs w:val="18"/>
                      <w:lang w:val="fr-FR"/>
                    </w:rPr>
                    <w:t xml:space="preserve">Utilisateurs </w:t>
                  </w:r>
                </w:p>
              </w:tc>
              <w:tc>
                <w:tcPr>
                  <w:tcW w:w="992"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14 007</w:t>
                  </w:r>
                </w:p>
              </w:tc>
              <w:tc>
                <w:tcPr>
                  <w:tcW w:w="992"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13 834</w:t>
                  </w:r>
                </w:p>
              </w:tc>
            </w:tr>
            <w:tr w:rsidR="0083792B" w:rsidRPr="00386CD6" w:rsidTr="0085651C">
              <w:trPr>
                <w:trHeight w:val="148"/>
              </w:trPr>
              <w:tc>
                <w:tcPr>
                  <w:tcW w:w="1730" w:type="dxa"/>
                </w:tcPr>
                <w:p w:rsidR="0083792B" w:rsidRPr="00386CD6" w:rsidRDefault="0083792B" w:rsidP="0085651C">
                  <w:pPr>
                    <w:pStyle w:val="Default"/>
                    <w:ind w:left="204" w:hanging="198"/>
                    <w:rPr>
                      <w:color w:val="auto"/>
                      <w:sz w:val="18"/>
                      <w:szCs w:val="18"/>
                      <w:lang w:val="fr-FR"/>
                    </w:rPr>
                  </w:pPr>
                  <w:r w:rsidRPr="00386CD6">
                    <w:rPr>
                      <w:color w:val="auto"/>
                      <w:sz w:val="18"/>
                      <w:szCs w:val="18"/>
                      <w:lang w:val="fr-FR"/>
                    </w:rPr>
                    <w:t xml:space="preserve">Pages consultées </w:t>
                  </w:r>
                </w:p>
              </w:tc>
              <w:tc>
                <w:tcPr>
                  <w:tcW w:w="992"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80 382</w:t>
                  </w:r>
                </w:p>
              </w:tc>
              <w:tc>
                <w:tcPr>
                  <w:tcW w:w="992"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74 226</w:t>
                  </w:r>
                </w:p>
              </w:tc>
            </w:tr>
            <w:tr w:rsidR="0083792B" w:rsidRPr="00386CD6" w:rsidTr="0085651C">
              <w:trPr>
                <w:trHeight w:val="148"/>
              </w:trPr>
              <w:tc>
                <w:tcPr>
                  <w:tcW w:w="1730" w:type="dxa"/>
                </w:tcPr>
                <w:p w:rsidR="0083792B" w:rsidRPr="00386CD6" w:rsidRDefault="0083792B" w:rsidP="0085651C">
                  <w:pPr>
                    <w:pStyle w:val="Default"/>
                    <w:ind w:firstLine="6"/>
                    <w:rPr>
                      <w:color w:val="auto"/>
                      <w:sz w:val="18"/>
                      <w:szCs w:val="18"/>
                      <w:lang w:val="fr-FR"/>
                    </w:rPr>
                  </w:pPr>
                  <w:r w:rsidRPr="00386CD6">
                    <w:rPr>
                      <w:color w:val="auto"/>
                      <w:sz w:val="18"/>
                      <w:szCs w:val="18"/>
                      <w:lang w:val="fr-FR"/>
                    </w:rPr>
                    <w:t xml:space="preserve">Nouveaux utilisateurs </w:t>
                  </w:r>
                </w:p>
              </w:tc>
              <w:tc>
                <w:tcPr>
                  <w:tcW w:w="992"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24,3%</w:t>
                  </w:r>
                </w:p>
              </w:tc>
              <w:tc>
                <w:tcPr>
                  <w:tcW w:w="992"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27,7%</w:t>
                  </w:r>
                </w:p>
              </w:tc>
            </w:tr>
            <w:tr w:rsidR="0083792B" w:rsidRPr="00386CD6" w:rsidTr="0085651C">
              <w:trPr>
                <w:trHeight w:val="148"/>
              </w:trPr>
              <w:tc>
                <w:tcPr>
                  <w:tcW w:w="1730" w:type="dxa"/>
                </w:tcPr>
                <w:p w:rsidR="0083792B" w:rsidRPr="00386CD6" w:rsidRDefault="0083792B" w:rsidP="0085651C">
                  <w:pPr>
                    <w:ind w:firstLine="6"/>
                    <w:jc w:val="left"/>
                    <w:rPr>
                      <w:sz w:val="18"/>
                      <w:szCs w:val="18"/>
                    </w:rPr>
                  </w:pPr>
                  <w:r w:rsidRPr="00386CD6">
                    <w:rPr>
                      <w:sz w:val="18"/>
                      <w:szCs w:val="18"/>
                    </w:rPr>
                    <w:t xml:space="preserve">Utilisateurs ayant déjà consulté le site Web </w:t>
                  </w:r>
                </w:p>
              </w:tc>
              <w:tc>
                <w:tcPr>
                  <w:tcW w:w="992" w:type="dxa"/>
                </w:tcPr>
                <w:p w:rsidR="0083792B" w:rsidRPr="00386CD6" w:rsidRDefault="0083792B" w:rsidP="0085651C">
                  <w:pPr>
                    <w:pStyle w:val="Default"/>
                    <w:ind w:right="113"/>
                    <w:jc w:val="right"/>
                    <w:rPr>
                      <w:color w:val="auto"/>
                      <w:sz w:val="18"/>
                      <w:szCs w:val="18"/>
                      <w:lang w:val="fr-FR"/>
                    </w:rPr>
                  </w:pPr>
                  <w:r w:rsidRPr="00386CD6">
                    <w:rPr>
                      <w:color w:val="auto"/>
                      <w:sz w:val="18"/>
                      <w:szCs w:val="18"/>
                      <w:lang w:val="fr-FR"/>
                    </w:rPr>
                    <w:t>75,7%</w:t>
                  </w:r>
                </w:p>
              </w:tc>
              <w:tc>
                <w:tcPr>
                  <w:tcW w:w="992" w:type="dxa"/>
                </w:tcPr>
                <w:p w:rsidR="0083792B" w:rsidRPr="00386CD6" w:rsidRDefault="0083792B" w:rsidP="0085651C">
                  <w:pPr>
                    <w:ind w:right="113"/>
                    <w:jc w:val="right"/>
                    <w:rPr>
                      <w:sz w:val="18"/>
                      <w:szCs w:val="18"/>
                    </w:rPr>
                  </w:pPr>
                  <w:r w:rsidRPr="00386CD6">
                    <w:rPr>
                      <w:sz w:val="18"/>
                      <w:szCs w:val="18"/>
                    </w:rPr>
                    <w:t>72,3%</w:t>
                  </w:r>
                </w:p>
              </w:tc>
            </w:tr>
          </w:tbl>
          <w:p w:rsidR="0083792B" w:rsidRPr="00386CD6" w:rsidRDefault="0083792B" w:rsidP="0085651C">
            <w:pPr>
              <w:keepNext/>
              <w:ind w:firstLine="658"/>
            </w:pPr>
          </w:p>
          <w:p w:rsidR="0083792B" w:rsidRPr="00386CD6" w:rsidRDefault="0083792B" w:rsidP="0085651C">
            <w:pPr>
              <w:keepNext/>
              <w:ind w:firstLine="658"/>
            </w:pPr>
          </w:p>
        </w:tc>
        <w:tc>
          <w:tcPr>
            <w:tcW w:w="3969" w:type="dxa"/>
            <w:shd w:val="clear" w:color="auto" w:fill="auto"/>
          </w:tcPr>
          <w:tbl>
            <w:tblPr>
              <w:tblW w:w="3402"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134"/>
              <w:gridCol w:w="992"/>
              <w:gridCol w:w="1276"/>
            </w:tblGrid>
            <w:tr w:rsidR="0083792B" w:rsidRPr="00386CD6" w:rsidTr="00D535C2">
              <w:trPr>
                <w:trHeight w:val="143"/>
              </w:trPr>
              <w:tc>
                <w:tcPr>
                  <w:tcW w:w="1134"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Langue</w:t>
                  </w:r>
                </w:p>
              </w:tc>
              <w:tc>
                <w:tcPr>
                  <w:tcW w:w="992" w:type="dxa"/>
                </w:tcPr>
                <w:p w:rsidR="0083792B" w:rsidRPr="00386CD6" w:rsidRDefault="0083792B" w:rsidP="0085651C">
                  <w:pPr>
                    <w:autoSpaceDE w:val="0"/>
                    <w:autoSpaceDN w:val="0"/>
                    <w:adjustRightInd w:val="0"/>
                    <w:jc w:val="center"/>
                    <w:rPr>
                      <w:rFonts w:cs="Arial"/>
                      <w:sz w:val="18"/>
                      <w:szCs w:val="22"/>
                    </w:rPr>
                  </w:pPr>
                  <w:r w:rsidRPr="00386CD6">
                    <w:rPr>
                      <w:rFonts w:cs="Arial"/>
                      <w:bCs/>
                      <w:sz w:val="18"/>
                      <w:szCs w:val="22"/>
                    </w:rPr>
                    <w:t xml:space="preserve">Pages consultées </w:t>
                  </w:r>
                </w:p>
              </w:tc>
              <w:tc>
                <w:tcPr>
                  <w:tcW w:w="1276" w:type="dxa"/>
                </w:tcPr>
                <w:p w:rsidR="0083792B" w:rsidRPr="00386CD6" w:rsidRDefault="0083792B" w:rsidP="0085651C">
                  <w:pPr>
                    <w:autoSpaceDE w:val="0"/>
                    <w:autoSpaceDN w:val="0"/>
                    <w:adjustRightInd w:val="0"/>
                    <w:jc w:val="center"/>
                    <w:rPr>
                      <w:rFonts w:cs="Arial"/>
                      <w:sz w:val="18"/>
                      <w:szCs w:val="22"/>
                    </w:rPr>
                  </w:pPr>
                  <w:r w:rsidRPr="00386CD6">
                    <w:rPr>
                      <w:rFonts w:cs="Arial"/>
                      <w:sz w:val="18"/>
                      <w:szCs w:val="22"/>
                    </w:rPr>
                    <w:t>Consultations ponctuelles</w:t>
                  </w:r>
                </w:p>
              </w:tc>
            </w:tr>
            <w:tr w:rsidR="0083792B" w:rsidRPr="00386CD6" w:rsidTr="00D535C2">
              <w:trPr>
                <w:trHeight w:val="148"/>
              </w:trPr>
              <w:tc>
                <w:tcPr>
                  <w:tcW w:w="1134"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Anglais </w:t>
                  </w:r>
                </w:p>
              </w:tc>
              <w:tc>
                <w:tcPr>
                  <w:tcW w:w="992" w:type="dxa"/>
                </w:tcPr>
                <w:p w:rsidR="0083792B" w:rsidRPr="00386CD6" w:rsidRDefault="0083792B" w:rsidP="0085651C">
                  <w:pPr>
                    <w:pStyle w:val="Default"/>
                    <w:ind w:right="98"/>
                    <w:jc w:val="right"/>
                    <w:rPr>
                      <w:color w:val="auto"/>
                      <w:sz w:val="18"/>
                      <w:szCs w:val="18"/>
                      <w:lang w:val="fr-FR"/>
                    </w:rPr>
                  </w:pPr>
                  <w:r w:rsidRPr="00386CD6">
                    <w:rPr>
                      <w:color w:val="auto"/>
                      <w:sz w:val="18"/>
                      <w:szCs w:val="18"/>
                      <w:lang w:val="fr-FR"/>
                    </w:rPr>
                    <w:t>69 520</w:t>
                  </w:r>
                </w:p>
              </w:tc>
              <w:tc>
                <w:tcPr>
                  <w:tcW w:w="1276" w:type="dxa"/>
                </w:tcPr>
                <w:p w:rsidR="0083792B" w:rsidRPr="00386CD6" w:rsidRDefault="0083792B" w:rsidP="0085651C">
                  <w:pPr>
                    <w:pStyle w:val="Default"/>
                    <w:ind w:right="98"/>
                    <w:jc w:val="right"/>
                    <w:rPr>
                      <w:color w:val="auto"/>
                      <w:sz w:val="18"/>
                      <w:szCs w:val="18"/>
                      <w:lang w:val="fr-FR"/>
                    </w:rPr>
                  </w:pPr>
                  <w:r w:rsidRPr="00386CD6">
                    <w:rPr>
                      <w:color w:val="auto"/>
                      <w:sz w:val="18"/>
                      <w:szCs w:val="18"/>
                      <w:lang w:val="fr-FR"/>
                    </w:rPr>
                    <w:t>49 679</w:t>
                  </w:r>
                </w:p>
              </w:tc>
            </w:tr>
            <w:tr w:rsidR="0083792B" w:rsidRPr="00386CD6" w:rsidTr="00D535C2">
              <w:trPr>
                <w:trHeight w:val="142"/>
              </w:trPr>
              <w:tc>
                <w:tcPr>
                  <w:tcW w:w="1134"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Espagnol </w:t>
                  </w:r>
                </w:p>
              </w:tc>
              <w:tc>
                <w:tcPr>
                  <w:tcW w:w="992" w:type="dxa"/>
                </w:tcPr>
                <w:p w:rsidR="0083792B" w:rsidRPr="00386CD6" w:rsidRDefault="0083792B" w:rsidP="0085651C">
                  <w:pPr>
                    <w:pStyle w:val="Default"/>
                    <w:ind w:right="98"/>
                    <w:jc w:val="right"/>
                    <w:rPr>
                      <w:color w:val="auto"/>
                      <w:sz w:val="18"/>
                      <w:szCs w:val="18"/>
                      <w:lang w:val="fr-FR"/>
                    </w:rPr>
                  </w:pPr>
                  <w:r w:rsidRPr="00386CD6">
                    <w:rPr>
                      <w:color w:val="auto"/>
                      <w:sz w:val="18"/>
                      <w:szCs w:val="18"/>
                      <w:lang w:val="fr-FR"/>
                    </w:rPr>
                    <w:t>5003</w:t>
                  </w:r>
                </w:p>
              </w:tc>
              <w:tc>
                <w:tcPr>
                  <w:tcW w:w="1276" w:type="dxa"/>
                </w:tcPr>
                <w:p w:rsidR="0083792B" w:rsidRPr="00386CD6" w:rsidRDefault="0083792B" w:rsidP="0085651C">
                  <w:pPr>
                    <w:pStyle w:val="Default"/>
                    <w:ind w:right="98"/>
                    <w:jc w:val="right"/>
                    <w:rPr>
                      <w:color w:val="auto"/>
                      <w:sz w:val="18"/>
                      <w:szCs w:val="18"/>
                      <w:lang w:val="fr-FR"/>
                    </w:rPr>
                  </w:pPr>
                  <w:r w:rsidRPr="00386CD6">
                    <w:rPr>
                      <w:color w:val="auto"/>
                      <w:sz w:val="18"/>
                      <w:szCs w:val="18"/>
                      <w:lang w:val="fr-FR"/>
                    </w:rPr>
                    <w:t>3266</w:t>
                  </w:r>
                </w:p>
              </w:tc>
            </w:tr>
            <w:tr w:rsidR="0083792B" w:rsidRPr="00386CD6" w:rsidTr="00D535C2">
              <w:trPr>
                <w:trHeight w:val="148"/>
              </w:trPr>
              <w:tc>
                <w:tcPr>
                  <w:tcW w:w="1134"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Français </w:t>
                  </w:r>
                </w:p>
              </w:tc>
              <w:tc>
                <w:tcPr>
                  <w:tcW w:w="992" w:type="dxa"/>
                </w:tcPr>
                <w:p w:rsidR="0083792B" w:rsidRPr="00386CD6" w:rsidRDefault="0083792B" w:rsidP="0085651C">
                  <w:pPr>
                    <w:pStyle w:val="Default"/>
                    <w:ind w:right="98"/>
                    <w:jc w:val="right"/>
                    <w:rPr>
                      <w:color w:val="auto"/>
                      <w:sz w:val="18"/>
                      <w:szCs w:val="18"/>
                      <w:lang w:val="fr-FR"/>
                    </w:rPr>
                  </w:pPr>
                  <w:r w:rsidRPr="00386CD6">
                    <w:rPr>
                      <w:color w:val="auto"/>
                      <w:sz w:val="18"/>
                      <w:szCs w:val="18"/>
                      <w:lang w:val="fr-FR"/>
                    </w:rPr>
                    <w:t>4517</w:t>
                  </w:r>
                </w:p>
              </w:tc>
              <w:tc>
                <w:tcPr>
                  <w:tcW w:w="1276" w:type="dxa"/>
                </w:tcPr>
                <w:p w:rsidR="0083792B" w:rsidRPr="00386CD6" w:rsidRDefault="0083792B" w:rsidP="0085651C">
                  <w:pPr>
                    <w:pStyle w:val="Default"/>
                    <w:ind w:right="98"/>
                    <w:jc w:val="right"/>
                    <w:rPr>
                      <w:color w:val="auto"/>
                      <w:sz w:val="18"/>
                      <w:szCs w:val="18"/>
                      <w:lang w:val="fr-FR"/>
                    </w:rPr>
                  </w:pPr>
                  <w:r w:rsidRPr="00386CD6">
                    <w:rPr>
                      <w:color w:val="auto"/>
                      <w:sz w:val="18"/>
                      <w:szCs w:val="18"/>
                      <w:lang w:val="fr-FR"/>
                    </w:rPr>
                    <w:t>3314</w:t>
                  </w:r>
                </w:p>
              </w:tc>
            </w:tr>
            <w:tr w:rsidR="0083792B" w:rsidRPr="00386CD6" w:rsidTr="00D535C2">
              <w:trPr>
                <w:trHeight w:val="142"/>
              </w:trPr>
              <w:tc>
                <w:tcPr>
                  <w:tcW w:w="1134" w:type="dxa"/>
                </w:tcPr>
                <w:p w:rsidR="0083792B" w:rsidRPr="00386CD6" w:rsidRDefault="0083792B" w:rsidP="0085651C">
                  <w:pPr>
                    <w:autoSpaceDE w:val="0"/>
                    <w:autoSpaceDN w:val="0"/>
                    <w:adjustRightInd w:val="0"/>
                    <w:jc w:val="left"/>
                    <w:rPr>
                      <w:rFonts w:cs="Arial"/>
                      <w:sz w:val="18"/>
                      <w:szCs w:val="22"/>
                    </w:rPr>
                  </w:pPr>
                  <w:r w:rsidRPr="00386CD6">
                    <w:rPr>
                      <w:rFonts w:cs="Arial"/>
                      <w:sz w:val="18"/>
                      <w:szCs w:val="22"/>
                    </w:rPr>
                    <w:t xml:space="preserve">Allemand </w:t>
                  </w:r>
                </w:p>
              </w:tc>
              <w:tc>
                <w:tcPr>
                  <w:tcW w:w="992" w:type="dxa"/>
                </w:tcPr>
                <w:p w:rsidR="0083792B" w:rsidRPr="00386CD6" w:rsidRDefault="0083792B" w:rsidP="0085651C">
                  <w:pPr>
                    <w:pStyle w:val="Default"/>
                    <w:ind w:right="98"/>
                    <w:jc w:val="right"/>
                    <w:rPr>
                      <w:color w:val="auto"/>
                      <w:sz w:val="18"/>
                      <w:szCs w:val="18"/>
                      <w:lang w:val="fr-FR"/>
                    </w:rPr>
                  </w:pPr>
                  <w:r w:rsidRPr="00386CD6">
                    <w:rPr>
                      <w:color w:val="auto"/>
                      <w:sz w:val="18"/>
                      <w:szCs w:val="18"/>
                      <w:lang w:val="fr-FR"/>
                    </w:rPr>
                    <w:t>1341</w:t>
                  </w:r>
                </w:p>
              </w:tc>
              <w:tc>
                <w:tcPr>
                  <w:tcW w:w="1276" w:type="dxa"/>
                </w:tcPr>
                <w:p w:rsidR="0083792B" w:rsidRPr="00386CD6" w:rsidRDefault="0083792B" w:rsidP="0085651C">
                  <w:pPr>
                    <w:pStyle w:val="Default"/>
                    <w:ind w:right="98"/>
                    <w:jc w:val="right"/>
                    <w:rPr>
                      <w:color w:val="auto"/>
                      <w:sz w:val="18"/>
                      <w:szCs w:val="18"/>
                      <w:lang w:val="fr-FR"/>
                    </w:rPr>
                  </w:pPr>
                  <w:r w:rsidRPr="00386CD6">
                    <w:rPr>
                      <w:color w:val="auto"/>
                      <w:sz w:val="18"/>
                      <w:szCs w:val="18"/>
                      <w:lang w:val="fr-FR"/>
                    </w:rPr>
                    <w:t>899</w:t>
                  </w:r>
                </w:p>
              </w:tc>
            </w:tr>
          </w:tbl>
          <w:p w:rsidR="0083792B" w:rsidRPr="00386CD6" w:rsidRDefault="0083792B" w:rsidP="0085651C">
            <w:pPr>
              <w:keepNext/>
            </w:pPr>
          </w:p>
        </w:tc>
      </w:tr>
      <w:tr w:rsidR="0083792B" w:rsidRPr="00386CD6" w:rsidTr="0085651C">
        <w:tc>
          <w:tcPr>
            <w:tcW w:w="1951" w:type="dxa"/>
            <w:shd w:val="clear" w:color="auto" w:fill="auto"/>
          </w:tcPr>
          <w:p w:rsidR="0083792B" w:rsidRPr="00386CD6" w:rsidRDefault="0083792B" w:rsidP="0085651C"/>
        </w:tc>
        <w:tc>
          <w:tcPr>
            <w:tcW w:w="7938" w:type="dxa"/>
            <w:gridSpan w:val="2"/>
            <w:shd w:val="clear" w:color="auto" w:fill="auto"/>
          </w:tcPr>
          <w:p w:rsidR="0083792B" w:rsidRPr="00386CD6" w:rsidRDefault="0083792B" w:rsidP="0085651C">
            <w:pPr>
              <w:keepNext/>
              <w:rPr>
                <w:i/>
                <w:iCs/>
                <w:sz w:val="18"/>
                <w:szCs w:val="24"/>
              </w:rPr>
            </w:pPr>
          </w:p>
          <w:p w:rsidR="0083792B" w:rsidRPr="00386CD6" w:rsidRDefault="0083792B" w:rsidP="0085651C">
            <w:pPr>
              <w:keepNext/>
              <w:rPr>
                <w:bCs/>
                <w:sz w:val="18"/>
                <w:szCs w:val="22"/>
              </w:rPr>
            </w:pPr>
            <w:r w:rsidRPr="00386CD6">
              <w:rPr>
                <w:bCs/>
                <w:sz w:val="18"/>
                <w:szCs w:val="22"/>
              </w:rPr>
              <w:t>Dix pays ayant le plus consulté la base de données PLUTO en 2015</w:t>
            </w:r>
          </w:p>
          <w:p w:rsidR="0083792B" w:rsidRPr="00386CD6" w:rsidRDefault="0083792B" w:rsidP="0085651C">
            <w:pPr>
              <w:keepNext/>
              <w:rPr>
                <w:b/>
                <w:bCs/>
                <w:sz w:val="18"/>
                <w:szCs w:val="22"/>
              </w:rPr>
            </w:pPr>
          </w:p>
          <w:tbl>
            <w:tblPr>
              <w:tblW w:w="69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260"/>
              <w:gridCol w:w="1152"/>
            </w:tblGrid>
            <w:tr w:rsidR="0083792B" w:rsidRPr="00386CD6" w:rsidTr="0085651C">
              <w:trPr>
                <w:trHeight w:val="143"/>
              </w:trPr>
              <w:tc>
                <w:tcPr>
                  <w:tcW w:w="3354" w:type="dxa"/>
                  <w:vAlign w:val="bottom"/>
                </w:tcPr>
                <w:p w:rsidR="0083792B" w:rsidRPr="00386CD6" w:rsidRDefault="0083792B" w:rsidP="0085651C">
                  <w:pPr>
                    <w:autoSpaceDE w:val="0"/>
                    <w:autoSpaceDN w:val="0"/>
                    <w:adjustRightInd w:val="0"/>
                    <w:jc w:val="left"/>
                    <w:rPr>
                      <w:rFonts w:cs="Arial"/>
                      <w:sz w:val="18"/>
                      <w:szCs w:val="18"/>
                    </w:rPr>
                  </w:pPr>
                  <w:r w:rsidRPr="00386CD6">
                    <w:rPr>
                      <w:rFonts w:cs="Arial"/>
                      <w:bCs/>
                      <w:sz w:val="18"/>
                      <w:szCs w:val="18"/>
                    </w:rPr>
                    <w:t xml:space="preserve">Pays/territoire </w:t>
                  </w:r>
                </w:p>
              </w:tc>
              <w:tc>
                <w:tcPr>
                  <w:tcW w:w="1211" w:type="dxa"/>
                  <w:vAlign w:val="bottom"/>
                </w:tcPr>
                <w:p w:rsidR="0083792B" w:rsidRPr="00386CD6" w:rsidRDefault="0083792B" w:rsidP="0085651C">
                  <w:pPr>
                    <w:autoSpaceDE w:val="0"/>
                    <w:autoSpaceDN w:val="0"/>
                    <w:adjustRightInd w:val="0"/>
                    <w:jc w:val="center"/>
                    <w:rPr>
                      <w:rFonts w:cs="Arial"/>
                      <w:sz w:val="18"/>
                      <w:szCs w:val="18"/>
                    </w:rPr>
                  </w:pPr>
                  <w:r w:rsidRPr="00386CD6">
                    <w:rPr>
                      <w:rFonts w:cs="Arial"/>
                      <w:sz w:val="18"/>
                      <w:szCs w:val="18"/>
                    </w:rPr>
                    <w:t>Sessions</w:t>
                  </w:r>
                </w:p>
              </w:tc>
              <w:tc>
                <w:tcPr>
                  <w:tcW w:w="1260" w:type="dxa"/>
                  <w:vAlign w:val="bottom"/>
                </w:tcPr>
                <w:p w:rsidR="0083792B" w:rsidRPr="00386CD6" w:rsidRDefault="0083792B" w:rsidP="0085651C">
                  <w:pPr>
                    <w:autoSpaceDE w:val="0"/>
                    <w:autoSpaceDN w:val="0"/>
                    <w:adjustRightInd w:val="0"/>
                    <w:jc w:val="center"/>
                    <w:rPr>
                      <w:rFonts w:cs="Arial"/>
                      <w:bCs/>
                      <w:sz w:val="18"/>
                      <w:szCs w:val="18"/>
                    </w:rPr>
                  </w:pPr>
                  <w:r w:rsidRPr="00386CD6">
                    <w:rPr>
                      <w:rFonts w:cs="Arial"/>
                      <w:bCs/>
                      <w:sz w:val="18"/>
                      <w:szCs w:val="18"/>
                    </w:rPr>
                    <w:t>Pourcentage de nouvelles sessions</w:t>
                  </w:r>
                </w:p>
              </w:tc>
              <w:tc>
                <w:tcPr>
                  <w:tcW w:w="1152" w:type="dxa"/>
                  <w:vAlign w:val="bottom"/>
                </w:tcPr>
                <w:p w:rsidR="0083792B" w:rsidRPr="00386CD6" w:rsidRDefault="0083792B" w:rsidP="0085651C">
                  <w:pPr>
                    <w:autoSpaceDE w:val="0"/>
                    <w:autoSpaceDN w:val="0"/>
                    <w:adjustRightInd w:val="0"/>
                    <w:jc w:val="center"/>
                    <w:rPr>
                      <w:rFonts w:cs="Arial"/>
                      <w:bCs/>
                      <w:sz w:val="18"/>
                      <w:szCs w:val="18"/>
                    </w:rPr>
                  </w:pPr>
                  <w:r w:rsidRPr="00386CD6">
                    <w:rPr>
                      <w:rFonts w:cs="Arial"/>
                      <w:bCs/>
                      <w:sz w:val="18"/>
                      <w:szCs w:val="18"/>
                    </w:rPr>
                    <w:t>Nouveaux utilisateurs</w:t>
                  </w:r>
                </w:p>
              </w:tc>
            </w:tr>
            <w:tr w:rsidR="0083792B" w:rsidRPr="00386CD6" w:rsidTr="0085651C">
              <w:trPr>
                <w:trHeight w:val="142"/>
              </w:trPr>
              <w:tc>
                <w:tcPr>
                  <w:tcW w:w="3354" w:type="dxa"/>
                </w:tcPr>
                <w:p w:rsidR="0083792B" w:rsidRPr="00386CD6" w:rsidRDefault="0083792B" w:rsidP="0085651C">
                  <w:pPr>
                    <w:pStyle w:val="Default"/>
                    <w:rPr>
                      <w:color w:val="auto"/>
                      <w:sz w:val="18"/>
                      <w:szCs w:val="18"/>
                      <w:lang w:val="fr-FR"/>
                    </w:rPr>
                  </w:pPr>
                  <w:r w:rsidRPr="00386CD6">
                    <w:rPr>
                      <w:color w:val="auto"/>
                      <w:sz w:val="18"/>
                      <w:szCs w:val="18"/>
                      <w:lang w:val="fr-FR"/>
                    </w:rPr>
                    <w:t>États</w:t>
                  </w:r>
                  <w:r w:rsidRPr="00386CD6">
                    <w:rPr>
                      <w:color w:val="auto"/>
                      <w:sz w:val="18"/>
                      <w:szCs w:val="18"/>
                      <w:lang w:val="fr-FR"/>
                    </w:rPr>
                    <w:noBreakHyphen/>
                    <w:t>Unis d’Amérique</w:t>
                  </w:r>
                </w:p>
              </w:tc>
              <w:tc>
                <w:tcPr>
                  <w:tcW w:w="1211" w:type="dxa"/>
                </w:tcPr>
                <w:p w:rsidR="0083792B" w:rsidRPr="00386CD6" w:rsidRDefault="0083792B" w:rsidP="0085651C">
                  <w:pPr>
                    <w:pStyle w:val="Default"/>
                    <w:ind w:right="173"/>
                    <w:jc w:val="right"/>
                    <w:rPr>
                      <w:color w:val="auto"/>
                      <w:sz w:val="18"/>
                      <w:szCs w:val="18"/>
                      <w:lang w:val="fr-FR"/>
                    </w:rPr>
                  </w:pPr>
                  <w:r w:rsidRPr="00386CD6">
                    <w:rPr>
                      <w:color w:val="auto"/>
                      <w:sz w:val="18"/>
                      <w:szCs w:val="18"/>
                      <w:lang w:val="fr-FR"/>
                    </w:rPr>
                    <w:t>6735</w:t>
                  </w:r>
                </w:p>
              </w:tc>
              <w:tc>
                <w:tcPr>
                  <w:tcW w:w="1260" w:type="dxa"/>
                </w:tcPr>
                <w:p w:rsidR="0083792B" w:rsidRPr="00386CD6" w:rsidRDefault="0083792B" w:rsidP="0085651C">
                  <w:pPr>
                    <w:pStyle w:val="Default"/>
                    <w:jc w:val="center"/>
                    <w:rPr>
                      <w:color w:val="auto"/>
                      <w:sz w:val="18"/>
                      <w:szCs w:val="18"/>
                      <w:lang w:val="fr-FR"/>
                    </w:rPr>
                  </w:pPr>
                  <w:r w:rsidRPr="00386CD6">
                    <w:rPr>
                      <w:color w:val="auto"/>
                      <w:sz w:val="18"/>
                      <w:szCs w:val="18"/>
                      <w:lang w:val="fr-FR"/>
                    </w:rPr>
                    <w:t>19,60%</w:t>
                  </w:r>
                </w:p>
              </w:tc>
              <w:tc>
                <w:tcPr>
                  <w:tcW w:w="1152"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1320</w:t>
                  </w:r>
                </w:p>
              </w:tc>
            </w:tr>
            <w:tr w:rsidR="0083792B" w:rsidRPr="00386CD6" w:rsidTr="0085651C">
              <w:trPr>
                <w:trHeight w:val="148"/>
              </w:trPr>
              <w:tc>
                <w:tcPr>
                  <w:tcW w:w="3354" w:type="dxa"/>
                  <w:shd w:val="clear" w:color="auto" w:fill="auto"/>
                </w:tcPr>
                <w:p w:rsidR="0083792B" w:rsidRPr="00386CD6" w:rsidRDefault="0083792B" w:rsidP="0085651C">
                  <w:pPr>
                    <w:pStyle w:val="Default"/>
                    <w:rPr>
                      <w:color w:val="auto"/>
                      <w:sz w:val="18"/>
                      <w:szCs w:val="18"/>
                      <w:lang w:val="fr-FR"/>
                    </w:rPr>
                  </w:pPr>
                  <w:r w:rsidRPr="00386CD6">
                    <w:rPr>
                      <w:color w:val="auto"/>
                      <w:sz w:val="18"/>
                      <w:szCs w:val="18"/>
                      <w:lang w:val="fr-FR"/>
                    </w:rPr>
                    <w:t>Pays</w:t>
                  </w:r>
                  <w:r w:rsidRPr="00386CD6">
                    <w:rPr>
                      <w:color w:val="auto"/>
                      <w:sz w:val="18"/>
                      <w:szCs w:val="18"/>
                      <w:lang w:val="fr-FR"/>
                    </w:rPr>
                    <w:noBreakHyphen/>
                    <w:t xml:space="preserve">Bas </w:t>
                  </w:r>
                </w:p>
              </w:tc>
              <w:tc>
                <w:tcPr>
                  <w:tcW w:w="1211" w:type="dxa"/>
                  <w:shd w:val="clear" w:color="auto" w:fill="auto"/>
                </w:tcPr>
                <w:p w:rsidR="0083792B" w:rsidRPr="00386CD6" w:rsidRDefault="0083792B" w:rsidP="0085651C">
                  <w:pPr>
                    <w:pStyle w:val="Default"/>
                    <w:ind w:right="173"/>
                    <w:jc w:val="right"/>
                    <w:rPr>
                      <w:color w:val="auto"/>
                      <w:sz w:val="18"/>
                      <w:szCs w:val="18"/>
                      <w:lang w:val="fr-FR"/>
                    </w:rPr>
                  </w:pPr>
                  <w:r w:rsidRPr="00386CD6">
                    <w:rPr>
                      <w:color w:val="auto"/>
                      <w:sz w:val="18"/>
                      <w:szCs w:val="18"/>
                      <w:lang w:val="fr-FR"/>
                    </w:rPr>
                    <w:t>5118</w:t>
                  </w:r>
                </w:p>
              </w:tc>
              <w:tc>
                <w:tcPr>
                  <w:tcW w:w="1260" w:type="dxa"/>
                  <w:shd w:val="clear" w:color="auto" w:fill="auto"/>
                </w:tcPr>
                <w:p w:rsidR="0083792B" w:rsidRPr="00386CD6" w:rsidRDefault="0083792B" w:rsidP="0085651C">
                  <w:pPr>
                    <w:pStyle w:val="Default"/>
                    <w:jc w:val="center"/>
                    <w:rPr>
                      <w:color w:val="auto"/>
                      <w:sz w:val="18"/>
                      <w:szCs w:val="18"/>
                      <w:lang w:val="fr-FR"/>
                    </w:rPr>
                  </w:pPr>
                  <w:r w:rsidRPr="00386CD6">
                    <w:rPr>
                      <w:color w:val="auto"/>
                      <w:sz w:val="18"/>
                      <w:szCs w:val="18"/>
                      <w:lang w:val="fr-FR"/>
                    </w:rPr>
                    <w:t>18,87%</w:t>
                  </w:r>
                </w:p>
              </w:tc>
              <w:tc>
                <w:tcPr>
                  <w:tcW w:w="1152" w:type="dxa"/>
                  <w:shd w:val="clear" w:color="auto" w:fill="auto"/>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966</w:t>
                  </w:r>
                </w:p>
              </w:tc>
            </w:tr>
            <w:tr w:rsidR="0083792B" w:rsidRPr="00386CD6" w:rsidTr="0085651C">
              <w:trPr>
                <w:trHeight w:val="148"/>
              </w:trPr>
              <w:tc>
                <w:tcPr>
                  <w:tcW w:w="3354" w:type="dxa"/>
                </w:tcPr>
                <w:p w:rsidR="0083792B" w:rsidRPr="00386CD6" w:rsidRDefault="0083792B" w:rsidP="0085651C">
                  <w:pPr>
                    <w:pStyle w:val="Default"/>
                    <w:rPr>
                      <w:color w:val="auto"/>
                      <w:sz w:val="18"/>
                      <w:szCs w:val="18"/>
                      <w:lang w:val="fr-FR"/>
                    </w:rPr>
                  </w:pPr>
                  <w:r w:rsidRPr="00386CD6">
                    <w:rPr>
                      <w:color w:val="auto"/>
                      <w:sz w:val="18"/>
                      <w:szCs w:val="18"/>
                      <w:lang w:val="fr-FR"/>
                    </w:rPr>
                    <w:t xml:space="preserve">France </w:t>
                  </w:r>
                </w:p>
              </w:tc>
              <w:tc>
                <w:tcPr>
                  <w:tcW w:w="1211" w:type="dxa"/>
                </w:tcPr>
                <w:p w:rsidR="0083792B" w:rsidRPr="00386CD6" w:rsidRDefault="0083792B" w:rsidP="0085651C">
                  <w:pPr>
                    <w:pStyle w:val="Default"/>
                    <w:ind w:right="173"/>
                    <w:jc w:val="right"/>
                    <w:rPr>
                      <w:color w:val="auto"/>
                      <w:sz w:val="18"/>
                      <w:szCs w:val="18"/>
                      <w:lang w:val="fr-FR"/>
                    </w:rPr>
                  </w:pPr>
                  <w:r w:rsidRPr="00386CD6">
                    <w:rPr>
                      <w:color w:val="auto"/>
                      <w:sz w:val="18"/>
                      <w:szCs w:val="18"/>
                      <w:lang w:val="fr-FR"/>
                    </w:rPr>
                    <w:t>4311</w:t>
                  </w:r>
                </w:p>
              </w:tc>
              <w:tc>
                <w:tcPr>
                  <w:tcW w:w="1260" w:type="dxa"/>
                </w:tcPr>
                <w:p w:rsidR="0083792B" w:rsidRPr="00386CD6" w:rsidRDefault="0083792B" w:rsidP="0085651C">
                  <w:pPr>
                    <w:pStyle w:val="Default"/>
                    <w:jc w:val="center"/>
                    <w:rPr>
                      <w:color w:val="auto"/>
                      <w:sz w:val="18"/>
                      <w:szCs w:val="18"/>
                      <w:lang w:val="fr-FR"/>
                    </w:rPr>
                  </w:pPr>
                  <w:r w:rsidRPr="00386CD6">
                    <w:rPr>
                      <w:color w:val="auto"/>
                      <w:sz w:val="18"/>
                      <w:szCs w:val="18"/>
                      <w:lang w:val="fr-FR"/>
                    </w:rPr>
                    <w:t>26,47%</w:t>
                  </w:r>
                </w:p>
              </w:tc>
              <w:tc>
                <w:tcPr>
                  <w:tcW w:w="1152"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1141</w:t>
                  </w:r>
                </w:p>
              </w:tc>
            </w:tr>
            <w:tr w:rsidR="0083792B" w:rsidRPr="00386CD6" w:rsidTr="0085651C">
              <w:trPr>
                <w:trHeight w:val="142"/>
              </w:trPr>
              <w:tc>
                <w:tcPr>
                  <w:tcW w:w="3354" w:type="dxa"/>
                </w:tcPr>
                <w:p w:rsidR="0083792B" w:rsidRPr="00386CD6" w:rsidRDefault="0083792B" w:rsidP="0085651C">
                  <w:pPr>
                    <w:pStyle w:val="Default"/>
                    <w:rPr>
                      <w:color w:val="auto"/>
                      <w:sz w:val="18"/>
                      <w:szCs w:val="18"/>
                      <w:lang w:val="fr-FR"/>
                    </w:rPr>
                  </w:pPr>
                  <w:r w:rsidRPr="00386CD6">
                    <w:rPr>
                      <w:color w:val="auto"/>
                      <w:sz w:val="18"/>
                      <w:szCs w:val="18"/>
                      <w:lang w:val="fr-FR"/>
                    </w:rPr>
                    <w:t xml:space="preserve">Brésil </w:t>
                  </w:r>
                </w:p>
              </w:tc>
              <w:tc>
                <w:tcPr>
                  <w:tcW w:w="1211" w:type="dxa"/>
                </w:tcPr>
                <w:p w:rsidR="0083792B" w:rsidRPr="00386CD6" w:rsidRDefault="0083792B" w:rsidP="0085651C">
                  <w:pPr>
                    <w:pStyle w:val="Default"/>
                    <w:ind w:right="173"/>
                    <w:jc w:val="right"/>
                    <w:rPr>
                      <w:color w:val="auto"/>
                      <w:sz w:val="18"/>
                      <w:szCs w:val="18"/>
                      <w:lang w:val="fr-FR"/>
                    </w:rPr>
                  </w:pPr>
                  <w:r w:rsidRPr="00386CD6">
                    <w:rPr>
                      <w:color w:val="auto"/>
                      <w:sz w:val="18"/>
                      <w:szCs w:val="18"/>
                      <w:lang w:val="fr-FR"/>
                    </w:rPr>
                    <w:t>3991</w:t>
                  </w:r>
                </w:p>
              </w:tc>
              <w:tc>
                <w:tcPr>
                  <w:tcW w:w="1260" w:type="dxa"/>
                </w:tcPr>
                <w:p w:rsidR="0083792B" w:rsidRPr="00386CD6" w:rsidRDefault="0083792B" w:rsidP="0085651C">
                  <w:pPr>
                    <w:pStyle w:val="Default"/>
                    <w:jc w:val="center"/>
                    <w:rPr>
                      <w:color w:val="auto"/>
                      <w:sz w:val="18"/>
                      <w:szCs w:val="18"/>
                      <w:lang w:val="fr-FR"/>
                    </w:rPr>
                  </w:pPr>
                  <w:r w:rsidRPr="00386CD6">
                    <w:rPr>
                      <w:color w:val="auto"/>
                      <w:sz w:val="18"/>
                      <w:szCs w:val="18"/>
                      <w:lang w:val="fr-FR"/>
                    </w:rPr>
                    <w:t>18,92%</w:t>
                  </w:r>
                </w:p>
              </w:tc>
              <w:tc>
                <w:tcPr>
                  <w:tcW w:w="1152"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755</w:t>
                  </w:r>
                </w:p>
              </w:tc>
            </w:tr>
            <w:tr w:rsidR="0083792B" w:rsidRPr="00386CD6" w:rsidTr="0085651C">
              <w:trPr>
                <w:trHeight w:val="142"/>
              </w:trPr>
              <w:tc>
                <w:tcPr>
                  <w:tcW w:w="3354" w:type="dxa"/>
                </w:tcPr>
                <w:p w:rsidR="0083792B" w:rsidRPr="00386CD6" w:rsidRDefault="0083792B" w:rsidP="0085651C">
                  <w:pPr>
                    <w:pStyle w:val="Default"/>
                    <w:rPr>
                      <w:color w:val="auto"/>
                      <w:sz w:val="18"/>
                      <w:szCs w:val="18"/>
                      <w:lang w:val="fr-FR"/>
                    </w:rPr>
                  </w:pPr>
                  <w:r w:rsidRPr="00386CD6">
                    <w:rPr>
                      <w:color w:val="auto"/>
                      <w:sz w:val="18"/>
                      <w:szCs w:val="18"/>
                      <w:lang w:val="fr-FR"/>
                    </w:rPr>
                    <w:t xml:space="preserve">Australie </w:t>
                  </w:r>
                </w:p>
              </w:tc>
              <w:tc>
                <w:tcPr>
                  <w:tcW w:w="1211" w:type="dxa"/>
                </w:tcPr>
                <w:p w:rsidR="0083792B" w:rsidRPr="00386CD6" w:rsidRDefault="0083792B" w:rsidP="0085651C">
                  <w:pPr>
                    <w:pStyle w:val="Default"/>
                    <w:ind w:right="173"/>
                    <w:jc w:val="right"/>
                    <w:rPr>
                      <w:color w:val="auto"/>
                      <w:sz w:val="18"/>
                      <w:szCs w:val="18"/>
                      <w:lang w:val="fr-FR"/>
                    </w:rPr>
                  </w:pPr>
                  <w:r w:rsidRPr="00386CD6">
                    <w:rPr>
                      <w:color w:val="auto"/>
                      <w:sz w:val="18"/>
                      <w:szCs w:val="18"/>
                      <w:lang w:val="fr-FR"/>
                    </w:rPr>
                    <w:t>2893</w:t>
                  </w:r>
                </w:p>
              </w:tc>
              <w:tc>
                <w:tcPr>
                  <w:tcW w:w="1260" w:type="dxa"/>
                </w:tcPr>
                <w:p w:rsidR="0083792B" w:rsidRPr="00386CD6" w:rsidRDefault="0083792B" w:rsidP="0085651C">
                  <w:pPr>
                    <w:pStyle w:val="Default"/>
                    <w:jc w:val="center"/>
                    <w:rPr>
                      <w:color w:val="auto"/>
                      <w:sz w:val="18"/>
                      <w:szCs w:val="18"/>
                      <w:lang w:val="fr-FR"/>
                    </w:rPr>
                  </w:pPr>
                  <w:r w:rsidRPr="00386CD6">
                    <w:rPr>
                      <w:color w:val="auto"/>
                      <w:sz w:val="18"/>
                      <w:szCs w:val="18"/>
                      <w:lang w:val="fr-FR"/>
                    </w:rPr>
                    <w:t>12,03%</w:t>
                  </w:r>
                </w:p>
              </w:tc>
              <w:tc>
                <w:tcPr>
                  <w:tcW w:w="1152"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348</w:t>
                  </w:r>
                </w:p>
              </w:tc>
            </w:tr>
            <w:tr w:rsidR="0083792B" w:rsidRPr="00386CD6" w:rsidTr="0085651C">
              <w:trPr>
                <w:trHeight w:val="148"/>
              </w:trPr>
              <w:tc>
                <w:tcPr>
                  <w:tcW w:w="3354" w:type="dxa"/>
                </w:tcPr>
                <w:p w:rsidR="0083792B" w:rsidRPr="00386CD6" w:rsidRDefault="0083792B" w:rsidP="0085651C">
                  <w:pPr>
                    <w:pStyle w:val="Default"/>
                    <w:rPr>
                      <w:color w:val="auto"/>
                      <w:sz w:val="18"/>
                      <w:szCs w:val="18"/>
                      <w:lang w:val="fr-FR"/>
                    </w:rPr>
                  </w:pPr>
                  <w:r w:rsidRPr="00386CD6">
                    <w:rPr>
                      <w:color w:val="auto"/>
                      <w:sz w:val="18"/>
                      <w:szCs w:val="18"/>
                      <w:lang w:val="fr-FR"/>
                    </w:rPr>
                    <w:t xml:space="preserve">Ukraine </w:t>
                  </w:r>
                </w:p>
              </w:tc>
              <w:tc>
                <w:tcPr>
                  <w:tcW w:w="1211" w:type="dxa"/>
                </w:tcPr>
                <w:p w:rsidR="0083792B" w:rsidRPr="00386CD6" w:rsidRDefault="0083792B" w:rsidP="0085651C">
                  <w:pPr>
                    <w:pStyle w:val="Default"/>
                    <w:ind w:right="173"/>
                    <w:jc w:val="right"/>
                    <w:rPr>
                      <w:color w:val="auto"/>
                      <w:sz w:val="18"/>
                      <w:szCs w:val="18"/>
                      <w:lang w:val="fr-FR"/>
                    </w:rPr>
                  </w:pPr>
                  <w:r w:rsidRPr="00386CD6">
                    <w:rPr>
                      <w:color w:val="auto"/>
                      <w:sz w:val="18"/>
                      <w:szCs w:val="18"/>
                      <w:lang w:val="fr-FR"/>
                    </w:rPr>
                    <w:t>2753</w:t>
                  </w:r>
                </w:p>
              </w:tc>
              <w:tc>
                <w:tcPr>
                  <w:tcW w:w="1260" w:type="dxa"/>
                </w:tcPr>
                <w:p w:rsidR="0083792B" w:rsidRPr="00386CD6" w:rsidRDefault="0083792B" w:rsidP="0085651C">
                  <w:pPr>
                    <w:pStyle w:val="Default"/>
                    <w:jc w:val="center"/>
                    <w:rPr>
                      <w:color w:val="auto"/>
                      <w:sz w:val="18"/>
                      <w:szCs w:val="18"/>
                      <w:lang w:val="fr-FR"/>
                    </w:rPr>
                  </w:pPr>
                  <w:r w:rsidRPr="00386CD6">
                    <w:rPr>
                      <w:color w:val="auto"/>
                      <w:sz w:val="18"/>
                      <w:szCs w:val="18"/>
                      <w:lang w:val="fr-FR"/>
                    </w:rPr>
                    <w:t>13,04%</w:t>
                  </w:r>
                </w:p>
              </w:tc>
              <w:tc>
                <w:tcPr>
                  <w:tcW w:w="1152"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 xml:space="preserve">359 </w:t>
                  </w:r>
                </w:p>
              </w:tc>
            </w:tr>
            <w:tr w:rsidR="0083792B" w:rsidRPr="00386CD6" w:rsidTr="0085651C">
              <w:trPr>
                <w:trHeight w:val="148"/>
              </w:trPr>
              <w:tc>
                <w:tcPr>
                  <w:tcW w:w="3354" w:type="dxa"/>
                </w:tcPr>
                <w:p w:rsidR="0083792B" w:rsidRPr="00386CD6" w:rsidRDefault="0083792B" w:rsidP="0085651C">
                  <w:pPr>
                    <w:pStyle w:val="Default"/>
                    <w:rPr>
                      <w:color w:val="auto"/>
                      <w:sz w:val="18"/>
                      <w:szCs w:val="18"/>
                      <w:lang w:val="fr-FR"/>
                    </w:rPr>
                  </w:pPr>
                  <w:r w:rsidRPr="00386CD6">
                    <w:rPr>
                      <w:color w:val="auto"/>
                      <w:sz w:val="18"/>
                      <w:szCs w:val="18"/>
                      <w:lang w:val="fr-FR"/>
                    </w:rPr>
                    <w:t xml:space="preserve">Japon </w:t>
                  </w:r>
                </w:p>
              </w:tc>
              <w:tc>
                <w:tcPr>
                  <w:tcW w:w="1211" w:type="dxa"/>
                </w:tcPr>
                <w:p w:rsidR="0083792B" w:rsidRPr="00386CD6" w:rsidRDefault="0083792B" w:rsidP="0085651C">
                  <w:pPr>
                    <w:pStyle w:val="Default"/>
                    <w:ind w:right="173"/>
                    <w:jc w:val="right"/>
                    <w:rPr>
                      <w:color w:val="auto"/>
                      <w:sz w:val="18"/>
                      <w:szCs w:val="18"/>
                      <w:lang w:val="fr-FR"/>
                    </w:rPr>
                  </w:pPr>
                  <w:r w:rsidRPr="00386CD6">
                    <w:rPr>
                      <w:color w:val="auto"/>
                      <w:sz w:val="18"/>
                      <w:szCs w:val="18"/>
                      <w:lang w:val="fr-FR"/>
                    </w:rPr>
                    <w:t>2215</w:t>
                  </w:r>
                </w:p>
              </w:tc>
              <w:tc>
                <w:tcPr>
                  <w:tcW w:w="1260" w:type="dxa"/>
                </w:tcPr>
                <w:p w:rsidR="0083792B" w:rsidRPr="00386CD6" w:rsidRDefault="0083792B" w:rsidP="0085651C">
                  <w:pPr>
                    <w:pStyle w:val="Default"/>
                    <w:jc w:val="center"/>
                    <w:rPr>
                      <w:color w:val="auto"/>
                      <w:sz w:val="18"/>
                      <w:szCs w:val="18"/>
                      <w:lang w:val="fr-FR"/>
                    </w:rPr>
                  </w:pPr>
                  <w:r w:rsidRPr="00386CD6">
                    <w:rPr>
                      <w:color w:val="auto"/>
                      <w:sz w:val="18"/>
                      <w:szCs w:val="18"/>
                      <w:lang w:val="fr-FR"/>
                    </w:rPr>
                    <w:t>27,86%</w:t>
                  </w:r>
                </w:p>
              </w:tc>
              <w:tc>
                <w:tcPr>
                  <w:tcW w:w="1152"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617</w:t>
                  </w:r>
                </w:p>
              </w:tc>
            </w:tr>
            <w:tr w:rsidR="0083792B" w:rsidRPr="00386CD6" w:rsidTr="0085651C">
              <w:trPr>
                <w:trHeight w:val="142"/>
              </w:trPr>
              <w:tc>
                <w:tcPr>
                  <w:tcW w:w="3354" w:type="dxa"/>
                </w:tcPr>
                <w:p w:rsidR="0083792B" w:rsidRPr="00386CD6" w:rsidRDefault="0083792B" w:rsidP="0085651C">
                  <w:pPr>
                    <w:pStyle w:val="Default"/>
                    <w:rPr>
                      <w:color w:val="auto"/>
                      <w:sz w:val="18"/>
                      <w:szCs w:val="18"/>
                      <w:lang w:val="fr-FR"/>
                    </w:rPr>
                  </w:pPr>
                  <w:r w:rsidRPr="00386CD6">
                    <w:rPr>
                      <w:color w:val="auto"/>
                      <w:sz w:val="18"/>
                      <w:szCs w:val="18"/>
                      <w:lang w:val="fr-FR"/>
                    </w:rPr>
                    <w:t>Suisse</w:t>
                  </w:r>
                </w:p>
              </w:tc>
              <w:tc>
                <w:tcPr>
                  <w:tcW w:w="1211" w:type="dxa"/>
                </w:tcPr>
                <w:p w:rsidR="0083792B" w:rsidRPr="00386CD6" w:rsidRDefault="0083792B" w:rsidP="0085651C">
                  <w:pPr>
                    <w:pStyle w:val="Default"/>
                    <w:ind w:right="173"/>
                    <w:jc w:val="right"/>
                    <w:rPr>
                      <w:color w:val="auto"/>
                      <w:sz w:val="18"/>
                      <w:szCs w:val="18"/>
                      <w:lang w:val="fr-FR"/>
                    </w:rPr>
                  </w:pPr>
                  <w:r w:rsidRPr="00386CD6">
                    <w:rPr>
                      <w:color w:val="auto"/>
                      <w:sz w:val="18"/>
                      <w:szCs w:val="18"/>
                      <w:lang w:val="fr-FR"/>
                    </w:rPr>
                    <w:t>2143</w:t>
                  </w:r>
                </w:p>
              </w:tc>
              <w:tc>
                <w:tcPr>
                  <w:tcW w:w="1260" w:type="dxa"/>
                </w:tcPr>
                <w:p w:rsidR="0083792B" w:rsidRPr="00386CD6" w:rsidRDefault="0083792B" w:rsidP="0085651C">
                  <w:pPr>
                    <w:pStyle w:val="Default"/>
                    <w:jc w:val="center"/>
                    <w:rPr>
                      <w:color w:val="auto"/>
                      <w:sz w:val="18"/>
                      <w:szCs w:val="18"/>
                      <w:lang w:val="fr-FR"/>
                    </w:rPr>
                  </w:pPr>
                  <w:r w:rsidRPr="00386CD6">
                    <w:rPr>
                      <w:color w:val="auto"/>
                      <w:sz w:val="18"/>
                      <w:szCs w:val="18"/>
                      <w:lang w:val="fr-FR"/>
                    </w:rPr>
                    <w:t>24,31%</w:t>
                  </w:r>
                </w:p>
              </w:tc>
              <w:tc>
                <w:tcPr>
                  <w:tcW w:w="1152"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521</w:t>
                  </w:r>
                </w:p>
              </w:tc>
            </w:tr>
            <w:tr w:rsidR="0083792B" w:rsidRPr="00386CD6" w:rsidTr="0085651C">
              <w:trPr>
                <w:trHeight w:val="142"/>
              </w:trPr>
              <w:tc>
                <w:tcPr>
                  <w:tcW w:w="3354" w:type="dxa"/>
                </w:tcPr>
                <w:p w:rsidR="0083792B" w:rsidRPr="00386CD6" w:rsidRDefault="0083792B" w:rsidP="0085651C">
                  <w:pPr>
                    <w:pStyle w:val="Default"/>
                    <w:rPr>
                      <w:color w:val="auto"/>
                      <w:sz w:val="18"/>
                      <w:szCs w:val="18"/>
                      <w:lang w:val="fr-FR"/>
                    </w:rPr>
                  </w:pPr>
                  <w:r w:rsidRPr="00386CD6">
                    <w:rPr>
                      <w:color w:val="auto"/>
                      <w:sz w:val="18"/>
                      <w:szCs w:val="18"/>
                      <w:lang w:val="fr-FR"/>
                    </w:rPr>
                    <w:t>Nouvelle</w:t>
                  </w:r>
                  <w:r w:rsidRPr="00386CD6">
                    <w:rPr>
                      <w:color w:val="auto"/>
                      <w:sz w:val="18"/>
                      <w:szCs w:val="18"/>
                      <w:lang w:val="fr-FR"/>
                    </w:rPr>
                    <w:noBreakHyphen/>
                    <w:t>Zélande</w:t>
                  </w:r>
                </w:p>
              </w:tc>
              <w:tc>
                <w:tcPr>
                  <w:tcW w:w="1211" w:type="dxa"/>
                </w:tcPr>
                <w:p w:rsidR="0083792B" w:rsidRPr="00386CD6" w:rsidRDefault="0083792B" w:rsidP="0085651C">
                  <w:pPr>
                    <w:pStyle w:val="Default"/>
                    <w:ind w:right="173"/>
                    <w:jc w:val="right"/>
                    <w:rPr>
                      <w:color w:val="auto"/>
                      <w:sz w:val="18"/>
                      <w:szCs w:val="18"/>
                      <w:lang w:val="fr-FR"/>
                    </w:rPr>
                  </w:pPr>
                  <w:r w:rsidRPr="00386CD6">
                    <w:rPr>
                      <w:color w:val="auto"/>
                      <w:sz w:val="18"/>
                      <w:szCs w:val="18"/>
                      <w:lang w:val="fr-FR"/>
                    </w:rPr>
                    <w:t>1940</w:t>
                  </w:r>
                </w:p>
              </w:tc>
              <w:tc>
                <w:tcPr>
                  <w:tcW w:w="1260" w:type="dxa"/>
                </w:tcPr>
                <w:p w:rsidR="0083792B" w:rsidRPr="00386CD6" w:rsidRDefault="0083792B" w:rsidP="0085651C">
                  <w:pPr>
                    <w:pStyle w:val="Default"/>
                    <w:jc w:val="center"/>
                    <w:rPr>
                      <w:color w:val="auto"/>
                      <w:sz w:val="18"/>
                      <w:szCs w:val="18"/>
                      <w:lang w:val="fr-FR"/>
                    </w:rPr>
                  </w:pPr>
                  <w:r w:rsidRPr="00386CD6">
                    <w:rPr>
                      <w:color w:val="auto"/>
                      <w:sz w:val="18"/>
                      <w:szCs w:val="18"/>
                      <w:lang w:val="fr-FR"/>
                    </w:rPr>
                    <w:t>10,67%</w:t>
                  </w:r>
                </w:p>
              </w:tc>
              <w:tc>
                <w:tcPr>
                  <w:tcW w:w="1152"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207</w:t>
                  </w:r>
                </w:p>
              </w:tc>
            </w:tr>
            <w:tr w:rsidR="0083792B" w:rsidRPr="00386CD6" w:rsidTr="0085651C">
              <w:trPr>
                <w:trHeight w:val="148"/>
              </w:trPr>
              <w:tc>
                <w:tcPr>
                  <w:tcW w:w="3354" w:type="dxa"/>
                </w:tcPr>
                <w:p w:rsidR="0083792B" w:rsidRPr="00386CD6" w:rsidRDefault="0083792B" w:rsidP="0085651C">
                  <w:pPr>
                    <w:pStyle w:val="Default"/>
                    <w:rPr>
                      <w:color w:val="auto"/>
                      <w:sz w:val="18"/>
                      <w:szCs w:val="18"/>
                      <w:lang w:val="fr-FR"/>
                    </w:rPr>
                  </w:pPr>
                  <w:r w:rsidRPr="00386CD6">
                    <w:rPr>
                      <w:color w:val="auto"/>
                      <w:sz w:val="18"/>
                      <w:szCs w:val="18"/>
                      <w:lang w:val="fr-FR"/>
                    </w:rPr>
                    <w:t xml:space="preserve">Fédération de Russie </w:t>
                  </w:r>
                </w:p>
              </w:tc>
              <w:tc>
                <w:tcPr>
                  <w:tcW w:w="1211" w:type="dxa"/>
                </w:tcPr>
                <w:p w:rsidR="0083792B" w:rsidRPr="00386CD6" w:rsidRDefault="0083792B" w:rsidP="0085651C">
                  <w:pPr>
                    <w:pStyle w:val="Default"/>
                    <w:ind w:right="173"/>
                    <w:jc w:val="right"/>
                    <w:rPr>
                      <w:color w:val="auto"/>
                      <w:sz w:val="18"/>
                      <w:szCs w:val="18"/>
                      <w:lang w:val="fr-FR"/>
                    </w:rPr>
                  </w:pPr>
                  <w:r w:rsidRPr="00386CD6">
                    <w:rPr>
                      <w:color w:val="auto"/>
                      <w:sz w:val="18"/>
                      <w:szCs w:val="18"/>
                      <w:lang w:val="fr-FR"/>
                    </w:rPr>
                    <w:t>1803</w:t>
                  </w:r>
                </w:p>
              </w:tc>
              <w:tc>
                <w:tcPr>
                  <w:tcW w:w="1260" w:type="dxa"/>
                </w:tcPr>
                <w:p w:rsidR="0083792B" w:rsidRPr="00386CD6" w:rsidRDefault="0083792B" w:rsidP="0085651C">
                  <w:pPr>
                    <w:pStyle w:val="Default"/>
                    <w:jc w:val="center"/>
                    <w:rPr>
                      <w:color w:val="auto"/>
                      <w:sz w:val="18"/>
                      <w:szCs w:val="18"/>
                      <w:lang w:val="fr-FR"/>
                    </w:rPr>
                  </w:pPr>
                  <w:r w:rsidRPr="00386CD6">
                    <w:rPr>
                      <w:color w:val="auto"/>
                      <w:sz w:val="18"/>
                      <w:szCs w:val="18"/>
                      <w:lang w:val="fr-FR"/>
                    </w:rPr>
                    <w:t>12,26%</w:t>
                  </w:r>
                </w:p>
              </w:tc>
              <w:tc>
                <w:tcPr>
                  <w:tcW w:w="1152" w:type="dxa"/>
                </w:tcPr>
                <w:p w:rsidR="0083792B" w:rsidRPr="00386CD6" w:rsidRDefault="0083792B" w:rsidP="0085651C">
                  <w:pPr>
                    <w:pStyle w:val="Default"/>
                    <w:ind w:right="176"/>
                    <w:jc w:val="right"/>
                    <w:rPr>
                      <w:color w:val="auto"/>
                      <w:sz w:val="18"/>
                      <w:szCs w:val="18"/>
                      <w:lang w:val="fr-FR"/>
                    </w:rPr>
                  </w:pPr>
                  <w:r w:rsidRPr="00386CD6">
                    <w:rPr>
                      <w:color w:val="auto"/>
                      <w:sz w:val="18"/>
                      <w:szCs w:val="18"/>
                      <w:lang w:val="fr-FR"/>
                    </w:rPr>
                    <w:t>221</w:t>
                  </w:r>
                </w:p>
              </w:tc>
            </w:tr>
          </w:tbl>
          <w:p w:rsidR="0083792B" w:rsidRPr="00386CD6" w:rsidRDefault="0083792B" w:rsidP="0085651C">
            <w:pPr>
              <w:keepNext/>
              <w:rPr>
                <w:sz w:val="14"/>
                <w:szCs w:val="18"/>
              </w:rPr>
            </w:pPr>
          </w:p>
          <w:p w:rsidR="0083792B" w:rsidRPr="00386CD6" w:rsidRDefault="0083792B" w:rsidP="0085651C"/>
        </w:tc>
      </w:tr>
    </w:tbl>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rPr>
          <w:cantSplit/>
        </w:trPr>
        <w:tc>
          <w:tcPr>
            <w:tcW w:w="1951" w:type="dxa"/>
            <w:shd w:val="clear" w:color="auto" w:fill="auto"/>
          </w:tcPr>
          <w:p w:rsidR="0083792B" w:rsidRPr="00386CD6" w:rsidRDefault="0083792B" w:rsidP="0085651C">
            <w:pPr>
              <w:jc w:val="left"/>
              <w:rPr>
                <w:sz w:val="18"/>
              </w:rPr>
            </w:pPr>
          </w:p>
        </w:tc>
        <w:tc>
          <w:tcPr>
            <w:tcW w:w="7938" w:type="dxa"/>
            <w:shd w:val="clear" w:color="auto" w:fill="auto"/>
          </w:tcPr>
          <w:p w:rsidR="0083792B" w:rsidRPr="00386CD6" w:rsidRDefault="0083792B" w:rsidP="008B401F">
            <w:pPr>
              <w:pStyle w:val="Heading8"/>
              <w:tabs>
                <w:tab w:val="left" w:pos="353"/>
              </w:tabs>
              <w:rPr>
                <w:szCs w:val="18"/>
              </w:rPr>
            </w:pPr>
            <w:bookmarkStart w:id="97" w:name="_Toc464487571"/>
            <w:bookmarkStart w:id="98" w:name="_Toc465100059"/>
            <w:r w:rsidRPr="00386CD6">
              <w:rPr>
                <w:szCs w:val="18"/>
              </w:rPr>
              <w:t>d)</w:t>
            </w:r>
            <w:r w:rsidRPr="00386CD6">
              <w:rPr>
                <w:szCs w:val="18"/>
              </w:rPr>
              <w:tab/>
              <w:t>Qualité et exhaustivité des données contenues dans la base de données sur les variétés végétales et qualité du dispositif de recherche;  et moyens d’accès aux autres données pertinentes</w:t>
            </w:r>
            <w:bookmarkEnd w:id="97"/>
            <w:bookmarkEnd w:id="98"/>
          </w:p>
          <w:p w:rsidR="0083792B" w:rsidRPr="00386CD6" w:rsidRDefault="0083792B" w:rsidP="0085651C">
            <w:pPr>
              <w:tabs>
                <w:tab w:val="left" w:pos="176"/>
                <w:tab w:val="left" w:pos="2302"/>
              </w:tabs>
              <w:spacing w:after="120"/>
              <w:ind w:left="459" w:hanging="459"/>
              <w:jc w:val="left"/>
              <w:rPr>
                <w:sz w:val="18"/>
                <w:szCs w:val="18"/>
              </w:rPr>
            </w:pPr>
            <w:r w:rsidRPr="00386CD6">
              <w:rPr>
                <w:sz w:val="18"/>
                <w:szCs w:val="18"/>
              </w:rPr>
              <w:noBreakHyphen/>
              <w:t xml:space="preserve"> </w:t>
            </w:r>
            <w:r w:rsidRPr="00386CD6">
              <w:rPr>
                <w:sz w:val="18"/>
                <w:szCs w:val="18"/>
              </w:rPr>
              <w:tab/>
              <w:t>Nombre total de fichiers figurant dans la base de données PLUTO à la fin de </w:t>
            </w:r>
            <w:r w:rsidRPr="00386CD6">
              <w:rPr>
                <w:sz w:val="18"/>
                <w:szCs w:val="18"/>
                <w:lang w:eastAsia="ja-JP"/>
              </w:rPr>
              <w:t>2015</w:t>
            </w:r>
            <w:r w:rsidRPr="00386CD6">
              <w:rPr>
                <w:sz w:val="18"/>
                <w:szCs w:val="18"/>
              </w:rPr>
              <w:t> :</w:t>
            </w:r>
            <w:r w:rsidRPr="00386CD6">
              <w:rPr>
                <w:sz w:val="18"/>
                <w:szCs w:val="18"/>
              </w:rPr>
              <w:br/>
            </w:r>
            <w:r w:rsidRPr="00386CD6">
              <w:rPr>
                <w:sz w:val="18"/>
                <w:szCs w:val="18"/>
                <w:lang w:eastAsia="ja-JP"/>
              </w:rPr>
              <w:t>723 783</w:t>
            </w:r>
            <w:r w:rsidRPr="00386CD6">
              <w:rPr>
                <w:sz w:val="18"/>
                <w:szCs w:val="18"/>
              </w:rPr>
              <w:t xml:space="preserve"> (</w:t>
            </w:r>
            <w:r w:rsidRPr="00386CD6">
              <w:rPr>
                <w:sz w:val="18"/>
                <w:szCs w:val="18"/>
                <w:lang w:eastAsia="ja-JP"/>
              </w:rPr>
              <w:t>688 541 à la fin de 2014</w:t>
            </w:r>
            <w:r w:rsidRPr="00386CD6">
              <w:rPr>
                <w:sz w:val="18"/>
                <w:szCs w:val="18"/>
              </w:rPr>
              <w:t>)</w:t>
            </w:r>
          </w:p>
          <w:p w:rsidR="0083792B" w:rsidRPr="00386CD6" w:rsidRDefault="0083792B" w:rsidP="0085651C">
            <w:pPr>
              <w:tabs>
                <w:tab w:val="left" w:pos="176"/>
              </w:tabs>
              <w:ind w:left="176" w:hanging="176"/>
              <w:jc w:val="left"/>
              <w:rPr>
                <w:sz w:val="18"/>
                <w:szCs w:val="18"/>
              </w:rPr>
            </w:pPr>
            <w:r w:rsidRPr="00386CD6">
              <w:rPr>
                <w:sz w:val="18"/>
                <w:szCs w:val="18"/>
              </w:rPr>
              <w:noBreakHyphen/>
              <w:t xml:space="preserve"> </w:t>
            </w:r>
            <w:r w:rsidRPr="00386CD6">
              <w:rPr>
                <w:sz w:val="18"/>
                <w:szCs w:val="18"/>
              </w:rPr>
              <w:tab/>
              <w:t>Nombre de présentations de nouvelles données en 201</w:t>
            </w:r>
            <w:r w:rsidRPr="00386CD6">
              <w:rPr>
                <w:sz w:val="18"/>
                <w:szCs w:val="18"/>
                <w:lang w:eastAsia="ja-JP"/>
              </w:rPr>
              <w:t>5</w:t>
            </w:r>
            <w:r w:rsidRPr="00386CD6">
              <w:rPr>
                <w:sz w:val="18"/>
                <w:szCs w:val="18"/>
              </w:rPr>
              <w:t> :</w:t>
            </w:r>
          </w:p>
          <w:p w:rsidR="0083792B" w:rsidRPr="00386CD6" w:rsidRDefault="0083792B" w:rsidP="0085651C">
            <w:pPr>
              <w:spacing w:after="120"/>
              <w:ind w:left="459" w:hanging="459"/>
              <w:jc w:val="left"/>
              <w:rPr>
                <w:sz w:val="18"/>
                <w:szCs w:val="18"/>
              </w:rPr>
            </w:pPr>
            <w:r w:rsidRPr="00386CD6">
              <w:rPr>
                <w:sz w:val="18"/>
                <w:szCs w:val="18"/>
              </w:rPr>
              <w:tab/>
            </w:r>
            <w:r w:rsidRPr="00386CD6">
              <w:rPr>
                <w:sz w:val="18"/>
                <w:szCs w:val="18"/>
                <w:lang w:eastAsia="ja-JP"/>
              </w:rPr>
              <w:t>2</w:t>
            </w:r>
            <w:r w:rsidR="00E01D2B">
              <w:rPr>
                <w:sz w:val="18"/>
                <w:szCs w:val="18"/>
                <w:lang w:eastAsia="ja-JP"/>
              </w:rPr>
              <w:t>11</w:t>
            </w:r>
            <w:r w:rsidRPr="00386CD6">
              <w:rPr>
                <w:sz w:val="18"/>
                <w:szCs w:val="18"/>
              </w:rPr>
              <w:t xml:space="preserve"> (</w:t>
            </w:r>
            <w:r w:rsidRPr="00386CD6">
              <w:rPr>
                <w:sz w:val="18"/>
                <w:szCs w:val="18"/>
                <w:lang w:eastAsia="ja-JP"/>
              </w:rPr>
              <w:t>175</w:t>
            </w:r>
            <w:r w:rsidRPr="00386CD6">
              <w:rPr>
                <w:sz w:val="18"/>
                <w:szCs w:val="18"/>
              </w:rPr>
              <w:t xml:space="preserve"> en </w:t>
            </w:r>
            <w:r w:rsidRPr="00386CD6">
              <w:rPr>
                <w:sz w:val="18"/>
                <w:szCs w:val="18"/>
                <w:lang w:eastAsia="ja-JP"/>
              </w:rPr>
              <w:t>2014</w:t>
            </w:r>
            <w:r w:rsidRPr="00386CD6">
              <w:rPr>
                <w:sz w:val="18"/>
                <w:szCs w:val="18"/>
              </w:rPr>
              <w:t>)</w:t>
            </w:r>
          </w:p>
          <w:p w:rsidR="0083792B" w:rsidRPr="00386CD6" w:rsidRDefault="0083792B" w:rsidP="0085651C">
            <w:pPr>
              <w:tabs>
                <w:tab w:val="left" w:pos="176"/>
              </w:tabs>
              <w:spacing w:after="120"/>
              <w:ind w:left="459" w:hanging="459"/>
              <w:jc w:val="left"/>
              <w:rPr>
                <w:sz w:val="18"/>
                <w:szCs w:val="18"/>
              </w:rPr>
            </w:pPr>
            <w:r w:rsidRPr="00386CD6">
              <w:rPr>
                <w:sz w:val="18"/>
                <w:szCs w:val="18"/>
              </w:rPr>
              <w:noBreakHyphen/>
              <w:t xml:space="preserve"> </w:t>
            </w:r>
            <w:r w:rsidRPr="00386CD6">
              <w:rPr>
                <w:sz w:val="18"/>
                <w:szCs w:val="18"/>
              </w:rPr>
              <w:tab/>
              <w:t>Nombre de contributeurs figurant dans la base de données PLUTO à la fin de 201</w:t>
            </w:r>
            <w:r w:rsidRPr="00386CD6">
              <w:rPr>
                <w:sz w:val="18"/>
                <w:szCs w:val="18"/>
                <w:lang w:eastAsia="ja-JP"/>
              </w:rPr>
              <w:t>5</w:t>
            </w:r>
            <w:r w:rsidRPr="00386CD6">
              <w:rPr>
                <w:sz w:val="18"/>
                <w:szCs w:val="18"/>
              </w:rPr>
              <w:t> :</w:t>
            </w:r>
            <w:r w:rsidRPr="00386CD6">
              <w:rPr>
                <w:sz w:val="18"/>
                <w:szCs w:val="18"/>
              </w:rPr>
              <w:br/>
              <w:t>58 (58 en 201</w:t>
            </w:r>
            <w:r w:rsidRPr="00386CD6">
              <w:rPr>
                <w:sz w:val="18"/>
                <w:szCs w:val="18"/>
                <w:lang w:eastAsia="ja-JP"/>
              </w:rPr>
              <w:t>4</w:t>
            </w:r>
            <w:r w:rsidRPr="00386CD6">
              <w:rPr>
                <w:sz w:val="18"/>
                <w:szCs w:val="18"/>
              </w:rPr>
              <w:t>)</w:t>
            </w:r>
          </w:p>
          <w:p w:rsidR="0083792B" w:rsidRPr="00386CD6" w:rsidRDefault="0083792B" w:rsidP="0085651C">
            <w:pPr>
              <w:tabs>
                <w:tab w:val="left" w:pos="176"/>
                <w:tab w:val="left" w:pos="2302"/>
              </w:tabs>
              <w:spacing w:after="120"/>
              <w:ind w:left="459" w:hanging="459"/>
              <w:jc w:val="left"/>
              <w:rPr>
                <w:szCs w:val="18"/>
                <w:lang w:eastAsia="ja-JP"/>
              </w:rPr>
            </w:pPr>
            <w:r w:rsidRPr="00386CD6">
              <w:rPr>
                <w:sz w:val="18"/>
                <w:szCs w:val="18"/>
              </w:rPr>
              <w:noBreakHyphen/>
              <w:t xml:space="preserve"> </w:t>
            </w:r>
            <w:r w:rsidRPr="00386CD6">
              <w:rPr>
                <w:sz w:val="18"/>
                <w:szCs w:val="18"/>
              </w:rPr>
              <w:tab/>
              <w:t>Nombre de membres de l’Union qui ont fourni des données en 201</w:t>
            </w:r>
            <w:r w:rsidRPr="00386CD6">
              <w:rPr>
                <w:sz w:val="18"/>
                <w:szCs w:val="18"/>
                <w:lang w:eastAsia="ja-JP"/>
              </w:rPr>
              <w:t>5</w:t>
            </w:r>
            <w:r w:rsidRPr="00386CD6">
              <w:rPr>
                <w:sz w:val="18"/>
                <w:szCs w:val="18"/>
              </w:rPr>
              <w:t> :</w:t>
            </w:r>
            <w:r w:rsidRPr="00386CD6">
              <w:rPr>
                <w:sz w:val="18"/>
                <w:szCs w:val="18"/>
              </w:rPr>
              <w:br/>
            </w:r>
            <w:r w:rsidRPr="00386CD6">
              <w:rPr>
                <w:sz w:val="18"/>
                <w:szCs w:val="18"/>
                <w:lang w:eastAsia="ja-JP"/>
              </w:rPr>
              <w:t>4</w:t>
            </w:r>
            <w:r w:rsidR="00E01D2B">
              <w:rPr>
                <w:sz w:val="18"/>
                <w:szCs w:val="18"/>
                <w:lang w:eastAsia="ja-JP"/>
              </w:rPr>
              <w:t>4</w:t>
            </w:r>
            <w:r w:rsidRPr="00386CD6">
              <w:rPr>
                <w:sz w:val="18"/>
                <w:szCs w:val="18"/>
              </w:rPr>
              <w:t xml:space="preserve"> (4</w:t>
            </w:r>
            <w:r w:rsidRPr="00386CD6">
              <w:rPr>
                <w:sz w:val="18"/>
                <w:szCs w:val="18"/>
                <w:lang w:eastAsia="ja-JP"/>
              </w:rPr>
              <w:t>8</w:t>
            </w:r>
            <w:r w:rsidRPr="00386CD6">
              <w:rPr>
                <w:sz w:val="18"/>
                <w:szCs w:val="18"/>
              </w:rPr>
              <w:t xml:space="preserve"> en 201</w:t>
            </w:r>
            <w:r w:rsidRPr="00386CD6">
              <w:rPr>
                <w:sz w:val="18"/>
                <w:szCs w:val="18"/>
                <w:lang w:eastAsia="ja-JP"/>
              </w:rPr>
              <w:t>4</w:t>
            </w:r>
            <w:r w:rsidRPr="00386CD6">
              <w:rPr>
                <w:sz w:val="18"/>
                <w:szCs w:val="18"/>
              </w:rPr>
              <w:t>)</w:t>
            </w:r>
          </w:p>
          <w:p w:rsidR="0083792B" w:rsidRPr="00386CD6" w:rsidRDefault="0083792B" w:rsidP="0085651C">
            <w:pPr>
              <w:tabs>
                <w:tab w:val="left" w:pos="176"/>
              </w:tabs>
              <w:spacing w:after="120"/>
              <w:ind w:left="459" w:hanging="459"/>
              <w:jc w:val="left"/>
              <w:rPr>
                <w:sz w:val="18"/>
                <w:szCs w:val="18"/>
                <w:lang w:eastAsia="ja-JP"/>
              </w:rPr>
            </w:pPr>
            <w:r w:rsidRPr="00386CD6">
              <w:rPr>
                <w:sz w:val="18"/>
                <w:szCs w:val="18"/>
              </w:rPr>
              <w:noBreakHyphen/>
              <w:t xml:space="preserve"> </w:t>
            </w:r>
            <w:r w:rsidRPr="00386CD6">
              <w:rPr>
                <w:sz w:val="18"/>
                <w:szCs w:val="18"/>
              </w:rPr>
              <w:tab/>
              <w:t>Nombre de membres de l’Union qui ont fourni des données pour la première fois en 201</w:t>
            </w:r>
            <w:r w:rsidRPr="00386CD6">
              <w:rPr>
                <w:sz w:val="18"/>
                <w:szCs w:val="18"/>
                <w:lang w:eastAsia="ja-JP"/>
              </w:rPr>
              <w:t>5</w:t>
            </w:r>
            <w:r w:rsidRPr="00386CD6">
              <w:rPr>
                <w:sz w:val="18"/>
                <w:szCs w:val="18"/>
              </w:rPr>
              <w:t> :</w:t>
            </w:r>
            <w:r w:rsidRPr="00386CD6">
              <w:rPr>
                <w:sz w:val="18"/>
                <w:szCs w:val="18"/>
              </w:rPr>
              <w:br/>
              <w:t>0 (</w:t>
            </w:r>
            <w:r w:rsidRPr="00386CD6">
              <w:rPr>
                <w:sz w:val="18"/>
                <w:szCs w:val="18"/>
                <w:lang w:eastAsia="ja-JP"/>
              </w:rPr>
              <w:t>2</w:t>
            </w:r>
            <w:r w:rsidRPr="00386CD6">
              <w:rPr>
                <w:sz w:val="18"/>
                <w:szCs w:val="18"/>
              </w:rPr>
              <w:t xml:space="preserve"> en 201</w:t>
            </w:r>
            <w:r w:rsidRPr="00386CD6">
              <w:rPr>
                <w:sz w:val="18"/>
                <w:szCs w:val="18"/>
                <w:lang w:eastAsia="ja-JP"/>
              </w:rPr>
              <w:t>4</w:t>
            </w:r>
            <w:r w:rsidRPr="00386CD6">
              <w:rPr>
                <w:sz w:val="18"/>
                <w:szCs w:val="18"/>
              </w:rPr>
              <w:t>)</w:t>
            </w:r>
          </w:p>
          <w:p w:rsidR="0083792B" w:rsidRPr="00386CD6" w:rsidRDefault="0083792B" w:rsidP="0085651C">
            <w:pPr>
              <w:tabs>
                <w:tab w:val="left" w:pos="176"/>
              </w:tabs>
              <w:spacing w:after="240"/>
              <w:ind w:left="459" w:hanging="459"/>
              <w:jc w:val="left"/>
              <w:rPr>
                <w:sz w:val="18"/>
                <w:szCs w:val="18"/>
              </w:rPr>
            </w:pPr>
            <w:r w:rsidRPr="00386CD6">
              <w:rPr>
                <w:sz w:val="18"/>
                <w:szCs w:val="18"/>
              </w:rPr>
              <w:noBreakHyphen/>
              <w:t xml:space="preserve"> </w:t>
            </w:r>
            <w:r w:rsidRPr="00386CD6">
              <w:rPr>
                <w:sz w:val="18"/>
                <w:szCs w:val="18"/>
              </w:rPr>
              <w:tab/>
              <w:t>Nombre d’autres contributeurs ayant fourni des données en </w:t>
            </w:r>
            <w:r w:rsidRPr="00386CD6">
              <w:rPr>
                <w:sz w:val="18"/>
                <w:szCs w:val="18"/>
                <w:lang w:eastAsia="ja-JP"/>
              </w:rPr>
              <w:t>2015</w:t>
            </w:r>
            <w:r w:rsidRPr="00386CD6">
              <w:rPr>
                <w:sz w:val="18"/>
                <w:szCs w:val="18"/>
              </w:rPr>
              <w:t> :</w:t>
            </w:r>
            <w:r w:rsidRPr="00386CD6">
              <w:rPr>
                <w:sz w:val="18"/>
                <w:szCs w:val="18"/>
              </w:rPr>
              <w:br/>
            </w:r>
            <w:r w:rsidRPr="00386CD6">
              <w:rPr>
                <w:sz w:val="18"/>
                <w:szCs w:val="18"/>
                <w:lang w:eastAsia="ja-JP"/>
              </w:rPr>
              <w:t>0</w:t>
            </w:r>
            <w:r w:rsidRPr="00386CD6">
              <w:rPr>
                <w:sz w:val="18"/>
                <w:szCs w:val="18"/>
              </w:rPr>
              <w:t xml:space="preserve"> (1 en 201</w:t>
            </w:r>
            <w:r w:rsidRPr="00386CD6">
              <w:rPr>
                <w:sz w:val="18"/>
                <w:szCs w:val="18"/>
                <w:lang w:eastAsia="ja-JP"/>
              </w:rPr>
              <w:t>4</w:t>
            </w:r>
            <w:r w:rsidRPr="00386CD6">
              <w:rPr>
                <w:sz w:val="18"/>
                <w:szCs w:val="18"/>
              </w:rPr>
              <w:t>)</w:t>
            </w:r>
          </w:p>
          <w:p w:rsidR="0083792B" w:rsidRPr="00386CD6" w:rsidRDefault="0083792B" w:rsidP="0085651C">
            <w:pPr>
              <w:jc w:val="left"/>
              <w:rPr>
                <w:sz w:val="18"/>
                <w:szCs w:val="18"/>
                <w:lang w:eastAsia="ja-JP"/>
              </w:rPr>
            </w:pPr>
            <w:r w:rsidRPr="00386CD6">
              <w:rPr>
                <w:sz w:val="18"/>
                <w:szCs w:val="18"/>
                <w:lang w:eastAsia="ja-JP"/>
              </w:rPr>
              <w:t>Faits nouveaux concernant la base de données sur les variétés végétales (base de données PLUTO) :</w:t>
            </w:r>
          </w:p>
          <w:p w:rsidR="0083792B" w:rsidRPr="00386CD6" w:rsidRDefault="0083792B" w:rsidP="0085651C">
            <w:pPr>
              <w:pStyle w:val="ListParagraph"/>
              <w:numPr>
                <w:ilvl w:val="0"/>
                <w:numId w:val="9"/>
              </w:numPr>
              <w:tabs>
                <w:tab w:val="clear" w:pos="1209"/>
              </w:tabs>
              <w:ind w:left="601"/>
              <w:jc w:val="left"/>
              <w:rPr>
                <w:sz w:val="18"/>
                <w:szCs w:val="18"/>
                <w:lang w:eastAsia="ja-JP"/>
              </w:rPr>
            </w:pPr>
            <w:r w:rsidRPr="00386CD6">
              <w:rPr>
                <w:sz w:val="18"/>
                <w:szCs w:val="18"/>
                <w:lang w:eastAsia="ja-JP"/>
              </w:rPr>
              <w:t>La colonne supplémentaire indiquant la dernière date à laquelle les informations ont été entrées dans la base de données PLUTO a été introduite le 4 mai 2015.</w:t>
            </w:r>
          </w:p>
          <w:p w:rsidR="0083792B" w:rsidRPr="00386CD6" w:rsidRDefault="0083792B" w:rsidP="0085651C">
            <w:pPr>
              <w:pStyle w:val="ListParagraph"/>
              <w:numPr>
                <w:ilvl w:val="0"/>
                <w:numId w:val="9"/>
              </w:numPr>
              <w:tabs>
                <w:tab w:val="clear" w:pos="1209"/>
              </w:tabs>
              <w:ind w:left="601"/>
              <w:jc w:val="left"/>
              <w:rPr>
                <w:sz w:val="18"/>
                <w:szCs w:val="18"/>
              </w:rPr>
            </w:pPr>
            <w:r w:rsidRPr="00386CD6">
              <w:rPr>
                <w:sz w:val="18"/>
                <w:szCs w:val="18"/>
              </w:rPr>
              <w:t>La fonction permettant d’effectuer des recherches au moyen des outils de recherche de dénomination dans les champs “Dénomination” et “Référence de l’obtenteur”, utilisés de manière individuelle ou combinée, sur l’onglet Recherche de dénomination a été introduite sur la base de données PLUTO le 4 mai 2015.</w:t>
            </w:r>
          </w:p>
        </w:tc>
      </w:tr>
    </w:tbl>
    <w:p w:rsidR="0083792B" w:rsidRPr="00386CD6" w:rsidRDefault="0083792B" w:rsidP="0085651C"/>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rPr>
          <w:cantSplit/>
        </w:trPr>
        <w:tc>
          <w:tcPr>
            <w:tcW w:w="1951" w:type="dxa"/>
            <w:shd w:val="clear" w:color="auto" w:fill="auto"/>
          </w:tcPr>
          <w:p w:rsidR="0083792B" w:rsidRPr="00386CD6" w:rsidRDefault="0083792B" w:rsidP="0085651C">
            <w:pPr>
              <w:jc w:val="left"/>
              <w:rPr>
                <w:sz w:val="18"/>
              </w:rPr>
            </w:pPr>
          </w:p>
        </w:tc>
        <w:tc>
          <w:tcPr>
            <w:tcW w:w="7938" w:type="dxa"/>
            <w:shd w:val="clear" w:color="auto" w:fill="auto"/>
          </w:tcPr>
          <w:p w:rsidR="0083792B" w:rsidRPr="00386CD6" w:rsidRDefault="0083792B" w:rsidP="00355FCC">
            <w:pPr>
              <w:pStyle w:val="Heading8"/>
              <w:tabs>
                <w:tab w:val="left" w:pos="341"/>
              </w:tabs>
            </w:pPr>
            <w:bookmarkStart w:id="99" w:name="_Toc464487572"/>
            <w:bookmarkStart w:id="100" w:name="_Toc465100060"/>
            <w:r w:rsidRPr="00386CD6">
              <w:t>e)</w:t>
            </w:r>
            <w:r w:rsidRPr="00386CD6">
              <w:tab/>
              <w:t>Logiciels pouvant faire l’objet d’échanges figurant dans le document UPOV/INF/16 “Logiciels pouvant faire l’objet d’échanges”</w:t>
            </w:r>
            <w:bookmarkEnd w:id="99"/>
            <w:bookmarkEnd w:id="100"/>
          </w:p>
          <w:p w:rsidR="0083792B" w:rsidRPr="00386CD6" w:rsidRDefault="0083792B" w:rsidP="0085651C">
            <w:pPr>
              <w:rPr>
                <w:sz w:val="18"/>
                <w:szCs w:val="18"/>
              </w:rPr>
            </w:pPr>
            <w:r w:rsidRPr="00386CD6">
              <w:rPr>
                <w:sz w:val="18"/>
                <w:szCs w:val="18"/>
              </w:rPr>
              <w:t>Aucun logiciel pouvant faire l’objet d’échanges ne figurait dans ce document en 2015.</w:t>
            </w:r>
          </w:p>
        </w:tc>
      </w:tr>
      <w:tr w:rsidR="0083792B" w:rsidRPr="00386CD6" w:rsidTr="0085651C">
        <w:tc>
          <w:tcPr>
            <w:tcW w:w="1951" w:type="dxa"/>
            <w:shd w:val="clear" w:color="auto" w:fill="auto"/>
          </w:tcPr>
          <w:p w:rsidR="0083792B" w:rsidRPr="00386CD6" w:rsidRDefault="0083792B" w:rsidP="0085651C">
            <w:pPr>
              <w:keepNext/>
              <w:spacing w:after="240"/>
              <w:rPr>
                <w:b/>
                <w:sz w:val="18"/>
              </w:rPr>
            </w:pPr>
            <w:r w:rsidRPr="00386CD6">
              <w:rPr>
                <w:b/>
                <w:sz w:val="18"/>
              </w:rPr>
              <w:t>Résultats escomptés</w:t>
            </w:r>
          </w:p>
        </w:tc>
        <w:tc>
          <w:tcPr>
            <w:tcW w:w="7938" w:type="dxa"/>
            <w:shd w:val="clear" w:color="auto" w:fill="auto"/>
          </w:tcPr>
          <w:p w:rsidR="0083792B" w:rsidRPr="00386CD6" w:rsidRDefault="0083792B" w:rsidP="0085651C">
            <w:pPr>
              <w:keepNext/>
              <w:spacing w:after="240"/>
              <w:rPr>
                <w:b/>
                <w:i/>
                <w:sz w:val="18"/>
                <w:szCs w:val="18"/>
              </w:rPr>
            </w:pPr>
            <w:r w:rsidRPr="00386CD6">
              <w:rPr>
                <w:b/>
                <w:sz w:val="18"/>
                <w:szCs w:val="18"/>
              </w:rPr>
              <w:t>Résultats obtenus : indicateurs d’exécution</w:t>
            </w:r>
          </w:p>
        </w:tc>
      </w:tr>
      <w:tr w:rsidR="0083792B" w:rsidRPr="00386CD6" w:rsidTr="0085651C">
        <w:tc>
          <w:tcPr>
            <w:tcW w:w="1951" w:type="dxa"/>
            <w:shd w:val="clear" w:color="auto" w:fill="auto"/>
          </w:tcPr>
          <w:p w:rsidR="0083792B" w:rsidRPr="00386CD6" w:rsidRDefault="00355FCC" w:rsidP="00355FCC">
            <w:pPr>
              <w:pStyle w:val="Heading6"/>
              <w:tabs>
                <w:tab w:val="left" w:pos="288"/>
              </w:tabs>
            </w:pPr>
            <w:bookmarkStart w:id="101" w:name="_Toc464487573"/>
            <w:bookmarkStart w:id="102" w:name="_Toc465100061"/>
            <w:r w:rsidRPr="00386CD6">
              <w:t>4.</w:t>
            </w:r>
            <w:r w:rsidRPr="00386CD6">
              <w:tab/>
            </w:r>
            <w:r w:rsidR="0083792B" w:rsidRPr="00386CD6">
              <w:t>Participation des membres de l’Union et des parties prenantes aux travaux des différents organes de l’UPOV</w:t>
            </w:r>
            <w:bookmarkEnd w:id="101"/>
            <w:bookmarkEnd w:id="102"/>
          </w:p>
        </w:tc>
        <w:tc>
          <w:tcPr>
            <w:tcW w:w="7938" w:type="dxa"/>
            <w:shd w:val="clear" w:color="auto" w:fill="auto"/>
          </w:tcPr>
          <w:p w:rsidR="0083792B" w:rsidRPr="00386CD6" w:rsidRDefault="0083792B" w:rsidP="00355FCC">
            <w:pPr>
              <w:pStyle w:val="Heading8"/>
              <w:tabs>
                <w:tab w:val="left" w:pos="341"/>
              </w:tabs>
            </w:pPr>
            <w:bookmarkStart w:id="103" w:name="_Toc464487574"/>
            <w:bookmarkStart w:id="104" w:name="_Toc465100062"/>
            <w:r w:rsidRPr="00386CD6">
              <w:t>a)</w:t>
            </w:r>
            <w:r w:rsidRPr="00386CD6">
              <w:tab/>
              <w:t>Participation aux travaux du Comité administratif et juridique</w:t>
            </w:r>
            <w:bookmarkEnd w:id="103"/>
            <w:bookmarkEnd w:id="104"/>
          </w:p>
          <w:p w:rsidR="0083792B" w:rsidRPr="00386CD6" w:rsidRDefault="0083792B" w:rsidP="0085651C">
            <w:pPr>
              <w:keepNext/>
              <w:keepLines/>
              <w:tabs>
                <w:tab w:val="left" w:pos="885"/>
              </w:tabs>
              <w:spacing w:after="120"/>
              <w:ind w:left="885" w:hanging="885"/>
              <w:jc w:val="left"/>
              <w:rPr>
                <w:sz w:val="18"/>
                <w:szCs w:val="18"/>
              </w:rPr>
            </w:pPr>
            <w:r w:rsidRPr="00386CD6">
              <w:rPr>
                <w:sz w:val="18"/>
                <w:szCs w:val="18"/>
              </w:rPr>
              <w:t xml:space="preserve">CAJ/71 : </w:t>
            </w:r>
            <w:r w:rsidRPr="00386CD6">
              <w:rPr>
                <w:sz w:val="18"/>
                <w:szCs w:val="18"/>
              </w:rPr>
              <w:tab/>
              <w:t>99 participants représentant 44 membres de l’Union, 2 États ayant le statut d’observateur, 8 organisations ayant le statut d’observateur</w:t>
            </w:r>
          </w:p>
          <w:p w:rsidR="0083792B" w:rsidRPr="00386CD6" w:rsidRDefault="0083792B" w:rsidP="0085651C">
            <w:pPr>
              <w:keepNext/>
              <w:keepLines/>
              <w:tabs>
                <w:tab w:val="left" w:pos="885"/>
              </w:tabs>
              <w:spacing w:after="120"/>
              <w:ind w:left="885" w:hanging="885"/>
              <w:jc w:val="left"/>
              <w:rPr>
                <w:sz w:val="18"/>
                <w:szCs w:val="18"/>
              </w:rPr>
            </w:pPr>
            <w:r w:rsidRPr="00386CD6">
              <w:rPr>
                <w:sz w:val="18"/>
                <w:szCs w:val="18"/>
              </w:rPr>
              <w:t xml:space="preserve">CAJ/72 : </w:t>
            </w:r>
            <w:r w:rsidRPr="00386CD6">
              <w:rPr>
                <w:sz w:val="18"/>
                <w:szCs w:val="18"/>
              </w:rPr>
              <w:tab/>
              <w:t>111 participants représentant 44 membres de l’Union, 4 États ayant le statut d’observateur, 8 organisations ayant le statut d’observateur</w:t>
            </w:r>
          </w:p>
        </w:tc>
      </w:tr>
    </w:tbl>
    <w:p w:rsidR="0083792B" w:rsidRPr="00386CD6" w:rsidRDefault="0083792B" w:rsidP="0085651C"/>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jc w:val="left"/>
              <w:rPr>
                <w:i/>
                <w:sz w:val="18"/>
                <w:szCs w:val="18"/>
              </w:rPr>
            </w:pPr>
          </w:p>
        </w:tc>
        <w:tc>
          <w:tcPr>
            <w:tcW w:w="7938" w:type="dxa"/>
            <w:shd w:val="clear" w:color="auto" w:fill="auto"/>
          </w:tcPr>
          <w:p w:rsidR="0083792B" w:rsidRPr="00386CD6" w:rsidRDefault="0083792B" w:rsidP="00355FCC">
            <w:pPr>
              <w:pStyle w:val="Heading8"/>
              <w:tabs>
                <w:tab w:val="left" w:pos="330"/>
              </w:tabs>
            </w:pPr>
            <w:bookmarkStart w:id="105" w:name="_Toc464487575"/>
            <w:bookmarkStart w:id="106" w:name="_Toc465100063"/>
            <w:r w:rsidRPr="00386CD6">
              <w:t>b)</w:t>
            </w:r>
            <w:r w:rsidRPr="00386CD6">
              <w:tab/>
              <w:t>Participation aux travaux du Comité technique</w:t>
            </w:r>
            <w:bookmarkEnd w:id="105"/>
            <w:bookmarkEnd w:id="106"/>
          </w:p>
          <w:p w:rsidR="0083792B" w:rsidRPr="00386CD6" w:rsidRDefault="0083792B" w:rsidP="0085651C">
            <w:pPr>
              <w:keepNext/>
              <w:keepLines/>
              <w:tabs>
                <w:tab w:val="left" w:pos="885"/>
              </w:tabs>
              <w:ind w:left="885" w:hanging="885"/>
              <w:jc w:val="left"/>
              <w:rPr>
                <w:sz w:val="18"/>
                <w:szCs w:val="18"/>
              </w:rPr>
            </w:pPr>
            <w:r w:rsidRPr="00386CD6">
              <w:rPr>
                <w:sz w:val="18"/>
                <w:szCs w:val="18"/>
              </w:rPr>
              <w:t xml:space="preserve">TC/51 : </w:t>
            </w:r>
            <w:r w:rsidR="00355FCC" w:rsidRPr="00386CD6">
              <w:rPr>
                <w:sz w:val="18"/>
                <w:szCs w:val="18"/>
              </w:rPr>
              <w:tab/>
            </w:r>
            <w:r w:rsidRPr="00386CD6">
              <w:rPr>
                <w:sz w:val="18"/>
                <w:szCs w:val="18"/>
              </w:rPr>
              <w:t>96 participants représentant 44 membres de l’Union, 1 État ayant le statut d’observateur, 7 organisations ayant le statut d’observateur</w:t>
            </w:r>
          </w:p>
        </w:tc>
      </w:tr>
    </w:tbl>
    <w:p w:rsidR="0083792B" w:rsidRPr="00386CD6" w:rsidRDefault="0083792B" w:rsidP="0085651C"/>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jc w:val="left"/>
              <w:rPr>
                <w:sz w:val="18"/>
                <w:szCs w:val="18"/>
              </w:rPr>
            </w:pPr>
          </w:p>
        </w:tc>
        <w:tc>
          <w:tcPr>
            <w:tcW w:w="7938" w:type="dxa"/>
            <w:shd w:val="clear" w:color="auto" w:fill="auto"/>
          </w:tcPr>
          <w:p w:rsidR="0083792B" w:rsidRPr="00386CD6" w:rsidRDefault="0083792B" w:rsidP="00355FCC">
            <w:pPr>
              <w:pStyle w:val="Heading8"/>
              <w:tabs>
                <w:tab w:val="left" w:pos="341"/>
              </w:tabs>
              <w:jc w:val="both"/>
            </w:pPr>
            <w:bookmarkStart w:id="107" w:name="_Toc464487576"/>
            <w:bookmarkStart w:id="108" w:name="_Toc465100064"/>
            <w:r w:rsidRPr="00386CD6">
              <w:t>c)</w:t>
            </w:r>
            <w:r w:rsidRPr="00386CD6">
              <w:tab/>
              <w:t>Participation aux sessions des groupes de travail techniques</w:t>
            </w:r>
            <w:bookmarkEnd w:id="107"/>
            <w:bookmarkEnd w:id="108"/>
          </w:p>
          <w:p w:rsidR="0083792B" w:rsidRPr="00386CD6" w:rsidRDefault="0083792B" w:rsidP="0085651C">
            <w:pPr>
              <w:spacing w:after="120"/>
              <w:rPr>
                <w:sz w:val="18"/>
                <w:szCs w:val="18"/>
              </w:rPr>
            </w:pPr>
            <w:r w:rsidRPr="00386CD6">
              <w:rPr>
                <w:sz w:val="18"/>
                <w:szCs w:val="18"/>
              </w:rPr>
              <w:t>338 experts représentant 49 membres de l’Union (membres), 11 États ayant le statut d’observateur (obs) et 8 organisations ayant le statut d’observateur (org) ont participé comme suit aux sessions des groupes de travail techniques :</w:t>
            </w:r>
          </w:p>
          <w:p w:rsidR="0083792B" w:rsidRPr="00386CD6" w:rsidRDefault="0083792B" w:rsidP="0085651C">
            <w:pPr>
              <w:ind w:left="567"/>
              <w:rPr>
                <w:sz w:val="18"/>
                <w:szCs w:val="18"/>
              </w:rPr>
            </w:pPr>
            <w:r w:rsidRPr="00386CD6">
              <w:rPr>
                <w:sz w:val="18"/>
                <w:szCs w:val="18"/>
              </w:rPr>
              <w:t>TWA (Japon) :</w:t>
            </w:r>
          </w:p>
          <w:p w:rsidR="0083792B" w:rsidRPr="00386CD6" w:rsidRDefault="0083792B" w:rsidP="0085651C">
            <w:pPr>
              <w:ind w:left="567"/>
              <w:rPr>
                <w:sz w:val="18"/>
                <w:szCs w:val="18"/>
              </w:rPr>
            </w:pPr>
            <w:r w:rsidRPr="00386CD6">
              <w:rPr>
                <w:sz w:val="18"/>
                <w:szCs w:val="18"/>
              </w:rPr>
              <w:tab/>
              <w:t>17 membres (38 participants) / 9 obs (9) / 3 org (3)</w:t>
            </w:r>
          </w:p>
          <w:p w:rsidR="0083792B" w:rsidRPr="00386CD6" w:rsidRDefault="0083792B" w:rsidP="0085651C">
            <w:pPr>
              <w:ind w:left="567"/>
              <w:rPr>
                <w:sz w:val="18"/>
                <w:szCs w:val="18"/>
              </w:rPr>
            </w:pPr>
            <w:r w:rsidRPr="00386CD6">
              <w:rPr>
                <w:sz w:val="18"/>
                <w:szCs w:val="18"/>
              </w:rPr>
              <w:t>TWC (Brésil) :</w:t>
            </w:r>
          </w:p>
          <w:p w:rsidR="0083792B" w:rsidRPr="00386CD6" w:rsidRDefault="0083792B" w:rsidP="0085651C">
            <w:pPr>
              <w:ind w:left="567"/>
              <w:rPr>
                <w:sz w:val="18"/>
                <w:szCs w:val="18"/>
              </w:rPr>
            </w:pPr>
            <w:r w:rsidRPr="00386CD6">
              <w:rPr>
                <w:sz w:val="18"/>
                <w:szCs w:val="18"/>
              </w:rPr>
              <w:tab/>
              <w:t>10 membres (18 participants) / 0 obs (0) / 0 org (0)</w:t>
            </w:r>
          </w:p>
          <w:p w:rsidR="0083792B" w:rsidRPr="00386CD6" w:rsidRDefault="0083792B" w:rsidP="0085651C">
            <w:pPr>
              <w:ind w:left="567"/>
              <w:rPr>
                <w:sz w:val="18"/>
                <w:szCs w:val="18"/>
              </w:rPr>
            </w:pPr>
            <w:r w:rsidRPr="00386CD6">
              <w:rPr>
                <w:sz w:val="18"/>
                <w:szCs w:val="18"/>
              </w:rPr>
              <w:t>TWF (Afrique du Sud) :</w:t>
            </w:r>
          </w:p>
          <w:p w:rsidR="0083792B" w:rsidRPr="00386CD6" w:rsidRDefault="0083792B" w:rsidP="0085651C">
            <w:pPr>
              <w:ind w:left="567"/>
              <w:rPr>
                <w:sz w:val="18"/>
                <w:szCs w:val="18"/>
              </w:rPr>
            </w:pPr>
            <w:r w:rsidRPr="00386CD6">
              <w:rPr>
                <w:sz w:val="18"/>
                <w:szCs w:val="18"/>
              </w:rPr>
              <w:tab/>
              <w:t>16 membres (39 participants) / 3 obs (3) / 1 org (2)</w:t>
            </w:r>
          </w:p>
          <w:p w:rsidR="0083792B" w:rsidRPr="00386CD6" w:rsidRDefault="0083792B" w:rsidP="0085651C">
            <w:pPr>
              <w:ind w:left="567"/>
              <w:rPr>
                <w:sz w:val="18"/>
                <w:szCs w:val="18"/>
              </w:rPr>
            </w:pPr>
            <w:r w:rsidRPr="00386CD6">
              <w:rPr>
                <w:sz w:val="18"/>
                <w:szCs w:val="18"/>
              </w:rPr>
              <w:t>TWO (Royaume</w:t>
            </w:r>
            <w:r w:rsidRPr="00386CD6">
              <w:rPr>
                <w:sz w:val="18"/>
                <w:szCs w:val="18"/>
              </w:rPr>
              <w:noBreakHyphen/>
              <w:t>Uni) :</w:t>
            </w:r>
          </w:p>
          <w:p w:rsidR="0083792B" w:rsidRPr="00386CD6" w:rsidRDefault="0083792B" w:rsidP="0085651C">
            <w:pPr>
              <w:ind w:left="567"/>
              <w:rPr>
                <w:sz w:val="18"/>
                <w:szCs w:val="18"/>
              </w:rPr>
            </w:pPr>
            <w:r w:rsidRPr="00386CD6">
              <w:rPr>
                <w:sz w:val="18"/>
                <w:szCs w:val="18"/>
              </w:rPr>
              <w:tab/>
              <w:t>16 membres (56 participants) / 2 obs (2) / 2 org (5)</w:t>
            </w:r>
          </w:p>
          <w:p w:rsidR="0083792B" w:rsidRPr="00386CD6" w:rsidRDefault="0083792B" w:rsidP="0085651C">
            <w:pPr>
              <w:ind w:left="567"/>
              <w:rPr>
                <w:sz w:val="18"/>
                <w:szCs w:val="18"/>
              </w:rPr>
            </w:pPr>
            <w:r w:rsidRPr="00386CD6">
              <w:rPr>
                <w:sz w:val="18"/>
                <w:szCs w:val="18"/>
              </w:rPr>
              <w:t>TWV (Union européenne) :</w:t>
            </w:r>
          </w:p>
          <w:p w:rsidR="0083792B" w:rsidRPr="00386CD6" w:rsidRDefault="0083792B" w:rsidP="0085651C">
            <w:pPr>
              <w:ind w:left="567"/>
              <w:rPr>
                <w:sz w:val="18"/>
                <w:szCs w:val="18"/>
              </w:rPr>
            </w:pPr>
            <w:r w:rsidRPr="00386CD6">
              <w:rPr>
                <w:sz w:val="18"/>
                <w:szCs w:val="18"/>
              </w:rPr>
              <w:tab/>
              <w:t>20 membres (52 participants) / 4 obs (4) / 3 org (6)</w:t>
            </w:r>
          </w:p>
          <w:p w:rsidR="0083792B" w:rsidRPr="00386CD6" w:rsidRDefault="0083792B" w:rsidP="0085651C">
            <w:pPr>
              <w:ind w:left="567"/>
              <w:rPr>
                <w:sz w:val="18"/>
                <w:szCs w:val="18"/>
              </w:rPr>
            </w:pPr>
            <w:r w:rsidRPr="00386CD6">
              <w:rPr>
                <w:sz w:val="18"/>
                <w:szCs w:val="18"/>
              </w:rPr>
              <w:t xml:space="preserve">BMT (pas de réunion en 2015) </w:t>
            </w:r>
          </w:p>
        </w:tc>
      </w:tr>
    </w:tbl>
    <w:p w:rsidR="0083792B" w:rsidRPr="00386CD6" w:rsidRDefault="0083792B" w:rsidP="0085651C"/>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355FCC">
            <w:pPr>
              <w:tabs>
                <w:tab w:val="left" w:pos="311"/>
              </w:tabs>
              <w:jc w:val="left"/>
              <w:rPr>
                <w:sz w:val="18"/>
                <w:szCs w:val="18"/>
              </w:rPr>
            </w:pPr>
          </w:p>
        </w:tc>
        <w:tc>
          <w:tcPr>
            <w:tcW w:w="7938" w:type="dxa"/>
            <w:shd w:val="clear" w:color="auto" w:fill="auto"/>
          </w:tcPr>
          <w:p w:rsidR="0083792B" w:rsidRPr="00386CD6" w:rsidRDefault="0083792B" w:rsidP="00355FCC">
            <w:pPr>
              <w:pStyle w:val="Heading8"/>
              <w:tabs>
                <w:tab w:val="left" w:pos="364"/>
              </w:tabs>
              <w:jc w:val="both"/>
            </w:pPr>
            <w:bookmarkStart w:id="109" w:name="_Toc464487577"/>
            <w:bookmarkStart w:id="110" w:name="_Toc465100065"/>
            <w:r w:rsidRPr="00386CD6">
              <w:t>d)</w:t>
            </w:r>
            <w:r w:rsidRPr="00386CD6">
              <w:tab/>
              <w:t>Participation aux ateliers préparatoires des sessions des groupes de travail techniques</w:t>
            </w:r>
            <w:bookmarkEnd w:id="109"/>
            <w:bookmarkEnd w:id="110"/>
          </w:p>
          <w:p w:rsidR="0083792B" w:rsidRPr="00386CD6" w:rsidRDefault="0083792B" w:rsidP="0085651C">
            <w:pPr>
              <w:spacing w:after="120"/>
              <w:rPr>
                <w:sz w:val="18"/>
                <w:szCs w:val="18"/>
              </w:rPr>
            </w:pPr>
            <w:r w:rsidRPr="00386CD6">
              <w:rPr>
                <w:sz w:val="18"/>
                <w:szCs w:val="18"/>
              </w:rPr>
              <w:t>130 experts représentant 21 membres de l’Union (membres), 10 États ayant le statut d’observateur (obs) et 3 organisations ayant le statut d’observateur (org) ont participé comme suit aux ateliers préparatoires :</w:t>
            </w:r>
          </w:p>
          <w:p w:rsidR="0083792B" w:rsidRPr="00386CD6" w:rsidRDefault="0083792B" w:rsidP="0085651C">
            <w:pPr>
              <w:ind w:left="1168" w:hanging="601"/>
              <w:rPr>
                <w:sz w:val="18"/>
                <w:szCs w:val="18"/>
              </w:rPr>
            </w:pPr>
            <w:r w:rsidRPr="00386CD6">
              <w:rPr>
                <w:sz w:val="18"/>
                <w:szCs w:val="18"/>
              </w:rPr>
              <w:t xml:space="preserve">TWA : </w:t>
            </w:r>
            <w:r w:rsidRPr="00386CD6">
              <w:rPr>
                <w:sz w:val="18"/>
                <w:szCs w:val="18"/>
              </w:rPr>
              <w:tab/>
              <w:t>9 membres (22 participants) / 10 obs (15) / 0 org (0)</w:t>
            </w:r>
          </w:p>
          <w:p w:rsidR="0083792B" w:rsidRPr="00386CD6" w:rsidRDefault="0083792B" w:rsidP="0085651C">
            <w:pPr>
              <w:ind w:left="1168" w:hanging="601"/>
              <w:rPr>
                <w:sz w:val="18"/>
                <w:szCs w:val="18"/>
              </w:rPr>
            </w:pPr>
            <w:r w:rsidRPr="00386CD6">
              <w:rPr>
                <w:sz w:val="18"/>
                <w:szCs w:val="18"/>
              </w:rPr>
              <w:t xml:space="preserve">TWC : </w:t>
            </w:r>
            <w:r w:rsidRPr="00386CD6">
              <w:rPr>
                <w:sz w:val="18"/>
                <w:szCs w:val="18"/>
              </w:rPr>
              <w:tab/>
              <w:t>7 membres (11 participants) / 0 obs (0) / 0 org (0)</w:t>
            </w:r>
          </w:p>
          <w:p w:rsidR="0083792B" w:rsidRPr="00386CD6" w:rsidRDefault="0083792B" w:rsidP="0085651C">
            <w:pPr>
              <w:ind w:left="1168" w:hanging="601"/>
              <w:rPr>
                <w:sz w:val="18"/>
                <w:szCs w:val="18"/>
              </w:rPr>
            </w:pPr>
            <w:r w:rsidRPr="00386CD6">
              <w:rPr>
                <w:sz w:val="18"/>
                <w:szCs w:val="18"/>
              </w:rPr>
              <w:t xml:space="preserve">TWF : </w:t>
            </w:r>
            <w:r w:rsidRPr="00386CD6">
              <w:rPr>
                <w:sz w:val="18"/>
                <w:szCs w:val="18"/>
              </w:rPr>
              <w:tab/>
              <w:t>7 membres (17 participants) / 3 obs (3) / 0 org (0)</w:t>
            </w:r>
          </w:p>
          <w:p w:rsidR="0083792B" w:rsidRPr="00386CD6" w:rsidRDefault="0083792B" w:rsidP="0085651C">
            <w:pPr>
              <w:ind w:left="1168" w:hanging="601"/>
              <w:rPr>
                <w:sz w:val="18"/>
                <w:szCs w:val="18"/>
              </w:rPr>
            </w:pPr>
            <w:r w:rsidRPr="00386CD6">
              <w:rPr>
                <w:sz w:val="18"/>
                <w:szCs w:val="18"/>
              </w:rPr>
              <w:t xml:space="preserve">TWO : </w:t>
            </w:r>
            <w:r w:rsidRPr="00386CD6">
              <w:rPr>
                <w:sz w:val="18"/>
                <w:szCs w:val="18"/>
              </w:rPr>
              <w:tab/>
              <w:t>15 membres (36 participants) / 2 obs (2) / 2 org (2)</w:t>
            </w:r>
          </w:p>
          <w:p w:rsidR="0083792B" w:rsidRPr="00386CD6" w:rsidRDefault="0083792B" w:rsidP="0085651C">
            <w:pPr>
              <w:ind w:left="1168" w:hanging="601"/>
              <w:rPr>
                <w:sz w:val="18"/>
                <w:szCs w:val="18"/>
              </w:rPr>
            </w:pPr>
            <w:r w:rsidRPr="00386CD6">
              <w:rPr>
                <w:sz w:val="18"/>
                <w:szCs w:val="18"/>
              </w:rPr>
              <w:t xml:space="preserve">TWV : </w:t>
            </w:r>
            <w:r w:rsidRPr="00386CD6">
              <w:rPr>
                <w:sz w:val="18"/>
                <w:szCs w:val="18"/>
              </w:rPr>
              <w:tab/>
              <w:t>11 membres (17 participants) / 4 obs (4) / 1 org (1)</w:t>
            </w:r>
          </w:p>
          <w:p w:rsidR="0083792B" w:rsidRPr="00386CD6" w:rsidRDefault="0083792B" w:rsidP="0085651C">
            <w:pPr>
              <w:ind w:left="1168" w:hanging="601"/>
              <w:rPr>
                <w:sz w:val="18"/>
                <w:szCs w:val="18"/>
              </w:rPr>
            </w:pPr>
            <w:r w:rsidRPr="00386CD6">
              <w:rPr>
                <w:sz w:val="18"/>
                <w:szCs w:val="18"/>
              </w:rPr>
              <w:t xml:space="preserve">BMT : </w:t>
            </w:r>
            <w:r w:rsidRPr="00386CD6">
              <w:rPr>
                <w:sz w:val="18"/>
                <w:szCs w:val="18"/>
              </w:rPr>
              <w:tab/>
              <w:t>pas de réunion en 2015</w:t>
            </w:r>
          </w:p>
        </w:tc>
      </w:tr>
    </w:tbl>
    <w:p w:rsidR="0083792B" w:rsidRPr="00386CD6" w:rsidRDefault="0083792B" w:rsidP="0085651C"/>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jc w:val="left"/>
              <w:rPr>
                <w:sz w:val="18"/>
                <w:szCs w:val="18"/>
              </w:rPr>
            </w:pPr>
          </w:p>
        </w:tc>
        <w:tc>
          <w:tcPr>
            <w:tcW w:w="7938" w:type="dxa"/>
            <w:shd w:val="clear" w:color="auto" w:fill="auto"/>
          </w:tcPr>
          <w:p w:rsidR="0083792B" w:rsidRPr="00386CD6" w:rsidRDefault="0083792B" w:rsidP="00355FCC">
            <w:pPr>
              <w:pStyle w:val="Heading8"/>
              <w:tabs>
                <w:tab w:val="left" w:pos="353"/>
              </w:tabs>
            </w:pPr>
            <w:bookmarkStart w:id="111" w:name="_Toc464487578"/>
            <w:bookmarkStart w:id="112" w:name="_Toc465100066"/>
            <w:r w:rsidRPr="00386CD6">
              <w:t>e)</w:t>
            </w:r>
            <w:r w:rsidRPr="00386CD6">
              <w:tab/>
              <w:t>Présentation des mesures visant à améliorer l’efficacité du Comité technique (TC), des groupes de travail techniques (TWP) et des ateliers préparatoires</w:t>
            </w:r>
            <w:bookmarkEnd w:id="111"/>
            <w:bookmarkEnd w:id="112"/>
          </w:p>
          <w:p w:rsidR="0083792B" w:rsidRPr="00386CD6" w:rsidRDefault="0083792B" w:rsidP="0085651C">
            <w:pPr>
              <w:jc w:val="left"/>
              <w:rPr>
                <w:sz w:val="18"/>
                <w:szCs w:val="18"/>
              </w:rPr>
            </w:pPr>
            <w:r w:rsidRPr="00386CD6">
              <w:rPr>
                <w:sz w:val="18"/>
                <w:szCs w:val="18"/>
              </w:rPr>
              <w:t>À sa cinquante et unième session, le TC a examiné le document TC/51/37 “Moyens possibles d’améliorer l’efficacité du Comité technique, des groupes de travail techniques et des ateliers préparatoires” et a suivi une présentation par le Bureau de l’UPOV.  Il a pris note des résultats des enquêtes menées en 2014, tels qu’ils sont présentés à l’annexe I du document TC/51/37.  Il a approuvé les propositions concernant les moyens possibles d’améliorer l’efficacité des groupes de travail techniques, tels qu’ils figurent au paragraphe 24 du document TC/51/37.</w:t>
            </w:r>
          </w:p>
        </w:tc>
      </w:tr>
    </w:tbl>
    <w:p w:rsidR="0083792B" w:rsidRPr="00386CD6" w:rsidRDefault="0083792B" w:rsidP="0085651C"/>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355FCC">
            <w:pPr>
              <w:pStyle w:val="Heading6"/>
              <w:tabs>
                <w:tab w:val="left" w:pos="299"/>
              </w:tabs>
            </w:pPr>
            <w:bookmarkStart w:id="113" w:name="_Toc464487579"/>
            <w:bookmarkStart w:id="114" w:name="_Toc465100067"/>
            <w:r w:rsidRPr="00386CD6">
              <w:t>5.</w:t>
            </w:r>
            <w:r w:rsidR="00355FCC" w:rsidRPr="00386CD6">
              <w:tab/>
            </w:r>
            <w:r w:rsidRPr="00386CD6">
              <w:t>Documents et matériels de l’UPOV dans des langues supplémentaires</w:t>
            </w:r>
            <w:bookmarkEnd w:id="113"/>
            <w:bookmarkEnd w:id="114"/>
          </w:p>
        </w:tc>
        <w:tc>
          <w:tcPr>
            <w:tcW w:w="7938" w:type="dxa"/>
            <w:shd w:val="clear" w:color="auto" w:fill="auto"/>
          </w:tcPr>
          <w:p w:rsidR="0083792B" w:rsidRPr="00386CD6" w:rsidRDefault="0083792B" w:rsidP="0085651C">
            <w:pPr>
              <w:pStyle w:val="Heading8"/>
              <w:rPr>
                <w:szCs w:val="18"/>
              </w:rPr>
            </w:pPr>
            <w:bookmarkStart w:id="115" w:name="_Toc464487580"/>
            <w:bookmarkStart w:id="116" w:name="_Toc465100068"/>
            <w:r w:rsidRPr="00386CD6">
              <w:rPr>
                <w:szCs w:val="18"/>
              </w:rPr>
              <w:t>a)</w:t>
            </w:r>
            <w:r w:rsidRPr="00386CD6">
              <w:rPr>
                <w:szCs w:val="18"/>
              </w:rPr>
              <w:tab/>
              <w:t>Mise à disposition de documents et de matériels de l’UPOV dans des langues autres que les langues utilisées au sein de l’UPOV (français, anglais, allemand et espagnol).</w:t>
            </w:r>
            <w:bookmarkEnd w:id="115"/>
            <w:bookmarkEnd w:id="116"/>
          </w:p>
          <w:p w:rsidR="0083792B" w:rsidRPr="00386CD6" w:rsidRDefault="0083792B" w:rsidP="0085651C">
            <w:pPr>
              <w:pStyle w:val="ListParagraph"/>
              <w:numPr>
                <w:ilvl w:val="0"/>
                <w:numId w:val="18"/>
              </w:numPr>
              <w:rPr>
                <w:sz w:val="18"/>
                <w:szCs w:val="18"/>
              </w:rPr>
            </w:pPr>
            <w:r w:rsidRPr="00386CD6">
              <w:rPr>
                <w:sz w:val="18"/>
                <w:szCs w:val="18"/>
              </w:rPr>
              <w:t>L’Acte de 1991 de la Convention UPOV a été traduit en khmer et publié sur le site de l’UPOV.  Les traductions en indonésien, malais, serbe, et vietnamien de l’Acte de 1991 seront vérifiées avant d’être publiées sur le site Web de l’UPOV.</w:t>
            </w:r>
          </w:p>
        </w:tc>
      </w:tr>
    </w:tbl>
    <w:p w:rsidR="0083792B" w:rsidRPr="00386CD6" w:rsidRDefault="0083792B" w:rsidP="0085651C">
      <w:pPr>
        <w:rPr>
          <w:sz w:val="18"/>
          <w:szCs w:val="18"/>
        </w:rPr>
      </w:pPr>
    </w:p>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keepNext/>
              <w:spacing w:after="240"/>
              <w:rPr>
                <w:b/>
                <w:sz w:val="18"/>
              </w:rPr>
            </w:pPr>
            <w:bookmarkStart w:id="117" w:name="_Toc336339195"/>
            <w:r w:rsidRPr="00386CD6">
              <w:rPr>
                <w:b/>
                <w:sz w:val="18"/>
              </w:rPr>
              <w:t>Résultats escomptés</w:t>
            </w:r>
          </w:p>
        </w:tc>
        <w:tc>
          <w:tcPr>
            <w:tcW w:w="7938" w:type="dxa"/>
            <w:shd w:val="clear" w:color="auto" w:fill="auto"/>
          </w:tcPr>
          <w:p w:rsidR="0083792B" w:rsidRPr="00386CD6" w:rsidRDefault="00635368" w:rsidP="0085651C">
            <w:pPr>
              <w:keepNext/>
              <w:spacing w:after="240"/>
              <w:rPr>
                <w:b/>
                <w:i/>
                <w:sz w:val="18"/>
                <w:szCs w:val="18"/>
              </w:rPr>
            </w:pPr>
            <w:r w:rsidRPr="00386CD6">
              <w:rPr>
                <w:b/>
                <w:sz w:val="18"/>
                <w:szCs w:val="18"/>
              </w:rPr>
              <w:t>Résultats obtenus : indicateurs d’exécution</w:t>
            </w:r>
          </w:p>
        </w:tc>
      </w:tr>
      <w:tr w:rsidR="0083792B" w:rsidRPr="00386CD6" w:rsidTr="0085651C">
        <w:tc>
          <w:tcPr>
            <w:tcW w:w="1951" w:type="dxa"/>
          </w:tcPr>
          <w:p w:rsidR="0083792B" w:rsidRPr="00386CD6" w:rsidRDefault="0083792B" w:rsidP="00635368">
            <w:pPr>
              <w:pStyle w:val="Heading6"/>
              <w:tabs>
                <w:tab w:val="left" w:pos="299"/>
              </w:tabs>
            </w:pPr>
            <w:bookmarkStart w:id="118" w:name="_Toc464487581"/>
            <w:bookmarkStart w:id="119" w:name="_Toc465100069"/>
            <w:bookmarkEnd w:id="117"/>
            <w:r w:rsidRPr="00386CD6">
              <w:t>6.</w:t>
            </w:r>
            <w:r w:rsidR="00635368" w:rsidRPr="00386CD6">
              <w:tab/>
            </w:r>
            <w:r w:rsidRPr="00386CD6">
              <w:t>Facilitation du dépôt de demandes de protection de droits d’obtenteur</w:t>
            </w:r>
            <w:bookmarkEnd w:id="118"/>
            <w:bookmarkEnd w:id="119"/>
          </w:p>
          <w:p w:rsidR="0083792B" w:rsidRPr="00386CD6" w:rsidRDefault="0083792B" w:rsidP="0085651C"/>
        </w:tc>
        <w:tc>
          <w:tcPr>
            <w:tcW w:w="7938" w:type="dxa"/>
          </w:tcPr>
          <w:p w:rsidR="0083792B" w:rsidRPr="00386CD6" w:rsidRDefault="0083792B" w:rsidP="00635368">
            <w:pPr>
              <w:pStyle w:val="Heading8"/>
              <w:tabs>
                <w:tab w:val="left" w:pos="307"/>
              </w:tabs>
            </w:pPr>
            <w:bookmarkStart w:id="120" w:name="_Toc464487582"/>
            <w:bookmarkStart w:id="121" w:name="_Toc465100070"/>
            <w:r w:rsidRPr="00386CD6">
              <w:t>a)</w:t>
            </w:r>
            <w:r w:rsidRPr="00386CD6">
              <w:tab/>
              <w:t>Nombre de demandes de protection d’obtentions végétales</w:t>
            </w:r>
            <w:bookmarkEnd w:id="120"/>
            <w:bookmarkEnd w:id="121"/>
          </w:p>
          <w:p w:rsidR="0083792B" w:rsidRPr="00386CD6" w:rsidRDefault="0083792B" w:rsidP="0085651C">
            <w:pPr>
              <w:tabs>
                <w:tab w:val="left" w:pos="2410"/>
                <w:tab w:val="left" w:pos="4536"/>
                <w:tab w:val="left" w:pos="9072"/>
              </w:tabs>
              <w:jc w:val="left"/>
              <w:rPr>
                <w:sz w:val="18"/>
                <w:szCs w:val="18"/>
              </w:rPr>
            </w:pPr>
            <w:r w:rsidRPr="00386CD6">
              <w:rPr>
                <w:sz w:val="18"/>
                <w:szCs w:val="18"/>
                <w:lang w:eastAsia="ja-JP"/>
              </w:rPr>
              <w:t xml:space="preserve">15 499 </w:t>
            </w:r>
            <w:r w:rsidRPr="00386CD6">
              <w:rPr>
                <w:sz w:val="18"/>
                <w:szCs w:val="18"/>
              </w:rPr>
              <w:t>demandes déposées auprès des membres de l’Union en 201</w:t>
            </w:r>
            <w:r w:rsidRPr="00386CD6">
              <w:rPr>
                <w:sz w:val="18"/>
                <w:szCs w:val="18"/>
                <w:lang w:eastAsia="ja-JP"/>
              </w:rPr>
              <w:t>4</w:t>
            </w:r>
            <w:r w:rsidRPr="00386CD6">
              <w:rPr>
                <w:sz w:val="18"/>
                <w:szCs w:val="18"/>
              </w:rPr>
              <w:t xml:space="preserve"> (</w:t>
            </w:r>
            <w:r w:rsidRPr="00386CD6">
              <w:rPr>
                <w:sz w:val="18"/>
                <w:szCs w:val="18"/>
                <w:lang w:eastAsia="ja-JP"/>
              </w:rPr>
              <w:t xml:space="preserve">14 788 en 2013;  </w:t>
            </w:r>
            <w:r w:rsidRPr="00386CD6">
              <w:rPr>
                <w:sz w:val="18"/>
                <w:szCs w:val="18"/>
              </w:rPr>
              <w:t>13 908 en 2012) (voir le document C/4</w:t>
            </w:r>
            <w:r w:rsidRPr="00386CD6">
              <w:rPr>
                <w:sz w:val="18"/>
                <w:szCs w:val="18"/>
                <w:lang w:eastAsia="ja-JP"/>
              </w:rPr>
              <w:t>9</w:t>
            </w:r>
            <w:r w:rsidRPr="00386CD6">
              <w:rPr>
                <w:sz w:val="18"/>
                <w:szCs w:val="18"/>
              </w:rPr>
              <w:t>/7)</w:t>
            </w:r>
          </w:p>
          <w:p w:rsidR="0083792B" w:rsidRPr="00386CD6" w:rsidRDefault="0083792B" w:rsidP="0085651C">
            <w:pPr>
              <w:tabs>
                <w:tab w:val="left" w:pos="2410"/>
                <w:tab w:val="left" w:pos="4536"/>
                <w:tab w:val="left" w:pos="9072"/>
              </w:tabs>
              <w:jc w:val="left"/>
              <w:rPr>
                <w:sz w:val="18"/>
                <w:szCs w:val="18"/>
              </w:rPr>
            </w:pPr>
          </w:p>
          <w:p w:rsidR="0083792B" w:rsidRPr="00386CD6" w:rsidRDefault="0083792B" w:rsidP="0085651C">
            <w:pPr>
              <w:tabs>
                <w:tab w:val="left" w:pos="2410"/>
                <w:tab w:val="left" w:pos="4536"/>
                <w:tab w:val="left" w:pos="9072"/>
              </w:tabs>
              <w:jc w:val="left"/>
              <w:rPr>
                <w:sz w:val="18"/>
                <w:szCs w:val="18"/>
              </w:rPr>
            </w:pPr>
          </w:p>
        </w:tc>
      </w:tr>
      <w:tr w:rsidR="0083792B" w:rsidRPr="00386CD6" w:rsidTr="0085651C">
        <w:trPr>
          <w:cantSplit/>
        </w:trPr>
        <w:tc>
          <w:tcPr>
            <w:tcW w:w="1951" w:type="dxa"/>
          </w:tcPr>
          <w:p w:rsidR="0083792B" w:rsidRPr="00386CD6" w:rsidRDefault="0083792B" w:rsidP="0085651C">
            <w:pPr>
              <w:jc w:val="left"/>
              <w:rPr>
                <w:sz w:val="18"/>
                <w:szCs w:val="18"/>
              </w:rPr>
            </w:pPr>
          </w:p>
        </w:tc>
        <w:tc>
          <w:tcPr>
            <w:tcW w:w="7938" w:type="dxa"/>
          </w:tcPr>
          <w:p w:rsidR="0083792B" w:rsidRPr="00386CD6" w:rsidRDefault="0083792B" w:rsidP="00635368">
            <w:pPr>
              <w:pStyle w:val="Heading8"/>
              <w:tabs>
                <w:tab w:val="left" w:pos="317"/>
              </w:tabs>
              <w:rPr>
                <w:szCs w:val="18"/>
              </w:rPr>
            </w:pPr>
            <w:bookmarkStart w:id="122" w:name="_Toc464487583"/>
            <w:bookmarkStart w:id="123" w:name="_Toc465100071"/>
            <w:r w:rsidRPr="00386CD6">
              <w:rPr>
                <w:szCs w:val="18"/>
              </w:rPr>
              <w:t>b)</w:t>
            </w:r>
            <w:r w:rsidRPr="00386CD6">
              <w:rPr>
                <w:szCs w:val="18"/>
              </w:rPr>
              <w:tab/>
              <w:t>Nombre de titres octroyés</w:t>
            </w:r>
            <w:bookmarkEnd w:id="122"/>
            <w:bookmarkEnd w:id="123"/>
          </w:p>
          <w:p w:rsidR="0083792B" w:rsidRPr="00386CD6" w:rsidRDefault="0083792B" w:rsidP="0085651C">
            <w:pPr>
              <w:tabs>
                <w:tab w:val="left" w:pos="2410"/>
                <w:tab w:val="left" w:pos="4536"/>
                <w:tab w:val="left" w:pos="9072"/>
              </w:tabs>
              <w:jc w:val="left"/>
              <w:rPr>
                <w:sz w:val="18"/>
                <w:szCs w:val="18"/>
              </w:rPr>
            </w:pPr>
            <w:r w:rsidRPr="00386CD6">
              <w:rPr>
                <w:sz w:val="18"/>
                <w:szCs w:val="18"/>
                <w:lang w:eastAsia="ja-JP"/>
              </w:rPr>
              <w:t xml:space="preserve">11 569 </w:t>
            </w:r>
            <w:r w:rsidRPr="00386CD6">
              <w:rPr>
                <w:sz w:val="18"/>
                <w:szCs w:val="18"/>
              </w:rPr>
              <w:t>titres octroyés par des membres de l’Union en 201</w:t>
            </w:r>
            <w:r w:rsidRPr="00386CD6">
              <w:rPr>
                <w:sz w:val="18"/>
                <w:szCs w:val="18"/>
                <w:lang w:eastAsia="ja-JP"/>
              </w:rPr>
              <w:t xml:space="preserve">4 </w:t>
            </w:r>
            <w:r w:rsidRPr="00386CD6">
              <w:rPr>
                <w:sz w:val="18"/>
                <w:szCs w:val="18"/>
              </w:rPr>
              <w:t>(</w:t>
            </w:r>
            <w:r w:rsidRPr="00386CD6">
              <w:rPr>
                <w:sz w:val="18"/>
                <w:szCs w:val="18"/>
                <w:lang w:eastAsia="ja-JP"/>
              </w:rPr>
              <w:t xml:space="preserve">10 052 en 2013;  </w:t>
            </w:r>
            <w:r w:rsidRPr="00386CD6">
              <w:rPr>
                <w:sz w:val="18"/>
                <w:szCs w:val="18"/>
              </w:rPr>
              <w:t>9822 en 2012) (voir le document C/49/7)</w:t>
            </w:r>
          </w:p>
          <w:p w:rsidR="0083792B" w:rsidRPr="00386CD6" w:rsidRDefault="0083792B" w:rsidP="0085651C">
            <w:pPr>
              <w:rPr>
                <w:sz w:val="18"/>
                <w:szCs w:val="18"/>
              </w:rPr>
            </w:pPr>
          </w:p>
          <w:p w:rsidR="0083792B" w:rsidRPr="00386CD6" w:rsidRDefault="0083792B" w:rsidP="0085651C">
            <w:pPr>
              <w:rPr>
                <w:sz w:val="18"/>
                <w:szCs w:val="18"/>
              </w:rPr>
            </w:pPr>
          </w:p>
        </w:tc>
      </w:tr>
      <w:tr w:rsidR="0083792B" w:rsidRPr="00386CD6" w:rsidTr="0085651C">
        <w:trPr>
          <w:cantSplit/>
        </w:trPr>
        <w:tc>
          <w:tcPr>
            <w:tcW w:w="1951" w:type="dxa"/>
          </w:tcPr>
          <w:p w:rsidR="0083792B" w:rsidRPr="00386CD6" w:rsidRDefault="0083792B" w:rsidP="0085651C">
            <w:pPr>
              <w:rPr>
                <w:sz w:val="18"/>
                <w:szCs w:val="18"/>
              </w:rPr>
            </w:pPr>
          </w:p>
        </w:tc>
        <w:tc>
          <w:tcPr>
            <w:tcW w:w="7938" w:type="dxa"/>
          </w:tcPr>
          <w:p w:rsidR="0083792B" w:rsidRPr="00386CD6" w:rsidRDefault="0083792B" w:rsidP="00635368">
            <w:pPr>
              <w:pStyle w:val="Heading8"/>
              <w:tabs>
                <w:tab w:val="left" w:pos="341"/>
              </w:tabs>
              <w:rPr>
                <w:szCs w:val="18"/>
              </w:rPr>
            </w:pPr>
            <w:bookmarkStart w:id="124" w:name="_Toc464487584"/>
            <w:bookmarkStart w:id="125" w:name="_Toc465100072"/>
            <w:r w:rsidRPr="00386CD6">
              <w:rPr>
                <w:szCs w:val="18"/>
              </w:rPr>
              <w:t>c)</w:t>
            </w:r>
            <w:r w:rsidRPr="00386CD6">
              <w:rPr>
                <w:szCs w:val="18"/>
              </w:rPr>
              <w:tab/>
              <w:t>Nombre de titres en vigueur</w:t>
            </w:r>
            <w:bookmarkEnd w:id="124"/>
            <w:bookmarkEnd w:id="125"/>
          </w:p>
          <w:p w:rsidR="0083792B" w:rsidRPr="00386CD6" w:rsidRDefault="0083792B" w:rsidP="0085651C">
            <w:pPr>
              <w:jc w:val="left"/>
              <w:rPr>
                <w:sz w:val="18"/>
                <w:szCs w:val="18"/>
              </w:rPr>
            </w:pPr>
            <w:r w:rsidRPr="00386CD6">
              <w:rPr>
                <w:sz w:val="18"/>
                <w:szCs w:val="18"/>
                <w:lang w:eastAsia="ja-JP"/>
              </w:rPr>
              <w:t xml:space="preserve">106 081 </w:t>
            </w:r>
            <w:r w:rsidRPr="00386CD6">
              <w:rPr>
                <w:sz w:val="18"/>
                <w:szCs w:val="18"/>
              </w:rPr>
              <w:t>titres en vigueur auprès des membres de l’Union en 201</w:t>
            </w:r>
            <w:r w:rsidRPr="00386CD6">
              <w:rPr>
                <w:sz w:val="18"/>
                <w:szCs w:val="18"/>
                <w:lang w:eastAsia="ja-JP"/>
              </w:rPr>
              <w:t>4</w:t>
            </w:r>
            <w:r w:rsidRPr="00386CD6">
              <w:rPr>
                <w:sz w:val="18"/>
                <w:szCs w:val="18"/>
              </w:rPr>
              <w:t xml:space="preserve"> (</w:t>
            </w:r>
            <w:r w:rsidRPr="00386CD6">
              <w:rPr>
                <w:sz w:val="18"/>
                <w:szCs w:val="18"/>
                <w:lang w:eastAsia="ja-JP"/>
              </w:rPr>
              <w:t xml:space="preserve">103 261 en 2013;  </w:t>
            </w:r>
            <w:r w:rsidRPr="00386CD6">
              <w:rPr>
                <w:sz w:val="18"/>
                <w:szCs w:val="18"/>
              </w:rPr>
              <w:t>99 501 en 2012</w:t>
            </w:r>
            <w:r w:rsidRPr="00386CD6">
              <w:rPr>
                <w:sz w:val="18"/>
                <w:szCs w:val="18"/>
                <w:lang w:eastAsia="ja-JP"/>
              </w:rPr>
              <w:t>)</w:t>
            </w:r>
            <w:r w:rsidRPr="00386CD6">
              <w:rPr>
                <w:sz w:val="18"/>
                <w:szCs w:val="18"/>
              </w:rPr>
              <w:t xml:space="preserve"> (voir le document C/4</w:t>
            </w:r>
            <w:r w:rsidRPr="00386CD6">
              <w:rPr>
                <w:sz w:val="18"/>
                <w:szCs w:val="18"/>
                <w:lang w:eastAsia="ja-JP"/>
              </w:rPr>
              <w:t>9</w:t>
            </w:r>
            <w:r w:rsidRPr="00386CD6">
              <w:rPr>
                <w:sz w:val="18"/>
                <w:szCs w:val="18"/>
              </w:rPr>
              <w:t>/7)</w:t>
            </w:r>
          </w:p>
          <w:p w:rsidR="0083792B" w:rsidRPr="00386CD6" w:rsidRDefault="0083792B" w:rsidP="0085651C">
            <w:pPr>
              <w:jc w:val="left"/>
              <w:rPr>
                <w:sz w:val="18"/>
                <w:szCs w:val="18"/>
              </w:rPr>
            </w:pPr>
          </w:p>
          <w:p w:rsidR="0083792B" w:rsidRPr="00386CD6" w:rsidRDefault="0083792B" w:rsidP="0085651C">
            <w:pPr>
              <w:jc w:val="left"/>
              <w:rPr>
                <w:sz w:val="18"/>
                <w:szCs w:val="18"/>
              </w:rPr>
            </w:pPr>
          </w:p>
        </w:tc>
      </w:tr>
      <w:tr w:rsidR="0083792B" w:rsidRPr="00386CD6" w:rsidTr="0085651C">
        <w:trPr>
          <w:cantSplit/>
        </w:trPr>
        <w:tc>
          <w:tcPr>
            <w:tcW w:w="1951" w:type="dxa"/>
          </w:tcPr>
          <w:p w:rsidR="0083792B" w:rsidRPr="00386CD6" w:rsidRDefault="0083792B" w:rsidP="0085651C">
            <w:pPr>
              <w:jc w:val="left"/>
              <w:rPr>
                <w:sz w:val="18"/>
                <w:szCs w:val="18"/>
              </w:rPr>
            </w:pPr>
          </w:p>
        </w:tc>
        <w:tc>
          <w:tcPr>
            <w:tcW w:w="7938" w:type="dxa"/>
          </w:tcPr>
          <w:p w:rsidR="0083792B" w:rsidRPr="00386CD6" w:rsidRDefault="0083792B" w:rsidP="00635368">
            <w:pPr>
              <w:pStyle w:val="Heading8"/>
              <w:tabs>
                <w:tab w:val="left" w:pos="341"/>
              </w:tabs>
              <w:rPr>
                <w:szCs w:val="18"/>
              </w:rPr>
            </w:pPr>
            <w:bookmarkStart w:id="126" w:name="_Toc464487585"/>
            <w:bookmarkStart w:id="127" w:name="_Toc465100073"/>
            <w:r w:rsidRPr="00386CD6">
              <w:rPr>
                <w:szCs w:val="18"/>
              </w:rPr>
              <w:t>d)</w:t>
            </w:r>
            <w:r w:rsidRPr="00386CD6">
              <w:rPr>
                <w:szCs w:val="18"/>
              </w:rPr>
              <w:tab/>
              <w:t>Nombre de genres ou espèces protégés par des membres de l’Union</w:t>
            </w:r>
            <w:bookmarkEnd w:id="126"/>
            <w:bookmarkEnd w:id="127"/>
          </w:p>
          <w:p w:rsidR="0083792B" w:rsidRPr="00386CD6" w:rsidRDefault="0083792B" w:rsidP="0085651C">
            <w:pPr>
              <w:tabs>
                <w:tab w:val="left" w:pos="2410"/>
                <w:tab w:val="left" w:pos="4536"/>
                <w:tab w:val="left" w:pos="9072"/>
              </w:tabs>
              <w:jc w:val="left"/>
              <w:rPr>
                <w:sz w:val="18"/>
                <w:szCs w:val="18"/>
                <w:lang w:eastAsia="ja-JP"/>
              </w:rPr>
            </w:pPr>
            <w:r w:rsidRPr="00386CD6">
              <w:rPr>
                <w:sz w:val="18"/>
                <w:szCs w:val="18"/>
                <w:lang w:eastAsia="ja-JP"/>
              </w:rPr>
              <w:t>À la fin de 2015, 61 membres de l’Union assuraient la protection de tous les genres et espèces (58 en 2014 et 56 en 2013) et 1</w:t>
            </w:r>
            <w:r w:rsidR="00E01D2B">
              <w:rPr>
                <w:sz w:val="18"/>
                <w:szCs w:val="18"/>
                <w:lang w:eastAsia="ja-JP"/>
              </w:rPr>
              <w:t>3</w:t>
            </w:r>
            <w:r w:rsidRPr="00386CD6">
              <w:rPr>
                <w:sz w:val="18"/>
                <w:szCs w:val="18"/>
                <w:lang w:eastAsia="ja-JP"/>
              </w:rPr>
              <w:t xml:space="preserve"> membres la protection d’un nombre limité de genres et d’espèces (14 en 2014;  15 en 2013) (voir le document C/49/6).</w:t>
            </w:r>
          </w:p>
          <w:p w:rsidR="0083792B" w:rsidRPr="00386CD6" w:rsidRDefault="0083792B" w:rsidP="0085651C">
            <w:pPr>
              <w:tabs>
                <w:tab w:val="left" w:pos="2410"/>
                <w:tab w:val="left" w:pos="4536"/>
                <w:tab w:val="left" w:pos="9072"/>
              </w:tabs>
              <w:jc w:val="left"/>
              <w:rPr>
                <w:sz w:val="18"/>
                <w:szCs w:val="18"/>
                <w:lang w:eastAsia="ja-JP"/>
              </w:rPr>
            </w:pPr>
          </w:p>
          <w:p w:rsidR="0083792B" w:rsidRPr="00386CD6" w:rsidRDefault="0083792B" w:rsidP="0085651C">
            <w:pPr>
              <w:tabs>
                <w:tab w:val="left" w:pos="1735"/>
                <w:tab w:val="left" w:pos="2410"/>
                <w:tab w:val="left" w:pos="9072"/>
              </w:tabs>
              <w:jc w:val="left"/>
              <w:rPr>
                <w:sz w:val="18"/>
                <w:szCs w:val="18"/>
              </w:rPr>
            </w:pPr>
            <w:r w:rsidRPr="00386CD6">
              <w:rPr>
                <w:sz w:val="18"/>
                <w:szCs w:val="18"/>
              </w:rPr>
              <w:t>Le membre ci</w:t>
            </w:r>
            <w:r w:rsidRPr="00386CD6">
              <w:rPr>
                <w:sz w:val="18"/>
                <w:szCs w:val="18"/>
              </w:rPr>
              <w:noBreakHyphen/>
              <w:t>après de l’Union a notifié l’extension de leur protection à tous les genres et espèces en 2015 : Belgique</w:t>
            </w:r>
          </w:p>
          <w:p w:rsidR="0083792B" w:rsidRPr="00386CD6" w:rsidRDefault="0083792B" w:rsidP="0085651C">
            <w:pPr>
              <w:tabs>
                <w:tab w:val="left" w:pos="1735"/>
                <w:tab w:val="left" w:pos="2410"/>
                <w:tab w:val="left" w:pos="9072"/>
              </w:tabs>
              <w:jc w:val="left"/>
              <w:rPr>
                <w:sz w:val="18"/>
                <w:szCs w:val="18"/>
              </w:rPr>
            </w:pPr>
          </w:p>
          <w:p w:rsidR="0083792B" w:rsidRPr="00386CD6" w:rsidRDefault="0083792B" w:rsidP="0085651C">
            <w:pPr>
              <w:tabs>
                <w:tab w:val="left" w:pos="1735"/>
                <w:tab w:val="left" w:pos="2410"/>
                <w:tab w:val="left" w:pos="9072"/>
              </w:tabs>
              <w:jc w:val="left"/>
              <w:rPr>
                <w:sz w:val="18"/>
                <w:szCs w:val="18"/>
                <w:lang w:eastAsia="ja-JP"/>
              </w:rPr>
            </w:pPr>
            <w:r w:rsidRPr="00386CD6">
              <w:rPr>
                <w:sz w:val="18"/>
                <w:szCs w:val="18"/>
              </w:rPr>
              <w:t>Les membres ci</w:t>
            </w:r>
            <w:r w:rsidRPr="00386CD6">
              <w:rPr>
                <w:sz w:val="18"/>
                <w:szCs w:val="18"/>
              </w:rPr>
              <w:noBreakHyphen/>
              <w:t>après de l’Union ont notifié l’extension de leur protection à de nouveaux genres et espèces en 2015 : Afrique du Sud, Brésil, Chine, Maroc et Turquie.</w:t>
            </w:r>
          </w:p>
          <w:p w:rsidR="0083792B" w:rsidRPr="00386CD6" w:rsidRDefault="0083792B" w:rsidP="0085651C">
            <w:pPr>
              <w:tabs>
                <w:tab w:val="left" w:pos="1735"/>
                <w:tab w:val="left" w:pos="2410"/>
                <w:tab w:val="left" w:pos="9072"/>
              </w:tabs>
              <w:jc w:val="left"/>
              <w:rPr>
                <w:sz w:val="18"/>
                <w:szCs w:val="18"/>
              </w:rPr>
            </w:pPr>
          </w:p>
          <w:p w:rsidR="0083792B" w:rsidRPr="00386CD6" w:rsidRDefault="0083792B" w:rsidP="0085651C">
            <w:pPr>
              <w:tabs>
                <w:tab w:val="left" w:pos="1735"/>
                <w:tab w:val="left" w:pos="2410"/>
                <w:tab w:val="left" w:pos="9072"/>
              </w:tabs>
              <w:jc w:val="left"/>
              <w:rPr>
                <w:sz w:val="18"/>
                <w:szCs w:val="18"/>
              </w:rPr>
            </w:pPr>
          </w:p>
        </w:tc>
      </w:tr>
      <w:tr w:rsidR="0083792B" w:rsidRPr="00386CD6" w:rsidTr="0085651C">
        <w:trPr>
          <w:cantSplit/>
        </w:trPr>
        <w:tc>
          <w:tcPr>
            <w:tcW w:w="1951" w:type="dxa"/>
          </w:tcPr>
          <w:p w:rsidR="0083792B" w:rsidRPr="00386CD6" w:rsidRDefault="0083792B" w:rsidP="0085651C">
            <w:pPr>
              <w:jc w:val="left"/>
              <w:rPr>
                <w:sz w:val="18"/>
                <w:szCs w:val="18"/>
              </w:rPr>
            </w:pPr>
          </w:p>
        </w:tc>
        <w:tc>
          <w:tcPr>
            <w:tcW w:w="7938" w:type="dxa"/>
          </w:tcPr>
          <w:p w:rsidR="0083792B" w:rsidRPr="00386CD6" w:rsidRDefault="0083792B" w:rsidP="00635368">
            <w:pPr>
              <w:pStyle w:val="Heading8"/>
              <w:tabs>
                <w:tab w:val="left" w:pos="330"/>
              </w:tabs>
              <w:rPr>
                <w:szCs w:val="18"/>
              </w:rPr>
            </w:pPr>
            <w:bookmarkStart w:id="128" w:name="_Toc464487586"/>
            <w:bookmarkStart w:id="129" w:name="_Toc465100074"/>
            <w:r w:rsidRPr="00386CD6">
              <w:rPr>
                <w:szCs w:val="18"/>
              </w:rPr>
              <w:t>e)</w:t>
            </w:r>
            <w:r w:rsidRPr="00386CD6">
              <w:rPr>
                <w:szCs w:val="18"/>
              </w:rPr>
              <w:tab/>
              <w:t>Nombre de genres ou espèces dont des variétés sont protégées</w:t>
            </w:r>
            <w:bookmarkEnd w:id="128"/>
            <w:bookmarkEnd w:id="129"/>
          </w:p>
          <w:p w:rsidR="0083792B" w:rsidRPr="00386CD6" w:rsidRDefault="0083792B" w:rsidP="0085651C">
            <w:pPr>
              <w:tabs>
                <w:tab w:val="left" w:pos="2410"/>
                <w:tab w:val="left" w:pos="4536"/>
                <w:tab w:val="left" w:pos="9072"/>
              </w:tabs>
              <w:jc w:val="left"/>
              <w:rPr>
                <w:sz w:val="18"/>
                <w:szCs w:val="18"/>
                <w:lang w:eastAsia="ja-JP"/>
              </w:rPr>
            </w:pPr>
            <w:r w:rsidRPr="00386CD6">
              <w:rPr>
                <w:sz w:val="18"/>
                <w:szCs w:val="18"/>
              </w:rPr>
              <w:t>Nombre de genres et d’espèces avec des entrées de droits d’obtenteur dans la base de données sur les variétés végétales (PLUTO) : 3,</w:t>
            </w:r>
            <w:r w:rsidRPr="00386CD6">
              <w:rPr>
                <w:sz w:val="18"/>
                <w:szCs w:val="18"/>
                <w:lang w:eastAsia="ja-JP"/>
              </w:rPr>
              <w:t>562</w:t>
            </w:r>
          </w:p>
          <w:p w:rsidR="0083792B" w:rsidRPr="00386CD6" w:rsidRDefault="0083792B" w:rsidP="0085651C">
            <w:pPr>
              <w:tabs>
                <w:tab w:val="left" w:pos="2410"/>
                <w:tab w:val="left" w:pos="4536"/>
                <w:tab w:val="left" w:pos="9072"/>
              </w:tabs>
              <w:jc w:val="left"/>
              <w:rPr>
                <w:sz w:val="18"/>
                <w:szCs w:val="18"/>
              </w:rPr>
            </w:pPr>
            <w:r w:rsidRPr="00386CD6">
              <w:rPr>
                <w:sz w:val="18"/>
                <w:szCs w:val="18"/>
              </w:rPr>
              <w:t>(</w:t>
            </w:r>
            <w:r w:rsidRPr="00386CD6">
              <w:rPr>
                <w:sz w:val="18"/>
                <w:szCs w:val="18"/>
                <w:lang w:eastAsia="ja-JP"/>
              </w:rPr>
              <w:t xml:space="preserve">3454 en août 2014;  </w:t>
            </w:r>
            <w:r w:rsidRPr="00386CD6">
              <w:rPr>
                <w:sz w:val="18"/>
                <w:szCs w:val="18"/>
              </w:rPr>
              <w:t>3297 en août 2013)</w:t>
            </w:r>
          </w:p>
          <w:p w:rsidR="0083792B" w:rsidRPr="00386CD6" w:rsidRDefault="0083792B" w:rsidP="0085651C">
            <w:pPr>
              <w:tabs>
                <w:tab w:val="left" w:pos="1735"/>
                <w:tab w:val="left" w:pos="2410"/>
                <w:tab w:val="left" w:pos="9072"/>
              </w:tabs>
              <w:jc w:val="left"/>
              <w:rPr>
                <w:sz w:val="18"/>
                <w:szCs w:val="18"/>
              </w:rPr>
            </w:pPr>
          </w:p>
          <w:p w:rsidR="0083792B" w:rsidRPr="00386CD6" w:rsidRDefault="0083792B" w:rsidP="0085651C">
            <w:pPr>
              <w:tabs>
                <w:tab w:val="left" w:pos="1735"/>
                <w:tab w:val="left" w:pos="2410"/>
                <w:tab w:val="left" w:pos="9072"/>
              </w:tabs>
              <w:jc w:val="left"/>
              <w:rPr>
                <w:sz w:val="18"/>
                <w:szCs w:val="18"/>
              </w:rPr>
            </w:pPr>
          </w:p>
        </w:tc>
      </w:tr>
      <w:tr w:rsidR="0083792B" w:rsidRPr="00386CD6" w:rsidTr="0085651C">
        <w:trPr>
          <w:cantSplit/>
        </w:trPr>
        <w:tc>
          <w:tcPr>
            <w:tcW w:w="1951" w:type="dxa"/>
          </w:tcPr>
          <w:p w:rsidR="0083792B" w:rsidRPr="00386CD6" w:rsidRDefault="0083792B" w:rsidP="0085651C">
            <w:pPr>
              <w:rPr>
                <w:sz w:val="18"/>
                <w:szCs w:val="18"/>
              </w:rPr>
            </w:pPr>
          </w:p>
        </w:tc>
        <w:tc>
          <w:tcPr>
            <w:tcW w:w="7938" w:type="dxa"/>
          </w:tcPr>
          <w:p w:rsidR="0083792B" w:rsidRPr="00386CD6" w:rsidRDefault="0083792B" w:rsidP="00635368">
            <w:pPr>
              <w:pStyle w:val="Heading8"/>
              <w:tabs>
                <w:tab w:val="left" w:pos="318"/>
              </w:tabs>
              <w:rPr>
                <w:szCs w:val="18"/>
              </w:rPr>
            </w:pPr>
            <w:bookmarkStart w:id="130" w:name="_Toc464487587"/>
            <w:bookmarkStart w:id="131" w:name="_Toc465100075"/>
            <w:r w:rsidRPr="00386CD6">
              <w:rPr>
                <w:szCs w:val="18"/>
              </w:rPr>
              <w:t>f)</w:t>
            </w:r>
            <w:r w:rsidRPr="00386CD6">
              <w:rPr>
                <w:szCs w:val="18"/>
              </w:rPr>
              <w:tab/>
              <w:t>Utilisation par les membres de l’Union de renvois normalisés dans les formulaires de demande</w:t>
            </w:r>
            <w:bookmarkEnd w:id="130"/>
            <w:bookmarkEnd w:id="131"/>
          </w:p>
          <w:p w:rsidR="0083792B" w:rsidRPr="00386CD6" w:rsidRDefault="0083792B" w:rsidP="0085651C">
            <w:pPr>
              <w:autoSpaceDE w:val="0"/>
              <w:autoSpaceDN w:val="0"/>
              <w:adjustRightInd w:val="0"/>
              <w:rPr>
                <w:sz w:val="18"/>
                <w:szCs w:val="18"/>
              </w:rPr>
            </w:pPr>
            <w:r w:rsidRPr="00386CD6">
              <w:rPr>
                <w:sz w:val="18"/>
                <w:szCs w:val="18"/>
              </w:rPr>
              <w:t>En 2012, 13 membres de l’Union ont indiqué que les renvois normalisés au formulaire de demande type de l’UPOV figuraient dans leurs formulaires de demande.</w:t>
            </w:r>
          </w:p>
          <w:p w:rsidR="0083792B" w:rsidRPr="00386CD6" w:rsidRDefault="0083792B" w:rsidP="0085651C">
            <w:pPr>
              <w:rPr>
                <w:sz w:val="18"/>
                <w:szCs w:val="18"/>
              </w:rPr>
            </w:pPr>
          </w:p>
          <w:p w:rsidR="0083792B" w:rsidRPr="00386CD6" w:rsidRDefault="0083792B" w:rsidP="0085651C">
            <w:pPr>
              <w:rPr>
                <w:sz w:val="18"/>
                <w:szCs w:val="18"/>
              </w:rPr>
            </w:pPr>
            <w:r w:rsidRPr="00386CD6">
              <w:rPr>
                <w:sz w:val="18"/>
                <w:szCs w:val="18"/>
              </w:rPr>
              <w:t>Aucune nouvelle information n’a été communiquée à cet égard entre 2013 et 2015.</w:t>
            </w:r>
          </w:p>
          <w:p w:rsidR="0083792B" w:rsidRPr="00386CD6" w:rsidRDefault="0083792B" w:rsidP="0085651C">
            <w:pPr>
              <w:rPr>
                <w:sz w:val="18"/>
                <w:szCs w:val="18"/>
              </w:rPr>
            </w:pPr>
          </w:p>
          <w:p w:rsidR="0083792B" w:rsidRPr="00386CD6" w:rsidRDefault="0083792B" w:rsidP="0085651C">
            <w:pPr>
              <w:rPr>
                <w:sz w:val="18"/>
                <w:szCs w:val="18"/>
              </w:rPr>
            </w:pPr>
          </w:p>
        </w:tc>
      </w:tr>
    </w:tbl>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rPr>
          <w:cantSplit/>
        </w:trPr>
        <w:tc>
          <w:tcPr>
            <w:tcW w:w="1951" w:type="dxa"/>
          </w:tcPr>
          <w:p w:rsidR="0083792B" w:rsidRPr="00386CD6" w:rsidRDefault="0083792B" w:rsidP="00635368">
            <w:pPr>
              <w:tabs>
                <w:tab w:val="left" w:pos="288"/>
              </w:tabs>
              <w:jc w:val="left"/>
              <w:rPr>
                <w:sz w:val="18"/>
                <w:szCs w:val="18"/>
              </w:rPr>
            </w:pPr>
          </w:p>
        </w:tc>
        <w:tc>
          <w:tcPr>
            <w:tcW w:w="7938" w:type="dxa"/>
          </w:tcPr>
          <w:p w:rsidR="0083792B" w:rsidRPr="00386CD6" w:rsidRDefault="0083792B" w:rsidP="00635368">
            <w:pPr>
              <w:pStyle w:val="Heading8"/>
              <w:tabs>
                <w:tab w:val="left" w:pos="330"/>
              </w:tabs>
              <w:rPr>
                <w:szCs w:val="18"/>
              </w:rPr>
            </w:pPr>
            <w:bookmarkStart w:id="132" w:name="_Toc464487588"/>
            <w:bookmarkStart w:id="133" w:name="_Toc465100076"/>
            <w:r w:rsidRPr="00386CD6">
              <w:rPr>
                <w:szCs w:val="18"/>
              </w:rPr>
              <w:t>g)</w:t>
            </w:r>
            <w:r w:rsidRPr="00386CD6">
              <w:rPr>
                <w:szCs w:val="18"/>
              </w:rPr>
              <w:tab/>
              <w:t>Projet de formulaire de demande électronique de l’UPOV</w:t>
            </w:r>
            <w:bookmarkEnd w:id="132"/>
            <w:bookmarkEnd w:id="133"/>
          </w:p>
          <w:p w:rsidR="0083792B" w:rsidRPr="00386CD6" w:rsidRDefault="0083792B" w:rsidP="0085651C">
            <w:pPr>
              <w:rPr>
                <w:sz w:val="18"/>
                <w:szCs w:val="18"/>
              </w:rPr>
            </w:pPr>
            <w:r w:rsidRPr="00386CD6">
              <w:rPr>
                <w:sz w:val="18"/>
                <w:szCs w:val="18"/>
              </w:rPr>
              <w:t>En 2014, les membres de l’Union suivants ont participé au projet d’élaboration d’un formulaire prototype de dépôt électronique de demandes : Allemagne, Argentine, Australie, Brésil, Canada, Colombie, Équateur, États</w:t>
            </w:r>
            <w:r w:rsidRPr="00386CD6">
              <w:rPr>
                <w:sz w:val="18"/>
                <w:szCs w:val="18"/>
              </w:rPr>
              <w:noBreakHyphen/>
              <w:t>Unis d’Amérique, France, Japon, Mexique, Nouvelle</w:t>
            </w:r>
            <w:r w:rsidRPr="00386CD6">
              <w:rPr>
                <w:sz w:val="18"/>
                <w:szCs w:val="18"/>
              </w:rPr>
              <w:noBreakHyphen/>
              <w:t>Zélande, Paraguay, Pays</w:t>
            </w:r>
            <w:r w:rsidRPr="00386CD6">
              <w:rPr>
                <w:sz w:val="18"/>
                <w:szCs w:val="18"/>
              </w:rPr>
              <w:noBreakHyphen/>
              <w:t>Bas, République de Corée, République dominicaine, Suisse, Union européenne et Viet Nam.  Un projet de schéma PVP XML a été mis au point.  L’élaboration du prototype de formulaire de dépôt électronique de demandes a été entreprise.</w:t>
            </w:r>
          </w:p>
          <w:p w:rsidR="0083792B" w:rsidRPr="00386CD6" w:rsidRDefault="0083792B" w:rsidP="0085651C">
            <w:pPr>
              <w:rPr>
                <w:sz w:val="18"/>
                <w:szCs w:val="18"/>
              </w:rPr>
            </w:pPr>
          </w:p>
          <w:p w:rsidR="0083792B" w:rsidRPr="00386CD6" w:rsidRDefault="0083792B" w:rsidP="0085651C">
            <w:pPr>
              <w:rPr>
                <w:sz w:val="18"/>
                <w:szCs w:val="18"/>
              </w:rPr>
            </w:pPr>
            <w:r w:rsidRPr="00386CD6">
              <w:rPr>
                <w:sz w:val="18"/>
                <w:szCs w:val="18"/>
              </w:rPr>
              <w:t>En 2015, les membres de l’Union participant à l’élaboration d’un prototype de formulaire électronique sont convenus que la version 1 du prototype de formulaire de dépôt électronique des demandes (PV1) démontrait la faisabilité du projet.  Il a été convenu de mettre au point une version 2 du formulaire (PV2) en vue de</w:t>
            </w:r>
            <w:r w:rsidRPr="00386CD6">
              <w:t xml:space="preserve"> </w:t>
            </w:r>
            <w:r w:rsidRPr="00386CD6">
              <w:rPr>
                <w:sz w:val="18"/>
                <w:szCs w:val="18"/>
              </w:rPr>
              <w:t>montrer l’évolutivité du système, à savoir l’ajout de nouveaux types de plantes, de nouvelles langues et de nouveaux services de protection des obtentions végétales, ainsi que la faisabilité de sa mise en œuvre par les services de protection des obtentions végétales.  Il a été convenu d’examiner la possibilité de mettre en œuvre un système opérationnel.</w:t>
            </w:r>
          </w:p>
        </w:tc>
      </w:tr>
    </w:tbl>
    <w:p w:rsidR="0083792B" w:rsidRPr="00386CD6" w:rsidRDefault="0083792B" w:rsidP="0085651C"/>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tcPr>
          <w:p w:rsidR="0083792B" w:rsidRPr="00386CD6" w:rsidRDefault="00635368" w:rsidP="00635368">
            <w:pPr>
              <w:pStyle w:val="Heading6"/>
              <w:tabs>
                <w:tab w:val="left" w:pos="276"/>
              </w:tabs>
            </w:pPr>
            <w:bookmarkStart w:id="134" w:name="_Toc464487589"/>
            <w:bookmarkStart w:id="135" w:name="_Toc465100077"/>
            <w:r w:rsidRPr="00386CD6">
              <w:t>7.</w:t>
            </w:r>
            <w:r w:rsidRPr="00386CD6">
              <w:tab/>
            </w:r>
            <w:r w:rsidR="0083792B" w:rsidRPr="00386CD6">
              <w:t>Fourniture d’informations sur la Convention UPOV à l’intention des parties prenantes (obtenteurs, agriculteurs, producteurs, vendeurs de semences, etc.)</w:t>
            </w:r>
            <w:bookmarkEnd w:id="134"/>
            <w:bookmarkEnd w:id="135"/>
          </w:p>
        </w:tc>
        <w:tc>
          <w:tcPr>
            <w:tcW w:w="7938" w:type="dxa"/>
          </w:tcPr>
          <w:p w:rsidR="0083792B" w:rsidRPr="00386CD6" w:rsidRDefault="0083792B" w:rsidP="00635368">
            <w:pPr>
              <w:pStyle w:val="Heading8"/>
              <w:tabs>
                <w:tab w:val="left" w:pos="330"/>
              </w:tabs>
              <w:rPr>
                <w:szCs w:val="18"/>
              </w:rPr>
            </w:pPr>
            <w:bookmarkStart w:id="136" w:name="_Toc464487590"/>
            <w:bookmarkStart w:id="137" w:name="_Toc465100078"/>
            <w:r w:rsidRPr="00386CD6">
              <w:rPr>
                <w:szCs w:val="18"/>
              </w:rPr>
              <w:t>a)</w:t>
            </w:r>
            <w:r w:rsidRPr="00386CD6">
              <w:rPr>
                <w:szCs w:val="18"/>
              </w:rPr>
              <w:tab/>
              <w:t>Informations destinées aux parties prenantes sur le site Web de l’UPOV</w:t>
            </w:r>
            <w:bookmarkEnd w:id="136"/>
            <w:bookmarkEnd w:id="137"/>
          </w:p>
          <w:p w:rsidR="0083792B" w:rsidRPr="00386CD6" w:rsidRDefault="0083792B" w:rsidP="0085651C">
            <w:pPr>
              <w:rPr>
                <w:sz w:val="18"/>
                <w:szCs w:val="18"/>
              </w:rPr>
            </w:pPr>
            <w:r w:rsidRPr="00386CD6">
              <w:rPr>
                <w:sz w:val="18"/>
                <w:szCs w:val="18"/>
              </w:rPr>
              <w:t>Aucun nouveau matériel n’a été publié sur le site Web de l’UPOV en 2015.</w:t>
            </w:r>
          </w:p>
          <w:p w:rsidR="0083792B" w:rsidRPr="00386CD6" w:rsidRDefault="0083792B" w:rsidP="0085651C">
            <w:pPr>
              <w:rPr>
                <w:sz w:val="18"/>
                <w:szCs w:val="18"/>
              </w:rPr>
            </w:pPr>
          </w:p>
        </w:tc>
      </w:tr>
    </w:tbl>
    <w:p w:rsidR="0083792B" w:rsidRPr="00386CD6" w:rsidRDefault="0083792B" w:rsidP="0085651C"/>
    <w:p w:rsidR="0083792B" w:rsidRPr="00386CD6" w:rsidRDefault="0083792B" w:rsidP="0085651C">
      <w:pPr>
        <w:rPr>
          <w:sz w:val="18"/>
          <w:szCs w:val="18"/>
        </w:rPr>
      </w:pPr>
    </w:p>
    <w:p w:rsidR="0083792B" w:rsidRPr="00386CD6" w:rsidRDefault="0083792B" w:rsidP="0085651C">
      <w:pPr>
        <w:pStyle w:val="Heading3"/>
        <w:rPr>
          <w:lang w:val="fr-FR"/>
        </w:rPr>
      </w:pPr>
      <w:r w:rsidRPr="00386CD6">
        <w:rPr>
          <w:lang w:val="fr-FR"/>
        </w:rPr>
        <w:br w:type="page"/>
      </w:r>
      <w:bookmarkStart w:id="138" w:name="_Toc464487591"/>
      <w:bookmarkStart w:id="139" w:name="_Toc465100079"/>
      <w:r w:rsidRPr="00386CD6">
        <w:rPr>
          <w:lang w:val="fr-FR"/>
        </w:rPr>
        <w:t>Sous</w:t>
      </w:r>
      <w:r w:rsidRPr="00386CD6">
        <w:rPr>
          <w:lang w:val="fr-FR"/>
        </w:rPr>
        <w:noBreakHyphen/>
        <w:t>programme UV.3 : Aide à la mise en place et à l’application du système de l’UPOV</w:t>
      </w:r>
      <w:bookmarkEnd w:id="138"/>
      <w:bookmarkEnd w:id="139"/>
    </w:p>
    <w:p w:rsidR="0083792B" w:rsidRPr="00386CD6" w:rsidRDefault="0083792B" w:rsidP="0085651C">
      <w:pPr>
        <w:rPr>
          <w:sz w:val="18"/>
          <w:szCs w:val="18"/>
        </w:rPr>
      </w:pPr>
    </w:p>
    <w:p w:rsidR="0083792B" w:rsidRPr="00386CD6" w:rsidRDefault="0083792B" w:rsidP="0085651C">
      <w:pPr>
        <w:rPr>
          <w:sz w:val="18"/>
          <w:szCs w:val="18"/>
        </w:rPr>
      </w:pPr>
      <w:r w:rsidRPr="00386CD6">
        <w:rPr>
          <w:sz w:val="18"/>
          <w:szCs w:val="18"/>
        </w:rPr>
        <w:t>L’Union a aidé un certain nombre d’États à mettre en place un système de protection des obtentions végétales sur la base des dispositions de la Convention UPOV et a donné aux gouvernements des conseils sur la manière d’élaborer la législation appropriée.  La coopération avec les membres de l’Union, notamment pour ce qui est des cours de formation, a donné des résultats notables en termes de communication.  L’utilisation des cours d’enseignement à distance “Mise en place du système UPOV de protection des obtentions végétales selon la Convention UPOV” (DL</w:t>
      </w:r>
      <w:r w:rsidRPr="00386CD6">
        <w:rPr>
          <w:sz w:val="18"/>
          <w:szCs w:val="18"/>
        </w:rPr>
        <w:noBreakHyphen/>
        <w:t>205) et “Examen des demandes de droits d’obtenteur” (DL</w:t>
      </w:r>
      <w:r w:rsidRPr="00386CD6">
        <w:rPr>
          <w:sz w:val="18"/>
          <w:szCs w:val="18"/>
        </w:rPr>
        <w:noBreakHyphen/>
        <w:t>305), et la formation de formateurs revêtent une importance particulière pour la prestation d’une assistance à un large éventail d’experts.</w:t>
      </w:r>
    </w:p>
    <w:p w:rsidR="0083792B" w:rsidRPr="00386CD6" w:rsidRDefault="0083792B" w:rsidP="0085651C">
      <w:pPr>
        <w:rPr>
          <w:sz w:val="18"/>
          <w:szCs w:val="18"/>
        </w:rPr>
      </w:pPr>
    </w:p>
    <w:p w:rsidR="0083792B" w:rsidRPr="00386CD6" w:rsidRDefault="0083792B" w:rsidP="0085651C">
      <w:pPr>
        <w:rPr>
          <w:sz w:val="18"/>
          <w:szCs w:val="18"/>
        </w:rPr>
      </w:pPr>
    </w:p>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tcPr>
          <w:p w:rsidR="0083792B" w:rsidRPr="00386CD6" w:rsidRDefault="0083792B" w:rsidP="0085651C">
            <w:pPr>
              <w:pStyle w:val="Heading5"/>
              <w:rPr>
                <w:lang w:val="fr-FR"/>
              </w:rPr>
            </w:pPr>
            <w:bookmarkStart w:id="140" w:name="_Toc464487592"/>
            <w:bookmarkStart w:id="141" w:name="_Toc465100080"/>
            <w:r w:rsidRPr="00386CD6">
              <w:rPr>
                <w:lang w:val="fr-FR"/>
              </w:rPr>
              <w:t>Objectifs :</w:t>
            </w:r>
            <w:bookmarkEnd w:id="140"/>
            <w:bookmarkEnd w:id="141"/>
          </w:p>
        </w:tc>
        <w:tc>
          <w:tcPr>
            <w:tcW w:w="7938" w:type="dxa"/>
          </w:tcPr>
          <w:p w:rsidR="0083792B" w:rsidRPr="00386CD6" w:rsidRDefault="0083792B" w:rsidP="0085651C">
            <w:pPr>
              <w:keepNext/>
              <w:keepLines/>
              <w:widowControl w:val="0"/>
              <w:numPr>
                <w:ilvl w:val="0"/>
                <w:numId w:val="2"/>
              </w:numPr>
              <w:jc w:val="left"/>
              <w:rPr>
                <w:spacing w:val="-1"/>
                <w:sz w:val="18"/>
                <w:szCs w:val="18"/>
              </w:rPr>
            </w:pPr>
            <w:r w:rsidRPr="00386CD6">
              <w:rPr>
                <w:spacing w:val="-1"/>
                <w:sz w:val="18"/>
                <w:szCs w:val="18"/>
              </w:rPr>
              <w:t>Faire mieux connaître l’importance de la protection des obtentions végétales conformément à la Convention UPOV.</w:t>
            </w:r>
          </w:p>
          <w:p w:rsidR="0083792B" w:rsidRPr="00386CD6" w:rsidRDefault="0083792B" w:rsidP="0085651C">
            <w:pPr>
              <w:keepNext/>
              <w:keepLines/>
              <w:widowControl w:val="0"/>
              <w:numPr>
                <w:ilvl w:val="0"/>
                <w:numId w:val="2"/>
              </w:numPr>
              <w:jc w:val="left"/>
              <w:rPr>
                <w:sz w:val="18"/>
                <w:szCs w:val="18"/>
              </w:rPr>
            </w:pPr>
            <w:r w:rsidRPr="00386CD6">
              <w:rPr>
                <w:sz w:val="18"/>
                <w:szCs w:val="18"/>
              </w:rPr>
              <w:t>Aider les États et les organisations, en particulier les gouvernements des pays en développement et des pays en transition vers l’économie de marché, à élaborer une législation conforme à l’Acte de 1991 de la Convention UPOV.</w:t>
            </w:r>
          </w:p>
          <w:p w:rsidR="0083792B" w:rsidRPr="00386CD6" w:rsidRDefault="0083792B" w:rsidP="0085651C">
            <w:pPr>
              <w:keepNext/>
              <w:keepLines/>
              <w:widowControl w:val="0"/>
              <w:numPr>
                <w:ilvl w:val="0"/>
                <w:numId w:val="2"/>
              </w:numPr>
              <w:jc w:val="left"/>
              <w:rPr>
                <w:sz w:val="18"/>
                <w:szCs w:val="18"/>
              </w:rPr>
            </w:pPr>
            <w:r w:rsidRPr="00386CD6">
              <w:rPr>
                <w:sz w:val="18"/>
                <w:szCs w:val="18"/>
              </w:rPr>
              <w:t>Aider les États et les organisations à adhérer à l’Acte de 1991 de la Convention UPOV.</w:t>
            </w:r>
          </w:p>
          <w:p w:rsidR="0083792B" w:rsidRPr="00386CD6" w:rsidRDefault="0083792B" w:rsidP="0085651C">
            <w:pPr>
              <w:keepNext/>
              <w:keepLines/>
              <w:widowControl w:val="0"/>
              <w:numPr>
                <w:ilvl w:val="0"/>
                <w:numId w:val="2"/>
              </w:numPr>
              <w:jc w:val="left"/>
              <w:rPr>
                <w:sz w:val="18"/>
                <w:szCs w:val="18"/>
              </w:rPr>
            </w:pPr>
            <w:r w:rsidRPr="00386CD6">
              <w:rPr>
                <w:sz w:val="18"/>
                <w:szCs w:val="18"/>
              </w:rPr>
              <w:t>Aider les États et les organisations à mettre en œuvre un système efficace de protection des obtentions végétales conforme à l’Acte de 1991 de la Convention UPOV.</w:t>
            </w:r>
          </w:p>
        </w:tc>
      </w:tr>
    </w:tbl>
    <w:p w:rsidR="0083792B" w:rsidRPr="00386CD6" w:rsidRDefault="0083792B" w:rsidP="0085651C">
      <w:pPr>
        <w:rPr>
          <w:sz w:val="18"/>
          <w:szCs w:val="18"/>
        </w:rPr>
      </w:pPr>
    </w:p>
    <w:p w:rsidR="0083792B" w:rsidRPr="00386CD6" w:rsidRDefault="0083792B" w:rsidP="0085651C">
      <w:pPr>
        <w:rPr>
          <w:sz w:val="18"/>
          <w:szCs w:val="18"/>
        </w:rPr>
      </w:pPr>
    </w:p>
    <w:tbl>
      <w:tblPr>
        <w:tblW w:w="9889" w:type="dxa"/>
        <w:tblLayout w:type="fixed"/>
        <w:tblLook w:val="0000" w:firstRow="0" w:lastRow="0" w:firstColumn="0" w:lastColumn="0" w:noHBand="0" w:noVBand="0"/>
      </w:tblPr>
      <w:tblGrid>
        <w:gridCol w:w="1951"/>
        <w:gridCol w:w="7938"/>
      </w:tblGrid>
      <w:tr w:rsidR="0083792B" w:rsidRPr="00386CD6" w:rsidTr="0085651C">
        <w:trPr>
          <w:tblHeader/>
        </w:trPr>
        <w:tc>
          <w:tcPr>
            <w:tcW w:w="1951" w:type="dxa"/>
          </w:tcPr>
          <w:p w:rsidR="0083792B" w:rsidRPr="00386CD6" w:rsidRDefault="0083792B" w:rsidP="0085651C">
            <w:pPr>
              <w:pStyle w:val="Heading5"/>
              <w:rPr>
                <w:lang w:val="fr-FR"/>
              </w:rPr>
            </w:pPr>
            <w:bookmarkStart w:id="142" w:name="_Toc464487593"/>
            <w:bookmarkStart w:id="143" w:name="_Toc465100081"/>
            <w:r w:rsidRPr="00386CD6">
              <w:rPr>
                <w:lang w:val="fr-FR"/>
              </w:rPr>
              <w:t>Résultats escomptés</w:t>
            </w:r>
            <w:bookmarkEnd w:id="142"/>
            <w:bookmarkEnd w:id="143"/>
          </w:p>
        </w:tc>
        <w:tc>
          <w:tcPr>
            <w:tcW w:w="7938" w:type="dxa"/>
          </w:tcPr>
          <w:p w:rsidR="0083792B" w:rsidRPr="00386CD6" w:rsidRDefault="0083792B" w:rsidP="0085651C">
            <w:pPr>
              <w:pStyle w:val="Heading7"/>
            </w:pPr>
            <w:bookmarkStart w:id="144" w:name="_Toc464487594"/>
            <w:bookmarkStart w:id="145" w:name="_Toc465100082"/>
            <w:r w:rsidRPr="00386CD6">
              <w:t>Résultats obtenus : indicateurs d’exécution</w:t>
            </w:r>
            <w:bookmarkEnd w:id="144"/>
            <w:bookmarkEnd w:id="145"/>
          </w:p>
        </w:tc>
      </w:tr>
      <w:tr w:rsidR="0083792B" w:rsidRPr="00386CD6" w:rsidTr="0085651C">
        <w:tc>
          <w:tcPr>
            <w:tcW w:w="1951" w:type="dxa"/>
          </w:tcPr>
          <w:p w:rsidR="0083792B" w:rsidRPr="00386CD6" w:rsidRDefault="0083792B" w:rsidP="00635368">
            <w:pPr>
              <w:pStyle w:val="Heading6"/>
              <w:tabs>
                <w:tab w:val="left" w:pos="288"/>
              </w:tabs>
            </w:pPr>
            <w:bookmarkStart w:id="146" w:name="_Toc464487595"/>
            <w:bookmarkStart w:id="147" w:name="_Toc465100083"/>
            <w:r w:rsidRPr="00386CD6">
              <w:t>1.</w:t>
            </w:r>
            <w:r w:rsidR="00635368" w:rsidRPr="00386CD6">
              <w:tab/>
            </w:r>
            <w:r w:rsidRPr="00386CD6">
              <w:t>Sensibilisation au rôle de la protection des obtentions végétales conformément à la Convention UPOV</w:t>
            </w:r>
            <w:bookmarkEnd w:id="146"/>
            <w:bookmarkEnd w:id="147"/>
          </w:p>
        </w:tc>
        <w:tc>
          <w:tcPr>
            <w:tcW w:w="7938" w:type="dxa"/>
          </w:tcPr>
          <w:p w:rsidR="0083792B" w:rsidRPr="00386CD6" w:rsidRDefault="0083792B" w:rsidP="00635368">
            <w:pPr>
              <w:pStyle w:val="Heading8"/>
              <w:tabs>
                <w:tab w:val="left" w:pos="341"/>
              </w:tabs>
              <w:rPr>
                <w:szCs w:val="18"/>
              </w:rPr>
            </w:pPr>
            <w:bookmarkStart w:id="148" w:name="_Toc464487596"/>
            <w:bookmarkStart w:id="149" w:name="_Toc465100084"/>
            <w:r w:rsidRPr="00386CD6">
              <w:rPr>
                <w:szCs w:val="18"/>
              </w:rPr>
              <w:t>a)</w:t>
            </w:r>
            <w:r w:rsidRPr="00386CD6">
              <w:rPr>
                <w:szCs w:val="18"/>
              </w:rPr>
              <w:tab/>
              <w:t>Publications sur le rôle du système de l’UPOV de protection des obtentions végétales, y compris des documents sur le site Web</w:t>
            </w:r>
            <w:bookmarkEnd w:id="148"/>
            <w:bookmarkEnd w:id="149"/>
          </w:p>
          <w:p w:rsidR="0083792B" w:rsidRPr="00386CD6" w:rsidRDefault="0083792B" w:rsidP="0085651C">
            <w:pPr>
              <w:spacing w:after="120"/>
              <w:rPr>
                <w:sz w:val="18"/>
                <w:szCs w:val="18"/>
              </w:rPr>
            </w:pPr>
            <w:r w:rsidRPr="00386CD6">
              <w:rPr>
                <w:sz w:val="18"/>
                <w:szCs w:val="18"/>
              </w:rPr>
              <w:t>Voir le sous</w:t>
            </w:r>
            <w:r w:rsidRPr="00386CD6">
              <w:rPr>
                <w:sz w:val="18"/>
                <w:szCs w:val="18"/>
              </w:rPr>
              <w:noBreakHyphen/>
              <w:t>programme UV.2, indicateur d’exécution “7.  Fourniture d’informations sur la Convention UPOV à l’intention des parties prenantes (obtenteurs, agriculteurs, producteurs, vendeurs de semences, etc.)”, section a)</w:t>
            </w:r>
          </w:p>
          <w:p w:rsidR="0083792B" w:rsidRPr="00386CD6" w:rsidRDefault="0083792B" w:rsidP="0085651C">
            <w:pPr>
              <w:rPr>
                <w:szCs w:val="18"/>
              </w:rPr>
            </w:pPr>
          </w:p>
          <w:p w:rsidR="0083792B" w:rsidRPr="00386CD6" w:rsidRDefault="0083792B" w:rsidP="00635368">
            <w:pPr>
              <w:pStyle w:val="Heading8"/>
              <w:tabs>
                <w:tab w:val="left" w:pos="330"/>
              </w:tabs>
              <w:rPr>
                <w:szCs w:val="18"/>
              </w:rPr>
            </w:pPr>
            <w:bookmarkStart w:id="150" w:name="_Toc464487597"/>
            <w:bookmarkStart w:id="151" w:name="_Toc465100085"/>
            <w:r w:rsidRPr="00386CD6">
              <w:rPr>
                <w:szCs w:val="18"/>
              </w:rPr>
              <w:t>b)</w:t>
            </w:r>
            <w:r w:rsidRPr="00386CD6">
              <w:rPr>
                <w:szCs w:val="18"/>
              </w:rPr>
              <w:tab/>
              <w:t>Fourniture aux États et aux organisations d’informations sur les activités de l’UPOV</w:t>
            </w:r>
            <w:bookmarkEnd w:id="150"/>
            <w:bookmarkEnd w:id="151"/>
          </w:p>
          <w:p w:rsidR="0083792B" w:rsidRPr="00386CD6" w:rsidRDefault="0083792B" w:rsidP="0085651C">
            <w:pPr>
              <w:rPr>
                <w:sz w:val="18"/>
              </w:rPr>
            </w:pPr>
            <w:r w:rsidRPr="00386CD6">
              <w:rPr>
                <w:sz w:val="18"/>
              </w:rPr>
              <w:t>Afrique du Sud, Allemagne, Argentine, Australie, Bénin, Bolivie (État plurinational de), Botswana, Brésil, Brunéi Darussalam, Burkina Faso, Cambodge, Cameroun, Chili, Chine, Colombie, Costa Rica, Côte d’Ivoire, Cuba, El Salvador, Équateur, États</w:t>
            </w:r>
            <w:r w:rsidRPr="00386CD6">
              <w:rPr>
                <w:sz w:val="18"/>
              </w:rPr>
              <w:noBreakHyphen/>
              <w:t>Unis d’Amérique, ex</w:t>
            </w:r>
            <w:r w:rsidRPr="00386CD6">
              <w:rPr>
                <w:sz w:val="18"/>
              </w:rPr>
              <w:noBreakHyphen/>
              <w:t>République yougoslave de Macédoine, France, Ghana, Guatemala, Guinée, Guinée</w:t>
            </w:r>
            <w:r w:rsidRPr="00386CD6">
              <w:rPr>
                <w:sz w:val="18"/>
              </w:rPr>
              <w:noBreakHyphen/>
              <w:t>Bissau, Honduras, Indonésie, Jamaïque, Japon, Kenya, Malaisie, Malawi, Mali, Mauritanie, Mexique, Mozambique, Myanmar, Namibie, Nicaragua, Niger, Oman, Ouganda, Panama, Paraguay, Pays</w:t>
            </w:r>
            <w:r w:rsidRPr="00386CD6">
              <w:rPr>
                <w:sz w:val="18"/>
              </w:rPr>
              <w:noBreakHyphen/>
              <w:t>Bas, Pérou, République centrafricaine, République de Corée, République démocratique populaire lao, République dominicaine, République</w:t>
            </w:r>
            <w:r w:rsidRPr="00386CD6">
              <w:rPr>
                <w:sz w:val="18"/>
              </w:rPr>
              <w:noBreakHyphen/>
              <w:t xml:space="preserve">Unie de Tanzanie, Rwanda, Sénégal, Serbie, Sierra Leone, Singapour, Thaïlande, Togo, Union européenne, Uruguay, Viet Nam, Zambie, Zimbabwe, AFSTA, CGIAR, OAPI (65 </w:t>
            </w:r>
            <w:r w:rsidRPr="00386CD6">
              <w:rPr>
                <w:rFonts w:cs="Arial"/>
                <w:sz w:val="18"/>
              </w:rPr>
              <w:t>États</w:t>
            </w:r>
            <w:r w:rsidRPr="00386CD6">
              <w:rPr>
                <w:sz w:val="18"/>
              </w:rPr>
              <w:t>, 3 organisations)</w:t>
            </w:r>
          </w:p>
          <w:p w:rsidR="0083792B" w:rsidRPr="00386CD6" w:rsidRDefault="0083792B" w:rsidP="0085651C">
            <w:pPr>
              <w:rPr>
                <w:sz w:val="18"/>
                <w:szCs w:val="18"/>
              </w:rPr>
            </w:pPr>
          </w:p>
          <w:p w:rsidR="0083792B" w:rsidRPr="00386CD6" w:rsidRDefault="0083792B" w:rsidP="0085651C">
            <w:pPr>
              <w:rPr>
                <w:sz w:val="18"/>
                <w:szCs w:val="18"/>
              </w:rPr>
            </w:pPr>
            <w:r w:rsidRPr="00386CD6">
              <w:rPr>
                <w:sz w:val="18"/>
                <w:szCs w:val="18"/>
              </w:rPr>
              <w:t>Voir également l’alinéa e) ci</w:t>
            </w:r>
            <w:r w:rsidRPr="00386CD6">
              <w:rPr>
                <w:sz w:val="18"/>
                <w:szCs w:val="18"/>
              </w:rPr>
              <w:noBreakHyphen/>
              <w:t>dessous</w:t>
            </w:r>
          </w:p>
        </w:tc>
      </w:tr>
    </w:tbl>
    <w:p w:rsidR="0083792B" w:rsidRPr="00386CD6" w:rsidRDefault="0083792B" w:rsidP="0085651C"/>
    <w:p w:rsidR="0083792B" w:rsidRPr="00386CD6" w:rsidRDefault="0083792B"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tcPr>
          <w:p w:rsidR="0083792B" w:rsidRPr="00386CD6" w:rsidRDefault="0083792B" w:rsidP="0085651C">
            <w:pPr>
              <w:jc w:val="left"/>
              <w:rPr>
                <w:sz w:val="18"/>
                <w:szCs w:val="18"/>
              </w:rPr>
            </w:pPr>
          </w:p>
        </w:tc>
        <w:tc>
          <w:tcPr>
            <w:tcW w:w="7938" w:type="dxa"/>
          </w:tcPr>
          <w:p w:rsidR="0083792B" w:rsidRPr="00386CD6" w:rsidRDefault="0083792B" w:rsidP="00635368">
            <w:pPr>
              <w:pStyle w:val="Heading8"/>
              <w:tabs>
                <w:tab w:val="left" w:pos="330"/>
              </w:tabs>
              <w:rPr>
                <w:szCs w:val="18"/>
              </w:rPr>
            </w:pPr>
            <w:bookmarkStart w:id="152" w:name="_Toc464487598"/>
            <w:bookmarkStart w:id="153" w:name="_Toc465100086"/>
            <w:r w:rsidRPr="00386CD6">
              <w:rPr>
                <w:szCs w:val="18"/>
              </w:rPr>
              <w:t>c)</w:t>
            </w:r>
            <w:r w:rsidRPr="00386CD6">
              <w:rPr>
                <w:szCs w:val="18"/>
              </w:rPr>
              <w:tab/>
              <w:t>États et organisations ayant contacté le Bureau de l’UPOV pour obtenir de l’aide en matière d’élaboration d’une législation relative à la protection des obtentions végétales</w:t>
            </w:r>
            <w:bookmarkEnd w:id="152"/>
            <w:bookmarkEnd w:id="153"/>
          </w:p>
          <w:p w:rsidR="0083792B" w:rsidRPr="00386CD6" w:rsidRDefault="0083792B" w:rsidP="0085651C">
            <w:pPr>
              <w:pStyle w:val="BodyText"/>
              <w:rPr>
                <w:sz w:val="18"/>
                <w:szCs w:val="18"/>
              </w:rPr>
            </w:pPr>
            <w:r w:rsidRPr="00386CD6">
              <w:rPr>
                <w:sz w:val="18"/>
                <w:szCs w:val="18"/>
              </w:rPr>
              <w:t>Membres de l’Union : Brésil, Chili</w:t>
            </w:r>
          </w:p>
          <w:p w:rsidR="0083792B" w:rsidRPr="00386CD6" w:rsidRDefault="0083792B" w:rsidP="0085651C">
            <w:pPr>
              <w:rPr>
                <w:sz w:val="18"/>
                <w:szCs w:val="18"/>
              </w:rPr>
            </w:pPr>
          </w:p>
          <w:p w:rsidR="0083792B" w:rsidRPr="00386CD6" w:rsidRDefault="0083792B" w:rsidP="0085651C">
            <w:pPr>
              <w:tabs>
                <w:tab w:val="left" w:pos="2410"/>
              </w:tabs>
              <w:jc w:val="left"/>
              <w:rPr>
                <w:sz w:val="18"/>
                <w:szCs w:val="18"/>
              </w:rPr>
            </w:pPr>
            <w:r w:rsidRPr="00386CD6">
              <w:rPr>
                <w:sz w:val="18"/>
                <w:szCs w:val="18"/>
              </w:rPr>
              <w:t>Non</w:t>
            </w:r>
            <w:r w:rsidRPr="00386CD6">
              <w:rPr>
                <w:sz w:val="18"/>
                <w:szCs w:val="18"/>
              </w:rPr>
              <w:noBreakHyphen/>
              <w:t>membres de l’Union : ARIPO, Barbade, Bosnie</w:t>
            </w:r>
            <w:r w:rsidRPr="00386CD6">
              <w:rPr>
                <w:sz w:val="18"/>
                <w:szCs w:val="18"/>
              </w:rPr>
              <w:noBreakHyphen/>
              <w:t>Herzégovine, Brunéi Darussalam, Égypte, Émirats arabes unis</w:t>
            </w:r>
            <w:r w:rsidRPr="00386CD6">
              <w:t xml:space="preserve">, </w:t>
            </w:r>
            <w:r w:rsidRPr="00386CD6">
              <w:rPr>
                <w:sz w:val="18"/>
                <w:szCs w:val="18"/>
              </w:rPr>
              <w:t>Iran (République islamique d’), Jamaïque, Libéria, Malaisie, Maurice, Myanmar</w:t>
            </w:r>
          </w:p>
          <w:p w:rsidR="0083792B" w:rsidRPr="00386CD6" w:rsidRDefault="0083792B" w:rsidP="0085651C">
            <w:pPr>
              <w:tabs>
                <w:tab w:val="left" w:pos="2410"/>
              </w:tabs>
              <w:jc w:val="left"/>
              <w:rPr>
                <w:sz w:val="18"/>
                <w:szCs w:val="18"/>
              </w:rPr>
            </w:pPr>
          </w:p>
          <w:p w:rsidR="0083792B" w:rsidRPr="00386CD6" w:rsidRDefault="0083792B" w:rsidP="0085651C">
            <w:pPr>
              <w:tabs>
                <w:tab w:val="left" w:pos="2410"/>
              </w:tabs>
              <w:jc w:val="left"/>
              <w:rPr>
                <w:sz w:val="18"/>
                <w:szCs w:val="18"/>
              </w:rPr>
            </w:pPr>
          </w:p>
          <w:p w:rsidR="0083792B" w:rsidRPr="00386CD6" w:rsidRDefault="0083792B" w:rsidP="00635368">
            <w:pPr>
              <w:pStyle w:val="Heading8"/>
              <w:tabs>
                <w:tab w:val="left" w:pos="318"/>
              </w:tabs>
              <w:rPr>
                <w:szCs w:val="18"/>
              </w:rPr>
            </w:pPr>
            <w:bookmarkStart w:id="154" w:name="_Toc464487599"/>
            <w:bookmarkStart w:id="155" w:name="_Toc465100087"/>
            <w:r w:rsidRPr="00386CD6">
              <w:rPr>
                <w:szCs w:val="18"/>
              </w:rPr>
              <w:t>d)</w:t>
            </w:r>
            <w:r w:rsidRPr="00386CD6">
              <w:rPr>
                <w:szCs w:val="18"/>
              </w:rPr>
              <w:tab/>
              <w:t>États et organisations ayant entamé auprès du Conseil de l’UPOV la procédure pour devenir membre de l’Union</w:t>
            </w:r>
            <w:bookmarkEnd w:id="154"/>
            <w:bookmarkEnd w:id="155"/>
          </w:p>
          <w:p w:rsidR="0083792B" w:rsidRPr="00386CD6" w:rsidRDefault="0083792B" w:rsidP="0085651C">
            <w:pPr>
              <w:tabs>
                <w:tab w:val="left" w:pos="2410"/>
              </w:tabs>
              <w:jc w:val="left"/>
              <w:rPr>
                <w:sz w:val="18"/>
                <w:szCs w:val="18"/>
              </w:rPr>
            </w:pPr>
            <w:r w:rsidRPr="00386CD6">
              <w:rPr>
                <w:sz w:val="18"/>
                <w:szCs w:val="18"/>
              </w:rPr>
              <w:t>Iran (République islamique d’)</w:t>
            </w:r>
          </w:p>
          <w:p w:rsidR="0083792B" w:rsidRPr="00386CD6" w:rsidRDefault="0083792B" w:rsidP="0085651C">
            <w:pPr>
              <w:rPr>
                <w:sz w:val="18"/>
                <w:szCs w:val="18"/>
              </w:rPr>
            </w:pPr>
          </w:p>
        </w:tc>
      </w:tr>
    </w:tbl>
    <w:p w:rsidR="0083792B" w:rsidRPr="00386CD6" w:rsidRDefault="0083792B" w:rsidP="0085651C">
      <w:pPr>
        <w:rPr>
          <w:sz w:val="18"/>
          <w:szCs w:val="18"/>
        </w:rPr>
      </w:pPr>
    </w:p>
    <w:p w:rsidR="0083792B" w:rsidRPr="00386CD6" w:rsidRDefault="0083792B" w:rsidP="0085651C">
      <w:r w:rsidRPr="00386CD6">
        <w:br w:type="page"/>
      </w:r>
    </w:p>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spacing w:after="240"/>
              <w:rPr>
                <w:b/>
                <w:sz w:val="18"/>
              </w:rPr>
            </w:pPr>
            <w:r w:rsidRPr="00386CD6">
              <w:rPr>
                <w:b/>
                <w:sz w:val="18"/>
              </w:rPr>
              <w:t>Résultats escomptés</w:t>
            </w:r>
          </w:p>
        </w:tc>
        <w:tc>
          <w:tcPr>
            <w:tcW w:w="7938" w:type="dxa"/>
            <w:shd w:val="clear" w:color="auto" w:fill="auto"/>
          </w:tcPr>
          <w:p w:rsidR="0083792B" w:rsidRPr="00386CD6" w:rsidRDefault="0083792B" w:rsidP="0085651C">
            <w:pPr>
              <w:spacing w:after="240"/>
              <w:rPr>
                <w:b/>
                <w:sz w:val="18"/>
              </w:rPr>
            </w:pPr>
            <w:r w:rsidRPr="00386CD6">
              <w:rPr>
                <w:b/>
                <w:sz w:val="18"/>
              </w:rPr>
              <w:t>Résultats obtenus : indicateurs d’exécution</w:t>
            </w:r>
          </w:p>
        </w:tc>
      </w:tr>
      <w:tr w:rsidR="0083792B" w:rsidRPr="00386CD6" w:rsidTr="0085651C">
        <w:tc>
          <w:tcPr>
            <w:tcW w:w="1951" w:type="dxa"/>
          </w:tcPr>
          <w:p w:rsidR="0083792B" w:rsidRPr="00386CD6" w:rsidRDefault="0083792B" w:rsidP="00635368">
            <w:pPr>
              <w:tabs>
                <w:tab w:val="left" w:pos="288"/>
              </w:tabs>
              <w:jc w:val="left"/>
              <w:rPr>
                <w:sz w:val="18"/>
                <w:szCs w:val="18"/>
              </w:rPr>
            </w:pPr>
            <w:r w:rsidRPr="00386CD6">
              <w:rPr>
                <w:i/>
                <w:sz w:val="18"/>
                <w:szCs w:val="18"/>
              </w:rPr>
              <w:t>1.</w:t>
            </w:r>
            <w:r w:rsidR="00635368" w:rsidRPr="00386CD6">
              <w:rPr>
                <w:i/>
                <w:sz w:val="18"/>
                <w:szCs w:val="18"/>
              </w:rPr>
              <w:tab/>
            </w:r>
            <w:r w:rsidRPr="00386CD6">
              <w:rPr>
                <w:i/>
                <w:sz w:val="18"/>
                <w:szCs w:val="18"/>
              </w:rPr>
              <w:t>Sensibilisation au rôle de la protection des obtentions végétales conformément à la Convention UPOV</w:t>
            </w:r>
            <w:r w:rsidRPr="00386CD6">
              <w:rPr>
                <w:sz w:val="18"/>
                <w:szCs w:val="18"/>
              </w:rPr>
              <w:t xml:space="preserve"> (suite)</w:t>
            </w:r>
          </w:p>
        </w:tc>
        <w:tc>
          <w:tcPr>
            <w:tcW w:w="7938" w:type="dxa"/>
          </w:tcPr>
          <w:p w:rsidR="0083792B" w:rsidRPr="00386CD6" w:rsidRDefault="0083792B" w:rsidP="00635368">
            <w:pPr>
              <w:pStyle w:val="Heading8"/>
              <w:tabs>
                <w:tab w:val="left" w:pos="318"/>
              </w:tabs>
              <w:rPr>
                <w:szCs w:val="18"/>
              </w:rPr>
            </w:pPr>
            <w:bookmarkStart w:id="156" w:name="_Toc464487600"/>
            <w:bookmarkStart w:id="157" w:name="_Toc465100088"/>
            <w:r w:rsidRPr="00386CD6">
              <w:rPr>
                <w:szCs w:val="18"/>
              </w:rPr>
              <w:t>e)</w:t>
            </w:r>
            <w:r w:rsidRPr="00386CD6">
              <w:rPr>
                <w:szCs w:val="18"/>
              </w:rPr>
              <w:tab/>
              <w:t>Participation aux activités de sensibilisation organisées par l’UPOV ou aux activités faisant intervenir des membres du personnel de l’UPOV ou des formateurs de l’UPOV au nom du personnel de l’UPOV</w:t>
            </w:r>
            <w:bookmarkEnd w:id="156"/>
            <w:bookmarkEnd w:id="157"/>
          </w:p>
          <w:p w:rsidR="0083792B" w:rsidRPr="00386CD6" w:rsidRDefault="0083792B" w:rsidP="00635368">
            <w:pPr>
              <w:tabs>
                <w:tab w:val="left" w:pos="459"/>
              </w:tabs>
              <w:rPr>
                <w:sz w:val="18"/>
                <w:szCs w:val="18"/>
              </w:rPr>
            </w:pPr>
            <w:r w:rsidRPr="00386CD6">
              <w:rPr>
                <w:sz w:val="18"/>
                <w:szCs w:val="18"/>
              </w:rPr>
              <w:t>1)</w:t>
            </w:r>
            <w:r w:rsidRPr="00386CD6">
              <w:rPr>
                <w:sz w:val="18"/>
                <w:szCs w:val="18"/>
              </w:rPr>
              <w:tab/>
              <w:t>Activités organisées par (ou en collaboration avec) l’UPOV :</w:t>
            </w:r>
          </w:p>
          <w:p w:rsidR="0083792B" w:rsidRPr="00386CD6" w:rsidRDefault="0083792B" w:rsidP="0085651C">
            <w:pPr>
              <w:rPr>
                <w:sz w:val="18"/>
                <w:szCs w:val="18"/>
              </w:rPr>
            </w:pP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UPOV/Naktuinbouw/MEA : Cours de formation sur la protection des obtentions végétales, Arusha (République</w:t>
            </w:r>
            <w:r w:rsidRPr="00386CD6">
              <w:rPr>
                <w:rFonts w:eastAsiaTheme="minorEastAsia" w:cs="Arial"/>
                <w:sz w:val="18"/>
                <w:szCs w:val="18"/>
              </w:rPr>
              <w:noBreakHyphen/>
              <w:t>Unie de Tanzanie) (avril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Cours de formation USPTO/UPOV intitulé “Protection des obtentions végétales selon la Convention UPOV”, Genève (Suisse) (mai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Huitième réunion annuelle du Forum sur la protection des obtentions végétales en Asie orientale (Forum EAPVP), Séoul (République de Corée) (septembre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Cours international de formation sur la protection des obtentions végétales et l’examen de la distinction, de l’homogénéité et de la stabilité (DHS) selon la Convention UPOV, Texcoco (Mexique) (septembre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Cours de formation intitulé “Contribution à la base de données PLUTO”, dispensé en anglais, Genève (Suisse) (septembre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Cours de formation intitulé “Contribution à la base de données PLUTO”, dispensé en espagnol, Genève (Suisse) (octobre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Cours de formation des formateurs à l’intention des pays ibéro</w:t>
            </w:r>
            <w:r w:rsidRPr="00386CD6">
              <w:rPr>
                <w:rFonts w:eastAsiaTheme="minorEastAsia" w:cs="Arial"/>
                <w:sz w:val="18"/>
                <w:szCs w:val="18"/>
              </w:rPr>
              <w:noBreakHyphen/>
              <w:t>américains sur la protection des obtentions végétales selon la Convention UPOV et les formes complémentaires de protection de la propriété intellectuelle, Santa Cruz de la Sierra (État plurinational de Bolivie) (novembre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Cours de formation des formateurs organisé par l’UPOV et l’OMPI (à l’intention des fonctionnaires de l’OAPI), Genève (Suisse) (novembre</w:t>
            </w:r>
            <w:r w:rsidRPr="00386CD6">
              <w:rPr>
                <w:rFonts w:eastAsiaTheme="minorEastAsia" w:cs="Arial"/>
                <w:sz w:val="18"/>
                <w:szCs w:val="18"/>
              </w:rPr>
              <w:noBreakHyphen/>
              <w:t>décembre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Séminaire sur la protection des obtentions végétales au titre de la Convention UPOV, Bandar Seri Begawan (Brunéi Darussalam) (décembre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Atelier sur la sensibilisation à la protection des obtentions végétales au titre de la Convention UPOV, Vientiane (République démocratique populaire lao) (décembre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Séminaire de haut niveau de sensibilisation à la protection des obtentions végétales en vertu de la Convention UPOV, Phnom Penh (Cambodge) (décembre 2015)</w:t>
            </w:r>
          </w:p>
          <w:p w:rsidR="0083792B" w:rsidRPr="00386CD6" w:rsidRDefault="0083792B" w:rsidP="00635368">
            <w:pPr>
              <w:tabs>
                <w:tab w:val="left" w:pos="445"/>
              </w:tabs>
              <w:rPr>
                <w:sz w:val="18"/>
                <w:szCs w:val="18"/>
              </w:rPr>
            </w:pPr>
            <w:r w:rsidRPr="00386CD6">
              <w:rPr>
                <w:sz w:val="18"/>
                <w:szCs w:val="18"/>
              </w:rPr>
              <w:t>2)</w:t>
            </w:r>
            <w:r w:rsidRPr="00386CD6">
              <w:rPr>
                <w:sz w:val="18"/>
                <w:szCs w:val="18"/>
              </w:rPr>
              <w:tab/>
              <w:t>Activités et réunions auxquelles l’UPOV a participé :</w:t>
            </w:r>
          </w:p>
          <w:p w:rsidR="0083792B" w:rsidRPr="00386CD6" w:rsidRDefault="0083792B" w:rsidP="0085651C">
            <w:pPr>
              <w:rPr>
                <w:sz w:val="18"/>
                <w:szCs w:val="18"/>
              </w:rPr>
            </w:pP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Quinzième session ordinaire de la Commission des ressources génétiques pour l’alimentation et l’agriculture, Rome (Italie) (janvier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Réunion du Groupe de travail technique sur les systèmes des semences de l’OCDE pour la certification variétale des semences destinées au commerce international, Paris (France) (janvier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Visite d’étude pour le Comité des affaires constitutionnelles, juridiques et parlementaires du Ghana, Amsterdam (Pays</w:t>
            </w:r>
            <w:r w:rsidRPr="00386CD6">
              <w:rPr>
                <w:rFonts w:eastAsiaTheme="minorEastAsia" w:cs="Arial"/>
                <w:sz w:val="18"/>
                <w:szCs w:val="18"/>
              </w:rPr>
              <w:noBreakHyphen/>
              <w:t>Bas) (janvier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Atelier international sur la promotion de partenariats publics/privés pour la présélection, Montpellier (France) (février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Forum d’experts de l’OMPI sur le transfert international de technologie, Genève (Suisse) (février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Réunion du Conseil des ADPIC (siège de l’OMC), Genève (Suisse) (février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Édition 2015 du congrès annuel de l’AFSTA et atelier pré</w:t>
            </w:r>
            <w:r w:rsidRPr="00386CD6">
              <w:rPr>
                <w:rFonts w:eastAsiaTheme="minorEastAsia" w:cs="Arial"/>
                <w:sz w:val="18"/>
                <w:szCs w:val="18"/>
              </w:rPr>
              <w:noBreakHyphen/>
              <w:t>congrès de l’ISTA, l’OCDE et l’UPOV, Victoria Falls, Zimbabwe (mars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Deuxième réunion du Comité technique ad hoc sur l’utilisation durable des ressources phytogénétiques pour l’alimentation et l’agriculture (ACSU), Rome (Italie) (mars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Conseil d’administration de l’OCVV, Angers (France) (mars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Séminaire de l’ASIPI sur la propriété intellectuelle et l’agriculture, Asuncion (Paraguay) (mars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Comité des obtenteurs de l’ISF, Lausanne (Suisse) (mars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Cours de niveau avancé organisé par l’OMPI et l’OMC sur la propriété intellectuelle à l’intention des fonctionnaires nationaux, Genève (Suisse) (mars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Atelier sous régional conjoint OMPI UE/CARIFORUM sur les produits et les marques liés à des indications géographiques ou des appellations d’origine, Bridgetown (Barbade) (mars 2015)</w:t>
            </w:r>
          </w:p>
          <w:p w:rsidR="0083792B" w:rsidRPr="00D535C2" w:rsidRDefault="0083792B" w:rsidP="00D535C2">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Visite d’étude de fonctionnaires de l’OAPI à l’Office suisse de la protection des obtentions végétales, Berne (Suisse) (mars 2015)</w:t>
            </w:r>
          </w:p>
        </w:tc>
      </w:tr>
    </w:tbl>
    <w:p w:rsidR="00635368" w:rsidRPr="00386CD6" w:rsidRDefault="00635368" w:rsidP="00635368"/>
    <w:p w:rsidR="00635368" w:rsidRPr="00386CD6" w:rsidRDefault="00635368" w:rsidP="00635368"/>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spacing w:after="240"/>
              <w:rPr>
                <w:b/>
                <w:sz w:val="18"/>
              </w:rPr>
            </w:pPr>
            <w:r w:rsidRPr="00386CD6">
              <w:rPr>
                <w:b/>
                <w:sz w:val="18"/>
              </w:rPr>
              <w:t>Résultats escomptés</w:t>
            </w:r>
          </w:p>
        </w:tc>
        <w:tc>
          <w:tcPr>
            <w:tcW w:w="7938" w:type="dxa"/>
            <w:shd w:val="clear" w:color="auto" w:fill="auto"/>
          </w:tcPr>
          <w:p w:rsidR="0083792B" w:rsidRPr="00386CD6" w:rsidRDefault="0083792B" w:rsidP="0085651C">
            <w:pPr>
              <w:spacing w:after="240"/>
              <w:rPr>
                <w:b/>
                <w:sz w:val="18"/>
              </w:rPr>
            </w:pPr>
            <w:r w:rsidRPr="00386CD6">
              <w:rPr>
                <w:b/>
                <w:sz w:val="18"/>
              </w:rPr>
              <w:t>Résultats obtenus : indicateurs d’exécution</w:t>
            </w:r>
          </w:p>
        </w:tc>
      </w:tr>
      <w:tr w:rsidR="00D535C2" w:rsidRPr="00386CD6" w:rsidTr="0085651C">
        <w:tc>
          <w:tcPr>
            <w:tcW w:w="1951" w:type="dxa"/>
          </w:tcPr>
          <w:p w:rsidR="00D535C2" w:rsidRPr="00386CD6" w:rsidRDefault="00D535C2" w:rsidP="00635368">
            <w:pPr>
              <w:tabs>
                <w:tab w:val="left" w:pos="288"/>
              </w:tabs>
              <w:jc w:val="left"/>
              <w:rPr>
                <w:i/>
                <w:sz w:val="18"/>
                <w:szCs w:val="18"/>
              </w:rPr>
            </w:pPr>
            <w:r w:rsidRPr="00D535C2">
              <w:rPr>
                <w:i/>
                <w:sz w:val="18"/>
                <w:szCs w:val="18"/>
              </w:rPr>
              <w:t>1.</w:t>
            </w:r>
            <w:r w:rsidRPr="00D535C2">
              <w:rPr>
                <w:i/>
                <w:sz w:val="18"/>
                <w:szCs w:val="18"/>
              </w:rPr>
              <w:tab/>
              <w:t xml:space="preserve">Sensibilisation au rôle de la protection des obtentions végétales conformément à la Convention UPOV </w:t>
            </w:r>
            <w:r w:rsidRPr="00D535C2">
              <w:rPr>
                <w:sz w:val="18"/>
                <w:szCs w:val="18"/>
              </w:rPr>
              <w:t>(suite)</w:t>
            </w:r>
          </w:p>
        </w:tc>
        <w:tc>
          <w:tcPr>
            <w:tcW w:w="7938" w:type="dxa"/>
          </w:tcPr>
          <w:p w:rsidR="00D535C2" w:rsidRPr="00386CD6" w:rsidRDefault="00D535C2" w:rsidP="00D535C2">
            <w:pPr>
              <w:rPr>
                <w:sz w:val="18"/>
                <w:szCs w:val="18"/>
              </w:rPr>
            </w:pPr>
            <w:r w:rsidRPr="00386CD6">
              <w:rPr>
                <w:sz w:val="18"/>
                <w:szCs w:val="18"/>
              </w:rPr>
              <w:t>2)</w:t>
            </w:r>
            <w:r w:rsidRPr="00386CD6">
              <w:rPr>
                <w:sz w:val="18"/>
                <w:szCs w:val="18"/>
              </w:rPr>
              <w:tab/>
              <w:t xml:space="preserve">Activités et réunions auxquelles l’UPOV a participé </w:t>
            </w:r>
            <w:r w:rsidRPr="00386CD6">
              <w:rPr>
                <w:i/>
                <w:sz w:val="18"/>
                <w:szCs w:val="18"/>
              </w:rPr>
              <w:t>(suite)</w:t>
            </w:r>
            <w:r w:rsidRPr="00386CD6">
              <w:rPr>
                <w:sz w:val="18"/>
                <w:szCs w:val="18"/>
              </w:rPr>
              <w:t> :</w:t>
            </w:r>
          </w:p>
          <w:p w:rsidR="00D535C2" w:rsidRPr="00386CD6" w:rsidRDefault="00D535C2" w:rsidP="00D535C2">
            <w:pPr>
              <w:rPr>
                <w:sz w:val="18"/>
                <w:szCs w:val="18"/>
              </w:rPr>
            </w:pPr>
          </w:p>
          <w:p w:rsidR="00D535C2" w:rsidRPr="00386CD6" w:rsidRDefault="00D535C2" w:rsidP="00D535C2">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Séminaire de l’OMPI sur la propriété intellectuelle et les ressources génétiques, les savoirs traditionnels et les expressions culturelles traditionnelles : expériences régionales, nationales et locales, Genève (Suisse) (mars 2015)</w:t>
            </w:r>
          </w:p>
          <w:p w:rsidR="00D535C2" w:rsidRPr="00386CD6" w:rsidRDefault="00D535C2" w:rsidP="00D535C2">
            <w:pPr>
              <w:numPr>
                <w:ilvl w:val="0"/>
                <w:numId w:val="5"/>
              </w:numPr>
              <w:tabs>
                <w:tab w:val="left" w:pos="459"/>
              </w:tabs>
              <w:spacing w:after="60"/>
              <w:jc w:val="left"/>
              <w:rPr>
                <w:sz w:val="18"/>
                <w:szCs w:val="18"/>
              </w:rPr>
            </w:pPr>
            <w:r w:rsidRPr="00386CD6">
              <w:rPr>
                <w:rFonts w:eastAsiaTheme="minorEastAsia" w:cs="Arial"/>
                <w:sz w:val="18"/>
                <w:szCs w:val="18"/>
              </w:rPr>
              <w:t>Programme de maîtrise en sélection végétale de l’</w:t>
            </w:r>
            <w:r w:rsidRPr="00386CD6">
              <w:rPr>
                <w:rFonts w:eastAsiaTheme="minorEastAsia" w:cs="Arial"/>
                <w:i/>
                <w:sz w:val="18"/>
                <w:szCs w:val="18"/>
              </w:rPr>
              <w:t>Institut Polytechnique LaSalle</w:t>
            </w:r>
            <w:r w:rsidRPr="00386CD6">
              <w:rPr>
                <w:rFonts w:eastAsiaTheme="minorEastAsia" w:cs="Arial"/>
                <w:sz w:val="18"/>
                <w:szCs w:val="18"/>
              </w:rPr>
              <w:t>, Beauvais (France) (avril 2015)</w:t>
            </w:r>
          </w:p>
        </w:tc>
      </w:tr>
      <w:tr w:rsidR="0083792B" w:rsidRPr="00386CD6" w:rsidTr="0085651C">
        <w:tc>
          <w:tcPr>
            <w:tcW w:w="1951" w:type="dxa"/>
          </w:tcPr>
          <w:p w:rsidR="0083792B" w:rsidRPr="00386CD6" w:rsidRDefault="0083792B" w:rsidP="00635368">
            <w:pPr>
              <w:tabs>
                <w:tab w:val="left" w:pos="288"/>
              </w:tabs>
              <w:jc w:val="left"/>
              <w:rPr>
                <w:sz w:val="18"/>
                <w:szCs w:val="18"/>
              </w:rPr>
            </w:pPr>
          </w:p>
        </w:tc>
        <w:tc>
          <w:tcPr>
            <w:tcW w:w="7938" w:type="dxa"/>
          </w:tcPr>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Atelier sur les droits d’obtenteur et les droits de propriété intellectuelle sur les végétaux – Application en Turquie et dans le monde (principalement dans l’Union européenne), Antalya (Turquie) (avril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Exposé sur l’Acte de 1991 de la Convention UPOV à l’</w:t>
            </w:r>
            <w:r w:rsidRPr="00386CD6">
              <w:rPr>
                <w:rFonts w:eastAsiaTheme="minorEastAsia" w:cs="Arial"/>
                <w:i/>
                <w:sz w:val="18"/>
                <w:szCs w:val="18"/>
              </w:rPr>
              <w:t>Instituto</w:t>
            </w:r>
            <w:r w:rsidRPr="00386CD6">
              <w:rPr>
                <w:rFonts w:eastAsiaTheme="minorEastAsia" w:cs="Arial"/>
                <w:sz w:val="18"/>
                <w:szCs w:val="18"/>
              </w:rPr>
              <w:t xml:space="preserve"> </w:t>
            </w:r>
            <w:r w:rsidRPr="00386CD6">
              <w:rPr>
                <w:rFonts w:eastAsiaTheme="minorEastAsia" w:cs="Arial"/>
                <w:i/>
                <w:sz w:val="18"/>
                <w:szCs w:val="18"/>
              </w:rPr>
              <w:t>Pensar Agropecuaria</w:t>
            </w:r>
            <w:r w:rsidRPr="00386CD6">
              <w:rPr>
                <w:rFonts w:eastAsiaTheme="minorEastAsia" w:cs="Arial"/>
                <w:sz w:val="18"/>
                <w:szCs w:val="18"/>
              </w:rPr>
              <w:t>, Brasilia (Brésil) (avril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Cours national de formation pour experts DHS, San Fernando de Henares, Madrid (Espagne) (avril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Assemblée générale annuelle de la CIOPORA, Hambourg (Allemagne) (avril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Atelier de l’APSA sur les droits de propriété intellectuelle, Bangkok (Thaïlande) (mai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Lancement de l’indice mondial de la sécurité alimentaire mis au point par DuPont/The Economist Intelligence Unit et débat sur le thème “Alimentation et agriculture : des innovations rurales et urbaines pour relever le défi de la sécurité alimentaire”, Exposition universelle de Milan (Italie) (mai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Congrès mondial 2015 de l’ISF sur les semences, Cracovie (Pologne) (mai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Cours de formation sur le thème “Protection des obtentions végétales et examen DHS” organisé par la KOICA et le KSVS, Gimcheon (République de Corée) (juin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Réunion annuelle sur les systèmes de semences de l’OCDE et Forum 2015 de l’OCDE sur le thème “Investir dans l’avenir : société, durabilité, prospérité”, Paris (France) (juin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Réunion de l’Équipe d’experts de l’OMPI chargée de la norme XML4IP, Genève (Suisse) (juin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Réunion du Conseil des ADPIC (siège de l’OMC), Genève (Suisse) (juin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i/>
                <w:sz w:val="18"/>
                <w:szCs w:val="18"/>
              </w:rPr>
              <w:t>Jornada de la Protección de las Variedades Vegetales y otros Derechos de Propiedad Industrial en el Desarrollo de la Agricultura</w:t>
            </w:r>
            <w:r w:rsidRPr="00386CD6">
              <w:rPr>
                <w:rFonts w:eastAsiaTheme="minorEastAsia" w:cs="Arial"/>
                <w:sz w:val="18"/>
                <w:szCs w:val="18"/>
              </w:rPr>
              <w:t>, Madrid (Espagne) (juin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Dix</w:t>
            </w:r>
            <w:r w:rsidRPr="00386CD6">
              <w:rPr>
                <w:rFonts w:eastAsiaTheme="minorEastAsia" w:cs="Arial"/>
                <w:sz w:val="18"/>
                <w:szCs w:val="18"/>
              </w:rPr>
              <w:noBreakHyphen/>
              <w:t>huitième cours international sur la protection des variétés végétales (Naktuinbouw), Wageningue (Pays</w:t>
            </w:r>
            <w:r w:rsidRPr="00386CD6">
              <w:rPr>
                <w:rFonts w:eastAsiaTheme="minorEastAsia" w:cs="Arial"/>
                <w:sz w:val="18"/>
                <w:szCs w:val="18"/>
              </w:rPr>
              <w:noBreakHyphen/>
              <w:t>Bas) (juin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Cours de formation intitulé “Mettre en œuvre un système de contrôle de la qualité des semences et des plants pour assurer la distribution de semences de haute qualité” organisé par la JICA, Tsukuba (Japon) (juin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Colloque organisé par l’OMPI et l’OMC à l’intention des enseignants en propriété intellectuelle, Genève (Suisse) (juin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Séminaire de l’OMPI sur la propriété intellectuelle et les ressources génétiques, les savoirs traditionnels et les expressions culturelles traditionnelles : les dimensions régionale et internationale, Genève (Suisse) (juin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Cours d’été sur la propriété intellectuelle organisé par l’OMPI et l’UNIGE, Genève (Suisse) (juin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Réunion du comité d’experts de l’ARIPO, Arusha (République</w:t>
            </w:r>
            <w:r w:rsidRPr="00386CD6">
              <w:rPr>
                <w:rFonts w:eastAsiaTheme="minorEastAsia" w:cs="Arial"/>
                <w:sz w:val="18"/>
                <w:szCs w:val="18"/>
              </w:rPr>
              <w:noBreakHyphen/>
              <w:t>Unie de Tanzanie) (juin</w:t>
            </w:r>
            <w:r w:rsidRPr="00386CD6">
              <w:rPr>
                <w:rFonts w:eastAsiaTheme="minorEastAsia" w:cs="Arial"/>
                <w:sz w:val="18"/>
                <w:szCs w:val="18"/>
              </w:rPr>
              <w:noBreakHyphen/>
              <w:t>juillet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Conseil d’administration de l’ARIPO (République</w:t>
            </w:r>
            <w:r w:rsidRPr="00386CD6">
              <w:rPr>
                <w:rFonts w:eastAsiaTheme="minorEastAsia" w:cs="Arial"/>
                <w:sz w:val="18"/>
                <w:szCs w:val="18"/>
              </w:rPr>
              <w:noBreakHyphen/>
              <w:t>Unie de Tanzanie) (juin</w:t>
            </w:r>
            <w:r w:rsidRPr="00386CD6">
              <w:rPr>
                <w:rFonts w:eastAsiaTheme="minorEastAsia" w:cs="Arial"/>
                <w:sz w:val="18"/>
                <w:szCs w:val="18"/>
              </w:rPr>
              <w:noBreakHyphen/>
              <w:t>juillet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Conférence diplomatique de l’ARIPO pour l’adoption du projet de Protocole pour la protection des obtentions végétales (droits d’obtenteur) (République</w:t>
            </w:r>
            <w:r w:rsidRPr="00386CD6">
              <w:rPr>
                <w:rFonts w:eastAsiaTheme="minorEastAsia" w:cs="Arial"/>
                <w:sz w:val="18"/>
                <w:szCs w:val="18"/>
              </w:rPr>
              <w:noBreakHyphen/>
              <w:t>Unie de Tanzanie) (juin</w:t>
            </w:r>
            <w:r w:rsidRPr="00386CD6">
              <w:rPr>
                <w:rFonts w:eastAsiaTheme="minorEastAsia" w:cs="Arial"/>
                <w:sz w:val="18"/>
                <w:szCs w:val="18"/>
              </w:rPr>
              <w:noBreakHyphen/>
              <w:t>juillet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Sixième édition du programme de maîtrise en droit de la propriété intellectuelle organisé par l’OMPI et l’Université de technologie du Queensland (QUT), Brisbane (Australie) (juillet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Conférence intitulée “Le changement climatique et la sécurité alimentaire : défis pour la santé et la sélection des plantes, et pour les ressources génétiques”, Exposition universelle de Milan (Italie) (juillet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Séminaire national d’information et de sensibilisation sur la protection des obtentions végétales organisé par l’OAPI, Buéa (Cameroun) (juillet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Ateliers du CORAF pour le comité régional des semences ECOWAS</w:t>
            </w:r>
            <w:r w:rsidRPr="00386CD6">
              <w:rPr>
                <w:rFonts w:eastAsiaTheme="minorEastAsia" w:cs="Arial"/>
                <w:sz w:val="18"/>
                <w:szCs w:val="18"/>
              </w:rPr>
              <w:noBreakHyphen/>
              <w:t>UEMOA</w:t>
            </w:r>
            <w:r w:rsidRPr="00386CD6">
              <w:rPr>
                <w:rFonts w:eastAsiaTheme="minorEastAsia" w:cs="Arial"/>
                <w:sz w:val="18"/>
                <w:szCs w:val="18"/>
              </w:rPr>
              <w:noBreakHyphen/>
              <w:t>CILSS (COASem &amp; CRSU) et l’Alliance pour une industrie semencière en Afrique de l’Ouest (ASIWA), Abidjan (Côte d’Ivoire) (août 2015)</w:t>
            </w:r>
          </w:p>
          <w:p w:rsidR="0083792B" w:rsidRPr="00D85B9A" w:rsidRDefault="0083792B" w:rsidP="00D85B9A">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Congrès bolivien sur les semences, Santa Cruz de la Sierra (État plurinational de Bolivie) (août 2015)</w:t>
            </w:r>
          </w:p>
        </w:tc>
      </w:tr>
      <w:tr w:rsidR="0083792B" w:rsidRPr="00386CD6" w:rsidTr="0085651C">
        <w:tc>
          <w:tcPr>
            <w:tcW w:w="1951" w:type="dxa"/>
          </w:tcPr>
          <w:p w:rsidR="0083792B" w:rsidRPr="00386CD6" w:rsidRDefault="0083792B" w:rsidP="0085651C">
            <w:pPr>
              <w:spacing w:after="240"/>
              <w:rPr>
                <w:b/>
                <w:sz w:val="18"/>
              </w:rPr>
            </w:pPr>
            <w:r w:rsidRPr="00386CD6">
              <w:rPr>
                <w:b/>
                <w:sz w:val="18"/>
              </w:rPr>
              <w:t>Résultats escomptés</w:t>
            </w:r>
          </w:p>
        </w:tc>
        <w:tc>
          <w:tcPr>
            <w:tcW w:w="7938" w:type="dxa"/>
          </w:tcPr>
          <w:p w:rsidR="0083792B" w:rsidRPr="00386CD6" w:rsidRDefault="0083792B" w:rsidP="0085651C">
            <w:pPr>
              <w:rPr>
                <w:sz w:val="18"/>
                <w:szCs w:val="18"/>
              </w:rPr>
            </w:pPr>
            <w:r w:rsidRPr="00386CD6">
              <w:rPr>
                <w:b/>
                <w:sz w:val="18"/>
                <w:szCs w:val="18"/>
              </w:rPr>
              <w:t>Résultats obtenus : indicateurs d’exécution</w:t>
            </w:r>
          </w:p>
        </w:tc>
      </w:tr>
      <w:tr w:rsidR="0083792B" w:rsidRPr="00386CD6" w:rsidTr="0085651C">
        <w:tc>
          <w:tcPr>
            <w:tcW w:w="1951" w:type="dxa"/>
          </w:tcPr>
          <w:p w:rsidR="0083792B" w:rsidRPr="00386CD6" w:rsidRDefault="0083792B" w:rsidP="0022145A">
            <w:pPr>
              <w:tabs>
                <w:tab w:val="left" w:pos="284"/>
              </w:tabs>
              <w:jc w:val="left"/>
              <w:rPr>
                <w:sz w:val="18"/>
                <w:szCs w:val="18"/>
              </w:rPr>
            </w:pPr>
            <w:r w:rsidRPr="00386CD6">
              <w:rPr>
                <w:i/>
                <w:sz w:val="18"/>
                <w:szCs w:val="18"/>
              </w:rPr>
              <w:t>1.</w:t>
            </w:r>
            <w:r w:rsidR="0022145A" w:rsidRPr="00386CD6">
              <w:rPr>
                <w:i/>
                <w:sz w:val="18"/>
                <w:szCs w:val="18"/>
              </w:rPr>
              <w:tab/>
            </w:r>
            <w:r w:rsidRPr="00386CD6">
              <w:rPr>
                <w:i/>
                <w:sz w:val="18"/>
                <w:szCs w:val="18"/>
              </w:rPr>
              <w:t xml:space="preserve">Sensibilisation au rôle de la protection des obtentions végétales conformément à la Convention UPOV </w:t>
            </w:r>
            <w:r w:rsidRPr="00386CD6">
              <w:rPr>
                <w:sz w:val="18"/>
                <w:szCs w:val="18"/>
              </w:rPr>
              <w:t>(suite)</w:t>
            </w:r>
          </w:p>
        </w:tc>
        <w:tc>
          <w:tcPr>
            <w:tcW w:w="7938" w:type="dxa"/>
          </w:tcPr>
          <w:p w:rsidR="0083792B" w:rsidRPr="00386CD6" w:rsidRDefault="0083792B" w:rsidP="0022145A">
            <w:pPr>
              <w:tabs>
                <w:tab w:val="left" w:pos="318"/>
              </w:tabs>
              <w:rPr>
                <w:sz w:val="18"/>
                <w:szCs w:val="18"/>
              </w:rPr>
            </w:pPr>
            <w:r w:rsidRPr="00386CD6">
              <w:rPr>
                <w:sz w:val="18"/>
                <w:szCs w:val="18"/>
              </w:rPr>
              <w:t>2)</w:t>
            </w:r>
            <w:r w:rsidRPr="00386CD6">
              <w:rPr>
                <w:sz w:val="18"/>
                <w:szCs w:val="18"/>
              </w:rPr>
              <w:tab/>
              <w:t xml:space="preserve">Activités et réunions auxquelles l’UPOV a participé </w:t>
            </w:r>
            <w:r w:rsidRPr="00386CD6">
              <w:rPr>
                <w:i/>
                <w:sz w:val="18"/>
                <w:szCs w:val="18"/>
              </w:rPr>
              <w:t>(suite)</w:t>
            </w:r>
            <w:r w:rsidRPr="00386CD6">
              <w:rPr>
                <w:sz w:val="18"/>
                <w:szCs w:val="18"/>
              </w:rPr>
              <w:t> :</w:t>
            </w:r>
          </w:p>
          <w:p w:rsidR="0083792B" w:rsidRPr="00386CD6" w:rsidRDefault="0083792B" w:rsidP="0085651C">
            <w:pPr>
              <w:rPr>
                <w:sz w:val="18"/>
                <w:szCs w:val="18"/>
              </w:rPr>
            </w:pPr>
          </w:p>
          <w:p w:rsidR="00D85B9A" w:rsidRPr="00386CD6" w:rsidRDefault="00D85B9A" w:rsidP="00D85B9A">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Colloque sur la protection des obtentions végétales organisé par le KSVS et intitulé “Procédure de demande émanant de pays étrangers”, Séoul (République de Corée) (septembre 2015)</w:t>
            </w:r>
          </w:p>
          <w:p w:rsidR="00D85B9A" w:rsidRPr="00386CD6" w:rsidRDefault="00D85B9A" w:rsidP="00D85B9A">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Troisième réunion de la plateforme pour le développement conjoint et le transfert de technologies (siège de la FAO), Rome (Italie) (septembre 2015)</w:t>
            </w:r>
          </w:p>
          <w:p w:rsidR="00D85B9A" w:rsidRPr="00386CD6" w:rsidRDefault="00D85B9A" w:rsidP="00D85B9A">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Cinquième congrès des semences des Amériques organisé par la SAA, Cancún (Mexique) (septembre 2015)</w:t>
            </w:r>
          </w:p>
          <w:p w:rsidR="00D85B9A" w:rsidRPr="00386CD6" w:rsidRDefault="00D85B9A" w:rsidP="00D85B9A">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“International Geneva Food Talks”, Exposition universelle de Milan (Italie) (septembre 2015)</w:t>
            </w:r>
          </w:p>
          <w:p w:rsidR="00D85B9A" w:rsidRPr="00386CD6" w:rsidRDefault="00D85B9A" w:rsidP="00D85B9A">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Conseil d’administration de l’OCVV (20</w:t>
            </w:r>
            <w:r w:rsidRPr="00386CD6">
              <w:rPr>
                <w:rFonts w:eastAsiaTheme="minorEastAsia" w:cs="Arial"/>
                <w:sz w:val="18"/>
                <w:szCs w:val="18"/>
                <w:vertAlign w:val="superscript"/>
              </w:rPr>
              <w:t>e</w:t>
            </w:r>
            <w:r w:rsidRPr="00386CD6">
              <w:rPr>
                <w:rFonts w:eastAsiaTheme="minorEastAsia" w:cs="Arial"/>
                <w:sz w:val="18"/>
                <w:szCs w:val="18"/>
              </w:rPr>
              <w:t xml:space="preserve"> anniversaire), Angers (France) (septembre</w:t>
            </w:r>
            <w:r w:rsidRPr="00386CD6">
              <w:rPr>
                <w:rFonts w:eastAsiaTheme="minorEastAsia" w:cs="Arial"/>
                <w:sz w:val="18"/>
                <w:szCs w:val="18"/>
              </w:rPr>
              <w:noBreakHyphen/>
              <w:t>octobre 2015)</w:t>
            </w:r>
          </w:p>
          <w:p w:rsidR="00D85B9A" w:rsidRPr="00386CD6" w:rsidRDefault="00D85B9A" w:rsidP="00D85B9A">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Atelier sur la protection des obtentions végétales et la défense des droits d’obtenteur dans le cadre du programme TAIEX, Chisinau (République de Moldova) (octobre 2015)</w:t>
            </w:r>
          </w:p>
          <w:p w:rsidR="00D85B9A" w:rsidRDefault="00D85B9A" w:rsidP="00D85B9A">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Sixième session de l’Organe directeur du Traité international, Rome (Italie) (octobre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Mission d’experts du programme TAIEX concernant l’examen des demandes et l’octroi de droits d’obtenteur pour des obtentions végétales et échange de données d’expérience au sujet des aspects juridiques de la Convention UPOV et de leur mise en œuvre, Ankara (Turquie) (octobre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Réunion annuelle de l’ESA, Vienne (Autriche) (octobre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Séminaire international de haut niveau sur les semences, Exposition universelle de Milan (Italie) (octobre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Réunion du Conseil des ADPIC (siège de l’OMC), Genève (Suisse) (octobre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Conférence ministérielle africaine 2015 de l’OMPI sur la propriété intellectuelle au service d’une Afrique émergente, Dakar (Sénégal) (novembre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Séminaire d’experts sur “le droit des paysans aux semences et les droits de propriété intellectuelle”, Genève (Suisse) (novembre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Module intensif sur la protection des obtentions végétales de la maîtrise en propriété intellectuelle (Magister Lvcentinvs) de l’Université d’Alicante, Alicante (Espagne) (novembre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Trente</w:t>
            </w:r>
            <w:r w:rsidRPr="00386CD6">
              <w:rPr>
                <w:rFonts w:eastAsiaTheme="minorEastAsia" w:cs="Arial"/>
                <w:sz w:val="18"/>
                <w:szCs w:val="18"/>
              </w:rPr>
              <w:noBreakHyphen/>
              <w:t>neuvième session du Conseil d’administration de l’ARIPO et quinzième session du Conseil des ministres de l’ARIPO, Lusaka (Zambie) (novembre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Asian Seed Congress et vingt et unième assemblée générale de l’APSA, Goa (Inde) (novembre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Cours de formation à l’examen DHS de la tomate, Hanoi (Viet Nam) (novembre</w:t>
            </w:r>
            <w:r w:rsidRPr="00386CD6">
              <w:rPr>
                <w:rFonts w:eastAsiaTheme="minorEastAsia" w:cs="Arial"/>
                <w:sz w:val="18"/>
                <w:szCs w:val="18"/>
              </w:rPr>
              <w:noBreakHyphen/>
              <w:t>décembre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Dix</w:t>
            </w:r>
            <w:r w:rsidRPr="00386CD6">
              <w:rPr>
                <w:rFonts w:eastAsiaTheme="minorEastAsia" w:cs="Arial"/>
                <w:sz w:val="18"/>
                <w:szCs w:val="18"/>
              </w:rPr>
              <w:noBreakHyphen/>
              <w:t>neuvième réunion annuelle entre l’OCVV et ses offices d’examen, Angers (France) (décembre 2015)</w:t>
            </w:r>
          </w:p>
          <w:p w:rsidR="0083792B" w:rsidRPr="00386CD6" w:rsidRDefault="0083792B" w:rsidP="0085651C">
            <w:pPr>
              <w:numPr>
                <w:ilvl w:val="0"/>
                <w:numId w:val="5"/>
              </w:numPr>
              <w:tabs>
                <w:tab w:val="left" w:pos="459"/>
              </w:tabs>
              <w:spacing w:after="60"/>
              <w:jc w:val="left"/>
              <w:rPr>
                <w:rFonts w:eastAsiaTheme="minorEastAsia" w:cs="Arial"/>
                <w:sz w:val="18"/>
                <w:szCs w:val="18"/>
              </w:rPr>
            </w:pPr>
            <w:r w:rsidRPr="00386CD6">
              <w:rPr>
                <w:rFonts w:eastAsiaTheme="minorEastAsia" w:cs="Arial"/>
                <w:sz w:val="18"/>
                <w:szCs w:val="18"/>
              </w:rPr>
              <w:t>Débat d’expert sur le thème “Semences et agriculture durable”, locaux du GIZ, Bonn (Allemagne) (décembre 2015)</w:t>
            </w:r>
          </w:p>
          <w:p w:rsidR="0083792B" w:rsidRPr="00386CD6" w:rsidRDefault="0083792B" w:rsidP="0085651C">
            <w:pPr>
              <w:numPr>
                <w:ilvl w:val="0"/>
                <w:numId w:val="5"/>
              </w:numPr>
              <w:tabs>
                <w:tab w:val="left" w:pos="459"/>
              </w:tabs>
              <w:spacing w:after="60"/>
              <w:jc w:val="left"/>
              <w:rPr>
                <w:sz w:val="18"/>
                <w:szCs w:val="18"/>
              </w:rPr>
            </w:pPr>
            <w:r w:rsidRPr="00386CD6">
              <w:rPr>
                <w:rFonts w:eastAsiaTheme="minorEastAsia" w:cs="Arial"/>
                <w:sz w:val="18"/>
                <w:szCs w:val="18"/>
              </w:rPr>
              <w:t>“Atelier sur le Traité international sur les ressources phytogénétiques pour l’alimentation et l’agriculture et préparation à l’adhésion à la Convention internationale pour la protection des obtentions végétales” Dubaï (Émirats arabes unis) (décembre 2015)</w:t>
            </w:r>
          </w:p>
        </w:tc>
      </w:tr>
    </w:tbl>
    <w:p w:rsidR="0083792B" w:rsidRPr="00386CD6" w:rsidRDefault="0083792B" w:rsidP="0085651C">
      <w:pPr>
        <w:rPr>
          <w:sz w:val="18"/>
          <w:szCs w:val="18"/>
        </w:rPr>
      </w:pPr>
    </w:p>
    <w:p w:rsidR="0083792B" w:rsidRPr="00386CD6" w:rsidRDefault="0083792B" w:rsidP="0085651C">
      <w:pPr>
        <w:rPr>
          <w:sz w:val="18"/>
          <w:szCs w:val="18"/>
        </w:rPr>
      </w:pPr>
    </w:p>
    <w:tbl>
      <w:tblPr>
        <w:tblW w:w="9889" w:type="dxa"/>
        <w:tblLayout w:type="fixed"/>
        <w:tblLook w:val="0000" w:firstRow="0" w:lastRow="0" w:firstColumn="0" w:lastColumn="0" w:noHBand="0" w:noVBand="0"/>
      </w:tblPr>
      <w:tblGrid>
        <w:gridCol w:w="1951"/>
        <w:gridCol w:w="7938"/>
      </w:tblGrid>
      <w:tr w:rsidR="0083792B" w:rsidRPr="00386CD6" w:rsidTr="0022145A">
        <w:trPr>
          <w:trHeight w:val="584"/>
        </w:trPr>
        <w:tc>
          <w:tcPr>
            <w:tcW w:w="1951" w:type="dxa"/>
            <w:shd w:val="clear" w:color="auto" w:fill="auto"/>
          </w:tcPr>
          <w:p w:rsidR="0083792B" w:rsidRPr="00386CD6" w:rsidRDefault="0083792B" w:rsidP="0022145A">
            <w:pPr>
              <w:keepNext/>
              <w:keepLines/>
              <w:spacing w:after="240"/>
              <w:rPr>
                <w:b/>
                <w:sz w:val="18"/>
              </w:rPr>
            </w:pPr>
            <w:r w:rsidRPr="00386CD6">
              <w:rPr>
                <w:b/>
                <w:sz w:val="18"/>
              </w:rPr>
              <w:t>Résultats escomptés</w:t>
            </w:r>
          </w:p>
        </w:tc>
        <w:tc>
          <w:tcPr>
            <w:tcW w:w="7938" w:type="dxa"/>
            <w:shd w:val="clear" w:color="auto" w:fill="auto"/>
          </w:tcPr>
          <w:p w:rsidR="0083792B" w:rsidRPr="00386CD6" w:rsidRDefault="0083792B" w:rsidP="0022145A">
            <w:pPr>
              <w:keepNext/>
              <w:keepLines/>
              <w:spacing w:after="240"/>
              <w:rPr>
                <w:b/>
                <w:sz w:val="18"/>
              </w:rPr>
            </w:pPr>
            <w:r w:rsidRPr="00386CD6">
              <w:rPr>
                <w:b/>
                <w:sz w:val="18"/>
              </w:rPr>
              <w:t>Résultats obtenus : indicateurs d’exécution</w:t>
            </w:r>
          </w:p>
        </w:tc>
      </w:tr>
      <w:tr w:rsidR="0083792B" w:rsidRPr="00386CD6" w:rsidTr="0085651C">
        <w:tc>
          <w:tcPr>
            <w:tcW w:w="1951" w:type="dxa"/>
          </w:tcPr>
          <w:p w:rsidR="0083792B" w:rsidRPr="00386CD6" w:rsidRDefault="0083792B" w:rsidP="0022145A">
            <w:pPr>
              <w:pStyle w:val="Heading6"/>
              <w:keepNext/>
              <w:keepLines/>
              <w:tabs>
                <w:tab w:val="left" w:pos="299"/>
              </w:tabs>
            </w:pPr>
            <w:bookmarkStart w:id="158" w:name="_Toc464487601"/>
            <w:bookmarkStart w:id="159" w:name="_Toc465100089"/>
            <w:r w:rsidRPr="00386CD6">
              <w:t>2.</w:t>
            </w:r>
            <w:r w:rsidR="0022145A" w:rsidRPr="00386CD6">
              <w:tab/>
            </w:r>
            <w:r w:rsidRPr="00386CD6">
              <w:t>Assistance en vue de l’élaboration d’une législation relative à la protection des obtentions végétales conforme à l’Acte de 1991 de la Convention UPOV</w:t>
            </w:r>
            <w:bookmarkEnd w:id="158"/>
            <w:bookmarkEnd w:id="159"/>
          </w:p>
        </w:tc>
        <w:tc>
          <w:tcPr>
            <w:tcW w:w="7938" w:type="dxa"/>
          </w:tcPr>
          <w:p w:rsidR="0083792B" w:rsidRPr="00386CD6" w:rsidRDefault="0083792B" w:rsidP="0022145A">
            <w:pPr>
              <w:pStyle w:val="Heading8"/>
              <w:keepNext/>
              <w:keepLines/>
              <w:tabs>
                <w:tab w:val="left" w:pos="341"/>
              </w:tabs>
              <w:spacing w:after="120"/>
            </w:pPr>
            <w:bookmarkStart w:id="160" w:name="_Toc464487602"/>
            <w:bookmarkStart w:id="161" w:name="_Toc465100090"/>
            <w:r w:rsidRPr="00386CD6">
              <w:t>a)</w:t>
            </w:r>
            <w:r w:rsidRPr="00386CD6">
              <w:tab/>
              <w:t>États et organisations ayant reçu des commentaires sur leurs lois</w:t>
            </w:r>
            <w:bookmarkEnd w:id="160"/>
            <w:bookmarkEnd w:id="161"/>
          </w:p>
          <w:p w:rsidR="0083792B" w:rsidRPr="00386CD6" w:rsidRDefault="0083792B" w:rsidP="0022145A">
            <w:pPr>
              <w:pStyle w:val="BodyText"/>
              <w:keepNext/>
              <w:keepLines/>
              <w:rPr>
                <w:sz w:val="18"/>
                <w:szCs w:val="18"/>
              </w:rPr>
            </w:pPr>
            <w:r w:rsidRPr="00386CD6">
              <w:rPr>
                <w:sz w:val="18"/>
                <w:szCs w:val="18"/>
              </w:rPr>
              <w:t xml:space="preserve">Membres de l’Union : </w:t>
            </w:r>
            <w:r w:rsidRPr="00386CD6">
              <w:rPr>
                <w:sz w:val="18"/>
              </w:rPr>
              <w:t>Brésil, Chili</w:t>
            </w:r>
          </w:p>
          <w:p w:rsidR="0083792B" w:rsidRPr="00386CD6" w:rsidRDefault="0083792B" w:rsidP="0022145A">
            <w:pPr>
              <w:keepNext/>
              <w:keepLines/>
              <w:rPr>
                <w:sz w:val="18"/>
                <w:szCs w:val="18"/>
              </w:rPr>
            </w:pPr>
          </w:p>
          <w:p w:rsidR="0083792B" w:rsidRPr="00386CD6" w:rsidRDefault="0083792B" w:rsidP="0022145A">
            <w:pPr>
              <w:pStyle w:val="BodyText"/>
              <w:keepNext/>
              <w:keepLines/>
              <w:rPr>
                <w:sz w:val="18"/>
                <w:szCs w:val="18"/>
              </w:rPr>
            </w:pPr>
            <w:r w:rsidRPr="00386CD6">
              <w:rPr>
                <w:sz w:val="18"/>
                <w:szCs w:val="18"/>
              </w:rPr>
              <w:t>Non</w:t>
            </w:r>
            <w:r w:rsidRPr="00386CD6">
              <w:rPr>
                <w:sz w:val="18"/>
                <w:szCs w:val="18"/>
              </w:rPr>
              <w:noBreakHyphen/>
              <w:t>membres de l’Union : ARIPO, Égypte, Émirats arabes unis, Iran (République islamique d’), Malaisie</w:t>
            </w:r>
          </w:p>
          <w:p w:rsidR="0083792B" w:rsidRPr="00386CD6" w:rsidRDefault="0083792B" w:rsidP="0022145A">
            <w:pPr>
              <w:keepNext/>
              <w:keepLines/>
              <w:tabs>
                <w:tab w:val="left" w:pos="2410"/>
              </w:tabs>
              <w:jc w:val="left"/>
              <w:rPr>
                <w:sz w:val="18"/>
                <w:szCs w:val="18"/>
              </w:rPr>
            </w:pPr>
          </w:p>
          <w:p w:rsidR="0083792B" w:rsidRPr="00386CD6" w:rsidRDefault="0083792B" w:rsidP="0022145A">
            <w:pPr>
              <w:keepNext/>
              <w:keepLines/>
              <w:tabs>
                <w:tab w:val="left" w:pos="2410"/>
              </w:tabs>
              <w:jc w:val="left"/>
              <w:rPr>
                <w:i/>
                <w:sz w:val="18"/>
                <w:szCs w:val="18"/>
              </w:rPr>
            </w:pPr>
          </w:p>
          <w:p w:rsidR="0083792B" w:rsidRPr="00386CD6" w:rsidRDefault="0083792B" w:rsidP="0022145A">
            <w:pPr>
              <w:pStyle w:val="Heading8"/>
              <w:keepNext/>
              <w:keepLines/>
              <w:tabs>
                <w:tab w:val="left" w:pos="330"/>
              </w:tabs>
              <w:spacing w:after="120"/>
            </w:pPr>
            <w:bookmarkStart w:id="162" w:name="_Toc464487603"/>
            <w:bookmarkStart w:id="163" w:name="_Toc465100091"/>
            <w:r w:rsidRPr="00386CD6">
              <w:t>b)</w:t>
            </w:r>
            <w:r w:rsidRPr="00386CD6">
              <w:tab/>
              <w:t>États et organisations ayant reçu un avis positif du Conseil de l’UPOV</w:t>
            </w:r>
            <w:bookmarkEnd w:id="162"/>
            <w:bookmarkEnd w:id="163"/>
          </w:p>
          <w:p w:rsidR="0083792B" w:rsidRPr="00386CD6" w:rsidRDefault="0083792B" w:rsidP="0022145A">
            <w:pPr>
              <w:keepNext/>
              <w:keepLines/>
              <w:tabs>
                <w:tab w:val="left" w:pos="2410"/>
              </w:tabs>
              <w:jc w:val="left"/>
              <w:rPr>
                <w:sz w:val="18"/>
                <w:szCs w:val="18"/>
              </w:rPr>
            </w:pPr>
            <w:r w:rsidRPr="00386CD6">
              <w:rPr>
                <w:sz w:val="18"/>
                <w:szCs w:val="18"/>
              </w:rPr>
              <w:t>Égypte</w:t>
            </w:r>
          </w:p>
          <w:p w:rsidR="0083792B" w:rsidRPr="00386CD6" w:rsidRDefault="0083792B" w:rsidP="0022145A">
            <w:pPr>
              <w:keepNext/>
              <w:keepLines/>
              <w:tabs>
                <w:tab w:val="left" w:pos="2410"/>
              </w:tabs>
              <w:jc w:val="left"/>
              <w:rPr>
                <w:i/>
                <w:sz w:val="18"/>
                <w:szCs w:val="18"/>
              </w:rPr>
            </w:pPr>
          </w:p>
          <w:p w:rsidR="0083792B" w:rsidRPr="00386CD6" w:rsidRDefault="0083792B" w:rsidP="0022145A">
            <w:pPr>
              <w:pStyle w:val="Heading8"/>
              <w:keepNext/>
              <w:keepLines/>
              <w:tabs>
                <w:tab w:val="left" w:pos="330"/>
              </w:tabs>
              <w:spacing w:after="120"/>
            </w:pPr>
            <w:bookmarkStart w:id="164" w:name="_Toc464487604"/>
            <w:bookmarkStart w:id="165" w:name="_Toc465100092"/>
            <w:r w:rsidRPr="00386CD6">
              <w:t>c)</w:t>
            </w:r>
            <w:r w:rsidRPr="00386CD6">
              <w:tab/>
              <w:t>Réunions avec des responsables gouvernementaux</w:t>
            </w:r>
            <w:bookmarkEnd w:id="164"/>
            <w:bookmarkEnd w:id="165"/>
          </w:p>
          <w:p w:rsidR="0083792B" w:rsidRPr="00386CD6" w:rsidRDefault="0083792B" w:rsidP="0022145A">
            <w:pPr>
              <w:keepNext/>
              <w:keepLines/>
              <w:tabs>
                <w:tab w:val="left" w:pos="2410"/>
              </w:tabs>
              <w:jc w:val="left"/>
              <w:rPr>
                <w:sz w:val="18"/>
                <w:szCs w:val="18"/>
              </w:rPr>
            </w:pPr>
            <w:r w:rsidRPr="00386CD6">
              <w:rPr>
                <w:sz w:val="18"/>
                <w:szCs w:val="18"/>
              </w:rPr>
              <w:t xml:space="preserve">Membres de l’Union : Afrique du Sud, Brésil, </w:t>
            </w:r>
            <w:r w:rsidR="00E01D2B">
              <w:rPr>
                <w:sz w:val="18"/>
                <w:szCs w:val="18"/>
              </w:rPr>
              <w:t xml:space="preserve">Canada, </w:t>
            </w:r>
            <w:bookmarkStart w:id="166" w:name="_GoBack"/>
            <w:bookmarkEnd w:id="166"/>
            <w:r w:rsidRPr="00386CD6">
              <w:rPr>
                <w:sz w:val="18"/>
                <w:szCs w:val="18"/>
              </w:rPr>
              <w:t>Chili, Colombie et Turquie</w:t>
            </w:r>
          </w:p>
          <w:p w:rsidR="0083792B" w:rsidRPr="00386CD6" w:rsidRDefault="0083792B" w:rsidP="0022145A">
            <w:pPr>
              <w:keepNext/>
              <w:keepLines/>
            </w:pPr>
          </w:p>
          <w:p w:rsidR="0083792B" w:rsidRPr="00386CD6" w:rsidRDefault="0083792B" w:rsidP="0022145A">
            <w:pPr>
              <w:keepNext/>
              <w:keepLines/>
              <w:tabs>
                <w:tab w:val="left" w:pos="2410"/>
              </w:tabs>
              <w:jc w:val="left"/>
              <w:rPr>
                <w:sz w:val="18"/>
                <w:szCs w:val="18"/>
              </w:rPr>
            </w:pPr>
            <w:r w:rsidRPr="00386CD6">
              <w:rPr>
                <w:sz w:val="18"/>
                <w:szCs w:val="18"/>
              </w:rPr>
              <w:t>Non</w:t>
            </w:r>
            <w:r w:rsidRPr="00386CD6">
              <w:rPr>
                <w:sz w:val="18"/>
                <w:szCs w:val="18"/>
              </w:rPr>
              <w:noBreakHyphen/>
              <w:t xml:space="preserve">membres de l’Union : </w:t>
            </w:r>
            <w:r w:rsidRPr="00386CD6">
              <w:rPr>
                <w:sz w:val="18"/>
              </w:rPr>
              <w:t>ARIPO, Barbade, Bosni</w:t>
            </w:r>
            <w:r w:rsidR="00D85B9A">
              <w:rPr>
                <w:sz w:val="18"/>
              </w:rPr>
              <w:t>e</w:t>
            </w:r>
            <w:r w:rsidR="00D85B9A">
              <w:rPr>
                <w:sz w:val="18"/>
              </w:rPr>
              <w:noBreakHyphen/>
              <w:t>Herzégovine, Botswana, Brunéi </w:t>
            </w:r>
            <w:r w:rsidRPr="00386CD6">
              <w:rPr>
                <w:sz w:val="18"/>
              </w:rPr>
              <w:t>Darussalam, Égypte, Émirats arabes unis, Iran (République islamique d’), Jamaïque, Kazakhstan, Libéria, Malaisie, Maurice, Myanmar, Rwanda, Zimbabwe</w:t>
            </w:r>
          </w:p>
        </w:tc>
      </w:tr>
    </w:tbl>
    <w:p w:rsidR="0083792B" w:rsidRPr="00386CD6" w:rsidRDefault="0083792B" w:rsidP="0085651C"/>
    <w:p w:rsidR="0022145A" w:rsidRPr="00386CD6" w:rsidRDefault="0022145A"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tcPr>
          <w:p w:rsidR="0083792B" w:rsidRPr="00386CD6" w:rsidRDefault="0083792B" w:rsidP="0022145A">
            <w:pPr>
              <w:pStyle w:val="Heading6"/>
              <w:tabs>
                <w:tab w:val="left" w:pos="311"/>
              </w:tabs>
            </w:pPr>
            <w:bookmarkStart w:id="167" w:name="_Toc464487605"/>
            <w:bookmarkStart w:id="168" w:name="_Toc465100093"/>
            <w:r w:rsidRPr="00386CD6">
              <w:t>3.</w:t>
            </w:r>
            <w:r w:rsidR="0022145A" w:rsidRPr="00386CD6">
              <w:tab/>
            </w:r>
            <w:r w:rsidRPr="00386CD6">
              <w:t>Assistance fournie à des États et organisations en vue de leur adhésion à l’Acte de 1991 de la Convention UPOV</w:t>
            </w:r>
            <w:bookmarkEnd w:id="167"/>
            <w:bookmarkEnd w:id="168"/>
          </w:p>
        </w:tc>
        <w:tc>
          <w:tcPr>
            <w:tcW w:w="7938" w:type="dxa"/>
          </w:tcPr>
          <w:p w:rsidR="0083792B" w:rsidRPr="00386CD6" w:rsidRDefault="0083792B" w:rsidP="0022145A">
            <w:pPr>
              <w:pStyle w:val="Heading8"/>
              <w:tabs>
                <w:tab w:val="left" w:pos="318"/>
              </w:tabs>
              <w:spacing w:after="120"/>
            </w:pPr>
            <w:bookmarkStart w:id="169" w:name="_Toc464487606"/>
            <w:bookmarkStart w:id="170" w:name="_Toc465100094"/>
            <w:r w:rsidRPr="00386CD6">
              <w:t>a)</w:t>
            </w:r>
            <w:r w:rsidRPr="00386CD6">
              <w:tab/>
              <w:t>États ayant adhéré à l’Acte de 1991 de la Convention UPOV ou l’ayant ratifié</w:t>
            </w:r>
            <w:bookmarkEnd w:id="169"/>
            <w:bookmarkEnd w:id="170"/>
          </w:p>
          <w:p w:rsidR="0083792B" w:rsidRPr="00386CD6" w:rsidRDefault="0083792B" w:rsidP="0085651C">
            <w:pPr>
              <w:tabs>
                <w:tab w:val="left" w:pos="2410"/>
              </w:tabs>
              <w:jc w:val="left"/>
              <w:rPr>
                <w:sz w:val="18"/>
                <w:szCs w:val="18"/>
              </w:rPr>
            </w:pPr>
            <w:r w:rsidRPr="00386CD6">
              <w:rPr>
                <w:sz w:val="18"/>
                <w:szCs w:val="18"/>
              </w:rPr>
              <w:t>Canada, Monténégro, République</w:t>
            </w:r>
            <w:r w:rsidRPr="00386CD6">
              <w:rPr>
                <w:sz w:val="18"/>
                <w:szCs w:val="18"/>
              </w:rPr>
              <w:noBreakHyphen/>
              <w:t>Unie de Tanzanie</w:t>
            </w:r>
          </w:p>
          <w:p w:rsidR="0083792B" w:rsidRPr="00386CD6" w:rsidRDefault="0083792B" w:rsidP="0085651C">
            <w:pPr>
              <w:tabs>
                <w:tab w:val="left" w:pos="2410"/>
              </w:tabs>
              <w:jc w:val="left"/>
              <w:rPr>
                <w:sz w:val="18"/>
                <w:szCs w:val="18"/>
              </w:rPr>
            </w:pPr>
          </w:p>
          <w:p w:rsidR="0083792B" w:rsidRPr="00386CD6" w:rsidRDefault="0083792B" w:rsidP="0022145A">
            <w:pPr>
              <w:pStyle w:val="Heading8"/>
              <w:tabs>
                <w:tab w:val="left" w:pos="330"/>
              </w:tabs>
              <w:spacing w:after="120"/>
            </w:pPr>
            <w:bookmarkStart w:id="171" w:name="_Toc464487607"/>
            <w:bookmarkStart w:id="172" w:name="_Toc465100095"/>
            <w:r w:rsidRPr="00386CD6">
              <w:t>b)</w:t>
            </w:r>
            <w:r w:rsidRPr="00386CD6">
              <w:tab/>
              <w:t>États et organisations devenus membres de l’Union</w:t>
            </w:r>
            <w:bookmarkEnd w:id="171"/>
            <w:bookmarkEnd w:id="172"/>
          </w:p>
          <w:p w:rsidR="0083792B" w:rsidRPr="00386CD6" w:rsidRDefault="0083792B" w:rsidP="0085651C">
            <w:pPr>
              <w:tabs>
                <w:tab w:val="left" w:pos="2410"/>
              </w:tabs>
              <w:jc w:val="left"/>
              <w:rPr>
                <w:sz w:val="18"/>
                <w:szCs w:val="18"/>
              </w:rPr>
            </w:pPr>
            <w:r w:rsidRPr="00386CD6">
              <w:rPr>
                <w:sz w:val="18"/>
                <w:szCs w:val="18"/>
              </w:rPr>
              <w:t>Monténégro, République</w:t>
            </w:r>
            <w:r w:rsidRPr="00386CD6">
              <w:rPr>
                <w:sz w:val="18"/>
                <w:szCs w:val="18"/>
              </w:rPr>
              <w:noBreakHyphen/>
              <w:t>Unie de Tanzanie</w:t>
            </w:r>
          </w:p>
        </w:tc>
      </w:tr>
    </w:tbl>
    <w:p w:rsidR="0083792B" w:rsidRPr="00386CD6" w:rsidRDefault="0083792B" w:rsidP="0085651C"/>
    <w:p w:rsidR="0022145A" w:rsidRPr="00386CD6" w:rsidRDefault="0022145A" w:rsidP="0085651C"/>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tcPr>
          <w:p w:rsidR="0083792B" w:rsidRPr="00386CD6" w:rsidRDefault="0083792B" w:rsidP="0022145A">
            <w:pPr>
              <w:pStyle w:val="Heading6"/>
              <w:tabs>
                <w:tab w:val="left" w:pos="276"/>
              </w:tabs>
            </w:pPr>
            <w:bookmarkStart w:id="173" w:name="_Toc464487608"/>
            <w:bookmarkStart w:id="174" w:name="_Toc465100096"/>
            <w:r w:rsidRPr="00386CD6">
              <w:t>4.</w:t>
            </w:r>
            <w:r w:rsidR="0022145A" w:rsidRPr="00386CD6">
              <w:tab/>
            </w:r>
            <w:r w:rsidRPr="00386CD6">
              <w:t>Assistance aux fins de la mise en œuvre d’un système efficace de protection des obtentions végétales conforme à l’Acte de 1991 de la Convention UPOV</w:t>
            </w:r>
            <w:bookmarkEnd w:id="173"/>
            <w:bookmarkEnd w:id="174"/>
          </w:p>
        </w:tc>
        <w:tc>
          <w:tcPr>
            <w:tcW w:w="7938" w:type="dxa"/>
          </w:tcPr>
          <w:p w:rsidR="0083792B" w:rsidRPr="00386CD6" w:rsidRDefault="0083792B" w:rsidP="0022145A">
            <w:pPr>
              <w:pStyle w:val="Heading8"/>
              <w:tabs>
                <w:tab w:val="left" w:pos="317"/>
              </w:tabs>
            </w:pPr>
            <w:bookmarkStart w:id="175" w:name="_Toc464487609"/>
            <w:bookmarkStart w:id="176" w:name="_Toc465100097"/>
            <w:r w:rsidRPr="00386CD6">
              <w:t>a)</w:t>
            </w:r>
            <w:r w:rsidRPr="00386CD6">
              <w:tab/>
              <w:t>Participation aux cours d’enseignement à distance</w:t>
            </w:r>
            <w:bookmarkEnd w:id="175"/>
            <w:bookmarkEnd w:id="176"/>
          </w:p>
          <w:p w:rsidR="0083792B" w:rsidRPr="00386CD6" w:rsidRDefault="0083792B" w:rsidP="0085651C">
            <w:pPr>
              <w:tabs>
                <w:tab w:val="left" w:pos="2410"/>
              </w:tabs>
              <w:ind w:left="317" w:hanging="317"/>
              <w:jc w:val="left"/>
              <w:rPr>
                <w:sz w:val="18"/>
                <w:szCs w:val="18"/>
              </w:rPr>
            </w:pPr>
            <w:r w:rsidRPr="00386CD6">
              <w:rPr>
                <w:sz w:val="18"/>
                <w:szCs w:val="18"/>
              </w:rPr>
              <w:t>1.</w:t>
            </w:r>
            <w:r w:rsidRPr="00386CD6">
              <w:rPr>
                <w:sz w:val="18"/>
                <w:szCs w:val="18"/>
              </w:rPr>
              <w:tab/>
              <w:t>Cours d’enseignement à distance de l’UPOV DL</w:t>
            </w:r>
            <w:r w:rsidRPr="00386CD6">
              <w:rPr>
                <w:sz w:val="18"/>
                <w:szCs w:val="18"/>
              </w:rPr>
              <w:noBreakHyphen/>
              <w:t>205 “Introduction au système UPOV de protection des obtentions végétales selon la Convention UPOV”</w:t>
            </w:r>
          </w:p>
          <w:p w:rsidR="0083792B" w:rsidRPr="00386CD6" w:rsidRDefault="0083792B" w:rsidP="0085651C">
            <w:pPr>
              <w:tabs>
                <w:tab w:val="left" w:pos="2410"/>
              </w:tabs>
              <w:jc w:val="left"/>
              <w:rPr>
                <w:sz w:val="18"/>
                <w:szCs w:val="18"/>
              </w:rPr>
            </w:pPr>
          </w:p>
          <w:p w:rsidR="0083792B" w:rsidRPr="00386CD6" w:rsidRDefault="0083792B" w:rsidP="0085651C">
            <w:pPr>
              <w:tabs>
                <w:tab w:val="left" w:pos="2410"/>
              </w:tabs>
              <w:ind w:left="317" w:hanging="317"/>
              <w:jc w:val="left"/>
              <w:rPr>
                <w:sz w:val="18"/>
                <w:szCs w:val="18"/>
              </w:rPr>
            </w:pPr>
            <w:r w:rsidRPr="00386CD6">
              <w:rPr>
                <w:sz w:val="18"/>
                <w:szCs w:val="18"/>
              </w:rPr>
              <w:t>2.</w:t>
            </w:r>
            <w:r w:rsidRPr="00386CD6">
              <w:rPr>
                <w:sz w:val="18"/>
                <w:szCs w:val="18"/>
              </w:rPr>
              <w:tab/>
              <w:t>Cours d’enseignement à distance de l’UPOV DL</w:t>
            </w:r>
            <w:r w:rsidRPr="00386CD6">
              <w:rPr>
                <w:sz w:val="18"/>
                <w:szCs w:val="18"/>
              </w:rPr>
              <w:noBreakHyphen/>
              <w:t>305 “Examen des demandes de droits d’obtenteur”</w:t>
            </w:r>
          </w:p>
          <w:p w:rsidR="0083792B" w:rsidRPr="00386CD6" w:rsidRDefault="0083792B" w:rsidP="0085651C">
            <w:pPr>
              <w:tabs>
                <w:tab w:val="left" w:pos="2410"/>
              </w:tabs>
              <w:ind w:left="317" w:hanging="317"/>
              <w:jc w:val="left"/>
              <w:rPr>
                <w:sz w:val="18"/>
                <w:szCs w:val="18"/>
              </w:rPr>
            </w:pPr>
          </w:p>
        </w:tc>
      </w:tr>
    </w:tbl>
    <w:p w:rsidR="0083792B" w:rsidRPr="00386CD6" w:rsidRDefault="0083792B" w:rsidP="0085651C">
      <w:pPr>
        <w:rPr>
          <w:sz w:val="18"/>
          <w:szCs w:val="18"/>
        </w:rPr>
      </w:pPr>
    </w:p>
    <w:p w:rsidR="0083792B" w:rsidRPr="00386CD6" w:rsidRDefault="0083792B" w:rsidP="0085651C">
      <w:pPr>
        <w:jc w:val="center"/>
        <w:rPr>
          <w:rFonts w:cs="Arial"/>
          <w:sz w:val="18"/>
          <w:szCs w:val="18"/>
        </w:rPr>
      </w:pPr>
      <w:bookmarkStart w:id="177" w:name="_Toc336339239"/>
      <w:r w:rsidRPr="00386CD6">
        <w:rPr>
          <w:rFonts w:cs="Arial"/>
          <w:sz w:val="18"/>
          <w:szCs w:val="18"/>
        </w:rPr>
        <w:t xml:space="preserve">Liste des pays et organisations d’où provenaient les participants </w:t>
      </w:r>
      <w:r w:rsidR="0022145A" w:rsidRPr="00386CD6">
        <w:rPr>
          <w:rFonts w:cs="Arial"/>
          <w:sz w:val="18"/>
          <w:szCs w:val="18"/>
        </w:rPr>
        <w:br/>
      </w:r>
      <w:proofErr w:type="gramStart"/>
      <w:r w:rsidRPr="00386CD6">
        <w:rPr>
          <w:rFonts w:cs="Arial"/>
          <w:sz w:val="18"/>
          <w:szCs w:val="18"/>
        </w:rPr>
        <w:t>aux</w:t>
      </w:r>
      <w:proofErr w:type="gramEnd"/>
      <w:r w:rsidRPr="00386CD6">
        <w:rPr>
          <w:rFonts w:cs="Arial"/>
          <w:sz w:val="18"/>
          <w:szCs w:val="18"/>
        </w:rPr>
        <w:t xml:space="preserve"> cours d’enseignement à distance de l’UPOV (en 2015)</w:t>
      </w:r>
    </w:p>
    <w:p w:rsidR="0083792B" w:rsidRPr="00386CD6" w:rsidRDefault="0083792B" w:rsidP="0085651C">
      <w:pPr>
        <w:jc w:val="center"/>
        <w:rPr>
          <w:rFonts w:cs="Arial"/>
          <w:sz w:val="18"/>
          <w:szCs w:val="18"/>
        </w:rPr>
      </w:pPr>
    </w:p>
    <w:p w:rsidR="0083792B" w:rsidRPr="00386CD6" w:rsidRDefault="0083792B" w:rsidP="0085651C">
      <w:pPr>
        <w:rPr>
          <w:rFonts w:eastAsia="MS Mincho" w:cs="Arial"/>
          <w:sz w:val="18"/>
          <w:szCs w:val="18"/>
          <w:lang w:eastAsia="ja-JP"/>
        </w:rPr>
      </w:pPr>
      <w:r w:rsidRPr="00386CD6">
        <w:rPr>
          <w:rFonts w:eastAsia="MS Mincho"/>
          <w:sz w:val="18"/>
          <w:szCs w:val="18"/>
          <w:lang w:eastAsia="ja-JP"/>
        </w:rPr>
        <w:t xml:space="preserve">Afrique du Sud, Allemagne, Arabie saoudite, Argentine, </w:t>
      </w:r>
      <w:r w:rsidRPr="00386CD6">
        <w:rPr>
          <w:rFonts w:eastAsia="MS Mincho" w:cs="Arial"/>
          <w:sz w:val="18"/>
          <w:szCs w:val="18"/>
          <w:lang w:eastAsia="ja-JP"/>
        </w:rPr>
        <w:t>Bangladesh</w:t>
      </w:r>
      <w:r w:rsidRPr="00386CD6">
        <w:rPr>
          <w:rFonts w:eastAsia="MS Mincho"/>
          <w:sz w:val="18"/>
          <w:szCs w:val="18"/>
          <w:lang w:eastAsia="ja-JP"/>
        </w:rPr>
        <w:t>, Belgique, Bolivie, Bosnie</w:t>
      </w:r>
      <w:r w:rsidRPr="00386CD6">
        <w:rPr>
          <w:rFonts w:eastAsia="MS Mincho"/>
          <w:sz w:val="18"/>
          <w:szCs w:val="18"/>
          <w:lang w:eastAsia="ja-JP"/>
        </w:rPr>
        <w:noBreakHyphen/>
        <w:t xml:space="preserve">Herzégovine, Brésil, </w:t>
      </w:r>
      <w:r w:rsidRPr="00386CD6">
        <w:rPr>
          <w:rFonts w:eastAsia="MS Mincho" w:cs="Arial"/>
          <w:sz w:val="18"/>
          <w:szCs w:val="18"/>
          <w:lang w:eastAsia="ja-JP"/>
        </w:rPr>
        <w:t>Burkina Faso</w:t>
      </w:r>
      <w:r w:rsidRPr="00386CD6">
        <w:rPr>
          <w:rFonts w:eastAsia="MS Mincho"/>
          <w:sz w:val="18"/>
          <w:szCs w:val="18"/>
          <w:lang w:eastAsia="ja-JP"/>
        </w:rPr>
        <w:t xml:space="preserve">, Cambodge, </w:t>
      </w:r>
      <w:r w:rsidRPr="00386CD6">
        <w:rPr>
          <w:rFonts w:eastAsia="MS Mincho" w:cs="Arial"/>
          <w:sz w:val="18"/>
          <w:szCs w:val="18"/>
          <w:lang w:eastAsia="ja-JP"/>
        </w:rPr>
        <w:t>Canada</w:t>
      </w:r>
      <w:r w:rsidRPr="00386CD6">
        <w:rPr>
          <w:rFonts w:eastAsia="MS Mincho"/>
          <w:sz w:val="18"/>
          <w:szCs w:val="18"/>
          <w:lang w:eastAsia="ja-JP"/>
        </w:rPr>
        <w:t xml:space="preserve">, Chili, Colombie, </w:t>
      </w:r>
      <w:r w:rsidRPr="00386CD6">
        <w:rPr>
          <w:rFonts w:eastAsia="MS Mincho" w:cs="Arial"/>
          <w:sz w:val="18"/>
          <w:szCs w:val="18"/>
          <w:lang w:eastAsia="ja-JP"/>
        </w:rPr>
        <w:t>Cuba</w:t>
      </w:r>
      <w:r w:rsidRPr="00386CD6">
        <w:rPr>
          <w:rFonts w:eastAsia="MS Mincho"/>
          <w:sz w:val="18"/>
          <w:szCs w:val="18"/>
          <w:lang w:eastAsia="ja-JP"/>
        </w:rPr>
        <w:t>, Danemark, Égypte, El Salvador, Espagne, Estonie, États</w:t>
      </w:r>
      <w:r w:rsidRPr="00386CD6">
        <w:rPr>
          <w:rFonts w:eastAsia="MS Mincho"/>
          <w:sz w:val="18"/>
          <w:szCs w:val="18"/>
          <w:lang w:eastAsia="ja-JP"/>
        </w:rPr>
        <w:noBreakHyphen/>
        <w:t xml:space="preserve">Unis d’Amérique, Éthiopie, Fédération de Russie, </w:t>
      </w:r>
      <w:r w:rsidRPr="00386CD6">
        <w:rPr>
          <w:rFonts w:eastAsia="MS Mincho" w:cs="Arial"/>
          <w:sz w:val="18"/>
          <w:szCs w:val="18"/>
          <w:lang w:eastAsia="ja-JP"/>
        </w:rPr>
        <w:t>France</w:t>
      </w:r>
      <w:r w:rsidRPr="00386CD6">
        <w:rPr>
          <w:rFonts w:eastAsia="MS Mincho"/>
          <w:sz w:val="18"/>
          <w:szCs w:val="18"/>
          <w:lang w:eastAsia="ja-JP"/>
        </w:rPr>
        <w:t xml:space="preserve">, </w:t>
      </w:r>
      <w:r w:rsidRPr="00386CD6">
        <w:rPr>
          <w:rFonts w:eastAsia="MS Mincho" w:cs="Arial"/>
          <w:sz w:val="18"/>
          <w:szCs w:val="18"/>
          <w:lang w:eastAsia="ja-JP"/>
        </w:rPr>
        <w:t>Ghana</w:t>
      </w:r>
      <w:r w:rsidRPr="00386CD6">
        <w:rPr>
          <w:rFonts w:eastAsia="MS Mincho"/>
          <w:sz w:val="18"/>
          <w:szCs w:val="18"/>
          <w:lang w:eastAsia="ja-JP"/>
        </w:rPr>
        <w:t xml:space="preserve">, </w:t>
      </w:r>
      <w:r w:rsidRPr="00386CD6">
        <w:rPr>
          <w:rFonts w:eastAsia="MS Mincho" w:cs="Arial"/>
          <w:sz w:val="18"/>
          <w:szCs w:val="18"/>
          <w:lang w:eastAsia="ja-JP"/>
        </w:rPr>
        <w:t>Guatemala</w:t>
      </w:r>
      <w:r w:rsidRPr="00386CD6">
        <w:rPr>
          <w:rFonts w:eastAsia="MS Mincho"/>
          <w:sz w:val="18"/>
          <w:szCs w:val="18"/>
          <w:lang w:eastAsia="ja-JP"/>
        </w:rPr>
        <w:t xml:space="preserve">, Hongrie, Inde, Indonésie, </w:t>
      </w:r>
      <w:r w:rsidRPr="00386CD6">
        <w:rPr>
          <w:rFonts w:eastAsia="MS Mincho" w:cs="Arial"/>
          <w:sz w:val="18"/>
          <w:szCs w:val="18"/>
          <w:lang w:eastAsia="ja-JP"/>
        </w:rPr>
        <w:t>Iran (</w:t>
      </w:r>
      <w:r w:rsidRPr="00386CD6">
        <w:rPr>
          <w:rFonts w:eastAsia="MS Mincho"/>
          <w:sz w:val="18"/>
          <w:szCs w:val="18"/>
          <w:lang w:eastAsia="ja-JP"/>
        </w:rPr>
        <w:t>République islamique d’</w:t>
      </w:r>
      <w:r w:rsidRPr="00386CD6">
        <w:rPr>
          <w:rFonts w:eastAsia="MS Mincho" w:cs="Arial"/>
          <w:sz w:val="18"/>
          <w:szCs w:val="18"/>
          <w:lang w:eastAsia="ja-JP"/>
        </w:rPr>
        <w:t>)</w:t>
      </w:r>
      <w:r w:rsidRPr="00386CD6">
        <w:rPr>
          <w:rFonts w:eastAsia="MS Mincho"/>
          <w:sz w:val="18"/>
          <w:szCs w:val="18"/>
          <w:lang w:eastAsia="ja-JP"/>
        </w:rPr>
        <w:t xml:space="preserve">, Israël, Italie, Jamaïque, Japon, Kenya, Lettonie, Malaisie, Maroc, Mauritanie, Mexique, </w:t>
      </w:r>
      <w:r w:rsidRPr="00386CD6">
        <w:rPr>
          <w:rFonts w:eastAsia="MS Mincho" w:cs="Arial"/>
          <w:sz w:val="18"/>
          <w:szCs w:val="18"/>
          <w:lang w:eastAsia="ja-JP"/>
        </w:rPr>
        <w:t>Myanmar</w:t>
      </w:r>
      <w:r w:rsidRPr="00386CD6">
        <w:rPr>
          <w:rFonts w:eastAsia="MS Mincho"/>
          <w:sz w:val="18"/>
          <w:szCs w:val="18"/>
          <w:lang w:eastAsia="ja-JP"/>
        </w:rPr>
        <w:t>, Nigéria, Norvège, Nouvelle</w:t>
      </w:r>
      <w:r w:rsidRPr="00386CD6">
        <w:rPr>
          <w:rFonts w:eastAsia="MS Mincho"/>
          <w:sz w:val="18"/>
          <w:szCs w:val="18"/>
          <w:lang w:eastAsia="ja-JP"/>
        </w:rPr>
        <w:noBreakHyphen/>
        <w:t xml:space="preserve">Zélande, Ouganda, </w:t>
      </w:r>
      <w:r w:rsidRPr="00386CD6">
        <w:rPr>
          <w:rFonts w:eastAsia="MS Mincho" w:cs="Arial"/>
          <w:sz w:val="18"/>
          <w:szCs w:val="18"/>
          <w:lang w:eastAsia="ja-JP"/>
        </w:rPr>
        <w:t>Panama</w:t>
      </w:r>
      <w:r w:rsidRPr="00386CD6">
        <w:rPr>
          <w:rFonts w:eastAsia="MS Mincho"/>
          <w:sz w:val="18"/>
          <w:szCs w:val="18"/>
          <w:lang w:eastAsia="ja-JP"/>
        </w:rPr>
        <w:t xml:space="preserve">, </w:t>
      </w:r>
      <w:r w:rsidRPr="00386CD6">
        <w:rPr>
          <w:rFonts w:eastAsia="MS Mincho" w:cs="Arial"/>
          <w:sz w:val="18"/>
          <w:szCs w:val="18"/>
          <w:lang w:eastAsia="ja-JP"/>
        </w:rPr>
        <w:t>Paraguay</w:t>
      </w:r>
      <w:r w:rsidRPr="00386CD6">
        <w:rPr>
          <w:rFonts w:eastAsia="MS Mincho"/>
          <w:sz w:val="18"/>
          <w:szCs w:val="18"/>
          <w:lang w:eastAsia="ja-JP"/>
        </w:rPr>
        <w:t>, Pays</w:t>
      </w:r>
      <w:r w:rsidRPr="00386CD6">
        <w:rPr>
          <w:rFonts w:eastAsia="MS Mincho"/>
          <w:sz w:val="18"/>
          <w:szCs w:val="18"/>
          <w:lang w:eastAsia="ja-JP"/>
        </w:rPr>
        <w:noBreakHyphen/>
        <w:t>Bas, Pérou, République centrafricaine, République de Corée, République de Moldova, République démocratique populaire lao, République dominicaine, République tchèque, République</w:t>
      </w:r>
      <w:r w:rsidRPr="00386CD6">
        <w:rPr>
          <w:rFonts w:eastAsia="MS Mincho"/>
          <w:sz w:val="18"/>
          <w:szCs w:val="18"/>
          <w:lang w:eastAsia="ja-JP"/>
        </w:rPr>
        <w:noBreakHyphen/>
        <w:t>Unie de Tanzanie, Royaume</w:t>
      </w:r>
      <w:r w:rsidRPr="00386CD6">
        <w:rPr>
          <w:rFonts w:eastAsia="MS Mincho"/>
          <w:sz w:val="18"/>
          <w:szCs w:val="18"/>
          <w:lang w:eastAsia="ja-JP"/>
        </w:rPr>
        <w:noBreakHyphen/>
        <w:t xml:space="preserve">Uni, </w:t>
      </w:r>
      <w:r w:rsidRPr="00386CD6">
        <w:rPr>
          <w:rFonts w:eastAsia="MS Mincho" w:cs="Arial"/>
          <w:sz w:val="18"/>
          <w:szCs w:val="18"/>
          <w:lang w:eastAsia="ja-JP"/>
        </w:rPr>
        <w:t>Rwanda</w:t>
      </w:r>
      <w:r w:rsidRPr="00386CD6">
        <w:rPr>
          <w:rFonts w:eastAsia="MS Mincho"/>
          <w:sz w:val="18"/>
          <w:szCs w:val="18"/>
          <w:lang w:eastAsia="ja-JP"/>
        </w:rPr>
        <w:t xml:space="preserve">, Sénégal, Slovaquie, Sri Lanka, Suisse, </w:t>
      </w:r>
      <w:r w:rsidRPr="00386CD6">
        <w:rPr>
          <w:rFonts w:eastAsia="MS Mincho" w:cs="Arial"/>
          <w:sz w:val="18"/>
          <w:szCs w:val="18"/>
          <w:lang w:eastAsia="ja-JP"/>
        </w:rPr>
        <w:t>Togo</w:t>
      </w:r>
      <w:r w:rsidRPr="00386CD6">
        <w:rPr>
          <w:rFonts w:eastAsia="MS Mincho"/>
          <w:sz w:val="18"/>
          <w:szCs w:val="18"/>
          <w:lang w:eastAsia="ja-JP"/>
        </w:rPr>
        <w:t>, Trinité</w:t>
      </w:r>
      <w:r w:rsidRPr="00386CD6">
        <w:rPr>
          <w:rFonts w:eastAsia="MS Mincho"/>
          <w:sz w:val="18"/>
          <w:szCs w:val="18"/>
          <w:lang w:eastAsia="ja-JP"/>
        </w:rPr>
        <w:noBreakHyphen/>
        <w:t>et</w:t>
      </w:r>
      <w:r w:rsidRPr="00386CD6">
        <w:rPr>
          <w:rFonts w:eastAsia="MS Mincho"/>
          <w:sz w:val="18"/>
          <w:szCs w:val="18"/>
          <w:lang w:eastAsia="ja-JP"/>
        </w:rPr>
        <w:noBreakHyphen/>
        <w:t xml:space="preserve">Tobago, Tunisie, </w:t>
      </w:r>
      <w:r w:rsidRPr="00386CD6">
        <w:rPr>
          <w:rFonts w:eastAsia="MS Mincho" w:cs="Arial"/>
          <w:sz w:val="18"/>
          <w:szCs w:val="18"/>
          <w:lang w:eastAsia="ja-JP"/>
        </w:rPr>
        <w:t>Uruguay</w:t>
      </w:r>
      <w:r w:rsidRPr="00386CD6">
        <w:rPr>
          <w:rFonts w:eastAsia="MS Mincho"/>
          <w:sz w:val="18"/>
          <w:szCs w:val="18"/>
          <w:lang w:eastAsia="ja-JP"/>
        </w:rPr>
        <w:t xml:space="preserve">, Viet Nam, </w:t>
      </w:r>
      <w:r w:rsidRPr="00386CD6">
        <w:rPr>
          <w:rFonts w:eastAsia="MS Mincho" w:cs="Arial"/>
          <w:sz w:val="18"/>
          <w:szCs w:val="18"/>
          <w:lang w:eastAsia="ja-JP"/>
        </w:rPr>
        <w:t>Zimbabwe, OAPI (68 États, 1 organisation)</w:t>
      </w:r>
    </w:p>
    <w:p w:rsidR="0083792B" w:rsidRPr="00386CD6" w:rsidRDefault="0083792B" w:rsidP="0085651C"/>
    <w:p w:rsidR="0083792B" w:rsidRPr="00386CD6" w:rsidRDefault="0083792B" w:rsidP="0085651C">
      <w:pPr>
        <w:keepNext/>
        <w:jc w:val="center"/>
        <w:rPr>
          <w:rFonts w:cs="Arial"/>
          <w:sz w:val="18"/>
          <w:szCs w:val="18"/>
        </w:rPr>
      </w:pPr>
      <w:r w:rsidRPr="00386CD6">
        <w:rPr>
          <w:rFonts w:cs="Arial"/>
          <w:sz w:val="18"/>
          <w:szCs w:val="18"/>
        </w:rPr>
        <w:t>Nombre total de participants aux principales sessions du cours DL</w:t>
      </w:r>
      <w:r w:rsidRPr="00386CD6">
        <w:rPr>
          <w:rFonts w:cs="Arial"/>
          <w:sz w:val="18"/>
          <w:szCs w:val="18"/>
        </w:rPr>
        <w:noBreakHyphen/>
        <w:t>205 par catégorie (une session en 2015)</w:t>
      </w:r>
    </w:p>
    <w:p w:rsidR="0083792B" w:rsidRPr="00386CD6" w:rsidRDefault="0083792B" w:rsidP="0085651C">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83792B" w:rsidRPr="00386CD6" w:rsidTr="0085651C">
        <w:tc>
          <w:tcPr>
            <w:tcW w:w="8364" w:type="dxa"/>
            <w:shd w:val="clear" w:color="auto" w:fill="D9D9D9"/>
            <w:vAlign w:val="center"/>
          </w:tcPr>
          <w:p w:rsidR="0083792B" w:rsidRPr="00386CD6" w:rsidRDefault="0083792B" w:rsidP="0085651C">
            <w:pPr>
              <w:spacing w:before="20" w:after="20"/>
              <w:jc w:val="left"/>
              <w:rPr>
                <w:rFonts w:eastAsia="MS Mincho"/>
                <w:sz w:val="18"/>
                <w:szCs w:val="18"/>
              </w:rPr>
            </w:pPr>
            <w:r w:rsidRPr="00386CD6">
              <w:rPr>
                <w:rFonts w:eastAsia="MS Mincho"/>
                <w:sz w:val="18"/>
                <w:szCs w:val="18"/>
              </w:rPr>
              <w:t>Catégorie</w:t>
            </w:r>
          </w:p>
        </w:tc>
        <w:tc>
          <w:tcPr>
            <w:tcW w:w="1275" w:type="dxa"/>
            <w:shd w:val="clear" w:color="auto" w:fill="D9D9D9"/>
            <w:vAlign w:val="center"/>
          </w:tcPr>
          <w:p w:rsidR="0083792B" w:rsidRPr="00386CD6" w:rsidRDefault="0083792B" w:rsidP="0085651C">
            <w:pPr>
              <w:spacing w:before="20" w:after="20"/>
              <w:jc w:val="center"/>
              <w:rPr>
                <w:sz w:val="18"/>
                <w:szCs w:val="18"/>
              </w:rPr>
            </w:pPr>
            <w:r w:rsidRPr="00386CD6">
              <w:rPr>
                <w:sz w:val="18"/>
                <w:szCs w:val="18"/>
              </w:rPr>
              <w:t>Nombre d’étudiants</w:t>
            </w:r>
          </w:p>
        </w:tc>
      </w:tr>
      <w:tr w:rsidR="0083792B" w:rsidRPr="00386CD6" w:rsidTr="0085651C">
        <w:tc>
          <w:tcPr>
            <w:tcW w:w="8364" w:type="dxa"/>
          </w:tcPr>
          <w:p w:rsidR="0083792B" w:rsidRPr="00386CD6" w:rsidRDefault="0083792B" w:rsidP="0085651C">
            <w:pPr>
              <w:spacing w:before="20" w:after="20"/>
              <w:jc w:val="left"/>
              <w:rPr>
                <w:sz w:val="18"/>
                <w:szCs w:val="18"/>
              </w:rPr>
            </w:pPr>
            <w:r w:rsidRPr="00386CD6">
              <w:rPr>
                <w:sz w:val="18"/>
                <w:szCs w:val="18"/>
              </w:rPr>
              <w:t>Catégorie 1 </w:t>
            </w:r>
            <w:r w:rsidRPr="00386CD6">
              <w:rPr>
                <w:sz w:val="18"/>
              </w:rPr>
              <w:t>:</w:t>
            </w:r>
            <w:r w:rsidRPr="00386CD6">
              <w:rPr>
                <w:sz w:val="18"/>
                <w:szCs w:val="18"/>
              </w:rPr>
              <w:t xml:space="preserve"> Fonctionnaires de membres de l’Union, dont la candidature a été approuvée par le représentant intéressé auprès du Conseil de l’UPOV</w:t>
            </w:r>
            <w:r w:rsidRPr="00386CD6">
              <w:rPr>
                <w:sz w:val="18"/>
                <w:szCs w:val="18"/>
              </w:rPr>
              <w:br/>
              <w:t>Exonérés de taxe</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186</w:t>
            </w:r>
          </w:p>
        </w:tc>
      </w:tr>
      <w:tr w:rsidR="0083792B" w:rsidRPr="00386CD6" w:rsidTr="0085651C">
        <w:tc>
          <w:tcPr>
            <w:tcW w:w="8364" w:type="dxa"/>
          </w:tcPr>
          <w:p w:rsidR="0083792B" w:rsidRPr="00386CD6" w:rsidRDefault="0083792B" w:rsidP="0085651C">
            <w:pPr>
              <w:spacing w:before="20" w:after="20"/>
              <w:jc w:val="left"/>
              <w:rPr>
                <w:sz w:val="18"/>
                <w:szCs w:val="18"/>
              </w:rPr>
            </w:pPr>
            <w:r w:rsidRPr="00386CD6">
              <w:rPr>
                <w:rFonts w:eastAsia="MS Mincho"/>
                <w:sz w:val="18"/>
                <w:szCs w:val="18"/>
              </w:rPr>
              <w:t>Catégorie 2 : Fonctionnaires d’États ou d’organisations intergouvernementales ayant le statut d’observateur, dont la candidature a été approuvée par le représentant intéressé auprès du Conseil de l’UPOV</w:t>
            </w:r>
            <w:r w:rsidRPr="00386CD6">
              <w:rPr>
                <w:rFonts w:eastAsia="MS Mincho"/>
                <w:sz w:val="18"/>
                <w:szCs w:val="18"/>
              </w:rPr>
              <w:br/>
              <w:t xml:space="preserve">Un étudiant exonéré des droits d’inscription par État ou organisation intergouvernementale;  </w:t>
            </w:r>
            <w:r w:rsidRPr="00386CD6">
              <w:rPr>
                <w:rFonts w:eastAsia="MS Mincho"/>
                <w:sz w:val="18"/>
                <w:szCs w:val="18"/>
              </w:rPr>
              <w:br/>
              <w:t>étudiants supplémentaires : 1000 francs suisses par étudiant</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10</w:t>
            </w:r>
          </w:p>
        </w:tc>
      </w:tr>
      <w:tr w:rsidR="0083792B" w:rsidRPr="00386CD6" w:rsidTr="0085651C">
        <w:tc>
          <w:tcPr>
            <w:tcW w:w="8364" w:type="dxa"/>
          </w:tcPr>
          <w:p w:rsidR="0083792B" w:rsidRPr="00386CD6" w:rsidRDefault="0083792B" w:rsidP="0085651C">
            <w:pPr>
              <w:spacing w:before="20" w:after="20"/>
              <w:jc w:val="left"/>
              <w:rPr>
                <w:sz w:val="18"/>
                <w:szCs w:val="18"/>
              </w:rPr>
            </w:pPr>
            <w:r w:rsidRPr="00386CD6">
              <w:rPr>
                <w:sz w:val="18"/>
                <w:szCs w:val="18"/>
              </w:rPr>
              <w:t>Catégorie 3 : autres</w:t>
            </w:r>
            <w:r w:rsidRPr="00386CD6">
              <w:rPr>
                <w:sz w:val="18"/>
                <w:szCs w:val="18"/>
              </w:rPr>
              <w:br/>
              <w:t>Droit d’inscription : 1000 francs suisses</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13</w:t>
            </w:r>
          </w:p>
        </w:tc>
      </w:tr>
      <w:tr w:rsidR="0083792B" w:rsidRPr="00386CD6" w:rsidTr="0085651C">
        <w:tc>
          <w:tcPr>
            <w:tcW w:w="8364" w:type="dxa"/>
          </w:tcPr>
          <w:p w:rsidR="0083792B" w:rsidRPr="00386CD6" w:rsidRDefault="0083792B" w:rsidP="0085651C">
            <w:pPr>
              <w:spacing w:before="20" w:after="20"/>
              <w:jc w:val="left"/>
              <w:rPr>
                <w:sz w:val="18"/>
                <w:szCs w:val="18"/>
              </w:rPr>
            </w:pPr>
            <w:r w:rsidRPr="00386CD6">
              <w:rPr>
                <w:sz w:val="18"/>
                <w:szCs w:val="18"/>
              </w:rPr>
              <w:t>Catégorie 4 </w:t>
            </w:r>
            <w:r w:rsidRPr="00386CD6">
              <w:rPr>
                <w:sz w:val="18"/>
              </w:rPr>
              <w:t>:</w:t>
            </w:r>
            <w:r w:rsidRPr="00386CD6">
              <w:rPr>
                <w:sz w:val="18"/>
                <w:szCs w:val="18"/>
              </w:rPr>
              <w:t xml:space="preserve"> Exonération discrétionnaire des droits d’inscription pour quelques étudiants</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10</w:t>
            </w:r>
          </w:p>
        </w:tc>
      </w:tr>
      <w:tr w:rsidR="0083792B" w:rsidRPr="00386CD6" w:rsidTr="0085651C">
        <w:tc>
          <w:tcPr>
            <w:tcW w:w="8364" w:type="dxa"/>
          </w:tcPr>
          <w:p w:rsidR="0083792B" w:rsidRPr="00386CD6" w:rsidRDefault="0083792B" w:rsidP="0085651C">
            <w:pPr>
              <w:spacing w:before="20" w:after="20"/>
              <w:ind w:right="318"/>
              <w:jc w:val="right"/>
              <w:rPr>
                <w:rFonts w:eastAsia="MS Mincho"/>
                <w:sz w:val="18"/>
                <w:szCs w:val="18"/>
              </w:rPr>
            </w:pPr>
            <w:r w:rsidRPr="00386CD6">
              <w:rPr>
                <w:rFonts w:eastAsia="MS Mincho"/>
                <w:sz w:val="18"/>
                <w:szCs w:val="18"/>
              </w:rPr>
              <w:t>Total</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219</w:t>
            </w:r>
          </w:p>
        </w:tc>
      </w:tr>
    </w:tbl>
    <w:p w:rsidR="0083792B" w:rsidRPr="00386CD6" w:rsidRDefault="0083792B" w:rsidP="0085651C">
      <w:pPr>
        <w:rPr>
          <w:rFonts w:cs="Arial"/>
        </w:rPr>
      </w:pPr>
    </w:p>
    <w:p w:rsidR="0083792B" w:rsidRPr="00386CD6" w:rsidRDefault="0083792B" w:rsidP="0085651C">
      <w:pPr>
        <w:keepNext/>
        <w:jc w:val="center"/>
        <w:rPr>
          <w:rFonts w:cs="Arial"/>
          <w:sz w:val="18"/>
          <w:szCs w:val="18"/>
        </w:rPr>
      </w:pPr>
      <w:r w:rsidRPr="00386CD6">
        <w:rPr>
          <w:rFonts w:cs="Arial"/>
          <w:sz w:val="18"/>
          <w:szCs w:val="18"/>
        </w:rPr>
        <w:t>Nombre total de participants aux principales sessions du cours DL</w:t>
      </w:r>
      <w:r w:rsidRPr="00386CD6">
        <w:rPr>
          <w:rFonts w:cs="Arial"/>
          <w:sz w:val="18"/>
          <w:szCs w:val="18"/>
        </w:rPr>
        <w:noBreakHyphen/>
        <w:t>205 par langue (en 2015)</w:t>
      </w:r>
    </w:p>
    <w:p w:rsidR="0083792B" w:rsidRPr="00386CD6" w:rsidRDefault="0083792B" w:rsidP="0085651C">
      <w:pPr>
        <w:keepNext/>
      </w:pPr>
    </w:p>
    <w:tbl>
      <w:tblPr>
        <w:tblStyle w:val="TableGrid"/>
        <w:tblW w:w="9639" w:type="dxa"/>
        <w:tblInd w:w="108" w:type="dxa"/>
        <w:tblLook w:val="01E0" w:firstRow="1" w:lastRow="1" w:firstColumn="1" w:lastColumn="1" w:noHBand="0" w:noVBand="0"/>
      </w:tblPr>
      <w:tblGrid>
        <w:gridCol w:w="3686"/>
        <w:gridCol w:w="1169"/>
        <w:gridCol w:w="1170"/>
        <w:gridCol w:w="1169"/>
        <w:gridCol w:w="1170"/>
        <w:gridCol w:w="1275"/>
      </w:tblGrid>
      <w:tr w:rsidR="0083792B" w:rsidRPr="00386CD6" w:rsidTr="0085651C">
        <w:trPr>
          <w:cantSplit/>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Anglais</w:t>
            </w:r>
          </w:p>
        </w:tc>
        <w:tc>
          <w:tcPr>
            <w:tcW w:w="1170"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Français</w:t>
            </w:r>
          </w:p>
        </w:tc>
        <w:tc>
          <w:tcPr>
            <w:tcW w:w="1169"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Allemand</w:t>
            </w:r>
          </w:p>
        </w:tc>
        <w:tc>
          <w:tcPr>
            <w:tcW w:w="1170"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Espagnol</w:t>
            </w:r>
          </w:p>
        </w:tc>
        <w:tc>
          <w:tcPr>
            <w:tcW w:w="1275"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Total</w:t>
            </w:r>
          </w:p>
        </w:tc>
      </w:tr>
      <w:tr w:rsidR="0083792B" w:rsidRPr="00386CD6" w:rsidTr="0085651C">
        <w:trPr>
          <w:cantSplit/>
        </w:trPr>
        <w:tc>
          <w:tcPr>
            <w:tcW w:w="3686"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jc w:val="left"/>
              <w:rPr>
                <w:sz w:val="18"/>
              </w:rPr>
            </w:pPr>
            <w:r w:rsidRPr="00386CD6">
              <w:rPr>
                <w:sz w:val="18"/>
              </w:rPr>
              <w:t>Première session : total par langue</w:t>
            </w:r>
          </w:p>
        </w:tc>
        <w:tc>
          <w:tcPr>
            <w:tcW w:w="1169"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107</w:t>
            </w:r>
          </w:p>
        </w:tc>
        <w:tc>
          <w:tcPr>
            <w:tcW w:w="1170"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24</w:t>
            </w:r>
          </w:p>
        </w:tc>
        <w:tc>
          <w:tcPr>
            <w:tcW w:w="1169"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6</w:t>
            </w:r>
          </w:p>
        </w:tc>
        <w:tc>
          <w:tcPr>
            <w:tcW w:w="1170"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82</w:t>
            </w:r>
          </w:p>
        </w:tc>
        <w:tc>
          <w:tcPr>
            <w:tcW w:w="1275"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219</w:t>
            </w:r>
          </w:p>
        </w:tc>
      </w:tr>
    </w:tbl>
    <w:p w:rsidR="0083792B" w:rsidRPr="00386CD6" w:rsidRDefault="0083792B" w:rsidP="0085651C">
      <w:pPr>
        <w:rPr>
          <w:rFonts w:cs="Arial"/>
        </w:rPr>
      </w:pPr>
    </w:p>
    <w:p w:rsidR="0083792B" w:rsidRPr="00386CD6" w:rsidRDefault="0083792B" w:rsidP="0085651C">
      <w:pPr>
        <w:keepNext/>
        <w:keepLines/>
        <w:jc w:val="center"/>
        <w:rPr>
          <w:rFonts w:cs="Arial"/>
          <w:sz w:val="18"/>
          <w:szCs w:val="18"/>
          <w:u w:val="single"/>
        </w:rPr>
      </w:pPr>
      <w:r w:rsidRPr="00386CD6">
        <w:rPr>
          <w:rFonts w:cs="Arial"/>
          <w:sz w:val="18"/>
          <w:szCs w:val="18"/>
          <w:u w:val="single"/>
        </w:rPr>
        <w:t>Sessions spéciales du cours DL</w:t>
      </w:r>
      <w:r w:rsidRPr="00386CD6">
        <w:rPr>
          <w:rFonts w:cs="Arial"/>
          <w:sz w:val="18"/>
          <w:szCs w:val="18"/>
          <w:u w:val="single"/>
        </w:rPr>
        <w:noBreakHyphen/>
        <w:t>205 (en 2015)</w:t>
      </w:r>
    </w:p>
    <w:p w:rsidR="0083792B" w:rsidRPr="00386CD6" w:rsidRDefault="0083792B" w:rsidP="0085651C">
      <w:pPr>
        <w:keepNext/>
        <w:keepLines/>
        <w:rPr>
          <w:rFonts w:cs="Arial"/>
        </w:rPr>
      </w:pPr>
    </w:p>
    <w:tbl>
      <w:tblPr>
        <w:tblW w:w="10017"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6396"/>
        <w:gridCol w:w="1134"/>
        <w:gridCol w:w="1134"/>
      </w:tblGrid>
      <w:tr w:rsidR="0083792B" w:rsidRPr="00386CD6" w:rsidTr="0085651C">
        <w:tc>
          <w:tcPr>
            <w:tcW w:w="1353" w:type="dxa"/>
            <w:shd w:val="clear" w:color="auto" w:fill="D9D9D9" w:themeFill="background1" w:themeFillShade="D9"/>
            <w:tcMar>
              <w:left w:w="57" w:type="dxa"/>
              <w:right w:w="57" w:type="dxa"/>
            </w:tcMar>
            <w:vAlign w:val="bottom"/>
          </w:tcPr>
          <w:p w:rsidR="0083792B" w:rsidRPr="00386CD6" w:rsidRDefault="0083792B" w:rsidP="0085651C">
            <w:pPr>
              <w:keepNext/>
              <w:keepLines/>
              <w:autoSpaceDE w:val="0"/>
              <w:autoSpaceDN w:val="0"/>
              <w:adjustRightInd w:val="0"/>
              <w:spacing w:before="40" w:after="40"/>
              <w:jc w:val="left"/>
              <w:rPr>
                <w:rFonts w:eastAsia="MS Mincho" w:cs="Arial"/>
                <w:sz w:val="18"/>
                <w:szCs w:val="18"/>
                <w:lang w:eastAsia="ja-JP"/>
              </w:rPr>
            </w:pPr>
            <w:r w:rsidRPr="00386CD6">
              <w:rPr>
                <w:rFonts w:eastAsia="MS Mincho" w:cs="Arial"/>
                <w:sz w:val="18"/>
                <w:szCs w:val="18"/>
                <w:lang w:eastAsia="ja-JP"/>
              </w:rPr>
              <w:t>Mois/année</w:t>
            </w:r>
          </w:p>
        </w:tc>
        <w:tc>
          <w:tcPr>
            <w:tcW w:w="6396" w:type="dxa"/>
            <w:shd w:val="clear" w:color="auto" w:fill="D9D9D9" w:themeFill="background1" w:themeFillShade="D9"/>
            <w:tcMar>
              <w:left w:w="57" w:type="dxa"/>
              <w:right w:w="57" w:type="dxa"/>
            </w:tcMar>
            <w:vAlign w:val="bottom"/>
          </w:tcPr>
          <w:p w:rsidR="0083792B" w:rsidRPr="00386CD6" w:rsidRDefault="0083792B" w:rsidP="0085651C">
            <w:pPr>
              <w:keepNext/>
              <w:keepLines/>
              <w:autoSpaceDE w:val="0"/>
              <w:autoSpaceDN w:val="0"/>
              <w:adjustRightInd w:val="0"/>
              <w:spacing w:before="40" w:after="40"/>
              <w:jc w:val="left"/>
              <w:rPr>
                <w:rFonts w:eastAsia="MS Mincho" w:cs="Arial"/>
                <w:sz w:val="18"/>
                <w:szCs w:val="18"/>
                <w:lang w:eastAsia="ja-JP"/>
              </w:rPr>
            </w:pPr>
            <w:r w:rsidRPr="00386CD6">
              <w:rPr>
                <w:rFonts w:eastAsia="MS Mincho" w:cs="Arial"/>
                <w:sz w:val="18"/>
                <w:szCs w:val="18"/>
                <w:lang w:eastAsia="ja-JP"/>
              </w:rPr>
              <w:t>Nom du cours</w:t>
            </w:r>
          </w:p>
        </w:tc>
        <w:tc>
          <w:tcPr>
            <w:tcW w:w="1134" w:type="dxa"/>
            <w:shd w:val="clear" w:color="auto" w:fill="D9D9D9" w:themeFill="background1" w:themeFillShade="D9"/>
            <w:tcMar>
              <w:left w:w="57" w:type="dxa"/>
              <w:right w:w="57" w:type="dxa"/>
            </w:tcMar>
            <w:vAlign w:val="bottom"/>
          </w:tcPr>
          <w:p w:rsidR="0083792B" w:rsidRPr="00386CD6" w:rsidRDefault="0083792B" w:rsidP="0085651C">
            <w:pPr>
              <w:keepNext/>
              <w:keepLines/>
              <w:autoSpaceDE w:val="0"/>
              <w:autoSpaceDN w:val="0"/>
              <w:adjustRightInd w:val="0"/>
              <w:spacing w:before="40" w:after="40"/>
              <w:jc w:val="left"/>
              <w:rPr>
                <w:rFonts w:eastAsia="MS Mincho" w:cs="Arial"/>
                <w:sz w:val="18"/>
                <w:szCs w:val="18"/>
                <w:lang w:eastAsia="ja-JP"/>
              </w:rPr>
            </w:pPr>
            <w:r w:rsidRPr="00386CD6">
              <w:rPr>
                <w:rFonts w:eastAsia="MS Mincho" w:cs="Arial"/>
                <w:sz w:val="18"/>
                <w:szCs w:val="18"/>
                <w:lang w:eastAsia="ja-JP"/>
              </w:rPr>
              <w:t>Langue</w:t>
            </w:r>
          </w:p>
        </w:tc>
        <w:tc>
          <w:tcPr>
            <w:tcW w:w="1134" w:type="dxa"/>
            <w:shd w:val="clear" w:color="auto" w:fill="D9D9D9" w:themeFill="background1" w:themeFillShade="D9"/>
            <w:tcMar>
              <w:left w:w="57" w:type="dxa"/>
              <w:right w:w="57" w:type="dxa"/>
            </w:tcMar>
            <w:vAlign w:val="bottom"/>
          </w:tcPr>
          <w:p w:rsidR="0083792B" w:rsidRPr="00386CD6" w:rsidRDefault="0083792B" w:rsidP="0085651C">
            <w:pPr>
              <w:keepNext/>
              <w:keepLines/>
              <w:autoSpaceDE w:val="0"/>
              <w:autoSpaceDN w:val="0"/>
              <w:adjustRightInd w:val="0"/>
              <w:spacing w:before="40" w:after="40"/>
              <w:jc w:val="center"/>
              <w:rPr>
                <w:rFonts w:eastAsia="MS Mincho" w:cs="Arial"/>
                <w:sz w:val="18"/>
                <w:szCs w:val="18"/>
                <w:lang w:eastAsia="ja-JP"/>
              </w:rPr>
            </w:pPr>
            <w:r w:rsidRPr="00386CD6">
              <w:rPr>
                <w:rFonts w:eastAsia="MS Mincho" w:cs="Arial"/>
                <w:sz w:val="18"/>
                <w:szCs w:val="18"/>
                <w:lang w:eastAsia="ja-JP"/>
              </w:rPr>
              <w:t>Nombre de participants</w:t>
            </w:r>
          </w:p>
        </w:tc>
      </w:tr>
      <w:tr w:rsidR="0083792B" w:rsidRPr="00386CD6" w:rsidTr="0085651C">
        <w:tc>
          <w:tcPr>
            <w:tcW w:w="1353" w:type="dxa"/>
            <w:shd w:val="clear" w:color="auto" w:fill="auto"/>
            <w:tcMar>
              <w:left w:w="57" w:type="dxa"/>
              <w:right w:w="57" w:type="dxa"/>
            </w:tcMar>
          </w:tcPr>
          <w:p w:rsidR="0083792B" w:rsidRPr="00386CD6" w:rsidRDefault="0083792B" w:rsidP="0085651C">
            <w:pPr>
              <w:keepNext/>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Mai 2015</w:t>
            </w:r>
          </w:p>
        </w:tc>
        <w:tc>
          <w:tcPr>
            <w:tcW w:w="6396" w:type="dxa"/>
            <w:shd w:val="clear" w:color="auto" w:fill="auto"/>
            <w:tcMar>
              <w:left w:w="57" w:type="dxa"/>
              <w:right w:w="57" w:type="dxa"/>
            </w:tcMar>
          </w:tcPr>
          <w:p w:rsidR="0083792B" w:rsidRPr="00386CD6" w:rsidRDefault="0083792B" w:rsidP="0085651C">
            <w:pPr>
              <w:keepNext/>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Cours de formation de formateurs sur la protection des obtentions végétales selon la Convention UPOV, Genève (Suisse)</w:t>
            </w:r>
          </w:p>
        </w:tc>
        <w:tc>
          <w:tcPr>
            <w:tcW w:w="1134" w:type="dxa"/>
            <w:shd w:val="clear" w:color="auto" w:fill="auto"/>
            <w:tcMar>
              <w:left w:w="57" w:type="dxa"/>
              <w:right w:w="57" w:type="dxa"/>
            </w:tcMar>
          </w:tcPr>
          <w:p w:rsidR="0083792B" w:rsidRPr="00386CD6" w:rsidRDefault="0083792B" w:rsidP="0085651C">
            <w:pPr>
              <w:keepNext/>
              <w:autoSpaceDE w:val="0"/>
              <w:autoSpaceDN w:val="0"/>
              <w:adjustRightInd w:val="0"/>
              <w:spacing w:before="20" w:after="20"/>
              <w:jc w:val="center"/>
              <w:rPr>
                <w:rFonts w:eastAsia="MS Mincho" w:cs="Arial"/>
                <w:sz w:val="18"/>
                <w:szCs w:val="18"/>
                <w:lang w:eastAsia="ja-JP"/>
              </w:rPr>
            </w:pPr>
            <w:r w:rsidRPr="00386CD6">
              <w:rPr>
                <w:rFonts w:eastAsia="MS Mincho" w:cs="Arial"/>
                <w:sz w:val="18"/>
                <w:szCs w:val="18"/>
                <w:lang w:eastAsia="ja-JP"/>
              </w:rPr>
              <w:t>EN</w:t>
            </w:r>
          </w:p>
        </w:tc>
        <w:tc>
          <w:tcPr>
            <w:tcW w:w="1134" w:type="dxa"/>
            <w:shd w:val="clear" w:color="auto" w:fill="auto"/>
            <w:tcMar>
              <w:left w:w="57" w:type="dxa"/>
              <w:right w:w="57" w:type="dxa"/>
            </w:tcMar>
          </w:tcPr>
          <w:p w:rsidR="0083792B" w:rsidRPr="00386CD6" w:rsidRDefault="0083792B" w:rsidP="0022145A">
            <w:pPr>
              <w:keepNext/>
              <w:autoSpaceDE w:val="0"/>
              <w:autoSpaceDN w:val="0"/>
              <w:adjustRightInd w:val="0"/>
              <w:spacing w:before="20" w:after="20"/>
              <w:jc w:val="center"/>
              <w:rPr>
                <w:rFonts w:eastAsia="MS Mincho" w:cs="Arial"/>
                <w:sz w:val="18"/>
                <w:szCs w:val="18"/>
                <w:lang w:eastAsia="ja-JP"/>
              </w:rPr>
            </w:pPr>
            <w:r w:rsidRPr="00386CD6">
              <w:rPr>
                <w:sz w:val="18"/>
                <w:szCs w:val="18"/>
              </w:rPr>
              <w:t>11</w:t>
            </w:r>
          </w:p>
        </w:tc>
      </w:tr>
      <w:tr w:rsidR="0083792B" w:rsidRPr="00386CD6" w:rsidTr="0085651C">
        <w:tc>
          <w:tcPr>
            <w:tcW w:w="1353" w:type="dxa"/>
            <w:tcMar>
              <w:left w:w="57" w:type="dxa"/>
              <w:right w:w="57" w:type="dxa"/>
            </w:tcMar>
          </w:tcPr>
          <w:p w:rsidR="0083792B" w:rsidRPr="00386CD6" w:rsidRDefault="0083792B" w:rsidP="0085651C">
            <w:pPr>
              <w:keepNext/>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Juin 2015</w:t>
            </w:r>
          </w:p>
        </w:tc>
        <w:tc>
          <w:tcPr>
            <w:tcW w:w="6396" w:type="dxa"/>
            <w:tcMar>
              <w:left w:w="57" w:type="dxa"/>
              <w:right w:w="57" w:type="dxa"/>
            </w:tcMar>
          </w:tcPr>
          <w:p w:rsidR="0083792B" w:rsidRPr="00386CD6" w:rsidRDefault="0083792B" w:rsidP="0085651C">
            <w:pPr>
              <w:keepNext/>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Cours de formation organisé par la KOICA sur la protection des obtentions végétales (République de Corée)</w:t>
            </w:r>
          </w:p>
        </w:tc>
        <w:tc>
          <w:tcPr>
            <w:tcW w:w="1134" w:type="dxa"/>
            <w:tcMar>
              <w:left w:w="57" w:type="dxa"/>
              <w:right w:w="57" w:type="dxa"/>
            </w:tcMar>
          </w:tcPr>
          <w:p w:rsidR="0083792B" w:rsidRPr="00386CD6" w:rsidRDefault="0083792B" w:rsidP="0085651C">
            <w:pPr>
              <w:keepNext/>
              <w:autoSpaceDE w:val="0"/>
              <w:autoSpaceDN w:val="0"/>
              <w:adjustRightInd w:val="0"/>
              <w:spacing w:before="20" w:after="20"/>
              <w:jc w:val="center"/>
              <w:rPr>
                <w:rFonts w:eastAsia="MS Mincho" w:cs="Arial"/>
                <w:sz w:val="18"/>
                <w:szCs w:val="18"/>
                <w:lang w:eastAsia="ja-JP"/>
              </w:rPr>
            </w:pPr>
            <w:r w:rsidRPr="00386CD6">
              <w:rPr>
                <w:rFonts w:eastAsia="MS Mincho" w:cs="Arial"/>
                <w:sz w:val="18"/>
                <w:szCs w:val="18"/>
                <w:lang w:eastAsia="ja-JP"/>
              </w:rPr>
              <w:t>EN</w:t>
            </w:r>
          </w:p>
        </w:tc>
        <w:tc>
          <w:tcPr>
            <w:tcW w:w="1134" w:type="dxa"/>
            <w:tcMar>
              <w:left w:w="57" w:type="dxa"/>
              <w:right w:w="57" w:type="dxa"/>
            </w:tcMar>
          </w:tcPr>
          <w:p w:rsidR="0083792B" w:rsidRPr="00386CD6" w:rsidRDefault="0083792B" w:rsidP="0085651C">
            <w:pPr>
              <w:keepNext/>
              <w:autoSpaceDE w:val="0"/>
              <w:autoSpaceDN w:val="0"/>
              <w:adjustRightInd w:val="0"/>
              <w:spacing w:before="20" w:after="20"/>
              <w:jc w:val="center"/>
              <w:rPr>
                <w:rFonts w:eastAsia="MS Mincho" w:cs="Arial"/>
                <w:sz w:val="18"/>
                <w:szCs w:val="18"/>
                <w:lang w:eastAsia="ja-JP"/>
              </w:rPr>
            </w:pPr>
            <w:r w:rsidRPr="00386CD6">
              <w:rPr>
                <w:sz w:val="18"/>
                <w:szCs w:val="18"/>
              </w:rPr>
              <w:t>6</w:t>
            </w:r>
          </w:p>
        </w:tc>
      </w:tr>
      <w:tr w:rsidR="0083792B" w:rsidRPr="00386CD6" w:rsidTr="0085651C">
        <w:tc>
          <w:tcPr>
            <w:tcW w:w="1353" w:type="dxa"/>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Juin 2015</w:t>
            </w:r>
          </w:p>
        </w:tc>
        <w:tc>
          <w:tcPr>
            <w:tcW w:w="6396" w:type="dxa"/>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Cours international organisé par Naktuinbouw sur la protection des obtentions végétales (Pays</w:t>
            </w:r>
            <w:r w:rsidRPr="00386CD6">
              <w:rPr>
                <w:rFonts w:eastAsia="MS Mincho" w:cs="Arial"/>
                <w:sz w:val="18"/>
                <w:szCs w:val="18"/>
                <w:lang w:eastAsia="ja-JP"/>
              </w:rPr>
              <w:noBreakHyphen/>
              <w:t>Bas)</w:t>
            </w:r>
          </w:p>
        </w:tc>
        <w:tc>
          <w:tcPr>
            <w:tcW w:w="1134" w:type="dxa"/>
            <w:tcMar>
              <w:left w:w="57" w:type="dxa"/>
              <w:right w:w="57" w:type="dxa"/>
            </w:tcMar>
          </w:tcPr>
          <w:p w:rsidR="0083792B" w:rsidRPr="00386CD6" w:rsidRDefault="0083792B" w:rsidP="0085651C">
            <w:pPr>
              <w:autoSpaceDE w:val="0"/>
              <w:autoSpaceDN w:val="0"/>
              <w:adjustRightInd w:val="0"/>
              <w:spacing w:before="20" w:after="20"/>
              <w:jc w:val="center"/>
              <w:rPr>
                <w:rFonts w:eastAsia="MS Mincho" w:cs="Arial"/>
                <w:sz w:val="18"/>
                <w:szCs w:val="18"/>
                <w:lang w:eastAsia="ja-JP"/>
              </w:rPr>
            </w:pPr>
            <w:r w:rsidRPr="00386CD6">
              <w:rPr>
                <w:rFonts w:eastAsia="MS Mincho" w:cs="Arial"/>
                <w:sz w:val="18"/>
                <w:szCs w:val="18"/>
                <w:lang w:eastAsia="ja-JP"/>
              </w:rPr>
              <w:t>EN</w:t>
            </w:r>
          </w:p>
        </w:tc>
        <w:tc>
          <w:tcPr>
            <w:tcW w:w="1134" w:type="dxa"/>
            <w:tcMar>
              <w:left w:w="57" w:type="dxa"/>
              <w:right w:w="57" w:type="dxa"/>
            </w:tcMar>
          </w:tcPr>
          <w:p w:rsidR="0083792B" w:rsidRPr="00386CD6" w:rsidRDefault="0083792B" w:rsidP="0085651C">
            <w:pPr>
              <w:autoSpaceDE w:val="0"/>
              <w:autoSpaceDN w:val="0"/>
              <w:adjustRightInd w:val="0"/>
              <w:spacing w:before="20" w:after="20"/>
              <w:jc w:val="center"/>
              <w:rPr>
                <w:rFonts w:eastAsia="MS Mincho" w:cs="Arial"/>
                <w:sz w:val="18"/>
                <w:szCs w:val="18"/>
                <w:lang w:eastAsia="ja-JP"/>
              </w:rPr>
            </w:pPr>
            <w:r w:rsidRPr="00386CD6">
              <w:rPr>
                <w:sz w:val="18"/>
                <w:szCs w:val="18"/>
              </w:rPr>
              <w:t>10</w:t>
            </w:r>
          </w:p>
        </w:tc>
      </w:tr>
      <w:tr w:rsidR="0083792B" w:rsidRPr="00386CD6" w:rsidTr="0085651C">
        <w:tc>
          <w:tcPr>
            <w:tcW w:w="1353"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Juin 2015</w:t>
            </w:r>
          </w:p>
        </w:tc>
        <w:tc>
          <w:tcPr>
            <w:tcW w:w="6396"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Cours de formation organisé par la JICA sur “l’harmonisation internationale du système de protection des obtentions végétales” (Japon)</w:t>
            </w:r>
          </w:p>
        </w:tc>
        <w:tc>
          <w:tcPr>
            <w:tcW w:w="1134"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center"/>
              <w:rPr>
                <w:rFonts w:eastAsia="MS Mincho" w:cs="Arial"/>
                <w:sz w:val="18"/>
                <w:szCs w:val="18"/>
                <w:lang w:eastAsia="ja-JP"/>
              </w:rPr>
            </w:pPr>
            <w:r w:rsidRPr="00386CD6">
              <w:rPr>
                <w:rFonts w:eastAsia="MS Mincho" w:cs="Arial"/>
                <w:sz w:val="18"/>
                <w:szCs w:val="18"/>
                <w:lang w:eastAsia="ja-JP"/>
              </w:rPr>
              <w:t>EN</w:t>
            </w:r>
          </w:p>
        </w:tc>
        <w:tc>
          <w:tcPr>
            <w:tcW w:w="1134"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center"/>
              <w:rPr>
                <w:rFonts w:eastAsia="MS Mincho" w:cs="Arial"/>
                <w:sz w:val="18"/>
                <w:szCs w:val="18"/>
                <w:lang w:eastAsia="ja-JP"/>
              </w:rPr>
            </w:pPr>
            <w:r w:rsidRPr="00386CD6">
              <w:rPr>
                <w:sz w:val="18"/>
                <w:szCs w:val="18"/>
              </w:rPr>
              <w:t>10</w:t>
            </w:r>
          </w:p>
        </w:tc>
      </w:tr>
      <w:tr w:rsidR="0083792B" w:rsidRPr="00386CD6" w:rsidTr="0085651C">
        <w:tc>
          <w:tcPr>
            <w:tcW w:w="1353"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Octobre 2015</w:t>
            </w:r>
          </w:p>
        </w:tc>
        <w:tc>
          <w:tcPr>
            <w:tcW w:w="6396"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 xml:space="preserve">Séminaire national sur la protection des obtentions végétales selon la Convention UPOV (Chili) </w:t>
            </w:r>
          </w:p>
        </w:tc>
        <w:tc>
          <w:tcPr>
            <w:tcW w:w="1134"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center"/>
              <w:rPr>
                <w:rFonts w:eastAsia="MS Mincho" w:cs="Arial"/>
                <w:sz w:val="18"/>
                <w:szCs w:val="18"/>
                <w:lang w:eastAsia="ja-JP"/>
              </w:rPr>
            </w:pPr>
            <w:r w:rsidRPr="00386CD6">
              <w:rPr>
                <w:rFonts w:eastAsia="MS Mincho" w:cs="Arial"/>
                <w:sz w:val="18"/>
                <w:szCs w:val="18"/>
                <w:lang w:eastAsia="ja-JP"/>
              </w:rPr>
              <w:t>ES</w:t>
            </w:r>
          </w:p>
        </w:tc>
        <w:tc>
          <w:tcPr>
            <w:tcW w:w="1134"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center"/>
              <w:rPr>
                <w:rFonts w:eastAsia="MS Mincho" w:cs="Arial"/>
                <w:sz w:val="18"/>
                <w:szCs w:val="18"/>
                <w:lang w:eastAsia="ja-JP"/>
              </w:rPr>
            </w:pPr>
            <w:r w:rsidRPr="00386CD6">
              <w:rPr>
                <w:rFonts w:eastAsia="MS Mincho" w:cs="Arial"/>
                <w:sz w:val="18"/>
                <w:szCs w:val="18"/>
                <w:lang w:eastAsia="ja-JP"/>
              </w:rPr>
              <w:t>39</w:t>
            </w:r>
          </w:p>
        </w:tc>
      </w:tr>
      <w:tr w:rsidR="0083792B" w:rsidRPr="00386CD6" w:rsidTr="0085651C">
        <w:tc>
          <w:tcPr>
            <w:tcW w:w="1353"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Novembre 2015</w:t>
            </w:r>
          </w:p>
        </w:tc>
        <w:tc>
          <w:tcPr>
            <w:tcW w:w="6396"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Cours de formation de formateurs sur la protection des obtentions végétales selon la Convention UPOV, Genève (Suisse)</w:t>
            </w:r>
          </w:p>
        </w:tc>
        <w:tc>
          <w:tcPr>
            <w:tcW w:w="1134"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center"/>
              <w:rPr>
                <w:rFonts w:eastAsia="MS Mincho" w:cs="Arial"/>
                <w:sz w:val="18"/>
                <w:szCs w:val="18"/>
                <w:lang w:eastAsia="ja-JP"/>
              </w:rPr>
            </w:pPr>
            <w:r w:rsidRPr="00386CD6">
              <w:rPr>
                <w:rFonts w:eastAsia="MS Mincho" w:cs="Arial"/>
                <w:sz w:val="18"/>
                <w:szCs w:val="18"/>
                <w:lang w:eastAsia="ja-JP"/>
              </w:rPr>
              <w:t>FR</w:t>
            </w:r>
          </w:p>
        </w:tc>
        <w:tc>
          <w:tcPr>
            <w:tcW w:w="1134"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center"/>
              <w:rPr>
                <w:rFonts w:eastAsia="MS Mincho" w:cs="Arial"/>
                <w:sz w:val="18"/>
                <w:szCs w:val="18"/>
                <w:lang w:eastAsia="ja-JP"/>
              </w:rPr>
            </w:pPr>
            <w:r w:rsidRPr="00386CD6">
              <w:rPr>
                <w:sz w:val="18"/>
                <w:szCs w:val="18"/>
              </w:rPr>
              <w:t>17</w:t>
            </w:r>
          </w:p>
        </w:tc>
      </w:tr>
      <w:tr w:rsidR="0083792B" w:rsidRPr="00386CD6" w:rsidTr="0085651C">
        <w:tc>
          <w:tcPr>
            <w:tcW w:w="1353"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Novembre 2015</w:t>
            </w:r>
          </w:p>
        </w:tc>
        <w:tc>
          <w:tcPr>
            <w:tcW w:w="6396"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Cours de formation des formateurs à l’intention des pays ibéro</w:t>
            </w:r>
            <w:r w:rsidRPr="00386CD6">
              <w:rPr>
                <w:rFonts w:eastAsia="MS Mincho" w:cs="Arial"/>
                <w:sz w:val="18"/>
                <w:szCs w:val="18"/>
                <w:lang w:eastAsia="ja-JP"/>
              </w:rPr>
              <w:noBreakHyphen/>
              <w:t>américains sur la protection des obtentions végétales selon la Convention UPOV et les formes complémentaires de protection de la propriété intellectuelle”, organisé à Santa Cruz de la Sierra (État plurinational de Bolivie)</w:t>
            </w:r>
          </w:p>
        </w:tc>
        <w:tc>
          <w:tcPr>
            <w:tcW w:w="1134"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center"/>
              <w:rPr>
                <w:rFonts w:eastAsia="MS Mincho" w:cs="Arial"/>
                <w:sz w:val="18"/>
                <w:szCs w:val="18"/>
                <w:lang w:eastAsia="ja-JP"/>
              </w:rPr>
            </w:pPr>
            <w:r w:rsidRPr="00386CD6">
              <w:rPr>
                <w:rFonts w:eastAsia="MS Mincho" w:cs="Arial"/>
                <w:sz w:val="18"/>
                <w:szCs w:val="18"/>
                <w:lang w:eastAsia="ja-JP"/>
              </w:rPr>
              <w:t>ES</w:t>
            </w:r>
          </w:p>
        </w:tc>
        <w:tc>
          <w:tcPr>
            <w:tcW w:w="1134"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center"/>
              <w:rPr>
                <w:rFonts w:eastAsia="MS Mincho" w:cs="Arial"/>
                <w:sz w:val="18"/>
                <w:szCs w:val="18"/>
                <w:lang w:eastAsia="ja-JP"/>
              </w:rPr>
            </w:pPr>
            <w:r w:rsidRPr="00386CD6">
              <w:rPr>
                <w:sz w:val="18"/>
                <w:szCs w:val="18"/>
              </w:rPr>
              <w:t>5</w:t>
            </w:r>
          </w:p>
        </w:tc>
      </w:tr>
      <w:tr w:rsidR="0083792B" w:rsidRPr="00386CD6" w:rsidTr="0085651C">
        <w:tc>
          <w:tcPr>
            <w:tcW w:w="1353"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Novembre 2015</w:t>
            </w:r>
          </w:p>
        </w:tc>
        <w:tc>
          <w:tcPr>
            <w:tcW w:w="6396" w:type="dxa"/>
            <w:shd w:val="clear" w:color="auto" w:fill="auto"/>
            <w:tcMar>
              <w:left w:w="57" w:type="dxa"/>
              <w:right w:w="57" w:type="dxa"/>
            </w:tcMar>
          </w:tcPr>
          <w:p w:rsidR="0083792B" w:rsidRPr="00386CD6" w:rsidRDefault="0083792B" w:rsidP="00E647AF">
            <w:pPr>
              <w:autoSpaceDE w:val="0"/>
              <w:autoSpaceDN w:val="0"/>
              <w:adjustRightInd w:val="0"/>
              <w:spacing w:before="20" w:after="20"/>
              <w:jc w:val="left"/>
              <w:rPr>
                <w:rFonts w:eastAsia="MS Mincho" w:cs="Arial"/>
                <w:sz w:val="18"/>
                <w:szCs w:val="18"/>
                <w:lang w:eastAsia="ja-JP"/>
              </w:rPr>
            </w:pPr>
            <w:r w:rsidRPr="00386CD6">
              <w:rPr>
                <w:rFonts w:eastAsia="MS Mincho" w:cs="Arial"/>
                <w:sz w:val="18"/>
                <w:szCs w:val="18"/>
                <w:lang w:eastAsia="ja-JP"/>
              </w:rPr>
              <w:t>Autres (</w:t>
            </w:r>
            <w:r w:rsidR="00E647AF" w:rsidRPr="00386CD6">
              <w:rPr>
                <w:rFonts w:eastAsia="MS Mincho" w:cs="Arial"/>
                <w:sz w:val="18"/>
                <w:szCs w:val="18"/>
                <w:lang w:eastAsia="ja-JP"/>
              </w:rPr>
              <w:t>exonération des droits d’inscription à la discrétion de l’</w:t>
            </w:r>
            <w:r w:rsidRPr="00386CD6">
              <w:rPr>
                <w:rFonts w:eastAsia="MS Mincho" w:cs="Arial"/>
                <w:sz w:val="18"/>
                <w:szCs w:val="18"/>
                <w:lang w:eastAsia="ja-JP"/>
              </w:rPr>
              <w:t>UPOV)</w:t>
            </w:r>
          </w:p>
        </w:tc>
        <w:tc>
          <w:tcPr>
            <w:tcW w:w="1134"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center"/>
              <w:rPr>
                <w:rFonts w:eastAsia="MS Mincho" w:cs="Arial"/>
                <w:sz w:val="18"/>
                <w:szCs w:val="18"/>
                <w:lang w:eastAsia="ja-JP"/>
              </w:rPr>
            </w:pPr>
            <w:r w:rsidRPr="00386CD6">
              <w:rPr>
                <w:rFonts w:eastAsia="MS Mincho" w:cs="Arial"/>
                <w:sz w:val="18"/>
                <w:szCs w:val="18"/>
                <w:lang w:eastAsia="ja-JP"/>
              </w:rPr>
              <w:t>EN, FR, ES</w:t>
            </w:r>
          </w:p>
        </w:tc>
        <w:tc>
          <w:tcPr>
            <w:tcW w:w="1134"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center"/>
              <w:rPr>
                <w:sz w:val="18"/>
                <w:szCs w:val="18"/>
              </w:rPr>
            </w:pPr>
            <w:r w:rsidRPr="00386CD6">
              <w:rPr>
                <w:sz w:val="18"/>
                <w:szCs w:val="18"/>
              </w:rPr>
              <w:t>10</w:t>
            </w:r>
          </w:p>
        </w:tc>
      </w:tr>
      <w:tr w:rsidR="0083792B" w:rsidRPr="00386CD6" w:rsidTr="0085651C">
        <w:tc>
          <w:tcPr>
            <w:tcW w:w="1353"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p>
        </w:tc>
        <w:tc>
          <w:tcPr>
            <w:tcW w:w="6396"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left"/>
              <w:rPr>
                <w:rFonts w:eastAsia="MS Mincho" w:cs="Arial"/>
                <w:sz w:val="18"/>
                <w:szCs w:val="18"/>
                <w:lang w:eastAsia="ja-JP"/>
              </w:rPr>
            </w:pPr>
          </w:p>
        </w:tc>
        <w:tc>
          <w:tcPr>
            <w:tcW w:w="1134"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center"/>
              <w:rPr>
                <w:rFonts w:eastAsia="MS Mincho" w:cs="Arial"/>
                <w:sz w:val="18"/>
                <w:szCs w:val="18"/>
                <w:lang w:eastAsia="ja-JP"/>
              </w:rPr>
            </w:pPr>
            <w:r w:rsidRPr="00386CD6">
              <w:rPr>
                <w:rFonts w:eastAsia="MS Mincho" w:cs="Arial"/>
                <w:sz w:val="18"/>
                <w:szCs w:val="18"/>
                <w:lang w:eastAsia="ja-JP"/>
              </w:rPr>
              <w:t>TOTAL</w:t>
            </w:r>
          </w:p>
        </w:tc>
        <w:tc>
          <w:tcPr>
            <w:tcW w:w="1134" w:type="dxa"/>
            <w:shd w:val="clear" w:color="auto" w:fill="auto"/>
            <w:tcMar>
              <w:left w:w="57" w:type="dxa"/>
              <w:right w:w="57" w:type="dxa"/>
            </w:tcMar>
          </w:tcPr>
          <w:p w:rsidR="0083792B" w:rsidRPr="00386CD6" w:rsidRDefault="0083792B" w:rsidP="0085651C">
            <w:pPr>
              <w:autoSpaceDE w:val="0"/>
              <w:autoSpaceDN w:val="0"/>
              <w:adjustRightInd w:val="0"/>
              <w:spacing w:before="20" w:after="20"/>
              <w:jc w:val="center"/>
              <w:rPr>
                <w:sz w:val="18"/>
                <w:szCs w:val="18"/>
              </w:rPr>
            </w:pPr>
            <w:r w:rsidRPr="00386CD6">
              <w:rPr>
                <w:sz w:val="18"/>
                <w:szCs w:val="18"/>
              </w:rPr>
              <w:t>108</w:t>
            </w:r>
          </w:p>
        </w:tc>
      </w:tr>
    </w:tbl>
    <w:p w:rsidR="0083792B" w:rsidRPr="00386CD6" w:rsidRDefault="0083792B" w:rsidP="0085651C">
      <w:pPr>
        <w:rPr>
          <w:rFonts w:cs="Arial"/>
          <w:sz w:val="18"/>
          <w:szCs w:val="18"/>
        </w:rPr>
      </w:pPr>
    </w:p>
    <w:p w:rsidR="0083792B" w:rsidRPr="00386CD6" w:rsidRDefault="0083792B" w:rsidP="0085651C">
      <w:pPr>
        <w:keepNext/>
        <w:jc w:val="center"/>
        <w:rPr>
          <w:rFonts w:cs="Arial"/>
          <w:sz w:val="18"/>
          <w:szCs w:val="18"/>
        </w:rPr>
      </w:pPr>
      <w:r w:rsidRPr="00386CD6">
        <w:rPr>
          <w:rFonts w:cs="Arial"/>
          <w:sz w:val="18"/>
          <w:szCs w:val="18"/>
        </w:rPr>
        <w:t>Nombre total de participants au cours DL</w:t>
      </w:r>
      <w:r w:rsidRPr="00386CD6">
        <w:rPr>
          <w:rFonts w:cs="Arial"/>
          <w:sz w:val="18"/>
          <w:szCs w:val="18"/>
        </w:rPr>
        <w:noBreakHyphen/>
        <w:t xml:space="preserve">305 </w:t>
      </w:r>
      <w:r w:rsidRPr="00386CD6">
        <w:rPr>
          <w:rFonts w:cs="Arial"/>
          <w:sz w:val="18"/>
          <w:szCs w:val="18"/>
        </w:rPr>
        <w:br/>
        <w:t>(une session en 2015)</w:t>
      </w:r>
    </w:p>
    <w:p w:rsidR="0083792B" w:rsidRPr="00386CD6" w:rsidRDefault="0083792B" w:rsidP="0085651C">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83792B" w:rsidRPr="00386CD6" w:rsidTr="0085651C">
        <w:tc>
          <w:tcPr>
            <w:tcW w:w="8364" w:type="dxa"/>
            <w:shd w:val="clear" w:color="auto" w:fill="D9D9D9"/>
            <w:vAlign w:val="center"/>
          </w:tcPr>
          <w:p w:rsidR="0083792B" w:rsidRPr="00386CD6" w:rsidRDefault="0083792B" w:rsidP="0085651C">
            <w:pPr>
              <w:spacing w:before="20" w:after="20"/>
              <w:jc w:val="left"/>
              <w:rPr>
                <w:rFonts w:eastAsia="MS Mincho"/>
                <w:sz w:val="18"/>
                <w:szCs w:val="18"/>
              </w:rPr>
            </w:pPr>
            <w:r w:rsidRPr="00386CD6">
              <w:rPr>
                <w:rFonts w:eastAsia="MS Mincho"/>
                <w:sz w:val="18"/>
                <w:szCs w:val="18"/>
              </w:rPr>
              <w:t>Catégorie</w:t>
            </w:r>
          </w:p>
        </w:tc>
        <w:tc>
          <w:tcPr>
            <w:tcW w:w="1275" w:type="dxa"/>
            <w:shd w:val="clear" w:color="auto" w:fill="D9D9D9"/>
            <w:vAlign w:val="center"/>
          </w:tcPr>
          <w:p w:rsidR="0083792B" w:rsidRPr="00386CD6" w:rsidRDefault="0083792B" w:rsidP="0085651C">
            <w:pPr>
              <w:spacing w:before="20" w:after="20"/>
              <w:jc w:val="center"/>
              <w:rPr>
                <w:sz w:val="18"/>
                <w:szCs w:val="18"/>
              </w:rPr>
            </w:pPr>
            <w:r w:rsidRPr="00386CD6">
              <w:rPr>
                <w:sz w:val="18"/>
                <w:szCs w:val="18"/>
              </w:rPr>
              <w:t>Nombre d’étudiants</w:t>
            </w:r>
          </w:p>
        </w:tc>
      </w:tr>
      <w:tr w:rsidR="0083792B" w:rsidRPr="00386CD6" w:rsidTr="0085651C">
        <w:tc>
          <w:tcPr>
            <w:tcW w:w="8364" w:type="dxa"/>
          </w:tcPr>
          <w:p w:rsidR="0083792B" w:rsidRPr="00386CD6" w:rsidRDefault="0083792B" w:rsidP="0085651C">
            <w:pPr>
              <w:spacing w:before="20" w:after="20"/>
              <w:jc w:val="left"/>
              <w:rPr>
                <w:sz w:val="18"/>
                <w:szCs w:val="18"/>
              </w:rPr>
            </w:pPr>
            <w:r w:rsidRPr="00386CD6">
              <w:rPr>
                <w:sz w:val="18"/>
                <w:szCs w:val="18"/>
              </w:rPr>
              <w:t>Catégorie 1 </w:t>
            </w:r>
            <w:r w:rsidRPr="00386CD6">
              <w:rPr>
                <w:sz w:val="18"/>
              </w:rPr>
              <w:t>:</w:t>
            </w:r>
            <w:r w:rsidRPr="00386CD6">
              <w:rPr>
                <w:sz w:val="18"/>
                <w:szCs w:val="18"/>
              </w:rPr>
              <w:t xml:space="preserve"> Fonctionnaires de membres de l’Union, dont la candidature a été approuvée par le représentant intéressé auprès du Conseil de l’UPOV</w:t>
            </w:r>
            <w:r w:rsidRPr="00386CD6">
              <w:rPr>
                <w:sz w:val="18"/>
                <w:szCs w:val="18"/>
              </w:rPr>
              <w:br/>
              <w:t>Exonérés de taxe</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113</w:t>
            </w:r>
          </w:p>
        </w:tc>
      </w:tr>
      <w:tr w:rsidR="0083792B" w:rsidRPr="00386CD6" w:rsidTr="0085651C">
        <w:tc>
          <w:tcPr>
            <w:tcW w:w="8364" w:type="dxa"/>
          </w:tcPr>
          <w:p w:rsidR="0083792B" w:rsidRPr="00386CD6" w:rsidRDefault="0083792B" w:rsidP="0085651C">
            <w:pPr>
              <w:spacing w:before="20" w:after="20"/>
              <w:jc w:val="left"/>
              <w:rPr>
                <w:sz w:val="18"/>
                <w:szCs w:val="18"/>
              </w:rPr>
            </w:pPr>
            <w:r w:rsidRPr="00386CD6">
              <w:rPr>
                <w:rFonts w:eastAsia="MS Mincho"/>
                <w:sz w:val="18"/>
                <w:szCs w:val="18"/>
              </w:rPr>
              <w:t>Catégorie 2 : Fonctionnaires d’États ou d’organisations intergouvernementales ayant le statut d’observateur, dont la candidature a été approuvée par le représentant intéressé auprès du Conseil de l’UPOV</w:t>
            </w:r>
            <w:r w:rsidRPr="00386CD6">
              <w:rPr>
                <w:rFonts w:eastAsia="MS Mincho"/>
                <w:sz w:val="18"/>
                <w:szCs w:val="18"/>
              </w:rPr>
              <w:br/>
              <w:t xml:space="preserve">Un étudiant exonéré des droits d’inscription par État ou organisation intergouvernementale;  </w:t>
            </w:r>
            <w:r w:rsidRPr="00386CD6">
              <w:rPr>
                <w:rFonts w:eastAsia="MS Mincho"/>
                <w:sz w:val="18"/>
                <w:szCs w:val="18"/>
              </w:rPr>
              <w:br/>
              <w:t>étudiants supplémentaires : 1000 francs suisses par étudiant</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4</w:t>
            </w:r>
          </w:p>
        </w:tc>
      </w:tr>
      <w:tr w:rsidR="0083792B" w:rsidRPr="00386CD6" w:rsidTr="0085651C">
        <w:tc>
          <w:tcPr>
            <w:tcW w:w="8364" w:type="dxa"/>
          </w:tcPr>
          <w:p w:rsidR="0083792B" w:rsidRPr="00386CD6" w:rsidRDefault="0083792B" w:rsidP="0085651C">
            <w:pPr>
              <w:spacing w:before="20" w:after="20"/>
              <w:jc w:val="left"/>
              <w:rPr>
                <w:sz w:val="18"/>
                <w:szCs w:val="18"/>
              </w:rPr>
            </w:pPr>
            <w:r w:rsidRPr="00386CD6">
              <w:rPr>
                <w:sz w:val="18"/>
                <w:szCs w:val="18"/>
              </w:rPr>
              <w:t>Catégorie 3 : autres</w:t>
            </w:r>
            <w:r w:rsidRPr="00386CD6">
              <w:rPr>
                <w:sz w:val="18"/>
                <w:szCs w:val="18"/>
              </w:rPr>
              <w:br/>
              <w:t>Droit d’inscription : 1000 francs suisses</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1</w:t>
            </w:r>
          </w:p>
        </w:tc>
      </w:tr>
      <w:tr w:rsidR="0083792B" w:rsidRPr="00386CD6" w:rsidTr="0085651C">
        <w:tc>
          <w:tcPr>
            <w:tcW w:w="8364" w:type="dxa"/>
          </w:tcPr>
          <w:p w:rsidR="0083792B" w:rsidRPr="00386CD6" w:rsidRDefault="0083792B" w:rsidP="0085651C">
            <w:pPr>
              <w:spacing w:before="20" w:after="20"/>
              <w:jc w:val="left"/>
              <w:rPr>
                <w:sz w:val="18"/>
                <w:szCs w:val="18"/>
              </w:rPr>
            </w:pPr>
            <w:r w:rsidRPr="00386CD6">
              <w:rPr>
                <w:sz w:val="18"/>
                <w:szCs w:val="18"/>
              </w:rPr>
              <w:t>Catégorie 4 </w:t>
            </w:r>
            <w:r w:rsidRPr="00386CD6">
              <w:rPr>
                <w:sz w:val="18"/>
              </w:rPr>
              <w:t>:</w:t>
            </w:r>
            <w:r w:rsidRPr="00386CD6">
              <w:rPr>
                <w:sz w:val="18"/>
                <w:szCs w:val="18"/>
              </w:rPr>
              <w:t xml:space="preserve"> Exonération discrétionnaire des droits d’inscription pour quelques étudiants</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1</w:t>
            </w:r>
          </w:p>
        </w:tc>
      </w:tr>
      <w:tr w:rsidR="0083792B" w:rsidRPr="00386CD6" w:rsidTr="0085651C">
        <w:tc>
          <w:tcPr>
            <w:tcW w:w="8364" w:type="dxa"/>
          </w:tcPr>
          <w:p w:rsidR="0083792B" w:rsidRPr="00386CD6" w:rsidRDefault="0083792B" w:rsidP="0085651C">
            <w:pPr>
              <w:spacing w:before="20" w:after="20"/>
              <w:ind w:right="318"/>
              <w:jc w:val="right"/>
              <w:rPr>
                <w:rFonts w:eastAsia="MS Mincho"/>
                <w:sz w:val="18"/>
                <w:szCs w:val="18"/>
              </w:rPr>
            </w:pPr>
            <w:r w:rsidRPr="00386CD6">
              <w:rPr>
                <w:rFonts w:eastAsia="MS Mincho"/>
                <w:sz w:val="18"/>
                <w:szCs w:val="18"/>
              </w:rPr>
              <w:t>Total</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119</w:t>
            </w:r>
          </w:p>
        </w:tc>
      </w:tr>
    </w:tbl>
    <w:p w:rsidR="0083792B" w:rsidRPr="00386CD6" w:rsidRDefault="0083792B" w:rsidP="0085651C">
      <w:pPr>
        <w:rPr>
          <w:rFonts w:cs="Arial"/>
          <w:sz w:val="18"/>
          <w:szCs w:val="18"/>
        </w:rPr>
      </w:pPr>
    </w:p>
    <w:p w:rsidR="0083792B" w:rsidRPr="00386CD6" w:rsidRDefault="0083792B" w:rsidP="0085651C">
      <w:pPr>
        <w:rPr>
          <w:rFonts w:cs="Arial"/>
          <w:sz w:val="18"/>
          <w:szCs w:val="18"/>
        </w:rPr>
      </w:pPr>
    </w:p>
    <w:p w:rsidR="0083792B" w:rsidRPr="00386CD6" w:rsidRDefault="0083792B" w:rsidP="0085651C">
      <w:pPr>
        <w:keepNext/>
        <w:jc w:val="center"/>
        <w:rPr>
          <w:rFonts w:cs="Arial"/>
          <w:sz w:val="18"/>
          <w:szCs w:val="18"/>
        </w:rPr>
      </w:pPr>
      <w:r w:rsidRPr="00386CD6">
        <w:rPr>
          <w:rFonts w:cs="Arial"/>
          <w:sz w:val="18"/>
          <w:szCs w:val="18"/>
        </w:rPr>
        <w:t>Nombre total de participants au cours DL</w:t>
      </w:r>
      <w:r w:rsidRPr="00386CD6">
        <w:rPr>
          <w:rFonts w:cs="Arial"/>
          <w:sz w:val="18"/>
          <w:szCs w:val="18"/>
        </w:rPr>
        <w:noBreakHyphen/>
        <w:t>305 par langue (en 2015)</w:t>
      </w:r>
    </w:p>
    <w:p w:rsidR="0083792B" w:rsidRPr="00386CD6" w:rsidRDefault="0083792B" w:rsidP="0085651C">
      <w:pPr>
        <w:keepNext/>
      </w:pPr>
    </w:p>
    <w:tbl>
      <w:tblPr>
        <w:tblStyle w:val="TableGrid"/>
        <w:tblW w:w="8470" w:type="dxa"/>
        <w:tblInd w:w="108" w:type="dxa"/>
        <w:tblLook w:val="01E0" w:firstRow="1" w:lastRow="1" w:firstColumn="1" w:lastColumn="1" w:noHBand="0" w:noVBand="0"/>
      </w:tblPr>
      <w:tblGrid>
        <w:gridCol w:w="3686"/>
        <w:gridCol w:w="1169"/>
        <w:gridCol w:w="1170"/>
        <w:gridCol w:w="1170"/>
        <w:gridCol w:w="1275"/>
      </w:tblGrid>
      <w:tr w:rsidR="0083792B" w:rsidRPr="00386CD6" w:rsidTr="0085651C">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Anglais</w:t>
            </w:r>
          </w:p>
        </w:tc>
        <w:tc>
          <w:tcPr>
            <w:tcW w:w="1170"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Français</w:t>
            </w:r>
          </w:p>
        </w:tc>
        <w:tc>
          <w:tcPr>
            <w:tcW w:w="1170"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Espagnol</w:t>
            </w:r>
          </w:p>
        </w:tc>
        <w:tc>
          <w:tcPr>
            <w:tcW w:w="1275"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Total</w:t>
            </w:r>
          </w:p>
        </w:tc>
      </w:tr>
      <w:tr w:rsidR="0083792B" w:rsidRPr="00386CD6" w:rsidTr="0085651C">
        <w:tc>
          <w:tcPr>
            <w:tcW w:w="3686"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jc w:val="left"/>
              <w:rPr>
                <w:sz w:val="18"/>
              </w:rPr>
            </w:pPr>
            <w:r w:rsidRPr="00386CD6">
              <w:rPr>
                <w:sz w:val="18"/>
              </w:rPr>
              <w:t>Première session : total par langue</w:t>
            </w:r>
          </w:p>
        </w:tc>
        <w:tc>
          <w:tcPr>
            <w:tcW w:w="1169"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52</w:t>
            </w:r>
          </w:p>
        </w:tc>
        <w:tc>
          <w:tcPr>
            <w:tcW w:w="1170"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4</w:t>
            </w:r>
          </w:p>
        </w:tc>
        <w:tc>
          <w:tcPr>
            <w:tcW w:w="1170"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63</w:t>
            </w:r>
          </w:p>
        </w:tc>
        <w:tc>
          <w:tcPr>
            <w:tcW w:w="1275"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119</w:t>
            </w:r>
          </w:p>
        </w:tc>
      </w:tr>
      <w:tr w:rsidR="0083792B" w:rsidRPr="00386CD6" w:rsidTr="0085651C">
        <w:tc>
          <w:tcPr>
            <w:tcW w:w="7195" w:type="dxa"/>
            <w:gridSpan w:val="4"/>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ind w:right="318"/>
              <w:jc w:val="right"/>
              <w:rPr>
                <w:rFonts w:eastAsia="MS Mincho"/>
                <w:sz w:val="18"/>
                <w:szCs w:val="18"/>
              </w:rPr>
            </w:pPr>
            <w:r w:rsidRPr="00386CD6">
              <w:rPr>
                <w:rFonts w:eastAsia="MS Mincho"/>
                <w:sz w:val="18"/>
                <w:szCs w:val="18"/>
              </w:rPr>
              <w:t>Total</w:t>
            </w:r>
          </w:p>
        </w:tc>
        <w:tc>
          <w:tcPr>
            <w:tcW w:w="1275"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119</w:t>
            </w:r>
          </w:p>
        </w:tc>
      </w:tr>
    </w:tbl>
    <w:p w:rsidR="0083792B" w:rsidRPr="00386CD6" w:rsidRDefault="0083792B" w:rsidP="0085651C">
      <w:pPr>
        <w:rPr>
          <w:rFonts w:cs="Arial"/>
          <w:sz w:val="18"/>
          <w:szCs w:val="18"/>
        </w:rPr>
      </w:pPr>
    </w:p>
    <w:p w:rsidR="0083792B" w:rsidRPr="00386CD6" w:rsidRDefault="0083792B" w:rsidP="0085651C">
      <w:pPr>
        <w:rPr>
          <w:rFonts w:cs="Arial"/>
          <w:sz w:val="18"/>
          <w:szCs w:val="18"/>
        </w:rPr>
      </w:pPr>
    </w:p>
    <w:p w:rsidR="0022145A" w:rsidRPr="00386CD6" w:rsidRDefault="0022145A">
      <w:pPr>
        <w:jc w:val="left"/>
        <w:rPr>
          <w:rFonts w:cs="Arial"/>
          <w:sz w:val="18"/>
          <w:szCs w:val="18"/>
        </w:rPr>
      </w:pPr>
      <w:r w:rsidRPr="00386CD6">
        <w:rPr>
          <w:rFonts w:cs="Arial"/>
          <w:sz w:val="18"/>
          <w:szCs w:val="18"/>
        </w:rPr>
        <w:br w:type="page"/>
      </w:r>
    </w:p>
    <w:p w:rsidR="0083792B" w:rsidRPr="00386CD6" w:rsidRDefault="0083792B" w:rsidP="0085651C">
      <w:pPr>
        <w:keepNext/>
        <w:jc w:val="center"/>
        <w:rPr>
          <w:rFonts w:cs="Arial"/>
          <w:sz w:val="18"/>
          <w:szCs w:val="18"/>
        </w:rPr>
      </w:pPr>
      <w:r w:rsidRPr="00386CD6">
        <w:rPr>
          <w:rFonts w:cs="Arial"/>
          <w:sz w:val="18"/>
          <w:szCs w:val="18"/>
        </w:rPr>
        <w:t>Nombre total de participants au cours DL</w:t>
      </w:r>
      <w:r w:rsidRPr="00386CD6">
        <w:rPr>
          <w:rFonts w:cs="Arial"/>
          <w:sz w:val="18"/>
          <w:szCs w:val="18"/>
        </w:rPr>
        <w:noBreakHyphen/>
        <w:t xml:space="preserve">305A </w:t>
      </w:r>
      <w:r w:rsidRPr="00386CD6">
        <w:rPr>
          <w:rFonts w:cs="Arial"/>
          <w:sz w:val="18"/>
          <w:szCs w:val="18"/>
        </w:rPr>
        <w:br/>
        <w:t>(une session en 2015)</w:t>
      </w:r>
    </w:p>
    <w:p w:rsidR="0083792B" w:rsidRPr="00386CD6" w:rsidRDefault="0083792B" w:rsidP="0085651C">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83792B" w:rsidRPr="00386CD6" w:rsidTr="0085651C">
        <w:tc>
          <w:tcPr>
            <w:tcW w:w="8364" w:type="dxa"/>
            <w:shd w:val="clear" w:color="auto" w:fill="D9D9D9"/>
            <w:vAlign w:val="center"/>
          </w:tcPr>
          <w:p w:rsidR="0083792B" w:rsidRPr="00386CD6" w:rsidRDefault="0083792B" w:rsidP="0085651C">
            <w:pPr>
              <w:spacing w:before="20" w:after="20"/>
              <w:jc w:val="left"/>
              <w:rPr>
                <w:rFonts w:eastAsia="MS Mincho"/>
                <w:sz w:val="18"/>
                <w:szCs w:val="18"/>
              </w:rPr>
            </w:pPr>
            <w:r w:rsidRPr="00386CD6">
              <w:rPr>
                <w:rFonts w:eastAsia="MS Mincho"/>
                <w:sz w:val="18"/>
                <w:szCs w:val="18"/>
              </w:rPr>
              <w:t>Catégorie</w:t>
            </w:r>
          </w:p>
        </w:tc>
        <w:tc>
          <w:tcPr>
            <w:tcW w:w="1275" w:type="dxa"/>
            <w:shd w:val="clear" w:color="auto" w:fill="D9D9D9"/>
            <w:vAlign w:val="center"/>
          </w:tcPr>
          <w:p w:rsidR="0083792B" w:rsidRPr="00386CD6" w:rsidRDefault="0083792B" w:rsidP="0085651C">
            <w:pPr>
              <w:spacing w:before="20" w:after="20"/>
              <w:jc w:val="center"/>
              <w:rPr>
                <w:sz w:val="18"/>
                <w:szCs w:val="18"/>
              </w:rPr>
            </w:pPr>
            <w:r w:rsidRPr="00386CD6">
              <w:rPr>
                <w:sz w:val="18"/>
                <w:szCs w:val="18"/>
              </w:rPr>
              <w:t>Nombre d’étudiants</w:t>
            </w:r>
          </w:p>
        </w:tc>
      </w:tr>
      <w:tr w:rsidR="0083792B" w:rsidRPr="00386CD6" w:rsidTr="0085651C">
        <w:tc>
          <w:tcPr>
            <w:tcW w:w="8364" w:type="dxa"/>
          </w:tcPr>
          <w:p w:rsidR="0083792B" w:rsidRPr="00386CD6" w:rsidRDefault="0083792B" w:rsidP="0085651C">
            <w:pPr>
              <w:spacing w:before="20" w:after="20"/>
              <w:jc w:val="left"/>
              <w:rPr>
                <w:sz w:val="18"/>
                <w:szCs w:val="18"/>
              </w:rPr>
            </w:pPr>
            <w:r w:rsidRPr="00386CD6">
              <w:rPr>
                <w:sz w:val="18"/>
                <w:szCs w:val="18"/>
              </w:rPr>
              <w:t>Catégorie 1 </w:t>
            </w:r>
            <w:r w:rsidRPr="00386CD6">
              <w:rPr>
                <w:sz w:val="18"/>
              </w:rPr>
              <w:t>:</w:t>
            </w:r>
            <w:r w:rsidRPr="00386CD6">
              <w:rPr>
                <w:sz w:val="18"/>
                <w:szCs w:val="18"/>
              </w:rPr>
              <w:t xml:space="preserve"> Fonctionnaires de membres de l’Union, dont la candidature a été approuvée par le représentant intéressé auprès du Conseil de l’UPOV</w:t>
            </w:r>
            <w:r w:rsidRPr="00386CD6">
              <w:rPr>
                <w:sz w:val="18"/>
                <w:szCs w:val="18"/>
              </w:rPr>
              <w:br/>
              <w:t>Exonérés de taxe</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58</w:t>
            </w:r>
          </w:p>
        </w:tc>
      </w:tr>
      <w:tr w:rsidR="0083792B" w:rsidRPr="00386CD6" w:rsidTr="0085651C">
        <w:tc>
          <w:tcPr>
            <w:tcW w:w="8364" w:type="dxa"/>
          </w:tcPr>
          <w:p w:rsidR="0083792B" w:rsidRPr="00386CD6" w:rsidRDefault="0083792B" w:rsidP="0085651C">
            <w:pPr>
              <w:spacing w:before="20" w:after="20"/>
              <w:jc w:val="left"/>
              <w:rPr>
                <w:rFonts w:eastAsia="MS Mincho"/>
                <w:sz w:val="18"/>
                <w:szCs w:val="18"/>
              </w:rPr>
            </w:pPr>
            <w:r w:rsidRPr="00386CD6">
              <w:rPr>
                <w:rFonts w:eastAsia="MS Mincho"/>
                <w:sz w:val="18"/>
                <w:szCs w:val="18"/>
              </w:rPr>
              <w:t>Catégorie 2 : Fonctionnaires d’États ou d’organisations intergouvernementales ayant le statut d’observateur, dont la candidature a été approuvée par le représentant intéressé auprès du Conseil de l’UPOV</w:t>
            </w:r>
            <w:r w:rsidRPr="00386CD6">
              <w:rPr>
                <w:rFonts w:eastAsia="MS Mincho"/>
                <w:sz w:val="18"/>
                <w:szCs w:val="18"/>
              </w:rPr>
              <w:br/>
              <w:t xml:space="preserve">Un étudiant exonéré des droits d’inscription par État ou organisation intergouvernementale;  </w:t>
            </w:r>
            <w:r w:rsidRPr="00386CD6">
              <w:rPr>
                <w:rFonts w:eastAsia="MS Mincho"/>
                <w:sz w:val="18"/>
                <w:szCs w:val="18"/>
              </w:rPr>
              <w:br/>
              <w:t>étudiants supplémentaires : 1000 francs suisses par étudiant</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2</w:t>
            </w:r>
          </w:p>
        </w:tc>
      </w:tr>
      <w:tr w:rsidR="0083792B" w:rsidRPr="00386CD6" w:rsidTr="0085651C">
        <w:tc>
          <w:tcPr>
            <w:tcW w:w="8364" w:type="dxa"/>
          </w:tcPr>
          <w:p w:rsidR="0083792B" w:rsidRPr="00386CD6" w:rsidRDefault="0083792B" w:rsidP="0085651C">
            <w:pPr>
              <w:spacing w:before="20" w:after="20"/>
              <w:jc w:val="left"/>
              <w:rPr>
                <w:sz w:val="18"/>
                <w:szCs w:val="18"/>
              </w:rPr>
            </w:pPr>
            <w:r w:rsidRPr="00386CD6">
              <w:rPr>
                <w:sz w:val="18"/>
                <w:szCs w:val="18"/>
              </w:rPr>
              <w:t>Catégorie 3 : autres</w:t>
            </w:r>
            <w:r w:rsidRPr="00386CD6">
              <w:rPr>
                <w:sz w:val="18"/>
                <w:szCs w:val="18"/>
              </w:rPr>
              <w:br/>
              <w:t>Droit d’inscription : 1000 francs suisses</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0</w:t>
            </w:r>
          </w:p>
        </w:tc>
      </w:tr>
      <w:tr w:rsidR="0083792B" w:rsidRPr="00386CD6" w:rsidTr="0085651C">
        <w:tc>
          <w:tcPr>
            <w:tcW w:w="8364" w:type="dxa"/>
          </w:tcPr>
          <w:p w:rsidR="0083792B" w:rsidRPr="00386CD6" w:rsidRDefault="0083792B" w:rsidP="0085651C">
            <w:pPr>
              <w:spacing w:before="20" w:after="20"/>
              <w:jc w:val="left"/>
              <w:rPr>
                <w:sz w:val="18"/>
                <w:szCs w:val="18"/>
              </w:rPr>
            </w:pPr>
            <w:r w:rsidRPr="00386CD6">
              <w:rPr>
                <w:sz w:val="18"/>
                <w:szCs w:val="18"/>
              </w:rPr>
              <w:t>Catégorie 4 </w:t>
            </w:r>
            <w:r w:rsidRPr="00386CD6">
              <w:rPr>
                <w:sz w:val="18"/>
              </w:rPr>
              <w:t>:</w:t>
            </w:r>
            <w:r w:rsidRPr="00386CD6">
              <w:rPr>
                <w:sz w:val="18"/>
                <w:szCs w:val="18"/>
              </w:rPr>
              <w:t xml:space="preserve"> Exonération discrétionnaire des droits d’inscription pour quelques étudiants</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0</w:t>
            </w:r>
          </w:p>
        </w:tc>
      </w:tr>
      <w:tr w:rsidR="0083792B" w:rsidRPr="00386CD6" w:rsidTr="0085651C">
        <w:tc>
          <w:tcPr>
            <w:tcW w:w="8364" w:type="dxa"/>
          </w:tcPr>
          <w:p w:rsidR="0083792B" w:rsidRPr="00386CD6" w:rsidRDefault="0083792B" w:rsidP="0085651C">
            <w:pPr>
              <w:spacing w:before="20" w:after="20"/>
              <w:ind w:right="318"/>
              <w:jc w:val="right"/>
              <w:rPr>
                <w:rFonts w:eastAsia="MS Mincho"/>
                <w:sz w:val="18"/>
                <w:szCs w:val="18"/>
              </w:rPr>
            </w:pPr>
            <w:r w:rsidRPr="00386CD6">
              <w:rPr>
                <w:rFonts w:eastAsia="MS Mincho"/>
                <w:sz w:val="18"/>
                <w:szCs w:val="18"/>
              </w:rPr>
              <w:t>Total</w:t>
            </w:r>
          </w:p>
        </w:tc>
        <w:tc>
          <w:tcPr>
            <w:tcW w:w="1275" w:type="dxa"/>
            <w:vAlign w:val="bottom"/>
          </w:tcPr>
          <w:p w:rsidR="0083792B" w:rsidRPr="00386CD6" w:rsidRDefault="0083792B" w:rsidP="0085651C">
            <w:pPr>
              <w:spacing w:before="20" w:after="20"/>
              <w:ind w:right="340"/>
              <w:jc w:val="right"/>
              <w:rPr>
                <w:sz w:val="18"/>
                <w:szCs w:val="18"/>
              </w:rPr>
            </w:pPr>
            <w:r w:rsidRPr="00386CD6">
              <w:rPr>
                <w:sz w:val="18"/>
                <w:szCs w:val="18"/>
              </w:rPr>
              <w:t>60</w:t>
            </w:r>
          </w:p>
        </w:tc>
      </w:tr>
    </w:tbl>
    <w:p w:rsidR="0083792B" w:rsidRPr="00386CD6" w:rsidRDefault="0083792B" w:rsidP="0085651C">
      <w:pPr>
        <w:rPr>
          <w:rFonts w:cs="Arial"/>
          <w:sz w:val="18"/>
          <w:szCs w:val="18"/>
        </w:rPr>
      </w:pPr>
    </w:p>
    <w:p w:rsidR="0083792B" w:rsidRPr="00386CD6" w:rsidRDefault="0083792B" w:rsidP="0085651C">
      <w:pPr>
        <w:rPr>
          <w:rFonts w:cs="Arial"/>
          <w:sz w:val="18"/>
          <w:szCs w:val="18"/>
        </w:rPr>
      </w:pPr>
    </w:p>
    <w:p w:rsidR="0083792B" w:rsidRPr="00386CD6" w:rsidRDefault="0083792B" w:rsidP="0085651C">
      <w:pPr>
        <w:keepNext/>
        <w:jc w:val="center"/>
        <w:rPr>
          <w:rFonts w:cs="Arial"/>
          <w:sz w:val="18"/>
          <w:szCs w:val="18"/>
        </w:rPr>
      </w:pPr>
      <w:r w:rsidRPr="00386CD6">
        <w:rPr>
          <w:rFonts w:cs="Arial"/>
          <w:sz w:val="18"/>
          <w:szCs w:val="18"/>
        </w:rPr>
        <w:t>Nombre total de participants au cours DL</w:t>
      </w:r>
      <w:r w:rsidRPr="00386CD6">
        <w:rPr>
          <w:rFonts w:cs="Arial"/>
          <w:sz w:val="18"/>
          <w:szCs w:val="18"/>
        </w:rPr>
        <w:noBreakHyphen/>
        <w:t>305A</w:t>
      </w:r>
      <w:r w:rsidRPr="00386CD6">
        <w:rPr>
          <w:rFonts w:cs="Arial"/>
          <w:sz w:val="18"/>
          <w:szCs w:val="18"/>
        </w:rPr>
        <w:br/>
        <w:t>par langue (en 2015)</w:t>
      </w:r>
    </w:p>
    <w:p w:rsidR="0083792B" w:rsidRPr="00386CD6" w:rsidRDefault="0083792B" w:rsidP="0085651C">
      <w:pPr>
        <w:keepNext/>
      </w:pPr>
    </w:p>
    <w:tbl>
      <w:tblPr>
        <w:tblStyle w:val="TableGrid"/>
        <w:tblW w:w="8470" w:type="dxa"/>
        <w:tblInd w:w="108" w:type="dxa"/>
        <w:tblLook w:val="01E0" w:firstRow="1" w:lastRow="1" w:firstColumn="1" w:lastColumn="1" w:noHBand="0" w:noVBand="0"/>
      </w:tblPr>
      <w:tblGrid>
        <w:gridCol w:w="3686"/>
        <w:gridCol w:w="1169"/>
        <w:gridCol w:w="1170"/>
        <w:gridCol w:w="1170"/>
        <w:gridCol w:w="1275"/>
      </w:tblGrid>
      <w:tr w:rsidR="0083792B" w:rsidRPr="00386CD6" w:rsidTr="0085651C">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Anglais</w:t>
            </w:r>
          </w:p>
        </w:tc>
        <w:tc>
          <w:tcPr>
            <w:tcW w:w="1170"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Français</w:t>
            </w:r>
          </w:p>
        </w:tc>
        <w:tc>
          <w:tcPr>
            <w:tcW w:w="1170"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Espagnol</w:t>
            </w:r>
          </w:p>
        </w:tc>
        <w:tc>
          <w:tcPr>
            <w:tcW w:w="1275"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jc w:val="center"/>
              <w:rPr>
                <w:sz w:val="18"/>
              </w:rPr>
            </w:pPr>
            <w:r w:rsidRPr="00386CD6">
              <w:rPr>
                <w:sz w:val="18"/>
              </w:rPr>
              <w:t>Total</w:t>
            </w:r>
          </w:p>
        </w:tc>
      </w:tr>
      <w:tr w:rsidR="0083792B" w:rsidRPr="00386CD6" w:rsidTr="0085651C">
        <w:tc>
          <w:tcPr>
            <w:tcW w:w="3686"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jc w:val="left"/>
              <w:rPr>
                <w:sz w:val="18"/>
              </w:rPr>
            </w:pPr>
            <w:r w:rsidRPr="00386CD6">
              <w:rPr>
                <w:sz w:val="18"/>
              </w:rPr>
              <w:t xml:space="preserve">Première session : </w:t>
            </w:r>
            <w:r w:rsidRPr="00386CD6">
              <w:rPr>
                <w:sz w:val="18"/>
              </w:rPr>
              <w:tab/>
              <w:t>total par langue</w:t>
            </w:r>
          </w:p>
        </w:tc>
        <w:tc>
          <w:tcPr>
            <w:tcW w:w="1169"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38</w:t>
            </w:r>
          </w:p>
        </w:tc>
        <w:tc>
          <w:tcPr>
            <w:tcW w:w="1170"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2</w:t>
            </w:r>
          </w:p>
        </w:tc>
        <w:tc>
          <w:tcPr>
            <w:tcW w:w="1170"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20</w:t>
            </w:r>
          </w:p>
        </w:tc>
        <w:tc>
          <w:tcPr>
            <w:tcW w:w="1275"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60</w:t>
            </w:r>
          </w:p>
        </w:tc>
      </w:tr>
      <w:tr w:rsidR="0083792B" w:rsidRPr="00386CD6" w:rsidTr="0085651C">
        <w:tc>
          <w:tcPr>
            <w:tcW w:w="7195" w:type="dxa"/>
            <w:gridSpan w:val="4"/>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ind w:right="318"/>
              <w:jc w:val="right"/>
              <w:rPr>
                <w:rFonts w:eastAsia="MS Mincho"/>
                <w:sz w:val="18"/>
                <w:szCs w:val="18"/>
              </w:rPr>
            </w:pPr>
            <w:r w:rsidRPr="00386CD6">
              <w:rPr>
                <w:rFonts w:eastAsia="MS Mincho"/>
                <w:sz w:val="18"/>
                <w:szCs w:val="18"/>
              </w:rPr>
              <w:t>Total</w:t>
            </w:r>
          </w:p>
        </w:tc>
        <w:tc>
          <w:tcPr>
            <w:tcW w:w="1275"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60</w:t>
            </w:r>
          </w:p>
        </w:tc>
      </w:tr>
    </w:tbl>
    <w:p w:rsidR="0083792B" w:rsidRPr="00386CD6" w:rsidRDefault="0083792B" w:rsidP="0085651C">
      <w:pPr>
        <w:rPr>
          <w:rFonts w:cs="Arial"/>
          <w:sz w:val="18"/>
          <w:szCs w:val="18"/>
        </w:rPr>
      </w:pPr>
    </w:p>
    <w:p w:rsidR="0083792B" w:rsidRPr="00386CD6" w:rsidRDefault="0083792B" w:rsidP="0085651C">
      <w:pPr>
        <w:rPr>
          <w:rFonts w:cs="Arial"/>
          <w:sz w:val="18"/>
          <w:szCs w:val="18"/>
        </w:rPr>
      </w:pPr>
    </w:p>
    <w:p w:rsidR="0083792B" w:rsidRPr="00386CD6" w:rsidRDefault="0083792B" w:rsidP="0085651C">
      <w:pPr>
        <w:keepNext/>
        <w:jc w:val="center"/>
        <w:rPr>
          <w:rFonts w:cs="Arial"/>
          <w:sz w:val="18"/>
          <w:szCs w:val="18"/>
        </w:rPr>
      </w:pPr>
      <w:r w:rsidRPr="00386CD6">
        <w:rPr>
          <w:rFonts w:cs="Arial"/>
          <w:sz w:val="18"/>
          <w:szCs w:val="18"/>
        </w:rPr>
        <w:t>Nombre total de participants au cours DL</w:t>
      </w:r>
      <w:r w:rsidRPr="00386CD6">
        <w:rPr>
          <w:rFonts w:cs="Arial"/>
          <w:sz w:val="18"/>
          <w:szCs w:val="18"/>
        </w:rPr>
        <w:noBreakHyphen/>
        <w:t xml:space="preserve">305B </w:t>
      </w:r>
      <w:r w:rsidRPr="00386CD6">
        <w:rPr>
          <w:rFonts w:cs="Arial"/>
          <w:sz w:val="18"/>
          <w:szCs w:val="18"/>
        </w:rPr>
        <w:br/>
        <w:t>(une session en 2015)</w:t>
      </w:r>
    </w:p>
    <w:p w:rsidR="0083792B" w:rsidRPr="00386CD6" w:rsidRDefault="0083792B" w:rsidP="0085651C">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83792B" w:rsidRPr="00386CD6" w:rsidTr="0085651C">
        <w:tc>
          <w:tcPr>
            <w:tcW w:w="8364" w:type="dxa"/>
            <w:shd w:val="clear" w:color="auto" w:fill="D9D9D9"/>
            <w:vAlign w:val="center"/>
          </w:tcPr>
          <w:p w:rsidR="0083792B" w:rsidRPr="00386CD6" w:rsidRDefault="0083792B" w:rsidP="0085651C">
            <w:pPr>
              <w:keepNext/>
              <w:spacing w:before="20" w:after="20"/>
              <w:jc w:val="left"/>
              <w:rPr>
                <w:rFonts w:eastAsia="MS Mincho"/>
                <w:sz w:val="18"/>
                <w:szCs w:val="18"/>
              </w:rPr>
            </w:pPr>
            <w:r w:rsidRPr="00386CD6">
              <w:rPr>
                <w:rFonts w:eastAsia="MS Mincho"/>
                <w:sz w:val="18"/>
                <w:szCs w:val="18"/>
              </w:rPr>
              <w:t>Catégorie</w:t>
            </w:r>
          </w:p>
        </w:tc>
        <w:tc>
          <w:tcPr>
            <w:tcW w:w="1275" w:type="dxa"/>
            <w:shd w:val="clear" w:color="auto" w:fill="D9D9D9"/>
            <w:vAlign w:val="center"/>
          </w:tcPr>
          <w:p w:rsidR="0083792B" w:rsidRPr="00386CD6" w:rsidRDefault="0083792B" w:rsidP="0085651C">
            <w:pPr>
              <w:keepNext/>
              <w:spacing w:before="20" w:after="20"/>
              <w:jc w:val="center"/>
              <w:rPr>
                <w:sz w:val="18"/>
                <w:szCs w:val="18"/>
              </w:rPr>
            </w:pPr>
            <w:r w:rsidRPr="00386CD6">
              <w:rPr>
                <w:sz w:val="18"/>
                <w:szCs w:val="18"/>
              </w:rPr>
              <w:t>Nombre d’étudiants</w:t>
            </w:r>
          </w:p>
        </w:tc>
      </w:tr>
      <w:tr w:rsidR="0083792B" w:rsidRPr="00386CD6" w:rsidTr="0085651C">
        <w:tc>
          <w:tcPr>
            <w:tcW w:w="8364" w:type="dxa"/>
          </w:tcPr>
          <w:p w:rsidR="0083792B" w:rsidRPr="00386CD6" w:rsidRDefault="0083792B" w:rsidP="0085651C">
            <w:pPr>
              <w:keepNext/>
              <w:spacing w:before="20" w:after="20"/>
              <w:jc w:val="left"/>
              <w:rPr>
                <w:sz w:val="18"/>
                <w:szCs w:val="18"/>
              </w:rPr>
            </w:pPr>
            <w:r w:rsidRPr="00386CD6">
              <w:rPr>
                <w:sz w:val="18"/>
                <w:szCs w:val="18"/>
              </w:rPr>
              <w:t>Catégorie 1 </w:t>
            </w:r>
            <w:r w:rsidRPr="00386CD6">
              <w:rPr>
                <w:sz w:val="18"/>
              </w:rPr>
              <w:t>:</w:t>
            </w:r>
            <w:r w:rsidRPr="00386CD6">
              <w:rPr>
                <w:sz w:val="18"/>
                <w:szCs w:val="18"/>
              </w:rPr>
              <w:t xml:space="preserve"> Fonctionnaires de membres de l’Union, dont la candidature a été approuvée par le représentant intéressé auprès du Conseil de l’UPOV</w:t>
            </w:r>
            <w:r w:rsidRPr="00386CD6">
              <w:rPr>
                <w:sz w:val="18"/>
                <w:szCs w:val="18"/>
              </w:rPr>
              <w:br/>
              <w:t>Exonérés de taxe</w:t>
            </w:r>
          </w:p>
        </w:tc>
        <w:tc>
          <w:tcPr>
            <w:tcW w:w="1275" w:type="dxa"/>
            <w:vAlign w:val="bottom"/>
          </w:tcPr>
          <w:p w:rsidR="0083792B" w:rsidRPr="00386CD6" w:rsidRDefault="0083792B" w:rsidP="0085651C">
            <w:pPr>
              <w:keepNext/>
              <w:spacing w:before="20" w:after="20"/>
              <w:ind w:right="340"/>
              <w:jc w:val="right"/>
              <w:rPr>
                <w:sz w:val="18"/>
                <w:szCs w:val="18"/>
              </w:rPr>
            </w:pPr>
            <w:r w:rsidRPr="00386CD6">
              <w:rPr>
                <w:sz w:val="18"/>
                <w:szCs w:val="18"/>
              </w:rPr>
              <w:t>61</w:t>
            </w:r>
          </w:p>
        </w:tc>
      </w:tr>
      <w:tr w:rsidR="0083792B" w:rsidRPr="00386CD6" w:rsidTr="0085651C">
        <w:tc>
          <w:tcPr>
            <w:tcW w:w="8364" w:type="dxa"/>
          </w:tcPr>
          <w:p w:rsidR="0083792B" w:rsidRPr="00386CD6" w:rsidRDefault="0083792B" w:rsidP="0085651C">
            <w:pPr>
              <w:keepNext/>
              <w:spacing w:before="20" w:after="20"/>
              <w:jc w:val="left"/>
              <w:rPr>
                <w:sz w:val="18"/>
                <w:szCs w:val="18"/>
              </w:rPr>
            </w:pPr>
            <w:r w:rsidRPr="00386CD6">
              <w:rPr>
                <w:rFonts w:eastAsia="MS Mincho"/>
                <w:sz w:val="18"/>
                <w:szCs w:val="18"/>
              </w:rPr>
              <w:t>Catégorie 2 : Fonctionnaires d’États ou d’organisations intergouvernementales ayant le statut d’observateur, dont la candidature a été approuvée par le représentant intéressé auprès du Conseil de l’UPOV</w:t>
            </w:r>
            <w:r w:rsidRPr="00386CD6">
              <w:rPr>
                <w:rFonts w:eastAsia="MS Mincho"/>
                <w:sz w:val="18"/>
                <w:szCs w:val="18"/>
              </w:rPr>
              <w:br/>
              <w:t xml:space="preserve">Un étudiant exonéré des droits d’inscription par État ou organisation intergouvernementale;  </w:t>
            </w:r>
            <w:r w:rsidRPr="00386CD6">
              <w:rPr>
                <w:rFonts w:eastAsia="MS Mincho"/>
                <w:sz w:val="18"/>
                <w:szCs w:val="18"/>
              </w:rPr>
              <w:br/>
              <w:t>étudiants supplémentaires : 1000 francs suisses par étudiant</w:t>
            </w:r>
          </w:p>
        </w:tc>
        <w:tc>
          <w:tcPr>
            <w:tcW w:w="1275" w:type="dxa"/>
            <w:vAlign w:val="bottom"/>
          </w:tcPr>
          <w:p w:rsidR="0083792B" w:rsidRPr="00386CD6" w:rsidRDefault="0083792B" w:rsidP="0085651C">
            <w:pPr>
              <w:keepNext/>
              <w:spacing w:before="20" w:after="20"/>
              <w:ind w:right="340"/>
              <w:jc w:val="right"/>
              <w:rPr>
                <w:sz w:val="18"/>
                <w:szCs w:val="18"/>
              </w:rPr>
            </w:pPr>
            <w:r w:rsidRPr="00386CD6">
              <w:rPr>
                <w:sz w:val="18"/>
                <w:szCs w:val="18"/>
              </w:rPr>
              <w:t>2</w:t>
            </w:r>
          </w:p>
        </w:tc>
      </w:tr>
      <w:tr w:rsidR="0083792B" w:rsidRPr="00386CD6" w:rsidTr="0085651C">
        <w:tc>
          <w:tcPr>
            <w:tcW w:w="8364" w:type="dxa"/>
          </w:tcPr>
          <w:p w:rsidR="0083792B" w:rsidRPr="00386CD6" w:rsidRDefault="0083792B" w:rsidP="0085651C">
            <w:pPr>
              <w:keepNext/>
              <w:spacing w:before="20" w:after="20"/>
              <w:jc w:val="left"/>
              <w:rPr>
                <w:sz w:val="18"/>
                <w:szCs w:val="18"/>
              </w:rPr>
            </w:pPr>
            <w:r w:rsidRPr="00386CD6">
              <w:rPr>
                <w:sz w:val="18"/>
                <w:szCs w:val="18"/>
              </w:rPr>
              <w:t>Catégorie 3 : autres</w:t>
            </w:r>
            <w:r w:rsidRPr="00386CD6">
              <w:rPr>
                <w:sz w:val="18"/>
                <w:szCs w:val="18"/>
              </w:rPr>
              <w:br/>
              <w:t>Droit d’inscription : 1000 francs suisses</w:t>
            </w:r>
          </w:p>
        </w:tc>
        <w:tc>
          <w:tcPr>
            <w:tcW w:w="1275" w:type="dxa"/>
            <w:vAlign w:val="bottom"/>
          </w:tcPr>
          <w:p w:rsidR="0083792B" w:rsidRPr="00386CD6" w:rsidRDefault="0083792B" w:rsidP="0085651C">
            <w:pPr>
              <w:keepNext/>
              <w:spacing w:before="20" w:after="20"/>
              <w:ind w:right="340"/>
              <w:jc w:val="right"/>
              <w:rPr>
                <w:sz w:val="18"/>
                <w:szCs w:val="18"/>
              </w:rPr>
            </w:pPr>
            <w:r w:rsidRPr="00386CD6">
              <w:rPr>
                <w:sz w:val="18"/>
                <w:szCs w:val="18"/>
              </w:rPr>
              <w:t>0</w:t>
            </w:r>
          </w:p>
        </w:tc>
      </w:tr>
      <w:tr w:rsidR="0083792B" w:rsidRPr="00386CD6" w:rsidTr="0085651C">
        <w:tc>
          <w:tcPr>
            <w:tcW w:w="8364" w:type="dxa"/>
          </w:tcPr>
          <w:p w:rsidR="0083792B" w:rsidRPr="00386CD6" w:rsidRDefault="0083792B" w:rsidP="0085651C">
            <w:pPr>
              <w:keepNext/>
              <w:spacing w:before="20" w:after="20"/>
              <w:jc w:val="left"/>
              <w:rPr>
                <w:sz w:val="18"/>
                <w:szCs w:val="18"/>
              </w:rPr>
            </w:pPr>
            <w:r w:rsidRPr="00386CD6">
              <w:rPr>
                <w:sz w:val="18"/>
                <w:szCs w:val="18"/>
              </w:rPr>
              <w:t>Catégorie 4 : Exonération discrétionnaire des droits d’inscription pour quelques étudiants</w:t>
            </w:r>
          </w:p>
        </w:tc>
        <w:tc>
          <w:tcPr>
            <w:tcW w:w="1275" w:type="dxa"/>
            <w:vAlign w:val="bottom"/>
          </w:tcPr>
          <w:p w:rsidR="0083792B" w:rsidRPr="00386CD6" w:rsidRDefault="0083792B" w:rsidP="0085651C">
            <w:pPr>
              <w:keepNext/>
              <w:spacing w:before="20" w:after="20"/>
              <w:ind w:right="340"/>
              <w:jc w:val="right"/>
              <w:rPr>
                <w:sz w:val="18"/>
                <w:szCs w:val="18"/>
              </w:rPr>
            </w:pPr>
            <w:r w:rsidRPr="00386CD6">
              <w:rPr>
                <w:sz w:val="18"/>
                <w:szCs w:val="18"/>
              </w:rPr>
              <w:t>2</w:t>
            </w:r>
          </w:p>
        </w:tc>
      </w:tr>
      <w:tr w:rsidR="0083792B" w:rsidRPr="00386CD6" w:rsidTr="0085651C">
        <w:tc>
          <w:tcPr>
            <w:tcW w:w="8364" w:type="dxa"/>
          </w:tcPr>
          <w:p w:rsidR="0083792B" w:rsidRPr="00386CD6" w:rsidRDefault="0083792B" w:rsidP="0085651C">
            <w:pPr>
              <w:keepNext/>
              <w:spacing w:before="20" w:after="20"/>
              <w:ind w:right="318"/>
              <w:jc w:val="right"/>
              <w:rPr>
                <w:rFonts w:eastAsia="MS Mincho"/>
                <w:sz w:val="18"/>
                <w:szCs w:val="18"/>
              </w:rPr>
            </w:pPr>
            <w:r w:rsidRPr="00386CD6">
              <w:rPr>
                <w:rFonts w:eastAsia="MS Mincho"/>
                <w:sz w:val="18"/>
                <w:szCs w:val="18"/>
              </w:rPr>
              <w:t>Total</w:t>
            </w:r>
          </w:p>
        </w:tc>
        <w:tc>
          <w:tcPr>
            <w:tcW w:w="1275" w:type="dxa"/>
            <w:vAlign w:val="bottom"/>
          </w:tcPr>
          <w:p w:rsidR="0083792B" w:rsidRPr="00386CD6" w:rsidRDefault="0083792B" w:rsidP="0085651C">
            <w:pPr>
              <w:keepNext/>
              <w:spacing w:before="20" w:after="20"/>
              <w:ind w:right="340"/>
              <w:jc w:val="right"/>
              <w:rPr>
                <w:sz w:val="18"/>
                <w:szCs w:val="18"/>
              </w:rPr>
            </w:pPr>
            <w:r w:rsidRPr="00386CD6">
              <w:rPr>
                <w:sz w:val="18"/>
                <w:szCs w:val="18"/>
              </w:rPr>
              <w:t>65</w:t>
            </w:r>
          </w:p>
        </w:tc>
      </w:tr>
    </w:tbl>
    <w:p w:rsidR="0083792B" w:rsidRPr="00386CD6" w:rsidRDefault="0083792B" w:rsidP="0085651C">
      <w:pPr>
        <w:keepNext/>
        <w:rPr>
          <w:rFonts w:cs="Arial"/>
          <w:sz w:val="18"/>
          <w:szCs w:val="18"/>
        </w:rPr>
      </w:pPr>
    </w:p>
    <w:p w:rsidR="0083792B" w:rsidRPr="00386CD6" w:rsidRDefault="0083792B" w:rsidP="0085651C">
      <w:pPr>
        <w:keepNext/>
        <w:rPr>
          <w:rFonts w:cs="Arial"/>
          <w:sz w:val="18"/>
          <w:szCs w:val="18"/>
        </w:rPr>
      </w:pPr>
    </w:p>
    <w:p w:rsidR="0083792B" w:rsidRPr="00386CD6" w:rsidRDefault="0083792B" w:rsidP="0085651C">
      <w:pPr>
        <w:keepNext/>
        <w:jc w:val="center"/>
        <w:rPr>
          <w:rFonts w:cs="Arial"/>
          <w:sz w:val="18"/>
          <w:szCs w:val="18"/>
        </w:rPr>
      </w:pPr>
      <w:r w:rsidRPr="00386CD6">
        <w:rPr>
          <w:rFonts w:cs="Arial"/>
          <w:sz w:val="18"/>
          <w:szCs w:val="18"/>
        </w:rPr>
        <w:t>Nombre total de participants au cours DL</w:t>
      </w:r>
      <w:r w:rsidRPr="00386CD6">
        <w:rPr>
          <w:rFonts w:cs="Arial"/>
          <w:sz w:val="18"/>
          <w:szCs w:val="18"/>
        </w:rPr>
        <w:noBreakHyphen/>
        <w:t xml:space="preserve">305B </w:t>
      </w:r>
      <w:r w:rsidRPr="00386CD6">
        <w:rPr>
          <w:rFonts w:cs="Arial"/>
          <w:sz w:val="18"/>
          <w:szCs w:val="18"/>
        </w:rPr>
        <w:br/>
        <w:t>par langue (en 2015)</w:t>
      </w:r>
    </w:p>
    <w:p w:rsidR="0083792B" w:rsidRPr="00386CD6" w:rsidRDefault="0083792B" w:rsidP="0085651C">
      <w:pPr>
        <w:keepNext/>
      </w:pPr>
    </w:p>
    <w:tbl>
      <w:tblPr>
        <w:tblStyle w:val="TableGrid"/>
        <w:tblW w:w="8470" w:type="dxa"/>
        <w:tblInd w:w="108" w:type="dxa"/>
        <w:tblLook w:val="01E0" w:firstRow="1" w:lastRow="1" w:firstColumn="1" w:lastColumn="1" w:noHBand="0" w:noVBand="0"/>
      </w:tblPr>
      <w:tblGrid>
        <w:gridCol w:w="3686"/>
        <w:gridCol w:w="1169"/>
        <w:gridCol w:w="1170"/>
        <w:gridCol w:w="1170"/>
        <w:gridCol w:w="1275"/>
      </w:tblGrid>
      <w:tr w:rsidR="0083792B" w:rsidRPr="00386CD6" w:rsidTr="0085651C">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keepNext/>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keepNext/>
              <w:spacing w:before="40" w:after="40"/>
              <w:jc w:val="center"/>
              <w:rPr>
                <w:sz w:val="18"/>
              </w:rPr>
            </w:pPr>
            <w:r w:rsidRPr="00386CD6">
              <w:rPr>
                <w:sz w:val="18"/>
              </w:rPr>
              <w:t>Anglais</w:t>
            </w:r>
          </w:p>
        </w:tc>
        <w:tc>
          <w:tcPr>
            <w:tcW w:w="1170"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keepNext/>
              <w:spacing w:before="40" w:after="40"/>
              <w:jc w:val="center"/>
              <w:rPr>
                <w:sz w:val="18"/>
              </w:rPr>
            </w:pPr>
            <w:r w:rsidRPr="00386CD6">
              <w:rPr>
                <w:sz w:val="18"/>
              </w:rPr>
              <w:t>Français</w:t>
            </w:r>
          </w:p>
        </w:tc>
        <w:tc>
          <w:tcPr>
            <w:tcW w:w="1170"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keepNext/>
              <w:spacing w:before="40" w:after="40"/>
              <w:jc w:val="center"/>
              <w:rPr>
                <w:sz w:val="18"/>
              </w:rPr>
            </w:pPr>
            <w:r w:rsidRPr="00386CD6">
              <w:rPr>
                <w:sz w:val="18"/>
              </w:rPr>
              <w:t>Espagnol</w:t>
            </w:r>
          </w:p>
        </w:tc>
        <w:tc>
          <w:tcPr>
            <w:tcW w:w="1275" w:type="dxa"/>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keepNext/>
              <w:spacing w:before="40" w:after="40"/>
              <w:jc w:val="center"/>
              <w:rPr>
                <w:sz w:val="18"/>
              </w:rPr>
            </w:pPr>
            <w:r w:rsidRPr="00386CD6">
              <w:rPr>
                <w:sz w:val="18"/>
              </w:rPr>
              <w:t>Total</w:t>
            </w:r>
          </w:p>
        </w:tc>
      </w:tr>
      <w:tr w:rsidR="0083792B" w:rsidRPr="00386CD6" w:rsidTr="0085651C">
        <w:tc>
          <w:tcPr>
            <w:tcW w:w="3686"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keepNext/>
              <w:spacing w:before="40" w:after="40"/>
              <w:jc w:val="left"/>
              <w:rPr>
                <w:sz w:val="18"/>
              </w:rPr>
            </w:pPr>
            <w:r w:rsidRPr="00386CD6">
              <w:rPr>
                <w:sz w:val="18"/>
              </w:rPr>
              <w:t xml:space="preserve">Première session : </w:t>
            </w:r>
            <w:r w:rsidRPr="00386CD6">
              <w:rPr>
                <w:sz w:val="18"/>
              </w:rPr>
              <w:tab/>
              <w:t>total par langue</w:t>
            </w:r>
          </w:p>
        </w:tc>
        <w:tc>
          <w:tcPr>
            <w:tcW w:w="1169"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keepNext/>
              <w:spacing w:before="40" w:after="40"/>
              <w:ind w:right="340"/>
              <w:jc w:val="right"/>
              <w:rPr>
                <w:sz w:val="18"/>
              </w:rPr>
            </w:pPr>
            <w:r w:rsidRPr="00386CD6">
              <w:rPr>
                <w:sz w:val="18"/>
              </w:rPr>
              <w:t>48</w:t>
            </w:r>
          </w:p>
        </w:tc>
        <w:tc>
          <w:tcPr>
            <w:tcW w:w="1170"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keepNext/>
              <w:spacing w:before="40" w:after="40"/>
              <w:ind w:right="340"/>
              <w:jc w:val="right"/>
              <w:rPr>
                <w:sz w:val="18"/>
              </w:rPr>
            </w:pPr>
            <w:r w:rsidRPr="00386CD6">
              <w:rPr>
                <w:sz w:val="18"/>
              </w:rPr>
              <w:t>1</w:t>
            </w:r>
          </w:p>
        </w:tc>
        <w:tc>
          <w:tcPr>
            <w:tcW w:w="1170"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keepNext/>
              <w:spacing w:before="40" w:after="40"/>
              <w:ind w:right="340"/>
              <w:jc w:val="right"/>
              <w:rPr>
                <w:sz w:val="18"/>
              </w:rPr>
            </w:pPr>
            <w:r w:rsidRPr="00386CD6">
              <w:rPr>
                <w:sz w:val="18"/>
              </w:rPr>
              <w:t>16</w:t>
            </w:r>
          </w:p>
        </w:tc>
        <w:tc>
          <w:tcPr>
            <w:tcW w:w="1275"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keepNext/>
              <w:spacing w:before="40" w:after="40"/>
              <w:ind w:right="340"/>
              <w:jc w:val="right"/>
              <w:rPr>
                <w:sz w:val="18"/>
              </w:rPr>
            </w:pPr>
            <w:r w:rsidRPr="00386CD6">
              <w:rPr>
                <w:sz w:val="18"/>
              </w:rPr>
              <w:t>65</w:t>
            </w:r>
          </w:p>
        </w:tc>
      </w:tr>
      <w:tr w:rsidR="0083792B" w:rsidRPr="00386CD6" w:rsidTr="0085651C">
        <w:tc>
          <w:tcPr>
            <w:tcW w:w="7195" w:type="dxa"/>
            <w:gridSpan w:val="4"/>
            <w:tcBorders>
              <w:top w:val="single" w:sz="4" w:space="0" w:color="auto"/>
              <w:left w:val="single" w:sz="4" w:space="0" w:color="auto"/>
              <w:bottom w:val="single" w:sz="4" w:space="0" w:color="auto"/>
              <w:right w:val="single" w:sz="4" w:space="0" w:color="auto"/>
            </w:tcBorders>
            <w:vAlign w:val="center"/>
          </w:tcPr>
          <w:p w:rsidR="0083792B" w:rsidRPr="00386CD6" w:rsidRDefault="0083792B" w:rsidP="0085651C">
            <w:pPr>
              <w:spacing w:before="40" w:after="40"/>
              <w:ind w:right="318"/>
              <w:jc w:val="right"/>
              <w:rPr>
                <w:rFonts w:eastAsia="MS Mincho"/>
                <w:sz w:val="18"/>
                <w:szCs w:val="18"/>
              </w:rPr>
            </w:pPr>
            <w:r w:rsidRPr="00386CD6">
              <w:rPr>
                <w:rFonts w:eastAsia="MS Mincho"/>
                <w:sz w:val="18"/>
                <w:szCs w:val="18"/>
              </w:rPr>
              <w:t>Total</w:t>
            </w:r>
          </w:p>
        </w:tc>
        <w:tc>
          <w:tcPr>
            <w:tcW w:w="1275" w:type="dxa"/>
            <w:tcBorders>
              <w:top w:val="single" w:sz="4" w:space="0" w:color="auto"/>
              <w:left w:val="single" w:sz="4" w:space="0" w:color="auto"/>
              <w:bottom w:val="single" w:sz="4" w:space="0" w:color="auto"/>
              <w:right w:val="single" w:sz="4" w:space="0" w:color="auto"/>
            </w:tcBorders>
          </w:tcPr>
          <w:p w:rsidR="0083792B" w:rsidRPr="00386CD6" w:rsidRDefault="0083792B" w:rsidP="0085651C">
            <w:pPr>
              <w:spacing w:before="40" w:after="40"/>
              <w:ind w:right="340"/>
              <w:jc w:val="right"/>
              <w:rPr>
                <w:sz w:val="18"/>
              </w:rPr>
            </w:pPr>
            <w:r w:rsidRPr="00386CD6">
              <w:rPr>
                <w:sz w:val="18"/>
              </w:rPr>
              <w:t>65</w:t>
            </w:r>
          </w:p>
        </w:tc>
      </w:tr>
    </w:tbl>
    <w:p w:rsidR="0083792B" w:rsidRPr="00386CD6" w:rsidRDefault="0083792B" w:rsidP="0085651C">
      <w:pPr>
        <w:rPr>
          <w:rFonts w:cs="Arial"/>
          <w:sz w:val="18"/>
          <w:szCs w:val="18"/>
        </w:rPr>
      </w:pPr>
    </w:p>
    <w:p w:rsidR="0083792B" w:rsidRPr="00386CD6" w:rsidRDefault="0083792B" w:rsidP="0085651C">
      <w:pPr>
        <w:rPr>
          <w:rFonts w:cs="Arial"/>
          <w:sz w:val="18"/>
          <w:szCs w:val="18"/>
        </w:rPr>
      </w:pPr>
    </w:p>
    <w:p w:rsidR="0083792B" w:rsidRPr="00386CD6" w:rsidRDefault="0083792B" w:rsidP="0085651C">
      <w:pPr>
        <w:jc w:val="left"/>
        <w:rPr>
          <w:rFonts w:cs="Arial"/>
          <w:sz w:val="18"/>
          <w:szCs w:val="18"/>
        </w:rPr>
      </w:pPr>
      <w:r w:rsidRPr="00386CD6">
        <w:rPr>
          <w:rFonts w:cs="Arial"/>
          <w:sz w:val="18"/>
          <w:szCs w:val="18"/>
        </w:rPr>
        <w:br w:type="page"/>
      </w:r>
    </w:p>
    <w:p w:rsidR="0083792B" w:rsidRPr="00386CD6" w:rsidRDefault="0083792B" w:rsidP="0085651C">
      <w:pPr>
        <w:rPr>
          <w:rFonts w:cs="Arial"/>
          <w:sz w:val="18"/>
          <w:szCs w:val="18"/>
        </w:rPr>
      </w:pPr>
    </w:p>
    <w:tbl>
      <w:tblPr>
        <w:tblW w:w="9889" w:type="dxa"/>
        <w:tblLayout w:type="fixed"/>
        <w:tblLook w:val="0000" w:firstRow="0" w:lastRow="0" w:firstColumn="0" w:lastColumn="0" w:noHBand="0" w:noVBand="0"/>
      </w:tblPr>
      <w:tblGrid>
        <w:gridCol w:w="1951"/>
        <w:gridCol w:w="7938"/>
      </w:tblGrid>
      <w:tr w:rsidR="0083792B" w:rsidRPr="00386CD6" w:rsidTr="0085651C">
        <w:tc>
          <w:tcPr>
            <w:tcW w:w="1951" w:type="dxa"/>
            <w:shd w:val="clear" w:color="auto" w:fill="auto"/>
          </w:tcPr>
          <w:p w:rsidR="0083792B" w:rsidRPr="00386CD6" w:rsidRDefault="0083792B" w:rsidP="0085651C">
            <w:pPr>
              <w:keepNext/>
              <w:rPr>
                <w:b/>
                <w:sz w:val="18"/>
                <w:szCs w:val="18"/>
              </w:rPr>
            </w:pPr>
            <w:r w:rsidRPr="00386CD6">
              <w:rPr>
                <w:b/>
                <w:sz w:val="18"/>
                <w:szCs w:val="18"/>
              </w:rPr>
              <w:t>Résultats escomptés</w:t>
            </w:r>
          </w:p>
        </w:tc>
        <w:tc>
          <w:tcPr>
            <w:tcW w:w="7938" w:type="dxa"/>
            <w:shd w:val="clear" w:color="auto" w:fill="auto"/>
          </w:tcPr>
          <w:p w:rsidR="0083792B" w:rsidRPr="00386CD6" w:rsidRDefault="0083792B" w:rsidP="0085651C">
            <w:pPr>
              <w:keepNext/>
              <w:rPr>
                <w:b/>
                <w:sz w:val="18"/>
                <w:szCs w:val="18"/>
              </w:rPr>
            </w:pPr>
            <w:r w:rsidRPr="00386CD6">
              <w:rPr>
                <w:b/>
                <w:sz w:val="18"/>
                <w:szCs w:val="18"/>
              </w:rPr>
              <w:t>Résultats obtenus : indicateurs d’exécution</w:t>
            </w:r>
          </w:p>
          <w:p w:rsidR="0083792B" w:rsidRPr="00386CD6" w:rsidRDefault="0083792B" w:rsidP="0085651C">
            <w:pPr>
              <w:keepNext/>
              <w:rPr>
                <w:b/>
                <w:sz w:val="18"/>
                <w:szCs w:val="18"/>
              </w:rPr>
            </w:pPr>
          </w:p>
        </w:tc>
      </w:tr>
      <w:tr w:rsidR="0083792B" w:rsidRPr="00386CD6" w:rsidTr="0085651C">
        <w:trPr>
          <w:trHeight w:val="3561"/>
        </w:trPr>
        <w:tc>
          <w:tcPr>
            <w:tcW w:w="1951" w:type="dxa"/>
          </w:tcPr>
          <w:p w:rsidR="0083792B" w:rsidRPr="00386CD6" w:rsidRDefault="0083792B" w:rsidP="0022145A">
            <w:pPr>
              <w:tabs>
                <w:tab w:val="left" w:pos="276"/>
              </w:tabs>
              <w:jc w:val="left"/>
              <w:rPr>
                <w:sz w:val="18"/>
                <w:szCs w:val="18"/>
              </w:rPr>
            </w:pPr>
            <w:r w:rsidRPr="00386CD6">
              <w:rPr>
                <w:i/>
                <w:sz w:val="18"/>
                <w:szCs w:val="18"/>
              </w:rPr>
              <w:t>4.</w:t>
            </w:r>
            <w:r w:rsidR="0022145A" w:rsidRPr="00386CD6">
              <w:rPr>
                <w:i/>
                <w:sz w:val="18"/>
                <w:szCs w:val="18"/>
              </w:rPr>
              <w:tab/>
            </w:r>
            <w:r w:rsidRPr="00386CD6">
              <w:rPr>
                <w:i/>
                <w:sz w:val="18"/>
                <w:szCs w:val="18"/>
              </w:rPr>
              <w:t>Assistance aux fins de la mise en œuvre d’un système efficace de protection des obtentions végétales conforme à l’Acte de 1991 de la Convention UPOV</w:t>
            </w:r>
            <w:r w:rsidRPr="00386CD6">
              <w:rPr>
                <w:sz w:val="18"/>
                <w:szCs w:val="18"/>
              </w:rPr>
              <w:t xml:space="preserve"> (suite)</w:t>
            </w:r>
          </w:p>
        </w:tc>
        <w:tc>
          <w:tcPr>
            <w:tcW w:w="7938" w:type="dxa"/>
          </w:tcPr>
          <w:p w:rsidR="0083792B" w:rsidRPr="00386CD6" w:rsidRDefault="0083792B" w:rsidP="0022145A">
            <w:pPr>
              <w:pStyle w:val="Heading8"/>
              <w:tabs>
                <w:tab w:val="left" w:pos="307"/>
              </w:tabs>
              <w:rPr>
                <w:szCs w:val="18"/>
              </w:rPr>
            </w:pPr>
            <w:bookmarkStart w:id="178" w:name="_Toc464487610"/>
            <w:bookmarkStart w:id="179" w:name="_Toc465100098"/>
            <w:r w:rsidRPr="00386CD6">
              <w:rPr>
                <w:szCs w:val="18"/>
              </w:rPr>
              <w:t>b)</w:t>
            </w:r>
            <w:r w:rsidRPr="00386CD6">
              <w:rPr>
                <w:szCs w:val="18"/>
              </w:rPr>
              <w:tab/>
              <w:t>Participation d’États et d’organisations ayant le statut d’observateurs aux travaux du CAJ, du TC, des TWP et aux ateliers préparatoires correspondants</w:t>
            </w:r>
            <w:bookmarkEnd w:id="178"/>
            <w:bookmarkEnd w:id="179"/>
          </w:p>
          <w:p w:rsidR="0083792B" w:rsidRPr="00386CD6" w:rsidRDefault="0083792B" w:rsidP="0085651C">
            <w:pPr>
              <w:jc w:val="left"/>
              <w:rPr>
                <w:sz w:val="18"/>
                <w:szCs w:val="18"/>
              </w:rPr>
            </w:pPr>
            <w:r w:rsidRPr="00386CD6">
              <w:rPr>
                <w:sz w:val="18"/>
                <w:szCs w:val="18"/>
              </w:rPr>
              <w:t>Voir le sous</w:t>
            </w:r>
            <w:r w:rsidRPr="00386CD6">
              <w:rPr>
                <w:sz w:val="18"/>
                <w:szCs w:val="18"/>
              </w:rPr>
              <w:noBreakHyphen/>
              <w:t>programme UV.2, indicateur d’exécution 4 “Participation des membres de l’Union et des parties prenantes aux travaux des différents organes de l’UPOV”, sections a) à d)</w:t>
            </w:r>
          </w:p>
          <w:p w:rsidR="0083792B" w:rsidRPr="00386CD6" w:rsidRDefault="0083792B" w:rsidP="0085651C">
            <w:pPr>
              <w:jc w:val="left"/>
              <w:rPr>
                <w:sz w:val="18"/>
                <w:szCs w:val="18"/>
              </w:rPr>
            </w:pPr>
          </w:p>
          <w:p w:rsidR="0083792B" w:rsidRPr="00386CD6" w:rsidRDefault="0083792B" w:rsidP="0085651C">
            <w:pPr>
              <w:jc w:val="left"/>
              <w:rPr>
                <w:sz w:val="18"/>
                <w:szCs w:val="18"/>
              </w:rPr>
            </w:pPr>
          </w:p>
          <w:p w:rsidR="0083792B" w:rsidRPr="00386CD6" w:rsidRDefault="0083792B" w:rsidP="0022145A">
            <w:pPr>
              <w:pStyle w:val="Heading8"/>
              <w:tabs>
                <w:tab w:val="left" w:pos="307"/>
              </w:tabs>
              <w:rPr>
                <w:szCs w:val="18"/>
              </w:rPr>
            </w:pPr>
            <w:bookmarkStart w:id="180" w:name="_Toc464487611"/>
            <w:bookmarkStart w:id="181" w:name="_Toc465100099"/>
            <w:r w:rsidRPr="00386CD6">
              <w:rPr>
                <w:szCs w:val="18"/>
              </w:rPr>
              <w:t>c)</w:t>
            </w:r>
            <w:r w:rsidRPr="00386CD6">
              <w:rPr>
                <w:szCs w:val="18"/>
              </w:rPr>
              <w:tab/>
              <w:t>Participation aux activités de l’UPOV</w:t>
            </w:r>
            <w:bookmarkEnd w:id="180"/>
            <w:bookmarkEnd w:id="181"/>
          </w:p>
          <w:p w:rsidR="0083792B" w:rsidRPr="00386CD6" w:rsidRDefault="0083792B" w:rsidP="0085651C">
            <w:pPr>
              <w:jc w:val="left"/>
              <w:rPr>
                <w:sz w:val="18"/>
                <w:szCs w:val="18"/>
              </w:rPr>
            </w:pPr>
            <w:r w:rsidRPr="00386CD6">
              <w:rPr>
                <w:sz w:val="18"/>
                <w:szCs w:val="18"/>
              </w:rPr>
              <w:t>Voir le sous</w:t>
            </w:r>
            <w:r w:rsidRPr="00386CD6">
              <w:rPr>
                <w:sz w:val="18"/>
                <w:szCs w:val="18"/>
              </w:rPr>
              <w:noBreakHyphen/>
              <w:t>programme UV.3, indicateur d’exécution 1 “Sensibiliser au rôle de la protection des obtentions végétales conformément à la Convention UPOV”, section b)</w:t>
            </w:r>
          </w:p>
          <w:p w:rsidR="0083792B" w:rsidRPr="00386CD6" w:rsidRDefault="0083792B" w:rsidP="0085651C">
            <w:pPr>
              <w:rPr>
                <w:sz w:val="18"/>
                <w:szCs w:val="18"/>
              </w:rPr>
            </w:pPr>
          </w:p>
          <w:p w:rsidR="0083792B" w:rsidRPr="00386CD6" w:rsidRDefault="0083792B" w:rsidP="0085651C">
            <w:pPr>
              <w:rPr>
                <w:sz w:val="18"/>
                <w:szCs w:val="18"/>
              </w:rPr>
            </w:pPr>
          </w:p>
          <w:p w:rsidR="0083792B" w:rsidRPr="00386CD6" w:rsidRDefault="0083792B" w:rsidP="0022145A">
            <w:pPr>
              <w:pStyle w:val="Heading8"/>
              <w:tabs>
                <w:tab w:val="left" w:pos="307"/>
              </w:tabs>
              <w:rPr>
                <w:szCs w:val="18"/>
              </w:rPr>
            </w:pPr>
            <w:bookmarkStart w:id="182" w:name="_Toc464487612"/>
            <w:bookmarkStart w:id="183" w:name="_Toc465100100"/>
            <w:r w:rsidRPr="00386CD6">
              <w:rPr>
                <w:szCs w:val="18"/>
              </w:rPr>
              <w:t>d)</w:t>
            </w:r>
            <w:r w:rsidRPr="00386CD6">
              <w:rPr>
                <w:szCs w:val="18"/>
              </w:rPr>
              <w:tab/>
              <w:t>Participation aux activités faisant intervenir des membres du personnel de l’UPOV ou des formateurs de l’UPOV au nom du personnel de l’UPOV</w:t>
            </w:r>
            <w:bookmarkEnd w:id="182"/>
            <w:bookmarkEnd w:id="183"/>
          </w:p>
          <w:p w:rsidR="0083792B" w:rsidRPr="00386CD6" w:rsidRDefault="0083792B" w:rsidP="0085651C">
            <w:pPr>
              <w:rPr>
                <w:sz w:val="18"/>
                <w:szCs w:val="18"/>
              </w:rPr>
            </w:pPr>
            <w:r w:rsidRPr="00386CD6">
              <w:rPr>
                <w:rFonts w:eastAsiaTheme="minorEastAsia"/>
                <w:sz w:val="18"/>
              </w:rPr>
              <w:t>Afrique du Sud, Albanie, Allemagne, Arabie saoudite, Australie, Azerbaïdjan, Bangladesh, Bhoutan, Bolivie (État plurinational de), Bosnie</w:t>
            </w:r>
            <w:r w:rsidRPr="00386CD6">
              <w:rPr>
                <w:rFonts w:eastAsiaTheme="minorEastAsia"/>
                <w:sz w:val="18"/>
              </w:rPr>
              <w:noBreakHyphen/>
              <w:t>Herzégovine, Brésil, Brunéi Darussalam, Bulgarie, Burkina Faso, Cambodge, Cameroun, Canada, Chili, Chine, Colombie, Costa Rica, Cuba, Égypte, Émirats arabes unis, Équateur, Espagne, États</w:t>
            </w:r>
            <w:r w:rsidRPr="00386CD6">
              <w:rPr>
                <w:rFonts w:eastAsiaTheme="minorEastAsia"/>
                <w:sz w:val="18"/>
              </w:rPr>
              <w:noBreakHyphen/>
              <w:t>Unis d’Amérique, Éthiopie, ex</w:t>
            </w:r>
            <w:r w:rsidRPr="00386CD6">
              <w:rPr>
                <w:rFonts w:eastAsiaTheme="minorEastAsia"/>
                <w:sz w:val="18"/>
              </w:rPr>
              <w:noBreakHyphen/>
              <w:t>République yougoslave de Macédoine, Fédération de Russie, France, Géorgie, Ghana, Guatemala, Inde, Indonésie, Iran (République islamique d’), Israël, Italie, Jamaïque, Japon, Jordanie, Kenya, Kirghizistan, Liban, Lituanie, Malaisie, Maroc, Maurice, Mexique, Mongolie, Myanmar, Népal, Nicaragua, Nigéria, Oman, Ouganda, Ouzbékistan, Pakistan, Paraguay, Pays</w:t>
            </w:r>
            <w:r w:rsidRPr="00386CD6">
              <w:rPr>
                <w:rFonts w:eastAsiaTheme="minorEastAsia"/>
                <w:sz w:val="18"/>
              </w:rPr>
              <w:noBreakHyphen/>
              <w:t>Bas, Philippines, Pologne, Portugal, République arabe syrienne, République de Corée, République de Moldova, République démocratique populaire lao, République tchèque, République</w:t>
            </w:r>
            <w:r w:rsidRPr="00386CD6">
              <w:rPr>
                <w:rFonts w:eastAsiaTheme="minorEastAsia"/>
                <w:sz w:val="18"/>
              </w:rPr>
              <w:noBreakHyphen/>
              <w:t>Unie de Tanzanie, Roumanie, Royaume</w:t>
            </w:r>
            <w:r w:rsidRPr="00386CD6">
              <w:rPr>
                <w:rFonts w:eastAsiaTheme="minorEastAsia"/>
                <w:sz w:val="18"/>
              </w:rPr>
              <w:noBreakHyphen/>
              <w:t>Uni, Rwanda, Sainte</w:t>
            </w:r>
            <w:r w:rsidRPr="00386CD6">
              <w:rPr>
                <w:rFonts w:eastAsiaTheme="minorEastAsia"/>
                <w:sz w:val="18"/>
              </w:rPr>
              <w:noBreakHyphen/>
              <w:t>Lucie, Samoa, Serbie, Singapour, Slovaquie, Soudan, Sri Lanka, Suède, Suisse, Thaïlande, Trinité</w:t>
            </w:r>
            <w:r w:rsidRPr="00386CD6">
              <w:rPr>
                <w:rFonts w:eastAsiaTheme="minorEastAsia"/>
                <w:sz w:val="18"/>
              </w:rPr>
              <w:noBreakHyphen/>
              <w:t>et</w:t>
            </w:r>
            <w:r w:rsidRPr="00386CD6">
              <w:rPr>
                <w:rFonts w:eastAsiaTheme="minorEastAsia"/>
                <w:sz w:val="18"/>
              </w:rPr>
              <w:noBreakHyphen/>
              <w:t>Tobago, Tunisie, Turquie, Ukraine, Union européenne, Venezuela (République bolivarienne du), Viet Nam</w:t>
            </w:r>
            <w:r w:rsidR="001700E0" w:rsidRPr="00386CD6">
              <w:rPr>
                <w:rFonts w:eastAsiaTheme="minorEastAsia"/>
                <w:sz w:val="18"/>
              </w:rPr>
              <w:t>, Zimbabwe, APSA, OAPI, SAA (91 États, 3 </w:t>
            </w:r>
            <w:r w:rsidRPr="00386CD6">
              <w:rPr>
                <w:rFonts w:eastAsiaTheme="minorEastAsia"/>
                <w:sz w:val="18"/>
              </w:rPr>
              <w:t>organi</w:t>
            </w:r>
            <w:r w:rsidR="001700E0" w:rsidRPr="00386CD6">
              <w:rPr>
                <w:rFonts w:eastAsiaTheme="minorEastAsia"/>
                <w:sz w:val="18"/>
              </w:rPr>
              <w:t>s</w:t>
            </w:r>
            <w:r w:rsidRPr="00386CD6">
              <w:rPr>
                <w:rFonts w:eastAsiaTheme="minorEastAsia"/>
                <w:sz w:val="18"/>
              </w:rPr>
              <w:t>ations)</w:t>
            </w:r>
          </w:p>
          <w:p w:rsidR="0083792B" w:rsidRPr="00386CD6" w:rsidRDefault="0083792B" w:rsidP="0085651C">
            <w:pPr>
              <w:rPr>
                <w:sz w:val="18"/>
                <w:szCs w:val="18"/>
              </w:rPr>
            </w:pPr>
          </w:p>
          <w:p w:rsidR="0083792B" w:rsidRPr="00386CD6" w:rsidRDefault="0083792B" w:rsidP="0085651C">
            <w:pPr>
              <w:rPr>
                <w:sz w:val="18"/>
                <w:szCs w:val="18"/>
              </w:rPr>
            </w:pPr>
          </w:p>
          <w:p w:rsidR="0083792B" w:rsidRPr="00386CD6" w:rsidRDefault="0083792B" w:rsidP="0022145A">
            <w:pPr>
              <w:pStyle w:val="Heading8"/>
              <w:tabs>
                <w:tab w:val="left" w:pos="330"/>
              </w:tabs>
              <w:rPr>
                <w:szCs w:val="18"/>
              </w:rPr>
            </w:pPr>
            <w:bookmarkStart w:id="184" w:name="_Toc464487613"/>
            <w:bookmarkStart w:id="185" w:name="_Toc465100101"/>
            <w:r w:rsidRPr="00386CD6">
              <w:rPr>
                <w:szCs w:val="18"/>
              </w:rPr>
              <w:t>e)</w:t>
            </w:r>
            <w:r w:rsidRPr="00386CD6">
              <w:rPr>
                <w:szCs w:val="18"/>
              </w:rPr>
              <w:tab/>
              <w:t>Formation dispensée par des formateurs de l’UPOV au cours d’activités n’ayant pas été organisées par l’UPOV</w:t>
            </w:r>
            <w:bookmarkEnd w:id="184"/>
            <w:bookmarkEnd w:id="185"/>
          </w:p>
          <w:p w:rsidR="0083792B" w:rsidRPr="00386CD6" w:rsidRDefault="0083792B" w:rsidP="0085651C">
            <w:pPr>
              <w:rPr>
                <w:sz w:val="18"/>
              </w:rPr>
            </w:pPr>
            <w:r w:rsidRPr="00386CD6">
              <w:rPr>
                <w:sz w:val="18"/>
              </w:rPr>
              <w:t>Pas encore disponible</w:t>
            </w:r>
          </w:p>
          <w:p w:rsidR="0083792B" w:rsidRPr="00386CD6" w:rsidRDefault="0083792B" w:rsidP="0085651C">
            <w:pPr>
              <w:rPr>
                <w:sz w:val="18"/>
              </w:rPr>
            </w:pPr>
          </w:p>
          <w:p w:rsidR="0083792B" w:rsidRPr="00386CD6" w:rsidRDefault="0083792B" w:rsidP="0085651C">
            <w:pPr>
              <w:rPr>
                <w:sz w:val="18"/>
              </w:rPr>
            </w:pPr>
          </w:p>
          <w:p w:rsidR="0083792B" w:rsidRPr="00386CD6" w:rsidRDefault="0083792B" w:rsidP="0022145A">
            <w:pPr>
              <w:pStyle w:val="Heading8"/>
              <w:tabs>
                <w:tab w:val="left" w:pos="295"/>
              </w:tabs>
              <w:rPr>
                <w:szCs w:val="18"/>
              </w:rPr>
            </w:pPr>
            <w:bookmarkStart w:id="186" w:name="_Toc464487614"/>
            <w:bookmarkStart w:id="187" w:name="_Toc465100102"/>
            <w:r w:rsidRPr="00386CD6">
              <w:rPr>
                <w:szCs w:val="18"/>
              </w:rPr>
              <w:t>f)</w:t>
            </w:r>
            <w:r w:rsidRPr="00386CD6">
              <w:rPr>
                <w:szCs w:val="18"/>
              </w:rPr>
              <w:tab/>
              <w:t>Mise en œuvre de projets avec des organisations partenaires et des donateurs</w:t>
            </w:r>
            <w:bookmarkEnd w:id="186"/>
            <w:bookmarkEnd w:id="187"/>
          </w:p>
          <w:p w:rsidR="0083792B" w:rsidRPr="00386CD6" w:rsidRDefault="0083792B" w:rsidP="0085651C">
            <w:pPr>
              <w:rPr>
                <w:sz w:val="18"/>
                <w:szCs w:val="18"/>
              </w:rPr>
            </w:pPr>
            <w:r w:rsidRPr="00386CD6">
              <w:rPr>
                <w:sz w:val="18"/>
                <w:szCs w:val="18"/>
              </w:rPr>
              <w:t>Projet mondial sur les semences : deux réunions électroniques et deux réunions directes du Comité directeur</w:t>
            </w:r>
          </w:p>
        </w:tc>
      </w:tr>
    </w:tbl>
    <w:p w:rsidR="0083792B" w:rsidRPr="00386CD6" w:rsidRDefault="0083792B" w:rsidP="0085651C">
      <w:pPr>
        <w:pStyle w:val="Heading3"/>
        <w:rPr>
          <w:lang w:val="fr-FR"/>
        </w:rPr>
      </w:pPr>
      <w:bookmarkStart w:id="188" w:name="_Toc336339250"/>
      <w:bookmarkEnd w:id="177"/>
    </w:p>
    <w:p w:rsidR="0083792B" w:rsidRPr="00386CD6" w:rsidRDefault="0083792B" w:rsidP="0085651C">
      <w:pPr>
        <w:jc w:val="left"/>
        <w:rPr>
          <w:rFonts w:eastAsiaTheme="minorEastAsia"/>
          <w:b/>
          <w:caps/>
          <w:sz w:val="18"/>
        </w:rPr>
      </w:pPr>
      <w:r w:rsidRPr="00386CD6">
        <w:br w:type="page"/>
      </w:r>
    </w:p>
    <w:p w:rsidR="0083792B" w:rsidRPr="00386CD6" w:rsidRDefault="0083792B" w:rsidP="0085651C">
      <w:pPr>
        <w:pStyle w:val="Heading3"/>
        <w:rPr>
          <w:lang w:val="fr-FR"/>
        </w:rPr>
      </w:pPr>
      <w:bookmarkStart w:id="189" w:name="_Toc464487615"/>
      <w:bookmarkStart w:id="190" w:name="_Toc465100103"/>
      <w:bookmarkEnd w:id="188"/>
      <w:r w:rsidRPr="00386CD6">
        <w:rPr>
          <w:lang w:val="fr-FR"/>
        </w:rPr>
        <w:t>Sous</w:t>
      </w:r>
      <w:r w:rsidRPr="00386CD6">
        <w:rPr>
          <w:lang w:val="fr-FR"/>
        </w:rPr>
        <w:noBreakHyphen/>
        <w:t>programme UV.4 : Relations extérieures</w:t>
      </w:r>
      <w:bookmarkEnd w:id="189"/>
      <w:bookmarkEnd w:id="190"/>
    </w:p>
    <w:p w:rsidR="0083792B" w:rsidRPr="00386CD6" w:rsidRDefault="0083792B" w:rsidP="0085651C">
      <w:pPr>
        <w:rPr>
          <w:sz w:val="18"/>
          <w:szCs w:val="18"/>
        </w:rPr>
      </w:pPr>
    </w:p>
    <w:p w:rsidR="0083792B" w:rsidRPr="00D85B9A" w:rsidRDefault="0083792B" w:rsidP="0085651C">
      <w:pPr>
        <w:rPr>
          <w:sz w:val="18"/>
        </w:rPr>
      </w:pPr>
      <w:r w:rsidRPr="00D85B9A">
        <w:rPr>
          <w:sz w:val="18"/>
        </w:rPr>
        <w:t>L’UPOV a poursuivi sa collaboration avec un certain nombre d’organisations intergouvernementales et d’organisations non gouvernementales représentant des parties prenantes, y compris des obtenteurs, des agriculteurs et des producteurs, afin de mieux faire connaître le système de protection des obtentions végétales de l’UPOV et d’échanger des informations.  Le site Web de l’UPOV restait un outil important pour la diffusion des informations.  La publication périodique de communiqués de presse, y compris au sujet des éléments nouveaux survenus au sein du Conseil de l’UPOV, continuait aussi d’offrir un moyen très utile pour diffuser des informations à l’intention du grand public.</w:t>
      </w:r>
    </w:p>
    <w:p w:rsidR="0083792B" w:rsidRPr="00D85B9A" w:rsidRDefault="0083792B" w:rsidP="0085651C">
      <w:pPr>
        <w:rPr>
          <w:sz w:val="18"/>
        </w:rPr>
      </w:pPr>
    </w:p>
    <w:p w:rsidR="0083792B" w:rsidRPr="00D85B9A" w:rsidRDefault="0083792B" w:rsidP="0085651C">
      <w:pPr>
        <w:rPr>
          <w:sz w:val="18"/>
        </w:rPr>
      </w:pPr>
    </w:p>
    <w:tbl>
      <w:tblPr>
        <w:tblW w:w="9889" w:type="dxa"/>
        <w:tblLayout w:type="fixed"/>
        <w:tblLook w:val="0000" w:firstRow="0" w:lastRow="0" w:firstColumn="0" w:lastColumn="0" w:noHBand="0" w:noVBand="0"/>
      </w:tblPr>
      <w:tblGrid>
        <w:gridCol w:w="1809"/>
        <w:gridCol w:w="8080"/>
      </w:tblGrid>
      <w:tr w:rsidR="0083792B" w:rsidRPr="00386CD6" w:rsidTr="0085651C">
        <w:tc>
          <w:tcPr>
            <w:tcW w:w="1809" w:type="dxa"/>
          </w:tcPr>
          <w:p w:rsidR="0083792B" w:rsidRPr="00386CD6" w:rsidRDefault="0083792B" w:rsidP="0085651C">
            <w:pPr>
              <w:pStyle w:val="Heading5"/>
              <w:rPr>
                <w:lang w:val="fr-FR"/>
              </w:rPr>
            </w:pPr>
            <w:bookmarkStart w:id="191" w:name="_Toc464487616"/>
            <w:bookmarkStart w:id="192" w:name="_Toc465100104"/>
            <w:r w:rsidRPr="00386CD6">
              <w:rPr>
                <w:lang w:val="fr-FR"/>
              </w:rPr>
              <w:t>Objectifs :</w:t>
            </w:r>
            <w:bookmarkEnd w:id="191"/>
            <w:bookmarkEnd w:id="192"/>
          </w:p>
        </w:tc>
        <w:tc>
          <w:tcPr>
            <w:tcW w:w="8080" w:type="dxa"/>
          </w:tcPr>
          <w:p w:rsidR="0083792B" w:rsidRPr="00386CD6" w:rsidRDefault="0083792B" w:rsidP="0085651C">
            <w:pPr>
              <w:keepNext/>
              <w:keepLines/>
              <w:widowControl w:val="0"/>
              <w:numPr>
                <w:ilvl w:val="0"/>
                <w:numId w:val="2"/>
              </w:numPr>
              <w:jc w:val="left"/>
              <w:rPr>
                <w:sz w:val="18"/>
                <w:szCs w:val="18"/>
              </w:rPr>
            </w:pPr>
            <w:r w:rsidRPr="00386CD6">
              <w:rPr>
                <w:sz w:val="18"/>
                <w:szCs w:val="18"/>
              </w:rPr>
              <w:t>Élargir et renforcer la compréhension du système de l’UPOV de protection des obtentions végétales.</w:t>
            </w:r>
          </w:p>
          <w:p w:rsidR="0083792B" w:rsidRPr="00386CD6" w:rsidRDefault="0083792B" w:rsidP="0085651C">
            <w:pPr>
              <w:keepNext/>
              <w:keepLines/>
              <w:widowControl w:val="0"/>
              <w:numPr>
                <w:ilvl w:val="0"/>
                <w:numId w:val="2"/>
              </w:numPr>
              <w:jc w:val="left"/>
              <w:rPr>
                <w:sz w:val="18"/>
                <w:szCs w:val="18"/>
              </w:rPr>
            </w:pPr>
            <w:r w:rsidRPr="00386CD6">
              <w:rPr>
                <w:sz w:val="18"/>
                <w:szCs w:val="18"/>
              </w:rPr>
              <w:t>Fournir aux autres organisations intergouvernementales des informations sur la Convention UPOV, en vue d’assurer sa complémentarité avec les autres traités internationaux.</w:t>
            </w:r>
          </w:p>
          <w:p w:rsidR="0083792B" w:rsidRPr="00386CD6" w:rsidRDefault="0083792B" w:rsidP="0085651C">
            <w:pPr>
              <w:keepNext/>
              <w:keepLines/>
              <w:widowControl w:val="0"/>
              <w:numPr>
                <w:ilvl w:val="0"/>
                <w:numId w:val="2"/>
              </w:numPr>
              <w:jc w:val="left"/>
              <w:rPr>
                <w:sz w:val="18"/>
                <w:szCs w:val="18"/>
              </w:rPr>
            </w:pPr>
            <w:r w:rsidRPr="00386CD6">
              <w:rPr>
                <w:sz w:val="18"/>
                <w:szCs w:val="18"/>
              </w:rPr>
              <w:t>Informer les membres de l’Union des éléments nouveaux présentant un intérêt pour l’UPOV.</w:t>
            </w:r>
          </w:p>
        </w:tc>
      </w:tr>
    </w:tbl>
    <w:p w:rsidR="0083792B" w:rsidRPr="00386CD6" w:rsidRDefault="0083792B" w:rsidP="0085651C">
      <w:pPr>
        <w:rPr>
          <w:sz w:val="18"/>
          <w:szCs w:val="18"/>
        </w:rPr>
      </w:pPr>
    </w:p>
    <w:p w:rsidR="0083792B" w:rsidRPr="00386CD6" w:rsidRDefault="0083792B" w:rsidP="0085651C">
      <w:pPr>
        <w:rPr>
          <w:sz w:val="18"/>
          <w:szCs w:val="18"/>
        </w:rPr>
      </w:pPr>
    </w:p>
    <w:tbl>
      <w:tblPr>
        <w:tblW w:w="9889" w:type="dxa"/>
        <w:tblLayout w:type="fixed"/>
        <w:tblLook w:val="0000" w:firstRow="0" w:lastRow="0" w:firstColumn="0" w:lastColumn="0" w:noHBand="0" w:noVBand="0"/>
      </w:tblPr>
      <w:tblGrid>
        <w:gridCol w:w="1809"/>
        <w:gridCol w:w="8080"/>
      </w:tblGrid>
      <w:tr w:rsidR="0083792B" w:rsidRPr="00386CD6" w:rsidTr="0085651C">
        <w:trPr>
          <w:tblHeader/>
        </w:trPr>
        <w:tc>
          <w:tcPr>
            <w:tcW w:w="1809" w:type="dxa"/>
          </w:tcPr>
          <w:p w:rsidR="0083792B" w:rsidRPr="00386CD6" w:rsidRDefault="0083792B" w:rsidP="0085651C">
            <w:pPr>
              <w:pStyle w:val="Heading5"/>
              <w:rPr>
                <w:lang w:val="fr-FR"/>
              </w:rPr>
            </w:pPr>
            <w:bookmarkStart w:id="193" w:name="_Toc464487617"/>
            <w:bookmarkStart w:id="194" w:name="_Toc465100105"/>
            <w:r w:rsidRPr="00386CD6">
              <w:rPr>
                <w:lang w:val="fr-FR"/>
              </w:rPr>
              <w:t>Résultats escomptés</w:t>
            </w:r>
            <w:bookmarkEnd w:id="193"/>
            <w:bookmarkEnd w:id="194"/>
          </w:p>
        </w:tc>
        <w:tc>
          <w:tcPr>
            <w:tcW w:w="8080" w:type="dxa"/>
          </w:tcPr>
          <w:p w:rsidR="0083792B" w:rsidRPr="00386CD6" w:rsidRDefault="0083792B" w:rsidP="0085651C">
            <w:pPr>
              <w:pStyle w:val="Heading7"/>
            </w:pPr>
            <w:bookmarkStart w:id="195" w:name="_Toc464487618"/>
            <w:bookmarkStart w:id="196" w:name="_Toc465100106"/>
            <w:r w:rsidRPr="00386CD6">
              <w:t>Résultats obtenus : indicateurs d’exécution</w:t>
            </w:r>
            <w:bookmarkEnd w:id="195"/>
            <w:bookmarkEnd w:id="196"/>
          </w:p>
        </w:tc>
      </w:tr>
      <w:tr w:rsidR="0083792B" w:rsidRPr="00386CD6" w:rsidTr="0085651C">
        <w:tc>
          <w:tcPr>
            <w:tcW w:w="1809" w:type="dxa"/>
          </w:tcPr>
          <w:p w:rsidR="0083792B" w:rsidRPr="00386CD6" w:rsidRDefault="0083792B" w:rsidP="0022145A">
            <w:pPr>
              <w:pStyle w:val="Heading6"/>
              <w:tabs>
                <w:tab w:val="left" w:pos="299"/>
              </w:tabs>
            </w:pPr>
            <w:bookmarkStart w:id="197" w:name="_Toc464487619"/>
            <w:bookmarkStart w:id="198" w:name="_Toc465100107"/>
            <w:r w:rsidRPr="00386CD6">
              <w:t>1.</w:t>
            </w:r>
            <w:r w:rsidR="0022145A" w:rsidRPr="00386CD6">
              <w:tab/>
            </w:r>
            <w:r w:rsidRPr="00386CD6">
              <w:t>Meilleure connaissance par le public du rôle et des activités de l’UPOV</w:t>
            </w:r>
            <w:bookmarkEnd w:id="197"/>
            <w:bookmarkEnd w:id="198"/>
          </w:p>
        </w:tc>
        <w:tc>
          <w:tcPr>
            <w:tcW w:w="8080" w:type="dxa"/>
          </w:tcPr>
          <w:p w:rsidR="0083792B" w:rsidRPr="00386CD6" w:rsidRDefault="0083792B" w:rsidP="0022145A">
            <w:pPr>
              <w:pStyle w:val="Heading8"/>
              <w:tabs>
                <w:tab w:val="left" w:pos="449"/>
              </w:tabs>
            </w:pPr>
            <w:bookmarkStart w:id="199" w:name="_Toc464487620"/>
            <w:bookmarkStart w:id="200" w:name="_Toc465100108"/>
            <w:r w:rsidRPr="00386CD6">
              <w:t>a)</w:t>
            </w:r>
            <w:r w:rsidRPr="00386CD6">
              <w:tab/>
              <w:t>Mise à disposition sur le site Web de l’UPOV d’informations et de matériels à l’intention du grand public</w:t>
            </w:r>
            <w:bookmarkEnd w:id="199"/>
            <w:bookmarkEnd w:id="200"/>
          </w:p>
          <w:p w:rsidR="0083792B" w:rsidRPr="00386CD6" w:rsidRDefault="0083792B" w:rsidP="0085651C">
            <w:pPr>
              <w:ind w:right="459"/>
              <w:jc w:val="left"/>
              <w:rPr>
                <w:rFonts w:cs="Arial"/>
                <w:sz w:val="18"/>
                <w:szCs w:val="18"/>
              </w:rPr>
            </w:pPr>
            <w:r w:rsidRPr="00386CD6">
              <w:rPr>
                <w:rFonts w:cs="Arial"/>
                <w:sz w:val="18"/>
                <w:szCs w:val="18"/>
              </w:rPr>
              <w:t>Informations et matériels ajoutés au site Web en 2015 :</w:t>
            </w:r>
          </w:p>
          <w:p w:rsidR="0083792B" w:rsidRPr="00386CD6" w:rsidRDefault="0083792B" w:rsidP="0085651C">
            <w:pPr>
              <w:ind w:right="459"/>
              <w:jc w:val="left"/>
              <w:rPr>
                <w:rFonts w:cs="Arial"/>
                <w:sz w:val="18"/>
                <w:szCs w:val="18"/>
              </w:rPr>
            </w:pPr>
          </w:p>
          <w:p w:rsidR="0083792B" w:rsidRPr="00386CD6" w:rsidRDefault="0083792B" w:rsidP="0085651C">
            <w:pPr>
              <w:pStyle w:val="ListParagraph"/>
              <w:numPr>
                <w:ilvl w:val="0"/>
                <w:numId w:val="10"/>
              </w:numPr>
              <w:spacing w:after="120"/>
              <w:ind w:left="360"/>
              <w:contextualSpacing w:val="0"/>
              <w:rPr>
                <w:sz w:val="18"/>
                <w:szCs w:val="18"/>
              </w:rPr>
            </w:pPr>
            <w:r w:rsidRPr="00386CD6">
              <w:rPr>
                <w:sz w:val="18"/>
                <w:szCs w:val="18"/>
              </w:rPr>
              <w:t>Voir le sous</w:t>
            </w:r>
            <w:r w:rsidRPr="00386CD6">
              <w:rPr>
                <w:sz w:val="18"/>
                <w:szCs w:val="18"/>
              </w:rPr>
              <w:noBreakHyphen/>
              <w:t xml:space="preserve">programme UV.2, indicateur d’exécution “7.  </w:t>
            </w:r>
            <w:r w:rsidRPr="00386CD6">
              <w:rPr>
                <w:rFonts w:cs="Arial"/>
                <w:sz w:val="18"/>
                <w:szCs w:val="18"/>
              </w:rPr>
              <w:t>Fourniture d’informations sur la Convention UPOV à l’intention des parties prenantes (obtenteurs, agriculteurs, producteurs, vendeurs de semences, etc.)”, section </w:t>
            </w:r>
            <w:r w:rsidRPr="00386CD6">
              <w:rPr>
                <w:sz w:val="18"/>
                <w:szCs w:val="18"/>
              </w:rPr>
              <w:t>a)</w:t>
            </w:r>
          </w:p>
          <w:p w:rsidR="0083792B" w:rsidRPr="00386CD6" w:rsidRDefault="0083792B" w:rsidP="0085651C">
            <w:pPr>
              <w:pStyle w:val="ListParagraph"/>
              <w:numPr>
                <w:ilvl w:val="0"/>
                <w:numId w:val="10"/>
              </w:numPr>
              <w:spacing w:after="120"/>
              <w:ind w:left="360"/>
              <w:contextualSpacing w:val="0"/>
              <w:rPr>
                <w:rFonts w:cs="Arial"/>
                <w:sz w:val="18"/>
                <w:szCs w:val="18"/>
              </w:rPr>
            </w:pPr>
            <w:r w:rsidRPr="00386CD6">
              <w:rPr>
                <w:rFonts w:cs="Arial"/>
                <w:sz w:val="18"/>
                <w:szCs w:val="18"/>
              </w:rPr>
              <w:t>Cinq communiqués de presse</w:t>
            </w:r>
          </w:p>
          <w:p w:rsidR="0083792B" w:rsidRPr="00386CD6" w:rsidRDefault="0083792B" w:rsidP="0085651C">
            <w:pPr>
              <w:ind w:right="459"/>
              <w:jc w:val="left"/>
              <w:rPr>
                <w:rFonts w:cs="Arial"/>
                <w:sz w:val="18"/>
                <w:szCs w:val="18"/>
              </w:rPr>
            </w:pPr>
          </w:p>
          <w:p w:rsidR="0083792B" w:rsidRPr="00386CD6" w:rsidRDefault="0083792B" w:rsidP="0085651C">
            <w:pPr>
              <w:ind w:right="459"/>
              <w:jc w:val="left"/>
              <w:rPr>
                <w:rFonts w:cs="Arial"/>
                <w:sz w:val="18"/>
                <w:szCs w:val="18"/>
              </w:rPr>
            </w:pPr>
          </w:p>
          <w:p w:rsidR="0083792B" w:rsidRPr="00386CD6" w:rsidRDefault="0083792B" w:rsidP="0022145A">
            <w:pPr>
              <w:pStyle w:val="Heading8"/>
              <w:tabs>
                <w:tab w:val="left" w:pos="472"/>
              </w:tabs>
            </w:pPr>
            <w:bookmarkStart w:id="201" w:name="_Toc464487621"/>
            <w:bookmarkStart w:id="202" w:name="_Toc465100109"/>
            <w:r w:rsidRPr="00386CD6">
              <w:t>b)</w:t>
            </w:r>
            <w:r w:rsidRPr="00386CD6">
              <w:tab/>
              <w:t>Consultations du site Web</w:t>
            </w:r>
            <w:bookmarkEnd w:id="201"/>
            <w:bookmarkEnd w:id="202"/>
          </w:p>
        </w:tc>
      </w:tr>
    </w:tbl>
    <w:p w:rsidR="0083792B" w:rsidRPr="00386CD6" w:rsidRDefault="0083792B" w:rsidP="0085651C"/>
    <w:tbl>
      <w:tblPr>
        <w:tblStyle w:val="TableGrid"/>
        <w:tblW w:w="9471" w:type="dxa"/>
        <w:tblInd w:w="250" w:type="dxa"/>
        <w:tblLayout w:type="fixed"/>
        <w:tblLook w:val="04A0" w:firstRow="1" w:lastRow="0" w:firstColumn="1" w:lastColumn="0" w:noHBand="0" w:noVBand="1"/>
      </w:tblPr>
      <w:tblGrid>
        <w:gridCol w:w="2268"/>
        <w:gridCol w:w="1559"/>
        <w:gridCol w:w="1130"/>
        <w:gridCol w:w="1174"/>
        <w:gridCol w:w="1174"/>
        <w:gridCol w:w="1174"/>
        <w:gridCol w:w="992"/>
      </w:tblGrid>
      <w:tr w:rsidR="0083792B" w:rsidRPr="00386CD6" w:rsidTr="0085651C">
        <w:tc>
          <w:tcPr>
            <w:tcW w:w="2268" w:type="dxa"/>
            <w:tcMar>
              <w:top w:w="28" w:type="dxa"/>
              <w:bottom w:w="0" w:type="dxa"/>
            </w:tcMar>
          </w:tcPr>
          <w:p w:rsidR="0083792B" w:rsidRPr="00386CD6" w:rsidRDefault="0083792B" w:rsidP="0085651C">
            <w:pPr>
              <w:jc w:val="left"/>
              <w:rPr>
                <w:rFonts w:cs="Arial"/>
                <w:sz w:val="18"/>
                <w:szCs w:val="18"/>
              </w:rPr>
            </w:pPr>
          </w:p>
        </w:tc>
        <w:tc>
          <w:tcPr>
            <w:tcW w:w="1559" w:type="dxa"/>
          </w:tcPr>
          <w:p w:rsidR="0083792B" w:rsidRPr="00386CD6" w:rsidRDefault="0083792B" w:rsidP="0085651C">
            <w:pPr>
              <w:jc w:val="center"/>
              <w:rPr>
                <w:rFonts w:cs="Arial"/>
                <w:i/>
                <w:sz w:val="18"/>
                <w:szCs w:val="18"/>
              </w:rPr>
            </w:pPr>
            <w:r w:rsidRPr="00386CD6">
              <w:rPr>
                <w:rFonts w:cs="Arial"/>
                <w:i/>
                <w:sz w:val="18"/>
                <w:szCs w:val="18"/>
              </w:rPr>
              <w:t>Écart entre 2015 et 2014 (%)</w:t>
            </w:r>
          </w:p>
        </w:tc>
        <w:tc>
          <w:tcPr>
            <w:tcW w:w="1130" w:type="dxa"/>
          </w:tcPr>
          <w:p w:rsidR="0083792B" w:rsidRPr="00386CD6" w:rsidRDefault="0083792B" w:rsidP="0085651C">
            <w:pPr>
              <w:ind w:right="57"/>
              <w:jc w:val="center"/>
              <w:rPr>
                <w:rFonts w:cs="Arial"/>
                <w:i/>
                <w:sz w:val="18"/>
                <w:szCs w:val="18"/>
              </w:rPr>
            </w:pPr>
            <w:r w:rsidRPr="00386CD6">
              <w:rPr>
                <w:rFonts w:cs="Arial"/>
                <w:i/>
                <w:sz w:val="18"/>
                <w:szCs w:val="18"/>
              </w:rPr>
              <w:t>2015</w:t>
            </w:r>
          </w:p>
        </w:tc>
        <w:tc>
          <w:tcPr>
            <w:tcW w:w="1174" w:type="dxa"/>
          </w:tcPr>
          <w:p w:rsidR="0083792B" w:rsidRPr="00386CD6" w:rsidRDefault="0083792B" w:rsidP="0085651C">
            <w:pPr>
              <w:ind w:right="57"/>
              <w:jc w:val="center"/>
              <w:rPr>
                <w:rFonts w:cs="Arial"/>
                <w:i/>
                <w:sz w:val="18"/>
                <w:szCs w:val="18"/>
              </w:rPr>
            </w:pPr>
            <w:r w:rsidRPr="00386CD6">
              <w:rPr>
                <w:rFonts w:cs="Arial"/>
                <w:i/>
                <w:sz w:val="18"/>
                <w:szCs w:val="18"/>
              </w:rPr>
              <w:t>2014</w:t>
            </w:r>
          </w:p>
        </w:tc>
        <w:tc>
          <w:tcPr>
            <w:tcW w:w="1174" w:type="dxa"/>
          </w:tcPr>
          <w:p w:rsidR="0083792B" w:rsidRPr="00386CD6" w:rsidRDefault="0083792B" w:rsidP="0085651C">
            <w:pPr>
              <w:ind w:right="57"/>
              <w:jc w:val="center"/>
              <w:rPr>
                <w:rFonts w:cs="Arial"/>
                <w:i/>
                <w:sz w:val="18"/>
                <w:szCs w:val="18"/>
              </w:rPr>
            </w:pPr>
            <w:r w:rsidRPr="00386CD6">
              <w:rPr>
                <w:rFonts w:cs="Arial"/>
                <w:i/>
                <w:sz w:val="18"/>
                <w:szCs w:val="18"/>
              </w:rPr>
              <w:t>2013</w:t>
            </w:r>
          </w:p>
        </w:tc>
        <w:tc>
          <w:tcPr>
            <w:tcW w:w="1174" w:type="dxa"/>
          </w:tcPr>
          <w:p w:rsidR="0083792B" w:rsidRPr="00386CD6" w:rsidRDefault="0083792B" w:rsidP="0085651C">
            <w:pPr>
              <w:ind w:right="57"/>
              <w:jc w:val="center"/>
              <w:rPr>
                <w:rFonts w:cs="Arial"/>
                <w:i/>
                <w:sz w:val="18"/>
                <w:szCs w:val="18"/>
              </w:rPr>
            </w:pPr>
            <w:r w:rsidRPr="00386CD6">
              <w:rPr>
                <w:rFonts w:cs="Arial"/>
                <w:i/>
                <w:sz w:val="18"/>
                <w:szCs w:val="18"/>
              </w:rPr>
              <w:t>2012</w:t>
            </w:r>
          </w:p>
        </w:tc>
        <w:tc>
          <w:tcPr>
            <w:tcW w:w="992" w:type="dxa"/>
          </w:tcPr>
          <w:p w:rsidR="0083792B" w:rsidRPr="00386CD6" w:rsidRDefault="0083792B" w:rsidP="0085651C">
            <w:pPr>
              <w:ind w:right="57"/>
              <w:jc w:val="center"/>
              <w:rPr>
                <w:rFonts w:cs="Arial"/>
                <w:i/>
                <w:sz w:val="18"/>
                <w:szCs w:val="18"/>
              </w:rPr>
            </w:pPr>
            <w:r w:rsidRPr="00386CD6">
              <w:rPr>
                <w:rFonts w:cs="Arial"/>
                <w:i/>
                <w:sz w:val="18"/>
                <w:szCs w:val="18"/>
              </w:rPr>
              <w:t>2011</w:t>
            </w:r>
          </w:p>
        </w:tc>
      </w:tr>
      <w:tr w:rsidR="0083792B" w:rsidRPr="00386CD6" w:rsidTr="0085651C">
        <w:tc>
          <w:tcPr>
            <w:tcW w:w="2268" w:type="dxa"/>
            <w:tcMar>
              <w:top w:w="28" w:type="dxa"/>
              <w:bottom w:w="0" w:type="dxa"/>
            </w:tcMar>
          </w:tcPr>
          <w:p w:rsidR="0083792B" w:rsidRPr="00386CD6" w:rsidRDefault="0083792B" w:rsidP="0085651C">
            <w:pPr>
              <w:jc w:val="left"/>
              <w:rPr>
                <w:rFonts w:cs="Arial"/>
                <w:i/>
                <w:sz w:val="18"/>
                <w:szCs w:val="18"/>
              </w:rPr>
            </w:pPr>
            <w:r w:rsidRPr="00386CD6">
              <w:rPr>
                <w:rFonts w:cs="Arial"/>
                <w:i/>
                <w:sz w:val="18"/>
                <w:szCs w:val="18"/>
              </w:rPr>
              <w:t>Nombre de sessions</w:t>
            </w:r>
            <w:r w:rsidRPr="00386CD6">
              <w:rPr>
                <w:rFonts w:cs="Arial"/>
                <w:sz w:val="18"/>
                <w:szCs w:val="18"/>
              </w:rPr>
              <w:t> </w:t>
            </w:r>
            <w:r w:rsidRPr="00386CD6">
              <w:rPr>
                <w:sz w:val="18"/>
              </w:rPr>
              <w:t>:</w:t>
            </w:r>
            <w:r w:rsidRPr="00386CD6">
              <w:rPr>
                <w:rFonts w:cs="Arial"/>
                <w:i/>
                <w:sz w:val="18"/>
                <w:szCs w:val="18"/>
              </w:rPr>
              <w:t xml:space="preserve"> </w:t>
            </w:r>
          </w:p>
        </w:tc>
        <w:tc>
          <w:tcPr>
            <w:tcW w:w="1559" w:type="dxa"/>
          </w:tcPr>
          <w:p w:rsidR="0083792B" w:rsidRPr="00386CD6" w:rsidRDefault="0083792B" w:rsidP="0085651C">
            <w:pPr>
              <w:jc w:val="center"/>
              <w:rPr>
                <w:rFonts w:cs="Arial"/>
                <w:sz w:val="18"/>
                <w:szCs w:val="18"/>
              </w:rPr>
            </w:pPr>
            <w:r w:rsidRPr="00386CD6">
              <w:rPr>
                <w:rFonts w:cs="Arial"/>
                <w:sz w:val="18"/>
                <w:szCs w:val="18"/>
              </w:rPr>
              <w:t>+2,36%</w:t>
            </w:r>
          </w:p>
        </w:tc>
        <w:tc>
          <w:tcPr>
            <w:tcW w:w="1130" w:type="dxa"/>
          </w:tcPr>
          <w:p w:rsidR="0083792B" w:rsidRPr="00386CD6" w:rsidRDefault="0083792B" w:rsidP="0085651C">
            <w:pPr>
              <w:ind w:right="57"/>
              <w:jc w:val="right"/>
              <w:rPr>
                <w:rFonts w:cs="Arial"/>
                <w:sz w:val="18"/>
                <w:szCs w:val="18"/>
              </w:rPr>
            </w:pPr>
            <w:r w:rsidRPr="00386CD6">
              <w:rPr>
                <w:rFonts w:cs="Arial"/>
                <w:sz w:val="18"/>
                <w:szCs w:val="18"/>
              </w:rPr>
              <w:t>191 534</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187 125</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178 732</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151 914</w:t>
            </w:r>
          </w:p>
        </w:tc>
        <w:tc>
          <w:tcPr>
            <w:tcW w:w="992" w:type="dxa"/>
          </w:tcPr>
          <w:p w:rsidR="0083792B" w:rsidRPr="00386CD6" w:rsidRDefault="0083792B" w:rsidP="0085651C">
            <w:pPr>
              <w:ind w:right="57"/>
              <w:jc w:val="right"/>
              <w:rPr>
                <w:rFonts w:cs="Arial"/>
                <w:sz w:val="18"/>
                <w:szCs w:val="18"/>
              </w:rPr>
            </w:pPr>
            <w:r w:rsidRPr="00386CD6">
              <w:rPr>
                <w:rFonts w:cs="Arial"/>
                <w:sz w:val="18"/>
                <w:szCs w:val="18"/>
              </w:rPr>
              <w:t>140 371</w:t>
            </w:r>
          </w:p>
        </w:tc>
      </w:tr>
      <w:tr w:rsidR="0083792B" w:rsidRPr="00386CD6" w:rsidTr="0085651C">
        <w:tc>
          <w:tcPr>
            <w:tcW w:w="2268" w:type="dxa"/>
            <w:tcMar>
              <w:top w:w="28" w:type="dxa"/>
              <w:bottom w:w="0" w:type="dxa"/>
            </w:tcMar>
          </w:tcPr>
          <w:p w:rsidR="0083792B" w:rsidRPr="00386CD6" w:rsidRDefault="0083792B" w:rsidP="0085651C">
            <w:pPr>
              <w:jc w:val="left"/>
              <w:rPr>
                <w:rFonts w:cs="Arial"/>
                <w:i/>
                <w:sz w:val="18"/>
                <w:szCs w:val="18"/>
              </w:rPr>
            </w:pPr>
            <w:r w:rsidRPr="00386CD6">
              <w:rPr>
                <w:rFonts w:cs="Arial"/>
                <w:i/>
                <w:sz w:val="18"/>
                <w:szCs w:val="18"/>
              </w:rPr>
              <w:t>Utilisateurs ponctuels</w:t>
            </w:r>
            <w:r w:rsidRPr="00386CD6">
              <w:rPr>
                <w:rFonts w:cs="Arial"/>
                <w:sz w:val="18"/>
                <w:szCs w:val="18"/>
              </w:rPr>
              <w:t> </w:t>
            </w:r>
            <w:r w:rsidRPr="00386CD6">
              <w:rPr>
                <w:sz w:val="18"/>
              </w:rPr>
              <w:t>:</w:t>
            </w:r>
          </w:p>
        </w:tc>
        <w:tc>
          <w:tcPr>
            <w:tcW w:w="1559" w:type="dxa"/>
          </w:tcPr>
          <w:p w:rsidR="0083792B" w:rsidRPr="00386CD6" w:rsidRDefault="0083792B" w:rsidP="0085651C">
            <w:pPr>
              <w:jc w:val="center"/>
              <w:rPr>
                <w:rFonts w:cs="Arial"/>
                <w:sz w:val="18"/>
                <w:szCs w:val="18"/>
              </w:rPr>
            </w:pPr>
            <w:r w:rsidRPr="00386CD6">
              <w:rPr>
                <w:rFonts w:cs="Arial"/>
                <w:sz w:val="18"/>
                <w:szCs w:val="18"/>
              </w:rPr>
              <w:t>+0,09%</w:t>
            </w:r>
          </w:p>
        </w:tc>
        <w:tc>
          <w:tcPr>
            <w:tcW w:w="1130" w:type="dxa"/>
          </w:tcPr>
          <w:p w:rsidR="0083792B" w:rsidRPr="00386CD6" w:rsidRDefault="0083792B" w:rsidP="0085651C">
            <w:pPr>
              <w:ind w:right="57"/>
              <w:jc w:val="right"/>
              <w:rPr>
                <w:rFonts w:cs="Arial"/>
                <w:sz w:val="18"/>
                <w:szCs w:val="18"/>
              </w:rPr>
            </w:pPr>
            <w:r w:rsidRPr="00386CD6">
              <w:rPr>
                <w:rFonts w:cs="Arial"/>
                <w:sz w:val="18"/>
                <w:szCs w:val="18"/>
              </w:rPr>
              <w:t>86 366</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86 291</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84 336</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71 506</w:t>
            </w:r>
          </w:p>
        </w:tc>
        <w:tc>
          <w:tcPr>
            <w:tcW w:w="992" w:type="dxa"/>
          </w:tcPr>
          <w:p w:rsidR="0083792B" w:rsidRPr="00386CD6" w:rsidRDefault="0083792B" w:rsidP="0085651C">
            <w:pPr>
              <w:ind w:right="57"/>
              <w:jc w:val="right"/>
              <w:rPr>
                <w:rFonts w:cs="Arial"/>
                <w:sz w:val="18"/>
                <w:szCs w:val="18"/>
              </w:rPr>
            </w:pPr>
            <w:r w:rsidRPr="00386CD6">
              <w:rPr>
                <w:rFonts w:cs="Arial"/>
                <w:sz w:val="18"/>
                <w:szCs w:val="18"/>
              </w:rPr>
              <w:t>75 673</w:t>
            </w:r>
          </w:p>
        </w:tc>
      </w:tr>
      <w:tr w:rsidR="0083792B" w:rsidRPr="00386CD6" w:rsidTr="0085651C">
        <w:tc>
          <w:tcPr>
            <w:tcW w:w="2268" w:type="dxa"/>
            <w:tcMar>
              <w:top w:w="28" w:type="dxa"/>
              <w:bottom w:w="0" w:type="dxa"/>
            </w:tcMar>
          </w:tcPr>
          <w:p w:rsidR="0083792B" w:rsidRPr="00386CD6" w:rsidRDefault="0083792B" w:rsidP="0085651C">
            <w:pPr>
              <w:jc w:val="left"/>
              <w:rPr>
                <w:rFonts w:cs="Arial"/>
                <w:i/>
                <w:sz w:val="18"/>
                <w:szCs w:val="18"/>
              </w:rPr>
            </w:pPr>
            <w:r w:rsidRPr="00386CD6">
              <w:rPr>
                <w:rFonts w:cs="Arial"/>
                <w:i/>
                <w:sz w:val="18"/>
                <w:szCs w:val="18"/>
              </w:rPr>
              <w:t>Nombre de consultations de pages</w:t>
            </w:r>
            <w:r w:rsidRPr="00386CD6">
              <w:rPr>
                <w:rFonts w:cs="Arial"/>
                <w:sz w:val="18"/>
                <w:szCs w:val="18"/>
              </w:rPr>
              <w:t> </w:t>
            </w:r>
            <w:r w:rsidRPr="00386CD6">
              <w:rPr>
                <w:sz w:val="18"/>
              </w:rPr>
              <w:t>:</w:t>
            </w:r>
          </w:p>
        </w:tc>
        <w:tc>
          <w:tcPr>
            <w:tcW w:w="1559" w:type="dxa"/>
          </w:tcPr>
          <w:p w:rsidR="0083792B" w:rsidRPr="00386CD6" w:rsidRDefault="0083792B" w:rsidP="0085651C">
            <w:pPr>
              <w:jc w:val="center"/>
              <w:rPr>
                <w:rFonts w:cs="Arial"/>
                <w:sz w:val="18"/>
                <w:szCs w:val="18"/>
              </w:rPr>
            </w:pPr>
            <w:r w:rsidRPr="00386CD6">
              <w:rPr>
                <w:rFonts w:cs="Arial"/>
                <w:sz w:val="18"/>
                <w:szCs w:val="18"/>
              </w:rPr>
              <w:noBreakHyphen/>
              <w:t>3,58%</w:t>
            </w:r>
          </w:p>
        </w:tc>
        <w:tc>
          <w:tcPr>
            <w:tcW w:w="1130" w:type="dxa"/>
          </w:tcPr>
          <w:p w:rsidR="0083792B" w:rsidRPr="00386CD6" w:rsidRDefault="0083792B" w:rsidP="0085651C">
            <w:pPr>
              <w:ind w:right="57"/>
              <w:jc w:val="right"/>
              <w:rPr>
                <w:rFonts w:cs="Arial"/>
                <w:sz w:val="18"/>
                <w:szCs w:val="18"/>
              </w:rPr>
            </w:pPr>
            <w:r w:rsidRPr="00386CD6">
              <w:rPr>
                <w:rFonts w:cs="Arial"/>
                <w:sz w:val="18"/>
                <w:szCs w:val="18"/>
              </w:rPr>
              <w:t>1 087 382</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1 127 786</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1 129 052</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1 139 570</w:t>
            </w:r>
          </w:p>
        </w:tc>
        <w:tc>
          <w:tcPr>
            <w:tcW w:w="992" w:type="dxa"/>
          </w:tcPr>
          <w:p w:rsidR="0083792B" w:rsidRPr="00386CD6" w:rsidRDefault="0083792B" w:rsidP="0085651C">
            <w:pPr>
              <w:ind w:right="57"/>
              <w:jc w:val="right"/>
              <w:rPr>
                <w:rFonts w:cs="Arial"/>
                <w:sz w:val="18"/>
                <w:szCs w:val="18"/>
              </w:rPr>
            </w:pPr>
            <w:r w:rsidRPr="00386CD6">
              <w:rPr>
                <w:rFonts w:cs="Arial"/>
                <w:sz w:val="18"/>
                <w:szCs w:val="18"/>
              </w:rPr>
              <w:t>798 942</w:t>
            </w:r>
          </w:p>
        </w:tc>
      </w:tr>
      <w:tr w:rsidR="0083792B" w:rsidRPr="00386CD6" w:rsidTr="0085651C">
        <w:tc>
          <w:tcPr>
            <w:tcW w:w="2268" w:type="dxa"/>
            <w:tcMar>
              <w:top w:w="28" w:type="dxa"/>
              <w:bottom w:w="0" w:type="dxa"/>
            </w:tcMar>
          </w:tcPr>
          <w:p w:rsidR="0083792B" w:rsidRPr="00386CD6" w:rsidRDefault="0083792B" w:rsidP="0085651C">
            <w:pPr>
              <w:jc w:val="left"/>
              <w:rPr>
                <w:rFonts w:cs="Arial"/>
                <w:i/>
                <w:sz w:val="18"/>
                <w:szCs w:val="18"/>
              </w:rPr>
            </w:pPr>
            <w:r w:rsidRPr="00386CD6">
              <w:rPr>
                <w:rFonts w:cs="Arial"/>
                <w:i/>
                <w:sz w:val="18"/>
                <w:szCs w:val="18"/>
              </w:rPr>
              <w:t>Nombre de pages/visite</w:t>
            </w:r>
            <w:r w:rsidRPr="00386CD6">
              <w:rPr>
                <w:rFonts w:cs="Arial"/>
                <w:sz w:val="18"/>
                <w:szCs w:val="18"/>
              </w:rPr>
              <w:t> </w:t>
            </w:r>
            <w:r w:rsidRPr="00386CD6">
              <w:rPr>
                <w:sz w:val="18"/>
              </w:rPr>
              <w:t>:</w:t>
            </w:r>
          </w:p>
        </w:tc>
        <w:tc>
          <w:tcPr>
            <w:tcW w:w="1559" w:type="dxa"/>
          </w:tcPr>
          <w:p w:rsidR="0083792B" w:rsidRPr="00386CD6" w:rsidRDefault="0083792B" w:rsidP="0085651C">
            <w:pPr>
              <w:jc w:val="center"/>
              <w:rPr>
                <w:rFonts w:cs="Arial"/>
                <w:sz w:val="18"/>
                <w:szCs w:val="18"/>
              </w:rPr>
            </w:pPr>
            <w:r w:rsidRPr="00386CD6">
              <w:rPr>
                <w:rFonts w:cs="Arial"/>
                <w:sz w:val="18"/>
                <w:szCs w:val="18"/>
              </w:rPr>
              <w:noBreakHyphen/>
              <w:t>5,80%</w:t>
            </w:r>
          </w:p>
        </w:tc>
        <w:tc>
          <w:tcPr>
            <w:tcW w:w="1130" w:type="dxa"/>
          </w:tcPr>
          <w:p w:rsidR="0083792B" w:rsidRPr="00386CD6" w:rsidRDefault="0083792B" w:rsidP="0085651C">
            <w:pPr>
              <w:ind w:right="57"/>
              <w:jc w:val="right"/>
              <w:rPr>
                <w:rFonts w:cs="Arial"/>
                <w:sz w:val="18"/>
                <w:szCs w:val="18"/>
              </w:rPr>
            </w:pPr>
            <w:r w:rsidRPr="00386CD6">
              <w:rPr>
                <w:rFonts w:cs="Arial"/>
                <w:sz w:val="18"/>
                <w:szCs w:val="18"/>
              </w:rPr>
              <w:t>5,68</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6,03</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6,32</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7,50</w:t>
            </w:r>
          </w:p>
        </w:tc>
        <w:tc>
          <w:tcPr>
            <w:tcW w:w="992" w:type="dxa"/>
          </w:tcPr>
          <w:p w:rsidR="0083792B" w:rsidRPr="00386CD6" w:rsidRDefault="0083792B" w:rsidP="0085651C">
            <w:pPr>
              <w:ind w:right="57"/>
              <w:jc w:val="right"/>
              <w:rPr>
                <w:rFonts w:cs="Arial"/>
                <w:sz w:val="18"/>
                <w:szCs w:val="18"/>
              </w:rPr>
            </w:pPr>
            <w:r w:rsidRPr="00386CD6">
              <w:rPr>
                <w:rFonts w:cs="Arial"/>
                <w:sz w:val="18"/>
                <w:szCs w:val="18"/>
              </w:rPr>
              <w:t>5,69</w:t>
            </w:r>
          </w:p>
        </w:tc>
      </w:tr>
      <w:tr w:rsidR="0083792B" w:rsidRPr="00386CD6" w:rsidTr="0085651C">
        <w:tc>
          <w:tcPr>
            <w:tcW w:w="2268" w:type="dxa"/>
            <w:tcMar>
              <w:top w:w="28" w:type="dxa"/>
              <w:bottom w:w="0" w:type="dxa"/>
            </w:tcMar>
          </w:tcPr>
          <w:p w:rsidR="0083792B" w:rsidRPr="00386CD6" w:rsidRDefault="0083792B" w:rsidP="0085651C">
            <w:pPr>
              <w:jc w:val="left"/>
              <w:rPr>
                <w:rFonts w:cs="Arial"/>
                <w:i/>
                <w:sz w:val="18"/>
                <w:szCs w:val="18"/>
              </w:rPr>
            </w:pPr>
            <w:r w:rsidRPr="00386CD6">
              <w:rPr>
                <w:rFonts w:cs="Arial"/>
                <w:i/>
                <w:sz w:val="18"/>
                <w:szCs w:val="18"/>
              </w:rPr>
              <w:t>Durée moyenne des consultations</w:t>
            </w:r>
            <w:r w:rsidRPr="00386CD6">
              <w:rPr>
                <w:rFonts w:cs="Arial"/>
                <w:sz w:val="18"/>
                <w:szCs w:val="18"/>
              </w:rPr>
              <w:t> </w:t>
            </w:r>
            <w:r w:rsidRPr="00386CD6">
              <w:rPr>
                <w:sz w:val="18"/>
              </w:rPr>
              <w:t>:</w:t>
            </w:r>
          </w:p>
        </w:tc>
        <w:tc>
          <w:tcPr>
            <w:tcW w:w="1559" w:type="dxa"/>
          </w:tcPr>
          <w:p w:rsidR="0083792B" w:rsidRPr="00386CD6" w:rsidRDefault="0083792B" w:rsidP="0085651C">
            <w:pPr>
              <w:jc w:val="center"/>
              <w:rPr>
                <w:rFonts w:cs="Arial"/>
                <w:sz w:val="18"/>
                <w:szCs w:val="18"/>
              </w:rPr>
            </w:pPr>
            <w:r w:rsidRPr="00386CD6">
              <w:rPr>
                <w:rFonts w:cs="Arial"/>
                <w:sz w:val="18"/>
                <w:szCs w:val="18"/>
              </w:rPr>
              <w:noBreakHyphen/>
              <w:t>12,50%</w:t>
            </w:r>
          </w:p>
        </w:tc>
        <w:tc>
          <w:tcPr>
            <w:tcW w:w="1130" w:type="dxa"/>
          </w:tcPr>
          <w:p w:rsidR="0083792B" w:rsidRPr="00386CD6" w:rsidRDefault="0083792B" w:rsidP="0085651C">
            <w:pPr>
              <w:ind w:right="57"/>
              <w:jc w:val="right"/>
              <w:rPr>
                <w:rFonts w:cs="Arial"/>
                <w:sz w:val="18"/>
                <w:szCs w:val="18"/>
              </w:rPr>
            </w:pPr>
            <w:r w:rsidRPr="00386CD6">
              <w:rPr>
                <w:rFonts w:cs="Arial"/>
                <w:sz w:val="18"/>
                <w:szCs w:val="18"/>
              </w:rPr>
              <w:t>00:05:15</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00:06:00</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00:06:35</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00:07:19</w:t>
            </w:r>
          </w:p>
        </w:tc>
        <w:tc>
          <w:tcPr>
            <w:tcW w:w="992" w:type="dxa"/>
          </w:tcPr>
          <w:p w:rsidR="0083792B" w:rsidRPr="00386CD6" w:rsidRDefault="0083792B" w:rsidP="0085651C">
            <w:pPr>
              <w:ind w:right="57"/>
              <w:jc w:val="right"/>
              <w:rPr>
                <w:rFonts w:cs="Arial"/>
                <w:sz w:val="18"/>
                <w:szCs w:val="18"/>
              </w:rPr>
            </w:pPr>
            <w:r w:rsidRPr="00386CD6">
              <w:rPr>
                <w:rFonts w:cs="Arial"/>
                <w:sz w:val="18"/>
                <w:szCs w:val="18"/>
              </w:rPr>
              <w:t>00:04:41</w:t>
            </w:r>
          </w:p>
        </w:tc>
      </w:tr>
      <w:tr w:rsidR="0083792B" w:rsidRPr="00386CD6" w:rsidTr="0085651C">
        <w:tc>
          <w:tcPr>
            <w:tcW w:w="2268" w:type="dxa"/>
            <w:tcMar>
              <w:top w:w="28" w:type="dxa"/>
              <w:bottom w:w="0" w:type="dxa"/>
            </w:tcMar>
          </w:tcPr>
          <w:p w:rsidR="0083792B" w:rsidRPr="00386CD6" w:rsidRDefault="0083792B" w:rsidP="0085651C">
            <w:pPr>
              <w:jc w:val="left"/>
              <w:rPr>
                <w:rFonts w:cs="Arial"/>
                <w:i/>
                <w:sz w:val="18"/>
                <w:szCs w:val="18"/>
              </w:rPr>
            </w:pPr>
            <w:r w:rsidRPr="00386CD6">
              <w:rPr>
                <w:rFonts w:cs="Arial"/>
                <w:i/>
                <w:sz w:val="18"/>
                <w:szCs w:val="18"/>
              </w:rPr>
              <w:t>Pourcentage de nouvelles consultations</w:t>
            </w:r>
            <w:r w:rsidRPr="00386CD6">
              <w:rPr>
                <w:rFonts w:cs="Arial"/>
                <w:sz w:val="18"/>
                <w:szCs w:val="18"/>
              </w:rPr>
              <w:t> </w:t>
            </w:r>
            <w:r w:rsidRPr="00386CD6">
              <w:rPr>
                <w:sz w:val="18"/>
              </w:rPr>
              <w:t>:</w:t>
            </w:r>
          </w:p>
        </w:tc>
        <w:tc>
          <w:tcPr>
            <w:tcW w:w="1559" w:type="dxa"/>
          </w:tcPr>
          <w:p w:rsidR="0083792B" w:rsidRPr="00386CD6" w:rsidRDefault="0083792B" w:rsidP="0085651C">
            <w:pPr>
              <w:jc w:val="center"/>
              <w:rPr>
                <w:rFonts w:cs="Arial"/>
                <w:sz w:val="18"/>
                <w:szCs w:val="18"/>
              </w:rPr>
            </w:pPr>
            <w:r w:rsidRPr="00386CD6">
              <w:rPr>
                <w:rFonts w:cs="Arial"/>
                <w:sz w:val="18"/>
                <w:szCs w:val="18"/>
              </w:rPr>
              <w:noBreakHyphen/>
              <w:t>2,22%</w:t>
            </w:r>
          </w:p>
        </w:tc>
        <w:tc>
          <w:tcPr>
            <w:tcW w:w="1130" w:type="dxa"/>
          </w:tcPr>
          <w:p w:rsidR="0083792B" w:rsidRPr="00386CD6" w:rsidRDefault="0083792B" w:rsidP="0085651C">
            <w:pPr>
              <w:ind w:right="57"/>
              <w:jc w:val="right"/>
              <w:rPr>
                <w:rFonts w:cs="Arial"/>
                <w:sz w:val="18"/>
                <w:szCs w:val="18"/>
              </w:rPr>
            </w:pPr>
            <w:r w:rsidRPr="00386CD6">
              <w:rPr>
                <w:rFonts w:cs="Arial"/>
                <w:sz w:val="18"/>
                <w:szCs w:val="18"/>
              </w:rPr>
              <w:t>43,21%</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44,19%</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54,6%</w:t>
            </w:r>
          </w:p>
        </w:tc>
        <w:tc>
          <w:tcPr>
            <w:tcW w:w="1174" w:type="dxa"/>
          </w:tcPr>
          <w:p w:rsidR="0083792B" w:rsidRPr="00386CD6" w:rsidRDefault="0083792B" w:rsidP="0085651C">
            <w:pPr>
              <w:ind w:right="57"/>
              <w:jc w:val="right"/>
              <w:rPr>
                <w:rFonts w:cs="Arial"/>
                <w:sz w:val="18"/>
                <w:szCs w:val="18"/>
              </w:rPr>
            </w:pPr>
            <w:r w:rsidRPr="00386CD6">
              <w:rPr>
                <w:rFonts w:cs="Arial"/>
                <w:sz w:val="18"/>
                <w:szCs w:val="18"/>
              </w:rPr>
              <w:t>45,05%</w:t>
            </w:r>
          </w:p>
        </w:tc>
        <w:tc>
          <w:tcPr>
            <w:tcW w:w="992" w:type="dxa"/>
          </w:tcPr>
          <w:p w:rsidR="0083792B" w:rsidRPr="00386CD6" w:rsidRDefault="0083792B" w:rsidP="0085651C">
            <w:pPr>
              <w:ind w:right="57"/>
              <w:jc w:val="right"/>
              <w:rPr>
                <w:rFonts w:cs="Arial"/>
                <w:sz w:val="18"/>
                <w:szCs w:val="18"/>
              </w:rPr>
            </w:pPr>
            <w:r w:rsidRPr="00386CD6">
              <w:rPr>
                <w:rFonts w:cs="Arial"/>
                <w:sz w:val="18"/>
                <w:szCs w:val="18"/>
              </w:rPr>
              <w:t>51,91%</w:t>
            </w:r>
          </w:p>
        </w:tc>
      </w:tr>
    </w:tbl>
    <w:p w:rsidR="0083792B" w:rsidRPr="00386CD6" w:rsidRDefault="0083792B" w:rsidP="0085651C"/>
    <w:p w:rsidR="0083792B" w:rsidRPr="00386CD6" w:rsidRDefault="0083792B" w:rsidP="0085651C"/>
    <w:tbl>
      <w:tblPr>
        <w:tblW w:w="9889" w:type="dxa"/>
        <w:tblLayout w:type="fixed"/>
        <w:tblLook w:val="0000" w:firstRow="0" w:lastRow="0" w:firstColumn="0" w:lastColumn="0" w:noHBand="0" w:noVBand="0"/>
      </w:tblPr>
      <w:tblGrid>
        <w:gridCol w:w="1809"/>
        <w:gridCol w:w="4040"/>
        <w:gridCol w:w="4040"/>
      </w:tblGrid>
      <w:tr w:rsidR="0083792B" w:rsidRPr="00386CD6" w:rsidTr="0085651C">
        <w:tc>
          <w:tcPr>
            <w:tcW w:w="1809" w:type="dxa"/>
          </w:tcPr>
          <w:p w:rsidR="0083792B" w:rsidRPr="00386CD6" w:rsidRDefault="0083792B" w:rsidP="0085651C">
            <w:pPr>
              <w:pStyle w:val="Heading6"/>
            </w:pPr>
          </w:p>
        </w:tc>
        <w:tc>
          <w:tcPr>
            <w:tcW w:w="4040" w:type="dxa"/>
          </w:tcPr>
          <w:p w:rsidR="0083792B" w:rsidRPr="00386CD6" w:rsidRDefault="0083792B" w:rsidP="0085651C">
            <w:pPr>
              <w:pStyle w:val="Heading8"/>
            </w:pPr>
            <w:bookmarkStart w:id="203" w:name="_Toc464487622"/>
            <w:bookmarkStart w:id="204" w:name="_Toc465100110"/>
            <w:r w:rsidRPr="00386CD6">
              <w:t>Consultation du site Web dans le monde</w:t>
            </w:r>
            <w:bookmarkEnd w:id="203"/>
            <w:bookmarkEnd w:id="204"/>
          </w:p>
          <w:p w:rsidR="0083792B" w:rsidRPr="00386CD6" w:rsidRDefault="0083792B" w:rsidP="0085651C">
            <w:pPr>
              <w:pStyle w:val="Default"/>
              <w:rPr>
                <w:b/>
                <w:bCs/>
                <w:color w:val="auto"/>
                <w:sz w:val="18"/>
                <w:szCs w:val="18"/>
                <w:lang w:val="fr-FR"/>
              </w:rPr>
            </w:pPr>
            <w:r w:rsidRPr="00386CD6">
              <w:rPr>
                <w:noProof/>
                <w:color w:val="auto"/>
              </w:rPr>
              <w:drawing>
                <wp:inline distT="0" distB="0" distL="0" distR="0" wp14:anchorId="377AA621" wp14:editId="77441867">
                  <wp:extent cx="2458529" cy="154290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56857" cy="1541855"/>
                          </a:xfrm>
                          <a:prstGeom prst="rect">
                            <a:avLst/>
                          </a:prstGeom>
                        </pic:spPr>
                      </pic:pic>
                    </a:graphicData>
                  </a:graphic>
                </wp:inline>
              </w:drawing>
            </w:r>
          </w:p>
          <w:p w:rsidR="0083792B" w:rsidRPr="00386CD6" w:rsidRDefault="0083792B" w:rsidP="0085651C">
            <w:pPr>
              <w:pStyle w:val="Default"/>
              <w:rPr>
                <w:color w:val="auto"/>
                <w:sz w:val="18"/>
                <w:szCs w:val="18"/>
                <w:lang w:val="fr-FR"/>
              </w:rPr>
            </w:pPr>
          </w:p>
        </w:tc>
        <w:tc>
          <w:tcPr>
            <w:tcW w:w="4040" w:type="dxa"/>
          </w:tcPr>
          <w:p w:rsidR="0083792B" w:rsidRPr="00386CD6" w:rsidRDefault="0083792B" w:rsidP="0085651C">
            <w:pPr>
              <w:pStyle w:val="Default"/>
              <w:rPr>
                <w:b/>
                <w:bCs/>
                <w:color w:val="auto"/>
                <w:sz w:val="18"/>
                <w:szCs w:val="18"/>
                <w:lang w:val="fr-FR"/>
              </w:rPr>
            </w:pPr>
            <w:r w:rsidRPr="00386CD6">
              <w:rPr>
                <w:b/>
                <w:bCs/>
                <w:color w:val="auto"/>
                <w:sz w:val="18"/>
                <w:szCs w:val="18"/>
                <w:lang w:val="fr-FR"/>
              </w:rPr>
              <w:t>Sessions par pays :</w:t>
            </w:r>
          </w:p>
          <w:p w:rsidR="0083792B" w:rsidRPr="00386CD6" w:rsidRDefault="0083792B" w:rsidP="0085651C">
            <w:pPr>
              <w:pStyle w:val="Default"/>
              <w:rPr>
                <w:color w:val="auto"/>
                <w:sz w:val="18"/>
                <w:szCs w:val="18"/>
                <w:lang w:val="fr-FR"/>
              </w:rPr>
            </w:pPr>
          </w:p>
          <w:p w:rsidR="0083792B" w:rsidRPr="00386CD6" w:rsidRDefault="0083792B" w:rsidP="0085651C">
            <w:pPr>
              <w:pStyle w:val="Default"/>
              <w:rPr>
                <w:color w:val="auto"/>
                <w:sz w:val="18"/>
                <w:szCs w:val="18"/>
                <w:lang w:val="fr-FR"/>
              </w:rPr>
            </w:pPr>
          </w:p>
          <w:p w:rsidR="0083792B" w:rsidRPr="00386CD6" w:rsidRDefault="0022145A" w:rsidP="0085651C">
            <w:pPr>
              <w:pStyle w:val="Default"/>
              <w:tabs>
                <w:tab w:val="left" w:pos="490"/>
                <w:tab w:val="left" w:pos="2906"/>
              </w:tabs>
              <w:rPr>
                <w:color w:val="auto"/>
                <w:sz w:val="18"/>
                <w:szCs w:val="18"/>
                <w:lang w:val="fr-FR"/>
              </w:rPr>
            </w:pPr>
            <w:r w:rsidRPr="00386CD6">
              <w:rPr>
                <w:color w:val="auto"/>
                <w:sz w:val="18"/>
                <w:szCs w:val="18"/>
                <w:lang w:val="fr-FR"/>
              </w:rPr>
              <w:t>1.</w:t>
            </w:r>
            <w:r w:rsidR="0083792B" w:rsidRPr="00386CD6">
              <w:rPr>
                <w:color w:val="auto"/>
                <w:sz w:val="18"/>
                <w:szCs w:val="18"/>
                <w:lang w:val="fr-FR"/>
              </w:rPr>
              <w:tab/>
              <w:t>Suisse</w:t>
            </w:r>
            <w:r w:rsidR="0083792B" w:rsidRPr="00386CD6">
              <w:rPr>
                <w:color w:val="auto"/>
                <w:sz w:val="18"/>
                <w:szCs w:val="18"/>
                <w:lang w:val="fr-FR"/>
              </w:rPr>
              <w:tab/>
              <w:t>(8,05%)</w:t>
            </w:r>
          </w:p>
          <w:p w:rsidR="0083792B" w:rsidRPr="00386CD6" w:rsidRDefault="0022145A" w:rsidP="0085651C">
            <w:pPr>
              <w:pStyle w:val="Default"/>
              <w:tabs>
                <w:tab w:val="left" w:pos="490"/>
                <w:tab w:val="left" w:pos="2906"/>
              </w:tabs>
              <w:rPr>
                <w:color w:val="auto"/>
                <w:sz w:val="18"/>
                <w:szCs w:val="18"/>
                <w:lang w:val="fr-FR"/>
              </w:rPr>
            </w:pPr>
            <w:r w:rsidRPr="00386CD6">
              <w:rPr>
                <w:color w:val="auto"/>
                <w:sz w:val="18"/>
                <w:szCs w:val="18"/>
                <w:lang w:val="fr-FR"/>
              </w:rPr>
              <w:t>2.</w:t>
            </w:r>
            <w:r w:rsidR="0083792B" w:rsidRPr="00386CD6">
              <w:rPr>
                <w:color w:val="auto"/>
                <w:sz w:val="18"/>
                <w:szCs w:val="18"/>
                <w:lang w:val="fr-FR"/>
              </w:rPr>
              <w:tab/>
              <w:t>États</w:t>
            </w:r>
            <w:r w:rsidR="0083792B" w:rsidRPr="00386CD6">
              <w:rPr>
                <w:color w:val="auto"/>
                <w:sz w:val="18"/>
                <w:szCs w:val="18"/>
                <w:lang w:val="fr-FR"/>
              </w:rPr>
              <w:noBreakHyphen/>
              <w:t>Unis d’Amérique</w:t>
            </w:r>
            <w:r w:rsidR="0083792B" w:rsidRPr="00386CD6">
              <w:rPr>
                <w:color w:val="auto"/>
                <w:sz w:val="18"/>
                <w:szCs w:val="18"/>
                <w:lang w:val="fr-FR"/>
              </w:rPr>
              <w:tab/>
              <w:t>(7,07%)</w:t>
            </w:r>
          </w:p>
          <w:p w:rsidR="0083792B" w:rsidRPr="00386CD6" w:rsidRDefault="0022145A" w:rsidP="0085651C">
            <w:pPr>
              <w:pStyle w:val="Default"/>
              <w:tabs>
                <w:tab w:val="left" w:pos="490"/>
                <w:tab w:val="left" w:pos="2906"/>
              </w:tabs>
              <w:rPr>
                <w:color w:val="auto"/>
                <w:sz w:val="18"/>
                <w:szCs w:val="18"/>
                <w:lang w:val="fr-FR"/>
              </w:rPr>
            </w:pPr>
            <w:r w:rsidRPr="00386CD6">
              <w:rPr>
                <w:color w:val="auto"/>
                <w:sz w:val="18"/>
                <w:szCs w:val="18"/>
                <w:lang w:val="fr-FR"/>
              </w:rPr>
              <w:t>3.</w:t>
            </w:r>
            <w:r w:rsidR="0083792B" w:rsidRPr="00386CD6">
              <w:rPr>
                <w:color w:val="auto"/>
                <w:sz w:val="18"/>
                <w:szCs w:val="18"/>
                <w:lang w:val="fr-FR"/>
              </w:rPr>
              <w:tab/>
              <w:t xml:space="preserve">France </w:t>
            </w:r>
            <w:r w:rsidR="0083792B" w:rsidRPr="00386CD6">
              <w:rPr>
                <w:color w:val="auto"/>
                <w:sz w:val="18"/>
                <w:szCs w:val="18"/>
                <w:lang w:val="fr-FR"/>
              </w:rPr>
              <w:tab/>
              <w:t>(6,81%)</w:t>
            </w:r>
          </w:p>
          <w:p w:rsidR="0083792B" w:rsidRPr="00386CD6" w:rsidRDefault="0083792B" w:rsidP="0085651C">
            <w:pPr>
              <w:pStyle w:val="Default"/>
              <w:tabs>
                <w:tab w:val="left" w:pos="490"/>
                <w:tab w:val="left" w:pos="2906"/>
              </w:tabs>
              <w:rPr>
                <w:color w:val="auto"/>
                <w:sz w:val="18"/>
                <w:szCs w:val="18"/>
                <w:lang w:val="fr-FR"/>
              </w:rPr>
            </w:pPr>
            <w:r w:rsidRPr="00386CD6">
              <w:rPr>
                <w:color w:val="auto"/>
                <w:sz w:val="18"/>
                <w:szCs w:val="18"/>
                <w:lang w:val="fr-FR"/>
              </w:rPr>
              <w:t>4.</w:t>
            </w:r>
            <w:r w:rsidRPr="00386CD6">
              <w:rPr>
                <w:color w:val="auto"/>
                <w:sz w:val="18"/>
                <w:szCs w:val="18"/>
                <w:lang w:val="fr-FR"/>
              </w:rPr>
              <w:tab/>
              <w:t>Pays</w:t>
            </w:r>
            <w:r w:rsidRPr="00386CD6">
              <w:rPr>
                <w:color w:val="auto"/>
                <w:sz w:val="18"/>
                <w:szCs w:val="18"/>
                <w:lang w:val="fr-FR"/>
              </w:rPr>
              <w:noBreakHyphen/>
              <w:t>Bas</w:t>
            </w:r>
            <w:r w:rsidRPr="00386CD6">
              <w:rPr>
                <w:color w:val="auto"/>
                <w:sz w:val="18"/>
                <w:szCs w:val="18"/>
                <w:lang w:val="fr-FR"/>
              </w:rPr>
              <w:tab/>
              <w:t>(4,92%)</w:t>
            </w:r>
          </w:p>
          <w:p w:rsidR="0083792B" w:rsidRPr="00386CD6" w:rsidRDefault="0022145A" w:rsidP="0085651C">
            <w:pPr>
              <w:pStyle w:val="Default"/>
              <w:tabs>
                <w:tab w:val="left" w:pos="490"/>
                <w:tab w:val="left" w:pos="2906"/>
              </w:tabs>
              <w:rPr>
                <w:color w:val="auto"/>
                <w:sz w:val="18"/>
                <w:szCs w:val="18"/>
                <w:lang w:val="fr-FR"/>
              </w:rPr>
            </w:pPr>
            <w:r w:rsidRPr="00386CD6">
              <w:rPr>
                <w:color w:val="auto"/>
                <w:sz w:val="18"/>
                <w:szCs w:val="18"/>
                <w:lang w:val="fr-FR"/>
              </w:rPr>
              <w:t>5.</w:t>
            </w:r>
            <w:r w:rsidR="0083792B" w:rsidRPr="00386CD6">
              <w:rPr>
                <w:color w:val="auto"/>
                <w:sz w:val="18"/>
                <w:szCs w:val="18"/>
                <w:lang w:val="fr-FR"/>
              </w:rPr>
              <w:tab/>
              <w:t xml:space="preserve">Japon </w:t>
            </w:r>
            <w:r w:rsidR="0083792B" w:rsidRPr="00386CD6">
              <w:rPr>
                <w:color w:val="auto"/>
                <w:sz w:val="18"/>
                <w:szCs w:val="18"/>
                <w:lang w:val="fr-FR"/>
              </w:rPr>
              <w:tab/>
              <w:t>(4,32%)</w:t>
            </w:r>
          </w:p>
          <w:p w:rsidR="0083792B" w:rsidRPr="00386CD6" w:rsidRDefault="0083792B" w:rsidP="0085651C">
            <w:pPr>
              <w:pStyle w:val="Default"/>
              <w:tabs>
                <w:tab w:val="left" w:pos="490"/>
                <w:tab w:val="left" w:pos="2906"/>
              </w:tabs>
              <w:rPr>
                <w:color w:val="auto"/>
                <w:sz w:val="18"/>
                <w:szCs w:val="18"/>
                <w:lang w:val="fr-FR"/>
              </w:rPr>
            </w:pPr>
            <w:r w:rsidRPr="00386CD6">
              <w:rPr>
                <w:color w:val="auto"/>
                <w:sz w:val="18"/>
                <w:szCs w:val="18"/>
                <w:lang w:val="fr-FR"/>
              </w:rPr>
              <w:t>6.</w:t>
            </w:r>
            <w:r w:rsidRPr="00386CD6">
              <w:rPr>
                <w:color w:val="auto"/>
                <w:sz w:val="18"/>
                <w:szCs w:val="18"/>
                <w:lang w:val="fr-FR"/>
              </w:rPr>
              <w:tab/>
              <w:t xml:space="preserve">Mexique </w:t>
            </w:r>
            <w:r w:rsidRPr="00386CD6">
              <w:rPr>
                <w:color w:val="auto"/>
                <w:sz w:val="18"/>
                <w:szCs w:val="18"/>
                <w:lang w:val="fr-FR"/>
              </w:rPr>
              <w:tab/>
              <w:t>(4,08%)</w:t>
            </w:r>
          </w:p>
          <w:p w:rsidR="0083792B" w:rsidRPr="00386CD6" w:rsidRDefault="0083792B" w:rsidP="0085651C">
            <w:pPr>
              <w:pStyle w:val="Default"/>
              <w:tabs>
                <w:tab w:val="left" w:pos="490"/>
                <w:tab w:val="left" w:pos="2906"/>
              </w:tabs>
              <w:rPr>
                <w:color w:val="auto"/>
                <w:sz w:val="18"/>
                <w:szCs w:val="18"/>
                <w:lang w:val="fr-FR"/>
              </w:rPr>
            </w:pPr>
            <w:r w:rsidRPr="00386CD6">
              <w:rPr>
                <w:color w:val="auto"/>
                <w:sz w:val="18"/>
                <w:szCs w:val="18"/>
                <w:lang w:val="fr-FR"/>
              </w:rPr>
              <w:t>7.</w:t>
            </w:r>
            <w:r w:rsidRPr="00386CD6">
              <w:rPr>
                <w:color w:val="auto"/>
                <w:sz w:val="18"/>
                <w:szCs w:val="18"/>
                <w:lang w:val="fr-FR"/>
              </w:rPr>
              <w:tab/>
              <w:t xml:space="preserve">Allemagne </w:t>
            </w:r>
            <w:r w:rsidRPr="00386CD6">
              <w:rPr>
                <w:color w:val="auto"/>
                <w:sz w:val="18"/>
                <w:szCs w:val="18"/>
                <w:lang w:val="fr-FR"/>
              </w:rPr>
              <w:tab/>
              <w:t>(4,00%)</w:t>
            </w:r>
          </w:p>
          <w:p w:rsidR="0083792B" w:rsidRPr="00386CD6" w:rsidRDefault="0083792B" w:rsidP="0085651C">
            <w:pPr>
              <w:pStyle w:val="Default"/>
              <w:tabs>
                <w:tab w:val="left" w:pos="490"/>
                <w:tab w:val="left" w:pos="2906"/>
              </w:tabs>
              <w:rPr>
                <w:color w:val="auto"/>
                <w:sz w:val="18"/>
                <w:szCs w:val="18"/>
                <w:lang w:val="fr-FR"/>
              </w:rPr>
            </w:pPr>
            <w:r w:rsidRPr="00386CD6">
              <w:rPr>
                <w:color w:val="auto"/>
                <w:sz w:val="18"/>
                <w:szCs w:val="18"/>
                <w:lang w:val="fr-FR"/>
              </w:rPr>
              <w:t>8.</w:t>
            </w:r>
            <w:r w:rsidRPr="00386CD6">
              <w:rPr>
                <w:color w:val="auto"/>
                <w:sz w:val="18"/>
                <w:szCs w:val="18"/>
                <w:lang w:val="fr-FR"/>
              </w:rPr>
              <w:tab/>
              <w:t xml:space="preserve">Inde </w:t>
            </w:r>
            <w:r w:rsidRPr="00386CD6">
              <w:rPr>
                <w:color w:val="auto"/>
                <w:sz w:val="18"/>
                <w:szCs w:val="18"/>
                <w:lang w:val="fr-FR"/>
              </w:rPr>
              <w:tab/>
              <w:t>(3,91%)</w:t>
            </w:r>
          </w:p>
          <w:p w:rsidR="0083792B" w:rsidRPr="00386CD6" w:rsidRDefault="0083792B" w:rsidP="0085651C">
            <w:pPr>
              <w:pStyle w:val="Default"/>
              <w:tabs>
                <w:tab w:val="left" w:pos="490"/>
                <w:tab w:val="left" w:pos="2906"/>
              </w:tabs>
              <w:rPr>
                <w:color w:val="auto"/>
                <w:sz w:val="18"/>
                <w:szCs w:val="18"/>
                <w:lang w:val="fr-FR"/>
              </w:rPr>
            </w:pPr>
            <w:r w:rsidRPr="00386CD6">
              <w:rPr>
                <w:color w:val="auto"/>
                <w:sz w:val="18"/>
                <w:szCs w:val="18"/>
                <w:lang w:val="fr-FR"/>
              </w:rPr>
              <w:t>9.</w:t>
            </w:r>
            <w:r w:rsidRPr="00386CD6">
              <w:rPr>
                <w:color w:val="auto"/>
                <w:sz w:val="18"/>
                <w:szCs w:val="18"/>
                <w:lang w:val="fr-FR"/>
              </w:rPr>
              <w:tab/>
              <w:t xml:space="preserve">Espagne </w:t>
            </w:r>
            <w:r w:rsidRPr="00386CD6">
              <w:rPr>
                <w:color w:val="auto"/>
                <w:sz w:val="18"/>
                <w:szCs w:val="18"/>
                <w:lang w:val="fr-FR"/>
              </w:rPr>
              <w:tab/>
              <w:t>(3,70%)</w:t>
            </w:r>
          </w:p>
          <w:p w:rsidR="0083792B" w:rsidRPr="00386CD6" w:rsidRDefault="0022145A" w:rsidP="0085651C">
            <w:pPr>
              <w:pStyle w:val="Default"/>
              <w:tabs>
                <w:tab w:val="left" w:pos="490"/>
                <w:tab w:val="left" w:pos="2906"/>
              </w:tabs>
              <w:rPr>
                <w:color w:val="auto"/>
                <w:sz w:val="18"/>
                <w:szCs w:val="18"/>
                <w:lang w:val="fr-FR"/>
              </w:rPr>
            </w:pPr>
            <w:r w:rsidRPr="00386CD6">
              <w:rPr>
                <w:color w:val="auto"/>
                <w:sz w:val="18"/>
                <w:szCs w:val="18"/>
                <w:lang w:val="fr-FR"/>
              </w:rPr>
              <w:t>10.</w:t>
            </w:r>
            <w:r w:rsidR="0083792B" w:rsidRPr="00386CD6">
              <w:rPr>
                <w:color w:val="auto"/>
                <w:sz w:val="18"/>
                <w:szCs w:val="18"/>
                <w:lang w:val="fr-FR"/>
              </w:rPr>
              <w:tab/>
              <w:t xml:space="preserve">Brésil </w:t>
            </w:r>
            <w:r w:rsidR="0083792B" w:rsidRPr="00386CD6">
              <w:rPr>
                <w:color w:val="auto"/>
                <w:sz w:val="18"/>
                <w:szCs w:val="18"/>
                <w:lang w:val="fr-FR"/>
              </w:rPr>
              <w:tab/>
              <w:t>(3,32%)</w:t>
            </w:r>
          </w:p>
          <w:p w:rsidR="0083792B" w:rsidRPr="00386CD6" w:rsidRDefault="0083792B" w:rsidP="0085651C"/>
        </w:tc>
      </w:tr>
    </w:tbl>
    <w:p w:rsidR="0083792B" w:rsidRPr="00386CD6" w:rsidRDefault="0083792B" w:rsidP="0085651C">
      <w:pPr>
        <w:jc w:val="left"/>
        <w:rPr>
          <w:sz w:val="18"/>
          <w:szCs w:val="18"/>
        </w:rPr>
      </w:pPr>
    </w:p>
    <w:p w:rsidR="0083792B" w:rsidRPr="00386CD6" w:rsidRDefault="0083792B" w:rsidP="0085651C">
      <w:pPr>
        <w:jc w:val="left"/>
        <w:rPr>
          <w:sz w:val="18"/>
          <w:szCs w:val="18"/>
        </w:rPr>
      </w:pPr>
      <w:r w:rsidRPr="00386CD6">
        <w:rPr>
          <w:sz w:val="18"/>
          <w:szCs w:val="18"/>
        </w:rPr>
        <w:br w:type="page"/>
      </w:r>
    </w:p>
    <w:tbl>
      <w:tblPr>
        <w:tblW w:w="9889" w:type="dxa"/>
        <w:tblLayout w:type="fixed"/>
        <w:tblLook w:val="0000" w:firstRow="0" w:lastRow="0" w:firstColumn="0" w:lastColumn="0" w:noHBand="0" w:noVBand="0"/>
      </w:tblPr>
      <w:tblGrid>
        <w:gridCol w:w="1809"/>
        <w:gridCol w:w="8080"/>
      </w:tblGrid>
      <w:tr w:rsidR="0083792B" w:rsidRPr="00386CD6" w:rsidTr="0085651C">
        <w:trPr>
          <w:tblHeader/>
        </w:trPr>
        <w:tc>
          <w:tcPr>
            <w:tcW w:w="1809" w:type="dxa"/>
          </w:tcPr>
          <w:p w:rsidR="0083792B" w:rsidRPr="00386CD6" w:rsidRDefault="0083792B" w:rsidP="0085651C">
            <w:pPr>
              <w:keepNext/>
              <w:spacing w:after="240"/>
              <w:rPr>
                <w:b/>
                <w:sz w:val="18"/>
              </w:rPr>
            </w:pPr>
            <w:r w:rsidRPr="00386CD6">
              <w:rPr>
                <w:b/>
                <w:sz w:val="18"/>
              </w:rPr>
              <w:t>Résultats escomptés</w:t>
            </w:r>
          </w:p>
        </w:tc>
        <w:tc>
          <w:tcPr>
            <w:tcW w:w="8080" w:type="dxa"/>
          </w:tcPr>
          <w:p w:rsidR="0083792B" w:rsidRPr="00386CD6" w:rsidRDefault="0083792B" w:rsidP="0085651C">
            <w:pPr>
              <w:keepNext/>
              <w:spacing w:after="240"/>
              <w:rPr>
                <w:b/>
                <w:sz w:val="18"/>
              </w:rPr>
            </w:pPr>
            <w:r w:rsidRPr="00386CD6">
              <w:rPr>
                <w:b/>
                <w:sz w:val="18"/>
              </w:rPr>
              <w:t>Résultats obtenus : indicateurs d’exécution</w:t>
            </w:r>
          </w:p>
        </w:tc>
      </w:tr>
      <w:tr w:rsidR="0083792B" w:rsidRPr="00386CD6" w:rsidTr="0085651C">
        <w:tc>
          <w:tcPr>
            <w:tcW w:w="1809" w:type="dxa"/>
          </w:tcPr>
          <w:p w:rsidR="0083792B" w:rsidRPr="00386CD6" w:rsidRDefault="0083792B" w:rsidP="0022145A">
            <w:pPr>
              <w:tabs>
                <w:tab w:val="left" w:pos="276"/>
              </w:tabs>
              <w:jc w:val="left"/>
              <w:rPr>
                <w:sz w:val="18"/>
              </w:rPr>
            </w:pPr>
            <w:r w:rsidRPr="00386CD6">
              <w:rPr>
                <w:i/>
                <w:sz w:val="18"/>
              </w:rPr>
              <w:t>1.</w:t>
            </w:r>
            <w:r w:rsidR="0022145A" w:rsidRPr="00386CD6">
              <w:rPr>
                <w:i/>
                <w:sz w:val="18"/>
              </w:rPr>
              <w:tab/>
            </w:r>
            <w:r w:rsidRPr="00386CD6">
              <w:rPr>
                <w:i/>
                <w:sz w:val="18"/>
              </w:rPr>
              <w:t xml:space="preserve">Meilleure connaissance par le public du rôle et des activités de l’UPOV </w:t>
            </w:r>
            <w:r w:rsidRPr="00386CD6">
              <w:rPr>
                <w:sz w:val="18"/>
              </w:rPr>
              <w:t>(suite)</w:t>
            </w:r>
          </w:p>
        </w:tc>
        <w:tc>
          <w:tcPr>
            <w:tcW w:w="8080" w:type="dxa"/>
          </w:tcPr>
          <w:p w:rsidR="0083792B" w:rsidRPr="00386CD6" w:rsidRDefault="0083792B" w:rsidP="0022145A">
            <w:pPr>
              <w:tabs>
                <w:tab w:val="left" w:pos="483"/>
              </w:tabs>
              <w:jc w:val="left"/>
              <w:rPr>
                <w:sz w:val="18"/>
                <w:szCs w:val="24"/>
              </w:rPr>
            </w:pPr>
            <w:r w:rsidRPr="00386CD6">
              <w:rPr>
                <w:i/>
                <w:sz w:val="18"/>
                <w:szCs w:val="24"/>
              </w:rPr>
              <w:t>b)</w:t>
            </w:r>
            <w:r w:rsidRPr="00386CD6">
              <w:rPr>
                <w:i/>
                <w:sz w:val="18"/>
                <w:szCs w:val="24"/>
              </w:rPr>
              <w:tab/>
              <w:t xml:space="preserve">Consultations du site Web </w:t>
            </w:r>
            <w:r w:rsidRPr="00386CD6">
              <w:rPr>
                <w:sz w:val="18"/>
                <w:szCs w:val="24"/>
              </w:rPr>
              <w:t>(suite)</w:t>
            </w:r>
          </w:p>
        </w:tc>
      </w:tr>
    </w:tbl>
    <w:p w:rsidR="0083792B" w:rsidRPr="00386CD6" w:rsidRDefault="0083792B" w:rsidP="0085651C">
      <w:pPr>
        <w:jc w:val="left"/>
        <w:rPr>
          <w:sz w:val="18"/>
          <w:szCs w:val="18"/>
        </w:rPr>
      </w:pPr>
    </w:p>
    <w:tbl>
      <w:tblPr>
        <w:tblStyle w:val="TableGrid"/>
        <w:tblW w:w="9497" w:type="dxa"/>
        <w:tblInd w:w="250" w:type="dxa"/>
        <w:tblLayout w:type="fixed"/>
        <w:tblLook w:val="04A0" w:firstRow="1" w:lastRow="0" w:firstColumn="1" w:lastColumn="0" w:noHBand="0" w:noVBand="1"/>
      </w:tblPr>
      <w:tblGrid>
        <w:gridCol w:w="1559"/>
        <w:gridCol w:w="817"/>
        <w:gridCol w:w="817"/>
        <w:gridCol w:w="817"/>
        <w:gridCol w:w="817"/>
        <w:gridCol w:w="867"/>
        <w:gridCol w:w="767"/>
        <w:gridCol w:w="793"/>
        <w:gridCol w:w="767"/>
        <w:gridCol w:w="792"/>
        <w:gridCol w:w="684"/>
      </w:tblGrid>
      <w:tr w:rsidR="0083792B" w:rsidRPr="00386CD6" w:rsidTr="0085651C">
        <w:tc>
          <w:tcPr>
            <w:tcW w:w="1559" w:type="dxa"/>
            <w:vMerge w:val="restart"/>
            <w:tcMar>
              <w:top w:w="28" w:type="dxa"/>
              <w:bottom w:w="28" w:type="dxa"/>
            </w:tcMar>
          </w:tcPr>
          <w:p w:rsidR="0083792B" w:rsidRPr="00386CD6" w:rsidRDefault="0083792B" w:rsidP="0085651C">
            <w:pPr>
              <w:tabs>
                <w:tab w:val="right" w:pos="3720"/>
                <w:tab w:val="left" w:pos="4003"/>
              </w:tabs>
              <w:jc w:val="left"/>
              <w:rPr>
                <w:rFonts w:cs="Arial"/>
                <w:sz w:val="18"/>
                <w:szCs w:val="18"/>
              </w:rPr>
            </w:pPr>
            <w:r w:rsidRPr="00386CD6">
              <w:rPr>
                <w:rFonts w:cs="Arial"/>
                <w:sz w:val="18"/>
                <w:szCs w:val="18"/>
              </w:rPr>
              <w:t>Langue du logiciel de navigation</w:t>
            </w:r>
          </w:p>
        </w:tc>
        <w:tc>
          <w:tcPr>
            <w:tcW w:w="1634" w:type="dxa"/>
            <w:gridSpan w:val="2"/>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2015</w:t>
            </w:r>
          </w:p>
        </w:tc>
        <w:tc>
          <w:tcPr>
            <w:tcW w:w="1634" w:type="dxa"/>
            <w:gridSpan w:val="2"/>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2014</w:t>
            </w:r>
          </w:p>
        </w:tc>
        <w:tc>
          <w:tcPr>
            <w:tcW w:w="1634" w:type="dxa"/>
            <w:gridSpan w:val="2"/>
            <w:tcMar>
              <w:left w:w="57" w:type="dxa"/>
              <w:right w:w="57" w:type="dxa"/>
            </w:tcMar>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2013</w:t>
            </w:r>
          </w:p>
        </w:tc>
        <w:tc>
          <w:tcPr>
            <w:tcW w:w="1560" w:type="dxa"/>
            <w:gridSpan w:val="2"/>
            <w:tcMar>
              <w:top w:w="28" w:type="dxa"/>
              <w:left w:w="57" w:type="dxa"/>
              <w:bottom w:w="28" w:type="dxa"/>
              <w:right w:w="57" w:type="dxa"/>
            </w:tcMar>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2012</w:t>
            </w:r>
          </w:p>
        </w:tc>
        <w:tc>
          <w:tcPr>
            <w:tcW w:w="1476" w:type="dxa"/>
            <w:gridSpan w:val="2"/>
            <w:tcMar>
              <w:top w:w="28" w:type="dxa"/>
              <w:left w:w="57" w:type="dxa"/>
              <w:right w:w="57" w:type="dxa"/>
            </w:tcMar>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2011</w:t>
            </w:r>
          </w:p>
        </w:tc>
      </w:tr>
      <w:tr w:rsidR="0083792B" w:rsidRPr="00386CD6" w:rsidTr="0085651C">
        <w:tc>
          <w:tcPr>
            <w:tcW w:w="1559" w:type="dxa"/>
            <w:vMerge/>
            <w:tcMar>
              <w:top w:w="28" w:type="dxa"/>
              <w:bottom w:w="28" w:type="dxa"/>
            </w:tcMar>
          </w:tcPr>
          <w:p w:rsidR="0083792B" w:rsidRPr="00386CD6" w:rsidRDefault="0083792B" w:rsidP="0085651C">
            <w:pPr>
              <w:tabs>
                <w:tab w:val="right" w:pos="3720"/>
                <w:tab w:val="left" w:pos="4003"/>
              </w:tabs>
              <w:jc w:val="left"/>
              <w:rPr>
                <w:rFonts w:cs="Arial"/>
                <w:sz w:val="18"/>
                <w:szCs w:val="18"/>
              </w:rPr>
            </w:pP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Visites</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Visites</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w:t>
            </w:r>
          </w:p>
        </w:tc>
        <w:tc>
          <w:tcPr>
            <w:tcW w:w="867" w:type="dxa"/>
            <w:tcMar>
              <w:left w:w="57" w:type="dxa"/>
              <w:right w:w="57" w:type="dxa"/>
            </w:tcMar>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Visites</w:t>
            </w:r>
          </w:p>
        </w:tc>
        <w:tc>
          <w:tcPr>
            <w:tcW w:w="767" w:type="dxa"/>
            <w:tcMar>
              <w:left w:w="57" w:type="dxa"/>
              <w:right w:w="57" w:type="dxa"/>
            </w:tcMar>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w:t>
            </w:r>
          </w:p>
        </w:tc>
        <w:tc>
          <w:tcPr>
            <w:tcW w:w="793" w:type="dxa"/>
            <w:tcMar>
              <w:top w:w="28" w:type="dxa"/>
              <w:left w:w="57" w:type="dxa"/>
              <w:bottom w:w="28" w:type="dxa"/>
              <w:right w:w="57" w:type="dxa"/>
            </w:tcMar>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Visites</w:t>
            </w:r>
          </w:p>
        </w:tc>
        <w:tc>
          <w:tcPr>
            <w:tcW w:w="767" w:type="dxa"/>
            <w:tcMar>
              <w:top w:w="28" w:type="dxa"/>
              <w:left w:w="57" w:type="dxa"/>
              <w:bottom w:w="28" w:type="dxa"/>
              <w:right w:w="57" w:type="dxa"/>
            </w:tcMar>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w:t>
            </w:r>
          </w:p>
        </w:tc>
        <w:tc>
          <w:tcPr>
            <w:tcW w:w="792" w:type="dxa"/>
            <w:tcMar>
              <w:top w:w="28" w:type="dxa"/>
              <w:left w:w="57" w:type="dxa"/>
              <w:right w:w="57" w:type="dxa"/>
            </w:tcMar>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Visites</w:t>
            </w:r>
          </w:p>
        </w:tc>
        <w:tc>
          <w:tcPr>
            <w:tcW w:w="684" w:type="dxa"/>
            <w:tcMar>
              <w:top w:w="28" w:type="dxa"/>
              <w:left w:w="57" w:type="dxa"/>
              <w:right w:w="57" w:type="dxa"/>
            </w:tcMar>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w:t>
            </w:r>
          </w:p>
        </w:tc>
      </w:tr>
      <w:tr w:rsidR="0083792B" w:rsidRPr="00386CD6" w:rsidTr="0085651C">
        <w:tc>
          <w:tcPr>
            <w:tcW w:w="1559" w:type="dxa"/>
            <w:tcMar>
              <w:top w:w="28" w:type="dxa"/>
              <w:bottom w:w="28" w:type="dxa"/>
            </w:tcMar>
          </w:tcPr>
          <w:p w:rsidR="0083792B" w:rsidRPr="00386CD6" w:rsidRDefault="0083792B" w:rsidP="0085651C">
            <w:pPr>
              <w:pStyle w:val="ListParagraph"/>
              <w:numPr>
                <w:ilvl w:val="0"/>
                <w:numId w:val="11"/>
              </w:numPr>
              <w:tabs>
                <w:tab w:val="right" w:pos="3720"/>
                <w:tab w:val="left" w:pos="4003"/>
              </w:tabs>
              <w:jc w:val="left"/>
              <w:rPr>
                <w:rFonts w:cs="Arial"/>
                <w:sz w:val="18"/>
                <w:szCs w:val="18"/>
              </w:rPr>
            </w:pPr>
            <w:r w:rsidRPr="00386CD6">
              <w:rPr>
                <w:rFonts w:cs="Arial"/>
                <w:sz w:val="18"/>
                <w:szCs w:val="18"/>
              </w:rPr>
              <w:t>en</w:t>
            </w:r>
            <w:r w:rsidRPr="00386CD6">
              <w:rPr>
                <w:rFonts w:cs="Arial"/>
                <w:sz w:val="18"/>
                <w:szCs w:val="18"/>
              </w:rPr>
              <w:noBreakHyphen/>
              <w:t>us</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66 347</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39,58</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72 248</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38,61</w:t>
            </w:r>
          </w:p>
        </w:tc>
        <w:tc>
          <w:tcPr>
            <w:tcW w:w="8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70 706</w:t>
            </w:r>
          </w:p>
        </w:tc>
        <w:tc>
          <w:tcPr>
            <w:tcW w:w="7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39,56</w:t>
            </w:r>
          </w:p>
        </w:tc>
        <w:tc>
          <w:tcPr>
            <w:tcW w:w="793"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57 341</w:t>
            </w:r>
          </w:p>
        </w:tc>
        <w:tc>
          <w:tcPr>
            <w:tcW w:w="767"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37,75</w:t>
            </w:r>
          </w:p>
        </w:tc>
        <w:tc>
          <w:tcPr>
            <w:tcW w:w="792"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50 571</w:t>
            </w:r>
          </w:p>
        </w:tc>
        <w:tc>
          <w:tcPr>
            <w:tcW w:w="684"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36,03</w:t>
            </w:r>
          </w:p>
        </w:tc>
      </w:tr>
      <w:tr w:rsidR="0083792B" w:rsidRPr="00386CD6" w:rsidTr="0085651C">
        <w:tc>
          <w:tcPr>
            <w:tcW w:w="1559" w:type="dxa"/>
            <w:tcMar>
              <w:top w:w="28" w:type="dxa"/>
              <w:bottom w:w="28" w:type="dxa"/>
            </w:tcMar>
          </w:tcPr>
          <w:p w:rsidR="0083792B" w:rsidRPr="00386CD6" w:rsidRDefault="0083792B" w:rsidP="0085651C">
            <w:pPr>
              <w:pStyle w:val="ListParagraph"/>
              <w:numPr>
                <w:ilvl w:val="0"/>
                <w:numId w:val="11"/>
              </w:numPr>
              <w:tabs>
                <w:tab w:val="right" w:pos="3720"/>
                <w:tab w:val="left" w:pos="4003"/>
              </w:tabs>
              <w:jc w:val="left"/>
              <w:rPr>
                <w:rFonts w:cs="Arial"/>
                <w:sz w:val="18"/>
                <w:szCs w:val="18"/>
              </w:rPr>
            </w:pPr>
            <w:r w:rsidRPr="00386CD6">
              <w:rPr>
                <w:rFonts w:cs="Arial"/>
                <w:sz w:val="18"/>
                <w:szCs w:val="18"/>
              </w:rPr>
              <w:t>es</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17 765</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59,03</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18 154</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9,70</w:t>
            </w:r>
          </w:p>
        </w:tc>
        <w:tc>
          <w:tcPr>
            <w:tcW w:w="8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18 669</w:t>
            </w:r>
          </w:p>
        </w:tc>
        <w:tc>
          <w:tcPr>
            <w:tcW w:w="7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10,45</w:t>
            </w:r>
          </w:p>
        </w:tc>
        <w:tc>
          <w:tcPr>
            <w:tcW w:w="793"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19 001</w:t>
            </w:r>
          </w:p>
        </w:tc>
        <w:tc>
          <w:tcPr>
            <w:tcW w:w="767"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12,51</w:t>
            </w:r>
          </w:p>
        </w:tc>
        <w:tc>
          <w:tcPr>
            <w:tcW w:w="792"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23 605</w:t>
            </w:r>
          </w:p>
        </w:tc>
        <w:tc>
          <w:tcPr>
            <w:tcW w:w="684"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16,82</w:t>
            </w:r>
          </w:p>
        </w:tc>
      </w:tr>
      <w:tr w:rsidR="0083792B" w:rsidRPr="00386CD6" w:rsidTr="0085651C">
        <w:tc>
          <w:tcPr>
            <w:tcW w:w="1559" w:type="dxa"/>
            <w:tcMar>
              <w:top w:w="28" w:type="dxa"/>
              <w:bottom w:w="28" w:type="dxa"/>
            </w:tcMar>
          </w:tcPr>
          <w:p w:rsidR="0083792B" w:rsidRPr="00386CD6" w:rsidRDefault="0083792B" w:rsidP="0085651C">
            <w:pPr>
              <w:pStyle w:val="ListParagraph"/>
              <w:numPr>
                <w:ilvl w:val="0"/>
                <w:numId w:val="11"/>
              </w:numPr>
              <w:tabs>
                <w:tab w:val="right" w:pos="3720"/>
                <w:tab w:val="left" w:pos="4003"/>
              </w:tabs>
              <w:jc w:val="left"/>
              <w:rPr>
                <w:rFonts w:cs="Arial"/>
                <w:sz w:val="18"/>
                <w:szCs w:val="18"/>
              </w:rPr>
            </w:pPr>
            <w:r w:rsidRPr="00386CD6">
              <w:rPr>
                <w:rFonts w:cs="Arial"/>
                <w:sz w:val="18"/>
                <w:szCs w:val="18"/>
              </w:rPr>
              <w:t>fr</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11 413</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52,99</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11 862</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6,34</w:t>
            </w:r>
          </w:p>
        </w:tc>
        <w:tc>
          <w:tcPr>
            <w:tcW w:w="8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13 876</w:t>
            </w:r>
          </w:p>
        </w:tc>
        <w:tc>
          <w:tcPr>
            <w:tcW w:w="7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7,76</w:t>
            </w:r>
          </w:p>
        </w:tc>
        <w:tc>
          <w:tcPr>
            <w:tcW w:w="793"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14 212</w:t>
            </w:r>
          </w:p>
        </w:tc>
        <w:tc>
          <w:tcPr>
            <w:tcW w:w="767"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9,36</w:t>
            </w:r>
          </w:p>
        </w:tc>
        <w:tc>
          <w:tcPr>
            <w:tcW w:w="792"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10 670</w:t>
            </w:r>
          </w:p>
        </w:tc>
        <w:tc>
          <w:tcPr>
            <w:tcW w:w="684"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7,60</w:t>
            </w:r>
          </w:p>
        </w:tc>
      </w:tr>
      <w:tr w:rsidR="0083792B" w:rsidRPr="00386CD6" w:rsidTr="0085651C">
        <w:tc>
          <w:tcPr>
            <w:tcW w:w="1559" w:type="dxa"/>
            <w:tcMar>
              <w:top w:w="28" w:type="dxa"/>
              <w:bottom w:w="28" w:type="dxa"/>
            </w:tcMar>
          </w:tcPr>
          <w:p w:rsidR="0083792B" w:rsidRPr="00386CD6" w:rsidRDefault="0083792B" w:rsidP="0085651C">
            <w:pPr>
              <w:pStyle w:val="ListParagraph"/>
              <w:numPr>
                <w:ilvl w:val="0"/>
                <w:numId w:val="11"/>
              </w:numPr>
              <w:tabs>
                <w:tab w:val="right" w:pos="3720"/>
                <w:tab w:val="left" w:pos="4003"/>
              </w:tabs>
              <w:jc w:val="left"/>
              <w:rPr>
                <w:rFonts w:cs="Arial"/>
                <w:sz w:val="18"/>
                <w:szCs w:val="18"/>
              </w:rPr>
            </w:pPr>
            <w:r w:rsidRPr="00386CD6">
              <w:rPr>
                <w:rFonts w:cs="Arial"/>
                <w:sz w:val="18"/>
                <w:szCs w:val="18"/>
              </w:rPr>
              <w:t>es</w:t>
            </w:r>
            <w:r w:rsidRPr="00386CD6">
              <w:rPr>
                <w:rFonts w:cs="Arial"/>
                <w:sz w:val="18"/>
                <w:szCs w:val="18"/>
              </w:rPr>
              <w:noBreakHyphen/>
              <w:t>es</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7972</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4,16</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9180</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4,91</w:t>
            </w:r>
          </w:p>
        </w:tc>
        <w:tc>
          <w:tcPr>
            <w:tcW w:w="8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9234</w:t>
            </w:r>
          </w:p>
        </w:tc>
        <w:tc>
          <w:tcPr>
            <w:tcW w:w="7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5,17</w:t>
            </w:r>
          </w:p>
        </w:tc>
        <w:tc>
          <w:tcPr>
            <w:tcW w:w="793"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5698</w:t>
            </w:r>
          </w:p>
        </w:tc>
        <w:tc>
          <w:tcPr>
            <w:tcW w:w="767"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3,75</w:t>
            </w:r>
          </w:p>
        </w:tc>
        <w:tc>
          <w:tcPr>
            <w:tcW w:w="792"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9124</w:t>
            </w:r>
          </w:p>
        </w:tc>
        <w:tc>
          <w:tcPr>
            <w:tcW w:w="684"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6,50</w:t>
            </w:r>
          </w:p>
        </w:tc>
      </w:tr>
      <w:tr w:rsidR="0083792B" w:rsidRPr="00386CD6" w:rsidTr="0085651C">
        <w:tc>
          <w:tcPr>
            <w:tcW w:w="1559" w:type="dxa"/>
            <w:tcMar>
              <w:top w:w="28" w:type="dxa"/>
              <w:bottom w:w="28" w:type="dxa"/>
            </w:tcMar>
          </w:tcPr>
          <w:p w:rsidR="0083792B" w:rsidRPr="00386CD6" w:rsidRDefault="0083792B" w:rsidP="0085651C">
            <w:pPr>
              <w:pStyle w:val="ListParagraph"/>
              <w:numPr>
                <w:ilvl w:val="0"/>
                <w:numId w:val="11"/>
              </w:numPr>
              <w:tabs>
                <w:tab w:val="right" w:pos="3720"/>
                <w:tab w:val="left" w:pos="4003"/>
              </w:tabs>
              <w:jc w:val="left"/>
              <w:rPr>
                <w:rFonts w:cs="Arial"/>
                <w:sz w:val="18"/>
                <w:szCs w:val="18"/>
              </w:rPr>
            </w:pPr>
            <w:r w:rsidRPr="00386CD6">
              <w:rPr>
                <w:rFonts w:cs="Arial"/>
                <w:sz w:val="18"/>
                <w:szCs w:val="18"/>
              </w:rPr>
              <w:t>en</w:t>
            </w:r>
            <w:r w:rsidRPr="00386CD6">
              <w:rPr>
                <w:rFonts w:cs="Arial"/>
                <w:sz w:val="18"/>
                <w:szCs w:val="18"/>
              </w:rPr>
              <w:noBreakHyphen/>
              <w:t>gb</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6743</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3,52</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4508</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2,41</w:t>
            </w:r>
          </w:p>
        </w:tc>
        <w:tc>
          <w:tcPr>
            <w:tcW w:w="8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3028</w:t>
            </w:r>
          </w:p>
        </w:tc>
        <w:tc>
          <w:tcPr>
            <w:tcW w:w="767" w:type="dxa"/>
            <w:shd w:val="clear" w:color="auto" w:fill="auto"/>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1,69</w:t>
            </w:r>
          </w:p>
        </w:tc>
        <w:tc>
          <w:tcPr>
            <w:tcW w:w="793"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2371</w:t>
            </w:r>
          </w:p>
        </w:tc>
        <w:tc>
          <w:tcPr>
            <w:tcW w:w="767" w:type="dxa"/>
            <w:shd w:val="clear" w:color="auto" w:fill="auto"/>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1,56</w:t>
            </w:r>
          </w:p>
        </w:tc>
        <w:tc>
          <w:tcPr>
            <w:tcW w:w="792"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2069</w:t>
            </w:r>
          </w:p>
        </w:tc>
        <w:tc>
          <w:tcPr>
            <w:tcW w:w="684" w:type="dxa"/>
            <w:shd w:val="clear" w:color="auto" w:fill="auto"/>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1,47</w:t>
            </w:r>
          </w:p>
        </w:tc>
      </w:tr>
      <w:tr w:rsidR="0083792B" w:rsidRPr="00386CD6" w:rsidTr="0085651C">
        <w:tc>
          <w:tcPr>
            <w:tcW w:w="1559" w:type="dxa"/>
            <w:tcMar>
              <w:top w:w="28" w:type="dxa"/>
              <w:bottom w:w="28" w:type="dxa"/>
            </w:tcMar>
          </w:tcPr>
          <w:p w:rsidR="0083792B" w:rsidRPr="00386CD6" w:rsidRDefault="0083792B" w:rsidP="0085651C">
            <w:pPr>
              <w:pStyle w:val="ListParagraph"/>
              <w:numPr>
                <w:ilvl w:val="0"/>
                <w:numId w:val="11"/>
              </w:numPr>
              <w:tabs>
                <w:tab w:val="right" w:pos="3720"/>
                <w:tab w:val="left" w:pos="4003"/>
              </w:tabs>
              <w:jc w:val="left"/>
              <w:rPr>
                <w:rFonts w:cs="Arial"/>
                <w:sz w:val="18"/>
                <w:szCs w:val="18"/>
              </w:rPr>
            </w:pPr>
            <w:r w:rsidRPr="00386CD6">
              <w:rPr>
                <w:rFonts w:cs="Arial"/>
                <w:sz w:val="18"/>
                <w:szCs w:val="18"/>
              </w:rPr>
              <w:t>ru</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6608</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3,45</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6824</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3,65</w:t>
            </w:r>
          </w:p>
        </w:tc>
        <w:tc>
          <w:tcPr>
            <w:tcW w:w="8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6596</w:t>
            </w:r>
          </w:p>
        </w:tc>
        <w:tc>
          <w:tcPr>
            <w:tcW w:w="7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3,69</w:t>
            </w:r>
          </w:p>
        </w:tc>
        <w:tc>
          <w:tcPr>
            <w:tcW w:w="793"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3630</w:t>
            </w:r>
          </w:p>
        </w:tc>
        <w:tc>
          <w:tcPr>
            <w:tcW w:w="767"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2,39</w:t>
            </w:r>
          </w:p>
        </w:tc>
        <w:tc>
          <w:tcPr>
            <w:tcW w:w="792"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3168</w:t>
            </w:r>
          </w:p>
        </w:tc>
        <w:tc>
          <w:tcPr>
            <w:tcW w:w="684"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2,26</w:t>
            </w:r>
          </w:p>
        </w:tc>
      </w:tr>
      <w:tr w:rsidR="0083792B" w:rsidRPr="00386CD6" w:rsidTr="0085651C">
        <w:tc>
          <w:tcPr>
            <w:tcW w:w="1559" w:type="dxa"/>
            <w:tcMar>
              <w:top w:w="28" w:type="dxa"/>
              <w:bottom w:w="28" w:type="dxa"/>
            </w:tcMar>
          </w:tcPr>
          <w:p w:rsidR="0083792B" w:rsidRPr="00386CD6" w:rsidRDefault="0083792B" w:rsidP="0085651C">
            <w:pPr>
              <w:pStyle w:val="ListParagraph"/>
              <w:numPr>
                <w:ilvl w:val="0"/>
                <w:numId w:val="11"/>
              </w:numPr>
              <w:tabs>
                <w:tab w:val="right" w:pos="3720"/>
                <w:tab w:val="left" w:pos="4003"/>
              </w:tabs>
              <w:jc w:val="left"/>
              <w:rPr>
                <w:rFonts w:cs="Arial"/>
                <w:sz w:val="18"/>
                <w:szCs w:val="18"/>
              </w:rPr>
            </w:pPr>
            <w:r w:rsidRPr="00386CD6">
              <w:rPr>
                <w:rFonts w:cs="Arial"/>
                <w:sz w:val="18"/>
                <w:szCs w:val="18"/>
              </w:rPr>
              <w:t>pt</w:t>
            </w:r>
            <w:r w:rsidRPr="00386CD6">
              <w:rPr>
                <w:rFonts w:cs="Arial"/>
                <w:sz w:val="18"/>
                <w:szCs w:val="18"/>
              </w:rPr>
              <w:noBreakHyphen/>
              <w:t>br</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5819</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3,04</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4386</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2,34</w:t>
            </w:r>
          </w:p>
        </w:tc>
        <w:tc>
          <w:tcPr>
            <w:tcW w:w="8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4014</w:t>
            </w:r>
          </w:p>
        </w:tc>
        <w:tc>
          <w:tcPr>
            <w:tcW w:w="7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2,25</w:t>
            </w:r>
          </w:p>
        </w:tc>
        <w:tc>
          <w:tcPr>
            <w:tcW w:w="793"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3148</w:t>
            </w:r>
          </w:p>
        </w:tc>
        <w:tc>
          <w:tcPr>
            <w:tcW w:w="767" w:type="dxa"/>
            <w:shd w:val="clear" w:color="auto" w:fill="auto"/>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2,07</w:t>
            </w:r>
          </w:p>
        </w:tc>
        <w:tc>
          <w:tcPr>
            <w:tcW w:w="792"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2073</w:t>
            </w:r>
          </w:p>
        </w:tc>
        <w:tc>
          <w:tcPr>
            <w:tcW w:w="684" w:type="dxa"/>
            <w:shd w:val="clear" w:color="auto" w:fill="auto"/>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1,48</w:t>
            </w:r>
          </w:p>
        </w:tc>
      </w:tr>
      <w:tr w:rsidR="0083792B" w:rsidRPr="00386CD6" w:rsidTr="0085651C">
        <w:tc>
          <w:tcPr>
            <w:tcW w:w="1559" w:type="dxa"/>
            <w:tcMar>
              <w:top w:w="28" w:type="dxa"/>
              <w:bottom w:w="28" w:type="dxa"/>
            </w:tcMar>
          </w:tcPr>
          <w:p w:rsidR="0083792B" w:rsidRPr="00386CD6" w:rsidRDefault="0083792B" w:rsidP="0085651C">
            <w:pPr>
              <w:pStyle w:val="ListParagraph"/>
              <w:numPr>
                <w:ilvl w:val="0"/>
                <w:numId w:val="11"/>
              </w:numPr>
              <w:tabs>
                <w:tab w:val="right" w:pos="3720"/>
                <w:tab w:val="left" w:pos="4003"/>
              </w:tabs>
              <w:jc w:val="left"/>
              <w:rPr>
                <w:rFonts w:cs="Arial"/>
                <w:sz w:val="18"/>
                <w:szCs w:val="18"/>
              </w:rPr>
            </w:pPr>
            <w:r w:rsidRPr="00386CD6">
              <w:rPr>
                <w:rFonts w:cs="Arial"/>
                <w:sz w:val="18"/>
                <w:szCs w:val="18"/>
              </w:rPr>
              <w:t>ja</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5277</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2,76</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5729</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3,06</w:t>
            </w:r>
          </w:p>
        </w:tc>
        <w:tc>
          <w:tcPr>
            <w:tcW w:w="8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6444</w:t>
            </w:r>
          </w:p>
        </w:tc>
        <w:tc>
          <w:tcPr>
            <w:tcW w:w="7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3,61</w:t>
            </w:r>
          </w:p>
        </w:tc>
        <w:tc>
          <w:tcPr>
            <w:tcW w:w="793"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7562</w:t>
            </w:r>
          </w:p>
        </w:tc>
        <w:tc>
          <w:tcPr>
            <w:tcW w:w="767"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4,98</w:t>
            </w:r>
          </w:p>
        </w:tc>
        <w:tc>
          <w:tcPr>
            <w:tcW w:w="792"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6387</w:t>
            </w:r>
          </w:p>
        </w:tc>
        <w:tc>
          <w:tcPr>
            <w:tcW w:w="684"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4,55</w:t>
            </w:r>
          </w:p>
        </w:tc>
      </w:tr>
      <w:tr w:rsidR="0083792B" w:rsidRPr="00386CD6" w:rsidTr="0085651C">
        <w:tc>
          <w:tcPr>
            <w:tcW w:w="1559" w:type="dxa"/>
            <w:tcMar>
              <w:top w:w="28" w:type="dxa"/>
              <w:bottom w:w="28" w:type="dxa"/>
            </w:tcMar>
          </w:tcPr>
          <w:p w:rsidR="0083792B" w:rsidRPr="00386CD6" w:rsidRDefault="0083792B" w:rsidP="0085651C">
            <w:pPr>
              <w:pStyle w:val="ListParagraph"/>
              <w:numPr>
                <w:ilvl w:val="0"/>
                <w:numId w:val="11"/>
              </w:numPr>
              <w:tabs>
                <w:tab w:val="right" w:pos="3720"/>
                <w:tab w:val="left" w:pos="4003"/>
              </w:tabs>
              <w:jc w:val="left"/>
              <w:rPr>
                <w:rFonts w:cs="Arial"/>
                <w:sz w:val="18"/>
                <w:szCs w:val="18"/>
              </w:rPr>
            </w:pPr>
            <w:r w:rsidRPr="00386CD6">
              <w:rPr>
                <w:rFonts w:cs="Arial"/>
                <w:sz w:val="18"/>
                <w:szCs w:val="18"/>
              </w:rPr>
              <w:t>nl</w:t>
            </w:r>
            <w:r w:rsidRPr="00386CD6">
              <w:rPr>
                <w:rFonts w:cs="Arial"/>
                <w:sz w:val="18"/>
                <w:szCs w:val="18"/>
              </w:rPr>
              <w:noBreakHyphen/>
              <w:t>nl</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4981</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2,60</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2837</w:t>
            </w:r>
          </w:p>
        </w:tc>
        <w:tc>
          <w:tcPr>
            <w:tcW w:w="817" w:type="dxa"/>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1,52</w:t>
            </w:r>
          </w:p>
        </w:tc>
        <w:tc>
          <w:tcPr>
            <w:tcW w:w="8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4347</w:t>
            </w:r>
          </w:p>
        </w:tc>
        <w:tc>
          <w:tcPr>
            <w:tcW w:w="767" w:type="dxa"/>
            <w:tcMar>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2,43</w:t>
            </w:r>
          </w:p>
        </w:tc>
        <w:tc>
          <w:tcPr>
            <w:tcW w:w="793"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4152</w:t>
            </w:r>
          </w:p>
        </w:tc>
        <w:tc>
          <w:tcPr>
            <w:tcW w:w="767"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2,73</w:t>
            </w:r>
          </w:p>
        </w:tc>
        <w:tc>
          <w:tcPr>
            <w:tcW w:w="792"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2742</w:t>
            </w:r>
          </w:p>
        </w:tc>
        <w:tc>
          <w:tcPr>
            <w:tcW w:w="684"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1,95</w:t>
            </w:r>
          </w:p>
        </w:tc>
      </w:tr>
      <w:tr w:rsidR="0083792B" w:rsidRPr="00386CD6" w:rsidTr="0085651C">
        <w:tc>
          <w:tcPr>
            <w:tcW w:w="1559" w:type="dxa"/>
            <w:tcMar>
              <w:top w:w="28" w:type="dxa"/>
              <w:bottom w:w="28" w:type="dxa"/>
            </w:tcMar>
          </w:tcPr>
          <w:p w:rsidR="0083792B" w:rsidRPr="00386CD6" w:rsidRDefault="0083792B" w:rsidP="0085651C">
            <w:pPr>
              <w:pStyle w:val="ListParagraph"/>
              <w:numPr>
                <w:ilvl w:val="0"/>
                <w:numId w:val="11"/>
              </w:numPr>
              <w:tabs>
                <w:tab w:val="right" w:pos="3720"/>
                <w:tab w:val="left" w:pos="4003"/>
              </w:tabs>
              <w:jc w:val="left"/>
              <w:rPr>
                <w:rFonts w:cs="Arial"/>
                <w:sz w:val="18"/>
                <w:szCs w:val="18"/>
              </w:rPr>
            </w:pPr>
            <w:r w:rsidRPr="00386CD6">
              <w:rPr>
                <w:rFonts w:cs="Arial"/>
                <w:sz w:val="18"/>
                <w:szCs w:val="18"/>
              </w:rPr>
              <w:t>de</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4925</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2,57</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3619</w:t>
            </w:r>
          </w:p>
        </w:tc>
        <w:tc>
          <w:tcPr>
            <w:tcW w:w="817" w:type="dxa"/>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1,93</w:t>
            </w:r>
          </w:p>
        </w:tc>
        <w:tc>
          <w:tcPr>
            <w:tcW w:w="867" w:type="dxa"/>
            <w:tcMar>
              <w:left w:w="57" w:type="dxa"/>
              <w:right w:w="57" w:type="dxa"/>
            </w:tcMar>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4065</w:t>
            </w:r>
          </w:p>
        </w:tc>
        <w:tc>
          <w:tcPr>
            <w:tcW w:w="767" w:type="dxa"/>
            <w:tcMar>
              <w:left w:w="57" w:type="dxa"/>
              <w:right w:w="57" w:type="dxa"/>
            </w:tcMar>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2,27</w:t>
            </w:r>
          </w:p>
        </w:tc>
        <w:tc>
          <w:tcPr>
            <w:tcW w:w="793"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4562</w:t>
            </w:r>
          </w:p>
        </w:tc>
        <w:tc>
          <w:tcPr>
            <w:tcW w:w="767" w:type="dxa"/>
            <w:tcMar>
              <w:top w:w="28" w:type="dxa"/>
              <w:left w:w="57" w:type="dxa"/>
              <w:bottom w:w="28"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3,00</w:t>
            </w:r>
          </w:p>
        </w:tc>
        <w:tc>
          <w:tcPr>
            <w:tcW w:w="792"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5577</w:t>
            </w:r>
          </w:p>
        </w:tc>
        <w:tc>
          <w:tcPr>
            <w:tcW w:w="684" w:type="dxa"/>
            <w:tcMar>
              <w:top w:w="28" w:type="dxa"/>
              <w:left w:w="57" w:type="dxa"/>
              <w:right w:w="57" w:type="dxa"/>
            </w:tcMar>
            <w:vAlign w:val="bottom"/>
          </w:tcPr>
          <w:p w:rsidR="0083792B" w:rsidRPr="00386CD6" w:rsidRDefault="0083792B" w:rsidP="0085651C">
            <w:pPr>
              <w:tabs>
                <w:tab w:val="right" w:pos="3720"/>
                <w:tab w:val="left" w:pos="4003"/>
              </w:tabs>
              <w:jc w:val="center"/>
              <w:rPr>
                <w:rFonts w:cs="Arial"/>
                <w:sz w:val="18"/>
                <w:szCs w:val="18"/>
              </w:rPr>
            </w:pPr>
            <w:r w:rsidRPr="00386CD6">
              <w:rPr>
                <w:rFonts w:cs="Arial"/>
                <w:sz w:val="18"/>
                <w:szCs w:val="18"/>
              </w:rPr>
              <w:t>3,97</w:t>
            </w:r>
          </w:p>
        </w:tc>
      </w:tr>
    </w:tbl>
    <w:p w:rsidR="0083792B" w:rsidRPr="00386CD6" w:rsidRDefault="0083792B" w:rsidP="0085651C">
      <w:pPr>
        <w:tabs>
          <w:tab w:val="left" w:pos="795"/>
        </w:tabs>
        <w:ind w:left="142"/>
        <w:jc w:val="left"/>
        <w:rPr>
          <w:sz w:val="18"/>
          <w:szCs w:val="18"/>
        </w:rPr>
      </w:pPr>
    </w:p>
    <w:p w:rsidR="0083792B" w:rsidRPr="00386CD6" w:rsidRDefault="0083792B" w:rsidP="0085651C">
      <w:pPr>
        <w:ind w:left="142"/>
        <w:jc w:val="left"/>
        <w:rPr>
          <w:sz w:val="16"/>
        </w:rPr>
      </w:pPr>
      <w:r w:rsidRPr="00386CD6">
        <w:rPr>
          <w:sz w:val="16"/>
        </w:rPr>
        <w:t>1.  en</w:t>
      </w:r>
      <w:r w:rsidRPr="00386CD6">
        <w:rPr>
          <w:sz w:val="16"/>
        </w:rPr>
        <w:noBreakHyphen/>
        <w:t>us : anglais (États</w:t>
      </w:r>
      <w:r w:rsidRPr="00386CD6">
        <w:rPr>
          <w:sz w:val="16"/>
        </w:rPr>
        <w:noBreakHyphen/>
        <w:t xml:space="preserve">Unis d’Amérique);  2.  </w:t>
      </w:r>
      <w:proofErr w:type="gramStart"/>
      <w:r w:rsidRPr="00386CD6">
        <w:rPr>
          <w:sz w:val="16"/>
        </w:rPr>
        <w:t>es</w:t>
      </w:r>
      <w:proofErr w:type="gramEnd"/>
      <w:r w:rsidRPr="00386CD6">
        <w:rPr>
          <w:sz w:val="16"/>
        </w:rPr>
        <w:t> : espagnol;  3.  fr : français;  4.  es</w:t>
      </w:r>
      <w:r w:rsidRPr="00386CD6">
        <w:rPr>
          <w:sz w:val="16"/>
        </w:rPr>
        <w:noBreakHyphen/>
        <w:t xml:space="preserve">es : espagnol (castillan);  5.  </w:t>
      </w:r>
      <w:proofErr w:type="gramStart"/>
      <w:r w:rsidRPr="00386CD6">
        <w:rPr>
          <w:sz w:val="16"/>
        </w:rPr>
        <w:t>en</w:t>
      </w:r>
      <w:r w:rsidRPr="00386CD6">
        <w:rPr>
          <w:sz w:val="16"/>
        </w:rPr>
        <w:noBreakHyphen/>
        <w:t>gb</w:t>
      </w:r>
      <w:proofErr w:type="gramEnd"/>
      <w:r w:rsidRPr="00386CD6">
        <w:rPr>
          <w:sz w:val="16"/>
        </w:rPr>
        <w:t> : anglais (Royaume</w:t>
      </w:r>
      <w:r w:rsidRPr="00386CD6">
        <w:rPr>
          <w:sz w:val="16"/>
        </w:rPr>
        <w:noBreakHyphen/>
        <w:t xml:space="preserve">Uni);  6.  </w:t>
      </w:r>
      <w:proofErr w:type="gramStart"/>
      <w:r w:rsidRPr="00386CD6">
        <w:rPr>
          <w:sz w:val="16"/>
        </w:rPr>
        <w:t>ru</w:t>
      </w:r>
      <w:proofErr w:type="gramEnd"/>
      <w:r w:rsidRPr="00386CD6">
        <w:rPr>
          <w:sz w:val="16"/>
        </w:rPr>
        <w:t> : russe;  7.  pt</w:t>
      </w:r>
      <w:r w:rsidRPr="00386CD6">
        <w:rPr>
          <w:sz w:val="16"/>
        </w:rPr>
        <w:noBreakHyphen/>
        <w:t xml:space="preserve">br : portugais (Brésil);  8.  </w:t>
      </w:r>
      <w:proofErr w:type="gramStart"/>
      <w:r w:rsidRPr="00386CD6">
        <w:rPr>
          <w:sz w:val="16"/>
        </w:rPr>
        <w:t>ja</w:t>
      </w:r>
      <w:proofErr w:type="gramEnd"/>
      <w:r w:rsidRPr="00386CD6">
        <w:rPr>
          <w:sz w:val="16"/>
        </w:rPr>
        <w:t> : japonais;  9.  nl</w:t>
      </w:r>
      <w:r w:rsidRPr="00386CD6">
        <w:rPr>
          <w:sz w:val="16"/>
        </w:rPr>
        <w:noBreakHyphen/>
        <w:t>nl : néerlandais (Pays</w:t>
      </w:r>
      <w:r w:rsidRPr="00386CD6">
        <w:rPr>
          <w:sz w:val="16"/>
        </w:rPr>
        <w:noBreakHyphen/>
        <w:t xml:space="preserve">Bas);  10.  </w:t>
      </w:r>
      <w:proofErr w:type="gramStart"/>
      <w:r w:rsidRPr="00386CD6">
        <w:rPr>
          <w:sz w:val="16"/>
        </w:rPr>
        <w:t>de</w:t>
      </w:r>
      <w:proofErr w:type="gramEnd"/>
      <w:r w:rsidRPr="00386CD6">
        <w:rPr>
          <w:sz w:val="16"/>
        </w:rPr>
        <w:t> : allemand</w:t>
      </w:r>
    </w:p>
    <w:p w:rsidR="0083792B" w:rsidRPr="00386CD6" w:rsidRDefault="0083792B" w:rsidP="0085651C">
      <w:pPr>
        <w:jc w:val="left"/>
        <w:rPr>
          <w:sz w:val="16"/>
        </w:rPr>
      </w:pPr>
    </w:p>
    <w:p w:rsidR="0083792B" w:rsidRPr="00386CD6" w:rsidRDefault="0083792B" w:rsidP="0085651C">
      <w:pPr>
        <w:jc w:val="left"/>
        <w:rPr>
          <w:sz w:val="18"/>
        </w:rPr>
      </w:pPr>
    </w:p>
    <w:p w:rsidR="0083792B" w:rsidRPr="00386CD6" w:rsidRDefault="0083792B" w:rsidP="0085651C">
      <w:pPr>
        <w:jc w:val="left"/>
        <w:rPr>
          <w:sz w:val="18"/>
          <w:szCs w:val="18"/>
        </w:rPr>
      </w:pPr>
    </w:p>
    <w:tbl>
      <w:tblPr>
        <w:tblW w:w="9889" w:type="dxa"/>
        <w:tblLayout w:type="fixed"/>
        <w:tblLook w:val="0000" w:firstRow="0" w:lastRow="0" w:firstColumn="0" w:lastColumn="0" w:noHBand="0" w:noVBand="0"/>
      </w:tblPr>
      <w:tblGrid>
        <w:gridCol w:w="1809"/>
        <w:gridCol w:w="8080"/>
      </w:tblGrid>
      <w:tr w:rsidR="0083792B" w:rsidRPr="00386CD6" w:rsidTr="0085651C">
        <w:tc>
          <w:tcPr>
            <w:tcW w:w="1809" w:type="dxa"/>
          </w:tcPr>
          <w:p w:rsidR="0083792B" w:rsidRPr="00386CD6" w:rsidRDefault="0083792B" w:rsidP="0022145A">
            <w:pPr>
              <w:pStyle w:val="Heading6"/>
              <w:tabs>
                <w:tab w:val="left" w:pos="265"/>
              </w:tabs>
            </w:pPr>
            <w:bookmarkStart w:id="205" w:name="_Toc464487623"/>
            <w:bookmarkStart w:id="206" w:name="_Toc465100111"/>
            <w:r w:rsidRPr="00386CD6">
              <w:t>2.</w:t>
            </w:r>
            <w:r w:rsidR="0022145A" w:rsidRPr="00386CD6">
              <w:tab/>
            </w:r>
            <w:r w:rsidRPr="00386CD6">
              <w:t>Fourniture d’informations à d’autres organisations</w:t>
            </w:r>
            <w:bookmarkEnd w:id="205"/>
            <w:bookmarkEnd w:id="206"/>
          </w:p>
        </w:tc>
        <w:tc>
          <w:tcPr>
            <w:tcW w:w="8080" w:type="dxa"/>
          </w:tcPr>
          <w:p w:rsidR="0083792B" w:rsidRPr="00386CD6" w:rsidRDefault="0083792B" w:rsidP="0085651C">
            <w:pPr>
              <w:pStyle w:val="Heading8"/>
              <w:rPr>
                <w:szCs w:val="18"/>
              </w:rPr>
            </w:pPr>
            <w:bookmarkStart w:id="207" w:name="_Toc464487624"/>
            <w:bookmarkStart w:id="208" w:name="_Toc465100112"/>
            <w:bookmarkStart w:id="209" w:name="_Toc336339260"/>
            <w:bookmarkStart w:id="210" w:name="_Toc336613862"/>
            <w:r w:rsidRPr="00386CD6">
              <w:rPr>
                <w:szCs w:val="18"/>
              </w:rPr>
              <w:t>Participation à des réunions ou à des activités en collaboration avec des organisations compétentes</w:t>
            </w:r>
            <w:bookmarkEnd w:id="207"/>
            <w:bookmarkEnd w:id="208"/>
          </w:p>
          <w:bookmarkEnd w:id="209"/>
          <w:bookmarkEnd w:id="210"/>
          <w:p w:rsidR="0083792B" w:rsidRPr="00386CD6" w:rsidRDefault="0083792B" w:rsidP="0085651C">
            <w:pPr>
              <w:ind w:left="318" w:hanging="318"/>
              <w:jc w:val="left"/>
              <w:rPr>
                <w:sz w:val="18"/>
                <w:szCs w:val="18"/>
              </w:rPr>
            </w:pPr>
            <w:r w:rsidRPr="00386CD6">
              <w:rPr>
                <w:sz w:val="18"/>
                <w:szCs w:val="18"/>
              </w:rPr>
              <w:t>1.</w:t>
            </w:r>
            <w:r w:rsidRPr="00386CD6">
              <w:rPr>
                <w:sz w:val="18"/>
                <w:szCs w:val="18"/>
              </w:rPr>
              <w:tab/>
              <w:t xml:space="preserve">Organisations intergouvernementales : </w:t>
            </w:r>
            <w:r w:rsidRPr="00386CD6">
              <w:rPr>
                <w:sz w:val="18"/>
                <w:szCs w:val="18"/>
              </w:rPr>
              <w:br/>
              <w:t>ARIPO, CGIAR, Union européenne (OCVV), FAO, ISTA, Traité international sur les ressources phytogénétiques pour l’alimentation et l’agriculture, OAPI, OCDE, Nations Unies, OMPI, Banque mondiale et OMC</w:t>
            </w:r>
          </w:p>
          <w:p w:rsidR="0083792B" w:rsidRPr="00386CD6" w:rsidRDefault="0083792B" w:rsidP="0085651C">
            <w:pPr>
              <w:jc w:val="left"/>
              <w:rPr>
                <w:sz w:val="18"/>
                <w:szCs w:val="18"/>
              </w:rPr>
            </w:pPr>
          </w:p>
          <w:p w:rsidR="0083792B" w:rsidRPr="00386CD6" w:rsidRDefault="0083792B" w:rsidP="0085651C">
            <w:pPr>
              <w:ind w:left="318" w:hanging="318"/>
              <w:jc w:val="left"/>
              <w:rPr>
                <w:sz w:val="18"/>
                <w:szCs w:val="18"/>
              </w:rPr>
            </w:pPr>
            <w:r w:rsidRPr="00386CD6">
              <w:rPr>
                <w:sz w:val="18"/>
                <w:szCs w:val="18"/>
              </w:rPr>
              <w:t>2.</w:t>
            </w:r>
            <w:r w:rsidRPr="00386CD6">
              <w:rPr>
                <w:sz w:val="18"/>
                <w:szCs w:val="18"/>
              </w:rPr>
              <w:tab/>
              <w:t xml:space="preserve">Autres organisations : </w:t>
            </w:r>
            <w:r w:rsidRPr="00386CD6">
              <w:rPr>
                <w:sz w:val="18"/>
                <w:szCs w:val="18"/>
              </w:rPr>
              <w:br/>
              <w:t>AFSTA, APSA, ASIPI, CIOPORA, ESA, ISF, SAA, WECARD et OMA</w:t>
            </w:r>
          </w:p>
          <w:p w:rsidR="0083792B" w:rsidRPr="00386CD6" w:rsidRDefault="0083792B" w:rsidP="0085651C">
            <w:pPr>
              <w:ind w:right="459"/>
              <w:jc w:val="left"/>
              <w:rPr>
                <w:sz w:val="18"/>
                <w:szCs w:val="18"/>
              </w:rPr>
            </w:pPr>
          </w:p>
        </w:tc>
      </w:tr>
    </w:tbl>
    <w:p w:rsidR="0083792B" w:rsidRPr="00386CD6" w:rsidRDefault="0083792B" w:rsidP="0085651C"/>
    <w:p w:rsidR="0083792B" w:rsidRPr="00386CD6" w:rsidRDefault="0083792B" w:rsidP="0085651C"/>
    <w:p w:rsidR="0083792B" w:rsidRPr="00386CD6" w:rsidRDefault="0083792B" w:rsidP="0085651C">
      <w:pPr>
        <w:jc w:val="left"/>
      </w:pPr>
    </w:p>
    <w:p w:rsidR="0083792B" w:rsidRPr="00386CD6" w:rsidRDefault="0083792B" w:rsidP="0085651C">
      <w:pPr>
        <w:jc w:val="right"/>
      </w:pPr>
      <w:r w:rsidRPr="00386CD6">
        <w:t>[L’appendice suit]</w:t>
      </w:r>
    </w:p>
    <w:p w:rsidR="0083792B" w:rsidRPr="00386CD6" w:rsidRDefault="0083792B" w:rsidP="0085651C"/>
    <w:p w:rsidR="0083792B" w:rsidRPr="00386CD6" w:rsidRDefault="0083792B" w:rsidP="0085651C">
      <w:pPr>
        <w:sectPr w:rsidR="0083792B" w:rsidRPr="00386CD6" w:rsidSect="00D535C2">
          <w:headerReference w:type="default" r:id="rId18"/>
          <w:pgSz w:w="11907" w:h="16840" w:code="9"/>
          <w:pgMar w:top="510" w:right="1134" w:bottom="567" w:left="1134" w:header="510" w:footer="525" w:gutter="0"/>
          <w:pgNumType w:start="1"/>
          <w:cols w:space="720"/>
          <w:titlePg/>
        </w:sectPr>
      </w:pPr>
    </w:p>
    <w:p w:rsidR="0083792B" w:rsidRPr="00386CD6" w:rsidRDefault="0083792B" w:rsidP="0085651C">
      <w:pPr>
        <w:jc w:val="center"/>
      </w:pPr>
      <w:r w:rsidRPr="00386CD6">
        <w:t>C/50/2</w:t>
      </w:r>
    </w:p>
    <w:p w:rsidR="0083792B" w:rsidRPr="00386CD6" w:rsidRDefault="0083792B" w:rsidP="0085651C">
      <w:pPr>
        <w:jc w:val="center"/>
      </w:pPr>
    </w:p>
    <w:p w:rsidR="0083792B" w:rsidRPr="00386CD6" w:rsidRDefault="0083792B" w:rsidP="0085651C">
      <w:pPr>
        <w:jc w:val="center"/>
      </w:pPr>
      <w:r w:rsidRPr="00386CD6">
        <w:t>APPENDICE</w:t>
      </w:r>
    </w:p>
    <w:p w:rsidR="0083792B" w:rsidRPr="00386CD6" w:rsidRDefault="0083792B" w:rsidP="0085651C">
      <w:pPr>
        <w:jc w:val="center"/>
      </w:pPr>
    </w:p>
    <w:p w:rsidR="0083792B" w:rsidRPr="00386CD6" w:rsidRDefault="0083792B" w:rsidP="0085651C">
      <w:pPr>
        <w:jc w:val="center"/>
      </w:pPr>
      <w:r w:rsidRPr="00386CD6">
        <w:t>SIGLES ET ABRÉVIATIONS</w:t>
      </w:r>
    </w:p>
    <w:p w:rsidR="0083792B" w:rsidRPr="00386CD6" w:rsidRDefault="0083792B" w:rsidP="0085651C"/>
    <w:p w:rsidR="0083792B" w:rsidRPr="00386CD6" w:rsidRDefault="0083792B" w:rsidP="0085651C"/>
    <w:p w:rsidR="0083792B" w:rsidRPr="00386CD6" w:rsidRDefault="0083792B" w:rsidP="0085651C">
      <w:pPr>
        <w:jc w:val="center"/>
      </w:pPr>
      <w:r w:rsidRPr="00386CD6">
        <w:rPr>
          <w:u w:val="single"/>
        </w:rPr>
        <w:t>Termes de l’UPOV</w:t>
      </w:r>
    </w:p>
    <w:p w:rsidR="0083792B" w:rsidRPr="00386CD6" w:rsidRDefault="0083792B" w:rsidP="0085651C"/>
    <w:p w:rsidR="0083792B" w:rsidRPr="00386CD6" w:rsidRDefault="0083792B" w:rsidP="0085651C"/>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83792B" w:rsidRPr="00386CD6" w:rsidTr="0085651C">
        <w:tc>
          <w:tcPr>
            <w:tcW w:w="1904" w:type="dxa"/>
          </w:tcPr>
          <w:p w:rsidR="0083792B" w:rsidRPr="00386CD6" w:rsidRDefault="0083792B" w:rsidP="0085651C">
            <w:pPr>
              <w:jc w:val="left"/>
            </w:pPr>
            <w:r w:rsidRPr="00386CD6">
              <w:t>BMT</w:t>
            </w:r>
          </w:p>
        </w:tc>
        <w:tc>
          <w:tcPr>
            <w:tcW w:w="7985" w:type="dxa"/>
          </w:tcPr>
          <w:p w:rsidR="0083792B" w:rsidRPr="00386CD6" w:rsidRDefault="0083792B" w:rsidP="0085651C">
            <w:pPr>
              <w:jc w:val="left"/>
            </w:pPr>
            <w:r w:rsidRPr="00386CD6">
              <w:t>Groupe de travail sur les techniques biochimiques et moléculaires, notamment les profils d’ADN</w:t>
            </w:r>
          </w:p>
        </w:tc>
      </w:tr>
      <w:tr w:rsidR="0083792B" w:rsidRPr="00386CD6" w:rsidTr="0085651C">
        <w:tc>
          <w:tcPr>
            <w:tcW w:w="1904" w:type="dxa"/>
          </w:tcPr>
          <w:p w:rsidR="0083792B" w:rsidRPr="00386CD6" w:rsidRDefault="0083792B" w:rsidP="0085651C">
            <w:pPr>
              <w:jc w:val="left"/>
            </w:pPr>
            <w:r w:rsidRPr="00386CD6">
              <w:t>Bureau</w:t>
            </w:r>
          </w:p>
        </w:tc>
        <w:tc>
          <w:tcPr>
            <w:tcW w:w="7985" w:type="dxa"/>
          </w:tcPr>
          <w:p w:rsidR="0083792B" w:rsidRPr="00386CD6" w:rsidRDefault="0083792B" w:rsidP="0085651C">
            <w:pPr>
              <w:jc w:val="left"/>
            </w:pPr>
            <w:r w:rsidRPr="00386CD6">
              <w:t>Bureau de l’Union</w:t>
            </w:r>
          </w:p>
        </w:tc>
      </w:tr>
      <w:tr w:rsidR="0083792B" w:rsidRPr="00386CD6" w:rsidTr="0085651C">
        <w:tc>
          <w:tcPr>
            <w:tcW w:w="1904" w:type="dxa"/>
          </w:tcPr>
          <w:p w:rsidR="0083792B" w:rsidRPr="00386CD6" w:rsidRDefault="0083792B" w:rsidP="0085651C">
            <w:pPr>
              <w:jc w:val="left"/>
            </w:pPr>
            <w:r w:rsidRPr="00386CD6">
              <w:t>CAJ</w:t>
            </w:r>
          </w:p>
        </w:tc>
        <w:tc>
          <w:tcPr>
            <w:tcW w:w="7985" w:type="dxa"/>
          </w:tcPr>
          <w:p w:rsidR="0083792B" w:rsidRPr="00386CD6" w:rsidRDefault="0083792B" w:rsidP="0085651C">
            <w:pPr>
              <w:jc w:val="left"/>
            </w:pPr>
            <w:r w:rsidRPr="00386CD6">
              <w:t xml:space="preserve">Comité administratif et juridique </w:t>
            </w:r>
          </w:p>
        </w:tc>
      </w:tr>
      <w:tr w:rsidR="0083792B" w:rsidRPr="00386CD6" w:rsidTr="0085651C">
        <w:tc>
          <w:tcPr>
            <w:tcW w:w="1904" w:type="dxa"/>
          </w:tcPr>
          <w:p w:rsidR="0083792B" w:rsidRPr="00386CD6" w:rsidRDefault="0083792B" w:rsidP="0085651C">
            <w:pPr>
              <w:autoSpaceDE w:val="0"/>
              <w:autoSpaceDN w:val="0"/>
              <w:adjustRightInd w:val="0"/>
              <w:jc w:val="left"/>
            </w:pPr>
            <w:r w:rsidRPr="00386CD6">
              <w:t>DL</w:t>
            </w:r>
            <w:r w:rsidRPr="00386CD6">
              <w:noBreakHyphen/>
              <w:t>205</w:t>
            </w:r>
          </w:p>
        </w:tc>
        <w:tc>
          <w:tcPr>
            <w:tcW w:w="7985" w:type="dxa"/>
          </w:tcPr>
          <w:p w:rsidR="0083792B" w:rsidRPr="00386CD6" w:rsidRDefault="0083792B" w:rsidP="0085651C">
            <w:pPr>
              <w:autoSpaceDE w:val="0"/>
              <w:autoSpaceDN w:val="0"/>
              <w:adjustRightInd w:val="0"/>
              <w:jc w:val="left"/>
            </w:pPr>
            <w:r w:rsidRPr="00386CD6">
              <w:t>Cours d’enseignement à distance de l’UPOV “Introduction au système UPOV de protection des variétés végétales selon la Convention UPOV”</w:t>
            </w:r>
          </w:p>
        </w:tc>
      </w:tr>
      <w:tr w:rsidR="0083792B" w:rsidRPr="00386CD6" w:rsidTr="0085651C">
        <w:tc>
          <w:tcPr>
            <w:tcW w:w="1904" w:type="dxa"/>
          </w:tcPr>
          <w:p w:rsidR="0083792B" w:rsidRPr="00386CD6" w:rsidRDefault="0083792B" w:rsidP="0085651C">
            <w:pPr>
              <w:autoSpaceDE w:val="0"/>
              <w:autoSpaceDN w:val="0"/>
              <w:adjustRightInd w:val="0"/>
              <w:jc w:val="left"/>
            </w:pPr>
            <w:r w:rsidRPr="00386CD6">
              <w:t>DL</w:t>
            </w:r>
            <w:r w:rsidRPr="00386CD6">
              <w:noBreakHyphen/>
              <w:t>305</w:t>
            </w:r>
          </w:p>
        </w:tc>
        <w:tc>
          <w:tcPr>
            <w:tcW w:w="7985" w:type="dxa"/>
          </w:tcPr>
          <w:p w:rsidR="0083792B" w:rsidRPr="00386CD6" w:rsidRDefault="0083792B" w:rsidP="0085651C">
            <w:pPr>
              <w:autoSpaceDE w:val="0"/>
              <w:autoSpaceDN w:val="0"/>
              <w:adjustRightInd w:val="0"/>
              <w:jc w:val="left"/>
            </w:pPr>
            <w:r w:rsidRPr="00386CD6">
              <w:t>Cours d’enseignement à distance de l’UPOV “Examen des demandes de droits d’obtenteur”</w:t>
            </w:r>
          </w:p>
        </w:tc>
      </w:tr>
      <w:tr w:rsidR="0083792B" w:rsidRPr="00386CD6" w:rsidTr="0085651C">
        <w:tc>
          <w:tcPr>
            <w:tcW w:w="1904" w:type="dxa"/>
          </w:tcPr>
          <w:p w:rsidR="0083792B" w:rsidRPr="00386CD6" w:rsidRDefault="0083792B" w:rsidP="0085651C">
            <w:pPr>
              <w:jc w:val="left"/>
            </w:pPr>
            <w:r w:rsidRPr="00386CD6">
              <w:t>DL</w:t>
            </w:r>
            <w:r w:rsidRPr="00386CD6">
              <w:noBreakHyphen/>
              <w:t>305A</w:t>
            </w:r>
          </w:p>
        </w:tc>
        <w:tc>
          <w:tcPr>
            <w:tcW w:w="7985" w:type="dxa"/>
          </w:tcPr>
          <w:p w:rsidR="0083792B" w:rsidRPr="00386CD6" w:rsidRDefault="0083792B" w:rsidP="0085651C">
            <w:pPr>
              <w:jc w:val="left"/>
            </w:pPr>
            <w:r w:rsidRPr="00386CD6">
              <w:t>Cours d’enseignement à distance de l’UPOV “Administration des droits d’obtenteur” (Partie A du cours DL</w:t>
            </w:r>
            <w:r w:rsidRPr="00386CD6">
              <w:noBreakHyphen/>
              <w:t>305)</w:t>
            </w:r>
          </w:p>
        </w:tc>
      </w:tr>
      <w:tr w:rsidR="0083792B" w:rsidRPr="00386CD6" w:rsidTr="0085651C">
        <w:tc>
          <w:tcPr>
            <w:tcW w:w="1904" w:type="dxa"/>
          </w:tcPr>
          <w:p w:rsidR="0083792B" w:rsidRPr="00386CD6" w:rsidRDefault="0083792B" w:rsidP="0085651C">
            <w:pPr>
              <w:jc w:val="left"/>
            </w:pPr>
            <w:r w:rsidRPr="00386CD6">
              <w:t>DL</w:t>
            </w:r>
            <w:r w:rsidRPr="00386CD6">
              <w:noBreakHyphen/>
              <w:t>305B</w:t>
            </w:r>
          </w:p>
        </w:tc>
        <w:tc>
          <w:tcPr>
            <w:tcW w:w="7985" w:type="dxa"/>
          </w:tcPr>
          <w:p w:rsidR="0083792B" w:rsidRPr="00386CD6" w:rsidRDefault="0083792B" w:rsidP="0085651C">
            <w:pPr>
              <w:jc w:val="left"/>
            </w:pPr>
            <w:r w:rsidRPr="00386CD6">
              <w:t>Cours d’enseignement à distance de l’UPOV “</w:t>
            </w:r>
            <w:r w:rsidRPr="00386CD6">
              <w:rPr>
                <w:rFonts w:cs="Arial"/>
              </w:rPr>
              <w:t>Examen DHS” (partie B du cours DL</w:t>
            </w:r>
            <w:r w:rsidRPr="00386CD6">
              <w:rPr>
                <w:rFonts w:cs="Arial"/>
              </w:rPr>
              <w:noBreakHyphen/>
              <w:t>305)</w:t>
            </w:r>
          </w:p>
        </w:tc>
      </w:tr>
      <w:tr w:rsidR="0083792B" w:rsidRPr="00386CD6" w:rsidTr="0085651C">
        <w:tc>
          <w:tcPr>
            <w:tcW w:w="1904" w:type="dxa"/>
          </w:tcPr>
          <w:p w:rsidR="0083792B" w:rsidRPr="00386CD6" w:rsidRDefault="0083792B" w:rsidP="0085651C">
            <w:pPr>
              <w:jc w:val="left"/>
            </w:pPr>
            <w:r w:rsidRPr="00386CD6">
              <w:t>DHS</w:t>
            </w:r>
          </w:p>
        </w:tc>
        <w:tc>
          <w:tcPr>
            <w:tcW w:w="7985" w:type="dxa"/>
          </w:tcPr>
          <w:p w:rsidR="0083792B" w:rsidRPr="00386CD6" w:rsidRDefault="0083792B" w:rsidP="0085651C">
            <w:pPr>
              <w:jc w:val="left"/>
            </w:pPr>
            <w:r w:rsidRPr="00386CD6">
              <w:t>Distinction, homogénéité et stabilité</w:t>
            </w:r>
          </w:p>
        </w:tc>
      </w:tr>
      <w:tr w:rsidR="0083792B" w:rsidRPr="00386CD6" w:rsidTr="0085651C">
        <w:tc>
          <w:tcPr>
            <w:tcW w:w="1904" w:type="dxa"/>
          </w:tcPr>
          <w:p w:rsidR="0083792B" w:rsidRPr="00386CD6" w:rsidRDefault="0083792B" w:rsidP="0085651C">
            <w:pPr>
              <w:jc w:val="left"/>
            </w:pPr>
            <w:r w:rsidRPr="00386CD6">
              <w:t>TC</w:t>
            </w:r>
          </w:p>
        </w:tc>
        <w:tc>
          <w:tcPr>
            <w:tcW w:w="7985" w:type="dxa"/>
          </w:tcPr>
          <w:p w:rsidR="0083792B" w:rsidRPr="00386CD6" w:rsidRDefault="0083792B" w:rsidP="0085651C">
            <w:pPr>
              <w:jc w:val="left"/>
            </w:pPr>
            <w:r w:rsidRPr="00386CD6">
              <w:t>Comité technique</w:t>
            </w:r>
          </w:p>
        </w:tc>
      </w:tr>
      <w:tr w:rsidR="0083792B" w:rsidRPr="00386CD6" w:rsidTr="0085651C">
        <w:tc>
          <w:tcPr>
            <w:tcW w:w="1904" w:type="dxa"/>
          </w:tcPr>
          <w:p w:rsidR="0083792B" w:rsidRPr="00386CD6" w:rsidRDefault="0083792B" w:rsidP="0085651C">
            <w:pPr>
              <w:jc w:val="left"/>
            </w:pPr>
            <w:r w:rsidRPr="00386CD6">
              <w:t>TC</w:t>
            </w:r>
            <w:r w:rsidRPr="00386CD6">
              <w:noBreakHyphen/>
              <w:t>EDC</w:t>
            </w:r>
          </w:p>
        </w:tc>
        <w:tc>
          <w:tcPr>
            <w:tcW w:w="7985" w:type="dxa"/>
          </w:tcPr>
          <w:p w:rsidR="0083792B" w:rsidRPr="00386CD6" w:rsidRDefault="0083792B" w:rsidP="0085651C">
            <w:pPr>
              <w:jc w:val="left"/>
            </w:pPr>
            <w:r w:rsidRPr="00386CD6">
              <w:t>Comité de rédaction élargi</w:t>
            </w:r>
          </w:p>
        </w:tc>
      </w:tr>
      <w:tr w:rsidR="0083792B" w:rsidRPr="00386CD6" w:rsidTr="0085651C">
        <w:tc>
          <w:tcPr>
            <w:tcW w:w="1904" w:type="dxa"/>
          </w:tcPr>
          <w:p w:rsidR="0083792B" w:rsidRPr="00386CD6" w:rsidRDefault="0083792B" w:rsidP="0085651C">
            <w:pPr>
              <w:jc w:val="left"/>
            </w:pPr>
            <w:r w:rsidRPr="00386CD6">
              <w:t>TWA</w:t>
            </w:r>
          </w:p>
        </w:tc>
        <w:tc>
          <w:tcPr>
            <w:tcW w:w="7985" w:type="dxa"/>
          </w:tcPr>
          <w:p w:rsidR="0083792B" w:rsidRPr="00386CD6" w:rsidRDefault="0083792B" w:rsidP="0085651C">
            <w:pPr>
              <w:jc w:val="left"/>
            </w:pPr>
            <w:r w:rsidRPr="00386CD6">
              <w:t>Groupe de travail technique sur les plantes agricoles</w:t>
            </w:r>
          </w:p>
        </w:tc>
      </w:tr>
      <w:tr w:rsidR="0083792B" w:rsidRPr="00386CD6" w:rsidTr="0085651C">
        <w:tc>
          <w:tcPr>
            <w:tcW w:w="1904" w:type="dxa"/>
          </w:tcPr>
          <w:p w:rsidR="0083792B" w:rsidRPr="00386CD6" w:rsidRDefault="0083792B" w:rsidP="0085651C">
            <w:pPr>
              <w:jc w:val="left"/>
            </w:pPr>
            <w:r w:rsidRPr="00386CD6">
              <w:t>TWC</w:t>
            </w:r>
          </w:p>
        </w:tc>
        <w:tc>
          <w:tcPr>
            <w:tcW w:w="7985" w:type="dxa"/>
          </w:tcPr>
          <w:p w:rsidR="0083792B" w:rsidRPr="00386CD6" w:rsidRDefault="0083792B" w:rsidP="0085651C">
            <w:pPr>
              <w:jc w:val="left"/>
            </w:pPr>
            <w:r w:rsidRPr="00386CD6">
              <w:t>Groupe de travail technique sur les systèmes d’automatisation et les programmes d’ordinateur</w:t>
            </w:r>
          </w:p>
        </w:tc>
      </w:tr>
      <w:tr w:rsidR="0083792B" w:rsidRPr="00386CD6" w:rsidTr="0085651C">
        <w:tc>
          <w:tcPr>
            <w:tcW w:w="1904" w:type="dxa"/>
          </w:tcPr>
          <w:p w:rsidR="0083792B" w:rsidRPr="00386CD6" w:rsidRDefault="0083792B" w:rsidP="0085651C">
            <w:pPr>
              <w:jc w:val="left"/>
            </w:pPr>
            <w:r w:rsidRPr="00386CD6">
              <w:t>TWF</w:t>
            </w:r>
          </w:p>
        </w:tc>
        <w:tc>
          <w:tcPr>
            <w:tcW w:w="7985" w:type="dxa"/>
          </w:tcPr>
          <w:p w:rsidR="0083792B" w:rsidRPr="00386CD6" w:rsidRDefault="0083792B" w:rsidP="0085651C">
            <w:pPr>
              <w:jc w:val="left"/>
            </w:pPr>
            <w:r w:rsidRPr="00386CD6">
              <w:t>Groupe de travail technique sur les plantes fruitières</w:t>
            </w:r>
          </w:p>
        </w:tc>
      </w:tr>
      <w:tr w:rsidR="0083792B" w:rsidRPr="00386CD6" w:rsidTr="0085651C">
        <w:tc>
          <w:tcPr>
            <w:tcW w:w="1904" w:type="dxa"/>
          </w:tcPr>
          <w:p w:rsidR="0083792B" w:rsidRPr="00386CD6" w:rsidRDefault="0083792B" w:rsidP="0085651C">
            <w:pPr>
              <w:jc w:val="left"/>
            </w:pPr>
            <w:r w:rsidRPr="00386CD6">
              <w:t>TWO</w:t>
            </w:r>
          </w:p>
        </w:tc>
        <w:tc>
          <w:tcPr>
            <w:tcW w:w="7985" w:type="dxa"/>
          </w:tcPr>
          <w:p w:rsidR="0083792B" w:rsidRPr="00386CD6" w:rsidRDefault="0083792B" w:rsidP="0085651C">
            <w:pPr>
              <w:jc w:val="left"/>
            </w:pPr>
            <w:r w:rsidRPr="00386CD6">
              <w:t>Groupe de travail technique sur les plantes ornementales et les arbres forestiers</w:t>
            </w:r>
          </w:p>
        </w:tc>
      </w:tr>
      <w:tr w:rsidR="0083792B" w:rsidRPr="00386CD6" w:rsidTr="0085651C">
        <w:tc>
          <w:tcPr>
            <w:tcW w:w="1904" w:type="dxa"/>
          </w:tcPr>
          <w:p w:rsidR="0083792B" w:rsidRPr="00386CD6" w:rsidRDefault="0083792B" w:rsidP="0085651C">
            <w:pPr>
              <w:jc w:val="left"/>
            </w:pPr>
            <w:r w:rsidRPr="00386CD6">
              <w:t>TWP(s)</w:t>
            </w:r>
          </w:p>
        </w:tc>
        <w:tc>
          <w:tcPr>
            <w:tcW w:w="7985" w:type="dxa"/>
          </w:tcPr>
          <w:p w:rsidR="0083792B" w:rsidRPr="00386CD6" w:rsidRDefault="0083792B" w:rsidP="0085651C">
            <w:pPr>
              <w:jc w:val="left"/>
            </w:pPr>
            <w:r w:rsidRPr="00386CD6">
              <w:t>Groupe(s) de travail technique</w:t>
            </w:r>
          </w:p>
        </w:tc>
      </w:tr>
      <w:tr w:rsidR="0083792B" w:rsidRPr="00386CD6" w:rsidTr="0085651C">
        <w:tc>
          <w:tcPr>
            <w:tcW w:w="1904" w:type="dxa"/>
          </w:tcPr>
          <w:p w:rsidR="0083792B" w:rsidRPr="00386CD6" w:rsidRDefault="0083792B" w:rsidP="0085651C">
            <w:pPr>
              <w:jc w:val="left"/>
            </w:pPr>
            <w:r w:rsidRPr="00386CD6">
              <w:t>TWV</w:t>
            </w:r>
          </w:p>
        </w:tc>
        <w:tc>
          <w:tcPr>
            <w:tcW w:w="7985" w:type="dxa"/>
          </w:tcPr>
          <w:p w:rsidR="0083792B" w:rsidRPr="00386CD6" w:rsidRDefault="0083792B" w:rsidP="0085651C">
            <w:pPr>
              <w:jc w:val="left"/>
            </w:pPr>
            <w:r w:rsidRPr="00386CD6">
              <w:t>Groupe de travail technique sur les plantes potagères</w:t>
            </w:r>
          </w:p>
        </w:tc>
      </w:tr>
    </w:tbl>
    <w:p w:rsidR="0083792B" w:rsidRPr="00386CD6" w:rsidRDefault="0083792B" w:rsidP="0085651C"/>
    <w:p w:rsidR="0083792B" w:rsidRPr="00386CD6" w:rsidRDefault="0083792B" w:rsidP="0085651C">
      <w:pPr>
        <w:ind w:left="1418" w:hanging="1418"/>
      </w:pPr>
    </w:p>
    <w:p w:rsidR="0083792B" w:rsidRPr="00386CD6" w:rsidRDefault="0083792B" w:rsidP="0085651C">
      <w:pPr>
        <w:ind w:left="1418" w:hanging="1418"/>
        <w:jc w:val="center"/>
        <w:rPr>
          <w:u w:val="single"/>
        </w:rPr>
      </w:pPr>
      <w:r w:rsidRPr="00386CD6">
        <w:rPr>
          <w:u w:val="single"/>
        </w:rPr>
        <w:t>Acronymes</w:t>
      </w:r>
    </w:p>
    <w:p w:rsidR="0083792B" w:rsidRPr="00386CD6" w:rsidRDefault="0083792B" w:rsidP="0085651C"/>
    <w:p w:rsidR="0083792B" w:rsidRPr="00386CD6" w:rsidRDefault="0083792B" w:rsidP="0085651C"/>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83792B" w:rsidRPr="00386CD6" w:rsidTr="0085651C">
        <w:tc>
          <w:tcPr>
            <w:tcW w:w="1904" w:type="dxa"/>
          </w:tcPr>
          <w:p w:rsidR="0083792B" w:rsidRPr="00386CD6" w:rsidRDefault="0083792B" w:rsidP="0085651C">
            <w:pPr>
              <w:autoSpaceDE w:val="0"/>
              <w:autoSpaceDN w:val="0"/>
              <w:adjustRightInd w:val="0"/>
              <w:jc w:val="left"/>
            </w:pPr>
            <w:r w:rsidRPr="00386CD6">
              <w:t>AATF</w:t>
            </w:r>
          </w:p>
        </w:tc>
        <w:tc>
          <w:tcPr>
            <w:tcW w:w="7985" w:type="dxa"/>
          </w:tcPr>
          <w:p w:rsidR="0083792B" w:rsidRPr="00386CD6" w:rsidRDefault="0083792B" w:rsidP="0085651C">
            <w:pPr>
              <w:autoSpaceDE w:val="0"/>
              <w:autoSpaceDN w:val="0"/>
              <w:adjustRightInd w:val="0"/>
              <w:jc w:val="left"/>
            </w:pPr>
            <w:r w:rsidRPr="00386CD6">
              <w:t>Fondation africaine pour les technologies agricoles</w:t>
            </w:r>
          </w:p>
        </w:tc>
      </w:tr>
      <w:tr w:rsidR="0083792B" w:rsidRPr="00386CD6" w:rsidTr="0085651C">
        <w:tc>
          <w:tcPr>
            <w:tcW w:w="1904" w:type="dxa"/>
          </w:tcPr>
          <w:p w:rsidR="0083792B" w:rsidRPr="00386CD6" w:rsidRDefault="0083792B" w:rsidP="0085651C">
            <w:pPr>
              <w:jc w:val="left"/>
              <w:rPr>
                <w:szCs w:val="24"/>
              </w:rPr>
            </w:pPr>
            <w:r w:rsidRPr="00386CD6">
              <w:rPr>
                <w:szCs w:val="24"/>
              </w:rPr>
              <w:t>ADPIC</w:t>
            </w:r>
          </w:p>
        </w:tc>
        <w:tc>
          <w:tcPr>
            <w:tcW w:w="7985" w:type="dxa"/>
          </w:tcPr>
          <w:p w:rsidR="0083792B" w:rsidRPr="00386CD6" w:rsidRDefault="0083792B" w:rsidP="0085651C">
            <w:pPr>
              <w:jc w:val="left"/>
              <w:rPr>
                <w:szCs w:val="24"/>
              </w:rPr>
            </w:pPr>
            <w:r w:rsidRPr="00386CD6">
              <w:rPr>
                <w:szCs w:val="24"/>
              </w:rPr>
              <w:t xml:space="preserve">Accord sur les aspects des droits de propriété intellectuelle qui touchent au commerce </w:t>
            </w:r>
          </w:p>
        </w:tc>
      </w:tr>
      <w:tr w:rsidR="0083792B" w:rsidRPr="00386CD6" w:rsidTr="0085651C">
        <w:tc>
          <w:tcPr>
            <w:tcW w:w="1904" w:type="dxa"/>
          </w:tcPr>
          <w:p w:rsidR="0083792B" w:rsidRPr="00386CD6" w:rsidRDefault="0083792B" w:rsidP="0085651C">
            <w:pPr>
              <w:jc w:val="left"/>
            </w:pPr>
            <w:r w:rsidRPr="00386CD6">
              <w:t>AECID</w:t>
            </w:r>
          </w:p>
        </w:tc>
        <w:tc>
          <w:tcPr>
            <w:tcW w:w="7985" w:type="dxa"/>
          </w:tcPr>
          <w:p w:rsidR="0083792B" w:rsidRPr="00386CD6" w:rsidRDefault="0083792B" w:rsidP="0085651C">
            <w:pPr>
              <w:jc w:val="left"/>
            </w:pPr>
            <w:r w:rsidRPr="00386CD6">
              <w:t>Agence espagnole de coopération internationale pour le développement</w:t>
            </w:r>
          </w:p>
        </w:tc>
      </w:tr>
      <w:tr w:rsidR="0083792B" w:rsidRPr="00386CD6" w:rsidTr="0085651C">
        <w:tc>
          <w:tcPr>
            <w:tcW w:w="1904" w:type="dxa"/>
          </w:tcPr>
          <w:p w:rsidR="0083792B" w:rsidRPr="00386CD6" w:rsidRDefault="0083792B" w:rsidP="0085651C">
            <w:pPr>
              <w:jc w:val="left"/>
            </w:pPr>
            <w:r w:rsidRPr="00386CD6">
              <w:t>AFSTA</w:t>
            </w:r>
          </w:p>
        </w:tc>
        <w:tc>
          <w:tcPr>
            <w:tcW w:w="7985" w:type="dxa"/>
          </w:tcPr>
          <w:p w:rsidR="0083792B" w:rsidRPr="00386CD6" w:rsidRDefault="0083792B" w:rsidP="0085651C">
            <w:pPr>
              <w:jc w:val="left"/>
            </w:pPr>
            <w:r w:rsidRPr="00386CD6">
              <w:t>Association africaine du commerce des semences</w:t>
            </w:r>
          </w:p>
        </w:tc>
      </w:tr>
      <w:tr w:rsidR="0083792B" w:rsidRPr="00386CD6" w:rsidTr="0085651C">
        <w:tc>
          <w:tcPr>
            <w:tcW w:w="1904" w:type="dxa"/>
          </w:tcPr>
          <w:p w:rsidR="0083792B" w:rsidRPr="00386CD6" w:rsidRDefault="0083792B" w:rsidP="0085651C">
            <w:pPr>
              <w:autoSpaceDE w:val="0"/>
              <w:autoSpaceDN w:val="0"/>
              <w:adjustRightInd w:val="0"/>
              <w:jc w:val="left"/>
              <w:rPr>
                <w:rFonts w:cs="Arial"/>
              </w:rPr>
            </w:pPr>
            <w:r w:rsidRPr="00386CD6">
              <w:rPr>
                <w:rFonts w:cs="Arial"/>
              </w:rPr>
              <w:t>AGEPI</w:t>
            </w:r>
          </w:p>
        </w:tc>
        <w:tc>
          <w:tcPr>
            <w:tcW w:w="7985" w:type="dxa"/>
          </w:tcPr>
          <w:p w:rsidR="0083792B" w:rsidRPr="00386CD6" w:rsidRDefault="0083792B" w:rsidP="0085651C">
            <w:pPr>
              <w:autoSpaceDE w:val="0"/>
              <w:autoSpaceDN w:val="0"/>
              <w:adjustRightInd w:val="0"/>
              <w:jc w:val="left"/>
              <w:rPr>
                <w:rFonts w:cs="Arial"/>
              </w:rPr>
            </w:pPr>
            <w:r w:rsidRPr="00386CD6">
              <w:rPr>
                <w:rFonts w:cs="Arial"/>
              </w:rPr>
              <w:t>Office d’État de la propriété intellectuelle de la République de Moldova</w:t>
            </w:r>
          </w:p>
        </w:tc>
      </w:tr>
      <w:tr w:rsidR="0083792B" w:rsidRPr="00386CD6" w:rsidTr="0085651C">
        <w:tc>
          <w:tcPr>
            <w:tcW w:w="1904" w:type="dxa"/>
          </w:tcPr>
          <w:p w:rsidR="0083792B" w:rsidRPr="00386CD6" w:rsidRDefault="0083792B" w:rsidP="0085651C">
            <w:pPr>
              <w:autoSpaceDE w:val="0"/>
              <w:autoSpaceDN w:val="0"/>
              <w:adjustRightInd w:val="0"/>
              <w:jc w:val="left"/>
            </w:pPr>
            <w:r w:rsidRPr="00386CD6">
              <w:rPr>
                <w:rFonts w:cs="Arial"/>
              </w:rPr>
              <w:t>AGRA</w:t>
            </w:r>
          </w:p>
        </w:tc>
        <w:tc>
          <w:tcPr>
            <w:tcW w:w="7985" w:type="dxa"/>
          </w:tcPr>
          <w:p w:rsidR="0083792B" w:rsidRPr="00386CD6" w:rsidRDefault="0083792B" w:rsidP="0085651C">
            <w:pPr>
              <w:autoSpaceDE w:val="0"/>
              <w:autoSpaceDN w:val="0"/>
              <w:adjustRightInd w:val="0"/>
              <w:jc w:val="left"/>
            </w:pPr>
            <w:r w:rsidRPr="00386CD6">
              <w:rPr>
                <w:rFonts w:cs="Arial"/>
              </w:rPr>
              <w:t>Alliance pour une révolution verte en Afrique</w:t>
            </w:r>
          </w:p>
        </w:tc>
      </w:tr>
      <w:tr w:rsidR="0083792B" w:rsidRPr="00386CD6" w:rsidTr="0085651C">
        <w:tc>
          <w:tcPr>
            <w:tcW w:w="1904" w:type="dxa"/>
          </w:tcPr>
          <w:p w:rsidR="0083792B" w:rsidRPr="00386CD6" w:rsidRDefault="0083792B" w:rsidP="0085651C">
            <w:pPr>
              <w:jc w:val="left"/>
            </w:pPr>
            <w:r w:rsidRPr="00386CD6">
              <w:t>APSA</w:t>
            </w:r>
          </w:p>
        </w:tc>
        <w:tc>
          <w:tcPr>
            <w:tcW w:w="7985" w:type="dxa"/>
          </w:tcPr>
          <w:p w:rsidR="0083792B" w:rsidRPr="00386CD6" w:rsidRDefault="0083792B" w:rsidP="0085651C">
            <w:pPr>
              <w:jc w:val="left"/>
            </w:pPr>
            <w:r w:rsidRPr="00386CD6">
              <w:t>Association des semenciers d’Asie et du Pacifique</w:t>
            </w:r>
          </w:p>
        </w:tc>
      </w:tr>
      <w:tr w:rsidR="0083792B" w:rsidRPr="00386CD6" w:rsidTr="0085651C">
        <w:tc>
          <w:tcPr>
            <w:tcW w:w="1904" w:type="dxa"/>
          </w:tcPr>
          <w:p w:rsidR="0083792B" w:rsidRPr="00386CD6" w:rsidRDefault="0083792B" w:rsidP="0085651C">
            <w:pPr>
              <w:jc w:val="left"/>
            </w:pPr>
            <w:r w:rsidRPr="00386CD6">
              <w:t>ARIPO</w:t>
            </w:r>
          </w:p>
        </w:tc>
        <w:tc>
          <w:tcPr>
            <w:tcW w:w="7985" w:type="dxa"/>
          </w:tcPr>
          <w:p w:rsidR="0083792B" w:rsidRPr="00386CD6" w:rsidRDefault="0083792B" w:rsidP="0085651C">
            <w:pPr>
              <w:jc w:val="left"/>
            </w:pPr>
            <w:r w:rsidRPr="00386CD6">
              <w:t>Organisation régionale africaine de la propriété intellectuelle</w:t>
            </w:r>
          </w:p>
        </w:tc>
      </w:tr>
      <w:tr w:rsidR="0083792B" w:rsidRPr="00386CD6" w:rsidTr="0085651C">
        <w:tc>
          <w:tcPr>
            <w:tcW w:w="1904" w:type="dxa"/>
          </w:tcPr>
          <w:p w:rsidR="0083792B" w:rsidRPr="00386CD6" w:rsidRDefault="0083792B" w:rsidP="0085651C">
            <w:pPr>
              <w:jc w:val="left"/>
            </w:pPr>
            <w:r w:rsidRPr="00386CD6">
              <w:t>ASIPI</w:t>
            </w:r>
          </w:p>
        </w:tc>
        <w:tc>
          <w:tcPr>
            <w:tcW w:w="7985" w:type="dxa"/>
          </w:tcPr>
          <w:p w:rsidR="0083792B" w:rsidRPr="00386CD6" w:rsidRDefault="0083792B" w:rsidP="0085651C">
            <w:pPr>
              <w:jc w:val="left"/>
            </w:pPr>
            <w:r w:rsidRPr="00386CD6">
              <w:t>Association interaméricaine de la propriété intellectuelle</w:t>
            </w:r>
          </w:p>
        </w:tc>
      </w:tr>
      <w:tr w:rsidR="0083792B" w:rsidRPr="00386CD6" w:rsidTr="0085651C">
        <w:tc>
          <w:tcPr>
            <w:tcW w:w="1904" w:type="dxa"/>
          </w:tcPr>
          <w:p w:rsidR="0083792B" w:rsidRPr="00386CD6" w:rsidRDefault="0083792B" w:rsidP="0085651C">
            <w:pPr>
              <w:jc w:val="left"/>
              <w:rPr>
                <w:rFonts w:cs="Arial"/>
              </w:rPr>
            </w:pPr>
            <w:r w:rsidRPr="00386CD6">
              <w:t>ASTA</w:t>
            </w:r>
          </w:p>
        </w:tc>
        <w:tc>
          <w:tcPr>
            <w:tcW w:w="7985" w:type="dxa"/>
          </w:tcPr>
          <w:p w:rsidR="0083792B" w:rsidRPr="00386CD6" w:rsidRDefault="0083792B" w:rsidP="0085651C">
            <w:pPr>
              <w:jc w:val="left"/>
              <w:rPr>
                <w:rFonts w:cs="Arial"/>
              </w:rPr>
            </w:pPr>
            <w:r w:rsidRPr="00386CD6">
              <w:t>American Seed Trade Association</w:t>
            </w:r>
          </w:p>
        </w:tc>
      </w:tr>
      <w:tr w:rsidR="0083792B" w:rsidRPr="00386CD6" w:rsidTr="0085651C">
        <w:tc>
          <w:tcPr>
            <w:tcW w:w="1904" w:type="dxa"/>
          </w:tcPr>
          <w:p w:rsidR="0083792B" w:rsidRPr="00386CD6" w:rsidRDefault="0083792B" w:rsidP="0085651C">
            <w:pPr>
              <w:jc w:val="left"/>
            </w:pPr>
            <w:r w:rsidRPr="00386CD6">
              <w:t>CDB</w:t>
            </w:r>
          </w:p>
        </w:tc>
        <w:tc>
          <w:tcPr>
            <w:tcW w:w="7985" w:type="dxa"/>
          </w:tcPr>
          <w:p w:rsidR="0083792B" w:rsidRPr="00386CD6" w:rsidRDefault="0083792B" w:rsidP="0085651C">
            <w:pPr>
              <w:jc w:val="left"/>
            </w:pPr>
            <w:r w:rsidRPr="00386CD6">
              <w:t>Convention sur la diversité biologique</w:t>
            </w:r>
          </w:p>
        </w:tc>
      </w:tr>
      <w:tr w:rsidR="0083792B" w:rsidRPr="00386CD6" w:rsidTr="0085651C">
        <w:tc>
          <w:tcPr>
            <w:tcW w:w="1904" w:type="dxa"/>
          </w:tcPr>
          <w:p w:rsidR="0083792B" w:rsidRPr="00386CD6" w:rsidRDefault="0083792B" w:rsidP="0085651C">
            <w:pPr>
              <w:jc w:val="left"/>
              <w:rPr>
                <w:snapToGrid w:val="0"/>
              </w:rPr>
            </w:pPr>
            <w:r w:rsidRPr="00386CD6">
              <w:rPr>
                <w:snapToGrid w:val="0"/>
              </w:rPr>
              <w:t>CGIAR</w:t>
            </w:r>
          </w:p>
        </w:tc>
        <w:tc>
          <w:tcPr>
            <w:tcW w:w="7985" w:type="dxa"/>
          </w:tcPr>
          <w:p w:rsidR="0083792B" w:rsidRPr="00386CD6" w:rsidRDefault="0083792B" w:rsidP="0085651C">
            <w:pPr>
              <w:jc w:val="left"/>
              <w:rPr>
                <w:snapToGrid w:val="0"/>
              </w:rPr>
            </w:pPr>
            <w:r w:rsidRPr="00386CD6">
              <w:rPr>
                <w:snapToGrid w:val="0"/>
              </w:rPr>
              <w:t>Groupe consultatif pour la recherche agricole internationale</w:t>
            </w:r>
          </w:p>
        </w:tc>
      </w:tr>
      <w:tr w:rsidR="0083792B" w:rsidRPr="00386CD6" w:rsidTr="0085651C">
        <w:tc>
          <w:tcPr>
            <w:tcW w:w="1904" w:type="dxa"/>
          </w:tcPr>
          <w:p w:rsidR="0083792B" w:rsidRPr="00386CD6" w:rsidRDefault="0083792B" w:rsidP="0085651C">
            <w:pPr>
              <w:jc w:val="left"/>
              <w:rPr>
                <w:rFonts w:cs="Arial"/>
              </w:rPr>
            </w:pPr>
            <w:r w:rsidRPr="00386CD6">
              <w:rPr>
                <w:rFonts w:cs="Arial"/>
              </w:rPr>
              <w:t>CIOPORA</w:t>
            </w:r>
          </w:p>
        </w:tc>
        <w:tc>
          <w:tcPr>
            <w:tcW w:w="7985" w:type="dxa"/>
          </w:tcPr>
          <w:p w:rsidR="0083792B" w:rsidRPr="00386CD6" w:rsidRDefault="0083792B" w:rsidP="0085651C">
            <w:pPr>
              <w:jc w:val="left"/>
              <w:rPr>
                <w:rFonts w:cs="Arial"/>
              </w:rPr>
            </w:pPr>
            <w:r w:rsidRPr="00386CD6">
              <w:rPr>
                <w:rFonts w:cs="Arial"/>
              </w:rPr>
              <w:t>Communauté internationale des obtenteurs de plantes ornementales et fruitières de reproduction asexuée</w:t>
            </w:r>
          </w:p>
        </w:tc>
      </w:tr>
      <w:tr w:rsidR="0083792B" w:rsidRPr="00386CD6" w:rsidTr="0085651C">
        <w:tc>
          <w:tcPr>
            <w:tcW w:w="1904" w:type="dxa"/>
          </w:tcPr>
          <w:p w:rsidR="0083792B" w:rsidRPr="00386CD6" w:rsidRDefault="0083792B" w:rsidP="0085651C">
            <w:pPr>
              <w:autoSpaceDE w:val="0"/>
              <w:autoSpaceDN w:val="0"/>
              <w:adjustRightInd w:val="0"/>
              <w:jc w:val="left"/>
            </w:pPr>
            <w:r w:rsidRPr="00386CD6">
              <w:t>CIPN</w:t>
            </w:r>
          </w:p>
        </w:tc>
        <w:tc>
          <w:tcPr>
            <w:tcW w:w="7985" w:type="dxa"/>
          </w:tcPr>
          <w:p w:rsidR="0083792B" w:rsidRPr="00386CD6" w:rsidRDefault="0083792B" w:rsidP="0085651C">
            <w:pPr>
              <w:autoSpaceDE w:val="0"/>
              <w:autoSpaceDN w:val="0"/>
              <w:adjustRightInd w:val="0"/>
              <w:jc w:val="left"/>
            </w:pPr>
            <w:r w:rsidRPr="00386CD6">
              <w:t>Comité intergouvernemental spécial à composition non limitée pour le Protocole de Nagoya sur l’accès et le partage des avantages</w:t>
            </w:r>
          </w:p>
        </w:tc>
      </w:tr>
      <w:tr w:rsidR="0083792B" w:rsidRPr="00386CD6" w:rsidTr="0085651C">
        <w:tc>
          <w:tcPr>
            <w:tcW w:w="1904" w:type="dxa"/>
          </w:tcPr>
          <w:p w:rsidR="0083792B" w:rsidRPr="00386CD6" w:rsidRDefault="0083792B" w:rsidP="0085651C">
            <w:pPr>
              <w:jc w:val="left"/>
              <w:rPr>
                <w:spacing w:val="-2"/>
              </w:rPr>
            </w:pPr>
            <w:r w:rsidRPr="00386CD6">
              <w:rPr>
                <w:spacing w:val="-2"/>
              </w:rPr>
              <w:t>CORAF</w:t>
            </w:r>
          </w:p>
        </w:tc>
        <w:tc>
          <w:tcPr>
            <w:tcW w:w="7985" w:type="dxa"/>
          </w:tcPr>
          <w:p w:rsidR="0083792B" w:rsidRPr="00386CD6" w:rsidRDefault="0083792B" w:rsidP="0085651C">
            <w:pPr>
              <w:jc w:val="left"/>
              <w:rPr>
                <w:spacing w:val="-2"/>
              </w:rPr>
            </w:pPr>
            <w:r w:rsidRPr="00386CD6">
              <w:rPr>
                <w:spacing w:val="-2"/>
              </w:rPr>
              <w:t>Conseil ouest et centre africain pour la recherche et le développement agricoles</w:t>
            </w:r>
          </w:p>
        </w:tc>
      </w:tr>
      <w:tr w:rsidR="0083792B" w:rsidRPr="00386CD6" w:rsidTr="0085651C">
        <w:tc>
          <w:tcPr>
            <w:tcW w:w="1904" w:type="dxa"/>
          </w:tcPr>
          <w:p w:rsidR="0083792B" w:rsidRPr="00386CD6" w:rsidRDefault="0083792B" w:rsidP="0085651C">
            <w:pPr>
              <w:jc w:val="left"/>
              <w:rPr>
                <w:snapToGrid w:val="0"/>
              </w:rPr>
            </w:pPr>
            <w:r w:rsidRPr="00386CD6">
              <w:rPr>
                <w:snapToGrid w:val="0"/>
              </w:rPr>
              <w:t>CRGAA</w:t>
            </w:r>
          </w:p>
        </w:tc>
        <w:tc>
          <w:tcPr>
            <w:tcW w:w="7985" w:type="dxa"/>
          </w:tcPr>
          <w:p w:rsidR="0083792B" w:rsidRPr="00386CD6" w:rsidRDefault="0083792B" w:rsidP="0085651C">
            <w:pPr>
              <w:jc w:val="left"/>
              <w:rPr>
                <w:snapToGrid w:val="0"/>
              </w:rPr>
            </w:pPr>
            <w:r w:rsidRPr="00386CD6">
              <w:rPr>
                <w:snapToGrid w:val="0"/>
              </w:rPr>
              <w:t>Commission des ressources génétiques pour l’alimentation et l’agriculture</w:t>
            </w:r>
          </w:p>
        </w:tc>
      </w:tr>
      <w:tr w:rsidR="0083792B" w:rsidRPr="00386CD6" w:rsidTr="0085651C">
        <w:tc>
          <w:tcPr>
            <w:tcW w:w="1904" w:type="dxa"/>
          </w:tcPr>
          <w:p w:rsidR="0083792B" w:rsidRPr="00386CD6" w:rsidRDefault="0083792B" w:rsidP="0085651C">
            <w:pPr>
              <w:jc w:val="left"/>
            </w:pPr>
            <w:r w:rsidRPr="00386CD6">
              <w:t>ESA</w:t>
            </w:r>
          </w:p>
        </w:tc>
        <w:tc>
          <w:tcPr>
            <w:tcW w:w="7985" w:type="dxa"/>
          </w:tcPr>
          <w:p w:rsidR="0083792B" w:rsidRPr="00386CD6" w:rsidRDefault="0083792B" w:rsidP="0085651C">
            <w:pPr>
              <w:jc w:val="left"/>
            </w:pPr>
            <w:r w:rsidRPr="00386CD6">
              <w:t>European Seed Association</w:t>
            </w:r>
          </w:p>
        </w:tc>
      </w:tr>
      <w:tr w:rsidR="0083792B" w:rsidRPr="00386CD6" w:rsidTr="0085651C">
        <w:tc>
          <w:tcPr>
            <w:tcW w:w="1904" w:type="dxa"/>
          </w:tcPr>
          <w:p w:rsidR="0083792B" w:rsidRPr="00386CD6" w:rsidRDefault="0083792B" w:rsidP="0085651C">
            <w:pPr>
              <w:jc w:val="left"/>
            </w:pPr>
            <w:r w:rsidRPr="00386CD6">
              <w:t>FAO</w:t>
            </w:r>
          </w:p>
        </w:tc>
        <w:tc>
          <w:tcPr>
            <w:tcW w:w="7985" w:type="dxa"/>
          </w:tcPr>
          <w:p w:rsidR="0083792B" w:rsidRPr="00386CD6" w:rsidRDefault="0083792B" w:rsidP="0085651C">
            <w:pPr>
              <w:jc w:val="left"/>
            </w:pPr>
            <w:r w:rsidRPr="00386CD6">
              <w:t>Organisation des Nations Unies pour l’alimentation et l’agriculture</w:t>
            </w:r>
          </w:p>
        </w:tc>
      </w:tr>
      <w:tr w:rsidR="0083792B" w:rsidRPr="00386CD6" w:rsidTr="0085651C">
        <w:tc>
          <w:tcPr>
            <w:tcW w:w="1904" w:type="dxa"/>
          </w:tcPr>
          <w:p w:rsidR="0083792B" w:rsidRPr="00386CD6" w:rsidRDefault="0083792B" w:rsidP="0085651C">
            <w:pPr>
              <w:jc w:val="left"/>
              <w:rPr>
                <w:snapToGrid w:val="0"/>
              </w:rPr>
            </w:pPr>
            <w:r w:rsidRPr="00386CD6">
              <w:rPr>
                <w:snapToGrid w:val="0"/>
              </w:rPr>
              <w:t xml:space="preserve">Forum EAPVP </w:t>
            </w:r>
          </w:p>
        </w:tc>
        <w:tc>
          <w:tcPr>
            <w:tcW w:w="7985" w:type="dxa"/>
          </w:tcPr>
          <w:p w:rsidR="0083792B" w:rsidRPr="00386CD6" w:rsidRDefault="0083792B" w:rsidP="0085651C">
            <w:pPr>
              <w:jc w:val="left"/>
              <w:rPr>
                <w:snapToGrid w:val="0"/>
              </w:rPr>
            </w:pPr>
            <w:r w:rsidRPr="00386CD6">
              <w:rPr>
                <w:snapToGrid w:val="0"/>
              </w:rPr>
              <w:t>Forum sur la protection des obtentions végétales en Asie orientale</w:t>
            </w:r>
          </w:p>
        </w:tc>
      </w:tr>
      <w:tr w:rsidR="0083792B" w:rsidRPr="00386CD6" w:rsidTr="0085651C">
        <w:tc>
          <w:tcPr>
            <w:tcW w:w="1904" w:type="dxa"/>
          </w:tcPr>
          <w:p w:rsidR="0083792B" w:rsidRPr="00386CD6" w:rsidRDefault="0083792B" w:rsidP="0085651C">
            <w:pPr>
              <w:jc w:val="left"/>
            </w:pPr>
            <w:r w:rsidRPr="00386CD6">
              <w:t>GIZ</w:t>
            </w:r>
          </w:p>
        </w:tc>
        <w:tc>
          <w:tcPr>
            <w:tcW w:w="7985" w:type="dxa"/>
          </w:tcPr>
          <w:p w:rsidR="0083792B" w:rsidRPr="00386CD6" w:rsidRDefault="0083792B" w:rsidP="0085651C">
            <w:pPr>
              <w:jc w:val="left"/>
            </w:pPr>
            <w:r w:rsidRPr="00386CD6">
              <w:rPr>
                <w:i/>
              </w:rPr>
              <w:t>Deutsche Gesellschaft für Internationale Zusammenarbeit GmbH</w:t>
            </w:r>
            <w:r w:rsidRPr="00386CD6">
              <w:t xml:space="preserve"> </w:t>
            </w:r>
            <w:r w:rsidRPr="00386CD6">
              <w:br/>
              <w:t>(Agence allemande de coopération internationale)</w:t>
            </w:r>
          </w:p>
        </w:tc>
      </w:tr>
      <w:tr w:rsidR="0083792B" w:rsidRPr="00386CD6" w:rsidTr="0085651C">
        <w:tc>
          <w:tcPr>
            <w:tcW w:w="1904" w:type="dxa"/>
          </w:tcPr>
          <w:p w:rsidR="0083792B" w:rsidRPr="00386CD6" w:rsidRDefault="0083792B" w:rsidP="0085651C">
            <w:pPr>
              <w:autoSpaceDE w:val="0"/>
              <w:autoSpaceDN w:val="0"/>
              <w:adjustRightInd w:val="0"/>
              <w:jc w:val="left"/>
            </w:pPr>
            <w:r w:rsidRPr="00386CD6">
              <w:t>ICARDA</w:t>
            </w:r>
          </w:p>
        </w:tc>
        <w:tc>
          <w:tcPr>
            <w:tcW w:w="7985" w:type="dxa"/>
          </w:tcPr>
          <w:p w:rsidR="0083792B" w:rsidRPr="00386CD6" w:rsidRDefault="0083792B" w:rsidP="0085651C">
            <w:pPr>
              <w:autoSpaceDE w:val="0"/>
              <w:autoSpaceDN w:val="0"/>
              <w:adjustRightInd w:val="0"/>
              <w:jc w:val="left"/>
            </w:pPr>
            <w:r w:rsidRPr="00386CD6">
              <w:t>Centre international de recherche agricole dans les zones arides</w:t>
            </w:r>
          </w:p>
        </w:tc>
      </w:tr>
      <w:tr w:rsidR="0083792B" w:rsidRPr="00386CD6" w:rsidTr="0085651C">
        <w:tc>
          <w:tcPr>
            <w:tcW w:w="1904" w:type="dxa"/>
          </w:tcPr>
          <w:p w:rsidR="0083792B" w:rsidRPr="00386CD6" w:rsidRDefault="0083792B" w:rsidP="0085651C">
            <w:pPr>
              <w:autoSpaceDE w:val="0"/>
              <w:autoSpaceDN w:val="0"/>
              <w:adjustRightInd w:val="0"/>
              <w:jc w:val="left"/>
            </w:pPr>
            <w:r w:rsidRPr="00386CD6">
              <w:t>ICBA</w:t>
            </w:r>
          </w:p>
        </w:tc>
        <w:tc>
          <w:tcPr>
            <w:tcW w:w="7985" w:type="dxa"/>
          </w:tcPr>
          <w:p w:rsidR="0083792B" w:rsidRPr="00386CD6" w:rsidRDefault="0083792B" w:rsidP="0085651C">
            <w:pPr>
              <w:autoSpaceDE w:val="0"/>
              <w:autoSpaceDN w:val="0"/>
              <w:adjustRightInd w:val="0"/>
              <w:jc w:val="left"/>
            </w:pPr>
            <w:r w:rsidRPr="00386CD6">
              <w:t>International Center for Biosaline Agriculture</w:t>
            </w:r>
          </w:p>
        </w:tc>
      </w:tr>
      <w:tr w:rsidR="0083792B" w:rsidRPr="00386CD6" w:rsidTr="0085651C">
        <w:tc>
          <w:tcPr>
            <w:tcW w:w="1904" w:type="dxa"/>
          </w:tcPr>
          <w:p w:rsidR="0083792B" w:rsidRPr="00386CD6" w:rsidRDefault="0083792B" w:rsidP="0085651C">
            <w:pPr>
              <w:jc w:val="left"/>
            </w:pPr>
            <w:r w:rsidRPr="00386CD6">
              <w:t>IGC</w:t>
            </w:r>
          </w:p>
        </w:tc>
        <w:tc>
          <w:tcPr>
            <w:tcW w:w="7985" w:type="dxa"/>
          </w:tcPr>
          <w:p w:rsidR="0083792B" w:rsidRPr="00386CD6" w:rsidRDefault="0083792B" w:rsidP="0085651C">
            <w:pPr>
              <w:jc w:val="left"/>
            </w:pPr>
            <w:r w:rsidRPr="00386CD6">
              <w:t>Comité intergouvernemental de la propriété intellectuelle relative aux ressources génétiques, aux savoirs traditionnels et au folklore de l’OMPI</w:t>
            </w:r>
          </w:p>
        </w:tc>
      </w:tr>
      <w:tr w:rsidR="0083792B" w:rsidRPr="00386CD6" w:rsidTr="0085651C">
        <w:tc>
          <w:tcPr>
            <w:tcW w:w="1904" w:type="dxa"/>
          </w:tcPr>
          <w:p w:rsidR="0083792B" w:rsidRPr="00386CD6" w:rsidRDefault="0083792B" w:rsidP="0085651C">
            <w:pPr>
              <w:jc w:val="left"/>
            </w:pPr>
            <w:r w:rsidRPr="00386CD6">
              <w:t>ISF</w:t>
            </w:r>
          </w:p>
        </w:tc>
        <w:tc>
          <w:tcPr>
            <w:tcW w:w="7985" w:type="dxa"/>
          </w:tcPr>
          <w:p w:rsidR="0083792B" w:rsidRPr="00386CD6" w:rsidRDefault="0083792B" w:rsidP="0085651C">
            <w:pPr>
              <w:jc w:val="left"/>
            </w:pPr>
            <w:r w:rsidRPr="00386CD6">
              <w:t>International Seed Federation</w:t>
            </w:r>
          </w:p>
        </w:tc>
      </w:tr>
      <w:tr w:rsidR="0083792B" w:rsidRPr="00386CD6" w:rsidTr="0085651C">
        <w:tc>
          <w:tcPr>
            <w:tcW w:w="1904" w:type="dxa"/>
          </w:tcPr>
          <w:p w:rsidR="0083792B" w:rsidRPr="00386CD6" w:rsidRDefault="0083792B" w:rsidP="0085651C">
            <w:pPr>
              <w:jc w:val="left"/>
            </w:pPr>
            <w:r w:rsidRPr="00386CD6">
              <w:t>ISTA</w:t>
            </w:r>
          </w:p>
        </w:tc>
        <w:tc>
          <w:tcPr>
            <w:tcW w:w="7985" w:type="dxa"/>
          </w:tcPr>
          <w:p w:rsidR="0083792B" w:rsidRPr="00386CD6" w:rsidRDefault="0083792B" w:rsidP="0085651C">
            <w:pPr>
              <w:jc w:val="left"/>
            </w:pPr>
            <w:r w:rsidRPr="00386CD6">
              <w:t>Association internationale d’essais de semences</w:t>
            </w:r>
          </w:p>
        </w:tc>
      </w:tr>
      <w:tr w:rsidR="0083792B" w:rsidRPr="00386CD6" w:rsidTr="0085651C">
        <w:tc>
          <w:tcPr>
            <w:tcW w:w="1904" w:type="dxa"/>
          </w:tcPr>
          <w:p w:rsidR="0083792B" w:rsidRPr="00386CD6" w:rsidRDefault="0083792B" w:rsidP="0085651C">
            <w:pPr>
              <w:jc w:val="left"/>
            </w:pPr>
            <w:r w:rsidRPr="00386CD6">
              <w:t>JICA</w:t>
            </w:r>
          </w:p>
        </w:tc>
        <w:tc>
          <w:tcPr>
            <w:tcW w:w="7985" w:type="dxa"/>
          </w:tcPr>
          <w:p w:rsidR="0083792B" w:rsidRPr="00386CD6" w:rsidRDefault="0083792B" w:rsidP="0085651C">
            <w:pPr>
              <w:jc w:val="left"/>
            </w:pPr>
            <w:r w:rsidRPr="00386CD6">
              <w:t>Agence japonaise de coopération internationale</w:t>
            </w:r>
          </w:p>
        </w:tc>
      </w:tr>
      <w:tr w:rsidR="0083792B" w:rsidRPr="00386CD6" w:rsidTr="0085651C">
        <w:tc>
          <w:tcPr>
            <w:tcW w:w="1904" w:type="dxa"/>
          </w:tcPr>
          <w:p w:rsidR="0083792B" w:rsidRPr="00386CD6" w:rsidRDefault="0083792B" w:rsidP="0085651C">
            <w:pPr>
              <w:jc w:val="left"/>
              <w:rPr>
                <w:snapToGrid w:val="0"/>
                <w:lang w:eastAsia="ja-JP"/>
              </w:rPr>
            </w:pPr>
            <w:r w:rsidRPr="00386CD6">
              <w:rPr>
                <w:snapToGrid w:val="0"/>
                <w:lang w:eastAsia="ja-JP"/>
              </w:rPr>
              <w:t>KOICA</w:t>
            </w:r>
          </w:p>
        </w:tc>
        <w:tc>
          <w:tcPr>
            <w:tcW w:w="7985" w:type="dxa"/>
          </w:tcPr>
          <w:p w:rsidR="0083792B" w:rsidRPr="00386CD6" w:rsidRDefault="0083792B" w:rsidP="0085651C">
            <w:pPr>
              <w:jc w:val="left"/>
              <w:rPr>
                <w:snapToGrid w:val="0"/>
                <w:lang w:eastAsia="ja-JP"/>
              </w:rPr>
            </w:pPr>
            <w:r w:rsidRPr="00386CD6">
              <w:rPr>
                <w:snapToGrid w:val="0"/>
                <w:lang w:eastAsia="ja-JP"/>
              </w:rPr>
              <w:t>Agence coréenne pour la coopération internationale</w:t>
            </w:r>
          </w:p>
        </w:tc>
      </w:tr>
      <w:tr w:rsidR="0083792B" w:rsidRPr="00386CD6" w:rsidTr="0085651C">
        <w:tc>
          <w:tcPr>
            <w:tcW w:w="1904" w:type="dxa"/>
          </w:tcPr>
          <w:p w:rsidR="0083792B" w:rsidRPr="00386CD6" w:rsidRDefault="0083792B" w:rsidP="0085651C">
            <w:pPr>
              <w:jc w:val="left"/>
              <w:rPr>
                <w:rFonts w:cs="Arial"/>
                <w:lang w:eastAsia="ja-JP" w:bidi="km-KH"/>
              </w:rPr>
            </w:pPr>
            <w:r w:rsidRPr="00386CD6">
              <w:rPr>
                <w:rFonts w:cs="Arial"/>
                <w:lang w:eastAsia="ja-JP" w:bidi="km-KH"/>
              </w:rPr>
              <w:t>KSVS</w:t>
            </w:r>
          </w:p>
        </w:tc>
        <w:tc>
          <w:tcPr>
            <w:tcW w:w="7985" w:type="dxa"/>
          </w:tcPr>
          <w:p w:rsidR="0083792B" w:rsidRPr="00386CD6" w:rsidRDefault="0083792B" w:rsidP="0085651C">
            <w:pPr>
              <w:jc w:val="left"/>
              <w:rPr>
                <w:rFonts w:cs="Arial"/>
                <w:lang w:eastAsia="ja-JP" w:bidi="km-KH"/>
              </w:rPr>
            </w:pPr>
            <w:r w:rsidRPr="00386CD6">
              <w:rPr>
                <w:rFonts w:cs="Arial"/>
                <w:lang w:eastAsia="ja-JP" w:bidi="km-KH"/>
              </w:rPr>
              <w:t>Service coréen des semences et des variétés</w:t>
            </w:r>
          </w:p>
        </w:tc>
      </w:tr>
      <w:tr w:rsidR="0083792B" w:rsidRPr="00386CD6" w:rsidTr="0085651C">
        <w:tc>
          <w:tcPr>
            <w:tcW w:w="1904" w:type="dxa"/>
          </w:tcPr>
          <w:p w:rsidR="0083792B" w:rsidRPr="00386CD6" w:rsidRDefault="0083792B" w:rsidP="0085651C">
            <w:pPr>
              <w:jc w:val="left"/>
            </w:pPr>
            <w:r w:rsidRPr="00386CD6">
              <w:t>OAPI</w:t>
            </w:r>
          </w:p>
        </w:tc>
        <w:tc>
          <w:tcPr>
            <w:tcW w:w="7985" w:type="dxa"/>
          </w:tcPr>
          <w:p w:rsidR="0083792B" w:rsidRPr="00386CD6" w:rsidRDefault="0083792B" w:rsidP="0085651C">
            <w:pPr>
              <w:jc w:val="left"/>
            </w:pPr>
            <w:r w:rsidRPr="00386CD6">
              <w:t>Organisation africaine de la propriété intellectuelle</w:t>
            </w:r>
          </w:p>
        </w:tc>
      </w:tr>
      <w:tr w:rsidR="0083792B" w:rsidRPr="00386CD6" w:rsidTr="0085651C">
        <w:tc>
          <w:tcPr>
            <w:tcW w:w="1904" w:type="dxa"/>
          </w:tcPr>
          <w:p w:rsidR="0083792B" w:rsidRPr="00386CD6" w:rsidRDefault="0083792B" w:rsidP="0085651C">
            <w:pPr>
              <w:jc w:val="left"/>
            </w:pPr>
            <w:r w:rsidRPr="00386CD6">
              <w:t>OCDE</w:t>
            </w:r>
          </w:p>
        </w:tc>
        <w:tc>
          <w:tcPr>
            <w:tcW w:w="7985" w:type="dxa"/>
          </w:tcPr>
          <w:p w:rsidR="0083792B" w:rsidRPr="00386CD6" w:rsidRDefault="0083792B" w:rsidP="0085651C">
            <w:pPr>
              <w:jc w:val="left"/>
            </w:pPr>
            <w:r w:rsidRPr="00386CD6">
              <w:t>Organisation de coopération et de développement économiques</w:t>
            </w:r>
          </w:p>
        </w:tc>
      </w:tr>
      <w:tr w:rsidR="0083792B" w:rsidRPr="00386CD6" w:rsidTr="0085651C">
        <w:tc>
          <w:tcPr>
            <w:tcW w:w="1904" w:type="dxa"/>
          </w:tcPr>
          <w:p w:rsidR="0083792B" w:rsidRPr="00386CD6" w:rsidRDefault="0083792B" w:rsidP="0085651C">
            <w:pPr>
              <w:jc w:val="left"/>
            </w:pPr>
            <w:r w:rsidRPr="00386CD6">
              <w:t>OCVV</w:t>
            </w:r>
          </w:p>
        </w:tc>
        <w:tc>
          <w:tcPr>
            <w:tcW w:w="7985" w:type="dxa"/>
          </w:tcPr>
          <w:p w:rsidR="0083792B" w:rsidRPr="00386CD6" w:rsidRDefault="0083792B" w:rsidP="0085651C">
            <w:pPr>
              <w:jc w:val="left"/>
            </w:pPr>
            <w:r w:rsidRPr="00386CD6">
              <w:t>Office communautaire des variétés végétales de l’Union européenne</w:t>
            </w:r>
          </w:p>
        </w:tc>
      </w:tr>
      <w:tr w:rsidR="0083792B" w:rsidRPr="00386CD6" w:rsidTr="0085651C">
        <w:tc>
          <w:tcPr>
            <w:tcW w:w="1904" w:type="dxa"/>
          </w:tcPr>
          <w:p w:rsidR="0083792B" w:rsidRPr="00386CD6" w:rsidRDefault="0083792B" w:rsidP="0085651C">
            <w:pPr>
              <w:autoSpaceDE w:val="0"/>
              <w:autoSpaceDN w:val="0"/>
              <w:adjustRightInd w:val="0"/>
              <w:jc w:val="left"/>
              <w:rPr>
                <w:szCs w:val="24"/>
              </w:rPr>
            </w:pPr>
            <w:r w:rsidRPr="00386CD6">
              <w:rPr>
                <w:szCs w:val="24"/>
              </w:rPr>
              <w:t>OEVV</w:t>
            </w:r>
          </w:p>
        </w:tc>
        <w:tc>
          <w:tcPr>
            <w:tcW w:w="7985" w:type="dxa"/>
          </w:tcPr>
          <w:p w:rsidR="0083792B" w:rsidRPr="00386CD6" w:rsidRDefault="0083792B" w:rsidP="0085651C">
            <w:pPr>
              <w:autoSpaceDE w:val="0"/>
              <w:autoSpaceDN w:val="0"/>
              <w:adjustRightInd w:val="0"/>
              <w:jc w:val="left"/>
              <w:rPr>
                <w:szCs w:val="24"/>
              </w:rPr>
            </w:pPr>
            <w:r w:rsidRPr="00386CD6">
              <w:rPr>
                <w:szCs w:val="24"/>
              </w:rPr>
              <w:t>Office espagnol des variétés végétales</w:t>
            </w:r>
          </w:p>
        </w:tc>
      </w:tr>
      <w:tr w:rsidR="0083792B" w:rsidRPr="00386CD6" w:rsidTr="0085651C">
        <w:tc>
          <w:tcPr>
            <w:tcW w:w="1904" w:type="dxa"/>
          </w:tcPr>
          <w:p w:rsidR="0083792B" w:rsidRPr="00386CD6" w:rsidRDefault="0083792B" w:rsidP="0085651C">
            <w:pPr>
              <w:jc w:val="left"/>
            </w:pPr>
            <w:r w:rsidRPr="00386CD6">
              <w:t>OIF</w:t>
            </w:r>
          </w:p>
        </w:tc>
        <w:tc>
          <w:tcPr>
            <w:tcW w:w="7985" w:type="dxa"/>
          </w:tcPr>
          <w:p w:rsidR="0083792B" w:rsidRPr="00386CD6" w:rsidRDefault="0083792B" w:rsidP="0085651C">
            <w:pPr>
              <w:jc w:val="left"/>
            </w:pPr>
            <w:r w:rsidRPr="00386CD6">
              <w:t>Organisation internationale de la Francophonie</w:t>
            </w:r>
          </w:p>
        </w:tc>
      </w:tr>
      <w:tr w:rsidR="0083792B" w:rsidRPr="00386CD6" w:rsidTr="0085651C">
        <w:tc>
          <w:tcPr>
            <w:tcW w:w="1904" w:type="dxa"/>
          </w:tcPr>
          <w:p w:rsidR="0083792B" w:rsidRPr="00386CD6" w:rsidRDefault="0083792B" w:rsidP="0085651C">
            <w:pPr>
              <w:jc w:val="left"/>
            </w:pPr>
            <w:r w:rsidRPr="00386CD6">
              <w:t>OIT</w:t>
            </w:r>
          </w:p>
        </w:tc>
        <w:tc>
          <w:tcPr>
            <w:tcW w:w="7985" w:type="dxa"/>
          </w:tcPr>
          <w:p w:rsidR="0083792B" w:rsidRPr="00386CD6" w:rsidRDefault="0083792B" w:rsidP="0085651C">
            <w:pPr>
              <w:jc w:val="left"/>
            </w:pPr>
            <w:r w:rsidRPr="00386CD6">
              <w:t>Organisation internationale du Travail</w:t>
            </w:r>
          </w:p>
        </w:tc>
      </w:tr>
      <w:tr w:rsidR="0083792B" w:rsidRPr="00386CD6" w:rsidTr="0085651C">
        <w:tc>
          <w:tcPr>
            <w:tcW w:w="1904" w:type="dxa"/>
          </w:tcPr>
          <w:p w:rsidR="0083792B" w:rsidRPr="00386CD6" w:rsidRDefault="0083792B" w:rsidP="0085651C">
            <w:pPr>
              <w:jc w:val="left"/>
              <w:rPr>
                <w:spacing w:val="-2"/>
              </w:rPr>
            </w:pPr>
            <w:r w:rsidRPr="00386CD6">
              <w:rPr>
                <w:spacing w:val="-2"/>
              </w:rPr>
              <w:t>OMA</w:t>
            </w:r>
          </w:p>
        </w:tc>
        <w:tc>
          <w:tcPr>
            <w:tcW w:w="7985" w:type="dxa"/>
          </w:tcPr>
          <w:p w:rsidR="0083792B" w:rsidRPr="00386CD6" w:rsidRDefault="0083792B" w:rsidP="0085651C">
            <w:pPr>
              <w:jc w:val="left"/>
              <w:rPr>
                <w:spacing w:val="-2"/>
              </w:rPr>
            </w:pPr>
            <w:r w:rsidRPr="00386CD6">
              <w:rPr>
                <w:spacing w:val="-2"/>
              </w:rPr>
              <w:t>Organisation mondiale des agriculteurs</w:t>
            </w:r>
          </w:p>
        </w:tc>
      </w:tr>
      <w:tr w:rsidR="0083792B" w:rsidRPr="00386CD6" w:rsidTr="0085651C">
        <w:tc>
          <w:tcPr>
            <w:tcW w:w="1904" w:type="dxa"/>
          </w:tcPr>
          <w:p w:rsidR="0083792B" w:rsidRPr="00386CD6" w:rsidRDefault="0083792B" w:rsidP="0085651C">
            <w:pPr>
              <w:jc w:val="left"/>
            </w:pPr>
            <w:r w:rsidRPr="00386CD6">
              <w:t>OMC</w:t>
            </w:r>
          </w:p>
        </w:tc>
        <w:tc>
          <w:tcPr>
            <w:tcW w:w="7985" w:type="dxa"/>
          </w:tcPr>
          <w:p w:rsidR="0083792B" w:rsidRPr="00386CD6" w:rsidRDefault="0083792B" w:rsidP="0085651C">
            <w:pPr>
              <w:jc w:val="left"/>
            </w:pPr>
            <w:r w:rsidRPr="00386CD6">
              <w:t>Organisation mondiale du commerce</w:t>
            </w:r>
          </w:p>
        </w:tc>
      </w:tr>
      <w:tr w:rsidR="0083792B" w:rsidRPr="00386CD6" w:rsidTr="0085651C">
        <w:tc>
          <w:tcPr>
            <w:tcW w:w="1904" w:type="dxa"/>
          </w:tcPr>
          <w:p w:rsidR="0083792B" w:rsidRPr="00386CD6" w:rsidRDefault="0083792B" w:rsidP="0085651C">
            <w:pPr>
              <w:jc w:val="left"/>
              <w:rPr>
                <w:snapToGrid w:val="0"/>
              </w:rPr>
            </w:pPr>
            <w:r w:rsidRPr="00386CD6">
              <w:rPr>
                <w:snapToGrid w:val="0"/>
              </w:rPr>
              <w:t>OMPI</w:t>
            </w:r>
          </w:p>
        </w:tc>
        <w:tc>
          <w:tcPr>
            <w:tcW w:w="7985" w:type="dxa"/>
          </w:tcPr>
          <w:p w:rsidR="0083792B" w:rsidRPr="00386CD6" w:rsidRDefault="0083792B" w:rsidP="0085651C">
            <w:pPr>
              <w:jc w:val="left"/>
              <w:rPr>
                <w:snapToGrid w:val="0"/>
              </w:rPr>
            </w:pPr>
            <w:r w:rsidRPr="00386CD6">
              <w:rPr>
                <w:snapToGrid w:val="0"/>
              </w:rPr>
              <w:t>Organisation Mondiale de la Propriété intellectuelle</w:t>
            </w:r>
          </w:p>
        </w:tc>
      </w:tr>
      <w:tr w:rsidR="0083792B" w:rsidRPr="00386CD6" w:rsidTr="0085651C">
        <w:tc>
          <w:tcPr>
            <w:tcW w:w="1904" w:type="dxa"/>
          </w:tcPr>
          <w:p w:rsidR="0083792B" w:rsidRPr="00386CD6" w:rsidRDefault="0083792B" w:rsidP="0085651C">
            <w:pPr>
              <w:jc w:val="left"/>
            </w:pPr>
            <w:r w:rsidRPr="00386CD6">
              <w:t>QUT</w:t>
            </w:r>
          </w:p>
        </w:tc>
        <w:tc>
          <w:tcPr>
            <w:tcW w:w="7985" w:type="dxa"/>
          </w:tcPr>
          <w:p w:rsidR="0083792B" w:rsidRPr="00386CD6" w:rsidRDefault="0083792B" w:rsidP="0085651C">
            <w:pPr>
              <w:jc w:val="left"/>
            </w:pPr>
            <w:r w:rsidRPr="00386CD6">
              <w:t>Université de technologie du Queensland</w:t>
            </w:r>
          </w:p>
        </w:tc>
      </w:tr>
      <w:tr w:rsidR="0083792B" w:rsidRPr="00386CD6" w:rsidTr="0085651C">
        <w:tc>
          <w:tcPr>
            <w:tcW w:w="1904" w:type="dxa"/>
          </w:tcPr>
          <w:p w:rsidR="0083792B" w:rsidRPr="00386CD6" w:rsidRDefault="0083792B" w:rsidP="0085651C">
            <w:pPr>
              <w:jc w:val="left"/>
            </w:pPr>
            <w:r w:rsidRPr="00386CD6">
              <w:t>SAA</w:t>
            </w:r>
          </w:p>
        </w:tc>
        <w:tc>
          <w:tcPr>
            <w:tcW w:w="7985" w:type="dxa"/>
          </w:tcPr>
          <w:p w:rsidR="0083792B" w:rsidRPr="00386CD6" w:rsidRDefault="0083792B" w:rsidP="0085651C">
            <w:pPr>
              <w:jc w:val="left"/>
            </w:pPr>
            <w:r w:rsidRPr="00386CD6">
              <w:t>Seed Association of the Americas</w:t>
            </w:r>
          </w:p>
        </w:tc>
      </w:tr>
      <w:tr w:rsidR="0083792B" w:rsidRPr="00386CD6" w:rsidTr="0085651C">
        <w:tc>
          <w:tcPr>
            <w:tcW w:w="1904" w:type="dxa"/>
          </w:tcPr>
          <w:p w:rsidR="0083792B" w:rsidRPr="00386CD6" w:rsidRDefault="0083792B" w:rsidP="0085651C">
            <w:pPr>
              <w:jc w:val="left"/>
              <w:rPr>
                <w:szCs w:val="24"/>
              </w:rPr>
            </w:pPr>
            <w:r w:rsidRPr="00386CD6">
              <w:rPr>
                <w:szCs w:val="24"/>
              </w:rPr>
              <w:t>TAIEX</w:t>
            </w:r>
          </w:p>
        </w:tc>
        <w:tc>
          <w:tcPr>
            <w:tcW w:w="7985" w:type="dxa"/>
          </w:tcPr>
          <w:p w:rsidR="0083792B" w:rsidRPr="00386CD6" w:rsidRDefault="0083792B" w:rsidP="0085651C">
            <w:pPr>
              <w:jc w:val="left"/>
              <w:rPr>
                <w:szCs w:val="24"/>
              </w:rPr>
            </w:pPr>
            <w:r w:rsidRPr="00386CD6">
              <w:rPr>
                <w:szCs w:val="24"/>
              </w:rPr>
              <w:t>Programme d’assistance technique et d’échange d’informations (TAIEX) de l’Union européenne</w:t>
            </w:r>
          </w:p>
        </w:tc>
      </w:tr>
      <w:tr w:rsidR="0083792B" w:rsidRPr="00386CD6" w:rsidTr="0085651C">
        <w:tc>
          <w:tcPr>
            <w:tcW w:w="1904" w:type="dxa"/>
          </w:tcPr>
          <w:p w:rsidR="0083792B" w:rsidRPr="00386CD6" w:rsidRDefault="0083792B" w:rsidP="0085651C">
            <w:pPr>
              <w:autoSpaceDE w:val="0"/>
              <w:autoSpaceDN w:val="0"/>
              <w:adjustRightInd w:val="0"/>
              <w:jc w:val="left"/>
            </w:pPr>
            <w:r w:rsidRPr="00386CD6">
              <w:t>UBIS</w:t>
            </w:r>
          </w:p>
        </w:tc>
        <w:tc>
          <w:tcPr>
            <w:tcW w:w="7985" w:type="dxa"/>
          </w:tcPr>
          <w:p w:rsidR="0083792B" w:rsidRPr="00386CD6" w:rsidRDefault="0083792B" w:rsidP="0085651C">
            <w:pPr>
              <w:autoSpaceDE w:val="0"/>
              <w:autoSpaceDN w:val="0"/>
              <w:adjustRightInd w:val="0"/>
              <w:jc w:val="left"/>
            </w:pPr>
            <w:r w:rsidRPr="00386CD6">
              <w:t>University of Business and International Studies</w:t>
            </w:r>
          </w:p>
        </w:tc>
      </w:tr>
      <w:tr w:rsidR="0083792B" w:rsidRPr="00386CD6" w:rsidTr="0085651C">
        <w:tc>
          <w:tcPr>
            <w:tcW w:w="1904" w:type="dxa"/>
          </w:tcPr>
          <w:p w:rsidR="0083792B" w:rsidRPr="00386CD6" w:rsidRDefault="0083792B" w:rsidP="0085651C">
            <w:pPr>
              <w:jc w:val="left"/>
            </w:pPr>
            <w:r w:rsidRPr="00386CD6">
              <w:t>UNIGE</w:t>
            </w:r>
          </w:p>
        </w:tc>
        <w:tc>
          <w:tcPr>
            <w:tcW w:w="7985" w:type="dxa"/>
          </w:tcPr>
          <w:p w:rsidR="0083792B" w:rsidRPr="00386CD6" w:rsidRDefault="0083792B" w:rsidP="0085651C">
            <w:pPr>
              <w:jc w:val="left"/>
            </w:pPr>
            <w:r w:rsidRPr="00386CD6">
              <w:t>Université de Genève</w:t>
            </w:r>
          </w:p>
        </w:tc>
      </w:tr>
      <w:tr w:rsidR="0083792B" w:rsidRPr="00386CD6" w:rsidTr="0085651C">
        <w:tc>
          <w:tcPr>
            <w:tcW w:w="1904" w:type="dxa"/>
          </w:tcPr>
          <w:p w:rsidR="0083792B" w:rsidRPr="00386CD6" w:rsidRDefault="0083792B" w:rsidP="0085651C">
            <w:pPr>
              <w:jc w:val="left"/>
            </w:pPr>
            <w:r w:rsidRPr="00386CD6">
              <w:t>USPTO</w:t>
            </w:r>
          </w:p>
        </w:tc>
        <w:tc>
          <w:tcPr>
            <w:tcW w:w="7985" w:type="dxa"/>
          </w:tcPr>
          <w:p w:rsidR="0083792B" w:rsidRPr="00386CD6" w:rsidRDefault="0083792B" w:rsidP="0085651C">
            <w:pPr>
              <w:jc w:val="left"/>
            </w:pPr>
            <w:r w:rsidRPr="00386CD6">
              <w:t>Office des brevets et des marques des États</w:t>
            </w:r>
            <w:r w:rsidRPr="00386CD6">
              <w:noBreakHyphen/>
              <w:t>Unis d’Amérique</w:t>
            </w:r>
          </w:p>
        </w:tc>
      </w:tr>
    </w:tbl>
    <w:p w:rsidR="0083792B" w:rsidRPr="00386CD6" w:rsidRDefault="0083792B" w:rsidP="0085651C">
      <w:pPr>
        <w:ind w:left="1418" w:hanging="1418"/>
        <w:jc w:val="right"/>
      </w:pPr>
    </w:p>
    <w:p w:rsidR="0083792B" w:rsidRPr="00386CD6" w:rsidRDefault="0083792B" w:rsidP="0085651C">
      <w:pPr>
        <w:ind w:left="1418" w:hanging="1418"/>
        <w:jc w:val="right"/>
      </w:pPr>
    </w:p>
    <w:p w:rsidR="0083792B" w:rsidRPr="00386CD6" w:rsidRDefault="0083792B" w:rsidP="0085651C">
      <w:pPr>
        <w:ind w:left="1418" w:hanging="1418"/>
        <w:jc w:val="right"/>
      </w:pPr>
    </w:p>
    <w:p w:rsidR="0083792B" w:rsidRPr="00386CD6" w:rsidRDefault="0083792B" w:rsidP="0085651C">
      <w:pPr>
        <w:ind w:left="1418" w:hanging="1418"/>
        <w:jc w:val="right"/>
      </w:pPr>
      <w:r w:rsidRPr="00386CD6">
        <w:t>[Fin de l’appendice et du document]</w:t>
      </w:r>
    </w:p>
    <w:p w:rsidR="0083792B" w:rsidRPr="00386CD6" w:rsidRDefault="0083792B" w:rsidP="0085651C">
      <w:pPr>
        <w:jc w:val="left"/>
      </w:pPr>
    </w:p>
    <w:p w:rsidR="0083792B" w:rsidRPr="00386CD6" w:rsidRDefault="0083792B" w:rsidP="00F01D68"/>
    <w:sectPr w:rsidR="0083792B" w:rsidRPr="00386CD6" w:rsidSect="008B401F">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52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01F" w:rsidRDefault="00A3701F" w:rsidP="006655D3">
      <w:r>
        <w:separator/>
      </w:r>
    </w:p>
    <w:p w:rsidR="00A3701F" w:rsidRDefault="00A3701F" w:rsidP="006655D3"/>
    <w:p w:rsidR="00A3701F" w:rsidRDefault="00A3701F" w:rsidP="006655D3"/>
  </w:endnote>
  <w:endnote w:type="continuationSeparator" w:id="0">
    <w:p w:rsidR="00A3701F" w:rsidRDefault="00A3701F" w:rsidP="006655D3">
      <w:r>
        <w:separator/>
      </w:r>
    </w:p>
    <w:p w:rsidR="00A3701F" w:rsidRPr="00560A6D" w:rsidRDefault="00A3701F">
      <w:pPr>
        <w:pStyle w:val="Footer"/>
        <w:spacing w:after="60"/>
        <w:rPr>
          <w:sz w:val="18"/>
          <w:lang w:val="fr-FR"/>
        </w:rPr>
      </w:pPr>
      <w:r w:rsidRPr="00560A6D">
        <w:rPr>
          <w:sz w:val="18"/>
          <w:lang w:val="fr-FR"/>
        </w:rPr>
        <w:t>[Suite de la note de la page précédente]</w:t>
      </w:r>
    </w:p>
    <w:p w:rsidR="00A3701F" w:rsidRPr="00560A6D" w:rsidRDefault="00A3701F" w:rsidP="006655D3"/>
    <w:p w:rsidR="00A3701F" w:rsidRPr="00560A6D" w:rsidRDefault="00A3701F" w:rsidP="006655D3"/>
  </w:endnote>
  <w:endnote w:type="continuationNotice" w:id="1">
    <w:p w:rsidR="00A3701F" w:rsidRPr="00560A6D" w:rsidRDefault="00A3701F" w:rsidP="006655D3">
      <w:r w:rsidRPr="00560A6D">
        <w:t>[Suite de la note page suivante]</w:t>
      </w:r>
    </w:p>
    <w:p w:rsidR="00A3701F" w:rsidRPr="00560A6D" w:rsidRDefault="00A3701F" w:rsidP="006655D3"/>
    <w:p w:rsidR="00A3701F" w:rsidRPr="00560A6D" w:rsidRDefault="00A3701F" w:rsidP="006655D3"/>
  </w:endnote>
  <w:endnote w:id="2">
    <w:p w:rsidR="00A3701F" w:rsidRPr="00A3274D" w:rsidRDefault="00A3701F" w:rsidP="0085651C">
      <w:pPr>
        <w:pStyle w:val="EndnoteText"/>
        <w:tabs>
          <w:tab w:val="left" w:pos="567"/>
        </w:tabs>
        <w:ind w:left="567" w:hanging="567"/>
        <w:rPr>
          <w:sz w:val="16"/>
          <w:szCs w:val="16"/>
          <w:lang w:val="fr-CH"/>
        </w:rPr>
      </w:pPr>
      <w:r w:rsidRPr="00A3274D">
        <w:rPr>
          <w:rStyle w:val="EndnoteReference"/>
        </w:rPr>
        <w:endnoteRef/>
      </w:r>
      <w:r w:rsidRPr="00A3274D">
        <w:t xml:space="preserve"> </w:t>
      </w:r>
      <w:r w:rsidRPr="00A3274D">
        <w:rPr>
          <w:lang w:val="fr-CH"/>
        </w:rPr>
        <w:tab/>
      </w:r>
      <w:r w:rsidRPr="00A3274D">
        <w:rPr>
          <w:sz w:val="16"/>
          <w:szCs w:val="16"/>
          <w:lang w:val="fr-CH"/>
        </w:rPr>
        <w:t>Définition des termes employés en lien avec les statistiques concernant le site</w:t>
      </w:r>
      <w:r>
        <w:rPr>
          <w:sz w:val="16"/>
          <w:szCs w:val="16"/>
          <w:lang w:val="fr-CH"/>
        </w:rPr>
        <w:t> </w:t>
      </w:r>
      <w:r w:rsidRPr="00A3274D">
        <w:rPr>
          <w:sz w:val="16"/>
          <w:szCs w:val="16"/>
          <w:lang w:val="fr-CH"/>
        </w:rPr>
        <w:t>Web dans le présent rapport</w:t>
      </w:r>
      <w:r>
        <w:rPr>
          <w:sz w:val="16"/>
          <w:szCs w:val="16"/>
          <w:lang w:val="fr-CH"/>
        </w:rPr>
        <w:t> </w:t>
      </w:r>
      <w:r w:rsidRPr="00A3274D">
        <w:rPr>
          <w:sz w:val="16"/>
          <w:szCs w:val="16"/>
          <w:lang w:val="fr-CH"/>
        </w:rPr>
        <w:t xml:space="preserve">: </w:t>
      </w:r>
    </w:p>
    <w:p w:rsidR="00A3701F" w:rsidRPr="00A3274D" w:rsidRDefault="00A3701F" w:rsidP="0085651C">
      <w:pPr>
        <w:pStyle w:val="EndnoteText"/>
        <w:tabs>
          <w:tab w:val="left" w:pos="567"/>
          <w:tab w:val="left" w:pos="851"/>
        </w:tabs>
        <w:ind w:left="567"/>
        <w:rPr>
          <w:sz w:val="16"/>
          <w:szCs w:val="16"/>
          <w:lang w:val="fr-CH"/>
        </w:rPr>
      </w:pPr>
      <w:r w:rsidRPr="00A3274D">
        <w:rPr>
          <w:sz w:val="16"/>
          <w:szCs w:val="16"/>
          <w:lang w:val="fr-CH"/>
        </w:rPr>
        <w:t>-</w:t>
      </w:r>
      <w:r>
        <w:rPr>
          <w:sz w:val="16"/>
          <w:szCs w:val="16"/>
          <w:lang w:val="fr-CH"/>
        </w:rPr>
        <w:tab/>
      </w:r>
      <w:r w:rsidRPr="00A3274D">
        <w:rPr>
          <w:sz w:val="16"/>
          <w:szCs w:val="16"/>
          <w:lang w:val="fr-CH"/>
        </w:rPr>
        <w:t xml:space="preserve">Les “utilisateurs” sont les personnes qui ont effectué au moins une session au cours de la période donnée. </w:t>
      </w:r>
    </w:p>
    <w:p w:rsidR="00A3701F" w:rsidRPr="00A3274D" w:rsidRDefault="00A3701F" w:rsidP="0085651C">
      <w:pPr>
        <w:pStyle w:val="EndnoteText"/>
        <w:tabs>
          <w:tab w:val="left" w:pos="567"/>
          <w:tab w:val="left" w:pos="851"/>
        </w:tabs>
        <w:ind w:left="567"/>
        <w:rPr>
          <w:sz w:val="16"/>
          <w:szCs w:val="16"/>
          <w:lang w:val="fr-CH"/>
        </w:rPr>
      </w:pPr>
      <w:r w:rsidRPr="00A3274D">
        <w:rPr>
          <w:sz w:val="16"/>
          <w:szCs w:val="16"/>
          <w:lang w:val="fr-CH"/>
        </w:rPr>
        <w:t>-</w:t>
      </w:r>
      <w:r>
        <w:rPr>
          <w:sz w:val="16"/>
          <w:szCs w:val="16"/>
          <w:lang w:val="fr-CH"/>
        </w:rPr>
        <w:tab/>
      </w:r>
      <w:r w:rsidRPr="00A3274D">
        <w:rPr>
          <w:sz w:val="16"/>
          <w:szCs w:val="16"/>
          <w:lang w:val="fr-CH"/>
        </w:rPr>
        <w:t xml:space="preserve">Une “session” est la période pendant laquelle un utilisateur consulte le site Web de manière active. </w:t>
      </w:r>
      <w:r>
        <w:rPr>
          <w:sz w:val="16"/>
          <w:szCs w:val="16"/>
          <w:lang w:val="fr-CH"/>
        </w:rPr>
        <w:t xml:space="preserve"> </w:t>
      </w:r>
      <w:r w:rsidRPr="00A3274D">
        <w:rPr>
          <w:sz w:val="16"/>
          <w:szCs w:val="16"/>
          <w:lang w:val="fr-CH"/>
        </w:rPr>
        <w:t xml:space="preserve">Le terme “sessions” correspond au nombre total de sessions au cours de la période donnée. </w:t>
      </w:r>
    </w:p>
    <w:p w:rsidR="00A3701F" w:rsidRPr="00A3274D" w:rsidRDefault="00A3701F" w:rsidP="0085651C">
      <w:pPr>
        <w:pStyle w:val="EndnoteText"/>
        <w:tabs>
          <w:tab w:val="left" w:pos="567"/>
          <w:tab w:val="left" w:pos="851"/>
        </w:tabs>
        <w:ind w:left="567"/>
        <w:rPr>
          <w:sz w:val="16"/>
          <w:szCs w:val="16"/>
          <w:lang w:val="fr-CH"/>
        </w:rPr>
      </w:pPr>
      <w:r>
        <w:rPr>
          <w:sz w:val="16"/>
          <w:szCs w:val="16"/>
          <w:lang w:val="fr-CH"/>
        </w:rPr>
        <w:t>-</w:t>
      </w:r>
      <w:r>
        <w:rPr>
          <w:sz w:val="16"/>
          <w:szCs w:val="16"/>
          <w:lang w:val="fr-CH"/>
        </w:rPr>
        <w:tab/>
        <w:t>L’</w:t>
      </w:r>
      <w:r w:rsidRPr="00A3274D">
        <w:rPr>
          <w:sz w:val="16"/>
          <w:szCs w:val="16"/>
          <w:lang w:val="fr-CH"/>
        </w:rPr>
        <w:t>expression “consultations ponctuelles” correspond au nombre de consultations du site</w:t>
      </w:r>
      <w:r>
        <w:rPr>
          <w:sz w:val="16"/>
          <w:szCs w:val="16"/>
          <w:lang w:val="fr-CH"/>
        </w:rPr>
        <w:t> </w:t>
      </w:r>
      <w:r w:rsidRPr="00A3274D">
        <w:rPr>
          <w:sz w:val="16"/>
          <w:szCs w:val="16"/>
          <w:lang w:val="fr-CH"/>
        </w:rPr>
        <w:t xml:space="preserve">Web au cours desquelles la page en question a été consultée au moins une fois. </w:t>
      </w:r>
    </w:p>
    <w:p w:rsidR="00A3701F" w:rsidRPr="00A3274D" w:rsidRDefault="00A3701F" w:rsidP="0085651C">
      <w:pPr>
        <w:pStyle w:val="EndnoteText"/>
        <w:tabs>
          <w:tab w:val="left" w:pos="567"/>
          <w:tab w:val="left" w:pos="851"/>
        </w:tabs>
        <w:ind w:left="567"/>
        <w:rPr>
          <w:sz w:val="16"/>
          <w:szCs w:val="16"/>
          <w:lang w:val="fr-CH"/>
        </w:rPr>
      </w:pPr>
      <w:r w:rsidRPr="00A3274D">
        <w:rPr>
          <w:sz w:val="16"/>
          <w:szCs w:val="16"/>
          <w:lang w:val="fr-CH"/>
        </w:rPr>
        <w:t>-</w:t>
      </w:r>
      <w:r>
        <w:rPr>
          <w:sz w:val="16"/>
          <w:szCs w:val="16"/>
          <w:lang w:val="fr-CH"/>
        </w:rPr>
        <w:tab/>
      </w:r>
      <w:r w:rsidRPr="00A3274D">
        <w:rPr>
          <w:sz w:val="16"/>
          <w:szCs w:val="16"/>
          <w:lang w:val="fr-CH"/>
        </w:rPr>
        <w:t xml:space="preserve">Le terme “consultations” correspond au nombre total de consultations d'une page. </w:t>
      </w:r>
      <w:r>
        <w:rPr>
          <w:sz w:val="16"/>
          <w:szCs w:val="16"/>
          <w:lang w:val="fr-CH"/>
        </w:rPr>
        <w:t xml:space="preserve"> </w:t>
      </w:r>
      <w:r w:rsidRPr="00A3274D">
        <w:rPr>
          <w:sz w:val="16"/>
          <w:szCs w:val="16"/>
          <w:lang w:val="fr-CH"/>
        </w:rPr>
        <w:t xml:space="preserve">Si le même utilisateur consulte plusieurs fois une page donnée au cours de la même session, toutes les consultations sont comptabilisées.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Pr="001D1EDE" w:rsidRDefault="00A3701F" w:rsidP="008565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Pr="00C74C0E" w:rsidRDefault="00A3701F" w:rsidP="002D52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Default="00A3701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Default="00A3701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Default="00A37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01F" w:rsidRDefault="00A3701F" w:rsidP="00C95616">
      <w:pPr>
        <w:spacing w:before="120"/>
      </w:pPr>
      <w:r>
        <w:separator/>
      </w:r>
    </w:p>
  </w:footnote>
  <w:footnote w:type="continuationSeparator" w:id="0">
    <w:p w:rsidR="00A3701F" w:rsidRDefault="00A3701F" w:rsidP="006655D3">
      <w:r>
        <w:separator/>
      </w:r>
    </w:p>
  </w:footnote>
  <w:footnote w:type="continuationNotice" w:id="1">
    <w:p w:rsidR="00A3701F" w:rsidRPr="00A56FAA" w:rsidRDefault="00A3701F" w:rsidP="00A56FAA">
      <w:pPr>
        <w:pStyle w:val="Footer"/>
        <w:rPr>
          <w:szCs w:val="18"/>
        </w:rPr>
      </w:pPr>
    </w:p>
  </w:footnote>
  <w:footnote w:id="2">
    <w:p w:rsidR="00A3701F" w:rsidRPr="00F01D68" w:rsidRDefault="00A3701F" w:rsidP="00F01D68">
      <w:pPr>
        <w:pStyle w:val="FootnoteText"/>
      </w:pPr>
      <w:r w:rsidRPr="00F01D68">
        <w:rPr>
          <w:rStyle w:val="FootnoteReference"/>
        </w:rPr>
        <w:footnoteRef/>
      </w:r>
      <w:r w:rsidRPr="00F01D68">
        <w:t xml:space="preserve"> </w:t>
      </w:r>
      <w:r w:rsidRPr="00F01D68">
        <w:tab/>
        <w:t>Le terme “missions” fait référence à des événements organisés en dehors du siège de l’UPOV.</w:t>
      </w:r>
    </w:p>
  </w:footnote>
  <w:footnote w:id="3">
    <w:p w:rsidR="00A3701F" w:rsidRPr="002778ED" w:rsidRDefault="00A3701F" w:rsidP="0085651C">
      <w:pPr>
        <w:pStyle w:val="FootnoteText"/>
        <w:ind w:left="0" w:firstLine="0"/>
      </w:pPr>
      <w:r w:rsidRPr="002778ED">
        <w:rPr>
          <w:rStyle w:val="FootnoteReference"/>
        </w:rPr>
        <w:footnoteRef/>
      </w:r>
      <w:r w:rsidRPr="002778ED">
        <w:rPr>
          <w:sz w:val="20"/>
        </w:rPr>
        <w:tab/>
      </w:r>
      <w:r w:rsidRPr="002778ED">
        <w:t>Continuation de l</w:t>
      </w:r>
      <w:r>
        <w:t>’</w:t>
      </w:r>
      <w:r w:rsidRPr="002778ED">
        <w:t>adhésion de la Tchécoslovaquie (instrument déposé le 4 novembre 1991;  prise d</w:t>
      </w:r>
      <w:r>
        <w:t>’</w:t>
      </w:r>
      <w:r w:rsidRPr="002778ED">
        <w:t>effet le 4 décembre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Pr="00C5280D" w:rsidRDefault="00A3701F" w:rsidP="00EB048E">
    <w:pPr>
      <w:pStyle w:val="Header"/>
      <w:rPr>
        <w:rStyle w:val="PageNumber"/>
        <w:lang w:val="en-US"/>
      </w:rPr>
    </w:pPr>
    <w:r>
      <w:rPr>
        <w:rStyle w:val="PageNumber"/>
        <w:lang w:val="en-US"/>
      </w:rPr>
      <w:t>C/50/2</w:t>
    </w:r>
  </w:p>
  <w:p w:rsidR="00A3701F" w:rsidRPr="00C5280D" w:rsidRDefault="00A3701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4A67">
      <w:rPr>
        <w:rStyle w:val="PageNumber"/>
        <w:noProof/>
        <w:lang w:val="en-US"/>
      </w:rPr>
      <w:t>13</w:t>
    </w:r>
    <w:r w:rsidRPr="00C5280D">
      <w:rPr>
        <w:rStyle w:val="PageNumber"/>
        <w:lang w:val="en-US"/>
      </w:rPr>
      <w:fldChar w:fldCharType="end"/>
    </w:r>
  </w:p>
  <w:p w:rsidR="00A3701F" w:rsidRPr="00C5280D" w:rsidRDefault="00A3701F" w:rsidP="008B401F">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Pr="00C5280D" w:rsidRDefault="00A3701F" w:rsidP="00EB048E">
    <w:pPr>
      <w:pStyle w:val="Header"/>
      <w:rPr>
        <w:rStyle w:val="PageNumber"/>
        <w:lang w:val="en-US"/>
      </w:rPr>
    </w:pPr>
    <w:r>
      <w:rPr>
        <w:rStyle w:val="PageNumber"/>
        <w:lang w:val="en-US"/>
      </w:rPr>
      <w:t>C/49/2</w:t>
    </w:r>
  </w:p>
  <w:p w:rsidR="00A3701F" w:rsidRPr="00C5280D" w:rsidRDefault="00A3701F" w:rsidP="00EB048E">
    <w:pPr>
      <w:pStyle w:val="Header"/>
      <w:rPr>
        <w:lang w:val="en-US"/>
      </w:rPr>
    </w:pPr>
    <w:r>
      <w:rPr>
        <w:lang w:val="en-US"/>
      </w:rPr>
      <w:t xml:space="preserve">Annexe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4A67">
      <w:rPr>
        <w:rStyle w:val="PageNumber"/>
        <w:noProof/>
        <w:lang w:val="en-US"/>
      </w:rPr>
      <w:t>6</w:t>
    </w:r>
    <w:r w:rsidRPr="00C5280D">
      <w:rPr>
        <w:rStyle w:val="PageNumber"/>
        <w:lang w:val="en-US"/>
      </w:rPr>
      <w:fldChar w:fldCharType="end"/>
    </w:r>
  </w:p>
  <w:p w:rsidR="00A3701F" w:rsidRPr="00C5280D" w:rsidRDefault="00A3701F" w:rsidP="008B401F">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Default="00A370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Pr="00C5280D" w:rsidRDefault="00A3701F" w:rsidP="00EB048E">
    <w:pPr>
      <w:pStyle w:val="Header"/>
      <w:rPr>
        <w:rStyle w:val="PageNumber"/>
        <w:lang w:val="en-US"/>
      </w:rPr>
    </w:pPr>
    <w:r>
      <w:rPr>
        <w:rStyle w:val="PageNumber"/>
        <w:lang w:val="en-US"/>
      </w:rPr>
      <w:t>C/50/2</w:t>
    </w:r>
  </w:p>
  <w:p w:rsidR="00A3701F" w:rsidRPr="00C5280D" w:rsidRDefault="00A3701F" w:rsidP="00EB048E">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4A67">
      <w:rPr>
        <w:rStyle w:val="PageNumber"/>
        <w:noProof/>
        <w:lang w:val="en-US"/>
      </w:rPr>
      <w:t>5</w:t>
    </w:r>
    <w:r w:rsidRPr="00C5280D">
      <w:rPr>
        <w:rStyle w:val="PageNumber"/>
        <w:lang w:val="en-US"/>
      </w:rPr>
      <w:fldChar w:fldCharType="end"/>
    </w:r>
  </w:p>
  <w:p w:rsidR="00A3701F" w:rsidRPr="00C5280D" w:rsidRDefault="00A3701F" w:rsidP="008B401F">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Pr="00C5280D" w:rsidRDefault="00A3701F" w:rsidP="00EB048E">
    <w:pPr>
      <w:pStyle w:val="Header"/>
      <w:rPr>
        <w:rStyle w:val="PageNumber"/>
        <w:lang w:val="en-US"/>
      </w:rPr>
    </w:pPr>
    <w:r>
      <w:rPr>
        <w:rStyle w:val="PageNumber"/>
        <w:lang w:val="en-US"/>
      </w:rPr>
      <w:t>C/50/2</w:t>
    </w:r>
  </w:p>
  <w:p w:rsidR="00A3701F" w:rsidRPr="00C5280D" w:rsidRDefault="00A3701F" w:rsidP="00EB048E">
    <w:pPr>
      <w:pStyle w:val="Header"/>
      <w:rPr>
        <w:lang w:val="en-US"/>
      </w:rPr>
    </w:pPr>
    <w:r>
      <w:rPr>
        <w:lang w:val="en-US"/>
      </w:rPr>
      <w:t xml:space="preserve">Annexe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4A67">
      <w:rPr>
        <w:rStyle w:val="PageNumber"/>
        <w:noProof/>
        <w:lang w:val="en-US"/>
      </w:rPr>
      <w:t>21</w:t>
    </w:r>
    <w:r w:rsidRPr="00C5280D">
      <w:rPr>
        <w:rStyle w:val="PageNumber"/>
        <w:lang w:val="en-US"/>
      </w:rPr>
      <w:fldChar w:fldCharType="end"/>
    </w:r>
  </w:p>
  <w:p w:rsidR="00A3701F" w:rsidRPr="00C5280D" w:rsidRDefault="00A3701F" w:rsidP="008B401F">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Default="00A3701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Pr="00C5280D" w:rsidRDefault="00A3701F" w:rsidP="00EB048E">
    <w:pPr>
      <w:pStyle w:val="Header"/>
      <w:rPr>
        <w:rStyle w:val="PageNumber"/>
        <w:lang w:val="en-US"/>
      </w:rPr>
    </w:pPr>
    <w:r>
      <w:rPr>
        <w:rStyle w:val="PageNumber"/>
        <w:lang w:val="en-US"/>
      </w:rPr>
      <w:t>C/50/2</w:t>
    </w:r>
  </w:p>
  <w:p w:rsidR="00A3701F" w:rsidRPr="00C5280D" w:rsidRDefault="00A3701F" w:rsidP="00EB048E">
    <w:pPr>
      <w:pStyle w:val="Header"/>
      <w:rPr>
        <w:lang w:val="en-US"/>
      </w:rPr>
    </w:pPr>
    <w:r>
      <w:rPr>
        <w:lang w:val="en-US"/>
      </w:rPr>
      <w:t xml:space="preserve">Appendice, </w:t>
    </w: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4A67">
      <w:rPr>
        <w:rStyle w:val="PageNumber"/>
        <w:noProof/>
        <w:lang w:val="en-US"/>
      </w:rPr>
      <w:t>2</w:t>
    </w:r>
    <w:r w:rsidRPr="00C5280D">
      <w:rPr>
        <w:rStyle w:val="PageNumber"/>
        <w:lang w:val="en-US"/>
      </w:rPr>
      <w:fldChar w:fldCharType="end"/>
    </w:r>
  </w:p>
  <w:p w:rsidR="00A3701F" w:rsidRPr="00C5280D" w:rsidRDefault="00A3701F" w:rsidP="00C57B61">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01F" w:rsidRDefault="00A370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CC74DE"/>
    <w:lvl w:ilvl="0">
      <w:start w:val="1"/>
      <w:numFmt w:val="decimal"/>
      <w:lvlText w:val="%1."/>
      <w:lvlJc w:val="left"/>
      <w:pPr>
        <w:tabs>
          <w:tab w:val="num" w:pos="643"/>
        </w:tabs>
        <w:ind w:left="643" w:hanging="360"/>
      </w:pPr>
    </w:lvl>
  </w:abstractNum>
  <w:abstractNum w:abstractNumId="1">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4402EC8"/>
    <w:lvl w:ilvl="0">
      <w:start w:val="1"/>
      <w:numFmt w:val="decimal"/>
      <w:lvlText w:val="%1."/>
      <w:lvlJc w:val="left"/>
      <w:pPr>
        <w:tabs>
          <w:tab w:val="num" w:pos="360"/>
        </w:tabs>
        <w:ind w:left="360" w:hanging="360"/>
      </w:pPr>
    </w:lvl>
  </w:abstractNum>
  <w:abstractNum w:abstractNumId="6">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nsid w:val="0F572346"/>
    <w:multiLevelType w:val="hybridMultilevel"/>
    <w:tmpl w:val="4360441C"/>
    <w:lvl w:ilvl="0" w:tplc="6C3CB598">
      <w:start w:val="1"/>
      <w:numFmt w:val="lowerLetter"/>
      <w:lvlText w:val="%1)"/>
      <w:lvlJc w:val="left"/>
      <w:pPr>
        <w:ind w:firstLine="567"/>
      </w:pPr>
      <w:rPr>
        <w:rFonts w:hint="default"/>
      </w:rPr>
    </w:lvl>
    <w:lvl w:ilvl="1" w:tplc="040C0019">
      <w:start w:val="1"/>
      <w:numFmt w:val="lowerLetter"/>
      <w:lvlText w:val="%2."/>
      <w:lvlJc w:val="left"/>
      <w:pPr>
        <w:ind w:left="1650" w:hanging="360"/>
      </w:pPr>
    </w:lvl>
    <w:lvl w:ilvl="2" w:tplc="040C001B">
      <w:start w:val="1"/>
      <w:numFmt w:val="lowerRoman"/>
      <w:lvlText w:val="%3."/>
      <w:lvlJc w:val="right"/>
      <w:pPr>
        <w:ind w:left="2370" w:hanging="180"/>
      </w:pPr>
    </w:lvl>
    <w:lvl w:ilvl="3" w:tplc="040C000F">
      <w:start w:val="1"/>
      <w:numFmt w:val="decimal"/>
      <w:lvlText w:val="%4."/>
      <w:lvlJc w:val="left"/>
      <w:pPr>
        <w:ind w:left="3090" w:hanging="360"/>
      </w:pPr>
    </w:lvl>
    <w:lvl w:ilvl="4" w:tplc="040C0019">
      <w:start w:val="1"/>
      <w:numFmt w:val="lowerLetter"/>
      <w:lvlText w:val="%5."/>
      <w:lvlJc w:val="left"/>
      <w:pPr>
        <w:ind w:left="3810" w:hanging="360"/>
      </w:pPr>
    </w:lvl>
    <w:lvl w:ilvl="5" w:tplc="040C001B">
      <w:start w:val="1"/>
      <w:numFmt w:val="lowerRoman"/>
      <w:lvlText w:val="%6."/>
      <w:lvlJc w:val="right"/>
      <w:pPr>
        <w:ind w:left="4530" w:hanging="180"/>
      </w:pPr>
    </w:lvl>
    <w:lvl w:ilvl="6" w:tplc="040C000F">
      <w:start w:val="1"/>
      <w:numFmt w:val="decimal"/>
      <w:lvlText w:val="%7."/>
      <w:lvlJc w:val="left"/>
      <w:pPr>
        <w:ind w:left="5250" w:hanging="360"/>
      </w:pPr>
    </w:lvl>
    <w:lvl w:ilvl="7" w:tplc="040C0019">
      <w:start w:val="1"/>
      <w:numFmt w:val="lowerLetter"/>
      <w:lvlText w:val="%8."/>
      <w:lvlJc w:val="left"/>
      <w:pPr>
        <w:ind w:left="5970" w:hanging="360"/>
      </w:pPr>
    </w:lvl>
    <w:lvl w:ilvl="8" w:tplc="040C001B">
      <w:start w:val="1"/>
      <w:numFmt w:val="lowerRoman"/>
      <w:lvlText w:val="%9."/>
      <w:lvlJc w:val="right"/>
      <w:pPr>
        <w:ind w:left="6690" w:hanging="180"/>
      </w:pPr>
    </w:lvl>
  </w:abstractNum>
  <w:abstractNum w:abstractNumId="9">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15AF1A2F"/>
    <w:multiLevelType w:val="multilevel"/>
    <w:tmpl w:val="4ACCFF84"/>
    <w:lvl w:ilvl="0">
      <w:start w:val="1"/>
      <w:numFmt w:val="lowerLetter"/>
      <w:lvlText w:val="%1)"/>
      <w:lvlJc w:val="left"/>
      <w:pPr>
        <w:tabs>
          <w:tab w:val="num" w:pos="1701"/>
        </w:tabs>
        <w:ind w:left="567" w:firstLine="567"/>
      </w:pPr>
      <w:rPr>
        <w:rFonts w:hint="default"/>
        <w:caps w:val="0"/>
        <w:strike w:val="0"/>
        <w:dstrike w:val="0"/>
        <w:vanish w:val="0"/>
        <w:color w:val="000000"/>
        <w:vertAlign w:val="baseline"/>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2">
    <w:nsid w:val="1CDC5139"/>
    <w:multiLevelType w:val="hybridMultilevel"/>
    <w:tmpl w:val="B3B6CF44"/>
    <w:lvl w:ilvl="0" w:tplc="021A0EC2">
      <w:start w:val="1"/>
      <w:numFmt w:val="lowerRoman"/>
      <w:lvlText w:val="%1)"/>
      <w:lvlJc w:val="left"/>
      <w:pPr>
        <w:ind w:firstLine="1134"/>
      </w:pPr>
      <w:rPr>
        <w:rFonts w:hint="default"/>
      </w:rPr>
    </w:lvl>
    <w:lvl w:ilvl="1" w:tplc="040C0019">
      <w:start w:val="1"/>
      <w:numFmt w:val="lowerLetter"/>
      <w:lvlText w:val="%2."/>
      <w:lvlJc w:val="left"/>
      <w:pPr>
        <w:ind w:left="2220" w:hanging="360"/>
      </w:pPr>
    </w:lvl>
    <w:lvl w:ilvl="2" w:tplc="040C001B">
      <w:start w:val="1"/>
      <w:numFmt w:val="lowerRoman"/>
      <w:lvlText w:val="%3."/>
      <w:lvlJc w:val="right"/>
      <w:pPr>
        <w:ind w:left="2940" w:hanging="180"/>
      </w:pPr>
    </w:lvl>
    <w:lvl w:ilvl="3" w:tplc="040C000F">
      <w:start w:val="1"/>
      <w:numFmt w:val="decimal"/>
      <w:lvlText w:val="%4."/>
      <w:lvlJc w:val="left"/>
      <w:pPr>
        <w:ind w:left="3660" w:hanging="360"/>
      </w:pPr>
    </w:lvl>
    <w:lvl w:ilvl="4" w:tplc="040C0019">
      <w:start w:val="1"/>
      <w:numFmt w:val="lowerLetter"/>
      <w:lvlText w:val="%5."/>
      <w:lvlJc w:val="left"/>
      <w:pPr>
        <w:ind w:left="4380" w:hanging="360"/>
      </w:pPr>
    </w:lvl>
    <w:lvl w:ilvl="5" w:tplc="040C001B">
      <w:start w:val="1"/>
      <w:numFmt w:val="lowerRoman"/>
      <w:lvlText w:val="%6."/>
      <w:lvlJc w:val="right"/>
      <w:pPr>
        <w:ind w:left="5100" w:hanging="180"/>
      </w:pPr>
    </w:lvl>
    <w:lvl w:ilvl="6" w:tplc="040C000F">
      <w:start w:val="1"/>
      <w:numFmt w:val="decimal"/>
      <w:lvlText w:val="%7."/>
      <w:lvlJc w:val="left"/>
      <w:pPr>
        <w:ind w:left="5820" w:hanging="360"/>
      </w:pPr>
    </w:lvl>
    <w:lvl w:ilvl="7" w:tplc="040C0019">
      <w:start w:val="1"/>
      <w:numFmt w:val="lowerLetter"/>
      <w:lvlText w:val="%8."/>
      <w:lvlJc w:val="left"/>
      <w:pPr>
        <w:ind w:left="6540" w:hanging="360"/>
      </w:pPr>
    </w:lvl>
    <w:lvl w:ilvl="8" w:tplc="040C001B">
      <w:start w:val="1"/>
      <w:numFmt w:val="lowerRoman"/>
      <w:lvlText w:val="%9."/>
      <w:lvlJc w:val="right"/>
      <w:pPr>
        <w:ind w:left="7260" w:hanging="180"/>
      </w:pPr>
    </w:lvl>
  </w:abstractNum>
  <w:abstractNum w:abstractNumId="13">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355BF8"/>
    <w:multiLevelType w:val="hybridMultilevel"/>
    <w:tmpl w:val="29FC2E54"/>
    <w:lvl w:ilvl="0" w:tplc="DCF64C86">
      <w:start w:val="1"/>
      <w:numFmt w:val="lowerLetter"/>
      <w:lvlText w:val="%1)"/>
      <w:lvlJc w:val="left"/>
      <w:pPr>
        <w:tabs>
          <w:tab w:val="num" w:pos="1701"/>
        </w:tabs>
        <w:ind w:left="567" w:firstLine="567"/>
      </w:pPr>
      <w:rPr>
        <w:rFonts w:hint="default"/>
        <w:caps w:val="0"/>
        <w:strike w:val="0"/>
        <w:dstrike w:val="0"/>
        <w:vanish w:val="0"/>
        <w:color w:val="000000"/>
        <w:vertAlign w:val="baseline"/>
      </w:r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16">
    <w:nsid w:val="2A9265F1"/>
    <w:multiLevelType w:val="multilevel"/>
    <w:tmpl w:val="012E85D2"/>
    <w:lvl w:ilvl="0">
      <w:start w:val="1"/>
      <w:numFmt w:val="upperRoman"/>
      <w:lvlText w:val="%1."/>
      <w:lvlJc w:val="left"/>
      <w:pPr>
        <w:tabs>
          <w:tab w:val="num" w:pos="567"/>
        </w:tabs>
      </w:pPr>
      <w:rPr>
        <w:rFonts w:hint="default"/>
      </w:rPr>
    </w:lvl>
    <w:lvl w:ilvl="1">
      <w:start w:val="1"/>
      <w:numFmt w:val="lowerLetter"/>
      <w:lvlText w:val="%2)"/>
      <w:lvlJc w:val="left"/>
      <w:pPr>
        <w:tabs>
          <w:tab w:val="num" w:pos="2220"/>
        </w:tabs>
        <w:ind w:left="2220" w:hanging="11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D9A395A"/>
    <w:multiLevelType w:val="hybridMultilevel"/>
    <w:tmpl w:val="FCBAFC2A"/>
    <w:lvl w:ilvl="0" w:tplc="0CFEC63C">
      <w:start w:val="1"/>
      <w:numFmt w:val="lowerLetter"/>
      <w:lvlText w:val="%1)"/>
      <w:lvlJc w:val="left"/>
      <w:pPr>
        <w:tabs>
          <w:tab w:val="num" w:pos="1134"/>
        </w:tabs>
        <w:ind w:firstLine="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5932EB"/>
    <w:multiLevelType w:val="hybridMultilevel"/>
    <w:tmpl w:val="4ACCFF84"/>
    <w:lvl w:ilvl="0" w:tplc="9C82D242">
      <w:start w:val="1"/>
      <w:numFmt w:val="lowerLetter"/>
      <w:lvlText w:val="%1)"/>
      <w:lvlJc w:val="left"/>
      <w:pPr>
        <w:tabs>
          <w:tab w:val="num" w:pos="1701"/>
        </w:tabs>
        <w:ind w:left="567" w:firstLine="567"/>
      </w:pPr>
      <w:rPr>
        <w:rFonts w:hint="default"/>
        <w:caps w:val="0"/>
        <w:strike w:val="0"/>
        <w:dstrike w:val="0"/>
        <w:vanish w:val="0"/>
        <w:color w:val="000000"/>
        <w:vertAlign w:val="baseline"/>
      </w:rPr>
    </w:lvl>
    <w:lvl w:ilvl="1" w:tplc="04090019">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start w:val="1"/>
      <w:numFmt w:val="decimal"/>
      <w:lvlText w:val="%4."/>
      <w:lvlJc w:val="left"/>
      <w:pPr>
        <w:tabs>
          <w:tab w:val="num" w:pos="3447"/>
        </w:tabs>
        <w:ind w:left="3447" w:hanging="360"/>
      </w:pPr>
    </w:lvl>
    <w:lvl w:ilvl="4" w:tplc="04090019">
      <w:start w:val="1"/>
      <w:numFmt w:val="lowerLetter"/>
      <w:lvlText w:val="%5."/>
      <w:lvlJc w:val="left"/>
      <w:pPr>
        <w:tabs>
          <w:tab w:val="num" w:pos="4167"/>
        </w:tabs>
        <w:ind w:left="4167" w:hanging="360"/>
      </w:pPr>
    </w:lvl>
    <w:lvl w:ilvl="5" w:tplc="0409001B">
      <w:start w:val="1"/>
      <w:numFmt w:val="lowerRoman"/>
      <w:lvlText w:val="%6."/>
      <w:lvlJc w:val="right"/>
      <w:pPr>
        <w:tabs>
          <w:tab w:val="num" w:pos="4887"/>
        </w:tabs>
        <w:ind w:left="4887" w:hanging="18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21">
    <w:nsid w:val="2FAD2FC2"/>
    <w:multiLevelType w:val="hybridMultilevel"/>
    <w:tmpl w:val="A54A7FC8"/>
    <w:lvl w:ilvl="0" w:tplc="9C82D242">
      <w:start w:val="1"/>
      <w:numFmt w:val="lowerLetter"/>
      <w:lvlText w:val="%1)"/>
      <w:lvlJc w:val="left"/>
      <w:pPr>
        <w:tabs>
          <w:tab w:val="num" w:pos="1704"/>
        </w:tabs>
        <w:ind w:left="570" w:firstLine="567"/>
      </w:pPr>
      <w:rPr>
        <w:rFonts w:hint="default"/>
        <w:caps w:val="0"/>
        <w:strike w:val="0"/>
        <w:dstrike w:val="0"/>
        <w:vanish w:val="0"/>
        <w:color w:val="000000"/>
        <w:vertAlign w:val="baseline"/>
      </w:rPr>
    </w:lvl>
    <w:lvl w:ilvl="1" w:tplc="04090019">
      <w:start w:val="1"/>
      <w:numFmt w:val="lowerLetter"/>
      <w:lvlText w:val="%2."/>
      <w:lvlJc w:val="left"/>
      <w:pPr>
        <w:tabs>
          <w:tab w:val="num" w:pos="2010"/>
        </w:tabs>
        <w:ind w:left="2010" w:hanging="360"/>
      </w:pPr>
    </w:lvl>
    <w:lvl w:ilvl="2" w:tplc="0409001B">
      <w:start w:val="1"/>
      <w:numFmt w:val="lowerRoman"/>
      <w:lvlText w:val="%3."/>
      <w:lvlJc w:val="right"/>
      <w:pPr>
        <w:tabs>
          <w:tab w:val="num" w:pos="2730"/>
        </w:tabs>
        <w:ind w:left="2730" w:hanging="180"/>
      </w:pPr>
    </w:lvl>
    <w:lvl w:ilvl="3" w:tplc="0409000F">
      <w:start w:val="1"/>
      <w:numFmt w:val="decimal"/>
      <w:lvlText w:val="%4."/>
      <w:lvlJc w:val="left"/>
      <w:pPr>
        <w:tabs>
          <w:tab w:val="num" w:pos="3450"/>
        </w:tabs>
        <w:ind w:left="3450" w:hanging="360"/>
      </w:pPr>
    </w:lvl>
    <w:lvl w:ilvl="4" w:tplc="04090019">
      <w:start w:val="1"/>
      <w:numFmt w:val="lowerLetter"/>
      <w:lvlText w:val="%5."/>
      <w:lvlJc w:val="left"/>
      <w:pPr>
        <w:tabs>
          <w:tab w:val="num" w:pos="4170"/>
        </w:tabs>
        <w:ind w:left="4170" w:hanging="360"/>
      </w:pPr>
    </w:lvl>
    <w:lvl w:ilvl="5" w:tplc="0409001B">
      <w:start w:val="1"/>
      <w:numFmt w:val="lowerRoman"/>
      <w:lvlText w:val="%6."/>
      <w:lvlJc w:val="right"/>
      <w:pPr>
        <w:tabs>
          <w:tab w:val="num" w:pos="4890"/>
        </w:tabs>
        <w:ind w:left="4890" w:hanging="180"/>
      </w:pPr>
    </w:lvl>
    <w:lvl w:ilvl="6" w:tplc="0409000F">
      <w:start w:val="1"/>
      <w:numFmt w:val="decimal"/>
      <w:lvlText w:val="%7."/>
      <w:lvlJc w:val="left"/>
      <w:pPr>
        <w:tabs>
          <w:tab w:val="num" w:pos="5610"/>
        </w:tabs>
        <w:ind w:left="5610" w:hanging="360"/>
      </w:pPr>
    </w:lvl>
    <w:lvl w:ilvl="7" w:tplc="04090019">
      <w:start w:val="1"/>
      <w:numFmt w:val="lowerLetter"/>
      <w:lvlText w:val="%8."/>
      <w:lvlJc w:val="left"/>
      <w:pPr>
        <w:tabs>
          <w:tab w:val="num" w:pos="6330"/>
        </w:tabs>
        <w:ind w:left="6330" w:hanging="360"/>
      </w:pPr>
    </w:lvl>
    <w:lvl w:ilvl="8" w:tplc="0409001B">
      <w:start w:val="1"/>
      <w:numFmt w:val="lowerRoman"/>
      <w:lvlText w:val="%9."/>
      <w:lvlJc w:val="right"/>
      <w:pPr>
        <w:tabs>
          <w:tab w:val="num" w:pos="7050"/>
        </w:tabs>
        <w:ind w:left="7050" w:hanging="180"/>
      </w:pPr>
    </w:lvl>
  </w:abstractNum>
  <w:abstractNum w:abstractNumId="22">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0B784E"/>
    <w:multiLevelType w:val="multilevel"/>
    <w:tmpl w:val="E8B068D0"/>
    <w:lvl w:ilvl="0">
      <w:start w:val="1"/>
      <w:numFmt w:val="upperRoman"/>
      <w:lvlText w:val="%1."/>
      <w:lvlJc w:val="left"/>
      <w:pPr>
        <w:tabs>
          <w:tab w:val="num" w:pos="567"/>
        </w:tabs>
      </w:pPr>
      <w:rPr>
        <w:rFonts w:hint="default"/>
      </w:rPr>
    </w:lvl>
    <w:lvl w:ilvl="1">
      <w:start w:val="1"/>
      <w:numFmt w:val="lowerLetter"/>
      <w:lvlText w:val="%2)"/>
      <w:lvlJc w:val="left"/>
      <w:pPr>
        <w:tabs>
          <w:tab w:val="num" w:pos="2220"/>
        </w:tabs>
        <w:ind w:left="2220" w:hanging="11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D52E06"/>
    <w:multiLevelType w:val="hybridMultilevel"/>
    <w:tmpl w:val="2B64F4C8"/>
    <w:lvl w:ilvl="0" w:tplc="05C6DB78">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3C0A1728"/>
    <w:multiLevelType w:val="hybridMultilevel"/>
    <w:tmpl w:val="2A880122"/>
    <w:lvl w:ilvl="0" w:tplc="EFC6481E">
      <w:start w:val="1"/>
      <w:numFmt w:val="lowerLetter"/>
      <w:lvlText w:val="%1)"/>
      <w:lvlJc w:val="left"/>
      <w:pPr>
        <w:ind w:left="570" w:firstLine="567"/>
      </w:pPr>
      <w:rPr>
        <w:rFonts w:hint="default"/>
      </w:rPr>
    </w:lvl>
    <w:lvl w:ilvl="1" w:tplc="040C0019">
      <w:start w:val="1"/>
      <w:numFmt w:val="lowerLetter"/>
      <w:lvlText w:val="%2."/>
      <w:lvlJc w:val="left"/>
      <w:pPr>
        <w:ind w:left="2010" w:hanging="360"/>
      </w:pPr>
    </w:lvl>
    <w:lvl w:ilvl="2" w:tplc="040C001B">
      <w:start w:val="1"/>
      <w:numFmt w:val="lowerRoman"/>
      <w:lvlText w:val="%3."/>
      <w:lvlJc w:val="right"/>
      <w:pPr>
        <w:ind w:left="2730" w:hanging="180"/>
      </w:pPr>
    </w:lvl>
    <w:lvl w:ilvl="3" w:tplc="040C000F">
      <w:start w:val="1"/>
      <w:numFmt w:val="decimal"/>
      <w:lvlText w:val="%4."/>
      <w:lvlJc w:val="left"/>
      <w:pPr>
        <w:ind w:left="3450" w:hanging="360"/>
      </w:pPr>
    </w:lvl>
    <w:lvl w:ilvl="4" w:tplc="040C0019">
      <w:start w:val="1"/>
      <w:numFmt w:val="lowerLetter"/>
      <w:lvlText w:val="%5."/>
      <w:lvlJc w:val="left"/>
      <w:pPr>
        <w:ind w:left="4170" w:hanging="360"/>
      </w:pPr>
    </w:lvl>
    <w:lvl w:ilvl="5" w:tplc="040C001B">
      <w:start w:val="1"/>
      <w:numFmt w:val="lowerRoman"/>
      <w:lvlText w:val="%6."/>
      <w:lvlJc w:val="right"/>
      <w:pPr>
        <w:ind w:left="4890" w:hanging="180"/>
      </w:pPr>
    </w:lvl>
    <w:lvl w:ilvl="6" w:tplc="040C000F">
      <w:start w:val="1"/>
      <w:numFmt w:val="decimal"/>
      <w:lvlText w:val="%7."/>
      <w:lvlJc w:val="left"/>
      <w:pPr>
        <w:ind w:left="5610" w:hanging="360"/>
      </w:pPr>
    </w:lvl>
    <w:lvl w:ilvl="7" w:tplc="040C0019">
      <w:start w:val="1"/>
      <w:numFmt w:val="lowerLetter"/>
      <w:lvlText w:val="%8."/>
      <w:lvlJc w:val="left"/>
      <w:pPr>
        <w:ind w:left="6330" w:hanging="360"/>
      </w:pPr>
    </w:lvl>
    <w:lvl w:ilvl="8" w:tplc="040C001B">
      <w:start w:val="1"/>
      <w:numFmt w:val="lowerRoman"/>
      <w:lvlText w:val="%9."/>
      <w:lvlJc w:val="right"/>
      <w:pPr>
        <w:ind w:left="7050" w:hanging="180"/>
      </w:pPr>
    </w:lvl>
  </w:abstractNum>
  <w:abstractNum w:abstractNumId="27">
    <w:nsid w:val="3CC3330B"/>
    <w:multiLevelType w:val="hybridMultilevel"/>
    <w:tmpl w:val="BC025098"/>
    <w:lvl w:ilvl="0" w:tplc="DCF64C86">
      <w:start w:val="1"/>
      <w:numFmt w:val="lowerLetter"/>
      <w:lvlText w:val="%1)"/>
      <w:lvlJc w:val="left"/>
      <w:pPr>
        <w:tabs>
          <w:tab w:val="num" w:pos="1134"/>
        </w:tabs>
        <w:ind w:firstLine="567"/>
      </w:pPr>
      <w:rPr>
        <w:rFonts w:hint="default"/>
        <w:caps w:val="0"/>
        <w:strike w:val="0"/>
        <w:dstrike w:val="0"/>
        <w:vanish w:val="0"/>
        <w:color w:val="000000"/>
        <w:vertAlign w:val="base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08B5BC6"/>
    <w:multiLevelType w:val="hybridMultilevel"/>
    <w:tmpl w:val="993E64D8"/>
    <w:lvl w:ilvl="0" w:tplc="0CFEC63C">
      <w:start w:val="1"/>
      <w:numFmt w:val="lowerLetter"/>
      <w:lvlText w:val="%1)"/>
      <w:lvlJc w:val="left"/>
      <w:pPr>
        <w:tabs>
          <w:tab w:val="num" w:pos="1134"/>
        </w:tabs>
        <w:ind w:firstLine="567"/>
      </w:pPr>
      <w:rPr>
        <w:rFonts w:hint="default"/>
      </w:rPr>
    </w:lvl>
    <w:lvl w:ilvl="1" w:tplc="EBBC25D2">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49B2F9B"/>
    <w:multiLevelType w:val="hybridMultilevel"/>
    <w:tmpl w:val="F2F8CFA0"/>
    <w:lvl w:ilvl="0" w:tplc="371EDFB0">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45470314"/>
    <w:multiLevelType w:val="hybridMultilevel"/>
    <w:tmpl w:val="7E249F8E"/>
    <w:lvl w:ilvl="0" w:tplc="54FCAF5A">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D57D69"/>
    <w:multiLevelType w:val="multilevel"/>
    <w:tmpl w:val="FCBAFC2A"/>
    <w:lvl w:ilvl="0">
      <w:start w:val="1"/>
      <w:numFmt w:val="lowerLetter"/>
      <w:lvlText w:val="%1)"/>
      <w:lvlJc w:val="left"/>
      <w:pPr>
        <w:tabs>
          <w:tab w:val="num" w:pos="1134"/>
        </w:tabs>
        <w:ind w:firstLine="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7">
    <w:nsid w:val="623B2A4C"/>
    <w:multiLevelType w:val="hybridMultilevel"/>
    <w:tmpl w:val="E2128076"/>
    <w:lvl w:ilvl="0" w:tplc="EBBC25D2">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77C4183"/>
    <w:multiLevelType w:val="hybridMultilevel"/>
    <w:tmpl w:val="F5F65F98"/>
    <w:lvl w:ilvl="0" w:tplc="9C82D242">
      <w:start w:val="1"/>
      <w:numFmt w:val="lowerLetter"/>
      <w:lvlText w:val="%1)"/>
      <w:lvlJc w:val="left"/>
      <w:pPr>
        <w:tabs>
          <w:tab w:val="num" w:pos="1134"/>
        </w:tabs>
        <w:ind w:firstLine="567"/>
      </w:pPr>
      <w:rPr>
        <w:rFonts w:hint="default"/>
        <w:caps w:val="0"/>
        <w:strike w:val="0"/>
        <w:dstrike w:val="0"/>
        <w:vanish w:val="0"/>
        <w:color w:val="000000"/>
        <w:vertAlign w:val="baseline"/>
      </w:rPr>
    </w:lvl>
    <w:lvl w:ilvl="1" w:tplc="86D884A4">
      <w:start w:val="1"/>
      <w:numFmt w:val="lowerRoman"/>
      <w:lvlText w:val="%2)"/>
      <w:lvlJc w:val="left"/>
      <w:pPr>
        <w:tabs>
          <w:tab w:val="num" w:pos="1701"/>
        </w:tabs>
        <w:ind w:firstLine="1134"/>
      </w:pPr>
      <w:rPr>
        <w:rFonts w:hint="default"/>
        <w:caps w:val="0"/>
        <w:strike w:val="0"/>
        <w:dstrike w:val="0"/>
        <w:vanish w:val="0"/>
        <w:color w:val="000000"/>
        <w:vertAlign w:val="base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B67671"/>
    <w:multiLevelType w:val="hybridMultilevel"/>
    <w:tmpl w:val="61E6488A"/>
    <w:lvl w:ilvl="0" w:tplc="04090001">
      <w:start w:val="1"/>
      <w:numFmt w:val="bullet"/>
      <w:lvlText w:val=""/>
      <w:lvlJc w:val="left"/>
      <w:pPr>
        <w:ind w:left="927" w:hanging="360"/>
      </w:pPr>
      <w:rPr>
        <w:rFonts w:ascii="Symbol" w:hAnsi="Symbol" w:cs="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44">
    <w:nsid w:val="740A6DFD"/>
    <w:multiLevelType w:val="hybridMultilevel"/>
    <w:tmpl w:val="A56E0534"/>
    <w:lvl w:ilvl="0" w:tplc="7E4814AE">
      <w:start w:val="2"/>
      <w:numFmt w:val="lowerRoman"/>
      <w:lvlText w:val="%1)"/>
      <w:lvlJc w:val="left"/>
      <w:pPr>
        <w:tabs>
          <w:tab w:val="num" w:pos="1860"/>
        </w:tabs>
        <w:ind w:left="1860" w:hanging="720"/>
      </w:pPr>
      <w:rPr>
        <w:rFonts w:hint="default"/>
      </w:rPr>
    </w:lvl>
    <w:lvl w:ilvl="1" w:tplc="04090019">
      <w:start w:val="1"/>
      <w:numFmt w:val="lowerLetter"/>
      <w:lvlText w:val="%2."/>
      <w:lvlJc w:val="left"/>
      <w:pPr>
        <w:tabs>
          <w:tab w:val="num" w:pos="2220"/>
        </w:tabs>
        <w:ind w:left="2220" w:hanging="360"/>
      </w:pPr>
    </w:lvl>
    <w:lvl w:ilvl="2" w:tplc="0409001B">
      <w:start w:val="1"/>
      <w:numFmt w:val="lowerRoman"/>
      <w:lvlText w:val="%3."/>
      <w:lvlJc w:val="righ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0409001B">
      <w:start w:val="1"/>
      <w:numFmt w:val="lowerRoman"/>
      <w:lvlText w:val="%6."/>
      <w:lvlJc w:val="right"/>
      <w:pPr>
        <w:tabs>
          <w:tab w:val="num" w:pos="5100"/>
        </w:tabs>
        <w:ind w:left="5100" w:hanging="180"/>
      </w:pPr>
    </w:lvl>
    <w:lvl w:ilvl="6" w:tplc="0409000F">
      <w:start w:val="1"/>
      <w:numFmt w:val="decimal"/>
      <w:lvlText w:val="%7."/>
      <w:lvlJc w:val="left"/>
      <w:pPr>
        <w:tabs>
          <w:tab w:val="num" w:pos="5820"/>
        </w:tabs>
        <w:ind w:left="5820" w:hanging="360"/>
      </w:pPr>
    </w:lvl>
    <w:lvl w:ilvl="7" w:tplc="04090019">
      <w:start w:val="1"/>
      <w:numFmt w:val="lowerLetter"/>
      <w:lvlText w:val="%8."/>
      <w:lvlJc w:val="left"/>
      <w:pPr>
        <w:tabs>
          <w:tab w:val="num" w:pos="6540"/>
        </w:tabs>
        <w:ind w:left="6540" w:hanging="360"/>
      </w:pPr>
    </w:lvl>
    <w:lvl w:ilvl="8" w:tplc="0409001B">
      <w:start w:val="1"/>
      <w:numFmt w:val="lowerRoman"/>
      <w:lvlText w:val="%9."/>
      <w:lvlJc w:val="right"/>
      <w:pPr>
        <w:tabs>
          <w:tab w:val="num" w:pos="7260"/>
        </w:tabs>
        <w:ind w:left="7260" w:hanging="180"/>
      </w:pPr>
    </w:lvl>
  </w:abstractNum>
  <w:abstractNum w:abstractNumId="45">
    <w:nsid w:val="7529077F"/>
    <w:multiLevelType w:val="hybridMultilevel"/>
    <w:tmpl w:val="6AB07ED0"/>
    <w:lvl w:ilvl="0" w:tplc="040C000F">
      <w:start w:val="1"/>
      <w:numFmt w:val="decimal"/>
      <w:lvlText w:val="%1."/>
      <w:lvlJc w:val="left"/>
      <w:pPr>
        <w:ind w:left="1290" w:hanging="360"/>
      </w:pPr>
    </w:lvl>
    <w:lvl w:ilvl="1" w:tplc="040C0019">
      <w:start w:val="1"/>
      <w:numFmt w:val="lowerLetter"/>
      <w:lvlText w:val="%2."/>
      <w:lvlJc w:val="left"/>
      <w:pPr>
        <w:ind w:left="2010" w:hanging="360"/>
      </w:pPr>
    </w:lvl>
    <w:lvl w:ilvl="2" w:tplc="040C001B">
      <w:start w:val="1"/>
      <w:numFmt w:val="lowerRoman"/>
      <w:lvlText w:val="%3."/>
      <w:lvlJc w:val="right"/>
      <w:pPr>
        <w:ind w:left="2730" w:hanging="180"/>
      </w:pPr>
    </w:lvl>
    <w:lvl w:ilvl="3" w:tplc="040C000F">
      <w:start w:val="1"/>
      <w:numFmt w:val="decimal"/>
      <w:lvlText w:val="%4."/>
      <w:lvlJc w:val="left"/>
      <w:pPr>
        <w:ind w:left="3450" w:hanging="360"/>
      </w:pPr>
    </w:lvl>
    <w:lvl w:ilvl="4" w:tplc="040C0019">
      <w:start w:val="1"/>
      <w:numFmt w:val="lowerLetter"/>
      <w:lvlText w:val="%5."/>
      <w:lvlJc w:val="left"/>
      <w:pPr>
        <w:ind w:left="4170" w:hanging="360"/>
      </w:pPr>
    </w:lvl>
    <w:lvl w:ilvl="5" w:tplc="040C001B">
      <w:start w:val="1"/>
      <w:numFmt w:val="lowerRoman"/>
      <w:lvlText w:val="%6."/>
      <w:lvlJc w:val="right"/>
      <w:pPr>
        <w:ind w:left="4890" w:hanging="180"/>
      </w:pPr>
    </w:lvl>
    <w:lvl w:ilvl="6" w:tplc="040C000F">
      <w:start w:val="1"/>
      <w:numFmt w:val="decimal"/>
      <w:lvlText w:val="%7."/>
      <w:lvlJc w:val="left"/>
      <w:pPr>
        <w:ind w:left="5610" w:hanging="360"/>
      </w:pPr>
    </w:lvl>
    <w:lvl w:ilvl="7" w:tplc="040C0019">
      <w:start w:val="1"/>
      <w:numFmt w:val="lowerLetter"/>
      <w:lvlText w:val="%8."/>
      <w:lvlJc w:val="left"/>
      <w:pPr>
        <w:ind w:left="6330" w:hanging="360"/>
      </w:pPr>
    </w:lvl>
    <w:lvl w:ilvl="8" w:tplc="040C001B">
      <w:start w:val="1"/>
      <w:numFmt w:val="lowerRoman"/>
      <w:lvlText w:val="%9."/>
      <w:lvlJc w:val="right"/>
      <w:pPr>
        <w:ind w:left="7050" w:hanging="180"/>
      </w:pPr>
    </w:lvl>
  </w:abstractNum>
  <w:abstractNum w:abstractNumId="46">
    <w:nsid w:val="79FB578C"/>
    <w:multiLevelType w:val="hybridMultilevel"/>
    <w:tmpl w:val="BE1A85BA"/>
    <w:lvl w:ilvl="0" w:tplc="54FCAF5A">
      <w:start w:val="1"/>
      <w:numFmt w:val="bullet"/>
      <w:lvlText w:val=""/>
      <w:lvlJc w:val="left"/>
      <w:pPr>
        <w:tabs>
          <w:tab w:val="num" w:pos="360"/>
        </w:tabs>
        <w:ind w:left="360" w:hanging="360"/>
      </w:pPr>
      <w:rPr>
        <w:rFonts w:ascii="Symbol" w:hAnsi="Symbol" w:cs="Symbol" w:hint="default"/>
        <w:sz w:val="16"/>
        <w:szCs w:val="16"/>
      </w:rPr>
    </w:lvl>
    <w:lvl w:ilvl="1" w:tplc="04090003">
      <w:start w:val="1"/>
      <w:numFmt w:val="bullet"/>
      <w:lvlText w:val="o"/>
      <w:lvlJc w:val="left"/>
      <w:pPr>
        <w:tabs>
          <w:tab w:val="num" w:pos="873"/>
        </w:tabs>
        <w:ind w:left="873" w:hanging="360"/>
      </w:pPr>
      <w:rPr>
        <w:rFonts w:ascii="Courier New" w:hAnsi="Courier New" w:cs="Courier New" w:hint="default"/>
      </w:rPr>
    </w:lvl>
    <w:lvl w:ilvl="2" w:tplc="04090005">
      <w:start w:val="1"/>
      <w:numFmt w:val="bullet"/>
      <w:lvlText w:val=""/>
      <w:lvlJc w:val="left"/>
      <w:pPr>
        <w:tabs>
          <w:tab w:val="num" w:pos="1593"/>
        </w:tabs>
        <w:ind w:left="1593" w:hanging="360"/>
      </w:pPr>
      <w:rPr>
        <w:rFonts w:ascii="Wingdings" w:hAnsi="Wingdings" w:cs="Wingdings" w:hint="default"/>
      </w:rPr>
    </w:lvl>
    <w:lvl w:ilvl="3" w:tplc="04090001">
      <w:start w:val="1"/>
      <w:numFmt w:val="bullet"/>
      <w:lvlText w:val=""/>
      <w:lvlJc w:val="left"/>
      <w:pPr>
        <w:tabs>
          <w:tab w:val="num" w:pos="2313"/>
        </w:tabs>
        <w:ind w:left="2313" w:hanging="360"/>
      </w:pPr>
      <w:rPr>
        <w:rFonts w:ascii="Symbol" w:hAnsi="Symbol" w:cs="Symbol" w:hint="default"/>
      </w:rPr>
    </w:lvl>
    <w:lvl w:ilvl="4" w:tplc="04090003">
      <w:start w:val="1"/>
      <w:numFmt w:val="bullet"/>
      <w:lvlText w:val="o"/>
      <w:lvlJc w:val="left"/>
      <w:pPr>
        <w:tabs>
          <w:tab w:val="num" w:pos="3033"/>
        </w:tabs>
        <w:ind w:left="3033" w:hanging="360"/>
      </w:pPr>
      <w:rPr>
        <w:rFonts w:ascii="Courier New" w:hAnsi="Courier New" w:cs="Courier New" w:hint="default"/>
      </w:rPr>
    </w:lvl>
    <w:lvl w:ilvl="5" w:tplc="04090005">
      <w:start w:val="1"/>
      <w:numFmt w:val="bullet"/>
      <w:lvlText w:val=""/>
      <w:lvlJc w:val="left"/>
      <w:pPr>
        <w:tabs>
          <w:tab w:val="num" w:pos="3753"/>
        </w:tabs>
        <w:ind w:left="3753" w:hanging="360"/>
      </w:pPr>
      <w:rPr>
        <w:rFonts w:ascii="Wingdings" w:hAnsi="Wingdings" w:cs="Wingdings" w:hint="default"/>
      </w:rPr>
    </w:lvl>
    <w:lvl w:ilvl="6" w:tplc="04090001">
      <w:start w:val="1"/>
      <w:numFmt w:val="bullet"/>
      <w:lvlText w:val=""/>
      <w:lvlJc w:val="left"/>
      <w:pPr>
        <w:tabs>
          <w:tab w:val="num" w:pos="4473"/>
        </w:tabs>
        <w:ind w:left="4473" w:hanging="360"/>
      </w:pPr>
      <w:rPr>
        <w:rFonts w:ascii="Symbol" w:hAnsi="Symbol" w:cs="Symbol" w:hint="default"/>
      </w:rPr>
    </w:lvl>
    <w:lvl w:ilvl="7" w:tplc="04090003">
      <w:start w:val="1"/>
      <w:numFmt w:val="bullet"/>
      <w:lvlText w:val="o"/>
      <w:lvlJc w:val="left"/>
      <w:pPr>
        <w:tabs>
          <w:tab w:val="num" w:pos="5193"/>
        </w:tabs>
        <w:ind w:left="5193" w:hanging="360"/>
      </w:pPr>
      <w:rPr>
        <w:rFonts w:ascii="Courier New" w:hAnsi="Courier New" w:cs="Courier New" w:hint="default"/>
      </w:rPr>
    </w:lvl>
    <w:lvl w:ilvl="8" w:tplc="04090005">
      <w:start w:val="1"/>
      <w:numFmt w:val="bullet"/>
      <w:lvlText w:val=""/>
      <w:lvlJc w:val="left"/>
      <w:pPr>
        <w:tabs>
          <w:tab w:val="num" w:pos="5913"/>
        </w:tabs>
        <w:ind w:left="5913" w:hanging="360"/>
      </w:pPr>
      <w:rPr>
        <w:rFonts w:ascii="Wingdings" w:hAnsi="Wingdings" w:cs="Wingdings" w:hint="default"/>
      </w:rPr>
    </w:lvl>
  </w:abstractNum>
  <w:abstractNum w:abstractNumId="47">
    <w:nsid w:val="7B7D4C83"/>
    <w:multiLevelType w:val="hybridMultilevel"/>
    <w:tmpl w:val="723495AC"/>
    <w:lvl w:ilvl="0" w:tplc="EBBC25D2">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nsid w:val="7CD6714A"/>
    <w:multiLevelType w:val="hybridMultilevel"/>
    <w:tmpl w:val="E0F0E27E"/>
    <w:lvl w:ilvl="0" w:tplc="EFC6481E">
      <w:start w:val="1"/>
      <w:numFmt w:val="lowerLetter"/>
      <w:lvlText w:val="%1)"/>
      <w:lvlJc w:val="left"/>
      <w:pPr>
        <w:ind w:firstLine="567"/>
      </w:pPr>
      <w:rPr>
        <w:rFonts w:hint="default"/>
      </w:rPr>
    </w:lvl>
    <w:lvl w:ilvl="1" w:tplc="040C0019">
      <w:start w:val="1"/>
      <w:numFmt w:val="lowerLetter"/>
      <w:lvlText w:val="%2."/>
      <w:lvlJc w:val="left"/>
      <w:pPr>
        <w:ind w:left="1650" w:hanging="360"/>
      </w:pPr>
    </w:lvl>
    <w:lvl w:ilvl="2" w:tplc="040C001B">
      <w:start w:val="1"/>
      <w:numFmt w:val="lowerRoman"/>
      <w:lvlText w:val="%3."/>
      <w:lvlJc w:val="right"/>
      <w:pPr>
        <w:ind w:left="2370" w:hanging="180"/>
      </w:pPr>
    </w:lvl>
    <w:lvl w:ilvl="3" w:tplc="040C000F">
      <w:start w:val="1"/>
      <w:numFmt w:val="decimal"/>
      <w:lvlText w:val="%4."/>
      <w:lvlJc w:val="left"/>
      <w:pPr>
        <w:ind w:left="3090" w:hanging="360"/>
      </w:pPr>
    </w:lvl>
    <w:lvl w:ilvl="4" w:tplc="040C0019">
      <w:start w:val="1"/>
      <w:numFmt w:val="lowerLetter"/>
      <w:lvlText w:val="%5."/>
      <w:lvlJc w:val="left"/>
      <w:pPr>
        <w:ind w:left="3810" w:hanging="360"/>
      </w:pPr>
    </w:lvl>
    <w:lvl w:ilvl="5" w:tplc="040C001B">
      <w:start w:val="1"/>
      <w:numFmt w:val="lowerRoman"/>
      <w:lvlText w:val="%6."/>
      <w:lvlJc w:val="right"/>
      <w:pPr>
        <w:ind w:left="4530" w:hanging="180"/>
      </w:pPr>
    </w:lvl>
    <w:lvl w:ilvl="6" w:tplc="040C000F">
      <w:start w:val="1"/>
      <w:numFmt w:val="decimal"/>
      <w:lvlText w:val="%7."/>
      <w:lvlJc w:val="left"/>
      <w:pPr>
        <w:ind w:left="5250" w:hanging="360"/>
      </w:pPr>
    </w:lvl>
    <w:lvl w:ilvl="7" w:tplc="040C0019">
      <w:start w:val="1"/>
      <w:numFmt w:val="lowerLetter"/>
      <w:lvlText w:val="%8."/>
      <w:lvlJc w:val="left"/>
      <w:pPr>
        <w:ind w:left="5970" w:hanging="360"/>
      </w:pPr>
    </w:lvl>
    <w:lvl w:ilvl="8" w:tplc="040C001B">
      <w:start w:val="1"/>
      <w:numFmt w:val="lowerRoman"/>
      <w:lvlText w:val="%9."/>
      <w:lvlJc w:val="right"/>
      <w:pPr>
        <w:ind w:left="6690" w:hanging="180"/>
      </w:pPr>
    </w:lvl>
  </w:abstractNum>
  <w:num w:numId="1">
    <w:abstractNumId w:val="36"/>
  </w:num>
  <w:num w:numId="2">
    <w:abstractNumId w:val="39"/>
  </w:num>
  <w:num w:numId="3">
    <w:abstractNumId w:val="9"/>
  </w:num>
  <w:num w:numId="4">
    <w:abstractNumId w:val="24"/>
  </w:num>
  <w:num w:numId="5">
    <w:abstractNumId w:val="28"/>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0"/>
  </w:num>
  <w:num w:numId="14">
    <w:abstractNumId w:val="34"/>
  </w:num>
  <w:num w:numId="15">
    <w:abstractNumId w:val="38"/>
  </w:num>
  <w:num w:numId="16">
    <w:abstractNumId w:val="14"/>
  </w:num>
  <w:num w:numId="17">
    <w:abstractNumId w:val="7"/>
  </w:num>
  <w:num w:numId="18">
    <w:abstractNumId w:val="42"/>
  </w:num>
  <w:num w:numId="19">
    <w:abstractNumId w:val="19"/>
  </w:num>
  <w:num w:numId="20">
    <w:abstractNumId w:val="18"/>
  </w:num>
  <w:num w:numId="21">
    <w:abstractNumId w:val="32"/>
  </w:num>
  <w:num w:numId="22">
    <w:abstractNumId w:val="13"/>
  </w:num>
  <w:num w:numId="23">
    <w:abstractNumId w:val="33"/>
  </w:num>
  <w:num w:numId="24">
    <w:abstractNumId w:val="41"/>
  </w:num>
  <w:num w:numId="25">
    <w:abstractNumId w:val="22"/>
  </w:num>
  <w:num w:numId="26">
    <w:abstractNumId w:val="43"/>
  </w:num>
  <w:num w:numId="27">
    <w:abstractNumId w:val="30"/>
  </w:num>
  <w:num w:numId="28">
    <w:abstractNumId w:val="31"/>
  </w:num>
  <w:num w:numId="29">
    <w:abstractNumId w:val="46"/>
  </w:num>
  <w:num w:numId="30">
    <w:abstractNumId w:val="29"/>
  </w:num>
  <w:num w:numId="31">
    <w:abstractNumId w:val="47"/>
  </w:num>
  <w:num w:numId="32">
    <w:abstractNumId w:val="37"/>
  </w:num>
  <w:num w:numId="33">
    <w:abstractNumId w:val="17"/>
  </w:num>
  <w:num w:numId="34">
    <w:abstractNumId w:val="25"/>
  </w:num>
  <w:num w:numId="35">
    <w:abstractNumId w:val="35"/>
  </w:num>
  <w:num w:numId="36">
    <w:abstractNumId w:val="40"/>
  </w:num>
  <w:num w:numId="37">
    <w:abstractNumId w:val="21"/>
  </w:num>
  <w:num w:numId="38">
    <w:abstractNumId w:val="44"/>
  </w:num>
  <w:num w:numId="39">
    <w:abstractNumId w:val="20"/>
  </w:num>
  <w:num w:numId="40">
    <w:abstractNumId w:val="11"/>
  </w:num>
  <w:num w:numId="41">
    <w:abstractNumId w:val="27"/>
  </w:num>
  <w:num w:numId="42">
    <w:abstractNumId w:val="15"/>
  </w:num>
  <w:num w:numId="43">
    <w:abstractNumId w:val="16"/>
  </w:num>
  <w:num w:numId="44">
    <w:abstractNumId w:val="23"/>
  </w:num>
  <w:num w:numId="45">
    <w:abstractNumId w:val="45"/>
  </w:num>
  <w:num w:numId="46">
    <w:abstractNumId w:val="48"/>
  </w:num>
  <w:num w:numId="47">
    <w:abstractNumId w:val="26"/>
  </w:num>
  <w:num w:numId="48">
    <w:abstractNumId w:val="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85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TextBase TMs\WorkspaceFTS\EN-FR\UPOV|TextBase TMs\UPOV\Meetings|TextBase TMs\UPOV\Other|TextBase TMs\UPOV\Publications|TextBase TMs\UPOV\Technical Guidelines"/>
    <w:docVar w:name="TextBaseURL" w:val="empty"/>
    <w:docVar w:name="UILng" w:val="en"/>
  </w:docVars>
  <w:rsids>
    <w:rsidRoot w:val="00447442"/>
    <w:rsid w:val="00000782"/>
    <w:rsid w:val="00000BF6"/>
    <w:rsid w:val="000013BC"/>
    <w:rsid w:val="00004968"/>
    <w:rsid w:val="0000753E"/>
    <w:rsid w:val="000107D8"/>
    <w:rsid w:val="00010CF3"/>
    <w:rsid w:val="0001174D"/>
    <w:rsid w:val="00011E27"/>
    <w:rsid w:val="000131BC"/>
    <w:rsid w:val="000148BC"/>
    <w:rsid w:val="000179C9"/>
    <w:rsid w:val="00024AB8"/>
    <w:rsid w:val="00030854"/>
    <w:rsid w:val="00033168"/>
    <w:rsid w:val="0003479B"/>
    <w:rsid w:val="00036028"/>
    <w:rsid w:val="000360E6"/>
    <w:rsid w:val="0004201F"/>
    <w:rsid w:val="00044642"/>
    <w:rsid w:val="000446B9"/>
    <w:rsid w:val="00046A83"/>
    <w:rsid w:val="00047E21"/>
    <w:rsid w:val="000524BC"/>
    <w:rsid w:val="00054CE1"/>
    <w:rsid w:val="00062F69"/>
    <w:rsid w:val="00063A80"/>
    <w:rsid w:val="00066879"/>
    <w:rsid w:val="00070B14"/>
    <w:rsid w:val="00082BCA"/>
    <w:rsid w:val="00085505"/>
    <w:rsid w:val="000A0DB5"/>
    <w:rsid w:val="000A43E0"/>
    <w:rsid w:val="000A68B4"/>
    <w:rsid w:val="000B523A"/>
    <w:rsid w:val="000C7021"/>
    <w:rsid w:val="000C705C"/>
    <w:rsid w:val="000C763F"/>
    <w:rsid w:val="000C790C"/>
    <w:rsid w:val="000D1A02"/>
    <w:rsid w:val="000D5887"/>
    <w:rsid w:val="000D6BBC"/>
    <w:rsid w:val="000D7780"/>
    <w:rsid w:val="000E425C"/>
    <w:rsid w:val="000F070C"/>
    <w:rsid w:val="000F4505"/>
    <w:rsid w:val="000F6A38"/>
    <w:rsid w:val="000F6C59"/>
    <w:rsid w:val="000F7C4B"/>
    <w:rsid w:val="00102FEE"/>
    <w:rsid w:val="00105929"/>
    <w:rsid w:val="001131D5"/>
    <w:rsid w:val="00115F1E"/>
    <w:rsid w:val="00116585"/>
    <w:rsid w:val="00121E7F"/>
    <w:rsid w:val="001263E3"/>
    <w:rsid w:val="00126E6C"/>
    <w:rsid w:val="00135611"/>
    <w:rsid w:val="001368B5"/>
    <w:rsid w:val="00141DB8"/>
    <w:rsid w:val="001426FC"/>
    <w:rsid w:val="00151D28"/>
    <w:rsid w:val="00152658"/>
    <w:rsid w:val="0016095F"/>
    <w:rsid w:val="0016549B"/>
    <w:rsid w:val="0016630C"/>
    <w:rsid w:val="0016715C"/>
    <w:rsid w:val="001700E0"/>
    <w:rsid w:val="00170FA8"/>
    <w:rsid w:val="0017154D"/>
    <w:rsid w:val="0017474A"/>
    <w:rsid w:val="001756A3"/>
    <w:rsid w:val="001758C6"/>
    <w:rsid w:val="00177870"/>
    <w:rsid w:val="00181F69"/>
    <w:rsid w:val="00182B99"/>
    <w:rsid w:val="001865EE"/>
    <w:rsid w:val="001879CB"/>
    <w:rsid w:val="00192AF6"/>
    <w:rsid w:val="001930CA"/>
    <w:rsid w:val="001A0080"/>
    <w:rsid w:val="001A5A3D"/>
    <w:rsid w:val="001A5B86"/>
    <w:rsid w:val="001B4AB8"/>
    <w:rsid w:val="001C0947"/>
    <w:rsid w:val="001C43F5"/>
    <w:rsid w:val="001C5EEC"/>
    <w:rsid w:val="001C783D"/>
    <w:rsid w:val="001D0F95"/>
    <w:rsid w:val="001D11F5"/>
    <w:rsid w:val="001E0CF9"/>
    <w:rsid w:val="001E212F"/>
    <w:rsid w:val="001E592C"/>
    <w:rsid w:val="001E7FED"/>
    <w:rsid w:val="001F1363"/>
    <w:rsid w:val="001F1E9C"/>
    <w:rsid w:val="001F30D4"/>
    <w:rsid w:val="0020032B"/>
    <w:rsid w:val="00205C8D"/>
    <w:rsid w:val="002079ED"/>
    <w:rsid w:val="0021332C"/>
    <w:rsid w:val="00213982"/>
    <w:rsid w:val="0022145A"/>
    <w:rsid w:val="002354A3"/>
    <w:rsid w:val="0024416D"/>
    <w:rsid w:val="0024645D"/>
    <w:rsid w:val="00247392"/>
    <w:rsid w:val="002510F7"/>
    <w:rsid w:val="00251E57"/>
    <w:rsid w:val="002521B6"/>
    <w:rsid w:val="002541D3"/>
    <w:rsid w:val="00271E40"/>
    <w:rsid w:val="002800A0"/>
    <w:rsid w:val="002801B3"/>
    <w:rsid w:val="0028098F"/>
    <w:rsid w:val="00281060"/>
    <w:rsid w:val="002840CA"/>
    <w:rsid w:val="002940E8"/>
    <w:rsid w:val="002943D9"/>
    <w:rsid w:val="002A0C88"/>
    <w:rsid w:val="002A6E50"/>
    <w:rsid w:val="002A7F16"/>
    <w:rsid w:val="002B1C16"/>
    <w:rsid w:val="002B234D"/>
    <w:rsid w:val="002B6F09"/>
    <w:rsid w:val="002C0FD7"/>
    <w:rsid w:val="002C1888"/>
    <w:rsid w:val="002C1E28"/>
    <w:rsid w:val="002C256A"/>
    <w:rsid w:val="002C52A6"/>
    <w:rsid w:val="002D5278"/>
    <w:rsid w:val="002D5541"/>
    <w:rsid w:val="002D5651"/>
    <w:rsid w:val="002D613F"/>
    <w:rsid w:val="002E4CEE"/>
    <w:rsid w:val="002E4DE8"/>
    <w:rsid w:val="002F22E0"/>
    <w:rsid w:val="003015B1"/>
    <w:rsid w:val="00305A7F"/>
    <w:rsid w:val="00306570"/>
    <w:rsid w:val="00310B58"/>
    <w:rsid w:val="00312B80"/>
    <w:rsid w:val="0031428C"/>
    <w:rsid w:val="00314C2F"/>
    <w:rsid w:val="00315280"/>
    <w:rsid w:val="003152FE"/>
    <w:rsid w:val="0031541A"/>
    <w:rsid w:val="00316494"/>
    <w:rsid w:val="003207A9"/>
    <w:rsid w:val="00323734"/>
    <w:rsid w:val="00324144"/>
    <w:rsid w:val="00327076"/>
    <w:rsid w:val="00327436"/>
    <w:rsid w:val="0033507D"/>
    <w:rsid w:val="003373B9"/>
    <w:rsid w:val="003431CA"/>
    <w:rsid w:val="00344B29"/>
    <w:rsid w:val="00344BD6"/>
    <w:rsid w:val="00345458"/>
    <w:rsid w:val="0035528D"/>
    <w:rsid w:val="00355FCC"/>
    <w:rsid w:val="0036086D"/>
    <w:rsid w:val="00361821"/>
    <w:rsid w:val="00364A24"/>
    <w:rsid w:val="00366330"/>
    <w:rsid w:val="00372D5C"/>
    <w:rsid w:val="00381BC9"/>
    <w:rsid w:val="0038263B"/>
    <w:rsid w:val="00386B7A"/>
    <w:rsid w:val="00386CD6"/>
    <w:rsid w:val="00390B2E"/>
    <w:rsid w:val="003A3047"/>
    <w:rsid w:val="003A5FA1"/>
    <w:rsid w:val="003A7002"/>
    <w:rsid w:val="003B03DA"/>
    <w:rsid w:val="003B278F"/>
    <w:rsid w:val="003C4C26"/>
    <w:rsid w:val="003C618A"/>
    <w:rsid w:val="003D227C"/>
    <w:rsid w:val="003D234B"/>
    <w:rsid w:val="003D2B4D"/>
    <w:rsid w:val="003D7DB3"/>
    <w:rsid w:val="003E5F2E"/>
    <w:rsid w:val="003F29E8"/>
    <w:rsid w:val="003F56D9"/>
    <w:rsid w:val="00406A47"/>
    <w:rsid w:val="00406A69"/>
    <w:rsid w:val="00407712"/>
    <w:rsid w:val="00415186"/>
    <w:rsid w:val="00421EFB"/>
    <w:rsid w:val="0042528E"/>
    <w:rsid w:val="0042560C"/>
    <w:rsid w:val="00434D1A"/>
    <w:rsid w:val="00435D55"/>
    <w:rsid w:val="00444A88"/>
    <w:rsid w:val="00446F4F"/>
    <w:rsid w:val="00447442"/>
    <w:rsid w:val="00453CE7"/>
    <w:rsid w:val="0047027A"/>
    <w:rsid w:val="00474DA4"/>
    <w:rsid w:val="00476B4D"/>
    <w:rsid w:val="00476CDA"/>
    <w:rsid w:val="004805FA"/>
    <w:rsid w:val="00491FCD"/>
    <w:rsid w:val="0049643F"/>
    <w:rsid w:val="004B1E83"/>
    <w:rsid w:val="004B33B9"/>
    <w:rsid w:val="004C1FB5"/>
    <w:rsid w:val="004C464A"/>
    <w:rsid w:val="004D047D"/>
    <w:rsid w:val="004D0EA4"/>
    <w:rsid w:val="004D41CA"/>
    <w:rsid w:val="004E5E4C"/>
    <w:rsid w:val="004E677F"/>
    <w:rsid w:val="004E714F"/>
    <w:rsid w:val="004F2102"/>
    <w:rsid w:val="004F305A"/>
    <w:rsid w:val="00512164"/>
    <w:rsid w:val="0051457A"/>
    <w:rsid w:val="00520297"/>
    <w:rsid w:val="0052178F"/>
    <w:rsid w:val="00521C7D"/>
    <w:rsid w:val="005338F9"/>
    <w:rsid w:val="00540B81"/>
    <w:rsid w:val="0054281C"/>
    <w:rsid w:val="00544298"/>
    <w:rsid w:val="005511A3"/>
    <w:rsid w:val="0055268D"/>
    <w:rsid w:val="00560A6D"/>
    <w:rsid w:val="00567BA3"/>
    <w:rsid w:val="00570BE4"/>
    <w:rsid w:val="00571947"/>
    <w:rsid w:val="00575670"/>
    <w:rsid w:val="00576BE4"/>
    <w:rsid w:val="00577700"/>
    <w:rsid w:val="005812CA"/>
    <w:rsid w:val="005862A2"/>
    <w:rsid w:val="00587399"/>
    <w:rsid w:val="00592468"/>
    <w:rsid w:val="005962C4"/>
    <w:rsid w:val="00596BC7"/>
    <w:rsid w:val="0059799C"/>
    <w:rsid w:val="005A400A"/>
    <w:rsid w:val="005B51D0"/>
    <w:rsid w:val="005B5FC0"/>
    <w:rsid w:val="005D5375"/>
    <w:rsid w:val="005E3BD5"/>
    <w:rsid w:val="005E4E94"/>
    <w:rsid w:val="005F05B6"/>
    <w:rsid w:val="005F1F19"/>
    <w:rsid w:val="005F7D5A"/>
    <w:rsid w:val="00601DA0"/>
    <w:rsid w:val="006023A2"/>
    <w:rsid w:val="00602683"/>
    <w:rsid w:val="00602DE8"/>
    <w:rsid w:val="00604413"/>
    <w:rsid w:val="00606CDF"/>
    <w:rsid w:val="00607E7A"/>
    <w:rsid w:val="006119F8"/>
    <w:rsid w:val="00611D5C"/>
    <w:rsid w:val="00612379"/>
    <w:rsid w:val="006150C7"/>
    <w:rsid w:val="0061555F"/>
    <w:rsid w:val="006256BD"/>
    <w:rsid w:val="00626850"/>
    <w:rsid w:val="006303DD"/>
    <w:rsid w:val="00635368"/>
    <w:rsid w:val="00641200"/>
    <w:rsid w:val="0064314F"/>
    <w:rsid w:val="00647C15"/>
    <w:rsid w:val="006567A8"/>
    <w:rsid w:val="00657C84"/>
    <w:rsid w:val="00657F09"/>
    <w:rsid w:val="00663239"/>
    <w:rsid w:val="006655D3"/>
    <w:rsid w:val="00670355"/>
    <w:rsid w:val="0067078A"/>
    <w:rsid w:val="0067407B"/>
    <w:rsid w:val="00677FF3"/>
    <w:rsid w:val="00684CB2"/>
    <w:rsid w:val="00687EB4"/>
    <w:rsid w:val="00692C55"/>
    <w:rsid w:val="006934A0"/>
    <w:rsid w:val="00696AC1"/>
    <w:rsid w:val="006A772B"/>
    <w:rsid w:val="006B17D2"/>
    <w:rsid w:val="006B370E"/>
    <w:rsid w:val="006B4A55"/>
    <w:rsid w:val="006B74C9"/>
    <w:rsid w:val="006B7DF6"/>
    <w:rsid w:val="006C1200"/>
    <w:rsid w:val="006C224E"/>
    <w:rsid w:val="006D780A"/>
    <w:rsid w:val="006E1A48"/>
    <w:rsid w:val="006E6833"/>
    <w:rsid w:val="00703975"/>
    <w:rsid w:val="0070622F"/>
    <w:rsid w:val="00710D52"/>
    <w:rsid w:val="007156C8"/>
    <w:rsid w:val="007177A8"/>
    <w:rsid w:val="00730385"/>
    <w:rsid w:val="00731EF3"/>
    <w:rsid w:val="00732DEC"/>
    <w:rsid w:val="007345C6"/>
    <w:rsid w:val="00735BD5"/>
    <w:rsid w:val="007362E0"/>
    <w:rsid w:val="007420FF"/>
    <w:rsid w:val="007446F2"/>
    <w:rsid w:val="00747C41"/>
    <w:rsid w:val="0075093D"/>
    <w:rsid w:val="007556F6"/>
    <w:rsid w:val="00760EEF"/>
    <w:rsid w:val="0076156A"/>
    <w:rsid w:val="00772361"/>
    <w:rsid w:val="00777EE5"/>
    <w:rsid w:val="00784836"/>
    <w:rsid w:val="0079023E"/>
    <w:rsid w:val="00793C0C"/>
    <w:rsid w:val="007959BB"/>
    <w:rsid w:val="007A2854"/>
    <w:rsid w:val="007A7D81"/>
    <w:rsid w:val="007B1422"/>
    <w:rsid w:val="007C7A90"/>
    <w:rsid w:val="007D0B9D"/>
    <w:rsid w:val="007D19B0"/>
    <w:rsid w:val="007D2A6C"/>
    <w:rsid w:val="007D368E"/>
    <w:rsid w:val="007D5F31"/>
    <w:rsid w:val="007D6ECB"/>
    <w:rsid w:val="007D719C"/>
    <w:rsid w:val="007E54DA"/>
    <w:rsid w:val="007E6744"/>
    <w:rsid w:val="007E68C1"/>
    <w:rsid w:val="007F21E5"/>
    <w:rsid w:val="007F3109"/>
    <w:rsid w:val="007F498F"/>
    <w:rsid w:val="00803C47"/>
    <w:rsid w:val="0080679D"/>
    <w:rsid w:val="008108B0"/>
    <w:rsid w:val="00811B20"/>
    <w:rsid w:val="008212BC"/>
    <w:rsid w:val="0082296E"/>
    <w:rsid w:val="00823FBD"/>
    <w:rsid w:val="00824099"/>
    <w:rsid w:val="0083792B"/>
    <w:rsid w:val="00843109"/>
    <w:rsid w:val="00845CBE"/>
    <w:rsid w:val="0085651C"/>
    <w:rsid w:val="008614B8"/>
    <w:rsid w:val="008639F5"/>
    <w:rsid w:val="00867AC1"/>
    <w:rsid w:val="00867AE3"/>
    <w:rsid w:val="00867DFC"/>
    <w:rsid w:val="00872490"/>
    <w:rsid w:val="0087564D"/>
    <w:rsid w:val="00876C54"/>
    <w:rsid w:val="00881810"/>
    <w:rsid w:val="00887840"/>
    <w:rsid w:val="008878E8"/>
    <w:rsid w:val="008A0D6B"/>
    <w:rsid w:val="008A2F63"/>
    <w:rsid w:val="008A3BB2"/>
    <w:rsid w:val="008A3C6D"/>
    <w:rsid w:val="008A743F"/>
    <w:rsid w:val="008B0DC2"/>
    <w:rsid w:val="008B401F"/>
    <w:rsid w:val="008B6DAC"/>
    <w:rsid w:val="008C0970"/>
    <w:rsid w:val="008C1786"/>
    <w:rsid w:val="008C784C"/>
    <w:rsid w:val="008D2CF7"/>
    <w:rsid w:val="008D415F"/>
    <w:rsid w:val="008D5EC8"/>
    <w:rsid w:val="008D6D9C"/>
    <w:rsid w:val="008E2E16"/>
    <w:rsid w:val="008E64C6"/>
    <w:rsid w:val="008E78DF"/>
    <w:rsid w:val="008F2CDF"/>
    <w:rsid w:val="008F6D43"/>
    <w:rsid w:val="008F7B7E"/>
    <w:rsid w:val="009008FB"/>
    <w:rsid w:val="00900C26"/>
    <w:rsid w:val="0090197F"/>
    <w:rsid w:val="00901A3F"/>
    <w:rsid w:val="00903CC4"/>
    <w:rsid w:val="00903D58"/>
    <w:rsid w:val="0090459E"/>
    <w:rsid w:val="00904AC3"/>
    <w:rsid w:val="00906DDC"/>
    <w:rsid w:val="00911C8B"/>
    <w:rsid w:val="009130D8"/>
    <w:rsid w:val="00916BA7"/>
    <w:rsid w:val="00924359"/>
    <w:rsid w:val="0093018F"/>
    <w:rsid w:val="00931EFC"/>
    <w:rsid w:val="00934E09"/>
    <w:rsid w:val="00935190"/>
    <w:rsid w:val="00936253"/>
    <w:rsid w:val="00936A95"/>
    <w:rsid w:val="00942B78"/>
    <w:rsid w:val="00944ED0"/>
    <w:rsid w:val="00945539"/>
    <w:rsid w:val="00946E22"/>
    <w:rsid w:val="00947760"/>
    <w:rsid w:val="00947CDD"/>
    <w:rsid w:val="00952DD4"/>
    <w:rsid w:val="00960B71"/>
    <w:rsid w:val="00964BBE"/>
    <w:rsid w:val="009664A5"/>
    <w:rsid w:val="00970FED"/>
    <w:rsid w:val="00973279"/>
    <w:rsid w:val="00974607"/>
    <w:rsid w:val="0097700D"/>
    <w:rsid w:val="00977D86"/>
    <w:rsid w:val="00980E63"/>
    <w:rsid w:val="0098677B"/>
    <w:rsid w:val="009921FD"/>
    <w:rsid w:val="00993085"/>
    <w:rsid w:val="00997029"/>
    <w:rsid w:val="009A02B5"/>
    <w:rsid w:val="009A6018"/>
    <w:rsid w:val="009A6935"/>
    <w:rsid w:val="009B0223"/>
    <w:rsid w:val="009C0343"/>
    <w:rsid w:val="009C2197"/>
    <w:rsid w:val="009D282D"/>
    <w:rsid w:val="009D690D"/>
    <w:rsid w:val="009E65B6"/>
    <w:rsid w:val="009F30A6"/>
    <w:rsid w:val="009F7D0F"/>
    <w:rsid w:val="00A036CD"/>
    <w:rsid w:val="00A07D97"/>
    <w:rsid w:val="00A12832"/>
    <w:rsid w:val="00A14843"/>
    <w:rsid w:val="00A1690F"/>
    <w:rsid w:val="00A269A8"/>
    <w:rsid w:val="00A30887"/>
    <w:rsid w:val="00A35705"/>
    <w:rsid w:val="00A3701F"/>
    <w:rsid w:val="00A4059B"/>
    <w:rsid w:val="00A42AC3"/>
    <w:rsid w:val="00A430CF"/>
    <w:rsid w:val="00A4364B"/>
    <w:rsid w:val="00A54309"/>
    <w:rsid w:val="00A56FAA"/>
    <w:rsid w:val="00A575D2"/>
    <w:rsid w:val="00A62992"/>
    <w:rsid w:val="00A63302"/>
    <w:rsid w:val="00A63827"/>
    <w:rsid w:val="00A74B2D"/>
    <w:rsid w:val="00A7505B"/>
    <w:rsid w:val="00A822D6"/>
    <w:rsid w:val="00A907F6"/>
    <w:rsid w:val="00A930AA"/>
    <w:rsid w:val="00A9751A"/>
    <w:rsid w:val="00AA0535"/>
    <w:rsid w:val="00AA3BBA"/>
    <w:rsid w:val="00AB0310"/>
    <w:rsid w:val="00AB16FF"/>
    <w:rsid w:val="00AB2B93"/>
    <w:rsid w:val="00AB3620"/>
    <w:rsid w:val="00AB7E5B"/>
    <w:rsid w:val="00AC1A24"/>
    <w:rsid w:val="00AC2B1E"/>
    <w:rsid w:val="00AC5736"/>
    <w:rsid w:val="00AD267C"/>
    <w:rsid w:val="00AE0EF1"/>
    <w:rsid w:val="00AE1D77"/>
    <w:rsid w:val="00AE2937"/>
    <w:rsid w:val="00AF219B"/>
    <w:rsid w:val="00B00C09"/>
    <w:rsid w:val="00B01DF5"/>
    <w:rsid w:val="00B063C2"/>
    <w:rsid w:val="00B06646"/>
    <w:rsid w:val="00B07234"/>
    <w:rsid w:val="00B07301"/>
    <w:rsid w:val="00B103A0"/>
    <w:rsid w:val="00B1602F"/>
    <w:rsid w:val="00B165A3"/>
    <w:rsid w:val="00B16C05"/>
    <w:rsid w:val="00B2138A"/>
    <w:rsid w:val="00B2224A"/>
    <w:rsid w:val="00B224DE"/>
    <w:rsid w:val="00B23A70"/>
    <w:rsid w:val="00B27C49"/>
    <w:rsid w:val="00B27E10"/>
    <w:rsid w:val="00B3002C"/>
    <w:rsid w:val="00B3194C"/>
    <w:rsid w:val="00B4299B"/>
    <w:rsid w:val="00B46575"/>
    <w:rsid w:val="00B51346"/>
    <w:rsid w:val="00B52B3F"/>
    <w:rsid w:val="00B61442"/>
    <w:rsid w:val="00B73634"/>
    <w:rsid w:val="00B737C9"/>
    <w:rsid w:val="00B761E5"/>
    <w:rsid w:val="00B84BBD"/>
    <w:rsid w:val="00B84F66"/>
    <w:rsid w:val="00B85150"/>
    <w:rsid w:val="00B920EE"/>
    <w:rsid w:val="00B940A2"/>
    <w:rsid w:val="00B9517C"/>
    <w:rsid w:val="00B955D4"/>
    <w:rsid w:val="00BA37A0"/>
    <w:rsid w:val="00BA43FB"/>
    <w:rsid w:val="00BA5500"/>
    <w:rsid w:val="00BA76F4"/>
    <w:rsid w:val="00BB25B7"/>
    <w:rsid w:val="00BC127D"/>
    <w:rsid w:val="00BC1FE6"/>
    <w:rsid w:val="00BC2FB2"/>
    <w:rsid w:val="00BC762C"/>
    <w:rsid w:val="00BD5F9A"/>
    <w:rsid w:val="00BD63A0"/>
    <w:rsid w:val="00BE05AF"/>
    <w:rsid w:val="00BE2174"/>
    <w:rsid w:val="00BE502B"/>
    <w:rsid w:val="00BE5933"/>
    <w:rsid w:val="00BE6431"/>
    <w:rsid w:val="00BF4324"/>
    <w:rsid w:val="00BF72D2"/>
    <w:rsid w:val="00BF7D93"/>
    <w:rsid w:val="00C010EB"/>
    <w:rsid w:val="00C0298A"/>
    <w:rsid w:val="00C061B6"/>
    <w:rsid w:val="00C07A01"/>
    <w:rsid w:val="00C138AD"/>
    <w:rsid w:val="00C179DF"/>
    <w:rsid w:val="00C21A90"/>
    <w:rsid w:val="00C22269"/>
    <w:rsid w:val="00C2446C"/>
    <w:rsid w:val="00C26019"/>
    <w:rsid w:val="00C335C0"/>
    <w:rsid w:val="00C36AE5"/>
    <w:rsid w:val="00C41551"/>
    <w:rsid w:val="00C41D8A"/>
    <w:rsid w:val="00C41F17"/>
    <w:rsid w:val="00C4220C"/>
    <w:rsid w:val="00C43FE4"/>
    <w:rsid w:val="00C451A3"/>
    <w:rsid w:val="00C51D44"/>
    <w:rsid w:val="00C52606"/>
    <w:rsid w:val="00C5280D"/>
    <w:rsid w:val="00C534E1"/>
    <w:rsid w:val="00C56BCE"/>
    <w:rsid w:val="00C5791C"/>
    <w:rsid w:val="00C57B61"/>
    <w:rsid w:val="00C64A67"/>
    <w:rsid w:val="00C651CE"/>
    <w:rsid w:val="00C66290"/>
    <w:rsid w:val="00C67CE6"/>
    <w:rsid w:val="00C72B7A"/>
    <w:rsid w:val="00C84AD5"/>
    <w:rsid w:val="00C86FC3"/>
    <w:rsid w:val="00C87652"/>
    <w:rsid w:val="00C92841"/>
    <w:rsid w:val="00C92C4F"/>
    <w:rsid w:val="00C93C03"/>
    <w:rsid w:val="00C95616"/>
    <w:rsid w:val="00C9588E"/>
    <w:rsid w:val="00C960EC"/>
    <w:rsid w:val="00C973F2"/>
    <w:rsid w:val="00CA29FC"/>
    <w:rsid w:val="00CA304C"/>
    <w:rsid w:val="00CA61C1"/>
    <w:rsid w:val="00CA774A"/>
    <w:rsid w:val="00CB114F"/>
    <w:rsid w:val="00CB25CA"/>
    <w:rsid w:val="00CB4628"/>
    <w:rsid w:val="00CC11B0"/>
    <w:rsid w:val="00CC4AF3"/>
    <w:rsid w:val="00CD48AE"/>
    <w:rsid w:val="00CD71C5"/>
    <w:rsid w:val="00CF110A"/>
    <w:rsid w:val="00CF1829"/>
    <w:rsid w:val="00CF7E36"/>
    <w:rsid w:val="00D0498F"/>
    <w:rsid w:val="00D14B1E"/>
    <w:rsid w:val="00D1724F"/>
    <w:rsid w:val="00D17EEB"/>
    <w:rsid w:val="00D25D06"/>
    <w:rsid w:val="00D311C6"/>
    <w:rsid w:val="00D3437D"/>
    <w:rsid w:val="00D34810"/>
    <w:rsid w:val="00D3708D"/>
    <w:rsid w:val="00D370A4"/>
    <w:rsid w:val="00D40426"/>
    <w:rsid w:val="00D42EF8"/>
    <w:rsid w:val="00D44755"/>
    <w:rsid w:val="00D50A94"/>
    <w:rsid w:val="00D52471"/>
    <w:rsid w:val="00D52FF4"/>
    <w:rsid w:val="00D535C2"/>
    <w:rsid w:val="00D57C96"/>
    <w:rsid w:val="00D62C32"/>
    <w:rsid w:val="00D66C18"/>
    <w:rsid w:val="00D7135C"/>
    <w:rsid w:val="00D741E1"/>
    <w:rsid w:val="00D81489"/>
    <w:rsid w:val="00D82DDE"/>
    <w:rsid w:val="00D85B9A"/>
    <w:rsid w:val="00D86668"/>
    <w:rsid w:val="00D91203"/>
    <w:rsid w:val="00D914D1"/>
    <w:rsid w:val="00D9209E"/>
    <w:rsid w:val="00D95174"/>
    <w:rsid w:val="00DA0B0B"/>
    <w:rsid w:val="00DA6F36"/>
    <w:rsid w:val="00DB15AB"/>
    <w:rsid w:val="00DB596E"/>
    <w:rsid w:val="00DC00EA"/>
    <w:rsid w:val="00DC02F4"/>
    <w:rsid w:val="00DC70D7"/>
    <w:rsid w:val="00DE543A"/>
    <w:rsid w:val="00E01D2B"/>
    <w:rsid w:val="00E07000"/>
    <w:rsid w:val="00E12901"/>
    <w:rsid w:val="00E307F4"/>
    <w:rsid w:val="00E32F7E"/>
    <w:rsid w:val="00E35D9B"/>
    <w:rsid w:val="00E36166"/>
    <w:rsid w:val="00E4041A"/>
    <w:rsid w:val="00E453C1"/>
    <w:rsid w:val="00E46272"/>
    <w:rsid w:val="00E52921"/>
    <w:rsid w:val="00E5585B"/>
    <w:rsid w:val="00E607E7"/>
    <w:rsid w:val="00E615D8"/>
    <w:rsid w:val="00E647AF"/>
    <w:rsid w:val="00E675BD"/>
    <w:rsid w:val="00E72D49"/>
    <w:rsid w:val="00E7593C"/>
    <w:rsid w:val="00E76643"/>
    <w:rsid w:val="00E7678A"/>
    <w:rsid w:val="00E76B71"/>
    <w:rsid w:val="00E7792C"/>
    <w:rsid w:val="00E8552F"/>
    <w:rsid w:val="00E87BC3"/>
    <w:rsid w:val="00E935F1"/>
    <w:rsid w:val="00E94A81"/>
    <w:rsid w:val="00EA1FFB"/>
    <w:rsid w:val="00EA2EBF"/>
    <w:rsid w:val="00EB048E"/>
    <w:rsid w:val="00EB2947"/>
    <w:rsid w:val="00EB2D9F"/>
    <w:rsid w:val="00EB43E9"/>
    <w:rsid w:val="00EB5A4E"/>
    <w:rsid w:val="00EB6F13"/>
    <w:rsid w:val="00EC16E2"/>
    <w:rsid w:val="00EC46F1"/>
    <w:rsid w:val="00EC6DB6"/>
    <w:rsid w:val="00ED152B"/>
    <w:rsid w:val="00ED7A13"/>
    <w:rsid w:val="00EE16BE"/>
    <w:rsid w:val="00EE2A7A"/>
    <w:rsid w:val="00EE34DF"/>
    <w:rsid w:val="00EE5FC0"/>
    <w:rsid w:val="00EE67BB"/>
    <w:rsid w:val="00EE7E73"/>
    <w:rsid w:val="00EF223A"/>
    <w:rsid w:val="00EF2F89"/>
    <w:rsid w:val="00EF3FD4"/>
    <w:rsid w:val="00F00900"/>
    <w:rsid w:val="00F01D68"/>
    <w:rsid w:val="00F02C31"/>
    <w:rsid w:val="00F05BDF"/>
    <w:rsid w:val="00F1237A"/>
    <w:rsid w:val="00F178E1"/>
    <w:rsid w:val="00F17DD7"/>
    <w:rsid w:val="00F225E2"/>
    <w:rsid w:val="00F22CBD"/>
    <w:rsid w:val="00F31054"/>
    <w:rsid w:val="00F32249"/>
    <w:rsid w:val="00F35711"/>
    <w:rsid w:val="00F4356E"/>
    <w:rsid w:val="00F45372"/>
    <w:rsid w:val="00F476B6"/>
    <w:rsid w:val="00F4783B"/>
    <w:rsid w:val="00F548AA"/>
    <w:rsid w:val="00F560F7"/>
    <w:rsid w:val="00F56C99"/>
    <w:rsid w:val="00F6334D"/>
    <w:rsid w:val="00F668E6"/>
    <w:rsid w:val="00F67692"/>
    <w:rsid w:val="00F75ED7"/>
    <w:rsid w:val="00F80602"/>
    <w:rsid w:val="00F85694"/>
    <w:rsid w:val="00F85A08"/>
    <w:rsid w:val="00F90A3E"/>
    <w:rsid w:val="00F9347A"/>
    <w:rsid w:val="00FA49AB"/>
    <w:rsid w:val="00FB24F4"/>
    <w:rsid w:val="00FB4361"/>
    <w:rsid w:val="00FB4583"/>
    <w:rsid w:val="00FB4929"/>
    <w:rsid w:val="00FC00F7"/>
    <w:rsid w:val="00FC34EE"/>
    <w:rsid w:val="00FC36D8"/>
    <w:rsid w:val="00FC6669"/>
    <w:rsid w:val="00FD18A3"/>
    <w:rsid w:val="00FE39C7"/>
    <w:rsid w:val="00FE6DE6"/>
    <w:rsid w:val="00FE6E18"/>
    <w:rsid w:val="00FF2918"/>
    <w:rsid w:val="00FF5D07"/>
    <w:rsid w:val="00FF6B5D"/>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Default Paragraph Font" w:uiPriority="1"/>
    <w:lsdException w:name="Body Text" w:uiPriority="99"/>
    <w:lsdException w:name="Subtitle" w:qFormat="1"/>
    <w:lsdException w:name="Date" w:uiPriority="99"/>
    <w:lsdException w:name="Body Tex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B2E"/>
    <w:pPr>
      <w:jc w:val="both"/>
    </w:pPr>
    <w:rPr>
      <w:rFonts w:ascii="Arial" w:hAnsi="Arial"/>
      <w:lang w:val="fr-FR"/>
    </w:rPr>
  </w:style>
  <w:style w:type="paragraph" w:styleId="Heading1">
    <w:name w:val="heading 1"/>
    <w:next w:val="Normal"/>
    <w:link w:val="Heading1Char"/>
    <w:autoRedefine/>
    <w:uiPriority w:val="99"/>
    <w:qFormat/>
    <w:rsid w:val="00E307F4"/>
    <w:pPr>
      <w:keepNext/>
      <w:jc w:val="both"/>
      <w:outlineLvl w:val="0"/>
    </w:pPr>
    <w:rPr>
      <w:rFonts w:ascii="Arial" w:eastAsiaTheme="minorEastAsia" w:hAnsi="Arial"/>
      <w:caps/>
    </w:rPr>
  </w:style>
  <w:style w:type="paragraph" w:styleId="Heading2">
    <w:name w:val="heading 2"/>
    <w:next w:val="Normal"/>
    <w:link w:val="Heading2Char"/>
    <w:autoRedefine/>
    <w:uiPriority w:val="99"/>
    <w:qFormat/>
    <w:rsid w:val="00E307F4"/>
    <w:pPr>
      <w:keepNext/>
      <w:jc w:val="both"/>
      <w:outlineLvl w:val="1"/>
    </w:pPr>
    <w:rPr>
      <w:rFonts w:ascii="Arial" w:eastAsiaTheme="minorEastAsia" w:hAnsi="Arial"/>
      <w:u w:val="single"/>
    </w:rPr>
  </w:style>
  <w:style w:type="paragraph" w:styleId="Heading3">
    <w:name w:val="heading 3"/>
    <w:next w:val="Normal"/>
    <w:link w:val="Heading3Char"/>
    <w:autoRedefine/>
    <w:uiPriority w:val="99"/>
    <w:qFormat/>
    <w:rsid w:val="00E307F4"/>
    <w:pPr>
      <w:keepNext/>
      <w:jc w:val="both"/>
      <w:outlineLvl w:val="2"/>
    </w:pPr>
    <w:rPr>
      <w:rFonts w:ascii="Arial" w:eastAsiaTheme="minorEastAsia" w:hAnsi="Arial"/>
      <w:b/>
      <w:caps/>
      <w:sz w:val="18"/>
    </w:rPr>
  </w:style>
  <w:style w:type="paragraph" w:styleId="Heading4">
    <w:name w:val="heading 4"/>
    <w:next w:val="Normal"/>
    <w:link w:val="Heading4Char"/>
    <w:autoRedefine/>
    <w:uiPriority w:val="99"/>
    <w:qFormat/>
    <w:rsid w:val="00E307F4"/>
    <w:pPr>
      <w:keepNext/>
      <w:jc w:val="both"/>
      <w:outlineLvl w:val="3"/>
    </w:pPr>
    <w:rPr>
      <w:rFonts w:ascii="Arial" w:eastAsiaTheme="minorEastAsia" w:hAnsi="Arial"/>
      <w:b/>
      <w:smallCaps/>
    </w:rPr>
  </w:style>
  <w:style w:type="paragraph" w:styleId="Heading5">
    <w:name w:val="heading 5"/>
    <w:next w:val="Normal"/>
    <w:link w:val="Heading5Char"/>
    <w:autoRedefine/>
    <w:uiPriority w:val="99"/>
    <w:qFormat/>
    <w:rsid w:val="00E307F4"/>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E307F4"/>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E307F4"/>
    <w:pPr>
      <w:spacing w:after="240"/>
      <w:outlineLvl w:val="6"/>
    </w:pPr>
    <w:rPr>
      <w:rFonts w:eastAsiaTheme="minorEastAsia"/>
      <w:b/>
      <w:sz w:val="18"/>
      <w:szCs w:val="24"/>
    </w:rPr>
  </w:style>
  <w:style w:type="paragraph" w:styleId="Heading8">
    <w:name w:val="heading 8"/>
    <w:basedOn w:val="Normal"/>
    <w:next w:val="Normal"/>
    <w:link w:val="Heading8Char"/>
    <w:qFormat/>
    <w:rsid w:val="00E307F4"/>
    <w:pPr>
      <w:spacing w:after="240"/>
      <w:jc w:val="left"/>
      <w:outlineLvl w:val="7"/>
    </w:pPr>
    <w:rPr>
      <w:rFonts w:eastAsiaTheme="minorEastAsia"/>
      <w:i/>
      <w:iCs/>
      <w:sz w:val="18"/>
      <w:szCs w:val="24"/>
    </w:rPr>
  </w:style>
  <w:style w:type="paragraph" w:styleId="Heading9">
    <w:name w:val="heading 9"/>
    <w:basedOn w:val="Normal"/>
    <w:next w:val="Normal"/>
    <w:link w:val="Heading9Char"/>
    <w:uiPriority w:val="99"/>
    <w:qFormat/>
    <w:rsid w:val="00E307F4"/>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doc_path_name Char"/>
    <w:link w:val="FooterChar"/>
    <w:autoRedefine/>
    <w:uiPriority w:val="99"/>
    <w:rsid w:val="0033507D"/>
    <w:pPr>
      <w:jc w:val="both"/>
    </w:pPr>
    <w:rPr>
      <w:rFonts w:ascii="Arial" w:hAnsi="Arial"/>
      <w:sz w:val="14"/>
    </w:rPr>
  </w:style>
  <w:style w:type="character" w:styleId="PageNumber">
    <w:name w:val="page number"/>
    <w:basedOn w:val="DefaultParagraphFont"/>
    <w:uiPriority w:val="99"/>
    <w:rsid w:val="0033507D"/>
    <w:rPr>
      <w:rFonts w:ascii="Arial" w:hAnsi="Arial"/>
      <w:sz w:val="20"/>
    </w:rPr>
  </w:style>
  <w:style w:type="paragraph" w:styleId="Title">
    <w:name w:val="Title"/>
    <w:basedOn w:val="Normal"/>
    <w:link w:val="TitleChar"/>
    <w:uiPriority w:val="99"/>
    <w:qFormat/>
    <w:rsid w:val="0033507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33507D"/>
    <w:pPr>
      <w:spacing w:line="280" w:lineRule="exact"/>
      <w:ind w:left="1361"/>
    </w:pPr>
    <w:rPr>
      <w:b/>
      <w:bCs/>
      <w:spacing w:val="10"/>
    </w:rPr>
  </w:style>
  <w:style w:type="paragraph" w:customStyle="1" w:styleId="DecisionParagraphs">
    <w:name w:val="DecisionParagraphs"/>
    <w:basedOn w:val="Normal"/>
    <w:link w:val="DecisionParagraphsChar"/>
    <w:uiPriority w:val="99"/>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uiPriority w:val="99"/>
    <w:rsid w:val="00F01D68"/>
    <w:pPr>
      <w:spacing w:before="60"/>
      <w:ind w:left="567" w:hanging="567"/>
      <w:jc w:val="both"/>
    </w:pPr>
    <w:rPr>
      <w:rFonts w:ascii="Arial" w:hAnsi="Arial"/>
      <w:sz w:val="16"/>
      <w:lang w:val="fr-FR"/>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link w:val="ClosingChar"/>
    <w:uiPriority w:val="99"/>
    <w:rsid w:val="0033507D"/>
    <w:pPr>
      <w:ind w:left="4536"/>
      <w:jc w:val="center"/>
    </w:pPr>
  </w:style>
  <w:style w:type="paragraph" w:styleId="Index1">
    <w:name w:val="index 1"/>
    <w:basedOn w:val="Normal"/>
    <w:next w:val="Normal"/>
    <w:uiPriority w:val="99"/>
    <w:semiHidden/>
    <w:rsid w:val="0033507D"/>
    <w:pPr>
      <w:tabs>
        <w:tab w:val="right" w:leader="dot" w:pos="9071"/>
      </w:tabs>
      <w:ind w:left="284" w:hanging="284"/>
    </w:pPr>
    <w:rPr>
      <w:sz w:val="24"/>
    </w:rPr>
  </w:style>
  <w:style w:type="paragraph" w:styleId="Index2">
    <w:name w:val="index 2"/>
    <w:basedOn w:val="Normal"/>
    <w:next w:val="Normal"/>
    <w:uiPriority w:val="99"/>
    <w:semiHidden/>
    <w:rsid w:val="0033507D"/>
    <w:pPr>
      <w:tabs>
        <w:tab w:val="right" w:leader="dot" w:pos="9071"/>
      </w:tabs>
      <w:ind w:left="568" w:hanging="284"/>
    </w:pPr>
    <w:rPr>
      <w:sz w:val="24"/>
    </w:rPr>
  </w:style>
  <w:style w:type="paragraph" w:styleId="Index3">
    <w:name w:val="index 3"/>
    <w:basedOn w:val="Normal"/>
    <w:next w:val="Normal"/>
    <w:uiPriority w:val="99"/>
    <w:semiHidden/>
    <w:rsid w:val="0033507D"/>
    <w:pPr>
      <w:tabs>
        <w:tab w:val="right" w:leader="dot" w:pos="9071"/>
      </w:tabs>
      <w:ind w:left="851" w:hanging="284"/>
    </w:pPr>
    <w:rPr>
      <w:sz w:val="24"/>
    </w:rPr>
  </w:style>
  <w:style w:type="paragraph" w:styleId="MacroText">
    <w:name w:val="macro"/>
    <w:link w:val="MacroTextChar"/>
    <w:uiPriority w:val="99"/>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33507D"/>
    <w:pPr>
      <w:ind w:left="4536"/>
      <w:jc w:val="center"/>
    </w:pPr>
  </w:style>
  <w:style w:type="character" w:customStyle="1" w:styleId="Doclang">
    <w:name w:val="Doc_lang"/>
    <w:basedOn w:val="DefaultParagraphFont"/>
    <w:uiPriority w:val="99"/>
    <w:rsid w:val="0033507D"/>
    <w:rPr>
      <w:rFonts w:ascii="Arial" w:hAnsi="Arial"/>
      <w:sz w:val="20"/>
      <w:lang w:val="en-US"/>
    </w:rPr>
  </w:style>
  <w:style w:type="paragraph" w:customStyle="1" w:styleId="Session">
    <w:name w:val="Session"/>
    <w:basedOn w:val="Normal"/>
    <w:uiPriority w:val="99"/>
    <w:semiHidden/>
    <w:rsid w:val="0033507D"/>
    <w:pPr>
      <w:spacing w:before="60"/>
      <w:jc w:val="center"/>
    </w:pPr>
    <w:rPr>
      <w:b/>
    </w:rPr>
  </w:style>
  <w:style w:type="paragraph" w:customStyle="1" w:styleId="Organizer">
    <w:name w:val="Organizer"/>
    <w:basedOn w:val="Normal"/>
    <w:uiPriority w:val="99"/>
    <w:semiHidden/>
    <w:rsid w:val="0033507D"/>
    <w:pPr>
      <w:spacing w:after="600"/>
      <w:ind w:left="-993" w:right="-994"/>
      <w:jc w:val="center"/>
    </w:pPr>
    <w:rPr>
      <w:b/>
      <w:caps/>
      <w:kern w:val="26"/>
      <w:sz w:val="26"/>
    </w:rPr>
  </w:style>
  <w:style w:type="paragraph" w:styleId="BodyText">
    <w:name w:val="Body Text"/>
    <w:basedOn w:val="Normal"/>
    <w:link w:val="BodyTextChar"/>
    <w:uiPriority w:val="99"/>
    <w:rsid w:val="0033507D"/>
  </w:style>
  <w:style w:type="paragraph" w:customStyle="1" w:styleId="StyleDocoriginalNotBold">
    <w:name w:val="Style Doc_original + Not Bold"/>
    <w:basedOn w:val="Docoriginal"/>
    <w:link w:val="StyleDocoriginalNotBoldChar"/>
    <w:autoRedefine/>
    <w:uiPriority w:val="99"/>
    <w:rsid w:val="0033507D"/>
    <w:pPr>
      <w:ind w:left="1589"/>
      <w:jc w:val="left"/>
    </w:pPr>
  </w:style>
  <w:style w:type="paragraph" w:customStyle="1" w:styleId="upove">
    <w:name w:val="upov_e"/>
    <w:basedOn w:val="Normal"/>
    <w:uiPriority w:val="99"/>
    <w:rsid w:val="0033507D"/>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33507D"/>
  </w:style>
  <w:style w:type="paragraph" w:styleId="EndnoteText">
    <w:name w:val="endnote text"/>
    <w:basedOn w:val="Normal"/>
    <w:link w:val="EndnoteTextChar"/>
    <w:uiPriority w:val="99"/>
    <w:semiHidden/>
    <w:rsid w:val="0033507D"/>
  </w:style>
  <w:style w:type="character" w:styleId="EndnoteReference">
    <w:name w:val="endnote reference"/>
    <w:basedOn w:val="DefaultParagraphFont"/>
    <w:uiPriority w:val="99"/>
    <w:semiHidden/>
    <w:rsid w:val="0033507D"/>
    <w:rPr>
      <w:vertAlign w:val="superscript"/>
    </w:rPr>
  </w:style>
  <w:style w:type="paragraph" w:customStyle="1" w:styleId="SessionMeetingPlace">
    <w:name w:val="Session_MeetingPlace"/>
    <w:basedOn w:val="Normal"/>
    <w:uiPriority w:val="99"/>
    <w:semiHidden/>
    <w:rsid w:val="0033507D"/>
    <w:pPr>
      <w:spacing w:before="480"/>
      <w:jc w:val="center"/>
    </w:pPr>
    <w:rPr>
      <w:b/>
      <w:bCs/>
      <w:kern w:val="28"/>
      <w:sz w:val="24"/>
    </w:rPr>
  </w:style>
  <w:style w:type="paragraph" w:customStyle="1" w:styleId="Original">
    <w:name w:val="Original"/>
    <w:basedOn w:val="Normal"/>
    <w:uiPriority w:val="99"/>
    <w:semiHidden/>
    <w:rsid w:val="0033507D"/>
    <w:pPr>
      <w:spacing w:before="60"/>
      <w:ind w:left="1276"/>
    </w:pPr>
    <w:rPr>
      <w:b/>
      <w:sz w:val="22"/>
    </w:rPr>
  </w:style>
  <w:style w:type="paragraph" w:styleId="Date">
    <w:name w:val="Date"/>
    <w:basedOn w:val="Normal"/>
    <w:link w:val="DateChar"/>
    <w:uiPriority w:val="99"/>
    <w:semiHidden/>
    <w:rsid w:val="0033507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33507D"/>
    <w:pPr>
      <w:spacing w:before="60" w:after="480"/>
      <w:jc w:val="center"/>
    </w:pPr>
  </w:style>
  <w:style w:type="paragraph" w:customStyle="1" w:styleId="Lettrine">
    <w:name w:val="Lettrine"/>
    <w:basedOn w:val="Normal"/>
    <w:uiPriority w:val="99"/>
    <w:rsid w:val="0033507D"/>
    <w:pPr>
      <w:spacing w:after="120" w:line="340" w:lineRule="atLeast"/>
      <w:jc w:val="right"/>
    </w:pPr>
    <w:rPr>
      <w:b/>
      <w:bCs/>
      <w:sz w:val="56"/>
    </w:rPr>
  </w:style>
  <w:style w:type="paragraph" w:customStyle="1" w:styleId="LogoUPOV">
    <w:name w:val="LogoUPOV"/>
    <w:basedOn w:val="Normal"/>
    <w:uiPriority w:val="99"/>
    <w:rsid w:val="0033507D"/>
    <w:pPr>
      <w:spacing w:before="720"/>
      <w:jc w:val="center"/>
    </w:pPr>
  </w:style>
  <w:style w:type="paragraph" w:customStyle="1" w:styleId="Sessiontc">
    <w:name w:val="Session_tc"/>
    <w:basedOn w:val="StyleSessionAllcaps"/>
    <w:uiPriority w:val="99"/>
    <w:rsid w:val="0033507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33507D"/>
    <w:pPr>
      <w:spacing w:before="480"/>
    </w:pPr>
    <w:rPr>
      <w:bCs/>
      <w:caps/>
      <w:kern w:val="28"/>
      <w:sz w:val="24"/>
    </w:rPr>
  </w:style>
  <w:style w:type="paragraph" w:customStyle="1" w:styleId="plcountry">
    <w:name w:val="plcountry"/>
    <w:basedOn w:val="Normal"/>
    <w:uiPriority w:val="99"/>
    <w:rsid w:val="0033507D"/>
    <w:pPr>
      <w:keepNext/>
      <w:keepLines/>
      <w:spacing w:before="180" w:after="120"/>
      <w:jc w:val="left"/>
    </w:pPr>
    <w:rPr>
      <w:caps/>
      <w:noProof/>
      <w:snapToGrid w:val="0"/>
      <w:u w:val="single"/>
    </w:rPr>
  </w:style>
  <w:style w:type="paragraph" w:customStyle="1" w:styleId="pldetails">
    <w:name w:val="pldetails"/>
    <w:basedOn w:val="Normal"/>
    <w:uiPriority w:val="99"/>
    <w:rsid w:val="0033507D"/>
    <w:pPr>
      <w:keepLines/>
      <w:spacing w:before="60" w:after="60"/>
      <w:jc w:val="left"/>
    </w:pPr>
    <w:rPr>
      <w:noProof/>
      <w:snapToGrid w:val="0"/>
    </w:rPr>
  </w:style>
  <w:style w:type="paragraph" w:customStyle="1" w:styleId="plheading">
    <w:name w:val="plheading"/>
    <w:basedOn w:val="Normal"/>
    <w:uiPriority w:val="99"/>
    <w:rsid w:val="0033507D"/>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33507D"/>
    <w:pPr>
      <w:spacing w:before="240"/>
    </w:pPr>
  </w:style>
  <w:style w:type="paragraph" w:customStyle="1" w:styleId="Titleofdoc0">
    <w:name w:val="Title_of_doc"/>
    <w:basedOn w:val="Normal"/>
    <w:uiPriority w:val="99"/>
    <w:rsid w:val="0033507D"/>
    <w:pPr>
      <w:spacing w:before="600"/>
      <w:jc w:val="center"/>
    </w:pPr>
    <w:rPr>
      <w:caps/>
    </w:rPr>
  </w:style>
  <w:style w:type="paragraph" w:customStyle="1" w:styleId="preparedby1">
    <w:name w:val="prepared_by"/>
    <w:basedOn w:val="Normal"/>
    <w:uiPriority w:val="99"/>
    <w:rsid w:val="0033507D"/>
    <w:pPr>
      <w:spacing w:before="240" w:after="600"/>
      <w:jc w:val="center"/>
    </w:pPr>
    <w:rPr>
      <w:i/>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uiPriority w:val="99"/>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33507D"/>
    <w:rPr>
      <w:rFonts w:ascii="Arial" w:hAnsi="Arial"/>
      <w:b/>
      <w:bCs/>
      <w:spacing w:val="10"/>
      <w:lang w:val="en-US" w:eastAsia="en-US" w:bidi="ar-SA"/>
    </w:rPr>
  </w:style>
  <w:style w:type="paragraph" w:customStyle="1" w:styleId="StyleDocnumber">
    <w:name w:val="Style Doc_number"/>
    <w:basedOn w:val="Docoriginal"/>
    <w:uiPriority w:val="99"/>
    <w:rsid w:val="0033507D"/>
    <w:pPr>
      <w:ind w:left="1589"/>
    </w:pPr>
  </w:style>
  <w:style w:type="paragraph" w:customStyle="1" w:styleId="StyleDocoriginal">
    <w:name w:val="Style Doc_original"/>
    <w:basedOn w:val="Docoriginal"/>
    <w:link w:val="StyleDocoriginalChar"/>
    <w:uiPriority w:val="99"/>
    <w:rsid w:val="0033507D"/>
  </w:style>
  <w:style w:type="character" w:customStyle="1" w:styleId="StyleDocoriginalChar">
    <w:name w:val="Style Doc_original Char"/>
    <w:basedOn w:val="DocoriginalChar"/>
    <w:link w:val="StyleDocoriginal"/>
    <w:uiPriority w:val="99"/>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DefaultParagraphFont"/>
    <w:uiPriority w:val="99"/>
    <w:rsid w:val="0033507D"/>
    <w:rPr>
      <w:rFonts w:ascii="Arial" w:hAnsi="Arial"/>
      <w:b/>
      <w:bCs/>
      <w:spacing w:val="10"/>
      <w:lang w:val="en-US" w:eastAsia="en-US" w:bidi="ar-SA"/>
    </w:rPr>
  </w:style>
  <w:style w:type="character" w:customStyle="1" w:styleId="StyleDoclangBold">
    <w:name w:val="Style Doc_lang + Bold"/>
    <w:basedOn w:val="Doclang"/>
    <w:uiPriority w:val="99"/>
    <w:rsid w:val="0033507D"/>
    <w:rPr>
      <w:rFonts w:ascii="Arial" w:hAnsi="Arial"/>
      <w:b/>
      <w:bCs/>
      <w:sz w:val="20"/>
      <w:lang w:val="en-US"/>
    </w:rPr>
  </w:style>
  <w:style w:type="paragraph" w:styleId="TOC2">
    <w:name w:val="toc 2"/>
    <w:next w:val="Normal"/>
    <w:autoRedefine/>
    <w:uiPriority w:val="39"/>
    <w:rsid w:val="00E307F4"/>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E307F4"/>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99"/>
    <w:rsid w:val="00E307F4"/>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E307F4"/>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E307F4"/>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character" w:customStyle="1" w:styleId="Heading6Char">
    <w:name w:val="Heading 6 Char"/>
    <w:basedOn w:val="DefaultParagraphFont"/>
    <w:link w:val="Heading6"/>
    <w:rsid w:val="00E307F4"/>
    <w:rPr>
      <w:rFonts w:ascii="Arial" w:eastAsiaTheme="minorEastAsia" w:hAnsi="Arial"/>
      <w:bCs/>
      <w:i/>
      <w:sz w:val="18"/>
      <w:szCs w:val="22"/>
    </w:rPr>
  </w:style>
  <w:style w:type="character" w:customStyle="1" w:styleId="Heading7Char">
    <w:name w:val="Heading 7 Char"/>
    <w:basedOn w:val="DefaultParagraphFont"/>
    <w:link w:val="Heading7"/>
    <w:rsid w:val="00E307F4"/>
    <w:rPr>
      <w:rFonts w:ascii="Arial" w:eastAsiaTheme="minorEastAsia" w:hAnsi="Arial"/>
      <w:b/>
      <w:sz w:val="18"/>
      <w:szCs w:val="24"/>
    </w:rPr>
  </w:style>
  <w:style w:type="character" w:customStyle="1" w:styleId="Heading8Char">
    <w:name w:val="Heading 8 Char"/>
    <w:basedOn w:val="DefaultParagraphFont"/>
    <w:link w:val="Heading8"/>
    <w:rsid w:val="00E307F4"/>
    <w:rPr>
      <w:rFonts w:ascii="Arial" w:eastAsiaTheme="minorEastAsia" w:hAnsi="Arial"/>
      <w:i/>
      <w:iCs/>
      <w:sz w:val="18"/>
      <w:szCs w:val="24"/>
    </w:rPr>
  </w:style>
  <w:style w:type="paragraph" w:styleId="ListParagraph">
    <w:name w:val="List Paragraph"/>
    <w:basedOn w:val="Normal"/>
    <w:uiPriority w:val="99"/>
    <w:qFormat/>
    <w:rsid w:val="004E714F"/>
    <w:pPr>
      <w:ind w:left="720"/>
      <w:contextualSpacing/>
    </w:pPr>
    <w:rPr>
      <w:rFonts w:eastAsiaTheme="minorEastAsia"/>
    </w:rPr>
  </w:style>
  <w:style w:type="character" w:customStyle="1" w:styleId="BodyTextChar">
    <w:name w:val="Body Text Char"/>
    <w:basedOn w:val="DefaultParagraphFont"/>
    <w:link w:val="BodyText"/>
    <w:uiPriority w:val="99"/>
    <w:locked/>
    <w:rsid w:val="004E714F"/>
    <w:rPr>
      <w:rFonts w:ascii="Arial" w:hAnsi="Arial"/>
    </w:rPr>
  </w:style>
  <w:style w:type="paragraph" w:styleId="CommentText">
    <w:name w:val="annotation text"/>
    <w:basedOn w:val="Normal"/>
    <w:link w:val="CommentTextChar"/>
    <w:uiPriority w:val="99"/>
    <w:rsid w:val="004E714F"/>
    <w:pPr>
      <w:jc w:val="left"/>
    </w:pPr>
    <w:rPr>
      <w:rFonts w:ascii="Times New Roman" w:eastAsiaTheme="minorEastAsia" w:hAnsi="Times New Roman"/>
      <w:sz w:val="22"/>
    </w:rPr>
  </w:style>
  <w:style w:type="character" w:customStyle="1" w:styleId="CommentTextChar">
    <w:name w:val="Comment Text Char"/>
    <w:basedOn w:val="DefaultParagraphFont"/>
    <w:link w:val="CommentText"/>
    <w:uiPriority w:val="99"/>
    <w:rsid w:val="004E714F"/>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F01D68"/>
    <w:rPr>
      <w:rFonts w:ascii="Arial" w:hAnsi="Arial"/>
      <w:sz w:val="16"/>
      <w:lang w:val="fr-FR"/>
    </w:rPr>
  </w:style>
  <w:style w:type="paragraph" w:styleId="TOC6">
    <w:name w:val="toc 6"/>
    <w:basedOn w:val="Normal"/>
    <w:next w:val="Normal"/>
    <w:autoRedefine/>
    <w:uiPriority w:val="39"/>
    <w:rsid w:val="00E307F4"/>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E307F4"/>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E307F4"/>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E307F4"/>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uiPriority w:val="99"/>
    <w:rsid w:val="004E714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E714F"/>
    <w:rPr>
      <w:rFonts w:ascii="Arial" w:hAnsi="Arial"/>
      <w:i/>
    </w:rPr>
  </w:style>
  <w:style w:type="paragraph" w:customStyle="1" w:styleId="Draft">
    <w:name w:val="Draft"/>
    <w:basedOn w:val="Normal"/>
    <w:next w:val="preparedby"/>
    <w:rsid w:val="004E714F"/>
    <w:pPr>
      <w:spacing w:before="720" w:after="480"/>
      <w:jc w:val="center"/>
    </w:pPr>
    <w:rPr>
      <w:rFonts w:ascii="Times New Roman" w:eastAsiaTheme="minorEastAsia" w:hAnsi="Times New Roman"/>
      <w:caps/>
      <w:sz w:val="28"/>
    </w:rPr>
  </w:style>
  <w:style w:type="paragraph" w:customStyle="1" w:styleId="Committee">
    <w:name w:val="Committee"/>
    <w:basedOn w:val="Title"/>
    <w:rsid w:val="004E714F"/>
    <w:rPr>
      <w:rFonts w:eastAsiaTheme="minorEastAsia"/>
      <w:caps w:val="0"/>
    </w:rPr>
  </w:style>
  <w:style w:type="paragraph" w:styleId="BodyTextIndent">
    <w:name w:val="Body Text Indent"/>
    <w:basedOn w:val="Normal"/>
    <w:link w:val="BodyTextIndentChar"/>
    <w:rsid w:val="004E714F"/>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4E714F"/>
    <w:rPr>
      <w:rFonts w:eastAsiaTheme="minorEastAsia"/>
      <w:sz w:val="24"/>
      <w:u w:val="single"/>
    </w:rPr>
  </w:style>
  <w:style w:type="character" w:styleId="FollowedHyperlink">
    <w:name w:val="FollowedHyperlink"/>
    <w:basedOn w:val="DefaultParagraphFont"/>
    <w:rsid w:val="004E714F"/>
    <w:rPr>
      <w:color w:val="800080" w:themeColor="followedHyperlink"/>
      <w:u w:val="single"/>
    </w:rPr>
  </w:style>
  <w:style w:type="table" w:customStyle="1" w:styleId="TableGrid1">
    <w:name w:val="Table Grid1"/>
    <w:basedOn w:val="TableNormal"/>
    <w:next w:val="TableGrid"/>
    <w:rsid w:val="004E714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14F"/>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4E714F"/>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5E4E94"/>
    <w:pPr>
      <w:spacing w:before="108"/>
    </w:pPr>
    <w:rPr>
      <w:rFonts w:eastAsiaTheme="minorHAnsi" w:cs="Arial"/>
    </w:rPr>
  </w:style>
  <w:style w:type="character" w:customStyle="1" w:styleId="Heading1Char">
    <w:name w:val="Heading 1 Char"/>
    <w:basedOn w:val="DefaultParagraphFont"/>
    <w:link w:val="Heading1"/>
    <w:uiPriority w:val="99"/>
    <w:rsid w:val="0083792B"/>
    <w:rPr>
      <w:rFonts w:ascii="Arial" w:eastAsiaTheme="minorEastAsia" w:hAnsi="Arial"/>
      <w:caps/>
    </w:rPr>
  </w:style>
  <w:style w:type="character" w:customStyle="1" w:styleId="Heading2Char">
    <w:name w:val="Heading 2 Char"/>
    <w:basedOn w:val="DefaultParagraphFont"/>
    <w:link w:val="Heading2"/>
    <w:uiPriority w:val="99"/>
    <w:rsid w:val="0083792B"/>
    <w:rPr>
      <w:rFonts w:ascii="Arial" w:eastAsiaTheme="minorEastAsia" w:hAnsi="Arial"/>
      <w:u w:val="single"/>
    </w:rPr>
  </w:style>
  <w:style w:type="character" w:customStyle="1" w:styleId="Heading3Char">
    <w:name w:val="Heading 3 Char"/>
    <w:basedOn w:val="DefaultParagraphFont"/>
    <w:link w:val="Heading3"/>
    <w:uiPriority w:val="99"/>
    <w:rsid w:val="0083792B"/>
    <w:rPr>
      <w:rFonts w:ascii="Arial" w:eastAsiaTheme="minorEastAsia" w:hAnsi="Arial"/>
      <w:b/>
      <w:caps/>
      <w:sz w:val="18"/>
    </w:rPr>
  </w:style>
  <w:style w:type="character" w:customStyle="1" w:styleId="Heading4Char">
    <w:name w:val="Heading 4 Char"/>
    <w:basedOn w:val="DefaultParagraphFont"/>
    <w:link w:val="Heading4"/>
    <w:uiPriority w:val="99"/>
    <w:rsid w:val="0083792B"/>
    <w:rPr>
      <w:rFonts w:ascii="Arial" w:eastAsiaTheme="minorEastAsia" w:hAnsi="Arial"/>
      <w:b/>
      <w:smallCaps/>
    </w:rPr>
  </w:style>
  <w:style w:type="character" w:customStyle="1" w:styleId="Heading5Char">
    <w:name w:val="Heading 5 Char"/>
    <w:basedOn w:val="DefaultParagraphFont"/>
    <w:link w:val="Heading5"/>
    <w:uiPriority w:val="99"/>
    <w:rsid w:val="0083792B"/>
    <w:rPr>
      <w:rFonts w:ascii="Arial" w:eastAsiaTheme="minorEastAsia" w:hAnsi="Arial"/>
      <w:b/>
      <w:sz w:val="18"/>
    </w:rPr>
  </w:style>
  <w:style w:type="character" w:customStyle="1" w:styleId="Heading9Char">
    <w:name w:val="Heading 9 Char"/>
    <w:basedOn w:val="DefaultParagraphFont"/>
    <w:link w:val="Heading9"/>
    <w:uiPriority w:val="99"/>
    <w:rsid w:val="0083792B"/>
    <w:rPr>
      <w:rFonts w:ascii="Arial" w:eastAsiaTheme="minorEastAsia" w:hAnsi="Arial"/>
      <w:b/>
      <w:sz w:val="18"/>
      <w:lang w:val="fr-FR"/>
    </w:rPr>
  </w:style>
  <w:style w:type="character" w:customStyle="1" w:styleId="HeaderChar">
    <w:name w:val="Header Char"/>
    <w:basedOn w:val="DefaultParagraphFont"/>
    <w:link w:val="Header"/>
    <w:uiPriority w:val="99"/>
    <w:rsid w:val="0083792B"/>
    <w:rPr>
      <w:rFonts w:ascii="Arial" w:hAnsi="Arial"/>
      <w:lang w:val="fr-FR"/>
    </w:rPr>
  </w:style>
  <w:style w:type="character" w:customStyle="1" w:styleId="FooterChar">
    <w:name w:val="Footer Char"/>
    <w:aliases w:val="doc_path_name Char1,doc_path_name Char Char"/>
    <w:basedOn w:val="DefaultParagraphFont"/>
    <w:link w:val="Footer"/>
    <w:uiPriority w:val="99"/>
    <w:rsid w:val="0083792B"/>
    <w:rPr>
      <w:rFonts w:ascii="Arial" w:hAnsi="Arial"/>
      <w:sz w:val="14"/>
    </w:rPr>
  </w:style>
  <w:style w:type="character" w:customStyle="1" w:styleId="TitleChar">
    <w:name w:val="Title Char"/>
    <w:basedOn w:val="DefaultParagraphFont"/>
    <w:link w:val="Title"/>
    <w:uiPriority w:val="99"/>
    <w:rsid w:val="0083792B"/>
    <w:rPr>
      <w:rFonts w:ascii="Arial" w:hAnsi="Arial"/>
      <w:b/>
      <w:caps/>
      <w:kern w:val="28"/>
      <w:sz w:val="30"/>
      <w:lang w:val="fr-FR"/>
    </w:rPr>
  </w:style>
  <w:style w:type="character" w:customStyle="1" w:styleId="ClosingChar">
    <w:name w:val="Closing Char"/>
    <w:basedOn w:val="DefaultParagraphFont"/>
    <w:link w:val="Closing"/>
    <w:uiPriority w:val="99"/>
    <w:rsid w:val="0083792B"/>
    <w:rPr>
      <w:rFonts w:ascii="Arial" w:hAnsi="Arial"/>
      <w:lang w:val="fr-FR"/>
    </w:rPr>
  </w:style>
  <w:style w:type="character" w:customStyle="1" w:styleId="MacroTextChar">
    <w:name w:val="Macro Text Char"/>
    <w:basedOn w:val="DefaultParagraphFont"/>
    <w:link w:val="MacroText"/>
    <w:uiPriority w:val="99"/>
    <w:semiHidden/>
    <w:rsid w:val="0083792B"/>
    <w:rPr>
      <w:rFonts w:ascii="Courier New" w:hAnsi="Courier New"/>
      <w:sz w:val="16"/>
    </w:rPr>
  </w:style>
  <w:style w:type="character" w:customStyle="1" w:styleId="SignatureChar">
    <w:name w:val="Signature Char"/>
    <w:basedOn w:val="DefaultParagraphFont"/>
    <w:link w:val="Signature"/>
    <w:uiPriority w:val="99"/>
    <w:rsid w:val="0083792B"/>
    <w:rPr>
      <w:rFonts w:ascii="Arial" w:hAnsi="Arial"/>
      <w:lang w:val="fr-FR"/>
    </w:rPr>
  </w:style>
  <w:style w:type="character" w:customStyle="1" w:styleId="EndnoteTextChar">
    <w:name w:val="Endnote Text Char"/>
    <w:basedOn w:val="DefaultParagraphFont"/>
    <w:link w:val="EndnoteText"/>
    <w:uiPriority w:val="99"/>
    <w:semiHidden/>
    <w:rsid w:val="0083792B"/>
    <w:rPr>
      <w:rFonts w:ascii="Arial" w:hAnsi="Arial"/>
      <w:lang w:val="fr-FR"/>
    </w:rPr>
  </w:style>
  <w:style w:type="character" w:customStyle="1" w:styleId="DateChar">
    <w:name w:val="Date Char"/>
    <w:basedOn w:val="DefaultParagraphFont"/>
    <w:link w:val="Date"/>
    <w:uiPriority w:val="99"/>
    <w:semiHidden/>
    <w:rsid w:val="0083792B"/>
    <w:rPr>
      <w:rFonts w:ascii="Arial" w:hAnsi="Arial"/>
      <w:b/>
      <w:sz w:val="22"/>
      <w:lang w:val="fr-FR"/>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semiHidden/>
    <w:rsid w:val="0083792B"/>
    <w:rPr>
      <w:rFonts w:ascii="Arial" w:hAnsi="Arial" w:cs="Arial"/>
      <w:sz w:val="16"/>
      <w:szCs w:val="16"/>
    </w:rPr>
  </w:style>
  <w:style w:type="character" w:styleId="CommentReference">
    <w:name w:val="annotation reference"/>
    <w:basedOn w:val="DefaultParagraphFont"/>
    <w:uiPriority w:val="99"/>
    <w:rsid w:val="0083792B"/>
    <w:rPr>
      <w:rFonts w:cs="Times New Roman"/>
      <w:sz w:val="16"/>
      <w:szCs w:val="16"/>
    </w:rPr>
  </w:style>
  <w:style w:type="character" w:customStyle="1" w:styleId="CodeCharChar">
    <w:name w:val="Code Char Char"/>
    <w:uiPriority w:val="99"/>
    <w:rsid w:val="0083792B"/>
    <w:rPr>
      <w:rFonts w:ascii="Arial" w:hAnsi="Arial" w:cs="Arial"/>
      <w:b/>
      <w:bCs/>
      <w:spacing w:val="10"/>
      <w:lang w:val="fr-FR" w:eastAsia="en-US"/>
    </w:rPr>
  </w:style>
  <w:style w:type="character" w:customStyle="1" w:styleId="DocoriginalCharChar">
    <w:name w:val="Doc_original Char Char"/>
    <w:uiPriority w:val="99"/>
    <w:rsid w:val="0083792B"/>
    <w:rPr>
      <w:rFonts w:ascii="Arial" w:hAnsi="Arial" w:cs="Arial"/>
      <w:b/>
      <w:bCs/>
      <w:spacing w:val="10"/>
      <w:lang w:val="en-US" w:eastAsia="en-US"/>
    </w:rPr>
  </w:style>
  <w:style w:type="character" w:customStyle="1" w:styleId="StyleDocoriginalNotBoldCharChar">
    <w:name w:val="Style Doc_original + Not Bold Char Char"/>
    <w:basedOn w:val="DocoriginalCharChar"/>
    <w:uiPriority w:val="99"/>
    <w:rsid w:val="0083792B"/>
    <w:rPr>
      <w:rFonts w:ascii="Arial" w:hAnsi="Arial" w:cs="Arial"/>
      <w:b/>
      <w:bCs/>
      <w:spacing w:val="10"/>
      <w:lang w:val="en-US" w:eastAsia="en-US"/>
    </w:rPr>
  </w:style>
  <w:style w:type="character" w:customStyle="1" w:styleId="StyleDocoriginalCharChar">
    <w:name w:val="Style Doc_original Char Char"/>
    <w:basedOn w:val="DocoriginalCharChar"/>
    <w:uiPriority w:val="99"/>
    <w:rsid w:val="0083792B"/>
    <w:rPr>
      <w:rFonts w:ascii="Arial" w:hAnsi="Arial" w:cs="Arial"/>
      <w:b/>
      <w:bCs/>
      <w:spacing w:val="10"/>
      <w:lang w:val="en-US" w:eastAsia="en-US"/>
    </w:rPr>
  </w:style>
  <w:style w:type="character" w:customStyle="1" w:styleId="StyleStyleDocoriginalNotBoldNotBoldCharChar">
    <w:name w:val="Style Style Doc_original + Not Bold + Not Bold Char Char"/>
    <w:basedOn w:val="StyleDocoriginalNotBoldCharChar"/>
    <w:uiPriority w:val="99"/>
    <w:rsid w:val="0083792B"/>
    <w:rPr>
      <w:rFonts w:ascii="Arial" w:hAnsi="Arial" w:cs="Arial"/>
      <w:b/>
      <w:bCs/>
      <w:spacing w:val="10"/>
      <w:lang w:val="en-US" w:eastAsia="en-US"/>
    </w:rPr>
  </w:style>
  <w:style w:type="character" w:customStyle="1" w:styleId="Char">
    <w:name w:val="Char"/>
    <w:uiPriority w:val="99"/>
    <w:semiHidden/>
    <w:rsid w:val="0083792B"/>
    <w:rPr>
      <w:rFonts w:ascii="Arial" w:hAnsi="Arial" w:cs="Arial"/>
      <w:lang w:val="en-US" w:eastAsia="en-US"/>
    </w:rPr>
  </w:style>
  <w:style w:type="character" w:customStyle="1" w:styleId="DecisionParagraphsCharChar">
    <w:name w:val="DecisionParagraphs Char Char"/>
    <w:uiPriority w:val="99"/>
    <w:rsid w:val="0083792B"/>
    <w:rPr>
      <w:rFonts w:ascii="Arial" w:hAnsi="Arial" w:cs="Arial"/>
      <w:i/>
      <w:iCs/>
      <w:sz w:val="16"/>
      <w:szCs w:val="16"/>
    </w:rPr>
  </w:style>
  <w:style w:type="paragraph" w:styleId="BodyText2">
    <w:name w:val="Body Text 2"/>
    <w:basedOn w:val="Normal"/>
    <w:link w:val="BodyText2Char"/>
    <w:uiPriority w:val="99"/>
    <w:rsid w:val="0083792B"/>
    <w:rPr>
      <w:rFonts w:cs="Arial"/>
      <w:sz w:val="24"/>
      <w:szCs w:val="24"/>
      <w:u w:val="single"/>
      <w:lang w:val="en-US"/>
    </w:rPr>
  </w:style>
  <w:style w:type="character" w:customStyle="1" w:styleId="BodyText2Char">
    <w:name w:val="Body Text 2 Char"/>
    <w:basedOn w:val="DefaultParagraphFont"/>
    <w:link w:val="BodyText2"/>
    <w:uiPriority w:val="99"/>
    <w:rsid w:val="0083792B"/>
    <w:rPr>
      <w:rFonts w:ascii="Arial" w:hAnsi="Arial" w:cs="Arial"/>
      <w:sz w:val="24"/>
      <w:szCs w:val="24"/>
      <w:u w:val="single"/>
    </w:rPr>
  </w:style>
  <w:style w:type="paragraph" w:customStyle="1" w:styleId="HeadingAnnex">
    <w:name w:val="Heading Annex"/>
    <w:basedOn w:val="Heading1"/>
    <w:uiPriority w:val="99"/>
    <w:rsid w:val="0083792B"/>
    <w:pPr>
      <w:ind w:left="720" w:hanging="360"/>
      <w:jc w:val="center"/>
    </w:pPr>
    <w:rPr>
      <w:rFonts w:eastAsia="Times New Roman" w:cs="Arial"/>
      <w:color w:val="008000"/>
      <w:sz w:val="24"/>
      <w:szCs w:val="24"/>
    </w:rPr>
  </w:style>
  <w:style w:type="paragraph" w:customStyle="1" w:styleId="StyleDecisionParagraphs10pt">
    <w:name w:val="Style DecisionParagraphs + 10 pt"/>
    <w:link w:val="StyleDecisionParagraphs10ptChar"/>
    <w:uiPriority w:val="99"/>
    <w:rsid w:val="0083792B"/>
    <w:pPr>
      <w:ind w:left="4536"/>
    </w:pPr>
    <w:rPr>
      <w:rFonts w:ascii="Arial" w:hAnsi="Arial" w:cs="Arial"/>
      <w:i/>
      <w:iCs/>
      <w:sz w:val="16"/>
      <w:szCs w:val="16"/>
      <w:lang w:eastAsia="ja-JP"/>
    </w:rPr>
  </w:style>
  <w:style w:type="character" w:customStyle="1" w:styleId="StyleDecisionParagraphs10ptChar">
    <w:name w:val="Style DecisionParagraphs + 10 pt Char"/>
    <w:basedOn w:val="DecisionParagraphsCharChar"/>
    <w:link w:val="StyleDecisionParagraphs10pt"/>
    <w:uiPriority w:val="99"/>
    <w:rsid w:val="0083792B"/>
    <w:rPr>
      <w:rFonts w:ascii="Arial" w:hAnsi="Arial" w:cs="Arial"/>
      <w:i/>
      <w:iCs/>
      <w:sz w:val="16"/>
      <w:szCs w:val="16"/>
      <w:lang w:eastAsia="ja-JP"/>
    </w:rPr>
  </w:style>
  <w:style w:type="paragraph" w:customStyle="1" w:styleId="ZchnZchn1">
    <w:name w:val="Zchn Zchn1"/>
    <w:basedOn w:val="Normal"/>
    <w:uiPriority w:val="99"/>
    <w:rsid w:val="0083792B"/>
    <w:pPr>
      <w:spacing w:after="160" w:line="240" w:lineRule="exact"/>
      <w:jc w:val="left"/>
    </w:pPr>
    <w:rPr>
      <w:rFonts w:ascii="Times New Roman" w:eastAsia="PMingLiU" w:hAnsi="Times New Roman"/>
      <w:sz w:val="24"/>
      <w:szCs w:val="24"/>
      <w:lang w:val="en-US"/>
    </w:rPr>
  </w:style>
  <w:style w:type="character" w:customStyle="1" w:styleId="fn3Char">
    <w:name w:val="fn3 Char"/>
    <w:uiPriority w:val="99"/>
    <w:rsid w:val="0083792B"/>
    <w:rPr>
      <w:rFonts w:ascii="Arial" w:hAnsi="Arial" w:cs="Arial"/>
      <w:sz w:val="16"/>
      <w:szCs w:val="16"/>
      <w:lang w:val="en-US" w:eastAsia="en-US"/>
    </w:rPr>
  </w:style>
  <w:style w:type="paragraph" w:styleId="CommentSubject">
    <w:name w:val="annotation subject"/>
    <w:basedOn w:val="CommentText"/>
    <w:next w:val="CommentText"/>
    <w:link w:val="CommentSubjectChar"/>
    <w:rsid w:val="0083792B"/>
    <w:pPr>
      <w:jc w:val="both"/>
    </w:pPr>
    <w:rPr>
      <w:rFonts w:ascii="Arial" w:hAnsi="Arial"/>
      <w:b/>
      <w:bCs/>
      <w:sz w:val="20"/>
    </w:rPr>
  </w:style>
  <w:style w:type="character" w:customStyle="1" w:styleId="CommentSubjectChar">
    <w:name w:val="Comment Subject Char"/>
    <w:basedOn w:val="CommentTextChar"/>
    <w:link w:val="CommentSubject"/>
    <w:rsid w:val="0083792B"/>
    <w:rPr>
      <w:rFonts w:ascii="Arial" w:eastAsiaTheme="minorEastAsia" w:hAnsi="Arial"/>
      <w:b/>
      <w:bCs/>
      <w:sz w:val="22"/>
      <w:lang w:val="fr-FR"/>
    </w:rPr>
  </w:style>
  <w:style w:type="paragraph" w:styleId="Revision">
    <w:name w:val="Revision"/>
    <w:hidden/>
    <w:uiPriority w:val="99"/>
    <w:semiHidden/>
    <w:rsid w:val="0083792B"/>
    <w:rPr>
      <w:rFonts w:ascii="Arial" w:eastAsiaTheme="minorEastAsia"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Default Paragraph Font" w:uiPriority="1"/>
    <w:lsdException w:name="Body Text" w:uiPriority="99"/>
    <w:lsdException w:name="Subtitle" w:qFormat="1"/>
    <w:lsdException w:name="Date" w:uiPriority="99"/>
    <w:lsdException w:name="Body Text 2"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B2E"/>
    <w:pPr>
      <w:jc w:val="both"/>
    </w:pPr>
    <w:rPr>
      <w:rFonts w:ascii="Arial" w:hAnsi="Arial"/>
      <w:lang w:val="fr-FR"/>
    </w:rPr>
  </w:style>
  <w:style w:type="paragraph" w:styleId="Heading1">
    <w:name w:val="heading 1"/>
    <w:next w:val="Normal"/>
    <w:link w:val="Heading1Char"/>
    <w:autoRedefine/>
    <w:uiPriority w:val="99"/>
    <w:qFormat/>
    <w:rsid w:val="00E307F4"/>
    <w:pPr>
      <w:keepNext/>
      <w:jc w:val="both"/>
      <w:outlineLvl w:val="0"/>
    </w:pPr>
    <w:rPr>
      <w:rFonts w:ascii="Arial" w:eastAsiaTheme="minorEastAsia" w:hAnsi="Arial"/>
      <w:caps/>
    </w:rPr>
  </w:style>
  <w:style w:type="paragraph" w:styleId="Heading2">
    <w:name w:val="heading 2"/>
    <w:next w:val="Normal"/>
    <w:link w:val="Heading2Char"/>
    <w:autoRedefine/>
    <w:uiPriority w:val="99"/>
    <w:qFormat/>
    <w:rsid w:val="00E307F4"/>
    <w:pPr>
      <w:keepNext/>
      <w:jc w:val="both"/>
      <w:outlineLvl w:val="1"/>
    </w:pPr>
    <w:rPr>
      <w:rFonts w:ascii="Arial" w:eastAsiaTheme="minorEastAsia" w:hAnsi="Arial"/>
      <w:u w:val="single"/>
    </w:rPr>
  </w:style>
  <w:style w:type="paragraph" w:styleId="Heading3">
    <w:name w:val="heading 3"/>
    <w:next w:val="Normal"/>
    <w:link w:val="Heading3Char"/>
    <w:autoRedefine/>
    <w:uiPriority w:val="99"/>
    <w:qFormat/>
    <w:rsid w:val="00E307F4"/>
    <w:pPr>
      <w:keepNext/>
      <w:jc w:val="both"/>
      <w:outlineLvl w:val="2"/>
    </w:pPr>
    <w:rPr>
      <w:rFonts w:ascii="Arial" w:eastAsiaTheme="minorEastAsia" w:hAnsi="Arial"/>
      <w:b/>
      <w:caps/>
      <w:sz w:val="18"/>
    </w:rPr>
  </w:style>
  <w:style w:type="paragraph" w:styleId="Heading4">
    <w:name w:val="heading 4"/>
    <w:next w:val="Normal"/>
    <w:link w:val="Heading4Char"/>
    <w:autoRedefine/>
    <w:uiPriority w:val="99"/>
    <w:qFormat/>
    <w:rsid w:val="00E307F4"/>
    <w:pPr>
      <w:keepNext/>
      <w:jc w:val="both"/>
      <w:outlineLvl w:val="3"/>
    </w:pPr>
    <w:rPr>
      <w:rFonts w:ascii="Arial" w:eastAsiaTheme="minorEastAsia" w:hAnsi="Arial"/>
      <w:b/>
      <w:smallCaps/>
    </w:rPr>
  </w:style>
  <w:style w:type="paragraph" w:styleId="Heading5">
    <w:name w:val="heading 5"/>
    <w:next w:val="Normal"/>
    <w:link w:val="Heading5Char"/>
    <w:autoRedefine/>
    <w:uiPriority w:val="99"/>
    <w:qFormat/>
    <w:rsid w:val="00E307F4"/>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E307F4"/>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E307F4"/>
    <w:pPr>
      <w:spacing w:after="240"/>
      <w:outlineLvl w:val="6"/>
    </w:pPr>
    <w:rPr>
      <w:rFonts w:eastAsiaTheme="minorEastAsia"/>
      <w:b/>
      <w:sz w:val="18"/>
      <w:szCs w:val="24"/>
    </w:rPr>
  </w:style>
  <w:style w:type="paragraph" w:styleId="Heading8">
    <w:name w:val="heading 8"/>
    <w:basedOn w:val="Normal"/>
    <w:next w:val="Normal"/>
    <w:link w:val="Heading8Char"/>
    <w:qFormat/>
    <w:rsid w:val="00E307F4"/>
    <w:pPr>
      <w:spacing w:after="240"/>
      <w:jc w:val="left"/>
      <w:outlineLvl w:val="7"/>
    </w:pPr>
    <w:rPr>
      <w:rFonts w:eastAsiaTheme="minorEastAsia"/>
      <w:i/>
      <w:iCs/>
      <w:sz w:val="18"/>
      <w:szCs w:val="24"/>
    </w:rPr>
  </w:style>
  <w:style w:type="paragraph" w:styleId="Heading9">
    <w:name w:val="heading 9"/>
    <w:basedOn w:val="Normal"/>
    <w:next w:val="Normal"/>
    <w:link w:val="Heading9Char"/>
    <w:uiPriority w:val="99"/>
    <w:qFormat/>
    <w:rsid w:val="00E307F4"/>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doc_path_name Char"/>
    <w:link w:val="FooterChar"/>
    <w:autoRedefine/>
    <w:uiPriority w:val="99"/>
    <w:rsid w:val="0033507D"/>
    <w:pPr>
      <w:jc w:val="both"/>
    </w:pPr>
    <w:rPr>
      <w:rFonts w:ascii="Arial" w:hAnsi="Arial"/>
      <w:sz w:val="14"/>
    </w:rPr>
  </w:style>
  <w:style w:type="character" w:styleId="PageNumber">
    <w:name w:val="page number"/>
    <w:basedOn w:val="DefaultParagraphFont"/>
    <w:uiPriority w:val="99"/>
    <w:rsid w:val="0033507D"/>
    <w:rPr>
      <w:rFonts w:ascii="Arial" w:hAnsi="Arial"/>
      <w:sz w:val="20"/>
    </w:rPr>
  </w:style>
  <w:style w:type="paragraph" w:styleId="Title">
    <w:name w:val="Title"/>
    <w:basedOn w:val="Normal"/>
    <w:link w:val="TitleChar"/>
    <w:uiPriority w:val="99"/>
    <w:qFormat/>
    <w:rsid w:val="0033507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33507D"/>
    <w:pPr>
      <w:spacing w:line="280" w:lineRule="exact"/>
      <w:ind w:left="1361"/>
    </w:pPr>
    <w:rPr>
      <w:b/>
      <w:bCs/>
      <w:spacing w:val="10"/>
    </w:rPr>
  </w:style>
  <w:style w:type="paragraph" w:customStyle="1" w:styleId="DecisionParagraphs">
    <w:name w:val="DecisionParagraphs"/>
    <w:basedOn w:val="Normal"/>
    <w:link w:val="DecisionParagraphsChar"/>
    <w:uiPriority w:val="99"/>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uiPriority w:val="99"/>
    <w:rsid w:val="00F01D68"/>
    <w:pPr>
      <w:spacing w:before="60"/>
      <w:ind w:left="567" w:hanging="567"/>
      <w:jc w:val="both"/>
    </w:pPr>
    <w:rPr>
      <w:rFonts w:ascii="Arial" w:hAnsi="Arial"/>
      <w:sz w:val="16"/>
      <w:lang w:val="fr-FR"/>
    </w:rPr>
  </w:style>
  <w:style w:type="character" w:styleId="FootnoteReference">
    <w:name w:val="footnote reference"/>
    <w:basedOn w:val="DefaultParagraphFont"/>
    <w:uiPriority w:val="99"/>
    <w:rsid w:val="0033507D"/>
    <w:rPr>
      <w:vertAlign w:val="superscript"/>
    </w:rPr>
  </w:style>
  <w:style w:type="paragraph" w:styleId="Closing">
    <w:name w:val="Closing"/>
    <w:basedOn w:val="Normal"/>
    <w:link w:val="ClosingChar"/>
    <w:uiPriority w:val="99"/>
    <w:rsid w:val="0033507D"/>
    <w:pPr>
      <w:ind w:left="4536"/>
      <w:jc w:val="center"/>
    </w:pPr>
  </w:style>
  <w:style w:type="paragraph" w:styleId="Index1">
    <w:name w:val="index 1"/>
    <w:basedOn w:val="Normal"/>
    <w:next w:val="Normal"/>
    <w:uiPriority w:val="99"/>
    <w:semiHidden/>
    <w:rsid w:val="0033507D"/>
    <w:pPr>
      <w:tabs>
        <w:tab w:val="right" w:leader="dot" w:pos="9071"/>
      </w:tabs>
      <w:ind w:left="284" w:hanging="284"/>
    </w:pPr>
    <w:rPr>
      <w:sz w:val="24"/>
    </w:rPr>
  </w:style>
  <w:style w:type="paragraph" w:styleId="Index2">
    <w:name w:val="index 2"/>
    <w:basedOn w:val="Normal"/>
    <w:next w:val="Normal"/>
    <w:uiPriority w:val="99"/>
    <w:semiHidden/>
    <w:rsid w:val="0033507D"/>
    <w:pPr>
      <w:tabs>
        <w:tab w:val="right" w:leader="dot" w:pos="9071"/>
      </w:tabs>
      <w:ind w:left="568" w:hanging="284"/>
    </w:pPr>
    <w:rPr>
      <w:sz w:val="24"/>
    </w:rPr>
  </w:style>
  <w:style w:type="paragraph" w:styleId="Index3">
    <w:name w:val="index 3"/>
    <w:basedOn w:val="Normal"/>
    <w:next w:val="Normal"/>
    <w:uiPriority w:val="99"/>
    <w:semiHidden/>
    <w:rsid w:val="0033507D"/>
    <w:pPr>
      <w:tabs>
        <w:tab w:val="right" w:leader="dot" w:pos="9071"/>
      </w:tabs>
      <w:ind w:left="851" w:hanging="284"/>
    </w:pPr>
    <w:rPr>
      <w:sz w:val="24"/>
    </w:rPr>
  </w:style>
  <w:style w:type="paragraph" w:styleId="MacroText">
    <w:name w:val="macro"/>
    <w:link w:val="MacroTextChar"/>
    <w:uiPriority w:val="99"/>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33507D"/>
    <w:pPr>
      <w:ind w:left="4536"/>
      <w:jc w:val="center"/>
    </w:pPr>
  </w:style>
  <w:style w:type="character" w:customStyle="1" w:styleId="Doclang">
    <w:name w:val="Doc_lang"/>
    <w:basedOn w:val="DefaultParagraphFont"/>
    <w:uiPriority w:val="99"/>
    <w:rsid w:val="0033507D"/>
    <w:rPr>
      <w:rFonts w:ascii="Arial" w:hAnsi="Arial"/>
      <w:sz w:val="20"/>
      <w:lang w:val="en-US"/>
    </w:rPr>
  </w:style>
  <w:style w:type="paragraph" w:customStyle="1" w:styleId="Session">
    <w:name w:val="Session"/>
    <w:basedOn w:val="Normal"/>
    <w:uiPriority w:val="99"/>
    <w:semiHidden/>
    <w:rsid w:val="0033507D"/>
    <w:pPr>
      <w:spacing w:before="60"/>
      <w:jc w:val="center"/>
    </w:pPr>
    <w:rPr>
      <w:b/>
    </w:rPr>
  </w:style>
  <w:style w:type="paragraph" w:customStyle="1" w:styleId="Organizer">
    <w:name w:val="Organizer"/>
    <w:basedOn w:val="Normal"/>
    <w:uiPriority w:val="99"/>
    <w:semiHidden/>
    <w:rsid w:val="0033507D"/>
    <w:pPr>
      <w:spacing w:after="600"/>
      <w:ind w:left="-993" w:right="-994"/>
      <w:jc w:val="center"/>
    </w:pPr>
    <w:rPr>
      <w:b/>
      <w:caps/>
      <w:kern w:val="26"/>
      <w:sz w:val="26"/>
    </w:rPr>
  </w:style>
  <w:style w:type="paragraph" w:styleId="BodyText">
    <w:name w:val="Body Text"/>
    <w:basedOn w:val="Normal"/>
    <w:link w:val="BodyTextChar"/>
    <w:uiPriority w:val="99"/>
    <w:rsid w:val="0033507D"/>
  </w:style>
  <w:style w:type="paragraph" w:customStyle="1" w:styleId="StyleDocoriginalNotBold">
    <w:name w:val="Style Doc_original + Not Bold"/>
    <w:basedOn w:val="Docoriginal"/>
    <w:link w:val="StyleDocoriginalNotBoldChar"/>
    <w:autoRedefine/>
    <w:uiPriority w:val="99"/>
    <w:rsid w:val="0033507D"/>
    <w:pPr>
      <w:ind w:left="1589"/>
      <w:jc w:val="left"/>
    </w:pPr>
  </w:style>
  <w:style w:type="paragraph" w:customStyle="1" w:styleId="upove">
    <w:name w:val="upov_e"/>
    <w:basedOn w:val="Normal"/>
    <w:uiPriority w:val="99"/>
    <w:rsid w:val="0033507D"/>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33507D"/>
  </w:style>
  <w:style w:type="paragraph" w:styleId="EndnoteText">
    <w:name w:val="endnote text"/>
    <w:basedOn w:val="Normal"/>
    <w:link w:val="EndnoteTextChar"/>
    <w:uiPriority w:val="99"/>
    <w:semiHidden/>
    <w:rsid w:val="0033507D"/>
  </w:style>
  <w:style w:type="character" w:styleId="EndnoteReference">
    <w:name w:val="endnote reference"/>
    <w:basedOn w:val="DefaultParagraphFont"/>
    <w:uiPriority w:val="99"/>
    <w:semiHidden/>
    <w:rsid w:val="0033507D"/>
    <w:rPr>
      <w:vertAlign w:val="superscript"/>
    </w:rPr>
  </w:style>
  <w:style w:type="paragraph" w:customStyle="1" w:styleId="SessionMeetingPlace">
    <w:name w:val="Session_MeetingPlace"/>
    <w:basedOn w:val="Normal"/>
    <w:uiPriority w:val="99"/>
    <w:semiHidden/>
    <w:rsid w:val="0033507D"/>
    <w:pPr>
      <w:spacing w:before="480"/>
      <w:jc w:val="center"/>
    </w:pPr>
    <w:rPr>
      <w:b/>
      <w:bCs/>
      <w:kern w:val="28"/>
      <w:sz w:val="24"/>
    </w:rPr>
  </w:style>
  <w:style w:type="paragraph" w:customStyle="1" w:styleId="Original">
    <w:name w:val="Original"/>
    <w:basedOn w:val="Normal"/>
    <w:uiPriority w:val="99"/>
    <w:semiHidden/>
    <w:rsid w:val="0033507D"/>
    <w:pPr>
      <w:spacing w:before="60"/>
      <w:ind w:left="1276"/>
    </w:pPr>
    <w:rPr>
      <w:b/>
      <w:sz w:val="22"/>
    </w:rPr>
  </w:style>
  <w:style w:type="paragraph" w:styleId="Date">
    <w:name w:val="Date"/>
    <w:basedOn w:val="Normal"/>
    <w:link w:val="DateChar"/>
    <w:uiPriority w:val="99"/>
    <w:semiHidden/>
    <w:rsid w:val="0033507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33507D"/>
    <w:pPr>
      <w:spacing w:before="60" w:after="480"/>
      <w:jc w:val="center"/>
    </w:pPr>
  </w:style>
  <w:style w:type="paragraph" w:customStyle="1" w:styleId="Lettrine">
    <w:name w:val="Lettrine"/>
    <w:basedOn w:val="Normal"/>
    <w:uiPriority w:val="99"/>
    <w:rsid w:val="0033507D"/>
    <w:pPr>
      <w:spacing w:after="120" w:line="340" w:lineRule="atLeast"/>
      <w:jc w:val="right"/>
    </w:pPr>
    <w:rPr>
      <w:b/>
      <w:bCs/>
      <w:sz w:val="56"/>
    </w:rPr>
  </w:style>
  <w:style w:type="paragraph" w:customStyle="1" w:styleId="LogoUPOV">
    <w:name w:val="LogoUPOV"/>
    <w:basedOn w:val="Normal"/>
    <w:uiPriority w:val="99"/>
    <w:rsid w:val="0033507D"/>
    <w:pPr>
      <w:spacing w:before="720"/>
      <w:jc w:val="center"/>
    </w:pPr>
  </w:style>
  <w:style w:type="paragraph" w:customStyle="1" w:styleId="Sessiontc">
    <w:name w:val="Session_tc"/>
    <w:basedOn w:val="StyleSessionAllcaps"/>
    <w:uiPriority w:val="99"/>
    <w:rsid w:val="0033507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33507D"/>
    <w:pPr>
      <w:spacing w:before="480"/>
    </w:pPr>
    <w:rPr>
      <w:bCs/>
      <w:caps/>
      <w:kern w:val="28"/>
      <w:sz w:val="24"/>
    </w:rPr>
  </w:style>
  <w:style w:type="paragraph" w:customStyle="1" w:styleId="plcountry">
    <w:name w:val="plcountry"/>
    <w:basedOn w:val="Normal"/>
    <w:uiPriority w:val="99"/>
    <w:rsid w:val="0033507D"/>
    <w:pPr>
      <w:keepNext/>
      <w:keepLines/>
      <w:spacing w:before="180" w:after="120"/>
      <w:jc w:val="left"/>
    </w:pPr>
    <w:rPr>
      <w:caps/>
      <w:noProof/>
      <w:snapToGrid w:val="0"/>
      <w:u w:val="single"/>
    </w:rPr>
  </w:style>
  <w:style w:type="paragraph" w:customStyle="1" w:styleId="pldetails">
    <w:name w:val="pldetails"/>
    <w:basedOn w:val="Normal"/>
    <w:uiPriority w:val="99"/>
    <w:rsid w:val="0033507D"/>
    <w:pPr>
      <w:keepLines/>
      <w:spacing w:before="60" w:after="60"/>
      <w:jc w:val="left"/>
    </w:pPr>
    <w:rPr>
      <w:noProof/>
      <w:snapToGrid w:val="0"/>
    </w:rPr>
  </w:style>
  <w:style w:type="paragraph" w:customStyle="1" w:styleId="plheading">
    <w:name w:val="plheading"/>
    <w:basedOn w:val="Normal"/>
    <w:uiPriority w:val="99"/>
    <w:rsid w:val="0033507D"/>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33507D"/>
    <w:pPr>
      <w:spacing w:before="240"/>
    </w:pPr>
  </w:style>
  <w:style w:type="paragraph" w:customStyle="1" w:styleId="Titleofdoc0">
    <w:name w:val="Title_of_doc"/>
    <w:basedOn w:val="Normal"/>
    <w:uiPriority w:val="99"/>
    <w:rsid w:val="0033507D"/>
    <w:pPr>
      <w:spacing w:before="600"/>
      <w:jc w:val="center"/>
    </w:pPr>
    <w:rPr>
      <w:caps/>
    </w:rPr>
  </w:style>
  <w:style w:type="paragraph" w:customStyle="1" w:styleId="preparedby1">
    <w:name w:val="prepared_by"/>
    <w:basedOn w:val="Normal"/>
    <w:uiPriority w:val="99"/>
    <w:rsid w:val="0033507D"/>
    <w:pPr>
      <w:spacing w:before="240" w:after="600"/>
      <w:jc w:val="center"/>
    </w:pPr>
    <w:rPr>
      <w:i/>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uiPriority w:val="99"/>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33507D"/>
    <w:rPr>
      <w:rFonts w:ascii="Arial" w:hAnsi="Arial"/>
      <w:b/>
      <w:bCs/>
      <w:spacing w:val="10"/>
      <w:lang w:val="en-US" w:eastAsia="en-US" w:bidi="ar-SA"/>
    </w:rPr>
  </w:style>
  <w:style w:type="paragraph" w:customStyle="1" w:styleId="StyleDocnumber">
    <w:name w:val="Style Doc_number"/>
    <w:basedOn w:val="Docoriginal"/>
    <w:uiPriority w:val="99"/>
    <w:rsid w:val="0033507D"/>
    <w:pPr>
      <w:ind w:left="1589"/>
    </w:pPr>
  </w:style>
  <w:style w:type="paragraph" w:customStyle="1" w:styleId="StyleDocoriginal">
    <w:name w:val="Style Doc_original"/>
    <w:basedOn w:val="Docoriginal"/>
    <w:link w:val="StyleDocoriginalChar"/>
    <w:uiPriority w:val="99"/>
    <w:rsid w:val="0033507D"/>
  </w:style>
  <w:style w:type="character" w:customStyle="1" w:styleId="StyleDocoriginalChar">
    <w:name w:val="Style Doc_original Char"/>
    <w:basedOn w:val="DocoriginalChar"/>
    <w:link w:val="StyleDocoriginal"/>
    <w:uiPriority w:val="99"/>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DefaultParagraphFont"/>
    <w:uiPriority w:val="99"/>
    <w:rsid w:val="0033507D"/>
    <w:rPr>
      <w:rFonts w:ascii="Arial" w:hAnsi="Arial"/>
      <w:b/>
      <w:bCs/>
      <w:spacing w:val="10"/>
      <w:lang w:val="en-US" w:eastAsia="en-US" w:bidi="ar-SA"/>
    </w:rPr>
  </w:style>
  <w:style w:type="character" w:customStyle="1" w:styleId="StyleDoclangBold">
    <w:name w:val="Style Doc_lang + Bold"/>
    <w:basedOn w:val="Doclang"/>
    <w:uiPriority w:val="99"/>
    <w:rsid w:val="0033507D"/>
    <w:rPr>
      <w:rFonts w:ascii="Arial" w:hAnsi="Arial"/>
      <w:b/>
      <w:bCs/>
      <w:sz w:val="20"/>
      <w:lang w:val="en-US"/>
    </w:rPr>
  </w:style>
  <w:style w:type="paragraph" w:styleId="TOC2">
    <w:name w:val="toc 2"/>
    <w:next w:val="Normal"/>
    <w:autoRedefine/>
    <w:uiPriority w:val="39"/>
    <w:rsid w:val="00E307F4"/>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E307F4"/>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uiPriority w:val="99"/>
    <w:rsid w:val="00E307F4"/>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E307F4"/>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E307F4"/>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character" w:customStyle="1" w:styleId="Heading6Char">
    <w:name w:val="Heading 6 Char"/>
    <w:basedOn w:val="DefaultParagraphFont"/>
    <w:link w:val="Heading6"/>
    <w:rsid w:val="00E307F4"/>
    <w:rPr>
      <w:rFonts w:ascii="Arial" w:eastAsiaTheme="minorEastAsia" w:hAnsi="Arial"/>
      <w:bCs/>
      <w:i/>
      <w:sz w:val="18"/>
      <w:szCs w:val="22"/>
    </w:rPr>
  </w:style>
  <w:style w:type="character" w:customStyle="1" w:styleId="Heading7Char">
    <w:name w:val="Heading 7 Char"/>
    <w:basedOn w:val="DefaultParagraphFont"/>
    <w:link w:val="Heading7"/>
    <w:rsid w:val="00E307F4"/>
    <w:rPr>
      <w:rFonts w:ascii="Arial" w:eastAsiaTheme="minorEastAsia" w:hAnsi="Arial"/>
      <w:b/>
      <w:sz w:val="18"/>
      <w:szCs w:val="24"/>
    </w:rPr>
  </w:style>
  <w:style w:type="character" w:customStyle="1" w:styleId="Heading8Char">
    <w:name w:val="Heading 8 Char"/>
    <w:basedOn w:val="DefaultParagraphFont"/>
    <w:link w:val="Heading8"/>
    <w:rsid w:val="00E307F4"/>
    <w:rPr>
      <w:rFonts w:ascii="Arial" w:eastAsiaTheme="minorEastAsia" w:hAnsi="Arial"/>
      <w:i/>
      <w:iCs/>
      <w:sz w:val="18"/>
      <w:szCs w:val="24"/>
    </w:rPr>
  </w:style>
  <w:style w:type="paragraph" w:styleId="ListParagraph">
    <w:name w:val="List Paragraph"/>
    <w:basedOn w:val="Normal"/>
    <w:uiPriority w:val="99"/>
    <w:qFormat/>
    <w:rsid w:val="004E714F"/>
    <w:pPr>
      <w:ind w:left="720"/>
      <w:contextualSpacing/>
    </w:pPr>
    <w:rPr>
      <w:rFonts w:eastAsiaTheme="minorEastAsia"/>
    </w:rPr>
  </w:style>
  <w:style w:type="character" w:customStyle="1" w:styleId="BodyTextChar">
    <w:name w:val="Body Text Char"/>
    <w:basedOn w:val="DefaultParagraphFont"/>
    <w:link w:val="BodyText"/>
    <w:uiPriority w:val="99"/>
    <w:locked/>
    <w:rsid w:val="004E714F"/>
    <w:rPr>
      <w:rFonts w:ascii="Arial" w:hAnsi="Arial"/>
    </w:rPr>
  </w:style>
  <w:style w:type="paragraph" w:styleId="CommentText">
    <w:name w:val="annotation text"/>
    <w:basedOn w:val="Normal"/>
    <w:link w:val="CommentTextChar"/>
    <w:uiPriority w:val="99"/>
    <w:rsid w:val="004E714F"/>
    <w:pPr>
      <w:jc w:val="left"/>
    </w:pPr>
    <w:rPr>
      <w:rFonts w:ascii="Times New Roman" w:eastAsiaTheme="minorEastAsia" w:hAnsi="Times New Roman"/>
      <w:sz w:val="22"/>
    </w:rPr>
  </w:style>
  <w:style w:type="character" w:customStyle="1" w:styleId="CommentTextChar">
    <w:name w:val="Comment Text Char"/>
    <w:basedOn w:val="DefaultParagraphFont"/>
    <w:link w:val="CommentText"/>
    <w:uiPriority w:val="99"/>
    <w:rsid w:val="004E714F"/>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F01D68"/>
    <w:rPr>
      <w:rFonts w:ascii="Arial" w:hAnsi="Arial"/>
      <w:sz w:val="16"/>
      <w:lang w:val="fr-FR"/>
    </w:rPr>
  </w:style>
  <w:style w:type="paragraph" w:styleId="TOC6">
    <w:name w:val="toc 6"/>
    <w:basedOn w:val="Normal"/>
    <w:next w:val="Normal"/>
    <w:autoRedefine/>
    <w:uiPriority w:val="39"/>
    <w:rsid w:val="00E307F4"/>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E307F4"/>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E307F4"/>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E307F4"/>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uiPriority w:val="99"/>
    <w:rsid w:val="004E714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E714F"/>
    <w:rPr>
      <w:rFonts w:ascii="Arial" w:hAnsi="Arial"/>
      <w:i/>
    </w:rPr>
  </w:style>
  <w:style w:type="paragraph" w:customStyle="1" w:styleId="Draft">
    <w:name w:val="Draft"/>
    <w:basedOn w:val="Normal"/>
    <w:next w:val="preparedby"/>
    <w:rsid w:val="004E714F"/>
    <w:pPr>
      <w:spacing w:before="720" w:after="480"/>
      <w:jc w:val="center"/>
    </w:pPr>
    <w:rPr>
      <w:rFonts w:ascii="Times New Roman" w:eastAsiaTheme="minorEastAsia" w:hAnsi="Times New Roman"/>
      <w:caps/>
      <w:sz w:val="28"/>
    </w:rPr>
  </w:style>
  <w:style w:type="paragraph" w:customStyle="1" w:styleId="Committee">
    <w:name w:val="Committee"/>
    <w:basedOn w:val="Title"/>
    <w:rsid w:val="004E714F"/>
    <w:rPr>
      <w:rFonts w:eastAsiaTheme="minorEastAsia"/>
      <w:caps w:val="0"/>
    </w:rPr>
  </w:style>
  <w:style w:type="paragraph" w:styleId="BodyTextIndent">
    <w:name w:val="Body Text Indent"/>
    <w:basedOn w:val="Normal"/>
    <w:link w:val="BodyTextIndentChar"/>
    <w:rsid w:val="004E714F"/>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4E714F"/>
    <w:rPr>
      <w:rFonts w:eastAsiaTheme="minorEastAsia"/>
      <w:sz w:val="24"/>
      <w:u w:val="single"/>
    </w:rPr>
  </w:style>
  <w:style w:type="character" w:styleId="FollowedHyperlink">
    <w:name w:val="FollowedHyperlink"/>
    <w:basedOn w:val="DefaultParagraphFont"/>
    <w:rsid w:val="004E714F"/>
    <w:rPr>
      <w:color w:val="800080" w:themeColor="followedHyperlink"/>
      <w:u w:val="single"/>
    </w:rPr>
  </w:style>
  <w:style w:type="table" w:customStyle="1" w:styleId="TableGrid1">
    <w:name w:val="Table Grid1"/>
    <w:basedOn w:val="TableNormal"/>
    <w:next w:val="TableGrid"/>
    <w:rsid w:val="004E714F"/>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14F"/>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4E714F"/>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5E4E94"/>
    <w:pPr>
      <w:spacing w:before="108"/>
    </w:pPr>
    <w:rPr>
      <w:rFonts w:eastAsiaTheme="minorHAnsi" w:cs="Arial"/>
    </w:rPr>
  </w:style>
  <w:style w:type="character" w:customStyle="1" w:styleId="Heading1Char">
    <w:name w:val="Heading 1 Char"/>
    <w:basedOn w:val="DefaultParagraphFont"/>
    <w:link w:val="Heading1"/>
    <w:uiPriority w:val="99"/>
    <w:rsid w:val="0083792B"/>
    <w:rPr>
      <w:rFonts w:ascii="Arial" w:eastAsiaTheme="minorEastAsia" w:hAnsi="Arial"/>
      <w:caps/>
    </w:rPr>
  </w:style>
  <w:style w:type="character" w:customStyle="1" w:styleId="Heading2Char">
    <w:name w:val="Heading 2 Char"/>
    <w:basedOn w:val="DefaultParagraphFont"/>
    <w:link w:val="Heading2"/>
    <w:uiPriority w:val="99"/>
    <w:rsid w:val="0083792B"/>
    <w:rPr>
      <w:rFonts w:ascii="Arial" w:eastAsiaTheme="minorEastAsia" w:hAnsi="Arial"/>
      <w:u w:val="single"/>
    </w:rPr>
  </w:style>
  <w:style w:type="character" w:customStyle="1" w:styleId="Heading3Char">
    <w:name w:val="Heading 3 Char"/>
    <w:basedOn w:val="DefaultParagraphFont"/>
    <w:link w:val="Heading3"/>
    <w:uiPriority w:val="99"/>
    <w:rsid w:val="0083792B"/>
    <w:rPr>
      <w:rFonts w:ascii="Arial" w:eastAsiaTheme="minorEastAsia" w:hAnsi="Arial"/>
      <w:b/>
      <w:caps/>
      <w:sz w:val="18"/>
    </w:rPr>
  </w:style>
  <w:style w:type="character" w:customStyle="1" w:styleId="Heading4Char">
    <w:name w:val="Heading 4 Char"/>
    <w:basedOn w:val="DefaultParagraphFont"/>
    <w:link w:val="Heading4"/>
    <w:uiPriority w:val="99"/>
    <w:rsid w:val="0083792B"/>
    <w:rPr>
      <w:rFonts w:ascii="Arial" w:eastAsiaTheme="minorEastAsia" w:hAnsi="Arial"/>
      <w:b/>
      <w:smallCaps/>
    </w:rPr>
  </w:style>
  <w:style w:type="character" w:customStyle="1" w:styleId="Heading5Char">
    <w:name w:val="Heading 5 Char"/>
    <w:basedOn w:val="DefaultParagraphFont"/>
    <w:link w:val="Heading5"/>
    <w:uiPriority w:val="99"/>
    <w:rsid w:val="0083792B"/>
    <w:rPr>
      <w:rFonts w:ascii="Arial" w:eastAsiaTheme="minorEastAsia" w:hAnsi="Arial"/>
      <w:b/>
      <w:sz w:val="18"/>
    </w:rPr>
  </w:style>
  <w:style w:type="character" w:customStyle="1" w:styleId="Heading9Char">
    <w:name w:val="Heading 9 Char"/>
    <w:basedOn w:val="DefaultParagraphFont"/>
    <w:link w:val="Heading9"/>
    <w:uiPriority w:val="99"/>
    <w:rsid w:val="0083792B"/>
    <w:rPr>
      <w:rFonts w:ascii="Arial" w:eastAsiaTheme="minorEastAsia" w:hAnsi="Arial"/>
      <w:b/>
      <w:sz w:val="18"/>
      <w:lang w:val="fr-FR"/>
    </w:rPr>
  </w:style>
  <w:style w:type="character" w:customStyle="1" w:styleId="HeaderChar">
    <w:name w:val="Header Char"/>
    <w:basedOn w:val="DefaultParagraphFont"/>
    <w:link w:val="Header"/>
    <w:uiPriority w:val="99"/>
    <w:rsid w:val="0083792B"/>
    <w:rPr>
      <w:rFonts w:ascii="Arial" w:hAnsi="Arial"/>
      <w:lang w:val="fr-FR"/>
    </w:rPr>
  </w:style>
  <w:style w:type="character" w:customStyle="1" w:styleId="FooterChar">
    <w:name w:val="Footer Char"/>
    <w:aliases w:val="doc_path_name Char1,doc_path_name Char Char"/>
    <w:basedOn w:val="DefaultParagraphFont"/>
    <w:link w:val="Footer"/>
    <w:uiPriority w:val="99"/>
    <w:rsid w:val="0083792B"/>
    <w:rPr>
      <w:rFonts w:ascii="Arial" w:hAnsi="Arial"/>
      <w:sz w:val="14"/>
    </w:rPr>
  </w:style>
  <w:style w:type="character" w:customStyle="1" w:styleId="TitleChar">
    <w:name w:val="Title Char"/>
    <w:basedOn w:val="DefaultParagraphFont"/>
    <w:link w:val="Title"/>
    <w:uiPriority w:val="99"/>
    <w:rsid w:val="0083792B"/>
    <w:rPr>
      <w:rFonts w:ascii="Arial" w:hAnsi="Arial"/>
      <w:b/>
      <w:caps/>
      <w:kern w:val="28"/>
      <w:sz w:val="30"/>
      <w:lang w:val="fr-FR"/>
    </w:rPr>
  </w:style>
  <w:style w:type="character" w:customStyle="1" w:styleId="ClosingChar">
    <w:name w:val="Closing Char"/>
    <w:basedOn w:val="DefaultParagraphFont"/>
    <w:link w:val="Closing"/>
    <w:uiPriority w:val="99"/>
    <w:rsid w:val="0083792B"/>
    <w:rPr>
      <w:rFonts w:ascii="Arial" w:hAnsi="Arial"/>
      <w:lang w:val="fr-FR"/>
    </w:rPr>
  </w:style>
  <w:style w:type="character" w:customStyle="1" w:styleId="MacroTextChar">
    <w:name w:val="Macro Text Char"/>
    <w:basedOn w:val="DefaultParagraphFont"/>
    <w:link w:val="MacroText"/>
    <w:uiPriority w:val="99"/>
    <w:semiHidden/>
    <w:rsid w:val="0083792B"/>
    <w:rPr>
      <w:rFonts w:ascii="Courier New" w:hAnsi="Courier New"/>
      <w:sz w:val="16"/>
    </w:rPr>
  </w:style>
  <w:style w:type="character" w:customStyle="1" w:styleId="SignatureChar">
    <w:name w:val="Signature Char"/>
    <w:basedOn w:val="DefaultParagraphFont"/>
    <w:link w:val="Signature"/>
    <w:uiPriority w:val="99"/>
    <w:rsid w:val="0083792B"/>
    <w:rPr>
      <w:rFonts w:ascii="Arial" w:hAnsi="Arial"/>
      <w:lang w:val="fr-FR"/>
    </w:rPr>
  </w:style>
  <w:style w:type="character" w:customStyle="1" w:styleId="EndnoteTextChar">
    <w:name w:val="Endnote Text Char"/>
    <w:basedOn w:val="DefaultParagraphFont"/>
    <w:link w:val="EndnoteText"/>
    <w:uiPriority w:val="99"/>
    <w:semiHidden/>
    <w:rsid w:val="0083792B"/>
    <w:rPr>
      <w:rFonts w:ascii="Arial" w:hAnsi="Arial"/>
      <w:lang w:val="fr-FR"/>
    </w:rPr>
  </w:style>
  <w:style w:type="character" w:customStyle="1" w:styleId="DateChar">
    <w:name w:val="Date Char"/>
    <w:basedOn w:val="DefaultParagraphFont"/>
    <w:link w:val="Date"/>
    <w:uiPriority w:val="99"/>
    <w:semiHidden/>
    <w:rsid w:val="0083792B"/>
    <w:rPr>
      <w:rFonts w:ascii="Arial" w:hAnsi="Arial"/>
      <w:b/>
      <w:sz w:val="22"/>
      <w:lang w:val="fr-FR"/>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basedOn w:val="DefaultParagraphFont"/>
    <w:uiPriority w:val="99"/>
    <w:semiHidden/>
    <w:rsid w:val="0083792B"/>
    <w:rPr>
      <w:rFonts w:ascii="Arial" w:hAnsi="Arial" w:cs="Arial"/>
      <w:sz w:val="16"/>
      <w:szCs w:val="16"/>
    </w:rPr>
  </w:style>
  <w:style w:type="character" w:styleId="CommentReference">
    <w:name w:val="annotation reference"/>
    <w:basedOn w:val="DefaultParagraphFont"/>
    <w:uiPriority w:val="99"/>
    <w:rsid w:val="0083792B"/>
    <w:rPr>
      <w:rFonts w:cs="Times New Roman"/>
      <w:sz w:val="16"/>
      <w:szCs w:val="16"/>
    </w:rPr>
  </w:style>
  <w:style w:type="character" w:customStyle="1" w:styleId="CodeCharChar">
    <w:name w:val="Code Char Char"/>
    <w:uiPriority w:val="99"/>
    <w:rsid w:val="0083792B"/>
    <w:rPr>
      <w:rFonts w:ascii="Arial" w:hAnsi="Arial" w:cs="Arial"/>
      <w:b/>
      <w:bCs/>
      <w:spacing w:val="10"/>
      <w:lang w:val="fr-FR" w:eastAsia="en-US"/>
    </w:rPr>
  </w:style>
  <w:style w:type="character" w:customStyle="1" w:styleId="DocoriginalCharChar">
    <w:name w:val="Doc_original Char Char"/>
    <w:uiPriority w:val="99"/>
    <w:rsid w:val="0083792B"/>
    <w:rPr>
      <w:rFonts w:ascii="Arial" w:hAnsi="Arial" w:cs="Arial"/>
      <w:b/>
      <w:bCs/>
      <w:spacing w:val="10"/>
      <w:lang w:val="en-US" w:eastAsia="en-US"/>
    </w:rPr>
  </w:style>
  <w:style w:type="character" w:customStyle="1" w:styleId="StyleDocoriginalNotBoldCharChar">
    <w:name w:val="Style Doc_original + Not Bold Char Char"/>
    <w:basedOn w:val="DocoriginalCharChar"/>
    <w:uiPriority w:val="99"/>
    <w:rsid w:val="0083792B"/>
    <w:rPr>
      <w:rFonts w:ascii="Arial" w:hAnsi="Arial" w:cs="Arial"/>
      <w:b/>
      <w:bCs/>
      <w:spacing w:val="10"/>
      <w:lang w:val="en-US" w:eastAsia="en-US"/>
    </w:rPr>
  </w:style>
  <w:style w:type="character" w:customStyle="1" w:styleId="StyleDocoriginalCharChar">
    <w:name w:val="Style Doc_original Char Char"/>
    <w:basedOn w:val="DocoriginalCharChar"/>
    <w:uiPriority w:val="99"/>
    <w:rsid w:val="0083792B"/>
    <w:rPr>
      <w:rFonts w:ascii="Arial" w:hAnsi="Arial" w:cs="Arial"/>
      <w:b/>
      <w:bCs/>
      <w:spacing w:val="10"/>
      <w:lang w:val="en-US" w:eastAsia="en-US"/>
    </w:rPr>
  </w:style>
  <w:style w:type="character" w:customStyle="1" w:styleId="StyleStyleDocoriginalNotBoldNotBoldCharChar">
    <w:name w:val="Style Style Doc_original + Not Bold + Not Bold Char Char"/>
    <w:basedOn w:val="StyleDocoriginalNotBoldCharChar"/>
    <w:uiPriority w:val="99"/>
    <w:rsid w:val="0083792B"/>
    <w:rPr>
      <w:rFonts w:ascii="Arial" w:hAnsi="Arial" w:cs="Arial"/>
      <w:b/>
      <w:bCs/>
      <w:spacing w:val="10"/>
      <w:lang w:val="en-US" w:eastAsia="en-US"/>
    </w:rPr>
  </w:style>
  <w:style w:type="character" w:customStyle="1" w:styleId="Char">
    <w:name w:val="Char"/>
    <w:uiPriority w:val="99"/>
    <w:semiHidden/>
    <w:rsid w:val="0083792B"/>
    <w:rPr>
      <w:rFonts w:ascii="Arial" w:hAnsi="Arial" w:cs="Arial"/>
      <w:lang w:val="en-US" w:eastAsia="en-US"/>
    </w:rPr>
  </w:style>
  <w:style w:type="character" w:customStyle="1" w:styleId="DecisionParagraphsCharChar">
    <w:name w:val="DecisionParagraphs Char Char"/>
    <w:uiPriority w:val="99"/>
    <w:rsid w:val="0083792B"/>
    <w:rPr>
      <w:rFonts w:ascii="Arial" w:hAnsi="Arial" w:cs="Arial"/>
      <w:i/>
      <w:iCs/>
      <w:sz w:val="16"/>
      <w:szCs w:val="16"/>
    </w:rPr>
  </w:style>
  <w:style w:type="paragraph" w:styleId="BodyText2">
    <w:name w:val="Body Text 2"/>
    <w:basedOn w:val="Normal"/>
    <w:link w:val="BodyText2Char"/>
    <w:uiPriority w:val="99"/>
    <w:rsid w:val="0083792B"/>
    <w:rPr>
      <w:rFonts w:cs="Arial"/>
      <w:sz w:val="24"/>
      <w:szCs w:val="24"/>
      <w:u w:val="single"/>
      <w:lang w:val="en-US"/>
    </w:rPr>
  </w:style>
  <w:style w:type="character" w:customStyle="1" w:styleId="BodyText2Char">
    <w:name w:val="Body Text 2 Char"/>
    <w:basedOn w:val="DefaultParagraphFont"/>
    <w:link w:val="BodyText2"/>
    <w:uiPriority w:val="99"/>
    <w:rsid w:val="0083792B"/>
    <w:rPr>
      <w:rFonts w:ascii="Arial" w:hAnsi="Arial" w:cs="Arial"/>
      <w:sz w:val="24"/>
      <w:szCs w:val="24"/>
      <w:u w:val="single"/>
    </w:rPr>
  </w:style>
  <w:style w:type="paragraph" w:customStyle="1" w:styleId="HeadingAnnex">
    <w:name w:val="Heading Annex"/>
    <w:basedOn w:val="Heading1"/>
    <w:uiPriority w:val="99"/>
    <w:rsid w:val="0083792B"/>
    <w:pPr>
      <w:ind w:left="720" w:hanging="360"/>
      <w:jc w:val="center"/>
    </w:pPr>
    <w:rPr>
      <w:rFonts w:eastAsia="Times New Roman" w:cs="Arial"/>
      <w:color w:val="008000"/>
      <w:sz w:val="24"/>
      <w:szCs w:val="24"/>
    </w:rPr>
  </w:style>
  <w:style w:type="paragraph" w:customStyle="1" w:styleId="StyleDecisionParagraphs10pt">
    <w:name w:val="Style DecisionParagraphs + 10 pt"/>
    <w:link w:val="StyleDecisionParagraphs10ptChar"/>
    <w:uiPriority w:val="99"/>
    <w:rsid w:val="0083792B"/>
    <w:pPr>
      <w:ind w:left="4536"/>
    </w:pPr>
    <w:rPr>
      <w:rFonts w:ascii="Arial" w:hAnsi="Arial" w:cs="Arial"/>
      <w:i/>
      <w:iCs/>
      <w:sz w:val="16"/>
      <w:szCs w:val="16"/>
      <w:lang w:eastAsia="ja-JP"/>
    </w:rPr>
  </w:style>
  <w:style w:type="character" w:customStyle="1" w:styleId="StyleDecisionParagraphs10ptChar">
    <w:name w:val="Style DecisionParagraphs + 10 pt Char"/>
    <w:basedOn w:val="DecisionParagraphsCharChar"/>
    <w:link w:val="StyleDecisionParagraphs10pt"/>
    <w:uiPriority w:val="99"/>
    <w:rsid w:val="0083792B"/>
    <w:rPr>
      <w:rFonts w:ascii="Arial" w:hAnsi="Arial" w:cs="Arial"/>
      <w:i/>
      <w:iCs/>
      <w:sz w:val="16"/>
      <w:szCs w:val="16"/>
      <w:lang w:eastAsia="ja-JP"/>
    </w:rPr>
  </w:style>
  <w:style w:type="paragraph" w:customStyle="1" w:styleId="ZchnZchn1">
    <w:name w:val="Zchn Zchn1"/>
    <w:basedOn w:val="Normal"/>
    <w:uiPriority w:val="99"/>
    <w:rsid w:val="0083792B"/>
    <w:pPr>
      <w:spacing w:after="160" w:line="240" w:lineRule="exact"/>
      <w:jc w:val="left"/>
    </w:pPr>
    <w:rPr>
      <w:rFonts w:ascii="Times New Roman" w:eastAsia="PMingLiU" w:hAnsi="Times New Roman"/>
      <w:sz w:val="24"/>
      <w:szCs w:val="24"/>
      <w:lang w:val="en-US"/>
    </w:rPr>
  </w:style>
  <w:style w:type="character" w:customStyle="1" w:styleId="fn3Char">
    <w:name w:val="fn3 Char"/>
    <w:uiPriority w:val="99"/>
    <w:rsid w:val="0083792B"/>
    <w:rPr>
      <w:rFonts w:ascii="Arial" w:hAnsi="Arial" w:cs="Arial"/>
      <w:sz w:val="16"/>
      <w:szCs w:val="16"/>
      <w:lang w:val="en-US" w:eastAsia="en-US"/>
    </w:rPr>
  </w:style>
  <w:style w:type="paragraph" w:styleId="CommentSubject">
    <w:name w:val="annotation subject"/>
    <w:basedOn w:val="CommentText"/>
    <w:next w:val="CommentText"/>
    <w:link w:val="CommentSubjectChar"/>
    <w:rsid w:val="0083792B"/>
    <w:pPr>
      <w:jc w:val="both"/>
    </w:pPr>
    <w:rPr>
      <w:rFonts w:ascii="Arial" w:hAnsi="Arial"/>
      <w:b/>
      <w:bCs/>
      <w:sz w:val="20"/>
    </w:rPr>
  </w:style>
  <w:style w:type="character" w:customStyle="1" w:styleId="CommentSubjectChar">
    <w:name w:val="Comment Subject Char"/>
    <w:basedOn w:val="CommentTextChar"/>
    <w:link w:val="CommentSubject"/>
    <w:rsid w:val="0083792B"/>
    <w:rPr>
      <w:rFonts w:ascii="Arial" w:eastAsiaTheme="minorEastAsia" w:hAnsi="Arial"/>
      <w:b/>
      <w:bCs/>
      <w:sz w:val="22"/>
      <w:lang w:val="fr-FR"/>
    </w:rPr>
  </w:style>
  <w:style w:type="paragraph" w:styleId="Revision">
    <w:name w:val="Revision"/>
    <w:hidden/>
    <w:uiPriority w:val="99"/>
    <w:semiHidden/>
    <w:rsid w:val="0083792B"/>
    <w:rPr>
      <w:rFonts w:ascii="Arial" w:eastAsiaTheme="minorEastAsia"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03807">
      <w:bodyDiv w:val="1"/>
      <w:marLeft w:val="0"/>
      <w:marRight w:val="0"/>
      <w:marTop w:val="0"/>
      <w:marBottom w:val="0"/>
      <w:divBdr>
        <w:top w:val="none" w:sz="0" w:space="0" w:color="auto"/>
        <w:left w:val="none" w:sz="0" w:space="0" w:color="auto"/>
        <w:bottom w:val="none" w:sz="0" w:space="0" w:color="auto"/>
        <w:right w:val="none" w:sz="0" w:space="0" w:color="auto"/>
      </w:divBdr>
    </w:div>
    <w:div w:id="206544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yperlink" Target="http://www.upov.int/edocs/mdocs/upov/fr/c_49/c_49_3.pdf"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2E27E-A99A-4454-BA30-BE817C5F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52</Pages>
  <Words>21205</Words>
  <Characters>120870</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C/50/2</vt:lpstr>
    </vt:vector>
  </TitlesOfParts>
  <Company>UPOV</Company>
  <LinksUpToDate>false</LinksUpToDate>
  <CharactersWithSpaces>141792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C/50/2</dc:title>
  <dc:creator>SANCHEZ-VIZCAINO GOMEZ Rosa Maria</dc:creator>
  <cp:lastModifiedBy>SANCHEZ-VIZCAINO GOMEZ Rosa Maria</cp:lastModifiedBy>
  <cp:revision>16</cp:revision>
  <cp:lastPrinted>2016-10-25T17:32:00Z</cp:lastPrinted>
  <dcterms:created xsi:type="dcterms:W3CDTF">2016-10-20T12:56:00Z</dcterms:created>
  <dcterms:modified xsi:type="dcterms:W3CDTF">2016-10-25T17:32:00Z</dcterms:modified>
</cp:coreProperties>
</file>